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320"/>
        <w:rPr>
          <w:rFonts w:hint="eastAsia"/>
        </w:rPr>
      </w:pPr>
      <w:r>
        <w:rPr>
          <w:rFonts w:hint="eastAsia"/>
        </w:rPr>
        <w:t>2005</w:t>
      </w:r>
      <w:r>
        <w:rPr>
          <w:rFonts w:hint="eastAsia"/>
        </w:rPr>
        <w:t>年实质性会议</w:t>
      </w:r>
    </w:p>
    <w:p w:rsidR="00000000" w:rsidRDefault="00000000">
      <w:pPr>
        <w:pStyle w:val="Heading2"/>
        <w:rPr>
          <w:rFonts w:hint="eastAsia"/>
        </w:rPr>
      </w:pPr>
      <w:r>
        <w:rPr>
          <w:rFonts w:hint="eastAsia"/>
        </w:rPr>
        <w:t>《经济、社会、文化权利国际公约》执行情况</w:t>
      </w:r>
    </w:p>
    <w:p w:rsidR="00000000" w:rsidRDefault="00000000">
      <w:pPr>
        <w:pStyle w:val="Heading3"/>
        <w:rPr>
          <w:rFonts w:hint="eastAsia"/>
        </w:rPr>
      </w:pPr>
      <w:r>
        <w:rPr>
          <w:rFonts w:hint="eastAsia"/>
        </w:rPr>
        <w:t>缔约国根据《公约》第</w:t>
      </w:r>
      <w:r>
        <w:rPr>
          <w:rFonts w:hint="eastAsia"/>
        </w:rPr>
        <w:t>16</w:t>
      </w:r>
      <w:r>
        <w:rPr>
          <w:rFonts w:hint="eastAsia"/>
        </w:rPr>
        <w:t>条和第</w:t>
      </w:r>
      <w:r>
        <w:rPr>
          <w:rFonts w:hint="eastAsia"/>
        </w:rPr>
        <w:t>17</w:t>
      </w:r>
      <w:r>
        <w:rPr>
          <w:rFonts w:hint="eastAsia"/>
        </w:rPr>
        <w:t>条</w:t>
      </w:r>
      <w:r>
        <w:br/>
      </w:r>
      <w:r>
        <w:rPr>
          <w:rFonts w:hint="eastAsia"/>
        </w:rPr>
        <w:t>提交的初次报告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spacing w:after="240"/>
        <w:rPr>
          <w:rFonts w:hint="eastAsia"/>
          <w:u w:val="none"/>
        </w:rPr>
      </w:pPr>
      <w:r>
        <w:rPr>
          <w:u w:val="none"/>
        </w:rPr>
        <w:t xml:space="preserve">   </w:t>
      </w:r>
      <w:r>
        <w:rPr>
          <w:rFonts w:hint="eastAsia"/>
        </w:rPr>
        <w:t>波斯尼亚和黑塞哥维那</w:t>
      </w:r>
      <w:r>
        <w:rPr>
          <w:rFonts w:hint="eastAsia"/>
          <w:u w:val="none"/>
        </w:rPr>
        <w:t xml:space="preserve"> </w:t>
      </w:r>
      <w:r>
        <w:rPr>
          <w:rStyle w:val="FootnoteReference"/>
          <w:b w:val="0"/>
          <w:u w:val="none"/>
          <w:vertAlign w:val="baseline"/>
        </w:rPr>
        <w:footnoteReference w:customMarkFollows="1" w:id="1"/>
        <w:t>*</w:t>
      </w:r>
      <w:r>
        <w:rPr>
          <w:rFonts w:hint="eastAsia"/>
          <w:u w:val="none"/>
        </w:rPr>
        <w:t xml:space="preserve"> </w:t>
      </w:r>
      <w:r>
        <w:rPr>
          <w:rStyle w:val="FootnoteReference"/>
          <w:b w:val="0"/>
          <w:u w:val="none"/>
          <w:vertAlign w:val="baseline"/>
        </w:rPr>
        <w:footnoteReference w:customMarkFollows="1" w:id="2"/>
        <w:t>**</w:t>
      </w:r>
    </w:p>
    <w:p w:rsidR="00000000" w:rsidRDefault="00000000">
      <w:pPr>
        <w:jc w:val="right"/>
      </w:pPr>
      <w:r>
        <w:rPr>
          <w:rFonts w:hint="eastAsia"/>
        </w:rPr>
        <w:t>[2004</w:t>
      </w:r>
      <w:r>
        <w:rPr>
          <w:rFonts w:hint="eastAsia"/>
        </w:rPr>
        <w:t>年</w:t>
      </w:r>
      <w:r>
        <w:rPr>
          <w:rFonts w:hint="eastAsia"/>
        </w:rPr>
        <w:t>7</w:t>
      </w:r>
      <w:r>
        <w:rPr>
          <w:rFonts w:hint="eastAsia"/>
        </w:rPr>
        <w:t>月</w:t>
      </w:r>
      <w:r>
        <w:rPr>
          <w:rFonts w:hint="eastAsia"/>
        </w:rPr>
        <w:t>21</w:t>
      </w:r>
      <w:r>
        <w:rPr>
          <w:rFonts w:hint="eastAsia"/>
        </w:rPr>
        <w:t>日</w:t>
      </w:r>
      <w:r>
        <w:rPr>
          <w:rFonts w:hint="eastAsia"/>
        </w:rPr>
        <w:t>]</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rFonts w:hint="eastAsia"/>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rPr>
          <w:rFonts w:hint="eastAsia"/>
        </w:rPr>
      </w:pPr>
      <w:r>
        <w:rPr>
          <w:rFonts w:hint="eastAsia"/>
        </w:rPr>
        <w:t>导</w:t>
      </w:r>
      <w:r>
        <w:rPr>
          <w:rFonts w:hint="eastAsia"/>
        </w:rPr>
        <w:t xml:space="preserve">  </w:t>
      </w:r>
      <w:r>
        <w:rPr>
          <w:rFonts w:hint="eastAsia"/>
        </w:rPr>
        <w:t>言</w:t>
      </w:r>
      <w:r>
        <w:rPr>
          <w:rFonts w:hint="eastAsia"/>
        </w:rPr>
        <w:t>......................</w:t>
      </w:r>
      <w:r>
        <w:rPr>
          <w:rFonts w:hint="eastAsia"/>
        </w:rPr>
        <w:tab/>
      </w:r>
      <w:r>
        <w:rPr>
          <w:rFonts w:hint="eastAsia"/>
        </w:rPr>
        <w:tab/>
        <w:t>1</w:t>
      </w:r>
      <w:r>
        <w:rPr>
          <w:rFonts w:hint="eastAsia"/>
        </w:rPr>
        <w:tab/>
        <w:t>-</w:t>
      </w:r>
      <w:r>
        <w:rPr>
          <w:rFonts w:hint="eastAsia"/>
        </w:rPr>
        <w:tab/>
        <w:t>9</w:t>
      </w:r>
      <w:r>
        <w:rPr>
          <w:rFonts w:hint="eastAsia"/>
        </w:rPr>
        <w:tab/>
        <w:t>3</w:t>
      </w:r>
    </w:p>
    <w:p w:rsidR="00000000" w:rsidRDefault="00000000">
      <w:pPr>
        <w:pStyle w:val="a9"/>
        <w:ind w:left="1030"/>
        <w:rPr>
          <w:rFonts w:hint="eastAsia"/>
        </w:rPr>
      </w:pPr>
      <w:r>
        <w:rPr>
          <w:rFonts w:hint="eastAsia"/>
        </w:rPr>
        <w:t>第</w:t>
      </w:r>
      <w:r>
        <w:rPr>
          <w:rFonts w:hint="eastAsia"/>
        </w:rPr>
        <w:t>1</w:t>
      </w:r>
      <w:r>
        <w:rPr>
          <w:rFonts w:hint="eastAsia"/>
        </w:rPr>
        <w:t>条</w:t>
      </w:r>
      <w:r>
        <w:rPr>
          <w:rFonts w:hint="eastAsia"/>
        </w:rPr>
        <w:t>.................................</w:t>
      </w:r>
      <w:r>
        <w:rPr>
          <w:rFonts w:hint="eastAsia"/>
        </w:rPr>
        <w:tab/>
      </w:r>
      <w:r>
        <w:rPr>
          <w:rFonts w:hint="eastAsia"/>
        </w:rPr>
        <w:tab/>
        <w:t>10</w:t>
      </w:r>
      <w:r>
        <w:rPr>
          <w:rFonts w:hint="eastAsia"/>
        </w:rPr>
        <w:tab/>
        <w:t>-</w:t>
      </w:r>
      <w:r>
        <w:rPr>
          <w:rFonts w:hint="eastAsia"/>
        </w:rPr>
        <w:tab/>
        <w:t>34</w:t>
      </w:r>
      <w:r>
        <w:rPr>
          <w:rFonts w:hint="eastAsia"/>
        </w:rPr>
        <w:tab/>
        <w:t>4</w:t>
      </w:r>
    </w:p>
    <w:p w:rsidR="00000000" w:rsidRDefault="00000000">
      <w:pPr>
        <w:pStyle w:val="a9"/>
        <w:ind w:left="1030"/>
        <w:rPr>
          <w:rFonts w:hint="eastAsia"/>
        </w:rPr>
      </w:pPr>
      <w:r>
        <w:rPr>
          <w:rFonts w:hint="eastAsia"/>
        </w:rPr>
        <w:t>第</w:t>
      </w:r>
      <w:r>
        <w:rPr>
          <w:rFonts w:hint="eastAsia"/>
        </w:rPr>
        <w:t>2</w:t>
      </w:r>
      <w:r>
        <w:rPr>
          <w:rFonts w:hint="eastAsia"/>
        </w:rPr>
        <w:t>条</w:t>
      </w:r>
      <w:r>
        <w:rPr>
          <w:rFonts w:hint="eastAsia"/>
        </w:rPr>
        <w:t>............................</w:t>
      </w:r>
      <w:r>
        <w:rPr>
          <w:rFonts w:hint="eastAsia"/>
        </w:rPr>
        <w:tab/>
      </w:r>
      <w:r>
        <w:rPr>
          <w:rFonts w:hint="eastAsia"/>
        </w:rPr>
        <w:tab/>
        <w:t>35</w:t>
      </w:r>
      <w:r>
        <w:rPr>
          <w:rFonts w:hint="eastAsia"/>
        </w:rPr>
        <w:tab/>
        <w:t>-</w:t>
      </w:r>
      <w:r>
        <w:rPr>
          <w:rFonts w:hint="eastAsia"/>
        </w:rPr>
        <w:tab/>
        <w:t>69</w:t>
      </w:r>
      <w:r>
        <w:rPr>
          <w:rFonts w:hint="eastAsia"/>
        </w:rPr>
        <w:tab/>
        <w:t>9</w:t>
      </w:r>
    </w:p>
    <w:p w:rsidR="00000000" w:rsidRDefault="00000000">
      <w:pPr>
        <w:pStyle w:val="a9"/>
        <w:ind w:left="1030"/>
      </w:pPr>
      <w:r>
        <w:rPr>
          <w:rFonts w:hint="eastAsia"/>
        </w:rPr>
        <w:t>第</w:t>
      </w:r>
      <w:r>
        <w:rPr>
          <w:rFonts w:hint="eastAsia"/>
        </w:rPr>
        <w:t>3</w:t>
      </w:r>
      <w:r>
        <w:rPr>
          <w:rFonts w:hint="eastAsia"/>
        </w:rPr>
        <w:t>条</w:t>
      </w:r>
      <w:r>
        <w:rPr>
          <w:rFonts w:hint="eastAsia"/>
        </w:rPr>
        <w:t>........................</w:t>
      </w:r>
      <w:r>
        <w:rPr>
          <w:rFonts w:hint="eastAsia"/>
        </w:rPr>
        <w:tab/>
      </w:r>
      <w:r>
        <w:rPr>
          <w:rFonts w:hint="eastAsia"/>
        </w:rPr>
        <w:tab/>
        <w:t>70</w:t>
      </w:r>
      <w:r>
        <w:rPr>
          <w:rFonts w:hint="eastAsia"/>
        </w:rPr>
        <w:tab/>
        <w:t>-</w:t>
      </w:r>
      <w:r>
        <w:rPr>
          <w:rFonts w:hint="eastAsia"/>
        </w:rPr>
        <w:tab/>
        <w:t>82</w:t>
      </w:r>
      <w:r>
        <w:rPr>
          <w:rFonts w:hint="eastAsia"/>
        </w:rPr>
        <w:tab/>
      </w:r>
      <w:r>
        <w:t>16</w:t>
      </w:r>
    </w:p>
    <w:p w:rsidR="00000000" w:rsidRDefault="00000000">
      <w:pPr>
        <w:pStyle w:val="a9"/>
        <w:ind w:left="1030"/>
      </w:pPr>
      <w:r>
        <w:rPr>
          <w:rFonts w:hint="eastAsia"/>
        </w:rPr>
        <w:t>第</w:t>
      </w:r>
      <w:r>
        <w:rPr>
          <w:rFonts w:hint="eastAsia"/>
        </w:rPr>
        <w:t>4</w:t>
      </w:r>
      <w:r>
        <w:rPr>
          <w:rFonts w:hint="eastAsia"/>
        </w:rPr>
        <w:t>条</w:t>
      </w:r>
      <w:r>
        <w:rPr>
          <w:rFonts w:hint="eastAsia"/>
        </w:rPr>
        <w:t>.................................</w:t>
      </w:r>
      <w:r>
        <w:rPr>
          <w:rFonts w:hint="eastAsia"/>
        </w:rPr>
        <w:tab/>
      </w:r>
      <w:r>
        <w:rPr>
          <w:rFonts w:hint="eastAsia"/>
        </w:rPr>
        <w:tab/>
        <w:t>83</w:t>
      </w:r>
      <w:r>
        <w:rPr>
          <w:rFonts w:hint="eastAsia"/>
        </w:rPr>
        <w:tab/>
        <w:t>-</w:t>
      </w:r>
      <w:r>
        <w:rPr>
          <w:rFonts w:hint="eastAsia"/>
        </w:rPr>
        <w:tab/>
        <w:t>84</w:t>
      </w:r>
      <w:r>
        <w:rPr>
          <w:rFonts w:hint="eastAsia"/>
        </w:rPr>
        <w:tab/>
      </w:r>
      <w:r>
        <w:t>18</w:t>
      </w:r>
    </w:p>
    <w:p w:rsidR="00000000" w:rsidRDefault="00000000">
      <w:pPr>
        <w:pStyle w:val="a9"/>
        <w:ind w:left="1030"/>
      </w:pPr>
      <w:r>
        <w:rPr>
          <w:rFonts w:hint="eastAsia"/>
        </w:rPr>
        <w:t>第</w:t>
      </w:r>
      <w:r>
        <w:rPr>
          <w:rFonts w:hint="eastAsia"/>
        </w:rPr>
        <w:t>5</w:t>
      </w:r>
      <w:r>
        <w:rPr>
          <w:rFonts w:hint="eastAsia"/>
        </w:rPr>
        <w:t>条</w:t>
      </w:r>
      <w:r>
        <w:rPr>
          <w:rFonts w:hint="eastAsia"/>
        </w:rPr>
        <w:t>.................................</w:t>
      </w:r>
      <w:r>
        <w:rPr>
          <w:rFonts w:hint="eastAsia"/>
        </w:rPr>
        <w:tab/>
      </w:r>
      <w:r>
        <w:rPr>
          <w:rFonts w:hint="eastAsia"/>
        </w:rPr>
        <w:tab/>
        <w:t>85</w:t>
      </w:r>
      <w:r>
        <w:rPr>
          <w:rFonts w:hint="eastAsia"/>
        </w:rPr>
        <w:tab/>
        <w:t>-</w:t>
      </w:r>
      <w:r>
        <w:rPr>
          <w:rFonts w:hint="eastAsia"/>
        </w:rPr>
        <w:tab/>
        <w:t>93</w:t>
      </w:r>
      <w:r>
        <w:rPr>
          <w:rFonts w:hint="eastAsia"/>
        </w:rPr>
        <w:tab/>
      </w:r>
      <w:r>
        <w:t>19</w:t>
      </w:r>
    </w:p>
    <w:p w:rsidR="00000000" w:rsidRDefault="00000000">
      <w:pPr>
        <w:pStyle w:val="a9"/>
        <w:ind w:left="1030"/>
      </w:pPr>
      <w:r>
        <w:rPr>
          <w:rFonts w:hint="eastAsia"/>
        </w:rPr>
        <w:t>第</w:t>
      </w:r>
      <w:r>
        <w:rPr>
          <w:rFonts w:hint="eastAsia"/>
        </w:rPr>
        <w:t>6</w:t>
      </w:r>
      <w:r>
        <w:rPr>
          <w:rFonts w:hint="eastAsia"/>
        </w:rPr>
        <w:t>条</w:t>
      </w:r>
      <w:r>
        <w:rPr>
          <w:rFonts w:hint="eastAsia"/>
        </w:rPr>
        <w:t>.................................</w:t>
      </w:r>
      <w:r>
        <w:rPr>
          <w:rFonts w:hint="eastAsia"/>
        </w:rPr>
        <w:tab/>
      </w:r>
      <w:r>
        <w:rPr>
          <w:rFonts w:hint="eastAsia"/>
        </w:rPr>
        <w:tab/>
        <w:t>94</w:t>
      </w:r>
      <w:r>
        <w:rPr>
          <w:rFonts w:hint="eastAsia"/>
        </w:rPr>
        <w:tab/>
        <w:t>-</w:t>
      </w:r>
      <w:r>
        <w:rPr>
          <w:rFonts w:hint="eastAsia"/>
        </w:rPr>
        <w:tab/>
        <w:t>150</w:t>
      </w:r>
      <w:r>
        <w:rPr>
          <w:rFonts w:hint="eastAsia"/>
        </w:rPr>
        <w:tab/>
      </w:r>
      <w:r>
        <w:t>20</w:t>
      </w:r>
    </w:p>
    <w:p w:rsidR="00000000" w:rsidRDefault="00000000">
      <w:pPr>
        <w:pStyle w:val="a9"/>
        <w:ind w:left="1030"/>
      </w:pPr>
      <w:r>
        <w:rPr>
          <w:rFonts w:hint="eastAsia"/>
        </w:rPr>
        <w:t>第</w:t>
      </w:r>
      <w:r>
        <w:rPr>
          <w:rFonts w:hint="eastAsia"/>
        </w:rPr>
        <w:t>7</w:t>
      </w:r>
      <w:r>
        <w:rPr>
          <w:rFonts w:hint="eastAsia"/>
        </w:rPr>
        <w:t>条</w:t>
      </w:r>
      <w:r>
        <w:rPr>
          <w:rFonts w:hint="eastAsia"/>
        </w:rPr>
        <w:t>........................</w:t>
      </w:r>
      <w:r>
        <w:rPr>
          <w:rFonts w:hint="eastAsia"/>
        </w:rPr>
        <w:tab/>
      </w:r>
      <w:r>
        <w:rPr>
          <w:rFonts w:hint="eastAsia"/>
        </w:rPr>
        <w:tab/>
        <w:t>151</w:t>
      </w:r>
      <w:r>
        <w:rPr>
          <w:rFonts w:hint="eastAsia"/>
        </w:rPr>
        <w:tab/>
        <w:t>-</w:t>
      </w:r>
      <w:r>
        <w:rPr>
          <w:rFonts w:hint="eastAsia"/>
        </w:rPr>
        <w:tab/>
        <w:t>178</w:t>
      </w:r>
      <w:r>
        <w:rPr>
          <w:rFonts w:hint="eastAsia"/>
        </w:rPr>
        <w:tab/>
      </w:r>
      <w:r>
        <w:t>29</w:t>
      </w:r>
    </w:p>
    <w:p w:rsidR="00000000" w:rsidRDefault="00000000">
      <w:pPr>
        <w:pStyle w:val="a9"/>
        <w:ind w:left="1030"/>
      </w:pPr>
      <w:r>
        <w:rPr>
          <w:rFonts w:hint="eastAsia"/>
        </w:rPr>
        <w:t>第</w:t>
      </w:r>
      <w:r>
        <w:rPr>
          <w:rFonts w:hint="eastAsia"/>
        </w:rPr>
        <w:t>8</w:t>
      </w:r>
      <w:r>
        <w:rPr>
          <w:rFonts w:hint="eastAsia"/>
        </w:rPr>
        <w:t>条</w:t>
      </w:r>
      <w:r>
        <w:rPr>
          <w:rFonts w:hint="eastAsia"/>
        </w:rPr>
        <w:t>.......................</w:t>
      </w:r>
      <w:r>
        <w:rPr>
          <w:rFonts w:hint="eastAsia"/>
        </w:rPr>
        <w:tab/>
      </w:r>
      <w:r>
        <w:rPr>
          <w:rFonts w:hint="eastAsia"/>
        </w:rPr>
        <w:tab/>
        <w:t>179</w:t>
      </w:r>
      <w:r>
        <w:rPr>
          <w:rFonts w:hint="eastAsia"/>
        </w:rPr>
        <w:tab/>
        <w:t>-</w:t>
      </w:r>
      <w:r>
        <w:rPr>
          <w:rFonts w:hint="eastAsia"/>
        </w:rPr>
        <w:tab/>
        <w:t>193</w:t>
      </w:r>
      <w:r>
        <w:rPr>
          <w:rFonts w:hint="eastAsia"/>
        </w:rPr>
        <w:tab/>
      </w:r>
      <w:r>
        <w:t>35</w:t>
      </w:r>
    </w:p>
    <w:p w:rsidR="00000000" w:rsidRDefault="00000000">
      <w:pPr>
        <w:pStyle w:val="a9"/>
        <w:ind w:left="1030"/>
      </w:pPr>
      <w:r>
        <w:rPr>
          <w:rFonts w:hint="eastAsia"/>
        </w:rPr>
        <w:t>第</w:t>
      </w:r>
      <w:r>
        <w:rPr>
          <w:rFonts w:hint="eastAsia"/>
        </w:rPr>
        <w:t>9</w:t>
      </w:r>
      <w:r>
        <w:rPr>
          <w:rFonts w:hint="eastAsia"/>
        </w:rPr>
        <w:t>条</w:t>
      </w:r>
      <w:r>
        <w:rPr>
          <w:rFonts w:hint="eastAsia"/>
        </w:rPr>
        <w:t>...........................</w:t>
      </w:r>
      <w:r>
        <w:rPr>
          <w:rFonts w:hint="eastAsia"/>
        </w:rPr>
        <w:tab/>
      </w:r>
      <w:r>
        <w:rPr>
          <w:rFonts w:hint="eastAsia"/>
        </w:rPr>
        <w:tab/>
        <w:t>194</w:t>
      </w:r>
      <w:r>
        <w:rPr>
          <w:rFonts w:hint="eastAsia"/>
        </w:rPr>
        <w:tab/>
        <w:t>-</w:t>
      </w:r>
      <w:r>
        <w:rPr>
          <w:rFonts w:hint="eastAsia"/>
        </w:rPr>
        <w:tab/>
        <w:t>256</w:t>
      </w:r>
      <w:r>
        <w:rPr>
          <w:rFonts w:hint="eastAsia"/>
        </w:rPr>
        <w:tab/>
      </w:r>
      <w:r>
        <w:t>38</w:t>
      </w:r>
    </w:p>
    <w:p w:rsidR="00000000" w:rsidRDefault="00000000">
      <w:pPr>
        <w:pStyle w:val="a9"/>
        <w:ind w:left="1030"/>
      </w:pPr>
      <w:r>
        <w:rPr>
          <w:rFonts w:hint="eastAsia"/>
        </w:rPr>
        <w:t>第</w:t>
      </w:r>
      <w:r>
        <w:rPr>
          <w:rFonts w:hint="eastAsia"/>
        </w:rPr>
        <w:t>10</w:t>
      </w:r>
      <w:r>
        <w:rPr>
          <w:rFonts w:hint="eastAsia"/>
        </w:rPr>
        <w:t>条</w:t>
      </w:r>
      <w:r>
        <w:rPr>
          <w:rFonts w:hint="eastAsia"/>
        </w:rPr>
        <w:t>....................</w:t>
      </w:r>
      <w:r>
        <w:rPr>
          <w:rFonts w:hint="eastAsia"/>
        </w:rPr>
        <w:tab/>
      </w:r>
      <w:r>
        <w:rPr>
          <w:rFonts w:hint="eastAsia"/>
        </w:rPr>
        <w:tab/>
        <w:t>257</w:t>
      </w:r>
      <w:r>
        <w:rPr>
          <w:rFonts w:hint="eastAsia"/>
        </w:rPr>
        <w:tab/>
        <w:t>-</w:t>
      </w:r>
      <w:r>
        <w:rPr>
          <w:rFonts w:hint="eastAsia"/>
        </w:rPr>
        <w:tab/>
        <w:t>306</w:t>
      </w:r>
      <w:r>
        <w:rPr>
          <w:rFonts w:hint="eastAsia"/>
        </w:rPr>
        <w:tab/>
      </w:r>
      <w:r>
        <w:t>51</w:t>
      </w:r>
    </w:p>
    <w:p w:rsidR="00000000" w:rsidRDefault="00000000">
      <w:pPr>
        <w:pStyle w:val="a9"/>
        <w:ind w:left="1030"/>
      </w:pPr>
      <w:r>
        <w:rPr>
          <w:rFonts w:hint="eastAsia"/>
        </w:rPr>
        <w:t>第</w:t>
      </w:r>
      <w:r>
        <w:rPr>
          <w:rFonts w:hint="eastAsia"/>
        </w:rPr>
        <w:t>11</w:t>
      </w:r>
      <w:r>
        <w:rPr>
          <w:rFonts w:hint="eastAsia"/>
        </w:rPr>
        <w:t>条</w:t>
      </w:r>
      <w:r>
        <w:rPr>
          <w:rFonts w:hint="eastAsia"/>
        </w:rPr>
        <w:t>.................................</w:t>
      </w:r>
      <w:r>
        <w:rPr>
          <w:rFonts w:hint="eastAsia"/>
        </w:rPr>
        <w:tab/>
      </w:r>
      <w:r>
        <w:rPr>
          <w:rFonts w:hint="eastAsia"/>
        </w:rPr>
        <w:tab/>
        <w:t>307</w:t>
      </w:r>
      <w:r>
        <w:rPr>
          <w:rFonts w:hint="eastAsia"/>
        </w:rPr>
        <w:tab/>
        <w:t>-</w:t>
      </w:r>
      <w:r>
        <w:rPr>
          <w:rFonts w:hint="eastAsia"/>
        </w:rPr>
        <w:tab/>
        <w:t>373</w:t>
      </w:r>
      <w:r>
        <w:rPr>
          <w:rFonts w:hint="eastAsia"/>
        </w:rPr>
        <w:tab/>
      </w:r>
      <w:r>
        <w:t>60</w:t>
      </w:r>
    </w:p>
    <w:p w:rsidR="00000000" w:rsidRDefault="00000000">
      <w:pPr>
        <w:pStyle w:val="a9"/>
        <w:ind w:left="1030"/>
      </w:pPr>
      <w:r>
        <w:rPr>
          <w:rFonts w:hint="eastAsia"/>
        </w:rPr>
        <w:t>第</w:t>
      </w:r>
      <w:r>
        <w:rPr>
          <w:rFonts w:hint="eastAsia"/>
        </w:rPr>
        <w:t>12</w:t>
      </w:r>
      <w:r>
        <w:rPr>
          <w:rFonts w:hint="eastAsia"/>
        </w:rPr>
        <w:t>条</w:t>
      </w:r>
      <w:r>
        <w:rPr>
          <w:rFonts w:hint="eastAsia"/>
        </w:rPr>
        <w:t>...........................</w:t>
      </w:r>
      <w:r>
        <w:rPr>
          <w:rFonts w:hint="eastAsia"/>
        </w:rPr>
        <w:tab/>
      </w:r>
      <w:r>
        <w:rPr>
          <w:rFonts w:hint="eastAsia"/>
        </w:rPr>
        <w:tab/>
        <w:t>374</w:t>
      </w:r>
      <w:r>
        <w:rPr>
          <w:rFonts w:hint="eastAsia"/>
        </w:rPr>
        <w:tab/>
        <w:t>-</w:t>
      </w:r>
      <w:r>
        <w:rPr>
          <w:rFonts w:hint="eastAsia"/>
        </w:rPr>
        <w:tab/>
        <w:t>519</w:t>
      </w:r>
      <w:r>
        <w:rPr>
          <w:rFonts w:hint="eastAsia"/>
        </w:rPr>
        <w:tab/>
      </w:r>
      <w:r>
        <w:t>73</w:t>
      </w:r>
    </w:p>
    <w:p w:rsidR="00000000" w:rsidRDefault="00000000">
      <w:pPr>
        <w:pStyle w:val="a9"/>
        <w:ind w:left="1030"/>
      </w:pPr>
      <w:r>
        <w:rPr>
          <w:rFonts w:hint="eastAsia"/>
        </w:rPr>
        <w:t>第</w:t>
      </w:r>
      <w:r>
        <w:rPr>
          <w:rFonts w:hint="eastAsia"/>
        </w:rPr>
        <w:t>13</w:t>
      </w:r>
      <w:r>
        <w:rPr>
          <w:rFonts w:hint="eastAsia"/>
        </w:rPr>
        <w:t>条</w:t>
      </w:r>
      <w:r>
        <w:rPr>
          <w:rFonts w:hint="eastAsia"/>
        </w:rPr>
        <w:t>.................................</w:t>
      </w:r>
      <w:r>
        <w:rPr>
          <w:rFonts w:hint="eastAsia"/>
        </w:rPr>
        <w:tab/>
      </w:r>
      <w:r>
        <w:rPr>
          <w:rFonts w:hint="eastAsia"/>
        </w:rPr>
        <w:tab/>
        <w:t>520</w:t>
      </w:r>
      <w:r>
        <w:rPr>
          <w:rFonts w:hint="eastAsia"/>
        </w:rPr>
        <w:tab/>
        <w:t>-</w:t>
      </w:r>
      <w:r>
        <w:rPr>
          <w:rFonts w:hint="eastAsia"/>
        </w:rPr>
        <w:tab/>
        <w:t>626</w:t>
      </w:r>
      <w:r>
        <w:rPr>
          <w:rFonts w:hint="eastAsia"/>
        </w:rPr>
        <w:tab/>
      </w:r>
      <w:r>
        <w:t>109</w:t>
      </w:r>
    </w:p>
    <w:p w:rsidR="00000000" w:rsidRDefault="00000000">
      <w:pPr>
        <w:pStyle w:val="a9"/>
        <w:ind w:left="1030"/>
      </w:pPr>
      <w:r>
        <w:rPr>
          <w:rFonts w:hint="eastAsia"/>
        </w:rPr>
        <w:t>第</w:t>
      </w:r>
      <w:r>
        <w:rPr>
          <w:rFonts w:hint="eastAsia"/>
        </w:rPr>
        <w:t>14</w:t>
      </w:r>
      <w:r>
        <w:rPr>
          <w:rFonts w:hint="eastAsia"/>
        </w:rPr>
        <w:t>条</w:t>
      </w:r>
      <w:r>
        <w:rPr>
          <w:rFonts w:hint="eastAsia"/>
        </w:rPr>
        <w:t>.........................</w:t>
      </w:r>
      <w:r>
        <w:rPr>
          <w:rFonts w:hint="eastAsia"/>
        </w:rPr>
        <w:tab/>
      </w:r>
      <w:r>
        <w:rPr>
          <w:rFonts w:hint="eastAsia"/>
        </w:rPr>
        <w:tab/>
        <w:t>627</w:t>
      </w:r>
      <w:r>
        <w:rPr>
          <w:rFonts w:hint="eastAsia"/>
        </w:rPr>
        <w:tab/>
        <w:t>-</w:t>
      </w:r>
      <w:r>
        <w:rPr>
          <w:rFonts w:hint="eastAsia"/>
        </w:rPr>
        <w:tab/>
        <w:t>628</w:t>
      </w:r>
      <w:r>
        <w:rPr>
          <w:rFonts w:hint="eastAsia"/>
        </w:rPr>
        <w:tab/>
      </w:r>
      <w:r>
        <w:t>128</w:t>
      </w:r>
    </w:p>
    <w:p w:rsidR="00000000" w:rsidRDefault="00000000">
      <w:pPr>
        <w:pStyle w:val="a9"/>
        <w:spacing w:after="240"/>
        <w:ind w:left="1030"/>
      </w:pPr>
      <w:r>
        <w:rPr>
          <w:rFonts w:hint="eastAsia"/>
        </w:rPr>
        <w:t>第</w:t>
      </w:r>
      <w:r>
        <w:rPr>
          <w:rFonts w:hint="eastAsia"/>
        </w:rPr>
        <w:t>15</w:t>
      </w:r>
      <w:r>
        <w:rPr>
          <w:rFonts w:hint="eastAsia"/>
        </w:rPr>
        <w:t>条</w:t>
      </w:r>
      <w:r>
        <w:rPr>
          <w:rFonts w:hint="eastAsia"/>
        </w:rPr>
        <w:t>...................................</w:t>
      </w:r>
      <w:r>
        <w:rPr>
          <w:rFonts w:hint="eastAsia"/>
        </w:rPr>
        <w:tab/>
      </w:r>
      <w:r>
        <w:rPr>
          <w:rFonts w:hint="eastAsia"/>
        </w:rPr>
        <w:tab/>
        <w:t>629</w:t>
      </w:r>
      <w:r>
        <w:rPr>
          <w:rFonts w:hint="eastAsia"/>
        </w:rPr>
        <w:tab/>
        <w:t>-</w:t>
      </w:r>
      <w:r>
        <w:rPr>
          <w:rFonts w:hint="eastAsia"/>
        </w:rPr>
        <w:tab/>
        <w:t>688</w:t>
      </w:r>
      <w:r>
        <w:rPr>
          <w:rFonts w:hint="eastAsia"/>
        </w:rPr>
        <w:tab/>
      </w:r>
      <w:r>
        <w:t>129</w:t>
      </w:r>
    </w:p>
    <w:p w:rsidR="00000000" w:rsidRDefault="00000000">
      <w:pPr>
        <w:pStyle w:val="a9"/>
        <w:spacing w:after="240"/>
        <w:rPr>
          <w:rFonts w:hint="eastAsia"/>
        </w:rPr>
      </w:pPr>
      <w:r>
        <w:rPr>
          <w:rFonts w:hint="eastAsia"/>
        </w:rPr>
        <w:tab/>
      </w:r>
      <w:r>
        <w:rPr>
          <w:rFonts w:hint="eastAsia"/>
        </w:rPr>
        <w:t>附</w:t>
      </w:r>
      <w:r>
        <w:rPr>
          <w:rFonts w:hint="eastAsia"/>
        </w:rPr>
        <w:t xml:space="preserve"> </w:t>
      </w:r>
      <w:r>
        <w:rPr>
          <w:rFonts w:hint="eastAsia"/>
        </w:rPr>
        <w:t>件</w:t>
      </w:r>
      <w:r>
        <w:rPr>
          <w:rFonts w:hint="eastAsia"/>
          <w:spacing w:val="-50"/>
        </w:rPr>
        <w:t>―</w:t>
      </w:r>
      <w:r>
        <w:rPr>
          <w:rFonts w:hint="eastAsia"/>
        </w:rPr>
        <w:t>―表格和图表</w:t>
      </w:r>
      <w:r>
        <w:rPr>
          <w:rFonts w:hint="eastAsia"/>
        </w:rPr>
        <w:t xml:space="preserve"> </w:t>
      </w:r>
      <w:r>
        <w:rPr>
          <w:rStyle w:val="FootnoteReference"/>
          <w:b w:val="0"/>
          <w:bCs/>
          <w:vertAlign w:val="baseline"/>
        </w:rPr>
        <w:footnoteReference w:customMarkFollows="1" w:id="3"/>
        <w:t>*</w:t>
      </w:r>
    </w:p>
    <w:p w:rsidR="00000000" w:rsidRDefault="00000000">
      <w:pPr>
        <w:pStyle w:val="Heading2"/>
        <w:spacing w:after="240"/>
        <w:rPr>
          <w:rFonts w:hint="eastAsia"/>
        </w:rPr>
      </w:pPr>
      <w:r>
        <w:br w:type="page"/>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波斯尼亚和黑塞哥维那通过加入程序于</w:t>
      </w:r>
      <w:r>
        <w:rPr>
          <w:rFonts w:hint="eastAsia"/>
        </w:rPr>
        <w:t>1993</w:t>
      </w:r>
      <w:r>
        <w:rPr>
          <w:rFonts w:hint="eastAsia"/>
        </w:rPr>
        <w:t>年</w:t>
      </w:r>
      <w:r>
        <w:rPr>
          <w:rFonts w:hint="eastAsia"/>
        </w:rPr>
        <w:t>9</w:t>
      </w:r>
      <w:r>
        <w:rPr>
          <w:rFonts w:hint="eastAsia"/>
        </w:rPr>
        <w:t>月</w:t>
      </w:r>
      <w:r>
        <w:rPr>
          <w:rFonts w:hint="eastAsia"/>
        </w:rPr>
        <w:t>1</w:t>
      </w:r>
      <w:r>
        <w:rPr>
          <w:rFonts w:hint="eastAsia"/>
        </w:rPr>
        <w:t>日加入《经济、社会和文化权利国际公约》</w:t>
      </w:r>
      <w:r>
        <w:rPr>
          <w:rFonts w:hint="eastAsia"/>
        </w:rPr>
        <w:t>(</w:t>
      </w:r>
      <w:r>
        <w:rPr>
          <w:rFonts w:hint="eastAsia"/>
        </w:rPr>
        <w:t>波斯尼亚和黑塞哥维那共和国政府公报，</w:t>
      </w:r>
      <w:r>
        <w:rPr>
          <w:rFonts w:hint="eastAsia"/>
        </w:rPr>
        <w:t>25/93)</w:t>
      </w:r>
      <w:r>
        <w:rPr>
          <w:rFonts w:hint="eastAsia"/>
        </w:rPr>
        <w:t>。这具有《波斯尼亚和黑塞哥维那宪法》规定的宪法条款的效力。其关于人权的第</w:t>
      </w:r>
      <w:r>
        <w:rPr>
          <w:rFonts w:hint="eastAsia"/>
        </w:rPr>
        <w:t>2</w:t>
      </w:r>
      <w:r>
        <w:rPr>
          <w:rFonts w:hint="eastAsia"/>
        </w:rPr>
        <w:t>条规定如下：“波斯尼亚和黑塞哥维那及其两个实体将提供最高程度的国际公认的人权和基本自由。为此目的，设立了波斯尼亚和黑塞哥维那人权委员会并在总框架协定附件六中作了规定。”</w:t>
      </w:r>
    </w:p>
    <w:p w:rsidR="00000000" w:rsidRDefault="00000000">
      <w:pPr>
        <w:rPr>
          <w:rFonts w:hint="eastAsia"/>
        </w:rPr>
      </w:pPr>
      <w:r>
        <w:rPr>
          <w:rFonts w:hint="eastAsia"/>
        </w:rPr>
        <w:tab/>
        <w:t xml:space="preserve">2.  </w:t>
      </w:r>
      <w:r>
        <w:rPr>
          <w:rFonts w:hint="eastAsia"/>
        </w:rPr>
        <w:t>本报告是根据经济、社会和文化权利委员会所通过的关于根据《经济、社会和文化权利国际公约》第</w:t>
      </w:r>
      <w:r>
        <w:rPr>
          <w:rFonts w:hint="eastAsia"/>
        </w:rPr>
        <w:t>16</w:t>
      </w:r>
      <w:r>
        <w:rPr>
          <w:rFonts w:hint="eastAsia"/>
        </w:rPr>
        <w:t>和</w:t>
      </w:r>
      <w:r>
        <w:rPr>
          <w:rFonts w:hint="eastAsia"/>
        </w:rPr>
        <w:t>17</w:t>
      </w:r>
      <w:r>
        <w:rPr>
          <w:rFonts w:hint="eastAsia"/>
        </w:rPr>
        <w:t>条提交报告的形式和内容的经修订的总指导原则</w:t>
      </w:r>
      <w:r>
        <w:rPr>
          <w:rFonts w:hint="eastAsia"/>
        </w:rPr>
        <w:t>(E/C.12/991/1/1)</w:t>
      </w:r>
      <w:r>
        <w:rPr>
          <w:rFonts w:hint="eastAsia"/>
        </w:rPr>
        <w:t>编写的。</w:t>
      </w:r>
    </w:p>
    <w:p w:rsidR="00000000" w:rsidRDefault="00000000">
      <w:pPr>
        <w:rPr>
          <w:rFonts w:hint="eastAsia"/>
        </w:rPr>
      </w:pPr>
      <w:r>
        <w:rPr>
          <w:rFonts w:hint="eastAsia"/>
        </w:rPr>
        <w:tab/>
        <w:t xml:space="preserve">3.  </w:t>
      </w:r>
      <w:r>
        <w:rPr>
          <w:rFonts w:hint="eastAsia"/>
        </w:rPr>
        <w:t>报告回顾了根据《公约》具体条款所作承诺的履行情况。关于波斯尼亚和黑塞哥维那的政治结构和法律系统的设计安排情况应参考波斯尼亚和黑塞哥维那的“核心文件”</w:t>
      </w:r>
      <w:r>
        <w:rPr>
          <w:rFonts w:hint="eastAsia"/>
        </w:rPr>
        <w:t>(HRI/CORE/1/</w:t>
      </w:r>
      <w:r>
        <w:t>Add.89/Rev.1</w:t>
      </w:r>
      <w:r>
        <w:rPr>
          <w:rFonts w:hint="eastAsia"/>
        </w:rPr>
        <w:t>)</w:t>
      </w:r>
      <w:r>
        <w:rPr>
          <w:rFonts w:hint="eastAsia"/>
        </w:rPr>
        <w:t>。</w:t>
      </w:r>
    </w:p>
    <w:p w:rsidR="00000000" w:rsidRDefault="00000000">
      <w:pPr>
        <w:rPr>
          <w:rFonts w:hint="eastAsia"/>
          <w:lang w:val="en-GB"/>
        </w:rPr>
      </w:pPr>
      <w:r>
        <w:rPr>
          <w:rFonts w:hint="eastAsia"/>
        </w:rPr>
        <w:tab/>
        <w:t xml:space="preserve">4.  </w:t>
      </w:r>
      <w:r>
        <w:rPr>
          <w:rFonts w:hint="eastAsia"/>
        </w:rPr>
        <w:t>报告首先阐述了波斯尼亚和黑塞哥维那作为欧洲理事会的成员和若干国际文书的签署国所承担的主要义务，其依据是以下国家一级部委和其他机构所收集的指标：人权和难民事务部、司法部、内务部、对外贸易和经济关系部、外交部、波斯尼亚和黑塞哥维那统计署、波斯尼亚和黑塞哥维那标准、度量衡和知识产权研究所，以及主管实体部委，包括：波斯尼亚和黑塞哥维那联邦、</w:t>
      </w:r>
      <w:r>
        <w:rPr>
          <w:rFonts w:hint="eastAsia"/>
          <w:lang w:val="en-GB"/>
        </w:rPr>
        <w:t>塞族共和国和布尔奇科区，以及实体统计局。</w:t>
      </w:r>
    </w:p>
    <w:p w:rsidR="00000000" w:rsidRDefault="00000000">
      <w:pPr>
        <w:rPr>
          <w:rFonts w:hint="eastAsia"/>
          <w:lang w:val="en-GB"/>
        </w:rPr>
      </w:pPr>
      <w:r>
        <w:rPr>
          <w:rFonts w:hint="eastAsia"/>
          <w:lang w:val="en-GB"/>
        </w:rPr>
        <w:tab/>
        <w:t xml:space="preserve">5.  </w:t>
      </w:r>
      <w:r>
        <w:rPr>
          <w:rFonts w:hint="eastAsia"/>
          <w:lang w:val="en-GB"/>
        </w:rPr>
        <w:t>非政府组织、学术机构和比较更直接处理相关问题的专家提供了补充资料。关于</w:t>
      </w:r>
      <w:r>
        <w:rPr>
          <w:rFonts w:hint="eastAsia"/>
          <w:lang w:val="en-GB"/>
        </w:rPr>
        <w:t>1992-1995</w:t>
      </w:r>
      <w:r>
        <w:rPr>
          <w:rFonts w:hint="eastAsia"/>
          <w:lang w:val="en-GB"/>
        </w:rPr>
        <w:t>年部分，这一时期是战争时期，报告中没有提供实质性的数据。</w:t>
      </w:r>
    </w:p>
    <w:p w:rsidR="00000000" w:rsidRDefault="00000000">
      <w:pPr>
        <w:rPr>
          <w:rFonts w:hint="eastAsia"/>
          <w:lang w:val="en-GB"/>
        </w:rPr>
      </w:pPr>
      <w:r>
        <w:rPr>
          <w:rFonts w:hint="eastAsia"/>
          <w:lang w:val="en-GB"/>
        </w:rPr>
        <w:tab/>
        <w:t xml:space="preserve">6.  </w:t>
      </w:r>
      <w:r>
        <w:rPr>
          <w:rFonts w:hint="eastAsia"/>
          <w:lang w:val="en-GB"/>
        </w:rPr>
        <w:t>《公约》的核心理念正是报告的主题：人权理念只有在每一个人都能享受其经济、社会和文化权利以及公民和政治权利的条件下才能得以实现。报告是根据几个专题编写的，因为在一个成员国，《公约》的条款是不能分别加以审议的，而是在经济、社会政策、科学发展、艺术和文化领域中相互交织的问题。它包括了《公民和政治权利国际公约》、《消除对妇女一切形式歧视国际公约》、《儿童权利公约》、《消除一切形式种族歧视国际公约》、《关于工人及其家属的权利公约》以及类似的公约所处理的问题。</w:t>
      </w:r>
    </w:p>
    <w:p w:rsidR="00000000" w:rsidRDefault="00000000">
      <w:pPr>
        <w:rPr>
          <w:rFonts w:hint="eastAsia"/>
          <w:lang w:val="en-GB"/>
        </w:rPr>
      </w:pPr>
      <w:r>
        <w:rPr>
          <w:rFonts w:hint="eastAsia"/>
          <w:lang w:val="en-GB"/>
        </w:rPr>
        <w:tab/>
        <w:t xml:space="preserve">7.  </w:t>
      </w:r>
      <w:r>
        <w:rPr>
          <w:rFonts w:hint="eastAsia"/>
          <w:lang w:val="en-GB"/>
        </w:rPr>
        <w:t>在报告中一个基本要点是：根据《公约》所承担的义务在国家范围内适用，其基本内容应以透明的方式体现在根据《公约》在国际论坛上所作的承诺之中。</w:t>
      </w:r>
    </w:p>
    <w:p w:rsidR="00000000" w:rsidRDefault="00000000">
      <w:pPr>
        <w:rPr>
          <w:rFonts w:hint="eastAsia"/>
          <w:lang w:val="en-GB"/>
        </w:rPr>
      </w:pPr>
      <w:r>
        <w:rPr>
          <w:rFonts w:hint="eastAsia"/>
          <w:lang w:val="en-GB"/>
        </w:rPr>
        <w:tab/>
        <w:t xml:space="preserve">8.  </w:t>
      </w:r>
      <w:r>
        <w:rPr>
          <w:rFonts w:hint="eastAsia"/>
          <w:lang w:val="en-GB"/>
        </w:rPr>
        <w:t>人权和难民事务部在准备报告的内容时遇到了某些困难，主要是在数据的编纂方面由于国家的术语复杂以及没有一个单一的数据库所造成的。甚至基本的资料，尤其是统计数据不足，再加上最后一次人口普查是远在</w:t>
      </w:r>
      <w:r>
        <w:rPr>
          <w:rFonts w:hint="eastAsia"/>
          <w:lang w:val="en-GB"/>
        </w:rPr>
        <w:t>1991</w:t>
      </w:r>
      <w:r>
        <w:rPr>
          <w:rFonts w:hint="eastAsia"/>
          <w:lang w:val="en-GB"/>
        </w:rPr>
        <w:t>年进行的，而从那时以来人口有了很大的变化。本国缺少大量的物质资源无法开展这类报告所要求的广泛的活动。</w:t>
      </w:r>
    </w:p>
    <w:p w:rsidR="00000000" w:rsidRDefault="00000000">
      <w:pPr>
        <w:spacing w:after="320"/>
        <w:rPr>
          <w:rFonts w:hint="eastAsia"/>
        </w:rPr>
      </w:pPr>
      <w:r>
        <w:rPr>
          <w:rFonts w:hint="eastAsia"/>
          <w:lang w:val="en-GB"/>
        </w:rPr>
        <w:tab/>
        <w:t xml:space="preserve">9.  </w:t>
      </w:r>
      <w:r>
        <w:rPr>
          <w:rFonts w:hint="eastAsia"/>
          <w:lang w:val="en-GB"/>
        </w:rPr>
        <w:t>尽管有许多困难，</w:t>
      </w:r>
      <w:r>
        <w:rPr>
          <w:rFonts w:hint="eastAsia"/>
        </w:rPr>
        <w:t>波斯尼亚和黑塞哥维那仍作出了巨大的努力就遵守波斯尼亚和黑塞哥维那根据《公约》必须履行的承诺问题提供了具体明确的答复，没有修改事实，而是按照《公约》所有签署国所要求的标准，既从有利的角度也从不利的角度真实地反映了本国的情况。</w:t>
      </w:r>
    </w:p>
    <w:p w:rsidR="00000000" w:rsidRDefault="00000000">
      <w:pPr>
        <w:pStyle w:val="Heading3"/>
        <w:spacing w:after="240"/>
        <w:rPr>
          <w:rFonts w:ascii="Time New Roman" w:eastAsia="SimHei" w:hAnsi="Time New Roman" w:hint="eastAsia"/>
          <w:u w:val="none"/>
          <w:lang w:val="en-GB"/>
        </w:rPr>
      </w:pPr>
      <w:r>
        <w:rPr>
          <w:rFonts w:ascii="Time New Roman" w:eastAsia="SimHei" w:hAnsi="Time New Roman" w:hint="eastAsia"/>
          <w:u w:val="none"/>
          <w:lang w:val="en-GB"/>
        </w:rPr>
        <w:t>第</w:t>
      </w:r>
      <w:r>
        <w:rPr>
          <w:rFonts w:ascii="Time New Roman" w:eastAsia="SimHei" w:hAnsi="Time New Roman" w:hint="eastAsia"/>
          <w:u w:val="none"/>
          <w:lang w:val="en-GB"/>
        </w:rPr>
        <w:t xml:space="preserve"> 1 </w:t>
      </w:r>
      <w:r>
        <w:rPr>
          <w:rFonts w:ascii="Time New Roman" w:eastAsia="SimHei" w:hAnsi="Time New Roman" w:hint="eastAsia"/>
          <w:u w:val="none"/>
          <w:lang w:val="en-GB"/>
        </w:rPr>
        <w:t>条</w:t>
      </w:r>
    </w:p>
    <w:p w:rsidR="00000000" w:rsidRDefault="00000000">
      <w:pPr>
        <w:pStyle w:val="Heading4"/>
        <w:rPr>
          <w:rFonts w:hint="eastAsia"/>
          <w:lang w:val="en-GB"/>
        </w:rPr>
      </w:pPr>
      <w:r>
        <w:rPr>
          <w:rFonts w:hint="eastAsia"/>
          <w:lang w:val="en-GB"/>
        </w:rPr>
        <w:t>自</w:t>
      </w:r>
      <w:r>
        <w:rPr>
          <w:lang w:val="en-GB"/>
        </w:rPr>
        <w:t xml:space="preserve"> </w:t>
      </w:r>
      <w:r>
        <w:rPr>
          <w:rFonts w:hint="eastAsia"/>
          <w:lang w:val="en-GB"/>
        </w:rPr>
        <w:t>决</w:t>
      </w:r>
      <w:r>
        <w:rPr>
          <w:lang w:val="en-GB"/>
        </w:rPr>
        <w:t xml:space="preserve"> </w:t>
      </w:r>
      <w:r>
        <w:rPr>
          <w:rFonts w:hint="eastAsia"/>
          <w:lang w:val="en-GB"/>
        </w:rPr>
        <w:t>权</w:t>
      </w:r>
    </w:p>
    <w:p w:rsidR="00000000" w:rsidRDefault="00000000">
      <w:pPr>
        <w:rPr>
          <w:rFonts w:hint="eastAsia"/>
          <w:lang w:val="en-GB"/>
        </w:rPr>
      </w:pPr>
      <w:r>
        <w:rPr>
          <w:rFonts w:hint="eastAsia"/>
          <w:lang w:val="en-GB"/>
        </w:rPr>
        <w:tab/>
        <w:t>10</w:t>
      </w:r>
      <w:r>
        <w:rPr>
          <w:lang w:val="en-GB"/>
        </w:rPr>
        <w:t>.</w:t>
      </w:r>
      <w:r>
        <w:rPr>
          <w:rFonts w:hint="eastAsia"/>
          <w:lang w:val="en-GB"/>
        </w:rPr>
        <w:t xml:space="preserve">  </w:t>
      </w:r>
      <w:r>
        <w:rPr>
          <w:rFonts w:hint="eastAsia"/>
          <w:lang w:val="en-GB"/>
        </w:rPr>
        <w:t>根据</w:t>
      </w:r>
      <w:r>
        <w:rPr>
          <w:rFonts w:hint="eastAsia"/>
          <w:lang w:val="en-GB"/>
        </w:rPr>
        <w:t>1995</w:t>
      </w:r>
      <w:r>
        <w:rPr>
          <w:rFonts w:hint="eastAsia"/>
          <w:lang w:val="en-GB"/>
        </w:rPr>
        <w:t>年</w:t>
      </w:r>
      <w:r>
        <w:rPr>
          <w:rFonts w:hint="eastAsia"/>
          <w:lang w:val="en-GB"/>
        </w:rPr>
        <w:t>12</w:t>
      </w:r>
      <w:r>
        <w:rPr>
          <w:rFonts w:hint="eastAsia"/>
          <w:lang w:val="en-GB"/>
        </w:rPr>
        <w:t>月</w:t>
      </w:r>
      <w:r>
        <w:rPr>
          <w:rFonts w:hint="eastAsia"/>
          <w:lang w:val="en-GB"/>
        </w:rPr>
        <w:t>14</w:t>
      </w:r>
      <w:r>
        <w:rPr>
          <w:rFonts w:hint="eastAsia"/>
          <w:lang w:val="en-GB"/>
        </w:rPr>
        <w:t>日在巴黎签署的《</w:t>
      </w:r>
      <w:r>
        <w:rPr>
          <w:rFonts w:hint="eastAsia"/>
          <w:lang w:val="en-GB"/>
        </w:rPr>
        <w:t>1995</w:t>
      </w:r>
      <w:r>
        <w:rPr>
          <w:rFonts w:hint="eastAsia"/>
          <w:lang w:val="en-GB"/>
        </w:rPr>
        <w:t>年</w:t>
      </w:r>
      <w:r>
        <w:rPr>
          <w:rFonts w:hint="eastAsia"/>
        </w:rPr>
        <w:t>波斯尼亚和黑塞哥维那和平总框架协议》</w:t>
      </w:r>
      <w:r>
        <w:rPr>
          <w:rFonts w:hint="eastAsia"/>
        </w:rPr>
        <w:t>(</w:t>
      </w:r>
      <w:r>
        <w:rPr>
          <w:rFonts w:hint="eastAsia"/>
        </w:rPr>
        <w:t>代顿和平协议</w:t>
      </w:r>
      <w:r>
        <w:rPr>
          <w:rFonts w:hint="eastAsia"/>
        </w:rPr>
        <w:t>)</w:t>
      </w:r>
      <w:r>
        <w:rPr>
          <w:rFonts w:hint="eastAsia"/>
        </w:rPr>
        <w:t>，波斯尼亚和黑塞哥维那自</w:t>
      </w:r>
      <w:r>
        <w:rPr>
          <w:rFonts w:hint="eastAsia"/>
        </w:rPr>
        <w:t>1992</w:t>
      </w:r>
      <w:r>
        <w:rPr>
          <w:rFonts w:hint="eastAsia"/>
        </w:rPr>
        <w:t>年</w:t>
      </w:r>
      <w:r>
        <w:rPr>
          <w:rFonts w:hint="eastAsia"/>
        </w:rPr>
        <w:t>4</w:t>
      </w:r>
      <w:r>
        <w:rPr>
          <w:rFonts w:hint="eastAsia"/>
        </w:rPr>
        <w:t>月</w:t>
      </w:r>
      <w:r>
        <w:rPr>
          <w:rFonts w:hint="eastAsia"/>
        </w:rPr>
        <w:t>6</w:t>
      </w:r>
      <w:r>
        <w:rPr>
          <w:rFonts w:hint="eastAsia"/>
        </w:rPr>
        <w:t>日以来是一个国际上承认的国家。波斯尼亚和黑塞哥维那是一个复杂的民主国家，由两个实体组成</w:t>
      </w:r>
      <w:r>
        <w:rPr>
          <w:rFonts w:hint="eastAsia"/>
          <w:spacing w:val="-50"/>
        </w:rPr>
        <w:t>―</w:t>
      </w:r>
      <w:r>
        <w:rPr>
          <w:rFonts w:hint="eastAsia"/>
        </w:rPr>
        <w:t>―</w:t>
      </w:r>
      <w:r>
        <w:rPr>
          <w:rFonts w:hint="eastAsia"/>
          <w:lang w:val="en-GB"/>
        </w:rPr>
        <w:t>塞族共和国和</w:t>
      </w:r>
      <w:r>
        <w:rPr>
          <w:rFonts w:hint="eastAsia"/>
        </w:rPr>
        <w:t>波斯尼亚和黑塞哥维那联邦。随后，仲裁裁定书又设立了波斯尼亚和黑塞哥维那</w:t>
      </w:r>
      <w:r>
        <w:rPr>
          <w:rFonts w:hint="eastAsia"/>
          <w:lang w:val="en-GB"/>
        </w:rPr>
        <w:t>布尔奇科区。上述文件规定了</w:t>
      </w:r>
      <w:r>
        <w:rPr>
          <w:rFonts w:hint="eastAsia"/>
        </w:rPr>
        <w:t>波斯尼亚和黑塞哥维那国家、其实体和</w:t>
      </w:r>
      <w:r>
        <w:rPr>
          <w:rFonts w:hint="eastAsia"/>
          <w:lang w:val="en-GB"/>
        </w:rPr>
        <w:t>布尔奇科区的权限范围。</w:t>
      </w:r>
    </w:p>
    <w:p w:rsidR="00000000" w:rsidRDefault="00000000">
      <w:pPr>
        <w:rPr>
          <w:rFonts w:hint="eastAsia"/>
        </w:rPr>
      </w:pPr>
      <w:r>
        <w:rPr>
          <w:rFonts w:hint="eastAsia"/>
          <w:lang w:val="en-GB"/>
        </w:rPr>
        <w:tab/>
        <w:t xml:space="preserve">11.  </w:t>
      </w:r>
      <w:r>
        <w:rPr>
          <w:rFonts w:hint="eastAsia"/>
        </w:rPr>
        <w:t>波斯尼亚和黑塞哥维那的宪法包括具有宪法规定效力的国际公约，自决权的问题可以如核心文件中所详细说明的那样，通过《代顿和平协议》所规定的国家结构和限定的解决办法加以审议。</w:t>
      </w:r>
    </w:p>
    <w:p w:rsidR="00000000" w:rsidRDefault="00000000">
      <w:pPr>
        <w:rPr>
          <w:rFonts w:hint="eastAsia"/>
        </w:rPr>
      </w:pPr>
      <w:r>
        <w:rPr>
          <w:rFonts w:hint="eastAsia"/>
        </w:rPr>
        <w:tab/>
        <w:t xml:space="preserve">12.  </w:t>
      </w:r>
      <w:r>
        <w:rPr>
          <w:rFonts w:hint="eastAsia"/>
        </w:rPr>
        <w:t>波斯尼亚和黑塞哥维那宪法保证波斯尼亚和黑塞哥维那所有民族的平等代表权；这一点最近与宪法法院关于波斯尼亚和黑塞哥维那所有民族的合法性的决定取得了一致，实体宪法规定了波斯尼亚和黑塞哥维那所有民族</w:t>
      </w:r>
      <w:r>
        <w:rPr>
          <w:rFonts w:hint="eastAsia"/>
          <w:spacing w:val="-50"/>
        </w:rPr>
        <w:t>―</w:t>
      </w:r>
      <w:r>
        <w:rPr>
          <w:rFonts w:hint="eastAsia"/>
        </w:rPr>
        <w:t>―波斯尼亚人、塞尔维亚人、克罗地亚人、以及所有其他民族</w:t>
      </w:r>
      <w:r>
        <w:rPr>
          <w:rFonts w:hint="eastAsia"/>
          <w:spacing w:val="-50"/>
        </w:rPr>
        <w:t>―</w:t>
      </w:r>
      <w:r>
        <w:rPr>
          <w:rFonts w:hint="eastAsia"/>
        </w:rPr>
        <w:t>―的平等代表权的机制，可以在波斯尼亚和黑塞哥维那各地平等地生活和工作，不受任何形式的歧视。</w:t>
      </w:r>
    </w:p>
    <w:p w:rsidR="00000000" w:rsidRDefault="00000000">
      <w:pPr>
        <w:rPr>
          <w:rFonts w:hint="eastAsia"/>
        </w:rPr>
      </w:pPr>
      <w:r>
        <w:rPr>
          <w:rFonts w:hint="eastAsia"/>
        </w:rPr>
        <w:tab/>
        <w:t xml:space="preserve">13.  </w:t>
      </w:r>
      <w:r>
        <w:rPr>
          <w:rFonts w:hint="eastAsia"/>
        </w:rPr>
        <w:t>就《代顿和平协议》和波斯尼亚和黑塞哥维那的宪法结构而言，自决权是有限度的。这里，我们指的是波斯尼亚和黑塞哥维那高级代表办事处的作用，尤其是关于经济转型和国家资产私有化、颁布法律等等方面。</w:t>
      </w:r>
    </w:p>
    <w:p w:rsidR="00000000" w:rsidRDefault="00000000">
      <w:pPr>
        <w:rPr>
          <w:rFonts w:hint="eastAsia"/>
        </w:rPr>
      </w:pPr>
      <w:r>
        <w:rPr>
          <w:rFonts w:hint="eastAsia"/>
        </w:rPr>
        <w:tab/>
        <w:t xml:space="preserve">14.  </w:t>
      </w:r>
      <w:r>
        <w:rPr>
          <w:rFonts w:hint="eastAsia"/>
        </w:rPr>
        <w:t>关于保护自决权，波斯尼亚和黑塞哥维那各族人民可以通过行使各族人民在所有波斯尼亚和黑塞哥维那以及各实体一级的当局和机关有充分代表性的权利来实现保护国家根本利益权。国家根本利益在以下框架内受到保护：教育、宗教、语言、文化、传统、财产、文化遗产、领土组织、新闻、宣布属于某个少数民族、政治信仰和其他领域。</w:t>
      </w:r>
    </w:p>
    <w:p w:rsidR="00000000" w:rsidRDefault="00000000">
      <w:pPr>
        <w:rPr>
          <w:rFonts w:hint="eastAsia"/>
        </w:rPr>
      </w:pPr>
      <w:r>
        <w:rPr>
          <w:rFonts w:hint="eastAsia"/>
        </w:rPr>
        <w:tab/>
        <w:t xml:space="preserve">15.  </w:t>
      </w:r>
      <w:r>
        <w:rPr>
          <w:rFonts w:hint="eastAsia"/>
        </w:rPr>
        <w:t>宪法规定了波斯尼亚和黑塞哥维那的组织和职能以及波斯尼亚和黑塞哥维那国家机构与实体之间的关系。波斯尼亚和黑塞哥维那宪法修正案以及实体修正案的通过第一次为选区民族和少数民族的代表提供了机会，使他们能被选入代表性的机构中去。这样，除其他外，体现了选区各族人民和少数民族的根本民族利益。</w:t>
      </w:r>
    </w:p>
    <w:p w:rsidR="00000000" w:rsidRDefault="00000000">
      <w:pPr>
        <w:rPr>
          <w:rFonts w:hint="eastAsia"/>
        </w:rPr>
      </w:pPr>
      <w:r>
        <w:rPr>
          <w:rFonts w:hint="eastAsia"/>
        </w:rPr>
        <w:tab/>
        <w:t xml:space="preserve">16.  </w:t>
      </w:r>
      <w:r>
        <w:rPr>
          <w:rFonts w:hint="eastAsia"/>
        </w:rPr>
        <w:t>第</w:t>
      </w:r>
      <w:r>
        <w:rPr>
          <w:rFonts w:hint="eastAsia"/>
        </w:rPr>
        <w:t>35</w:t>
      </w:r>
      <w:r>
        <w:rPr>
          <w:rFonts w:hint="eastAsia"/>
        </w:rPr>
        <w:t>号修正案规定：“选区各族人民的根本民族利益的定义如下：</w:t>
      </w:r>
    </w:p>
    <w:p w:rsidR="00000000" w:rsidRDefault="00000000">
      <w:pPr>
        <w:pStyle w:val="a0"/>
        <w:tabs>
          <w:tab w:val="num" w:pos="510"/>
        </w:tabs>
        <w:ind w:left="1550"/>
        <w:rPr>
          <w:rFonts w:hint="eastAsia"/>
          <w:lang w:val="en-GB"/>
        </w:rPr>
      </w:pPr>
      <w:r>
        <w:rPr>
          <w:rFonts w:hint="eastAsia"/>
          <w:lang w:val="en-GB"/>
        </w:rPr>
        <w:t>行使</w:t>
      </w:r>
      <w:r>
        <w:rPr>
          <w:rFonts w:hint="eastAsia"/>
        </w:rPr>
        <w:t>选区</w:t>
      </w:r>
      <w:r>
        <w:rPr>
          <w:rFonts w:hint="eastAsia"/>
          <w:lang w:val="en-GB"/>
        </w:rPr>
        <w:t>各族人民在立法、司法和行政机关中有充分代表性的权利；</w:t>
      </w:r>
    </w:p>
    <w:p w:rsidR="00000000" w:rsidRDefault="00000000">
      <w:pPr>
        <w:pStyle w:val="a0"/>
        <w:tabs>
          <w:tab w:val="num" w:pos="510"/>
        </w:tabs>
        <w:ind w:left="1550"/>
        <w:rPr>
          <w:rFonts w:hint="eastAsia"/>
          <w:lang w:val="en-GB"/>
        </w:rPr>
      </w:pPr>
      <w:r>
        <w:rPr>
          <w:rFonts w:hint="eastAsia"/>
          <w:lang w:val="en-GB"/>
        </w:rPr>
        <w:t>确定公共当局的结构；</w:t>
      </w:r>
    </w:p>
    <w:p w:rsidR="00000000" w:rsidRDefault="00000000">
      <w:pPr>
        <w:pStyle w:val="a0"/>
        <w:tabs>
          <w:tab w:val="num" w:pos="510"/>
        </w:tabs>
        <w:ind w:left="1550"/>
        <w:rPr>
          <w:rFonts w:hint="eastAsia"/>
          <w:lang w:val="en-GB"/>
        </w:rPr>
      </w:pPr>
      <w:r>
        <w:rPr>
          <w:rFonts w:hint="eastAsia"/>
        </w:rPr>
        <w:t>选区</w:t>
      </w:r>
      <w:r>
        <w:rPr>
          <w:rFonts w:hint="eastAsia"/>
          <w:lang w:val="en-GB"/>
        </w:rPr>
        <w:t>各族人民在决策中的平等权利；</w:t>
      </w:r>
    </w:p>
    <w:p w:rsidR="00000000" w:rsidRDefault="00000000">
      <w:pPr>
        <w:pStyle w:val="a0"/>
        <w:tabs>
          <w:tab w:val="num" w:pos="510"/>
        </w:tabs>
        <w:ind w:left="1550"/>
        <w:rPr>
          <w:rFonts w:hint="eastAsia"/>
          <w:lang w:val="en-GB"/>
        </w:rPr>
      </w:pPr>
      <w:r>
        <w:rPr>
          <w:rFonts w:hint="eastAsia"/>
          <w:lang w:val="en-GB"/>
        </w:rPr>
        <w:t>教育、宗教、语言、珍惜</w:t>
      </w:r>
      <w:r>
        <w:rPr>
          <w:rFonts w:hint="eastAsia"/>
        </w:rPr>
        <w:t>文化、传统和文化遗产；</w:t>
      </w:r>
    </w:p>
    <w:p w:rsidR="00000000" w:rsidRDefault="00000000">
      <w:pPr>
        <w:pStyle w:val="a0"/>
        <w:tabs>
          <w:tab w:val="num" w:pos="510"/>
        </w:tabs>
        <w:ind w:left="1550"/>
        <w:rPr>
          <w:rFonts w:hint="eastAsia"/>
          <w:lang w:val="en-GB"/>
        </w:rPr>
      </w:pPr>
      <w:r>
        <w:rPr>
          <w:rFonts w:hint="eastAsia"/>
          <w:lang w:val="en-GB"/>
        </w:rPr>
        <w:t>领土组织；</w:t>
      </w:r>
    </w:p>
    <w:p w:rsidR="00000000" w:rsidRDefault="00000000">
      <w:pPr>
        <w:pStyle w:val="a0"/>
        <w:tabs>
          <w:tab w:val="num" w:pos="510"/>
        </w:tabs>
        <w:ind w:left="1550"/>
        <w:rPr>
          <w:rFonts w:hint="eastAsia"/>
          <w:lang w:val="en-GB"/>
        </w:rPr>
      </w:pPr>
      <w:r>
        <w:rPr>
          <w:rFonts w:hint="eastAsia"/>
          <w:lang w:val="en-GB"/>
        </w:rPr>
        <w:t>将公共信息系统和其他问题作为根本民族利益的问题处理，如果这是</w:t>
      </w:r>
      <w:r>
        <w:rPr>
          <w:rFonts w:hint="eastAsia"/>
        </w:rPr>
        <w:t>选区</w:t>
      </w:r>
      <w:r>
        <w:rPr>
          <w:rFonts w:hint="eastAsia"/>
          <w:lang w:val="en-GB"/>
        </w:rPr>
        <w:t>各族人民在民族院中代表团体中三分之二代表的意见的话。</w:t>
      </w:r>
    </w:p>
    <w:p w:rsidR="00000000" w:rsidRDefault="00000000">
      <w:pPr>
        <w:rPr>
          <w:rFonts w:hint="eastAsia"/>
          <w:lang w:val="en-GB"/>
        </w:rPr>
      </w:pPr>
      <w:r>
        <w:rPr>
          <w:rFonts w:hint="eastAsia"/>
          <w:lang w:val="en-GB"/>
        </w:rPr>
        <w:tab/>
        <w:t xml:space="preserve">17.  </w:t>
      </w:r>
      <w:r>
        <w:rPr>
          <w:rFonts w:hint="eastAsia"/>
          <w:lang w:val="en-GB"/>
        </w:rPr>
        <w:t>需要指出的是，宪法条款在实际生活中并没有得到令人满意的执行。实体宪法的修正案还没有执行，因为根据</w:t>
      </w:r>
      <w:r>
        <w:rPr>
          <w:rFonts w:hint="eastAsia"/>
          <w:lang w:val="en-GB"/>
        </w:rPr>
        <w:t>1991</w:t>
      </w:r>
      <w:r>
        <w:rPr>
          <w:rFonts w:hint="eastAsia"/>
          <w:lang w:val="en-GB"/>
        </w:rPr>
        <w:t>年的人口普查结果，</w:t>
      </w:r>
      <w:r>
        <w:rPr>
          <w:rFonts w:hint="eastAsia"/>
        </w:rPr>
        <w:t>选区</w:t>
      </w:r>
      <w:r>
        <w:rPr>
          <w:rFonts w:hint="eastAsia"/>
          <w:lang w:val="en-GB"/>
        </w:rPr>
        <w:t>各族人民的代表，尤其是少数民族的代表在一系列的当局</w:t>
      </w:r>
      <w:r>
        <w:rPr>
          <w:rFonts w:hint="eastAsia"/>
          <w:lang w:val="en-GB"/>
        </w:rPr>
        <w:t>(</w:t>
      </w:r>
      <w:r>
        <w:rPr>
          <w:rFonts w:hint="eastAsia"/>
          <w:lang w:val="en-GB"/>
        </w:rPr>
        <w:t>市政府，州政府</w:t>
      </w:r>
      <w:r>
        <w:rPr>
          <w:rFonts w:hint="eastAsia"/>
          <w:lang w:val="en-GB"/>
        </w:rPr>
        <w:t>)</w:t>
      </w:r>
      <w:r>
        <w:rPr>
          <w:rFonts w:hint="eastAsia"/>
          <w:lang w:val="en-GB"/>
        </w:rPr>
        <w:t>中的代表性并没有达到相应的比例，要做到这一点必须要全面落实代顿协定的附件七。这是一个要逐步实现的明文公布的目标。</w:t>
      </w:r>
    </w:p>
    <w:p w:rsidR="00000000" w:rsidRDefault="00000000">
      <w:pPr>
        <w:rPr>
          <w:rFonts w:hint="eastAsia"/>
        </w:rPr>
      </w:pPr>
      <w:r>
        <w:rPr>
          <w:rFonts w:hint="eastAsia"/>
          <w:lang w:val="en-GB"/>
        </w:rPr>
        <w:tab/>
        <w:t xml:space="preserve">18.  </w:t>
      </w:r>
      <w:r>
        <w:rPr>
          <w:rFonts w:hint="eastAsia"/>
        </w:rPr>
        <w:t>波斯尼亚和黑塞哥维那在农业、森林、水供应设施和其他领域中支配了相当大数量的自然资源。宪法规定各族人民可以自由支配天然财富资源。</w:t>
      </w:r>
    </w:p>
    <w:p w:rsidR="00000000" w:rsidRDefault="00000000">
      <w:pPr>
        <w:rPr>
          <w:rFonts w:hint="eastAsia"/>
        </w:rPr>
      </w:pPr>
      <w:r>
        <w:rPr>
          <w:rFonts w:hint="eastAsia"/>
        </w:rPr>
        <w:tab/>
        <w:t xml:space="preserve">19.  </w:t>
      </w:r>
      <w:r>
        <w:rPr>
          <w:rFonts w:hint="eastAsia"/>
        </w:rPr>
        <w:t>波斯尼亚和黑塞哥维那过去在经济社会组织各个领域不适当的大量开发已经引起了严重的环保问题。这指的是在战争期间，在动乱的条件下生物多样性和大气层受到了破坏。这一趋势在战后阶段仍在继续，经济转型和无原则的私营化进程迅猛，在自然和其他文化价值观的地位和保护方面提出了许多突出的悬而未决的问题。</w:t>
      </w:r>
    </w:p>
    <w:p w:rsidR="00000000" w:rsidRDefault="00000000">
      <w:pPr>
        <w:rPr>
          <w:rFonts w:hint="eastAsia"/>
        </w:rPr>
      </w:pPr>
      <w:r>
        <w:rPr>
          <w:rFonts w:hint="eastAsia"/>
        </w:rPr>
        <w:tab/>
        <w:t xml:space="preserve">20.  </w:t>
      </w:r>
      <w:r>
        <w:rPr>
          <w:rFonts w:hint="eastAsia"/>
        </w:rPr>
        <w:t>各种风险，即最经常的是对于波斯尼亚和黑塞哥维那的生物和地理多样性的局部的和全面的威胁，包括：</w:t>
      </w:r>
    </w:p>
    <w:p w:rsidR="00000000" w:rsidRDefault="00000000">
      <w:pPr>
        <w:pStyle w:val="a0"/>
        <w:tabs>
          <w:tab w:val="num" w:pos="510"/>
        </w:tabs>
        <w:ind w:left="1550"/>
        <w:rPr>
          <w:rFonts w:hint="eastAsia"/>
          <w:lang w:val="en-GB"/>
        </w:rPr>
      </w:pPr>
      <w:r>
        <w:rPr>
          <w:rFonts w:hint="eastAsia"/>
          <w:lang w:val="en-GB"/>
        </w:rPr>
        <w:t>过度的开采自然资源</w:t>
      </w:r>
      <w:r>
        <w:rPr>
          <w:rFonts w:hint="eastAsia"/>
          <w:spacing w:val="-50"/>
          <w:lang w:val="en-GB"/>
        </w:rPr>
        <w:t>―</w:t>
      </w:r>
      <w:r>
        <w:rPr>
          <w:rFonts w:hint="eastAsia"/>
          <w:lang w:val="en-GB"/>
        </w:rPr>
        <w:t>―经常大量的砍伐树木、打猎、非法打猎、不平衡的农业生产；</w:t>
      </w:r>
    </w:p>
    <w:p w:rsidR="00000000" w:rsidRDefault="00000000">
      <w:pPr>
        <w:pStyle w:val="a0"/>
        <w:tabs>
          <w:tab w:val="num" w:pos="510"/>
        </w:tabs>
        <w:ind w:left="1550"/>
        <w:rPr>
          <w:rFonts w:hint="eastAsia"/>
          <w:lang w:val="en-GB"/>
        </w:rPr>
      </w:pPr>
      <w:r>
        <w:rPr>
          <w:rFonts w:hint="eastAsia"/>
          <w:lang w:val="en-GB"/>
        </w:rPr>
        <w:t>不平衡的工业生产</w:t>
      </w:r>
      <w:r>
        <w:rPr>
          <w:rFonts w:hint="eastAsia"/>
          <w:lang w:val="en-GB"/>
        </w:rPr>
        <w:t>(</w:t>
      </w:r>
      <w:r>
        <w:rPr>
          <w:rFonts w:hint="eastAsia"/>
          <w:lang w:val="en-GB"/>
        </w:rPr>
        <w:t>废水缺乏净化装置，大气层中硫排放量高，不合理的浪费能源，资源的利用率低</w:t>
      </w:r>
      <w:r>
        <w:rPr>
          <w:rFonts w:hint="eastAsia"/>
          <w:lang w:val="en-GB"/>
        </w:rPr>
        <w:t>)</w:t>
      </w:r>
      <w:r>
        <w:rPr>
          <w:rFonts w:hint="eastAsia"/>
          <w:lang w:val="en-GB"/>
        </w:rPr>
        <w:t>；</w:t>
      </w:r>
    </w:p>
    <w:p w:rsidR="00000000" w:rsidRDefault="00000000">
      <w:pPr>
        <w:pStyle w:val="a0"/>
        <w:tabs>
          <w:tab w:val="num" w:pos="510"/>
        </w:tabs>
        <w:ind w:left="1550"/>
        <w:rPr>
          <w:rFonts w:hint="eastAsia"/>
          <w:lang w:val="en-GB"/>
        </w:rPr>
      </w:pPr>
      <w:r>
        <w:rPr>
          <w:rFonts w:hint="eastAsia"/>
          <w:lang w:val="en-GB"/>
        </w:rPr>
        <w:t>不平衡的能源政策；</w:t>
      </w:r>
    </w:p>
    <w:p w:rsidR="00000000" w:rsidRDefault="00000000">
      <w:pPr>
        <w:pStyle w:val="a0"/>
        <w:tabs>
          <w:tab w:val="num" w:pos="510"/>
        </w:tabs>
        <w:ind w:left="1550"/>
        <w:rPr>
          <w:rFonts w:hint="eastAsia"/>
          <w:lang w:val="en-GB"/>
        </w:rPr>
      </w:pPr>
      <w:r>
        <w:rPr>
          <w:rFonts w:hint="eastAsia"/>
          <w:lang w:val="en-GB"/>
        </w:rPr>
        <w:t>领土和社会政治组织各级的法律基础不充分并且运转停顿；</w:t>
      </w:r>
    </w:p>
    <w:p w:rsidR="00000000" w:rsidRDefault="00000000">
      <w:pPr>
        <w:pStyle w:val="a0"/>
        <w:tabs>
          <w:tab w:val="num" w:pos="510"/>
        </w:tabs>
        <w:ind w:left="1550"/>
        <w:rPr>
          <w:rFonts w:hint="eastAsia"/>
          <w:lang w:val="en-GB"/>
        </w:rPr>
      </w:pPr>
      <w:r>
        <w:rPr>
          <w:rFonts w:hint="eastAsia"/>
          <w:lang w:val="en-GB"/>
        </w:rPr>
        <w:t>当前的执法不适当；</w:t>
      </w:r>
    </w:p>
    <w:p w:rsidR="00000000" w:rsidRDefault="00000000">
      <w:pPr>
        <w:pStyle w:val="a0"/>
        <w:tabs>
          <w:tab w:val="num" w:pos="510"/>
        </w:tabs>
        <w:spacing w:after="240"/>
        <w:ind w:left="1550"/>
        <w:rPr>
          <w:rFonts w:hint="eastAsia"/>
          <w:lang w:val="en-GB"/>
        </w:rPr>
      </w:pPr>
      <w:r>
        <w:rPr>
          <w:rFonts w:hint="eastAsia"/>
          <w:lang w:val="en-GB"/>
        </w:rPr>
        <w:t>对自然资源标准和战略的利用不够。</w:t>
      </w:r>
    </w:p>
    <w:p w:rsidR="00000000" w:rsidRDefault="00000000">
      <w:pPr>
        <w:pStyle w:val="Heading4"/>
        <w:rPr>
          <w:rFonts w:hint="eastAsia"/>
          <w:lang w:val="en-GB"/>
        </w:rPr>
      </w:pPr>
      <w:r>
        <w:rPr>
          <w:rFonts w:hint="eastAsia"/>
          <w:lang w:val="en-GB"/>
        </w:rPr>
        <w:t>水务部门</w:t>
      </w:r>
    </w:p>
    <w:p w:rsidR="00000000" w:rsidRDefault="00000000">
      <w:pPr>
        <w:rPr>
          <w:rFonts w:hint="eastAsia"/>
        </w:rPr>
      </w:pPr>
      <w:r>
        <w:rPr>
          <w:rFonts w:hint="eastAsia"/>
          <w:lang w:val="en-GB"/>
        </w:rPr>
        <w:tab/>
        <w:t xml:space="preserve">21.  </w:t>
      </w:r>
      <w:r>
        <w:rPr>
          <w:rFonts w:hint="eastAsia"/>
          <w:lang w:val="en-GB"/>
        </w:rPr>
        <w:t>在</w:t>
      </w:r>
      <w:r>
        <w:rPr>
          <w:rFonts w:hint="eastAsia"/>
        </w:rPr>
        <w:t>波斯尼亚和黑塞哥维那，在目前这一战后阶段水务部门的立法十分困难。之所以造成目前的状况，是因为一系列的临时的决议、规则和条例是从以往的制度或者在战争期间颁布的规定中照搬过来的。为了克服这些问题，欧洲委员会通过“欧洲委员会波斯尼亚和黑塞哥维那环境方案”提供了技术和财政支助，即欧洲委员会编写了一套五部环境法，包括供这两个实体使用的新的水保护法。这些法律草案，特别是通过提出对于河流流域的管理要采用综合环境做法的原则，是符合欧洲联盟标准和原则以及所有相关的国际公约和水资源框架指示的。</w:t>
      </w:r>
    </w:p>
    <w:p w:rsidR="00000000" w:rsidRDefault="00000000">
      <w:pPr>
        <w:rPr>
          <w:rFonts w:hint="eastAsia"/>
        </w:rPr>
      </w:pPr>
      <w:r>
        <w:rPr>
          <w:rFonts w:hint="eastAsia"/>
        </w:rPr>
        <w:tab/>
        <w:t xml:space="preserve">22.  </w:t>
      </w:r>
      <w:r>
        <w:rPr>
          <w:rFonts w:hint="eastAsia"/>
        </w:rPr>
        <w:t>水供应的水平只有</w:t>
      </w:r>
      <w:r>
        <w:rPr>
          <w:rFonts w:hint="eastAsia"/>
        </w:rPr>
        <w:t>50%</w:t>
      </w:r>
      <w:r>
        <w:rPr>
          <w:rFonts w:hint="eastAsia"/>
        </w:rPr>
        <w:t>，大大低于欧洲的</w:t>
      </w:r>
      <w:r>
        <w:rPr>
          <w:rFonts w:hint="eastAsia"/>
        </w:rPr>
        <w:t>90%</w:t>
      </w:r>
      <w:r>
        <w:rPr>
          <w:rFonts w:hint="eastAsia"/>
        </w:rPr>
        <w:t>的覆盖面水平。而且，水的质量也大大低于欧盟各国。供水系统经常破裂，因此达不到国际水质标准。排水系统的覆盖面在城市是</w:t>
      </w:r>
      <w:r>
        <w:rPr>
          <w:rFonts w:hint="eastAsia"/>
        </w:rPr>
        <w:t>56%</w:t>
      </w:r>
      <w:r>
        <w:rPr>
          <w:rFonts w:hint="eastAsia"/>
        </w:rPr>
        <w:t>，在小的地区是不到</w:t>
      </w:r>
      <w:r>
        <w:rPr>
          <w:rFonts w:hint="eastAsia"/>
        </w:rPr>
        <w:t>10%</w:t>
      </w:r>
      <w:r>
        <w:rPr>
          <w:rFonts w:hint="eastAsia"/>
        </w:rPr>
        <w:t>。在波斯尼亚和黑塞哥维那只有</w:t>
      </w:r>
      <w:r>
        <w:rPr>
          <w:rFonts w:hint="eastAsia"/>
        </w:rPr>
        <w:t>6</w:t>
      </w:r>
      <w:r>
        <w:rPr>
          <w:rFonts w:hint="eastAsia"/>
        </w:rPr>
        <w:t>个城市有污水净化设备。</w:t>
      </w:r>
    </w:p>
    <w:p w:rsidR="00000000" w:rsidRDefault="00000000">
      <w:pPr>
        <w:rPr>
          <w:rFonts w:hint="eastAsia"/>
        </w:rPr>
      </w:pPr>
      <w:r>
        <w:rPr>
          <w:rFonts w:hint="eastAsia"/>
        </w:rPr>
        <w:tab/>
        <w:t xml:space="preserve">23.  </w:t>
      </w:r>
      <w:r>
        <w:rPr>
          <w:rFonts w:hint="eastAsia"/>
        </w:rPr>
        <w:t>在水部门可持续发展领域有两个重要方面：</w:t>
      </w:r>
    </w:p>
    <w:p w:rsidR="00000000" w:rsidRDefault="00000000">
      <w:pPr>
        <w:pStyle w:val="a0"/>
        <w:tabs>
          <w:tab w:val="num" w:pos="510"/>
        </w:tabs>
        <w:ind w:left="1550"/>
        <w:rPr>
          <w:rFonts w:hint="eastAsia"/>
        </w:rPr>
      </w:pPr>
      <w:r>
        <w:rPr>
          <w:rFonts w:hint="eastAsia"/>
        </w:rPr>
        <w:t>水务部门管理的质量、效果和透明度；</w:t>
      </w:r>
    </w:p>
    <w:p w:rsidR="00000000" w:rsidRDefault="00000000">
      <w:pPr>
        <w:pStyle w:val="a0"/>
        <w:tabs>
          <w:tab w:val="num" w:pos="510"/>
        </w:tabs>
        <w:ind w:left="1550"/>
        <w:rPr>
          <w:rFonts w:hint="eastAsia"/>
        </w:rPr>
      </w:pPr>
      <w:r>
        <w:rPr>
          <w:rFonts w:hint="eastAsia"/>
        </w:rPr>
        <w:t>投资与服务的可持续性。</w:t>
      </w:r>
    </w:p>
    <w:p w:rsidR="00000000" w:rsidRDefault="00000000">
      <w:pPr>
        <w:rPr>
          <w:rFonts w:hint="eastAsia"/>
        </w:rPr>
      </w:pPr>
      <w:r>
        <w:rPr>
          <w:rFonts w:hint="eastAsia"/>
        </w:rPr>
        <w:tab/>
        <w:t xml:space="preserve">24.  </w:t>
      </w:r>
      <w:r>
        <w:rPr>
          <w:rFonts w:hint="eastAsia"/>
        </w:rPr>
        <w:t>欧盟关于水问题的指示规定，所有居民超过</w:t>
      </w:r>
      <w:r>
        <w:rPr>
          <w:rFonts w:hint="eastAsia"/>
        </w:rPr>
        <w:t>2,000</w:t>
      </w:r>
      <w:r>
        <w:rPr>
          <w:rFonts w:hint="eastAsia"/>
        </w:rPr>
        <w:t>以上的社区必须要有水净化装置，这一指示对于所有欧盟的现在和将来的成员国，如波斯尼亚和黑塞哥维那，都有约束力。从法律意义上说，在波斯尼亚和黑塞哥维那现在没有负责水务的服务部门。今后的条例应该对水和河流规定要有护卫服务，对于水资源的监测、报告、护卫、保护和养护要有明确规定。</w:t>
      </w:r>
    </w:p>
    <w:p w:rsidR="00000000" w:rsidRDefault="00000000">
      <w:pPr>
        <w:rPr>
          <w:rFonts w:hint="eastAsia"/>
        </w:rPr>
      </w:pPr>
      <w:r>
        <w:rPr>
          <w:rFonts w:hint="eastAsia"/>
        </w:rPr>
        <w:tab/>
        <w:t xml:space="preserve">25.  </w:t>
      </w:r>
      <w:r>
        <w:rPr>
          <w:rFonts w:hint="eastAsia"/>
        </w:rPr>
        <w:t>波斯尼亚和黑塞哥维那水部门机构强化项目是一个正在进行中的项目。资金由欧盟提供，在两个实体中同时实施。项目的最终目标是采用新的水部门立法，与欧盟的立法接轨，尤其是水资源框架指示</w:t>
      </w:r>
      <w:r>
        <w:rPr>
          <w:rFonts w:hint="eastAsia"/>
        </w:rPr>
        <w:t>(</w:t>
      </w:r>
      <w:r>
        <w:rPr>
          <w:rFonts w:hint="eastAsia"/>
        </w:rPr>
        <w:t>指示</w:t>
      </w:r>
      <w:r>
        <w:rPr>
          <w:rFonts w:hint="eastAsia"/>
        </w:rPr>
        <w:t xml:space="preserve">2000/60/EC, </w:t>
      </w:r>
      <w:r>
        <w:rPr>
          <w:rFonts w:hint="eastAsia"/>
        </w:rPr>
        <w:t>欧洲议会和理事会，</w:t>
      </w:r>
      <w:r>
        <w:rPr>
          <w:rFonts w:hint="eastAsia"/>
        </w:rPr>
        <w:t>2000</w:t>
      </w:r>
      <w:r>
        <w:rPr>
          <w:rFonts w:hint="eastAsia"/>
        </w:rPr>
        <w:t>年</w:t>
      </w:r>
      <w:r>
        <w:rPr>
          <w:rFonts w:hint="eastAsia"/>
        </w:rPr>
        <w:t>10</w:t>
      </w:r>
      <w:r>
        <w:rPr>
          <w:rFonts w:hint="eastAsia"/>
        </w:rPr>
        <w:t>月</w:t>
      </w:r>
      <w:r>
        <w:rPr>
          <w:rFonts w:hint="eastAsia"/>
        </w:rPr>
        <w:t>23</w:t>
      </w:r>
      <w:r>
        <w:rPr>
          <w:rFonts w:hint="eastAsia"/>
        </w:rPr>
        <w:t>日</w:t>
      </w:r>
      <w:r>
        <w:rPr>
          <w:rFonts w:hint="eastAsia"/>
        </w:rPr>
        <w:t>)</w:t>
      </w:r>
      <w:r>
        <w:rPr>
          <w:rFonts w:hint="eastAsia"/>
        </w:rPr>
        <w:t>。该项目将制定一个新的水部门的体制和组织结构布局，在波斯尼亚和黑塞哥维那一级设一个水管理机构。新的解决办法规定了该部门的组织的基本做法是水的综合管理原则。</w:t>
      </w:r>
    </w:p>
    <w:p w:rsidR="00000000" w:rsidRDefault="00000000">
      <w:pPr>
        <w:spacing w:after="240"/>
        <w:rPr>
          <w:rFonts w:hint="eastAsia"/>
        </w:rPr>
      </w:pPr>
      <w:r>
        <w:rPr>
          <w:rFonts w:hint="eastAsia"/>
        </w:rPr>
        <w:tab/>
        <w:t xml:space="preserve">26.  </w:t>
      </w:r>
      <w:r>
        <w:rPr>
          <w:rFonts w:hint="eastAsia"/>
        </w:rPr>
        <w:t>环境保护法、水保护法、空气保护法、自然保护法、以及森林法和水法等指导环境保护的法律如果没有国际机构的支助，要实施就不会很容易。目前的当务之急是要对于保护区的地位、关于垃圾场地的决策、废水的净化、和有效控制污染作出明确的定义。</w:t>
      </w:r>
    </w:p>
    <w:p w:rsidR="00000000" w:rsidRDefault="00000000">
      <w:pPr>
        <w:pStyle w:val="Heading4"/>
        <w:rPr>
          <w:rFonts w:hint="eastAsia"/>
        </w:rPr>
      </w:pPr>
      <w:r>
        <w:rPr>
          <w:rFonts w:hint="eastAsia"/>
        </w:rPr>
        <w:t>农业部门</w:t>
      </w:r>
    </w:p>
    <w:p w:rsidR="00000000" w:rsidRDefault="00000000">
      <w:pPr>
        <w:rPr>
          <w:rFonts w:hint="eastAsia"/>
        </w:rPr>
      </w:pPr>
      <w:r>
        <w:rPr>
          <w:rFonts w:hint="eastAsia"/>
        </w:rPr>
        <w:tab/>
        <w:t xml:space="preserve">27.  </w:t>
      </w:r>
      <w:r>
        <w:rPr>
          <w:rFonts w:hint="eastAsia"/>
        </w:rPr>
        <w:t>波斯尼亚和黑塞哥维那总的耕地面积是</w:t>
      </w:r>
      <w:r>
        <w:rPr>
          <w:rFonts w:hint="eastAsia"/>
        </w:rPr>
        <w:t>250</w:t>
      </w:r>
      <w:r>
        <w:rPr>
          <w:rFonts w:hint="eastAsia"/>
        </w:rPr>
        <w:t>万公顷，占国土面积的</w:t>
      </w:r>
      <w:r>
        <w:rPr>
          <w:rFonts w:hint="eastAsia"/>
        </w:rPr>
        <w:t>50%</w:t>
      </w:r>
      <w:r>
        <w:rPr>
          <w:rFonts w:hint="eastAsia"/>
        </w:rPr>
        <w:t>；人均</w:t>
      </w:r>
      <w:r>
        <w:rPr>
          <w:rFonts w:hint="eastAsia"/>
        </w:rPr>
        <w:t>0.7</w:t>
      </w:r>
      <w:r>
        <w:rPr>
          <w:rFonts w:hint="eastAsia"/>
        </w:rPr>
        <w:t>公顷。平原地带的自然条件有利于持续的农业生产和当代的经济作物生长。如果对于现代技术再增加资本投资，产量还可以增加</w:t>
      </w:r>
      <w:r>
        <w:rPr>
          <w:rFonts w:hint="eastAsia"/>
        </w:rPr>
        <w:t>50%</w:t>
      </w:r>
      <w:r>
        <w:rPr>
          <w:rFonts w:hint="eastAsia"/>
        </w:rPr>
        <w:t>，尤其是在修复的水灌溉地区</w:t>
      </w:r>
      <w:r>
        <w:rPr>
          <w:rFonts w:hint="eastAsia"/>
        </w:rPr>
        <w:t>(20</w:t>
      </w:r>
      <w:r>
        <w:rPr>
          <w:rFonts w:hint="eastAsia"/>
        </w:rPr>
        <w:t>万公顷</w:t>
      </w:r>
      <w:r>
        <w:rPr>
          <w:rFonts w:hint="eastAsia"/>
        </w:rPr>
        <w:t>)</w:t>
      </w:r>
      <w:r>
        <w:rPr>
          <w:rFonts w:hint="eastAsia"/>
        </w:rPr>
        <w:t>。</w:t>
      </w:r>
    </w:p>
    <w:p w:rsidR="00000000" w:rsidRDefault="00000000">
      <w:pPr>
        <w:rPr>
          <w:rFonts w:hint="eastAsia"/>
        </w:rPr>
      </w:pPr>
      <w:r>
        <w:rPr>
          <w:rFonts w:hint="eastAsia"/>
        </w:rPr>
        <w:tab/>
        <w:t xml:space="preserve">28.  </w:t>
      </w:r>
      <w:r>
        <w:rPr>
          <w:rFonts w:hint="eastAsia"/>
        </w:rPr>
        <w:t>农业生产的精耕细作十分重要，尤其是波斯尼亚和黑塞哥维那的农业所生产的粮食还不到国内人口需求的一半，波斯尼亚和黑塞哥维那进口的一半以上是粮食，这就更显得重要。</w:t>
      </w:r>
    </w:p>
    <w:p w:rsidR="00000000" w:rsidRDefault="00000000">
      <w:pPr>
        <w:rPr>
          <w:rFonts w:hint="eastAsia"/>
        </w:rPr>
      </w:pPr>
      <w:r>
        <w:rPr>
          <w:rFonts w:hint="eastAsia"/>
        </w:rPr>
        <w:tab/>
        <w:t xml:space="preserve">29.  </w:t>
      </w:r>
      <w:r>
        <w:rPr>
          <w:rFonts w:hint="eastAsia"/>
        </w:rPr>
        <w:t>农田继续被分得支离破碎并且在缩小。在农业生产中私人的主动性和创业精神得不到支持。为了振兴农业生产使之有可持续性，需要采取综合的生产、销售和财政战略。</w:t>
      </w:r>
    </w:p>
    <w:p w:rsidR="00000000" w:rsidRDefault="00000000">
      <w:pPr>
        <w:rPr>
          <w:rFonts w:hint="eastAsia"/>
        </w:rPr>
      </w:pPr>
      <w:r>
        <w:rPr>
          <w:rFonts w:hint="eastAsia"/>
        </w:rPr>
        <w:tab/>
        <w:t xml:space="preserve">30.  </w:t>
      </w:r>
      <w:r>
        <w:rPr>
          <w:rFonts w:hint="eastAsia"/>
        </w:rPr>
        <w:t>为了农业生产的可持续性并且实现农业生产改进方案，包括使用土地和土地开发战略，需要奠定体制</w:t>
      </w:r>
      <w:r>
        <w:rPr>
          <w:rFonts w:hint="eastAsia"/>
          <w:spacing w:val="-50"/>
        </w:rPr>
        <w:t>―</w:t>
      </w:r>
      <w:r>
        <w:rPr>
          <w:rFonts w:hint="eastAsia"/>
        </w:rPr>
        <w:t>―法律基础，同时还要采取一系列的体制措施来刺激这些发展。首先是：</w:t>
      </w:r>
    </w:p>
    <w:p w:rsidR="00000000" w:rsidRDefault="00000000">
      <w:pPr>
        <w:pStyle w:val="a0"/>
        <w:tabs>
          <w:tab w:val="num" w:pos="510"/>
        </w:tabs>
        <w:ind w:left="1550"/>
        <w:rPr>
          <w:rFonts w:hint="eastAsia"/>
          <w:lang w:val="en-GB"/>
        </w:rPr>
      </w:pPr>
      <w:r>
        <w:rPr>
          <w:rFonts w:hint="eastAsia"/>
        </w:rPr>
        <w:t>波斯尼亚和黑塞哥维那要有有秩序的、自由单一的，没有内部贸易或政治壁垒的市场；</w:t>
      </w:r>
    </w:p>
    <w:p w:rsidR="00000000" w:rsidRDefault="00000000">
      <w:pPr>
        <w:pStyle w:val="a0"/>
        <w:tabs>
          <w:tab w:val="num" w:pos="510"/>
        </w:tabs>
        <w:ind w:left="1550"/>
        <w:rPr>
          <w:rFonts w:hint="eastAsia"/>
          <w:lang w:val="en-GB"/>
        </w:rPr>
      </w:pPr>
      <w:r>
        <w:rPr>
          <w:rFonts w:hint="eastAsia"/>
          <w:lang w:val="en-GB"/>
        </w:rPr>
        <w:t>税收制度应该对于农业起推动作用；</w:t>
      </w:r>
    </w:p>
    <w:p w:rsidR="00000000" w:rsidRDefault="00000000">
      <w:pPr>
        <w:pStyle w:val="a0"/>
        <w:tabs>
          <w:tab w:val="num" w:pos="510"/>
        </w:tabs>
        <w:ind w:left="1550"/>
        <w:rPr>
          <w:rFonts w:hint="eastAsia"/>
          <w:lang w:val="en-GB"/>
        </w:rPr>
      </w:pPr>
      <w:r>
        <w:rPr>
          <w:rFonts w:hint="eastAsia"/>
          <w:lang w:val="en-GB"/>
        </w:rPr>
        <w:t>村庄振兴和在战前农场的自主经营；</w:t>
      </w:r>
    </w:p>
    <w:p w:rsidR="00000000" w:rsidRDefault="00000000">
      <w:pPr>
        <w:pStyle w:val="a0"/>
        <w:tabs>
          <w:tab w:val="num" w:pos="510"/>
        </w:tabs>
        <w:ind w:left="1550"/>
        <w:rPr>
          <w:rFonts w:hint="eastAsia"/>
          <w:lang w:val="en-GB"/>
        </w:rPr>
      </w:pPr>
      <w:r>
        <w:rPr>
          <w:rFonts w:hint="eastAsia"/>
          <w:lang w:val="en-GB"/>
        </w:rPr>
        <w:t>对于平原地区、丘陵</w:t>
      </w:r>
      <w:r>
        <w:rPr>
          <w:rFonts w:hint="eastAsia"/>
        </w:rPr>
        <w:t>和山地以及地中海地区要制定长期的发展方案；</w:t>
      </w:r>
    </w:p>
    <w:p w:rsidR="00000000" w:rsidRDefault="00000000">
      <w:pPr>
        <w:pStyle w:val="a0"/>
        <w:tabs>
          <w:tab w:val="num" w:pos="510"/>
        </w:tabs>
        <w:spacing w:after="320"/>
        <w:ind w:left="1550"/>
        <w:rPr>
          <w:rFonts w:hint="eastAsia"/>
          <w:lang w:val="en-GB"/>
        </w:rPr>
      </w:pPr>
      <w:r>
        <w:rPr>
          <w:rFonts w:hint="eastAsia"/>
          <w:lang w:val="en-GB"/>
        </w:rPr>
        <w:t>建立农业和村庄发展基金。</w:t>
      </w:r>
    </w:p>
    <w:p w:rsidR="00000000" w:rsidRDefault="00000000">
      <w:pPr>
        <w:pStyle w:val="Heading4"/>
        <w:rPr>
          <w:rFonts w:hint="eastAsia"/>
        </w:rPr>
      </w:pPr>
      <w:r>
        <w:rPr>
          <w:rFonts w:hint="eastAsia"/>
        </w:rPr>
        <w:t>森林生态系统和森林资源</w:t>
      </w:r>
    </w:p>
    <w:p w:rsidR="00000000" w:rsidRDefault="00000000">
      <w:pPr>
        <w:rPr>
          <w:rFonts w:hint="eastAsia"/>
        </w:rPr>
      </w:pPr>
      <w:r>
        <w:rPr>
          <w:rFonts w:ascii="Time New Roman" w:eastAsia="SimHei" w:hAnsi="Time New Roman" w:hint="eastAsia"/>
        </w:rPr>
        <w:tab/>
        <w:t xml:space="preserve">31.  </w:t>
      </w:r>
      <w:r>
        <w:rPr>
          <w:rFonts w:hint="eastAsia"/>
        </w:rPr>
        <w:t>在波斯尼亚和黑塞哥维那的总面积</w:t>
      </w:r>
      <w:r>
        <w:rPr>
          <w:rFonts w:hint="eastAsia"/>
        </w:rPr>
        <w:t>(5,113,000</w:t>
      </w:r>
      <w:r>
        <w:rPr>
          <w:rFonts w:hint="eastAsia"/>
        </w:rPr>
        <w:t>公顷</w:t>
      </w:r>
      <w:r>
        <w:rPr>
          <w:rFonts w:hint="eastAsia"/>
        </w:rPr>
        <w:t>)</w:t>
      </w:r>
      <w:r>
        <w:rPr>
          <w:rFonts w:hint="eastAsia"/>
        </w:rPr>
        <w:t>中，森林和林地占</w:t>
      </w:r>
      <w:r>
        <w:rPr>
          <w:rFonts w:hint="eastAsia"/>
        </w:rPr>
        <w:t>53%(2,700,770</w:t>
      </w:r>
      <w:r>
        <w:rPr>
          <w:rFonts w:hint="eastAsia"/>
        </w:rPr>
        <w:t>公顷</w:t>
      </w:r>
      <w:r>
        <w:rPr>
          <w:rFonts w:hint="eastAsia"/>
        </w:rPr>
        <w:t>)</w:t>
      </w:r>
      <w:r>
        <w:rPr>
          <w:rFonts w:hint="eastAsia"/>
        </w:rPr>
        <w:t>，或人均森林和林地</w:t>
      </w:r>
      <w:r>
        <w:rPr>
          <w:rFonts w:hint="eastAsia"/>
        </w:rPr>
        <w:t>0.71</w:t>
      </w:r>
      <w:r>
        <w:rPr>
          <w:rFonts w:hint="eastAsia"/>
        </w:rPr>
        <w:t>公顷。国有森林和林地占</w:t>
      </w:r>
      <w:r>
        <w:rPr>
          <w:rFonts w:hint="eastAsia"/>
        </w:rPr>
        <w:t>81%</w:t>
      </w:r>
      <w:r>
        <w:rPr>
          <w:rFonts w:hint="eastAsia"/>
        </w:rPr>
        <w:t>，其余</w:t>
      </w:r>
      <w:r>
        <w:rPr>
          <w:rFonts w:hint="eastAsia"/>
        </w:rPr>
        <w:t>19%</w:t>
      </w:r>
      <w:r>
        <w:rPr>
          <w:rFonts w:hint="eastAsia"/>
        </w:rPr>
        <w:t>为私人所拥有。森林的可持续管理要求采取更为有效的措施：强化生产功能、维持和加强森林的一般性有用的功能、维持生物多样性、扩大保护区、振兴衰退的森林、保护森林和鸟兽、监测、科学研究工作和工作人员的教育。更具体地说，它指以下方面：</w:t>
      </w:r>
    </w:p>
    <w:p w:rsidR="00000000" w:rsidRDefault="00000000">
      <w:pPr>
        <w:pStyle w:val="a0"/>
        <w:tabs>
          <w:tab w:val="num" w:pos="510"/>
        </w:tabs>
        <w:ind w:left="1550"/>
        <w:rPr>
          <w:rFonts w:hint="eastAsia"/>
          <w:lang w:val="en-GB"/>
        </w:rPr>
      </w:pPr>
      <w:r>
        <w:rPr>
          <w:rFonts w:hint="eastAsia"/>
        </w:rPr>
        <w:t>在森林管理中，应更加小心的加强自然资源和植树造林，增加生物投资，开放森林，减少砍伐强度，加强森林的生存力和健康状况，使用生态上可接受的生长技术，保护森林和鸟兽；</w:t>
      </w:r>
    </w:p>
    <w:p w:rsidR="00000000" w:rsidRDefault="00000000">
      <w:pPr>
        <w:pStyle w:val="a0"/>
        <w:tabs>
          <w:tab w:val="num" w:pos="510"/>
        </w:tabs>
        <w:ind w:left="1550"/>
        <w:rPr>
          <w:rFonts w:hint="eastAsia"/>
          <w:lang w:val="en-GB"/>
        </w:rPr>
      </w:pPr>
      <w:r>
        <w:rPr>
          <w:rFonts w:hint="eastAsia"/>
          <w:lang w:val="en-GB"/>
        </w:rPr>
        <w:t>应特别重视森林和鸟兽成长和保护的措施；</w:t>
      </w:r>
    </w:p>
    <w:p w:rsidR="00000000" w:rsidRDefault="00000000">
      <w:pPr>
        <w:pStyle w:val="a0"/>
        <w:tabs>
          <w:tab w:val="num" w:pos="510"/>
        </w:tabs>
        <w:ind w:left="1550"/>
        <w:rPr>
          <w:rFonts w:hint="eastAsia"/>
          <w:lang w:val="en-GB"/>
        </w:rPr>
      </w:pPr>
      <w:r>
        <w:rPr>
          <w:rFonts w:hint="eastAsia"/>
          <w:lang w:val="en-GB"/>
        </w:rPr>
        <w:t>在光秃和废弃林地上植树造林是改善和扩大森林储备以防止水土流失和洪涝灾害，以及改善森林的生态功能的经济上可持续的措施；</w:t>
      </w:r>
    </w:p>
    <w:p w:rsidR="00000000" w:rsidRDefault="00000000">
      <w:pPr>
        <w:pStyle w:val="a0"/>
        <w:tabs>
          <w:tab w:val="num" w:pos="510"/>
        </w:tabs>
        <w:ind w:left="1550"/>
        <w:rPr>
          <w:rFonts w:hint="eastAsia"/>
          <w:lang w:val="en-GB"/>
        </w:rPr>
      </w:pPr>
      <w:r>
        <w:rPr>
          <w:rFonts w:hint="eastAsia"/>
          <w:lang w:val="en-GB"/>
        </w:rPr>
        <w:t>翻新、扩大和养护林区道路是森林储备的使用者和所有者以及国家</w:t>
      </w:r>
      <w:r>
        <w:rPr>
          <w:rFonts w:hint="eastAsia"/>
          <w:lang w:val="en-GB"/>
        </w:rPr>
        <w:t>(</w:t>
      </w:r>
      <w:r>
        <w:rPr>
          <w:rFonts w:hint="eastAsia"/>
          <w:lang w:val="en-GB"/>
        </w:rPr>
        <w:t>包括森林企业</w:t>
      </w:r>
      <w:r>
        <w:rPr>
          <w:rFonts w:hint="eastAsia"/>
          <w:lang w:val="en-GB"/>
        </w:rPr>
        <w:t>)</w:t>
      </w:r>
      <w:r>
        <w:rPr>
          <w:rFonts w:hint="eastAsia"/>
          <w:lang w:val="en-GB"/>
        </w:rPr>
        <w:t>的一项优先任务；</w:t>
      </w:r>
    </w:p>
    <w:p w:rsidR="00000000" w:rsidRDefault="00000000">
      <w:pPr>
        <w:pStyle w:val="a0"/>
        <w:tabs>
          <w:tab w:val="num" w:pos="510"/>
        </w:tabs>
        <w:ind w:left="1550"/>
        <w:rPr>
          <w:rFonts w:hint="eastAsia"/>
          <w:lang w:val="en-GB"/>
        </w:rPr>
      </w:pPr>
      <w:r>
        <w:rPr>
          <w:rFonts w:hint="eastAsia"/>
          <w:lang w:val="en-GB"/>
        </w:rPr>
        <w:t>在受到广泛砍伐的地区，我们必须转向以可持续的利用其他森林产品</w:t>
      </w:r>
      <w:r>
        <w:rPr>
          <w:rFonts w:hint="eastAsia"/>
          <w:lang w:val="en-GB"/>
        </w:rPr>
        <w:t>(</w:t>
      </w:r>
      <w:r>
        <w:rPr>
          <w:rFonts w:hint="eastAsia"/>
          <w:lang w:val="en-GB"/>
        </w:rPr>
        <w:t>草药、水果、蘑菇、</w:t>
      </w:r>
      <w:r>
        <w:rPr>
          <w:rFonts w:hint="eastAsia"/>
        </w:rPr>
        <w:t>木炭等</w:t>
      </w:r>
      <w:r>
        <w:rPr>
          <w:rFonts w:hint="eastAsia"/>
        </w:rPr>
        <w:t>)</w:t>
      </w:r>
      <w:r>
        <w:rPr>
          <w:rFonts w:hint="eastAsia"/>
        </w:rPr>
        <w:t>为基础的经济；</w:t>
      </w:r>
    </w:p>
    <w:p w:rsidR="00000000" w:rsidRDefault="00000000">
      <w:pPr>
        <w:pStyle w:val="a0"/>
        <w:tabs>
          <w:tab w:val="num" w:pos="510"/>
        </w:tabs>
        <w:ind w:left="1550"/>
        <w:rPr>
          <w:rFonts w:hint="eastAsia"/>
          <w:lang w:val="en-GB"/>
        </w:rPr>
      </w:pPr>
      <w:r>
        <w:rPr>
          <w:rFonts w:hint="eastAsia"/>
          <w:lang w:val="en-GB"/>
        </w:rPr>
        <w:t>有必要将面向市场的木材加工能力与林木的数量、质量和地点统一起来。为了实现林业生产的互补性发展，要寻求可持续的森林开发的多功能利益。各种森林产品的价格和销售以及森林的财政负担并没有互相协调；</w:t>
      </w:r>
    </w:p>
    <w:p w:rsidR="00000000" w:rsidRDefault="00000000">
      <w:pPr>
        <w:pStyle w:val="a0"/>
        <w:tabs>
          <w:tab w:val="num" w:pos="510"/>
        </w:tabs>
        <w:ind w:left="1550"/>
        <w:rPr>
          <w:rFonts w:hint="eastAsia"/>
          <w:lang w:val="en-GB"/>
        </w:rPr>
      </w:pPr>
      <w:r>
        <w:rPr>
          <w:rFonts w:hint="eastAsia"/>
          <w:lang w:val="en-GB"/>
        </w:rPr>
        <w:t>应更多的重视国内和国外的专业知识、文献和经验的交流。</w:t>
      </w:r>
    </w:p>
    <w:p w:rsidR="00000000" w:rsidRDefault="00000000">
      <w:pPr>
        <w:rPr>
          <w:rFonts w:hint="eastAsia"/>
        </w:rPr>
      </w:pPr>
      <w:r>
        <w:rPr>
          <w:rFonts w:hint="eastAsia"/>
        </w:rPr>
        <w:tab/>
        <w:t xml:space="preserve">32.  </w:t>
      </w:r>
      <w:r>
        <w:rPr>
          <w:rFonts w:hint="eastAsia"/>
        </w:rPr>
        <w:t>社会、经济和工业发展的主要责任，以及利用国家自然资源，包括为自然资源的开采给予外国和国内用户的特许权的主要责任</w:t>
      </w:r>
      <w:r>
        <w:rPr>
          <w:rFonts w:hint="eastAsia"/>
        </w:rPr>
        <w:t>(</w:t>
      </w:r>
      <w:r>
        <w:rPr>
          <w:rFonts w:hint="eastAsia"/>
        </w:rPr>
        <w:t>即管理可持续发展的基本因素</w:t>
      </w:r>
      <w:r>
        <w:rPr>
          <w:rFonts w:hint="eastAsia"/>
        </w:rPr>
        <w:t>)</w:t>
      </w:r>
      <w:r>
        <w:rPr>
          <w:rFonts w:hint="eastAsia"/>
        </w:rPr>
        <w:t>，实际上是在各个实体的手中，而在波斯尼亚和黑塞哥维那联邦中，这些责任在相当大的程度上是属于更低一级的行政单位</w:t>
      </w:r>
      <w:r>
        <w:rPr>
          <w:rFonts w:hint="eastAsia"/>
          <w:spacing w:val="-50"/>
        </w:rPr>
        <w:t>―</w:t>
      </w:r>
      <w:r>
        <w:rPr>
          <w:rFonts w:hint="eastAsia"/>
        </w:rPr>
        <w:t>―各个州中。</w:t>
      </w:r>
    </w:p>
    <w:p w:rsidR="00000000" w:rsidRDefault="00000000">
      <w:pPr>
        <w:rPr>
          <w:rFonts w:hint="eastAsia"/>
        </w:rPr>
      </w:pPr>
      <w:r>
        <w:rPr>
          <w:rFonts w:hint="eastAsia"/>
        </w:rPr>
        <w:tab/>
        <w:t xml:space="preserve">33.  </w:t>
      </w:r>
      <w:r>
        <w:rPr>
          <w:rFonts w:hint="eastAsia"/>
        </w:rPr>
        <w:t>在以下一些事务方面，主管权在国家一级的机构：可持续的经济增长、建立国际联系、多边和双边的合作、在外贸领域缔结、执行和协调国际多边和双边协定和合同、联合投资、统一税收政策、以及区域环境保护方案。</w:t>
      </w:r>
    </w:p>
    <w:p w:rsidR="00000000" w:rsidRDefault="00000000">
      <w:pPr>
        <w:spacing w:after="320"/>
        <w:rPr>
          <w:rFonts w:hint="eastAsia"/>
        </w:rPr>
      </w:pPr>
      <w:r>
        <w:rPr>
          <w:rFonts w:hint="eastAsia"/>
        </w:rPr>
        <w:tab/>
        <w:t xml:space="preserve">34.  </w:t>
      </w:r>
      <w:r>
        <w:rPr>
          <w:rFonts w:hint="eastAsia"/>
        </w:rPr>
        <w:t>由于重建遭受战争破坏的能力进展缓慢以及缺少经济实力，对于自然资源的利用不足。但是，在与国际社会的合作下，在恢复能力和更有效地利用自然资源方面取得了一些积极的成果。</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u w:val="none"/>
        </w:rPr>
        <w:t>第</w:t>
      </w:r>
      <w:r>
        <w:rPr>
          <w:rFonts w:ascii="Time New Roman" w:eastAsia="SimHei" w:hAnsi="Time New Roman" w:hint="eastAsia"/>
          <w:u w:val="none"/>
        </w:rPr>
        <w:t xml:space="preserve"> 2 </w:t>
      </w:r>
      <w:r>
        <w:rPr>
          <w:rFonts w:ascii="Time New Roman" w:eastAsia="SimHei" w:hAnsi="Time New Roman" w:hint="eastAsia"/>
          <w:u w:val="none"/>
        </w:rPr>
        <w:t>条</w:t>
      </w:r>
    </w:p>
    <w:p w:rsidR="00000000" w:rsidRDefault="00000000">
      <w:pPr>
        <w:pStyle w:val="Heading4"/>
        <w:rPr>
          <w:rFonts w:hint="eastAsia"/>
        </w:rPr>
      </w:pPr>
      <w:r>
        <w:rPr>
          <w:rFonts w:hint="eastAsia"/>
        </w:rPr>
        <w:t>行使《公约》中所承认的权利</w:t>
      </w:r>
    </w:p>
    <w:p w:rsidR="00000000" w:rsidRDefault="00000000">
      <w:pPr>
        <w:spacing w:after="320"/>
        <w:rPr>
          <w:rFonts w:hint="eastAsia"/>
        </w:rPr>
      </w:pPr>
      <w:r>
        <w:rPr>
          <w:rFonts w:hint="eastAsia"/>
        </w:rPr>
        <w:tab/>
        <w:t xml:space="preserve">35.  </w:t>
      </w:r>
      <w:r>
        <w:rPr>
          <w:rFonts w:hint="eastAsia"/>
        </w:rPr>
        <w:t>波斯尼亚和黑塞哥维那通过参加国际双边协定、议定书和与其他国家的备忘录，完全遵守《欧洲安全与合作赫尔辛基最后文件》，从而在科学、技术、教育、文化和体育领域发展合作关系。国际契约的缔结和执行程序法</w:t>
      </w:r>
      <w:r>
        <w:rPr>
          <w:rFonts w:hint="eastAsia"/>
        </w:rPr>
        <w:t>(</w:t>
      </w:r>
      <w:r>
        <w:rPr>
          <w:rFonts w:hint="eastAsia"/>
        </w:rPr>
        <w:t>波斯尼亚和黑塞哥维那政府公报第</w:t>
      </w:r>
      <w:r>
        <w:rPr>
          <w:rFonts w:hint="eastAsia"/>
        </w:rPr>
        <w:t>29/00</w:t>
      </w:r>
      <w:r>
        <w:rPr>
          <w:rFonts w:hint="eastAsia"/>
        </w:rPr>
        <w:t>号</w:t>
      </w:r>
      <w:r>
        <w:rPr>
          <w:rFonts w:hint="eastAsia"/>
        </w:rPr>
        <w:t>)</w:t>
      </w:r>
      <w:r>
        <w:rPr>
          <w:rFonts w:hint="eastAsia"/>
        </w:rPr>
        <w:t>与波斯尼亚和黑塞哥维那所签署的</w:t>
      </w:r>
      <w:r>
        <w:rPr>
          <w:rFonts w:hint="eastAsia"/>
        </w:rPr>
        <w:t>1995</w:t>
      </w:r>
      <w:r>
        <w:rPr>
          <w:rFonts w:hint="eastAsia"/>
        </w:rPr>
        <w:t>年</w:t>
      </w:r>
      <w:r>
        <w:rPr>
          <w:rFonts w:hint="eastAsia"/>
        </w:rPr>
        <w:t>3</w:t>
      </w:r>
      <w:r>
        <w:rPr>
          <w:rFonts w:hint="eastAsia"/>
        </w:rPr>
        <w:t>月国际契约地位维也纳公约</w:t>
      </w:r>
      <w:r>
        <w:rPr>
          <w:rFonts w:hint="eastAsia"/>
        </w:rPr>
        <w:t>(1988</w:t>
      </w:r>
      <w:r>
        <w:rPr>
          <w:rFonts w:hint="eastAsia"/>
        </w:rPr>
        <w:t>年生效</w:t>
      </w:r>
      <w:r>
        <w:rPr>
          <w:rFonts w:hint="eastAsia"/>
        </w:rPr>
        <w:t>)</w:t>
      </w:r>
      <w:r>
        <w:rPr>
          <w:rFonts w:hint="eastAsia"/>
        </w:rPr>
        <w:t>是统一的，它指导这类协定的缔结。</w:t>
      </w:r>
    </w:p>
    <w:p w:rsidR="00000000" w:rsidRDefault="00000000">
      <w:pPr>
        <w:pStyle w:val="Heading4"/>
        <w:rPr>
          <w:rFonts w:hint="eastAsia"/>
        </w:rPr>
      </w:pPr>
      <w:r>
        <w:rPr>
          <w:rFonts w:hint="eastAsia"/>
        </w:rPr>
        <w:t>已批准的国际文书</w:t>
      </w:r>
    </w:p>
    <w:p w:rsidR="00000000" w:rsidRDefault="00000000">
      <w:pPr>
        <w:spacing w:after="320"/>
        <w:rPr>
          <w:rFonts w:hint="eastAsia"/>
        </w:rPr>
      </w:pPr>
      <w:r>
        <w:rPr>
          <w:rFonts w:hint="eastAsia"/>
        </w:rPr>
        <w:tab/>
        <w:t xml:space="preserve">36.  </w:t>
      </w:r>
      <w:r>
        <w:rPr>
          <w:rFonts w:hint="eastAsia"/>
        </w:rPr>
        <w:t>为了推动在科学、技术、教育、文化和体育领域的合作，波斯尼亚和黑塞哥维那与其他国家缔结了政府间协定、方案和议定书，这些文书重申了《欧洲安全与合作赫尔辛基最后文件》，并认识到这有助于更好地理解和强化与其他国家的双边关系。政府间协定是根据国际协定缔结与执行法缔结的</w:t>
      </w:r>
      <w:r>
        <w:rPr>
          <w:rFonts w:hint="eastAsia"/>
        </w:rPr>
        <w:t>(</w:t>
      </w:r>
      <w:r>
        <w:rPr>
          <w:rFonts w:hint="eastAsia"/>
        </w:rPr>
        <w:t>政府公报</w:t>
      </w:r>
      <w:r>
        <w:rPr>
          <w:rFonts w:hint="eastAsia"/>
        </w:rPr>
        <w:t>29/00)</w:t>
      </w:r>
      <w:r>
        <w:rPr>
          <w:rFonts w:hint="eastAsia"/>
        </w:rPr>
        <w:t>。附件中政府间协定的完整清单见秘书处的档案</w:t>
      </w:r>
      <w:r>
        <w:rPr>
          <w:rFonts w:hint="eastAsia"/>
        </w:rPr>
        <w:t>)</w:t>
      </w:r>
      <w:r>
        <w:rPr>
          <w:rFonts w:hint="eastAsia"/>
        </w:rPr>
        <w:t>。</w:t>
      </w:r>
    </w:p>
    <w:p w:rsidR="00000000" w:rsidRDefault="00000000">
      <w:pPr>
        <w:pStyle w:val="Heading4"/>
        <w:rPr>
          <w:rFonts w:hint="eastAsia"/>
        </w:rPr>
      </w:pPr>
      <w:r>
        <w:rPr>
          <w:rFonts w:hint="eastAsia"/>
        </w:rPr>
        <w:t>权利与自由</w:t>
      </w:r>
    </w:p>
    <w:p w:rsidR="00000000" w:rsidRDefault="00000000">
      <w:pPr>
        <w:rPr>
          <w:rFonts w:hint="eastAsia"/>
        </w:rPr>
      </w:pPr>
      <w:r>
        <w:rPr>
          <w:rFonts w:hint="eastAsia"/>
        </w:rPr>
        <w:tab/>
        <w:t xml:space="preserve">37.  </w:t>
      </w:r>
      <w:r>
        <w:rPr>
          <w:rFonts w:hint="eastAsia"/>
        </w:rPr>
        <w:t>波斯尼亚和黑塞哥维那领土上的所有人都享受人权与自由，这意味着：</w:t>
      </w:r>
    </w:p>
    <w:p w:rsidR="00000000" w:rsidRDefault="00000000">
      <w:pPr>
        <w:pStyle w:val="a0"/>
        <w:tabs>
          <w:tab w:val="num" w:pos="510"/>
        </w:tabs>
        <w:ind w:left="1550"/>
        <w:rPr>
          <w:rFonts w:hint="eastAsia"/>
          <w:lang w:val="en-GB"/>
        </w:rPr>
      </w:pPr>
      <w:r>
        <w:rPr>
          <w:rFonts w:hint="eastAsia"/>
        </w:rPr>
        <w:t>生命权；</w:t>
      </w:r>
    </w:p>
    <w:p w:rsidR="00000000" w:rsidRDefault="00000000">
      <w:pPr>
        <w:pStyle w:val="a0"/>
        <w:tabs>
          <w:tab w:val="num" w:pos="510"/>
        </w:tabs>
        <w:ind w:left="1550"/>
        <w:rPr>
          <w:rFonts w:hint="eastAsia"/>
          <w:lang w:val="en-GB"/>
        </w:rPr>
      </w:pPr>
      <w:r>
        <w:rPr>
          <w:rFonts w:hint="eastAsia"/>
          <w:lang w:val="en-GB"/>
        </w:rPr>
        <w:t>不受酷刑或不人道、或有辱人格的待遇或惩罚的权利；</w:t>
      </w:r>
    </w:p>
    <w:p w:rsidR="00000000" w:rsidRDefault="00000000">
      <w:pPr>
        <w:pStyle w:val="a0"/>
        <w:tabs>
          <w:tab w:val="num" w:pos="510"/>
        </w:tabs>
        <w:ind w:left="1550"/>
        <w:rPr>
          <w:rFonts w:hint="eastAsia"/>
          <w:lang w:val="en-GB"/>
        </w:rPr>
      </w:pPr>
      <w:r>
        <w:rPr>
          <w:rFonts w:hint="eastAsia"/>
          <w:lang w:val="en-GB"/>
        </w:rPr>
        <w:t>自由和人身安全权；</w:t>
      </w:r>
    </w:p>
    <w:p w:rsidR="00000000" w:rsidRDefault="00000000">
      <w:pPr>
        <w:pStyle w:val="a0"/>
        <w:tabs>
          <w:tab w:val="num" w:pos="510"/>
        </w:tabs>
        <w:ind w:left="1550"/>
        <w:rPr>
          <w:rFonts w:hint="eastAsia"/>
          <w:lang w:val="en-GB"/>
        </w:rPr>
      </w:pPr>
      <w:r>
        <w:rPr>
          <w:rFonts w:hint="eastAsia"/>
          <w:lang w:val="en-GB"/>
        </w:rPr>
        <w:t>在民事或刑事诉讼中公正听证的权利，以及在刑事诉讼中的其他权利，私人生活和家庭生活的权利；</w:t>
      </w:r>
    </w:p>
    <w:p w:rsidR="00000000" w:rsidRDefault="00000000">
      <w:pPr>
        <w:pStyle w:val="a0"/>
        <w:tabs>
          <w:tab w:val="num" w:pos="510"/>
        </w:tabs>
        <w:ind w:left="1550"/>
        <w:rPr>
          <w:rFonts w:hint="eastAsia"/>
          <w:lang w:val="en-GB"/>
        </w:rPr>
      </w:pPr>
      <w:r>
        <w:rPr>
          <w:rFonts w:hint="eastAsia"/>
          <w:lang w:val="en-GB"/>
        </w:rPr>
        <w:t>思想、良心和宗教信仰自由；</w:t>
      </w:r>
    </w:p>
    <w:p w:rsidR="00000000" w:rsidRDefault="00000000">
      <w:pPr>
        <w:pStyle w:val="a0"/>
        <w:tabs>
          <w:tab w:val="num" w:pos="510"/>
        </w:tabs>
        <w:ind w:left="1550"/>
        <w:rPr>
          <w:rFonts w:hint="eastAsia"/>
          <w:lang w:val="en-GB"/>
        </w:rPr>
      </w:pPr>
      <w:r>
        <w:rPr>
          <w:rFonts w:hint="eastAsia"/>
          <w:lang w:val="en-GB"/>
        </w:rPr>
        <w:t>表达和和平集会自由以及结社自由；</w:t>
      </w:r>
    </w:p>
    <w:p w:rsidR="00000000" w:rsidRDefault="00000000">
      <w:pPr>
        <w:pStyle w:val="a0"/>
        <w:tabs>
          <w:tab w:val="num" w:pos="510"/>
        </w:tabs>
        <w:ind w:left="1550"/>
        <w:rPr>
          <w:rFonts w:hint="eastAsia"/>
          <w:lang w:val="en-GB"/>
        </w:rPr>
      </w:pPr>
      <w:r>
        <w:rPr>
          <w:rFonts w:hint="eastAsia"/>
          <w:lang w:val="en-GB"/>
        </w:rPr>
        <w:t>婚姻和建立家庭的权利；</w:t>
      </w:r>
    </w:p>
    <w:p w:rsidR="00000000" w:rsidRDefault="00000000">
      <w:pPr>
        <w:pStyle w:val="a0"/>
        <w:tabs>
          <w:tab w:val="num" w:pos="510"/>
        </w:tabs>
        <w:ind w:left="1550"/>
        <w:rPr>
          <w:rFonts w:hint="eastAsia"/>
          <w:lang w:val="en-GB"/>
        </w:rPr>
      </w:pPr>
      <w:r>
        <w:rPr>
          <w:rFonts w:hint="eastAsia"/>
          <w:lang w:val="en-GB"/>
        </w:rPr>
        <w:t>财产权；</w:t>
      </w:r>
    </w:p>
    <w:p w:rsidR="00000000" w:rsidRDefault="00000000">
      <w:pPr>
        <w:pStyle w:val="a0"/>
        <w:tabs>
          <w:tab w:val="num" w:pos="510"/>
        </w:tabs>
        <w:ind w:left="1550"/>
        <w:rPr>
          <w:rFonts w:hint="eastAsia"/>
          <w:lang w:val="en-GB"/>
        </w:rPr>
      </w:pPr>
      <w:r>
        <w:rPr>
          <w:rFonts w:hint="eastAsia"/>
          <w:lang w:val="en-GB"/>
        </w:rPr>
        <w:t>受教育的权利；</w:t>
      </w:r>
    </w:p>
    <w:p w:rsidR="00000000" w:rsidRDefault="00000000">
      <w:pPr>
        <w:pStyle w:val="a0"/>
        <w:tabs>
          <w:tab w:val="num" w:pos="510"/>
        </w:tabs>
        <w:ind w:left="1550"/>
        <w:rPr>
          <w:rFonts w:hint="eastAsia"/>
          <w:lang w:val="en-GB"/>
        </w:rPr>
      </w:pPr>
      <w:r>
        <w:rPr>
          <w:rFonts w:hint="eastAsia"/>
          <w:lang w:val="en-GB"/>
        </w:rPr>
        <w:t>行动自由和居住的权利。</w:t>
      </w:r>
    </w:p>
    <w:p w:rsidR="00000000" w:rsidRDefault="00000000">
      <w:pPr>
        <w:rPr>
          <w:rFonts w:hint="eastAsia"/>
        </w:rPr>
      </w:pPr>
      <w:r>
        <w:rPr>
          <w:rFonts w:hint="eastAsia"/>
        </w:rPr>
        <w:tab/>
        <w:t xml:space="preserve">38.  </w:t>
      </w:r>
      <w:r>
        <w:rPr>
          <w:rFonts w:hint="eastAsia"/>
        </w:rPr>
        <w:t>享受宪法或在波斯尼亚和黑塞哥维那宪法中所列出的各项国际协定</w:t>
      </w:r>
      <w:r>
        <w:rPr>
          <w:rFonts w:hint="eastAsia"/>
        </w:rPr>
        <w:t>(</w:t>
      </w:r>
      <w:r>
        <w:rPr>
          <w:rFonts w:hint="eastAsia"/>
        </w:rPr>
        <w:t>见附件一</w:t>
      </w:r>
      <w:r>
        <w:rPr>
          <w:rFonts w:hint="eastAsia"/>
        </w:rPr>
        <w:t>)</w:t>
      </w:r>
      <w:r>
        <w:rPr>
          <w:rFonts w:hint="eastAsia"/>
        </w:rPr>
        <w:t>中所规定的各项权利和自由，就意味着在波斯尼亚和黑塞哥维那的所有人不得受到任何歧视。宪法</w:t>
      </w:r>
      <w:r>
        <w:rPr>
          <w:rFonts w:hint="eastAsia"/>
        </w:rPr>
        <w:t>(</w:t>
      </w:r>
      <w:r>
        <w:rPr>
          <w:rFonts w:hint="eastAsia"/>
        </w:rPr>
        <w:t>第</w:t>
      </w:r>
      <w:r>
        <w:rPr>
          <w:rFonts w:hint="eastAsia"/>
        </w:rPr>
        <w:t>II.4</w:t>
      </w:r>
      <w:r>
        <w:rPr>
          <w:rFonts w:hint="eastAsia"/>
        </w:rPr>
        <w:t>条</w:t>
      </w:r>
      <w:r>
        <w:rPr>
          <w:rFonts w:hint="eastAsia"/>
        </w:rPr>
        <w:t>)</w:t>
      </w:r>
      <w:r>
        <w:rPr>
          <w:rFonts w:hint="eastAsia"/>
        </w:rPr>
        <w:t>规定如下：</w:t>
      </w:r>
    </w:p>
    <w:p w:rsidR="00000000" w:rsidRDefault="00000000">
      <w:pPr>
        <w:ind w:left="1040"/>
        <w:rPr>
          <w:rFonts w:hint="eastAsia"/>
        </w:rPr>
      </w:pPr>
      <w:r>
        <w:rPr>
          <w:rFonts w:hint="eastAsia"/>
        </w:rPr>
        <w:tab/>
      </w:r>
      <w:r>
        <w:rPr>
          <w:rFonts w:hint="eastAsia"/>
        </w:rPr>
        <w:t>“非歧视</w:t>
      </w:r>
      <w:r>
        <w:rPr>
          <w:rFonts w:hint="eastAsia"/>
          <w:spacing w:val="-50"/>
        </w:rPr>
        <w:t>―</w:t>
      </w:r>
      <w:r>
        <w:rPr>
          <w:rFonts w:hint="eastAsia"/>
        </w:rPr>
        <w:t>―在本条或本宪法附件中所列的各项国际协定所要求的享受各项权利和自由将会得到保障。波斯尼亚和黑塞哥维那的任何人都不得以任何理由受到歧视，例如性别、种族、肤色、语言、宗教、政治或其他信仰、族籍或社会出身、从属于某个少数民族、财产、出身或其他地位等。”</w:t>
      </w:r>
    </w:p>
    <w:p w:rsidR="00000000" w:rsidRDefault="00000000">
      <w:pPr>
        <w:rPr>
          <w:rFonts w:hint="eastAsia"/>
        </w:rPr>
      </w:pPr>
      <w:r>
        <w:rPr>
          <w:rFonts w:hint="eastAsia"/>
        </w:rPr>
        <w:tab/>
        <w:t xml:space="preserve">39.  </w:t>
      </w:r>
      <w:r>
        <w:rPr>
          <w:rFonts w:hint="eastAsia"/>
        </w:rPr>
        <w:t>波斯尼亚和黑塞哥维那在代顿和平协议以后制定的主要立法或正在制定过程中的立法都与本公约所界定的保护基本人权的国际文书保持一致；从而，其规定直接或非直接地被纳入了立法。波斯尼亚和黑塞哥维那初级和中级教育框架法包括在教育方面禁止任何形式的歧视的条款，正如议会大会所通过的性别平等法一样</w:t>
      </w:r>
      <w:r>
        <w:rPr>
          <w:rFonts w:hint="eastAsia"/>
        </w:rPr>
        <w:t>(</w:t>
      </w:r>
      <w:r>
        <w:rPr>
          <w:rFonts w:hint="eastAsia"/>
        </w:rPr>
        <w:t>发表于政府公报，</w:t>
      </w:r>
      <w:r>
        <w:rPr>
          <w:rFonts w:hint="eastAsia"/>
        </w:rPr>
        <w:t>16/03)</w:t>
      </w:r>
      <w:r>
        <w:rPr>
          <w:rFonts w:hint="eastAsia"/>
        </w:rPr>
        <w:t>。</w:t>
      </w:r>
    </w:p>
    <w:p w:rsidR="00000000" w:rsidRDefault="00000000">
      <w:pPr>
        <w:rPr>
          <w:rFonts w:hint="eastAsia"/>
        </w:rPr>
      </w:pPr>
      <w:r>
        <w:rPr>
          <w:rFonts w:hint="eastAsia"/>
        </w:rPr>
        <w:tab/>
        <w:t xml:space="preserve">40.  </w:t>
      </w:r>
      <w:r>
        <w:rPr>
          <w:rFonts w:hint="eastAsia"/>
        </w:rPr>
        <w:t>该法以《消除对妇女一切形式歧视公约》及其任择议定书，欧洲保护人权和基本自由公约及其补充议定书，以及本公约为基础并与之接轨。</w:t>
      </w:r>
    </w:p>
    <w:p w:rsidR="00000000" w:rsidRDefault="00000000">
      <w:pPr>
        <w:rPr>
          <w:rFonts w:hint="eastAsia"/>
        </w:rPr>
      </w:pPr>
      <w:r>
        <w:rPr>
          <w:rFonts w:hint="eastAsia"/>
        </w:rPr>
        <w:tab/>
        <w:t xml:space="preserve">41.  </w:t>
      </w:r>
      <w:r>
        <w:rPr>
          <w:rFonts w:hint="eastAsia"/>
        </w:rPr>
        <w:t>由于波斯尼亚和黑塞哥维那在种族和民族的起源方面碰到了问题，其解决办法就是调整其宪法法院关于民族合法性的部分决定以及统一种族宪法</w:t>
      </w:r>
      <w:r>
        <w:rPr>
          <w:rFonts w:hint="eastAsia"/>
        </w:rPr>
        <w:t>(</w:t>
      </w:r>
      <w:r>
        <w:rPr>
          <w:rFonts w:hint="eastAsia"/>
        </w:rPr>
        <w:t>政府公报，</w:t>
      </w:r>
      <w:r>
        <w:rPr>
          <w:rFonts w:hint="eastAsia"/>
        </w:rPr>
        <w:t>23/02)</w:t>
      </w:r>
      <w:r>
        <w:rPr>
          <w:rFonts w:hint="eastAsia"/>
        </w:rPr>
        <w:t>以便纳入《消除一切形式种族歧视国际公约》、《公民和政治权利国际公约》及其任择议定书、以及《欧洲保护人权和基本自由公约》的各项原则。</w:t>
      </w:r>
    </w:p>
    <w:p w:rsidR="00000000" w:rsidRDefault="00000000">
      <w:pPr>
        <w:rPr>
          <w:rFonts w:hint="eastAsia"/>
        </w:rPr>
      </w:pPr>
      <w:r>
        <w:rPr>
          <w:rFonts w:hint="eastAsia"/>
        </w:rPr>
        <w:tab/>
        <w:t>42.  2001</w:t>
      </w:r>
      <w:r>
        <w:rPr>
          <w:rFonts w:hint="eastAsia"/>
        </w:rPr>
        <w:t>年</w:t>
      </w:r>
      <w:r>
        <w:rPr>
          <w:rFonts w:hint="eastAsia"/>
        </w:rPr>
        <w:t>12</w:t>
      </w:r>
      <w:r>
        <w:rPr>
          <w:rFonts w:hint="eastAsia"/>
        </w:rPr>
        <w:t>月至</w:t>
      </w:r>
      <w:r>
        <w:rPr>
          <w:rFonts w:hint="eastAsia"/>
        </w:rPr>
        <w:t>2002</w:t>
      </w:r>
      <w:r>
        <w:rPr>
          <w:rFonts w:hint="eastAsia"/>
        </w:rPr>
        <w:t>年</w:t>
      </w:r>
      <w:r>
        <w:rPr>
          <w:rFonts w:hint="eastAsia"/>
        </w:rPr>
        <w:t>4</w:t>
      </w:r>
      <w:r>
        <w:rPr>
          <w:rFonts w:hint="eastAsia"/>
        </w:rPr>
        <w:t>月，各政党之间举行了会谈，此后，高级代表提出了修改塞族共和国宪法和波斯尼亚和黑塞哥维那联邦宪法关于波斯尼亚族、塞尔维亚族、克罗地亚族和其他民族的合法性的部分。塞族共和国的国民大会通过了修改，条件是高级代表对两个修正案作出修改，而在波斯尼亚和黑塞哥维那联邦，有关的宪法修改并没有得到通过，因为来自波斯尼亚和克罗地亚人民的两个主要政党对这一个概念本身不满意，而且两个实体的完全一样的宪法条款要么覆盖面不够，要么完全不存在。高级代表宣布了波斯尼亚和黑塞哥维那联邦的宪法修改，而且虽然联邦议会并没有接受，但还是执行了。</w:t>
      </w:r>
    </w:p>
    <w:p w:rsidR="00000000" w:rsidRDefault="00000000">
      <w:pPr>
        <w:rPr>
          <w:rFonts w:hint="eastAsia"/>
        </w:rPr>
      </w:pPr>
      <w:r>
        <w:rPr>
          <w:rFonts w:hint="eastAsia"/>
        </w:rPr>
        <w:tab/>
        <w:t xml:space="preserve">43.  </w:t>
      </w:r>
      <w:r>
        <w:rPr>
          <w:rFonts w:hint="eastAsia"/>
        </w:rPr>
        <w:t>关于立法权，必须强调，在塞族共和国成立了各族人民理事会，共有</w:t>
      </w:r>
      <w:r>
        <w:rPr>
          <w:rFonts w:hint="eastAsia"/>
        </w:rPr>
        <w:t>28</w:t>
      </w:r>
      <w:r>
        <w:rPr>
          <w:rFonts w:hint="eastAsia"/>
        </w:rPr>
        <w:t>名代表</w:t>
      </w:r>
      <w:r>
        <w:rPr>
          <w:rFonts w:hint="eastAsia"/>
        </w:rPr>
        <w:t>(</w:t>
      </w:r>
      <w:r>
        <w:rPr>
          <w:rFonts w:hint="eastAsia"/>
        </w:rPr>
        <w:t>每一个选区民族有</w:t>
      </w:r>
      <w:r>
        <w:rPr>
          <w:rFonts w:hint="eastAsia"/>
        </w:rPr>
        <w:t>8</w:t>
      </w:r>
      <w:r>
        <w:rPr>
          <w:rFonts w:hint="eastAsia"/>
        </w:rPr>
        <w:t>名，另外</w:t>
      </w:r>
      <w:r>
        <w:rPr>
          <w:rFonts w:hint="eastAsia"/>
        </w:rPr>
        <w:t>4</w:t>
      </w:r>
      <w:r>
        <w:rPr>
          <w:rFonts w:hint="eastAsia"/>
        </w:rPr>
        <w:t>名来自其他方面</w:t>
      </w:r>
      <w:r>
        <w:rPr>
          <w:rFonts w:hint="eastAsia"/>
        </w:rPr>
        <w:t>)</w:t>
      </w:r>
      <w:r>
        <w:rPr>
          <w:rFonts w:hint="eastAsia"/>
        </w:rPr>
        <w:t>；塞族共和国立法当局由全国代表大会和各族人民理事会组成。在联邦议会中，在众议院中每一个选区民族必须有</w:t>
      </w:r>
      <w:r>
        <w:rPr>
          <w:rFonts w:hint="eastAsia"/>
        </w:rPr>
        <w:t>4</w:t>
      </w:r>
      <w:r>
        <w:rPr>
          <w:rFonts w:hint="eastAsia"/>
        </w:rPr>
        <w:t>名代表，众议院共由</w:t>
      </w:r>
      <w:r>
        <w:rPr>
          <w:rFonts w:hint="eastAsia"/>
        </w:rPr>
        <w:t>98</w:t>
      </w:r>
      <w:r>
        <w:rPr>
          <w:rFonts w:hint="eastAsia"/>
        </w:rPr>
        <w:t>名代表组成。波斯尼亚和黑塞哥维那联邦议会的民族院是按照同等原则组成的，这样每一个选区民族有同样人数的代表</w:t>
      </w:r>
      <w:r>
        <w:rPr>
          <w:rFonts w:hint="eastAsia"/>
        </w:rPr>
        <w:t>(17)</w:t>
      </w:r>
      <w:r>
        <w:rPr>
          <w:rFonts w:hint="eastAsia"/>
        </w:rPr>
        <w:t>加上其他类别的</w:t>
      </w:r>
      <w:r>
        <w:rPr>
          <w:rFonts w:hint="eastAsia"/>
        </w:rPr>
        <w:t>7</w:t>
      </w:r>
      <w:r>
        <w:rPr>
          <w:rFonts w:hint="eastAsia"/>
        </w:rPr>
        <w:t>名代表</w:t>
      </w:r>
      <w:r>
        <w:rPr>
          <w:rFonts w:hint="eastAsia"/>
        </w:rPr>
        <w:t>(</w:t>
      </w:r>
      <w:r>
        <w:rPr>
          <w:rFonts w:hint="eastAsia"/>
        </w:rPr>
        <w:t>总共</w:t>
      </w:r>
      <w:r>
        <w:rPr>
          <w:rFonts w:hint="eastAsia"/>
        </w:rPr>
        <w:t>58</w:t>
      </w:r>
      <w:r>
        <w:rPr>
          <w:rFonts w:hint="eastAsia"/>
        </w:rPr>
        <w:t>名代表</w:t>
      </w:r>
      <w:r>
        <w:rPr>
          <w:rFonts w:hint="eastAsia"/>
        </w:rPr>
        <w:t>)</w:t>
      </w:r>
      <w:r>
        <w:rPr>
          <w:rFonts w:hint="eastAsia"/>
        </w:rPr>
        <w:t>。必须指出，由于当选代表人数不足，在波斯尼亚和黑塞哥维那联邦民族院中在任命塞族代表时碰到一些困难。</w:t>
      </w:r>
    </w:p>
    <w:p w:rsidR="00000000" w:rsidRDefault="00000000">
      <w:pPr>
        <w:rPr>
          <w:rFonts w:hint="eastAsia"/>
        </w:rPr>
      </w:pPr>
      <w:r>
        <w:rPr>
          <w:rFonts w:hint="eastAsia"/>
        </w:rPr>
        <w:tab/>
        <w:t xml:space="preserve">44.  </w:t>
      </w:r>
      <w:r>
        <w:rPr>
          <w:rFonts w:hint="eastAsia"/>
        </w:rPr>
        <w:t>关于实体的执行当局，波斯尼亚和黑塞哥维那联邦以及塞族共和国的总统有两位来自不同的选区民族的副总统。差别就在于选举和权力方面，因为塞族共和国的总统和副总统是直接选举的，而在波斯尼亚和黑塞哥维那联邦是非直接选举的。在波斯尼亚和黑塞哥维那联邦以及塞族共和国的政府中各自规定了来自不同选区民族的部长的最低人数。另外，总理和他的副手</w:t>
      </w:r>
      <w:r>
        <w:rPr>
          <w:rFonts w:hint="eastAsia"/>
        </w:rPr>
        <w:t>(</w:t>
      </w:r>
      <w:r>
        <w:rPr>
          <w:rFonts w:hint="eastAsia"/>
        </w:rPr>
        <w:t>在联邦</w:t>
      </w:r>
      <w:r>
        <w:rPr>
          <w:rFonts w:hint="eastAsia"/>
        </w:rPr>
        <w:t>)</w:t>
      </w:r>
      <w:r>
        <w:rPr>
          <w:rFonts w:hint="eastAsia"/>
        </w:rPr>
        <w:t>和副总理</w:t>
      </w:r>
      <w:r>
        <w:rPr>
          <w:rFonts w:hint="eastAsia"/>
        </w:rPr>
        <w:t>(</w:t>
      </w:r>
      <w:r>
        <w:rPr>
          <w:rFonts w:hint="eastAsia"/>
        </w:rPr>
        <w:t>在塞族共和国</w:t>
      </w:r>
      <w:r>
        <w:rPr>
          <w:rFonts w:hint="eastAsia"/>
        </w:rPr>
        <w:t>)</w:t>
      </w:r>
      <w:r>
        <w:rPr>
          <w:rFonts w:hint="eastAsia"/>
        </w:rPr>
        <w:t>不能选自同一个选区民族。</w:t>
      </w:r>
    </w:p>
    <w:p w:rsidR="00000000" w:rsidRDefault="00000000">
      <w:pPr>
        <w:rPr>
          <w:rFonts w:hint="eastAsia"/>
        </w:rPr>
      </w:pPr>
      <w:r>
        <w:rPr>
          <w:rFonts w:hint="eastAsia"/>
        </w:rPr>
        <w:tab/>
        <w:t xml:space="preserve">45.  </w:t>
      </w:r>
      <w:r>
        <w:rPr>
          <w:rFonts w:hint="eastAsia"/>
        </w:rPr>
        <w:t>各个州的当局确保各选区的民族和其他方面的成员在州和市一级的行政机关中都有相应比例的代表。</w:t>
      </w:r>
    </w:p>
    <w:p w:rsidR="00000000" w:rsidRDefault="00000000">
      <w:r>
        <w:rPr>
          <w:rFonts w:hint="eastAsia"/>
        </w:rPr>
        <w:tab/>
        <w:t xml:space="preserve">46.  </w:t>
      </w:r>
      <w:r>
        <w:rPr>
          <w:rFonts w:hint="eastAsia"/>
        </w:rPr>
        <w:t>在司法当局方面，波斯尼亚和黑塞哥维那联邦以及塞族共和国都设立了高等司法和高等检察院，在波斯尼亚和黑塞哥维那一级也是如此。这是在司法和检察当局范围内高效率执行决定的正面例子：塞族共和国最高法院的院长是克罗地亚人，其公共检察官来自“其他”类别的人，而一名塞尔维亚人担任了联邦的首席检察官，一名克罗地亚人担任了宪法法院的院长。根据</w:t>
      </w:r>
      <w:r>
        <w:rPr>
          <w:rFonts w:hint="eastAsia"/>
        </w:rPr>
        <w:t>1991</w:t>
      </w:r>
      <w:r>
        <w:rPr>
          <w:rFonts w:hint="eastAsia"/>
        </w:rPr>
        <w:t>年的人口普查，各选区民族和其他群体成员的代表将按比例进入联邦的州和市一级的法院，在塞族共和国则是进入初等和地区法院。这一安排目前正开始执行。随着人口更加大量地回到了他们战前的家园，预计在这方面还会取得进展。他们的职权自被任命之日起生效。</w:t>
      </w:r>
      <w:r>
        <w:rPr>
          <w:rFonts w:hint="eastAsia"/>
          <w:lang w:val="en-GB"/>
        </w:rPr>
        <w:t>布尔奇科</w:t>
      </w:r>
      <w:r>
        <w:rPr>
          <w:rFonts w:hint="eastAsia"/>
        </w:rPr>
        <w:t>波斯尼亚和黑塞哥维那区是一个独特的地方行政形式，它不属于两个实体的任何一方，但是在波斯尼亚和黑塞哥维那国家主权直接管辖之下。它规定公民在行政管理、教育、法律保护等方面之平等的权利和义务。</w:t>
      </w:r>
    </w:p>
    <w:p w:rsidR="00000000" w:rsidRDefault="00000000">
      <w:pPr>
        <w:rPr>
          <w:rFonts w:hint="eastAsia"/>
        </w:rPr>
      </w:pPr>
      <w:r>
        <w:rPr>
          <w:rFonts w:hint="eastAsia"/>
        </w:rPr>
        <w:tab/>
        <w:t xml:space="preserve">47.  </w:t>
      </w:r>
      <w:r>
        <w:rPr>
          <w:rFonts w:hint="eastAsia"/>
        </w:rPr>
        <w:t>在下一阶段，有必要在较低级别的领导机关落实上述决定，这就意味着各族人民都确保能以同等的条件进入各级国家或公共服务部门，并要考虑到各族人民平等的原则和专业化的各项原则。</w:t>
      </w:r>
    </w:p>
    <w:p w:rsidR="00000000" w:rsidRDefault="00000000">
      <w:pPr>
        <w:rPr>
          <w:rFonts w:hint="eastAsia"/>
        </w:rPr>
      </w:pPr>
      <w:r>
        <w:rPr>
          <w:rFonts w:hint="eastAsia"/>
        </w:rPr>
        <w:tab/>
        <w:t xml:space="preserve">48.  </w:t>
      </w:r>
      <w:r>
        <w:rPr>
          <w:rFonts w:hint="eastAsia"/>
        </w:rPr>
        <w:t>我们应当指出波斯尼亚和黑塞哥维那保护少数民族权利法。该部法律于</w:t>
      </w:r>
      <w:r>
        <w:rPr>
          <w:rFonts w:hint="eastAsia"/>
        </w:rPr>
        <w:t>2003</w:t>
      </w:r>
      <w:r>
        <w:rPr>
          <w:rFonts w:hint="eastAsia"/>
        </w:rPr>
        <w:t>年</w:t>
      </w:r>
      <w:r>
        <w:rPr>
          <w:rFonts w:hint="eastAsia"/>
        </w:rPr>
        <w:t>4</w:t>
      </w:r>
      <w:r>
        <w:rPr>
          <w:rFonts w:hint="eastAsia"/>
        </w:rPr>
        <w:t>月</w:t>
      </w:r>
      <w:r>
        <w:rPr>
          <w:rFonts w:hint="eastAsia"/>
        </w:rPr>
        <w:t>1</w:t>
      </w:r>
      <w:r>
        <w:rPr>
          <w:rFonts w:hint="eastAsia"/>
        </w:rPr>
        <w:t>日在波斯尼亚和黑塞哥维那议会中通过。这部法律是与《消除一切形式种族歧视国际公约》和《欧洲保护少数民族框架公约》相一致的。</w:t>
      </w:r>
    </w:p>
    <w:p w:rsidR="00000000" w:rsidRDefault="00000000">
      <w:pPr>
        <w:rPr>
          <w:rFonts w:hint="eastAsia"/>
        </w:rPr>
      </w:pPr>
      <w:r>
        <w:rPr>
          <w:rFonts w:hint="eastAsia"/>
        </w:rPr>
        <w:tab/>
        <w:t xml:space="preserve">49.  </w:t>
      </w:r>
      <w:r>
        <w:rPr>
          <w:rFonts w:hint="eastAsia"/>
        </w:rPr>
        <w:t>相关的规定如下：根据波斯尼亚和黑塞哥维那宪法法院的部分决定，所有主管当局必须将互相有冲突的法律协调起来。根据波斯尼亚和黑塞哥维那保护少数民族法，规定波斯尼亚和黑塞哥维那各实体、州、市和城镇有义务更准确的将其法律和其他条例与本法律的权利和义务统一起来。</w:t>
      </w:r>
    </w:p>
    <w:p w:rsidR="00000000" w:rsidRDefault="00000000">
      <w:pPr>
        <w:rPr>
          <w:rFonts w:hint="eastAsia"/>
        </w:rPr>
      </w:pPr>
      <w:r>
        <w:rPr>
          <w:rFonts w:hint="eastAsia"/>
        </w:rPr>
        <w:tab/>
        <w:t>50.  2002</w:t>
      </w:r>
      <w:r>
        <w:rPr>
          <w:rFonts w:hint="eastAsia"/>
        </w:rPr>
        <w:t>年</w:t>
      </w:r>
      <w:r>
        <w:rPr>
          <w:rFonts w:hint="eastAsia"/>
        </w:rPr>
        <w:t>6</w:t>
      </w:r>
      <w:r>
        <w:rPr>
          <w:rFonts w:hint="eastAsia"/>
        </w:rPr>
        <w:t>月</w:t>
      </w:r>
      <w:r>
        <w:rPr>
          <w:rFonts w:hint="eastAsia"/>
        </w:rPr>
        <w:t>13</w:t>
      </w:r>
      <w:r>
        <w:rPr>
          <w:rFonts w:hint="eastAsia"/>
        </w:rPr>
        <w:t>日，部长理事会根据人权和难民事务部要采取的任命方法和标准决定设立罗姆委员会。罗姆委员会由九名罗姆代表和九名国家</w:t>
      </w:r>
      <w:r>
        <w:rPr>
          <w:rFonts w:hint="eastAsia"/>
        </w:rPr>
        <w:t>/</w:t>
      </w:r>
      <w:r>
        <w:rPr>
          <w:rFonts w:hint="eastAsia"/>
        </w:rPr>
        <w:t>实体部长任命的代表组成。他们负责协调和协助更有效的落实罗姆权利，这是在波斯尼亚和黑塞哥维那最大的少数民族团体。</w:t>
      </w:r>
      <w:r>
        <w:rPr>
          <w:rFonts w:hint="eastAsia"/>
        </w:rPr>
        <w:t>2002-2006</w:t>
      </w:r>
      <w:r>
        <w:rPr>
          <w:rFonts w:hint="eastAsia"/>
        </w:rPr>
        <w:t>年罗姆委员会框架工作计划预计要实现改善波斯尼亚和黑塞哥维那罗姆地位的一些任务，其中包括基本登记、教育、医疗保健、就业和社会福利、难民和流离失所的人士、归还财产、住房问题、建立媒体和新闻系统及其运作等。</w:t>
      </w:r>
    </w:p>
    <w:p w:rsidR="00000000" w:rsidRDefault="00000000">
      <w:pPr>
        <w:rPr>
          <w:rFonts w:hint="eastAsia"/>
        </w:rPr>
      </w:pPr>
      <w:r>
        <w:rPr>
          <w:rFonts w:hint="eastAsia"/>
        </w:rPr>
        <w:tab/>
        <w:t xml:space="preserve">51.  </w:t>
      </w:r>
      <w:r>
        <w:rPr>
          <w:rFonts w:hint="eastAsia"/>
        </w:rPr>
        <w:t>在这方面与波斯尼亚和黑塞哥维那签署的公约和条约包括：《消除一切形式种族歧视国际公约》，</w:t>
      </w:r>
      <w:r>
        <w:rPr>
          <w:rFonts w:hint="eastAsia"/>
        </w:rPr>
        <w:t>1993</w:t>
      </w:r>
      <w:r>
        <w:rPr>
          <w:rFonts w:hint="eastAsia"/>
        </w:rPr>
        <w:t>年</w:t>
      </w:r>
      <w:r>
        <w:rPr>
          <w:rFonts w:hint="eastAsia"/>
        </w:rPr>
        <w:t>7</w:t>
      </w:r>
      <w:r>
        <w:rPr>
          <w:rFonts w:hint="eastAsia"/>
        </w:rPr>
        <w:t>月</w:t>
      </w:r>
      <w:r>
        <w:rPr>
          <w:rFonts w:hint="eastAsia"/>
        </w:rPr>
        <w:t>16</w:t>
      </w:r>
      <w:r>
        <w:rPr>
          <w:rFonts w:hint="eastAsia"/>
        </w:rPr>
        <w:t>日通过继承被接收，并于</w:t>
      </w:r>
      <w:r>
        <w:rPr>
          <w:rFonts w:hint="eastAsia"/>
        </w:rPr>
        <w:t>2000</w:t>
      </w:r>
      <w:r>
        <w:rPr>
          <w:rFonts w:hint="eastAsia"/>
        </w:rPr>
        <w:t>年</w:t>
      </w:r>
      <w:r>
        <w:rPr>
          <w:rFonts w:hint="eastAsia"/>
        </w:rPr>
        <w:t>2</w:t>
      </w:r>
      <w:r>
        <w:rPr>
          <w:rFonts w:hint="eastAsia"/>
        </w:rPr>
        <w:t>月</w:t>
      </w:r>
      <w:r>
        <w:rPr>
          <w:rFonts w:hint="eastAsia"/>
        </w:rPr>
        <w:t>24</w:t>
      </w:r>
      <w:r>
        <w:rPr>
          <w:rFonts w:hint="eastAsia"/>
        </w:rPr>
        <w:t>日批准。《保护少数民族框架公约》于</w:t>
      </w:r>
      <w:r>
        <w:rPr>
          <w:rFonts w:hint="eastAsia"/>
        </w:rPr>
        <w:t>2000</w:t>
      </w:r>
      <w:r>
        <w:rPr>
          <w:rFonts w:hint="eastAsia"/>
        </w:rPr>
        <w:t>年</w:t>
      </w:r>
      <w:r>
        <w:rPr>
          <w:rFonts w:hint="eastAsia"/>
        </w:rPr>
        <w:t>6</w:t>
      </w:r>
      <w:r>
        <w:rPr>
          <w:rFonts w:hint="eastAsia"/>
        </w:rPr>
        <w:t>月</w:t>
      </w:r>
      <w:r>
        <w:rPr>
          <w:rFonts w:hint="eastAsia"/>
        </w:rPr>
        <w:t>1</w:t>
      </w:r>
      <w:r>
        <w:rPr>
          <w:rFonts w:hint="eastAsia"/>
        </w:rPr>
        <w:t>日生效。</w:t>
      </w:r>
    </w:p>
    <w:p w:rsidR="00000000" w:rsidRDefault="00000000">
      <w:pPr>
        <w:rPr>
          <w:rFonts w:hint="eastAsia"/>
        </w:rPr>
      </w:pPr>
      <w:r>
        <w:rPr>
          <w:rFonts w:hint="eastAsia"/>
        </w:rPr>
        <w:tab/>
        <w:t xml:space="preserve">52.  </w:t>
      </w:r>
      <w:r>
        <w:rPr>
          <w:rFonts w:hint="eastAsia"/>
        </w:rPr>
        <w:t>对于保护少数民族法的执行和解释工作的监督责任由波斯尼亚和黑塞哥维那的议会大会主管，议会大会也成立了少数民族理事会。</w:t>
      </w:r>
    </w:p>
    <w:p w:rsidR="00000000" w:rsidRDefault="00000000">
      <w:pPr>
        <w:rPr>
          <w:rFonts w:hint="eastAsia"/>
        </w:rPr>
      </w:pPr>
      <w:r>
        <w:rPr>
          <w:rFonts w:hint="eastAsia"/>
        </w:rPr>
        <w:tab/>
        <w:t xml:space="preserve">53.  </w:t>
      </w:r>
      <w:r>
        <w:rPr>
          <w:rFonts w:hint="eastAsia"/>
        </w:rPr>
        <w:t>波斯尼亚和黑塞哥维那的选举法也进行了修改和补充，增加了少数民族代表参加各级立法机关的条款。国家和实体的宪法禁止基于宗教信仰的歧视。在国际公约的适用和遵守方面，</w:t>
      </w:r>
      <w:r>
        <w:rPr>
          <w:rFonts w:hint="eastAsia"/>
        </w:rPr>
        <w:t>2003</w:t>
      </w:r>
      <w:r>
        <w:rPr>
          <w:rFonts w:hint="eastAsia"/>
        </w:rPr>
        <w:t>年通过了信仰自由法，其中包括关于在波斯尼亚和黑塞哥维那的教会和宗教社区的地位的规定，以便与其签署的国际公约接轨。根据波斯尼亚和黑塞哥维那部委和其他行政机关法，人权与难民事务部负责与宗教社区的合作。作为互相合作的一种形式，四大宗教</w:t>
      </w:r>
      <w:r>
        <w:rPr>
          <w:rFonts w:hint="eastAsia"/>
        </w:rPr>
        <w:t>(</w:t>
      </w:r>
      <w:r>
        <w:rPr>
          <w:rFonts w:hint="eastAsia"/>
        </w:rPr>
        <w:t>伊斯兰、天主教、东方正教和犹太教</w:t>
      </w:r>
      <w:r>
        <w:rPr>
          <w:rFonts w:hint="eastAsia"/>
        </w:rPr>
        <w:t>)</w:t>
      </w:r>
      <w:r>
        <w:rPr>
          <w:rFonts w:hint="eastAsia"/>
        </w:rPr>
        <w:t>的领袖组成了波斯尼亚和黑塞哥维那的宗教间理事会。</w:t>
      </w:r>
    </w:p>
    <w:p w:rsidR="00000000" w:rsidRDefault="00000000">
      <w:pPr>
        <w:rPr>
          <w:rFonts w:hint="eastAsia"/>
        </w:rPr>
      </w:pPr>
      <w:r>
        <w:rPr>
          <w:rFonts w:hint="eastAsia"/>
        </w:rPr>
        <w:tab/>
        <w:t xml:space="preserve">54.  </w:t>
      </w:r>
      <w:r>
        <w:rPr>
          <w:rFonts w:hint="eastAsia"/>
        </w:rPr>
        <w:t>没有一部国家法律是处理关于禁止歧视残疾人的问题的。</w:t>
      </w:r>
      <w:r>
        <w:rPr>
          <w:rFonts w:hint="eastAsia"/>
        </w:rPr>
        <w:t>2003</w:t>
      </w:r>
      <w:r>
        <w:rPr>
          <w:rFonts w:hint="eastAsia"/>
        </w:rPr>
        <w:t>年</w:t>
      </w:r>
      <w:r>
        <w:rPr>
          <w:rFonts w:hint="eastAsia"/>
        </w:rPr>
        <w:t>11</w:t>
      </w:r>
      <w:r>
        <w:rPr>
          <w:rFonts w:hint="eastAsia"/>
        </w:rPr>
        <w:t>月，部长理事会颁布了关于接受残疾人机会均等的标准规则的决定。根据已经生效的宪法规定，各个实体负责管理残疾人的权利问题。关于这一领域的法律如下：</w:t>
      </w:r>
    </w:p>
    <w:p w:rsidR="00000000" w:rsidRDefault="00000000">
      <w:pPr>
        <w:pStyle w:val="a0"/>
        <w:tabs>
          <w:tab w:val="num" w:pos="1550"/>
        </w:tabs>
        <w:ind w:left="1550"/>
        <w:rPr>
          <w:rFonts w:hint="eastAsia"/>
        </w:rPr>
      </w:pPr>
      <w:r>
        <w:rPr>
          <w:rFonts w:hint="eastAsia"/>
        </w:rPr>
        <w:t>在波斯尼亚和黑塞哥维那联邦：战争的平民受害者社会保护和有子女家庭保护法</w:t>
      </w:r>
      <w:r>
        <w:rPr>
          <w:rFonts w:hint="eastAsia"/>
        </w:rPr>
        <w:t>(</w:t>
      </w:r>
      <w:r>
        <w:rPr>
          <w:rFonts w:hint="eastAsia"/>
        </w:rPr>
        <w:t>波斯尼亚和黑塞哥维那联邦政府公报，</w:t>
      </w:r>
      <w:r>
        <w:rPr>
          <w:rFonts w:hint="eastAsia"/>
        </w:rPr>
        <w:t>3/99</w:t>
      </w:r>
      <w:r>
        <w:rPr>
          <w:rFonts w:hint="eastAsia"/>
        </w:rPr>
        <w:t>；</w:t>
      </w:r>
      <w:r>
        <w:rPr>
          <w:rFonts w:hint="eastAsia"/>
        </w:rPr>
        <w:t>15/96)</w:t>
      </w:r>
      <w:r>
        <w:rPr>
          <w:rFonts w:hint="eastAsia"/>
        </w:rPr>
        <w:t>，养老金和残疾保险法</w:t>
      </w:r>
      <w:r>
        <w:rPr>
          <w:rFonts w:hint="eastAsia"/>
        </w:rPr>
        <w:t>(</w:t>
      </w:r>
      <w:r>
        <w:rPr>
          <w:rFonts w:hint="eastAsia"/>
        </w:rPr>
        <w:t>政府公报，</w:t>
      </w:r>
      <w:r>
        <w:rPr>
          <w:rFonts w:hint="eastAsia"/>
        </w:rPr>
        <w:t>29/98)</w:t>
      </w:r>
      <w:r>
        <w:rPr>
          <w:rFonts w:hint="eastAsia"/>
        </w:rPr>
        <w:t>，精神病患者保护法</w:t>
      </w:r>
      <w:r>
        <w:rPr>
          <w:rFonts w:hint="eastAsia"/>
        </w:rPr>
        <w:t>(</w:t>
      </w:r>
      <w:r>
        <w:rPr>
          <w:rFonts w:hint="eastAsia"/>
        </w:rPr>
        <w:t>政府公报</w:t>
      </w:r>
      <w:r>
        <w:rPr>
          <w:rFonts w:hint="eastAsia"/>
        </w:rPr>
        <w:t>37/01</w:t>
      </w:r>
      <w:r>
        <w:rPr>
          <w:rFonts w:hint="eastAsia"/>
        </w:rPr>
        <w:t>；</w:t>
      </w:r>
      <w:r>
        <w:rPr>
          <w:rFonts w:hint="eastAsia"/>
        </w:rPr>
        <w:t>40/02)</w:t>
      </w:r>
      <w:r>
        <w:rPr>
          <w:rFonts w:hint="eastAsia"/>
        </w:rPr>
        <w:t>；</w:t>
      </w:r>
    </w:p>
    <w:p w:rsidR="00000000" w:rsidRDefault="00000000">
      <w:pPr>
        <w:pStyle w:val="a0"/>
        <w:tabs>
          <w:tab w:val="num" w:pos="1550"/>
        </w:tabs>
        <w:ind w:left="1550"/>
        <w:rPr>
          <w:rFonts w:hint="eastAsia"/>
        </w:rPr>
      </w:pPr>
      <w:r>
        <w:rPr>
          <w:rFonts w:hint="eastAsia"/>
        </w:rPr>
        <w:t>在塞族共和国：社会福利法</w:t>
      </w:r>
      <w:r>
        <w:rPr>
          <w:rFonts w:hint="eastAsia"/>
        </w:rPr>
        <w:t>(</w:t>
      </w:r>
      <w:r>
        <w:rPr>
          <w:rFonts w:hint="eastAsia"/>
        </w:rPr>
        <w:t>塞族共和国政府公报，</w:t>
      </w:r>
      <w:r>
        <w:rPr>
          <w:rFonts w:hint="eastAsia"/>
        </w:rPr>
        <w:t>5/93</w:t>
      </w:r>
      <w:r>
        <w:rPr>
          <w:rFonts w:hint="eastAsia"/>
        </w:rPr>
        <w:t>；</w:t>
      </w:r>
      <w:r>
        <w:rPr>
          <w:rFonts w:hint="eastAsia"/>
        </w:rPr>
        <w:t>15/96)</w:t>
      </w:r>
      <w:r>
        <w:rPr>
          <w:rFonts w:hint="eastAsia"/>
        </w:rPr>
        <w:t>和养老金和残疾保险法</w:t>
      </w:r>
      <w:r>
        <w:rPr>
          <w:rFonts w:hint="eastAsia"/>
        </w:rPr>
        <w:t>(</w:t>
      </w:r>
      <w:r>
        <w:rPr>
          <w:rFonts w:hint="eastAsia"/>
        </w:rPr>
        <w:t>政府公报，</w:t>
      </w:r>
      <w:r>
        <w:rPr>
          <w:rFonts w:hint="eastAsia"/>
        </w:rPr>
        <w:t>32/00</w:t>
      </w:r>
      <w:r>
        <w:rPr>
          <w:rFonts w:hint="eastAsia"/>
        </w:rPr>
        <w:t>；</w:t>
      </w:r>
      <w:r>
        <w:rPr>
          <w:rFonts w:hint="eastAsia"/>
        </w:rPr>
        <w:t xml:space="preserve"> 37/01)</w:t>
      </w:r>
      <w:r>
        <w:rPr>
          <w:rFonts w:hint="eastAsia"/>
        </w:rPr>
        <w:t>；</w:t>
      </w:r>
    </w:p>
    <w:p w:rsidR="00000000" w:rsidRDefault="00000000">
      <w:pPr>
        <w:pStyle w:val="a0"/>
        <w:tabs>
          <w:tab w:val="num" w:pos="1550"/>
        </w:tabs>
        <w:ind w:left="1550"/>
        <w:rPr>
          <w:rFonts w:hint="eastAsia"/>
        </w:rPr>
      </w:pPr>
      <w:r>
        <w:rPr>
          <w:rFonts w:hint="eastAsia"/>
        </w:rPr>
        <w:t>在布尔奇科地区：社会保障法</w:t>
      </w:r>
      <w:r>
        <w:rPr>
          <w:rFonts w:hint="eastAsia"/>
        </w:rPr>
        <w:t>(</w:t>
      </w:r>
      <w:r>
        <w:rPr>
          <w:rFonts w:hint="eastAsia"/>
        </w:rPr>
        <w:t>布尔奇科地区政府公报，</w:t>
      </w:r>
      <w:r>
        <w:rPr>
          <w:rFonts w:hint="eastAsia"/>
        </w:rPr>
        <w:t>1/03)</w:t>
      </w:r>
      <w:r>
        <w:rPr>
          <w:rFonts w:hint="eastAsia"/>
        </w:rPr>
        <w:t>和儿童保护法</w:t>
      </w:r>
      <w:r>
        <w:rPr>
          <w:rFonts w:hint="eastAsia"/>
        </w:rPr>
        <w:t>(</w:t>
      </w:r>
      <w:r>
        <w:rPr>
          <w:rFonts w:hint="eastAsia"/>
        </w:rPr>
        <w:t>政府公报，</w:t>
      </w:r>
      <w:r>
        <w:rPr>
          <w:rFonts w:hint="eastAsia"/>
        </w:rPr>
        <w:t>1/03)</w:t>
      </w:r>
      <w:r>
        <w:rPr>
          <w:rFonts w:hint="eastAsia"/>
        </w:rPr>
        <w:t>。</w:t>
      </w:r>
    </w:p>
    <w:p w:rsidR="00000000" w:rsidRDefault="00000000">
      <w:pPr>
        <w:rPr>
          <w:rFonts w:hint="eastAsia"/>
        </w:rPr>
      </w:pPr>
      <w:r>
        <w:rPr>
          <w:rFonts w:hint="eastAsia"/>
        </w:rPr>
        <w:tab/>
        <w:t xml:space="preserve">55.  </w:t>
      </w:r>
      <w:r>
        <w:rPr>
          <w:rFonts w:hint="eastAsia"/>
        </w:rPr>
        <w:t>残疾人机会均等标准规则成了波斯尼亚和黑塞哥维那制定残疾人政策的起点，因为所生效的法律并不完全与其所签署的国际公约一致。实体和布尔奇科地区医疗保健法以及在医疗保健的一些规章制度中规定了残疾人的一些福利。</w:t>
      </w:r>
    </w:p>
    <w:p w:rsidR="00000000" w:rsidRDefault="00000000">
      <w:pPr>
        <w:rPr>
          <w:rFonts w:hint="eastAsia"/>
        </w:rPr>
      </w:pPr>
      <w:r>
        <w:rPr>
          <w:rFonts w:hint="eastAsia"/>
        </w:rPr>
        <w:tab/>
        <w:t xml:space="preserve">56.  </w:t>
      </w:r>
      <w:r>
        <w:rPr>
          <w:rFonts w:hint="eastAsia"/>
        </w:rPr>
        <w:t>在波斯尼亚和黑塞哥维那联邦最主要的立法是关于医疗保健临时标准和准则以及强制性医疗保健保险的决定</w:t>
      </w:r>
      <w:r>
        <w:rPr>
          <w:rFonts w:hint="eastAsia"/>
        </w:rPr>
        <w:t>(</w:t>
      </w:r>
      <w:r>
        <w:rPr>
          <w:rFonts w:hint="eastAsia"/>
        </w:rPr>
        <w:t>波斯尼亚和黑塞哥维那联邦政府公报，</w:t>
      </w:r>
      <w:r>
        <w:rPr>
          <w:rFonts w:hint="eastAsia"/>
        </w:rPr>
        <w:t>21/00)</w:t>
      </w:r>
      <w:r>
        <w:rPr>
          <w:rFonts w:hint="eastAsia"/>
        </w:rPr>
        <w:t>。各个州也负责确定法律和条例，规定残疾人的福利。各个州负责为残疾人的初级医疗保健提供资金和服务。然而，这一问题的界定方式不同。作为一个规则，残疾人的保护与波斯尼亚和黑塞哥维那所签署的国际公约所规定的标准并不一致。</w:t>
      </w:r>
    </w:p>
    <w:p w:rsidR="00000000" w:rsidRDefault="00000000">
      <w:pPr>
        <w:rPr>
          <w:rFonts w:hint="eastAsia"/>
        </w:rPr>
      </w:pPr>
      <w:r>
        <w:rPr>
          <w:rFonts w:hint="eastAsia"/>
        </w:rPr>
        <w:tab/>
        <w:t xml:space="preserve">57.  </w:t>
      </w:r>
      <w:r>
        <w:rPr>
          <w:rFonts w:hint="eastAsia"/>
        </w:rPr>
        <w:t>在塞族共和国，关于这一问题有几项决定和命令如下：</w:t>
      </w:r>
    </w:p>
    <w:p w:rsidR="00000000" w:rsidRDefault="00000000">
      <w:pPr>
        <w:pStyle w:val="a0"/>
        <w:ind w:left="1550"/>
        <w:rPr>
          <w:rFonts w:hint="eastAsia"/>
        </w:rPr>
      </w:pPr>
      <w:r>
        <w:rPr>
          <w:rFonts w:hint="eastAsia"/>
        </w:rPr>
        <w:t>关于初级医疗保健的最低组成的决定</w:t>
      </w:r>
      <w:r>
        <w:rPr>
          <w:rFonts w:hint="eastAsia"/>
        </w:rPr>
        <w:t>(</w:t>
      </w:r>
      <w:r>
        <w:rPr>
          <w:rFonts w:hint="eastAsia"/>
        </w:rPr>
        <w:t>塞族共和国政府公报，</w:t>
      </w:r>
      <w:r>
        <w:rPr>
          <w:rFonts w:hint="eastAsia"/>
        </w:rPr>
        <w:t>21/01)</w:t>
      </w:r>
      <w:r>
        <w:rPr>
          <w:rFonts w:hint="eastAsia"/>
        </w:rPr>
        <w:t>；关于个人参加医疗保健费用分摊个人险</w:t>
      </w:r>
      <w:r>
        <w:rPr>
          <w:rFonts w:hint="eastAsia"/>
        </w:rPr>
        <w:t>(</w:t>
      </w:r>
      <w:r>
        <w:rPr>
          <w:rFonts w:hint="eastAsia"/>
        </w:rPr>
        <w:t>政府公报，</w:t>
      </w:r>
      <w:r>
        <w:rPr>
          <w:rFonts w:hint="eastAsia"/>
        </w:rPr>
        <w:t>11/02)</w:t>
      </w:r>
      <w:r>
        <w:rPr>
          <w:rFonts w:hint="eastAsia"/>
        </w:rPr>
        <w:t>；关于免收分摊费的命令；关于医疗保险实施的数额、内容和方式的规则</w:t>
      </w:r>
      <w:r>
        <w:rPr>
          <w:rFonts w:hint="eastAsia"/>
        </w:rPr>
        <w:t>(</w:t>
      </w:r>
      <w:r>
        <w:rPr>
          <w:rFonts w:hint="eastAsia"/>
        </w:rPr>
        <w:t>政府公报，</w:t>
      </w:r>
      <w:r>
        <w:rPr>
          <w:rFonts w:hint="eastAsia"/>
        </w:rPr>
        <w:t>21/01</w:t>
      </w:r>
      <w:r>
        <w:rPr>
          <w:rFonts w:hint="eastAsia"/>
        </w:rPr>
        <w:t>；</w:t>
      </w:r>
      <w:r>
        <w:rPr>
          <w:rFonts w:hint="eastAsia"/>
        </w:rPr>
        <w:t>11/02)</w:t>
      </w:r>
      <w:r>
        <w:rPr>
          <w:rFonts w:hint="eastAsia"/>
        </w:rPr>
        <w:t>。这些法律只是在最近才在布尔奇科区实施，相关的细则尚未通过；</w:t>
      </w:r>
    </w:p>
    <w:p w:rsidR="00000000" w:rsidRDefault="00000000">
      <w:pPr>
        <w:pStyle w:val="a0"/>
        <w:ind w:left="1550"/>
        <w:rPr>
          <w:rFonts w:hint="eastAsia"/>
        </w:rPr>
      </w:pPr>
      <w:r>
        <w:rPr>
          <w:rFonts w:hint="eastAsia"/>
        </w:rPr>
        <w:t>体制框架：波斯尼亚和黑塞哥维那部委和其他行政机关法规定人权和难民事务部负责国家一级关于实体当局的计划的活动协调和统一的工作，以及国际一级在卫生和社会保障领域的战略的制定。</w:t>
      </w:r>
    </w:p>
    <w:p w:rsidR="00000000" w:rsidRDefault="00000000">
      <w:pPr>
        <w:rPr>
          <w:rFonts w:hint="eastAsia"/>
        </w:rPr>
      </w:pPr>
      <w:r>
        <w:rPr>
          <w:rFonts w:hint="eastAsia"/>
        </w:rPr>
        <w:tab/>
        <w:t xml:space="preserve">58.  </w:t>
      </w:r>
      <w:r>
        <w:rPr>
          <w:rFonts w:hint="eastAsia"/>
        </w:rPr>
        <w:t>在波斯尼亚和黑塞哥维那联邦机关中负责的是劳动和社会政策部以及战争老兵保护部，在州一级也有类似的部委。在塞族共和国，主管当局是劳动和战争老兵保护部以及卫生和社会保障部。</w:t>
      </w:r>
    </w:p>
    <w:p w:rsidR="00000000" w:rsidRDefault="00000000">
      <w:pPr>
        <w:rPr>
          <w:rFonts w:hint="eastAsia"/>
        </w:rPr>
      </w:pPr>
      <w:r>
        <w:rPr>
          <w:rFonts w:hint="eastAsia"/>
        </w:rPr>
        <w:tab/>
        <w:t xml:space="preserve">59.  </w:t>
      </w:r>
      <w:r>
        <w:rPr>
          <w:rFonts w:hint="eastAsia"/>
        </w:rPr>
        <w:t>在布尔奇科地区，在布尔奇科政府内设立了负责医疗保健、公共安全和其他服务的部门，主管，除其他事项外，儿童保护、社会福利和残疾人的保护。波斯尼亚和黑塞哥维那已开始了为残疾人调整行人过街线和在建筑物入口作标记的过程。</w:t>
      </w:r>
    </w:p>
    <w:p w:rsidR="00000000" w:rsidRDefault="00000000">
      <w:pPr>
        <w:rPr>
          <w:rFonts w:hint="eastAsia"/>
        </w:rPr>
      </w:pPr>
      <w:r>
        <w:rPr>
          <w:rFonts w:hint="eastAsia"/>
        </w:rPr>
        <w:tab/>
        <w:t xml:space="preserve">60.  </w:t>
      </w:r>
      <w:r>
        <w:rPr>
          <w:rFonts w:hint="eastAsia"/>
        </w:rPr>
        <w:t>波斯尼亚和黑塞哥维那在国家一级并没有关于消除基于年龄的歧视的具体法律，即保护老年人和儿童的法律。这些领域是由实体关于社会保障的法律管的。各实体负责社会保障领域，它们应用如下立法：</w:t>
      </w:r>
    </w:p>
    <w:p w:rsidR="00000000" w:rsidRDefault="00000000">
      <w:pPr>
        <w:pStyle w:val="a0"/>
        <w:ind w:left="1550"/>
        <w:rPr>
          <w:rFonts w:hint="eastAsia"/>
        </w:rPr>
      </w:pPr>
      <w:r>
        <w:rPr>
          <w:rFonts w:hint="eastAsia"/>
        </w:rPr>
        <w:t>波斯尼亚和黑塞哥维那联邦：社会保障、战争平民受害者保护和有子女家庭保护法</w:t>
      </w:r>
      <w:r>
        <w:rPr>
          <w:rFonts w:hint="eastAsia"/>
        </w:rPr>
        <w:t>(</w:t>
      </w:r>
      <w:r>
        <w:rPr>
          <w:rFonts w:hint="eastAsia"/>
        </w:rPr>
        <w:t>波斯尼亚和黑塞哥维那联邦政府公报</w:t>
      </w:r>
      <w:r>
        <w:rPr>
          <w:rFonts w:hint="eastAsia"/>
        </w:rPr>
        <w:t>36/96)</w:t>
      </w:r>
      <w:r>
        <w:rPr>
          <w:rFonts w:hint="eastAsia"/>
        </w:rPr>
        <w:t>以及家庭法</w:t>
      </w:r>
      <w:r>
        <w:rPr>
          <w:rFonts w:hint="eastAsia"/>
        </w:rPr>
        <w:t>(</w:t>
      </w:r>
      <w:r>
        <w:rPr>
          <w:rFonts w:hint="eastAsia"/>
        </w:rPr>
        <w:t>政府公报，</w:t>
      </w:r>
      <w:r>
        <w:rPr>
          <w:rFonts w:hint="eastAsia"/>
        </w:rPr>
        <w:t>21/97</w:t>
      </w:r>
      <w:r>
        <w:rPr>
          <w:rFonts w:hint="eastAsia"/>
        </w:rPr>
        <w:t>和</w:t>
      </w:r>
      <w:r>
        <w:rPr>
          <w:rFonts w:hint="eastAsia"/>
        </w:rPr>
        <w:t>44/89)</w:t>
      </w:r>
      <w:r>
        <w:rPr>
          <w:rFonts w:hint="eastAsia"/>
        </w:rPr>
        <w:t>，这部法律在塞族共和国也在实施。在波斯尼亚和黑塞哥维那联邦各州也颁布了管理实施的法律；</w:t>
      </w:r>
    </w:p>
    <w:p w:rsidR="00000000" w:rsidRDefault="00000000">
      <w:pPr>
        <w:pStyle w:val="a0"/>
        <w:ind w:left="1550"/>
        <w:rPr>
          <w:rFonts w:hint="eastAsia"/>
        </w:rPr>
      </w:pPr>
      <w:r>
        <w:rPr>
          <w:rFonts w:hint="eastAsia"/>
        </w:rPr>
        <w:t>塞族共和国：社会保障法</w:t>
      </w:r>
      <w:r>
        <w:rPr>
          <w:rFonts w:hint="eastAsia"/>
        </w:rPr>
        <w:t>(</w:t>
      </w:r>
      <w:r>
        <w:rPr>
          <w:rFonts w:hint="eastAsia"/>
        </w:rPr>
        <w:t>塞族共和国政府公报，</w:t>
      </w:r>
      <w:r>
        <w:rPr>
          <w:rFonts w:hint="eastAsia"/>
        </w:rPr>
        <w:t>5/93</w:t>
      </w:r>
      <w:r>
        <w:rPr>
          <w:rFonts w:hint="eastAsia"/>
        </w:rPr>
        <w:t>；</w:t>
      </w:r>
      <w:r>
        <w:rPr>
          <w:rFonts w:hint="eastAsia"/>
        </w:rPr>
        <w:t>15/96)</w:t>
      </w:r>
      <w:r>
        <w:rPr>
          <w:rFonts w:hint="eastAsia"/>
        </w:rPr>
        <w:t>；儿童保护法</w:t>
      </w:r>
      <w:r>
        <w:rPr>
          <w:rFonts w:hint="eastAsia"/>
        </w:rPr>
        <w:t>(</w:t>
      </w:r>
      <w:r>
        <w:rPr>
          <w:rFonts w:hint="eastAsia"/>
        </w:rPr>
        <w:t>政府公报，</w:t>
      </w:r>
      <w:r>
        <w:rPr>
          <w:rFonts w:hint="eastAsia"/>
        </w:rPr>
        <w:t>15/96</w:t>
      </w:r>
      <w:r>
        <w:rPr>
          <w:rFonts w:hint="eastAsia"/>
        </w:rPr>
        <w:t>；</w:t>
      </w:r>
      <w:r>
        <w:rPr>
          <w:rFonts w:hint="eastAsia"/>
        </w:rPr>
        <w:t>10/98</w:t>
      </w:r>
      <w:r>
        <w:rPr>
          <w:rFonts w:hint="eastAsia"/>
        </w:rPr>
        <w:t>；</w:t>
      </w:r>
      <w:r>
        <w:rPr>
          <w:rFonts w:hint="eastAsia"/>
        </w:rPr>
        <w:t>26/01)</w:t>
      </w:r>
      <w:r>
        <w:rPr>
          <w:rFonts w:hint="eastAsia"/>
        </w:rPr>
        <w:t>；关于设立儿童保护公共基金的决定</w:t>
      </w:r>
      <w:r>
        <w:rPr>
          <w:rFonts w:hint="eastAsia"/>
        </w:rPr>
        <w:t>(</w:t>
      </w:r>
      <w:r>
        <w:rPr>
          <w:rFonts w:hint="eastAsia"/>
        </w:rPr>
        <w:t>政府公报，</w:t>
      </w:r>
      <w:r>
        <w:rPr>
          <w:rFonts w:hint="eastAsia"/>
        </w:rPr>
        <w:t>27/96)</w:t>
      </w:r>
      <w:r>
        <w:rPr>
          <w:rFonts w:hint="eastAsia"/>
        </w:rPr>
        <w:t>；</w:t>
      </w:r>
    </w:p>
    <w:p w:rsidR="00000000" w:rsidRDefault="00000000">
      <w:pPr>
        <w:pStyle w:val="a0"/>
        <w:ind w:left="1550"/>
        <w:rPr>
          <w:rFonts w:hint="eastAsia"/>
        </w:rPr>
      </w:pPr>
      <w:r>
        <w:rPr>
          <w:rFonts w:hint="eastAsia"/>
        </w:rPr>
        <w:t>布尔奇科地区：儿童保护法</w:t>
      </w:r>
      <w:r>
        <w:rPr>
          <w:rFonts w:hint="eastAsia"/>
        </w:rPr>
        <w:t>(</w:t>
      </w:r>
      <w:r>
        <w:rPr>
          <w:rFonts w:hint="eastAsia"/>
        </w:rPr>
        <w:t>布尔奇科地区政府公报，</w:t>
      </w:r>
      <w:r>
        <w:rPr>
          <w:rFonts w:hint="eastAsia"/>
        </w:rPr>
        <w:t>1/03)</w:t>
      </w:r>
      <w:r>
        <w:rPr>
          <w:rFonts w:hint="eastAsia"/>
        </w:rPr>
        <w:t>。已经发起了一项设立儿童基金的倡议。</w:t>
      </w:r>
    </w:p>
    <w:p w:rsidR="00000000" w:rsidRDefault="00000000">
      <w:pPr>
        <w:rPr>
          <w:rFonts w:hint="eastAsia"/>
        </w:rPr>
      </w:pPr>
      <w:r>
        <w:rPr>
          <w:rFonts w:hint="eastAsia"/>
        </w:rPr>
        <w:tab/>
        <w:t xml:space="preserve">61.  </w:t>
      </w:r>
      <w:r>
        <w:rPr>
          <w:rFonts w:hint="eastAsia"/>
        </w:rPr>
        <w:t>至于在国际公约的应用及其余的统一方面，所生效的法律大体上与这些公约并没有统一。波斯尼亚和黑塞哥维那所签署的公约和条约包括，在前南斯拉夫继承过程中所规定的儿童权利公约</w:t>
      </w:r>
      <w:r>
        <w:rPr>
          <w:rFonts w:hint="eastAsia"/>
        </w:rPr>
        <w:t>(2003</w:t>
      </w:r>
      <w:r>
        <w:rPr>
          <w:rFonts w:hint="eastAsia"/>
        </w:rPr>
        <w:t>年</w:t>
      </w:r>
      <w:r>
        <w:rPr>
          <w:rFonts w:hint="eastAsia"/>
        </w:rPr>
        <w:t>9</w:t>
      </w:r>
      <w:r>
        <w:rPr>
          <w:rFonts w:hint="eastAsia"/>
        </w:rPr>
        <w:t>月</w:t>
      </w:r>
      <w:r>
        <w:rPr>
          <w:rFonts w:hint="eastAsia"/>
        </w:rPr>
        <w:t>1</w:t>
      </w:r>
      <w:r>
        <w:rPr>
          <w:rFonts w:hint="eastAsia"/>
        </w:rPr>
        <w:t>日</w:t>
      </w:r>
      <w:r>
        <w:rPr>
          <w:rFonts w:hint="eastAsia"/>
        </w:rPr>
        <w:t>)</w:t>
      </w:r>
      <w:r>
        <w:rPr>
          <w:rFonts w:hint="eastAsia"/>
        </w:rPr>
        <w:t>，已批准，并于</w:t>
      </w:r>
      <w:r>
        <w:rPr>
          <w:rFonts w:hint="eastAsia"/>
        </w:rPr>
        <w:t>2000</w:t>
      </w:r>
      <w:r>
        <w:rPr>
          <w:rFonts w:hint="eastAsia"/>
        </w:rPr>
        <w:t>年</w:t>
      </w:r>
      <w:r>
        <w:rPr>
          <w:rFonts w:hint="eastAsia"/>
        </w:rPr>
        <w:t>9</w:t>
      </w:r>
      <w:r>
        <w:rPr>
          <w:rFonts w:hint="eastAsia"/>
        </w:rPr>
        <w:t>月</w:t>
      </w:r>
      <w:r>
        <w:rPr>
          <w:rFonts w:hint="eastAsia"/>
        </w:rPr>
        <w:t>7</w:t>
      </w:r>
      <w:r>
        <w:rPr>
          <w:rFonts w:hint="eastAsia"/>
        </w:rPr>
        <w:t>日签署了关于儿童卷入武装冲突的任择议定书，和</w:t>
      </w:r>
      <w:r>
        <w:rPr>
          <w:rFonts w:hint="eastAsia"/>
        </w:rPr>
        <w:t>2002</w:t>
      </w:r>
      <w:r>
        <w:rPr>
          <w:rFonts w:hint="eastAsia"/>
        </w:rPr>
        <w:t>年</w:t>
      </w:r>
      <w:r>
        <w:rPr>
          <w:rFonts w:hint="eastAsia"/>
        </w:rPr>
        <w:t>4</w:t>
      </w:r>
      <w:r>
        <w:rPr>
          <w:rFonts w:hint="eastAsia"/>
        </w:rPr>
        <w:t>月</w:t>
      </w:r>
      <w:r>
        <w:rPr>
          <w:rFonts w:hint="eastAsia"/>
        </w:rPr>
        <w:t>4</w:t>
      </w:r>
      <w:r>
        <w:rPr>
          <w:rFonts w:hint="eastAsia"/>
        </w:rPr>
        <w:t>日签署的关于买卖儿童、儿童卖淫和儿童色情问题任择议定书。此外，在继承进程中，波斯尼亚和黑塞哥维那于</w:t>
      </w:r>
      <w:r>
        <w:rPr>
          <w:rFonts w:hint="eastAsia"/>
        </w:rPr>
        <w:t>1992</w:t>
      </w:r>
      <w:r>
        <w:rPr>
          <w:rFonts w:hint="eastAsia"/>
        </w:rPr>
        <w:t>年</w:t>
      </w:r>
      <w:r>
        <w:rPr>
          <w:rFonts w:hint="eastAsia"/>
        </w:rPr>
        <w:t>3</w:t>
      </w:r>
      <w:r>
        <w:rPr>
          <w:rFonts w:hint="eastAsia"/>
        </w:rPr>
        <w:t>月</w:t>
      </w:r>
      <w:r>
        <w:rPr>
          <w:rFonts w:hint="eastAsia"/>
        </w:rPr>
        <w:t>3</w:t>
      </w:r>
      <w:r>
        <w:rPr>
          <w:rFonts w:hint="eastAsia"/>
        </w:rPr>
        <w:t>日加入了《经济、社会、文化权利国际公约》，并于</w:t>
      </w:r>
      <w:r>
        <w:rPr>
          <w:rFonts w:hint="eastAsia"/>
        </w:rPr>
        <w:t>2002</w:t>
      </w:r>
      <w:r>
        <w:rPr>
          <w:rFonts w:hint="eastAsia"/>
        </w:rPr>
        <w:t>年</w:t>
      </w:r>
      <w:r>
        <w:rPr>
          <w:rFonts w:hint="eastAsia"/>
        </w:rPr>
        <w:t>4</w:t>
      </w:r>
      <w:r>
        <w:rPr>
          <w:rFonts w:hint="eastAsia"/>
        </w:rPr>
        <w:t>月</w:t>
      </w:r>
      <w:r>
        <w:rPr>
          <w:rFonts w:hint="eastAsia"/>
        </w:rPr>
        <w:t>4</w:t>
      </w:r>
      <w:r>
        <w:rPr>
          <w:rFonts w:hint="eastAsia"/>
        </w:rPr>
        <w:t>日签署以及</w:t>
      </w:r>
      <w:r>
        <w:rPr>
          <w:rFonts w:hint="eastAsia"/>
        </w:rPr>
        <w:t>2002</w:t>
      </w:r>
      <w:r>
        <w:rPr>
          <w:rFonts w:hint="eastAsia"/>
        </w:rPr>
        <w:t>年</w:t>
      </w:r>
      <w:r>
        <w:rPr>
          <w:rFonts w:hint="eastAsia"/>
        </w:rPr>
        <w:t>7</w:t>
      </w:r>
      <w:r>
        <w:rPr>
          <w:rFonts w:hint="eastAsia"/>
        </w:rPr>
        <w:t>月</w:t>
      </w:r>
      <w:r>
        <w:rPr>
          <w:rFonts w:hint="eastAsia"/>
        </w:rPr>
        <w:t>12</w:t>
      </w:r>
      <w:r>
        <w:rPr>
          <w:rFonts w:hint="eastAsia"/>
        </w:rPr>
        <w:t>日批准了《欧洲保护人权和基本自由公约》。</w:t>
      </w:r>
    </w:p>
    <w:p w:rsidR="00000000" w:rsidRDefault="00000000">
      <w:pPr>
        <w:rPr>
          <w:rFonts w:hint="eastAsia"/>
        </w:rPr>
      </w:pPr>
      <w:r>
        <w:rPr>
          <w:rFonts w:hint="eastAsia"/>
        </w:rPr>
        <w:tab/>
        <w:t xml:space="preserve">62.  </w:t>
      </w:r>
      <w:r>
        <w:rPr>
          <w:rFonts w:hint="eastAsia"/>
        </w:rPr>
        <w:t>关于其体制框架，波斯尼亚和黑塞哥维那部长理事会决定设立波斯尼亚和黑塞哥维那儿童理事会</w:t>
      </w:r>
      <w:r>
        <w:rPr>
          <w:rFonts w:hint="eastAsia"/>
        </w:rPr>
        <w:t>(</w:t>
      </w:r>
      <w:r>
        <w:rPr>
          <w:rFonts w:hint="eastAsia"/>
        </w:rPr>
        <w:t>已于</w:t>
      </w:r>
      <w:r>
        <w:rPr>
          <w:rFonts w:hint="eastAsia"/>
        </w:rPr>
        <w:t>2002</w:t>
      </w:r>
      <w:r>
        <w:rPr>
          <w:rFonts w:hint="eastAsia"/>
        </w:rPr>
        <w:t>年</w:t>
      </w:r>
      <w:r>
        <w:rPr>
          <w:rFonts w:hint="eastAsia"/>
        </w:rPr>
        <w:t>12</w:t>
      </w:r>
      <w:r>
        <w:rPr>
          <w:rFonts w:hint="eastAsia"/>
        </w:rPr>
        <w:t>月生效</w:t>
      </w:r>
      <w:r>
        <w:rPr>
          <w:rFonts w:hint="eastAsia"/>
        </w:rPr>
        <w:t>)</w:t>
      </w:r>
      <w:r>
        <w:rPr>
          <w:rFonts w:hint="eastAsia"/>
        </w:rPr>
        <w:t>。儿童理事会负责为儿童的行动计划的落实并向波斯尼亚和黑塞哥维那部长理事会报告，酌情至少一年一次报告这一计划的执行情况。此外，它还负责协调实体的主管部委和非政府组织，提出推动实施或修改上述计划的措施，编制每一年的执行计划，以及其他相关事项。</w:t>
      </w:r>
    </w:p>
    <w:p w:rsidR="00000000" w:rsidRDefault="00000000">
      <w:pPr>
        <w:rPr>
          <w:rFonts w:hint="eastAsia"/>
        </w:rPr>
      </w:pPr>
      <w:r>
        <w:rPr>
          <w:rFonts w:hint="eastAsia"/>
        </w:rPr>
        <w:tab/>
        <w:t xml:space="preserve">63.  </w:t>
      </w:r>
      <w:r>
        <w:rPr>
          <w:rFonts w:hint="eastAsia"/>
        </w:rPr>
        <w:t>在波斯尼亚和黑塞哥维那联邦，主管机构是劳动和社会政策部，以及各州的负有类似责任的部委。儿童保护基金正在筹备之中。</w:t>
      </w:r>
    </w:p>
    <w:p w:rsidR="00000000" w:rsidRDefault="00000000">
      <w:pPr>
        <w:rPr>
          <w:rFonts w:hint="eastAsia"/>
        </w:rPr>
      </w:pPr>
      <w:r>
        <w:rPr>
          <w:rFonts w:hint="eastAsia"/>
        </w:rPr>
        <w:tab/>
        <w:t xml:space="preserve">64.  </w:t>
      </w:r>
      <w:r>
        <w:rPr>
          <w:rFonts w:hint="eastAsia"/>
        </w:rPr>
        <w:t>在塞族共和国，主管机构是卫生和社会福利部。儿童保护公共基金为这些目的提供资金。在布尔奇科地区，在政府内设立了负责医疗保健、公安和其他服务的部门，主管，除其他事项外，儿童保护和社会福利。</w:t>
      </w:r>
    </w:p>
    <w:p w:rsidR="00000000" w:rsidRDefault="00000000">
      <w:pPr>
        <w:rPr>
          <w:rFonts w:hint="eastAsia"/>
        </w:rPr>
      </w:pPr>
      <w:r>
        <w:rPr>
          <w:rFonts w:hint="eastAsia"/>
        </w:rPr>
        <w:tab/>
        <w:t xml:space="preserve">65.  </w:t>
      </w:r>
      <w:r>
        <w:rPr>
          <w:rFonts w:hint="eastAsia"/>
        </w:rPr>
        <w:t>以前的刑法确定同性恋是一种犯罪行为，而新的刑法已经取消了这种规定。</w:t>
      </w:r>
    </w:p>
    <w:p w:rsidR="00000000" w:rsidRDefault="00000000">
      <w:pPr>
        <w:rPr>
          <w:rFonts w:hint="eastAsia"/>
        </w:rPr>
      </w:pPr>
      <w:r>
        <w:rPr>
          <w:rFonts w:hint="eastAsia"/>
        </w:rPr>
        <w:tab/>
        <w:t xml:space="preserve">66.  </w:t>
      </w:r>
      <w:r>
        <w:rPr>
          <w:rFonts w:hint="eastAsia"/>
        </w:rPr>
        <w:t>波斯尼亚和黑塞哥维那的宪法和其他法律保证发展权。波斯尼亚和黑塞哥维那的经济饱受战争创伤，其国内生产力恢复缓慢，对于国家的发展造成了消极的影响。据某些经济预测，在今后五年国内生产总值的增长率应该达到</w:t>
      </w:r>
      <w:r>
        <w:rPr>
          <w:rFonts w:hint="eastAsia"/>
        </w:rPr>
        <w:t>6%</w:t>
      </w:r>
      <w:r>
        <w:rPr>
          <w:rFonts w:hint="eastAsia"/>
        </w:rPr>
        <w:t>。这一增长率将帮助波斯尼亚和黑塞哥维那回到战前的国内生产总值水平，这将为融入欧盟打开大门。为了把这一设想变为现实，应加大改革力度并且应为国际投资者创造有利的投资环境以支持其发展。</w:t>
      </w:r>
    </w:p>
    <w:p w:rsidR="00000000" w:rsidRDefault="00000000">
      <w:pPr>
        <w:rPr>
          <w:rFonts w:hint="eastAsia"/>
        </w:rPr>
      </w:pPr>
      <w:r>
        <w:rPr>
          <w:rFonts w:hint="eastAsia"/>
        </w:rPr>
        <w:tab/>
        <w:t xml:space="preserve">67.  </w:t>
      </w:r>
      <w:r>
        <w:rPr>
          <w:rFonts w:hint="eastAsia"/>
        </w:rPr>
        <w:t>为了向其公民和非公民提供平等的权利，波斯尼亚和黑塞哥维那最近加快了缔结一系列协定的速度，这些协定是为了承认一定程度的经济权利，首先是在社会保障领域。</w:t>
      </w:r>
    </w:p>
    <w:p w:rsidR="00000000" w:rsidRDefault="00000000">
      <w:pPr>
        <w:rPr>
          <w:rFonts w:hint="eastAsia"/>
        </w:rPr>
      </w:pPr>
      <w:r>
        <w:rPr>
          <w:rFonts w:hint="eastAsia"/>
        </w:rPr>
        <w:tab/>
        <w:t>68.  1992</w:t>
      </w:r>
      <w:r>
        <w:rPr>
          <w:rFonts w:hint="eastAsia"/>
        </w:rPr>
        <w:t>年</w:t>
      </w:r>
      <w:r>
        <w:rPr>
          <w:rFonts w:hint="eastAsia"/>
        </w:rPr>
        <w:t>3</w:t>
      </w:r>
      <w:r>
        <w:rPr>
          <w:rFonts w:hint="eastAsia"/>
        </w:rPr>
        <w:t>月</w:t>
      </w:r>
      <w:r>
        <w:rPr>
          <w:rFonts w:hint="eastAsia"/>
        </w:rPr>
        <w:t>1</w:t>
      </w:r>
      <w:r>
        <w:rPr>
          <w:rFonts w:hint="eastAsia"/>
        </w:rPr>
        <w:t>日，波斯尼亚和黑塞哥维那缔结了以下社会福利协定：</w:t>
      </w:r>
    </w:p>
    <w:p w:rsidR="00000000" w:rsidRDefault="00000000">
      <w:pPr>
        <w:pStyle w:val="a0"/>
        <w:ind w:left="1550"/>
        <w:rPr>
          <w:rFonts w:hint="eastAsia"/>
        </w:rPr>
      </w:pPr>
      <w:r>
        <w:rPr>
          <w:rFonts w:hint="eastAsia"/>
        </w:rPr>
        <w:t>波斯尼亚和黑塞哥维那与奥地利共和国关于社会福利的协定，以及协定执行议定书</w:t>
      </w:r>
      <w:r>
        <w:rPr>
          <w:rFonts w:hint="eastAsia"/>
        </w:rPr>
        <w:t>(</w:t>
      </w:r>
      <w:r>
        <w:rPr>
          <w:rFonts w:hint="eastAsia"/>
        </w:rPr>
        <w:t>波斯尼亚和黑塞哥维那政府公报，“国际协定”，</w:t>
      </w:r>
      <w:r>
        <w:rPr>
          <w:rFonts w:hint="eastAsia"/>
        </w:rPr>
        <w:t>2/01)</w:t>
      </w:r>
      <w:r>
        <w:rPr>
          <w:rFonts w:hint="eastAsia"/>
        </w:rPr>
        <w:t>；</w:t>
      </w:r>
    </w:p>
    <w:p w:rsidR="00000000" w:rsidRDefault="00000000">
      <w:pPr>
        <w:pStyle w:val="a0"/>
        <w:ind w:left="1550"/>
        <w:rPr>
          <w:rFonts w:hint="eastAsia"/>
        </w:rPr>
      </w:pPr>
      <w:r>
        <w:rPr>
          <w:rFonts w:hint="eastAsia"/>
        </w:rPr>
        <w:t>波斯尼亚和黑塞哥维那与克罗地亚共和国关于社会福利的协定，以及协定执行</w:t>
      </w:r>
      <w:r>
        <w:rPr>
          <w:rFonts w:hint="eastAsia"/>
        </w:rPr>
        <w:t>(</w:t>
      </w:r>
      <w:r>
        <w:rPr>
          <w:rFonts w:hint="eastAsia"/>
        </w:rPr>
        <w:t>波斯尼亚和黑塞哥维那政府公报，“国际协定”，</w:t>
      </w:r>
      <w:r>
        <w:rPr>
          <w:rFonts w:hint="eastAsia"/>
        </w:rPr>
        <w:t>6/01)</w:t>
      </w:r>
      <w:r>
        <w:rPr>
          <w:rFonts w:hint="eastAsia"/>
        </w:rPr>
        <w:t>；</w:t>
      </w:r>
    </w:p>
    <w:p w:rsidR="00000000" w:rsidRDefault="00000000">
      <w:pPr>
        <w:pStyle w:val="a0"/>
        <w:ind w:left="1550"/>
        <w:rPr>
          <w:rFonts w:hint="eastAsia"/>
        </w:rPr>
      </w:pPr>
      <w:r>
        <w:rPr>
          <w:rFonts w:hint="eastAsia"/>
        </w:rPr>
        <w:t>波斯尼亚和黑塞哥维那与南斯拉夫联邦共和国关于社会福利的协定</w:t>
      </w:r>
      <w:r>
        <w:rPr>
          <w:rFonts w:hint="eastAsia"/>
          <w:spacing w:val="-50"/>
        </w:rPr>
        <w:t>―</w:t>
      </w:r>
      <w:r>
        <w:rPr>
          <w:rFonts w:hint="eastAsia"/>
        </w:rPr>
        <w:t>―尚待批准；</w:t>
      </w:r>
    </w:p>
    <w:p w:rsidR="00000000" w:rsidRDefault="00000000">
      <w:pPr>
        <w:pStyle w:val="a0"/>
        <w:ind w:left="1550"/>
        <w:rPr>
          <w:rFonts w:hint="eastAsia"/>
        </w:rPr>
      </w:pPr>
      <w:r>
        <w:rPr>
          <w:rFonts w:hint="eastAsia"/>
        </w:rPr>
        <w:t>波斯尼亚和黑塞哥维那与土耳其的协定，以及协定执行议定书</w:t>
      </w:r>
      <w:r>
        <w:rPr>
          <w:rFonts w:hint="eastAsia"/>
          <w:spacing w:val="-50"/>
        </w:rPr>
        <w:t>―</w:t>
      </w:r>
      <w:r>
        <w:rPr>
          <w:rFonts w:hint="eastAsia"/>
        </w:rPr>
        <w:t>―尚待批准；</w:t>
      </w:r>
    </w:p>
    <w:p w:rsidR="00000000" w:rsidRDefault="00000000">
      <w:pPr>
        <w:pStyle w:val="a0"/>
        <w:ind w:left="1550"/>
        <w:rPr>
          <w:rFonts w:hint="eastAsia"/>
        </w:rPr>
      </w:pPr>
      <w:r>
        <w:rPr>
          <w:rFonts w:hint="eastAsia"/>
        </w:rPr>
        <w:t>前南斯拉夫马其顿共和国与斯洛文尼亚和瑞士关于社会福利的协定正在谈判阶段。</w:t>
      </w:r>
    </w:p>
    <w:p w:rsidR="00000000" w:rsidRDefault="00000000">
      <w:pPr>
        <w:spacing w:after="320"/>
        <w:rPr>
          <w:rFonts w:hint="eastAsia"/>
        </w:rPr>
      </w:pPr>
      <w:r>
        <w:rPr>
          <w:rFonts w:hint="eastAsia"/>
        </w:rPr>
        <w:tab/>
        <w:t>69.  1992</w:t>
      </w:r>
      <w:r>
        <w:rPr>
          <w:rFonts w:hint="eastAsia"/>
        </w:rPr>
        <w:t>年</w:t>
      </w:r>
      <w:r>
        <w:rPr>
          <w:rFonts w:hint="eastAsia"/>
        </w:rPr>
        <w:t>3</w:t>
      </w:r>
      <w:r>
        <w:rPr>
          <w:rFonts w:hint="eastAsia"/>
        </w:rPr>
        <w:t>月</w:t>
      </w:r>
      <w:r>
        <w:rPr>
          <w:rFonts w:hint="eastAsia"/>
        </w:rPr>
        <w:t>1</w:t>
      </w:r>
      <w:r>
        <w:rPr>
          <w:rFonts w:hint="eastAsia"/>
        </w:rPr>
        <w:t>日波斯尼亚和黑塞哥维那与德国政府就来自总部设在共和国的波斯尼亚和黑塞哥维那企业的工人就业问题缔结了一项就业协定，旨在执行工作合同</w:t>
      </w:r>
      <w:r>
        <w:rPr>
          <w:rFonts w:hint="eastAsia"/>
        </w:rPr>
        <w:t>(</w:t>
      </w:r>
      <w:r>
        <w:rPr>
          <w:rFonts w:hint="eastAsia"/>
        </w:rPr>
        <w:t>政府公报，</w:t>
      </w:r>
      <w:r>
        <w:rPr>
          <w:rFonts w:hint="eastAsia"/>
        </w:rPr>
        <w:t>16/95)</w:t>
      </w:r>
      <w:r>
        <w:rPr>
          <w:rFonts w:hint="eastAsia"/>
        </w:rPr>
        <w:t>。</w:t>
      </w:r>
    </w:p>
    <w:p w:rsidR="00000000" w:rsidRDefault="00000000">
      <w:pPr>
        <w:pStyle w:val="a3"/>
        <w:rPr>
          <w:rFonts w:hint="eastAsia"/>
        </w:rPr>
      </w:pPr>
      <w:r>
        <w:rPr>
          <w:rFonts w:hint="eastAsia"/>
        </w:rPr>
        <w:t>第</w:t>
      </w:r>
      <w:r>
        <w:rPr>
          <w:rFonts w:hint="eastAsia"/>
        </w:rPr>
        <w:t xml:space="preserve"> 3 </w:t>
      </w:r>
      <w:r>
        <w:rPr>
          <w:rFonts w:hint="eastAsia"/>
        </w:rPr>
        <w:t>条</w:t>
      </w:r>
    </w:p>
    <w:p w:rsidR="00000000" w:rsidRDefault="00000000">
      <w:pPr>
        <w:pStyle w:val="Heading4"/>
        <w:rPr>
          <w:rFonts w:hint="eastAsia"/>
        </w:rPr>
      </w:pPr>
      <w:r>
        <w:rPr>
          <w:rFonts w:hint="eastAsia"/>
        </w:rPr>
        <w:t>波斯尼亚和黑塞哥维那妇女的地位</w:t>
      </w:r>
    </w:p>
    <w:p w:rsidR="00000000" w:rsidRDefault="00000000">
      <w:pPr>
        <w:rPr>
          <w:rFonts w:hint="eastAsia"/>
        </w:rPr>
      </w:pPr>
      <w:r>
        <w:rPr>
          <w:rFonts w:hint="eastAsia"/>
        </w:rPr>
        <w:tab/>
        <w:t xml:space="preserve">70.  </w:t>
      </w:r>
      <w:r>
        <w:rPr>
          <w:rFonts w:hint="eastAsia"/>
        </w:rPr>
        <w:t>在第</w:t>
      </w:r>
      <w:r>
        <w:rPr>
          <w:rFonts w:hint="eastAsia"/>
        </w:rPr>
        <w:t>3</w:t>
      </w:r>
      <w:r>
        <w:rPr>
          <w:rFonts w:hint="eastAsia"/>
        </w:rPr>
        <w:t>条中规定了男女平等的权利，尤其是在享受所有经济、社会和文化权利方面。根据关于工作和就业的现行法律，一般集体合同以及部门集体合同，男女有平等的就业和培训机会，平等的工作条件和劳动保护，同工同酬以及所有其他不一定为妇女确定的权利</w:t>
      </w:r>
      <w:r>
        <w:rPr>
          <w:rFonts w:hint="eastAsia"/>
        </w:rPr>
        <w:t>(</w:t>
      </w:r>
      <w:r>
        <w:rPr>
          <w:rFonts w:hint="eastAsia"/>
        </w:rPr>
        <w:t>如产妇保护，产假等</w:t>
      </w:r>
      <w:r>
        <w:rPr>
          <w:rFonts w:hint="eastAsia"/>
        </w:rPr>
        <w:t>)</w:t>
      </w:r>
      <w:r>
        <w:rPr>
          <w:rFonts w:hint="eastAsia"/>
        </w:rPr>
        <w:t>。</w:t>
      </w:r>
    </w:p>
    <w:p w:rsidR="00000000" w:rsidRDefault="00000000">
      <w:pPr>
        <w:rPr>
          <w:rFonts w:hint="eastAsia"/>
        </w:rPr>
      </w:pPr>
      <w:r>
        <w:rPr>
          <w:rFonts w:hint="eastAsia"/>
        </w:rPr>
        <w:tab/>
        <w:t xml:space="preserve">71.  </w:t>
      </w:r>
      <w:r>
        <w:rPr>
          <w:rFonts w:hint="eastAsia"/>
        </w:rPr>
        <w:t>在波斯尼亚和黑塞哥维那国家一级一般平等问题是由性别平等法处理。这部法律促进并保护性别平等，保证所有公民无论是在私营还是公营部门都享受平等机会，并禁止直接或非直接的基于性别的歧视。在社会的各个领域都保证全面的性别平等，尤其是在教育、经济、就业和劳动、社会福利和医疗保健、体育、文化、公共生活和媒体，不论婚姻状况或家庭生活如何。该部法律与欧盟的标准一致，已被波斯尼亚和黑塞哥维那议会大会通过，并于</w:t>
      </w:r>
      <w:r>
        <w:rPr>
          <w:rFonts w:hint="eastAsia"/>
        </w:rPr>
        <w:t>2003</w:t>
      </w:r>
      <w:r>
        <w:rPr>
          <w:rFonts w:hint="eastAsia"/>
        </w:rPr>
        <w:t>年</w:t>
      </w:r>
      <w:r>
        <w:rPr>
          <w:rFonts w:hint="eastAsia"/>
        </w:rPr>
        <w:t>6</w:t>
      </w:r>
      <w:r>
        <w:rPr>
          <w:rFonts w:hint="eastAsia"/>
        </w:rPr>
        <w:t>月</w:t>
      </w:r>
      <w:r>
        <w:rPr>
          <w:rFonts w:hint="eastAsia"/>
        </w:rPr>
        <w:t>15</w:t>
      </w:r>
      <w:r>
        <w:rPr>
          <w:rFonts w:hint="eastAsia"/>
        </w:rPr>
        <w:t>日在政府公报第</w:t>
      </w:r>
      <w:r>
        <w:rPr>
          <w:rFonts w:hint="eastAsia"/>
        </w:rPr>
        <w:t>12/03</w:t>
      </w:r>
      <w:r>
        <w:rPr>
          <w:rFonts w:hint="eastAsia"/>
        </w:rPr>
        <w:t>号中发表。</w:t>
      </w:r>
    </w:p>
    <w:p w:rsidR="00000000" w:rsidRDefault="00000000">
      <w:pPr>
        <w:spacing w:after="240"/>
        <w:rPr>
          <w:rFonts w:hint="eastAsia"/>
        </w:rPr>
      </w:pPr>
      <w:r>
        <w:rPr>
          <w:rFonts w:hint="eastAsia"/>
        </w:rPr>
        <w:tab/>
        <w:t xml:space="preserve">72.  </w:t>
      </w:r>
      <w:r>
        <w:rPr>
          <w:rFonts w:hint="eastAsia"/>
        </w:rPr>
        <w:t>在波斯尼亚和黑塞哥维那，男性占总人口的</w:t>
      </w:r>
      <w:r>
        <w:rPr>
          <w:rFonts w:hint="eastAsia"/>
        </w:rPr>
        <w:t>49.6%</w:t>
      </w:r>
      <w:r>
        <w:rPr>
          <w:rFonts w:hint="eastAsia"/>
        </w:rPr>
        <w:t>，女性占</w:t>
      </w:r>
      <w:r>
        <w:rPr>
          <w:rFonts w:hint="eastAsia"/>
        </w:rPr>
        <w:t>50.4%</w:t>
      </w:r>
      <w:r>
        <w:rPr>
          <w:rFonts w:hint="eastAsia"/>
        </w:rPr>
        <w:t>。平均预期寿命为</w:t>
      </w:r>
      <w:r>
        <w:rPr>
          <w:rFonts w:hint="eastAsia"/>
        </w:rPr>
        <w:t>73.3</w:t>
      </w:r>
      <w:r>
        <w:rPr>
          <w:rFonts w:hint="eastAsia"/>
        </w:rPr>
        <w:t>岁：女性</w:t>
      </w:r>
      <w:r>
        <w:rPr>
          <w:rFonts w:hint="eastAsia"/>
        </w:rPr>
        <w:t>75</w:t>
      </w:r>
      <w:r>
        <w:rPr>
          <w:rFonts w:hint="eastAsia"/>
        </w:rPr>
        <w:t>岁，男性</w:t>
      </w:r>
      <w:r>
        <w:rPr>
          <w:rFonts w:hint="eastAsia"/>
        </w:rPr>
        <w:t>71</w:t>
      </w:r>
      <w:r>
        <w:rPr>
          <w:rFonts w:hint="eastAsia"/>
        </w:rPr>
        <w:t>岁。女性人口中</w:t>
      </w:r>
      <w:r>
        <w:rPr>
          <w:rFonts w:hint="eastAsia"/>
        </w:rPr>
        <w:t>25.8%</w:t>
      </w:r>
      <w:r>
        <w:rPr>
          <w:rFonts w:hint="eastAsia"/>
        </w:rPr>
        <w:t>为城市人口，</w:t>
      </w:r>
      <w:r>
        <w:rPr>
          <w:rFonts w:hint="eastAsia"/>
        </w:rPr>
        <w:t>31.13%</w:t>
      </w:r>
      <w:r>
        <w:rPr>
          <w:rFonts w:hint="eastAsia"/>
        </w:rPr>
        <w:t>为郊区人口，</w:t>
      </w:r>
      <w:r>
        <w:rPr>
          <w:rFonts w:hint="eastAsia"/>
        </w:rPr>
        <w:t>43%</w:t>
      </w:r>
      <w:r>
        <w:rPr>
          <w:rFonts w:hint="eastAsia"/>
        </w:rPr>
        <w:t>为农村人口，而男性人口中</w:t>
      </w:r>
      <w:r>
        <w:rPr>
          <w:rFonts w:hint="eastAsia"/>
        </w:rPr>
        <w:t>25.28%</w:t>
      </w:r>
      <w:r>
        <w:rPr>
          <w:rFonts w:hint="eastAsia"/>
        </w:rPr>
        <w:t>为城市人口，</w:t>
      </w:r>
      <w:r>
        <w:rPr>
          <w:rFonts w:hint="eastAsia"/>
        </w:rPr>
        <w:t>32.02%</w:t>
      </w:r>
      <w:r>
        <w:rPr>
          <w:rFonts w:hint="eastAsia"/>
        </w:rPr>
        <w:t>为郊区人口，</w:t>
      </w:r>
      <w:r>
        <w:rPr>
          <w:rFonts w:hint="eastAsia"/>
        </w:rPr>
        <w:t>42.71%</w:t>
      </w:r>
      <w:r>
        <w:rPr>
          <w:rFonts w:hint="eastAsia"/>
        </w:rPr>
        <w:t>为农村人口。这些比例数字相当接近，但是，最大的差别在于年龄段</w:t>
      </w:r>
      <w:r>
        <w:rPr>
          <w:rFonts w:hint="eastAsia"/>
          <w:spacing w:val="-50"/>
        </w:rPr>
        <w:t>―</w:t>
      </w:r>
      <w:r>
        <w:rPr>
          <w:rFonts w:hint="eastAsia"/>
        </w:rPr>
        <w:t>―从出生至</w:t>
      </w:r>
      <w:r>
        <w:rPr>
          <w:rFonts w:hint="eastAsia"/>
        </w:rPr>
        <w:t>24</w:t>
      </w:r>
      <w:r>
        <w:rPr>
          <w:rFonts w:hint="eastAsia"/>
        </w:rPr>
        <w:t>岁，以及</w:t>
      </w:r>
      <w:r>
        <w:rPr>
          <w:rFonts w:hint="eastAsia"/>
        </w:rPr>
        <w:t>34-44</w:t>
      </w:r>
      <w:r>
        <w:rPr>
          <w:rFonts w:hint="eastAsia"/>
        </w:rPr>
        <w:t>岁。</w:t>
      </w:r>
    </w:p>
    <w:p w:rsidR="00000000" w:rsidRDefault="00000000">
      <w:pPr>
        <w:pStyle w:val="Heading4"/>
        <w:rPr>
          <w:rFonts w:hint="eastAsia"/>
        </w:rPr>
      </w:pPr>
      <w:r>
        <w:rPr>
          <w:u w:val="none"/>
        </w:rPr>
        <w:t>(</w:t>
      </w:r>
      <w:r>
        <w:rPr>
          <w:b/>
          <w:u w:val="none"/>
        </w:rPr>
        <w:t>a</w:t>
      </w:r>
      <w:r>
        <w:rPr>
          <w:u w:val="none"/>
        </w:rPr>
        <w:t>)</w:t>
      </w:r>
      <w:r>
        <w:rPr>
          <w:rFonts w:hint="eastAsia"/>
          <w:u w:val="none"/>
        </w:rPr>
        <w:t xml:space="preserve">  </w:t>
      </w:r>
      <w:r>
        <w:rPr>
          <w:rFonts w:hint="eastAsia"/>
        </w:rPr>
        <w:t>性别平等因素</w:t>
      </w:r>
    </w:p>
    <w:p w:rsidR="00000000" w:rsidRDefault="00000000">
      <w:pPr>
        <w:rPr>
          <w:rFonts w:hint="eastAsia"/>
        </w:rPr>
      </w:pPr>
      <w:r>
        <w:rPr>
          <w:rFonts w:hint="eastAsia"/>
        </w:rPr>
        <w:tab/>
        <w:t xml:space="preserve">73.  </w:t>
      </w:r>
      <w:r>
        <w:rPr>
          <w:rFonts w:hint="eastAsia"/>
        </w:rPr>
        <w:t>在波斯尼亚和黑塞哥维那，贫困在男女中的分布也是平等的，然而尽管如此，有一些男女不平等的例子加深了男女之间相对贫困的差别。</w:t>
      </w:r>
    </w:p>
    <w:p w:rsidR="00000000" w:rsidRDefault="00000000">
      <w:pPr>
        <w:rPr>
          <w:rFonts w:hint="eastAsia"/>
        </w:rPr>
      </w:pPr>
      <w:r>
        <w:rPr>
          <w:rFonts w:hint="eastAsia"/>
        </w:rPr>
        <w:tab/>
        <w:t xml:space="preserve">74.  </w:t>
      </w:r>
      <w:r>
        <w:rPr>
          <w:rFonts w:hint="eastAsia"/>
        </w:rPr>
        <w:t>第一个因素是对待资源和市场态度上的差别，因为，在传统上，男人是私产的持有者，虽然妇女对于继承和分割财产有相同的法律权利</w:t>
      </w:r>
      <w:r>
        <w:rPr>
          <w:rFonts w:hint="eastAsia"/>
        </w:rPr>
        <w:t>(</w:t>
      </w:r>
      <w:r>
        <w:rPr>
          <w:rFonts w:hint="eastAsia"/>
        </w:rPr>
        <w:t>甚至权利从配偶的一方转移到另一方也是免费</w:t>
      </w:r>
      <w:r>
        <w:rPr>
          <w:rFonts w:hint="eastAsia"/>
        </w:rPr>
        <w:t>)</w:t>
      </w:r>
      <w:r>
        <w:rPr>
          <w:rFonts w:hint="eastAsia"/>
        </w:rPr>
        <w:t>。每一个男人都认为自己是一家之主</w:t>
      </w:r>
      <w:r>
        <w:rPr>
          <w:rFonts w:hint="eastAsia"/>
        </w:rPr>
        <w:t>(48.39%)</w:t>
      </w:r>
      <w:r>
        <w:rPr>
          <w:rFonts w:hint="eastAsia"/>
        </w:rPr>
        <w:t>，而妇女有这种地位的仅占案例的</w:t>
      </w:r>
      <w:r>
        <w:rPr>
          <w:rFonts w:hint="eastAsia"/>
        </w:rPr>
        <w:t>14.8%</w:t>
      </w:r>
      <w:r>
        <w:rPr>
          <w:rFonts w:hint="eastAsia"/>
        </w:rPr>
        <w:t>。男人认为其配偶是其家庭之主的只占案例的</w:t>
      </w:r>
      <w:r>
        <w:rPr>
          <w:rFonts w:hint="eastAsia"/>
        </w:rPr>
        <w:t>0.53%</w:t>
      </w:r>
      <w:r>
        <w:rPr>
          <w:rFonts w:hint="eastAsia"/>
        </w:rPr>
        <w:t>，而</w:t>
      </w:r>
      <w:r>
        <w:rPr>
          <w:rFonts w:hint="eastAsia"/>
        </w:rPr>
        <w:t>40.75%</w:t>
      </w:r>
      <w:r>
        <w:rPr>
          <w:rFonts w:hint="eastAsia"/>
        </w:rPr>
        <w:t>的妇女认为其配偶是处于该种地位。</w:t>
      </w:r>
    </w:p>
    <w:p w:rsidR="00000000" w:rsidRDefault="00000000">
      <w:pPr>
        <w:rPr>
          <w:rFonts w:hint="eastAsia"/>
        </w:rPr>
      </w:pPr>
      <w:r>
        <w:rPr>
          <w:rFonts w:hint="eastAsia"/>
        </w:rPr>
        <w:tab/>
        <w:t xml:space="preserve">75.  </w:t>
      </w:r>
      <w:r>
        <w:rPr>
          <w:rFonts w:hint="eastAsia"/>
        </w:rPr>
        <w:t>关于保护妇女人权的框架方面的法盲，尤其是在农村地区，是一个大的障碍。由于不持有任何财产，对于获得贷款需要有不动产作担保的贷款来说妇女很自然的会被拒绝。</w:t>
      </w:r>
    </w:p>
    <w:p w:rsidR="00000000" w:rsidRDefault="00000000">
      <w:pPr>
        <w:rPr>
          <w:rFonts w:hint="eastAsia"/>
        </w:rPr>
      </w:pPr>
      <w:r>
        <w:rPr>
          <w:rFonts w:hint="eastAsia"/>
        </w:rPr>
        <w:tab/>
        <w:t xml:space="preserve">76.  </w:t>
      </w:r>
      <w:r>
        <w:rPr>
          <w:rFonts w:hint="eastAsia"/>
        </w:rPr>
        <w:t>第二个因素是缺乏获得关于资源和具体培训信息的渠道。妇女，尤其在农村，更多的被困在家庭和家务事中，这样就把参与公共生活和政治生活的机会留给了男人。由于缺少非正式的支持网络，她们获得关于贷款和市场变化的信息的机会受到了限制。同样，这一点在农村女性人口中非常突出。给妇女提供的特别培训往往非常不足</w:t>
      </w:r>
      <w:r>
        <w:rPr>
          <w:rFonts w:hint="eastAsia"/>
        </w:rPr>
        <w:t>(</w:t>
      </w:r>
      <w:r>
        <w:rPr>
          <w:rFonts w:hint="eastAsia"/>
        </w:rPr>
        <w:t>打字，而不是信息技术课程</w:t>
      </w:r>
      <w:r>
        <w:rPr>
          <w:rFonts w:hint="eastAsia"/>
        </w:rPr>
        <w:t>)</w:t>
      </w:r>
      <w:r>
        <w:rPr>
          <w:rFonts w:hint="eastAsia"/>
        </w:rPr>
        <w:t>，或者所培训的内容是为那些在市场上需求不多的工作的。第三个因素是年龄，因为老年妇女受贫困的影响要多于老年男性。</w:t>
      </w:r>
    </w:p>
    <w:p w:rsidR="00000000" w:rsidRDefault="00000000">
      <w:pPr>
        <w:spacing w:after="240"/>
        <w:rPr>
          <w:rFonts w:hint="eastAsia"/>
        </w:rPr>
      </w:pPr>
      <w:r>
        <w:rPr>
          <w:rFonts w:hint="eastAsia"/>
        </w:rPr>
        <w:tab/>
        <w:t xml:space="preserve">77.  </w:t>
      </w:r>
      <w:r>
        <w:rPr>
          <w:rFonts w:hint="eastAsia"/>
        </w:rPr>
        <w:t>还有一个重要因素是就业的可能性，就年龄而言，这种可能性对于妇女的下降速度要快于男人。在波斯尼亚和黑塞哥维那就业人员总数中，妇女占</w:t>
      </w:r>
      <w:r>
        <w:rPr>
          <w:rFonts w:hint="eastAsia"/>
        </w:rPr>
        <w:t>37%</w:t>
      </w:r>
      <w:r>
        <w:rPr>
          <w:rFonts w:hint="eastAsia"/>
        </w:rPr>
        <w:t>，而在联邦中，妇女占</w:t>
      </w:r>
      <w:r>
        <w:rPr>
          <w:rFonts w:hint="eastAsia"/>
        </w:rPr>
        <w:t>34%</w:t>
      </w:r>
      <w:r>
        <w:rPr>
          <w:rFonts w:hint="eastAsia"/>
        </w:rPr>
        <w:t>，这种比例失调随着妇女过了</w:t>
      </w:r>
      <w:r>
        <w:rPr>
          <w:rFonts w:hint="eastAsia"/>
        </w:rPr>
        <w:t>49</w:t>
      </w:r>
      <w:r>
        <w:rPr>
          <w:rFonts w:hint="eastAsia"/>
        </w:rPr>
        <w:t>岁就增大，那时她们的就业率就会下降到</w:t>
      </w:r>
      <w:r>
        <w:rPr>
          <w:rFonts w:hint="eastAsia"/>
        </w:rPr>
        <w:t>33%</w:t>
      </w:r>
      <w:r>
        <w:rPr>
          <w:rFonts w:hint="eastAsia"/>
        </w:rPr>
        <w:t>。过了</w:t>
      </w:r>
      <w:r>
        <w:rPr>
          <w:rFonts w:hint="eastAsia"/>
        </w:rPr>
        <w:t>55</w:t>
      </w:r>
      <w:r>
        <w:rPr>
          <w:rFonts w:hint="eastAsia"/>
        </w:rPr>
        <w:t>岁，其就业率是</w:t>
      </w:r>
      <w:r>
        <w:rPr>
          <w:rFonts w:hint="eastAsia"/>
        </w:rPr>
        <w:t>28%</w:t>
      </w:r>
      <w:r>
        <w:rPr>
          <w:rFonts w:hint="eastAsia"/>
        </w:rPr>
        <w:t>，妇女到了</w:t>
      </w:r>
      <w:r>
        <w:rPr>
          <w:rFonts w:hint="eastAsia"/>
        </w:rPr>
        <w:t>60</w:t>
      </w:r>
      <w:r>
        <w:rPr>
          <w:rFonts w:hint="eastAsia"/>
        </w:rPr>
        <w:t>岁其就业率是</w:t>
      </w:r>
      <w:r>
        <w:rPr>
          <w:rFonts w:hint="eastAsia"/>
        </w:rPr>
        <w:t>25%</w:t>
      </w:r>
      <w:r>
        <w:rPr>
          <w:rFonts w:hint="eastAsia"/>
        </w:rPr>
        <w:t>，过了</w:t>
      </w:r>
      <w:r>
        <w:rPr>
          <w:rFonts w:hint="eastAsia"/>
        </w:rPr>
        <w:t>65</w:t>
      </w:r>
      <w:r>
        <w:rPr>
          <w:rFonts w:hint="eastAsia"/>
        </w:rPr>
        <w:t>岁她们只占就业人口的</w:t>
      </w:r>
      <w:r>
        <w:rPr>
          <w:rFonts w:hint="eastAsia"/>
        </w:rPr>
        <w:t>20%</w:t>
      </w:r>
      <w:r>
        <w:rPr>
          <w:rFonts w:hint="eastAsia"/>
        </w:rPr>
        <w:t>。妇女的预期寿命要比男人长，这就助长了妇女更有可能比男人陷入贫困的风险。在</w:t>
      </w:r>
      <w:r>
        <w:rPr>
          <w:rFonts w:hint="eastAsia"/>
        </w:rPr>
        <w:t>65</w:t>
      </w:r>
      <w:r>
        <w:rPr>
          <w:rFonts w:hint="eastAsia"/>
        </w:rPr>
        <w:t>岁的人口中妇女占</w:t>
      </w:r>
      <w:r>
        <w:rPr>
          <w:rFonts w:hint="eastAsia"/>
        </w:rPr>
        <w:t>58%</w:t>
      </w:r>
      <w:r>
        <w:rPr>
          <w:rFonts w:hint="eastAsia"/>
        </w:rPr>
        <w:t>，她们往往是单身，生活在农村没有养老金或其他的福利，她们的生活条件往往低于贫困线。</w:t>
      </w:r>
    </w:p>
    <w:p w:rsidR="00000000" w:rsidRDefault="00000000">
      <w:pPr>
        <w:pStyle w:val="Heading4"/>
        <w:rPr>
          <w:rFonts w:hint="eastAsia"/>
        </w:rPr>
      </w:pPr>
      <w:r>
        <w:rPr>
          <w:u w:val="none"/>
        </w:rPr>
        <w:t>(b)</w:t>
      </w:r>
      <w:r>
        <w:rPr>
          <w:rFonts w:hint="eastAsia"/>
          <w:u w:val="none"/>
        </w:rPr>
        <w:t xml:space="preserve">  </w:t>
      </w:r>
      <w:r>
        <w:rPr>
          <w:rFonts w:hint="eastAsia"/>
        </w:rPr>
        <w:t>妇女与教育</w:t>
      </w:r>
    </w:p>
    <w:p w:rsidR="00000000" w:rsidRDefault="00000000">
      <w:pPr>
        <w:rPr>
          <w:rFonts w:hint="eastAsia"/>
        </w:rPr>
      </w:pPr>
      <w:r>
        <w:rPr>
          <w:rFonts w:hint="eastAsia"/>
        </w:rPr>
        <w:tab/>
        <w:t xml:space="preserve">78.  </w:t>
      </w:r>
      <w:r>
        <w:rPr>
          <w:rFonts w:hint="eastAsia"/>
        </w:rPr>
        <w:t>表明入学率、男女学生参加教育课程的数字或从学校毕业的数字等指标并不反映在对待教育的态度方面的性别差异。但是在较小的社区，有许许多多关于具体不平等的指数。这些指数汇总为男女平等获得教育机会的正面例子成为多数。此外，数据表明在塞族共和国</w:t>
      </w:r>
      <w:r>
        <w:rPr>
          <w:rFonts w:hint="eastAsia"/>
        </w:rPr>
        <w:t>15</w:t>
      </w:r>
      <w:r>
        <w:rPr>
          <w:rFonts w:hint="eastAsia"/>
        </w:rPr>
        <w:t>岁以上女性的教育结构令人吃惊：有近四分之一的妇女是文盲</w:t>
      </w:r>
      <w:r>
        <w:rPr>
          <w:rFonts w:hint="eastAsia"/>
        </w:rPr>
        <w:t>(23.1%)</w:t>
      </w:r>
      <w:r>
        <w:rPr>
          <w:rFonts w:hint="eastAsia"/>
        </w:rPr>
        <w:t>而</w:t>
      </w:r>
      <w:r>
        <w:rPr>
          <w:rFonts w:hint="eastAsia"/>
        </w:rPr>
        <w:t>23.5%</w:t>
      </w:r>
      <w:r>
        <w:rPr>
          <w:rFonts w:hint="eastAsia"/>
        </w:rPr>
        <w:t>的女性没有完成小学教育。只有很少数的完成了中等或高等教育</w:t>
      </w:r>
      <w:r>
        <w:rPr>
          <w:rFonts w:hint="eastAsia"/>
        </w:rPr>
        <w:t>(</w:t>
      </w:r>
      <w:r>
        <w:rPr>
          <w:rFonts w:hint="eastAsia"/>
        </w:rPr>
        <w:t>分别为</w:t>
      </w:r>
      <w:r>
        <w:rPr>
          <w:rFonts w:hint="eastAsia"/>
        </w:rPr>
        <w:t>2.7%</w:t>
      </w:r>
      <w:r>
        <w:rPr>
          <w:rFonts w:hint="eastAsia"/>
        </w:rPr>
        <w:t>和</w:t>
      </w:r>
      <w:r>
        <w:rPr>
          <w:rFonts w:hint="eastAsia"/>
        </w:rPr>
        <w:t>2.2%)</w:t>
      </w:r>
      <w:r>
        <w:rPr>
          <w:rFonts w:hint="eastAsia"/>
        </w:rPr>
        <w:t>。</w:t>
      </w:r>
    </w:p>
    <w:p w:rsidR="00000000" w:rsidRDefault="00000000">
      <w:pPr>
        <w:rPr>
          <w:rFonts w:hint="eastAsia"/>
        </w:rPr>
      </w:pPr>
      <w:r>
        <w:rPr>
          <w:rFonts w:hint="eastAsia"/>
        </w:rPr>
        <w:tab/>
        <w:t xml:space="preserve">79.  </w:t>
      </w:r>
      <w:r>
        <w:rPr>
          <w:rFonts w:hint="eastAsia"/>
        </w:rPr>
        <w:t>在波斯尼亚和黑塞哥维那，入学和毕业率指数看不出在性别上有什么大的差异。小学入学率男性为</w:t>
      </w:r>
      <w:r>
        <w:rPr>
          <w:rFonts w:hint="eastAsia"/>
        </w:rPr>
        <w:t>98%</w:t>
      </w:r>
      <w:r>
        <w:rPr>
          <w:rFonts w:hint="eastAsia"/>
        </w:rPr>
        <w:t>，女性为</w:t>
      </w:r>
      <w:r>
        <w:rPr>
          <w:rFonts w:hint="eastAsia"/>
        </w:rPr>
        <w:t>96%</w:t>
      </w:r>
      <w:r>
        <w:rPr>
          <w:rFonts w:hint="eastAsia"/>
        </w:rPr>
        <w:t>，中学入学率男性为</w:t>
      </w:r>
      <w:r>
        <w:rPr>
          <w:rFonts w:hint="eastAsia"/>
        </w:rPr>
        <w:t>56.3%</w:t>
      </w:r>
      <w:r>
        <w:rPr>
          <w:rFonts w:hint="eastAsia"/>
        </w:rPr>
        <w:t>，女性为</w:t>
      </w:r>
      <w:r>
        <w:rPr>
          <w:rFonts w:hint="eastAsia"/>
        </w:rPr>
        <w:t>57.5%</w:t>
      </w:r>
      <w:r>
        <w:rPr>
          <w:rFonts w:hint="eastAsia"/>
        </w:rPr>
        <w:t>，高等学校入学率男性为</w:t>
      </w:r>
      <w:r>
        <w:rPr>
          <w:rFonts w:hint="eastAsia"/>
        </w:rPr>
        <w:t>18.4%</w:t>
      </w:r>
      <w:r>
        <w:rPr>
          <w:rFonts w:hint="eastAsia"/>
        </w:rPr>
        <w:t>，女性为</w:t>
      </w:r>
      <w:r>
        <w:rPr>
          <w:rFonts w:hint="eastAsia"/>
        </w:rPr>
        <w:t>21.3%</w:t>
      </w:r>
      <w:r>
        <w:rPr>
          <w:rFonts w:hint="eastAsia"/>
        </w:rPr>
        <w:t>。高等学校入学率有这种差别是因为男性在中学毕业之后马上就要服兵役。</w:t>
      </w:r>
    </w:p>
    <w:p w:rsidR="00000000" w:rsidRDefault="00000000">
      <w:pPr>
        <w:rPr>
          <w:rFonts w:hint="eastAsia"/>
        </w:rPr>
      </w:pPr>
      <w:r>
        <w:rPr>
          <w:rFonts w:hint="eastAsia"/>
        </w:rPr>
        <w:tab/>
        <w:t xml:space="preserve">80.  </w:t>
      </w:r>
      <w:r>
        <w:rPr>
          <w:rFonts w:hint="eastAsia"/>
        </w:rPr>
        <w:t>几乎</w:t>
      </w:r>
      <w:r>
        <w:rPr>
          <w:rFonts w:hint="eastAsia"/>
        </w:rPr>
        <w:t>99%</w:t>
      </w:r>
      <w:r>
        <w:rPr>
          <w:rFonts w:hint="eastAsia"/>
        </w:rPr>
        <w:t>的儿童都能成功的升到小学五年级，这在男女儿童或城乡之间没有差别。四年级之后，继续学业的儿童人数稍有下降，主要在农村地区。这特别是在农村地区的女童中尤其如此。</w:t>
      </w:r>
    </w:p>
    <w:p w:rsidR="00000000" w:rsidRDefault="00000000">
      <w:pPr>
        <w:rPr>
          <w:rFonts w:hint="eastAsia"/>
        </w:rPr>
      </w:pPr>
      <w:r>
        <w:rPr>
          <w:rFonts w:hint="eastAsia"/>
        </w:rPr>
        <w:tab/>
        <w:t xml:space="preserve">81.  </w:t>
      </w:r>
      <w:r>
        <w:rPr>
          <w:rFonts w:hint="eastAsia"/>
        </w:rPr>
        <w:t>在波斯尼亚和黑塞哥维那的教育制度中，中等教育并不是义务性的。在战前，完成了小学教育的儿童中有</w:t>
      </w:r>
      <w:r>
        <w:rPr>
          <w:rFonts w:hint="eastAsia"/>
        </w:rPr>
        <w:t>80%-90%</w:t>
      </w:r>
      <w:r>
        <w:rPr>
          <w:rFonts w:hint="eastAsia"/>
        </w:rPr>
        <w:t>继续中学教育。然而，在战后，中等教育的覆盖面只有</w:t>
      </w:r>
      <w:r>
        <w:rPr>
          <w:rFonts w:hint="eastAsia"/>
        </w:rPr>
        <w:t>56%</w:t>
      </w:r>
      <w:r>
        <w:rPr>
          <w:rFonts w:hint="eastAsia"/>
        </w:rPr>
        <w:t>。如此低的水平表明战争中一代人和流离失所的人所受到的影响的程度。</w:t>
      </w:r>
    </w:p>
    <w:p w:rsidR="00000000" w:rsidRDefault="00000000">
      <w:pPr>
        <w:spacing w:after="320"/>
        <w:rPr>
          <w:rFonts w:hint="eastAsia"/>
        </w:rPr>
      </w:pPr>
      <w:r>
        <w:rPr>
          <w:rFonts w:hint="eastAsia"/>
        </w:rPr>
        <w:tab/>
        <w:t xml:space="preserve">82.  </w:t>
      </w:r>
      <w:r>
        <w:rPr>
          <w:rFonts w:hint="eastAsia"/>
        </w:rPr>
        <w:t>波斯尼亚和黑塞哥维那的性别平等法规定，在人权和难民事务部内设立性别平等局。在波斯尼亚和黑塞哥维那联邦以及塞族共和国，负责监督法律及其实施的机构是“性别中心”，并且在国家、实体和州各级建立了性别平等议会委员会。</w:t>
      </w:r>
    </w:p>
    <w:p w:rsidR="00000000" w:rsidRDefault="00000000">
      <w:pPr>
        <w:pStyle w:val="a3"/>
        <w:rPr>
          <w:rFonts w:hint="eastAsia"/>
        </w:rPr>
      </w:pPr>
      <w:r>
        <w:rPr>
          <w:rFonts w:hint="eastAsia"/>
        </w:rPr>
        <w:t>第</w:t>
      </w:r>
      <w:r>
        <w:rPr>
          <w:rFonts w:hint="eastAsia"/>
        </w:rPr>
        <w:t xml:space="preserve"> 4 </w:t>
      </w:r>
      <w:r>
        <w:rPr>
          <w:rFonts w:hint="eastAsia"/>
        </w:rPr>
        <w:t>条</w:t>
      </w:r>
    </w:p>
    <w:p w:rsidR="00000000" w:rsidRDefault="00000000">
      <w:pPr>
        <w:pStyle w:val="Heading4"/>
        <w:rPr>
          <w:rFonts w:hint="eastAsia"/>
        </w:rPr>
      </w:pPr>
      <w:r>
        <w:rPr>
          <w:rFonts w:hint="eastAsia"/>
        </w:rPr>
        <w:t>公约中权利和自由的限度</w:t>
      </w:r>
    </w:p>
    <w:p w:rsidR="00000000" w:rsidRDefault="00000000">
      <w:pPr>
        <w:rPr>
          <w:rFonts w:hint="eastAsia"/>
        </w:rPr>
      </w:pPr>
      <w:r>
        <w:rPr>
          <w:rFonts w:hint="eastAsia"/>
        </w:rPr>
        <w:tab/>
        <w:t xml:space="preserve">83.  </w:t>
      </w:r>
      <w:r>
        <w:rPr>
          <w:rFonts w:hint="eastAsia"/>
        </w:rPr>
        <w:t>一个缔约国只能够通过法律并且以符合法律为度放弃其一部分的权利，并且完全是为了民主社会中的普遍的福利这样做。缔约国渴望通过保护私人财产和促进市场经济来改善总的福利和促进经济增长，只能通过符合《世界人权宣言》、《公民权利和政治权利国际公约》、《经济、社会、文化权利国际公约》、以及《关于属于民族或种族、宗教和语言少数的人的权利宣言》等文书的法律来管理上述问题。</w:t>
      </w:r>
    </w:p>
    <w:p w:rsidR="00000000" w:rsidRDefault="00000000">
      <w:pPr>
        <w:spacing w:after="320"/>
        <w:rPr>
          <w:rFonts w:hint="eastAsia"/>
        </w:rPr>
      </w:pPr>
      <w:r>
        <w:rPr>
          <w:rFonts w:hint="eastAsia"/>
        </w:rPr>
        <w:tab/>
        <w:t xml:space="preserve">84.  </w:t>
      </w:r>
      <w:r>
        <w:rPr>
          <w:rFonts w:hint="eastAsia"/>
        </w:rPr>
        <w:t>波斯尼亚和黑塞哥维那宪法保障人权和基本自由。波斯尼亚和黑塞哥维那及其两个实体将确保最高程度的国际上公认的人权和基本自由，遵循波斯尼亚和黑塞哥维那人权委员会现行的规则。《欧洲保护人权和基本自由公约》及其议定书所界定的权利和自由在波斯尼亚和黑塞哥维那直接适用。这些规定压倒其他所有立法。</w:t>
      </w:r>
    </w:p>
    <w:p w:rsidR="00000000" w:rsidRDefault="00000000">
      <w:pPr>
        <w:pStyle w:val="a3"/>
        <w:rPr>
          <w:rFonts w:hint="eastAsia"/>
        </w:rPr>
      </w:pPr>
      <w:r>
        <w:rPr>
          <w:rFonts w:hint="eastAsia"/>
        </w:rPr>
        <w:t>第</w:t>
      </w:r>
      <w:r>
        <w:rPr>
          <w:rFonts w:hint="eastAsia"/>
        </w:rPr>
        <w:t xml:space="preserve"> 5 </w:t>
      </w:r>
      <w:r>
        <w:rPr>
          <w:rFonts w:hint="eastAsia"/>
        </w:rPr>
        <w:t>条</w:t>
      </w:r>
    </w:p>
    <w:p w:rsidR="00000000" w:rsidRDefault="00000000">
      <w:pPr>
        <w:pStyle w:val="Heading4"/>
        <w:rPr>
          <w:rFonts w:hint="eastAsia"/>
        </w:rPr>
      </w:pPr>
      <w:r>
        <w:rPr>
          <w:rFonts w:hint="eastAsia"/>
        </w:rPr>
        <w:t>禁止公约不承认或只是在一定程度上承认的对基本人权和自由的限制</w:t>
      </w:r>
    </w:p>
    <w:p w:rsidR="00000000" w:rsidRDefault="00000000">
      <w:pPr>
        <w:rPr>
          <w:rFonts w:hint="eastAsia"/>
        </w:rPr>
      </w:pPr>
      <w:r>
        <w:rPr>
          <w:rFonts w:hint="eastAsia"/>
        </w:rPr>
        <w:tab/>
        <w:t xml:space="preserve">85.  </w:t>
      </w:r>
      <w:r>
        <w:rPr>
          <w:rFonts w:hint="eastAsia"/>
        </w:rPr>
        <w:t>波斯尼亚和黑塞哥维那在签署保护人权和基本自由国际公约及其议定书的时候，决心根据其自身以及实体的宪法将其立法与《经济、社会、文化权利国际公约》接轨。为此目的，设立了各种机构以促进对人权和基本自由的保护。这些机构主要是波黑人权分庭、波斯尼亚和黑塞哥维那巡视官和人权巡视官实体办事处。</w:t>
      </w:r>
    </w:p>
    <w:p w:rsidR="00000000" w:rsidRDefault="00000000">
      <w:pPr>
        <w:rPr>
          <w:rFonts w:hint="eastAsia"/>
        </w:rPr>
      </w:pPr>
      <w:r>
        <w:rPr>
          <w:rFonts w:hint="eastAsia"/>
        </w:rPr>
        <w:tab/>
        <w:t xml:space="preserve">86.  </w:t>
      </w:r>
      <w:r>
        <w:rPr>
          <w:rFonts w:hint="eastAsia"/>
        </w:rPr>
        <w:t>波黑人权分庭在过去阶段主要是讨论与财产权和公民权、住房权、滥用废弃财产法等有关的案件，主要是在国内法律系统中法律补救措施已经用尽，从而不足的情况下的案件。提交分庭的几个案件涉及到非法拘留、警察和其他当局滥用权力、侵犯公正审判的权利等，而与侵犯自由权和宗教信仰权有关的案例则要少得多。</w:t>
      </w:r>
    </w:p>
    <w:p w:rsidR="00000000" w:rsidRDefault="00000000">
      <w:pPr>
        <w:rPr>
          <w:rFonts w:hint="eastAsia"/>
        </w:rPr>
      </w:pPr>
      <w:r>
        <w:rPr>
          <w:rFonts w:hint="eastAsia"/>
        </w:rPr>
        <w:tab/>
        <w:t xml:space="preserve">87.  </w:t>
      </w:r>
      <w:r>
        <w:rPr>
          <w:rFonts w:hint="eastAsia"/>
        </w:rPr>
        <w:t>虽然波黑人权分庭从法律角度而言不是一个国内机构，因此无须服从国内</w:t>
      </w:r>
      <w:r>
        <w:rPr>
          <w:rFonts w:hint="eastAsia"/>
        </w:rPr>
        <w:t>(</w:t>
      </w:r>
      <w:r>
        <w:rPr>
          <w:rFonts w:hint="eastAsia"/>
        </w:rPr>
        <w:t>实体或州</w:t>
      </w:r>
      <w:r>
        <w:rPr>
          <w:rFonts w:hint="eastAsia"/>
        </w:rPr>
        <w:t>)</w:t>
      </w:r>
      <w:r>
        <w:rPr>
          <w:rFonts w:hint="eastAsia"/>
        </w:rPr>
        <w:t>司法系统的法律准则，但它的裁决是最后的并且有约束力。分庭决定有约束力这一性质是基于政治压力和高级代表的权威，这绝不是法律上的，而是政治上的一种机制。</w:t>
      </w:r>
    </w:p>
    <w:p w:rsidR="00000000" w:rsidRDefault="00000000">
      <w:pPr>
        <w:rPr>
          <w:rFonts w:hint="eastAsia"/>
        </w:rPr>
      </w:pPr>
      <w:r>
        <w:rPr>
          <w:rFonts w:hint="eastAsia"/>
        </w:rPr>
        <w:tab/>
        <w:t xml:space="preserve">88.  </w:t>
      </w:r>
      <w:r>
        <w:rPr>
          <w:rFonts w:hint="eastAsia"/>
        </w:rPr>
        <w:t>在实际上，波黑人权分庭没有一项决定是在波斯尼亚和黑塞哥维那适用《经济、社会、文化权利国际公约》第</w:t>
      </w:r>
      <w:r>
        <w:rPr>
          <w:rFonts w:hint="eastAsia"/>
        </w:rPr>
        <w:t>5</w:t>
      </w:r>
      <w:r>
        <w:rPr>
          <w:rFonts w:hint="eastAsia"/>
        </w:rPr>
        <w:t>条的。</w:t>
      </w:r>
    </w:p>
    <w:p w:rsidR="00000000" w:rsidRDefault="00000000">
      <w:pPr>
        <w:rPr>
          <w:rFonts w:hint="eastAsia"/>
        </w:rPr>
      </w:pPr>
      <w:r>
        <w:rPr>
          <w:rFonts w:hint="eastAsia"/>
        </w:rPr>
        <w:tab/>
        <w:t xml:space="preserve">89.  </w:t>
      </w:r>
      <w:r>
        <w:rPr>
          <w:rFonts w:hint="eastAsia"/>
        </w:rPr>
        <w:t>关于经济和社会权利的执行和保护问题，波斯尼亚和黑塞哥维那巡视员办事处经常收到公民关于其保护和执行的投诉。巡视员在以下领域提出了所有公民的投诉：保护财产权、退回财产和恢复财产的持有</w:t>
      </w:r>
      <w:r>
        <w:rPr>
          <w:rFonts w:hint="eastAsia"/>
        </w:rPr>
        <w:t>(</w:t>
      </w:r>
      <w:r>
        <w:rPr>
          <w:rFonts w:hint="eastAsia"/>
        </w:rPr>
        <w:t>关于退回财产，到</w:t>
      </w:r>
      <w:r>
        <w:rPr>
          <w:rFonts w:hint="eastAsia"/>
        </w:rPr>
        <w:t>2001</w:t>
      </w:r>
      <w:r>
        <w:rPr>
          <w:rFonts w:hint="eastAsia"/>
        </w:rPr>
        <w:t>年年终，巡视员调查了主管部门在退回财产方面所采用的程序的时间长度。保护权利是基于处理波斯尼亚和黑塞哥维那政府部门通过发出执行退回财产权的优先重点来处理退还财产的问题</w:t>
      </w:r>
      <w:r>
        <w:rPr>
          <w:rFonts w:hint="eastAsia"/>
        </w:rPr>
        <w:t>)</w:t>
      </w:r>
      <w:r>
        <w:rPr>
          <w:rFonts w:hint="eastAsia"/>
        </w:rPr>
        <w:t>；保护就业的权利</w:t>
      </w:r>
      <w:r>
        <w:rPr>
          <w:rFonts w:hint="eastAsia"/>
        </w:rPr>
        <w:t>(</w:t>
      </w:r>
      <w:r>
        <w:rPr>
          <w:rFonts w:hint="eastAsia"/>
        </w:rPr>
        <w:t>这主要是关于在两个实体中执行劳动法第</w:t>
      </w:r>
      <w:r>
        <w:rPr>
          <w:rFonts w:hint="eastAsia"/>
        </w:rPr>
        <w:t>134</w:t>
      </w:r>
      <w:r>
        <w:rPr>
          <w:rFonts w:hint="eastAsia"/>
        </w:rPr>
        <w:t>和</w:t>
      </w:r>
      <w:r>
        <w:rPr>
          <w:rFonts w:hint="eastAsia"/>
        </w:rPr>
        <w:t>135</w:t>
      </w:r>
      <w:r>
        <w:rPr>
          <w:rFonts w:hint="eastAsia"/>
        </w:rPr>
        <w:t>条</w:t>
      </w:r>
      <w:r>
        <w:rPr>
          <w:rFonts w:hint="eastAsia"/>
        </w:rPr>
        <w:t>)</w:t>
      </w:r>
      <w:r>
        <w:rPr>
          <w:rFonts w:hint="eastAsia"/>
        </w:rPr>
        <w:t>；执行社会福利权</w:t>
      </w:r>
      <w:r>
        <w:rPr>
          <w:rFonts w:hint="eastAsia"/>
        </w:rPr>
        <w:t>(</w:t>
      </w:r>
      <w:r>
        <w:rPr>
          <w:rFonts w:hint="eastAsia"/>
        </w:rPr>
        <w:t>保护、社会援助和赔偿权、申请程序的时间长度和不正常的付款</w:t>
      </w:r>
      <w:r>
        <w:rPr>
          <w:rFonts w:hint="eastAsia"/>
        </w:rPr>
        <w:t>)</w:t>
      </w:r>
      <w:r>
        <w:rPr>
          <w:rFonts w:hint="eastAsia"/>
        </w:rPr>
        <w:t>，以及养老金保险权</w:t>
      </w:r>
      <w:r>
        <w:rPr>
          <w:rFonts w:hint="eastAsia"/>
        </w:rPr>
        <w:t>(</w:t>
      </w:r>
      <w:r>
        <w:rPr>
          <w:rFonts w:hint="eastAsia"/>
        </w:rPr>
        <w:t>执行其他实体的养老金支付权</w:t>
      </w:r>
      <w:r>
        <w:rPr>
          <w:rFonts w:hint="eastAsia"/>
        </w:rPr>
        <w:t>)</w:t>
      </w:r>
      <w:r>
        <w:rPr>
          <w:rFonts w:hint="eastAsia"/>
        </w:rPr>
        <w:t>。</w:t>
      </w:r>
    </w:p>
    <w:p w:rsidR="00000000" w:rsidRDefault="00000000">
      <w:pPr>
        <w:rPr>
          <w:rFonts w:hint="eastAsia"/>
        </w:rPr>
      </w:pPr>
      <w:r>
        <w:rPr>
          <w:rFonts w:hint="eastAsia"/>
        </w:rPr>
        <w:tab/>
        <w:t xml:space="preserve">90.  </w:t>
      </w:r>
      <w:r>
        <w:rPr>
          <w:rFonts w:hint="eastAsia"/>
        </w:rPr>
        <w:t>根据以上情况，可以得出结论：波斯尼亚和黑塞哥维那的巡视员机关根据人权巡视员法规定的责任和授权，为在波斯尼亚和黑塞哥维那完全实现《经济、社会、文化权利国际公约》所承认的权利采取措施，开展活动并提出建议。</w:t>
      </w:r>
    </w:p>
    <w:p w:rsidR="00000000" w:rsidRDefault="00000000">
      <w:pPr>
        <w:rPr>
          <w:rFonts w:hint="eastAsia"/>
        </w:rPr>
      </w:pPr>
      <w:r>
        <w:rPr>
          <w:rFonts w:hint="eastAsia"/>
        </w:rPr>
        <w:tab/>
        <w:t xml:space="preserve">91.  </w:t>
      </w:r>
      <w:r>
        <w:rPr>
          <w:rFonts w:hint="eastAsia"/>
        </w:rPr>
        <w:t>在两个实体中的巡视员机构是分别根据塞族共和国和波斯尼亚和黑塞哥维那联邦巡视员法设立的，作为国内机构行事，但在人权保护领域仍然缺乏实质性的影响。</w:t>
      </w:r>
    </w:p>
    <w:p w:rsidR="00000000" w:rsidRDefault="00000000">
      <w:pPr>
        <w:rPr>
          <w:rFonts w:hint="eastAsia"/>
        </w:rPr>
      </w:pPr>
      <w:r>
        <w:rPr>
          <w:rFonts w:hint="eastAsia"/>
        </w:rPr>
        <w:tab/>
        <w:t xml:space="preserve">92.  </w:t>
      </w:r>
      <w:r>
        <w:rPr>
          <w:rFonts w:hint="eastAsia"/>
        </w:rPr>
        <w:t>波斯尼亚和黑塞哥维那联邦巡视员办事处接待了</w:t>
      </w:r>
      <w:r>
        <w:rPr>
          <w:rFonts w:hint="eastAsia"/>
        </w:rPr>
        <w:t>49,189</w:t>
      </w:r>
      <w:r>
        <w:rPr>
          <w:rFonts w:hint="eastAsia"/>
        </w:rPr>
        <w:t>名公民，接受了</w:t>
      </w:r>
      <w:r>
        <w:rPr>
          <w:rFonts w:hint="eastAsia"/>
        </w:rPr>
        <w:t>17,219</w:t>
      </w:r>
      <w:r>
        <w:rPr>
          <w:rFonts w:hint="eastAsia"/>
        </w:rPr>
        <w:t>件申诉。官方报告表明自从成立以来这些机构运作顺利。在</w:t>
      </w:r>
      <w:r>
        <w:rPr>
          <w:rFonts w:hint="eastAsia"/>
        </w:rPr>
        <w:t>2002</w:t>
      </w:r>
      <w:r>
        <w:rPr>
          <w:rFonts w:hint="eastAsia"/>
        </w:rPr>
        <w:t>年这一年中，塞族共和国有</w:t>
      </w:r>
      <w:r>
        <w:rPr>
          <w:rFonts w:hint="eastAsia"/>
        </w:rPr>
        <w:t>22,000</w:t>
      </w:r>
      <w:r>
        <w:rPr>
          <w:rFonts w:hint="eastAsia"/>
        </w:rPr>
        <w:t>名公民与巡视员办事处联系过，办事处非直接的或者通过电话接受了</w:t>
      </w:r>
      <w:r>
        <w:rPr>
          <w:rFonts w:hint="eastAsia"/>
        </w:rPr>
        <w:t>4,000</w:t>
      </w:r>
      <w:r>
        <w:rPr>
          <w:rFonts w:hint="eastAsia"/>
        </w:rPr>
        <w:t>多件申诉。有</w:t>
      </w:r>
      <w:r>
        <w:rPr>
          <w:rFonts w:hint="eastAsia"/>
        </w:rPr>
        <w:t>92%</w:t>
      </w:r>
      <w:r>
        <w:rPr>
          <w:rFonts w:hint="eastAsia"/>
        </w:rPr>
        <w:t>的申诉完成了审理程序。巡视人员参与了所有对于保护所有公民人权至关重要的一切主要的社会进程，例如司法、行政和警察部门的改革，惩罚</w:t>
      </w:r>
      <w:r>
        <w:rPr>
          <w:rFonts w:hint="eastAsia"/>
          <w:spacing w:val="-50"/>
        </w:rPr>
        <w:t>―</w:t>
      </w:r>
      <w:r>
        <w:rPr>
          <w:rFonts w:hint="eastAsia"/>
        </w:rPr>
        <w:t>―教化系统的改革，侦查与打击腐败、保护媒体的权利与自由，以及公民与当局的人权教育。在执行和保护经济、社会和文化权利方面，所收到的申诉通常分为以下类型：退回财产和财产权；司法</w:t>
      </w:r>
      <w:r>
        <w:rPr>
          <w:rFonts w:hint="eastAsia"/>
        </w:rPr>
        <w:t>(</w:t>
      </w:r>
      <w:r>
        <w:rPr>
          <w:rFonts w:hint="eastAsia"/>
        </w:rPr>
        <w:t>在两个实体中执行劳动法第</w:t>
      </w:r>
      <w:r>
        <w:rPr>
          <w:rFonts w:hint="eastAsia"/>
        </w:rPr>
        <w:t>143</w:t>
      </w:r>
      <w:r>
        <w:rPr>
          <w:rFonts w:hint="eastAsia"/>
        </w:rPr>
        <w:t>和</w:t>
      </w:r>
      <w:r>
        <w:rPr>
          <w:rFonts w:hint="eastAsia"/>
        </w:rPr>
        <w:t>152</w:t>
      </w:r>
      <w:r>
        <w:rPr>
          <w:rFonts w:hint="eastAsia"/>
        </w:rPr>
        <w:t>条工作组</w:t>
      </w:r>
      <w:r>
        <w:rPr>
          <w:rFonts w:hint="eastAsia"/>
        </w:rPr>
        <w:t>)</w:t>
      </w:r>
      <w:r>
        <w:rPr>
          <w:rFonts w:hint="eastAsia"/>
        </w:rPr>
        <w:t>；城市规划、土木建设和环境；养老金和残疾保险；公用设施；地位权；社会福利与医疗保健；开放信息；个人自由的限制；儿童权利；宪法权利和自由等。</w:t>
      </w:r>
    </w:p>
    <w:p w:rsidR="00000000" w:rsidRDefault="00000000">
      <w:pPr>
        <w:spacing w:after="320"/>
      </w:pPr>
      <w:r>
        <w:rPr>
          <w:rFonts w:hint="eastAsia"/>
        </w:rPr>
        <w:tab/>
        <w:t xml:space="preserve">93.  </w:t>
      </w:r>
      <w:r>
        <w:rPr>
          <w:rFonts w:hint="eastAsia"/>
        </w:rPr>
        <w:t>巡视人员在关于过去一阶段情况的报告中指出了司法系统中困难的、不尽人意的状况，尤其是是在办案速度方面。公民和法律实体抱怨最多的是法院运作缓慢，即《欧洲保护人权和基本自由公约》第</w:t>
      </w:r>
      <w:r>
        <w:rPr>
          <w:rFonts w:hint="eastAsia"/>
        </w:rPr>
        <w:t>6</w:t>
      </w:r>
      <w:r>
        <w:rPr>
          <w:rFonts w:hint="eastAsia"/>
        </w:rPr>
        <w:t>条中提及的违反人权的情况。关于这一点，并没有提出改善状况的建议，因为波斯尼亚和黑塞哥维那正在国际社会支持下实施司法系统的改革。预计，这将大大改善司法系统的状况。</w:t>
      </w:r>
    </w:p>
    <w:p w:rsidR="00000000" w:rsidRDefault="00000000">
      <w:pPr>
        <w:pStyle w:val="a3"/>
        <w:rPr>
          <w:rFonts w:hint="eastAsia"/>
        </w:rPr>
      </w:pPr>
      <w:r>
        <w:rPr>
          <w:rFonts w:hint="eastAsia"/>
        </w:rPr>
        <w:t>第</w:t>
      </w:r>
      <w:r>
        <w:rPr>
          <w:rFonts w:hint="eastAsia"/>
        </w:rPr>
        <w:t xml:space="preserve"> 6 </w:t>
      </w:r>
      <w:r>
        <w:rPr>
          <w:rFonts w:hint="eastAsia"/>
        </w:rPr>
        <w:t>条</w:t>
      </w:r>
    </w:p>
    <w:p w:rsidR="00000000" w:rsidRDefault="00000000">
      <w:pPr>
        <w:pStyle w:val="Heading4"/>
        <w:rPr>
          <w:rFonts w:hint="eastAsia"/>
        </w:rPr>
      </w:pPr>
      <w:r>
        <w:rPr>
          <w:rFonts w:hint="eastAsia"/>
        </w:rPr>
        <w:t>已批准的国际文书</w:t>
      </w:r>
    </w:p>
    <w:p w:rsidR="00000000" w:rsidRDefault="00000000">
      <w:pPr>
        <w:rPr>
          <w:rFonts w:hint="eastAsia"/>
        </w:rPr>
      </w:pPr>
      <w:r>
        <w:rPr>
          <w:rFonts w:hint="eastAsia"/>
        </w:rPr>
        <w:tab/>
        <w:t xml:space="preserve">94.  </w:t>
      </w:r>
      <w:r>
        <w:rPr>
          <w:rFonts w:hint="eastAsia"/>
        </w:rPr>
        <w:t>波斯尼亚和黑塞哥维那批准了下列国际公约和国际劳工组织公约：</w:t>
      </w:r>
    </w:p>
    <w:p w:rsidR="00000000" w:rsidRDefault="00000000">
      <w:pPr>
        <w:pStyle w:val="a0"/>
        <w:ind w:left="1550"/>
        <w:rPr>
          <w:rFonts w:hint="eastAsia"/>
        </w:rPr>
      </w:pPr>
      <w:r>
        <w:rPr>
          <w:rFonts w:hint="eastAsia"/>
        </w:rPr>
        <w:t>劳工组织《就业政策公约》</w:t>
      </w:r>
      <w:r>
        <w:rPr>
          <w:rFonts w:hint="eastAsia"/>
        </w:rPr>
        <w:t>1964</w:t>
      </w:r>
      <w:r>
        <w:rPr>
          <w:rFonts w:hint="eastAsia"/>
        </w:rPr>
        <w:t>年，</w:t>
      </w:r>
      <w:r>
        <w:rPr>
          <w:rFonts w:hint="eastAsia"/>
        </w:rPr>
        <w:t>(</w:t>
      </w:r>
      <w:r>
        <w:rPr>
          <w:rFonts w:hint="eastAsia"/>
        </w:rPr>
        <w:t>第</w:t>
      </w:r>
      <w:r>
        <w:rPr>
          <w:rFonts w:hint="eastAsia"/>
        </w:rPr>
        <w:t>122</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劳工组织《歧视</w:t>
      </w:r>
      <w:r>
        <w:rPr>
          <w:rFonts w:hint="eastAsia"/>
        </w:rPr>
        <w:t>(</w:t>
      </w:r>
      <w:r>
        <w:rPr>
          <w:rFonts w:hint="eastAsia"/>
        </w:rPr>
        <w:t>就业和职业</w:t>
      </w:r>
      <w:r>
        <w:rPr>
          <w:rFonts w:hint="eastAsia"/>
        </w:rPr>
        <w:t>)</w:t>
      </w:r>
      <w:r>
        <w:rPr>
          <w:rFonts w:hint="eastAsia"/>
        </w:rPr>
        <w:t>公约》</w:t>
      </w:r>
      <w:r>
        <w:rPr>
          <w:rFonts w:hint="eastAsia"/>
        </w:rPr>
        <w:t>1958</w:t>
      </w:r>
      <w:r>
        <w:rPr>
          <w:rFonts w:hint="eastAsia"/>
        </w:rPr>
        <w:t>年，</w:t>
      </w:r>
      <w:r>
        <w:rPr>
          <w:rFonts w:hint="eastAsia"/>
        </w:rPr>
        <w:t>(</w:t>
      </w:r>
      <w:r>
        <w:rPr>
          <w:rFonts w:hint="eastAsia"/>
        </w:rPr>
        <w:t>第</w:t>
      </w:r>
      <w:r>
        <w:rPr>
          <w:rFonts w:hint="eastAsia"/>
        </w:rPr>
        <w:t>111</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《消除一切形式种族歧视国际公约》；</w:t>
      </w:r>
    </w:p>
    <w:p w:rsidR="00000000" w:rsidRDefault="00000000">
      <w:pPr>
        <w:pStyle w:val="a0"/>
        <w:spacing w:after="320"/>
        <w:ind w:left="1550"/>
        <w:rPr>
          <w:rFonts w:hint="eastAsia"/>
        </w:rPr>
      </w:pPr>
      <w:r>
        <w:rPr>
          <w:rFonts w:hint="eastAsia"/>
        </w:rPr>
        <w:t>《消除对妇女一切形式歧视公约》。</w:t>
      </w:r>
    </w:p>
    <w:p w:rsidR="00000000" w:rsidRDefault="00000000">
      <w:pPr>
        <w:pStyle w:val="Heading4"/>
        <w:rPr>
          <w:rFonts w:hint="eastAsia"/>
        </w:rPr>
      </w:pPr>
      <w:r>
        <w:rPr>
          <w:rFonts w:hint="eastAsia"/>
        </w:rPr>
        <w:t>工作和就业权</w:t>
      </w:r>
    </w:p>
    <w:p w:rsidR="00000000" w:rsidRDefault="00000000">
      <w:pPr>
        <w:rPr>
          <w:rFonts w:hint="eastAsia"/>
        </w:rPr>
      </w:pPr>
      <w:r>
        <w:rPr>
          <w:rFonts w:hint="eastAsia"/>
        </w:rPr>
        <w:tab/>
        <w:t xml:space="preserve">95.  </w:t>
      </w:r>
      <w:r>
        <w:rPr>
          <w:rFonts w:hint="eastAsia"/>
        </w:rPr>
        <w:t>波斯尼亚和黑塞哥维那的总就业人口为</w:t>
      </w:r>
      <w:r>
        <w:rPr>
          <w:rFonts w:hint="eastAsia"/>
        </w:rPr>
        <w:t>999,500</w:t>
      </w:r>
      <w:r>
        <w:rPr>
          <w:rFonts w:hint="eastAsia"/>
        </w:rPr>
        <w:t>人左右，其中</w:t>
      </w:r>
      <w:r>
        <w:rPr>
          <w:rFonts w:hint="eastAsia"/>
        </w:rPr>
        <w:t xml:space="preserve">638,000 </w:t>
      </w:r>
      <w:r>
        <w:rPr>
          <w:rFonts w:hint="eastAsia"/>
        </w:rPr>
        <w:t>人</w:t>
      </w:r>
      <w:r>
        <w:rPr>
          <w:rFonts w:hint="eastAsia"/>
        </w:rPr>
        <w:t xml:space="preserve">(63.6%) </w:t>
      </w:r>
      <w:r>
        <w:rPr>
          <w:rFonts w:hint="eastAsia"/>
        </w:rPr>
        <w:t>是在正规部门就业。战争过后，波斯尼亚和黑塞哥维那随即出现了“增长不增员”，表明有大约</w:t>
      </w:r>
      <w:r>
        <w:rPr>
          <w:rFonts w:hint="eastAsia"/>
        </w:rPr>
        <w:t>361,500</w:t>
      </w:r>
      <w:r>
        <w:rPr>
          <w:rFonts w:hint="eastAsia"/>
        </w:rPr>
        <w:t>人</w:t>
      </w:r>
      <w:r>
        <w:rPr>
          <w:rFonts w:hint="eastAsia"/>
        </w:rPr>
        <w:t xml:space="preserve"> (36.2%) </w:t>
      </w:r>
      <w:r>
        <w:rPr>
          <w:rFonts w:hint="eastAsia"/>
        </w:rPr>
        <w:t>在非正规部门就业。根据同一资料来源，塞族共和国在非正规部门就业人口的比率</w:t>
      </w:r>
      <w:r>
        <w:rPr>
          <w:rFonts w:hint="eastAsia"/>
        </w:rPr>
        <w:t>(41.4%)</w:t>
      </w:r>
      <w:r>
        <w:rPr>
          <w:rFonts w:hint="eastAsia"/>
        </w:rPr>
        <w:t>大大高于波斯尼亚和黑塞哥维那联邦</w:t>
      </w:r>
      <w:r>
        <w:rPr>
          <w:rFonts w:hint="eastAsia"/>
        </w:rPr>
        <w:t xml:space="preserve"> (32%)</w:t>
      </w:r>
      <w:r>
        <w:rPr>
          <w:rFonts w:hint="eastAsia"/>
        </w:rPr>
        <w:t>。</w:t>
      </w:r>
    </w:p>
    <w:p w:rsidR="00000000" w:rsidRDefault="00000000">
      <w:pPr>
        <w:rPr>
          <w:rFonts w:hint="eastAsia"/>
        </w:rPr>
      </w:pPr>
      <w:r>
        <w:rPr>
          <w:rFonts w:hint="eastAsia"/>
        </w:rPr>
        <w:tab/>
        <w:t xml:space="preserve">96.  </w:t>
      </w:r>
      <w:r>
        <w:rPr>
          <w:rFonts w:hint="eastAsia"/>
        </w:rPr>
        <w:t>根据现有评估，正规部门的劳动力年龄明显高于</w:t>
      </w:r>
      <w:r>
        <w:rPr>
          <w:rFonts w:hint="eastAsia"/>
        </w:rPr>
        <w:t>1990</w:t>
      </w:r>
      <w:r>
        <w:rPr>
          <w:rFonts w:hint="eastAsia"/>
        </w:rPr>
        <w:t>年的水平。另一方面，青年人和非熟练劳动力被迫流向非正规部门。女性加入劳动队伍的比率较低，波斯尼亚和黑塞哥维那联邦为</w:t>
      </w:r>
      <w:r>
        <w:rPr>
          <w:rFonts w:hint="eastAsia"/>
        </w:rPr>
        <w:t>30%</w:t>
      </w:r>
      <w:r>
        <w:rPr>
          <w:rFonts w:hint="eastAsia"/>
        </w:rPr>
        <w:t>，塞族共和国为</w:t>
      </w:r>
      <w:r>
        <w:rPr>
          <w:rFonts w:hint="eastAsia"/>
        </w:rPr>
        <w:t>39%</w:t>
      </w:r>
      <w:r>
        <w:rPr>
          <w:rFonts w:hint="eastAsia"/>
        </w:rPr>
        <w:t>。</w:t>
      </w:r>
    </w:p>
    <w:p w:rsidR="00000000" w:rsidRDefault="00000000">
      <w:pPr>
        <w:rPr>
          <w:rFonts w:hint="eastAsia"/>
        </w:rPr>
      </w:pPr>
      <w:r>
        <w:rPr>
          <w:rFonts w:hint="eastAsia"/>
        </w:rPr>
        <w:tab/>
        <w:t xml:space="preserve">97.  </w:t>
      </w:r>
      <w:r>
        <w:rPr>
          <w:rFonts w:hint="eastAsia"/>
        </w:rPr>
        <w:t>官方数据表明，波斯尼亚和黑塞哥维那的失业率为</w:t>
      </w:r>
      <w:r>
        <w:rPr>
          <w:rFonts w:hint="eastAsia"/>
        </w:rPr>
        <w:t>41%</w:t>
      </w:r>
      <w:r>
        <w:rPr>
          <w:rFonts w:hint="eastAsia"/>
        </w:rPr>
        <w:t>，但考虑到非正规部门的情况，世界银行的数据</w:t>
      </w:r>
      <w:r>
        <w:rPr>
          <w:rFonts w:hint="eastAsia"/>
        </w:rPr>
        <w:t>(</w:t>
      </w:r>
      <w:r>
        <w:rPr>
          <w:rFonts w:hint="eastAsia"/>
        </w:rPr>
        <w:t>依据生活水平衡量研究数字</w:t>
      </w:r>
      <w:r>
        <w:rPr>
          <w:rFonts w:hint="eastAsia"/>
        </w:rPr>
        <w:t>)</w:t>
      </w:r>
      <w:r>
        <w:rPr>
          <w:rFonts w:hint="eastAsia"/>
        </w:rPr>
        <w:t>显示，实际的失业率为</w:t>
      </w:r>
      <w:r>
        <w:rPr>
          <w:rFonts w:hint="eastAsia"/>
        </w:rPr>
        <w:t>16.4%</w:t>
      </w:r>
      <w:r>
        <w:rPr>
          <w:rFonts w:hint="eastAsia"/>
        </w:rPr>
        <w:t>左右</w:t>
      </w:r>
      <w:r>
        <w:rPr>
          <w:rFonts w:hint="eastAsia"/>
        </w:rPr>
        <w:t>(</w:t>
      </w:r>
      <w:r>
        <w:rPr>
          <w:rFonts w:hint="eastAsia"/>
        </w:rPr>
        <w:t>波斯尼亚和黑塞哥维那共和国联邦：</w:t>
      </w:r>
      <w:r>
        <w:rPr>
          <w:rFonts w:hint="eastAsia"/>
        </w:rPr>
        <w:t>16.9%</w:t>
      </w:r>
      <w:r>
        <w:rPr>
          <w:rFonts w:hint="eastAsia"/>
        </w:rPr>
        <w:t>；塞族共和国：</w:t>
      </w:r>
      <w:r>
        <w:rPr>
          <w:rFonts w:hint="eastAsia"/>
        </w:rPr>
        <w:t>15.8%)</w:t>
      </w:r>
      <w:r>
        <w:rPr>
          <w:rFonts w:hint="eastAsia"/>
        </w:rPr>
        <w:t>。</w:t>
      </w:r>
    </w:p>
    <w:p w:rsidR="00000000" w:rsidRDefault="00000000">
      <w:pPr>
        <w:rPr>
          <w:rFonts w:hint="eastAsia"/>
        </w:rPr>
      </w:pPr>
      <w:r>
        <w:rPr>
          <w:rFonts w:hint="eastAsia"/>
        </w:rPr>
        <w:tab/>
        <w:t xml:space="preserve">98.  </w:t>
      </w:r>
      <w:r>
        <w:rPr>
          <w:rFonts w:hint="eastAsia"/>
        </w:rPr>
        <w:t>这两个实体的就业群体的结构与</w:t>
      </w:r>
      <w:r>
        <w:rPr>
          <w:rFonts w:hint="eastAsia"/>
        </w:rPr>
        <w:t>1990</w:t>
      </w:r>
      <w:r>
        <w:rPr>
          <w:rFonts w:hint="eastAsia"/>
        </w:rPr>
        <w:t>年相比，发生了巨大变化。在波斯尼亚和黑塞哥维那联邦，在生产部门的就业由</w:t>
      </w:r>
      <w:r>
        <w:rPr>
          <w:rFonts w:hint="eastAsia"/>
        </w:rPr>
        <w:t>1990</w:t>
      </w:r>
      <w:r>
        <w:rPr>
          <w:rFonts w:hint="eastAsia"/>
        </w:rPr>
        <w:t>年的</w:t>
      </w:r>
      <w:r>
        <w:rPr>
          <w:rFonts w:hint="eastAsia"/>
        </w:rPr>
        <w:t xml:space="preserve">41% </w:t>
      </w:r>
      <w:r>
        <w:rPr>
          <w:rFonts w:hint="eastAsia"/>
        </w:rPr>
        <w:t>减少到</w:t>
      </w:r>
      <w:r>
        <w:rPr>
          <w:rFonts w:hint="eastAsia"/>
        </w:rPr>
        <w:t>2000</w:t>
      </w:r>
      <w:r>
        <w:rPr>
          <w:rFonts w:hint="eastAsia"/>
        </w:rPr>
        <w:t>年的</w:t>
      </w:r>
      <w:r>
        <w:rPr>
          <w:rFonts w:hint="eastAsia"/>
        </w:rPr>
        <w:t>32%(</w:t>
      </w:r>
      <w:r>
        <w:rPr>
          <w:rFonts w:hint="eastAsia"/>
        </w:rPr>
        <w:t>世界银行数据</w:t>
      </w:r>
      <w:r>
        <w:rPr>
          <w:rFonts w:hint="eastAsia"/>
        </w:rPr>
        <w:t>)</w:t>
      </w:r>
      <w:r>
        <w:rPr>
          <w:rFonts w:hint="eastAsia"/>
        </w:rPr>
        <w:t>。在总就业人口中，</w:t>
      </w:r>
      <w:r>
        <w:rPr>
          <w:rFonts w:hint="eastAsia"/>
        </w:rPr>
        <w:t>27%</w:t>
      </w:r>
      <w:r>
        <w:rPr>
          <w:rFonts w:hint="eastAsia"/>
        </w:rPr>
        <w:t>是在公共部门工作</w:t>
      </w:r>
      <w:r>
        <w:rPr>
          <w:rFonts w:hint="eastAsia"/>
        </w:rPr>
        <w:t>(</w:t>
      </w:r>
      <w:r>
        <w:rPr>
          <w:rFonts w:hint="eastAsia"/>
        </w:rPr>
        <w:t>波斯尼亚和黑塞哥维那联邦为</w:t>
      </w:r>
      <w:r>
        <w:rPr>
          <w:rFonts w:hint="eastAsia"/>
        </w:rPr>
        <w:t>28%</w:t>
      </w:r>
      <w:r>
        <w:rPr>
          <w:rFonts w:hint="eastAsia"/>
        </w:rPr>
        <w:t>，塞族共和国为</w:t>
      </w:r>
      <w:r>
        <w:rPr>
          <w:rFonts w:hint="eastAsia"/>
        </w:rPr>
        <w:t>24%)</w:t>
      </w:r>
      <w:r>
        <w:rPr>
          <w:rFonts w:hint="eastAsia"/>
        </w:rPr>
        <w:t>。公共部门出现这一就业趋势，是由于工业复苏缓慢，同时，该国的行政部门在战后不断扩展。在经济部门中就业者与非经济部门中就业者之间的比例表明了问题的严重性；在战前，这一比例为</w:t>
      </w:r>
      <w:r>
        <w:rPr>
          <w:rFonts w:hint="eastAsia"/>
        </w:rPr>
        <w:t>1</w:t>
      </w:r>
      <w:r>
        <w:rPr>
          <w:rFonts w:hint="eastAsia"/>
        </w:rPr>
        <w:t>：</w:t>
      </w:r>
      <w:r>
        <w:rPr>
          <w:rFonts w:hint="eastAsia"/>
        </w:rPr>
        <w:t xml:space="preserve">5.6, </w:t>
      </w:r>
      <w:r>
        <w:rPr>
          <w:rFonts w:hint="eastAsia"/>
        </w:rPr>
        <w:t>战后则为</w:t>
      </w:r>
      <w:r>
        <w:rPr>
          <w:rFonts w:hint="eastAsia"/>
        </w:rPr>
        <w:t>1</w:t>
      </w:r>
      <w:r>
        <w:rPr>
          <w:rFonts w:hint="eastAsia"/>
        </w:rPr>
        <w:t>：</w:t>
      </w:r>
      <w:r>
        <w:rPr>
          <w:rFonts w:hint="eastAsia"/>
        </w:rPr>
        <w:t xml:space="preserve">2.8 </w:t>
      </w:r>
      <w:r>
        <w:rPr>
          <w:rFonts w:hint="eastAsia"/>
        </w:rPr>
        <w:t>。引人注意的是，绝大多数青年人是在经济的非正规部门中工作：三分之二以上的就业青年在“灰色经济”中工作。</w:t>
      </w:r>
    </w:p>
    <w:p w:rsidR="00000000" w:rsidRDefault="00000000">
      <w:pPr>
        <w:rPr>
          <w:rFonts w:hint="eastAsia"/>
        </w:rPr>
      </w:pPr>
      <w:r>
        <w:rPr>
          <w:rFonts w:hint="eastAsia"/>
        </w:rPr>
        <w:tab/>
        <w:t xml:space="preserve">99.  </w:t>
      </w:r>
      <w:r>
        <w:rPr>
          <w:rFonts w:hint="eastAsia"/>
        </w:rPr>
        <w:t>公共行政部门中的就业人数几乎翻了一番</w:t>
      </w:r>
      <w:r>
        <w:rPr>
          <w:rFonts w:hint="eastAsia"/>
        </w:rPr>
        <w:t>(</w:t>
      </w:r>
      <w:r>
        <w:rPr>
          <w:rFonts w:hint="eastAsia"/>
        </w:rPr>
        <w:t>从</w:t>
      </w:r>
      <w:r>
        <w:rPr>
          <w:rFonts w:hint="eastAsia"/>
        </w:rPr>
        <w:t>5.9%</w:t>
      </w:r>
      <w:r>
        <w:rPr>
          <w:rFonts w:hint="eastAsia"/>
        </w:rPr>
        <w:t>增加到</w:t>
      </w:r>
      <w:r>
        <w:rPr>
          <w:rFonts w:hint="eastAsia"/>
        </w:rPr>
        <w:t>11.65%)</w:t>
      </w:r>
      <w:r>
        <w:rPr>
          <w:rFonts w:hint="eastAsia"/>
        </w:rPr>
        <w:t>，贸易部门中的就业人数几乎增加了</w:t>
      </w:r>
      <w:r>
        <w:rPr>
          <w:rFonts w:hint="eastAsia"/>
        </w:rPr>
        <w:t>30%</w:t>
      </w:r>
      <w:r>
        <w:rPr>
          <w:rFonts w:hint="eastAsia"/>
        </w:rPr>
        <w:t>，教育部门中的就业人数从</w:t>
      </w:r>
      <w:r>
        <w:rPr>
          <w:rFonts w:hint="eastAsia"/>
        </w:rPr>
        <w:t>5.8%</w:t>
      </w:r>
      <w:r>
        <w:rPr>
          <w:rFonts w:hint="eastAsia"/>
        </w:rPr>
        <w:t>增加到</w:t>
      </w:r>
      <w:r>
        <w:rPr>
          <w:rFonts w:hint="eastAsia"/>
        </w:rPr>
        <w:t>8.5%</w:t>
      </w:r>
      <w:r>
        <w:rPr>
          <w:rFonts w:hint="eastAsia"/>
        </w:rPr>
        <w:t>。就业率最高的是受过大学教育的人。</w:t>
      </w:r>
    </w:p>
    <w:p w:rsidR="00000000" w:rsidRDefault="00000000">
      <w:pPr>
        <w:rPr>
          <w:rFonts w:hint="eastAsia"/>
        </w:rPr>
      </w:pPr>
      <w:r>
        <w:rPr>
          <w:rFonts w:hint="eastAsia"/>
        </w:rPr>
        <w:tab/>
        <w:t xml:space="preserve">100.  </w:t>
      </w:r>
      <w:r>
        <w:rPr>
          <w:rFonts w:hint="eastAsia"/>
        </w:rPr>
        <w:t>可以相当肯定的说，在波斯尼亚和黑塞哥维那私人部门中就业的人数可望增加，鼓励创业是解决失业问题的最好办法。</w:t>
      </w:r>
    </w:p>
    <w:p w:rsidR="00000000" w:rsidRDefault="00000000">
      <w:pPr>
        <w:rPr>
          <w:rFonts w:hint="eastAsia"/>
        </w:rPr>
      </w:pPr>
      <w:r>
        <w:rPr>
          <w:rFonts w:hint="eastAsia"/>
        </w:rPr>
        <w:tab/>
        <w:t xml:space="preserve">101.  </w:t>
      </w:r>
      <w:r>
        <w:rPr>
          <w:rFonts w:hint="eastAsia"/>
        </w:rPr>
        <w:t>在波斯尼亚和黑塞哥维那求职大约平均需要三年的时间。年纪较大的求职者</w:t>
      </w:r>
      <w:r>
        <w:rPr>
          <w:rFonts w:hint="eastAsia"/>
        </w:rPr>
        <w:t>(33-55</w:t>
      </w:r>
      <w:r>
        <w:rPr>
          <w:rFonts w:hint="eastAsia"/>
        </w:rPr>
        <w:t>岁</w:t>
      </w:r>
      <w:r>
        <w:rPr>
          <w:rFonts w:hint="eastAsia"/>
        </w:rPr>
        <w:t>)</w:t>
      </w:r>
      <w:r>
        <w:rPr>
          <w:rFonts w:hint="eastAsia"/>
        </w:rPr>
        <w:t>可能需要五年以上。波斯尼亚和黑塞哥维那</w:t>
      </w:r>
      <w:r>
        <w:rPr>
          <w:rFonts w:hint="eastAsia"/>
        </w:rPr>
        <w:t>1995</w:t>
      </w:r>
      <w:r>
        <w:rPr>
          <w:rFonts w:hint="eastAsia"/>
        </w:rPr>
        <w:t>年以来的发展基本上依赖非正规部门，这一部门帮助许多家庭维持在贫困线以上。然而，尽管如此，发展非正规部门并不是一个理想局面，因为它对平等产生不利影响，大量工人既无权享有社会福利，也不能享有养老金保险。</w:t>
      </w:r>
    </w:p>
    <w:p w:rsidR="00000000" w:rsidRDefault="00000000">
      <w:pPr>
        <w:rPr>
          <w:rFonts w:hint="eastAsia"/>
        </w:rPr>
      </w:pPr>
      <w:r>
        <w:rPr>
          <w:rFonts w:hint="eastAsia"/>
        </w:rPr>
        <w:tab/>
        <w:t xml:space="preserve">102.  </w:t>
      </w:r>
      <w:r>
        <w:rPr>
          <w:rFonts w:hint="eastAsia"/>
        </w:rPr>
        <w:t>在战前，作为人权保护的一部分，《宪法》对工作权给予了更多的保护。在战后时期，直到</w:t>
      </w:r>
      <w:r>
        <w:rPr>
          <w:rFonts w:hint="eastAsia"/>
        </w:rPr>
        <w:t>2000</w:t>
      </w:r>
      <w:r>
        <w:rPr>
          <w:rFonts w:hint="eastAsia"/>
        </w:rPr>
        <w:t>年通过目前的法律，两个实体都推行了下岗的做法。下岗工人曾经正式就业</w:t>
      </w:r>
      <w:r>
        <w:rPr>
          <w:rFonts w:hint="eastAsia"/>
        </w:rPr>
        <w:t>(</w:t>
      </w:r>
      <w:r>
        <w:rPr>
          <w:rFonts w:hint="eastAsia"/>
        </w:rPr>
        <w:t>享有减少的工资和就业带来的其他权利</w:t>
      </w:r>
      <w:r>
        <w:rPr>
          <w:rFonts w:hint="eastAsia"/>
        </w:rPr>
        <w:t>)</w:t>
      </w:r>
      <w:r>
        <w:rPr>
          <w:rFonts w:hint="eastAsia"/>
        </w:rPr>
        <w:t>，虽然实际上他们并没有工作很长时间。《联邦劳动法》第</w:t>
      </w:r>
      <w:r>
        <w:rPr>
          <w:rFonts w:hint="eastAsia"/>
        </w:rPr>
        <w:t>147</w:t>
      </w:r>
      <w:r>
        <w:rPr>
          <w:rFonts w:hint="eastAsia"/>
        </w:rPr>
        <w:t>条规定对下岗工人给予高额补偿</w:t>
      </w:r>
      <w:r>
        <w:rPr>
          <w:rFonts w:hint="eastAsia"/>
        </w:rPr>
        <w:t>(</w:t>
      </w:r>
      <w:r>
        <w:rPr>
          <w:rFonts w:hint="eastAsia"/>
        </w:rPr>
        <w:t>对其他一些类别的工人也要求给予此类补偿</w:t>
      </w:r>
      <w:r>
        <w:rPr>
          <w:rFonts w:hint="eastAsia"/>
        </w:rPr>
        <w:t>)</w:t>
      </w:r>
      <w:r>
        <w:rPr>
          <w:rFonts w:hint="eastAsia"/>
        </w:rPr>
        <w:t>。同样，塞族共和国在其</w:t>
      </w:r>
      <w:r>
        <w:rPr>
          <w:rFonts w:hint="eastAsia"/>
        </w:rPr>
        <w:t>1998</w:t>
      </w:r>
      <w:r>
        <w:rPr>
          <w:rFonts w:hint="eastAsia"/>
        </w:rPr>
        <w:t>年《劳动法》</w:t>
      </w:r>
      <w:r>
        <w:rPr>
          <w:rFonts w:hint="eastAsia"/>
        </w:rPr>
        <w:t>(</w:t>
      </w:r>
      <w:r>
        <w:rPr>
          <w:rFonts w:hint="eastAsia"/>
        </w:rPr>
        <w:t>第</w:t>
      </w:r>
      <w:r>
        <w:rPr>
          <w:rFonts w:hint="eastAsia"/>
        </w:rPr>
        <w:t>64</w:t>
      </w:r>
      <w:r>
        <w:rPr>
          <w:rFonts w:hint="eastAsia"/>
        </w:rPr>
        <w:t>条</w:t>
      </w:r>
      <w:r>
        <w:rPr>
          <w:rFonts w:hint="eastAsia"/>
        </w:rPr>
        <w:t>)</w:t>
      </w:r>
      <w:r>
        <w:rPr>
          <w:rFonts w:hint="eastAsia"/>
        </w:rPr>
        <w:t>中，也规定了被下岗工人的重要权利。对被下岗工人的此类补偿是由于担心私有化将导致劳动力的大量减少。</w:t>
      </w:r>
    </w:p>
    <w:p w:rsidR="00000000" w:rsidRDefault="00000000">
      <w:pPr>
        <w:rPr>
          <w:rFonts w:hint="eastAsia"/>
        </w:rPr>
      </w:pPr>
      <w:r>
        <w:rPr>
          <w:rFonts w:hint="eastAsia"/>
        </w:rPr>
        <w:tab/>
        <w:t xml:space="preserve">103.  </w:t>
      </w:r>
      <w:r>
        <w:rPr>
          <w:rFonts w:hint="eastAsia"/>
        </w:rPr>
        <w:t>考虑到</w:t>
      </w:r>
      <w:r>
        <w:rPr>
          <w:rFonts w:hint="eastAsia"/>
        </w:rPr>
        <w:t>2004-2005</w:t>
      </w:r>
      <w:r>
        <w:rPr>
          <w:rFonts w:hint="eastAsia"/>
        </w:rPr>
        <w:t>年上半年准备进行的第一期重大改革</w:t>
      </w:r>
      <w:r>
        <w:rPr>
          <w:rFonts w:hint="eastAsia"/>
        </w:rPr>
        <w:t>(</w:t>
      </w:r>
      <w:r>
        <w:rPr>
          <w:rFonts w:hint="eastAsia"/>
        </w:rPr>
        <w:t>加强私有化，执行破产和清算法</w:t>
      </w:r>
      <w:r>
        <w:rPr>
          <w:rFonts w:hint="eastAsia"/>
        </w:rPr>
        <w:t>)</w:t>
      </w:r>
      <w:r>
        <w:rPr>
          <w:rFonts w:hint="eastAsia"/>
        </w:rPr>
        <w:t>，预期失业将有所增加，尤其是在工业部门。一些人认为，仅在波斯尼亚和黑塞哥维那联邦就将有</w:t>
      </w:r>
      <w:r>
        <w:rPr>
          <w:rFonts w:hint="eastAsia"/>
        </w:rPr>
        <w:t>10</w:t>
      </w:r>
      <w:r>
        <w:rPr>
          <w:rFonts w:hint="eastAsia"/>
        </w:rPr>
        <w:t>万人失业，在塞族共和国将有</w:t>
      </w:r>
      <w:r>
        <w:rPr>
          <w:rFonts w:hint="eastAsia"/>
        </w:rPr>
        <w:t>5</w:t>
      </w:r>
      <w:r>
        <w:rPr>
          <w:rFonts w:hint="eastAsia"/>
        </w:rPr>
        <w:t>万人失业。所有现有信息都表明，受影响最大的将是下岗工人。此外，大量人员处于虚假就业状态，没有工资或福利。这就意味着，事实上，目前已经就业并享受工资和福利的人员不会再有失业。</w:t>
      </w:r>
    </w:p>
    <w:p w:rsidR="00000000" w:rsidRDefault="00000000">
      <w:pPr>
        <w:rPr>
          <w:rFonts w:hint="eastAsia"/>
        </w:rPr>
      </w:pPr>
      <w:r>
        <w:rPr>
          <w:rFonts w:hint="eastAsia"/>
        </w:rPr>
        <w:tab/>
        <w:t xml:space="preserve">104.  </w:t>
      </w:r>
      <w:r>
        <w:rPr>
          <w:rFonts w:hint="eastAsia"/>
        </w:rPr>
        <w:t>关于劳动力市场的其他有关法律变革出现在</w:t>
      </w:r>
      <w:r>
        <w:rPr>
          <w:rFonts w:hint="eastAsia"/>
        </w:rPr>
        <w:t>2000</w:t>
      </w:r>
      <w:r>
        <w:rPr>
          <w:rFonts w:hint="eastAsia"/>
        </w:rPr>
        <w:t>年秋季，当时，波斯尼亚和黑塞哥维那联邦通过了《劳动法修订法》，塞族共和国通过了《劳动法》，其中采用了现代劳动法，取消了“下岗”。目前，波斯尼亚和黑塞哥维那关于就业保护的立法以及关于工作合同的规定，基本上与斯洛文尼亚或其他发达经济体中劳动市场的立法相类似，在一些问题上甚至更为宽松。因此，它们对劳动分工不构成障碍。首先，波斯尼亚和黑塞哥维那的雇主面临的程序性限制较少，同时在下岗期和裁员限额的意义上，承受了类似的甚至更少的负担。其次，关于工作合同的条例也是非常宽松的。虽然波斯尼亚和黑塞哥维那联邦允许只有在“合理”情况下，才能延长工作合同，但在大量法律规定的情况下，并没有限制连续合同的数目，或合同最长累计期限。另一方面，塞族共和国不用界定情况是否“合理”来限制工作合同，或限制连续合同的数目；它只是对定期合同规定总的限制为两年。</w:t>
      </w:r>
    </w:p>
    <w:p w:rsidR="00000000" w:rsidRDefault="00000000">
      <w:pPr>
        <w:rPr>
          <w:rFonts w:hint="eastAsia"/>
        </w:rPr>
      </w:pPr>
      <w:r>
        <w:rPr>
          <w:rFonts w:hint="eastAsia"/>
        </w:rPr>
        <w:tab/>
        <w:t xml:space="preserve">105.  </w:t>
      </w:r>
      <w:r>
        <w:rPr>
          <w:rFonts w:hint="eastAsia"/>
        </w:rPr>
        <w:t>一般来说，</w:t>
      </w:r>
      <w:r>
        <w:rPr>
          <w:rFonts w:hint="eastAsia"/>
        </w:rPr>
        <w:t>2000</w:t>
      </w:r>
      <w:r>
        <w:rPr>
          <w:rFonts w:hint="eastAsia"/>
        </w:rPr>
        <w:t>年前的法律对雇主裁员规定了巨额解雇费用，而两个实体中新的法律则标志情况有了很大改善。这就使波斯尼亚和黑塞哥维那的就业安全与欧洲模式接轨，不再妨碍工人的流动和创造就业机会。与两个实体中新的劳动立法的积极因素形成鲜明对照的是集体合同，它仍然在很大程度上立足于严格的规定和控制，因此对劳动市场强加了许多以往的条例。如上所述，集体合同不仅规定了最低工资和不同种类工人的工资水平，还对按年资增加基本工资、工作条件和个人工作表现作了规定。《劳动法》促进灵活地调整劳动力市场，而集体合同仍然是严格死板的，不利于创造就业机会。因此，在很大程度上出于这个原因，新的劳资关系形式尚未在经济中开始执行。</w:t>
      </w:r>
    </w:p>
    <w:p w:rsidR="00000000" w:rsidRDefault="00000000">
      <w:pPr>
        <w:rPr>
          <w:rFonts w:hint="eastAsia"/>
        </w:rPr>
      </w:pPr>
      <w:r>
        <w:rPr>
          <w:rFonts w:hint="eastAsia"/>
        </w:rPr>
        <w:tab/>
        <w:t xml:space="preserve">106.  </w:t>
      </w:r>
      <w:r>
        <w:rPr>
          <w:rFonts w:hint="eastAsia"/>
        </w:rPr>
        <w:t>法律，尤其是在它与当前的规范和习俗有抵触时，只能产生限制和拖延的效果。此外，劳动力市场上有一些问题，很难通过法令来加以规范，歧视就是其中的一个主要问题。本章审查了波斯尼亚和黑塞哥维那就业问题的三个主要方面：下岗工人、非正规部门中的就业和劳动力市场上的歧视。</w:t>
      </w:r>
    </w:p>
    <w:p w:rsidR="00000000" w:rsidRDefault="00000000">
      <w:pPr>
        <w:rPr>
          <w:rFonts w:hint="eastAsia"/>
        </w:rPr>
      </w:pPr>
      <w:r>
        <w:rPr>
          <w:rFonts w:hint="eastAsia"/>
        </w:rPr>
        <w:tab/>
        <w:t xml:space="preserve">107.  </w:t>
      </w:r>
      <w:r>
        <w:rPr>
          <w:rFonts w:hint="eastAsia"/>
        </w:rPr>
        <w:t>“下岗工人”的现象在波斯尼亚和黑塞哥维那正在逐渐消失。具体地说，</w:t>
      </w:r>
      <w:r>
        <w:rPr>
          <w:rFonts w:hint="eastAsia"/>
        </w:rPr>
        <w:t>2000</w:t>
      </w:r>
      <w:r>
        <w:rPr>
          <w:rFonts w:hint="eastAsia"/>
        </w:rPr>
        <w:t>年</w:t>
      </w:r>
      <w:r>
        <w:rPr>
          <w:rFonts w:hint="eastAsia"/>
        </w:rPr>
        <w:t>5</w:t>
      </w:r>
      <w:r>
        <w:rPr>
          <w:rFonts w:hint="eastAsia"/>
        </w:rPr>
        <w:t>月</w:t>
      </w:r>
      <w:r>
        <w:rPr>
          <w:rFonts w:hint="eastAsia"/>
        </w:rPr>
        <w:t>5</w:t>
      </w:r>
      <w:r>
        <w:rPr>
          <w:rFonts w:hint="eastAsia"/>
        </w:rPr>
        <w:t>日以来在波斯尼亚和黑塞哥维那联邦，</w:t>
      </w:r>
      <w:r>
        <w:rPr>
          <w:rFonts w:hint="eastAsia"/>
        </w:rPr>
        <w:t>2001</w:t>
      </w:r>
      <w:r>
        <w:rPr>
          <w:rFonts w:hint="eastAsia"/>
        </w:rPr>
        <w:t>年</w:t>
      </w:r>
      <w:r>
        <w:rPr>
          <w:rFonts w:hint="eastAsia"/>
        </w:rPr>
        <w:t>2</w:t>
      </w:r>
      <w:r>
        <w:rPr>
          <w:rFonts w:hint="eastAsia"/>
        </w:rPr>
        <w:t>月</w:t>
      </w:r>
      <w:r>
        <w:rPr>
          <w:rFonts w:hint="eastAsia"/>
        </w:rPr>
        <w:t>16</w:t>
      </w:r>
      <w:r>
        <w:rPr>
          <w:rFonts w:hint="eastAsia"/>
        </w:rPr>
        <w:t>日以来在塞族共和国，就再没有使用过这一术语。这就意味着，在法律条例中，没有下岗工人这个类别，因为这些工人与其他人一样享有同样的就业权。目前，这类工人中，有许多人在非正规部门求职。</w:t>
      </w:r>
    </w:p>
    <w:p w:rsidR="00000000" w:rsidRDefault="00000000">
      <w:pPr>
        <w:rPr>
          <w:rFonts w:hint="eastAsia"/>
        </w:rPr>
      </w:pPr>
      <w:r>
        <w:rPr>
          <w:rFonts w:hint="eastAsia"/>
        </w:rPr>
        <w:tab/>
        <w:t xml:space="preserve">108.  </w:t>
      </w:r>
      <w:r>
        <w:rPr>
          <w:rFonts w:hint="eastAsia"/>
        </w:rPr>
        <w:t>如上所述，“下岗工人”一词于</w:t>
      </w:r>
      <w:r>
        <w:rPr>
          <w:rFonts w:hint="eastAsia"/>
        </w:rPr>
        <w:t>2000</w:t>
      </w:r>
      <w:r>
        <w:rPr>
          <w:rFonts w:hint="eastAsia"/>
        </w:rPr>
        <w:t>年正式取消，企业可以选择下岗工人，而费用比以前低得多。下岗工人数字的变化意味着什么？在波斯尼亚和黑塞哥维那联邦</w:t>
      </w:r>
      <w:r>
        <w:rPr>
          <w:rFonts w:hint="eastAsia"/>
        </w:rPr>
        <w:t>(</w:t>
      </w:r>
      <w:r>
        <w:rPr>
          <w:rFonts w:hint="eastAsia"/>
        </w:rPr>
        <w:t>塞族共和国没有按时期分列的下岗工人的数字</w:t>
      </w:r>
      <w:r>
        <w:rPr>
          <w:rFonts w:hint="eastAsia"/>
        </w:rPr>
        <w:t>)</w:t>
      </w:r>
      <w:r>
        <w:rPr>
          <w:rFonts w:hint="eastAsia"/>
        </w:rPr>
        <w:t>，下岗工人的数字不断减少，由</w:t>
      </w:r>
      <w:r>
        <w:rPr>
          <w:rFonts w:hint="eastAsia"/>
        </w:rPr>
        <w:t>1997</w:t>
      </w:r>
      <w:r>
        <w:rPr>
          <w:rFonts w:hint="eastAsia"/>
        </w:rPr>
        <w:t>年的</w:t>
      </w:r>
      <w:r>
        <w:rPr>
          <w:rFonts w:hint="eastAsia"/>
        </w:rPr>
        <w:t>87,781</w:t>
      </w:r>
      <w:r>
        <w:rPr>
          <w:rFonts w:hint="eastAsia"/>
        </w:rPr>
        <w:t>人减少到</w:t>
      </w:r>
      <w:r>
        <w:rPr>
          <w:rFonts w:hint="eastAsia"/>
        </w:rPr>
        <w:t>2001</w:t>
      </w:r>
      <w:r>
        <w:rPr>
          <w:rFonts w:hint="eastAsia"/>
        </w:rPr>
        <w:t>年的</w:t>
      </w:r>
      <w:r>
        <w:rPr>
          <w:rFonts w:hint="eastAsia"/>
        </w:rPr>
        <w:t>31,752</w:t>
      </w:r>
      <w:r>
        <w:rPr>
          <w:rFonts w:hint="eastAsia"/>
        </w:rPr>
        <w:t>人。</w:t>
      </w:r>
    </w:p>
    <w:p w:rsidR="00000000" w:rsidRDefault="00000000">
      <w:pPr>
        <w:rPr>
          <w:rFonts w:hint="eastAsia"/>
        </w:rPr>
      </w:pPr>
      <w:r>
        <w:rPr>
          <w:rFonts w:hint="eastAsia"/>
        </w:rPr>
        <w:tab/>
        <w:t xml:space="preserve">109.  </w:t>
      </w:r>
      <w:r>
        <w:rPr>
          <w:rFonts w:hint="eastAsia"/>
        </w:rPr>
        <w:t>新的法律似乎确实帮助减少了下岗工人的数字，过去两年来，这一减少的趋势不断加强</w:t>
      </w:r>
      <w:r>
        <w:rPr>
          <w:rFonts w:hint="eastAsia"/>
        </w:rPr>
        <w:t>(</w:t>
      </w:r>
      <w:r>
        <w:rPr>
          <w:rFonts w:hint="eastAsia"/>
        </w:rPr>
        <w:t>例如，</w:t>
      </w:r>
      <w:r>
        <w:rPr>
          <w:rFonts w:hint="eastAsia"/>
        </w:rPr>
        <w:t>2001</w:t>
      </w:r>
      <w:r>
        <w:rPr>
          <w:rFonts w:hint="eastAsia"/>
        </w:rPr>
        <w:t>年</w:t>
      </w:r>
      <w:r>
        <w:rPr>
          <w:rFonts w:hint="eastAsia"/>
        </w:rPr>
        <w:t>6</w:t>
      </w:r>
      <w:r>
        <w:rPr>
          <w:rFonts w:hint="eastAsia"/>
        </w:rPr>
        <w:t>月减少了</w:t>
      </w:r>
      <w:r>
        <w:rPr>
          <w:rFonts w:hint="eastAsia"/>
        </w:rPr>
        <w:t>20%)</w:t>
      </w:r>
      <w:r>
        <w:rPr>
          <w:rFonts w:hint="eastAsia"/>
        </w:rPr>
        <w:t>。有意思的是，下岗工人的三分之一为女性，大多处在生产部门，这一数字与妇女参与劳动力队伍的数字相符。我们还要提到一类工人，他们有一段时间没有领到工资，雇主因为资金困难，也没有为他们缴纳有关款项，但按照法律，仅仅因为雇主无力支付尚未结清的应付款项，他们的就业不能算终止。在这方面，还有本应退休的工人问题，这些工人无法享有这一权利，因为雇主没有支付养老金保险。</w:t>
      </w:r>
    </w:p>
    <w:p w:rsidR="00000000" w:rsidRDefault="00000000">
      <w:pPr>
        <w:spacing w:after="240"/>
        <w:rPr>
          <w:rFonts w:hint="eastAsia"/>
        </w:rPr>
      </w:pPr>
      <w:r>
        <w:rPr>
          <w:rFonts w:hint="eastAsia"/>
        </w:rPr>
        <w:tab/>
        <w:t xml:space="preserve">110.  </w:t>
      </w:r>
      <w:r>
        <w:rPr>
          <w:rFonts w:hint="eastAsia"/>
        </w:rPr>
        <w:t>上文提出了某些证据，说明在工资方面谎报数字的情况，即少报数字，以减少在税务和保险方面的支付义务。无论如何，工人和雇主似乎完全不想报告就业，这样就完全不用纳税和上保险，如此一来，他们达成了一种非正规的劳资关系。当然，许多工人，尤其是农业工人，没有其他选择，只能在非正规部门工作。</w:t>
      </w:r>
    </w:p>
    <w:p w:rsidR="00000000" w:rsidRDefault="00000000">
      <w:pPr>
        <w:pStyle w:val="Heading4"/>
        <w:rPr>
          <w:rFonts w:hint="eastAsia"/>
        </w:rPr>
      </w:pPr>
      <w:r>
        <w:rPr>
          <w:rFonts w:hint="eastAsia"/>
        </w:rPr>
        <w:t>平等条件下的工作自由和就业权</w:t>
      </w:r>
    </w:p>
    <w:p w:rsidR="00000000" w:rsidRDefault="00000000">
      <w:pPr>
        <w:rPr>
          <w:rFonts w:hint="eastAsia"/>
        </w:rPr>
      </w:pPr>
      <w:r>
        <w:rPr>
          <w:rFonts w:hint="eastAsia"/>
        </w:rPr>
        <w:tab/>
        <w:t xml:space="preserve">111.  </w:t>
      </w:r>
      <w:r>
        <w:rPr>
          <w:rFonts w:hint="eastAsia"/>
        </w:rPr>
        <w:t>波斯尼亚和黑塞哥维那法律保障全体公民的工作权，也即在平等条件下选择职业、就业、工作和职位的权利。与此同时，禁止一切形式的歧视。在侵犯这一权利的案件中，提供司法保护。</w:t>
      </w:r>
    </w:p>
    <w:p w:rsidR="00000000" w:rsidRDefault="00000000">
      <w:pPr>
        <w:rPr>
          <w:rFonts w:hint="eastAsia"/>
        </w:rPr>
      </w:pPr>
      <w:r>
        <w:rPr>
          <w:rFonts w:hint="eastAsia"/>
        </w:rPr>
        <w:tab/>
        <w:t xml:space="preserve">112.  </w:t>
      </w:r>
      <w:r>
        <w:rPr>
          <w:rFonts w:hint="eastAsia"/>
        </w:rPr>
        <w:t>实现国际和国内劳动条例保障的工作权不是一件轻而易举的事情，这主要是由于波斯尼亚和黑塞哥维那复杂的经济局势以及在波斯尼亚和黑塞哥维那新的社会经济关系下出现的劳资关系的新的管理形式。</w:t>
      </w:r>
    </w:p>
    <w:p w:rsidR="00000000" w:rsidRDefault="00000000">
      <w:pPr>
        <w:rPr>
          <w:rFonts w:hint="eastAsia"/>
        </w:rPr>
      </w:pPr>
      <w:r>
        <w:rPr>
          <w:rFonts w:hint="eastAsia"/>
        </w:rPr>
        <w:tab/>
        <w:t xml:space="preserve">113.  </w:t>
      </w:r>
      <w:r>
        <w:rPr>
          <w:rFonts w:hint="eastAsia"/>
        </w:rPr>
        <w:t>截至</w:t>
      </w:r>
      <w:r>
        <w:rPr>
          <w:rFonts w:hint="eastAsia"/>
        </w:rPr>
        <w:t>2002</w:t>
      </w:r>
      <w:r>
        <w:rPr>
          <w:rFonts w:hint="eastAsia"/>
        </w:rPr>
        <w:t>年</w:t>
      </w:r>
      <w:r>
        <w:rPr>
          <w:rFonts w:hint="eastAsia"/>
        </w:rPr>
        <w:t>6</w:t>
      </w:r>
      <w:r>
        <w:rPr>
          <w:rFonts w:hint="eastAsia"/>
        </w:rPr>
        <w:t>月</w:t>
      </w:r>
      <w:r>
        <w:rPr>
          <w:rFonts w:hint="eastAsia"/>
        </w:rPr>
        <w:t>30</w:t>
      </w:r>
      <w:r>
        <w:rPr>
          <w:rFonts w:hint="eastAsia"/>
        </w:rPr>
        <w:t>日，波斯尼亚和黑塞哥维那的人口为</w:t>
      </w:r>
      <w:r>
        <w:rPr>
          <w:rFonts w:hint="eastAsia"/>
        </w:rPr>
        <w:t>3,828,397</w:t>
      </w:r>
      <w:r>
        <w:rPr>
          <w:rFonts w:hint="eastAsia"/>
        </w:rPr>
        <w:t>人。其中，劳动人口分别为：男性，</w:t>
      </w:r>
      <w:r>
        <w:rPr>
          <w:rFonts w:hint="eastAsia"/>
        </w:rPr>
        <w:t>15-64</w:t>
      </w:r>
      <w:r>
        <w:rPr>
          <w:rFonts w:hint="eastAsia"/>
        </w:rPr>
        <w:t>岁，</w:t>
      </w:r>
      <w:r>
        <w:rPr>
          <w:rFonts w:hint="eastAsia"/>
        </w:rPr>
        <w:t>1,313,281</w:t>
      </w:r>
      <w:r>
        <w:rPr>
          <w:rFonts w:hint="eastAsia"/>
        </w:rPr>
        <w:t>人；女性，</w:t>
      </w:r>
      <w:r>
        <w:rPr>
          <w:rFonts w:hint="eastAsia"/>
        </w:rPr>
        <w:t>15-59</w:t>
      </w:r>
      <w:r>
        <w:rPr>
          <w:rFonts w:hint="eastAsia"/>
        </w:rPr>
        <w:t>岁，</w:t>
      </w:r>
      <w:r>
        <w:rPr>
          <w:rFonts w:hint="eastAsia"/>
        </w:rPr>
        <w:t>1,219,821</w:t>
      </w:r>
      <w:r>
        <w:rPr>
          <w:rFonts w:hint="eastAsia"/>
        </w:rPr>
        <w:t>人。塞族共和国的人口截至</w:t>
      </w:r>
      <w:r>
        <w:rPr>
          <w:rFonts w:hint="eastAsia"/>
        </w:rPr>
        <w:t>2002</w:t>
      </w:r>
      <w:r>
        <w:rPr>
          <w:rFonts w:hint="eastAsia"/>
        </w:rPr>
        <w:t>年</w:t>
      </w:r>
      <w:r>
        <w:rPr>
          <w:rFonts w:hint="eastAsia"/>
        </w:rPr>
        <w:t>6</w:t>
      </w:r>
      <w:r>
        <w:rPr>
          <w:rFonts w:hint="eastAsia"/>
        </w:rPr>
        <w:t>月</w:t>
      </w:r>
      <w:r>
        <w:rPr>
          <w:rFonts w:hint="eastAsia"/>
        </w:rPr>
        <w:t>30</w:t>
      </w:r>
      <w:r>
        <w:rPr>
          <w:rFonts w:hint="eastAsia"/>
        </w:rPr>
        <w:t>日为</w:t>
      </w:r>
      <w:r>
        <w:rPr>
          <w:rFonts w:hint="eastAsia"/>
        </w:rPr>
        <w:t>1,513,127</w:t>
      </w:r>
      <w:r>
        <w:rPr>
          <w:rFonts w:hint="eastAsia"/>
        </w:rPr>
        <w:t>人。其劳动人口分别为：男性，</w:t>
      </w:r>
      <w:r>
        <w:rPr>
          <w:rFonts w:hint="eastAsia"/>
        </w:rPr>
        <w:t>15-64</w:t>
      </w:r>
      <w:r>
        <w:rPr>
          <w:rFonts w:hint="eastAsia"/>
        </w:rPr>
        <w:t>岁，</w:t>
      </w:r>
      <w:r>
        <w:rPr>
          <w:rFonts w:hint="eastAsia"/>
        </w:rPr>
        <w:t>482,703</w:t>
      </w:r>
      <w:r>
        <w:rPr>
          <w:rFonts w:hint="eastAsia"/>
        </w:rPr>
        <w:t>人；女性</w:t>
      </w:r>
      <w:r>
        <w:rPr>
          <w:rFonts w:hint="eastAsia"/>
        </w:rPr>
        <w:t>15-59</w:t>
      </w:r>
      <w:r>
        <w:rPr>
          <w:rFonts w:hint="eastAsia"/>
        </w:rPr>
        <w:t>岁，</w:t>
      </w:r>
      <w:r>
        <w:rPr>
          <w:rFonts w:hint="eastAsia"/>
        </w:rPr>
        <w:t>486,817</w:t>
      </w:r>
      <w:r>
        <w:rPr>
          <w:rFonts w:hint="eastAsia"/>
        </w:rPr>
        <w:t>人。截至</w:t>
      </w:r>
      <w:r>
        <w:rPr>
          <w:rFonts w:hint="eastAsia"/>
        </w:rPr>
        <w:t>2002</w:t>
      </w:r>
      <w:r>
        <w:rPr>
          <w:rFonts w:hint="eastAsia"/>
        </w:rPr>
        <w:t>年</w:t>
      </w:r>
      <w:r>
        <w:rPr>
          <w:rFonts w:hint="eastAsia"/>
        </w:rPr>
        <w:t>6</w:t>
      </w:r>
      <w:r>
        <w:rPr>
          <w:rFonts w:hint="eastAsia"/>
        </w:rPr>
        <w:t>月</w:t>
      </w:r>
      <w:r>
        <w:rPr>
          <w:rFonts w:hint="eastAsia"/>
        </w:rPr>
        <w:t>30</w:t>
      </w:r>
      <w:r>
        <w:rPr>
          <w:rFonts w:hint="eastAsia"/>
        </w:rPr>
        <w:t>日，波斯尼亚和黑塞哥维那联邦的人口为</w:t>
      </w:r>
      <w:r>
        <w:rPr>
          <w:rFonts w:hint="eastAsia"/>
        </w:rPr>
        <w:t>2,315,270</w:t>
      </w:r>
      <w:r>
        <w:rPr>
          <w:rFonts w:hint="eastAsia"/>
        </w:rPr>
        <w:t>人。联邦的劳动人口分别为：男性，</w:t>
      </w:r>
      <w:r>
        <w:rPr>
          <w:rFonts w:hint="eastAsia"/>
        </w:rPr>
        <w:t>15-64</w:t>
      </w:r>
      <w:r>
        <w:rPr>
          <w:rFonts w:hint="eastAsia"/>
        </w:rPr>
        <w:t>岁，</w:t>
      </w:r>
      <w:r>
        <w:rPr>
          <w:rFonts w:hint="eastAsia"/>
        </w:rPr>
        <w:t>830,578</w:t>
      </w:r>
      <w:r>
        <w:rPr>
          <w:rFonts w:hint="eastAsia"/>
        </w:rPr>
        <w:t>人；女性，</w:t>
      </w:r>
      <w:r>
        <w:rPr>
          <w:rFonts w:hint="eastAsia"/>
        </w:rPr>
        <w:t>15-59</w:t>
      </w:r>
      <w:r>
        <w:rPr>
          <w:rFonts w:hint="eastAsia"/>
        </w:rPr>
        <w:t>岁，</w:t>
      </w:r>
      <w:r>
        <w:rPr>
          <w:rFonts w:hint="eastAsia"/>
        </w:rPr>
        <w:t>733,004</w:t>
      </w:r>
      <w:r>
        <w:rPr>
          <w:rFonts w:hint="eastAsia"/>
        </w:rPr>
        <w:t>人。</w:t>
      </w:r>
      <w:r>
        <w:rPr>
          <w:rFonts w:hint="eastAsia"/>
        </w:rPr>
        <w:t>(</w:t>
      </w:r>
      <w:r>
        <w:rPr>
          <w:rFonts w:hint="eastAsia"/>
        </w:rPr>
        <w:t>资料来源：波斯尼亚和黑塞哥维那统计局的估计数，</w:t>
      </w:r>
      <w:r>
        <w:rPr>
          <w:rFonts w:hint="eastAsia"/>
        </w:rPr>
        <w:t>2003</w:t>
      </w:r>
      <w:r>
        <w:rPr>
          <w:rFonts w:hint="eastAsia"/>
        </w:rPr>
        <w:t>年</w:t>
      </w:r>
      <w:r>
        <w:rPr>
          <w:rFonts w:hint="eastAsia"/>
        </w:rPr>
        <w:t>5</w:t>
      </w:r>
      <w:r>
        <w:rPr>
          <w:rFonts w:hint="eastAsia"/>
        </w:rPr>
        <w:t>月《统计公报》。</w:t>
      </w:r>
      <w:r>
        <w:rPr>
          <w:rFonts w:hint="eastAsia"/>
        </w:rPr>
        <w:t>)</w:t>
      </w:r>
    </w:p>
    <w:p w:rsidR="00000000" w:rsidRDefault="00000000">
      <w:pPr>
        <w:rPr>
          <w:rFonts w:hint="eastAsia"/>
        </w:rPr>
      </w:pPr>
      <w:r>
        <w:rPr>
          <w:rFonts w:hint="eastAsia"/>
        </w:rPr>
        <w:tab/>
        <w:t xml:space="preserve">114.  </w:t>
      </w:r>
      <w:r>
        <w:rPr>
          <w:rFonts w:hint="eastAsia"/>
        </w:rPr>
        <w:t>就地域而言，主要失业地区为难民和流离失所者大量返回的地区，在这里，住房和工业能力被完全摧毁。这些包括整个波斯尼亚和黑塞哥维那境内的直接作战区，例如</w:t>
      </w:r>
      <w:r>
        <w:rPr>
          <w:lang w:val="en-GB"/>
        </w:rPr>
        <w:t>Grahovo</w:t>
      </w:r>
      <w:r>
        <w:rPr>
          <w:rFonts w:hint="eastAsia"/>
          <w:lang w:val="en-GB"/>
        </w:rPr>
        <w:t>、</w:t>
      </w:r>
      <w:r>
        <w:rPr>
          <w:lang w:val="en-GB"/>
        </w:rPr>
        <w:t>Glamoč</w:t>
      </w:r>
      <w:r>
        <w:rPr>
          <w:rFonts w:hint="eastAsia"/>
          <w:lang w:val="en-GB"/>
        </w:rPr>
        <w:t>、</w:t>
      </w:r>
      <w:r>
        <w:rPr>
          <w:lang w:val="en-GB"/>
        </w:rPr>
        <w:t>Derventa</w:t>
      </w:r>
      <w:r>
        <w:rPr>
          <w:rFonts w:hint="eastAsia"/>
          <w:lang w:val="en-GB"/>
        </w:rPr>
        <w:t>、</w:t>
      </w:r>
      <w:r>
        <w:rPr>
          <w:lang w:val="en-GB"/>
        </w:rPr>
        <w:t>Brod</w:t>
      </w:r>
      <w:r>
        <w:rPr>
          <w:rFonts w:hint="eastAsia"/>
        </w:rPr>
        <w:t>等等。在这些地区，除工业能力丧失外，由于支付能力低和人口老化</w:t>
      </w:r>
      <w:r>
        <w:rPr>
          <w:rFonts w:hint="eastAsia"/>
        </w:rPr>
        <w:t>(55</w:t>
      </w:r>
      <w:r>
        <w:rPr>
          <w:rFonts w:hint="eastAsia"/>
        </w:rPr>
        <w:t>岁以上</w:t>
      </w:r>
      <w:r>
        <w:rPr>
          <w:rFonts w:hint="eastAsia"/>
        </w:rPr>
        <w:t>)</w:t>
      </w:r>
      <w:r>
        <w:rPr>
          <w:rFonts w:hint="eastAsia"/>
        </w:rPr>
        <w:t>，服务业也不再运转。另一组是作为重工业和金属加工业基地的城市，这些工业如果没有巨额投资很难启动，或技术已经陈旧，重新启动变得毫无意义</w:t>
      </w:r>
      <w:r>
        <w:rPr>
          <w:rFonts w:hint="eastAsia"/>
        </w:rPr>
        <w:t>(</w:t>
      </w:r>
      <w:r>
        <w:rPr>
          <w:lang w:val="en-GB"/>
        </w:rPr>
        <w:t>Zenica</w:t>
      </w:r>
      <w:r>
        <w:rPr>
          <w:rFonts w:hint="eastAsia"/>
          <w:lang w:val="en-GB"/>
        </w:rPr>
        <w:t>、</w:t>
      </w:r>
      <w:r>
        <w:rPr>
          <w:lang w:val="en-GB"/>
        </w:rPr>
        <w:t>Tuzla</w:t>
      </w:r>
      <w:r>
        <w:rPr>
          <w:rFonts w:hint="eastAsia"/>
          <w:lang w:val="en-GB"/>
        </w:rPr>
        <w:t>、</w:t>
      </w:r>
      <w:r>
        <w:rPr>
          <w:lang w:val="en-GB"/>
        </w:rPr>
        <w:t>Banja Luka</w:t>
      </w:r>
      <w:r>
        <w:rPr>
          <w:rFonts w:hint="eastAsia"/>
        </w:rPr>
        <w:t>)</w:t>
      </w:r>
      <w:r>
        <w:rPr>
          <w:rFonts w:hint="eastAsia"/>
        </w:rPr>
        <w:t>。</w:t>
      </w:r>
    </w:p>
    <w:p w:rsidR="00000000" w:rsidRDefault="00000000">
      <w:pPr>
        <w:spacing w:after="240"/>
        <w:rPr>
          <w:rFonts w:hint="eastAsia"/>
        </w:rPr>
      </w:pPr>
      <w:r>
        <w:rPr>
          <w:rFonts w:hint="eastAsia"/>
        </w:rPr>
        <w:tab/>
        <w:t xml:space="preserve">115.  </w:t>
      </w:r>
      <w:r>
        <w:rPr>
          <w:rFonts w:hint="eastAsia"/>
        </w:rPr>
        <w:t>必须强调，波斯尼亚和黑塞哥维那劳动力市场面临诸多问题。它仍然是零散的，不能实现劳动力的流动。即使目前按照市场经济的要求调整了劳动法，但实际上，劳动力市场仍然存在基于种族、年龄和性别的歧视。根据“性别与贫困”研究报告</w:t>
      </w:r>
      <w:r>
        <w:rPr>
          <w:rFonts w:hint="eastAsia"/>
        </w:rPr>
        <w:t>(</w:t>
      </w:r>
      <w:r>
        <w:rPr>
          <w:rFonts w:hint="eastAsia"/>
        </w:rPr>
        <w:t>人道主义问题独立事务局，</w:t>
      </w:r>
      <w:r>
        <w:rPr>
          <w:rFonts w:hint="eastAsia"/>
        </w:rPr>
        <w:t>2002</w:t>
      </w:r>
      <w:r>
        <w:rPr>
          <w:rFonts w:hint="eastAsia"/>
        </w:rPr>
        <w:t>年</w:t>
      </w:r>
      <w:r>
        <w:rPr>
          <w:rFonts w:hint="eastAsia"/>
        </w:rPr>
        <w:t>6</w:t>
      </w:r>
      <w:r>
        <w:rPr>
          <w:rFonts w:hint="eastAsia"/>
        </w:rPr>
        <w:t>月</w:t>
      </w:r>
      <w:r>
        <w:rPr>
          <w:rFonts w:hint="eastAsia"/>
        </w:rPr>
        <w:t>)</w:t>
      </w:r>
      <w:r>
        <w:rPr>
          <w:rFonts w:hint="eastAsia"/>
        </w:rPr>
        <w:t>，流离失所者处境特别艰难，因为他们很难找到工作，只能被迫接受其他群体不肯做的工作。最恶劣的一类种族歧视发生在返回者身上，他们很难在公共行政部门或国营公司找到工作。</w:t>
      </w:r>
    </w:p>
    <w:p w:rsidR="00000000" w:rsidRDefault="00000000">
      <w:pPr>
        <w:pStyle w:val="Heading4"/>
        <w:rPr>
          <w:rFonts w:hint="eastAsia"/>
        </w:rPr>
      </w:pPr>
      <w:r>
        <w:rPr>
          <w:rFonts w:hint="eastAsia"/>
        </w:rPr>
        <w:t>妇女的地位和两性平等</w:t>
      </w:r>
    </w:p>
    <w:p w:rsidR="00000000" w:rsidRDefault="00000000">
      <w:pPr>
        <w:rPr>
          <w:rFonts w:hint="eastAsia"/>
        </w:rPr>
      </w:pPr>
      <w:r>
        <w:rPr>
          <w:rFonts w:hint="eastAsia"/>
        </w:rPr>
        <w:tab/>
        <w:t xml:space="preserve">116.  </w:t>
      </w:r>
      <w:r>
        <w:rPr>
          <w:rFonts w:hint="eastAsia"/>
        </w:rPr>
        <w:t>虽然按照波斯尼亚和黑塞哥维那以及实体的劳动法，妇女享有与男子同等的权利，但存在歧视情况，尤其是在私人部门的就业方面，在私人部门，妇女做同样工作，但工资和晋升机会都较少。这消极地影响了她们的物质地位，难以维持适当的生活标准。在调整和改革时期，妇女最先受到下岗，想寻求新的工作也更困难。</w:t>
      </w:r>
    </w:p>
    <w:p w:rsidR="00000000" w:rsidRDefault="00000000">
      <w:pPr>
        <w:rPr>
          <w:rFonts w:hint="eastAsia"/>
        </w:rPr>
      </w:pPr>
      <w:r>
        <w:rPr>
          <w:rFonts w:hint="eastAsia"/>
        </w:rPr>
        <w:tab/>
        <w:t xml:space="preserve">117.  </w:t>
      </w:r>
      <w:r>
        <w:rPr>
          <w:rFonts w:hint="eastAsia"/>
        </w:rPr>
        <w:t>由于不容易证明歧视，国内法律提供的解决办法是转由雇主承担举证责任，证明自己不存在基于性别的差别待遇，这个办法已经显示了积极结果。</w:t>
      </w:r>
    </w:p>
    <w:p w:rsidR="00000000" w:rsidRDefault="00000000">
      <w:pPr>
        <w:rPr>
          <w:rFonts w:hint="eastAsia"/>
        </w:rPr>
      </w:pPr>
      <w:r>
        <w:rPr>
          <w:rFonts w:hint="eastAsia"/>
        </w:rPr>
        <w:tab/>
        <w:t xml:space="preserve">118.  </w:t>
      </w:r>
      <w:r>
        <w:rPr>
          <w:rFonts w:hint="eastAsia"/>
        </w:rPr>
        <w:t>雇主作为应诉人，有义务提出证据，表明女性雇员处于不利地位不是由于性别原因，而是由于其他因素。在这类法律的执行过程中出现了一些问题。</w:t>
      </w:r>
    </w:p>
    <w:p w:rsidR="00000000" w:rsidRDefault="00000000">
      <w:pPr>
        <w:rPr>
          <w:rFonts w:hint="eastAsia"/>
        </w:rPr>
      </w:pPr>
      <w:r>
        <w:rPr>
          <w:rFonts w:hint="eastAsia"/>
        </w:rPr>
        <w:tab/>
        <w:t xml:space="preserve">119.  </w:t>
      </w:r>
      <w:r>
        <w:rPr>
          <w:rFonts w:hint="eastAsia"/>
        </w:rPr>
        <w:t>在波斯尼亚和黑塞哥维那，四分之三的妇女的法律地位是建立在劳动社会法规范基础上。在此情况下，</w:t>
      </w:r>
      <w:r>
        <w:rPr>
          <w:rFonts w:hint="eastAsia"/>
        </w:rPr>
        <w:t>83.3%</w:t>
      </w:r>
      <w:r>
        <w:rPr>
          <w:rFonts w:hint="eastAsia"/>
        </w:rPr>
        <w:t>的妇女为雇员，只有</w:t>
      </w:r>
      <w:r>
        <w:rPr>
          <w:rFonts w:hint="eastAsia"/>
        </w:rPr>
        <w:t>16.6%</w:t>
      </w:r>
      <w:r>
        <w:rPr>
          <w:rFonts w:hint="eastAsia"/>
        </w:rPr>
        <w:t>的妇女是自谋职业或是雇主。</w:t>
      </w:r>
    </w:p>
    <w:p w:rsidR="00000000" w:rsidRDefault="00000000">
      <w:pPr>
        <w:rPr>
          <w:rFonts w:hint="eastAsia"/>
        </w:rPr>
      </w:pPr>
      <w:r>
        <w:rPr>
          <w:rFonts w:hint="eastAsia"/>
        </w:rPr>
        <w:tab/>
        <w:t xml:space="preserve">120.  </w:t>
      </w:r>
      <w:r>
        <w:rPr>
          <w:rFonts w:hint="eastAsia"/>
        </w:rPr>
        <w:t>三分之一的妇女劳动力的就业有固定期限，其中</w:t>
      </w:r>
      <w:r>
        <w:rPr>
          <w:rFonts w:hint="eastAsia"/>
        </w:rPr>
        <w:t>50%</w:t>
      </w:r>
      <w:r>
        <w:rPr>
          <w:rFonts w:hint="eastAsia"/>
        </w:rPr>
        <w:t>实现了她们按照一般和特定劳动法享有的权利。</w:t>
      </w:r>
    </w:p>
    <w:p w:rsidR="00000000" w:rsidRDefault="00000000">
      <w:pPr>
        <w:rPr>
          <w:rFonts w:hint="eastAsia"/>
        </w:rPr>
      </w:pPr>
      <w:r>
        <w:rPr>
          <w:rFonts w:hint="eastAsia"/>
        </w:rPr>
        <w:tab/>
        <w:t xml:space="preserve">121.  </w:t>
      </w:r>
      <w:r>
        <w:rPr>
          <w:rFonts w:hint="eastAsia"/>
        </w:rPr>
        <w:t>按照棱镜研究所进行的独立调查，大约有</w:t>
      </w:r>
      <w:r>
        <w:rPr>
          <w:rFonts w:hint="eastAsia"/>
        </w:rPr>
        <w:t>30%</w:t>
      </w:r>
      <w:r>
        <w:rPr>
          <w:rFonts w:hint="eastAsia"/>
        </w:rPr>
        <w:t>的妇女没有取得有关条例规定的失业者地位，即，她们没有在就业局登记，而且不享有失业方面的社会权利。这就使她们处于没有任何收入的社会受扶养人的群体。</w:t>
      </w:r>
    </w:p>
    <w:p w:rsidR="00000000" w:rsidRDefault="00000000">
      <w:pPr>
        <w:rPr>
          <w:rFonts w:hint="eastAsia"/>
        </w:rPr>
      </w:pPr>
      <w:r>
        <w:rPr>
          <w:rFonts w:hint="eastAsia"/>
        </w:rPr>
        <w:tab/>
        <w:t xml:space="preserve">122.  </w:t>
      </w:r>
      <w:r>
        <w:rPr>
          <w:rFonts w:hint="eastAsia"/>
        </w:rPr>
        <w:t>至于其他权利，婚姻状况不影响就业安全，但法律规定了对妇女的特定保护措施。妇女在妊娠期间享有特殊保护，禁止从事一切可能对胎儿产生不利影响或危害的工作。</w:t>
      </w:r>
    </w:p>
    <w:p w:rsidR="00000000" w:rsidRDefault="00000000">
      <w:pPr>
        <w:rPr>
          <w:rFonts w:hint="eastAsia"/>
        </w:rPr>
      </w:pPr>
      <w:r>
        <w:rPr>
          <w:rFonts w:hint="eastAsia"/>
        </w:rPr>
        <w:tab/>
        <w:t xml:space="preserve">123.  </w:t>
      </w:r>
      <w:r>
        <w:rPr>
          <w:rFonts w:hint="eastAsia"/>
        </w:rPr>
        <w:t>按照国内法律细则，雇主应依据有关条例，确定哪些工作有害健康。按照《劳动法》，在产假结束前开始工作的妇女有权在其日间休息之外，另有</w:t>
      </w:r>
      <w:r>
        <w:rPr>
          <w:rFonts w:hint="eastAsia"/>
        </w:rPr>
        <w:t>60</w:t>
      </w:r>
      <w:r>
        <w:rPr>
          <w:rFonts w:hint="eastAsia"/>
        </w:rPr>
        <w:t>分钟为其婴儿哺乳。</w:t>
      </w:r>
    </w:p>
    <w:p w:rsidR="00000000" w:rsidRDefault="00000000">
      <w:pPr>
        <w:rPr>
          <w:rFonts w:hint="eastAsia"/>
        </w:rPr>
      </w:pPr>
      <w:r>
        <w:rPr>
          <w:rFonts w:hint="eastAsia"/>
        </w:rPr>
        <w:tab/>
        <w:t xml:space="preserve">124.  </w:t>
      </w:r>
      <w:r>
        <w:rPr>
          <w:rFonts w:hint="eastAsia"/>
        </w:rPr>
        <w:t>在妊娠和哺乳期间，如果有授权医生认定这符合其健康利益，妇女可调换工作。雇主如果无法为其调换工作，妇女有权按照其集体劳动合同和劳动细则，在获取补偿后辞职。临时调动工作不得减少工资，雇主只有在经妇女书面同意后才能调换其工作。</w:t>
      </w:r>
    </w:p>
    <w:p w:rsidR="00000000" w:rsidRDefault="00000000">
      <w:pPr>
        <w:rPr>
          <w:rFonts w:hint="eastAsia"/>
        </w:rPr>
      </w:pPr>
      <w:r>
        <w:rPr>
          <w:rFonts w:hint="eastAsia"/>
        </w:rPr>
        <w:tab/>
        <w:t xml:space="preserve">125.  </w:t>
      </w:r>
      <w:r>
        <w:rPr>
          <w:rFonts w:hint="eastAsia"/>
        </w:rPr>
        <w:t>在同一工作上，妇女的工资低于男性的现象并不普遍。按照《劳动法》第</w:t>
      </w:r>
      <w:r>
        <w:rPr>
          <w:rFonts w:hint="eastAsia"/>
        </w:rPr>
        <w:t>68</w:t>
      </w:r>
      <w:r>
        <w:rPr>
          <w:rFonts w:hint="eastAsia"/>
        </w:rPr>
        <w:t>条，应按照集体合同、劳动条例和劳动合同确定雇员的工资，因此，每份工资都是针对男子或妇女的特定岗位设置的。到目前为止，还没有收到妇女的申诉，表明她们的工资在同一工作上低于男性雇员。</w:t>
      </w:r>
    </w:p>
    <w:p w:rsidR="00000000" w:rsidRDefault="00000000">
      <w:pPr>
        <w:rPr>
          <w:rFonts w:hint="eastAsia"/>
        </w:rPr>
      </w:pPr>
      <w:r>
        <w:rPr>
          <w:rFonts w:hint="eastAsia"/>
        </w:rPr>
        <w:tab/>
        <w:t xml:space="preserve">126.  </w:t>
      </w:r>
      <w:r>
        <w:rPr>
          <w:rFonts w:hint="eastAsia"/>
        </w:rPr>
        <w:t>然而，工资更高的职位对同样条件的男子和妇女不是平等开放的。</w:t>
      </w:r>
    </w:p>
    <w:p w:rsidR="00000000" w:rsidRDefault="00000000">
      <w:pPr>
        <w:rPr>
          <w:rFonts w:hint="eastAsia"/>
        </w:rPr>
      </w:pPr>
      <w:r>
        <w:rPr>
          <w:rFonts w:hint="eastAsia"/>
        </w:rPr>
        <w:tab/>
        <w:t xml:space="preserve">127.  </w:t>
      </w:r>
      <w:r>
        <w:rPr>
          <w:rFonts w:hint="eastAsia"/>
        </w:rPr>
        <w:t>雇主不能拒绝雇用怀孕妇女，取消她的劳动合同，或拒绝出于她的健康考虑，为她调换其他工作。</w:t>
      </w:r>
    </w:p>
    <w:p w:rsidR="00000000" w:rsidRDefault="00000000">
      <w:pPr>
        <w:rPr>
          <w:rFonts w:hint="eastAsia"/>
        </w:rPr>
      </w:pPr>
      <w:r>
        <w:rPr>
          <w:rFonts w:hint="eastAsia"/>
        </w:rPr>
        <w:tab/>
        <w:t xml:space="preserve">128.  </w:t>
      </w:r>
      <w:r>
        <w:rPr>
          <w:rFonts w:hint="eastAsia"/>
        </w:rPr>
        <w:t>雇主违反了这一点，将面临罚款。法律没有规定妇女在家里可以做哪些工作。法律不禁止这种可能性，因此，雇主和雇员可以商定在家中工作。</w:t>
      </w:r>
    </w:p>
    <w:p w:rsidR="00000000" w:rsidRDefault="00000000">
      <w:pPr>
        <w:rPr>
          <w:rFonts w:hint="eastAsia"/>
        </w:rPr>
      </w:pPr>
      <w:r>
        <w:rPr>
          <w:rFonts w:hint="eastAsia"/>
        </w:rPr>
        <w:tab/>
        <w:t xml:space="preserve">129.  </w:t>
      </w:r>
      <w:r>
        <w:rPr>
          <w:rFonts w:hint="eastAsia"/>
        </w:rPr>
        <w:t>如果就业，所有雇员均有权享有明确规定的工作条件，劳动条例和工作合同将在此情况下规定工资水平。</w:t>
      </w:r>
    </w:p>
    <w:p w:rsidR="00000000" w:rsidRDefault="00000000">
      <w:pPr>
        <w:rPr>
          <w:rFonts w:hint="eastAsia"/>
        </w:rPr>
      </w:pPr>
      <w:r>
        <w:rPr>
          <w:rFonts w:hint="eastAsia"/>
        </w:rPr>
        <w:tab/>
        <w:t xml:space="preserve">130.  </w:t>
      </w:r>
      <w:r>
        <w:rPr>
          <w:rFonts w:hint="eastAsia"/>
        </w:rPr>
        <w:t>在全面危机以及大量外国援助涌入的时期，很难讨论不同部门之间的两性歧视问题。应当指出，妇女的角色、教育、职业和在劳动力市场上的地位之间存在着明显联系。</w:t>
      </w:r>
    </w:p>
    <w:p w:rsidR="00000000" w:rsidRDefault="00000000">
      <w:pPr>
        <w:rPr>
          <w:rFonts w:hint="eastAsia"/>
        </w:rPr>
      </w:pPr>
      <w:r>
        <w:rPr>
          <w:rFonts w:hint="eastAsia"/>
        </w:rPr>
        <w:tab/>
        <w:t xml:space="preserve">131.  </w:t>
      </w:r>
      <w:r>
        <w:rPr>
          <w:rFonts w:hint="eastAsia"/>
        </w:rPr>
        <w:t>研究工作期间得到的资料表明，在波斯尼亚和黑塞哥维那，仍然存在典型的女性职业和典型的男性职业。男人和女人在理想职业和专业方面的陈旧观念仍然是根深蒂固的。</w:t>
      </w:r>
    </w:p>
    <w:p w:rsidR="00000000" w:rsidRDefault="00000000">
      <w:pPr>
        <w:rPr>
          <w:rFonts w:hint="eastAsia"/>
        </w:rPr>
      </w:pPr>
      <w:r>
        <w:rPr>
          <w:rFonts w:hint="eastAsia"/>
        </w:rPr>
        <w:tab/>
        <w:t xml:space="preserve">132.  </w:t>
      </w:r>
      <w:r>
        <w:rPr>
          <w:rFonts w:hint="eastAsia"/>
        </w:rPr>
        <w:t>这两个实体的政府在由瑞典政府供资的波斯尼亚和黑塞哥维那两性平等项目的支持下，设立了政府办公室</w:t>
      </w:r>
      <w:r>
        <w:rPr>
          <w:rFonts w:hint="eastAsia"/>
          <w:spacing w:val="-50"/>
        </w:rPr>
        <w:t>―</w:t>
      </w:r>
      <w:r>
        <w:rPr>
          <w:rFonts w:hint="eastAsia"/>
        </w:rPr>
        <w:t>―“两性中心”，采取行动，提高妇女对参与各个部门产业和创收活动的意识。</w:t>
      </w:r>
    </w:p>
    <w:p w:rsidR="00000000" w:rsidRDefault="00000000">
      <w:pPr>
        <w:spacing w:after="240"/>
        <w:rPr>
          <w:rFonts w:hint="eastAsia"/>
        </w:rPr>
      </w:pPr>
      <w:r>
        <w:rPr>
          <w:rFonts w:hint="eastAsia"/>
        </w:rPr>
        <w:tab/>
        <w:t xml:space="preserve">133.  </w:t>
      </w:r>
      <w:r>
        <w:rPr>
          <w:rFonts w:hint="eastAsia"/>
        </w:rPr>
        <w:t>受过教育的妇女在就业方面要比未受教育的妇女面临更多挑战。初中、高中和大学毕业的女性在女性总失业数字中占一半以上。如果拿</w:t>
      </w:r>
      <w:r>
        <w:rPr>
          <w:rFonts w:hint="eastAsia"/>
        </w:rPr>
        <w:t>20</w:t>
      </w:r>
      <w:r>
        <w:rPr>
          <w:rFonts w:hint="eastAsia"/>
        </w:rPr>
        <w:t>年之前教育结构数据与中学和大学女性毕业生数字相比，我们可以看到，妇女的数字在这些群体非常高，也即高学位和大学毕业的求职妇女数字很高，与教育结构不相符。</w:t>
      </w:r>
    </w:p>
    <w:p w:rsidR="00000000" w:rsidRDefault="00000000">
      <w:pPr>
        <w:pStyle w:val="Heading4"/>
        <w:rPr>
          <w:rFonts w:hint="eastAsia"/>
        </w:rPr>
      </w:pPr>
      <w:r>
        <w:rPr>
          <w:rFonts w:hint="eastAsia"/>
        </w:rPr>
        <w:t>就业上的不歧视原则</w:t>
      </w:r>
    </w:p>
    <w:p w:rsidR="00000000" w:rsidRDefault="00000000">
      <w:pPr>
        <w:rPr>
          <w:rFonts w:hint="eastAsia"/>
        </w:rPr>
      </w:pPr>
      <w:r>
        <w:rPr>
          <w:rFonts w:hint="eastAsia"/>
        </w:rPr>
        <w:tab/>
        <w:t xml:space="preserve">134.  </w:t>
      </w:r>
      <w:r>
        <w:rPr>
          <w:rFonts w:hint="eastAsia"/>
        </w:rPr>
        <w:t>波斯尼亚和黑塞哥维那法律没有关于基于性别、种族、政治见解、宗教、族裔等等歧视问题的条款。重要的是，“平等待遇”原则意味着“多样化权利”原则，这对妇女在职业、孕期保护等等方面的特殊要求规定了例外。实践表明，在求职方面存在对妇女的歧视，这些歧视往往强调妇女的外貌、年龄、家庭义务和健康状况。</w:t>
      </w:r>
    </w:p>
    <w:p w:rsidR="00000000" w:rsidRDefault="00000000">
      <w:pPr>
        <w:rPr>
          <w:rFonts w:hint="eastAsia"/>
        </w:rPr>
      </w:pPr>
      <w:r>
        <w:rPr>
          <w:rFonts w:hint="eastAsia"/>
        </w:rPr>
        <w:tab/>
        <w:t xml:space="preserve">135.  </w:t>
      </w:r>
      <w:r>
        <w:rPr>
          <w:rFonts w:hint="eastAsia"/>
        </w:rPr>
        <w:t>就业过程中的歧视很明显，招聘信息方面的要求往往不符合平等权利标准。有很多例子表明，招聘信息中有明确的年龄或性别要求。但这些招聘信息很少受到审查和取消，尽管存在这方面的劳动视察服务。波斯尼亚和黑塞哥维那联邦和塞族共和国两性中心正在加强促进两性平等的工作。</w:t>
      </w:r>
    </w:p>
    <w:p w:rsidR="00000000" w:rsidRDefault="00000000">
      <w:pPr>
        <w:rPr>
          <w:rFonts w:hint="eastAsia"/>
        </w:rPr>
      </w:pPr>
      <w:r>
        <w:rPr>
          <w:rFonts w:hint="eastAsia"/>
        </w:rPr>
        <w:tab/>
        <w:t xml:space="preserve">136.  </w:t>
      </w:r>
      <w:r>
        <w:rPr>
          <w:rFonts w:hint="eastAsia"/>
        </w:rPr>
        <w:t>残疾人就业是个问题，因为雇主雇用残疾人没有特别的好处。法律也没有规定社会福利企业雇用工作能力有限的人可以享有特殊的税务减免。</w:t>
      </w:r>
    </w:p>
    <w:p w:rsidR="00000000" w:rsidRDefault="00000000">
      <w:pPr>
        <w:rPr>
          <w:rFonts w:hint="eastAsia"/>
        </w:rPr>
      </w:pPr>
      <w:r>
        <w:rPr>
          <w:rFonts w:hint="eastAsia"/>
        </w:rPr>
        <w:tab/>
        <w:t xml:space="preserve">137.  </w:t>
      </w:r>
      <w:r>
        <w:rPr>
          <w:rFonts w:hint="eastAsia"/>
        </w:rPr>
        <w:t>青年人也在就业中受到歧视。在正规部门中就业的人的平均年龄由</w:t>
      </w:r>
      <w:r>
        <w:rPr>
          <w:rFonts w:hint="eastAsia"/>
        </w:rPr>
        <w:t>1991</w:t>
      </w:r>
      <w:r>
        <w:rPr>
          <w:rFonts w:hint="eastAsia"/>
        </w:rPr>
        <w:t>年的</w:t>
      </w:r>
      <w:r>
        <w:rPr>
          <w:rFonts w:hint="eastAsia"/>
        </w:rPr>
        <w:t>36.6</w:t>
      </w:r>
      <w:r>
        <w:rPr>
          <w:rFonts w:hint="eastAsia"/>
        </w:rPr>
        <w:t>岁明显提高到</w:t>
      </w:r>
      <w:r>
        <w:rPr>
          <w:rFonts w:hint="eastAsia"/>
        </w:rPr>
        <w:t>2000</w:t>
      </w:r>
      <w:r>
        <w:rPr>
          <w:rFonts w:hint="eastAsia"/>
        </w:rPr>
        <w:t>年的</w:t>
      </w:r>
      <w:r>
        <w:rPr>
          <w:rFonts w:hint="eastAsia"/>
        </w:rPr>
        <w:t>40</w:t>
      </w:r>
      <w:r>
        <w:rPr>
          <w:rFonts w:hint="eastAsia"/>
        </w:rPr>
        <w:t>岁</w:t>
      </w:r>
      <w:r>
        <w:rPr>
          <w:rFonts w:hint="eastAsia"/>
        </w:rPr>
        <w:t>(</w:t>
      </w:r>
      <w:r>
        <w:rPr>
          <w:rFonts w:hint="eastAsia"/>
        </w:rPr>
        <w:t>世界银行数据，</w:t>
      </w:r>
      <w:r>
        <w:rPr>
          <w:rFonts w:hint="eastAsia"/>
        </w:rPr>
        <w:t>2002</w:t>
      </w:r>
      <w:r>
        <w:rPr>
          <w:rFonts w:hint="eastAsia"/>
        </w:rPr>
        <w:t>年</w:t>
      </w:r>
      <w:r>
        <w:rPr>
          <w:rFonts w:hint="eastAsia"/>
        </w:rPr>
        <w:t>11</w:t>
      </w:r>
      <w:r>
        <w:rPr>
          <w:rFonts w:hint="eastAsia"/>
        </w:rPr>
        <w:t>月</w:t>
      </w:r>
      <w:r>
        <w:rPr>
          <w:rFonts w:hint="eastAsia"/>
        </w:rPr>
        <w:t>)</w:t>
      </w:r>
      <w:r>
        <w:rPr>
          <w:rFonts w:hint="eastAsia"/>
        </w:rPr>
        <w:t>，这意味着青年进入正规部门中就业的数目很有限，所以大多数青年人都在非正规部门中就业。与战前相比，</w:t>
      </w:r>
      <w:r>
        <w:rPr>
          <w:rFonts w:hint="eastAsia"/>
        </w:rPr>
        <w:t>36</w:t>
      </w:r>
      <w:r>
        <w:rPr>
          <w:rFonts w:hint="eastAsia"/>
        </w:rPr>
        <w:t>岁以下的工人的比例大大下降，</w:t>
      </w:r>
      <w:r>
        <w:rPr>
          <w:rFonts w:hint="eastAsia"/>
        </w:rPr>
        <w:t>2000</w:t>
      </w:r>
      <w:r>
        <w:rPr>
          <w:rFonts w:hint="eastAsia"/>
        </w:rPr>
        <w:t>年</w:t>
      </w:r>
      <w:r>
        <w:rPr>
          <w:rFonts w:hint="eastAsia"/>
        </w:rPr>
        <w:t>25-34</w:t>
      </w:r>
      <w:r>
        <w:rPr>
          <w:rFonts w:hint="eastAsia"/>
        </w:rPr>
        <w:t>岁的雇员仅占</w:t>
      </w:r>
      <w:r>
        <w:rPr>
          <w:rFonts w:hint="eastAsia"/>
        </w:rPr>
        <w:t>23%(1990</w:t>
      </w:r>
      <w:r>
        <w:rPr>
          <w:rFonts w:hint="eastAsia"/>
        </w:rPr>
        <w:t>年为</w:t>
      </w:r>
      <w:r>
        <w:rPr>
          <w:rFonts w:hint="eastAsia"/>
        </w:rPr>
        <w:t>37%)</w:t>
      </w:r>
      <w:r>
        <w:rPr>
          <w:rFonts w:hint="eastAsia"/>
        </w:rPr>
        <w:t>。生活水平衡量研究的分析表明，</w:t>
      </w:r>
      <w:r>
        <w:rPr>
          <w:rFonts w:hint="eastAsia"/>
        </w:rPr>
        <w:t>25</w:t>
      </w:r>
      <w:r>
        <w:rPr>
          <w:rFonts w:hint="eastAsia"/>
        </w:rPr>
        <w:t>岁以下者有</w:t>
      </w:r>
      <w:r>
        <w:rPr>
          <w:rFonts w:hint="eastAsia"/>
        </w:rPr>
        <w:t>18%</w:t>
      </w:r>
      <w:r>
        <w:rPr>
          <w:rFonts w:hint="eastAsia"/>
        </w:rPr>
        <w:t>在非正规部门就业，</w:t>
      </w:r>
      <w:r>
        <w:rPr>
          <w:rFonts w:hint="eastAsia"/>
        </w:rPr>
        <w:t>7%</w:t>
      </w:r>
      <w:r>
        <w:rPr>
          <w:rFonts w:hint="eastAsia"/>
        </w:rPr>
        <w:t>在正规部门就业，其主要原因在于最低工资水平。</w:t>
      </w:r>
    </w:p>
    <w:p w:rsidR="00000000" w:rsidRDefault="00000000">
      <w:pPr>
        <w:rPr>
          <w:rFonts w:hint="eastAsia"/>
        </w:rPr>
      </w:pPr>
      <w:r>
        <w:rPr>
          <w:rFonts w:hint="eastAsia"/>
        </w:rPr>
        <w:tab/>
        <w:t xml:space="preserve">138.  </w:t>
      </w:r>
      <w:r>
        <w:rPr>
          <w:rFonts w:hint="eastAsia"/>
        </w:rPr>
        <w:t>虽然较年青的劳动力愿意接受工资较低的工作，但现有的制度却不能吸引人。此外，工资水平是由三方面共同商定的：政府、雇主和工会。在商定的工资水平问题上，国际金融组织对集体谈判的影响有限，因此最低劳动价格成为计算工资的依据。这样，在确定工资水平时，只能规定最低的水平，所有其他事情都取决于与雇主的协议。这是年龄提高和缺乏劳动生产率的原因之一，因为年青的劳动力都倾向于转入灰色经济中，灰色经济雇用了更多的青年人，而青年人是更具生产力的劳动力群体，因此，灰色经济比正规部门具有更大竞争力。</w:t>
      </w:r>
    </w:p>
    <w:p w:rsidR="00000000" w:rsidRDefault="00000000">
      <w:pPr>
        <w:rPr>
          <w:rFonts w:hint="eastAsia"/>
        </w:rPr>
      </w:pPr>
      <w:r>
        <w:rPr>
          <w:rFonts w:hint="eastAsia"/>
        </w:rPr>
        <w:tab/>
        <w:t xml:space="preserve">139.  </w:t>
      </w:r>
      <w:r>
        <w:rPr>
          <w:rFonts w:hint="eastAsia"/>
        </w:rPr>
        <w:t>在就业方面，处境尤其不利的群体是年纪较大的就业者、残疾工人和有特殊需要的人员。在波斯尼亚和黑塞哥维那联邦，有</w:t>
      </w:r>
      <w:r>
        <w:rPr>
          <w:rFonts w:hint="eastAsia"/>
        </w:rPr>
        <w:t>70,000</w:t>
      </w:r>
      <w:r>
        <w:rPr>
          <w:rFonts w:hint="eastAsia"/>
        </w:rPr>
        <w:t>名残疾工人</w:t>
      </w:r>
      <w:r>
        <w:rPr>
          <w:rFonts w:hint="eastAsia"/>
          <w:spacing w:val="-50"/>
        </w:rPr>
        <w:t>―</w:t>
      </w:r>
      <w:r>
        <w:rPr>
          <w:rFonts w:hint="eastAsia"/>
        </w:rPr>
        <w:t>―</w:t>
      </w:r>
      <w:r>
        <w:rPr>
          <w:rFonts w:hint="eastAsia"/>
        </w:rPr>
        <w:t>49,916</w:t>
      </w:r>
      <w:r>
        <w:rPr>
          <w:rFonts w:hint="eastAsia"/>
        </w:rPr>
        <w:t>人为一类残疾</w:t>
      </w:r>
      <w:r>
        <w:rPr>
          <w:rFonts w:hint="eastAsia"/>
        </w:rPr>
        <w:t>(</w:t>
      </w:r>
      <w:r>
        <w:rPr>
          <w:rFonts w:hint="eastAsia"/>
        </w:rPr>
        <w:t>完全不能工作</w:t>
      </w:r>
      <w:r>
        <w:rPr>
          <w:rFonts w:hint="eastAsia"/>
        </w:rPr>
        <w:t>)</w:t>
      </w:r>
      <w:r>
        <w:rPr>
          <w:rFonts w:hint="eastAsia"/>
        </w:rPr>
        <w:t>，</w:t>
      </w:r>
      <w:r>
        <w:rPr>
          <w:rFonts w:hint="eastAsia"/>
        </w:rPr>
        <w:t>14,500</w:t>
      </w:r>
      <w:r>
        <w:rPr>
          <w:rFonts w:hint="eastAsia"/>
        </w:rPr>
        <w:t>人为二类残疾</w:t>
      </w:r>
      <w:r>
        <w:rPr>
          <w:rFonts w:hint="eastAsia"/>
        </w:rPr>
        <w:t>(</w:t>
      </w:r>
      <w:r>
        <w:rPr>
          <w:rFonts w:hint="eastAsia"/>
        </w:rPr>
        <w:t>在工作场所之内或之外受伤或健康受损者</w:t>
      </w:r>
      <w:r>
        <w:rPr>
          <w:rFonts w:hint="eastAsia"/>
        </w:rPr>
        <w:t>)</w:t>
      </w:r>
      <w:r>
        <w:rPr>
          <w:rFonts w:hint="eastAsia"/>
        </w:rPr>
        <w:t>。</w:t>
      </w:r>
    </w:p>
    <w:p w:rsidR="00000000" w:rsidRDefault="00000000">
      <w:pPr>
        <w:rPr>
          <w:rFonts w:hint="eastAsia"/>
        </w:rPr>
      </w:pPr>
      <w:r>
        <w:rPr>
          <w:rFonts w:hint="eastAsia"/>
        </w:rPr>
        <w:tab/>
        <w:t xml:space="preserve">140.  </w:t>
      </w:r>
      <w:r>
        <w:rPr>
          <w:rFonts w:hint="eastAsia"/>
        </w:rPr>
        <w:t>在有关养老金和残疾人保险的条例中，规定了二类残疾人的工作权。然而，这一类人的工作权面临更大威胁，因为在私有化进程中，他们大多数通常都处于失业状态。在总的就业形势恶化的情况下，失业的老兵和残疾人很难实现其就业权。</w:t>
      </w:r>
    </w:p>
    <w:p w:rsidR="00000000" w:rsidRDefault="00000000">
      <w:pPr>
        <w:rPr>
          <w:rFonts w:hint="eastAsia"/>
        </w:rPr>
      </w:pPr>
      <w:r>
        <w:rPr>
          <w:rFonts w:hint="eastAsia"/>
        </w:rPr>
        <w:tab/>
        <w:t xml:space="preserve">141.  </w:t>
      </w:r>
      <w:r>
        <w:rPr>
          <w:rFonts w:hint="eastAsia"/>
        </w:rPr>
        <w:t>正在拆除建筑中的障碍和其他有形障碍，到目前为止，许多这类障碍都已在城市的公共建筑中拆除。进出学校、大学、贸易和餐饮设施、住宅建筑、交通工具等等的障碍仍然是很明显的。</w:t>
      </w:r>
    </w:p>
    <w:p w:rsidR="00000000" w:rsidRDefault="00000000">
      <w:pPr>
        <w:rPr>
          <w:rFonts w:hint="eastAsia"/>
        </w:rPr>
      </w:pPr>
      <w:r>
        <w:rPr>
          <w:rFonts w:hint="eastAsia"/>
        </w:rPr>
        <w:tab/>
        <w:t xml:space="preserve">142.  </w:t>
      </w:r>
      <w:r>
        <w:rPr>
          <w:rFonts w:hint="eastAsia"/>
        </w:rPr>
        <w:t>在学残疾人的问题很特殊，这些人由于建筑和技术方面的障碍，无法正常进入中学。除有形障碍外，在残疾人选择职业和教育的平等权利方面也存在障碍。在塞族共和国，有听力残疾的人只能选择四种职业，都属于手工艺行业。这就使他们与其他工人相比处于不利地位。</w:t>
      </w:r>
    </w:p>
    <w:p w:rsidR="00000000" w:rsidRDefault="00000000">
      <w:pPr>
        <w:rPr>
          <w:rFonts w:hint="eastAsia"/>
        </w:rPr>
      </w:pPr>
      <w:r>
        <w:rPr>
          <w:rFonts w:hint="eastAsia"/>
        </w:rPr>
        <w:tab/>
        <w:t xml:space="preserve">143.  </w:t>
      </w:r>
      <w:r>
        <w:rPr>
          <w:rFonts w:hint="eastAsia"/>
        </w:rPr>
        <w:t>关于生活水平的衡量研究报告评估断言，在波斯尼亚和黑塞哥维那，大约有</w:t>
      </w:r>
      <w:r>
        <w:rPr>
          <w:rFonts w:hint="eastAsia"/>
        </w:rPr>
        <w:t>17</w:t>
      </w:r>
      <w:r>
        <w:rPr>
          <w:rFonts w:hint="eastAsia"/>
        </w:rPr>
        <w:t>万人在灰色市场上挣取收入，虽然主要是国营企业的就业名单上正式列入了他们。正是由于这个原因，例如，</w:t>
      </w:r>
      <w:r>
        <w:rPr>
          <w:rFonts w:hint="eastAsia"/>
        </w:rPr>
        <w:t>2001</w:t>
      </w:r>
      <w:r>
        <w:rPr>
          <w:rFonts w:hint="eastAsia"/>
        </w:rPr>
        <w:t>年，据登记，大约有</w:t>
      </w:r>
      <w:r>
        <w:rPr>
          <w:rFonts w:hint="eastAsia"/>
        </w:rPr>
        <w:t>16</w:t>
      </w:r>
      <w:r>
        <w:rPr>
          <w:rFonts w:hint="eastAsia"/>
        </w:rPr>
        <w:t>万名工人的工资被拖欠了两个月或更长。</w:t>
      </w:r>
    </w:p>
    <w:p w:rsidR="00000000" w:rsidRDefault="00000000">
      <w:pPr>
        <w:rPr>
          <w:rFonts w:hint="eastAsia"/>
        </w:rPr>
      </w:pPr>
      <w:r>
        <w:rPr>
          <w:rFonts w:hint="eastAsia"/>
        </w:rPr>
        <w:tab/>
        <w:t xml:space="preserve">144.  </w:t>
      </w:r>
      <w:r>
        <w:rPr>
          <w:rFonts w:hint="eastAsia"/>
        </w:rPr>
        <w:t>关于专业方向、培训和职业选择，没有基于性别、种族、肤色或血统的歧视。</w:t>
      </w:r>
    </w:p>
    <w:p w:rsidR="00000000" w:rsidRDefault="00000000">
      <w:pPr>
        <w:spacing w:after="320"/>
        <w:rPr>
          <w:rFonts w:hint="eastAsia"/>
        </w:rPr>
      </w:pPr>
      <w:r>
        <w:rPr>
          <w:rFonts w:hint="eastAsia"/>
        </w:rPr>
        <w:tab/>
        <w:t xml:space="preserve">145.  </w:t>
      </w:r>
      <w:r>
        <w:rPr>
          <w:rFonts w:hint="eastAsia"/>
        </w:rPr>
        <w:t>按照实体的劳动条例，没有在两个雇主那里全职就业的可能性，尽管此类安排可确保雇员及其家人更高的生活水平，因此，所有此类工作都被视为隐性就业。法律规定允许所谓的补充性工作，某些职业的人可以从事这类工作。然而，如果这也是一项有关人员为之工作的雇主从事的活动，就有必要取得该雇主的特别同意。</w:t>
      </w:r>
    </w:p>
    <w:p w:rsidR="00000000" w:rsidRDefault="00000000">
      <w:pPr>
        <w:pStyle w:val="Heading4"/>
        <w:rPr>
          <w:rFonts w:hint="eastAsia"/>
        </w:rPr>
      </w:pPr>
      <w:r>
        <w:rPr>
          <w:rFonts w:hint="eastAsia"/>
        </w:rPr>
        <w:t>培训方案</w:t>
      </w:r>
    </w:p>
    <w:p w:rsidR="00000000" w:rsidRDefault="00000000">
      <w:pPr>
        <w:rPr>
          <w:rFonts w:hint="eastAsia"/>
        </w:rPr>
      </w:pPr>
      <w:r>
        <w:rPr>
          <w:rFonts w:hint="eastAsia"/>
        </w:rPr>
        <w:tab/>
        <w:t xml:space="preserve">146.  </w:t>
      </w:r>
      <w:r>
        <w:rPr>
          <w:rFonts w:hint="eastAsia"/>
        </w:rPr>
        <w:t>政府培训方案通过劳动局和主管部委设立的项目股制订和执行。这些方案与世界银行的项目相联系</w:t>
      </w:r>
      <w:r>
        <w:rPr>
          <w:rFonts w:hint="eastAsia"/>
        </w:rPr>
        <w:t>(</w:t>
      </w:r>
      <w:r>
        <w:rPr>
          <w:rFonts w:hint="eastAsia"/>
        </w:rPr>
        <w:t>在培训复员士兵和支持返回者家庭经济能力的方案</w:t>
      </w:r>
      <w:r>
        <w:rPr>
          <w:rFonts w:hint="eastAsia"/>
        </w:rPr>
        <w:t>)</w:t>
      </w:r>
      <w:r>
        <w:rPr>
          <w:rFonts w:hint="eastAsia"/>
        </w:rPr>
        <w:t>，侧重于通过培训发展农业和手工业，并提供财政支持。</w:t>
      </w:r>
    </w:p>
    <w:p w:rsidR="00000000" w:rsidRDefault="00000000">
      <w:pPr>
        <w:rPr>
          <w:rFonts w:hint="eastAsia"/>
        </w:rPr>
      </w:pPr>
      <w:r>
        <w:rPr>
          <w:rFonts w:hint="eastAsia"/>
        </w:rPr>
        <w:tab/>
        <w:t xml:space="preserve">147.  </w:t>
      </w:r>
      <w:r>
        <w:rPr>
          <w:rFonts w:hint="eastAsia"/>
        </w:rPr>
        <w:t>在波斯尼亚和黑塞哥维那，当地和国际非政府组织制订和执行了范围更广泛的方案。在此基础上，</w:t>
      </w:r>
      <w:r>
        <w:rPr>
          <w:rFonts w:hint="eastAsia"/>
        </w:rPr>
        <w:t>2000</w:t>
      </w:r>
      <w:r>
        <w:rPr>
          <w:rFonts w:hint="eastAsia"/>
        </w:rPr>
        <w:t>年，联邦就业局提供了下列财政支持</w:t>
      </w:r>
      <w:r>
        <w:t>:</w:t>
      </w:r>
    </w:p>
    <w:p w:rsidR="00000000" w:rsidRDefault="00000000">
      <w:pPr>
        <w:pStyle w:val="a0"/>
        <w:ind w:left="1550"/>
        <w:rPr>
          <w:rFonts w:hint="eastAsia"/>
        </w:rPr>
      </w:pPr>
      <w:r>
        <w:rPr>
          <w:rFonts w:hint="eastAsia"/>
        </w:rPr>
        <w:t>提供新的就业和创造条件，帮助登记册上人员就业的方案；</w:t>
      </w:r>
    </w:p>
    <w:p w:rsidR="00000000" w:rsidRDefault="00000000">
      <w:pPr>
        <w:pStyle w:val="a0"/>
        <w:ind w:left="1550"/>
        <w:rPr>
          <w:rFonts w:hint="eastAsia"/>
        </w:rPr>
      </w:pPr>
      <w:r>
        <w:rPr>
          <w:rFonts w:hint="eastAsia"/>
        </w:rPr>
        <w:t>个人就业方案；</w:t>
      </w:r>
    </w:p>
    <w:p w:rsidR="00000000" w:rsidRDefault="00000000">
      <w:pPr>
        <w:pStyle w:val="a0"/>
        <w:ind w:left="1550"/>
        <w:rPr>
          <w:rFonts w:hint="eastAsia"/>
        </w:rPr>
      </w:pPr>
      <w:r>
        <w:rPr>
          <w:rFonts w:hint="eastAsia"/>
        </w:rPr>
        <w:t>针对特定失业群体</w:t>
      </w:r>
      <w:r>
        <w:rPr>
          <w:rFonts w:hint="eastAsia"/>
        </w:rPr>
        <w:t>(</w:t>
      </w:r>
      <w:r>
        <w:rPr>
          <w:rFonts w:hint="eastAsia"/>
        </w:rPr>
        <w:t>妇女、青年人、残疾人</w:t>
      </w:r>
      <w:r>
        <w:rPr>
          <w:rFonts w:hint="eastAsia"/>
        </w:rPr>
        <w:t>)</w:t>
      </w:r>
      <w:r>
        <w:rPr>
          <w:rFonts w:hint="eastAsia"/>
        </w:rPr>
        <w:t>制订的方案；</w:t>
      </w:r>
    </w:p>
    <w:p w:rsidR="00000000" w:rsidRDefault="00000000">
      <w:pPr>
        <w:pStyle w:val="a0"/>
        <w:ind w:left="1550"/>
        <w:rPr>
          <w:rFonts w:hint="eastAsia"/>
        </w:rPr>
      </w:pPr>
      <w:r>
        <w:rPr>
          <w:rFonts w:hint="eastAsia"/>
        </w:rPr>
        <w:t>专业培训和提高素质方案；</w:t>
      </w:r>
    </w:p>
    <w:p w:rsidR="00000000" w:rsidRDefault="00000000">
      <w:pPr>
        <w:pStyle w:val="a0"/>
        <w:ind w:left="1550"/>
        <w:rPr>
          <w:rFonts w:hint="eastAsia"/>
        </w:rPr>
      </w:pPr>
      <w:r>
        <w:rPr>
          <w:rFonts w:hint="eastAsia"/>
        </w:rPr>
        <w:t>促进波斯尼亚和黑塞哥维那欠发达地区发展的特别方案；</w:t>
      </w:r>
    </w:p>
    <w:p w:rsidR="00000000" w:rsidRDefault="00000000">
      <w:pPr>
        <w:pStyle w:val="a0"/>
        <w:ind w:left="1550"/>
        <w:rPr>
          <w:rFonts w:hint="eastAsia"/>
        </w:rPr>
      </w:pPr>
      <w:r>
        <w:rPr>
          <w:rFonts w:hint="eastAsia"/>
        </w:rPr>
        <w:t>返回者方案。</w:t>
      </w:r>
    </w:p>
    <w:p w:rsidR="00000000" w:rsidRDefault="00000000">
      <w:pPr>
        <w:rPr>
          <w:rFonts w:hint="eastAsia"/>
        </w:rPr>
      </w:pPr>
      <w:r>
        <w:rPr>
          <w:rFonts w:hint="eastAsia"/>
        </w:rPr>
        <w:tab/>
        <w:t>148.  2002</w:t>
      </w:r>
      <w:r>
        <w:rPr>
          <w:rFonts w:hint="eastAsia"/>
        </w:rPr>
        <w:t>年，联邦就业局以核准的信贷资金支持了</w:t>
      </w:r>
      <w:r>
        <w:rPr>
          <w:rFonts w:hint="eastAsia"/>
        </w:rPr>
        <w:t>1,803</w:t>
      </w:r>
      <w:r>
        <w:rPr>
          <w:rFonts w:hint="eastAsia"/>
        </w:rPr>
        <w:t>项方案。这些方案的执行预期将雇用</w:t>
      </w:r>
      <w:r>
        <w:rPr>
          <w:rFonts w:hint="eastAsia"/>
        </w:rPr>
        <w:t>6,000</w:t>
      </w:r>
      <w:r>
        <w:rPr>
          <w:rFonts w:hint="eastAsia"/>
        </w:rPr>
        <w:t>登记在册的失业者，此外还将完成对</w:t>
      </w:r>
      <w:r>
        <w:rPr>
          <w:rFonts w:hint="eastAsia"/>
        </w:rPr>
        <w:t>1,649</w:t>
      </w:r>
      <w:r>
        <w:rPr>
          <w:rFonts w:hint="eastAsia"/>
        </w:rPr>
        <w:t>名工人的再培训和职业资格转换。</w:t>
      </w:r>
    </w:p>
    <w:p w:rsidR="00000000" w:rsidRDefault="00000000">
      <w:pPr>
        <w:rPr>
          <w:rFonts w:hint="eastAsia"/>
        </w:rPr>
      </w:pPr>
      <w:r>
        <w:rPr>
          <w:rFonts w:hint="eastAsia"/>
        </w:rPr>
        <w:tab/>
        <w:t>149.  2003</w:t>
      </w:r>
      <w:r>
        <w:rPr>
          <w:rFonts w:hint="eastAsia"/>
        </w:rPr>
        <w:t>年，联邦就业局制订了一项聘用青年大学毕业生的方案。这一方案的目的尤其是挽留准备出国的青年人，它涉及就业局登记在册的失业毕业生。这一方案采取了措施，通过共同筹资，促进私人部门和除行政部门之外的公共部门的就业，并通过共同筹资，在特别需要某些专业的地区促进就业。计划聘用</w:t>
      </w:r>
      <w:r>
        <w:rPr>
          <w:rFonts w:hint="eastAsia"/>
        </w:rPr>
        <w:t>1,000</w:t>
      </w:r>
      <w:r>
        <w:rPr>
          <w:rFonts w:hint="eastAsia"/>
        </w:rPr>
        <w:t>名青年失业者。</w:t>
      </w:r>
    </w:p>
    <w:p w:rsidR="00000000" w:rsidRDefault="00000000">
      <w:pPr>
        <w:spacing w:after="320"/>
      </w:pPr>
      <w:r>
        <w:rPr>
          <w:rFonts w:hint="eastAsia"/>
        </w:rPr>
        <w:tab/>
        <w:t xml:space="preserve">150.  </w:t>
      </w:r>
      <w:r>
        <w:rPr>
          <w:rFonts w:hint="eastAsia"/>
        </w:rPr>
        <w:t>塞族共和国就业局制订和执行了专业和技术培训方案。雇主可将资金用于就业局核准的目的，因为此类培训属于由就业局执行的措施。</w:t>
      </w:r>
      <w:r>
        <w:rPr>
          <w:rFonts w:hint="eastAsia"/>
        </w:rPr>
        <w:t>(</w:t>
      </w:r>
      <w:r>
        <w:rPr>
          <w:rFonts w:hint="eastAsia"/>
        </w:rPr>
        <w:t>有关条例的清单见附件。</w:t>
      </w:r>
      <w:r>
        <w:rPr>
          <w:rFonts w:hint="eastAsia"/>
        </w:rPr>
        <w:t>)</w:t>
      </w:r>
    </w:p>
    <w:p w:rsidR="00000000" w:rsidRDefault="00000000">
      <w:pPr>
        <w:pStyle w:val="a3"/>
      </w:pPr>
      <w:r>
        <w:rPr>
          <w:rFonts w:hint="eastAsia"/>
        </w:rPr>
        <w:t>第</w:t>
      </w:r>
      <w:r>
        <w:t xml:space="preserve"> </w:t>
      </w:r>
      <w:r>
        <w:rPr>
          <w:rFonts w:hint="eastAsia"/>
        </w:rPr>
        <w:t>7</w:t>
      </w:r>
      <w:r>
        <w:t xml:space="preserve"> </w:t>
      </w:r>
      <w:r>
        <w:rPr>
          <w:rFonts w:hint="eastAsia"/>
        </w:rPr>
        <w:t>条</w:t>
      </w:r>
    </w:p>
    <w:p w:rsidR="00000000" w:rsidRDefault="00000000">
      <w:pPr>
        <w:pStyle w:val="Heading4"/>
        <w:rPr>
          <w:rFonts w:hint="eastAsia"/>
        </w:rPr>
      </w:pPr>
      <w:r>
        <w:rPr>
          <w:rFonts w:hint="eastAsia"/>
        </w:rPr>
        <w:t>已批准的国际文书</w:t>
      </w:r>
    </w:p>
    <w:p w:rsidR="00000000" w:rsidRDefault="00000000">
      <w:pPr>
        <w:rPr>
          <w:rFonts w:hint="eastAsia"/>
        </w:rPr>
      </w:pPr>
      <w:r>
        <w:rPr>
          <w:rFonts w:hint="eastAsia"/>
        </w:rPr>
        <w:tab/>
        <w:t xml:space="preserve">151.  </w:t>
      </w:r>
      <w:r>
        <w:rPr>
          <w:rFonts w:hint="eastAsia"/>
        </w:rPr>
        <w:t>波斯尼亚和黑塞哥维那已批准了下列国际劳工组织公约：</w:t>
      </w:r>
    </w:p>
    <w:p w:rsidR="00000000" w:rsidRDefault="00000000">
      <w:pPr>
        <w:pStyle w:val="a0"/>
        <w:ind w:left="1550"/>
        <w:rPr>
          <w:rFonts w:hint="eastAsia"/>
        </w:rPr>
      </w:pPr>
      <w:r>
        <w:rPr>
          <w:rFonts w:hint="eastAsia"/>
        </w:rPr>
        <w:t>《确定最低工资公约》</w:t>
      </w:r>
      <w:r>
        <w:rPr>
          <w:rFonts w:hint="eastAsia"/>
        </w:rPr>
        <w:t>1970</w:t>
      </w:r>
      <w:r>
        <w:rPr>
          <w:rFonts w:hint="eastAsia"/>
        </w:rPr>
        <w:t>年，</w:t>
      </w:r>
      <w:r>
        <w:rPr>
          <w:rFonts w:hint="eastAsia"/>
        </w:rPr>
        <w:t>(</w:t>
      </w:r>
      <w:r>
        <w:rPr>
          <w:rFonts w:hint="eastAsia"/>
        </w:rPr>
        <w:t>第</w:t>
      </w:r>
      <w:r>
        <w:rPr>
          <w:rFonts w:hint="eastAsia"/>
        </w:rPr>
        <w:t>131</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《同酬公约》</w:t>
      </w:r>
      <w:r>
        <w:rPr>
          <w:rFonts w:hint="eastAsia"/>
        </w:rPr>
        <w:t>1951</w:t>
      </w:r>
      <w:r>
        <w:rPr>
          <w:rFonts w:hint="eastAsia"/>
        </w:rPr>
        <w:t>年，</w:t>
      </w:r>
      <w:r>
        <w:rPr>
          <w:rFonts w:hint="eastAsia"/>
        </w:rPr>
        <w:t>(</w:t>
      </w:r>
      <w:r>
        <w:rPr>
          <w:rFonts w:hint="eastAsia"/>
        </w:rPr>
        <w:t>第</w:t>
      </w:r>
      <w:r>
        <w:rPr>
          <w:rFonts w:hint="eastAsia"/>
        </w:rPr>
        <w:t>100</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《每周休息公约》</w:t>
      </w:r>
      <w:r>
        <w:rPr>
          <w:rFonts w:hint="eastAsia"/>
        </w:rPr>
        <w:t>1921</w:t>
      </w:r>
      <w:r>
        <w:rPr>
          <w:rFonts w:hint="eastAsia"/>
        </w:rPr>
        <w:t>年，</w:t>
      </w:r>
      <w:r>
        <w:rPr>
          <w:rFonts w:hint="eastAsia"/>
        </w:rPr>
        <w:t>(</w:t>
      </w:r>
      <w:r>
        <w:rPr>
          <w:rFonts w:hint="eastAsia"/>
        </w:rPr>
        <w:t>第</w:t>
      </w:r>
      <w:r>
        <w:rPr>
          <w:rFonts w:hint="eastAsia"/>
        </w:rPr>
        <w:t>14</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《带薪休假公约》</w:t>
      </w:r>
      <w:r>
        <w:rPr>
          <w:rFonts w:hint="eastAsia"/>
        </w:rPr>
        <w:t>1970</w:t>
      </w:r>
      <w:r>
        <w:rPr>
          <w:rFonts w:hint="eastAsia"/>
        </w:rPr>
        <w:t>年，</w:t>
      </w:r>
      <w:r>
        <w:rPr>
          <w:rFonts w:hint="eastAsia"/>
        </w:rPr>
        <w:t>(</w:t>
      </w:r>
      <w:r>
        <w:rPr>
          <w:rFonts w:hint="eastAsia"/>
        </w:rPr>
        <w:t>第</w:t>
      </w:r>
      <w:r>
        <w:rPr>
          <w:rFonts w:hint="eastAsia"/>
        </w:rPr>
        <w:t>132</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《职业安全和卫生公约》</w:t>
      </w:r>
      <w:r>
        <w:rPr>
          <w:rFonts w:hint="eastAsia"/>
        </w:rPr>
        <w:t>1981</w:t>
      </w:r>
      <w:r>
        <w:rPr>
          <w:rFonts w:hint="eastAsia"/>
        </w:rPr>
        <w:t>年，</w:t>
      </w:r>
      <w:r>
        <w:rPr>
          <w:rFonts w:hint="eastAsia"/>
        </w:rPr>
        <w:t>(</w:t>
      </w:r>
      <w:r>
        <w:rPr>
          <w:rFonts w:hint="eastAsia"/>
        </w:rPr>
        <w:t>第</w:t>
      </w:r>
      <w:r>
        <w:rPr>
          <w:rFonts w:hint="eastAsia"/>
        </w:rPr>
        <w:t>155</w:t>
      </w:r>
      <w:r>
        <w:rPr>
          <w:rFonts w:hint="eastAsia"/>
        </w:rPr>
        <w:t>号</w:t>
      </w:r>
      <w:r>
        <w:rPr>
          <w:rFonts w:hint="eastAsia"/>
        </w:rPr>
        <w:t>)</w:t>
      </w:r>
      <w:r>
        <w:rPr>
          <w:rFonts w:hint="eastAsia"/>
        </w:rPr>
        <w:t>；</w:t>
      </w:r>
    </w:p>
    <w:p w:rsidR="00000000" w:rsidRDefault="00000000">
      <w:pPr>
        <w:pStyle w:val="a0"/>
        <w:ind w:left="1550"/>
        <w:rPr>
          <w:rFonts w:hint="eastAsia"/>
        </w:rPr>
      </w:pPr>
      <w:r>
        <w:rPr>
          <w:rFonts w:hint="eastAsia"/>
        </w:rPr>
        <w:t>《劳动监察公约》</w:t>
      </w:r>
      <w:r>
        <w:rPr>
          <w:rFonts w:hint="eastAsia"/>
        </w:rPr>
        <w:t>1947</w:t>
      </w:r>
      <w:r>
        <w:rPr>
          <w:rFonts w:hint="eastAsia"/>
        </w:rPr>
        <w:t>年，</w:t>
      </w:r>
      <w:r>
        <w:rPr>
          <w:rFonts w:hint="eastAsia"/>
        </w:rPr>
        <w:t>(</w:t>
      </w:r>
      <w:r>
        <w:rPr>
          <w:rFonts w:hint="eastAsia"/>
        </w:rPr>
        <w:t>第</w:t>
      </w:r>
      <w:r>
        <w:rPr>
          <w:rFonts w:hint="eastAsia"/>
        </w:rPr>
        <w:t>81</w:t>
      </w:r>
      <w:r>
        <w:rPr>
          <w:rFonts w:hint="eastAsia"/>
        </w:rPr>
        <w:t>号</w:t>
      </w:r>
      <w:r>
        <w:rPr>
          <w:rFonts w:hint="eastAsia"/>
        </w:rPr>
        <w:t>)</w:t>
      </w:r>
      <w:r>
        <w:rPr>
          <w:rFonts w:hint="eastAsia"/>
        </w:rPr>
        <w:t>。</w:t>
      </w:r>
    </w:p>
    <w:p w:rsidR="00000000" w:rsidRDefault="00000000">
      <w:pPr>
        <w:pStyle w:val="Heading4"/>
        <w:rPr>
          <w:rFonts w:hint="eastAsia"/>
        </w:rPr>
      </w:pPr>
      <w:r>
        <w:rPr>
          <w:rFonts w:hint="eastAsia"/>
        </w:rPr>
        <w:t>公平工薪权利</w:t>
      </w:r>
    </w:p>
    <w:p w:rsidR="00000000" w:rsidRDefault="00000000">
      <w:pPr>
        <w:rPr>
          <w:rFonts w:hint="eastAsia"/>
        </w:rPr>
      </w:pPr>
      <w:r>
        <w:rPr>
          <w:rFonts w:hint="eastAsia"/>
        </w:rPr>
        <w:tab/>
        <w:t xml:space="preserve">152.  </w:t>
      </w:r>
      <w:r>
        <w:rPr>
          <w:rFonts w:hint="eastAsia"/>
        </w:rPr>
        <w:t>在波在斯尼亚和黑塞哥维那，工资由一般性集体合同和部门性集体合同规定。在波斯尼亚和黑塞哥维那联邦，按照《劳动法》，最低工资由集体合同和劳动条例确定。按照</w:t>
      </w:r>
      <w:r>
        <w:rPr>
          <w:rFonts w:hint="eastAsia"/>
        </w:rPr>
        <w:t>2000</w:t>
      </w:r>
      <w:r>
        <w:rPr>
          <w:rFonts w:hint="eastAsia"/>
        </w:rPr>
        <w:t>年</w:t>
      </w:r>
      <w:r>
        <w:rPr>
          <w:rFonts w:hint="eastAsia"/>
        </w:rPr>
        <w:t>5</w:t>
      </w:r>
      <w:r>
        <w:rPr>
          <w:rFonts w:hint="eastAsia"/>
        </w:rPr>
        <w:t>月达成的一般性集体合同，最低工资由部门性集体合同确定，据最新公布的统计数据，它不得低于联邦平均工资的</w:t>
      </w:r>
      <w:r>
        <w:rPr>
          <w:rFonts w:hint="eastAsia"/>
        </w:rPr>
        <w:t>55%</w:t>
      </w:r>
      <w:r>
        <w:rPr>
          <w:rFonts w:hint="eastAsia"/>
        </w:rPr>
        <w:t>。这意味着，最低工资是一个可变数字，其数额的增减取决于平均工资水平的波动情况。</w:t>
      </w:r>
    </w:p>
    <w:p w:rsidR="00000000" w:rsidRDefault="00000000">
      <w:pPr>
        <w:rPr>
          <w:rFonts w:hint="eastAsia"/>
        </w:rPr>
      </w:pPr>
      <w:r>
        <w:rPr>
          <w:rFonts w:hint="eastAsia"/>
        </w:rPr>
        <w:tab/>
        <w:t xml:space="preserve">153.  </w:t>
      </w:r>
      <w:r>
        <w:rPr>
          <w:rFonts w:hint="eastAsia"/>
        </w:rPr>
        <w:t>在塞族共和国，一般性集体合同规定，保证工资最高可达雇员过去</w:t>
      </w:r>
      <w:r>
        <w:rPr>
          <w:rFonts w:hint="eastAsia"/>
        </w:rPr>
        <w:t>3</w:t>
      </w:r>
      <w:r>
        <w:rPr>
          <w:rFonts w:hint="eastAsia"/>
        </w:rPr>
        <w:t>个月来领取工资的</w:t>
      </w:r>
      <w:r>
        <w:rPr>
          <w:rFonts w:hint="eastAsia"/>
        </w:rPr>
        <w:t>65%</w:t>
      </w:r>
      <w:r>
        <w:rPr>
          <w:rFonts w:hint="eastAsia"/>
        </w:rPr>
        <w:t>。雇主如果遇到资金困难可以欠着，但时间不得长于</w:t>
      </w:r>
      <w:r>
        <w:rPr>
          <w:rFonts w:hint="eastAsia"/>
        </w:rPr>
        <w:t>6</w:t>
      </w:r>
      <w:r>
        <w:rPr>
          <w:rFonts w:hint="eastAsia"/>
        </w:rPr>
        <w:t>个月。最低劳动价格按塞族共和国水平确定，即按照各部门和经济活动的水平确定，再乘以每一工资类别工作的复杂性系数。</w:t>
      </w:r>
    </w:p>
    <w:p w:rsidR="00000000" w:rsidRDefault="00000000">
      <w:pPr>
        <w:rPr>
          <w:rFonts w:hint="eastAsia"/>
        </w:rPr>
      </w:pPr>
      <w:r>
        <w:rPr>
          <w:rFonts w:hint="eastAsia"/>
        </w:rPr>
        <w:tab/>
        <w:t xml:space="preserve">154.  </w:t>
      </w:r>
      <w:r>
        <w:rPr>
          <w:rFonts w:hint="eastAsia"/>
        </w:rPr>
        <w:t>受集体合同约束的雇主必须在其劳动守则中，与工会一道制订最低工资，其数额不得低于部门性工会确定的最低工资。然而，按照根据有关工会自由和集体谈判的公约制订的法律条例和规范，连同集体合同只规定一些当事方的义务的原则，一般性集体协议的条款只适用于波斯尼亚和黑塞哥维那联邦国有股占多数的公司。</w:t>
      </w:r>
    </w:p>
    <w:p w:rsidR="00000000" w:rsidRDefault="00000000">
      <w:pPr>
        <w:rPr>
          <w:rFonts w:hint="eastAsia"/>
        </w:rPr>
      </w:pPr>
      <w:r>
        <w:rPr>
          <w:rFonts w:hint="eastAsia"/>
        </w:rPr>
        <w:tab/>
        <w:t xml:space="preserve">155.  </w:t>
      </w:r>
      <w:r>
        <w:rPr>
          <w:rFonts w:hint="eastAsia"/>
        </w:rPr>
        <w:t>未达成集体协议或不加入此类协议的私人雇主因此没有义务遵守协议规定，包括关于最低工资的规定。波斯尼亚和黑塞哥维那联邦《劳动法》第</w:t>
      </w:r>
      <w:r>
        <w:rPr>
          <w:rFonts w:hint="eastAsia"/>
        </w:rPr>
        <w:t>116</w:t>
      </w:r>
      <w:r>
        <w:rPr>
          <w:rFonts w:hint="eastAsia"/>
        </w:rPr>
        <w:t>条</w:t>
      </w:r>
      <w:r>
        <w:rPr>
          <w:rFonts w:hint="eastAsia"/>
        </w:rPr>
        <w:t>(</w:t>
      </w:r>
      <w:r>
        <w:rPr>
          <w:rFonts w:hint="eastAsia"/>
        </w:rPr>
        <w:t>《政府公报》，</w:t>
      </w:r>
      <w:r>
        <w:rPr>
          <w:rFonts w:hint="eastAsia"/>
        </w:rPr>
        <w:t>43/99</w:t>
      </w:r>
      <w:r>
        <w:rPr>
          <w:rFonts w:hint="eastAsia"/>
        </w:rPr>
        <w:t>、</w:t>
      </w:r>
      <w:r>
        <w:rPr>
          <w:rFonts w:hint="eastAsia"/>
        </w:rPr>
        <w:t>32/00</w:t>
      </w:r>
      <w:r>
        <w:rPr>
          <w:rFonts w:hint="eastAsia"/>
        </w:rPr>
        <w:t>和</w:t>
      </w:r>
      <w:r>
        <w:rPr>
          <w:rFonts w:hint="eastAsia"/>
        </w:rPr>
        <w:t>29/03)</w:t>
      </w:r>
      <w:r>
        <w:rPr>
          <w:rFonts w:hint="eastAsia"/>
        </w:rPr>
        <w:t>。在波斯尼亚和黑塞哥维那联邦，如果其他法人实体表示兴趣，联邦部长可在认为适当时将集体协议的规定扩大适用于这些实体，即使它们没有参与谈判和达成此类合同或随后加入此类合同。在作出这方面决定时，该部长可征求合同涉及的工会、雇主或雇主联合会的意见。</w:t>
      </w:r>
    </w:p>
    <w:p w:rsidR="00000000" w:rsidRDefault="00000000">
      <w:pPr>
        <w:rPr>
          <w:rFonts w:hint="eastAsia"/>
        </w:rPr>
      </w:pPr>
      <w:r>
        <w:rPr>
          <w:rFonts w:hint="eastAsia"/>
        </w:rPr>
        <w:tab/>
        <w:t xml:space="preserve">156.  </w:t>
      </w:r>
      <w:r>
        <w:rPr>
          <w:rFonts w:hint="eastAsia"/>
        </w:rPr>
        <w:t>虽然在波斯尼亚和黑塞哥维那联邦，集体合同条款适用于某些工人，但主管部长尚未决定扩大适用集体合同，虽然他收到了工会和雇主联合会的意见。根据同一法律的第</w:t>
      </w:r>
      <w:r>
        <w:rPr>
          <w:rFonts w:hint="eastAsia"/>
        </w:rPr>
        <w:t>130</w:t>
      </w:r>
      <w:r>
        <w:rPr>
          <w:rFonts w:hint="eastAsia"/>
        </w:rPr>
        <w:t>条，为协调经济和社会政策，即协调工人和雇主的利益，鼓励达成和适用集体合同，可成立经济社会委员会。两个实体都在</w:t>
      </w:r>
      <w:r>
        <w:rPr>
          <w:rFonts w:hint="eastAsia"/>
        </w:rPr>
        <w:t>2002</w:t>
      </w:r>
      <w:r>
        <w:rPr>
          <w:rFonts w:hint="eastAsia"/>
        </w:rPr>
        <w:t>年初组成了社会经济委员会。波斯尼亚和黑塞哥维那联邦和塞族共和国的工会开展了运动，促进组建具有同样目的和目标的委员会，作为三方谈判的形式。波斯尼亚和黑塞哥维那的工会似乎需要一种适当的组织形式，形成一个总的工会组织。这一组织尤其应成为波斯尼亚和黑塞哥维那部长会议在经济社会问题上的伙伴。塞族共和国在私人部门推行集体合同促使雇主必须适用特别的部门性集体合同，尽管他们并没有参与谈判这类合同。如果不执行部门性集体合同，则规定工人工资水平的细则即无法执行。</w:t>
      </w:r>
    </w:p>
    <w:p w:rsidR="00000000" w:rsidRDefault="00000000">
      <w:pPr>
        <w:rPr>
          <w:rFonts w:hint="eastAsia"/>
        </w:rPr>
      </w:pPr>
      <w:r>
        <w:rPr>
          <w:rFonts w:hint="eastAsia"/>
        </w:rPr>
        <w:tab/>
        <w:t xml:space="preserve">157.  </w:t>
      </w:r>
      <w:r>
        <w:rPr>
          <w:rFonts w:hint="eastAsia"/>
        </w:rPr>
        <w:t>这两个实体的工会代表，在经过调停后，建议组成波斯尼亚和黑塞哥维那工会联合会，有关协议正在通过和签署过程中。到目前为止，政府尚未承认工会为平等伙伴。欧洲的一项做法是政府和工会通过谈判来解决重大问题。这一作法在国内的推行非常缓慢。波斯尼亚和黑塞哥维那全国盛行罢工，尤其是绝食，作为实现工人合理要求的基本手段，原因就在于此。</w:t>
      </w:r>
    </w:p>
    <w:p w:rsidR="00000000" w:rsidRDefault="00000000">
      <w:pPr>
        <w:rPr>
          <w:rFonts w:hint="eastAsia"/>
        </w:rPr>
      </w:pPr>
      <w:r>
        <w:rPr>
          <w:rFonts w:hint="eastAsia"/>
        </w:rPr>
        <w:tab/>
        <w:t xml:space="preserve">158.  </w:t>
      </w:r>
      <w:r>
        <w:rPr>
          <w:rFonts w:hint="eastAsia"/>
        </w:rPr>
        <w:t>关于在部长会议一级决定工资的问题，《波斯尼亚和黑塞哥维那公务员制度法》规定了在联合机构中公务员的薪资标准，薪资计算方法和薪资结构。所有公务员的薪资起点相同，由波斯尼亚和黑塞哥维那部长会议决定。基准数额根据财政部的建议按季决定。公务员分为</w:t>
      </w:r>
      <w:r>
        <w:rPr>
          <w:rFonts w:hint="eastAsia"/>
        </w:rPr>
        <w:t>6</w:t>
      </w:r>
      <w:r>
        <w:rPr>
          <w:rFonts w:hint="eastAsia"/>
        </w:rPr>
        <w:t>个工资等级，每一级的数额由部长会议确定。</w:t>
      </w:r>
    </w:p>
    <w:p w:rsidR="00000000" w:rsidRDefault="00000000">
      <w:pPr>
        <w:rPr>
          <w:rFonts w:hint="eastAsia"/>
        </w:rPr>
      </w:pPr>
      <w:r>
        <w:rPr>
          <w:rFonts w:hint="eastAsia"/>
        </w:rPr>
        <w:tab/>
        <w:t xml:space="preserve">159.  </w:t>
      </w:r>
      <w:r>
        <w:rPr>
          <w:rFonts w:hint="eastAsia"/>
        </w:rPr>
        <w:t>工资的确定是以一个基本工资数，乘以一个比例，再加上年资补充。为确保支付强制性社会福利缴款和养老金保险，联邦有关当局制订了关于缴款和所得税的规章和条例，以确定计算缴款和纳税的最低基准。该一基准最高可达最新统计性登记工资的</w:t>
      </w:r>
      <w:r>
        <w:rPr>
          <w:rFonts w:hint="eastAsia"/>
        </w:rPr>
        <w:t>55%</w:t>
      </w:r>
      <w:r>
        <w:rPr>
          <w:rFonts w:hint="eastAsia"/>
        </w:rPr>
        <w:t>。这就迫使雇主必须计算其支付义务。</w:t>
      </w:r>
    </w:p>
    <w:p w:rsidR="00000000" w:rsidRDefault="00000000">
      <w:pPr>
        <w:rPr>
          <w:rFonts w:hint="eastAsia"/>
        </w:rPr>
      </w:pPr>
      <w:r>
        <w:rPr>
          <w:rFonts w:hint="eastAsia"/>
        </w:rPr>
        <w:tab/>
        <w:t xml:space="preserve">160.  </w:t>
      </w:r>
      <w:r>
        <w:rPr>
          <w:rFonts w:hint="eastAsia"/>
        </w:rPr>
        <w:t>缺乏关于最低工资的条例导致了侵犯经济和社会权利的行为，尤其是私人雇主的此类行为。未纳入最低工资制度或补偿机制之内的工人，包括战争期间主要是基于族裔歧视而解雇的工人。大多数老年工人属于这一类别，他们由于年资连续性被打破，同时，由于登记的最后期限已经过去，不能享有养老金或失业保险。</w:t>
      </w:r>
    </w:p>
    <w:p w:rsidR="00000000" w:rsidRDefault="00000000">
      <w:pPr>
        <w:rPr>
          <w:rFonts w:hint="eastAsia"/>
        </w:rPr>
      </w:pPr>
      <w:r>
        <w:rPr>
          <w:rFonts w:hint="eastAsia"/>
        </w:rPr>
        <w:tab/>
        <w:t xml:space="preserve">161.  </w:t>
      </w:r>
      <w:r>
        <w:rPr>
          <w:rFonts w:hint="eastAsia"/>
        </w:rPr>
        <w:t>如上所述，这两个实体的工资是通过集体合同决定，不受法律管制</w:t>
      </w:r>
      <w:r>
        <w:rPr>
          <w:rFonts w:hint="eastAsia"/>
        </w:rPr>
        <w:t>(</w:t>
      </w:r>
      <w:r>
        <w:rPr>
          <w:rFonts w:hint="eastAsia"/>
        </w:rPr>
        <w:t>除了塞族共和国在破产情况下的最低工资</w:t>
      </w:r>
      <w:r>
        <w:rPr>
          <w:rFonts w:hint="eastAsia"/>
        </w:rPr>
        <w:t>)</w:t>
      </w:r>
      <w:r>
        <w:rPr>
          <w:rFonts w:hint="eastAsia"/>
        </w:rPr>
        <w:t>。</w:t>
      </w:r>
    </w:p>
    <w:p w:rsidR="00000000" w:rsidRDefault="00000000">
      <w:pPr>
        <w:rPr>
          <w:rFonts w:hint="eastAsia"/>
        </w:rPr>
      </w:pPr>
      <w:r>
        <w:rPr>
          <w:rFonts w:hint="eastAsia"/>
        </w:rPr>
        <w:tab/>
        <w:t xml:space="preserve">162.  </w:t>
      </w:r>
      <w:r>
        <w:rPr>
          <w:rFonts w:hint="eastAsia"/>
        </w:rPr>
        <w:t>最低工资的确定与物价水平无关，据我们所知，物价水平大大高于最低工资。在许多情况下，波斯尼亚和黑塞哥维那的雇主甚至不能支付最低工资，即有保证的工资。工资由监察当局进行控制，但只有此类监督还是不够的。</w:t>
      </w:r>
    </w:p>
    <w:p w:rsidR="00000000" w:rsidRDefault="00000000">
      <w:pPr>
        <w:rPr>
          <w:rFonts w:hint="eastAsia"/>
        </w:rPr>
      </w:pPr>
      <w:r>
        <w:rPr>
          <w:rFonts w:hint="eastAsia"/>
        </w:rPr>
        <w:tab/>
        <w:t xml:space="preserve">163.  </w:t>
      </w:r>
      <w:r>
        <w:rPr>
          <w:rFonts w:hint="eastAsia"/>
        </w:rPr>
        <w:t>在整个波斯尼亚和黑塞哥维那，除了低工资的负担外，补偿制度也受到市场经济国家不曾有的其他支付压力。虽然在市场经济中，工资水平是与劳动生产率挂钩的，但工资的支付仍然往往是基于年资和教育水平，这就影响了劳动力的流动。为纠正目前的状况，今后必须在各级建立适当的机构，将雇主纳入三方对话，并加强补偿制度的灵活性。同时，有必要针对处于困境的青年人群体，比如孤儿或辍学者，制订就业方案，尤其是向雇用这些人的公司发放补贴，并推行在职培训。</w:t>
      </w:r>
    </w:p>
    <w:p w:rsidR="00000000" w:rsidRDefault="00000000">
      <w:pPr>
        <w:rPr>
          <w:rFonts w:hint="eastAsia"/>
        </w:rPr>
      </w:pPr>
      <w:r>
        <w:rPr>
          <w:rFonts w:hint="eastAsia"/>
        </w:rPr>
        <w:tab/>
        <w:t xml:space="preserve">164.  </w:t>
      </w:r>
      <w:r>
        <w:rPr>
          <w:rFonts w:hint="eastAsia"/>
        </w:rPr>
        <w:t>没有将雇主纳入集体合同谈判，因此，最低工资对青年人这一生产力极高的劳动力没有吸引力。按照《代顿协定宪法》，在实体一级以及波斯尼亚和黑塞哥维那联邦各州设立了就业局，在塞族共和国，就业局是一个单独的中央机构。它们的活动范围很有限。我们仍在努力改革这一体制。新的《部长会议法》规定对波斯尼亚和黑塞哥维那原就业署进行法律改革。</w:t>
      </w:r>
    </w:p>
    <w:p w:rsidR="00000000" w:rsidRDefault="00000000">
      <w:pPr>
        <w:rPr>
          <w:rFonts w:hint="eastAsia"/>
        </w:rPr>
      </w:pPr>
      <w:r>
        <w:rPr>
          <w:rFonts w:hint="eastAsia"/>
        </w:rPr>
        <w:tab/>
        <w:t xml:space="preserve">165.  </w:t>
      </w:r>
      <w:r>
        <w:rPr>
          <w:rFonts w:hint="eastAsia"/>
        </w:rPr>
        <w:t>尽管在整个波斯尼亚和黑塞哥维那通过就业方案为就业局注入了大笔资金但就业局效率不高，不能为就业提供足够支持。截至目前为止的实践表明，能否获得项目融资，是由就业局以及各州的就业办公室自行决定的。在波斯尼亚和黑塞哥维那联邦，发放了贷款，在塞族共和国，资金采取拨款形式，二者都通过银行来提供服务。在这种拨款制度下，就业局承担了银行的职责，这是不恰当的，因为这些机构缺乏信贷分析和风险评估能力。另一方面，由公司自己来控制资金也有很大问题。在以往的实践中，就业局没能对遵守贷款和拨款方面义务的情况实施正常控制</w:t>
      </w:r>
      <w:r>
        <w:rPr>
          <w:rFonts w:hint="eastAsia"/>
        </w:rPr>
        <w:t>(</w:t>
      </w:r>
      <w:r>
        <w:rPr>
          <w:rFonts w:hint="eastAsia"/>
        </w:rPr>
        <w:t>世界银行项目执行股数据</w:t>
      </w:r>
      <w:r>
        <w:rPr>
          <w:rFonts w:hint="eastAsia"/>
        </w:rPr>
        <w:t>)</w:t>
      </w:r>
      <w:r>
        <w:rPr>
          <w:rFonts w:hint="eastAsia"/>
        </w:rPr>
        <w:t>。</w:t>
      </w:r>
    </w:p>
    <w:p w:rsidR="00000000" w:rsidRDefault="00000000">
      <w:pPr>
        <w:rPr>
          <w:rFonts w:hint="eastAsia"/>
        </w:rPr>
      </w:pPr>
      <w:r>
        <w:rPr>
          <w:rFonts w:hint="eastAsia"/>
        </w:rPr>
        <w:tab/>
        <w:t xml:space="preserve">166.  </w:t>
      </w:r>
      <w:r>
        <w:rPr>
          <w:rFonts w:hint="eastAsia"/>
        </w:rPr>
        <w:t>如上所述，今后，必须加强就业局在求职方面的行业确认和调停能力。同时，必须加强就业局的作用，以满足在失业情况下福利分配，尤其是卫生保健福利分配的标准。必须引导就业局掌握的部分资源，资助按照市场要求进行的再培训或进修培训方案。应关注迄今为止在为就业方案拨付的资金方面的履行义务情况。战争结束以来，联邦和塞族共和国就业局为同一些目的已经募集了</w:t>
      </w:r>
      <w:r>
        <w:rPr>
          <w:rFonts w:hint="eastAsia"/>
        </w:rPr>
        <w:t>4.5</w:t>
      </w:r>
      <w:r>
        <w:rPr>
          <w:rFonts w:hint="eastAsia"/>
        </w:rPr>
        <w:t>亿可兑换马克，因此这一点就尤其重要。实体和各主管部和其他机构应加强控制，更直接地处理这些和类似问题。</w:t>
      </w:r>
    </w:p>
    <w:p w:rsidR="00000000" w:rsidRDefault="00000000">
      <w:pPr>
        <w:rPr>
          <w:rFonts w:hint="eastAsia"/>
        </w:rPr>
      </w:pPr>
      <w:r>
        <w:rPr>
          <w:rFonts w:hint="eastAsia"/>
        </w:rPr>
        <w:tab/>
        <w:t xml:space="preserve">167.  </w:t>
      </w:r>
      <w:r>
        <w:rPr>
          <w:rFonts w:hint="eastAsia"/>
        </w:rPr>
        <w:t>波斯尼亚和黑塞哥维那面对严重的失业问题，必须立即着手改革，而这又将在短期内导致失业率更高。至少按照有关统计数字，目前至少有大量工人，虽然被正式雇用，但领不到工资或福利。这就意味着，在现实中，预期不会出现大量失业</w:t>
      </w:r>
      <w:r>
        <w:rPr>
          <w:rFonts w:hint="eastAsia"/>
        </w:rPr>
        <w:t>(</w:t>
      </w:r>
      <w:r>
        <w:rPr>
          <w:rFonts w:hint="eastAsia"/>
        </w:rPr>
        <w:t>从工人领取工资和福利的角度</w:t>
      </w:r>
      <w:r>
        <w:rPr>
          <w:rFonts w:hint="eastAsia"/>
        </w:rPr>
        <w:t>)</w:t>
      </w:r>
      <w:r>
        <w:rPr>
          <w:rFonts w:hint="eastAsia"/>
        </w:rPr>
        <w:t>。然而，目前的失业率要求制订有效的就业战略。今后一段时期，估计将有更多工人在就业局登记，因此，波斯尼亚和黑塞哥维那联邦、塞族共和国和布尔奇科区政府必须做好应急准备，设立社会福利基金，向所有人</w:t>
      </w:r>
      <w:r>
        <w:rPr>
          <w:rFonts w:hint="eastAsia"/>
        </w:rPr>
        <w:t>(</w:t>
      </w:r>
      <w:r>
        <w:rPr>
          <w:rFonts w:hint="eastAsia"/>
        </w:rPr>
        <w:t>尤其是在强化改革期间可能失业的人</w:t>
      </w:r>
      <w:r>
        <w:rPr>
          <w:rFonts w:hint="eastAsia"/>
        </w:rPr>
        <w:t>)</w:t>
      </w:r>
      <w:r>
        <w:rPr>
          <w:rFonts w:hint="eastAsia"/>
        </w:rPr>
        <w:t>，提供短期援助。</w:t>
      </w:r>
    </w:p>
    <w:p w:rsidR="00000000" w:rsidRDefault="00000000">
      <w:pPr>
        <w:rPr>
          <w:rFonts w:hint="eastAsia"/>
        </w:rPr>
      </w:pPr>
      <w:r>
        <w:rPr>
          <w:rFonts w:hint="eastAsia"/>
        </w:rPr>
        <w:tab/>
        <w:t xml:space="preserve">168.  </w:t>
      </w:r>
      <w:r>
        <w:rPr>
          <w:rFonts w:hint="eastAsia"/>
        </w:rPr>
        <w:t>作为塞族共和国就业局必须执行的措施的一部分，已按照《就业法》，通过共同资助创造就业机构方案，确定了积极的就业措施。</w:t>
      </w:r>
    </w:p>
    <w:p w:rsidR="00000000" w:rsidRDefault="00000000">
      <w:pPr>
        <w:rPr>
          <w:rFonts w:hint="eastAsia"/>
        </w:rPr>
      </w:pPr>
      <w:r>
        <w:rPr>
          <w:rFonts w:hint="eastAsia"/>
        </w:rPr>
        <w:tab/>
        <w:t xml:space="preserve">169.  </w:t>
      </w:r>
      <w:r>
        <w:rPr>
          <w:rFonts w:hint="eastAsia"/>
        </w:rPr>
        <w:t>作为后续行动，波斯尼亚和黑塞哥维那应当依赖创业精神和私人部门的持续增长。由于没有适当的信贷政策，许多新建的公司处境非常困难，虽然它们是年轻和更具生产力的劳动力的就业的主要基地，这些年青人构成了最大的一类失业者。</w:t>
      </w:r>
    </w:p>
    <w:p w:rsidR="00000000" w:rsidRDefault="00000000">
      <w:pPr>
        <w:rPr>
          <w:rFonts w:hint="eastAsia"/>
        </w:rPr>
      </w:pPr>
      <w:r>
        <w:rPr>
          <w:rFonts w:hint="eastAsia"/>
        </w:rPr>
        <w:tab/>
        <w:t xml:space="preserve">170.  </w:t>
      </w:r>
      <w:r>
        <w:rPr>
          <w:rFonts w:hint="eastAsia"/>
        </w:rPr>
        <w:t>休息</w:t>
      </w:r>
      <w:r>
        <w:rPr>
          <w:rFonts w:hint="eastAsia"/>
        </w:rPr>
        <w:t>(</w:t>
      </w:r>
      <w:r>
        <w:rPr>
          <w:rFonts w:hint="eastAsia"/>
        </w:rPr>
        <w:t>每日、每周、每年</w:t>
      </w:r>
      <w:r>
        <w:rPr>
          <w:rFonts w:hint="eastAsia"/>
        </w:rPr>
        <w:t>)</w:t>
      </w:r>
      <w:r>
        <w:rPr>
          <w:rFonts w:hint="eastAsia"/>
        </w:rPr>
        <w:t>的权利，工作时间和国家节假日期间的带薪休假受劳动条例和集体合同制约。工作时间的长短在实体法律中作出了规定，为每周</w:t>
      </w:r>
      <w:r>
        <w:rPr>
          <w:rFonts w:hint="eastAsia"/>
        </w:rPr>
        <w:t>40</w:t>
      </w:r>
      <w:r>
        <w:rPr>
          <w:rFonts w:hint="eastAsia"/>
        </w:rPr>
        <w:t>个小时。在连续</w:t>
      </w:r>
      <w:r>
        <w:rPr>
          <w:rFonts w:hint="eastAsia"/>
        </w:rPr>
        <w:t>6</w:t>
      </w:r>
      <w:r>
        <w:rPr>
          <w:rFonts w:hint="eastAsia"/>
        </w:rPr>
        <w:t>个月就业之后，可以享有每一日历年度</w:t>
      </w:r>
      <w:r>
        <w:rPr>
          <w:rFonts w:hint="eastAsia"/>
        </w:rPr>
        <w:t>18</w:t>
      </w:r>
      <w:r>
        <w:rPr>
          <w:rFonts w:hint="eastAsia"/>
        </w:rPr>
        <w:t>个工作日的年度带薪休假权利。</w:t>
      </w:r>
    </w:p>
    <w:p w:rsidR="00000000" w:rsidRDefault="00000000">
      <w:pPr>
        <w:rPr>
          <w:rFonts w:hint="eastAsia"/>
        </w:rPr>
      </w:pPr>
      <w:r>
        <w:rPr>
          <w:rFonts w:hint="eastAsia"/>
        </w:rPr>
        <w:tab/>
        <w:t xml:space="preserve">171  </w:t>
      </w:r>
      <w:r>
        <w:rPr>
          <w:rFonts w:hint="eastAsia"/>
        </w:rPr>
        <w:t>按照法律，未成年雇员享有每年至少两个工作日的休假，同时，尽管采取了一切保护措施，仍然面临工作场所危险物质的雇员有权享有至少</w:t>
      </w:r>
      <w:r>
        <w:rPr>
          <w:rFonts w:hint="eastAsia"/>
        </w:rPr>
        <w:t>30</w:t>
      </w:r>
      <w:r>
        <w:rPr>
          <w:rFonts w:hint="eastAsia"/>
        </w:rPr>
        <w:t>个工作日的年度休假。</w:t>
      </w:r>
    </w:p>
    <w:p w:rsidR="00000000" w:rsidRDefault="00000000">
      <w:pPr>
        <w:rPr>
          <w:rFonts w:hint="eastAsia"/>
        </w:rPr>
      </w:pPr>
      <w:r>
        <w:rPr>
          <w:rFonts w:hint="eastAsia"/>
        </w:rPr>
        <w:tab/>
        <w:t xml:space="preserve">172.  </w:t>
      </w:r>
      <w:r>
        <w:rPr>
          <w:rFonts w:hint="eastAsia"/>
        </w:rPr>
        <w:t>集体合同和内部规则决定了年度假期的具体标准，同时充分考虑到最低休假天数。集体合同还根据法律决定了雇员在国家节假日和非工作日期间带薪休假的权利。联邦《劳动法》规定，雇主可允许雇员在一日历年度中有</w:t>
      </w:r>
      <w:r>
        <w:rPr>
          <w:rFonts w:hint="eastAsia"/>
        </w:rPr>
        <w:t>4</w:t>
      </w:r>
      <w:r>
        <w:rPr>
          <w:rFonts w:hint="eastAsia"/>
        </w:rPr>
        <w:t>天可因其宗教或习俗需要休假。如果雇员在一个日历年度中利用了全部</w:t>
      </w:r>
      <w:r>
        <w:rPr>
          <w:rFonts w:hint="eastAsia"/>
        </w:rPr>
        <w:t>4</w:t>
      </w:r>
      <w:r>
        <w:rPr>
          <w:rFonts w:hint="eastAsia"/>
        </w:rPr>
        <w:t>天，两天可视为带薪休假，另外两天则不带薪。实际上，这些规定并没得到充分遵守，一些领域，例如餐饮业或零售业的私人雇主尤其如此。塞族共和国和布尔奇科区的情况大致如此。</w:t>
      </w:r>
    </w:p>
    <w:p w:rsidR="00000000" w:rsidRDefault="00000000">
      <w:pPr>
        <w:rPr>
          <w:rFonts w:hint="eastAsia"/>
        </w:rPr>
      </w:pPr>
      <w:r>
        <w:rPr>
          <w:rFonts w:hint="eastAsia"/>
        </w:rPr>
        <w:tab/>
        <w:t xml:space="preserve">173.  </w:t>
      </w:r>
      <w:r>
        <w:rPr>
          <w:rFonts w:hint="eastAsia"/>
        </w:rPr>
        <w:t>根据统计数据，去年</w:t>
      </w:r>
      <w:r>
        <w:rPr>
          <w:rFonts w:hint="eastAsia"/>
        </w:rPr>
        <w:t>(2002</w:t>
      </w:r>
      <w:r>
        <w:rPr>
          <w:rFonts w:hint="eastAsia"/>
        </w:rPr>
        <w:t>年</w:t>
      </w:r>
      <w:r>
        <w:rPr>
          <w:rFonts w:hint="eastAsia"/>
        </w:rPr>
        <w:t>)</w:t>
      </w:r>
      <w:r>
        <w:rPr>
          <w:rFonts w:hint="eastAsia"/>
        </w:rPr>
        <w:t>在波斯尼亚和黑塞哥维那联邦，平均工资为</w:t>
      </w:r>
      <w:r>
        <w:rPr>
          <w:rFonts w:hint="eastAsia"/>
        </w:rPr>
        <w:t>513</w:t>
      </w:r>
      <w:r>
        <w:rPr>
          <w:rFonts w:hint="eastAsia"/>
        </w:rPr>
        <w:t>可兑换马克，塞族共和国为</w:t>
      </w:r>
      <w:r>
        <w:rPr>
          <w:rFonts w:hint="eastAsia"/>
        </w:rPr>
        <w:t>356</w:t>
      </w:r>
      <w:r>
        <w:rPr>
          <w:rFonts w:hint="eastAsia"/>
        </w:rPr>
        <w:t>可兑换马克，布尔奇科区为</w:t>
      </w:r>
      <w:r>
        <w:rPr>
          <w:rFonts w:hint="eastAsia"/>
        </w:rPr>
        <w:t>628</w:t>
      </w:r>
      <w:r>
        <w:rPr>
          <w:rFonts w:hint="eastAsia"/>
        </w:rPr>
        <w:t>可兑换马克。在同一时期，消费者的平均消费价值为，波斯尼亚和黑塞哥维那联邦</w:t>
      </w:r>
      <w:r>
        <w:rPr>
          <w:rFonts w:hint="eastAsia"/>
        </w:rPr>
        <w:t>458</w:t>
      </w:r>
      <w:r>
        <w:rPr>
          <w:rFonts w:hint="eastAsia"/>
        </w:rPr>
        <w:t>可兑换马克，塞族共和国</w:t>
      </w:r>
      <w:r>
        <w:rPr>
          <w:rFonts w:hint="eastAsia"/>
        </w:rPr>
        <w:t>462</w:t>
      </w:r>
      <w:r>
        <w:rPr>
          <w:rFonts w:hint="eastAsia"/>
        </w:rPr>
        <w:t>可兑换马克，布尔奇科区</w:t>
      </w:r>
      <w:r>
        <w:rPr>
          <w:rFonts w:hint="eastAsia"/>
        </w:rPr>
        <w:t>419</w:t>
      </w:r>
      <w:r>
        <w:rPr>
          <w:rFonts w:hint="eastAsia"/>
        </w:rPr>
        <w:t>可兑换马克。塞族共和国就业局预期将依据《就业法》采取措施，补贴就业方案。</w:t>
      </w:r>
    </w:p>
    <w:p w:rsidR="00000000" w:rsidRDefault="00000000">
      <w:pPr>
        <w:rPr>
          <w:rFonts w:hint="eastAsia"/>
        </w:rPr>
      </w:pPr>
      <w:r>
        <w:rPr>
          <w:rFonts w:hint="eastAsia"/>
        </w:rPr>
        <w:tab/>
        <w:t>174.  2001</w:t>
      </w:r>
      <w:r>
        <w:rPr>
          <w:rFonts w:hint="eastAsia"/>
        </w:rPr>
        <w:t>年，联合国采购司的研究表明，在全国范围，有</w:t>
      </w:r>
      <w:r>
        <w:rPr>
          <w:rFonts w:hint="eastAsia"/>
        </w:rPr>
        <w:t>25%</w:t>
      </w:r>
      <w:r>
        <w:rPr>
          <w:rFonts w:hint="eastAsia"/>
        </w:rPr>
        <w:t>的家庭收入低于</w:t>
      </w:r>
      <w:r>
        <w:rPr>
          <w:rFonts w:hint="eastAsia"/>
        </w:rPr>
        <w:t>300</w:t>
      </w:r>
      <w:r>
        <w:rPr>
          <w:rFonts w:hint="eastAsia"/>
        </w:rPr>
        <w:t>可兑换马克。联邦的养恤金领取人平均领取</w:t>
      </w:r>
      <w:r>
        <w:rPr>
          <w:rFonts w:hint="eastAsia"/>
        </w:rPr>
        <w:t>188</w:t>
      </w:r>
      <w:r>
        <w:rPr>
          <w:rFonts w:hint="eastAsia"/>
        </w:rPr>
        <w:t>可兑换马克，塞族共和国的养恤金领取人平均领取大约</w:t>
      </w:r>
      <w:r>
        <w:rPr>
          <w:rFonts w:hint="eastAsia"/>
        </w:rPr>
        <w:t>120</w:t>
      </w:r>
      <w:r>
        <w:rPr>
          <w:rFonts w:hint="eastAsia"/>
        </w:rPr>
        <w:t>可兑换马克。不受最低工资法保护或其他保护的工人，包括战争期间因民族血统而被解雇的工人。对这一类工人，没有任何形式的保护，他们的就业</w:t>
      </w:r>
      <w:r>
        <w:rPr>
          <w:rFonts w:hint="eastAsia"/>
        </w:rPr>
        <w:t>(</w:t>
      </w:r>
      <w:r>
        <w:rPr>
          <w:rFonts w:hint="eastAsia"/>
        </w:rPr>
        <w:t>因战争危机人员的决定</w:t>
      </w:r>
      <w:r>
        <w:rPr>
          <w:rFonts w:hint="eastAsia"/>
        </w:rPr>
        <w:t>)</w:t>
      </w:r>
      <w:r>
        <w:rPr>
          <w:rFonts w:hint="eastAsia"/>
        </w:rPr>
        <w:t>被非法终止，他们没有资格退休，他们就其年资提出的补偿要求或失业补贴申请，即社会福利和应受保障的物质条件，始终无人理睬。</w:t>
      </w:r>
    </w:p>
    <w:p w:rsidR="00000000" w:rsidRDefault="00000000">
      <w:pPr>
        <w:rPr>
          <w:rFonts w:hint="eastAsia"/>
        </w:rPr>
      </w:pPr>
      <w:r>
        <w:rPr>
          <w:rFonts w:hint="eastAsia"/>
        </w:rPr>
        <w:tab/>
        <w:t xml:space="preserve">175.  </w:t>
      </w:r>
      <w:r>
        <w:rPr>
          <w:rFonts w:hint="eastAsia"/>
        </w:rPr>
        <w:t>波斯尼亚和黑塞哥维那劳动和社会福利法禁止任何形式的劳工歧视，并要求：同工同酬权，平等教育权，培训和专业进修权，确定工作时间的权利，休假权，劳动保护权，就业稳定权，即只能依据法律规定的条件终止就业的权利，保护自身权利的权利</w:t>
      </w:r>
      <w:r>
        <w:rPr>
          <w:rFonts w:hint="eastAsia"/>
        </w:rPr>
        <w:t>(</w:t>
      </w:r>
      <w:r>
        <w:rPr>
          <w:rFonts w:hint="eastAsia"/>
        </w:rPr>
        <w:t>提出异议和投诉权</w:t>
      </w:r>
      <w:r>
        <w:rPr>
          <w:rFonts w:hint="eastAsia"/>
        </w:rPr>
        <w:t>)</w:t>
      </w:r>
      <w:r>
        <w:rPr>
          <w:rFonts w:hint="eastAsia"/>
        </w:rPr>
        <w:t>，决策权，享有社会福利权，失业期间的社会福利和物质保障权。</w:t>
      </w:r>
    </w:p>
    <w:p w:rsidR="00000000" w:rsidRDefault="00000000">
      <w:pPr>
        <w:rPr>
          <w:rFonts w:hint="eastAsia"/>
        </w:rPr>
      </w:pPr>
      <w:r>
        <w:rPr>
          <w:rFonts w:hint="eastAsia"/>
        </w:rPr>
        <w:tab/>
        <w:t xml:space="preserve">176.  </w:t>
      </w:r>
      <w:r>
        <w:rPr>
          <w:rFonts w:hint="eastAsia"/>
        </w:rPr>
        <w:t>波斯尼亚和黑塞哥维那的劳动保护由专门的实体劳动保护法加以保障，其中就定期检查工作场所和附属场所的设备、电力设施、化学或生物条件或微气候以及雇员的定期体检，规定了有关义务。雇主负责工作安全，工具的适宜性并应向每一雇员说明工作条件。劳动保护监察当局负责对劳动保护和安全条例进行监督。</w:t>
      </w:r>
    </w:p>
    <w:p w:rsidR="00000000" w:rsidRDefault="00000000">
      <w:pPr>
        <w:spacing w:after="320"/>
        <w:rPr>
          <w:rFonts w:hint="eastAsia"/>
        </w:rPr>
      </w:pPr>
      <w:r>
        <w:rPr>
          <w:rFonts w:hint="eastAsia"/>
        </w:rPr>
        <w:tab/>
        <w:t xml:space="preserve">177.  </w:t>
      </w:r>
      <w:r>
        <w:rPr>
          <w:rFonts w:hint="eastAsia"/>
        </w:rPr>
        <w:t>劳动和劳动保护监察当局的一个普遍评估是，确保健康保护和劳动安全的措施不够充分。这是由于缺乏财政资源造成的，有了这方面的资源就可以改善工作条件。我们没有与专业有关健康不良人数的数据。如此一来，工作场所发生事故的数字就增加了</w:t>
      </w:r>
      <w:r>
        <w:rPr>
          <w:rFonts w:hint="eastAsia"/>
        </w:rPr>
        <w:t>(</w:t>
      </w:r>
      <w:r>
        <w:rPr>
          <w:rFonts w:hint="eastAsia"/>
        </w:rPr>
        <w:t>有关条例的清单见附件</w:t>
      </w:r>
      <w:r>
        <w:rPr>
          <w:rFonts w:hint="eastAsia"/>
        </w:rPr>
        <w:t>)</w:t>
      </w:r>
      <w:r>
        <w:rPr>
          <w:rFonts w:hint="eastAsia"/>
        </w:rPr>
        <w:t>。</w:t>
      </w:r>
    </w:p>
    <w:p w:rsidR="00000000" w:rsidRDefault="00000000">
      <w:pPr>
        <w:pStyle w:val="Heading3"/>
        <w:spacing w:after="120"/>
        <w:rPr>
          <w:rFonts w:hint="eastAsia"/>
          <w:u w:val="none"/>
        </w:rPr>
      </w:pPr>
      <w:r>
        <w:rPr>
          <w:rFonts w:hint="eastAsia"/>
          <w:u w:val="none"/>
        </w:rPr>
        <w:t>表</w:t>
      </w:r>
      <w:r>
        <w:rPr>
          <w:rFonts w:hint="eastAsia"/>
          <w:u w:val="none"/>
        </w:rPr>
        <w:t xml:space="preserve"> 1</w:t>
      </w:r>
    </w:p>
    <w:p w:rsidR="00000000" w:rsidRDefault="00000000">
      <w:pPr>
        <w:pStyle w:val="Heading3"/>
        <w:rPr>
          <w:rFonts w:hint="eastAsia"/>
        </w:rPr>
      </w:pPr>
      <w:r>
        <w:rPr>
          <w:rFonts w:hint="eastAsia"/>
        </w:rPr>
        <w:t>波斯尼亚和黑塞哥维那联邦工伤情况</w:t>
      </w:r>
    </w:p>
    <w:tbl>
      <w:tblPr>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501"/>
        <w:gridCol w:w="1501"/>
        <w:gridCol w:w="1501"/>
        <w:gridCol w:w="2068"/>
        <w:gridCol w:w="1379"/>
      </w:tblGrid>
      <w:tr w:rsidR="00000000">
        <w:tblPrEx>
          <w:tblCellMar>
            <w:top w:w="0" w:type="dxa"/>
            <w:bottom w:w="0" w:type="dxa"/>
          </w:tblCellMar>
        </w:tblPrEx>
        <w:trPr>
          <w:jc w:val="center"/>
        </w:trPr>
        <w:tc>
          <w:tcPr>
            <w:tcW w:w="1204" w:type="dxa"/>
            <w:tcBorders>
              <w:bottom w:val="single" w:sz="4" w:space="0" w:color="auto"/>
            </w:tcBorders>
          </w:tcPr>
          <w:p w:rsidR="00000000" w:rsidRDefault="00000000">
            <w:pPr>
              <w:pStyle w:val="a2"/>
              <w:spacing w:before="120" w:after="120"/>
              <w:jc w:val="center"/>
              <w:rPr>
                <w:rFonts w:hint="eastAsia"/>
              </w:rPr>
            </w:pPr>
            <w:r>
              <w:rPr>
                <w:rFonts w:hint="eastAsia"/>
              </w:rPr>
              <w:t>年</w:t>
            </w:r>
            <w:r>
              <w:rPr>
                <w:rFonts w:hint="eastAsia"/>
              </w:rPr>
              <w:t xml:space="preserve"> </w:t>
            </w:r>
            <w:r>
              <w:rPr>
                <w:rFonts w:hint="eastAsia"/>
              </w:rPr>
              <w:t>度</w:t>
            </w:r>
          </w:p>
        </w:tc>
        <w:tc>
          <w:tcPr>
            <w:tcW w:w="1501" w:type="dxa"/>
            <w:tcBorders>
              <w:bottom w:val="single" w:sz="4" w:space="0" w:color="auto"/>
            </w:tcBorders>
            <w:vAlign w:val="center"/>
          </w:tcPr>
          <w:p w:rsidR="00000000" w:rsidRDefault="00000000">
            <w:pPr>
              <w:pStyle w:val="a2"/>
              <w:spacing w:before="120" w:after="120"/>
              <w:jc w:val="center"/>
              <w:rPr>
                <w:rFonts w:hint="eastAsia"/>
              </w:rPr>
            </w:pPr>
            <w:r>
              <w:rPr>
                <w:rFonts w:hint="eastAsia"/>
              </w:rPr>
              <w:t>工伤数字</w:t>
            </w:r>
          </w:p>
        </w:tc>
        <w:tc>
          <w:tcPr>
            <w:tcW w:w="1501" w:type="dxa"/>
            <w:tcBorders>
              <w:bottom w:val="single" w:sz="4" w:space="0" w:color="auto"/>
            </w:tcBorders>
            <w:vAlign w:val="center"/>
          </w:tcPr>
          <w:p w:rsidR="00000000" w:rsidRDefault="00000000">
            <w:pPr>
              <w:pStyle w:val="a2"/>
              <w:spacing w:before="120" w:after="120"/>
              <w:jc w:val="center"/>
              <w:rPr>
                <w:rFonts w:hint="eastAsia"/>
              </w:rPr>
            </w:pPr>
            <w:r>
              <w:rPr>
                <w:rFonts w:hint="eastAsia"/>
              </w:rPr>
              <w:t>轻</w:t>
            </w:r>
            <w:r>
              <w:rPr>
                <w:rFonts w:hint="eastAsia"/>
              </w:rPr>
              <w:t xml:space="preserve">  </w:t>
            </w:r>
            <w:r>
              <w:rPr>
                <w:rFonts w:hint="eastAsia"/>
              </w:rPr>
              <w:t>伤</w:t>
            </w:r>
          </w:p>
        </w:tc>
        <w:tc>
          <w:tcPr>
            <w:tcW w:w="1501" w:type="dxa"/>
            <w:tcBorders>
              <w:bottom w:val="single" w:sz="4" w:space="0" w:color="auto"/>
            </w:tcBorders>
            <w:vAlign w:val="center"/>
          </w:tcPr>
          <w:p w:rsidR="00000000" w:rsidRDefault="00000000">
            <w:pPr>
              <w:pStyle w:val="a2"/>
              <w:spacing w:before="120" w:after="120"/>
              <w:jc w:val="center"/>
              <w:rPr>
                <w:rFonts w:hint="eastAsia"/>
              </w:rPr>
            </w:pPr>
            <w:r>
              <w:rPr>
                <w:rFonts w:hint="eastAsia"/>
              </w:rPr>
              <w:t>重</w:t>
            </w:r>
            <w:r>
              <w:rPr>
                <w:rFonts w:hint="eastAsia"/>
              </w:rPr>
              <w:t xml:space="preserve">  </w:t>
            </w:r>
            <w:r>
              <w:rPr>
                <w:rFonts w:hint="eastAsia"/>
              </w:rPr>
              <w:t>伤</w:t>
            </w:r>
          </w:p>
        </w:tc>
        <w:tc>
          <w:tcPr>
            <w:tcW w:w="2068" w:type="dxa"/>
            <w:tcBorders>
              <w:bottom w:val="single" w:sz="4" w:space="0" w:color="auto"/>
            </w:tcBorders>
            <w:vAlign w:val="center"/>
          </w:tcPr>
          <w:p w:rsidR="00000000" w:rsidRDefault="00000000">
            <w:pPr>
              <w:pStyle w:val="a2"/>
              <w:spacing w:before="120" w:after="120"/>
              <w:jc w:val="center"/>
              <w:rPr>
                <w:rFonts w:hint="eastAsia"/>
              </w:rPr>
            </w:pPr>
            <w:r>
              <w:rPr>
                <w:rFonts w:hint="eastAsia"/>
              </w:rPr>
              <w:t>与工作有关的死亡</w:t>
            </w:r>
          </w:p>
        </w:tc>
        <w:tc>
          <w:tcPr>
            <w:tcW w:w="1379" w:type="dxa"/>
            <w:tcBorders>
              <w:bottom w:val="single" w:sz="4" w:space="0" w:color="auto"/>
            </w:tcBorders>
            <w:vAlign w:val="center"/>
          </w:tcPr>
          <w:p w:rsidR="00000000" w:rsidRDefault="00000000">
            <w:pPr>
              <w:pStyle w:val="a2"/>
              <w:spacing w:before="120" w:after="120"/>
              <w:jc w:val="center"/>
              <w:rPr>
                <w:rFonts w:hint="eastAsia"/>
              </w:rPr>
            </w:pPr>
            <w:r>
              <w:rPr>
                <w:rFonts w:hint="eastAsia"/>
              </w:rPr>
              <w:t>职业病</w:t>
            </w:r>
          </w:p>
        </w:tc>
      </w:tr>
      <w:tr w:rsidR="00000000">
        <w:tblPrEx>
          <w:tblCellMar>
            <w:top w:w="0" w:type="dxa"/>
            <w:bottom w:w="0" w:type="dxa"/>
          </w:tblCellMar>
        </w:tblPrEx>
        <w:trPr>
          <w:jc w:val="center"/>
        </w:trPr>
        <w:tc>
          <w:tcPr>
            <w:tcW w:w="1204" w:type="dxa"/>
            <w:tcBorders>
              <w:bottom w:val="nil"/>
            </w:tcBorders>
          </w:tcPr>
          <w:p w:rsidR="00000000" w:rsidRDefault="00000000">
            <w:pPr>
              <w:pStyle w:val="a2"/>
              <w:jc w:val="center"/>
            </w:pPr>
            <w:r>
              <w:t>2000</w:t>
            </w:r>
          </w:p>
        </w:tc>
        <w:tc>
          <w:tcPr>
            <w:tcW w:w="1501" w:type="dxa"/>
            <w:tcBorders>
              <w:bottom w:val="nil"/>
            </w:tcBorders>
          </w:tcPr>
          <w:p w:rsidR="00000000" w:rsidRDefault="00000000">
            <w:pPr>
              <w:pStyle w:val="a2"/>
              <w:tabs>
                <w:tab w:val="left" w:pos="583"/>
              </w:tabs>
              <w:ind w:right="465"/>
              <w:jc w:val="right"/>
            </w:pPr>
            <w:r>
              <w:t>8</w:t>
            </w:r>
          </w:p>
        </w:tc>
        <w:tc>
          <w:tcPr>
            <w:tcW w:w="1501" w:type="dxa"/>
            <w:tcBorders>
              <w:bottom w:val="nil"/>
            </w:tcBorders>
          </w:tcPr>
          <w:p w:rsidR="00000000" w:rsidRDefault="00000000">
            <w:pPr>
              <w:pStyle w:val="a2"/>
              <w:ind w:right="418"/>
              <w:jc w:val="right"/>
            </w:pPr>
            <w:r>
              <w:t>3</w:t>
            </w:r>
          </w:p>
        </w:tc>
        <w:tc>
          <w:tcPr>
            <w:tcW w:w="1501" w:type="dxa"/>
            <w:tcBorders>
              <w:bottom w:val="nil"/>
            </w:tcBorders>
          </w:tcPr>
          <w:p w:rsidR="00000000" w:rsidRDefault="00000000">
            <w:pPr>
              <w:pStyle w:val="a2"/>
              <w:jc w:val="center"/>
            </w:pPr>
            <w:r>
              <w:t>36</w:t>
            </w:r>
          </w:p>
        </w:tc>
        <w:tc>
          <w:tcPr>
            <w:tcW w:w="2068" w:type="dxa"/>
            <w:tcBorders>
              <w:bottom w:val="nil"/>
            </w:tcBorders>
          </w:tcPr>
          <w:p w:rsidR="00000000" w:rsidRDefault="00000000">
            <w:pPr>
              <w:pStyle w:val="a2"/>
              <w:ind w:right="1032"/>
              <w:jc w:val="right"/>
            </w:pPr>
            <w:r>
              <w:t>10</w:t>
            </w:r>
          </w:p>
        </w:tc>
        <w:tc>
          <w:tcPr>
            <w:tcW w:w="1379" w:type="dxa"/>
            <w:tcBorders>
              <w:bottom w:val="nil"/>
            </w:tcBorders>
          </w:tcPr>
          <w:p w:rsidR="00000000" w:rsidRDefault="00000000">
            <w:pPr>
              <w:pStyle w:val="a2"/>
              <w:jc w:val="center"/>
            </w:pPr>
            <w:r>
              <w:t>0</w:t>
            </w:r>
          </w:p>
        </w:tc>
      </w:tr>
      <w:tr w:rsidR="00000000">
        <w:tblPrEx>
          <w:tblCellMar>
            <w:top w:w="0" w:type="dxa"/>
            <w:bottom w:w="0" w:type="dxa"/>
          </w:tblCellMar>
        </w:tblPrEx>
        <w:trPr>
          <w:jc w:val="center"/>
        </w:trPr>
        <w:tc>
          <w:tcPr>
            <w:tcW w:w="1204" w:type="dxa"/>
            <w:tcBorders>
              <w:top w:val="nil"/>
              <w:bottom w:val="nil"/>
            </w:tcBorders>
          </w:tcPr>
          <w:p w:rsidR="00000000" w:rsidRDefault="00000000">
            <w:pPr>
              <w:pStyle w:val="a2"/>
              <w:jc w:val="center"/>
            </w:pPr>
            <w:r>
              <w:t>2001</w:t>
            </w:r>
          </w:p>
        </w:tc>
        <w:tc>
          <w:tcPr>
            <w:tcW w:w="1501" w:type="dxa"/>
            <w:tcBorders>
              <w:top w:val="nil"/>
              <w:bottom w:val="nil"/>
            </w:tcBorders>
          </w:tcPr>
          <w:p w:rsidR="00000000" w:rsidRDefault="00000000">
            <w:pPr>
              <w:pStyle w:val="a2"/>
              <w:tabs>
                <w:tab w:val="left" w:pos="583"/>
              </w:tabs>
              <w:ind w:right="465"/>
              <w:jc w:val="right"/>
            </w:pPr>
            <w:r>
              <w:t>53</w:t>
            </w:r>
          </w:p>
        </w:tc>
        <w:tc>
          <w:tcPr>
            <w:tcW w:w="1501" w:type="dxa"/>
            <w:tcBorders>
              <w:top w:val="nil"/>
              <w:bottom w:val="nil"/>
            </w:tcBorders>
          </w:tcPr>
          <w:p w:rsidR="00000000" w:rsidRDefault="00000000">
            <w:pPr>
              <w:pStyle w:val="a2"/>
              <w:ind w:right="418"/>
              <w:jc w:val="right"/>
            </w:pPr>
            <w:r>
              <w:t>1</w:t>
            </w:r>
          </w:p>
        </w:tc>
        <w:tc>
          <w:tcPr>
            <w:tcW w:w="1501" w:type="dxa"/>
            <w:tcBorders>
              <w:top w:val="nil"/>
              <w:bottom w:val="nil"/>
            </w:tcBorders>
          </w:tcPr>
          <w:p w:rsidR="00000000" w:rsidRDefault="00000000">
            <w:pPr>
              <w:pStyle w:val="a2"/>
              <w:jc w:val="center"/>
            </w:pPr>
            <w:r>
              <w:t>48</w:t>
            </w:r>
          </w:p>
        </w:tc>
        <w:tc>
          <w:tcPr>
            <w:tcW w:w="2068" w:type="dxa"/>
            <w:tcBorders>
              <w:top w:val="nil"/>
              <w:bottom w:val="nil"/>
            </w:tcBorders>
          </w:tcPr>
          <w:p w:rsidR="00000000" w:rsidRDefault="00000000">
            <w:pPr>
              <w:pStyle w:val="a2"/>
              <w:ind w:right="1032"/>
              <w:jc w:val="right"/>
            </w:pPr>
            <w:r>
              <w:t>4</w:t>
            </w:r>
          </w:p>
        </w:tc>
        <w:tc>
          <w:tcPr>
            <w:tcW w:w="1379" w:type="dxa"/>
            <w:tcBorders>
              <w:top w:val="nil"/>
              <w:bottom w:val="nil"/>
            </w:tcBorders>
          </w:tcPr>
          <w:p w:rsidR="00000000" w:rsidRDefault="00000000">
            <w:pPr>
              <w:pStyle w:val="a2"/>
              <w:jc w:val="center"/>
            </w:pPr>
            <w:r>
              <w:t>0</w:t>
            </w:r>
          </w:p>
        </w:tc>
      </w:tr>
      <w:tr w:rsidR="00000000">
        <w:tblPrEx>
          <w:tblCellMar>
            <w:top w:w="0" w:type="dxa"/>
            <w:bottom w:w="0" w:type="dxa"/>
          </w:tblCellMar>
        </w:tblPrEx>
        <w:trPr>
          <w:jc w:val="center"/>
        </w:trPr>
        <w:tc>
          <w:tcPr>
            <w:tcW w:w="1204" w:type="dxa"/>
            <w:tcBorders>
              <w:top w:val="nil"/>
            </w:tcBorders>
          </w:tcPr>
          <w:p w:rsidR="00000000" w:rsidRDefault="00000000">
            <w:pPr>
              <w:pStyle w:val="a2"/>
              <w:spacing w:after="120"/>
              <w:jc w:val="center"/>
            </w:pPr>
            <w:r>
              <w:t>2002</w:t>
            </w:r>
          </w:p>
        </w:tc>
        <w:tc>
          <w:tcPr>
            <w:tcW w:w="1501" w:type="dxa"/>
            <w:tcBorders>
              <w:top w:val="nil"/>
            </w:tcBorders>
          </w:tcPr>
          <w:p w:rsidR="00000000" w:rsidRDefault="00000000">
            <w:pPr>
              <w:pStyle w:val="a2"/>
              <w:tabs>
                <w:tab w:val="left" w:pos="583"/>
              </w:tabs>
              <w:spacing w:after="120"/>
              <w:ind w:right="465"/>
              <w:jc w:val="right"/>
            </w:pPr>
            <w:r>
              <w:t>84</w:t>
            </w:r>
          </w:p>
        </w:tc>
        <w:tc>
          <w:tcPr>
            <w:tcW w:w="1501" w:type="dxa"/>
            <w:tcBorders>
              <w:top w:val="nil"/>
            </w:tcBorders>
          </w:tcPr>
          <w:p w:rsidR="00000000" w:rsidRDefault="00000000">
            <w:pPr>
              <w:pStyle w:val="a2"/>
              <w:spacing w:after="120"/>
              <w:ind w:right="418"/>
              <w:jc w:val="right"/>
            </w:pPr>
            <w:r>
              <w:t>15</w:t>
            </w:r>
          </w:p>
        </w:tc>
        <w:tc>
          <w:tcPr>
            <w:tcW w:w="1501" w:type="dxa"/>
            <w:tcBorders>
              <w:top w:val="nil"/>
            </w:tcBorders>
          </w:tcPr>
          <w:p w:rsidR="00000000" w:rsidRDefault="00000000">
            <w:pPr>
              <w:pStyle w:val="a2"/>
              <w:spacing w:after="120"/>
              <w:jc w:val="center"/>
            </w:pPr>
            <w:r>
              <w:t>58</w:t>
            </w:r>
          </w:p>
        </w:tc>
        <w:tc>
          <w:tcPr>
            <w:tcW w:w="2068" w:type="dxa"/>
            <w:tcBorders>
              <w:top w:val="nil"/>
            </w:tcBorders>
          </w:tcPr>
          <w:p w:rsidR="00000000" w:rsidRDefault="00000000">
            <w:pPr>
              <w:pStyle w:val="a2"/>
              <w:spacing w:after="120"/>
              <w:ind w:right="1032"/>
              <w:jc w:val="right"/>
            </w:pPr>
            <w:r>
              <w:t>11</w:t>
            </w:r>
          </w:p>
        </w:tc>
        <w:tc>
          <w:tcPr>
            <w:tcW w:w="1379" w:type="dxa"/>
            <w:tcBorders>
              <w:top w:val="nil"/>
            </w:tcBorders>
          </w:tcPr>
          <w:p w:rsidR="00000000" w:rsidRDefault="00000000">
            <w:pPr>
              <w:pStyle w:val="a2"/>
              <w:spacing w:after="120"/>
              <w:jc w:val="center"/>
            </w:pPr>
            <w:r>
              <w:t>0</w:t>
            </w:r>
          </w:p>
        </w:tc>
      </w:tr>
    </w:tbl>
    <w:p w:rsidR="00000000" w:rsidRDefault="00000000">
      <w:pPr>
        <w:rPr>
          <w:rFonts w:hint="eastAsia"/>
        </w:rPr>
      </w:pPr>
    </w:p>
    <w:p w:rsidR="00000000" w:rsidRDefault="00000000">
      <w:pPr>
        <w:pStyle w:val="Heading3"/>
        <w:spacing w:after="120"/>
        <w:rPr>
          <w:rFonts w:hint="eastAsia"/>
          <w:u w:val="none"/>
        </w:rPr>
      </w:pPr>
      <w:r>
        <w:rPr>
          <w:rFonts w:hint="eastAsia"/>
          <w:u w:val="none"/>
        </w:rPr>
        <w:t>表</w:t>
      </w:r>
      <w:r>
        <w:rPr>
          <w:rFonts w:hint="eastAsia"/>
          <w:u w:val="none"/>
        </w:rPr>
        <w:t xml:space="preserve"> 2</w:t>
      </w:r>
    </w:p>
    <w:p w:rsidR="00000000" w:rsidRDefault="00000000">
      <w:pPr>
        <w:pStyle w:val="Heading3"/>
        <w:spacing w:after="120"/>
        <w:rPr>
          <w:rFonts w:hint="eastAsia"/>
        </w:rPr>
      </w:pPr>
      <w:r>
        <w:rPr>
          <w:rFonts w:hint="eastAsia"/>
        </w:rPr>
        <w:t>塞族共和国工伤情况</w:t>
      </w:r>
    </w:p>
    <w:tbl>
      <w:tblPr>
        <w:tblW w:w="0" w:type="auto"/>
        <w:jc w:val="center"/>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1939"/>
        <w:gridCol w:w="1940"/>
        <w:gridCol w:w="2461"/>
      </w:tblGrid>
      <w:tr w:rsidR="00000000">
        <w:tblPrEx>
          <w:tblCellMar>
            <w:top w:w="0" w:type="dxa"/>
            <w:bottom w:w="0" w:type="dxa"/>
          </w:tblCellMar>
        </w:tblPrEx>
        <w:trPr>
          <w:jc w:val="center"/>
        </w:trPr>
        <w:tc>
          <w:tcPr>
            <w:tcW w:w="2245" w:type="dxa"/>
            <w:tcBorders>
              <w:bottom w:val="single" w:sz="4" w:space="0" w:color="auto"/>
            </w:tcBorders>
          </w:tcPr>
          <w:p w:rsidR="00000000" w:rsidRDefault="00000000">
            <w:pPr>
              <w:pStyle w:val="a2"/>
              <w:jc w:val="center"/>
              <w:rPr>
                <w:rFonts w:hint="eastAsia"/>
              </w:rPr>
            </w:pPr>
            <w:r>
              <w:rPr>
                <w:rFonts w:hint="eastAsia"/>
              </w:rPr>
              <w:t>年</w:t>
            </w:r>
            <w:r>
              <w:rPr>
                <w:rFonts w:hint="eastAsia"/>
              </w:rPr>
              <w:t xml:space="preserve"> </w:t>
            </w:r>
            <w:r>
              <w:rPr>
                <w:rFonts w:hint="eastAsia"/>
              </w:rPr>
              <w:t>度</w:t>
            </w:r>
          </w:p>
        </w:tc>
        <w:tc>
          <w:tcPr>
            <w:tcW w:w="1939" w:type="dxa"/>
            <w:tcBorders>
              <w:bottom w:val="single" w:sz="4" w:space="0" w:color="auto"/>
            </w:tcBorders>
          </w:tcPr>
          <w:p w:rsidR="00000000" w:rsidRDefault="00000000">
            <w:pPr>
              <w:pStyle w:val="a2"/>
              <w:jc w:val="center"/>
              <w:rPr>
                <w:rFonts w:hint="eastAsia"/>
              </w:rPr>
            </w:pPr>
            <w:r>
              <w:rPr>
                <w:rFonts w:hint="eastAsia"/>
              </w:rPr>
              <w:t>轻</w:t>
            </w:r>
            <w:r>
              <w:rPr>
                <w:rFonts w:hint="eastAsia"/>
              </w:rPr>
              <w:t xml:space="preserve">  </w:t>
            </w:r>
            <w:r>
              <w:rPr>
                <w:rFonts w:hint="eastAsia"/>
              </w:rPr>
              <w:t>伤</w:t>
            </w:r>
          </w:p>
        </w:tc>
        <w:tc>
          <w:tcPr>
            <w:tcW w:w="1940" w:type="dxa"/>
            <w:tcBorders>
              <w:bottom w:val="single" w:sz="4" w:space="0" w:color="auto"/>
            </w:tcBorders>
          </w:tcPr>
          <w:p w:rsidR="00000000" w:rsidRDefault="00000000">
            <w:pPr>
              <w:pStyle w:val="a2"/>
              <w:jc w:val="center"/>
              <w:rPr>
                <w:rFonts w:hint="eastAsia"/>
              </w:rPr>
            </w:pPr>
            <w:r>
              <w:rPr>
                <w:rFonts w:hint="eastAsia"/>
              </w:rPr>
              <w:t>重</w:t>
            </w:r>
            <w:r>
              <w:rPr>
                <w:rFonts w:hint="eastAsia"/>
              </w:rPr>
              <w:t xml:space="preserve">  </w:t>
            </w:r>
            <w:r>
              <w:rPr>
                <w:rFonts w:hint="eastAsia"/>
              </w:rPr>
              <w:t>伤</w:t>
            </w:r>
          </w:p>
        </w:tc>
        <w:tc>
          <w:tcPr>
            <w:tcW w:w="2461" w:type="dxa"/>
            <w:tcBorders>
              <w:bottom w:val="single" w:sz="4" w:space="0" w:color="auto"/>
            </w:tcBorders>
            <w:vAlign w:val="center"/>
          </w:tcPr>
          <w:p w:rsidR="00000000" w:rsidRDefault="00000000">
            <w:pPr>
              <w:pStyle w:val="a2"/>
              <w:jc w:val="center"/>
              <w:rPr>
                <w:rFonts w:hint="eastAsia"/>
              </w:rPr>
            </w:pPr>
            <w:r>
              <w:rPr>
                <w:rFonts w:hint="eastAsia"/>
              </w:rPr>
              <w:t>与工作有关的死亡</w:t>
            </w:r>
          </w:p>
        </w:tc>
      </w:tr>
      <w:tr w:rsidR="00000000">
        <w:tblPrEx>
          <w:tblCellMar>
            <w:top w:w="0" w:type="dxa"/>
            <w:bottom w:w="0" w:type="dxa"/>
          </w:tblCellMar>
        </w:tblPrEx>
        <w:trPr>
          <w:jc w:val="center"/>
        </w:trPr>
        <w:tc>
          <w:tcPr>
            <w:tcW w:w="2245" w:type="dxa"/>
            <w:tcBorders>
              <w:bottom w:val="nil"/>
            </w:tcBorders>
          </w:tcPr>
          <w:p w:rsidR="00000000" w:rsidRDefault="00000000">
            <w:pPr>
              <w:pStyle w:val="a2"/>
              <w:jc w:val="center"/>
            </w:pPr>
            <w:r>
              <w:t>2001</w:t>
            </w:r>
          </w:p>
        </w:tc>
        <w:tc>
          <w:tcPr>
            <w:tcW w:w="1939" w:type="dxa"/>
            <w:tcBorders>
              <w:bottom w:val="nil"/>
            </w:tcBorders>
          </w:tcPr>
          <w:p w:rsidR="00000000" w:rsidRDefault="00000000">
            <w:pPr>
              <w:pStyle w:val="a2"/>
              <w:jc w:val="center"/>
            </w:pPr>
            <w:r>
              <w:t>1</w:t>
            </w:r>
          </w:p>
        </w:tc>
        <w:tc>
          <w:tcPr>
            <w:tcW w:w="1940" w:type="dxa"/>
            <w:tcBorders>
              <w:bottom w:val="nil"/>
            </w:tcBorders>
          </w:tcPr>
          <w:p w:rsidR="00000000" w:rsidRDefault="00000000">
            <w:pPr>
              <w:pStyle w:val="a2"/>
              <w:jc w:val="center"/>
            </w:pPr>
            <w:r>
              <w:t>13</w:t>
            </w:r>
          </w:p>
        </w:tc>
        <w:tc>
          <w:tcPr>
            <w:tcW w:w="2461" w:type="dxa"/>
            <w:tcBorders>
              <w:bottom w:val="nil"/>
            </w:tcBorders>
          </w:tcPr>
          <w:p w:rsidR="00000000" w:rsidRDefault="00000000">
            <w:pPr>
              <w:pStyle w:val="a2"/>
              <w:jc w:val="center"/>
            </w:pPr>
            <w:r>
              <w:t>6</w:t>
            </w:r>
          </w:p>
        </w:tc>
      </w:tr>
      <w:tr w:rsidR="00000000">
        <w:tblPrEx>
          <w:tblCellMar>
            <w:top w:w="0" w:type="dxa"/>
            <w:bottom w:w="0" w:type="dxa"/>
          </w:tblCellMar>
        </w:tblPrEx>
        <w:trPr>
          <w:jc w:val="center"/>
        </w:trPr>
        <w:tc>
          <w:tcPr>
            <w:tcW w:w="2245" w:type="dxa"/>
            <w:tcBorders>
              <w:top w:val="nil"/>
              <w:bottom w:val="nil"/>
            </w:tcBorders>
          </w:tcPr>
          <w:p w:rsidR="00000000" w:rsidRDefault="00000000">
            <w:pPr>
              <w:pStyle w:val="a2"/>
              <w:jc w:val="center"/>
            </w:pPr>
            <w:r>
              <w:t>2002</w:t>
            </w:r>
          </w:p>
        </w:tc>
        <w:tc>
          <w:tcPr>
            <w:tcW w:w="1939" w:type="dxa"/>
            <w:tcBorders>
              <w:top w:val="nil"/>
              <w:bottom w:val="nil"/>
            </w:tcBorders>
          </w:tcPr>
          <w:p w:rsidR="00000000" w:rsidRDefault="00000000">
            <w:pPr>
              <w:pStyle w:val="a2"/>
              <w:jc w:val="center"/>
            </w:pPr>
            <w:r>
              <w:t>17</w:t>
            </w:r>
          </w:p>
        </w:tc>
        <w:tc>
          <w:tcPr>
            <w:tcW w:w="1940" w:type="dxa"/>
            <w:tcBorders>
              <w:top w:val="nil"/>
              <w:bottom w:val="nil"/>
            </w:tcBorders>
          </w:tcPr>
          <w:p w:rsidR="00000000" w:rsidRDefault="00000000">
            <w:pPr>
              <w:pStyle w:val="a2"/>
              <w:jc w:val="center"/>
            </w:pPr>
            <w:r>
              <w:t>19</w:t>
            </w:r>
          </w:p>
        </w:tc>
        <w:tc>
          <w:tcPr>
            <w:tcW w:w="2461" w:type="dxa"/>
            <w:tcBorders>
              <w:top w:val="nil"/>
              <w:bottom w:val="nil"/>
            </w:tcBorders>
          </w:tcPr>
          <w:p w:rsidR="00000000" w:rsidRDefault="00000000">
            <w:pPr>
              <w:pStyle w:val="a2"/>
              <w:jc w:val="center"/>
            </w:pPr>
            <w:r>
              <w:t>9</w:t>
            </w:r>
          </w:p>
        </w:tc>
      </w:tr>
      <w:tr w:rsidR="00000000">
        <w:tblPrEx>
          <w:tblCellMar>
            <w:top w:w="0" w:type="dxa"/>
            <w:bottom w:w="0" w:type="dxa"/>
          </w:tblCellMar>
        </w:tblPrEx>
        <w:trPr>
          <w:jc w:val="center"/>
        </w:trPr>
        <w:tc>
          <w:tcPr>
            <w:tcW w:w="2245" w:type="dxa"/>
            <w:tcBorders>
              <w:top w:val="nil"/>
            </w:tcBorders>
          </w:tcPr>
          <w:p w:rsidR="00000000" w:rsidRDefault="00000000">
            <w:pPr>
              <w:pStyle w:val="a2"/>
              <w:jc w:val="center"/>
              <w:rPr>
                <w:rFonts w:hint="eastAsia"/>
              </w:rPr>
            </w:pPr>
            <w:r>
              <w:t>2003</w:t>
            </w:r>
            <w:r>
              <w:rPr>
                <w:rFonts w:hint="eastAsia"/>
              </w:rPr>
              <w:t>年</w:t>
            </w:r>
            <w:r>
              <w:rPr>
                <w:rFonts w:hint="eastAsia"/>
              </w:rPr>
              <w:t>6</w:t>
            </w:r>
            <w:r>
              <w:rPr>
                <w:rFonts w:hint="eastAsia"/>
              </w:rPr>
              <w:t>月</w:t>
            </w:r>
            <w:r>
              <w:rPr>
                <w:rFonts w:hint="eastAsia"/>
              </w:rPr>
              <w:t>30</w:t>
            </w:r>
            <w:r>
              <w:rPr>
                <w:rFonts w:hint="eastAsia"/>
              </w:rPr>
              <w:t>日</w:t>
            </w:r>
          </w:p>
        </w:tc>
        <w:tc>
          <w:tcPr>
            <w:tcW w:w="1939" w:type="dxa"/>
            <w:tcBorders>
              <w:top w:val="nil"/>
            </w:tcBorders>
          </w:tcPr>
          <w:p w:rsidR="00000000" w:rsidRDefault="00000000">
            <w:pPr>
              <w:pStyle w:val="a2"/>
              <w:jc w:val="center"/>
            </w:pPr>
            <w:r>
              <w:t>11</w:t>
            </w:r>
          </w:p>
        </w:tc>
        <w:tc>
          <w:tcPr>
            <w:tcW w:w="1940" w:type="dxa"/>
            <w:tcBorders>
              <w:top w:val="nil"/>
            </w:tcBorders>
          </w:tcPr>
          <w:p w:rsidR="00000000" w:rsidRDefault="00000000">
            <w:pPr>
              <w:pStyle w:val="a2"/>
              <w:jc w:val="center"/>
            </w:pPr>
            <w:r>
              <w:t>16</w:t>
            </w:r>
          </w:p>
        </w:tc>
        <w:tc>
          <w:tcPr>
            <w:tcW w:w="2461" w:type="dxa"/>
            <w:tcBorders>
              <w:top w:val="nil"/>
            </w:tcBorders>
          </w:tcPr>
          <w:p w:rsidR="00000000" w:rsidRDefault="00000000">
            <w:pPr>
              <w:pStyle w:val="a2"/>
              <w:jc w:val="center"/>
            </w:pPr>
            <w:r>
              <w:t>5</w:t>
            </w:r>
          </w:p>
        </w:tc>
      </w:tr>
    </w:tbl>
    <w:p w:rsidR="00000000" w:rsidRDefault="00000000">
      <w:pPr>
        <w:spacing w:before="240" w:after="320"/>
        <w:rPr>
          <w:rFonts w:hint="eastAsia"/>
        </w:rPr>
      </w:pPr>
      <w:r>
        <w:rPr>
          <w:rFonts w:hint="eastAsia"/>
        </w:rPr>
        <w:tab/>
        <w:t xml:space="preserve">178.  </w:t>
      </w:r>
      <w:r>
        <w:rPr>
          <w:rFonts w:hint="eastAsia"/>
        </w:rPr>
        <w:t>在法律上，男女享有平等的晋升机会。在特定领域，例如教育、行政管理和卫生部门，有特定的条例规定了晋升标准。然而，现实与法律条例并不合拍：问题是存在的，尤其是在妇女问题上，因为她们的晋升机会要少得多。</w:t>
      </w:r>
    </w:p>
    <w:p w:rsidR="00000000" w:rsidRDefault="00000000">
      <w:pPr>
        <w:pStyle w:val="a3"/>
        <w:rPr>
          <w:rFonts w:hint="eastAsia"/>
        </w:rPr>
      </w:pPr>
      <w:r>
        <w:rPr>
          <w:rFonts w:hint="eastAsia"/>
        </w:rPr>
        <w:t>第</w:t>
      </w:r>
      <w:r>
        <w:rPr>
          <w:rFonts w:hint="eastAsia"/>
        </w:rPr>
        <w:t xml:space="preserve"> 8 </w:t>
      </w:r>
      <w:r>
        <w:rPr>
          <w:rFonts w:hint="eastAsia"/>
        </w:rPr>
        <w:t>条</w:t>
      </w:r>
    </w:p>
    <w:p w:rsidR="00000000" w:rsidRDefault="00000000">
      <w:pPr>
        <w:pStyle w:val="Heading4"/>
        <w:rPr>
          <w:rFonts w:hint="eastAsia"/>
        </w:rPr>
      </w:pPr>
      <w:r>
        <w:rPr>
          <w:rFonts w:hint="eastAsia"/>
        </w:rPr>
        <w:t>组织独立工会的权利和罢工权</w:t>
      </w:r>
    </w:p>
    <w:p w:rsidR="00000000" w:rsidRDefault="00000000">
      <w:pPr>
        <w:rPr>
          <w:rFonts w:hint="eastAsia"/>
        </w:rPr>
      </w:pPr>
      <w:r>
        <w:rPr>
          <w:rFonts w:hint="eastAsia"/>
        </w:rPr>
        <w:tab/>
        <w:t xml:space="preserve">179.  </w:t>
      </w:r>
      <w:r>
        <w:rPr>
          <w:rFonts w:hint="eastAsia"/>
        </w:rPr>
        <w:t>在波斯尼亚和黑塞哥维那，法律规定了组织独立工会的权利。虽然法律的措辞比较笼统，但它明确规定，工人有权自行组织工会。组织工会权在部门集体合同中规定得更为具体和详尽。</w:t>
      </w:r>
    </w:p>
    <w:p w:rsidR="00000000" w:rsidRDefault="00000000">
      <w:pPr>
        <w:rPr>
          <w:rFonts w:hint="eastAsia"/>
        </w:rPr>
      </w:pPr>
      <w:r>
        <w:rPr>
          <w:rFonts w:hint="eastAsia"/>
        </w:rPr>
        <w:tab/>
        <w:t xml:space="preserve">180.  </w:t>
      </w:r>
      <w:r>
        <w:rPr>
          <w:rFonts w:hint="eastAsia"/>
        </w:rPr>
        <w:t>例如，波斯尼亚和黑塞哥维那联邦石油部门的集体合同第</w:t>
      </w:r>
      <w:r>
        <w:rPr>
          <w:rFonts w:hint="eastAsia"/>
        </w:rPr>
        <w:t>66,70</w:t>
      </w:r>
      <w:r>
        <w:rPr>
          <w:rFonts w:hint="eastAsia"/>
        </w:rPr>
        <w:t>和</w:t>
      </w:r>
      <w:r>
        <w:rPr>
          <w:rFonts w:hint="eastAsia"/>
        </w:rPr>
        <w:t>72</w:t>
      </w:r>
      <w:r>
        <w:rPr>
          <w:rFonts w:hint="eastAsia"/>
        </w:rPr>
        <w:t>条规定如下：</w:t>
      </w:r>
    </w:p>
    <w:p w:rsidR="00000000" w:rsidRDefault="00000000">
      <w:pPr>
        <w:pStyle w:val="ae"/>
        <w:rPr>
          <w:rFonts w:hint="eastAsia"/>
        </w:rPr>
      </w:pPr>
      <w:r>
        <w:rPr>
          <w:rFonts w:hint="eastAsia"/>
        </w:rPr>
        <w:t>“雇员为保护其经济和社会权利和利益之目的，有权组织工会或其他类型的联合会。雇主不得采取任何行动或以任何方式妨碍工会开展活动或雇员组织工会。工会有义务按照已批准的国际公约、法律、现行合同和工会章程开展活动，雇主有义务尊重这些公约、法律、合同和章程。”</w:t>
      </w:r>
    </w:p>
    <w:p w:rsidR="00000000" w:rsidRDefault="00000000">
      <w:pPr>
        <w:pStyle w:val="ae"/>
        <w:rPr>
          <w:rFonts w:hint="eastAsia"/>
        </w:rPr>
      </w:pPr>
      <w:r>
        <w:rPr>
          <w:rFonts w:hint="eastAsia"/>
        </w:rPr>
        <w:t>“雇主有义务确保执行已批准的国际劳工组织公约、法律和现行合同中载明的雇员组织工会的所有权利。雇主不得阻止或妨碍工会秘书处或工会主席按照已批准的国际劳工组织公约、法律和现行合同开展的活动。”</w:t>
      </w:r>
    </w:p>
    <w:p w:rsidR="00000000" w:rsidRDefault="00000000">
      <w:pPr>
        <w:pStyle w:val="ae"/>
        <w:rPr>
          <w:rFonts w:hint="eastAsia"/>
        </w:rPr>
      </w:pPr>
      <w:r>
        <w:rPr>
          <w:rFonts w:hint="eastAsia"/>
        </w:rPr>
        <w:t>“雇主或雇主通过某人、某成员或代理人以其名义采取的行动不得：</w:t>
      </w:r>
    </w:p>
    <w:p w:rsidR="00000000" w:rsidRDefault="00000000">
      <w:pPr>
        <w:pStyle w:val="ae"/>
        <w:rPr>
          <w:rFonts w:hint="eastAsia"/>
        </w:rPr>
      </w:pPr>
      <w:r>
        <w:rPr>
          <w:rFonts w:hint="eastAsia"/>
        </w:rPr>
        <w:t xml:space="preserve">1.  </w:t>
      </w:r>
      <w:r>
        <w:rPr>
          <w:rFonts w:hint="eastAsia"/>
        </w:rPr>
        <w:t>干涉工会的建立、运作和管理；</w:t>
      </w:r>
    </w:p>
    <w:p w:rsidR="00000000" w:rsidRDefault="00000000">
      <w:pPr>
        <w:pStyle w:val="ae"/>
        <w:rPr>
          <w:rFonts w:hint="eastAsia"/>
        </w:rPr>
      </w:pPr>
      <w:r>
        <w:rPr>
          <w:rFonts w:hint="eastAsia"/>
        </w:rPr>
        <w:t xml:space="preserve">2.  </w:t>
      </w:r>
      <w:r>
        <w:rPr>
          <w:rFonts w:hint="eastAsia"/>
        </w:rPr>
        <w:t>为控制工会的目的进行宣传或向工会提供支持。</w:t>
      </w:r>
    </w:p>
    <w:p w:rsidR="00000000" w:rsidRDefault="00000000">
      <w:pPr>
        <w:pStyle w:val="ae"/>
        <w:ind w:firstLine="19"/>
        <w:rPr>
          <w:rFonts w:hint="eastAsia"/>
        </w:rPr>
      </w:pPr>
      <w:r>
        <w:rPr>
          <w:rFonts w:hint="eastAsia"/>
        </w:rPr>
        <w:t>工会自行或通过某人、某成员或代理人采取的行动不得干预雇主联合会的建立、运作或管理。”</w:t>
      </w:r>
    </w:p>
    <w:p w:rsidR="00000000" w:rsidRDefault="00000000">
      <w:pPr>
        <w:rPr>
          <w:rFonts w:hint="eastAsia"/>
        </w:rPr>
      </w:pPr>
      <w:r>
        <w:rPr>
          <w:rFonts w:hint="eastAsia"/>
        </w:rPr>
        <w:tab/>
        <w:t xml:space="preserve">181.  </w:t>
      </w:r>
      <w:r>
        <w:rPr>
          <w:rFonts w:hint="eastAsia"/>
        </w:rPr>
        <w:t>在波斯尼亚和黑塞哥维那，《宪法》、法律和集体合同允许工人组织罢工。罢工权受</w:t>
      </w:r>
      <w:r>
        <w:rPr>
          <w:rFonts w:hint="eastAsia"/>
        </w:rPr>
        <w:t>1998</w:t>
      </w:r>
      <w:r>
        <w:rPr>
          <w:rFonts w:hint="eastAsia"/>
        </w:rPr>
        <w:t>年《罢工法》制约</w:t>
      </w:r>
      <w:r>
        <w:rPr>
          <w:rFonts w:hint="eastAsia"/>
        </w:rPr>
        <w:t>(</w:t>
      </w:r>
      <w:r>
        <w:rPr>
          <w:rFonts w:hint="eastAsia"/>
        </w:rPr>
        <w:t>《波斯尼亚和黑塞哥维那政府公报》第</w:t>
      </w:r>
      <w:r>
        <w:rPr>
          <w:rFonts w:hint="eastAsia"/>
        </w:rPr>
        <w:t>10/89</w:t>
      </w:r>
      <w:r>
        <w:rPr>
          <w:rFonts w:hint="eastAsia"/>
        </w:rPr>
        <w:t>号</w:t>
      </w:r>
      <w:r>
        <w:rPr>
          <w:rFonts w:hint="eastAsia"/>
        </w:rPr>
        <w:t>)</w:t>
      </w:r>
      <w:r>
        <w:rPr>
          <w:rFonts w:hint="eastAsia"/>
        </w:rPr>
        <w:t>，</w:t>
      </w:r>
      <w:r>
        <w:rPr>
          <w:rFonts w:hint="eastAsia"/>
        </w:rPr>
        <w:t>2001</w:t>
      </w:r>
      <w:r>
        <w:rPr>
          <w:rFonts w:hint="eastAsia"/>
        </w:rPr>
        <w:t>年，工会联盟总理事会规定了工会的罢工守则。</w:t>
      </w:r>
    </w:p>
    <w:p w:rsidR="00000000" w:rsidRDefault="00000000">
      <w:pPr>
        <w:rPr>
          <w:rFonts w:hint="eastAsia"/>
        </w:rPr>
      </w:pPr>
      <w:r>
        <w:rPr>
          <w:rFonts w:hint="eastAsia"/>
        </w:rPr>
        <w:tab/>
        <w:t xml:space="preserve">182.  </w:t>
      </w:r>
      <w:r>
        <w:rPr>
          <w:rFonts w:hint="eastAsia"/>
        </w:rPr>
        <w:t>在波斯尼亚和黑塞哥维那联邦，罢工权受《罢工法》</w:t>
      </w:r>
      <w:r>
        <w:rPr>
          <w:rFonts w:hint="eastAsia"/>
        </w:rPr>
        <w:t>(</w:t>
      </w:r>
      <w:r>
        <w:rPr>
          <w:rFonts w:hint="eastAsia"/>
        </w:rPr>
        <w:t>《波斯尼亚和黑塞哥维那联邦政府公报》，第</w:t>
      </w:r>
      <w:r>
        <w:rPr>
          <w:rFonts w:hint="eastAsia"/>
        </w:rPr>
        <w:t>14/00</w:t>
      </w:r>
      <w:r>
        <w:rPr>
          <w:rFonts w:hint="eastAsia"/>
        </w:rPr>
        <w:t>号</w:t>
      </w:r>
      <w:r>
        <w:rPr>
          <w:rFonts w:hint="eastAsia"/>
        </w:rPr>
        <w:t>)</w:t>
      </w:r>
      <w:r>
        <w:rPr>
          <w:rFonts w:hint="eastAsia"/>
        </w:rPr>
        <w:t>，以及《独立工会联合会章程》第</w:t>
      </w:r>
      <w:r>
        <w:rPr>
          <w:rFonts w:hint="eastAsia"/>
        </w:rPr>
        <w:t>30</w:t>
      </w:r>
      <w:r>
        <w:rPr>
          <w:rFonts w:hint="eastAsia"/>
        </w:rPr>
        <w:t>条和</w:t>
      </w:r>
      <w:r>
        <w:rPr>
          <w:rFonts w:hint="eastAsia"/>
        </w:rPr>
        <w:t>2001</w:t>
      </w:r>
      <w:r>
        <w:rPr>
          <w:rFonts w:hint="eastAsia"/>
        </w:rPr>
        <w:t>年</w:t>
      </w:r>
      <w:r>
        <w:rPr>
          <w:rFonts w:hint="eastAsia"/>
        </w:rPr>
        <w:t>10</w:t>
      </w:r>
      <w:r>
        <w:rPr>
          <w:rFonts w:hint="eastAsia"/>
        </w:rPr>
        <w:t>月</w:t>
      </w:r>
      <w:r>
        <w:rPr>
          <w:rFonts w:hint="eastAsia"/>
        </w:rPr>
        <w:t>25</w:t>
      </w:r>
      <w:r>
        <w:rPr>
          <w:rFonts w:hint="eastAsia"/>
        </w:rPr>
        <w:t>日《波斯尼亚和黑塞哥维那独立工会联合会罢工守则》制约。</w:t>
      </w:r>
    </w:p>
    <w:p w:rsidR="00000000" w:rsidRDefault="00000000">
      <w:pPr>
        <w:rPr>
          <w:rFonts w:hint="eastAsia"/>
        </w:rPr>
      </w:pPr>
      <w:r>
        <w:rPr>
          <w:rFonts w:hint="eastAsia"/>
        </w:rPr>
        <w:tab/>
        <w:t xml:space="preserve">183.  </w:t>
      </w:r>
      <w:r>
        <w:rPr>
          <w:rFonts w:hint="eastAsia"/>
        </w:rPr>
        <w:t>职业军人和内政部官员的罢工权受专门法律制约。</w:t>
      </w:r>
    </w:p>
    <w:p w:rsidR="00000000" w:rsidRDefault="00000000">
      <w:pPr>
        <w:spacing w:after="320"/>
        <w:rPr>
          <w:rFonts w:hint="eastAsia"/>
        </w:rPr>
      </w:pPr>
      <w:r>
        <w:rPr>
          <w:rFonts w:hint="eastAsia"/>
        </w:rPr>
        <w:tab/>
        <w:t xml:space="preserve">184.  </w:t>
      </w:r>
      <w:r>
        <w:rPr>
          <w:rFonts w:hint="eastAsia"/>
        </w:rPr>
        <w:t>在涉及特定公共和社会利益的活动中</w:t>
      </w:r>
      <w:r>
        <w:rPr>
          <w:rFonts w:hint="eastAsia"/>
        </w:rPr>
        <w:t>(</w:t>
      </w:r>
      <w:r>
        <w:rPr>
          <w:rFonts w:hint="eastAsia"/>
        </w:rPr>
        <w:t>电力设施、水管理和水供应、客运、铁路和公路交通和道路维修、邮政和电信、国家广播电台和电视台、公用事业、基本食品生产、医疗保健、社会保护和儿童保护、消防、小学教育、公共行政管理和兽医</w:t>
      </w:r>
      <w:r>
        <w:rPr>
          <w:rFonts w:hint="eastAsia"/>
        </w:rPr>
        <w:t>)</w:t>
      </w:r>
      <w:r>
        <w:rPr>
          <w:rFonts w:hint="eastAsia"/>
        </w:rPr>
        <w:t>必须在罢工期间维持最低限度的运转。罢工应在企业或机构设施内进行，在走上街头时，应受公共集会法的制约。</w:t>
      </w:r>
    </w:p>
    <w:p w:rsidR="00000000" w:rsidRDefault="00000000">
      <w:pPr>
        <w:pStyle w:val="Heading4"/>
        <w:rPr>
          <w:rFonts w:hint="eastAsia"/>
        </w:rPr>
      </w:pPr>
      <w:r>
        <w:rPr>
          <w:rFonts w:hint="eastAsia"/>
        </w:rPr>
        <w:t>工会组织</w:t>
      </w:r>
    </w:p>
    <w:p w:rsidR="00000000" w:rsidRDefault="00000000">
      <w:pPr>
        <w:rPr>
          <w:rFonts w:hint="eastAsia"/>
        </w:rPr>
      </w:pPr>
      <w:r>
        <w:rPr>
          <w:rFonts w:hint="eastAsia"/>
        </w:rPr>
        <w:tab/>
        <w:t xml:space="preserve">185.  </w:t>
      </w:r>
      <w:r>
        <w:rPr>
          <w:rFonts w:hint="eastAsia"/>
        </w:rPr>
        <w:t>在波斯尼亚和黑塞哥维那联邦，工会结成了一个联盟，称为波斯尼亚和黑塞哥维那独立工会联盟，有</w:t>
      </w:r>
      <w:r>
        <w:rPr>
          <w:rFonts w:hint="eastAsia"/>
        </w:rPr>
        <w:t>22</w:t>
      </w:r>
      <w:r>
        <w:rPr>
          <w:rFonts w:hint="eastAsia"/>
        </w:rPr>
        <w:t>个部门性工会，其名称和成员如下：</w:t>
      </w:r>
    </w:p>
    <w:p w:rsidR="00000000" w:rsidRDefault="00000000">
      <w:pPr>
        <w:pStyle w:val="a0"/>
        <w:ind w:left="1550"/>
        <w:rPr>
          <w:rFonts w:hint="eastAsia"/>
        </w:rPr>
      </w:pPr>
      <w:r>
        <w:rPr>
          <w:rFonts w:hint="eastAsia"/>
        </w:rPr>
        <w:t>农业、食品加工和烟草业、水管理、餐饮和旅游业独立工会，</w:t>
      </w:r>
      <w:r>
        <w:rPr>
          <w:rFonts w:hint="eastAsia"/>
        </w:rPr>
        <w:t>22,000</w:t>
      </w:r>
      <w:r>
        <w:rPr>
          <w:rFonts w:hint="eastAsia"/>
        </w:rPr>
        <w:t>名会员；</w:t>
      </w:r>
    </w:p>
    <w:p w:rsidR="00000000" w:rsidRDefault="00000000">
      <w:pPr>
        <w:pStyle w:val="a0"/>
        <w:ind w:left="1550"/>
        <w:rPr>
          <w:rFonts w:hint="eastAsia"/>
        </w:rPr>
      </w:pPr>
      <w:r>
        <w:rPr>
          <w:rFonts w:hint="eastAsia"/>
        </w:rPr>
        <w:t>五金业工人工会，</w:t>
      </w:r>
      <w:r>
        <w:rPr>
          <w:rFonts w:hint="eastAsia"/>
        </w:rPr>
        <w:t>22,000</w:t>
      </w:r>
      <w:r>
        <w:rPr>
          <w:rFonts w:hint="eastAsia"/>
        </w:rPr>
        <w:t>名会员；</w:t>
      </w:r>
    </w:p>
    <w:p w:rsidR="00000000" w:rsidRDefault="00000000">
      <w:pPr>
        <w:pStyle w:val="a0"/>
        <w:ind w:left="1550"/>
        <w:rPr>
          <w:rFonts w:hint="eastAsia"/>
        </w:rPr>
      </w:pPr>
      <w:r>
        <w:rPr>
          <w:rFonts w:hint="eastAsia"/>
        </w:rPr>
        <w:t>林业、食品加工业和造纸业独立工会，</w:t>
      </w:r>
      <w:r>
        <w:rPr>
          <w:rFonts w:hint="eastAsia"/>
        </w:rPr>
        <w:t>17,800</w:t>
      </w:r>
      <w:r>
        <w:rPr>
          <w:rFonts w:hint="eastAsia"/>
        </w:rPr>
        <w:t>名会员；</w:t>
      </w:r>
    </w:p>
    <w:p w:rsidR="00000000" w:rsidRDefault="00000000">
      <w:pPr>
        <w:pStyle w:val="a0"/>
        <w:ind w:left="1550"/>
        <w:rPr>
          <w:rFonts w:hint="eastAsia"/>
        </w:rPr>
      </w:pPr>
      <w:r>
        <w:rPr>
          <w:rFonts w:hint="eastAsia"/>
        </w:rPr>
        <w:t>土木建筑和建筑材料业工会，</w:t>
      </w:r>
      <w:r>
        <w:rPr>
          <w:rFonts w:hint="eastAsia"/>
        </w:rPr>
        <w:t>18,300</w:t>
      </w:r>
      <w:r>
        <w:rPr>
          <w:rFonts w:hint="eastAsia"/>
        </w:rPr>
        <w:t>名会员；</w:t>
      </w:r>
    </w:p>
    <w:p w:rsidR="00000000" w:rsidRDefault="00000000">
      <w:pPr>
        <w:pStyle w:val="a0"/>
        <w:ind w:left="1550"/>
        <w:rPr>
          <w:rFonts w:hint="eastAsia"/>
        </w:rPr>
      </w:pPr>
      <w:r>
        <w:rPr>
          <w:rFonts w:hint="eastAsia"/>
        </w:rPr>
        <w:t>纺织、皮革、鞋类和轮胎业工人工会，</w:t>
      </w:r>
      <w:r>
        <w:rPr>
          <w:rFonts w:hint="eastAsia"/>
        </w:rPr>
        <w:t>18,500</w:t>
      </w:r>
      <w:r>
        <w:rPr>
          <w:rFonts w:hint="eastAsia"/>
        </w:rPr>
        <w:t>名会员；</w:t>
      </w:r>
    </w:p>
    <w:p w:rsidR="00000000" w:rsidRDefault="00000000">
      <w:pPr>
        <w:pStyle w:val="a0"/>
        <w:ind w:left="1550"/>
        <w:rPr>
          <w:rFonts w:hint="eastAsia"/>
        </w:rPr>
      </w:pPr>
      <w:r>
        <w:rPr>
          <w:rFonts w:hint="eastAsia"/>
        </w:rPr>
        <w:t>矿工独立工会，</w:t>
      </w:r>
      <w:r>
        <w:rPr>
          <w:rFonts w:hint="eastAsia"/>
        </w:rPr>
        <w:t>16,000</w:t>
      </w:r>
      <w:r>
        <w:rPr>
          <w:rFonts w:hint="eastAsia"/>
        </w:rPr>
        <w:t>名会员；</w:t>
      </w:r>
    </w:p>
    <w:p w:rsidR="00000000" w:rsidRDefault="00000000">
      <w:pPr>
        <w:pStyle w:val="a0"/>
        <w:ind w:left="1550"/>
        <w:rPr>
          <w:rFonts w:hint="eastAsia"/>
        </w:rPr>
      </w:pPr>
      <w:r>
        <w:rPr>
          <w:rFonts w:hint="eastAsia"/>
        </w:rPr>
        <w:t>制图业工人工会，</w:t>
      </w:r>
      <w:r>
        <w:rPr>
          <w:rFonts w:hint="eastAsia"/>
        </w:rPr>
        <w:t>2,500</w:t>
      </w:r>
      <w:r>
        <w:rPr>
          <w:rFonts w:hint="eastAsia"/>
        </w:rPr>
        <w:t>名会员；</w:t>
      </w:r>
    </w:p>
    <w:p w:rsidR="00000000" w:rsidRDefault="00000000">
      <w:pPr>
        <w:pStyle w:val="a0"/>
        <w:ind w:left="1550"/>
        <w:rPr>
          <w:rFonts w:hint="eastAsia"/>
        </w:rPr>
      </w:pPr>
      <w:r>
        <w:rPr>
          <w:rFonts w:hint="eastAsia"/>
        </w:rPr>
        <w:t>贸易工会，</w:t>
      </w:r>
      <w:r>
        <w:rPr>
          <w:rFonts w:hint="eastAsia"/>
        </w:rPr>
        <w:t>32,000</w:t>
      </w:r>
      <w:r>
        <w:rPr>
          <w:rFonts w:hint="eastAsia"/>
        </w:rPr>
        <w:t>名会员；</w:t>
      </w:r>
    </w:p>
    <w:p w:rsidR="00000000" w:rsidRDefault="00000000">
      <w:pPr>
        <w:pStyle w:val="a0"/>
        <w:ind w:left="1550"/>
        <w:rPr>
          <w:rFonts w:hint="eastAsia"/>
        </w:rPr>
      </w:pPr>
      <w:r>
        <w:rPr>
          <w:rFonts w:hint="eastAsia"/>
        </w:rPr>
        <w:t>公路交通工会，</w:t>
      </w:r>
      <w:r>
        <w:rPr>
          <w:rFonts w:hint="eastAsia"/>
        </w:rPr>
        <w:t>12,000</w:t>
      </w:r>
      <w:r>
        <w:rPr>
          <w:rFonts w:hint="eastAsia"/>
        </w:rPr>
        <w:t>名会员；</w:t>
      </w:r>
    </w:p>
    <w:p w:rsidR="00000000" w:rsidRDefault="00000000">
      <w:pPr>
        <w:pStyle w:val="a0"/>
        <w:ind w:left="1550"/>
        <w:rPr>
          <w:rFonts w:hint="eastAsia"/>
        </w:rPr>
      </w:pPr>
      <w:r>
        <w:rPr>
          <w:rFonts w:hint="eastAsia"/>
        </w:rPr>
        <w:t>炼钢工人工会，</w:t>
      </w:r>
      <w:r>
        <w:rPr>
          <w:rFonts w:hint="eastAsia"/>
        </w:rPr>
        <w:t>7,500</w:t>
      </w:r>
      <w:r>
        <w:rPr>
          <w:rFonts w:hint="eastAsia"/>
        </w:rPr>
        <w:t>名会员；</w:t>
      </w:r>
    </w:p>
    <w:p w:rsidR="00000000" w:rsidRDefault="00000000">
      <w:pPr>
        <w:pStyle w:val="a0"/>
        <w:ind w:left="1550"/>
        <w:rPr>
          <w:rFonts w:hint="eastAsia"/>
        </w:rPr>
      </w:pPr>
      <w:r>
        <w:rPr>
          <w:rFonts w:hint="eastAsia"/>
        </w:rPr>
        <w:t>邮政和电信工会，</w:t>
      </w:r>
      <w:r>
        <w:rPr>
          <w:rFonts w:hint="eastAsia"/>
        </w:rPr>
        <w:t>7,500</w:t>
      </w:r>
      <w:r>
        <w:rPr>
          <w:rFonts w:hint="eastAsia"/>
        </w:rPr>
        <w:t>名会员；</w:t>
      </w:r>
    </w:p>
    <w:p w:rsidR="00000000" w:rsidRDefault="00000000">
      <w:pPr>
        <w:pStyle w:val="a0"/>
        <w:ind w:left="1550"/>
        <w:rPr>
          <w:rFonts w:hint="eastAsia"/>
        </w:rPr>
      </w:pPr>
      <w:r>
        <w:rPr>
          <w:rFonts w:hint="eastAsia"/>
        </w:rPr>
        <w:t>电力设施工人工会，</w:t>
      </w:r>
      <w:r>
        <w:rPr>
          <w:rFonts w:hint="eastAsia"/>
        </w:rPr>
        <w:t>7,500</w:t>
      </w:r>
      <w:r>
        <w:rPr>
          <w:rFonts w:hint="eastAsia"/>
        </w:rPr>
        <w:t>名会员；</w:t>
      </w:r>
    </w:p>
    <w:p w:rsidR="00000000" w:rsidRDefault="00000000">
      <w:pPr>
        <w:pStyle w:val="a0"/>
        <w:ind w:left="1550"/>
        <w:rPr>
          <w:rFonts w:hint="eastAsia"/>
        </w:rPr>
      </w:pPr>
      <w:r>
        <w:rPr>
          <w:rFonts w:hint="eastAsia"/>
        </w:rPr>
        <w:t>化学和非金属业工人工会，</w:t>
      </w:r>
      <w:r>
        <w:rPr>
          <w:rFonts w:hint="eastAsia"/>
        </w:rPr>
        <w:t>4,850</w:t>
      </w:r>
      <w:r>
        <w:rPr>
          <w:rFonts w:hint="eastAsia"/>
        </w:rPr>
        <w:t>名会员；</w:t>
      </w:r>
    </w:p>
    <w:p w:rsidR="00000000" w:rsidRDefault="00000000">
      <w:pPr>
        <w:pStyle w:val="a0"/>
        <w:ind w:left="1550"/>
        <w:rPr>
          <w:rFonts w:hint="eastAsia"/>
        </w:rPr>
      </w:pPr>
      <w:r>
        <w:rPr>
          <w:rFonts w:hint="eastAsia"/>
        </w:rPr>
        <w:t>石油和石油化工业独立工会，</w:t>
      </w:r>
      <w:r>
        <w:rPr>
          <w:rFonts w:hint="eastAsia"/>
        </w:rPr>
        <w:t>1,900</w:t>
      </w:r>
      <w:r>
        <w:rPr>
          <w:rFonts w:hint="eastAsia"/>
        </w:rPr>
        <w:t>名会员；</w:t>
      </w:r>
    </w:p>
    <w:p w:rsidR="00000000" w:rsidRDefault="00000000">
      <w:pPr>
        <w:pStyle w:val="a0"/>
        <w:ind w:left="1550"/>
        <w:rPr>
          <w:rFonts w:hint="eastAsia"/>
        </w:rPr>
      </w:pPr>
      <w:r>
        <w:rPr>
          <w:rFonts w:hint="eastAsia"/>
        </w:rPr>
        <w:t>小学教育和发展独立工会，</w:t>
      </w:r>
      <w:r>
        <w:rPr>
          <w:rFonts w:hint="eastAsia"/>
        </w:rPr>
        <w:t>13,500</w:t>
      </w:r>
      <w:r>
        <w:rPr>
          <w:rFonts w:hint="eastAsia"/>
        </w:rPr>
        <w:t>名会员；</w:t>
      </w:r>
    </w:p>
    <w:p w:rsidR="00000000" w:rsidRDefault="00000000">
      <w:pPr>
        <w:pStyle w:val="a0"/>
        <w:ind w:left="1550"/>
        <w:rPr>
          <w:rFonts w:hint="eastAsia"/>
        </w:rPr>
      </w:pPr>
      <w:r>
        <w:rPr>
          <w:rFonts w:hint="eastAsia"/>
        </w:rPr>
        <w:t>公用事业工人独立工会，</w:t>
      </w:r>
      <w:r>
        <w:rPr>
          <w:rFonts w:hint="eastAsia"/>
        </w:rPr>
        <w:t>7,400</w:t>
      </w:r>
      <w:r>
        <w:rPr>
          <w:rFonts w:hint="eastAsia"/>
        </w:rPr>
        <w:t>名会员；</w:t>
      </w:r>
    </w:p>
    <w:p w:rsidR="00000000" w:rsidRDefault="00000000">
      <w:pPr>
        <w:pStyle w:val="a0"/>
        <w:ind w:left="1550"/>
        <w:rPr>
          <w:rFonts w:hint="eastAsia"/>
        </w:rPr>
      </w:pPr>
      <w:r>
        <w:rPr>
          <w:rFonts w:hint="eastAsia"/>
        </w:rPr>
        <w:t>中学教育工会，</w:t>
      </w:r>
      <w:r>
        <w:rPr>
          <w:rFonts w:hint="eastAsia"/>
        </w:rPr>
        <w:t>7,700</w:t>
      </w:r>
      <w:r>
        <w:rPr>
          <w:rFonts w:hint="eastAsia"/>
        </w:rPr>
        <w:t>名会员；</w:t>
      </w:r>
    </w:p>
    <w:p w:rsidR="00000000" w:rsidRDefault="00000000">
      <w:pPr>
        <w:pStyle w:val="a0"/>
        <w:ind w:left="1550"/>
        <w:rPr>
          <w:rFonts w:hint="eastAsia"/>
        </w:rPr>
      </w:pPr>
      <w:r>
        <w:rPr>
          <w:rFonts w:hint="eastAsia"/>
        </w:rPr>
        <w:t>公共行政和司法官员独立工会，</w:t>
      </w:r>
      <w:r>
        <w:rPr>
          <w:rFonts w:hint="eastAsia"/>
        </w:rPr>
        <w:t>19,500</w:t>
      </w:r>
      <w:r>
        <w:rPr>
          <w:rFonts w:hint="eastAsia"/>
        </w:rPr>
        <w:t>名会员；</w:t>
      </w:r>
    </w:p>
    <w:p w:rsidR="00000000" w:rsidRDefault="00000000">
      <w:pPr>
        <w:pStyle w:val="a0"/>
        <w:ind w:left="1550"/>
        <w:rPr>
          <w:rFonts w:hint="eastAsia"/>
        </w:rPr>
      </w:pPr>
      <w:r>
        <w:rPr>
          <w:rFonts w:hint="eastAsia"/>
        </w:rPr>
        <w:t>财政工会，</w:t>
      </w:r>
      <w:r>
        <w:rPr>
          <w:rFonts w:hint="eastAsia"/>
        </w:rPr>
        <w:t>7,100</w:t>
      </w:r>
      <w:r>
        <w:rPr>
          <w:rFonts w:hint="eastAsia"/>
        </w:rPr>
        <w:t>名会员；</w:t>
      </w:r>
    </w:p>
    <w:p w:rsidR="00000000" w:rsidRDefault="00000000">
      <w:pPr>
        <w:pStyle w:val="a0"/>
        <w:ind w:left="1550"/>
        <w:rPr>
          <w:rFonts w:hint="eastAsia"/>
        </w:rPr>
      </w:pPr>
      <w:r>
        <w:rPr>
          <w:rFonts w:hint="eastAsia"/>
        </w:rPr>
        <w:t>新闻工作者工会，</w:t>
      </w:r>
      <w:r>
        <w:rPr>
          <w:rFonts w:hint="eastAsia"/>
        </w:rPr>
        <w:t>2,500</w:t>
      </w:r>
      <w:r>
        <w:rPr>
          <w:rFonts w:hint="eastAsia"/>
        </w:rPr>
        <w:t>名会员；</w:t>
      </w:r>
    </w:p>
    <w:p w:rsidR="00000000" w:rsidRDefault="00000000">
      <w:pPr>
        <w:pStyle w:val="a0"/>
        <w:ind w:left="1550"/>
        <w:rPr>
          <w:rFonts w:hint="eastAsia"/>
        </w:rPr>
      </w:pPr>
      <w:r>
        <w:rPr>
          <w:rFonts w:hint="eastAsia"/>
        </w:rPr>
        <w:t>警察工会联合会，</w:t>
      </w:r>
      <w:r>
        <w:rPr>
          <w:rFonts w:hint="eastAsia"/>
        </w:rPr>
        <w:t>11,300</w:t>
      </w:r>
      <w:r>
        <w:rPr>
          <w:rFonts w:hint="eastAsia"/>
        </w:rPr>
        <w:t>名会员；</w:t>
      </w:r>
    </w:p>
    <w:p w:rsidR="00000000" w:rsidRDefault="00000000">
      <w:pPr>
        <w:pStyle w:val="a0"/>
        <w:ind w:left="1550"/>
        <w:rPr>
          <w:rFonts w:hint="eastAsia"/>
        </w:rPr>
      </w:pPr>
      <w:r>
        <w:rPr>
          <w:rFonts w:hint="eastAsia"/>
        </w:rPr>
        <w:t>卫生工作者独立工会，</w:t>
      </w:r>
      <w:r>
        <w:rPr>
          <w:rFonts w:hint="eastAsia"/>
        </w:rPr>
        <w:t>17,500</w:t>
      </w:r>
      <w:r>
        <w:rPr>
          <w:rFonts w:hint="eastAsia"/>
        </w:rPr>
        <w:t>名会员。</w:t>
      </w:r>
    </w:p>
    <w:p w:rsidR="00000000" w:rsidRDefault="00000000">
      <w:pPr>
        <w:rPr>
          <w:rFonts w:hint="eastAsia"/>
        </w:rPr>
      </w:pPr>
      <w:r>
        <w:rPr>
          <w:rFonts w:hint="eastAsia"/>
        </w:rPr>
        <w:tab/>
      </w:r>
      <w:r>
        <w:rPr>
          <w:rFonts w:hint="eastAsia"/>
        </w:rPr>
        <w:t>联盟中的会员总数为</w:t>
      </w:r>
      <w:r>
        <w:rPr>
          <w:rFonts w:hint="eastAsia"/>
        </w:rPr>
        <w:t>277,450</w:t>
      </w:r>
      <w:r>
        <w:rPr>
          <w:rFonts w:hint="eastAsia"/>
        </w:rPr>
        <w:t>人。</w:t>
      </w:r>
    </w:p>
    <w:p w:rsidR="00000000" w:rsidRDefault="00000000">
      <w:pPr>
        <w:rPr>
          <w:rFonts w:hint="eastAsia"/>
        </w:rPr>
      </w:pPr>
      <w:r>
        <w:rPr>
          <w:rFonts w:hint="eastAsia"/>
        </w:rPr>
        <w:tab/>
        <w:t xml:space="preserve">186.  </w:t>
      </w:r>
      <w:r>
        <w:rPr>
          <w:rFonts w:hint="eastAsia"/>
        </w:rPr>
        <w:t>在塞族共和国，在工会联合会之下，组织了</w:t>
      </w:r>
      <w:r>
        <w:rPr>
          <w:rFonts w:hint="eastAsia"/>
        </w:rPr>
        <w:t>15</w:t>
      </w:r>
      <w:r>
        <w:rPr>
          <w:rFonts w:hint="eastAsia"/>
        </w:rPr>
        <w:t>个部门性工会，成员如下：</w:t>
      </w:r>
    </w:p>
    <w:p w:rsidR="00000000" w:rsidRDefault="00000000">
      <w:pPr>
        <w:pStyle w:val="a0"/>
        <w:ind w:left="1550"/>
        <w:rPr>
          <w:rFonts w:hint="eastAsia"/>
        </w:rPr>
      </w:pPr>
      <w:r>
        <w:rPr>
          <w:rFonts w:hint="eastAsia"/>
        </w:rPr>
        <w:t>五金和采矿业工人工会，</w:t>
      </w:r>
      <w:r>
        <w:rPr>
          <w:rFonts w:hint="eastAsia"/>
        </w:rPr>
        <w:t>4,000</w:t>
      </w:r>
      <w:r>
        <w:rPr>
          <w:rFonts w:hint="eastAsia"/>
        </w:rPr>
        <w:t>名会员；</w:t>
      </w:r>
    </w:p>
    <w:p w:rsidR="00000000" w:rsidRDefault="00000000">
      <w:pPr>
        <w:pStyle w:val="a0"/>
        <w:ind w:left="1550"/>
        <w:rPr>
          <w:rFonts w:hint="eastAsia"/>
        </w:rPr>
      </w:pPr>
      <w:r>
        <w:rPr>
          <w:rFonts w:hint="eastAsia"/>
        </w:rPr>
        <w:t>贸易、餐饮和旅游业工人工会，</w:t>
      </w:r>
      <w:r>
        <w:rPr>
          <w:rFonts w:hint="eastAsia"/>
        </w:rPr>
        <w:t>12,500</w:t>
      </w:r>
      <w:r>
        <w:rPr>
          <w:rFonts w:hint="eastAsia"/>
        </w:rPr>
        <w:t>名会员；</w:t>
      </w:r>
    </w:p>
    <w:p w:rsidR="00000000" w:rsidRDefault="00000000">
      <w:pPr>
        <w:pStyle w:val="a0"/>
        <w:ind w:left="1550"/>
        <w:rPr>
          <w:rFonts w:hint="eastAsia"/>
        </w:rPr>
      </w:pPr>
      <w:r>
        <w:rPr>
          <w:rFonts w:hint="eastAsia"/>
        </w:rPr>
        <w:t>卫生工作者工会，</w:t>
      </w:r>
      <w:r>
        <w:rPr>
          <w:rFonts w:hint="eastAsia"/>
        </w:rPr>
        <w:t>12,000</w:t>
      </w:r>
      <w:r>
        <w:rPr>
          <w:rFonts w:hint="eastAsia"/>
        </w:rPr>
        <w:t>名会员；</w:t>
      </w:r>
    </w:p>
    <w:p w:rsidR="00000000" w:rsidRDefault="00000000">
      <w:pPr>
        <w:pStyle w:val="a0"/>
        <w:ind w:left="1550"/>
        <w:rPr>
          <w:rFonts w:hint="eastAsia"/>
        </w:rPr>
      </w:pPr>
      <w:r>
        <w:rPr>
          <w:rFonts w:hint="eastAsia"/>
        </w:rPr>
        <w:t>教育、科学和文化工作者工会，</w:t>
      </w:r>
      <w:r>
        <w:rPr>
          <w:rFonts w:hint="eastAsia"/>
        </w:rPr>
        <w:t>17,750</w:t>
      </w:r>
      <w:r>
        <w:rPr>
          <w:rFonts w:hint="eastAsia"/>
        </w:rPr>
        <w:t>名会员；</w:t>
      </w:r>
    </w:p>
    <w:p w:rsidR="00000000" w:rsidRDefault="00000000">
      <w:pPr>
        <w:pStyle w:val="a0"/>
        <w:ind w:left="1550"/>
        <w:rPr>
          <w:rFonts w:hint="eastAsia"/>
        </w:rPr>
      </w:pPr>
      <w:r>
        <w:rPr>
          <w:rFonts w:hint="eastAsia"/>
        </w:rPr>
        <w:t>林业、木材加工业和造纸业工人工会，</w:t>
      </w:r>
      <w:r>
        <w:rPr>
          <w:rFonts w:hint="eastAsia"/>
        </w:rPr>
        <w:t>12,000</w:t>
      </w:r>
      <w:r>
        <w:rPr>
          <w:rFonts w:hint="eastAsia"/>
        </w:rPr>
        <w:t>名会员；</w:t>
      </w:r>
    </w:p>
    <w:p w:rsidR="00000000" w:rsidRDefault="00000000">
      <w:pPr>
        <w:pStyle w:val="a0"/>
        <w:ind w:left="1550"/>
        <w:rPr>
          <w:rFonts w:hint="eastAsia"/>
        </w:rPr>
      </w:pPr>
      <w:r>
        <w:rPr>
          <w:rFonts w:hint="eastAsia"/>
        </w:rPr>
        <w:t>信息和制图业工人工会，</w:t>
      </w:r>
      <w:r>
        <w:rPr>
          <w:rFonts w:hint="eastAsia"/>
        </w:rPr>
        <w:t>2,000</w:t>
      </w:r>
      <w:r>
        <w:rPr>
          <w:rFonts w:hint="eastAsia"/>
        </w:rPr>
        <w:t>名会员；</w:t>
      </w:r>
    </w:p>
    <w:p w:rsidR="00000000" w:rsidRDefault="00000000">
      <w:pPr>
        <w:pStyle w:val="a0"/>
        <w:ind w:left="1550"/>
        <w:rPr>
          <w:rFonts w:hint="eastAsia"/>
        </w:rPr>
      </w:pPr>
      <w:r>
        <w:rPr>
          <w:rFonts w:hint="eastAsia"/>
        </w:rPr>
        <w:t>土木建设、住宅和公用事业工人工会，</w:t>
      </w:r>
      <w:r>
        <w:rPr>
          <w:rFonts w:hint="eastAsia"/>
        </w:rPr>
        <w:t>14,700</w:t>
      </w:r>
      <w:r>
        <w:rPr>
          <w:rFonts w:hint="eastAsia"/>
        </w:rPr>
        <w:t>名会员；</w:t>
      </w:r>
    </w:p>
    <w:p w:rsidR="00000000" w:rsidRDefault="00000000">
      <w:pPr>
        <w:pStyle w:val="a0"/>
        <w:ind w:left="1550"/>
        <w:rPr>
          <w:rFonts w:hint="eastAsia"/>
        </w:rPr>
      </w:pPr>
      <w:r>
        <w:rPr>
          <w:rFonts w:hint="eastAsia"/>
        </w:rPr>
        <w:t>运输和通讯工人工会，</w:t>
      </w:r>
      <w:r>
        <w:rPr>
          <w:rFonts w:hint="eastAsia"/>
        </w:rPr>
        <w:t>32,000</w:t>
      </w:r>
      <w:r>
        <w:rPr>
          <w:rFonts w:hint="eastAsia"/>
        </w:rPr>
        <w:t>名会员；</w:t>
      </w:r>
    </w:p>
    <w:p w:rsidR="00000000" w:rsidRDefault="00000000">
      <w:pPr>
        <w:pStyle w:val="a0"/>
        <w:ind w:left="1550"/>
        <w:rPr>
          <w:rFonts w:hint="eastAsia"/>
        </w:rPr>
      </w:pPr>
      <w:r>
        <w:rPr>
          <w:rFonts w:hint="eastAsia"/>
        </w:rPr>
        <w:t>行政管理人员工会，</w:t>
      </w:r>
      <w:r>
        <w:rPr>
          <w:rFonts w:hint="eastAsia"/>
        </w:rPr>
        <w:t>4,750</w:t>
      </w:r>
      <w:r>
        <w:rPr>
          <w:rFonts w:hint="eastAsia"/>
        </w:rPr>
        <w:t>名会员；</w:t>
      </w:r>
    </w:p>
    <w:p w:rsidR="00000000" w:rsidRDefault="00000000">
      <w:pPr>
        <w:pStyle w:val="a0"/>
        <w:ind w:left="1550"/>
        <w:rPr>
          <w:rFonts w:hint="eastAsia"/>
        </w:rPr>
      </w:pPr>
      <w:r>
        <w:rPr>
          <w:rFonts w:hint="eastAsia"/>
        </w:rPr>
        <w:t>法律工作者工会，</w:t>
      </w:r>
      <w:r>
        <w:rPr>
          <w:rFonts w:hint="eastAsia"/>
        </w:rPr>
        <w:t>2,000</w:t>
      </w:r>
      <w:r>
        <w:rPr>
          <w:rFonts w:hint="eastAsia"/>
        </w:rPr>
        <w:t>名会员；</w:t>
      </w:r>
    </w:p>
    <w:p w:rsidR="00000000" w:rsidRDefault="00000000">
      <w:pPr>
        <w:pStyle w:val="a0"/>
        <w:ind w:left="1550"/>
        <w:rPr>
          <w:rFonts w:hint="eastAsia"/>
        </w:rPr>
      </w:pPr>
      <w:r>
        <w:rPr>
          <w:rFonts w:hint="eastAsia"/>
        </w:rPr>
        <w:t>农业和食品加工业工人工会，</w:t>
      </w:r>
      <w:r>
        <w:rPr>
          <w:rFonts w:hint="eastAsia"/>
        </w:rPr>
        <w:t>10,190</w:t>
      </w:r>
      <w:r>
        <w:rPr>
          <w:rFonts w:hint="eastAsia"/>
        </w:rPr>
        <w:t>名会员；</w:t>
      </w:r>
    </w:p>
    <w:p w:rsidR="00000000" w:rsidRDefault="00000000">
      <w:pPr>
        <w:pStyle w:val="a0"/>
        <w:ind w:left="1550"/>
        <w:rPr>
          <w:rFonts w:hint="eastAsia"/>
        </w:rPr>
      </w:pPr>
      <w:r>
        <w:rPr>
          <w:rFonts w:hint="eastAsia"/>
        </w:rPr>
        <w:t>内政部工作人员工会，</w:t>
      </w:r>
      <w:r>
        <w:rPr>
          <w:rFonts w:hint="eastAsia"/>
        </w:rPr>
        <w:t>8,000</w:t>
      </w:r>
      <w:r>
        <w:rPr>
          <w:rFonts w:hint="eastAsia"/>
        </w:rPr>
        <w:t>名会员；</w:t>
      </w:r>
    </w:p>
    <w:p w:rsidR="00000000" w:rsidRDefault="00000000">
      <w:pPr>
        <w:pStyle w:val="a0"/>
        <w:ind w:left="1550"/>
        <w:rPr>
          <w:rFonts w:hint="eastAsia"/>
        </w:rPr>
      </w:pPr>
      <w:r>
        <w:rPr>
          <w:rFonts w:hint="eastAsia"/>
        </w:rPr>
        <w:t>财政组织工作人员工会，</w:t>
      </w:r>
      <w:r>
        <w:rPr>
          <w:rFonts w:hint="eastAsia"/>
        </w:rPr>
        <w:t>2,500</w:t>
      </w:r>
      <w:r>
        <w:rPr>
          <w:rFonts w:hint="eastAsia"/>
        </w:rPr>
        <w:t>名会员；</w:t>
      </w:r>
    </w:p>
    <w:p w:rsidR="00000000" w:rsidRDefault="00000000">
      <w:pPr>
        <w:pStyle w:val="a0"/>
        <w:ind w:left="1550"/>
        <w:rPr>
          <w:rFonts w:hint="eastAsia"/>
        </w:rPr>
      </w:pPr>
      <w:r>
        <w:rPr>
          <w:rFonts w:hint="eastAsia"/>
        </w:rPr>
        <w:t>纺织、皮革和鞋类工人工会，</w:t>
      </w:r>
      <w:r>
        <w:rPr>
          <w:rFonts w:hint="eastAsia"/>
        </w:rPr>
        <w:t>19,000</w:t>
      </w:r>
      <w:r>
        <w:rPr>
          <w:rFonts w:hint="eastAsia"/>
        </w:rPr>
        <w:t>名会员；</w:t>
      </w:r>
    </w:p>
    <w:p w:rsidR="00000000" w:rsidRDefault="00000000">
      <w:pPr>
        <w:pStyle w:val="a0"/>
        <w:ind w:left="1550"/>
        <w:rPr>
          <w:rFonts w:hint="eastAsia"/>
        </w:rPr>
      </w:pPr>
      <w:r>
        <w:rPr>
          <w:rFonts w:hint="eastAsia"/>
        </w:rPr>
        <w:t>电力设施工人工会，</w:t>
      </w:r>
      <w:r>
        <w:rPr>
          <w:rFonts w:hint="eastAsia"/>
        </w:rPr>
        <w:t>11,000</w:t>
      </w:r>
      <w:r>
        <w:rPr>
          <w:rFonts w:hint="eastAsia"/>
        </w:rPr>
        <w:t>名会员。</w:t>
      </w:r>
    </w:p>
    <w:p w:rsidR="00000000" w:rsidRDefault="00000000">
      <w:pPr>
        <w:rPr>
          <w:rFonts w:hint="eastAsia"/>
        </w:rPr>
      </w:pPr>
      <w:r>
        <w:rPr>
          <w:rFonts w:hint="eastAsia"/>
        </w:rPr>
        <w:tab/>
      </w:r>
      <w:r>
        <w:rPr>
          <w:rFonts w:hint="eastAsia"/>
        </w:rPr>
        <w:t>塞族共和国工会会员总人数为</w:t>
      </w:r>
      <w:r>
        <w:rPr>
          <w:rFonts w:hint="eastAsia"/>
        </w:rPr>
        <w:t>201,190</w:t>
      </w:r>
      <w:r>
        <w:rPr>
          <w:rFonts w:hint="eastAsia"/>
        </w:rPr>
        <w:t>人。</w:t>
      </w:r>
    </w:p>
    <w:p w:rsidR="00000000" w:rsidRDefault="00000000">
      <w:pPr>
        <w:rPr>
          <w:rFonts w:hint="eastAsia"/>
        </w:rPr>
      </w:pPr>
      <w:r>
        <w:rPr>
          <w:rFonts w:hint="eastAsia"/>
        </w:rPr>
        <w:tab/>
        <w:t xml:space="preserve">187.  </w:t>
      </w:r>
      <w:r>
        <w:rPr>
          <w:rFonts w:hint="eastAsia"/>
        </w:rPr>
        <w:t>存在某些罢工限制，以保证在某些工作领域维持最低限度的活动，同时有义务向雇主适当通报罢工。</w:t>
      </w:r>
    </w:p>
    <w:p w:rsidR="00000000" w:rsidRDefault="00000000">
      <w:pPr>
        <w:rPr>
          <w:rFonts w:hint="eastAsia"/>
        </w:rPr>
      </w:pPr>
      <w:r>
        <w:rPr>
          <w:rFonts w:hint="eastAsia"/>
        </w:rPr>
        <w:tab/>
        <w:t xml:space="preserve">188.  </w:t>
      </w:r>
      <w:r>
        <w:rPr>
          <w:rFonts w:hint="eastAsia"/>
        </w:rPr>
        <w:t>在布尔奇科区，根据</w:t>
      </w:r>
      <w:r>
        <w:rPr>
          <w:rFonts w:hint="eastAsia"/>
        </w:rPr>
        <w:t>2000</w:t>
      </w:r>
      <w:r>
        <w:rPr>
          <w:rFonts w:hint="eastAsia"/>
        </w:rPr>
        <w:t>年</w:t>
      </w:r>
      <w:r>
        <w:rPr>
          <w:rFonts w:hint="eastAsia"/>
        </w:rPr>
        <w:t>5</w:t>
      </w:r>
      <w:r>
        <w:rPr>
          <w:rFonts w:hint="eastAsia"/>
        </w:rPr>
        <w:t>月</w:t>
      </w:r>
      <w:r>
        <w:rPr>
          <w:rFonts w:hint="eastAsia"/>
        </w:rPr>
        <w:t>25</w:t>
      </w:r>
      <w:r>
        <w:rPr>
          <w:rFonts w:hint="eastAsia"/>
        </w:rPr>
        <w:t>日与波斯尼亚和黑塞哥维那独立工会联合会和塞族共和国独立工会联合会的协议，于</w:t>
      </w:r>
      <w:r>
        <w:rPr>
          <w:rFonts w:hint="eastAsia"/>
        </w:rPr>
        <w:t>2001</w:t>
      </w:r>
      <w:r>
        <w:rPr>
          <w:rFonts w:hint="eastAsia"/>
        </w:rPr>
        <w:t>年</w:t>
      </w:r>
      <w:r>
        <w:rPr>
          <w:rFonts w:hint="eastAsia"/>
        </w:rPr>
        <w:t>2</w:t>
      </w:r>
      <w:r>
        <w:rPr>
          <w:rFonts w:hint="eastAsia"/>
        </w:rPr>
        <w:t>月</w:t>
      </w:r>
      <w:r>
        <w:rPr>
          <w:rFonts w:hint="eastAsia"/>
        </w:rPr>
        <w:t>7</w:t>
      </w:r>
      <w:r>
        <w:rPr>
          <w:rFonts w:hint="eastAsia"/>
        </w:rPr>
        <w:t>日组成了工会，这是工人的一个自愿利益组织。它独立于国家当局、雇主、政党、宗教团体和机构以及其他组织，包括其他工会。</w:t>
      </w:r>
    </w:p>
    <w:p w:rsidR="00000000" w:rsidRDefault="00000000">
      <w:pPr>
        <w:rPr>
          <w:rFonts w:hint="eastAsia"/>
        </w:rPr>
      </w:pPr>
      <w:r>
        <w:rPr>
          <w:rFonts w:hint="eastAsia"/>
        </w:rPr>
        <w:tab/>
        <w:t xml:space="preserve">189.  </w:t>
      </w:r>
      <w:r>
        <w:rPr>
          <w:rFonts w:hint="eastAsia"/>
        </w:rPr>
        <w:t>布尔奇科区工会同意从平等、互利和团结的原则出发，计划，协调和执行其会员共同关心的任务和活动。它还与实体工会和前南斯拉夫社会主义联邦共和国工会合作，并与欧洲和世界范围的工会合作，以加强工会之间的合作。它通过合法开展各类工会活动，推行其方案目标和任务，首先是发表意见，提出倡议和建议，进行集体谈判，要求有关人员辞职以及组织抗议活动</w:t>
      </w:r>
      <w:r>
        <w:rPr>
          <w:rFonts w:hint="eastAsia"/>
        </w:rPr>
        <w:t>(</w:t>
      </w:r>
      <w:r>
        <w:rPr>
          <w:rFonts w:hint="eastAsia"/>
        </w:rPr>
        <w:t>包括罢工</w:t>
      </w:r>
      <w:r>
        <w:rPr>
          <w:rFonts w:hint="eastAsia"/>
        </w:rPr>
        <w:t>)</w:t>
      </w:r>
      <w:r>
        <w:rPr>
          <w:rFonts w:hint="eastAsia"/>
        </w:rPr>
        <w:t>。</w:t>
      </w:r>
    </w:p>
    <w:p w:rsidR="00000000" w:rsidRDefault="00000000">
      <w:pPr>
        <w:rPr>
          <w:rFonts w:hint="eastAsia"/>
        </w:rPr>
      </w:pPr>
      <w:r>
        <w:rPr>
          <w:rFonts w:hint="eastAsia"/>
        </w:rPr>
        <w:tab/>
        <w:t xml:space="preserve">190.  </w:t>
      </w:r>
      <w:r>
        <w:rPr>
          <w:rFonts w:hint="eastAsia"/>
        </w:rPr>
        <w:t>参加工会是自愿的。在所有就业人员中，有</w:t>
      </w:r>
      <w:r>
        <w:rPr>
          <w:rFonts w:hint="eastAsia"/>
        </w:rPr>
        <w:t>20%</w:t>
      </w:r>
      <w:r>
        <w:rPr>
          <w:rFonts w:hint="eastAsia"/>
        </w:rPr>
        <w:t>为工会会员，会员交纳其净工资的</w:t>
      </w:r>
      <w:r>
        <w:rPr>
          <w:rFonts w:hint="eastAsia"/>
        </w:rPr>
        <w:t>1%</w:t>
      </w:r>
      <w:r>
        <w:rPr>
          <w:rFonts w:hint="eastAsia"/>
        </w:rPr>
        <w:t>，资助工会组织的基础设施，支付其全部有形和无形开支、报销、工会合作、法律保护、教育和其他需要。会费总额的一半用于其会员的社会福利需要。去年会员人数增加了，这一趋势还在继续。</w:t>
      </w:r>
    </w:p>
    <w:p w:rsidR="00000000" w:rsidRDefault="00000000">
      <w:pPr>
        <w:rPr>
          <w:rFonts w:hint="eastAsia"/>
        </w:rPr>
      </w:pPr>
      <w:r>
        <w:rPr>
          <w:rFonts w:hint="eastAsia"/>
        </w:rPr>
        <w:tab/>
        <w:t xml:space="preserve">191.  </w:t>
      </w:r>
      <w:r>
        <w:rPr>
          <w:rFonts w:hint="eastAsia"/>
        </w:rPr>
        <w:t>工会会员同时也是波斯尼亚和黑塞哥维那独立工会联盟和塞族共和国工会联盟的部门工会的会员。私人雇主不能成为工会会员。企业、机构或其他法律实体的管理人员</w:t>
      </w:r>
      <w:r>
        <w:rPr>
          <w:rFonts w:hint="eastAsia"/>
        </w:rPr>
        <w:t>(</w:t>
      </w:r>
      <w:r>
        <w:rPr>
          <w:rFonts w:hint="eastAsia"/>
        </w:rPr>
        <w:t>非工会代表</w:t>
      </w:r>
      <w:r>
        <w:rPr>
          <w:rFonts w:hint="eastAsia"/>
        </w:rPr>
        <w:t>)</w:t>
      </w:r>
      <w:r>
        <w:rPr>
          <w:rFonts w:hint="eastAsia"/>
        </w:rPr>
        <w:t>在担任管理职位期间放弃工会权利。</w:t>
      </w:r>
    </w:p>
    <w:p w:rsidR="00000000" w:rsidRDefault="00000000">
      <w:pPr>
        <w:rPr>
          <w:rFonts w:hint="eastAsia"/>
        </w:rPr>
      </w:pPr>
      <w:r>
        <w:rPr>
          <w:rFonts w:hint="eastAsia"/>
        </w:rPr>
        <w:tab/>
        <w:t xml:space="preserve">192.  </w:t>
      </w:r>
      <w:r>
        <w:rPr>
          <w:rFonts w:hint="eastAsia"/>
        </w:rPr>
        <w:t>工会关注通过法律，主要是《劳动法》，以及监督私有化进程，维护劳工的法律利益。同时，它还致力于创造有利环境，促进签署《布尔奇科区集体总合同》，在议会大厅里保留一个工会观察员的座席，他定期收到各类讨论文件。工会还关心工人的休假条件、康复和娱乐，并提供取暖和冬季食品储存。</w:t>
      </w:r>
    </w:p>
    <w:p w:rsidR="00000000" w:rsidRDefault="00000000">
      <w:pPr>
        <w:spacing w:after="320"/>
        <w:rPr>
          <w:rFonts w:hint="eastAsia"/>
        </w:rPr>
      </w:pPr>
      <w:r>
        <w:rPr>
          <w:rFonts w:hint="eastAsia"/>
        </w:rPr>
        <w:tab/>
        <w:t xml:space="preserve">193.  </w:t>
      </w:r>
      <w:r>
        <w:rPr>
          <w:rFonts w:hint="eastAsia"/>
        </w:rPr>
        <w:t>工会对信息和会员的教育给予特别关注，工会就过渡进程中对工人和工会都很重要的主题举办研讨会。我们承认，工会应更为积极地推动提高就业者的地位，不管是在工资的增长上还是在工人或雇员应当享有的其他福利上。</w:t>
      </w:r>
    </w:p>
    <w:p w:rsidR="00000000" w:rsidRDefault="00000000">
      <w:pPr>
        <w:pStyle w:val="a3"/>
        <w:rPr>
          <w:rFonts w:hint="eastAsia"/>
        </w:rPr>
      </w:pPr>
      <w:r>
        <w:rPr>
          <w:rFonts w:hint="eastAsia"/>
        </w:rPr>
        <w:t>第</w:t>
      </w:r>
      <w:r>
        <w:rPr>
          <w:rFonts w:hint="eastAsia"/>
        </w:rPr>
        <w:t xml:space="preserve"> 9 </w:t>
      </w:r>
      <w:r>
        <w:rPr>
          <w:rFonts w:hint="eastAsia"/>
        </w:rPr>
        <w:t>条</w:t>
      </w:r>
    </w:p>
    <w:p w:rsidR="00000000" w:rsidRDefault="00000000">
      <w:pPr>
        <w:pStyle w:val="Heading4"/>
        <w:rPr>
          <w:rFonts w:hint="eastAsia"/>
        </w:rPr>
      </w:pPr>
      <w:r>
        <w:rPr>
          <w:rFonts w:hint="eastAsia"/>
        </w:rPr>
        <w:t>国际文书</w:t>
      </w:r>
    </w:p>
    <w:p w:rsidR="00000000" w:rsidRDefault="00000000">
      <w:pPr>
        <w:rPr>
          <w:rFonts w:hint="eastAsia"/>
        </w:rPr>
      </w:pPr>
      <w:r>
        <w:rPr>
          <w:rFonts w:hint="eastAsia"/>
        </w:rPr>
        <w:tab/>
        <w:t xml:space="preserve">194.  </w:t>
      </w:r>
      <w:r>
        <w:rPr>
          <w:rFonts w:hint="eastAsia"/>
        </w:rPr>
        <w:t>波斯尼亚和黑塞哥维那加入了</w:t>
      </w:r>
      <w:r>
        <w:rPr>
          <w:rFonts w:hint="eastAsia"/>
        </w:rPr>
        <w:t>15</w:t>
      </w:r>
      <w:r>
        <w:rPr>
          <w:rFonts w:hint="eastAsia"/>
        </w:rPr>
        <w:t>项国际人权公约，其中有</w:t>
      </w:r>
      <w:r>
        <w:rPr>
          <w:rFonts w:hint="eastAsia"/>
        </w:rPr>
        <w:t>6</w:t>
      </w:r>
      <w:r>
        <w:rPr>
          <w:rFonts w:hint="eastAsia"/>
        </w:rPr>
        <w:t>项直接涉及人权和社会权利。这些关于人权的国际资源是波斯尼亚和黑塞哥维那宪法的组成部分，具有宪法条款的法律效力。</w:t>
      </w:r>
    </w:p>
    <w:p w:rsidR="00000000" w:rsidRDefault="00000000">
      <w:pPr>
        <w:spacing w:after="320"/>
        <w:rPr>
          <w:rFonts w:hint="eastAsia"/>
        </w:rPr>
      </w:pPr>
      <w:r>
        <w:rPr>
          <w:rFonts w:hint="eastAsia"/>
        </w:rPr>
        <w:tab/>
        <w:t xml:space="preserve">195.  </w:t>
      </w:r>
      <w:r>
        <w:rPr>
          <w:rFonts w:hint="eastAsia"/>
        </w:rPr>
        <w:t>波斯尼亚和黑塞哥维那依据《继承通知法》，通过双边渠道，加入了</w:t>
      </w:r>
      <w:r>
        <w:rPr>
          <w:rFonts w:hint="eastAsia"/>
        </w:rPr>
        <w:t>18</w:t>
      </w:r>
      <w:r>
        <w:rPr>
          <w:rFonts w:hint="eastAsia"/>
        </w:rPr>
        <w:t>项有关社会保障的公约。波斯尼亚和黑塞哥维那还重新签署并批准了与奥地利和克罗地亚达成的社会福利公约，并与塞尔维亚和黑山，以及马其顿和土耳其签署了公约，与后者签订的几项公约正在批准之中。根据波斯尼亚和黑塞哥维那宪法，社会福利归各个实体和布尔奇科区主管。</w:t>
      </w:r>
    </w:p>
    <w:p w:rsidR="00000000" w:rsidRDefault="00000000">
      <w:pPr>
        <w:pStyle w:val="Heading4"/>
        <w:rPr>
          <w:rFonts w:hint="eastAsia"/>
        </w:rPr>
      </w:pPr>
      <w:r>
        <w:rPr>
          <w:rFonts w:hint="eastAsia"/>
        </w:rPr>
        <w:t>社会保障</w:t>
      </w:r>
    </w:p>
    <w:p w:rsidR="00000000" w:rsidRDefault="00000000">
      <w:pPr>
        <w:rPr>
          <w:rFonts w:hint="eastAsia"/>
        </w:rPr>
      </w:pPr>
      <w:r>
        <w:rPr>
          <w:rFonts w:hint="eastAsia"/>
        </w:rPr>
        <w:tab/>
        <w:t xml:space="preserve">196.  </w:t>
      </w:r>
      <w:r>
        <w:rPr>
          <w:rFonts w:hint="eastAsia"/>
        </w:rPr>
        <w:t>波斯尼亚和黑塞哥维那通过社会保障、卫生保健和养恤金及残疾保护，为每个人提供了社会福利和社会保险权。</w:t>
      </w:r>
    </w:p>
    <w:p w:rsidR="00000000" w:rsidRDefault="00000000">
      <w:pPr>
        <w:rPr>
          <w:rFonts w:hint="eastAsia"/>
        </w:rPr>
      </w:pPr>
      <w:r>
        <w:rPr>
          <w:rFonts w:hint="eastAsia"/>
        </w:rPr>
        <w:tab/>
        <w:t xml:space="preserve">197.  </w:t>
      </w:r>
      <w:r>
        <w:rPr>
          <w:rFonts w:hint="eastAsia"/>
        </w:rPr>
        <w:t>波斯尼亚和黑塞哥维那承担着下列社会福利职责：医疗保护；患病</w:t>
      </w:r>
      <w:r>
        <w:rPr>
          <w:rFonts w:hint="eastAsia"/>
        </w:rPr>
        <w:t>(</w:t>
      </w:r>
      <w:r>
        <w:rPr>
          <w:rFonts w:hint="eastAsia"/>
        </w:rPr>
        <w:t>暂时丧失工作能力</w:t>
      </w:r>
      <w:r>
        <w:rPr>
          <w:rFonts w:hint="eastAsia"/>
        </w:rPr>
        <w:t>)</w:t>
      </w:r>
      <w:r>
        <w:rPr>
          <w:rFonts w:hint="eastAsia"/>
        </w:rPr>
        <w:t>时的现金补偿；产妇补偿金；退休补偿金；残疾人补偿金；社会福利；和儿童福利。</w:t>
      </w:r>
    </w:p>
    <w:p w:rsidR="00000000" w:rsidRDefault="00000000">
      <w:pPr>
        <w:rPr>
          <w:rFonts w:hint="eastAsia"/>
        </w:rPr>
      </w:pPr>
      <w:r>
        <w:rPr>
          <w:rFonts w:hint="eastAsia"/>
        </w:rPr>
        <w:tab/>
        <w:t xml:space="preserve">198.  </w:t>
      </w:r>
      <w:r>
        <w:rPr>
          <w:rFonts w:hint="eastAsia"/>
        </w:rPr>
        <w:t>为波斯尼亚和黑塞哥维那公民提供的基本社会保障权，包括若干现款和其他形式的援助。物质供给</w:t>
      </w:r>
      <w:r>
        <w:rPr>
          <w:rFonts w:hint="eastAsia"/>
        </w:rPr>
        <w:t>(</w:t>
      </w:r>
      <w:r>
        <w:rPr>
          <w:rFonts w:hint="eastAsia"/>
        </w:rPr>
        <w:t>现款和非现款援助</w:t>
      </w:r>
      <w:r>
        <w:rPr>
          <w:rFonts w:hint="eastAsia"/>
        </w:rPr>
        <w:t>)</w:t>
      </w:r>
      <w:r>
        <w:rPr>
          <w:rFonts w:hint="eastAsia"/>
        </w:rPr>
        <w:t>包括：凡无能力从事工作，例如，被阻碍行使其工作权的人的</w:t>
      </w:r>
      <w:r>
        <w:rPr>
          <w:rFonts w:hint="eastAsia"/>
        </w:rPr>
        <w:t>(</w:t>
      </w:r>
      <w:r>
        <w:rPr>
          <w:rFonts w:hint="eastAsia"/>
        </w:rPr>
        <w:t>如</w:t>
      </w:r>
      <w:r>
        <w:rPr>
          <w:rFonts w:hint="eastAsia"/>
        </w:rPr>
        <w:t>65</w:t>
      </w:r>
      <w:r>
        <w:rPr>
          <w:rFonts w:hint="eastAsia"/>
        </w:rPr>
        <w:t>岁以上男性和</w:t>
      </w:r>
      <w:r>
        <w:rPr>
          <w:rFonts w:hint="eastAsia"/>
        </w:rPr>
        <w:t>60</w:t>
      </w:r>
      <w:r>
        <w:rPr>
          <w:rFonts w:hint="eastAsia"/>
        </w:rPr>
        <w:t>岁以上女性</w:t>
      </w:r>
      <w:r>
        <w:rPr>
          <w:rFonts w:hint="eastAsia"/>
        </w:rPr>
        <w:t>)</w:t>
      </w:r>
      <w:r>
        <w:rPr>
          <w:rFonts w:hint="eastAsia"/>
        </w:rPr>
        <w:t>；怀孕期或产后的妇女；凡是照管一名或多名</w:t>
      </w:r>
      <w:r>
        <w:rPr>
          <w:rFonts w:hint="eastAsia"/>
        </w:rPr>
        <w:t>1</w:t>
      </w:r>
      <w:r>
        <w:rPr>
          <w:rFonts w:hint="eastAsia"/>
        </w:rPr>
        <w:t>岁以下儿童的父母、继父、继母或领养父母，以及没有家庭成员或在法律上无人有义务对其进行照管的儿童，或者有的话，但这些人无法照管他们的儿童；年满</w:t>
      </w:r>
      <w:r>
        <w:rPr>
          <w:rFonts w:hint="eastAsia"/>
        </w:rPr>
        <w:t>15</w:t>
      </w:r>
      <w:r>
        <w:rPr>
          <w:rFonts w:hint="eastAsia"/>
        </w:rPr>
        <w:t>岁之前的儿童，或者直至年满</w:t>
      </w:r>
      <w:r>
        <w:rPr>
          <w:rFonts w:hint="eastAsia"/>
        </w:rPr>
        <w:t>27</w:t>
      </w:r>
      <w:r>
        <w:rPr>
          <w:rFonts w:hint="eastAsia"/>
        </w:rPr>
        <w:t>岁之前仍在攻读学习的人；以及在生理和心理发育方面患终身障碍的人；照管另一位残疾或严重疾病的人，只要确定所涉残疾人需要协助的情况下，均可长期领取现款福利金。</w:t>
      </w:r>
    </w:p>
    <w:p w:rsidR="00000000" w:rsidRDefault="00000000">
      <w:pPr>
        <w:rPr>
          <w:rFonts w:hint="eastAsia"/>
        </w:rPr>
      </w:pPr>
      <w:r>
        <w:rPr>
          <w:rFonts w:hint="eastAsia"/>
        </w:rPr>
        <w:tab/>
        <w:t xml:space="preserve">199.  </w:t>
      </w:r>
      <w:r>
        <w:rPr>
          <w:rFonts w:hint="eastAsia"/>
        </w:rPr>
        <w:t>凡是照顾残疾人或在生理和心理发育方面遭阻挠的人，以及健康状况变化需要他人长期照顾的老年人和体弱无助者的人，都有权领取现款资助和护理福利金。其他物质福利包括为没有保险、需要帮助的人员或家庭提供暂时、一次性及其他现款福利补贴金和非现款福利。</w:t>
      </w:r>
    </w:p>
    <w:p w:rsidR="00000000" w:rsidRDefault="00000000">
      <w:pPr>
        <w:rPr>
          <w:rFonts w:hint="eastAsia"/>
        </w:rPr>
      </w:pPr>
      <w:r>
        <w:rPr>
          <w:rFonts w:hint="eastAsia"/>
        </w:rPr>
        <w:tab/>
        <w:t xml:space="preserve">200.  </w:t>
      </w:r>
      <w:r>
        <w:rPr>
          <w:rFonts w:hint="eastAsia"/>
        </w:rPr>
        <w:t>提供建立生活和工作能力的援助</w:t>
      </w:r>
      <w:r>
        <w:rPr>
          <w:rFonts w:hint="eastAsia"/>
        </w:rPr>
        <w:t>(</w:t>
      </w:r>
      <w:r>
        <w:rPr>
          <w:rFonts w:hint="eastAsia"/>
        </w:rPr>
        <w:t>生理和心理发育遭受阻挠的儿童，或者为了求学离开其家园的人的权利</w:t>
      </w:r>
      <w:r>
        <w:rPr>
          <w:rFonts w:hint="eastAsia"/>
        </w:rPr>
        <w:t>)</w:t>
      </w:r>
      <w:r>
        <w:rPr>
          <w:rFonts w:hint="eastAsia"/>
        </w:rPr>
        <w:t>。个人、家庭以及社会群体有权在社会照管机构，或者与其他家庭得到居住安置，并有权得到社会和其他专业性服务。这均独立于他们的物质地位和所运用的任何其他社会保障形式</w:t>
      </w:r>
      <w:r>
        <w:rPr>
          <w:rFonts w:hint="eastAsia"/>
        </w:rPr>
        <w:t>(</w:t>
      </w:r>
      <w:r>
        <w:rPr>
          <w:rFonts w:hint="eastAsia"/>
        </w:rPr>
        <w:t>即，减轻社会问题的影响</w:t>
      </w:r>
      <w:r>
        <w:rPr>
          <w:rFonts w:hint="eastAsia"/>
        </w:rPr>
        <w:t>)</w:t>
      </w:r>
      <w:r>
        <w:rPr>
          <w:rFonts w:hint="eastAsia"/>
        </w:rPr>
        <w:t>。</w:t>
      </w:r>
    </w:p>
    <w:p w:rsidR="00000000" w:rsidRDefault="00000000">
      <w:pPr>
        <w:rPr>
          <w:rFonts w:hint="eastAsia"/>
        </w:rPr>
      </w:pPr>
      <w:r>
        <w:rPr>
          <w:rFonts w:hint="eastAsia"/>
        </w:rPr>
        <w:tab/>
        <w:t xml:space="preserve">201.  </w:t>
      </w:r>
      <w:r>
        <w:rPr>
          <w:rFonts w:hint="eastAsia"/>
        </w:rPr>
        <w:t>家庭照管和援助</w:t>
      </w:r>
      <w:r>
        <w:rPr>
          <w:rFonts w:hint="eastAsia"/>
        </w:rPr>
        <w:t>(</w:t>
      </w:r>
      <w:r>
        <w:rPr>
          <w:rFonts w:hint="eastAsia"/>
        </w:rPr>
        <w:t>有组织地提供各类服务，诸如为需要帮助的人喂饭、料理家务和其他必要的活动、维持个人卫生</w:t>
      </w:r>
      <w:r>
        <w:rPr>
          <w:rFonts w:hint="eastAsia"/>
        </w:rPr>
        <w:t>)</w:t>
      </w:r>
      <w:r>
        <w:rPr>
          <w:rFonts w:hint="eastAsia"/>
        </w:rPr>
        <w:t>是那些完全丧失独立工作能力和收入的人、</w:t>
      </w:r>
      <w:r>
        <w:rPr>
          <w:rFonts w:hint="eastAsia"/>
        </w:rPr>
        <w:t>65</w:t>
      </w:r>
      <w:r>
        <w:rPr>
          <w:rFonts w:hint="eastAsia"/>
        </w:rPr>
        <w:t>岁以上的男性、</w:t>
      </w:r>
      <w:r>
        <w:rPr>
          <w:rFonts w:hint="eastAsia"/>
        </w:rPr>
        <w:t>60</w:t>
      </w:r>
      <w:r>
        <w:rPr>
          <w:rFonts w:hint="eastAsia"/>
        </w:rPr>
        <w:t>岁以上的女性，以及那些因患有终身生理和心理发育阻碍而生活无法自理的人应享有的福利。</w:t>
      </w:r>
    </w:p>
    <w:p w:rsidR="00000000" w:rsidRDefault="00000000">
      <w:pPr>
        <w:rPr>
          <w:rFonts w:hint="eastAsia"/>
        </w:rPr>
      </w:pPr>
      <w:r>
        <w:rPr>
          <w:rFonts w:hint="eastAsia"/>
        </w:rPr>
        <w:tab/>
        <w:t xml:space="preserve">202.  </w:t>
      </w:r>
      <w:r>
        <w:rPr>
          <w:rFonts w:hint="eastAsia"/>
        </w:rPr>
        <w:t>提供全面或部分满足使用者社会需求的社会照管服务由以下社会护理机构进行，但</w:t>
      </w:r>
      <w:r>
        <w:rPr>
          <w:rFonts w:hint="eastAsia"/>
        </w:rPr>
        <w:t>(</w:t>
      </w:r>
      <w:r>
        <w:rPr>
          <w:rFonts w:hint="eastAsia"/>
        </w:rPr>
        <w:t>在无社会照管中心的市镇中</w:t>
      </w:r>
      <w:r>
        <w:rPr>
          <w:rFonts w:hint="eastAsia"/>
        </w:rPr>
        <w:t>)</w:t>
      </w:r>
      <w:r>
        <w:rPr>
          <w:rFonts w:hint="eastAsia"/>
        </w:rPr>
        <w:t>负责社会照管的市政机构除外：</w:t>
      </w:r>
    </w:p>
    <w:p w:rsidR="00000000" w:rsidRDefault="00000000">
      <w:pPr>
        <w:pStyle w:val="a0"/>
        <w:ind w:left="1550"/>
        <w:rPr>
          <w:rFonts w:hint="eastAsia"/>
        </w:rPr>
      </w:pPr>
      <w:r>
        <w:rPr>
          <w:rFonts w:hint="eastAsia"/>
        </w:rPr>
        <w:t>社会照管中心</w:t>
      </w:r>
      <w:r>
        <w:rPr>
          <w:rFonts w:hint="eastAsia"/>
        </w:rPr>
        <w:t>(</w:t>
      </w:r>
      <w:r>
        <w:rPr>
          <w:rFonts w:hint="eastAsia"/>
        </w:rPr>
        <w:t>在波斯尼亚和黑塞哥维那联邦设有</w:t>
      </w:r>
      <w:r>
        <w:rPr>
          <w:rFonts w:hint="eastAsia"/>
        </w:rPr>
        <w:t>87</w:t>
      </w:r>
      <w:r>
        <w:rPr>
          <w:rFonts w:hint="eastAsia"/>
        </w:rPr>
        <w:t>个提供社会照管服务的中心，和</w:t>
      </w:r>
      <w:r>
        <w:rPr>
          <w:rFonts w:hint="eastAsia"/>
        </w:rPr>
        <w:t>28</w:t>
      </w:r>
      <w:r>
        <w:rPr>
          <w:rFonts w:hint="eastAsia"/>
        </w:rPr>
        <w:t>个负责社会照管的市政机构，而在塞族共和国有</w:t>
      </w:r>
      <w:r>
        <w:rPr>
          <w:rFonts w:hint="eastAsia"/>
        </w:rPr>
        <w:t>42</w:t>
      </w:r>
      <w:r>
        <w:rPr>
          <w:rFonts w:hint="eastAsia"/>
        </w:rPr>
        <w:t>个开展此活动的中心，同时还有</w:t>
      </w:r>
      <w:r>
        <w:rPr>
          <w:rFonts w:hint="eastAsia"/>
        </w:rPr>
        <w:t>20</w:t>
      </w:r>
      <w:r>
        <w:rPr>
          <w:rFonts w:hint="eastAsia"/>
        </w:rPr>
        <w:t>个市政机构</w:t>
      </w:r>
      <w:r>
        <w:rPr>
          <w:rFonts w:hint="eastAsia"/>
        </w:rPr>
        <w:t>)</w:t>
      </w:r>
      <w:r>
        <w:rPr>
          <w:rFonts w:hint="eastAsia"/>
        </w:rPr>
        <w:t>；</w:t>
      </w:r>
    </w:p>
    <w:p w:rsidR="00000000" w:rsidRDefault="00000000">
      <w:pPr>
        <w:pStyle w:val="a0"/>
        <w:ind w:left="1550"/>
        <w:rPr>
          <w:rFonts w:hint="eastAsia"/>
        </w:rPr>
      </w:pPr>
      <w:r>
        <w:rPr>
          <w:rFonts w:hint="eastAsia"/>
        </w:rPr>
        <w:t>收容和照管没有父母的儿童、无人教养的儿童，和在生理和心理发育方面遭阻挠儿童的养育院；</w:t>
      </w:r>
    </w:p>
    <w:p w:rsidR="00000000" w:rsidRDefault="00000000">
      <w:pPr>
        <w:pStyle w:val="a0"/>
        <w:ind w:left="1550"/>
        <w:rPr>
          <w:rFonts w:hint="eastAsia"/>
        </w:rPr>
      </w:pPr>
      <w:r>
        <w:rPr>
          <w:rFonts w:hint="eastAsia"/>
        </w:rPr>
        <w:t>成年和老年人的护理院；</w:t>
      </w:r>
    </w:p>
    <w:p w:rsidR="00000000" w:rsidRDefault="00000000">
      <w:pPr>
        <w:pStyle w:val="a0"/>
        <w:ind w:left="1550"/>
        <w:rPr>
          <w:rFonts w:hint="eastAsia"/>
        </w:rPr>
      </w:pPr>
      <w:r>
        <w:rPr>
          <w:rFonts w:hint="eastAsia"/>
        </w:rPr>
        <w:t>为残疾人和其他人提供社会和健康保健的护理院；</w:t>
      </w:r>
    </w:p>
    <w:p w:rsidR="00000000" w:rsidRDefault="00000000">
      <w:pPr>
        <w:pStyle w:val="a0"/>
        <w:ind w:left="1550"/>
        <w:rPr>
          <w:rFonts w:hint="eastAsia"/>
        </w:rPr>
      </w:pPr>
      <w:r>
        <w:rPr>
          <w:rFonts w:hint="eastAsia"/>
        </w:rPr>
        <w:t>为社会服务使用者提供的日托机构。</w:t>
      </w:r>
    </w:p>
    <w:p w:rsidR="00000000" w:rsidRDefault="00000000">
      <w:pPr>
        <w:rPr>
          <w:rFonts w:hint="eastAsia"/>
        </w:rPr>
      </w:pPr>
      <w:r>
        <w:rPr>
          <w:rFonts w:hint="eastAsia"/>
        </w:rPr>
        <w:tab/>
        <w:t xml:space="preserve">203.  </w:t>
      </w:r>
      <w:r>
        <w:rPr>
          <w:rFonts w:hint="eastAsia"/>
        </w:rPr>
        <w:t>波斯尼亚和黑塞哥维那总共开设了</w:t>
      </w:r>
      <w:r>
        <w:rPr>
          <w:rFonts w:hint="eastAsia"/>
        </w:rPr>
        <w:t>37</w:t>
      </w:r>
      <w:r>
        <w:rPr>
          <w:rFonts w:hint="eastAsia"/>
        </w:rPr>
        <w:t>个社会照管机构，收容和照管登记在册的各类使用者，其中</w:t>
      </w:r>
      <w:r>
        <w:rPr>
          <w:rFonts w:hint="eastAsia"/>
        </w:rPr>
        <w:t>27</w:t>
      </w:r>
      <w:r>
        <w:rPr>
          <w:rFonts w:hint="eastAsia"/>
        </w:rPr>
        <w:t>个社会照管中心设在波斯尼亚和黑塞哥维那联邦，另有</w:t>
      </w:r>
      <w:r>
        <w:rPr>
          <w:rFonts w:hint="eastAsia"/>
        </w:rPr>
        <w:t>10</w:t>
      </w:r>
      <w:r>
        <w:rPr>
          <w:rFonts w:hint="eastAsia"/>
        </w:rPr>
        <w:t>个设在塞族共和国。波斯尼亚和黑塞哥维那主要通过所谓的“社会照管中心”等地方社会服务部门的活动提供社会服务。各市政和实体的卫生及社会政策部负责为上述这类机构提供资金。布尔奇科区是由政府资助的社会照管分管部门兑现此类社会照管的。</w:t>
      </w:r>
    </w:p>
    <w:p w:rsidR="00000000" w:rsidRDefault="00000000">
      <w:pPr>
        <w:rPr>
          <w:rFonts w:hint="eastAsia"/>
        </w:rPr>
      </w:pPr>
      <w:r>
        <w:rPr>
          <w:rFonts w:hint="eastAsia"/>
        </w:rPr>
        <w:tab/>
        <w:t xml:space="preserve">204.  </w:t>
      </w:r>
      <w:r>
        <w:rPr>
          <w:rFonts w:hint="eastAsia"/>
          <w:color w:val="000000"/>
        </w:rPr>
        <w:t>两个</w:t>
      </w:r>
      <w:r>
        <w:rPr>
          <w:rFonts w:hint="eastAsia"/>
        </w:rPr>
        <w:t>实体的社会照管机构照管残疾人和老年人。布尔奇科区利用实体设施接纳这些使用者。这些社会照管机构的资金通过以下若干方面筹集：主管部的份额；和基于服务活动的自行筹资。</w:t>
      </w:r>
    </w:p>
    <w:p w:rsidR="00000000" w:rsidRDefault="00000000">
      <w:pPr>
        <w:rPr>
          <w:rFonts w:hint="eastAsia"/>
        </w:rPr>
      </w:pPr>
      <w:r>
        <w:rPr>
          <w:rFonts w:hint="eastAsia"/>
        </w:rPr>
        <w:tab/>
        <w:t xml:space="preserve">205.  </w:t>
      </w:r>
      <w:r>
        <w:rPr>
          <w:rFonts w:hint="eastAsia"/>
        </w:rPr>
        <w:t>塞族共和国宪法保证人民的社会福利和社会保障，并狭义设定需社会帮助人口的社会福利和儿童保护，其依据是下述诸项法律：《社会福利法》</w:t>
      </w:r>
      <w:r>
        <w:rPr>
          <w:rFonts w:hint="eastAsia"/>
        </w:rPr>
        <w:t>(</w:t>
      </w:r>
      <w:r>
        <w:rPr>
          <w:rFonts w:hint="eastAsia"/>
        </w:rPr>
        <w:t>《塞族共和国政府公报》第</w:t>
      </w:r>
      <w:r>
        <w:rPr>
          <w:rFonts w:hint="eastAsia"/>
        </w:rPr>
        <w:t>5/93</w:t>
      </w:r>
      <w:r>
        <w:rPr>
          <w:rFonts w:hint="eastAsia"/>
        </w:rPr>
        <w:t>和第</w:t>
      </w:r>
      <w:r>
        <w:rPr>
          <w:rFonts w:hint="eastAsia"/>
        </w:rPr>
        <w:t>15/96</w:t>
      </w:r>
      <w:r>
        <w:rPr>
          <w:rFonts w:hint="eastAsia"/>
        </w:rPr>
        <w:t>号</w:t>
      </w:r>
      <w:r>
        <w:rPr>
          <w:rFonts w:hint="eastAsia"/>
        </w:rPr>
        <w:t>)</w:t>
      </w:r>
      <w:r>
        <w:rPr>
          <w:rFonts w:hint="eastAsia"/>
        </w:rPr>
        <w:t>；和《儿童保护法》</w:t>
      </w:r>
      <w:r>
        <w:rPr>
          <w:rFonts w:hint="eastAsia"/>
        </w:rPr>
        <w:t>(</w:t>
      </w:r>
      <w:r>
        <w:rPr>
          <w:rFonts w:hint="eastAsia"/>
        </w:rPr>
        <w:t>《政府公报》第</w:t>
      </w:r>
      <w:r>
        <w:rPr>
          <w:rFonts w:hint="eastAsia"/>
        </w:rPr>
        <w:t>15/96</w:t>
      </w:r>
      <w:r>
        <w:rPr>
          <w:rFonts w:hint="eastAsia"/>
        </w:rPr>
        <w:t>号、第</w:t>
      </w:r>
      <w:r>
        <w:rPr>
          <w:rFonts w:hint="eastAsia"/>
        </w:rPr>
        <w:t>10/98</w:t>
      </w:r>
      <w:r>
        <w:rPr>
          <w:rFonts w:hint="eastAsia"/>
        </w:rPr>
        <w:t>号、第</w:t>
      </w:r>
      <w:r>
        <w:rPr>
          <w:rFonts w:hint="eastAsia"/>
        </w:rPr>
        <w:t>26/01</w:t>
      </w:r>
      <w:r>
        <w:rPr>
          <w:rFonts w:hint="eastAsia"/>
        </w:rPr>
        <w:t>号</w:t>
      </w:r>
      <w:r>
        <w:rPr>
          <w:rFonts w:hint="eastAsia"/>
        </w:rPr>
        <w:t>)</w:t>
      </w:r>
      <w:r>
        <w:rPr>
          <w:rFonts w:hint="eastAsia"/>
        </w:rPr>
        <w:t>。</w:t>
      </w:r>
    </w:p>
    <w:p w:rsidR="00000000" w:rsidRDefault="00000000">
      <w:pPr>
        <w:rPr>
          <w:rFonts w:hint="eastAsia"/>
        </w:rPr>
      </w:pPr>
      <w:r>
        <w:rPr>
          <w:rFonts w:hint="eastAsia"/>
        </w:rPr>
        <w:tab/>
        <w:t xml:space="preserve">206.  </w:t>
      </w:r>
      <w:r>
        <w:rPr>
          <w:rFonts w:hint="eastAsia"/>
        </w:rPr>
        <w:t>社会福利和儿童保护法保障了国际标准确立的各项权利，并融入了这一领域的国际劳工组织各项基本公约。</w:t>
      </w:r>
    </w:p>
    <w:p w:rsidR="00000000" w:rsidRDefault="00000000">
      <w:pPr>
        <w:rPr>
          <w:rFonts w:hint="eastAsia"/>
        </w:rPr>
      </w:pPr>
      <w:r>
        <w:rPr>
          <w:rFonts w:hint="eastAsia"/>
        </w:rPr>
        <w:tab/>
        <w:t xml:space="preserve">207.  </w:t>
      </w:r>
      <w:r>
        <w:rPr>
          <w:rFonts w:hint="eastAsia"/>
        </w:rPr>
        <w:t>塞族共和国境内的社会福利是一项有组织的活动，除了在公民及其家庭需要时提供援助之外，旨在削减和消除社会生活和工作等所有各方面社会需助状况的根源和后果。社会需求被视为某个公民或家庭需要得到援助以克服社会困难和维持生计需要的状态。公民的基本社会福利权如下：</w:t>
      </w:r>
    </w:p>
    <w:p w:rsidR="00000000" w:rsidRDefault="00000000">
      <w:pPr>
        <w:pStyle w:val="a0"/>
        <w:ind w:left="1550"/>
        <w:rPr>
          <w:rFonts w:hint="eastAsia"/>
        </w:rPr>
      </w:pPr>
      <w:r>
        <w:rPr>
          <w:rFonts w:hint="eastAsia"/>
        </w:rPr>
        <w:t>物质保护；</w:t>
      </w:r>
    </w:p>
    <w:p w:rsidR="00000000" w:rsidRDefault="00000000">
      <w:pPr>
        <w:pStyle w:val="a0"/>
        <w:ind w:left="1550"/>
        <w:rPr>
          <w:rFonts w:hint="eastAsia"/>
        </w:rPr>
      </w:pPr>
      <w:r>
        <w:rPr>
          <w:rFonts w:hint="eastAsia"/>
        </w:rPr>
        <w:t>补偿为他人提供的援助和支助；</w:t>
      </w:r>
    </w:p>
    <w:p w:rsidR="00000000" w:rsidRDefault="00000000">
      <w:pPr>
        <w:pStyle w:val="a0"/>
        <w:ind w:left="1550"/>
        <w:rPr>
          <w:rFonts w:hint="eastAsia"/>
        </w:rPr>
      </w:pPr>
      <w:r>
        <w:rPr>
          <w:rFonts w:hint="eastAsia"/>
        </w:rPr>
        <w:t>协助儿童和青少年的工作培训；</w:t>
      </w:r>
    </w:p>
    <w:p w:rsidR="00000000" w:rsidRDefault="00000000">
      <w:pPr>
        <w:pStyle w:val="a0"/>
        <w:ind w:left="1550"/>
        <w:rPr>
          <w:rFonts w:hint="eastAsia"/>
        </w:rPr>
      </w:pPr>
      <w:r>
        <w:rPr>
          <w:rFonts w:hint="eastAsia"/>
        </w:rPr>
        <w:t>由社会福利机构或其他家庭、社会服务部门提供的收容安置；</w:t>
      </w:r>
      <w:r>
        <w:rPr>
          <w:rFonts w:hint="eastAsia"/>
        </w:rPr>
        <w:t xml:space="preserve"> </w:t>
      </w:r>
    </w:p>
    <w:p w:rsidR="00000000" w:rsidRDefault="00000000">
      <w:pPr>
        <w:pStyle w:val="a0"/>
        <w:ind w:left="1550"/>
        <w:rPr>
          <w:rFonts w:hint="eastAsia"/>
        </w:rPr>
      </w:pPr>
      <w:r>
        <w:rPr>
          <w:rFonts w:hint="eastAsia"/>
        </w:rPr>
        <w:t>社会工作服务。</w:t>
      </w:r>
    </w:p>
    <w:p w:rsidR="00000000" w:rsidRDefault="00000000">
      <w:pPr>
        <w:spacing w:after="320"/>
        <w:rPr>
          <w:rFonts w:hint="eastAsia"/>
        </w:rPr>
      </w:pPr>
      <w:r>
        <w:tab/>
        <w:t xml:space="preserve">208.  </w:t>
      </w:r>
      <w:r>
        <w:rPr>
          <w:rFonts w:hint="eastAsia"/>
        </w:rPr>
        <w:t>塞族共和国的社会福利立法涵盖所有妇女，而且在配偶双方取用养恤金问题上，当受保配偶一方去世后，另一方</w:t>
      </w:r>
      <w:r>
        <w:rPr>
          <w:rFonts w:hint="eastAsia"/>
        </w:rPr>
        <w:t>(</w:t>
      </w:r>
      <w:r>
        <w:rPr>
          <w:rFonts w:hint="eastAsia"/>
        </w:rPr>
        <w:t>不论男女</w:t>
      </w:r>
      <w:r>
        <w:rPr>
          <w:rFonts w:hint="eastAsia"/>
        </w:rPr>
        <w:t>)</w:t>
      </w:r>
      <w:r>
        <w:rPr>
          <w:rFonts w:hint="eastAsia"/>
        </w:rPr>
        <w:t>都有权领取家眷养恤金。</w:t>
      </w:r>
    </w:p>
    <w:p w:rsidR="00000000" w:rsidRDefault="00000000">
      <w:pPr>
        <w:pStyle w:val="Heading4"/>
        <w:rPr>
          <w:rFonts w:hint="eastAsia"/>
        </w:rPr>
      </w:pPr>
      <w:r>
        <w:rPr>
          <w:rFonts w:hint="eastAsia"/>
        </w:rPr>
        <w:t>社会福利、对内战受害者的社会保障、对有子女家庭的保护</w:t>
      </w:r>
    </w:p>
    <w:p w:rsidR="00000000" w:rsidRDefault="00000000">
      <w:pPr>
        <w:rPr>
          <w:rFonts w:hint="eastAsia"/>
        </w:rPr>
      </w:pPr>
      <w:r>
        <w:rPr>
          <w:rFonts w:hint="eastAsia"/>
        </w:rPr>
        <w:tab/>
        <w:t xml:space="preserve">209.  </w:t>
      </w:r>
      <w:r>
        <w:rPr>
          <w:rFonts w:hint="eastAsia"/>
        </w:rPr>
        <w:t>在波斯尼亚和黑塞哥维那的立法中，不歧视和法律禁止歧视的原则写入了所有的宪法条款，包括：</w:t>
      </w:r>
    </w:p>
    <w:p w:rsidR="00000000" w:rsidRDefault="00000000">
      <w:pPr>
        <w:pStyle w:val="a0"/>
        <w:ind w:left="1550"/>
        <w:rPr>
          <w:rFonts w:hint="eastAsia"/>
        </w:rPr>
      </w:pPr>
      <w:r>
        <w:rPr>
          <w:rFonts w:hint="eastAsia"/>
        </w:rPr>
        <w:t>波斯尼亚和黑塞哥维那宪法</w:t>
      </w:r>
      <w:r>
        <w:rPr>
          <w:rFonts w:hint="eastAsia"/>
        </w:rPr>
        <w:t>(</w:t>
      </w:r>
      <w:r>
        <w:rPr>
          <w:rFonts w:hint="eastAsia"/>
        </w:rPr>
        <w:t>《波斯尼亚和黑塞哥维那和平协定总框架》，附件四，第四条第二款</w:t>
      </w:r>
      <w:r>
        <w:rPr>
          <w:rFonts w:hint="eastAsia"/>
        </w:rPr>
        <w:t>)</w:t>
      </w:r>
      <w:r>
        <w:rPr>
          <w:rFonts w:hint="eastAsia"/>
        </w:rPr>
        <w:t>；</w:t>
      </w:r>
    </w:p>
    <w:p w:rsidR="00000000" w:rsidRDefault="00000000">
      <w:pPr>
        <w:pStyle w:val="a0"/>
        <w:ind w:left="1550"/>
        <w:rPr>
          <w:rFonts w:hint="eastAsia"/>
        </w:rPr>
      </w:pPr>
      <w:r>
        <w:rPr>
          <w:rFonts w:hint="eastAsia"/>
        </w:rPr>
        <w:t>波斯尼亚和黑塞哥维那联邦宪法</w:t>
      </w:r>
      <w:r>
        <w:rPr>
          <w:rFonts w:hint="eastAsia"/>
        </w:rPr>
        <w:t>(</w:t>
      </w:r>
      <w:r>
        <w:rPr>
          <w:rFonts w:hint="eastAsia"/>
        </w:rPr>
        <w:t>第二条第</w:t>
      </w:r>
      <w:r>
        <w:rPr>
          <w:rFonts w:hint="eastAsia"/>
        </w:rPr>
        <w:t>1</w:t>
      </w:r>
      <w:r>
        <w:rPr>
          <w:rFonts w:hint="eastAsia"/>
        </w:rPr>
        <w:t>款</w:t>
      </w:r>
      <w:r>
        <w:t>d</w:t>
      </w:r>
      <w:r>
        <w:rPr>
          <w:rFonts w:hint="eastAsia"/>
        </w:rPr>
        <w:t>项</w:t>
      </w:r>
      <w:r>
        <w:rPr>
          <w:rFonts w:hint="eastAsia"/>
        </w:rPr>
        <w:t>)</w:t>
      </w:r>
      <w:r>
        <w:rPr>
          <w:rFonts w:hint="eastAsia"/>
        </w:rPr>
        <w:t>；</w:t>
      </w:r>
    </w:p>
    <w:p w:rsidR="00000000" w:rsidRDefault="00000000">
      <w:pPr>
        <w:pStyle w:val="a0"/>
        <w:ind w:left="1550"/>
        <w:rPr>
          <w:rFonts w:hint="eastAsia"/>
        </w:rPr>
      </w:pPr>
      <w:r>
        <w:rPr>
          <w:rFonts w:hint="eastAsia"/>
        </w:rPr>
        <w:t>塞族共和国宪法</w:t>
      </w:r>
      <w:r>
        <w:rPr>
          <w:rFonts w:hint="eastAsia"/>
        </w:rPr>
        <w:t>(</w:t>
      </w:r>
      <w:r>
        <w:rPr>
          <w:rFonts w:hint="eastAsia"/>
        </w:rPr>
        <w:t>第十条</w:t>
      </w:r>
      <w:r>
        <w:rPr>
          <w:rFonts w:hint="eastAsia"/>
        </w:rPr>
        <w:t>)</w:t>
      </w:r>
      <w:r>
        <w:rPr>
          <w:rFonts w:hint="eastAsia"/>
        </w:rPr>
        <w:t>。</w:t>
      </w:r>
    </w:p>
    <w:p w:rsidR="00000000" w:rsidRDefault="00000000">
      <w:pPr>
        <w:rPr>
          <w:rFonts w:hint="eastAsia"/>
        </w:rPr>
      </w:pPr>
      <w:r>
        <w:rPr>
          <w:rFonts w:hint="eastAsia"/>
        </w:rPr>
        <w:tab/>
        <w:t xml:space="preserve">210.  </w:t>
      </w:r>
      <w:r>
        <w:rPr>
          <w:rFonts w:hint="eastAsia"/>
        </w:rPr>
        <w:t>联邦《社会福利、保护内战受害者和保护有子女家庭基础法》</w:t>
      </w:r>
      <w:r>
        <w:rPr>
          <w:rFonts w:hint="eastAsia"/>
        </w:rPr>
        <w:t>(</w:t>
      </w:r>
      <w:r>
        <w:rPr>
          <w:rFonts w:hint="eastAsia"/>
        </w:rPr>
        <w:t>第五十条</w:t>
      </w:r>
      <w:r>
        <w:rPr>
          <w:rFonts w:hint="eastAsia"/>
        </w:rPr>
        <w:t>)</w:t>
      </w:r>
      <w:r>
        <w:rPr>
          <w:rFonts w:hint="eastAsia"/>
        </w:rPr>
        <w:t>规定，根据目前为这些福利机构确立的法律</w:t>
      </w:r>
      <w:r>
        <w:rPr>
          <w:rFonts w:hint="eastAsia"/>
        </w:rPr>
        <w:t>(</w:t>
      </w:r>
      <w:r>
        <w:rPr>
          <w:rFonts w:hint="eastAsia"/>
        </w:rPr>
        <w:t>波斯尼亚和黑塞哥维那联邦政府公报第</w:t>
      </w:r>
      <w:r>
        <w:rPr>
          <w:rFonts w:hint="eastAsia"/>
        </w:rPr>
        <w:t>36/99</w:t>
      </w:r>
      <w:r>
        <w:rPr>
          <w:rFonts w:hint="eastAsia"/>
        </w:rPr>
        <w:t>号</w:t>
      </w:r>
      <w:r>
        <w:rPr>
          <w:rFonts w:hint="eastAsia"/>
        </w:rPr>
        <w:t>)</w:t>
      </w:r>
      <w:r>
        <w:rPr>
          <w:rFonts w:hint="eastAsia"/>
        </w:rPr>
        <w:t>，社会福利机构不得设定基于领土、族裔、宗教、政治和其他理由</w:t>
      </w:r>
      <w:r>
        <w:rPr>
          <w:rFonts w:hint="eastAsia"/>
        </w:rPr>
        <w:t>(</w:t>
      </w:r>
      <w:r>
        <w:rPr>
          <w:rFonts w:hint="eastAsia"/>
        </w:rPr>
        <w:t>种族、肤色、性别、社会出身等</w:t>
      </w:r>
      <w:r>
        <w:rPr>
          <w:rFonts w:hint="eastAsia"/>
        </w:rPr>
        <w:t>)</w:t>
      </w:r>
      <w:r>
        <w:rPr>
          <w:rFonts w:hint="eastAsia"/>
        </w:rPr>
        <w:t>的任何限制。</w:t>
      </w:r>
    </w:p>
    <w:p w:rsidR="00000000" w:rsidRDefault="00000000">
      <w:pPr>
        <w:rPr>
          <w:rFonts w:hint="eastAsia"/>
        </w:rPr>
      </w:pPr>
      <w:r>
        <w:rPr>
          <w:rFonts w:hint="eastAsia"/>
        </w:rPr>
        <w:tab/>
        <w:t>211.  2001</w:t>
      </w:r>
      <w:r>
        <w:rPr>
          <w:rFonts w:hint="eastAsia"/>
        </w:rPr>
        <w:t>年的国内人均生产总值是</w:t>
      </w:r>
      <w:r>
        <w:rPr>
          <w:rFonts w:hint="eastAsia"/>
        </w:rPr>
        <w:t>2,559</w:t>
      </w:r>
      <w:r>
        <w:rPr>
          <w:rFonts w:hint="eastAsia"/>
        </w:rPr>
        <w:t>可兑换马克；根据现有的数据，</w:t>
      </w:r>
      <w:r>
        <w:rPr>
          <w:rFonts w:hint="eastAsia"/>
        </w:rPr>
        <w:t>2001</w:t>
      </w:r>
      <w:r>
        <w:rPr>
          <w:rFonts w:hint="eastAsia"/>
        </w:rPr>
        <w:t>年保健开支份额约为</w:t>
      </w:r>
      <w:r>
        <w:rPr>
          <w:rFonts w:hint="eastAsia"/>
        </w:rPr>
        <w:t>8%</w:t>
      </w:r>
      <w:r>
        <w:rPr>
          <w:rFonts w:hint="eastAsia"/>
        </w:rPr>
        <w:t>，即人均</w:t>
      </w:r>
      <w:r>
        <w:rPr>
          <w:rFonts w:hint="eastAsia"/>
        </w:rPr>
        <w:t>205</w:t>
      </w:r>
      <w:r>
        <w:rPr>
          <w:rFonts w:hint="eastAsia"/>
        </w:rPr>
        <w:t>可兑换马克。</w:t>
      </w:r>
    </w:p>
    <w:p w:rsidR="00000000" w:rsidRDefault="00000000">
      <w:pPr>
        <w:rPr>
          <w:rFonts w:hint="eastAsia"/>
        </w:rPr>
      </w:pPr>
      <w:r>
        <w:rPr>
          <w:rFonts w:hint="eastAsia"/>
        </w:rPr>
        <w:tab/>
        <w:t xml:space="preserve">212.  </w:t>
      </w:r>
      <w:r>
        <w:rPr>
          <w:rFonts w:hint="eastAsia"/>
        </w:rPr>
        <w:t>根据波斯尼亚和黑塞哥维那当前的立法，没有一个群体无权享受社会保险，这就是说妇女享有这些福利的权利未遭到侵犯。所有各级当局必须确保实现对社会保险的管制如下：</w:t>
      </w:r>
    </w:p>
    <w:p w:rsidR="00000000" w:rsidRDefault="00000000">
      <w:pPr>
        <w:pStyle w:val="a0"/>
        <w:ind w:left="1550"/>
        <w:rPr>
          <w:rFonts w:hint="eastAsia"/>
        </w:rPr>
      </w:pPr>
      <w:r>
        <w:rPr>
          <w:rFonts w:hint="eastAsia"/>
        </w:rPr>
        <w:t>制定法律条例；</w:t>
      </w:r>
    </w:p>
    <w:p w:rsidR="00000000" w:rsidRDefault="00000000">
      <w:pPr>
        <w:pStyle w:val="a0"/>
        <w:ind w:left="1550"/>
        <w:rPr>
          <w:rFonts w:hint="eastAsia"/>
        </w:rPr>
      </w:pPr>
      <w:r>
        <w:rPr>
          <w:rFonts w:hint="eastAsia"/>
        </w:rPr>
        <w:t>制定法律细则；</w:t>
      </w:r>
    </w:p>
    <w:p w:rsidR="00000000" w:rsidRDefault="00000000">
      <w:pPr>
        <w:pStyle w:val="a0"/>
        <w:ind w:left="1550"/>
        <w:rPr>
          <w:rFonts w:hint="eastAsia"/>
        </w:rPr>
      </w:pPr>
      <w:r>
        <w:rPr>
          <w:rFonts w:hint="eastAsia"/>
        </w:rPr>
        <w:t>为执行立法配备工作人员；</w:t>
      </w:r>
    </w:p>
    <w:p w:rsidR="00000000" w:rsidRDefault="00000000">
      <w:pPr>
        <w:pStyle w:val="a0"/>
        <w:ind w:left="1550"/>
        <w:rPr>
          <w:rFonts w:hint="eastAsia"/>
        </w:rPr>
      </w:pPr>
      <w:r>
        <w:rPr>
          <w:rFonts w:hint="eastAsia"/>
        </w:rPr>
        <w:t>为各服务部门收容安置工作提供便利；</w:t>
      </w:r>
    </w:p>
    <w:p w:rsidR="00000000" w:rsidRDefault="00000000">
      <w:pPr>
        <w:pStyle w:val="a0"/>
        <w:ind w:left="1550"/>
        <w:rPr>
          <w:rFonts w:hint="eastAsia"/>
        </w:rPr>
      </w:pPr>
      <w:r>
        <w:rPr>
          <w:rFonts w:hint="eastAsia"/>
        </w:rPr>
        <w:t>规定用于实施法律条款的资金。</w:t>
      </w:r>
    </w:p>
    <w:p w:rsidR="00000000" w:rsidRDefault="00000000">
      <w:pPr>
        <w:spacing w:after="320"/>
        <w:rPr>
          <w:rFonts w:hint="eastAsia"/>
        </w:rPr>
      </w:pPr>
      <w:r>
        <w:rPr>
          <w:rFonts w:hint="eastAsia"/>
        </w:rPr>
        <w:tab/>
        <w:t xml:space="preserve">213.  </w:t>
      </w:r>
      <w:r>
        <w:rPr>
          <w:rFonts w:hint="eastAsia"/>
        </w:rPr>
        <w:t>据若干资料来源，波斯尼亚和黑塞哥维那境内</w:t>
      </w:r>
      <w:r>
        <w:rPr>
          <w:rFonts w:hint="eastAsia"/>
        </w:rPr>
        <w:t>50%</w:t>
      </w:r>
      <w:r>
        <w:rPr>
          <w:rFonts w:hint="eastAsia"/>
        </w:rPr>
        <w:t>以上的社会福利提供机构在社会照管工作上拖欠。为公民提供社会的照管保险范围各实体和各级区域组织各有差异。</w:t>
      </w:r>
    </w:p>
    <w:p w:rsidR="00000000" w:rsidRDefault="00000000">
      <w:pPr>
        <w:pStyle w:val="Heading4"/>
        <w:rPr>
          <w:rFonts w:hint="eastAsia"/>
        </w:rPr>
      </w:pPr>
      <w:r>
        <w:rPr>
          <w:rFonts w:hint="eastAsia"/>
        </w:rPr>
        <w:t>卫生保健权</w:t>
      </w:r>
    </w:p>
    <w:p w:rsidR="00000000" w:rsidRDefault="00000000">
      <w:pPr>
        <w:rPr>
          <w:rFonts w:hint="eastAsia"/>
        </w:rPr>
      </w:pPr>
      <w:r>
        <w:rPr>
          <w:rFonts w:hint="eastAsia"/>
        </w:rPr>
        <w:tab/>
        <w:t xml:space="preserve">214.  </w:t>
      </w:r>
      <w:r>
        <w:rPr>
          <w:rFonts w:hint="eastAsia"/>
        </w:rPr>
        <w:t>卫生保健是一整套增强生命权、维护和增进健康的手段、活动和程序。波斯尼亚和黑塞哥维那以初级、专家咨询和医院保健方式组织和实施保健工作。</w:t>
      </w:r>
    </w:p>
    <w:p w:rsidR="00000000" w:rsidRDefault="00000000">
      <w:pPr>
        <w:rPr>
          <w:rFonts w:hint="eastAsia"/>
        </w:rPr>
      </w:pPr>
      <w:r>
        <w:rPr>
          <w:rFonts w:hint="eastAsia"/>
        </w:rPr>
        <w:tab/>
        <w:t xml:space="preserve">215.  </w:t>
      </w:r>
      <w:r>
        <w:rPr>
          <w:rFonts w:hint="eastAsia"/>
        </w:rPr>
        <w:t>波斯尼亚和黑塞哥维那提供的卫生保健包括如下：</w:t>
      </w:r>
    </w:p>
    <w:p w:rsidR="00000000" w:rsidRDefault="00000000">
      <w:pPr>
        <w:pStyle w:val="a0"/>
        <w:ind w:left="1550"/>
        <w:rPr>
          <w:rFonts w:hint="eastAsia"/>
        </w:rPr>
      </w:pPr>
      <w:r>
        <w:rPr>
          <w:rFonts w:hint="eastAsia"/>
        </w:rPr>
        <w:t>急救保健护理；</w:t>
      </w:r>
    </w:p>
    <w:p w:rsidR="00000000" w:rsidRDefault="00000000">
      <w:pPr>
        <w:pStyle w:val="a0"/>
        <w:ind w:left="1550"/>
        <w:rPr>
          <w:rFonts w:hint="eastAsia"/>
        </w:rPr>
      </w:pPr>
      <w:r>
        <w:rPr>
          <w:rFonts w:hint="eastAsia"/>
        </w:rPr>
        <w:t>治疗传染疾病；</w:t>
      </w:r>
    </w:p>
    <w:p w:rsidR="00000000" w:rsidRDefault="00000000">
      <w:pPr>
        <w:pStyle w:val="a0"/>
        <w:ind w:left="1550"/>
        <w:rPr>
          <w:rFonts w:hint="eastAsia"/>
        </w:rPr>
      </w:pPr>
      <w:r>
        <w:rPr>
          <w:rFonts w:hint="eastAsia"/>
        </w:rPr>
        <w:t>治疗威胁生命的急性和慢性疾病；</w:t>
      </w:r>
    </w:p>
    <w:p w:rsidR="00000000" w:rsidRDefault="00000000">
      <w:pPr>
        <w:pStyle w:val="a0"/>
        <w:ind w:left="1550"/>
        <w:rPr>
          <w:rFonts w:hint="eastAsia"/>
        </w:rPr>
      </w:pPr>
      <w:r>
        <w:rPr>
          <w:rFonts w:hint="eastAsia"/>
        </w:rPr>
        <w:t>为</w:t>
      </w:r>
      <w:r>
        <w:rPr>
          <w:rFonts w:hint="eastAsia"/>
        </w:rPr>
        <w:t>15</w:t>
      </w:r>
      <w:r>
        <w:rPr>
          <w:rFonts w:hint="eastAsia"/>
        </w:rPr>
        <w:t>岁以下儿童提供的卫生保健；</w:t>
      </w:r>
    </w:p>
    <w:p w:rsidR="00000000" w:rsidRDefault="00000000">
      <w:pPr>
        <w:pStyle w:val="a0"/>
        <w:ind w:left="1550"/>
        <w:rPr>
          <w:rFonts w:hint="eastAsia"/>
        </w:rPr>
      </w:pPr>
      <w:r>
        <w:rPr>
          <w:rFonts w:hint="eastAsia"/>
        </w:rPr>
        <w:t>为小学生和</w:t>
      </w:r>
      <w:r>
        <w:rPr>
          <w:rFonts w:hint="eastAsia"/>
        </w:rPr>
        <w:t>(</w:t>
      </w:r>
      <w:r>
        <w:rPr>
          <w:rFonts w:hint="eastAsia"/>
        </w:rPr>
        <w:t>青少年</w:t>
      </w:r>
      <w:r>
        <w:rPr>
          <w:rFonts w:hint="eastAsia"/>
        </w:rPr>
        <w:t>)</w:t>
      </w:r>
      <w:r>
        <w:rPr>
          <w:rFonts w:hint="eastAsia"/>
        </w:rPr>
        <w:t>学生提供的保健；</w:t>
      </w:r>
    </w:p>
    <w:p w:rsidR="00000000" w:rsidRDefault="00000000">
      <w:pPr>
        <w:pStyle w:val="a0"/>
        <w:ind w:left="1550"/>
        <w:rPr>
          <w:rFonts w:hint="eastAsia"/>
        </w:rPr>
      </w:pPr>
      <w:r>
        <w:rPr>
          <w:rFonts w:hint="eastAsia"/>
        </w:rPr>
        <w:t>诊断和医治流行性肾炎；</w:t>
      </w:r>
    </w:p>
    <w:p w:rsidR="00000000" w:rsidRDefault="00000000">
      <w:pPr>
        <w:pStyle w:val="a0"/>
        <w:ind w:left="1550"/>
        <w:rPr>
          <w:rFonts w:hint="eastAsia"/>
        </w:rPr>
      </w:pPr>
      <w:r>
        <w:rPr>
          <w:rFonts w:hint="eastAsia"/>
        </w:rPr>
        <w:t>治疗癌症和依赖胰岛素注射的糖尿病患者；</w:t>
      </w:r>
    </w:p>
    <w:p w:rsidR="00000000" w:rsidRDefault="00000000">
      <w:pPr>
        <w:pStyle w:val="a0"/>
        <w:ind w:left="1550"/>
        <w:rPr>
          <w:rFonts w:hint="eastAsia"/>
        </w:rPr>
      </w:pPr>
      <w:r>
        <w:rPr>
          <w:rFonts w:hint="eastAsia"/>
        </w:rPr>
        <w:t>妇女怀孕和产期的保健护理；</w:t>
      </w:r>
    </w:p>
    <w:p w:rsidR="00000000" w:rsidRDefault="00000000">
      <w:pPr>
        <w:pStyle w:val="a0"/>
        <w:ind w:left="1550"/>
        <w:rPr>
          <w:rFonts w:hint="eastAsia"/>
        </w:rPr>
      </w:pPr>
      <w:r>
        <w:rPr>
          <w:rFonts w:hint="eastAsia"/>
        </w:rPr>
        <w:t>为精神紊乱症患者提供的社会福利；</w:t>
      </w:r>
    </w:p>
    <w:p w:rsidR="00000000" w:rsidRDefault="00000000">
      <w:pPr>
        <w:pStyle w:val="a0"/>
        <w:ind w:left="1550"/>
        <w:rPr>
          <w:rFonts w:hint="eastAsia"/>
        </w:rPr>
      </w:pPr>
      <w:r>
        <w:rPr>
          <w:rFonts w:hint="eastAsia"/>
        </w:rPr>
        <w:t>为患有诸如痛觉异常、四肢麻痹、大脑瘫痪和多发性硬化的渐进性神经肌肉疾病患者提供保健护理；</w:t>
      </w:r>
    </w:p>
    <w:p w:rsidR="00000000" w:rsidRDefault="00000000">
      <w:pPr>
        <w:pStyle w:val="a0"/>
        <w:ind w:left="1550"/>
        <w:rPr>
          <w:rFonts w:hint="eastAsia"/>
        </w:rPr>
      </w:pPr>
      <w:r>
        <w:rPr>
          <w:rFonts w:hint="eastAsia"/>
        </w:rPr>
        <w:t>为</w:t>
      </w:r>
      <w:r>
        <w:rPr>
          <w:rFonts w:hint="eastAsia"/>
        </w:rPr>
        <w:t>65</w:t>
      </w:r>
      <w:r>
        <w:rPr>
          <w:rFonts w:hint="eastAsia"/>
        </w:rPr>
        <w:t>岁以上公民提供的保健护理；</w:t>
      </w:r>
    </w:p>
    <w:p w:rsidR="00000000" w:rsidRDefault="00000000">
      <w:pPr>
        <w:pStyle w:val="a0"/>
        <w:ind w:left="1550"/>
        <w:rPr>
          <w:rFonts w:hint="eastAsia"/>
        </w:rPr>
      </w:pPr>
      <w:r>
        <w:rPr>
          <w:rFonts w:hint="eastAsia"/>
        </w:rPr>
        <w:t>医治吸毒上瘾症；</w:t>
      </w:r>
    </w:p>
    <w:p w:rsidR="00000000" w:rsidRDefault="00000000">
      <w:pPr>
        <w:pStyle w:val="a0"/>
        <w:ind w:left="1550"/>
        <w:rPr>
          <w:rFonts w:hint="eastAsia"/>
        </w:rPr>
      </w:pPr>
      <w:r>
        <w:rPr>
          <w:rFonts w:hint="eastAsia"/>
        </w:rPr>
        <w:t>献血服务。</w:t>
      </w:r>
    </w:p>
    <w:p w:rsidR="00000000" w:rsidRDefault="00000000">
      <w:pPr>
        <w:rPr>
          <w:rFonts w:hint="eastAsia"/>
        </w:rPr>
      </w:pPr>
      <w:r>
        <w:rPr>
          <w:rFonts w:hint="eastAsia"/>
        </w:rPr>
        <w:tab/>
        <w:t xml:space="preserve">216.  </w:t>
      </w:r>
      <w:r>
        <w:rPr>
          <w:rFonts w:hint="eastAsia"/>
        </w:rPr>
        <w:t>波斯尼亚和黑塞哥维那由实体和布尔奇科区各级实施保健权。规约保健领域工作的基本立法包括健康保险法。波斯尼亚和黑塞哥维那联邦的医保制度是根据宪法确立的，基本上按实体和布尔奇科区社会和保健法实行分权制和管理。</w:t>
      </w:r>
    </w:p>
    <w:p w:rsidR="00000000" w:rsidRDefault="00000000">
      <w:pPr>
        <w:rPr>
          <w:rFonts w:hint="eastAsia"/>
        </w:rPr>
      </w:pPr>
      <w:r>
        <w:rPr>
          <w:rFonts w:hint="eastAsia"/>
        </w:rPr>
        <w:tab/>
        <w:t xml:space="preserve">217.  </w:t>
      </w:r>
      <w:r>
        <w:rPr>
          <w:rFonts w:hint="eastAsia"/>
        </w:rPr>
        <w:t>波斯尼亚和黑塞哥维那的保健服务部门属于实体和布尔奇科区的管辖范畴。波斯尼亚和黑塞哥维那联邦是通过健康保险基金、初级、中级和高级保健服务部门组建的保健服务。保健领域各服务部门的资金靠雇员工资扣除的缴纳金、雇主按工资交纳的缴纳金、自耕农的缴纳金，以及为某些类别人口拨出的预算转账进行筹措。</w:t>
      </w:r>
    </w:p>
    <w:p w:rsidR="00000000" w:rsidRDefault="00000000">
      <w:pPr>
        <w:rPr>
          <w:rFonts w:hint="eastAsia"/>
        </w:rPr>
      </w:pPr>
      <w:r>
        <w:rPr>
          <w:rFonts w:hint="eastAsia"/>
        </w:rPr>
        <w:tab/>
        <w:t xml:space="preserve">218.  </w:t>
      </w:r>
      <w:r>
        <w:rPr>
          <w:rFonts w:hint="eastAsia"/>
        </w:rPr>
        <w:t>塞族共和国通过医保基金、初级、中级和高级保健服务部门组建成保健服务部门。塞族共和国的保健资金筹措方式与波斯尼亚和黑塞哥维那联邦的筹资方法相同。布尔奇科区保健服务的组织与各实体的相同，资金由政府提供。</w:t>
      </w:r>
    </w:p>
    <w:p w:rsidR="00000000" w:rsidRDefault="00000000">
      <w:pPr>
        <w:rPr>
          <w:rFonts w:hint="eastAsia"/>
        </w:rPr>
      </w:pPr>
      <w:r>
        <w:rPr>
          <w:rFonts w:hint="eastAsia"/>
        </w:rPr>
        <w:tab/>
        <w:t xml:space="preserve">219.  </w:t>
      </w:r>
      <w:r>
        <w:rPr>
          <w:rFonts w:hint="eastAsia"/>
        </w:rPr>
        <w:t>在保险方面，患者也参与保健服务的费用分担。大部分患者</w:t>
      </w:r>
      <w:r>
        <w:rPr>
          <w:rFonts w:hint="eastAsia"/>
        </w:rPr>
        <w:t>(80%)</w:t>
      </w:r>
      <w:r>
        <w:rPr>
          <w:rFonts w:hint="eastAsia"/>
        </w:rPr>
        <w:t>不必分担费用。有些费用是由患者直接支付的，诸如无补贴的药品。同时，私营医疗机构的保健服务份额是由患者直接承担的。义务性健康保险涵盖的权利包括：有权享有保健、补贴</w:t>
      </w:r>
      <w:r>
        <w:rPr>
          <w:rFonts w:hint="eastAsia"/>
        </w:rPr>
        <w:t>(</w:t>
      </w:r>
      <w:r>
        <w:rPr>
          <w:rFonts w:hint="eastAsia"/>
        </w:rPr>
        <w:t>包括与使用保健相关的旅费补贴</w:t>
      </w:r>
      <w:r>
        <w:rPr>
          <w:rFonts w:hint="eastAsia"/>
        </w:rPr>
        <w:t>)</w:t>
      </w:r>
      <w:r>
        <w:rPr>
          <w:rFonts w:hint="eastAsia"/>
        </w:rPr>
        <w:t>。只有在受保地位得到确认的人才可行使规定保健的保险权。</w:t>
      </w:r>
    </w:p>
    <w:p w:rsidR="00000000" w:rsidRDefault="00000000">
      <w:pPr>
        <w:rPr>
          <w:rFonts w:hint="eastAsia"/>
        </w:rPr>
      </w:pPr>
      <w:r>
        <w:rPr>
          <w:rFonts w:hint="eastAsia"/>
        </w:rPr>
        <w:tab/>
        <w:t xml:space="preserve">220.  </w:t>
      </w:r>
      <w:r>
        <w:rPr>
          <w:rFonts w:hint="eastAsia"/>
        </w:rPr>
        <w:t>波斯尼亚和黑塞哥维那联邦法律规定了缴纳金上限</w:t>
      </w:r>
      <w:r>
        <w:rPr>
          <w:rFonts w:hint="eastAsia"/>
        </w:rPr>
        <w:t>(</w:t>
      </w:r>
      <w:r>
        <w:rPr>
          <w:rFonts w:hint="eastAsia"/>
        </w:rPr>
        <w:t>占工资</w:t>
      </w:r>
      <w:r>
        <w:rPr>
          <w:rFonts w:hint="eastAsia"/>
        </w:rPr>
        <w:t>13%</w:t>
      </w:r>
      <w:r>
        <w:rPr>
          <w:rFonts w:hint="eastAsia"/>
        </w:rPr>
        <w:t>、雇主直接支付</w:t>
      </w:r>
      <w:r>
        <w:rPr>
          <w:rFonts w:hint="eastAsia"/>
        </w:rPr>
        <w:t>4%)</w:t>
      </w:r>
      <w:r>
        <w:rPr>
          <w:rFonts w:hint="eastAsia"/>
        </w:rPr>
        <w:t>。州议会确定缴纳金的份额。保险缴纳金的款额因地区和健康保险的支付者而异。波斯尼亚和黑塞哥维那联邦养恤基金、联邦就业局、军队和雇主履行了各自的义务，但并不是所有人都这样做了。</w:t>
      </w:r>
    </w:p>
    <w:p w:rsidR="00000000" w:rsidRDefault="00000000">
      <w:pPr>
        <w:rPr>
          <w:rFonts w:hint="eastAsia"/>
        </w:rPr>
      </w:pPr>
      <w:r>
        <w:rPr>
          <w:rFonts w:hint="eastAsia"/>
        </w:rPr>
        <w:tab/>
        <w:t xml:space="preserve">221.  </w:t>
      </w:r>
      <w:r>
        <w:rPr>
          <w:rFonts w:hint="eastAsia"/>
        </w:rPr>
        <w:t>塞族共和国实行集中健康保险制</w:t>
      </w:r>
      <w:r>
        <w:rPr>
          <w:rFonts w:hint="eastAsia"/>
        </w:rPr>
        <w:t>(</w:t>
      </w:r>
      <w:r>
        <w:rPr>
          <w:rFonts w:hint="eastAsia"/>
        </w:rPr>
        <w:t>以各市政分理处为基础，建立单一的保险基金</w:t>
      </w:r>
      <w:r>
        <w:rPr>
          <w:rFonts w:hint="eastAsia"/>
        </w:rPr>
        <w:t>)</w:t>
      </w:r>
      <w:r>
        <w:rPr>
          <w:rFonts w:hint="eastAsia"/>
        </w:rPr>
        <w:t>。根据纯工资收入设定缴纳金比率</w:t>
      </w:r>
      <w:r>
        <w:rPr>
          <w:rFonts w:hint="eastAsia"/>
        </w:rPr>
        <w:t>(</w:t>
      </w:r>
      <w:r>
        <w:rPr>
          <w:rFonts w:hint="eastAsia"/>
        </w:rPr>
        <w:t>雇员交</w:t>
      </w:r>
      <w:r>
        <w:rPr>
          <w:rFonts w:hint="eastAsia"/>
        </w:rPr>
        <w:t>15%</w:t>
      </w:r>
      <w:r>
        <w:rPr>
          <w:rFonts w:hint="eastAsia"/>
        </w:rPr>
        <w:t>；养恤金扣除</w:t>
      </w:r>
      <w:r>
        <w:rPr>
          <w:rFonts w:hint="eastAsia"/>
        </w:rPr>
        <w:t>3.75%</w:t>
      </w:r>
      <w:r>
        <w:rPr>
          <w:rFonts w:hint="eastAsia"/>
        </w:rPr>
        <w:t>，而自耕农则在农耕收入基础上征收</w:t>
      </w:r>
      <w:r>
        <w:rPr>
          <w:rFonts w:hint="eastAsia"/>
        </w:rPr>
        <w:t>15%)</w:t>
      </w:r>
      <w:r>
        <w:rPr>
          <w:rFonts w:hint="eastAsia"/>
        </w:rPr>
        <w:t>。根据新的医保合同开始征收医保服务费。波斯尼亚和黑塞哥维那联邦由州保健局负责根据继承的原有制度收集资金和缴纳金。</w:t>
      </w:r>
    </w:p>
    <w:p w:rsidR="00000000" w:rsidRDefault="00000000">
      <w:pPr>
        <w:rPr>
          <w:rFonts w:hint="eastAsia"/>
        </w:rPr>
      </w:pPr>
      <w:r>
        <w:rPr>
          <w:rFonts w:hint="eastAsia"/>
        </w:rPr>
        <w:tab/>
        <w:t xml:space="preserve">222.  </w:t>
      </w:r>
      <w:r>
        <w:rPr>
          <w:rFonts w:hint="eastAsia"/>
        </w:rPr>
        <w:t>新的契约模式尚处于早期阶段，只在两个州内试行。波斯尼亚和黑塞哥维那联邦的资金除了其团结基金之外，由健康保险缴纳金和联邦预算提供和筹集资金。根据与保健机构签订的合同，以资金跟随受保人的方式分配资金。</w:t>
      </w:r>
    </w:p>
    <w:p w:rsidR="00000000" w:rsidRDefault="00000000">
      <w:pPr>
        <w:rPr>
          <w:rFonts w:hint="eastAsia"/>
        </w:rPr>
      </w:pPr>
      <w:r>
        <w:rPr>
          <w:rFonts w:hint="eastAsia"/>
        </w:rPr>
        <w:tab/>
        <w:t xml:space="preserve">223. </w:t>
      </w:r>
      <w:r>
        <w:rPr>
          <w:rFonts w:hint="eastAsia"/>
          <w:color w:val="FF0000"/>
        </w:rPr>
        <w:t xml:space="preserve"> </w:t>
      </w:r>
      <w:r>
        <w:rPr>
          <w:rFonts w:hint="eastAsia"/>
          <w:color w:val="000000"/>
        </w:rPr>
        <w:t>两个</w:t>
      </w:r>
      <w:r>
        <w:rPr>
          <w:rFonts w:hint="eastAsia"/>
        </w:rPr>
        <w:t>实体与布尔奇科区之间签订了关于落实保健权的协议，但这项协议未得到遵循，因此受保人几乎没人根据这项协议享有保健。由于实体的法律在健康保险方面仍未统一，返回的流离失所者因住址更换而丧失了医保，并造成了保健机构更多的开支。</w:t>
      </w:r>
    </w:p>
    <w:p w:rsidR="00000000" w:rsidRDefault="00000000">
      <w:pPr>
        <w:spacing w:after="320"/>
        <w:rPr>
          <w:rFonts w:hint="eastAsia"/>
        </w:rPr>
      </w:pPr>
      <w:r>
        <w:rPr>
          <w:rFonts w:hint="eastAsia"/>
        </w:rPr>
        <w:tab/>
        <w:t xml:space="preserve">224.  </w:t>
      </w:r>
      <w:r>
        <w:rPr>
          <w:rFonts w:hint="eastAsia"/>
        </w:rPr>
        <w:t>难以估算保健系统的总收入和开支，因为不存在正式的帐目。在实体一级进行了评估和分析。</w:t>
      </w:r>
      <w:r>
        <w:rPr>
          <w:rFonts w:hint="eastAsia"/>
        </w:rPr>
        <w:t>2002</w:t>
      </w:r>
      <w:r>
        <w:rPr>
          <w:rFonts w:hint="eastAsia"/>
        </w:rPr>
        <w:t>年开始了在实体一级统一保健总收入和开支计算方法的活动。随后，要制订波斯尼亚和黑塞哥维那国家一级的评估办法。根据义务性健康保险，</w:t>
      </w:r>
      <w:r>
        <w:rPr>
          <w:rFonts w:hint="eastAsia"/>
        </w:rPr>
        <w:t>2001</w:t>
      </w:r>
      <w:r>
        <w:rPr>
          <w:rFonts w:hint="eastAsia"/>
        </w:rPr>
        <w:t>年波斯尼亚和黑塞哥维那的收入达</w:t>
      </w:r>
      <w:r>
        <w:rPr>
          <w:rFonts w:hint="eastAsia"/>
        </w:rPr>
        <w:t>5.897</w:t>
      </w:r>
      <w:r>
        <w:rPr>
          <w:rFonts w:hint="eastAsia"/>
        </w:rPr>
        <w:t>亿可兑换马克，即人均</w:t>
      </w:r>
      <w:r>
        <w:rPr>
          <w:rFonts w:hint="eastAsia"/>
        </w:rPr>
        <w:t>157.04</w:t>
      </w:r>
      <w:r>
        <w:rPr>
          <w:rFonts w:hint="eastAsia"/>
        </w:rPr>
        <w:t>可兑换马克，或受保人均</w:t>
      </w:r>
      <w:r>
        <w:rPr>
          <w:rFonts w:hint="eastAsia"/>
        </w:rPr>
        <w:t>198</w:t>
      </w:r>
      <w:r>
        <w:rPr>
          <w:rFonts w:hint="eastAsia"/>
        </w:rPr>
        <w:t>可兑换马克。根据这一计算法，大致数字表明，国家为每一位未受保的人，至少支付</w:t>
      </w:r>
      <w:r>
        <w:rPr>
          <w:rFonts w:hint="eastAsia"/>
        </w:rPr>
        <w:t>41</w:t>
      </w:r>
      <w:r>
        <w:rPr>
          <w:rFonts w:hint="eastAsia"/>
        </w:rPr>
        <w:t>可兑换马克，即总共另外支付了</w:t>
      </w:r>
      <w:r>
        <w:rPr>
          <w:rFonts w:hint="eastAsia"/>
        </w:rPr>
        <w:t>3,185</w:t>
      </w:r>
      <w:r>
        <w:rPr>
          <w:rFonts w:hint="eastAsia"/>
        </w:rPr>
        <w:t>万可兑换马克。由于缺乏保健系统其他资金的确切数据，下面的数值有可能多少有些偏低。</w:t>
      </w:r>
    </w:p>
    <w:p w:rsidR="00000000" w:rsidRDefault="00000000">
      <w:pPr>
        <w:pStyle w:val="Heading3"/>
        <w:rPr>
          <w:rFonts w:hint="eastAsia"/>
          <w:u w:val="none"/>
        </w:rPr>
      </w:pPr>
      <w:r>
        <w:rPr>
          <w:rFonts w:hint="eastAsia"/>
          <w:u w:val="none"/>
        </w:rPr>
        <w:t>表</w:t>
      </w:r>
      <w:r>
        <w:rPr>
          <w:rFonts w:hint="eastAsia"/>
          <w:u w:val="none"/>
        </w:rPr>
        <w:t xml:space="preserve">  3</w:t>
      </w:r>
      <w:r>
        <w:rPr>
          <w:u w:val="none"/>
        </w:rPr>
        <w:br/>
      </w:r>
      <w:r>
        <w:rPr>
          <w:rFonts w:hint="eastAsia"/>
        </w:rPr>
        <w:t>医保总收支情况</w:t>
      </w:r>
      <w:r>
        <w:br/>
      </w:r>
      <w:r>
        <w:rPr>
          <w:rFonts w:hint="eastAsia"/>
          <w:u w:val="none"/>
        </w:rPr>
        <w:t>(</w:t>
      </w:r>
      <w:r>
        <w:rPr>
          <w:rFonts w:hint="eastAsia"/>
          <w:u w:val="none"/>
        </w:rPr>
        <w:t>百万可兑换马克</w:t>
      </w:r>
      <w:r>
        <w:rPr>
          <w:rFonts w:hint="eastAsia"/>
          <w:u w:val="none"/>
        </w:rPr>
        <w:t>)</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8"/>
        <w:gridCol w:w="2080"/>
        <w:gridCol w:w="1690"/>
        <w:gridCol w:w="1842"/>
      </w:tblGrid>
      <w:tr w:rsidR="00000000">
        <w:tblPrEx>
          <w:tblCellMar>
            <w:top w:w="0" w:type="dxa"/>
            <w:bottom w:w="0" w:type="dxa"/>
          </w:tblCellMar>
        </w:tblPrEx>
        <w:tc>
          <w:tcPr>
            <w:tcW w:w="3798" w:type="dxa"/>
          </w:tcPr>
          <w:p w:rsidR="00000000" w:rsidRDefault="00000000">
            <w:pPr>
              <w:pStyle w:val="a2"/>
              <w:jc w:val="center"/>
              <w:rPr>
                <w:rFonts w:hint="eastAsia"/>
              </w:rPr>
            </w:pPr>
          </w:p>
        </w:tc>
        <w:tc>
          <w:tcPr>
            <w:tcW w:w="2080" w:type="dxa"/>
          </w:tcPr>
          <w:p w:rsidR="00000000" w:rsidRDefault="00000000">
            <w:pPr>
              <w:pStyle w:val="a2"/>
              <w:jc w:val="center"/>
              <w:rPr>
                <w:rFonts w:hint="eastAsia"/>
              </w:rPr>
            </w:pPr>
            <w:r>
              <w:rPr>
                <w:rFonts w:hint="eastAsia"/>
              </w:rPr>
              <w:t>2000</w:t>
            </w:r>
            <w:r>
              <w:rPr>
                <w:rFonts w:hint="eastAsia"/>
              </w:rPr>
              <w:t>年</w:t>
            </w:r>
          </w:p>
        </w:tc>
        <w:tc>
          <w:tcPr>
            <w:tcW w:w="1690" w:type="dxa"/>
          </w:tcPr>
          <w:p w:rsidR="00000000" w:rsidRDefault="00000000">
            <w:pPr>
              <w:pStyle w:val="a2"/>
              <w:jc w:val="center"/>
              <w:rPr>
                <w:rFonts w:hint="eastAsia"/>
              </w:rPr>
            </w:pPr>
            <w:r>
              <w:rPr>
                <w:rFonts w:hint="eastAsia"/>
              </w:rPr>
              <w:t>2001</w:t>
            </w:r>
            <w:r>
              <w:rPr>
                <w:rFonts w:hint="eastAsia"/>
              </w:rPr>
              <w:t>年</w:t>
            </w:r>
          </w:p>
        </w:tc>
        <w:tc>
          <w:tcPr>
            <w:tcW w:w="1842" w:type="dxa"/>
          </w:tcPr>
          <w:p w:rsidR="00000000" w:rsidRDefault="00000000">
            <w:pPr>
              <w:pStyle w:val="a2"/>
              <w:jc w:val="center"/>
              <w:rPr>
                <w:rFonts w:hint="eastAsia"/>
              </w:rPr>
            </w:pPr>
            <w:r>
              <w:rPr>
                <w:rFonts w:hint="eastAsia"/>
              </w:rPr>
              <w:t>2001/2000</w:t>
            </w:r>
            <w:r>
              <w:rPr>
                <w:rFonts w:hint="eastAsia"/>
              </w:rPr>
              <w:t>年比率</w:t>
            </w:r>
          </w:p>
        </w:tc>
      </w:tr>
      <w:tr w:rsidR="00000000">
        <w:tblPrEx>
          <w:tblCellMar>
            <w:top w:w="0" w:type="dxa"/>
            <w:bottom w:w="0" w:type="dxa"/>
          </w:tblCellMar>
        </w:tblPrEx>
        <w:tc>
          <w:tcPr>
            <w:tcW w:w="3798" w:type="dxa"/>
          </w:tcPr>
          <w:p w:rsidR="00000000" w:rsidRDefault="00000000">
            <w:pPr>
              <w:pStyle w:val="a2"/>
              <w:ind w:left="170"/>
              <w:rPr>
                <w:rFonts w:hint="eastAsia"/>
              </w:rPr>
            </w:pPr>
            <w:r>
              <w:rPr>
                <w:rFonts w:hint="eastAsia"/>
              </w:rPr>
              <w:t>波斯尼亚和黑塞哥维那联邦</w:t>
            </w:r>
          </w:p>
        </w:tc>
        <w:tc>
          <w:tcPr>
            <w:tcW w:w="2080" w:type="dxa"/>
          </w:tcPr>
          <w:p w:rsidR="00000000" w:rsidRDefault="00000000">
            <w:pPr>
              <w:pStyle w:val="a2"/>
              <w:tabs>
                <w:tab w:val="decimal" w:pos="1142"/>
              </w:tabs>
              <w:rPr>
                <w:rFonts w:hint="eastAsia"/>
              </w:rPr>
            </w:pPr>
            <w:r>
              <w:rPr>
                <w:rFonts w:hint="eastAsia"/>
              </w:rPr>
              <w:t>419,140</w:t>
            </w:r>
          </w:p>
        </w:tc>
        <w:tc>
          <w:tcPr>
            <w:tcW w:w="1690" w:type="dxa"/>
          </w:tcPr>
          <w:p w:rsidR="00000000" w:rsidRDefault="00000000">
            <w:pPr>
              <w:pStyle w:val="a2"/>
              <w:tabs>
                <w:tab w:val="decimal" w:pos="752"/>
                <w:tab w:val="decimal" w:pos="1012"/>
                <w:tab w:val="decimal" w:pos="1402"/>
              </w:tabs>
              <w:ind w:right="454"/>
              <w:jc w:val="right"/>
              <w:rPr>
                <w:rFonts w:hint="eastAsia"/>
              </w:rPr>
            </w:pPr>
            <w:r>
              <w:rPr>
                <w:rFonts w:hint="eastAsia"/>
              </w:rPr>
              <w:t>422,989</w:t>
            </w:r>
          </w:p>
        </w:tc>
        <w:tc>
          <w:tcPr>
            <w:tcW w:w="1842" w:type="dxa"/>
          </w:tcPr>
          <w:p w:rsidR="00000000" w:rsidRDefault="00000000">
            <w:pPr>
              <w:pStyle w:val="a2"/>
              <w:ind w:left="397"/>
              <w:rPr>
                <w:rFonts w:hint="eastAsia"/>
              </w:rPr>
            </w:pPr>
            <w:r>
              <w:rPr>
                <w:rFonts w:hint="eastAsia"/>
              </w:rPr>
              <w:t>100.9</w:t>
            </w:r>
          </w:p>
        </w:tc>
      </w:tr>
      <w:tr w:rsidR="00000000">
        <w:tblPrEx>
          <w:tblCellMar>
            <w:top w:w="0" w:type="dxa"/>
            <w:bottom w:w="0" w:type="dxa"/>
          </w:tblCellMar>
        </w:tblPrEx>
        <w:tc>
          <w:tcPr>
            <w:tcW w:w="3798" w:type="dxa"/>
          </w:tcPr>
          <w:p w:rsidR="00000000" w:rsidRDefault="00000000">
            <w:pPr>
              <w:pStyle w:val="a2"/>
              <w:ind w:left="170"/>
              <w:rPr>
                <w:rFonts w:hint="eastAsia"/>
              </w:rPr>
            </w:pPr>
            <w:r>
              <w:rPr>
                <w:rFonts w:hint="eastAsia"/>
              </w:rPr>
              <w:t>塞族共和国</w:t>
            </w:r>
          </w:p>
        </w:tc>
        <w:tc>
          <w:tcPr>
            <w:tcW w:w="2080" w:type="dxa"/>
          </w:tcPr>
          <w:p w:rsidR="00000000" w:rsidRDefault="00000000">
            <w:pPr>
              <w:pStyle w:val="a2"/>
              <w:tabs>
                <w:tab w:val="decimal" w:pos="1142"/>
              </w:tabs>
              <w:rPr>
                <w:rFonts w:hint="eastAsia"/>
              </w:rPr>
            </w:pPr>
            <w:r>
              <w:rPr>
                <w:rFonts w:hint="eastAsia"/>
              </w:rPr>
              <w:t>150,202</w:t>
            </w:r>
          </w:p>
        </w:tc>
        <w:tc>
          <w:tcPr>
            <w:tcW w:w="1690" w:type="dxa"/>
          </w:tcPr>
          <w:p w:rsidR="00000000" w:rsidRDefault="00000000">
            <w:pPr>
              <w:pStyle w:val="a2"/>
              <w:tabs>
                <w:tab w:val="decimal" w:pos="752"/>
                <w:tab w:val="decimal" w:pos="1012"/>
                <w:tab w:val="decimal" w:pos="1402"/>
              </w:tabs>
              <w:ind w:right="454"/>
              <w:jc w:val="right"/>
              <w:rPr>
                <w:rFonts w:hint="eastAsia"/>
              </w:rPr>
            </w:pPr>
            <w:r>
              <w:rPr>
                <w:rFonts w:hint="eastAsia"/>
              </w:rPr>
              <w:t>166,700</w:t>
            </w:r>
          </w:p>
        </w:tc>
        <w:tc>
          <w:tcPr>
            <w:tcW w:w="1842" w:type="dxa"/>
          </w:tcPr>
          <w:p w:rsidR="00000000" w:rsidRDefault="00000000">
            <w:pPr>
              <w:pStyle w:val="a2"/>
              <w:ind w:left="397"/>
              <w:rPr>
                <w:rFonts w:hint="eastAsia"/>
              </w:rPr>
            </w:pPr>
            <w:r>
              <w:rPr>
                <w:rFonts w:hint="eastAsia"/>
              </w:rPr>
              <w:t>110.6</w:t>
            </w:r>
          </w:p>
        </w:tc>
      </w:tr>
      <w:tr w:rsidR="00000000">
        <w:tblPrEx>
          <w:tblCellMar>
            <w:top w:w="0" w:type="dxa"/>
            <w:bottom w:w="0" w:type="dxa"/>
          </w:tblCellMar>
        </w:tblPrEx>
        <w:tc>
          <w:tcPr>
            <w:tcW w:w="3798" w:type="dxa"/>
          </w:tcPr>
          <w:p w:rsidR="00000000" w:rsidRDefault="00000000">
            <w:pPr>
              <w:pStyle w:val="a2"/>
              <w:ind w:left="170"/>
              <w:rPr>
                <w:rFonts w:hint="eastAsia"/>
              </w:rPr>
            </w:pPr>
            <w:r>
              <w:rPr>
                <w:rFonts w:hint="eastAsia"/>
              </w:rPr>
              <w:t>波斯尼亚和黑塞哥维那</w:t>
            </w:r>
          </w:p>
        </w:tc>
        <w:tc>
          <w:tcPr>
            <w:tcW w:w="2080" w:type="dxa"/>
          </w:tcPr>
          <w:p w:rsidR="00000000" w:rsidRDefault="00000000">
            <w:pPr>
              <w:pStyle w:val="a2"/>
              <w:tabs>
                <w:tab w:val="decimal" w:pos="1142"/>
              </w:tabs>
              <w:rPr>
                <w:rFonts w:hint="eastAsia"/>
              </w:rPr>
            </w:pPr>
            <w:r>
              <w:rPr>
                <w:rFonts w:hint="eastAsia"/>
              </w:rPr>
              <w:t>569,342</w:t>
            </w:r>
          </w:p>
        </w:tc>
        <w:tc>
          <w:tcPr>
            <w:tcW w:w="1690" w:type="dxa"/>
          </w:tcPr>
          <w:p w:rsidR="00000000" w:rsidRDefault="00000000">
            <w:pPr>
              <w:pStyle w:val="a2"/>
              <w:tabs>
                <w:tab w:val="decimal" w:pos="752"/>
                <w:tab w:val="decimal" w:pos="1012"/>
                <w:tab w:val="decimal" w:pos="1402"/>
              </w:tabs>
              <w:ind w:right="454"/>
              <w:jc w:val="right"/>
              <w:rPr>
                <w:rFonts w:hint="eastAsia"/>
              </w:rPr>
            </w:pPr>
            <w:r>
              <w:rPr>
                <w:rFonts w:hint="eastAsia"/>
              </w:rPr>
              <w:t>589,689</w:t>
            </w:r>
          </w:p>
        </w:tc>
        <w:tc>
          <w:tcPr>
            <w:tcW w:w="1842" w:type="dxa"/>
          </w:tcPr>
          <w:p w:rsidR="00000000" w:rsidRDefault="00000000">
            <w:pPr>
              <w:pStyle w:val="a2"/>
              <w:ind w:left="397"/>
              <w:rPr>
                <w:rFonts w:hint="eastAsia"/>
              </w:rPr>
            </w:pPr>
            <w:r>
              <w:rPr>
                <w:rFonts w:hint="eastAsia"/>
              </w:rPr>
              <w:t>103.5</w:t>
            </w:r>
          </w:p>
        </w:tc>
      </w:tr>
    </w:tbl>
    <w:p w:rsidR="00000000" w:rsidRDefault="00000000">
      <w:pPr>
        <w:pStyle w:val="FootnoteText"/>
        <w:spacing w:before="120"/>
        <w:rPr>
          <w:rFonts w:hint="eastAsia"/>
        </w:rPr>
      </w:pPr>
      <w:r>
        <w:rPr>
          <w:rFonts w:hint="eastAsia"/>
          <w:u w:val="single"/>
        </w:rPr>
        <w:t>资料来源</w:t>
      </w:r>
      <w:r>
        <w:rPr>
          <w:rFonts w:hint="eastAsia"/>
        </w:rPr>
        <w:t>：波斯尼亚和黑塞哥维那联邦医保局，塞族共和国健康保险基金。</w:t>
      </w:r>
    </w:p>
    <w:p w:rsidR="00000000" w:rsidRDefault="00000000">
      <w:pPr>
        <w:spacing w:before="120"/>
        <w:rPr>
          <w:rFonts w:hint="eastAsia"/>
        </w:rPr>
      </w:pPr>
      <w:r>
        <w:rPr>
          <w:rFonts w:eastAsia="KaiTi_GB2312" w:hint="eastAsia"/>
          <w:spacing w:val="0"/>
        </w:rPr>
        <w:tab/>
        <w:t xml:space="preserve">225.  </w:t>
      </w:r>
      <w:r>
        <w:rPr>
          <w:rFonts w:hint="eastAsia"/>
        </w:rPr>
        <w:t>对于与工伤和与职业相关的疾病，根据健康保险法，为受保人提供医保，同时诊断和预防与职业相关的疾病。享有为工伤和与职业相关的疾病提供的治疗和医疗康复矫形援助的权利，目的是为了恢复工作能力。为病假规定了</w:t>
      </w:r>
      <w:r>
        <w:rPr>
          <w:rFonts w:hint="eastAsia"/>
        </w:rPr>
        <w:t>100%</w:t>
      </w:r>
      <w:r>
        <w:rPr>
          <w:rFonts w:hint="eastAsia"/>
        </w:rPr>
        <w:t>的旅行费用补偿和工资补偿。</w:t>
      </w:r>
    </w:p>
    <w:p w:rsidR="00000000" w:rsidRDefault="00000000">
      <w:pPr>
        <w:rPr>
          <w:rFonts w:hint="eastAsia"/>
        </w:rPr>
      </w:pPr>
      <w:r>
        <w:rPr>
          <w:rFonts w:hint="eastAsia"/>
        </w:rPr>
        <w:tab/>
        <w:t xml:space="preserve">226.  </w:t>
      </w:r>
      <w:r>
        <w:rPr>
          <w:rFonts w:hint="eastAsia"/>
        </w:rPr>
        <w:t>怀孕和产期的健康保险在</w:t>
      </w:r>
      <w:r>
        <w:rPr>
          <w:rFonts w:hint="eastAsia"/>
          <w:color w:val="000000"/>
        </w:rPr>
        <w:t>两个</w:t>
      </w:r>
      <w:r>
        <w:rPr>
          <w:rFonts w:hint="eastAsia"/>
        </w:rPr>
        <w:t>实体和布尔奇科区属于义务性医保。各州或市政厅以及布尔奇科区的预算按照立法确定的等级提供孕产假补偿金。</w:t>
      </w:r>
    </w:p>
    <w:p w:rsidR="00000000" w:rsidRDefault="00000000">
      <w:pPr>
        <w:rPr>
          <w:rFonts w:hint="eastAsia"/>
        </w:rPr>
      </w:pPr>
      <w:r>
        <w:rPr>
          <w:rFonts w:hint="eastAsia"/>
        </w:rPr>
        <w:tab/>
        <w:t xml:space="preserve">227.  </w:t>
      </w:r>
      <w:r>
        <w:rPr>
          <w:rFonts w:hint="eastAsia"/>
        </w:rPr>
        <w:t>儿童保护方面的条例规定了孕产假，并通过健康保险加以实施。根据某些非官方数据，有些市或州并不落实这项义务，即，休产假的母亲没有按照法律得到补偿金。</w:t>
      </w:r>
    </w:p>
    <w:p w:rsidR="00000000" w:rsidRDefault="00000000">
      <w:pPr>
        <w:rPr>
          <w:rFonts w:hint="eastAsia"/>
        </w:rPr>
      </w:pPr>
      <w:r>
        <w:rPr>
          <w:rFonts w:hint="eastAsia"/>
        </w:rPr>
        <w:tab/>
        <w:t xml:space="preserve">228.  </w:t>
      </w:r>
      <w:r>
        <w:rPr>
          <w:rFonts w:hint="eastAsia"/>
        </w:rPr>
        <w:t>从</w:t>
      </w:r>
      <w:r>
        <w:rPr>
          <w:rFonts w:hint="eastAsia"/>
        </w:rPr>
        <w:t>15</w:t>
      </w:r>
      <w:r>
        <w:rPr>
          <w:rFonts w:hint="eastAsia"/>
        </w:rPr>
        <w:t>到</w:t>
      </w:r>
      <w:r>
        <w:rPr>
          <w:rFonts w:hint="eastAsia"/>
        </w:rPr>
        <w:t>26</w:t>
      </w:r>
      <w:r>
        <w:rPr>
          <w:rFonts w:hint="eastAsia"/>
        </w:rPr>
        <w:t>岁的受保人子女也享有保险，只要子女是中等或高等学校的在册学生，即按正常学制就读求学。受保人子女由于其疾病或受伤而终止了日常学业，也有权在患病或受伤期间享有健康保险。根据特别条例，受保人子女在年满</w:t>
      </w:r>
      <w:r>
        <w:rPr>
          <w:rFonts w:hint="eastAsia"/>
        </w:rPr>
        <w:t>15</w:t>
      </w:r>
      <w:r>
        <w:rPr>
          <w:rFonts w:hint="eastAsia"/>
        </w:rPr>
        <w:t>岁之前，即在他们上学期间，完全残废和终身不能工作时，只要处于残疾状况下，他们即有权享受保险。</w:t>
      </w:r>
    </w:p>
    <w:p w:rsidR="00000000" w:rsidRDefault="00000000">
      <w:pPr>
        <w:rPr>
          <w:rFonts w:hint="eastAsia"/>
        </w:rPr>
      </w:pPr>
      <w:r>
        <w:rPr>
          <w:rFonts w:hint="eastAsia"/>
        </w:rPr>
        <w:tab/>
        <w:t xml:space="preserve">229.  </w:t>
      </w:r>
      <w:r>
        <w:rPr>
          <w:rFonts w:hint="eastAsia"/>
        </w:rPr>
        <w:t>若受保人领养了儿童，只要被领养儿童是孤儿，即有权享受保险。受保人领养单亲或双亲父母的儿童，若儿童的亲生父母由于健康状况或其他原因无法照管和支持被领养的儿童，儿童即有权享有健康保险。</w:t>
      </w:r>
    </w:p>
    <w:p w:rsidR="00000000" w:rsidRDefault="00000000">
      <w:pPr>
        <w:spacing w:after="320"/>
        <w:rPr>
          <w:rFonts w:hint="eastAsia"/>
        </w:rPr>
      </w:pPr>
      <w:r>
        <w:rPr>
          <w:rFonts w:hint="eastAsia"/>
        </w:rPr>
        <w:tab/>
        <w:t xml:space="preserve">230.  </w:t>
      </w:r>
      <w:r>
        <w:rPr>
          <w:rFonts w:hint="eastAsia"/>
        </w:rPr>
        <w:t>法律规定，中学校学生和常规大学或高等学院的学生，只要他们在波斯尼亚和黑塞哥维那境内居住并是波黑公民，而且除了家庭保险之外，没有其他任何保险时，他们即有权享有医保。就以上所述，受保人显然有权享受健康保险。然而，即使法律从广义上界定了受保人并且赋予了受保人家眷享受保险的权利，人口中仍然有一部分弱势群体未得到保险。若儿童的家长或监护人没有在任何形式下受保，学龄前儿童即不享有保险。</w:t>
      </w:r>
    </w:p>
    <w:p w:rsidR="00000000" w:rsidRDefault="00000000">
      <w:pPr>
        <w:pStyle w:val="Heading4"/>
        <w:rPr>
          <w:rFonts w:hint="eastAsia"/>
        </w:rPr>
      </w:pPr>
      <w:r>
        <w:rPr>
          <w:rFonts w:hint="eastAsia"/>
        </w:rPr>
        <w:t>残疾抚恤金保险权</w:t>
      </w:r>
    </w:p>
    <w:p w:rsidR="00000000" w:rsidRDefault="00000000">
      <w:pPr>
        <w:rPr>
          <w:rFonts w:hint="eastAsia"/>
        </w:rPr>
      </w:pPr>
      <w:r>
        <w:rPr>
          <w:rFonts w:hint="eastAsia"/>
        </w:rPr>
        <w:tab/>
        <w:t xml:space="preserve">231.  </w:t>
      </w:r>
      <w:r>
        <w:rPr>
          <w:rFonts w:hint="eastAsia"/>
        </w:rPr>
        <w:t>残疾抚恤金保险是根据工作获得的基本社会福利和基本社会保障权之一。这些权利包括：规定的抚恤金或残疾保险和衣法律人民自愿办理的保险，老年养恤金权，因工作能力减少或丧失以及投保人死亡领取的残疾养恤金，以及为受保人及其家眷提供的社会福利。</w:t>
      </w:r>
    </w:p>
    <w:p w:rsidR="00000000" w:rsidRDefault="00000000">
      <w:pPr>
        <w:rPr>
          <w:rFonts w:hint="eastAsia"/>
        </w:rPr>
      </w:pPr>
      <w:r>
        <w:rPr>
          <w:rFonts w:hint="eastAsia"/>
        </w:rPr>
        <w:tab/>
        <w:t xml:space="preserve">232.  </w:t>
      </w:r>
      <w:r>
        <w:rPr>
          <w:rFonts w:hint="eastAsia"/>
        </w:rPr>
        <w:t>这些权利的幅度取决于受保人</w:t>
      </w:r>
      <w:r>
        <w:rPr>
          <w:rFonts w:hint="eastAsia"/>
          <w:color w:val="000000"/>
        </w:rPr>
        <w:t>养恤金资格年限长短</w:t>
      </w:r>
      <w:r>
        <w:rPr>
          <w:rFonts w:hint="eastAsia"/>
        </w:rPr>
        <w:t>和在工作期间的工资等级，或者根据为养恤金和残疾保险支付的缴纳金数额。</w:t>
      </w:r>
    </w:p>
    <w:p w:rsidR="00000000" w:rsidRDefault="00000000">
      <w:pPr>
        <w:rPr>
          <w:rFonts w:hint="eastAsia"/>
        </w:rPr>
      </w:pPr>
      <w:r>
        <w:rPr>
          <w:rFonts w:hint="eastAsia"/>
        </w:rPr>
        <w:tab/>
        <w:t xml:space="preserve">233.  </w:t>
      </w:r>
      <w:r>
        <w:rPr>
          <w:rFonts w:hint="eastAsia"/>
        </w:rPr>
        <w:t>所有的配偶，只要按照法律得到确定，都有权在其配偶一方死亡之后领取遗属养恤金。</w:t>
      </w:r>
    </w:p>
    <w:p w:rsidR="00000000" w:rsidRDefault="00000000">
      <w:pPr>
        <w:rPr>
          <w:rFonts w:hint="eastAsia"/>
        </w:rPr>
      </w:pPr>
      <w:r>
        <w:rPr>
          <w:rFonts w:hint="eastAsia"/>
        </w:rPr>
        <w:tab/>
        <w:t xml:space="preserve">234.  </w:t>
      </w:r>
      <w:r>
        <w:rPr>
          <w:rFonts w:hint="eastAsia"/>
        </w:rPr>
        <w:t>男性的退休年龄是同样的：</w:t>
      </w:r>
      <w:r>
        <w:rPr>
          <w:rFonts w:hint="eastAsia"/>
        </w:rPr>
        <w:t>65</w:t>
      </w:r>
      <w:r>
        <w:rPr>
          <w:rFonts w:hint="eastAsia"/>
        </w:rPr>
        <w:t>岁或</w:t>
      </w:r>
      <w:r>
        <w:rPr>
          <w:rFonts w:hint="eastAsia"/>
        </w:rPr>
        <w:t>40</w:t>
      </w:r>
      <w:r>
        <w:rPr>
          <w:rFonts w:hint="eastAsia"/>
        </w:rPr>
        <w:t>年的养恤金资格年限，而男性自愿退休年龄是</w:t>
      </w:r>
      <w:r>
        <w:rPr>
          <w:rFonts w:hint="eastAsia"/>
        </w:rPr>
        <w:t>65</w:t>
      </w:r>
      <w:r>
        <w:rPr>
          <w:rFonts w:hint="eastAsia"/>
        </w:rPr>
        <w:t>岁和</w:t>
      </w:r>
      <w:r>
        <w:rPr>
          <w:rFonts w:hint="eastAsia"/>
        </w:rPr>
        <w:t>20</w:t>
      </w:r>
      <w:r>
        <w:rPr>
          <w:rFonts w:hint="eastAsia"/>
        </w:rPr>
        <w:t>年的养恤金资格年限。对于妇女，规定退休年龄是</w:t>
      </w:r>
      <w:r>
        <w:rPr>
          <w:rFonts w:hint="eastAsia"/>
        </w:rPr>
        <w:t>60</w:t>
      </w:r>
      <w:r>
        <w:rPr>
          <w:rFonts w:hint="eastAsia"/>
        </w:rPr>
        <w:t>岁，和至少</w:t>
      </w:r>
      <w:r>
        <w:rPr>
          <w:rFonts w:hint="eastAsia"/>
        </w:rPr>
        <w:t>20</w:t>
      </w:r>
      <w:r>
        <w:rPr>
          <w:rFonts w:hint="eastAsia"/>
        </w:rPr>
        <w:t>年的养恤金保险年限，凡是未满</w:t>
      </w:r>
      <w:r>
        <w:rPr>
          <w:rFonts w:hint="eastAsia"/>
        </w:rPr>
        <w:t>20</w:t>
      </w:r>
      <w:r>
        <w:rPr>
          <w:rFonts w:hint="eastAsia"/>
        </w:rPr>
        <w:t>年养恤金保险年限，但至少具有波斯尼亚和黑塞哥维那联邦</w:t>
      </w:r>
      <w:r>
        <w:rPr>
          <w:rFonts w:hint="eastAsia"/>
        </w:rPr>
        <w:t>25</w:t>
      </w:r>
      <w:r>
        <w:rPr>
          <w:rFonts w:hint="eastAsia"/>
        </w:rPr>
        <w:t>年养恤金资格年限的男性或女性，都有权领取养恤金。在塞族共和国，男性</w:t>
      </w:r>
      <w:r>
        <w:rPr>
          <w:rFonts w:hint="eastAsia"/>
        </w:rPr>
        <w:t>55</w:t>
      </w:r>
      <w:r>
        <w:rPr>
          <w:rFonts w:hint="eastAsia"/>
        </w:rPr>
        <w:t>岁或女性</w:t>
      </w:r>
      <w:r>
        <w:rPr>
          <w:rFonts w:hint="eastAsia"/>
        </w:rPr>
        <w:t>50</w:t>
      </w:r>
      <w:r>
        <w:rPr>
          <w:rFonts w:hint="eastAsia"/>
        </w:rPr>
        <w:t>岁即有权领取养恤金。</w:t>
      </w:r>
    </w:p>
    <w:p w:rsidR="00000000" w:rsidRDefault="00000000">
      <w:pPr>
        <w:rPr>
          <w:rFonts w:hint="eastAsia"/>
        </w:rPr>
      </w:pPr>
      <w:r>
        <w:rPr>
          <w:rFonts w:hint="eastAsia"/>
        </w:rPr>
        <w:tab/>
        <w:t xml:space="preserve">235.  </w:t>
      </w:r>
      <w:r>
        <w:rPr>
          <w:rFonts w:hint="eastAsia"/>
        </w:rPr>
        <w:t>法律规定受保人有权得到雇主和国家提供的养恤金和残疾保险。领取养恤金或残疾保险金权是不可分割的个人的物质权利；这些权利不可转让给他人或继承。因死亡未领取的钱款可以继承。为了落实养恤金和残疾保险金权，设立了两个实体养恤金―残疾保险基金。</w:t>
      </w:r>
    </w:p>
    <w:p w:rsidR="00000000" w:rsidRDefault="00000000">
      <w:pPr>
        <w:rPr>
          <w:rFonts w:hint="eastAsia"/>
        </w:rPr>
      </w:pPr>
      <w:r>
        <w:rPr>
          <w:rFonts w:hint="eastAsia"/>
        </w:rPr>
        <w:tab/>
        <w:t xml:space="preserve">236.  </w:t>
      </w:r>
      <w:r>
        <w:rPr>
          <w:rFonts w:hint="eastAsia"/>
        </w:rPr>
        <w:t>某个按规定或自愿地得投保养恤金或残疾保险的受保人可享有残疾保险权，而这些人：</w:t>
      </w:r>
    </w:p>
    <w:p w:rsidR="00000000" w:rsidRDefault="00000000">
      <w:pPr>
        <w:pStyle w:val="a0"/>
        <w:ind w:left="1550"/>
        <w:rPr>
          <w:rFonts w:hint="eastAsia"/>
        </w:rPr>
      </w:pPr>
      <w:r>
        <w:rPr>
          <w:rFonts w:hint="eastAsia"/>
        </w:rPr>
        <w:t>丧失了他</w:t>
      </w:r>
      <w:r>
        <w:rPr>
          <w:rFonts w:hint="eastAsia"/>
        </w:rPr>
        <w:t>/</w:t>
      </w:r>
      <w:r>
        <w:rPr>
          <w:rFonts w:hint="eastAsia"/>
        </w:rPr>
        <w:t>她受保的活动能力或从事经济活动所需的能力；</w:t>
      </w:r>
    </w:p>
    <w:p w:rsidR="00000000" w:rsidRDefault="00000000">
      <w:pPr>
        <w:pStyle w:val="a0"/>
        <w:ind w:left="1550"/>
        <w:rPr>
          <w:rFonts w:hint="eastAsia"/>
        </w:rPr>
      </w:pPr>
      <w:r>
        <w:rPr>
          <w:rFonts w:hint="eastAsia"/>
        </w:rPr>
        <w:t>被剥夺了他基于原先的培训或再培训所从事的工作的能力，但他</w:t>
      </w:r>
      <w:r>
        <w:rPr>
          <w:rFonts w:hint="eastAsia"/>
        </w:rPr>
        <w:t>/</w:t>
      </w:r>
      <w:r>
        <w:rPr>
          <w:rFonts w:hint="eastAsia"/>
        </w:rPr>
        <w:t>她从残疾之日起即予退休。</w:t>
      </w:r>
    </w:p>
    <w:p w:rsidR="00000000" w:rsidRDefault="00000000">
      <w:pPr>
        <w:rPr>
          <w:rFonts w:hint="eastAsia"/>
        </w:rPr>
      </w:pPr>
      <w:r>
        <w:rPr>
          <w:rFonts w:hint="eastAsia"/>
        </w:rPr>
        <w:tab/>
        <w:t xml:space="preserve">237.  </w:t>
      </w:r>
      <w:r>
        <w:rPr>
          <w:rFonts w:hint="eastAsia"/>
        </w:rPr>
        <w:t>凡是获得培训或再培训权的残疾工人，最终因年纪太大不能接受再培训时，无权领取残疾养恤金。凡是受过培训另行从事一项工作的残疾工人，当他</w:t>
      </w:r>
      <w:r>
        <w:rPr>
          <w:rFonts w:hint="eastAsia"/>
        </w:rPr>
        <w:t>/</w:t>
      </w:r>
      <w:r>
        <w:rPr>
          <w:rFonts w:hint="eastAsia"/>
        </w:rPr>
        <w:t>她年满</w:t>
      </w:r>
      <w:r>
        <w:rPr>
          <w:rFonts w:hint="eastAsia"/>
        </w:rPr>
        <w:t>50</w:t>
      </w:r>
      <w:r>
        <w:rPr>
          <w:rFonts w:hint="eastAsia"/>
        </w:rPr>
        <w:t>岁</w:t>
      </w:r>
      <w:r>
        <w:rPr>
          <w:rFonts w:hint="eastAsia"/>
        </w:rPr>
        <w:t>(</w:t>
      </w:r>
      <w:r>
        <w:rPr>
          <w:rFonts w:hint="eastAsia"/>
        </w:rPr>
        <w:t>男性</w:t>
      </w:r>
      <w:r>
        <w:rPr>
          <w:rFonts w:hint="eastAsia"/>
        </w:rPr>
        <w:t>)</w:t>
      </w:r>
      <w:r>
        <w:rPr>
          <w:rFonts w:hint="eastAsia"/>
        </w:rPr>
        <w:t>或</w:t>
      </w:r>
      <w:r>
        <w:rPr>
          <w:rFonts w:hint="eastAsia"/>
        </w:rPr>
        <w:t>45</w:t>
      </w:r>
      <w:r>
        <w:rPr>
          <w:rFonts w:hint="eastAsia"/>
        </w:rPr>
        <w:t>岁</w:t>
      </w:r>
      <w:r>
        <w:rPr>
          <w:rFonts w:hint="eastAsia"/>
        </w:rPr>
        <w:t>(</w:t>
      </w:r>
      <w:r>
        <w:rPr>
          <w:rFonts w:hint="eastAsia"/>
        </w:rPr>
        <w:t>女性</w:t>
      </w:r>
      <w:r>
        <w:rPr>
          <w:rFonts w:hint="eastAsia"/>
        </w:rPr>
        <w:t>)</w:t>
      </w:r>
      <w:r>
        <w:rPr>
          <w:rFonts w:hint="eastAsia"/>
        </w:rPr>
        <w:t>时，由于残疾甚至丧失了从事另一项工作的能力，若不经另外培训他</w:t>
      </w:r>
      <w:r>
        <w:rPr>
          <w:rFonts w:hint="eastAsia"/>
        </w:rPr>
        <w:t>/</w:t>
      </w:r>
      <w:r>
        <w:rPr>
          <w:rFonts w:hint="eastAsia"/>
        </w:rPr>
        <w:t>她亦无法从事新工作时，可有权领取残疾养恤金。</w:t>
      </w:r>
    </w:p>
    <w:p w:rsidR="00000000" w:rsidRDefault="00000000">
      <w:pPr>
        <w:rPr>
          <w:rFonts w:hint="eastAsia"/>
        </w:rPr>
      </w:pPr>
      <w:r>
        <w:rPr>
          <w:rFonts w:hint="eastAsia"/>
        </w:rPr>
        <w:tab/>
      </w:r>
      <w:r>
        <w:t xml:space="preserve">238.  </w:t>
      </w:r>
      <w:r>
        <w:rPr>
          <w:rFonts w:hint="eastAsia"/>
        </w:rPr>
        <w:t>根据其农业活动自愿受保的人，在工伤或由于与职业相关的疾病造成残疾时，不论其养恤金资格年限的长短，都有权领取残疾养恤金。每一位具有残疾保险的人，一旦因工伤或与工作相关的疾病造成了残疾，只要他</w:t>
      </w:r>
      <w:r>
        <w:rPr>
          <w:rFonts w:hint="eastAsia"/>
        </w:rPr>
        <w:t>/</w:t>
      </w:r>
      <w:r>
        <w:rPr>
          <w:rFonts w:hint="eastAsia"/>
        </w:rPr>
        <w:t>她的养恤金资格年限至少占他</w:t>
      </w:r>
      <w:r>
        <w:rPr>
          <w:rFonts w:hint="eastAsia"/>
        </w:rPr>
        <w:t>/</w:t>
      </w:r>
      <w:r>
        <w:rPr>
          <w:rFonts w:hint="eastAsia"/>
        </w:rPr>
        <w:t>她工龄期三分之一，即可有权领取养恤金。</w:t>
      </w:r>
      <w:r>
        <w:rPr>
          <w:rFonts w:hint="eastAsia"/>
        </w:rPr>
        <w:t>30</w:t>
      </w:r>
      <w:r>
        <w:rPr>
          <w:rFonts w:hint="eastAsia"/>
        </w:rPr>
        <w:t>岁以前由于与工作无关的疾病造成残疾的人，只要残疾保险期至少为其工龄期三分之一，即可有权领取残疾保险。</w:t>
      </w:r>
    </w:p>
    <w:p w:rsidR="00000000" w:rsidRDefault="00000000">
      <w:pPr>
        <w:rPr>
          <w:rFonts w:hint="eastAsia"/>
        </w:rPr>
      </w:pPr>
      <w:r>
        <w:rPr>
          <w:rFonts w:hint="eastAsia"/>
        </w:rPr>
        <w:tab/>
        <w:t xml:space="preserve">239.  </w:t>
      </w:r>
      <w:r>
        <w:rPr>
          <w:rFonts w:hint="eastAsia"/>
        </w:rPr>
        <w:t>因与工作无关的疾病或受伤后享有的残疾养恤金，是根据基本养恤金、养恤金资格年限、受保人性别和按日历年计算的实施养恤金权享有期的适当百分比计算。对于因工伤或与职业相关的疾病造成的残疾，则根据基本养恤金百分比计算，不考虑养恤金资格年限的长短，而且比与工作无关的疾病或受伤的残疾养恤金更为优惠。上述两种情况的残疾养恤金幅度对妇女比较宽，但是也与男性同样的条件获得这项权利。</w:t>
      </w:r>
    </w:p>
    <w:p w:rsidR="00000000" w:rsidRDefault="00000000">
      <w:pPr>
        <w:rPr>
          <w:rFonts w:hint="eastAsia"/>
        </w:rPr>
      </w:pPr>
      <w:r>
        <w:rPr>
          <w:rFonts w:hint="eastAsia"/>
        </w:rPr>
        <w:tab/>
        <w:t xml:space="preserve">240.  </w:t>
      </w:r>
      <w:r>
        <w:rPr>
          <w:rFonts w:hint="eastAsia"/>
        </w:rPr>
        <w:t>塞族共和国按照《养恤金和残疾保险法》</w:t>
      </w:r>
      <w:r>
        <w:rPr>
          <w:rFonts w:hint="eastAsia"/>
        </w:rPr>
        <w:t>(</w:t>
      </w:r>
      <w:r>
        <w:rPr>
          <w:rFonts w:hint="eastAsia"/>
        </w:rPr>
        <w:t>塞族共和国政府公报第</w:t>
      </w:r>
      <w:r>
        <w:rPr>
          <w:rFonts w:hint="eastAsia"/>
        </w:rPr>
        <w:t>32/00</w:t>
      </w:r>
      <w:r>
        <w:rPr>
          <w:rFonts w:hint="eastAsia"/>
        </w:rPr>
        <w:t>号</w:t>
      </w:r>
      <w:r>
        <w:rPr>
          <w:rFonts w:hint="eastAsia"/>
        </w:rPr>
        <w:t>)</w:t>
      </w:r>
      <w:r>
        <w:rPr>
          <w:rFonts w:hint="eastAsia"/>
        </w:rPr>
        <w:t>规约养恤金体制。领取养恤金和残疾保险金的权利被视为公民的基本社会权利和社会保障要素之一。这是根据法律，因工作而获得的权利，即强制养恤金和残疾保险、及自愿保险。</w:t>
      </w:r>
    </w:p>
    <w:p w:rsidR="00000000" w:rsidRDefault="00000000">
      <w:pPr>
        <w:rPr>
          <w:rFonts w:hint="eastAsia"/>
        </w:rPr>
      </w:pPr>
      <w:r>
        <w:rPr>
          <w:rFonts w:hint="eastAsia"/>
        </w:rPr>
        <w:tab/>
        <w:t xml:space="preserve">241.  </w:t>
      </w:r>
      <w:r>
        <w:rPr>
          <w:rFonts w:hint="eastAsia"/>
        </w:rPr>
        <w:t>关于养恤金和残疾保险的法律明确地界定了根据互助和支持原则建立起的强制性和自愿性保险所确立的权利，诸如：老年人权利、在工作能力削弱或丧失的情况下享有的权利，和在伤亡情况下向家眷提供保险的权利。根据法律规定的条件，获取和行使养恤金或残疾保险的权利。按例这些权利的幅度取决于养恤金资格年限的长短和工资级别的高低。养恤金和残疾保险基金由受保人、雇主和国家提供。领取养恤金和残疾保险的权利是不可剥夺的个人物质权利，但这些权利不可转让或由他人继承。由于养恤金使用者的死亡，尚未支付的养恤金可以继承。只有根据法律才可终止所获得的这些权利。为行使这些权利权并明确养恤金和残疾保险的必要规定和利益，建立起了养恤金</w:t>
      </w:r>
      <w:r>
        <w:rPr>
          <w:rFonts w:hint="eastAsia"/>
          <w:spacing w:val="-50"/>
        </w:rPr>
        <w:t>―</w:t>
      </w:r>
      <w:r>
        <w:rPr>
          <w:rFonts w:hint="eastAsia"/>
        </w:rPr>
        <w:t>―残疾保险基金。</w:t>
      </w:r>
    </w:p>
    <w:p w:rsidR="00000000" w:rsidRDefault="00000000">
      <w:pPr>
        <w:rPr>
          <w:rFonts w:hint="eastAsia"/>
        </w:rPr>
      </w:pPr>
      <w:r>
        <w:rPr>
          <w:rFonts w:hint="eastAsia"/>
        </w:rPr>
        <w:tab/>
        <w:t xml:space="preserve">242.  </w:t>
      </w:r>
      <w:r>
        <w:rPr>
          <w:rFonts w:hint="eastAsia"/>
        </w:rPr>
        <w:t>塞族共和国养恤金和残疾保险法的条款符合劳工组织</w:t>
      </w:r>
      <w:r>
        <w:rPr>
          <w:rFonts w:hint="eastAsia"/>
        </w:rPr>
        <w:t>1952</w:t>
      </w:r>
      <w:r>
        <w:rPr>
          <w:rFonts w:hint="eastAsia"/>
        </w:rPr>
        <w:t>年《社会保障最低标准</w:t>
      </w:r>
      <w:r>
        <w:rPr>
          <w:rFonts w:hint="eastAsia"/>
        </w:rPr>
        <w:t>(</w:t>
      </w:r>
      <w:r>
        <w:rPr>
          <w:rFonts w:hint="eastAsia"/>
        </w:rPr>
        <w:t>第</w:t>
      </w:r>
      <w:r>
        <w:rPr>
          <w:rFonts w:hint="eastAsia"/>
        </w:rPr>
        <w:t>102</w:t>
      </w:r>
      <w:r>
        <w:rPr>
          <w:rFonts w:hint="eastAsia"/>
        </w:rPr>
        <w:t>号</w:t>
      </w:r>
      <w:r>
        <w:rPr>
          <w:rFonts w:hint="eastAsia"/>
        </w:rPr>
        <w:t>)</w:t>
      </w:r>
      <w:r>
        <w:rPr>
          <w:rFonts w:hint="eastAsia"/>
        </w:rPr>
        <w:t>公约》所述下列部分内容：为老年人、工伤事故和与职业相关的疾病，以及在养家人死亡情况下向家眷支付的款项缴纳的保险金，以及符合这一领域各公约的其他有关条款，保证让所有根据《养恤金和残疾保险法》有权领取福利金的人享有平等的权利。</w:t>
      </w:r>
    </w:p>
    <w:p w:rsidR="00000000" w:rsidRDefault="00000000">
      <w:pPr>
        <w:rPr>
          <w:rFonts w:hint="eastAsia"/>
        </w:rPr>
      </w:pPr>
      <w:r>
        <w:rPr>
          <w:rFonts w:hint="eastAsia"/>
        </w:rPr>
        <w:tab/>
        <w:t xml:space="preserve">243.  </w:t>
      </w:r>
      <w:r>
        <w:rPr>
          <w:rFonts w:hint="eastAsia"/>
        </w:rPr>
        <w:t>法律规定的养恤金和残疾保险权利如下：</w:t>
      </w:r>
    </w:p>
    <w:p w:rsidR="00000000" w:rsidRDefault="00000000">
      <w:pPr>
        <w:pStyle w:val="a0"/>
        <w:ind w:left="1550"/>
        <w:rPr>
          <w:rFonts w:hint="eastAsia"/>
        </w:rPr>
      </w:pPr>
      <w:r>
        <w:rPr>
          <w:rFonts w:hint="eastAsia"/>
        </w:rPr>
        <w:t>老年人：领取老年养恤金；</w:t>
      </w:r>
    </w:p>
    <w:p w:rsidR="00000000" w:rsidRDefault="00000000">
      <w:pPr>
        <w:pStyle w:val="a0"/>
        <w:ind w:left="1550"/>
        <w:rPr>
          <w:rFonts w:hint="eastAsia"/>
        </w:rPr>
      </w:pPr>
      <w:r>
        <w:rPr>
          <w:rFonts w:hint="eastAsia"/>
        </w:rPr>
        <w:t>若成为残疾时：领取残疾养恤金、培训或再培训并重新安排工作，以及在等待指派新工作之际，可根据受培训权利，有权领取经济补偿；</w:t>
      </w:r>
    </w:p>
    <w:p w:rsidR="00000000" w:rsidRDefault="00000000">
      <w:pPr>
        <w:pStyle w:val="a0"/>
        <w:ind w:left="1550"/>
        <w:rPr>
          <w:rFonts w:hint="eastAsia"/>
        </w:rPr>
      </w:pPr>
      <w:r>
        <w:rPr>
          <w:rFonts w:hint="eastAsia"/>
        </w:rPr>
        <w:t>如保人死亡，个人养恤金的受益者可领取家属养恤金。</w:t>
      </w:r>
    </w:p>
    <w:p w:rsidR="00000000" w:rsidRDefault="00000000">
      <w:pPr>
        <w:rPr>
          <w:rFonts w:hint="eastAsia"/>
        </w:rPr>
      </w:pPr>
      <w:r>
        <w:rPr>
          <w:rFonts w:hint="eastAsia"/>
        </w:rPr>
        <w:tab/>
        <w:t xml:space="preserve">244.  </w:t>
      </w:r>
      <w:r>
        <w:rPr>
          <w:rFonts w:hint="eastAsia"/>
        </w:rPr>
        <w:t>按强制或自愿保险的受保人，在下列情况下可享有残疾养恤金权：</w:t>
      </w:r>
    </w:p>
    <w:p w:rsidR="00000000" w:rsidRDefault="00000000">
      <w:pPr>
        <w:pStyle w:val="a0"/>
        <w:ind w:left="1550"/>
        <w:rPr>
          <w:rFonts w:hint="eastAsia"/>
        </w:rPr>
      </w:pPr>
      <w:r>
        <w:rPr>
          <w:rFonts w:hint="eastAsia"/>
        </w:rPr>
        <w:t>凡为预防丧失工作能力、丧失活动能力，或预防丧失经济活动能力而投保的人，一旦丧失了上述能力者；</w:t>
      </w:r>
    </w:p>
    <w:p w:rsidR="00000000" w:rsidRDefault="00000000">
      <w:pPr>
        <w:pStyle w:val="a0"/>
        <w:ind w:left="1550"/>
        <w:rPr>
          <w:rFonts w:hint="eastAsia"/>
        </w:rPr>
      </w:pPr>
      <w:r>
        <w:rPr>
          <w:rFonts w:hint="eastAsia"/>
        </w:rPr>
        <w:t>凡其剩余工作能力须以重新培训或额外培训为条件，但从残疾即日起因年满</w:t>
      </w:r>
      <w:r>
        <w:rPr>
          <w:rFonts w:hint="eastAsia"/>
        </w:rPr>
        <w:t>55</w:t>
      </w:r>
      <w:r>
        <w:rPr>
          <w:rFonts w:hint="eastAsia"/>
        </w:rPr>
        <w:t>岁</w:t>
      </w:r>
      <w:r>
        <w:rPr>
          <w:rFonts w:hint="eastAsia"/>
        </w:rPr>
        <w:t>(</w:t>
      </w:r>
      <w:r>
        <w:rPr>
          <w:rFonts w:hint="eastAsia"/>
        </w:rPr>
        <w:t>男性</w:t>
      </w:r>
      <w:r>
        <w:rPr>
          <w:rFonts w:hint="eastAsia"/>
        </w:rPr>
        <w:t>)</w:t>
      </w:r>
      <w:r>
        <w:rPr>
          <w:rFonts w:hint="eastAsia"/>
        </w:rPr>
        <w:t>或</w:t>
      </w:r>
      <w:r>
        <w:rPr>
          <w:rFonts w:hint="eastAsia"/>
        </w:rPr>
        <w:t>50</w:t>
      </w:r>
      <w:r>
        <w:rPr>
          <w:rFonts w:hint="eastAsia"/>
        </w:rPr>
        <w:t>岁</w:t>
      </w:r>
      <w:r>
        <w:rPr>
          <w:rFonts w:hint="eastAsia"/>
        </w:rPr>
        <w:t>(</w:t>
      </w:r>
      <w:r>
        <w:rPr>
          <w:rFonts w:hint="eastAsia"/>
        </w:rPr>
        <w:t>女性</w:t>
      </w:r>
      <w:r>
        <w:rPr>
          <w:rFonts w:hint="eastAsia"/>
        </w:rPr>
        <w:t>)</w:t>
      </w:r>
      <w:r>
        <w:rPr>
          <w:rFonts w:hint="eastAsia"/>
        </w:rPr>
        <w:t>而不享有受培训权的人。</w:t>
      </w:r>
    </w:p>
    <w:p w:rsidR="00000000" w:rsidRDefault="00000000">
      <w:pPr>
        <w:rPr>
          <w:rFonts w:hint="eastAsia"/>
        </w:rPr>
      </w:pPr>
      <w:r>
        <w:rPr>
          <w:rFonts w:hint="eastAsia"/>
        </w:rPr>
        <w:tab/>
        <w:t xml:space="preserve">245.  </w:t>
      </w:r>
      <w:r>
        <w:rPr>
          <w:rFonts w:hint="eastAsia"/>
        </w:rPr>
        <w:t>然而，凡获得了再培训或额外培训权的残疾人在他</w:t>
      </w:r>
      <w:r>
        <w:rPr>
          <w:rFonts w:hint="eastAsia"/>
        </w:rPr>
        <w:t>/</w:t>
      </w:r>
      <w:r>
        <w:rPr>
          <w:rFonts w:hint="eastAsia"/>
        </w:rPr>
        <w:t>她达到了获得培训权的保证年龄限制之后，亦无权依据残疾申报领取残疾养恤金。</w:t>
      </w:r>
    </w:p>
    <w:p w:rsidR="00000000" w:rsidRDefault="00000000">
      <w:pPr>
        <w:rPr>
          <w:rFonts w:hint="eastAsia"/>
        </w:rPr>
      </w:pPr>
      <w:r>
        <w:rPr>
          <w:rFonts w:hint="eastAsia"/>
        </w:rPr>
        <w:tab/>
        <w:t xml:space="preserve">246.  </w:t>
      </w:r>
      <w:r>
        <w:rPr>
          <w:rFonts w:hint="eastAsia"/>
        </w:rPr>
        <w:t>凡经过重新培训或额外培训之后工作得到另行安排的残疾人，在年满</w:t>
      </w:r>
      <w:r>
        <w:rPr>
          <w:rFonts w:hint="eastAsia"/>
        </w:rPr>
        <w:t>50</w:t>
      </w:r>
      <w:r>
        <w:rPr>
          <w:rFonts w:hint="eastAsia"/>
        </w:rPr>
        <w:t>岁</w:t>
      </w:r>
      <w:r>
        <w:rPr>
          <w:rFonts w:hint="eastAsia"/>
        </w:rPr>
        <w:t>(</w:t>
      </w:r>
      <w:r>
        <w:rPr>
          <w:rFonts w:hint="eastAsia"/>
        </w:rPr>
        <w:t>男性</w:t>
      </w:r>
      <w:r>
        <w:rPr>
          <w:rFonts w:hint="eastAsia"/>
        </w:rPr>
        <w:t>)</w:t>
      </w:r>
      <w:r>
        <w:rPr>
          <w:rFonts w:hint="eastAsia"/>
        </w:rPr>
        <w:t>或</w:t>
      </w:r>
      <w:r>
        <w:rPr>
          <w:rFonts w:hint="eastAsia"/>
        </w:rPr>
        <w:t>45</w:t>
      </w:r>
      <w:r>
        <w:rPr>
          <w:rFonts w:hint="eastAsia"/>
        </w:rPr>
        <w:t>岁</w:t>
      </w:r>
      <w:r>
        <w:rPr>
          <w:rFonts w:hint="eastAsia"/>
        </w:rPr>
        <w:t>(</w:t>
      </w:r>
      <w:r>
        <w:rPr>
          <w:rFonts w:hint="eastAsia"/>
        </w:rPr>
        <w:t>女性</w:t>
      </w:r>
      <w:r>
        <w:rPr>
          <w:rFonts w:hint="eastAsia"/>
        </w:rPr>
        <w:t>)</w:t>
      </w:r>
      <w:r>
        <w:rPr>
          <w:rFonts w:hint="eastAsia"/>
        </w:rPr>
        <w:t>时，因残疾程度的变化而丧失了新安排的工作，则不必接受新的或额外培训即可获得领取残疾养恤金的权利。</w:t>
      </w:r>
    </w:p>
    <w:p w:rsidR="00000000" w:rsidRDefault="00000000">
      <w:pPr>
        <w:rPr>
          <w:rFonts w:hint="eastAsia"/>
        </w:rPr>
      </w:pPr>
      <w:r>
        <w:rPr>
          <w:rFonts w:hint="eastAsia"/>
        </w:rPr>
        <w:tab/>
        <w:t xml:space="preserve">247.  </w:t>
      </w:r>
      <w:r>
        <w:rPr>
          <w:rFonts w:hint="eastAsia"/>
        </w:rPr>
        <w:t>根据农业活动自愿加入养恤金保险的人，若因工伤或与职业相关的疾病造成残疾，无论其养恤金资格年限长短，均可获得领取残疾养恤金的权利。每一位加入残疾养恤金保险的人，当因工作之外的受伤或者疾病造成残疾时，只要他</w:t>
      </w:r>
      <w:r>
        <w:rPr>
          <w:rFonts w:hint="eastAsia"/>
        </w:rPr>
        <w:t>/</w:t>
      </w:r>
      <w:r>
        <w:rPr>
          <w:rFonts w:hint="eastAsia"/>
        </w:rPr>
        <w:t>她的养恤金资格年限至少为他</w:t>
      </w:r>
      <w:r>
        <w:rPr>
          <w:rFonts w:hint="eastAsia"/>
        </w:rPr>
        <w:t>/</w:t>
      </w:r>
      <w:r>
        <w:rPr>
          <w:rFonts w:hint="eastAsia"/>
        </w:rPr>
        <w:t>她工龄的三分之一，可获得领取残疾养恤金权。</w:t>
      </w:r>
      <w:r>
        <w:rPr>
          <w:rFonts w:hint="eastAsia"/>
        </w:rPr>
        <w:t>30</w:t>
      </w:r>
      <w:r>
        <w:rPr>
          <w:rFonts w:hint="eastAsia"/>
        </w:rPr>
        <w:t>岁以下由于疾病或工伤残疾的人，只要他们的养恤金资格年限至少为其预期工作龄的三分之一，有权领取残疾养恤金。</w:t>
      </w:r>
    </w:p>
    <w:p w:rsidR="00000000" w:rsidRDefault="00000000">
      <w:pPr>
        <w:rPr>
          <w:rFonts w:hint="eastAsia"/>
        </w:rPr>
      </w:pPr>
      <w:r>
        <w:rPr>
          <w:rFonts w:hint="eastAsia"/>
        </w:rPr>
        <w:tab/>
        <w:t xml:space="preserve">248.  </w:t>
      </w:r>
      <w:r>
        <w:rPr>
          <w:rFonts w:hint="eastAsia"/>
        </w:rPr>
        <w:t>截止</w:t>
      </w:r>
      <w:r>
        <w:rPr>
          <w:rFonts w:hint="eastAsia"/>
        </w:rPr>
        <w:t>2001</w:t>
      </w:r>
      <w:r>
        <w:rPr>
          <w:rFonts w:hint="eastAsia"/>
        </w:rPr>
        <w:t>年</w:t>
      </w:r>
      <w:r>
        <w:rPr>
          <w:rFonts w:hint="eastAsia"/>
        </w:rPr>
        <w:t>12</w:t>
      </w:r>
      <w:r>
        <w:rPr>
          <w:rFonts w:hint="eastAsia"/>
        </w:rPr>
        <w:t>月，塞族共和国为总共</w:t>
      </w:r>
      <w:r>
        <w:rPr>
          <w:rFonts w:hint="eastAsia"/>
        </w:rPr>
        <w:t>165,481</w:t>
      </w:r>
      <w:r>
        <w:rPr>
          <w:rFonts w:hint="eastAsia"/>
        </w:rPr>
        <w:t>名养恤金领取者发放了养恤金，其中</w:t>
      </w:r>
      <w:r>
        <w:rPr>
          <w:rFonts w:hint="eastAsia"/>
        </w:rPr>
        <w:t>32,510</w:t>
      </w:r>
      <w:r>
        <w:rPr>
          <w:rFonts w:hint="eastAsia"/>
        </w:rPr>
        <w:t>人领取了平均为</w:t>
      </w:r>
      <w:r>
        <w:rPr>
          <w:rFonts w:hint="eastAsia"/>
        </w:rPr>
        <w:t>117.75</w:t>
      </w:r>
      <w:r>
        <w:rPr>
          <w:rFonts w:hint="eastAsia"/>
        </w:rPr>
        <w:t>可兑换马克的残疾养恤金</w:t>
      </w:r>
      <w:r>
        <w:rPr>
          <w:rFonts w:hint="eastAsia"/>
        </w:rPr>
        <w:t xml:space="preserve"> (2002</w:t>
      </w:r>
      <w:r>
        <w:rPr>
          <w:rFonts w:hint="eastAsia"/>
        </w:rPr>
        <w:t>年</w:t>
      </w:r>
      <w:r>
        <w:rPr>
          <w:rFonts w:hint="eastAsia"/>
        </w:rPr>
        <w:t>4</w:t>
      </w:r>
      <w:r>
        <w:rPr>
          <w:rFonts w:hint="eastAsia"/>
        </w:rPr>
        <w:t>月关于养恤金和残疾保险状况报告及建议</w:t>
      </w:r>
      <w:r>
        <w:rPr>
          <w:rFonts w:hint="eastAsia"/>
        </w:rPr>
        <w:t>)</w:t>
      </w:r>
      <w:r>
        <w:rPr>
          <w:rFonts w:hint="eastAsia"/>
        </w:rPr>
        <w:t>。从贯彻养恤金和残疾保险金权的基金大体上靠保险缴纳金筹集，以及截止</w:t>
      </w:r>
      <w:r>
        <w:rPr>
          <w:rFonts w:hint="eastAsia"/>
        </w:rPr>
        <w:t>2001</w:t>
      </w:r>
      <w:r>
        <w:rPr>
          <w:rFonts w:hint="eastAsia"/>
        </w:rPr>
        <w:t>年</w:t>
      </w:r>
      <w:r>
        <w:rPr>
          <w:rFonts w:hint="eastAsia"/>
        </w:rPr>
        <w:t>12</w:t>
      </w:r>
      <w:r>
        <w:rPr>
          <w:rFonts w:hint="eastAsia"/>
        </w:rPr>
        <w:t>月</w:t>
      </w:r>
      <w:r>
        <w:rPr>
          <w:rFonts w:hint="eastAsia"/>
        </w:rPr>
        <w:t>31</w:t>
      </w:r>
      <w:r>
        <w:rPr>
          <w:rFonts w:hint="eastAsia"/>
        </w:rPr>
        <w:t>日登记领取养恤金和残疾保险金的受保人数为</w:t>
      </w:r>
      <w:r>
        <w:rPr>
          <w:rFonts w:hint="eastAsia"/>
        </w:rPr>
        <w:t>298,497</w:t>
      </w:r>
      <w:r>
        <w:rPr>
          <w:rFonts w:hint="eastAsia"/>
        </w:rPr>
        <w:t>人的实况着手，我们得出结论，按目前领取养恤金人数，今年养恤金的增长幅度只是象征性的。因此，看来有必要就养恤金领取者的生活标准采取某些保护性措施。</w:t>
      </w:r>
    </w:p>
    <w:p w:rsidR="00000000" w:rsidRDefault="00000000">
      <w:pPr>
        <w:rPr>
          <w:rFonts w:hint="eastAsia"/>
        </w:rPr>
      </w:pPr>
      <w:r>
        <w:rPr>
          <w:rFonts w:hint="eastAsia"/>
        </w:rPr>
        <w:tab/>
        <w:t xml:space="preserve">249.  </w:t>
      </w:r>
      <w:r>
        <w:rPr>
          <w:rFonts w:hint="eastAsia"/>
        </w:rPr>
        <w:t>由于与职业无关的疾病和受伤暂时无法工作的受保人包括陪伴病人前往医院治疗的人，或者照管其患病配偶或子女的人。这些人在他们暂时无法工作期间，有权领取他们最后一个月基本工资额</w:t>
      </w:r>
      <w:r>
        <w:rPr>
          <w:rFonts w:hint="eastAsia"/>
        </w:rPr>
        <w:t>80%</w:t>
      </w:r>
      <w:r>
        <w:rPr>
          <w:rFonts w:hint="eastAsia"/>
        </w:rPr>
        <w:t>的补偿金。对怀孕和孕产综合症发放的补偿金为</w:t>
      </w:r>
      <w:r>
        <w:rPr>
          <w:rFonts w:hint="eastAsia"/>
        </w:rPr>
        <w:t>100%</w:t>
      </w:r>
      <w:r>
        <w:rPr>
          <w:rFonts w:hint="eastAsia"/>
        </w:rPr>
        <w:t>。</w:t>
      </w:r>
    </w:p>
    <w:p w:rsidR="00000000" w:rsidRDefault="00000000">
      <w:pPr>
        <w:rPr>
          <w:rFonts w:hint="eastAsia"/>
        </w:rPr>
      </w:pPr>
      <w:r>
        <w:rPr>
          <w:rFonts w:hint="eastAsia"/>
        </w:rPr>
        <w:tab/>
        <w:t xml:space="preserve">250.  </w:t>
      </w:r>
      <w:r>
        <w:rPr>
          <w:rFonts w:hint="eastAsia"/>
        </w:rPr>
        <w:t>因工伤或与职业相关的疾病丧失工资的补偿金从雇用受保人的法人，即自然人的资金中划出并支付。</w:t>
      </w:r>
    </w:p>
    <w:p w:rsidR="00000000" w:rsidRDefault="00000000">
      <w:pPr>
        <w:rPr>
          <w:rFonts w:hint="eastAsia"/>
        </w:rPr>
      </w:pPr>
      <w:r>
        <w:rPr>
          <w:rFonts w:hint="eastAsia"/>
        </w:rPr>
        <w:tab/>
        <w:t xml:space="preserve">251.  </w:t>
      </w:r>
      <w:r>
        <w:rPr>
          <w:rFonts w:hint="eastAsia"/>
        </w:rPr>
        <w:t>受保人有权得到矫形及其他援助，牙齿修整援助，以及使用公共当局批准允许出售并由主管健康保险局资助的药品。各实体和布尔奇科区实施了防治恶性疾病</w:t>
      </w:r>
      <w:r>
        <w:rPr>
          <w:rFonts w:hint="eastAsia"/>
        </w:rPr>
        <w:t>(</w:t>
      </w:r>
      <w:r>
        <w:rPr>
          <w:rFonts w:hint="eastAsia"/>
        </w:rPr>
        <w:t>包括艾滋病</w:t>
      </w:r>
      <w:r>
        <w:rPr>
          <w:rFonts w:hint="eastAsia"/>
        </w:rPr>
        <w:t>)</w:t>
      </w:r>
      <w:r>
        <w:rPr>
          <w:rFonts w:hint="eastAsia"/>
        </w:rPr>
        <w:t>和肺结核的工作。</w:t>
      </w:r>
    </w:p>
    <w:p w:rsidR="00000000" w:rsidRDefault="00000000">
      <w:pPr>
        <w:widowControl w:val="0"/>
        <w:spacing w:after="160"/>
        <w:rPr>
          <w:rFonts w:hint="eastAsia"/>
        </w:rPr>
      </w:pPr>
      <w:r>
        <w:rPr>
          <w:rFonts w:hint="eastAsia"/>
        </w:rPr>
        <w:tab/>
        <w:t xml:space="preserve">252.  </w:t>
      </w:r>
      <w:r>
        <w:rPr>
          <w:rFonts w:hint="eastAsia"/>
        </w:rPr>
        <w:t>居住在各实体或布尔奇科区内无独立生活和工作能力并无支助基金的人，必须按照为受保家属确定的幅度实行强制性医保。</w:t>
      </w:r>
    </w:p>
    <w:p w:rsidR="00000000" w:rsidRDefault="00000000">
      <w:pPr>
        <w:pStyle w:val="Heading4"/>
        <w:keepNext w:val="0"/>
        <w:keepLines w:val="0"/>
        <w:widowControl w:val="0"/>
        <w:spacing w:after="160"/>
        <w:rPr>
          <w:rFonts w:hint="eastAsia"/>
        </w:rPr>
      </w:pPr>
      <w:r>
        <w:rPr>
          <w:rFonts w:hint="eastAsia"/>
        </w:rPr>
        <w:t>国际援助</w:t>
      </w:r>
    </w:p>
    <w:p w:rsidR="00000000" w:rsidRDefault="00000000">
      <w:pPr>
        <w:rPr>
          <w:rFonts w:hint="eastAsia"/>
        </w:rPr>
      </w:pPr>
      <w:r>
        <w:rPr>
          <w:rFonts w:hint="eastAsia"/>
        </w:rPr>
        <w:tab/>
        <w:t xml:space="preserve">253.  </w:t>
      </w:r>
      <w:r>
        <w:rPr>
          <w:rFonts w:hint="eastAsia"/>
        </w:rPr>
        <w:t>布尔奇科区享有国际社会提供的行政和法律援助。波斯尼亚和黑塞哥维那联邦迄今为止得到了无数的捐款和贷款，极大地帮助了保健系统的建立。一些已实施或正在实施的项目如下：</w:t>
      </w:r>
    </w:p>
    <w:p w:rsidR="00000000" w:rsidRDefault="00000000">
      <w:pPr>
        <w:pStyle w:val="a0"/>
        <w:ind w:left="1550"/>
        <w:rPr>
          <w:rFonts w:hint="eastAsia"/>
        </w:rPr>
      </w:pPr>
      <w:r>
        <w:rPr>
          <w:rFonts w:hint="eastAsia"/>
        </w:rPr>
        <w:t>儿童基金会扩大的免疫方案：这是</w:t>
      </w:r>
      <w:r>
        <w:rPr>
          <w:rFonts w:hint="eastAsia"/>
        </w:rPr>
        <w:t>1992</w:t>
      </w:r>
      <w:r>
        <w:rPr>
          <w:rFonts w:hint="eastAsia"/>
        </w:rPr>
        <w:t>年发起的项目，目标是实现为</w:t>
      </w:r>
      <w:r>
        <w:rPr>
          <w:rFonts w:hint="eastAsia"/>
        </w:rPr>
        <w:t>95%</w:t>
      </w:r>
      <w:r>
        <w:rPr>
          <w:rFonts w:hint="eastAsia"/>
        </w:rPr>
        <w:t>的</w:t>
      </w:r>
      <w:r>
        <w:rPr>
          <w:rFonts w:hint="eastAsia"/>
        </w:rPr>
        <w:t>6</w:t>
      </w:r>
      <w:r>
        <w:rPr>
          <w:rFonts w:hint="eastAsia"/>
        </w:rPr>
        <w:t>岁以下儿童进行免疫注射，并消除各种疾病；</w:t>
      </w:r>
    </w:p>
    <w:p w:rsidR="00000000" w:rsidRDefault="00000000">
      <w:pPr>
        <w:pStyle w:val="a0"/>
        <w:ind w:left="1548"/>
        <w:rPr>
          <w:rFonts w:hint="eastAsia"/>
        </w:rPr>
      </w:pPr>
      <w:r>
        <w:rPr>
          <w:rFonts w:hint="eastAsia"/>
        </w:rPr>
        <w:t>母亲和儿童健康营养分项目</w:t>
      </w:r>
      <w:r>
        <w:rPr>
          <w:rFonts w:hint="eastAsia"/>
        </w:rPr>
        <w:t>3.4</w:t>
      </w:r>
      <w:r>
        <w:rPr>
          <w:rFonts w:hint="eastAsia"/>
        </w:rPr>
        <w:t>：控制和防止微量元素营养缺陷：目的是建立控制和防止微量元素营养缺陷引起的疾病；这个项目是</w:t>
      </w:r>
      <w:r>
        <w:rPr>
          <w:rFonts w:hint="eastAsia"/>
        </w:rPr>
        <w:t>1998</w:t>
      </w:r>
      <w:r>
        <w:rPr>
          <w:rFonts w:hint="eastAsia"/>
        </w:rPr>
        <w:t>年发起的；</w:t>
      </w:r>
    </w:p>
    <w:p w:rsidR="00000000" w:rsidRDefault="00000000">
      <w:pPr>
        <w:pStyle w:val="a0"/>
        <w:ind w:left="1550"/>
        <w:rPr>
          <w:rFonts w:hint="eastAsia"/>
        </w:rPr>
      </w:pPr>
      <w:r>
        <w:rPr>
          <w:rFonts w:hint="eastAsia"/>
        </w:rPr>
        <w:t>联合国儿童基金会</w:t>
      </w:r>
      <w:r>
        <w:rPr>
          <w:rFonts w:hint="eastAsia"/>
        </w:rPr>
        <w:t>1993</w:t>
      </w:r>
      <w:r>
        <w:rPr>
          <w:rFonts w:hint="eastAsia"/>
        </w:rPr>
        <w:t>年发起的母亲和儿童健康和营养方案；关于提倡、支持和保护母乳哺养和有益婴儿医院计划；</w:t>
      </w:r>
    </w:p>
    <w:p w:rsidR="00000000" w:rsidRDefault="00000000">
      <w:pPr>
        <w:pStyle w:val="a0"/>
        <w:ind w:left="1550"/>
        <w:rPr>
          <w:rFonts w:hint="eastAsia"/>
        </w:rPr>
      </w:pPr>
      <w:r>
        <w:rPr>
          <w:rFonts w:hint="eastAsia"/>
        </w:rPr>
        <w:t>联合国儿童基金会</w:t>
      </w:r>
      <w:r>
        <w:rPr>
          <w:rFonts w:hint="eastAsia"/>
        </w:rPr>
        <w:t>1999</w:t>
      </w:r>
      <w:r>
        <w:rPr>
          <w:rFonts w:hint="eastAsia"/>
        </w:rPr>
        <w:t>年发起的预防</w:t>
      </w:r>
      <w:r>
        <w:rPr>
          <w:rFonts w:hint="eastAsia"/>
        </w:rPr>
        <w:t>6</w:t>
      </w:r>
      <w:r>
        <w:rPr>
          <w:rFonts w:hint="eastAsia"/>
        </w:rPr>
        <w:t>岁以下儿童营养贫血症方案；</w:t>
      </w:r>
    </w:p>
    <w:p w:rsidR="00000000" w:rsidRDefault="00000000">
      <w:pPr>
        <w:pStyle w:val="a0"/>
        <w:ind w:left="1550"/>
        <w:rPr>
          <w:rFonts w:hint="eastAsia"/>
        </w:rPr>
      </w:pPr>
      <w:r>
        <w:rPr>
          <w:rFonts w:hint="eastAsia"/>
        </w:rPr>
        <w:t>瑞典</w:t>
      </w:r>
      <w:r>
        <w:rPr>
          <w:rFonts w:hint="eastAsia"/>
          <w:spacing w:val="-50"/>
        </w:rPr>
        <w:t>―</w:t>
      </w:r>
      <w:r>
        <w:rPr>
          <w:rFonts w:hint="eastAsia"/>
        </w:rPr>
        <w:t>―波黑：瑞典的波斯尼亚和黑塞哥维那心理、社会和重新融合方案：“波斯尼亚和黑塞哥维那的精神保健改革”；</w:t>
      </w:r>
    </w:p>
    <w:p w:rsidR="00000000" w:rsidRDefault="00000000">
      <w:pPr>
        <w:pStyle w:val="a0"/>
        <w:ind w:left="1550"/>
        <w:rPr>
          <w:rFonts w:hint="eastAsia"/>
        </w:rPr>
      </w:pPr>
      <w:r>
        <w:rPr>
          <w:rFonts w:hint="eastAsia"/>
        </w:rPr>
        <w:t>支持波斯尼亚和黑塞哥维那的精神保健改革；</w:t>
      </w:r>
    </w:p>
    <w:p w:rsidR="00000000" w:rsidRDefault="00000000">
      <w:pPr>
        <w:pStyle w:val="a0"/>
        <w:ind w:left="1550"/>
        <w:rPr>
          <w:rFonts w:hint="eastAsia"/>
        </w:rPr>
      </w:pPr>
      <w:r>
        <w:rPr>
          <w:rFonts w:hint="eastAsia"/>
        </w:rPr>
        <w:t>支持萨拉热窝大学精神健康、儿童和青春期精神病学和心理学研究生教研课题；</w:t>
      </w:r>
    </w:p>
    <w:p w:rsidR="00000000" w:rsidRDefault="00000000">
      <w:pPr>
        <w:pStyle w:val="a0"/>
        <w:ind w:left="1550"/>
        <w:rPr>
          <w:rFonts w:hint="eastAsia"/>
        </w:rPr>
      </w:pPr>
      <w:r>
        <w:rPr>
          <w:rFonts w:hint="eastAsia"/>
        </w:rPr>
        <w:t>培训波斯尼亚和黑塞哥维那联邦临床医学中心所有各类精神保健专业人员；</w:t>
      </w:r>
    </w:p>
    <w:p w:rsidR="00000000" w:rsidRDefault="00000000">
      <w:pPr>
        <w:pStyle w:val="a0"/>
        <w:ind w:left="1550"/>
        <w:rPr>
          <w:rFonts w:hint="eastAsia"/>
        </w:rPr>
      </w:pPr>
      <w:r>
        <w:rPr>
          <w:rFonts w:hint="eastAsia"/>
        </w:rPr>
        <w:t>1997</w:t>
      </w:r>
      <w:r>
        <w:rPr>
          <w:rFonts w:hint="eastAsia"/>
        </w:rPr>
        <w:t>至</w:t>
      </w:r>
      <w:r>
        <w:rPr>
          <w:rFonts w:hint="eastAsia"/>
        </w:rPr>
        <w:t>2003</w:t>
      </w:r>
      <w:r>
        <w:rPr>
          <w:rFonts w:hint="eastAsia"/>
        </w:rPr>
        <w:t>年向波斯尼亚和黑塞哥维那联邦萨拉热窝、图兹拉和</w:t>
      </w:r>
      <w:r>
        <w:t>莫斯塔尔</w:t>
      </w:r>
      <w:r>
        <w:rPr>
          <w:rFonts w:hint="eastAsia"/>
        </w:rPr>
        <w:t>各大学及其他精神保健中心提供文献；</w:t>
      </w:r>
    </w:p>
    <w:p w:rsidR="00000000" w:rsidRDefault="00000000">
      <w:pPr>
        <w:pStyle w:val="a0"/>
        <w:ind w:left="1550"/>
        <w:rPr>
          <w:rFonts w:hint="eastAsia"/>
        </w:rPr>
      </w:pPr>
      <w:r>
        <w:rPr>
          <w:rFonts w:hint="eastAsia"/>
        </w:rPr>
        <w:t>波斯尼亚和黑塞哥维那医保改革法尔项目；</w:t>
      </w:r>
    </w:p>
    <w:p w:rsidR="00000000" w:rsidRDefault="00000000">
      <w:pPr>
        <w:pStyle w:val="a0"/>
        <w:ind w:left="1550"/>
        <w:rPr>
          <w:rFonts w:hint="eastAsia"/>
        </w:rPr>
      </w:pPr>
      <w:r>
        <w:rPr>
          <w:rFonts w:hint="eastAsia"/>
        </w:rPr>
        <w:t>通过有效和可持续的保健系统和医药部门，增进波斯尼亚和黑塞哥维那人口健康状况；</w:t>
      </w:r>
    </w:p>
    <w:p w:rsidR="00000000" w:rsidRDefault="00000000">
      <w:pPr>
        <w:pStyle w:val="a0"/>
        <w:ind w:left="1550"/>
        <w:rPr>
          <w:rFonts w:hint="eastAsia"/>
        </w:rPr>
      </w:pPr>
      <w:r>
        <w:rPr>
          <w:rFonts w:hint="eastAsia"/>
        </w:rPr>
        <w:t>按照最佳做法、制订机构制度、制订战略计划、发展教育以及其他关键问题，提高保健网络的效率；</w:t>
      </w:r>
    </w:p>
    <w:p w:rsidR="00000000" w:rsidRDefault="00000000">
      <w:pPr>
        <w:pStyle w:val="a0"/>
        <w:ind w:left="1550"/>
        <w:rPr>
          <w:rFonts w:hint="eastAsia"/>
        </w:rPr>
      </w:pPr>
      <w:r>
        <w:rPr>
          <w:rFonts w:hint="eastAsia"/>
        </w:rPr>
        <w:t>对</w:t>
      </w:r>
      <w:r>
        <w:rPr>
          <w:rFonts w:hint="eastAsia"/>
        </w:rPr>
        <w:t>6</w:t>
      </w:r>
      <w:r>
        <w:rPr>
          <w:rFonts w:hint="eastAsia"/>
        </w:rPr>
        <w:t>家主要的保健设施、</w:t>
      </w:r>
      <w:r>
        <w:rPr>
          <w:rFonts w:hint="eastAsia"/>
        </w:rPr>
        <w:t>4</w:t>
      </w:r>
      <w:r>
        <w:rPr>
          <w:rFonts w:hint="eastAsia"/>
        </w:rPr>
        <w:t>家医院和两家诊所展开管理培训，拟订出战略性经营计划；</w:t>
      </w:r>
    </w:p>
    <w:p w:rsidR="00000000" w:rsidRDefault="00000000">
      <w:pPr>
        <w:pStyle w:val="a0"/>
        <w:ind w:left="1550"/>
        <w:rPr>
          <w:rFonts w:hint="eastAsia"/>
        </w:rPr>
      </w:pPr>
      <w:r>
        <w:rPr>
          <w:rFonts w:hint="eastAsia"/>
        </w:rPr>
        <w:t>起草发展保健设施战略计划的准则；</w:t>
      </w:r>
    </w:p>
    <w:p w:rsidR="00000000" w:rsidRDefault="00000000">
      <w:pPr>
        <w:pStyle w:val="a0"/>
        <w:spacing w:line="312" w:lineRule="auto"/>
        <w:ind w:left="1550"/>
        <w:rPr>
          <w:rFonts w:hint="eastAsia"/>
        </w:rPr>
      </w:pPr>
      <w:r>
        <w:rPr>
          <w:rFonts w:hint="eastAsia"/>
        </w:rPr>
        <w:t>S</w:t>
      </w:r>
      <w:r>
        <w:t>umitomo</w:t>
      </w:r>
      <w:r>
        <w:rPr>
          <w:rFonts w:hint="eastAsia"/>
        </w:rPr>
        <w:t>公司：初级卫生保健：为改善初级卫生保健的医疗设备</w:t>
      </w:r>
      <w:r>
        <w:rPr>
          <w:rFonts w:hint="eastAsia"/>
          <w:spacing w:val="-50"/>
        </w:rPr>
        <w:t>―</w:t>
      </w:r>
      <w:r>
        <w:rPr>
          <w:rFonts w:hint="eastAsia"/>
        </w:rPr>
        <w:t>―为</w:t>
      </w:r>
      <w:r>
        <w:rPr>
          <w:rFonts w:hint="eastAsia"/>
        </w:rPr>
        <w:t>29</w:t>
      </w:r>
      <w:r>
        <w:rPr>
          <w:rFonts w:hint="eastAsia"/>
        </w:rPr>
        <w:t>家诊所捐献设备</w:t>
      </w:r>
      <w:r>
        <w:rPr>
          <w:rFonts w:hint="eastAsia"/>
        </w:rPr>
        <w:t>(1999</w:t>
      </w:r>
      <w:r>
        <w:rPr>
          <w:rFonts w:hint="eastAsia"/>
        </w:rPr>
        <w:t>年</w:t>
      </w:r>
      <w:r>
        <w:rPr>
          <w:rFonts w:hint="eastAsia"/>
        </w:rPr>
        <w:t>)</w:t>
      </w:r>
      <w:r>
        <w:rPr>
          <w:rFonts w:hint="eastAsia"/>
        </w:rPr>
        <w:t>；</w:t>
      </w:r>
    </w:p>
    <w:p w:rsidR="00000000" w:rsidRDefault="00000000">
      <w:pPr>
        <w:pStyle w:val="a0"/>
        <w:spacing w:line="312" w:lineRule="auto"/>
        <w:ind w:left="1550"/>
        <w:rPr>
          <w:rFonts w:hint="eastAsia"/>
        </w:rPr>
      </w:pPr>
      <w:r>
        <w:rPr>
          <w:rFonts w:hint="eastAsia"/>
        </w:rPr>
        <w:t>S</w:t>
      </w:r>
      <w:r>
        <w:t>umitomo</w:t>
      </w:r>
      <w:r>
        <w:rPr>
          <w:rFonts w:hint="eastAsia"/>
        </w:rPr>
        <w:t>公司：为改善医院保健设备</w:t>
      </w:r>
      <w:r>
        <w:rPr>
          <w:rFonts w:hint="eastAsia"/>
          <w:spacing w:val="-50"/>
        </w:rPr>
        <w:t>―</w:t>
      </w:r>
      <w:r>
        <w:rPr>
          <w:rFonts w:hint="eastAsia"/>
        </w:rPr>
        <w:t>―向萨拉热窝、图兹拉、莫斯塔尔三个保健中心和萨拉热窝国家医院捐赠设备</w:t>
      </w:r>
      <w:r>
        <w:rPr>
          <w:rFonts w:hint="eastAsia"/>
        </w:rPr>
        <w:t>(1997</w:t>
      </w:r>
      <w:r>
        <w:rPr>
          <w:rFonts w:hint="eastAsia"/>
        </w:rPr>
        <w:t>至</w:t>
      </w:r>
      <w:r>
        <w:rPr>
          <w:rFonts w:hint="eastAsia"/>
        </w:rPr>
        <w:t>1998</w:t>
      </w:r>
      <w:r>
        <w:rPr>
          <w:rFonts w:hint="eastAsia"/>
        </w:rPr>
        <w:t>年</w:t>
      </w:r>
      <w:r>
        <w:rPr>
          <w:rFonts w:hint="eastAsia"/>
        </w:rPr>
        <w:t>)</w:t>
      </w:r>
      <w:r>
        <w:rPr>
          <w:rFonts w:hint="eastAsia"/>
        </w:rPr>
        <w:t>；</w:t>
      </w:r>
    </w:p>
    <w:p w:rsidR="00000000" w:rsidRDefault="00000000">
      <w:pPr>
        <w:pStyle w:val="a0"/>
        <w:spacing w:line="312" w:lineRule="auto"/>
        <w:ind w:left="1550"/>
        <w:rPr>
          <w:rFonts w:hint="eastAsia"/>
        </w:rPr>
      </w:pPr>
      <w:r>
        <w:rPr>
          <w:rFonts w:hint="eastAsia"/>
        </w:rPr>
        <w:t>由荷兰外交部</w:t>
      </w:r>
      <w:r>
        <w:rPr>
          <w:rFonts w:hint="eastAsia"/>
        </w:rPr>
        <w:t>BUZA</w:t>
      </w:r>
      <w:r>
        <w:rPr>
          <w:rFonts w:hint="eastAsia"/>
        </w:rPr>
        <w:t>资助设立的国际保健网：在波斯尼亚和黑塞哥维那建立精神保健中心</w:t>
      </w:r>
      <w:r>
        <w:rPr>
          <w:rFonts w:hint="eastAsia"/>
        </w:rPr>
        <w:t>(2001</w:t>
      </w:r>
      <w:r>
        <w:rPr>
          <w:rFonts w:hint="eastAsia"/>
        </w:rPr>
        <w:t>年</w:t>
      </w:r>
      <w:r>
        <w:rPr>
          <w:rFonts w:hint="eastAsia"/>
        </w:rPr>
        <w:t>)</w:t>
      </w:r>
      <w:r>
        <w:rPr>
          <w:rFonts w:hint="eastAsia"/>
        </w:rPr>
        <w:t>；</w:t>
      </w:r>
    </w:p>
    <w:p w:rsidR="00000000" w:rsidRDefault="00000000">
      <w:pPr>
        <w:pStyle w:val="a0"/>
        <w:spacing w:line="312" w:lineRule="auto"/>
        <w:ind w:left="1548"/>
        <w:rPr>
          <w:rFonts w:hint="eastAsia"/>
        </w:rPr>
      </w:pPr>
      <w:r>
        <w:rPr>
          <w:rFonts w:hint="eastAsia"/>
        </w:rPr>
        <w:t>在中波斯尼亚州建立立足社区的精神保健服务部门：减少中波斯尼亚州的精神患病率和死亡率，并增强精神创伤病人与社会的融合和参与。</w:t>
      </w:r>
    </w:p>
    <w:p w:rsidR="00000000" w:rsidRDefault="00000000">
      <w:pPr>
        <w:pStyle w:val="Heading4"/>
        <w:rPr>
          <w:rFonts w:hint="eastAsia"/>
        </w:rPr>
      </w:pPr>
      <w:r>
        <w:rPr>
          <w:rFonts w:hint="eastAsia"/>
        </w:rPr>
        <w:t>法律条例</w:t>
      </w:r>
    </w:p>
    <w:p w:rsidR="00000000" w:rsidRDefault="00000000">
      <w:pPr>
        <w:rPr>
          <w:rFonts w:hint="eastAsia"/>
        </w:rPr>
      </w:pPr>
      <w:r>
        <w:rPr>
          <w:rFonts w:hint="eastAsia"/>
        </w:rPr>
        <w:tab/>
        <w:t xml:space="preserve">254.  </w:t>
      </w:r>
      <w:r>
        <w:rPr>
          <w:rFonts w:hint="eastAsia"/>
        </w:rPr>
        <w:t>法律条例规定，每一位波斯尼亚和黑塞哥维那公民都必须毫无歧视地参与任何一个方面的社会保险。为推行这一点，波斯尼亚和黑塞哥维那联邦、塞族共和国和布尔奇科区的政府制订了规约保险领域各项权利的几乎完全相同的法律：</w:t>
      </w:r>
    </w:p>
    <w:p w:rsidR="00000000" w:rsidRDefault="00000000">
      <w:pPr>
        <w:pStyle w:val="a0"/>
        <w:ind w:left="1550"/>
        <w:rPr>
          <w:rFonts w:hint="eastAsia"/>
        </w:rPr>
      </w:pPr>
      <w:r>
        <w:rPr>
          <w:rFonts w:hint="eastAsia"/>
        </w:rPr>
        <w:t>社会福利、儿童保护和家庭保护；</w:t>
      </w:r>
    </w:p>
    <w:p w:rsidR="00000000" w:rsidRDefault="00000000">
      <w:pPr>
        <w:pStyle w:val="a0"/>
        <w:ind w:left="1550"/>
        <w:rPr>
          <w:rFonts w:hint="eastAsia"/>
        </w:rPr>
      </w:pPr>
      <w:r>
        <w:rPr>
          <w:rFonts w:hint="eastAsia"/>
        </w:rPr>
        <w:t>保健、健康保险；</w:t>
      </w:r>
    </w:p>
    <w:p w:rsidR="00000000" w:rsidRDefault="00000000">
      <w:pPr>
        <w:pStyle w:val="a0"/>
        <w:ind w:left="1550"/>
        <w:rPr>
          <w:rFonts w:hint="eastAsia"/>
        </w:rPr>
      </w:pPr>
      <w:r>
        <w:rPr>
          <w:rFonts w:hint="eastAsia"/>
        </w:rPr>
        <w:t>养恤金</w:t>
      </w:r>
      <w:r>
        <w:rPr>
          <w:rFonts w:hint="eastAsia"/>
          <w:spacing w:val="-50"/>
        </w:rPr>
        <w:t>―</w:t>
      </w:r>
      <w:r>
        <w:rPr>
          <w:rFonts w:hint="eastAsia"/>
        </w:rPr>
        <w:t>―残疾保险</w:t>
      </w:r>
      <w:r>
        <w:rPr>
          <w:rFonts w:hint="eastAsia"/>
        </w:rPr>
        <w:t>(</w:t>
      </w:r>
      <w:r>
        <w:rPr>
          <w:rFonts w:hint="eastAsia"/>
        </w:rPr>
        <w:t>注：尽管提出了多项倡议，并与各实体政府代表进行了无数次的会谈，布尔奇科政府在</w:t>
      </w:r>
      <w:r>
        <w:rPr>
          <w:rFonts w:hint="eastAsia"/>
        </w:rPr>
        <w:t>2000</w:t>
      </w:r>
      <w:r>
        <w:rPr>
          <w:rFonts w:hint="eastAsia"/>
        </w:rPr>
        <w:t>至</w:t>
      </w:r>
      <w:r>
        <w:rPr>
          <w:rFonts w:hint="eastAsia"/>
        </w:rPr>
        <w:t>2003</w:t>
      </w:r>
      <w:r>
        <w:rPr>
          <w:rFonts w:hint="eastAsia"/>
        </w:rPr>
        <w:t>年期间未能通过养恤金</w:t>
      </w:r>
      <w:r>
        <w:rPr>
          <w:rFonts w:hint="eastAsia"/>
          <w:spacing w:val="-50"/>
        </w:rPr>
        <w:t>―</w:t>
      </w:r>
      <w:r>
        <w:rPr>
          <w:rFonts w:hint="eastAsia"/>
        </w:rPr>
        <w:t>―残疾保险法</w:t>
      </w:r>
      <w:r>
        <w:rPr>
          <w:rFonts w:hint="eastAsia"/>
        </w:rPr>
        <w:t>)</w:t>
      </w:r>
      <w:r>
        <w:rPr>
          <w:rFonts w:hint="eastAsia"/>
        </w:rPr>
        <w:t>。</w:t>
      </w:r>
    </w:p>
    <w:p w:rsidR="00000000" w:rsidRDefault="00000000">
      <w:pPr>
        <w:rPr>
          <w:rFonts w:hint="eastAsia"/>
        </w:rPr>
      </w:pPr>
      <w:r>
        <w:rPr>
          <w:rFonts w:hint="eastAsia"/>
        </w:rPr>
        <w:t>在各州建立起了支持基金以便尽可能公平地分配资金。</w:t>
      </w:r>
    </w:p>
    <w:p w:rsidR="00000000" w:rsidRDefault="00000000">
      <w:pPr>
        <w:rPr>
          <w:rFonts w:hint="eastAsia"/>
        </w:rPr>
      </w:pPr>
      <w:r>
        <w:rPr>
          <w:rFonts w:hint="eastAsia"/>
        </w:rPr>
        <w:tab/>
        <w:t>255. 1992</w:t>
      </w:r>
      <w:r>
        <w:rPr>
          <w:rFonts w:hint="eastAsia"/>
        </w:rPr>
        <w:t>年，波斯尼亚和黑塞哥维那每一个社会福利领域只有一项总体法律，而从</w:t>
      </w:r>
      <w:r>
        <w:rPr>
          <w:rFonts w:hint="eastAsia"/>
        </w:rPr>
        <w:t>1992</w:t>
      </w:r>
      <w:r>
        <w:rPr>
          <w:rFonts w:hint="eastAsia"/>
        </w:rPr>
        <w:t>年起，随着政权的改变，已建立的两个实体颁布了它们各自的法律如下：</w:t>
      </w:r>
    </w:p>
    <w:p w:rsidR="00000000" w:rsidRDefault="00000000">
      <w:pPr>
        <w:pStyle w:val="a0"/>
        <w:ind w:left="1550"/>
        <w:rPr>
          <w:rFonts w:hint="eastAsia"/>
        </w:rPr>
      </w:pPr>
      <w:r>
        <w:rPr>
          <w:rFonts w:hint="eastAsia"/>
        </w:rPr>
        <w:t>社会福利法；</w:t>
      </w:r>
    </w:p>
    <w:p w:rsidR="00000000" w:rsidRDefault="00000000">
      <w:pPr>
        <w:pStyle w:val="a0"/>
        <w:ind w:left="1550"/>
        <w:rPr>
          <w:rFonts w:hint="eastAsia"/>
        </w:rPr>
      </w:pPr>
      <w:r>
        <w:rPr>
          <w:rFonts w:hint="eastAsia"/>
        </w:rPr>
        <w:t>卫生保健法；</w:t>
      </w:r>
    </w:p>
    <w:p w:rsidR="00000000" w:rsidRDefault="00000000">
      <w:pPr>
        <w:pStyle w:val="a0"/>
        <w:ind w:left="1550"/>
        <w:rPr>
          <w:rFonts w:hint="eastAsia"/>
        </w:rPr>
      </w:pPr>
      <w:r>
        <w:rPr>
          <w:rFonts w:hint="eastAsia"/>
        </w:rPr>
        <w:t>健康保险法；</w:t>
      </w:r>
    </w:p>
    <w:p w:rsidR="00000000" w:rsidRDefault="00000000">
      <w:pPr>
        <w:pStyle w:val="a0"/>
        <w:ind w:left="1550"/>
        <w:rPr>
          <w:rFonts w:hint="eastAsia"/>
        </w:rPr>
      </w:pPr>
      <w:r>
        <w:rPr>
          <w:rFonts w:hint="eastAsia"/>
        </w:rPr>
        <w:t>养恤金</w:t>
      </w:r>
      <w:r>
        <w:rPr>
          <w:rFonts w:hint="eastAsia"/>
          <w:spacing w:val="-50"/>
        </w:rPr>
        <w:t>―</w:t>
      </w:r>
      <w:r>
        <w:rPr>
          <w:rFonts w:hint="eastAsia"/>
        </w:rPr>
        <w:t>―残疾保险法。</w:t>
      </w:r>
    </w:p>
    <w:p w:rsidR="00000000" w:rsidRDefault="00000000">
      <w:pPr>
        <w:rPr>
          <w:rFonts w:hint="eastAsia"/>
        </w:rPr>
      </w:pPr>
      <w:r>
        <w:rPr>
          <w:rFonts w:hint="eastAsia"/>
        </w:rPr>
        <w:tab/>
        <w:t xml:space="preserve">256.  </w:t>
      </w:r>
      <w:r>
        <w:rPr>
          <w:rFonts w:hint="eastAsia"/>
        </w:rPr>
        <w:t>随着</w:t>
      </w:r>
      <w:r>
        <w:rPr>
          <w:rFonts w:hint="eastAsia"/>
        </w:rPr>
        <w:t>2000</w:t>
      </w:r>
      <w:r>
        <w:rPr>
          <w:rFonts w:hint="eastAsia"/>
        </w:rPr>
        <w:t>年布尔奇科区的建立，制定并运用了下列法律：</w:t>
      </w:r>
    </w:p>
    <w:p w:rsidR="00000000" w:rsidRDefault="00000000">
      <w:pPr>
        <w:pStyle w:val="a0"/>
        <w:ind w:left="1550"/>
        <w:rPr>
          <w:rFonts w:hint="eastAsia"/>
        </w:rPr>
      </w:pPr>
      <w:r>
        <w:rPr>
          <w:rFonts w:hint="eastAsia"/>
        </w:rPr>
        <w:t>卫生保健法；</w:t>
      </w:r>
    </w:p>
    <w:p w:rsidR="00000000" w:rsidRDefault="00000000">
      <w:pPr>
        <w:pStyle w:val="a0"/>
        <w:ind w:left="1550"/>
        <w:rPr>
          <w:rFonts w:hint="eastAsia"/>
        </w:rPr>
      </w:pPr>
      <w:r>
        <w:rPr>
          <w:rFonts w:hint="eastAsia"/>
        </w:rPr>
        <w:t>健康保险法；</w:t>
      </w:r>
    </w:p>
    <w:p w:rsidR="00000000" w:rsidRDefault="00000000">
      <w:pPr>
        <w:pStyle w:val="a0"/>
        <w:ind w:left="1550"/>
        <w:rPr>
          <w:rFonts w:hint="eastAsia"/>
        </w:rPr>
      </w:pPr>
      <w:r>
        <w:rPr>
          <w:rFonts w:hint="eastAsia"/>
        </w:rPr>
        <w:t>社会福利法；</w:t>
      </w:r>
    </w:p>
    <w:p w:rsidR="00000000" w:rsidRDefault="00000000">
      <w:pPr>
        <w:pStyle w:val="a0"/>
        <w:spacing w:after="160"/>
        <w:ind w:left="1550"/>
        <w:rPr>
          <w:rFonts w:hint="eastAsia"/>
        </w:rPr>
      </w:pPr>
      <w:r>
        <w:rPr>
          <w:rFonts w:hint="eastAsia"/>
        </w:rPr>
        <w:t>儿童福利法。</w:t>
      </w:r>
    </w:p>
    <w:p w:rsidR="00000000" w:rsidRDefault="00000000">
      <w:pPr>
        <w:pStyle w:val="a3"/>
        <w:spacing w:after="120"/>
        <w:rPr>
          <w:rFonts w:hint="eastAsia"/>
        </w:rPr>
      </w:pPr>
      <w:r>
        <w:br w:type="page"/>
      </w:r>
      <w:r>
        <w:rPr>
          <w:rFonts w:hint="eastAsia"/>
        </w:rPr>
        <w:t>第</w:t>
      </w:r>
      <w:r>
        <w:t xml:space="preserve"> </w:t>
      </w:r>
      <w:r>
        <w:rPr>
          <w:rFonts w:hint="eastAsia"/>
        </w:rPr>
        <w:t>10</w:t>
      </w:r>
      <w:r>
        <w:t xml:space="preserve"> </w:t>
      </w:r>
      <w:r>
        <w:rPr>
          <w:rFonts w:hint="eastAsia"/>
        </w:rPr>
        <w:t>条</w:t>
      </w:r>
    </w:p>
    <w:p w:rsidR="00000000" w:rsidRDefault="00000000">
      <w:pPr>
        <w:pStyle w:val="Heading4"/>
        <w:spacing w:after="0"/>
        <w:rPr>
          <w:rFonts w:hint="eastAsia"/>
        </w:rPr>
      </w:pPr>
      <w:r>
        <w:rPr>
          <w:rFonts w:hint="eastAsia"/>
        </w:rPr>
        <w:t>国际文书</w:t>
      </w:r>
    </w:p>
    <w:p w:rsidR="00000000" w:rsidRDefault="00000000">
      <w:pPr>
        <w:pStyle w:val="a0"/>
        <w:ind w:left="1030"/>
        <w:rPr>
          <w:rFonts w:hint="eastAsia"/>
          <w:u w:val="single"/>
        </w:rPr>
      </w:pPr>
      <w:r>
        <w:rPr>
          <w:rFonts w:hint="eastAsia"/>
        </w:rPr>
        <w:t>《</w:t>
      </w:r>
      <w:r>
        <w:rPr>
          <w:rFonts w:hint="eastAsia"/>
          <w:u w:val="single"/>
        </w:rPr>
        <w:t>公民权利和政治权利国际公约》</w:t>
      </w:r>
      <w:r>
        <w:rPr>
          <w:rFonts w:hint="eastAsia"/>
        </w:rPr>
        <w:t>；</w:t>
      </w:r>
    </w:p>
    <w:p w:rsidR="00000000" w:rsidRDefault="00000000">
      <w:pPr>
        <w:pStyle w:val="a0"/>
        <w:ind w:left="1030"/>
        <w:rPr>
          <w:rFonts w:hint="eastAsia"/>
          <w:u w:val="single"/>
        </w:rPr>
      </w:pPr>
      <w:r>
        <w:rPr>
          <w:rFonts w:hint="eastAsia"/>
        </w:rPr>
        <w:t>《</w:t>
      </w:r>
      <w:r>
        <w:rPr>
          <w:rFonts w:hint="eastAsia"/>
          <w:u w:val="single"/>
        </w:rPr>
        <w:t>儿童权利公约</w:t>
      </w:r>
      <w:r>
        <w:rPr>
          <w:rFonts w:hint="eastAsia"/>
        </w:rPr>
        <w:t>》；</w:t>
      </w:r>
    </w:p>
    <w:p w:rsidR="00000000" w:rsidRDefault="00000000">
      <w:pPr>
        <w:pStyle w:val="a0"/>
        <w:spacing w:after="160"/>
        <w:ind w:left="1030"/>
        <w:rPr>
          <w:rFonts w:hint="eastAsia"/>
        </w:rPr>
      </w:pPr>
      <w:r>
        <w:rPr>
          <w:rFonts w:hint="eastAsia"/>
        </w:rPr>
        <w:t>《</w:t>
      </w:r>
      <w:r>
        <w:rPr>
          <w:rFonts w:hint="eastAsia"/>
          <w:u w:val="single"/>
        </w:rPr>
        <w:t>消除对妇女一切形式歧视国际公约</w:t>
      </w:r>
      <w:r>
        <w:rPr>
          <w:rFonts w:hint="eastAsia"/>
        </w:rPr>
        <w:t>》。</w:t>
      </w:r>
    </w:p>
    <w:p w:rsidR="00000000" w:rsidRDefault="00000000">
      <w:pPr>
        <w:widowControl w:val="0"/>
        <w:rPr>
          <w:rFonts w:hint="eastAsia"/>
        </w:rPr>
      </w:pPr>
      <w:r>
        <w:rPr>
          <w:rFonts w:hint="eastAsia"/>
        </w:rPr>
        <w:tab/>
        <w:t xml:space="preserve">257.  </w:t>
      </w:r>
      <w:r>
        <w:rPr>
          <w:rFonts w:hint="eastAsia"/>
        </w:rPr>
        <w:t>根据《家庭法》第</w:t>
      </w:r>
      <w:r>
        <w:rPr>
          <w:rFonts w:hint="eastAsia"/>
        </w:rPr>
        <w:t>2</w:t>
      </w:r>
      <w:r>
        <w:rPr>
          <w:rFonts w:hint="eastAsia"/>
        </w:rPr>
        <w:t>条，波斯尼亚和黑塞哥维那将家庭界定为父母子女和其他亲属的生活社区。之所以对家庭制订出如此广义的家庭定义，因为除了家长之外，家庭还包括了亲属。这就制定了良好的法律框架和定义，确定了一系列更广泛的人员应就行使儿童权利承担起责任，这对儿童的情感发育极为重要。</w:t>
      </w:r>
    </w:p>
    <w:p w:rsidR="00000000" w:rsidRDefault="00000000">
      <w:pPr>
        <w:rPr>
          <w:rFonts w:hint="eastAsia"/>
        </w:rPr>
      </w:pPr>
      <w:r>
        <w:rPr>
          <w:rFonts w:hint="eastAsia"/>
        </w:rPr>
        <w:tab/>
        <w:t xml:space="preserve">258.  </w:t>
      </w:r>
      <w:r>
        <w:rPr>
          <w:rFonts w:hint="eastAsia"/>
        </w:rPr>
        <w:t>根据《社会福利、保护内战受害者和保护家庭基本法》第二条规定，家庭的组成成员是：配偶、不论婚姻或非婚姻出生的子女</w:t>
      </w:r>
      <w:r>
        <w:rPr>
          <w:rFonts w:hint="eastAsia"/>
        </w:rPr>
        <w:t>(</w:t>
      </w:r>
      <w:r>
        <w:rPr>
          <w:rFonts w:hint="eastAsia"/>
        </w:rPr>
        <w:t>婚姻、非婚姻、继子或领养子女</w:t>
      </w:r>
      <w:r>
        <w:rPr>
          <w:rFonts w:hint="eastAsia"/>
        </w:rPr>
        <w:t>)</w:t>
      </w:r>
      <w:r>
        <w:rPr>
          <w:rFonts w:hint="eastAsia"/>
        </w:rPr>
        <w:t>、父亲、母亲、祖父、祖母、</w:t>
      </w:r>
      <w:r>
        <w:rPr>
          <w:rFonts w:hint="eastAsia"/>
        </w:rPr>
        <w:t>(</w:t>
      </w:r>
      <w:r>
        <w:rPr>
          <w:rFonts w:hint="eastAsia"/>
        </w:rPr>
        <w:t>双亲双方的</w:t>
      </w:r>
      <w:r>
        <w:rPr>
          <w:rFonts w:hint="eastAsia"/>
        </w:rPr>
        <w:t>)</w:t>
      </w:r>
      <w:r>
        <w:rPr>
          <w:rFonts w:hint="eastAsia"/>
        </w:rPr>
        <w:t>，和配偶的兄弟姐妹。</w:t>
      </w:r>
    </w:p>
    <w:p w:rsidR="00000000" w:rsidRDefault="00000000">
      <w:pPr>
        <w:rPr>
          <w:rFonts w:hint="eastAsia"/>
        </w:rPr>
      </w:pPr>
      <w:r>
        <w:rPr>
          <w:rFonts w:hint="eastAsia"/>
        </w:rPr>
        <w:tab/>
        <w:t xml:space="preserve">259.  </w:t>
      </w:r>
      <w:r>
        <w:rPr>
          <w:rFonts w:hint="eastAsia"/>
        </w:rPr>
        <w:t>波斯尼亚和黑塞哥维那其他有关法律条例，诸如《继承法》、《住房关系法》、《养恤金</w:t>
      </w:r>
      <w:r>
        <w:rPr>
          <w:rFonts w:hint="eastAsia"/>
          <w:spacing w:val="-50"/>
        </w:rPr>
        <w:t>―</w:t>
      </w:r>
      <w:r>
        <w:rPr>
          <w:rFonts w:hint="eastAsia"/>
        </w:rPr>
        <w:t>―残疾保险法》以及其他法律，以确定某些权利和关系的方式，将界定范围广泛的人员作为家庭的定义。</w:t>
      </w:r>
    </w:p>
    <w:p w:rsidR="00000000" w:rsidRDefault="00000000">
      <w:pPr>
        <w:spacing w:after="160" w:line="312" w:lineRule="auto"/>
        <w:rPr>
          <w:rFonts w:hint="eastAsia"/>
        </w:rPr>
      </w:pPr>
      <w:r>
        <w:rPr>
          <w:rFonts w:hint="eastAsia"/>
        </w:rPr>
        <w:tab/>
        <w:t xml:space="preserve">260.  </w:t>
      </w:r>
      <w:r>
        <w:rPr>
          <w:rFonts w:hint="eastAsia"/>
        </w:rPr>
        <w:t>在波斯尼亚和黑塞哥维那的私人领域，</w:t>
      </w:r>
      <w:r>
        <w:rPr>
          <w:rFonts w:hint="eastAsia"/>
        </w:rPr>
        <w:t>18</w:t>
      </w:r>
      <w:r>
        <w:rPr>
          <w:rFonts w:hint="eastAsia"/>
        </w:rPr>
        <w:t>岁以下的任何人被视为儿童直至他</w:t>
      </w:r>
      <w:r>
        <w:rPr>
          <w:rFonts w:hint="eastAsia"/>
        </w:rPr>
        <w:t>/</w:t>
      </w:r>
      <w:r>
        <w:rPr>
          <w:rFonts w:hint="eastAsia"/>
        </w:rPr>
        <w:t>她到</w:t>
      </w:r>
      <w:r>
        <w:rPr>
          <w:rFonts w:hint="eastAsia"/>
        </w:rPr>
        <w:t>18</w:t>
      </w:r>
      <w:r>
        <w:rPr>
          <w:rFonts w:hint="eastAsia"/>
        </w:rPr>
        <w:t>岁才获得成人地位且具有充分的工作能力。成人拥有表决权。根据《社会福利、保护内战受害者和保护有子女家庭基本法》，一个儿童，除非是为了履行儿童福利权和学生上学就读权，或者为其提供助学金可以是</w:t>
      </w:r>
      <w:r>
        <w:rPr>
          <w:rFonts w:hint="eastAsia"/>
        </w:rPr>
        <w:t>18</w:t>
      </w:r>
      <w:r>
        <w:rPr>
          <w:rFonts w:hint="eastAsia"/>
        </w:rPr>
        <w:t>岁以上</w:t>
      </w:r>
      <w:r>
        <w:rPr>
          <w:rFonts w:hint="eastAsia"/>
        </w:rPr>
        <w:t>26</w:t>
      </w:r>
      <w:r>
        <w:rPr>
          <w:rFonts w:hint="eastAsia"/>
        </w:rPr>
        <w:t>岁以下的人之外，通常是未满</w:t>
      </w:r>
      <w:r>
        <w:rPr>
          <w:rFonts w:hint="eastAsia"/>
        </w:rPr>
        <w:t>18</w:t>
      </w:r>
      <w:r>
        <w:rPr>
          <w:rFonts w:hint="eastAsia"/>
        </w:rPr>
        <w:t>岁的人。</w:t>
      </w:r>
    </w:p>
    <w:p w:rsidR="00000000" w:rsidRDefault="00000000">
      <w:pPr>
        <w:pStyle w:val="Heading4"/>
        <w:spacing w:after="160"/>
        <w:rPr>
          <w:rFonts w:hint="eastAsia"/>
        </w:rPr>
      </w:pPr>
      <w:r>
        <w:rPr>
          <w:rFonts w:hint="eastAsia"/>
        </w:rPr>
        <w:t>来自婚姻和婚姻关系的权利</w:t>
      </w:r>
    </w:p>
    <w:p w:rsidR="00000000" w:rsidRDefault="00000000">
      <w:pPr>
        <w:spacing w:line="312" w:lineRule="auto"/>
        <w:rPr>
          <w:rFonts w:hint="eastAsia"/>
        </w:rPr>
      </w:pPr>
      <w:r>
        <w:rPr>
          <w:rFonts w:hint="eastAsia"/>
        </w:rPr>
        <w:tab/>
        <w:t xml:space="preserve">261.  </w:t>
      </w:r>
      <w:r>
        <w:rPr>
          <w:rFonts w:hint="eastAsia"/>
        </w:rPr>
        <w:t>《波斯尼亚和黑塞哥维那宪法》规定，家庭享有特殊的保护。宪法第十二条第</w:t>
      </w:r>
      <w:r>
        <w:rPr>
          <w:rFonts w:hint="eastAsia"/>
        </w:rPr>
        <w:t>3</w:t>
      </w:r>
      <w:r>
        <w:rPr>
          <w:rFonts w:hint="eastAsia"/>
        </w:rPr>
        <w:t>款</w:t>
      </w:r>
      <w:r>
        <w:rPr>
          <w:rFonts w:hint="eastAsia"/>
        </w:rPr>
        <w:t>(</w:t>
      </w:r>
      <w:r>
        <w:t>j</w:t>
      </w:r>
      <w:r>
        <w:rPr>
          <w:rFonts w:hint="eastAsia"/>
        </w:rPr>
        <w:t>)</w:t>
      </w:r>
      <w:r>
        <w:rPr>
          <w:rFonts w:hint="eastAsia"/>
        </w:rPr>
        <w:t>项列出的人权类别界定了婚姻和组成家庭的权利。</w:t>
      </w:r>
    </w:p>
    <w:p w:rsidR="00000000" w:rsidRDefault="00000000">
      <w:pPr>
        <w:widowControl w:val="0"/>
        <w:spacing w:line="312" w:lineRule="auto"/>
        <w:rPr>
          <w:rFonts w:hint="eastAsia"/>
        </w:rPr>
      </w:pPr>
      <w:r>
        <w:rPr>
          <w:rFonts w:hint="eastAsia"/>
        </w:rPr>
        <w:tab/>
        <w:t xml:space="preserve">262.  </w:t>
      </w:r>
      <w:r>
        <w:rPr>
          <w:rFonts w:hint="eastAsia"/>
        </w:rPr>
        <w:t>各实体和布尔奇科区由法律规约婚姻和婚姻关系。波斯尼亚和黑塞哥维那联邦《家庭法》</w:t>
      </w:r>
      <w:r>
        <w:rPr>
          <w:rFonts w:hint="eastAsia"/>
        </w:rPr>
        <w:t>(</w:t>
      </w:r>
      <w:r>
        <w:rPr>
          <w:rFonts w:hint="eastAsia"/>
        </w:rPr>
        <w:t>从原先国家继承</w:t>
      </w:r>
      <w:r>
        <w:rPr>
          <w:rFonts w:hint="eastAsia"/>
        </w:rPr>
        <w:t>)</w:t>
      </w:r>
      <w:r>
        <w:rPr>
          <w:rFonts w:hint="eastAsia"/>
        </w:rPr>
        <w:t>规约这项事务，而塞族共和国则由《家庭法》</w:t>
      </w:r>
      <w:r>
        <w:rPr>
          <w:rFonts w:hint="eastAsia"/>
        </w:rPr>
        <w:t>(</w:t>
      </w:r>
      <w:r>
        <w:rPr>
          <w:rFonts w:hint="eastAsia"/>
        </w:rPr>
        <w:t>《塞族共和国政府公报》第</w:t>
      </w:r>
      <w:r>
        <w:rPr>
          <w:rFonts w:hint="eastAsia"/>
        </w:rPr>
        <w:t>54/02</w:t>
      </w:r>
      <w:r>
        <w:rPr>
          <w:rFonts w:hint="eastAsia"/>
        </w:rPr>
        <w:t>号</w:t>
      </w:r>
      <w:r>
        <w:rPr>
          <w:rFonts w:hint="eastAsia"/>
        </w:rPr>
        <w:t>)</w:t>
      </w:r>
      <w:r>
        <w:rPr>
          <w:rFonts w:hint="eastAsia"/>
        </w:rPr>
        <w:t>规约。这些法律规定，婚姻在法律上界定为男女之间结合组成的共同生活。保障男女之间按自由意愿结成婚姻的权利，同时保障配偶之间的平等、相互尊重和支持。在实践中，不存在履行这项权利的障碍，否则婚姻本身将被视为不存在了。</w:t>
      </w:r>
    </w:p>
    <w:p w:rsidR="00000000" w:rsidRDefault="00000000">
      <w:pPr>
        <w:pStyle w:val="Heading4"/>
        <w:rPr>
          <w:rFonts w:hint="eastAsia"/>
        </w:rPr>
      </w:pPr>
      <w:r>
        <w:rPr>
          <w:rFonts w:hint="eastAsia"/>
        </w:rPr>
        <w:t>对建立家庭的支持</w:t>
      </w:r>
    </w:p>
    <w:p w:rsidR="00000000" w:rsidRDefault="00000000">
      <w:pPr>
        <w:rPr>
          <w:rFonts w:hint="eastAsia"/>
        </w:rPr>
      </w:pPr>
      <w:r>
        <w:rPr>
          <w:rFonts w:hint="eastAsia"/>
        </w:rPr>
        <w:tab/>
        <w:t xml:space="preserve">263.  </w:t>
      </w:r>
      <w:r>
        <w:rPr>
          <w:rFonts w:hint="eastAsia"/>
        </w:rPr>
        <w:t>支持包括在产假期间提供工资补偿金；产假福利</w:t>
      </w:r>
      <w:r>
        <w:rPr>
          <w:rFonts w:hint="eastAsia"/>
        </w:rPr>
        <w:t>(</w:t>
      </w:r>
      <w:r>
        <w:rPr>
          <w:rFonts w:hint="eastAsia"/>
        </w:rPr>
        <w:t>每一位母亲都可享有这项权利</w:t>
      </w:r>
      <w:r>
        <w:rPr>
          <w:rFonts w:hint="eastAsia"/>
        </w:rPr>
        <w:t>)</w:t>
      </w:r>
      <w:r>
        <w:rPr>
          <w:rFonts w:hint="eastAsia"/>
        </w:rPr>
        <w:t>；每一位不工作的母亲可在其子女满一周岁之前有权享受这项福利；每一个家庭都可得到一整套的婴儿援助；学校餐厅安排就餐；并按照法律向家庭支付儿童福利补贴。</w:t>
      </w:r>
    </w:p>
    <w:p w:rsidR="00000000" w:rsidRDefault="00000000">
      <w:pPr>
        <w:spacing w:after="320"/>
        <w:rPr>
          <w:rFonts w:hint="eastAsia"/>
        </w:rPr>
      </w:pPr>
      <w:r>
        <w:rPr>
          <w:rFonts w:hint="eastAsia"/>
        </w:rPr>
        <w:tab/>
        <w:t xml:space="preserve">264.  </w:t>
      </w:r>
      <w:r>
        <w:rPr>
          <w:rFonts w:hint="eastAsia"/>
        </w:rPr>
        <w:t>除了以上所述的各项权利之外，波斯尼亚和黑塞哥维那还为儿童提供了其他权利和各种社会照顾，诸如：一次性的援助、贷款、有关家庭权利和立法的咨询，为小学生领取课本和其他材料。</w:t>
      </w:r>
    </w:p>
    <w:p w:rsidR="00000000" w:rsidRDefault="00000000">
      <w:pPr>
        <w:pStyle w:val="Heading4"/>
        <w:rPr>
          <w:rFonts w:hint="eastAsia"/>
        </w:rPr>
      </w:pPr>
      <w:r>
        <w:rPr>
          <w:rFonts w:hint="eastAsia"/>
        </w:rPr>
        <w:t>保护孕产妇和预防基于怀孕对妇女的歧视</w:t>
      </w:r>
    </w:p>
    <w:p w:rsidR="00000000" w:rsidRDefault="00000000">
      <w:pPr>
        <w:rPr>
          <w:rFonts w:hint="eastAsia"/>
        </w:rPr>
      </w:pPr>
      <w:r>
        <w:rPr>
          <w:rFonts w:hint="eastAsia"/>
        </w:rPr>
        <w:tab/>
        <w:t xml:space="preserve">265.  </w:t>
      </w:r>
      <w:r>
        <w:rPr>
          <w:rFonts w:hint="eastAsia"/>
        </w:rPr>
        <w:t>每一位妇女在怀孕、生产和儿童照管期间都有权享受一年不受干扰的产假。在休产假期间，雇员有权领取工资补偿金。塞族共和国的工资补偿额是按最后三个月的平均额计算，而在波斯尼亚和黑塞哥维那联邦，则按照最后四个月的平均额计算。波斯尼亚和黑塞哥维那联邦中只有四个州制定了有关新母亲妇女的条例，因此并非全体妇女都享有同样的权利。</w:t>
      </w:r>
    </w:p>
    <w:p w:rsidR="00000000" w:rsidRDefault="00000000">
      <w:pPr>
        <w:rPr>
          <w:rFonts w:hint="eastAsia"/>
        </w:rPr>
      </w:pPr>
      <w:r>
        <w:rPr>
          <w:rFonts w:hint="eastAsia"/>
        </w:rPr>
        <w:tab/>
        <w:t xml:space="preserve">266.  </w:t>
      </w:r>
      <w:r>
        <w:rPr>
          <w:rFonts w:hint="eastAsia"/>
        </w:rPr>
        <w:t>《劳工法》规定在母亲死亡、母亲遗弃子女，或因其他原因阻碍了利用产假权时，孩子的父亲有权利用产假。产假不可在父母之间分配。</w:t>
      </w:r>
    </w:p>
    <w:p w:rsidR="00000000" w:rsidRDefault="00000000">
      <w:pPr>
        <w:rPr>
          <w:rFonts w:hint="eastAsia"/>
        </w:rPr>
      </w:pPr>
      <w:r>
        <w:rPr>
          <w:rFonts w:hint="eastAsia"/>
        </w:rPr>
        <w:tab/>
        <w:t xml:space="preserve">267.  </w:t>
      </w:r>
      <w:r>
        <w:rPr>
          <w:rFonts w:hint="eastAsia"/>
        </w:rPr>
        <w:t>怀孕和产假不得影响就业保障，因为劳工法禁止将检验是否怀孕作为雇用的手段，即仅因妇女怀孕或休产假而开除妇女是不允许的，而且是一项严重的违法行为。</w:t>
      </w:r>
    </w:p>
    <w:p w:rsidR="00000000" w:rsidRDefault="00000000">
      <w:pPr>
        <w:rPr>
          <w:rFonts w:hint="eastAsia"/>
        </w:rPr>
      </w:pPr>
      <w:r>
        <w:rPr>
          <w:rFonts w:hint="eastAsia"/>
        </w:rPr>
        <w:tab/>
        <w:t xml:space="preserve">268.  </w:t>
      </w:r>
      <w:r>
        <w:rPr>
          <w:rFonts w:hint="eastAsia"/>
        </w:rPr>
        <w:t>塞族共和国的产假是连续</w:t>
      </w:r>
      <w:r>
        <w:rPr>
          <w:rFonts w:hint="eastAsia"/>
        </w:rPr>
        <w:t>12</w:t>
      </w:r>
      <w:r>
        <w:rPr>
          <w:rFonts w:hint="eastAsia"/>
        </w:rPr>
        <w:t>个月，而双胞胎和第三个子女以及三个以后的各个子女是</w:t>
      </w:r>
      <w:r>
        <w:rPr>
          <w:rFonts w:hint="eastAsia"/>
        </w:rPr>
        <w:t>18</w:t>
      </w:r>
      <w:r>
        <w:rPr>
          <w:rFonts w:hint="eastAsia"/>
        </w:rPr>
        <w:t>个月的假期。塞族共和国儿童保护基金负责工资补偿制度。在产假期间不支付工资补偿金是一项严重的违法行为，要罚款。根据正在通过的关于《劳工法》的拟议修订案，在征得母亲同意之下，孩子出生</w:t>
      </w:r>
      <w:r>
        <w:rPr>
          <w:rFonts w:hint="eastAsia"/>
        </w:rPr>
        <w:t>60</w:t>
      </w:r>
      <w:r>
        <w:rPr>
          <w:rFonts w:hint="eastAsia"/>
        </w:rPr>
        <w:t>天之后，可由父亲休产假。</w:t>
      </w:r>
    </w:p>
    <w:p w:rsidR="00000000" w:rsidRDefault="00000000">
      <w:pPr>
        <w:rPr>
          <w:rFonts w:hint="eastAsia"/>
        </w:rPr>
      </w:pPr>
      <w:r>
        <w:rPr>
          <w:rFonts w:hint="eastAsia"/>
        </w:rPr>
        <w:tab/>
        <w:t xml:space="preserve">269.  </w:t>
      </w:r>
      <w:r>
        <w:rPr>
          <w:rFonts w:hint="eastAsia"/>
        </w:rPr>
        <w:t>根据《劳工法》，只有根据医生意见和调查结果认为子女必须予以照顾时，才允许男性和女性运用弹性工作制。</w:t>
      </w:r>
    </w:p>
    <w:p w:rsidR="00000000" w:rsidRDefault="00000000">
      <w:pPr>
        <w:rPr>
          <w:rFonts w:hint="eastAsia"/>
        </w:rPr>
      </w:pPr>
      <w:r>
        <w:rPr>
          <w:rFonts w:hint="eastAsia"/>
        </w:rPr>
        <w:tab/>
        <w:t xml:space="preserve">270.  </w:t>
      </w:r>
      <w:r>
        <w:rPr>
          <w:rFonts w:hint="eastAsia"/>
        </w:rPr>
        <w:t>根据《波斯尼亚和黑塞哥维那联邦公共收入分配法》的权力下放模式，已经把为有子女家庭提供资金的产妇保护措施，移交给了各州承担。根据上述法律和波斯尼亚和黑塞哥维那联邦宪法，各州必须制定出本州的条例并按此落实资金。但是联邦的现实如下：由于财政状况拮据，</w:t>
      </w:r>
      <w:r>
        <w:rPr>
          <w:rFonts w:hint="eastAsia"/>
        </w:rPr>
        <w:t>10</w:t>
      </w:r>
      <w:r>
        <w:rPr>
          <w:rFonts w:hint="eastAsia"/>
        </w:rPr>
        <w:t>个州中只有</w:t>
      </w:r>
      <w:r>
        <w:rPr>
          <w:rFonts w:hint="eastAsia"/>
          <w:spacing w:val="-50"/>
        </w:rPr>
        <w:t>―</w:t>
      </w:r>
      <w:r>
        <w:rPr>
          <w:rFonts w:hint="eastAsia"/>
        </w:rPr>
        <w:t>―萨拉热窝、</w:t>
      </w:r>
      <w:r>
        <w:rPr>
          <w:rFonts w:hint="eastAsia"/>
        </w:rPr>
        <w:t>U</w:t>
      </w:r>
      <w:r>
        <w:t>na-Sana</w:t>
      </w:r>
      <w:r>
        <w:rPr>
          <w:rFonts w:hint="eastAsia"/>
        </w:rPr>
        <w:t>、</w:t>
      </w:r>
      <w:r>
        <w:t>图兹拉</w:t>
      </w:r>
      <w:r>
        <w:rPr>
          <w:rFonts w:hint="eastAsia"/>
        </w:rPr>
        <w:t>、波斯尼亚</w:t>
      </w:r>
      <w:r>
        <w:t>-Podrinje</w:t>
      </w:r>
      <w:r>
        <w:rPr>
          <w:rFonts w:hint="eastAsia"/>
        </w:rPr>
        <w:t>和西黑塞哥维那</w:t>
      </w:r>
      <w:r>
        <w:rPr>
          <w:rFonts w:hint="eastAsia"/>
        </w:rPr>
        <w:t>5</w:t>
      </w:r>
      <w:r>
        <w:rPr>
          <w:rFonts w:hint="eastAsia"/>
        </w:rPr>
        <w:t>个州制定了各自的州条例。</w:t>
      </w:r>
    </w:p>
    <w:p w:rsidR="00000000" w:rsidRDefault="00000000">
      <w:pPr>
        <w:rPr>
          <w:rFonts w:hint="eastAsia"/>
        </w:rPr>
      </w:pPr>
      <w:r>
        <w:rPr>
          <w:rFonts w:hint="eastAsia"/>
        </w:rPr>
        <w:tab/>
        <w:t xml:space="preserve">271.  </w:t>
      </w:r>
      <w:r>
        <w:rPr>
          <w:rFonts w:hint="eastAsia"/>
        </w:rPr>
        <w:t>在波斯尼亚和黑塞哥维那联邦的社会福利、儿童保护和家庭保护体制下，家庭获得有限的保护，甚至得不到保护，因此我们可以说，公然地违反了妇女享有的孕产保护权，因为当地社区和各州经济能力匮乏，地方上拿不出资金履行根据国内和国际立法必须遵循的义务。因此，由于波斯尼亚和黑塞哥维那境内日趋恶化的贫困状况，长期以来出生率数字下降，因而在我们的社会中构成了这样的一句术语“贫困的女性化”。</w:t>
      </w:r>
    </w:p>
    <w:p w:rsidR="00000000" w:rsidRDefault="00000000">
      <w:pPr>
        <w:rPr>
          <w:rFonts w:hint="eastAsia"/>
        </w:rPr>
      </w:pPr>
      <w:r>
        <w:rPr>
          <w:rFonts w:hint="eastAsia"/>
        </w:rPr>
        <w:tab/>
        <w:t xml:space="preserve">272.  </w:t>
      </w:r>
      <w:r>
        <w:rPr>
          <w:rFonts w:hint="eastAsia"/>
        </w:rPr>
        <w:t>必须强调在下述方面确立的新权利中所反映的新动态：</w:t>
      </w:r>
    </w:p>
    <w:p w:rsidR="00000000" w:rsidRDefault="00000000">
      <w:pPr>
        <w:pStyle w:val="a0"/>
        <w:ind w:left="1550"/>
        <w:rPr>
          <w:rFonts w:hint="eastAsia"/>
        </w:rPr>
      </w:pPr>
      <w:r>
        <w:rPr>
          <w:rFonts w:hint="eastAsia"/>
        </w:rPr>
        <w:t>在因怀孕、生产和照管子女休假期间，按母亲的工作关系领取工资补贴</w:t>
      </w:r>
      <w:r>
        <w:rPr>
          <w:rFonts w:hint="eastAsia"/>
        </w:rPr>
        <w:t>(</w:t>
      </w:r>
      <w:r>
        <w:rPr>
          <w:rFonts w:hint="eastAsia"/>
        </w:rPr>
        <w:t>这项权利曾经在卫生保健体制中得到承认</w:t>
      </w:r>
      <w:r>
        <w:rPr>
          <w:rFonts w:hint="eastAsia"/>
        </w:rPr>
        <w:t>)</w:t>
      </w:r>
      <w:r>
        <w:rPr>
          <w:rFonts w:hint="eastAsia"/>
        </w:rPr>
        <w:t>”</w:t>
      </w:r>
    </w:p>
    <w:p w:rsidR="00000000" w:rsidRDefault="00000000">
      <w:pPr>
        <w:pStyle w:val="a0"/>
        <w:ind w:left="1550"/>
        <w:rPr>
          <w:rFonts w:hint="eastAsia"/>
        </w:rPr>
      </w:pPr>
      <w:r>
        <w:rPr>
          <w:rFonts w:hint="eastAsia"/>
        </w:rPr>
        <w:t>在怀孕和生产期间提供的钱款资助；</w:t>
      </w:r>
    </w:p>
    <w:p w:rsidR="00000000" w:rsidRDefault="00000000">
      <w:pPr>
        <w:pStyle w:val="a0"/>
        <w:ind w:left="1550"/>
        <w:rPr>
          <w:rFonts w:hint="eastAsia"/>
        </w:rPr>
      </w:pPr>
      <w:r>
        <w:rPr>
          <w:rFonts w:hint="eastAsia"/>
        </w:rPr>
        <w:t>为儿童提供哺乳支助直至</w:t>
      </w:r>
      <w:r>
        <w:rPr>
          <w:rFonts w:hint="eastAsia"/>
        </w:rPr>
        <w:t>6</w:t>
      </w:r>
      <w:r>
        <w:rPr>
          <w:rFonts w:hint="eastAsia"/>
        </w:rPr>
        <w:t>个月大和为母亲哺乳期间追加食品补助；</w:t>
      </w:r>
    </w:p>
    <w:p w:rsidR="00000000" w:rsidRDefault="00000000">
      <w:pPr>
        <w:pStyle w:val="a0"/>
        <w:ind w:left="1550"/>
        <w:rPr>
          <w:rFonts w:hint="eastAsia"/>
        </w:rPr>
      </w:pPr>
      <w:r>
        <w:rPr>
          <w:rFonts w:hint="eastAsia"/>
        </w:rPr>
        <w:t>为想要孩子的夫妇和怀孕的妇女提供特别的社会心理治疗；</w:t>
      </w:r>
    </w:p>
    <w:p w:rsidR="00000000" w:rsidRDefault="00000000">
      <w:pPr>
        <w:pStyle w:val="a0"/>
        <w:ind w:left="1550"/>
        <w:rPr>
          <w:rFonts w:hint="eastAsia"/>
        </w:rPr>
      </w:pPr>
      <w:r>
        <w:rPr>
          <w:rFonts w:hint="eastAsia"/>
        </w:rPr>
        <w:t>通过为学前机构提供食品解决儿童膳宿；</w:t>
      </w:r>
    </w:p>
    <w:p w:rsidR="00000000" w:rsidRDefault="00000000">
      <w:pPr>
        <w:pStyle w:val="a0"/>
        <w:ind w:left="1550"/>
        <w:rPr>
          <w:rFonts w:hint="eastAsia"/>
        </w:rPr>
      </w:pPr>
      <w:r>
        <w:rPr>
          <w:rFonts w:hint="eastAsia"/>
        </w:rPr>
        <w:t>为小学每天提供一次在校就餐，并为小学生和学生提供助学金。</w:t>
      </w:r>
    </w:p>
    <w:p w:rsidR="00000000" w:rsidRDefault="00000000">
      <w:pPr>
        <w:rPr>
          <w:rFonts w:hint="eastAsia"/>
        </w:rPr>
      </w:pPr>
      <w:r>
        <w:rPr>
          <w:rFonts w:hint="eastAsia"/>
        </w:rPr>
        <w:tab/>
        <w:t xml:space="preserve">273.  </w:t>
      </w:r>
      <w:r>
        <w:rPr>
          <w:rFonts w:hint="eastAsia"/>
        </w:rPr>
        <w:t>在联邦法总体之下确立的以下各项新权利，有出于儿童利益为妇女和母亲提供保护的直接职能。这就着重表明波斯尼亚和黑塞哥维那联邦在国家人口保护政策范围内制定了人口政策。</w:t>
      </w:r>
    </w:p>
    <w:p w:rsidR="00000000" w:rsidRDefault="00000000">
      <w:pPr>
        <w:rPr>
          <w:rFonts w:hint="eastAsia"/>
        </w:rPr>
      </w:pPr>
      <w:r>
        <w:rPr>
          <w:rFonts w:hint="eastAsia"/>
        </w:rPr>
        <w:tab/>
        <w:t xml:space="preserve">274.  </w:t>
      </w:r>
      <w:r>
        <w:rPr>
          <w:rFonts w:hint="eastAsia"/>
        </w:rPr>
        <w:t>若剥夺或限制上述属于妇女使用者的权利，将给予的惩罚是，对社会福利机构、负责人、雇主、执法人员和国营公司处于数额为</w:t>
      </w:r>
      <w:r>
        <w:rPr>
          <w:rFonts w:hint="eastAsia"/>
        </w:rPr>
        <w:t>100</w:t>
      </w:r>
      <w:r>
        <w:rPr>
          <w:rFonts w:hint="eastAsia"/>
        </w:rPr>
        <w:t>至</w:t>
      </w:r>
      <w:r>
        <w:rPr>
          <w:rFonts w:hint="eastAsia"/>
        </w:rPr>
        <w:t>5,000</w:t>
      </w:r>
      <w:r>
        <w:rPr>
          <w:rFonts w:hint="eastAsia"/>
        </w:rPr>
        <w:t>可兑换马克的罚款</w:t>
      </w:r>
      <w:r>
        <w:rPr>
          <w:rFonts w:hint="eastAsia"/>
        </w:rPr>
        <w:t>(</w:t>
      </w:r>
      <w:r>
        <w:rPr>
          <w:rFonts w:hint="eastAsia"/>
        </w:rPr>
        <w:t>《联邦法》第</w:t>
      </w:r>
      <w:r>
        <w:rPr>
          <w:rFonts w:hint="eastAsia"/>
        </w:rPr>
        <w:t>98</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275.  </w:t>
      </w:r>
      <w:r>
        <w:rPr>
          <w:rFonts w:hint="eastAsia"/>
        </w:rPr>
        <w:t>《劳工法》</w:t>
      </w:r>
      <w:r>
        <w:rPr>
          <w:rFonts w:hint="eastAsia"/>
        </w:rPr>
        <w:t>(</w:t>
      </w:r>
      <w:r>
        <w:rPr>
          <w:rFonts w:hint="eastAsia"/>
        </w:rPr>
        <w:t>波斯尼亚和黑塞哥维那联邦政府公报第</w:t>
      </w:r>
      <w:r>
        <w:rPr>
          <w:rFonts w:hint="eastAsia"/>
        </w:rPr>
        <w:t>43/99</w:t>
      </w:r>
      <w:r>
        <w:rPr>
          <w:rFonts w:hint="eastAsia"/>
        </w:rPr>
        <w:t>号</w:t>
      </w:r>
      <w:r>
        <w:rPr>
          <w:rFonts w:hint="eastAsia"/>
        </w:rPr>
        <w:t>)</w:t>
      </w:r>
      <w:r>
        <w:rPr>
          <w:rFonts w:hint="eastAsia"/>
        </w:rPr>
        <w:t>规定，妇女在怀孕、生产和子女照管期间有权享有一年不受干扰的产假，若生双胞胎、第三胎和任何第三胎之后新生子女，产假是</w:t>
      </w:r>
      <w:r>
        <w:rPr>
          <w:rFonts w:hint="eastAsia"/>
        </w:rPr>
        <w:t>18</w:t>
      </w:r>
      <w:r>
        <w:rPr>
          <w:rFonts w:hint="eastAsia"/>
        </w:rPr>
        <w:t>个月</w:t>
      </w:r>
      <w:r>
        <w:rPr>
          <w:rFonts w:hint="eastAsia"/>
        </w:rPr>
        <w:t>(</w:t>
      </w:r>
      <w:r>
        <w:rPr>
          <w:rFonts w:hint="eastAsia"/>
        </w:rPr>
        <w:t>第</w:t>
      </w:r>
      <w:r>
        <w:rPr>
          <w:rFonts w:hint="eastAsia"/>
        </w:rPr>
        <w:t>55</w:t>
      </w:r>
      <w:r>
        <w:rPr>
          <w:rFonts w:hint="eastAsia"/>
        </w:rPr>
        <w:t>条</w:t>
      </w:r>
      <w:r>
        <w:rPr>
          <w:rFonts w:hint="eastAsia"/>
        </w:rPr>
        <w:t>)</w:t>
      </w:r>
      <w:r>
        <w:rPr>
          <w:rFonts w:hint="eastAsia"/>
        </w:rPr>
        <w:t>：</w:t>
      </w:r>
    </w:p>
    <w:p w:rsidR="00000000" w:rsidRDefault="00000000">
      <w:pPr>
        <w:pStyle w:val="a0"/>
        <w:ind w:left="1550"/>
        <w:rPr>
          <w:rFonts w:hint="eastAsia"/>
        </w:rPr>
      </w:pPr>
      <w:r>
        <w:rPr>
          <w:rFonts w:hint="eastAsia"/>
        </w:rPr>
        <w:t>若儿童母亲死亡，或者母亲遗弃子女，或因合理的理由被阻碍利用这项权利时，子女的父亲可运用第</w:t>
      </w:r>
      <w:r>
        <w:rPr>
          <w:rFonts w:hint="eastAsia"/>
        </w:rPr>
        <w:t>55</w:t>
      </w:r>
      <w:r>
        <w:rPr>
          <w:rFonts w:hint="eastAsia"/>
        </w:rPr>
        <w:t>条规定的这项权利；</w:t>
      </w:r>
    </w:p>
    <w:p w:rsidR="00000000" w:rsidRDefault="00000000">
      <w:pPr>
        <w:pStyle w:val="a0"/>
        <w:ind w:left="1550"/>
        <w:rPr>
          <w:rFonts w:hint="eastAsia"/>
        </w:rPr>
      </w:pPr>
      <w:r>
        <w:rPr>
          <w:rFonts w:hint="eastAsia"/>
        </w:rPr>
        <w:t>《劳工法》还规定，在子女年满一周岁之后，若根据称职的健康调查结果，必须加强护理，父母双方中的一方有权享受三年的半天工作制</w:t>
      </w:r>
      <w:r>
        <w:rPr>
          <w:rFonts w:hint="eastAsia"/>
        </w:rPr>
        <w:t>(</w:t>
      </w:r>
      <w:r>
        <w:rPr>
          <w:rFonts w:hint="eastAsia"/>
        </w:rPr>
        <w:t>第</w:t>
      </w:r>
      <w:r>
        <w:rPr>
          <w:rFonts w:hint="eastAsia"/>
        </w:rPr>
        <w:t>58</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276.  </w:t>
      </w:r>
      <w:r>
        <w:rPr>
          <w:rFonts w:hint="eastAsia"/>
        </w:rPr>
        <w:t>如上所述，儿童最有可能面临跌落至贫困线以下的风险，因为大约</w:t>
      </w:r>
      <w:r>
        <w:rPr>
          <w:rFonts w:hint="eastAsia"/>
        </w:rPr>
        <w:t>56%</w:t>
      </w:r>
      <w:r>
        <w:rPr>
          <w:rFonts w:hint="eastAsia"/>
        </w:rPr>
        <w:t>的穷人生活在有子女家庭。塞族共和国境内儿童面临的威胁尤其大，该国人口的一半以上生活在贫困家庭之中，而在波斯尼亚和黑塞哥维那联邦境内，该比例约为三分之一。大约有</w:t>
      </w:r>
      <w:r>
        <w:rPr>
          <w:rFonts w:hint="eastAsia"/>
        </w:rPr>
        <w:t>13%</w:t>
      </w:r>
      <w:r>
        <w:rPr>
          <w:rFonts w:hint="eastAsia"/>
        </w:rPr>
        <w:t>儿童生活的家庭属于最贫困类，</w:t>
      </w:r>
      <w:r>
        <w:rPr>
          <w:rFonts w:hint="eastAsia"/>
        </w:rPr>
        <w:t>29%</w:t>
      </w:r>
      <w:r>
        <w:rPr>
          <w:rFonts w:hint="eastAsia"/>
        </w:rPr>
        <w:t>儿童生活的家庭就在贫困线上。当家庭中无人就业时，家庭贫困度最深重，而户主失业的流离失所家庭面临的处境极端困难。</w:t>
      </w:r>
      <w:r>
        <w:rPr>
          <w:rFonts w:hint="eastAsia"/>
        </w:rPr>
        <w:t>5</w:t>
      </w:r>
      <w:r>
        <w:rPr>
          <w:rFonts w:hint="eastAsia"/>
        </w:rPr>
        <w:t>岁以下儿童面临的危险尤甚。这些儿童所处严峻状况的表现如下：进入学前教育的比例极低</w:t>
      </w:r>
      <w:r>
        <w:rPr>
          <w:rFonts w:hint="eastAsia"/>
        </w:rPr>
        <w:t>(</w:t>
      </w:r>
      <w:r>
        <w:rPr>
          <w:rFonts w:hint="eastAsia"/>
        </w:rPr>
        <w:t>不到</w:t>
      </w:r>
      <w:r>
        <w:rPr>
          <w:rFonts w:hint="eastAsia"/>
        </w:rPr>
        <w:t>9%</w:t>
      </w:r>
      <w:r>
        <w:rPr>
          <w:rFonts w:hint="eastAsia"/>
        </w:rPr>
        <w:t>的儿童进入某种学前教育机构</w:t>
      </w:r>
      <w:r>
        <w:rPr>
          <w:rFonts w:hint="eastAsia"/>
        </w:rPr>
        <w:t>)</w:t>
      </w:r>
      <w:r>
        <w:rPr>
          <w:rFonts w:hint="eastAsia"/>
        </w:rPr>
        <w:t>、贫困儿童接受中等教育的机会受限，健康保险的覆盖率很低，乡村地区更差。缺乏健康保险对</w:t>
      </w:r>
      <w:r>
        <w:rPr>
          <w:rFonts w:hint="eastAsia"/>
        </w:rPr>
        <w:t>(</w:t>
      </w:r>
      <w:r>
        <w:rPr>
          <w:rFonts w:hint="eastAsia"/>
        </w:rPr>
        <w:t>男女性</w:t>
      </w:r>
      <w:r>
        <w:rPr>
          <w:rFonts w:hint="eastAsia"/>
        </w:rPr>
        <w:t>)</w:t>
      </w:r>
      <w:r>
        <w:rPr>
          <w:rFonts w:hint="eastAsia"/>
        </w:rPr>
        <w:t>幼儿的影响最大，因为这些儿童最容易生病和受伤，而且比成年人的抵抗力差。</w:t>
      </w:r>
    </w:p>
    <w:p w:rsidR="00000000" w:rsidRDefault="00000000">
      <w:pPr>
        <w:rPr>
          <w:rFonts w:hint="eastAsia"/>
        </w:rPr>
      </w:pPr>
      <w:r>
        <w:rPr>
          <w:rFonts w:hint="eastAsia"/>
        </w:rPr>
        <w:tab/>
        <w:t xml:space="preserve">277.  </w:t>
      </w:r>
      <w:r>
        <w:rPr>
          <w:rFonts w:hint="eastAsia"/>
        </w:rPr>
        <w:t>比贫困家庭儿童所面临威胁更大的是孤儿以及由社会福利体制委托照管这些儿童的人，因为所有这些社会福利体制物资质条件太薄弱，无法提供适当的照管。根据现有的数据，</w:t>
      </w:r>
      <w:r>
        <w:rPr>
          <w:rFonts w:hint="eastAsia"/>
        </w:rPr>
        <w:t>2000</w:t>
      </w:r>
      <w:r>
        <w:rPr>
          <w:rFonts w:hint="eastAsia"/>
        </w:rPr>
        <w:t>年波斯尼亚和黑塞哥维那联邦由社会福利机构照管的儿童达</w:t>
      </w:r>
      <w:r>
        <w:rPr>
          <w:rFonts w:hint="eastAsia"/>
        </w:rPr>
        <w:t>9,718</w:t>
      </w:r>
      <w:r>
        <w:rPr>
          <w:rFonts w:hint="eastAsia"/>
        </w:rPr>
        <w:t>人。同时还有</w:t>
      </w:r>
      <w:r>
        <w:rPr>
          <w:rFonts w:hint="eastAsia"/>
        </w:rPr>
        <w:t>19,423</w:t>
      </w:r>
      <w:r>
        <w:rPr>
          <w:rFonts w:hint="eastAsia"/>
        </w:rPr>
        <w:t>名极为贫困的单亲儿童。塞族共和国社会福利服务部门照管</w:t>
      </w:r>
      <w:r>
        <w:rPr>
          <w:rFonts w:hint="eastAsia"/>
        </w:rPr>
        <w:t>821</w:t>
      </w:r>
      <w:r>
        <w:rPr>
          <w:rFonts w:hint="eastAsia"/>
        </w:rPr>
        <w:t>名孤儿，</w:t>
      </w:r>
      <w:r>
        <w:rPr>
          <w:rFonts w:hint="eastAsia"/>
        </w:rPr>
        <w:t>2,515</w:t>
      </w:r>
      <w:r>
        <w:rPr>
          <w:rFonts w:hint="eastAsia"/>
        </w:rPr>
        <w:t>名发育障碍症儿童，及</w:t>
      </w:r>
      <w:r>
        <w:rPr>
          <w:rFonts w:hint="eastAsia"/>
        </w:rPr>
        <w:t>1,837</w:t>
      </w:r>
      <w:r>
        <w:rPr>
          <w:rFonts w:hint="eastAsia"/>
        </w:rPr>
        <w:t>名行为异常症儿童。</w:t>
      </w:r>
    </w:p>
    <w:p w:rsidR="00000000" w:rsidRDefault="00000000">
      <w:pPr>
        <w:rPr>
          <w:rFonts w:hint="eastAsia"/>
        </w:rPr>
      </w:pPr>
      <w:r>
        <w:rPr>
          <w:rFonts w:hint="eastAsia"/>
        </w:rPr>
        <w:tab/>
        <w:t xml:space="preserve">278.  </w:t>
      </w:r>
      <w:r>
        <w:rPr>
          <w:rFonts w:hint="eastAsia"/>
        </w:rPr>
        <w:t>令人惊奇的调查结果是，贫困并不主要是由失业造成的。不到</w:t>
      </w:r>
      <w:r>
        <w:rPr>
          <w:rFonts w:hint="eastAsia"/>
        </w:rPr>
        <w:t>20%</w:t>
      </w:r>
      <w:r>
        <w:rPr>
          <w:rFonts w:hint="eastAsia"/>
        </w:rPr>
        <w:t>的贫困者生活在户主失业的家庭中，而家庭户主有工作的贫困者则为以上数字的一倍。在大约</w:t>
      </w:r>
      <w:r>
        <w:rPr>
          <w:rFonts w:hint="eastAsia"/>
        </w:rPr>
        <w:t>63%</w:t>
      </w:r>
      <w:r>
        <w:rPr>
          <w:rFonts w:hint="eastAsia"/>
        </w:rPr>
        <w:t>的贫困家庭中至少有一位成员有工作。另一方面，</w:t>
      </w:r>
      <w:r>
        <w:rPr>
          <w:rFonts w:hint="eastAsia"/>
        </w:rPr>
        <w:t>28%</w:t>
      </w:r>
      <w:r>
        <w:rPr>
          <w:rFonts w:hint="eastAsia"/>
        </w:rPr>
        <w:t>失业者生活贫困，但失业者占贫困总人数的三分之一。</w:t>
      </w:r>
    </w:p>
    <w:p w:rsidR="00000000" w:rsidRDefault="00000000">
      <w:pPr>
        <w:rPr>
          <w:rFonts w:hint="eastAsia"/>
        </w:rPr>
      </w:pPr>
      <w:r>
        <w:rPr>
          <w:rFonts w:hint="eastAsia"/>
        </w:rPr>
        <w:tab/>
        <w:t xml:space="preserve">279.  </w:t>
      </w:r>
      <w:r>
        <w:rPr>
          <w:rFonts w:hint="eastAsia"/>
        </w:rPr>
        <w:t>对这种现象的一种解释是，应首先看到波斯尼亚和黑塞哥维那严峻的经济状况。</w:t>
      </w:r>
      <w:r>
        <w:rPr>
          <w:rFonts w:hint="eastAsia"/>
        </w:rPr>
        <w:t>2002</w:t>
      </w:r>
      <w:r>
        <w:rPr>
          <w:rFonts w:hint="eastAsia"/>
        </w:rPr>
        <w:t>年</w:t>
      </w:r>
      <w:r>
        <w:rPr>
          <w:rFonts w:hint="eastAsia"/>
        </w:rPr>
        <w:t>12</w:t>
      </w:r>
      <w:r>
        <w:rPr>
          <w:rFonts w:hint="eastAsia"/>
        </w:rPr>
        <w:t>月，波斯尼亚和黑塞哥维那联邦的平均工资是</w:t>
      </w:r>
      <w:r>
        <w:rPr>
          <w:rFonts w:hint="eastAsia"/>
        </w:rPr>
        <w:t>513</w:t>
      </w:r>
      <w:r>
        <w:rPr>
          <w:rFonts w:hint="eastAsia"/>
        </w:rPr>
        <w:t>可兑换马克，而塞族共和国是</w:t>
      </w:r>
      <w:r>
        <w:rPr>
          <w:rFonts w:hint="eastAsia"/>
        </w:rPr>
        <w:t>365</w:t>
      </w:r>
      <w:r>
        <w:rPr>
          <w:rFonts w:hint="eastAsia"/>
        </w:rPr>
        <w:t>可兑换马克</w:t>
      </w:r>
      <w:r>
        <w:rPr>
          <w:rFonts w:hint="eastAsia"/>
        </w:rPr>
        <w:t>(</w:t>
      </w:r>
      <w:r>
        <w:rPr>
          <w:rFonts w:hint="eastAsia"/>
        </w:rPr>
        <w:t>波斯尼亚和黑塞哥维那联邦的日常综合消费额为</w:t>
      </w:r>
      <w:r>
        <w:rPr>
          <w:rFonts w:hint="eastAsia"/>
        </w:rPr>
        <w:t>459</w:t>
      </w:r>
      <w:r>
        <w:rPr>
          <w:rFonts w:hint="eastAsia"/>
        </w:rPr>
        <w:t>可兑换马克，塞族共和国是</w:t>
      </w:r>
      <w:r>
        <w:rPr>
          <w:rFonts w:hint="eastAsia"/>
        </w:rPr>
        <w:t>458</w:t>
      </w:r>
      <w:r>
        <w:rPr>
          <w:rFonts w:hint="eastAsia"/>
        </w:rPr>
        <w:t>可兑换马克</w:t>
      </w:r>
      <w:r>
        <w:rPr>
          <w:rFonts w:hint="eastAsia"/>
        </w:rPr>
        <w:t>)</w:t>
      </w:r>
      <w:r>
        <w:rPr>
          <w:rFonts w:hint="eastAsia"/>
        </w:rPr>
        <w:t>。此外，大部分企业经营不善，支付的薪金低，且往往拖欠数个月才发。</w:t>
      </w:r>
    </w:p>
    <w:p w:rsidR="00000000" w:rsidRDefault="00000000">
      <w:pPr>
        <w:rPr>
          <w:rFonts w:hint="eastAsia"/>
        </w:rPr>
      </w:pPr>
      <w:r>
        <w:rPr>
          <w:rFonts w:hint="eastAsia"/>
        </w:rPr>
        <w:tab/>
        <w:t xml:space="preserve">280.  </w:t>
      </w:r>
      <w:r>
        <w:rPr>
          <w:rFonts w:hint="eastAsia"/>
        </w:rPr>
        <w:t>人口中的赤贫群体，包括老年人</w:t>
      </w:r>
      <w:r>
        <w:rPr>
          <w:rFonts w:hint="eastAsia"/>
        </w:rPr>
        <w:t>(</w:t>
      </w:r>
      <w:r>
        <w:rPr>
          <w:rFonts w:hint="eastAsia"/>
        </w:rPr>
        <w:t>大多为养恤金领取者</w:t>
      </w:r>
      <w:r>
        <w:rPr>
          <w:rFonts w:hint="eastAsia"/>
        </w:rPr>
        <w:t>)</w:t>
      </w:r>
      <w:r>
        <w:rPr>
          <w:rFonts w:hint="eastAsia"/>
        </w:rPr>
        <w:t>，他们的养恤金一般都不足解决基本生活需求。贫困评估分析报告的调查结果指出，贫困者中有</w:t>
      </w:r>
      <w:r>
        <w:rPr>
          <w:rFonts w:hint="eastAsia"/>
        </w:rPr>
        <w:t>20%</w:t>
      </w:r>
      <w:r>
        <w:rPr>
          <w:rFonts w:hint="eastAsia"/>
        </w:rPr>
        <w:t>不是养恤金领取者便是残疾人。同时，至少有</w:t>
      </w:r>
      <w:r>
        <w:rPr>
          <w:rFonts w:hint="eastAsia"/>
        </w:rPr>
        <w:t>25%</w:t>
      </w:r>
      <w:r>
        <w:rPr>
          <w:rFonts w:hint="eastAsia"/>
        </w:rPr>
        <w:t>的贫困者年龄超过</w:t>
      </w:r>
      <w:r>
        <w:rPr>
          <w:rFonts w:hint="eastAsia"/>
        </w:rPr>
        <w:t>60</w:t>
      </w:r>
      <w:r>
        <w:rPr>
          <w:rFonts w:hint="eastAsia"/>
        </w:rPr>
        <w:t>岁且无权享有养恤金。</w:t>
      </w:r>
      <w:r>
        <w:rPr>
          <w:rFonts w:hint="eastAsia"/>
        </w:rPr>
        <w:t>1991</w:t>
      </w:r>
      <w:r>
        <w:rPr>
          <w:rFonts w:hint="eastAsia"/>
        </w:rPr>
        <w:t>年波斯尼亚和黑塞哥维那联邦境内的养恤金领取者与就业者比率是</w:t>
      </w:r>
      <w:r>
        <w:rPr>
          <w:rFonts w:hint="eastAsia"/>
        </w:rPr>
        <w:t>1</w:t>
      </w:r>
      <w:r>
        <w:rPr>
          <w:rFonts w:hint="eastAsia"/>
        </w:rPr>
        <w:t>：</w:t>
      </w:r>
      <w:r>
        <w:rPr>
          <w:rFonts w:hint="eastAsia"/>
        </w:rPr>
        <w:t xml:space="preserve">3, </w:t>
      </w:r>
      <w:r>
        <w:rPr>
          <w:rFonts w:hint="eastAsia"/>
        </w:rPr>
        <w:t>到</w:t>
      </w:r>
      <w:r>
        <w:rPr>
          <w:rFonts w:hint="eastAsia"/>
        </w:rPr>
        <w:t>1995</w:t>
      </w:r>
      <w:r>
        <w:rPr>
          <w:rFonts w:hint="eastAsia"/>
        </w:rPr>
        <w:t>年这个比率为</w:t>
      </w:r>
      <w:r>
        <w:rPr>
          <w:rFonts w:hint="eastAsia"/>
        </w:rPr>
        <w:t>1</w:t>
      </w:r>
      <w:r>
        <w:rPr>
          <w:rFonts w:hint="eastAsia"/>
        </w:rPr>
        <w:t>：</w:t>
      </w:r>
      <w:r>
        <w:rPr>
          <w:rFonts w:hint="eastAsia"/>
        </w:rPr>
        <w:t xml:space="preserve">1.3, </w:t>
      </w:r>
      <w:r>
        <w:rPr>
          <w:rFonts w:hint="eastAsia"/>
        </w:rPr>
        <w:t>并稳定在</w:t>
      </w:r>
      <w:r>
        <w:rPr>
          <w:rFonts w:hint="eastAsia"/>
        </w:rPr>
        <w:t>1</w:t>
      </w:r>
      <w:r>
        <w:rPr>
          <w:rFonts w:hint="eastAsia"/>
        </w:rPr>
        <w:t>：</w:t>
      </w:r>
      <w:r>
        <w:rPr>
          <w:rFonts w:hint="eastAsia"/>
        </w:rPr>
        <w:t>1.4</w:t>
      </w:r>
      <w:r>
        <w:rPr>
          <w:rFonts w:hint="eastAsia"/>
        </w:rPr>
        <w:t>。到</w:t>
      </w:r>
      <w:r>
        <w:rPr>
          <w:rFonts w:hint="eastAsia"/>
        </w:rPr>
        <w:t>2001</w:t>
      </w:r>
      <w:r>
        <w:rPr>
          <w:rFonts w:hint="eastAsia"/>
        </w:rPr>
        <w:t>年，联邦境内的平均养恤金额为人均收入的三分之二，已经超过了转型期国家的平均数值。然而，波斯尼亚和黑塞哥维那联邦境内的养恤金平均额为平均工资的</w:t>
      </w:r>
      <w:r>
        <w:rPr>
          <w:rFonts w:hint="eastAsia"/>
        </w:rPr>
        <w:t>36%</w:t>
      </w:r>
      <w:r>
        <w:rPr>
          <w:rFonts w:hint="eastAsia"/>
        </w:rPr>
        <w:t>。请注意，女性养恤金领取者处于比男性更困难的境地，因为她们的养恤金较低，其原因是女性就业期间的工资级别较低。</w:t>
      </w:r>
    </w:p>
    <w:p w:rsidR="00000000" w:rsidRDefault="00000000">
      <w:pPr>
        <w:rPr>
          <w:rFonts w:hint="eastAsia"/>
        </w:rPr>
      </w:pPr>
      <w:r>
        <w:rPr>
          <w:rFonts w:hint="eastAsia"/>
        </w:rPr>
        <w:tab/>
        <w:t xml:space="preserve">281.  </w:t>
      </w:r>
      <w:r>
        <w:rPr>
          <w:rFonts w:hint="eastAsia"/>
        </w:rPr>
        <w:t>为使儿童得到正常的成长和发育，必须保障一个和谐的家庭环境。家庭是社会的基本细胞，可使儿童充分地发展他</w:t>
      </w:r>
      <w:r>
        <w:rPr>
          <w:rFonts w:hint="eastAsia"/>
        </w:rPr>
        <w:t>/</w:t>
      </w:r>
      <w:r>
        <w:rPr>
          <w:rFonts w:hint="eastAsia"/>
        </w:rPr>
        <w:t>她的性格。</w:t>
      </w:r>
    </w:p>
    <w:p w:rsidR="00000000" w:rsidRDefault="00000000">
      <w:pPr>
        <w:rPr>
          <w:rFonts w:hint="eastAsia"/>
        </w:rPr>
      </w:pPr>
      <w:r>
        <w:rPr>
          <w:rFonts w:hint="eastAsia"/>
        </w:rPr>
        <w:tab/>
        <w:t xml:space="preserve">282.  </w:t>
      </w:r>
      <w:r>
        <w:rPr>
          <w:rFonts w:hint="eastAsia"/>
        </w:rPr>
        <w:t>波斯尼亚和黑塞哥维那</w:t>
      </w:r>
      <w:r>
        <w:rPr>
          <w:rFonts w:hint="eastAsia"/>
        </w:rPr>
        <w:t>(1992</w:t>
      </w:r>
      <w:r>
        <w:rPr>
          <w:rFonts w:hint="eastAsia"/>
        </w:rPr>
        <w:t>至</w:t>
      </w:r>
      <w:r>
        <w:rPr>
          <w:rFonts w:hint="eastAsia"/>
        </w:rPr>
        <w:t>1995</w:t>
      </w:r>
      <w:r>
        <w:rPr>
          <w:rFonts w:hint="eastAsia"/>
        </w:rPr>
        <w:t>年</w:t>
      </w:r>
      <w:r>
        <w:rPr>
          <w:rFonts w:hint="eastAsia"/>
        </w:rPr>
        <w:t>)</w:t>
      </w:r>
      <w:r>
        <w:rPr>
          <w:rFonts w:hint="eastAsia"/>
        </w:rPr>
        <w:t>的战争造成了极普遍的家庭解体，致使无以计数的家长和儿童丧生。数据表明，战争期间有</w:t>
      </w:r>
      <w:r>
        <w:rPr>
          <w:rFonts w:hint="eastAsia"/>
        </w:rPr>
        <w:t>200,000</w:t>
      </w:r>
      <w:r>
        <w:rPr>
          <w:rFonts w:hint="eastAsia"/>
        </w:rPr>
        <w:t>人丧生，其中有</w:t>
      </w:r>
      <w:r>
        <w:rPr>
          <w:rFonts w:hint="eastAsia"/>
        </w:rPr>
        <w:t>22,000</w:t>
      </w:r>
      <w:r>
        <w:rPr>
          <w:rFonts w:hint="eastAsia"/>
        </w:rPr>
        <w:t>名儿童。登记在册的战争致残者超过</w:t>
      </w:r>
      <w:r>
        <w:rPr>
          <w:rFonts w:hint="eastAsia"/>
        </w:rPr>
        <w:t>176,000</w:t>
      </w:r>
      <w:r>
        <w:rPr>
          <w:rFonts w:hint="eastAsia"/>
        </w:rPr>
        <w:t>人，其中有</w:t>
      </w:r>
      <w:r>
        <w:rPr>
          <w:rFonts w:hint="eastAsia"/>
        </w:rPr>
        <w:t>4,000</w:t>
      </w:r>
      <w:r>
        <w:rPr>
          <w:rFonts w:hint="eastAsia"/>
        </w:rPr>
        <w:t>名儿童。有一百多万人</w:t>
      </w:r>
      <w:r>
        <w:rPr>
          <w:rFonts w:hint="eastAsia"/>
        </w:rPr>
        <w:t>(</w:t>
      </w:r>
      <w:r>
        <w:rPr>
          <w:rFonts w:hint="eastAsia"/>
        </w:rPr>
        <w:t>其中有</w:t>
      </w:r>
      <w:r>
        <w:rPr>
          <w:rFonts w:hint="eastAsia"/>
        </w:rPr>
        <w:t>250,000</w:t>
      </w:r>
      <w:r>
        <w:rPr>
          <w:rFonts w:hint="eastAsia"/>
        </w:rPr>
        <w:t>儿童</w:t>
      </w:r>
      <w:r>
        <w:rPr>
          <w:rFonts w:hint="eastAsia"/>
        </w:rPr>
        <w:t>)</w:t>
      </w:r>
      <w:r>
        <w:rPr>
          <w:rFonts w:hint="eastAsia"/>
        </w:rPr>
        <w:t>遭到强行驱逐，散落在世界各地</w:t>
      </w:r>
      <w:r>
        <w:rPr>
          <w:rFonts w:hint="eastAsia"/>
        </w:rPr>
        <w:t>110</w:t>
      </w:r>
      <w:r>
        <w:rPr>
          <w:rFonts w:hint="eastAsia"/>
        </w:rPr>
        <w:t>个国家。在波斯尼亚和黑塞哥维那境内的流离失所者有</w:t>
      </w:r>
      <w:r>
        <w:rPr>
          <w:rFonts w:hint="eastAsia"/>
        </w:rPr>
        <w:t>137</w:t>
      </w:r>
      <w:r>
        <w:rPr>
          <w:rFonts w:hint="eastAsia"/>
        </w:rPr>
        <w:t>万人，其中包括</w:t>
      </w:r>
      <w:r>
        <w:rPr>
          <w:rFonts w:hint="eastAsia"/>
        </w:rPr>
        <w:t>420,000</w:t>
      </w:r>
      <w:r>
        <w:rPr>
          <w:rFonts w:hint="eastAsia"/>
        </w:rPr>
        <w:t>儿童，这显示出了家庭及其儿童面临的困苦，以及破坏了所有国际人权，诸如生命权、生存权、家庭和家庭生活权、受教育权和享有自然环境权等。</w:t>
      </w:r>
    </w:p>
    <w:p w:rsidR="00000000" w:rsidRDefault="00000000">
      <w:pPr>
        <w:rPr>
          <w:rFonts w:hint="eastAsia"/>
        </w:rPr>
      </w:pPr>
      <w:r>
        <w:rPr>
          <w:rFonts w:hint="eastAsia"/>
        </w:rPr>
        <w:tab/>
        <w:t xml:space="preserve">283.  </w:t>
      </w:r>
      <w:r>
        <w:rPr>
          <w:rFonts w:hint="eastAsia"/>
        </w:rPr>
        <w:t>《家庭法》和《社会福利、保护内战受害者和保护有子女家庭基本法》确立了对孤儿的保护。在家庭法和社会福利方面，除了提供社会和专家援助服务之外，为这一脆弱儿童群体提供的保护形式是：领养、监护、在其他家庭或社会福利机构中的安置。在承认儿童最高利益原则的情况下，由主管社会福利服务部门决定为没有父母的儿童提供哪种最有利的保护形式。</w:t>
      </w:r>
    </w:p>
    <w:p w:rsidR="00000000" w:rsidRDefault="00000000">
      <w:pPr>
        <w:rPr>
          <w:rFonts w:hint="eastAsia"/>
        </w:rPr>
      </w:pPr>
      <w:r>
        <w:rPr>
          <w:rFonts w:hint="eastAsia"/>
        </w:rPr>
        <w:tab/>
        <w:t xml:space="preserve">284.  </w:t>
      </w:r>
      <w:r>
        <w:rPr>
          <w:rFonts w:hint="eastAsia"/>
        </w:rPr>
        <w:t>按《家庭法》</w:t>
      </w:r>
      <w:r>
        <w:rPr>
          <w:rFonts w:hint="eastAsia"/>
        </w:rPr>
        <w:t>(</w:t>
      </w:r>
      <w:r>
        <w:rPr>
          <w:rFonts w:hint="eastAsia"/>
        </w:rPr>
        <w:t>第</w:t>
      </w:r>
      <w:r>
        <w:rPr>
          <w:rFonts w:hint="eastAsia"/>
        </w:rPr>
        <w:t>142-171</w:t>
      </w:r>
      <w:r>
        <w:rPr>
          <w:rFonts w:hint="eastAsia"/>
        </w:rPr>
        <w:t>条</w:t>
      </w:r>
      <w:r>
        <w:rPr>
          <w:rFonts w:hint="eastAsia"/>
        </w:rPr>
        <w:t xml:space="preserve">) </w:t>
      </w:r>
      <w:r>
        <w:rPr>
          <w:rFonts w:hint="eastAsia"/>
        </w:rPr>
        <w:t>的规定进行领养，是一种对无父母儿童实行法律保护的体制。</w:t>
      </w:r>
      <w:r>
        <w:rPr>
          <w:rFonts w:hint="eastAsia"/>
        </w:rPr>
        <w:t>1991-2000</w:t>
      </w:r>
      <w:r>
        <w:rPr>
          <w:rFonts w:hint="eastAsia"/>
        </w:rPr>
        <w:t>年期间，波斯尼亚和黑塞哥维那境内总共有</w:t>
      </w:r>
      <w:r>
        <w:rPr>
          <w:rFonts w:hint="eastAsia"/>
        </w:rPr>
        <w:t>507</w:t>
      </w:r>
      <w:r>
        <w:rPr>
          <w:rFonts w:hint="eastAsia"/>
        </w:rPr>
        <w:t>名孤儿被领养：</w:t>
      </w:r>
      <w:r>
        <w:rPr>
          <w:rFonts w:hint="eastAsia"/>
        </w:rPr>
        <w:t>420</w:t>
      </w:r>
      <w:r>
        <w:rPr>
          <w:rFonts w:hint="eastAsia"/>
        </w:rPr>
        <w:t>名完全领养和</w:t>
      </w:r>
      <w:r>
        <w:rPr>
          <w:rFonts w:hint="eastAsia"/>
        </w:rPr>
        <w:t>87</w:t>
      </w:r>
      <w:r>
        <w:rPr>
          <w:rFonts w:hint="eastAsia"/>
        </w:rPr>
        <w:t>名部分领养。</w:t>
      </w:r>
    </w:p>
    <w:p w:rsidR="00000000" w:rsidRDefault="00000000">
      <w:pPr>
        <w:rPr>
          <w:rFonts w:hint="eastAsia"/>
        </w:rPr>
      </w:pPr>
      <w:r>
        <w:rPr>
          <w:rFonts w:hint="eastAsia"/>
        </w:rPr>
        <w:tab/>
        <w:t xml:space="preserve">285.  </w:t>
      </w:r>
      <w:r>
        <w:rPr>
          <w:rFonts w:hint="eastAsia"/>
        </w:rPr>
        <w:t>监护是对无家长照管的儿童实行法律和社会保护的一种体制：这些儿童的父母或死亡、失踪、被剥夺了家长的权利，或无法履行家长照管职责。在实际中，在战争期间丧失父母的儿童往往委托给他们最亲近的亲属</w:t>
      </w:r>
      <w:r>
        <w:rPr>
          <w:rFonts w:hint="eastAsia"/>
        </w:rPr>
        <w:t>(</w:t>
      </w:r>
      <w:r>
        <w:rPr>
          <w:rFonts w:hint="eastAsia"/>
        </w:rPr>
        <w:t>祖父、祖母或父母的兄弟姐妹</w:t>
      </w:r>
      <w:r>
        <w:rPr>
          <w:rFonts w:hint="eastAsia"/>
        </w:rPr>
        <w:t>)</w:t>
      </w:r>
      <w:r>
        <w:rPr>
          <w:rFonts w:hint="eastAsia"/>
        </w:rPr>
        <w:t>照管。</w:t>
      </w:r>
    </w:p>
    <w:p w:rsidR="00000000" w:rsidRDefault="00000000">
      <w:pPr>
        <w:rPr>
          <w:rFonts w:hint="eastAsia"/>
        </w:rPr>
      </w:pPr>
      <w:r>
        <w:rPr>
          <w:rFonts w:hint="eastAsia"/>
        </w:rPr>
        <w:tab/>
        <w:t xml:space="preserve">286.  </w:t>
      </w:r>
      <w:r>
        <w:rPr>
          <w:rFonts w:hint="eastAsia"/>
        </w:rPr>
        <w:t>社会福利领域有权作出让其他家庭收容安置的安排，并受关于无父母儿童或始终需要照顾的儿童以及在原家庭中得不到关注儿童的实体社会福利法的规约。根据波斯尼亚和黑塞哥维那联邦的地方社会福利服务部门的资料，</w:t>
      </w:r>
      <w:r>
        <w:rPr>
          <w:rFonts w:hint="eastAsia"/>
        </w:rPr>
        <w:t>2000</w:t>
      </w:r>
      <w:r>
        <w:rPr>
          <w:rFonts w:hint="eastAsia"/>
        </w:rPr>
        <w:t>年波斯尼亚和黑塞哥维那联邦境内，</w:t>
      </w:r>
      <w:r>
        <w:rPr>
          <w:rFonts w:hint="eastAsia"/>
        </w:rPr>
        <w:t>2,210</w:t>
      </w:r>
      <w:r>
        <w:rPr>
          <w:rFonts w:hint="eastAsia"/>
        </w:rPr>
        <w:t>名孤儿中有</w:t>
      </w:r>
      <w:r>
        <w:rPr>
          <w:rFonts w:hint="eastAsia"/>
        </w:rPr>
        <w:t>1,220</w:t>
      </w:r>
      <w:r>
        <w:rPr>
          <w:rFonts w:hint="eastAsia"/>
        </w:rPr>
        <w:t>名孤儿在其他家庭中得到收容安置。根据各州和市政府的物质能力，每月为收养家庭支付的款额从</w:t>
      </w:r>
      <w:r>
        <w:rPr>
          <w:rFonts w:hint="eastAsia"/>
        </w:rPr>
        <w:t>100</w:t>
      </w:r>
      <w:r>
        <w:rPr>
          <w:rFonts w:hint="eastAsia"/>
        </w:rPr>
        <w:t>至</w:t>
      </w:r>
      <w:r>
        <w:rPr>
          <w:rFonts w:hint="eastAsia"/>
        </w:rPr>
        <w:t>5,250</w:t>
      </w:r>
      <w:r>
        <w:rPr>
          <w:rFonts w:hint="eastAsia"/>
        </w:rPr>
        <w:t>可兑换马克不等。在其他收养家庭中收容安置儿童是对被剥夺家庭环境的儿童实行照管的一种替代形式，证明是对脆弱儿童保护的一种极为有效的形式，因此，在波斯尼亚和黑塞哥维那联邦的所有改革选择方案中，这是一种优选形式。</w:t>
      </w:r>
    </w:p>
    <w:p w:rsidR="00000000" w:rsidRDefault="00000000">
      <w:pPr>
        <w:rPr>
          <w:rFonts w:hint="eastAsia"/>
          <w:lang w:val="en-GB"/>
        </w:rPr>
      </w:pPr>
      <w:r>
        <w:rPr>
          <w:rFonts w:hint="eastAsia"/>
        </w:rPr>
        <w:tab/>
        <w:t xml:space="preserve">287.  </w:t>
      </w:r>
      <w:r>
        <w:rPr>
          <w:rFonts w:hint="eastAsia"/>
        </w:rPr>
        <w:t>在社会福利机构中安置是对无父母儿童实行社会保护界定的一种权利。联邦孤儿院总共收容了</w:t>
      </w:r>
      <w:r>
        <w:rPr>
          <w:rFonts w:hint="eastAsia"/>
        </w:rPr>
        <w:t>924</w:t>
      </w:r>
      <w:r>
        <w:rPr>
          <w:rFonts w:hint="eastAsia"/>
        </w:rPr>
        <w:t>名儿童，其中</w:t>
      </w:r>
      <w:r>
        <w:rPr>
          <w:rFonts w:hint="eastAsia"/>
        </w:rPr>
        <w:t>439</w:t>
      </w:r>
      <w:r>
        <w:rPr>
          <w:rFonts w:hint="eastAsia"/>
        </w:rPr>
        <w:t>名儿童被收容安置在萨拉热窝、</w:t>
      </w:r>
      <w:r>
        <w:rPr>
          <w:lang w:val="en-GB"/>
        </w:rPr>
        <w:t>莫斯塔尔</w:t>
      </w:r>
      <w:r>
        <w:rPr>
          <w:rFonts w:hint="eastAsia"/>
          <w:lang w:val="en-GB"/>
        </w:rPr>
        <w:t>、</w:t>
      </w:r>
      <w:r>
        <w:rPr>
          <w:lang w:val="en-GB"/>
        </w:rPr>
        <w:t>图兹拉</w:t>
      </w:r>
      <w:r>
        <w:rPr>
          <w:rFonts w:hint="eastAsia"/>
          <w:lang w:val="en-GB"/>
        </w:rPr>
        <w:t>、</w:t>
      </w:r>
      <w:r>
        <w:rPr>
          <w:lang w:val="en-GB"/>
        </w:rPr>
        <w:t>泽尼察</w:t>
      </w:r>
      <w:r>
        <w:rPr>
          <w:lang w:val="en-GB"/>
        </w:rPr>
        <w:t xml:space="preserve"> </w:t>
      </w:r>
      <w:r>
        <w:rPr>
          <w:rFonts w:hint="eastAsia"/>
          <w:lang w:val="en-GB"/>
        </w:rPr>
        <w:t>和</w:t>
      </w:r>
      <w:r>
        <w:rPr>
          <w:lang w:val="en-GB"/>
        </w:rPr>
        <w:t>格拉达查茨</w:t>
      </w:r>
      <w:r>
        <w:rPr>
          <w:rFonts w:hint="eastAsia"/>
          <w:lang w:val="en-GB"/>
        </w:rPr>
        <w:t>六个由国家供资的养育院，另有</w:t>
      </w:r>
      <w:r>
        <w:rPr>
          <w:rFonts w:hint="eastAsia"/>
          <w:lang w:val="en-GB"/>
        </w:rPr>
        <w:t>458</w:t>
      </w:r>
      <w:r>
        <w:rPr>
          <w:rFonts w:hint="eastAsia"/>
          <w:lang w:val="en-GB"/>
        </w:rPr>
        <w:t>名儿童被收容安置在国内或国际非政府组织供资设立的在</w:t>
      </w:r>
      <w:r>
        <w:rPr>
          <w:lang w:val="en-GB"/>
        </w:rPr>
        <w:t>Međugorje</w:t>
      </w:r>
      <w:r>
        <w:rPr>
          <w:rFonts w:hint="eastAsia"/>
          <w:lang w:val="en-GB"/>
        </w:rPr>
        <w:t>、</w:t>
      </w:r>
      <w:r>
        <w:rPr>
          <w:lang w:val="en-GB"/>
        </w:rPr>
        <w:t>比哈奇</w:t>
      </w:r>
      <w:r>
        <w:rPr>
          <w:rFonts w:hint="eastAsia"/>
          <w:lang w:val="en-GB"/>
        </w:rPr>
        <w:t>、</w:t>
      </w:r>
      <w:r>
        <w:rPr>
          <w:lang w:val="en-GB"/>
        </w:rPr>
        <w:t>Kulen Fakuf</w:t>
      </w:r>
      <w:r>
        <w:rPr>
          <w:rFonts w:hint="eastAsia"/>
          <w:lang w:val="en-GB"/>
        </w:rPr>
        <w:t>、萨拉热窝和</w:t>
      </w:r>
      <w:r>
        <w:rPr>
          <w:lang w:val="en-GB"/>
        </w:rPr>
        <w:t xml:space="preserve"> Lukavac</w:t>
      </w:r>
      <w:r>
        <w:rPr>
          <w:rFonts w:hint="eastAsia"/>
          <w:lang w:val="en-GB"/>
        </w:rPr>
        <w:t>的收养院。这些收养院收容的每位儿童月开支是</w:t>
      </w:r>
      <w:r>
        <w:rPr>
          <w:rFonts w:hint="eastAsia"/>
          <w:lang w:val="en-GB"/>
        </w:rPr>
        <w:t>450-500</w:t>
      </w:r>
      <w:r>
        <w:rPr>
          <w:rFonts w:hint="eastAsia"/>
          <w:lang w:val="en-GB"/>
        </w:rPr>
        <w:t>可兑换马克。主管社会福利服务部门作为监护当局，决定这些收容院对儿童的收容安置。</w:t>
      </w:r>
    </w:p>
    <w:p w:rsidR="00000000" w:rsidRDefault="00000000">
      <w:pPr>
        <w:rPr>
          <w:rFonts w:hint="eastAsia"/>
          <w:lang w:val="en-GB"/>
        </w:rPr>
      </w:pPr>
      <w:r>
        <w:rPr>
          <w:rFonts w:hint="eastAsia"/>
          <w:lang w:val="en-GB"/>
        </w:rPr>
        <w:tab/>
        <w:t xml:space="preserve">288.  </w:t>
      </w:r>
      <w:r>
        <w:rPr>
          <w:rFonts w:hint="eastAsia"/>
          <w:lang w:val="en-GB"/>
        </w:rPr>
        <w:t>波斯尼亚和黑塞哥维那境内单亲儿童属尤其易受害的类别，这与战争相关。这类儿童总人数永远也无法完全确定，因为大批人离开波斯尼亚和黑塞哥维那在第三国寻求避难。根据各地方社会服务部门提供的不完全资料，</w:t>
      </w:r>
      <w:r>
        <w:rPr>
          <w:rFonts w:hint="eastAsia"/>
          <w:lang w:val="en-GB"/>
        </w:rPr>
        <w:t>1998</w:t>
      </w:r>
      <w:r>
        <w:rPr>
          <w:rFonts w:hint="eastAsia"/>
          <w:lang w:val="en-GB"/>
        </w:rPr>
        <w:t>年登记的单亲儿童数量为</w:t>
      </w:r>
      <w:r>
        <w:rPr>
          <w:rFonts w:hint="eastAsia"/>
          <w:lang w:val="en-GB"/>
        </w:rPr>
        <w:t>23,556</w:t>
      </w:r>
      <w:r>
        <w:rPr>
          <w:rFonts w:hint="eastAsia"/>
          <w:lang w:val="en-GB"/>
        </w:rPr>
        <w:t>人，其中</w:t>
      </w:r>
      <w:r>
        <w:rPr>
          <w:rFonts w:hint="eastAsia"/>
          <w:lang w:val="en-GB"/>
        </w:rPr>
        <w:t>19,805</w:t>
      </w:r>
      <w:r>
        <w:rPr>
          <w:rFonts w:hint="eastAsia"/>
          <w:lang w:val="en-GB"/>
        </w:rPr>
        <w:t>人无父亲，</w:t>
      </w:r>
      <w:r>
        <w:rPr>
          <w:rFonts w:hint="eastAsia"/>
          <w:lang w:val="en-GB"/>
        </w:rPr>
        <w:t>3,751</w:t>
      </w:r>
      <w:r>
        <w:rPr>
          <w:rFonts w:hint="eastAsia"/>
          <w:lang w:val="en-GB"/>
        </w:rPr>
        <w:t>人无母亲。根据某些指数，在波斯尼亚和黑塞哥维那联邦境内共有</w:t>
      </w:r>
      <w:r>
        <w:rPr>
          <w:rFonts w:hint="eastAsia"/>
          <w:lang w:val="en-GB"/>
        </w:rPr>
        <w:t>32,000</w:t>
      </w:r>
      <w:r>
        <w:rPr>
          <w:rFonts w:hint="eastAsia"/>
          <w:lang w:val="en-GB"/>
        </w:rPr>
        <w:t>名无父母的儿童。这毫无疑问是联邦境内最易受害的儿童群体之一，因为幸存的父母一方若丧失了工作能力，这些儿童就不是长期的社会福利受益者。在大部分情况下，这些确实是住房无着落和就业未得到解决的需要帮助的家庭。这些残缺不全的单亲家庭可获得社会福利系统的临时经济援助，援助幅度得看所涉州的财政能力。</w:t>
      </w:r>
    </w:p>
    <w:p w:rsidR="00000000" w:rsidRDefault="00000000">
      <w:pPr>
        <w:rPr>
          <w:rFonts w:hint="eastAsia"/>
          <w:lang w:val="en-GB"/>
        </w:rPr>
      </w:pPr>
      <w:r>
        <w:rPr>
          <w:rFonts w:hint="eastAsia"/>
          <w:lang w:val="en-GB"/>
        </w:rPr>
        <w:tab/>
        <w:t xml:space="preserve">289.  </w:t>
      </w:r>
      <w:r>
        <w:rPr>
          <w:rFonts w:hint="eastAsia"/>
          <w:lang w:val="en-GB"/>
        </w:rPr>
        <w:t>获得物质支助、因对他人的支助和照管而应得的好处、委托给某个社会照管机构或由别的家庭和社会服务部门收容安置的权利均为公众利益权利，这些均应由当地社区</w:t>
      </w:r>
      <w:r>
        <w:rPr>
          <w:rFonts w:hint="eastAsia"/>
          <w:lang w:val="en-GB"/>
        </w:rPr>
        <w:t>(</w:t>
      </w:r>
      <w:r>
        <w:rPr>
          <w:rFonts w:hint="eastAsia"/>
          <w:lang w:val="en-GB"/>
        </w:rPr>
        <w:t>市政、城市</w:t>
      </w:r>
      <w:r>
        <w:rPr>
          <w:rFonts w:hint="eastAsia"/>
          <w:lang w:val="en-GB"/>
        </w:rPr>
        <w:t>)</w:t>
      </w:r>
      <w:r>
        <w:rPr>
          <w:rFonts w:hint="eastAsia"/>
          <w:lang w:val="en-GB"/>
        </w:rPr>
        <w:t>负责提供。各实体和各州为那些心理和生理发育受到阻碍的儿童和青年的发展提供资金。各实体和各州还为社会照管机构的建造、改造、重新恢复和配备设备提供资金。</w:t>
      </w:r>
    </w:p>
    <w:p w:rsidR="00000000" w:rsidRDefault="00000000">
      <w:pPr>
        <w:rPr>
          <w:rFonts w:hint="eastAsia"/>
        </w:rPr>
      </w:pPr>
      <w:r>
        <w:rPr>
          <w:rFonts w:hint="eastAsia"/>
          <w:lang w:val="en-GB"/>
        </w:rPr>
        <w:tab/>
        <w:t xml:space="preserve">290.  </w:t>
      </w:r>
      <w:r>
        <w:rPr>
          <w:rFonts w:hint="eastAsia"/>
          <w:lang w:val="en-GB"/>
        </w:rPr>
        <w:t>两个实体的社会福利方案使用者约有</w:t>
      </w:r>
      <w:r>
        <w:rPr>
          <w:rFonts w:hint="eastAsia"/>
          <w:lang w:val="en-GB"/>
        </w:rPr>
        <w:t>26,000</w:t>
      </w:r>
      <w:r>
        <w:rPr>
          <w:rFonts w:hint="eastAsia"/>
          <w:lang w:val="en-GB"/>
        </w:rPr>
        <w:t>人，占人口</w:t>
      </w:r>
      <w:r>
        <w:rPr>
          <w:rFonts w:hint="eastAsia"/>
          <w:lang w:val="en-GB"/>
        </w:rPr>
        <w:t>7%</w:t>
      </w:r>
      <w:r>
        <w:rPr>
          <w:rFonts w:hint="eastAsia"/>
          <w:lang w:val="en-GB"/>
        </w:rPr>
        <w:t>。另外还有</w:t>
      </w:r>
      <w:r>
        <w:rPr>
          <w:rFonts w:hint="eastAsia"/>
          <w:lang w:val="en-GB"/>
        </w:rPr>
        <w:t>12,500</w:t>
      </w:r>
      <w:r>
        <w:rPr>
          <w:rFonts w:hint="eastAsia"/>
          <w:lang w:val="en-GB"/>
        </w:rPr>
        <w:t>名使用者登记申请儿童保护项目</w:t>
      </w:r>
      <w:r>
        <w:rPr>
          <w:rFonts w:hint="eastAsia"/>
          <w:lang w:val="en-GB"/>
        </w:rPr>
        <w:t>(</w:t>
      </w:r>
      <w:r>
        <w:rPr>
          <w:rFonts w:hint="eastAsia"/>
          <w:lang w:val="en-GB"/>
        </w:rPr>
        <w:t>在波斯尼亚和黑塞哥维那联邦境内占</w:t>
      </w:r>
      <w:r>
        <w:rPr>
          <w:rFonts w:hint="eastAsia"/>
          <w:lang w:val="en-GB"/>
        </w:rPr>
        <w:t>2%</w:t>
      </w:r>
      <w:r>
        <w:rPr>
          <w:rFonts w:hint="eastAsia"/>
          <w:lang w:val="en-GB"/>
        </w:rPr>
        <w:t>，</w:t>
      </w:r>
      <w:r>
        <w:rPr>
          <w:rFonts w:hint="eastAsia"/>
          <w:lang w:val="en-GB"/>
        </w:rPr>
        <w:t xml:space="preserve"> </w:t>
      </w:r>
      <w:r>
        <w:rPr>
          <w:rFonts w:hint="eastAsia"/>
        </w:rPr>
        <w:t>塞族共和国境内占</w:t>
      </w:r>
      <w:r>
        <w:rPr>
          <w:rFonts w:hint="eastAsia"/>
        </w:rPr>
        <w:t>6%)</w:t>
      </w:r>
      <w:r>
        <w:rPr>
          <w:rFonts w:hint="eastAsia"/>
        </w:rPr>
        <w:t>。上述两个实体境内属于受保护类的儿童如下：孤儿、被剥夺教育的儿童、因家庭环境成长遭阻挠的儿童、残疾儿童和生理和精神发育方面有困难的人、无法工作和没有任何物质供给的人、无家庭照管的老年人、行为举止得不到社会接受的人，和由于特殊的情况和生活条件，处于需社会援助境况的家庭</w:t>
      </w:r>
      <w:r>
        <w:rPr>
          <w:rFonts w:hint="eastAsia"/>
        </w:rPr>
        <w:t xml:space="preserve"> (</w:t>
      </w:r>
      <w:r>
        <w:rPr>
          <w:rFonts w:hint="eastAsia"/>
        </w:rPr>
        <w:t>世界银行第</w:t>
      </w:r>
      <w:r>
        <w:rPr>
          <w:rFonts w:hint="eastAsia"/>
        </w:rPr>
        <w:t>25343-</w:t>
      </w:r>
      <w:r>
        <w:t>Bi</w:t>
      </w:r>
      <w:r>
        <w:rPr>
          <w:rFonts w:hint="eastAsia"/>
        </w:rPr>
        <w:t>H</w:t>
      </w:r>
      <w:r>
        <w:rPr>
          <w:rFonts w:hint="eastAsia"/>
        </w:rPr>
        <w:t>报告，第</w:t>
      </w:r>
      <w:r>
        <w:rPr>
          <w:rFonts w:hint="eastAsia"/>
        </w:rPr>
        <w:t>127</w:t>
      </w:r>
      <w:r>
        <w:rPr>
          <w:rFonts w:hint="eastAsia"/>
        </w:rPr>
        <w:t>页</w:t>
      </w:r>
      <w:r>
        <w:rPr>
          <w:rFonts w:hint="eastAsia"/>
        </w:rPr>
        <w:t>)</w:t>
      </w:r>
      <w:r>
        <w:rPr>
          <w:rFonts w:hint="eastAsia"/>
        </w:rPr>
        <w:t>。</w:t>
      </w:r>
    </w:p>
    <w:p w:rsidR="00000000" w:rsidRDefault="00000000">
      <w:pPr>
        <w:rPr>
          <w:rFonts w:hint="eastAsia"/>
        </w:rPr>
      </w:pPr>
      <w:r>
        <w:rPr>
          <w:rFonts w:hint="eastAsia"/>
        </w:rPr>
        <w:tab/>
        <w:t xml:space="preserve">291.  </w:t>
      </w:r>
      <w:r>
        <w:rPr>
          <w:rFonts w:hint="eastAsia"/>
        </w:rPr>
        <w:t>如上所述，根据官方数据，截止</w:t>
      </w:r>
      <w:r>
        <w:rPr>
          <w:rFonts w:hint="eastAsia"/>
        </w:rPr>
        <w:t>2002</w:t>
      </w:r>
      <w:r>
        <w:rPr>
          <w:rFonts w:hint="eastAsia"/>
        </w:rPr>
        <w:t>年底，波斯尼亚和黑塞哥维那境内做工的人数为</w:t>
      </w:r>
      <w:r>
        <w:rPr>
          <w:rFonts w:hint="eastAsia"/>
        </w:rPr>
        <w:t>435,505,</w:t>
      </w:r>
      <w:r>
        <w:rPr>
          <w:rFonts w:hint="eastAsia"/>
        </w:rPr>
        <w:t>占人口</w:t>
      </w:r>
      <w:r>
        <w:rPr>
          <w:rFonts w:hint="eastAsia"/>
        </w:rPr>
        <w:t>41.1% (</w:t>
      </w:r>
      <w:r>
        <w:rPr>
          <w:rFonts w:hint="eastAsia"/>
        </w:rPr>
        <w:t>联邦境内</w:t>
      </w:r>
      <w:r>
        <w:rPr>
          <w:rFonts w:hint="eastAsia"/>
        </w:rPr>
        <w:t>290,715</w:t>
      </w:r>
      <w:r>
        <w:rPr>
          <w:rFonts w:hint="eastAsia"/>
        </w:rPr>
        <w:t>人，即</w:t>
      </w:r>
      <w:r>
        <w:rPr>
          <w:rFonts w:hint="eastAsia"/>
        </w:rPr>
        <w:t>42.7%</w:t>
      </w:r>
      <w:r>
        <w:rPr>
          <w:rFonts w:hint="eastAsia"/>
        </w:rPr>
        <w:t>和塞族共和国境内</w:t>
      </w:r>
      <w:r>
        <w:rPr>
          <w:rFonts w:hint="eastAsia"/>
        </w:rPr>
        <w:t>144,790</w:t>
      </w:r>
      <w:r>
        <w:rPr>
          <w:rFonts w:hint="eastAsia"/>
        </w:rPr>
        <w:t>人，即</w:t>
      </w:r>
      <w:r>
        <w:rPr>
          <w:rFonts w:hint="eastAsia"/>
        </w:rPr>
        <w:t>38.2%)</w:t>
      </w:r>
      <w:r>
        <w:rPr>
          <w:rFonts w:hint="eastAsia"/>
        </w:rPr>
        <w:t>。在失业人口总数中，妇女占</w:t>
      </w:r>
      <w:r>
        <w:rPr>
          <w:rFonts w:hint="eastAsia"/>
        </w:rPr>
        <w:t xml:space="preserve">46.3% </w:t>
      </w:r>
      <w:r>
        <w:rPr>
          <w:rFonts w:hint="eastAsia"/>
        </w:rPr>
        <w:t>，由世界银行专家小组与国内专家合作，根据生活标准汇总数据撰写的《贫困评估报告》表明，波斯尼亚和黑塞哥维那境内初期阶段的一般贫困线相当于人均年收入</w:t>
      </w:r>
      <w:r>
        <w:rPr>
          <w:rFonts w:hint="eastAsia"/>
        </w:rPr>
        <w:t>760</w:t>
      </w:r>
      <w:r>
        <w:rPr>
          <w:rFonts w:hint="eastAsia"/>
        </w:rPr>
        <w:t>可兑换马克</w:t>
      </w:r>
      <w:r>
        <w:rPr>
          <w:rFonts w:hint="eastAsia"/>
        </w:rPr>
        <w:t>(</w:t>
      </w:r>
      <w:r>
        <w:rPr>
          <w:rFonts w:hint="eastAsia"/>
        </w:rPr>
        <w:t>最低营养需求，即极端贫困线</w:t>
      </w:r>
      <w:r>
        <w:rPr>
          <w:rFonts w:hint="eastAsia"/>
        </w:rPr>
        <w:t>)</w:t>
      </w:r>
      <w:r>
        <w:rPr>
          <w:rFonts w:hint="eastAsia"/>
        </w:rPr>
        <w:t>。波斯尼亚和黑塞哥维那境内仅购买食物所需开支估算额占贫困线数额</w:t>
      </w:r>
      <w:r>
        <w:rPr>
          <w:rFonts w:hint="eastAsia"/>
        </w:rPr>
        <w:t>34%</w:t>
      </w:r>
      <w:r>
        <w:rPr>
          <w:rFonts w:hint="eastAsia"/>
        </w:rPr>
        <w:t>的事实表明，食物开支占基本需求的较大幅度。</w:t>
      </w:r>
    </w:p>
    <w:p w:rsidR="00000000" w:rsidRDefault="00000000">
      <w:pPr>
        <w:rPr>
          <w:rFonts w:hint="eastAsia"/>
        </w:rPr>
      </w:pPr>
      <w:r>
        <w:rPr>
          <w:rFonts w:hint="eastAsia"/>
        </w:rPr>
        <w:tab/>
        <w:t xml:space="preserve">292.  </w:t>
      </w:r>
      <w:r>
        <w:rPr>
          <w:rFonts w:hint="eastAsia"/>
        </w:rPr>
        <w:t>对年度人均开支比例现有统计数据进行的分析显示，在波斯尼亚和黑塞哥维那境内并不存在着任何一个生活水平接近于或低于极端贫困线的群体。波斯尼亚和黑塞哥维那境内人口约</w:t>
      </w:r>
      <w:r>
        <w:rPr>
          <w:rFonts w:hint="eastAsia"/>
        </w:rPr>
        <w:t>19%</w:t>
      </w:r>
      <w:r>
        <w:rPr>
          <w:rFonts w:hint="eastAsia"/>
        </w:rPr>
        <w:t>生活水平低于一般贫困线</w:t>
      </w:r>
      <w:r>
        <w:rPr>
          <w:rFonts w:hint="eastAsia"/>
        </w:rPr>
        <w:t>(</w:t>
      </w:r>
      <w:r>
        <w:rPr>
          <w:rFonts w:hint="eastAsia"/>
        </w:rPr>
        <w:t>在塞族共和国约</w:t>
      </w:r>
      <w:r>
        <w:rPr>
          <w:rFonts w:hint="eastAsia"/>
        </w:rPr>
        <w:t>25%</w:t>
      </w:r>
      <w:r>
        <w:rPr>
          <w:rFonts w:hint="eastAsia"/>
        </w:rPr>
        <w:t>，而在波斯尼亚和黑塞哥维那联邦为</w:t>
      </w:r>
      <w:r>
        <w:rPr>
          <w:rFonts w:hint="eastAsia"/>
        </w:rPr>
        <w:t>16%)</w:t>
      </w:r>
      <w:r>
        <w:rPr>
          <w:rFonts w:hint="eastAsia"/>
        </w:rPr>
        <w:t>。测试和分析表明，波斯尼亚和黑塞哥维那人口中有</w:t>
      </w:r>
      <w:r>
        <w:rPr>
          <w:rFonts w:hint="eastAsia"/>
        </w:rPr>
        <w:t xml:space="preserve">30% </w:t>
      </w:r>
      <w:r>
        <w:rPr>
          <w:rFonts w:hint="eastAsia"/>
        </w:rPr>
        <w:t>以上刚好处于如此界定的一般贫困线之上</w:t>
      </w:r>
      <w:r>
        <w:rPr>
          <w:rFonts w:hint="eastAsia"/>
        </w:rPr>
        <w:t>(</w:t>
      </w:r>
      <w:r>
        <w:rPr>
          <w:rFonts w:hint="eastAsia"/>
        </w:rPr>
        <w:t>年均开支</w:t>
      </w:r>
      <w:r>
        <w:rPr>
          <w:rFonts w:hint="eastAsia"/>
        </w:rPr>
        <w:t>3,297</w:t>
      </w:r>
      <w:r>
        <w:rPr>
          <w:rFonts w:hint="eastAsia"/>
        </w:rPr>
        <w:t>可兑换马克，即刚好比一般贫困线数额高出</w:t>
      </w:r>
      <w:r>
        <w:rPr>
          <w:rFonts w:hint="eastAsia"/>
        </w:rPr>
        <w:t>50%</w:t>
      </w:r>
      <w:r>
        <w:rPr>
          <w:rFonts w:hint="eastAsia"/>
        </w:rPr>
        <w:t>的范围</w:t>
      </w:r>
      <w:r>
        <w:rPr>
          <w:rFonts w:hint="eastAsia"/>
        </w:rPr>
        <w:t>)</w:t>
      </w:r>
      <w:r>
        <w:rPr>
          <w:rFonts w:hint="eastAsia"/>
        </w:rPr>
        <w:t>。这些群体面临着一旦遭到可能的经济冲击即会将他们推向低于一般贫困线之下的极高风险</w:t>
      </w:r>
      <w:r>
        <w:rPr>
          <w:rFonts w:hint="eastAsia"/>
        </w:rPr>
        <w:t xml:space="preserve"> (</w:t>
      </w:r>
      <w:r>
        <w:rPr>
          <w:rFonts w:hint="eastAsia"/>
        </w:rPr>
        <w:t>世界银行第</w:t>
      </w:r>
      <w:r>
        <w:rPr>
          <w:rFonts w:hint="eastAsia"/>
        </w:rPr>
        <w:t>25343</w:t>
      </w:r>
      <w:r>
        <w:rPr>
          <w:rFonts w:hint="eastAsia"/>
        </w:rPr>
        <w:t>号报告，第二卷，第</w:t>
      </w:r>
      <w:r>
        <w:rPr>
          <w:rFonts w:hint="eastAsia"/>
        </w:rPr>
        <w:t>46</w:t>
      </w:r>
      <w:r>
        <w:rPr>
          <w:rFonts w:hint="eastAsia"/>
        </w:rPr>
        <w:t>页</w:t>
      </w:r>
      <w:r>
        <w:rPr>
          <w:rFonts w:hint="eastAsia"/>
        </w:rPr>
        <w:t>)</w:t>
      </w:r>
      <w:r>
        <w:rPr>
          <w:rFonts w:hint="eastAsia"/>
        </w:rPr>
        <w:t>。</w:t>
      </w:r>
    </w:p>
    <w:p w:rsidR="00000000" w:rsidRDefault="00000000">
      <w:pPr>
        <w:rPr>
          <w:rFonts w:hint="eastAsia"/>
        </w:rPr>
      </w:pPr>
      <w:r>
        <w:rPr>
          <w:rFonts w:hint="eastAsia"/>
        </w:rPr>
        <w:tab/>
        <w:t xml:space="preserve">293.  </w:t>
      </w:r>
      <w:r>
        <w:rPr>
          <w:rFonts w:hint="eastAsia"/>
        </w:rPr>
        <w:t>然而，人们应注意到，波斯尼亚和黑塞哥维那境内的贫困状况比任何一个前南斯拉夫国家</w:t>
      </w:r>
      <w:r>
        <w:rPr>
          <w:rFonts w:hint="eastAsia"/>
        </w:rPr>
        <w:t>(</w:t>
      </w:r>
      <w:r>
        <w:rPr>
          <w:rFonts w:hint="eastAsia"/>
        </w:rPr>
        <w:t>只是在科索沃境内更普遍</w:t>
      </w:r>
      <w:r>
        <w:rPr>
          <w:rFonts w:hint="eastAsia"/>
        </w:rPr>
        <w:t>)</w:t>
      </w:r>
      <w:r>
        <w:rPr>
          <w:rFonts w:hint="eastAsia"/>
        </w:rPr>
        <w:t>更为普遍。大约有</w:t>
      </w:r>
      <w:r>
        <w:rPr>
          <w:rFonts w:hint="eastAsia"/>
        </w:rPr>
        <w:t>20%</w:t>
      </w:r>
      <w:r>
        <w:rPr>
          <w:rFonts w:hint="eastAsia"/>
        </w:rPr>
        <w:t>的贫困者在所有</w:t>
      </w:r>
      <w:r>
        <w:rPr>
          <w:rFonts w:hint="eastAsia"/>
        </w:rPr>
        <w:t>(</w:t>
      </w:r>
      <w:r>
        <w:rPr>
          <w:rFonts w:hint="eastAsia"/>
        </w:rPr>
        <w:t>或几乎所有</w:t>
      </w:r>
      <w:r>
        <w:rPr>
          <w:rFonts w:hint="eastAsia"/>
        </w:rPr>
        <w:t>)</w:t>
      </w:r>
      <w:r>
        <w:rPr>
          <w:rFonts w:hint="eastAsia"/>
        </w:rPr>
        <w:t>的生活关键领域：从住房、卫生设施条件和享有保健机构服务、识字率和社会融合等方面都处于极端匮乏的境地。同时，目前人口中相对较低的贫困率是由于开支大幅度地超过当前生产水平的情况造成的。这些开支迄今为止都是由国际支持提供的资助，不可能为今后的前景。这就是为何波斯尼亚和黑塞哥维那政府必须寻找出可防止贫困率骤然增长的各种方式和手段。</w:t>
      </w:r>
    </w:p>
    <w:p w:rsidR="00000000" w:rsidRDefault="00000000">
      <w:pPr>
        <w:rPr>
          <w:rFonts w:hint="eastAsia"/>
        </w:rPr>
      </w:pPr>
      <w:r>
        <w:rPr>
          <w:rFonts w:hint="eastAsia"/>
        </w:rPr>
        <w:tab/>
        <w:t xml:space="preserve">294.  </w:t>
      </w:r>
      <w:r>
        <w:rPr>
          <w:rFonts w:hint="eastAsia"/>
        </w:rPr>
        <w:t>必须着重指出，波斯尼亚和黑塞哥维那境内的贫困状况极为普遍，这些贫困者是各不同类型的群体，这就意味着即使极典型的家庭也有陷入贫困的明显风险。</w:t>
      </w:r>
    </w:p>
    <w:p w:rsidR="00000000" w:rsidRDefault="00000000">
      <w:pPr>
        <w:spacing w:after="240"/>
        <w:rPr>
          <w:rFonts w:hint="eastAsia"/>
        </w:rPr>
      </w:pPr>
      <w:r>
        <w:rPr>
          <w:rFonts w:hint="eastAsia"/>
        </w:rPr>
        <w:tab/>
        <w:t xml:space="preserve">295.  </w:t>
      </w:r>
      <w:r>
        <w:rPr>
          <w:rFonts w:hint="eastAsia"/>
        </w:rPr>
        <w:t>往往生活在贫困线以下的群体大部分是儿童、文化水平低的人、老年人和乡村人口。对总体人口的分析表明，最具风险的类别如下：儿童，尤其是五岁以下儿童；流离失所者；返回者；失业者和文化水平低的人。一个令人瞩目的结论是，贫困并不主要是失业者、流离失所的残疾人和死亡老战士的家属问题，因为这类人员在贫困者中不到</w:t>
      </w:r>
      <w:r>
        <w:rPr>
          <w:rFonts w:hint="eastAsia"/>
        </w:rPr>
        <w:t>50%</w:t>
      </w:r>
      <w:r>
        <w:rPr>
          <w:rFonts w:hint="eastAsia"/>
        </w:rPr>
        <w:t>，而大部分贫困者是有孩子的家庭，由于收入低，因此一份工资不足于使整个家庭维持在贫困线以上。</w:t>
      </w:r>
    </w:p>
    <w:p w:rsidR="00000000" w:rsidRDefault="00000000">
      <w:pPr>
        <w:pStyle w:val="Heading4"/>
        <w:rPr>
          <w:rFonts w:hint="eastAsia"/>
        </w:rPr>
      </w:pPr>
      <w:r>
        <w:rPr>
          <w:rFonts w:hint="eastAsia"/>
        </w:rPr>
        <w:t>保护儿童、老年人和残疾者免遭剥削</w:t>
      </w:r>
    </w:p>
    <w:p w:rsidR="00000000" w:rsidRDefault="00000000">
      <w:pPr>
        <w:rPr>
          <w:rFonts w:hint="eastAsia"/>
        </w:rPr>
      </w:pPr>
      <w:r>
        <w:rPr>
          <w:rFonts w:hint="eastAsia"/>
        </w:rPr>
        <w:tab/>
        <w:t xml:space="preserve">296.  </w:t>
      </w:r>
      <w:r>
        <w:rPr>
          <w:rFonts w:hint="eastAsia"/>
        </w:rPr>
        <w:t>根据</w:t>
      </w:r>
      <w:r>
        <w:rPr>
          <w:rFonts w:hint="eastAsia"/>
        </w:rPr>
        <w:t>2000</w:t>
      </w:r>
      <w:r>
        <w:rPr>
          <w:rFonts w:hint="eastAsia"/>
        </w:rPr>
        <w:t>年进行的调查，</w:t>
      </w:r>
      <w:r>
        <w:rPr>
          <w:rFonts w:hint="eastAsia"/>
        </w:rPr>
        <w:t>5-14</w:t>
      </w:r>
      <w:r>
        <w:rPr>
          <w:rFonts w:hint="eastAsia"/>
        </w:rPr>
        <w:t>岁的儿童有</w:t>
      </w:r>
      <w:r>
        <w:rPr>
          <w:rFonts w:hint="eastAsia"/>
        </w:rPr>
        <w:t>1%</w:t>
      </w:r>
      <w:r>
        <w:rPr>
          <w:rFonts w:hint="eastAsia"/>
        </w:rPr>
        <w:t>从事领取报酬的工作。比这个百分比多六倍以上的儿童为非家庭成员的其他人从事不领取报酬的工作，</w:t>
      </w:r>
      <w:r>
        <w:rPr>
          <w:rFonts w:hint="eastAsia"/>
        </w:rPr>
        <w:t>15%</w:t>
      </w:r>
      <w:r>
        <w:rPr>
          <w:rFonts w:hint="eastAsia"/>
        </w:rPr>
        <w:t>的儿童在农场或者在家庭中从事同样的农业工作。为非家庭成员的其他人从事领取或不领取报酬工作的儿童，或者每天干</w:t>
      </w:r>
      <w:r>
        <w:rPr>
          <w:rFonts w:hint="eastAsia"/>
        </w:rPr>
        <w:t>4</w:t>
      </w:r>
      <w:r>
        <w:rPr>
          <w:rFonts w:hint="eastAsia"/>
        </w:rPr>
        <w:t>个小时以上家务的儿童，都被视为“临时工”</w:t>
      </w:r>
      <w:r>
        <w:rPr>
          <w:rFonts w:hint="eastAsia"/>
        </w:rPr>
        <w:t xml:space="preserve"> </w:t>
      </w:r>
      <w:r>
        <w:rPr>
          <w:rFonts w:hint="eastAsia"/>
        </w:rPr>
        <w:t>。据认为，波斯尼亚和黑塞哥维那有</w:t>
      </w:r>
      <w:r>
        <w:rPr>
          <w:rFonts w:hint="eastAsia"/>
        </w:rPr>
        <w:t>18%</w:t>
      </w:r>
      <w:r>
        <w:rPr>
          <w:rFonts w:hint="eastAsia"/>
        </w:rPr>
        <w:t>儿童充当临时工，其中</w:t>
      </w:r>
      <w:r>
        <w:rPr>
          <w:rFonts w:hint="eastAsia"/>
        </w:rPr>
        <w:t>20%</w:t>
      </w:r>
      <w:r>
        <w:rPr>
          <w:rFonts w:hint="eastAsia"/>
        </w:rPr>
        <w:t>为男孩，</w:t>
      </w:r>
      <w:r>
        <w:rPr>
          <w:rFonts w:hint="eastAsia"/>
        </w:rPr>
        <w:t>16%</w:t>
      </w:r>
      <w:r>
        <w:rPr>
          <w:rFonts w:hint="eastAsia"/>
        </w:rPr>
        <w:t>为女孩。</w:t>
      </w:r>
    </w:p>
    <w:p w:rsidR="00000000" w:rsidRDefault="00000000">
      <w:pPr>
        <w:rPr>
          <w:rFonts w:hint="eastAsia"/>
        </w:rPr>
      </w:pPr>
      <w:r>
        <w:rPr>
          <w:rFonts w:hint="eastAsia"/>
        </w:rPr>
        <w:tab/>
        <w:t xml:space="preserve">297.  </w:t>
      </w:r>
      <w:r>
        <w:rPr>
          <w:rFonts w:hint="eastAsia"/>
        </w:rPr>
        <w:t>塞族共和国的情况要困难得多，一位受保工人养活一位养恤金领取者，因此相对比率是</w:t>
      </w:r>
      <w:r>
        <w:rPr>
          <w:rFonts w:hint="eastAsia"/>
        </w:rPr>
        <w:t>1.08</w:t>
      </w:r>
      <w:r>
        <w:rPr>
          <w:rFonts w:hint="eastAsia"/>
        </w:rPr>
        <w:t>：</w:t>
      </w:r>
      <w:r>
        <w:rPr>
          <w:rFonts w:hint="eastAsia"/>
        </w:rPr>
        <w:t>1,</w:t>
      </w:r>
      <w:r>
        <w:rPr>
          <w:rFonts w:hint="eastAsia"/>
        </w:rPr>
        <w:t>正因为如此，即使极高的缴纳金和预算转拨款，亦无法支付占人均收入</w:t>
      </w:r>
      <w:r>
        <w:rPr>
          <w:rFonts w:hint="eastAsia"/>
        </w:rPr>
        <w:t>30%</w:t>
      </w:r>
      <w:r>
        <w:rPr>
          <w:rFonts w:hint="eastAsia"/>
        </w:rPr>
        <w:t>的养恤金。塞族共和国的养恤金幅度是联邦养恤金</w:t>
      </w:r>
      <w:r>
        <w:rPr>
          <w:rFonts w:hint="eastAsia"/>
        </w:rPr>
        <w:t>(12</w:t>
      </w:r>
      <w:r>
        <w:rPr>
          <w:rFonts w:hint="eastAsia"/>
        </w:rPr>
        <w:t>月份的平均养恤金为</w:t>
      </w:r>
      <w:r>
        <w:rPr>
          <w:rFonts w:hint="eastAsia"/>
        </w:rPr>
        <w:t>120.18</w:t>
      </w:r>
      <w:r>
        <w:rPr>
          <w:rFonts w:hint="eastAsia"/>
        </w:rPr>
        <w:t>可兑换马克，即占平均工资</w:t>
      </w:r>
      <w:r>
        <w:rPr>
          <w:rFonts w:hint="eastAsia"/>
        </w:rPr>
        <w:t>34%)</w:t>
      </w:r>
      <w:r>
        <w:rPr>
          <w:rFonts w:hint="eastAsia"/>
        </w:rPr>
        <w:t>的一半。</w:t>
      </w:r>
    </w:p>
    <w:p w:rsidR="00000000" w:rsidRDefault="00000000">
      <w:pPr>
        <w:rPr>
          <w:rFonts w:hint="eastAsia"/>
        </w:rPr>
      </w:pPr>
      <w:r>
        <w:rPr>
          <w:rFonts w:hint="eastAsia"/>
        </w:rPr>
        <w:tab/>
        <w:t xml:space="preserve">298.  </w:t>
      </w:r>
      <w:r>
        <w:rPr>
          <w:rFonts w:hint="eastAsia"/>
        </w:rPr>
        <w:t>岁入与开支之间显著的差别是运作养恤金保险出现问题的主要根源，随着养恤金的数额下降和延迟支付，加剧了养恤金领取者跌入贫困类的风险。</w:t>
      </w:r>
    </w:p>
    <w:p w:rsidR="00000000" w:rsidRDefault="00000000">
      <w:pPr>
        <w:rPr>
          <w:rFonts w:hint="eastAsia"/>
        </w:rPr>
      </w:pPr>
      <w:r>
        <w:rPr>
          <w:rFonts w:hint="eastAsia"/>
        </w:rPr>
        <w:tab/>
        <w:t xml:space="preserve">299.  </w:t>
      </w:r>
      <w:r>
        <w:rPr>
          <w:rFonts w:hint="eastAsia"/>
        </w:rPr>
        <w:t>从总体上看，由于人口增长率下跌、预期寿命延长和青年人移居海外，波斯尼亚和黑塞哥维那人口正在迅速老化。估计数字表明，波斯尼亚和黑塞哥维那</w:t>
      </w:r>
      <w:r>
        <w:rPr>
          <w:rFonts w:hint="eastAsia"/>
        </w:rPr>
        <w:t>12%</w:t>
      </w:r>
      <w:r>
        <w:rPr>
          <w:rFonts w:hint="eastAsia"/>
        </w:rPr>
        <w:t>人口已经超过</w:t>
      </w:r>
      <w:r>
        <w:rPr>
          <w:rFonts w:hint="eastAsia"/>
        </w:rPr>
        <w:t>65</w:t>
      </w:r>
      <w:r>
        <w:rPr>
          <w:rFonts w:hint="eastAsia"/>
        </w:rPr>
        <w:t>岁，而塞族共和国境内这一年龄组人数所占比率在</w:t>
      </w:r>
      <w:r>
        <w:rPr>
          <w:rFonts w:hint="eastAsia"/>
        </w:rPr>
        <w:t>15%</w:t>
      </w:r>
      <w:r>
        <w:rPr>
          <w:rFonts w:hint="eastAsia"/>
        </w:rPr>
        <w:t>以上。相当大数量的老年人孤独生活，尤其是预期寿命较长的老年女性，占老年人口</w:t>
      </w:r>
      <w:r>
        <w:rPr>
          <w:rFonts w:hint="eastAsia"/>
        </w:rPr>
        <w:t>58%</w:t>
      </w:r>
      <w:r>
        <w:rPr>
          <w:rFonts w:hint="eastAsia"/>
        </w:rPr>
        <w:t>。</w:t>
      </w:r>
    </w:p>
    <w:p w:rsidR="00000000" w:rsidRDefault="00000000">
      <w:pPr>
        <w:rPr>
          <w:rFonts w:hint="eastAsia"/>
        </w:rPr>
      </w:pPr>
      <w:r>
        <w:rPr>
          <w:rFonts w:hint="eastAsia"/>
        </w:rPr>
        <w:tab/>
        <w:t xml:space="preserve">300.  </w:t>
      </w:r>
      <w:r>
        <w:rPr>
          <w:rFonts w:hint="eastAsia"/>
        </w:rPr>
        <w:t>尽管波斯尼亚和黑塞哥维那全国各地都有贫困者，但各地区的贫困率不同，而塞族共和国境内贫困差异则尤为突出。只有</w:t>
      </w:r>
      <w:r>
        <w:rPr>
          <w:rFonts w:hint="eastAsia"/>
        </w:rPr>
        <w:t>20%</w:t>
      </w:r>
      <w:r>
        <w:rPr>
          <w:rFonts w:hint="eastAsia"/>
        </w:rPr>
        <w:t>的贫困人口居住在城镇环境中。贫困在乡村地区更为普遍，通常在战争期间蒙受的痛苦也最深。塞族共和国境内乡村地区陷入贫困的风险比城镇地区高得多；其比例是</w:t>
      </w:r>
      <w:r>
        <w:rPr>
          <w:rFonts w:hint="eastAsia"/>
        </w:rPr>
        <w:t>27</w:t>
      </w:r>
      <w:r>
        <w:t>：</w:t>
      </w:r>
      <w:r>
        <w:t>12%</w:t>
      </w:r>
      <w:r>
        <w:t>。</w:t>
      </w:r>
      <w:r>
        <w:rPr>
          <w:rFonts w:hint="eastAsia"/>
        </w:rPr>
        <w:t>在波斯尼亚和黑塞哥维那联邦，乡村与城镇的比率是</w:t>
      </w:r>
      <w:r>
        <w:rPr>
          <w:rFonts w:hint="eastAsia"/>
        </w:rPr>
        <w:t>16</w:t>
      </w:r>
      <w:r>
        <w:t>：</w:t>
      </w:r>
      <w:r>
        <w:rPr>
          <w:rFonts w:hint="eastAsia"/>
        </w:rPr>
        <w:t>15%</w:t>
      </w:r>
      <w:r>
        <w:rPr>
          <w:rFonts w:hint="eastAsia"/>
        </w:rPr>
        <w:t>。在乡村地区，实际影响家庭生活标准的所有各方面情况都更糟糕。缺乏统一的乡村发展计划阻遏了对农业的投资，而乡村地区其他各类职业的就业可能性极低。所有这一切都阻止了流离失所者离开他们在城镇内的临时居住地，从而对已经极为有限的工作机会造成了额外的压力，并增加了提供教育、保健和社会服务的困难。</w:t>
      </w:r>
    </w:p>
    <w:p w:rsidR="00000000" w:rsidRDefault="00000000">
      <w:pPr>
        <w:rPr>
          <w:rFonts w:hint="eastAsia"/>
        </w:rPr>
      </w:pPr>
      <w:r>
        <w:rPr>
          <w:rFonts w:hint="eastAsia"/>
        </w:rPr>
        <w:tab/>
        <w:t xml:space="preserve">301.  </w:t>
      </w:r>
      <w:r>
        <w:rPr>
          <w:rFonts w:hint="eastAsia"/>
        </w:rPr>
        <w:t>整个波斯尼亚和黑塞哥维那的少数群体在物质上处于极为不利的境地。与多数民族人口的数据相比较，塞族共和国某些地区少数民族人口</w:t>
      </w:r>
      <w:r>
        <w:rPr>
          <w:rFonts w:hint="eastAsia"/>
        </w:rPr>
        <w:t>50%</w:t>
      </w:r>
      <w:r>
        <w:rPr>
          <w:rFonts w:hint="eastAsia"/>
        </w:rPr>
        <w:t>以上是贫困者，而在联邦某些以克罗地亚族为多数民族的地区，</w:t>
      </w:r>
      <w:r>
        <w:rPr>
          <w:rFonts w:hint="eastAsia"/>
        </w:rPr>
        <w:t>15.6%</w:t>
      </w:r>
      <w:r>
        <w:rPr>
          <w:rFonts w:hint="eastAsia"/>
        </w:rPr>
        <w:t>少数民族家庭属于贫困类。在波斯尼亚族属于多数民族的地区，约有</w:t>
      </w:r>
      <w:r>
        <w:rPr>
          <w:rFonts w:hint="eastAsia"/>
        </w:rPr>
        <w:t>25%</w:t>
      </w:r>
      <w:r>
        <w:rPr>
          <w:rFonts w:hint="eastAsia"/>
        </w:rPr>
        <w:t>少数民族家庭属于贫困类。</w:t>
      </w:r>
    </w:p>
    <w:p w:rsidR="00000000" w:rsidRDefault="00000000">
      <w:pPr>
        <w:rPr>
          <w:rFonts w:hint="eastAsia"/>
        </w:rPr>
      </w:pPr>
      <w:r>
        <w:rPr>
          <w:rFonts w:hint="eastAsia"/>
        </w:rPr>
        <w:tab/>
        <w:t xml:space="preserve">302.  </w:t>
      </w:r>
      <w:r>
        <w:rPr>
          <w:rFonts w:hint="eastAsia"/>
        </w:rPr>
        <w:t>在波斯尼亚和黑塞哥维那有一个几乎完全被忽略的少数民族人口是罗姆人口。虽然无法确定波斯尼亚和黑塞哥维那境内罗姆人的确切数字</w:t>
      </w:r>
      <w:r>
        <w:rPr>
          <w:rFonts w:hint="eastAsia"/>
        </w:rPr>
        <w:t>(</w:t>
      </w:r>
      <w:r>
        <w:rPr>
          <w:rFonts w:hint="eastAsia"/>
        </w:rPr>
        <w:t>一些罗姆人社团的估计从</w:t>
      </w:r>
      <w:r>
        <w:rPr>
          <w:rFonts w:hint="eastAsia"/>
        </w:rPr>
        <w:t>17,000</w:t>
      </w:r>
      <w:r>
        <w:rPr>
          <w:rFonts w:hint="eastAsia"/>
        </w:rPr>
        <w:t>人至将近</w:t>
      </w:r>
      <w:r>
        <w:rPr>
          <w:rFonts w:hint="eastAsia"/>
        </w:rPr>
        <w:t>80,000</w:t>
      </w:r>
      <w:r>
        <w:rPr>
          <w:rFonts w:hint="eastAsia"/>
        </w:rPr>
        <w:t>人不等</w:t>
      </w:r>
      <w:r>
        <w:rPr>
          <w:rFonts w:hint="eastAsia"/>
        </w:rPr>
        <w:t>)</w:t>
      </w:r>
      <w:r>
        <w:rPr>
          <w:rFonts w:hint="eastAsia"/>
        </w:rPr>
        <w:t>，但在少数民族中罗姆人占主体这是肯定无疑的。难以确定罗姆人的确切数字，是因为虽有许多罗姆人已经融入了多数人的社区，但仍有许多罗姆人过着漂流生活。难以确定罗姆人数字的困难原因之一是，其中许多罗姆人自称他们属于其他多数人人口的民族，以求改善多少并不令人羡慕的社会地位。</w:t>
      </w:r>
    </w:p>
    <w:p w:rsidR="00000000" w:rsidRDefault="00000000">
      <w:pPr>
        <w:rPr>
          <w:rFonts w:hint="eastAsia"/>
        </w:rPr>
      </w:pPr>
      <w:r>
        <w:rPr>
          <w:rFonts w:hint="eastAsia"/>
        </w:rPr>
        <w:tab/>
        <w:t xml:space="preserve">303.  </w:t>
      </w:r>
      <w:r>
        <w:rPr>
          <w:rFonts w:hint="eastAsia"/>
        </w:rPr>
        <w:t>虽然没有对罗姆人口贫困情况作出确切的分析，但现有资料表明，罗姆人属于最为赤贫的群体之一，往往生活在最低生活水准之下，经常无钱养家或送孩子上学。罗姆人是迄今为止受教育水准最低的群体，几乎处于百分之百的失业率状态；其中</w:t>
      </w:r>
      <w:r>
        <w:rPr>
          <w:rFonts w:hint="eastAsia"/>
        </w:rPr>
        <w:t>90%</w:t>
      </w:r>
      <w:r>
        <w:rPr>
          <w:rFonts w:hint="eastAsia"/>
        </w:rPr>
        <w:t>以上的人没有健康保险。由于他们在任何一处都是少数民族，他们往往面临着被视为回归者遭歧视，遭排斥，被剥夺了许多合法权利，包括享受社会福利的权利，因为罗姆人对社会福利体制一无所知。</w:t>
      </w:r>
    </w:p>
    <w:p w:rsidR="00000000" w:rsidRDefault="00000000">
      <w:pPr>
        <w:rPr>
          <w:rFonts w:hint="eastAsia"/>
        </w:rPr>
      </w:pPr>
      <w:r>
        <w:rPr>
          <w:rFonts w:hint="eastAsia"/>
        </w:rPr>
        <w:tab/>
        <w:t xml:space="preserve">304.  </w:t>
      </w:r>
      <w:r>
        <w:rPr>
          <w:rFonts w:hint="eastAsia"/>
        </w:rPr>
        <w:t>在为减少罗姆人的贫困确定优先事项并制定出减贫方案时所面临的一个巨大问题是，官方统计数据对罗姆人情况的涵盖范围。大批罗姆人仍过着类似游牧民的生活，因此他们的子女以及许多成人都没有个人身份证，甚至都没有出生证。社会上遭到排斥和缺乏教育的状况，致使政府难以推行通常的社会福利方案，这就必需制定经特别调整适用的方案。为了以减贫方案协助罗姆人口，我们应汲取非政府组织、国际机构和国内各机构的经验。</w:t>
      </w:r>
    </w:p>
    <w:p w:rsidR="00000000" w:rsidRDefault="00000000">
      <w:pPr>
        <w:rPr>
          <w:rFonts w:hint="eastAsia"/>
        </w:rPr>
      </w:pPr>
      <w:r>
        <w:rPr>
          <w:rFonts w:hint="eastAsia"/>
        </w:rPr>
        <w:tab/>
        <w:t xml:space="preserve">305.  </w:t>
      </w:r>
      <w:r>
        <w:rPr>
          <w:rFonts w:hint="eastAsia"/>
        </w:rPr>
        <w:t>根据以上所述，可以确认出波斯尼亚和黑塞哥维那境内各家庭和人口陷入极端贫困的大多数根源。各种贫困因素</w:t>
      </w:r>
      <w:r>
        <w:rPr>
          <w:rFonts w:hint="eastAsia"/>
        </w:rPr>
        <w:t>(</w:t>
      </w:r>
      <w:r>
        <w:rPr>
          <w:rFonts w:hint="eastAsia"/>
        </w:rPr>
        <w:t>战争、转型期、战后的政治和社会分裂</w:t>
      </w:r>
      <w:r>
        <w:rPr>
          <w:rFonts w:hint="eastAsia"/>
        </w:rPr>
        <w:t>)</w:t>
      </w:r>
      <w:r>
        <w:rPr>
          <w:rFonts w:hint="eastAsia"/>
        </w:rPr>
        <w:t>对各不同类组产生了间接或直接、个体或综合性的不同影响。</w:t>
      </w:r>
    </w:p>
    <w:p w:rsidR="00000000" w:rsidRDefault="00000000">
      <w:pPr>
        <w:spacing w:after="320"/>
        <w:rPr>
          <w:rFonts w:hint="eastAsia"/>
        </w:rPr>
      </w:pPr>
      <w:r>
        <w:rPr>
          <w:rFonts w:hint="eastAsia"/>
        </w:rPr>
        <w:tab/>
        <w:t xml:space="preserve">306.  </w:t>
      </w:r>
      <w:r>
        <w:rPr>
          <w:rFonts w:hint="eastAsia"/>
        </w:rPr>
        <w:t>出于人道主义和经济原因，波斯尼亚和黑塞哥维那必须解决贫困问题，因为贫困问题如此广泛，有可能演化成为社会动乱。这种发展趋势将大幅度地削减波斯尼亚和黑塞哥维那建立一个更可靠投资环境的机会，阻碍经济的稳定增长，因为可否长期减轻贫困状况取决于能否实现可持续的经济增长。</w:t>
      </w:r>
    </w:p>
    <w:p w:rsidR="00000000" w:rsidRDefault="00000000">
      <w:pPr>
        <w:pStyle w:val="Heading3"/>
        <w:rPr>
          <w:rFonts w:ascii="Time New Roman" w:eastAsia="SimHei" w:hAnsi="Time New Roman" w:hint="eastAsia"/>
          <w:b/>
          <w:u w:val="none"/>
        </w:rPr>
      </w:pPr>
      <w:r>
        <w:rPr>
          <w:rFonts w:ascii="Time New Roman" w:eastAsia="SimHei" w:hAnsi="Time New Roman" w:hint="eastAsia"/>
          <w:u w:val="none"/>
        </w:rPr>
        <w:t>第</w:t>
      </w:r>
      <w:r>
        <w:rPr>
          <w:rFonts w:ascii="Time New Roman" w:eastAsia="SimHei" w:hAnsi="Time New Roman" w:hint="eastAsia"/>
          <w:u w:val="none"/>
        </w:rPr>
        <w:t xml:space="preserve"> 11 </w:t>
      </w:r>
      <w:r>
        <w:rPr>
          <w:rFonts w:ascii="Time New Roman" w:eastAsia="SimHei" w:hAnsi="Time New Roman" w:hint="eastAsia"/>
          <w:u w:val="none"/>
        </w:rPr>
        <w:t>条</w:t>
      </w:r>
    </w:p>
    <w:p w:rsidR="00000000" w:rsidRDefault="00000000">
      <w:pPr>
        <w:pStyle w:val="Heading4"/>
        <w:rPr>
          <w:b/>
        </w:rPr>
      </w:pPr>
      <w:r>
        <w:rPr>
          <w:rFonts w:hint="eastAsia"/>
        </w:rPr>
        <w:t>波斯尼亚和黑塞哥维那的生活水平</w:t>
      </w:r>
    </w:p>
    <w:p w:rsidR="00000000" w:rsidRDefault="00000000">
      <w:pPr>
        <w:rPr>
          <w:rFonts w:hint="eastAsia"/>
          <w:b/>
        </w:rPr>
      </w:pPr>
      <w:r>
        <w:rPr>
          <w:b/>
        </w:rPr>
        <w:tab/>
      </w:r>
      <w:r>
        <w:t xml:space="preserve">307.  </w:t>
      </w:r>
      <w:r>
        <w:rPr>
          <w:rFonts w:hint="eastAsia"/>
        </w:rPr>
        <w:t>一些关于生活水平的民意测验，按照食品的热量和营养价值</w:t>
      </w:r>
      <w:r>
        <w:rPr>
          <w:rFonts w:hint="eastAsia"/>
        </w:rPr>
        <w:t>(</w:t>
      </w:r>
      <w:r>
        <w:rPr>
          <w:rFonts w:hint="eastAsia"/>
        </w:rPr>
        <w:t>即每人每天大约</w:t>
      </w:r>
      <w:r>
        <w:rPr>
          <w:rFonts w:hint="eastAsia"/>
        </w:rPr>
        <w:t>2,100</w:t>
      </w:r>
      <w:r>
        <w:rPr>
          <w:rFonts w:hint="eastAsia"/>
        </w:rPr>
        <w:t>卡热量</w:t>
      </w:r>
      <w:r>
        <w:rPr>
          <w:rFonts w:hint="eastAsia"/>
        </w:rPr>
        <w:t>)</w:t>
      </w:r>
      <w:r>
        <w:rPr>
          <w:rFonts w:hint="eastAsia"/>
        </w:rPr>
        <w:t>，对波斯尼亚和黑塞哥维那家庭在食品上的总开支数进行了估算。以这种方式确定的年人均总开支为</w:t>
      </w:r>
      <w:r>
        <w:rPr>
          <w:rFonts w:hint="eastAsia"/>
        </w:rPr>
        <w:t>2,198</w:t>
      </w:r>
      <w:r>
        <w:rPr>
          <w:rFonts w:hint="eastAsia"/>
        </w:rPr>
        <w:t>可兑换马克。这就是波斯尼亚和黑塞哥维那的一般贫困线</w:t>
      </w:r>
      <w:r>
        <w:rPr>
          <w:rFonts w:hint="eastAsia"/>
        </w:rPr>
        <w:t>(</w:t>
      </w:r>
      <w:r>
        <w:rPr>
          <w:rFonts w:hint="eastAsia"/>
        </w:rPr>
        <w:t>而最低营养需求，即赤贫线，为年人均</w:t>
      </w:r>
      <w:r>
        <w:t>760</w:t>
      </w:r>
      <w:r>
        <w:rPr>
          <w:rFonts w:hint="eastAsia"/>
        </w:rPr>
        <w:t>可兑换马克</w:t>
      </w:r>
      <w:r>
        <w:rPr>
          <w:rFonts w:hint="eastAsia"/>
        </w:rPr>
        <w:t>)</w:t>
      </w:r>
      <w:r>
        <w:rPr>
          <w:rFonts w:hint="eastAsia"/>
        </w:rPr>
        <w:t>。实际情况是，对于仅占贫困线数额</w:t>
      </w:r>
      <w:r>
        <w:rPr>
          <w:rFonts w:hint="eastAsia"/>
        </w:rPr>
        <w:t>34.5%</w:t>
      </w:r>
      <w:r>
        <w:rPr>
          <w:rFonts w:hint="eastAsia"/>
        </w:rPr>
        <w:t>的食品需求所进行的估算表明，食品开支占据了基本需要的很大一部分。</w:t>
      </w:r>
    </w:p>
    <w:p w:rsidR="00000000" w:rsidRDefault="00000000">
      <w:pPr>
        <w:rPr>
          <w:rFonts w:hint="eastAsia"/>
          <w:b/>
        </w:rPr>
      </w:pPr>
      <w:r>
        <w:rPr>
          <w:rFonts w:hint="eastAsia"/>
          <w:b/>
        </w:rPr>
        <w:tab/>
      </w:r>
      <w:r>
        <w:t xml:space="preserve">308.  </w:t>
      </w:r>
      <w:r>
        <w:rPr>
          <w:rFonts w:hint="eastAsia"/>
        </w:rPr>
        <w:t>对于波斯尼亚和黑塞哥维那年人均开支率的现有统计数据开展的分析表明，并没有任何群体的生活水平接近或基于赤贫线。但是波斯尼亚和黑塞哥维那大约有</w:t>
      </w:r>
      <w:r>
        <w:rPr>
          <w:rFonts w:hint="eastAsia"/>
        </w:rPr>
        <w:t>19.5%</w:t>
      </w:r>
      <w:r>
        <w:rPr>
          <w:rFonts w:hint="eastAsia"/>
        </w:rPr>
        <w:t>的人口生活在一般贫困线以下</w:t>
      </w:r>
      <w:r>
        <w:rPr>
          <w:rFonts w:hint="eastAsia"/>
        </w:rPr>
        <w:t>(</w:t>
      </w:r>
      <w:r>
        <w:rPr>
          <w:rFonts w:hint="eastAsia"/>
        </w:rPr>
        <w:t>塞族共和国约</w:t>
      </w:r>
      <w:r>
        <w:rPr>
          <w:rFonts w:hint="eastAsia"/>
        </w:rPr>
        <w:t>25%</w:t>
      </w:r>
      <w:r>
        <w:rPr>
          <w:rFonts w:hint="eastAsia"/>
        </w:rPr>
        <w:t>，波斯尼亚和黑塞哥维那联邦约</w:t>
      </w:r>
      <w:r>
        <w:rPr>
          <w:rFonts w:hint="eastAsia"/>
        </w:rPr>
        <w:t>16%)</w:t>
      </w:r>
      <w:r>
        <w:rPr>
          <w:rFonts w:hint="eastAsia"/>
        </w:rPr>
        <w:t>。民意测验和分析显示，波斯尼亚和黑塞哥维那</w:t>
      </w:r>
      <w:r>
        <w:rPr>
          <w:rFonts w:hint="eastAsia"/>
        </w:rPr>
        <w:t>30%</w:t>
      </w:r>
      <w:r>
        <w:rPr>
          <w:rFonts w:hint="eastAsia"/>
        </w:rPr>
        <w:t>以上的人口刚刚超过了如此定下的一般贫困线</w:t>
      </w:r>
      <w:r>
        <w:rPr>
          <w:rFonts w:hint="eastAsia"/>
        </w:rPr>
        <w:t>(</w:t>
      </w:r>
      <w:r>
        <w:rPr>
          <w:rFonts w:hint="eastAsia"/>
        </w:rPr>
        <w:t>年开支为</w:t>
      </w:r>
      <w:r>
        <w:t>3,</w:t>
      </w:r>
      <w:r>
        <w:rPr>
          <w:rFonts w:hint="eastAsia"/>
        </w:rPr>
        <w:t>297</w:t>
      </w:r>
      <w:r>
        <w:rPr>
          <w:rFonts w:hint="eastAsia"/>
        </w:rPr>
        <w:t>可兑换马克，即处于刚超过一般贫困线数额</w:t>
      </w:r>
      <w:r>
        <w:rPr>
          <w:rFonts w:hint="eastAsia"/>
        </w:rPr>
        <w:t>50%</w:t>
      </w:r>
      <w:r>
        <w:rPr>
          <w:rFonts w:hint="eastAsia"/>
        </w:rPr>
        <w:t>的幅度内</w:t>
      </w:r>
      <w:r>
        <w:rPr>
          <w:rFonts w:hint="eastAsia"/>
        </w:rPr>
        <w:t>)</w:t>
      </w:r>
      <w:r>
        <w:rPr>
          <w:rFonts w:hint="eastAsia"/>
        </w:rPr>
        <w:t>，而他们面临潜在的经济打击而使之被推到一般贫困线以下的可能性相当大</w:t>
      </w:r>
      <w:r>
        <w:rPr>
          <w:rFonts w:hint="eastAsia"/>
        </w:rPr>
        <w:t>(</w:t>
      </w:r>
      <w:r>
        <w:rPr>
          <w:rFonts w:hint="eastAsia"/>
        </w:rPr>
        <w:t>世界银行报告，第</w:t>
      </w:r>
      <w:r>
        <w:rPr>
          <w:rFonts w:hint="eastAsia"/>
        </w:rPr>
        <w:t>25343</w:t>
      </w:r>
      <w:r>
        <w:rPr>
          <w:rFonts w:hint="eastAsia"/>
        </w:rPr>
        <w:t>号，第二卷，第</w:t>
      </w:r>
      <w:r>
        <w:rPr>
          <w:rFonts w:hint="eastAsia"/>
        </w:rPr>
        <w:t>46</w:t>
      </w:r>
      <w:r>
        <w:rPr>
          <w:rFonts w:hint="eastAsia"/>
        </w:rPr>
        <w:t>页</w:t>
      </w:r>
      <w:r>
        <w:rPr>
          <w:rFonts w:hint="eastAsia"/>
        </w:rPr>
        <w:t>)</w:t>
      </w:r>
      <w:r>
        <w:rPr>
          <w:rFonts w:hint="eastAsia"/>
        </w:rPr>
        <w:t>。</w:t>
      </w:r>
    </w:p>
    <w:p w:rsidR="00000000" w:rsidRDefault="00000000">
      <w:pPr>
        <w:rPr>
          <w:b/>
        </w:rPr>
      </w:pPr>
      <w:r>
        <w:rPr>
          <w:rFonts w:hint="eastAsia"/>
          <w:b/>
        </w:rPr>
        <w:tab/>
      </w:r>
      <w:r>
        <w:t xml:space="preserve">309.  </w:t>
      </w:r>
      <w:r>
        <w:rPr>
          <w:rFonts w:hint="eastAsia"/>
        </w:rPr>
        <w:t>考虑到波斯尼亚和黑塞哥维那用于确定绝对贫困和相对贫困的数据有限，我们选择绝对贫困线，作为最适合于确定和观察贫困状况的工具。赤贫线是按每个人的开支价值来确定的不论生活的时间和地点。目前，贫困被看作是正常生活的基本需要未能得到满足的一种状态。这反映在各种方面，例如，缺少收入、饥馑、营养不良、健康状况不佳、获得教育及其他基本服务的机会有限或没有、包括由于病死在内的死亡率上升、无家可归、住房条件差、环境不安全、社会歧视和孤立，等等。对于一般贫困线的确定包括了除食品以外的其他需求</w:t>
      </w:r>
      <w:r>
        <w:rPr>
          <w:rFonts w:hint="eastAsia"/>
        </w:rPr>
        <w:t>(</w:t>
      </w:r>
      <w:r>
        <w:rPr>
          <w:rFonts w:hint="eastAsia"/>
        </w:rPr>
        <w:t>如住所和衣服</w:t>
      </w:r>
      <w:r>
        <w:rPr>
          <w:rFonts w:hint="eastAsia"/>
        </w:rPr>
        <w:t>)</w:t>
      </w:r>
      <w:r>
        <w:rPr>
          <w:rFonts w:hint="eastAsia"/>
        </w:rPr>
        <w:t>。</w:t>
      </w:r>
    </w:p>
    <w:p w:rsidR="00000000" w:rsidRDefault="00000000">
      <w:pPr>
        <w:rPr>
          <w:rFonts w:hint="eastAsia"/>
          <w:b/>
        </w:rPr>
      </w:pPr>
      <w:r>
        <w:rPr>
          <w:b/>
        </w:rPr>
        <w:tab/>
      </w:r>
      <w:r>
        <w:t xml:space="preserve">310.  </w:t>
      </w:r>
      <w:r>
        <w:rPr>
          <w:rFonts w:hint="eastAsia"/>
        </w:rPr>
        <w:t>失业也许是影响到波斯尼亚和黑塞哥维那城乡青年一代的最严重问题，再加上住房问题和没完没了的经济危机，年轻人变得自暴自弃，没有前途，转向吸毒和酗酒。也有人计划出国，认为这是改善生活的唯一机会。现有数据显示，在</w:t>
      </w:r>
      <w:r>
        <w:rPr>
          <w:rFonts w:hint="eastAsia"/>
        </w:rPr>
        <w:t>1996</w:t>
      </w:r>
      <w:r>
        <w:rPr>
          <w:rFonts w:hint="eastAsia"/>
        </w:rPr>
        <w:t>年</w:t>
      </w:r>
      <w:r>
        <w:rPr>
          <w:rFonts w:hint="eastAsia"/>
        </w:rPr>
        <w:t>1</w:t>
      </w:r>
      <w:r>
        <w:rPr>
          <w:rFonts w:hint="eastAsia"/>
        </w:rPr>
        <w:t>月至</w:t>
      </w:r>
      <w:r>
        <w:rPr>
          <w:rFonts w:hint="eastAsia"/>
        </w:rPr>
        <w:t>2001</w:t>
      </w:r>
      <w:r>
        <w:rPr>
          <w:rFonts w:hint="eastAsia"/>
        </w:rPr>
        <w:t>年</w:t>
      </w:r>
      <w:r>
        <w:rPr>
          <w:rFonts w:hint="eastAsia"/>
        </w:rPr>
        <w:t>3</w:t>
      </w:r>
      <w:r>
        <w:rPr>
          <w:rFonts w:hint="eastAsia"/>
        </w:rPr>
        <w:t>月期间，有</w:t>
      </w:r>
      <w:r>
        <w:rPr>
          <w:rFonts w:hint="eastAsia"/>
        </w:rPr>
        <w:t>92,000</w:t>
      </w:r>
      <w:r>
        <w:rPr>
          <w:rFonts w:hint="eastAsia"/>
        </w:rPr>
        <w:t>名年轻人离开了波斯尼亚和黑塞哥维那，而有些民意测验表明，如果有可能，</w:t>
      </w:r>
      <w:r>
        <w:rPr>
          <w:rFonts w:hint="eastAsia"/>
        </w:rPr>
        <w:t>62%</w:t>
      </w:r>
      <w:r>
        <w:rPr>
          <w:rFonts w:hint="eastAsia"/>
        </w:rPr>
        <w:t>的青年都希望移居国外。从波斯尼亚和黑塞哥维那长期经济恢复角度看，这当然是最糟糕的趋势。</w:t>
      </w:r>
    </w:p>
    <w:p w:rsidR="00000000" w:rsidRDefault="00000000">
      <w:pPr>
        <w:rPr>
          <w:b/>
        </w:rPr>
      </w:pPr>
      <w:r>
        <w:rPr>
          <w:rFonts w:hint="eastAsia"/>
          <w:b/>
        </w:rPr>
        <w:tab/>
      </w:r>
      <w:r>
        <w:t xml:space="preserve">311.  </w:t>
      </w:r>
      <w:r>
        <w:rPr>
          <w:rFonts w:hint="eastAsia"/>
        </w:rPr>
        <w:t>在波斯尼亚和黑塞哥维那全国各地，与没有被迫迁移的居民相比，流离失所者和难民这一类别尤其面临着沦为穷人的风险，因为这些人一般没有稳定的收入来源，而且得不到社会福利制度的充分帮助。波斯尼亚和黑塞哥维那人权和难民事务部以及联合国难民事务高级专员办事处的数据表明，截至</w:t>
      </w:r>
      <w:r>
        <w:rPr>
          <w:rFonts w:hint="eastAsia"/>
        </w:rPr>
        <w:t>2002</w:t>
      </w:r>
      <w:r>
        <w:rPr>
          <w:rFonts w:hint="eastAsia"/>
        </w:rPr>
        <w:t>年底，有</w:t>
      </w:r>
      <w:r>
        <w:rPr>
          <w:rFonts w:hint="eastAsia"/>
        </w:rPr>
        <w:t>685,</w:t>
      </w:r>
      <w:r>
        <w:t>650</w:t>
      </w:r>
      <w:r>
        <w:rPr>
          <w:rFonts w:hint="eastAsia"/>
        </w:rPr>
        <w:t>名难民和流离失所者回到了波斯尼亚和黑塞哥维那联邦，</w:t>
      </w:r>
      <w:r>
        <w:rPr>
          <w:rFonts w:hint="eastAsia"/>
        </w:rPr>
        <w:t>225,616</w:t>
      </w:r>
      <w:r>
        <w:rPr>
          <w:rFonts w:hint="eastAsia"/>
        </w:rPr>
        <w:t>人回到了塞族共和国、</w:t>
      </w:r>
      <w:r>
        <w:rPr>
          <w:rFonts w:hint="eastAsia"/>
        </w:rPr>
        <w:t>19,422</w:t>
      </w:r>
      <w:r>
        <w:rPr>
          <w:rFonts w:hint="eastAsia"/>
        </w:rPr>
        <w:t>人回到了布尔奇科地区。据估算，大约有</w:t>
      </w:r>
      <w:r>
        <w:rPr>
          <w:rFonts w:hint="eastAsia"/>
        </w:rPr>
        <w:t>624,250</w:t>
      </w:r>
      <w:r>
        <w:rPr>
          <w:rFonts w:hint="eastAsia"/>
        </w:rPr>
        <w:t>名难民仍然生活在国外，其中有</w:t>
      </w:r>
      <w:r>
        <w:rPr>
          <w:rFonts w:hint="eastAsia"/>
        </w:rPr>
        <w:t>297,550</w:t>
      </w:r>
      <w:r>
        <w:rPr>
          <w:rFonts w:hint="eastAsia"/>
        </w:rPr>
        <w:t>人的身份没有确定，因此预计这批人会很快回到波斯尼亚和黑塞哥维那。</w:t>
      </w:r>
    </w:p>
    <w:p w:rsidR="00000000" w:rsidRDefault="00000000">
      <w:pPr>
        <w:rPr>
          <w:b/>
        </w:rPr>
      </w:pPr>
      <w:r>
        <w:rPr>
          <w:b/>
        </w:rPr>
        <w:tab/>
      </w:r>
      <w:r>
        <w:t xml:space="preserve">312.  </w:t>
      </w:r>
      <w:r>
        <w:rPr>
          <w:rFonts w:hint="eastAsia"/>
        </w:rPr>
        <w:t>流离失所者的一个基本问题是，他们在社会福利制度中的地位没有得到适当处理。他们主要依靠来自国内和国际组织的人道主义援助。无论他们生活在集体住所还是租用的公寓里，他们的住房条件一般都很差。根据官方的数据，在波斯尼亚和黑塞哥维联邦仍然有大约</w:t>
      </w:r>
      <w:r>
        <w:rPr>
          <w:rFonts w:hint="eastAsia"/>
        </w:rPr>
        <w:t>1,000</w:t>
      </w:r>
      <w:r>
        <w:rPr>
          <w:rFonts w:hint="eastAsia"/>
        </w:rPr>
        <w:t>名流离失所者居住的集体收容所内，在塞族共和国有</w:t>
      </w:r>
      <w:r>
        <w:rPr>
          <w:rFonts w:hint="eastAsia"/>
        </w:rPr>
        <w:t>2,000</w:t>
      </w:r>
      <w:r>
        <w:rPr>
          <w:rFonts w:hint="eastAsia"/>
        </w:rPr>
        <w:t>人。在所提供的援助大量削减、而且很快即将停止的情况下，流离失所者处于特别困难的境地，因为不存在有组织的州立或实体体制，来接管解决流离失所者的经济需求的工作。因此，在许多情况下，流离失所者问题由市政府来处理，而市政府本身连最基本的援助都无法提供。</w:t>
      </w:r>
    </w:p>
    <w:p w:rsidR="00000000" w:rsidRDefault="00000000">
      <w:pPr>
        <w:rPr>
          <w:rFonts w:hint="eastAsia"/>
          <w:b/>
        </w:rPr>
      </w:pPr>
      <w:r>
        <w:rPr>
          <w:b/>
        </w:rPr>
        <w:tab/>
      </w:r>
      <w:r>
        <w:t xml:space="preserve">313.  </w:t>
      </w:r>
      <w:r>
        <w:rPr>
          <w:rFonts w:hint="eastAsia"/>
        </w:rPr>
        <w:t>尽管关于波斯尼亚和黑塞哥维那的饥馑和营养不良程度并没有数据，我们谨借此机会指出当儿童能够得到适当食物、不遭受疾病、得以完成正常发育、被认为营养良好时的情况及其健康状况。在波斯尼亚和黑塞哥维那，出生时体重不到</w:t>
      </w:r>
      <w:r>
        <w:rPr>
          <w:rFonts w:hint="eastAsia"/>
        </w:rPr>
        <w:t>2,250</w:t>
      </w:r>
      <w:r>
        <w:rPr>
          <w:rFonts w:hint="eastAsia"/>
        </w:rPr>
        <w:t>克的儿童只有</w:t>
      </w:r>
      <w:r>
        <w:rPr>
          <w:rFonts w:hint="eastAsia"/>
        </w:rPr>
        <w:t>3%</w:t>
      </w:r>
      <w:r>
        <w:rPr>
          <w:rFonts w:hint="eastAsia"/>
        </w:rPr>
        <w:t>。这一比例不高，但是农村地区</w:t>
      </w:r>
      <w:r>
        <w:rPr>
          <w:rFonts w:hint="eastAsia"/>
        </w:rPr>
        <w:t>(4%)</w:t>
      </w:r>
      <w:r>
        <w:rPr>
          <w:rFonts w:hint="eastAsia"/>
        </w:rPr>
        <w:t>高于市区</w:t>
      </w:r>
      <w:r>
        <w:rPr>
          <w:rFonts w:hint="eastAsia"/>
        </w:rPr>
        <w:t>(2%)</w:t>
      </w:r>
      <w:r>
        <w:rPr>
          <w:rFonts w:hint="eastAsia"/>
        </w:rPr>
        <w:t>。这一估算所涉及的是出生时体重过轻的五岁以下儿童。但是以这种统计方法估算的新生儿体重比率偏低，因为有些儿童不到五岁便已死亡。</w:t>
      </w:r>
    </w:p>
    <w:p w:rsidR="00000000" w:rsidRDefault="00000000">
      <w:pPr>
        <w:rPr>
          <w:rFonts w:hint="eastAsia"/>
          <w:b/>
        </w:rPr>
      </w:pPr>
      <w:r>
        <w:rPr>
          <w:rFonts w:hint="eastAsia"/>
          <w:b/>
        </w:rPr>
        <w:tab/>
      </w:r>
      <w:r>
        <w:t xml:space="preserve">314.  </w:t>
      </w:r>
      <w:r>
        <w:rPr>
          <w:rFonts w:hint="eastAsia"/>
        </w:rPr>
        <w:t>在波斯尼亚和黑塞哥维那，五岁以下儿童中有</w:t>
      </w:r>
      <w:r>
        <w:rPr>
          <w:rFonts w:hint="eastAsia"/>
        </w:rPr>
        <w:t>4%</w:t>
      </w:r>
      <w:r>
        <w:rPr>
          <w:rFonts w:hint="eastAsia"/>
        </w:rPr>
        <w:t>营养不良，</w:t>
      </w:r>
      <w:r>
        <w:rPr>
          <w:rFonts w:hint="eastAsia"/>
        </w:rPr>
        <w:t>10%</w:t>
      </w:r>
      <w:r>
        <w:rPr>
          <w:rFonts w:hint="eastAsia"/>
        </w:rPr>
        <w:t>发育迟缓或</w:t>
      </w:r>
      <w:r>
        <w:rPr>
          <w:rFonts w:hint="eastAsia"/>
        </w:rPr>
        <w:t>(</w:t>
      </w:r>
      <w:r>
        <w:rPr>
          <w:rFonts w:hint="eastAsia"/>
        </w:rPr>
        <w:t>相对其年龄</w:t>
      </w:r>
      <w:r>
        <w:rPr>
          <w:rFonts w:hint="eastAsia"/>
        </w:rPr>
        <w:t>)</w:t>
      </w:r>
      <w:r>
        <w:rPr>
          <w:rFonts w:hint="eastAsia"/>
        </w:rPr>
        <w:t>太慢，</w:t>
      </w:r>
      <w:r>
        <w:rPr>
          <w:rFonts w:hint="eastAsia"/>
        </w:rPr>
        <w:t>6%</w:t>
      </w:r>
      <w:r>
        <w:rPr>
          <w:rFonts w:hint="eastAsia"/>
        </w:rPr>
        <w:t>的儿童相对其年龄体重过轻，但是这些数据应当慎重看待。与其母亲仅有小学程度或未受过教育的儿童相比，其母亲具有中等或高等教育程度的儿童体重过轻或身高过低的情况较少。</w:t>
      </w:r>
      <w:r>
        <w:rPr>
          <w:rFonts w:hint="eastAsia"/>
        </w:rPr>
        <w:t>(</w:t>
      </w:r>
      <w:r>
        <w:rPr>
          <w:rFonts w:hint="eastAsia"/>
        </w:rPr>
        <w:t>资料来源：《</w:t>
      </w:r>
      <w:r>
        <w:rPr>
          <w:rFonts w:hint="eastAsia"/>
        </w:rPr>
        <w:t>2000</w:t>
      </w:r>
      <w:r>
        <w:rPr>
          <w:rFonts w:hint="eastAsia"/>
        </w:rPr>
        <w:t>年波斯尼亚和黑塞哥维那关于家庭内妇女与儿童状况的研究报告》，儿童基金会及波斯尼亚和黑塞哥维那统计局。</w:t>
      </w:r>
      <w:r>
        <w:rPr>
          <w:rFonts w:hint="eastAsia"/>
        </w:rPr>
        <w:t>)</w:t>
      </w:r>
    </w:p>
    <w:p w:rsidR="00000000" w:rsidRDefault="00000000">
      <w:pPr>
        <w:rPr>
          <w:rFonts w:hint="eastAsia"/>
          <w:b/>
        </w:rPr>
      </w:pPr>
      <w:r>
        <w:rPr>
          <w:rFonts w:hint="eastAsia"/>
          <w:b/>
        </w:rPr>
        <w:tab/>
      </w:r>
      <w:r>
        <w:t xml:space="preserve">315.  </w:t>
      </w:r>
      <w:r>
        <w:rPr>
          <w:rFonts w:hint="eastAsia"/>
        </w:rPr>
        <w:t>在波斯尼亚和黑塞哥维那克服贫困的主要方式是发展农业部门。波斯尼亚和黑塞哥维那农耕地的总面积大约为</w:t>
      </w:r>
      <w:r>
        <w:rPr>
          <w:rFonts w:hint="eastAsia"/>
        </w:rPr>
        <w:t>250</w:t>
      </w:r>
      <w:r>
        <w:rPr>
          <w:rFonts w:hint="eastAsia"/>
        </w:rPr>
        <w:t>万公顷，即大约该国领土的</w:t>
      </w:r>
      <w:r>
        <w:rPr>
          <w:rFonts w:hint="eastAsia"/>
        </w:rPr>
        <w:t>50%</w:t>
      </w:r>
      <w:r>
        <w:rPr>
          <w:rFonts w:hint="eastAsia"/>
        </w:rPr>
        <w:t>，合每人</w:t>
      </w:r>
      <w:r>
        <w:rPr>
          <w:rFonts w:hint="eastAsia"/>
        </w:rPr>
        <w:t>0.7</w:t>
      </w:r>
      <w:r>
        <w:rPr>
          <w:rFonts w:hint="eastAsia"/>
        </w:rPr>
        <w:t>公顷。海拔</w:t>
      </w:r>
      <w:r>
        <w:rPr>
          <w:rFonts w:hint="eastAsia"/>
        </w:rPr>
        <w:t>500</w:t>
      </w:r>
      <w:r>
        <w:rPr>
          <w:rFonts w:hint="eastAsia"/>
        </w:rPr>
        <w:t>米的农地占全部农地的</w:t>
      </w:r>
      <w:r>
        <w:rPr>
          <w:rFonts w:hint="eastAsia"/>
        </w:rPr>
        <w:t>40%</w:t>
      </w:r>
      <w:r>
        <w:rPr>
          <w:rFonts w:hint="eastAsia"/>
        </w:rPr>
        <w:t>，海拔</w:t>
      </w:r>
      <w:r>
        <w:rPr>
          <w:rFonts w:hint="eastAsia"/>
        </w:rPr>
        <w:t>500</w:t>
      </w:r>
      <w:r>
        <w:rPr>
          <w:rFonts w:hint="eastAsia"/>
        </w:rPr>
        <w:t>至</w:t>
      </w:r>
      <w:r>
        <w:rPr>
          <w:rFonts w:hint="eastAsia"/>
        </w:rPr>
        <w:t>1,000</w:t>
      </w:r>
      <w:r>
        <w:rPr>
          <w:rFonts w:hint="eastAsia"/>
        </w:rPr>
        <w:t>米的农地占</w:t>
      </w:r>
      <w:r>
        <w:t>35%</w:t>
      </w:r>
      <w:r>
        <w:rPr>
          <w:rFonts w:hint="eastAsia"/>
        </w:rPr>
        <w:t>，而海拔</w:t>
      </w:r>
      <w:r>
        <w:rPr>
          <w:rFonts w:hint="eastAsia"/>
        </w:rPr>
        <w:t>1,000</w:t>
      </w:r>
      <w:r>
        <w:rPr>
          <w:rFonts w:hint="eastAsia"/>
        </w:rPr>
        <w:t>米以上的农地为</w:t>
      </w:r>
      <w:r>
        <w:rPr>
          <w:rFonts w:hint="eastAsia"/>
        </w:rPr>
        <w:t>25%</w:t>
      </w:r>
      <w:r>
        <w:rPr>
          <w:rFonts w:hint="eastAsia"/>
        </w:rPr>
        <w:t>。已开垦的农地占全部面积的</w:t>
      </w:r>
      <w:r>
        <w:rPr>
          <w:rFonts w:hint="eastAsia"/>
        </w:rPr>
        <w:t>68%</w:t>
      </w:r>
      <w:r>
        <w:rPr>
          <w:rFonts w:hint="eastAsia"/>
        </w:rPr>
        <w:t>，而农田比率为</w:t>
      </w:r>
      <w:r>
        <w:rPr>
          <w:rFonts w:hint="eastAsia"/>
        </w:rPr>
        <w:t>32%</w:t>
      </w:r>
      <w:r>
        <w:rPr>
          <w:rFonts w:hint="eastAsia"/>
        </w:rPr>
        <w:t>。肥沃的平原地区占全部面积的</w:t>
      </w:r>
      <w:r>
        <w:rPr>
          <w:rFonts w:hint="eastAsia"/>
        </w:rPr>
        <w:t>16%</w:t>
      </w:r>
      <w:r>
        <w:rPr>
          <w:rFonts w:hint="eastAsia"/>
        </w:rPr>
        <w:t>，丘陵和山区不太肥沃的土地占</w:t>
      </w:r>
      <w:r>
        <w:rPr>
          <w:rFonts w:hint="eastAsia"/>
        </w:rPr>
        <w:t>62%</w:t>
      </w:r>
      <w:r>
        <w:rPr>
          <w:rFonts w:hint="eastAsia"/>
        </w:rPr>
        <w:t>，而地中海地区则占波斯尼亚和黑塞哥维那全部农地的</w:t>
      </w:r>
      <w:r>
        <w:rPr>
          <w:rFonts w:hint="eastAsia"/>
        </w:rPr>
        <w:t>22%</w:t>
      </w:r>
      <w:r>
        <w:rPr>
          <w:rFonts w:hint="eastAsia"/>
        </w:rPr>
        <w:t>。目前农地的空间安排对于现代市场农业生产的组织安排来说是无法持续的。回归已经放弃或被占据的地产的工作进展缓慢。</w:t>
      </w:r>
    </w:p>
    <w:p w:rsidR="00000000" w:rsidRDefault="00000000">
      <w:pPr>
        <w:rPr>
          <w:rFonts w:hint="eastAsia"/>
          <w:b/>
        </w:rPr>
      </w:pPr>
      <w:r>
        <w:rPr>
          <w:rFonts w:hint="eastAsia"/>
          <w:b/>
        </w:rPr>
        <w:tab/>
      </w:r>
      <w:r>
        <w:t xml:space="preserve">316.  </w:t>
      </w:r>
      <w:r>
        <w:rPr>
          <w:rFonts w:hint="eastAsia"/>
        </w:rPr>
        <w:t>在发展现代密集农业生产中的一项障碍因素是地产的严重支离破碎情况。农业政策措施应当鼓励农业地产的合并，从而为采用最新的农业技术和提高收成创造条件。可持续的农业发展需要的先决条件是技术上可行、对社会负责和经济上有活力的发展，以便保证在保护自然资源、自然环境不受污染以及生物多样性不受影响的同时，保障人类对食品的需求。</w:t>
      </w:r>
    </w:p>
    <w:p w:rsidR="00000000" w:rsidRDefault="00000000">
      <w:pPr>
        <w:rPr>
          <w:rFonts w:hint="eastAsia"/>
          <w:b/>
        </w:rPr>
      </w:pPr>
      <w:r>
        <w:rPr>
          <w:rFonts w:hint="eastAsia"/>
          <w:b/>
        </w:rPr>
        <w:tab/>
      </w:r>
      <w:r>
        <w:t xml:space="preserve">317.  </w:t>
      </w:r>
      <w:r>
        <w:rPr>
          <w:rFonts w:hint="eastAsia"/>
        </w:rPr>
        <w:t>换言之</w:t>
      </w:r>
      <w:r>
        <w:t>，有计划、负责任的发展才能为人人造福，才不会威胁到子孙后代的生活。这些应当是为今后农业和食品生产</w:t>
      </w:r>
      <w:r>
        <w:rPr>
          <w:rFonts w:hint="eastAsia"/>
        </w:rPr>
        <w:t>可</w:t>
      </w:r>
      <w:r>
        <w:t>持续发展而设</w:t>
      </w:r>
      <w:r>
        <w:rPr>
          <w:rFonts w:hint="eastAsia"/>
        </w:rPr>
        <w:t>计</w:t>
      </w:r>
      <w:r>
        <w:t>所有农业政策、经济、农业技术和牲畜技术措施过程中的指导原则。</w:t>
      </w:r>
    </w:p>
    <w:p w:rsidR="00000000" w:rsidRDefault="00000000">
      <w:pPr>
        <w:rPr>
          <w:rFonts w:hint="eastAsia"/>
          <w:b/>
        </w:rPr>
      </w:pPr>
      <w:r>
        <w:rPr>
          <w:rFonts w:hint="eastAsia"/>
          <w:b/>
        </w:rPr>
        <w:tab/>
      </w:r>
      <w:r>
        <w:t xml:space="preserve">318.  </w:t>
      </w:r>
      <w:r>
        <w:t>个体农场支离破碎，没有面对市场。大型的体制在私有化时并不为</w:t>
      </w:r>
      <w:r>
        <w:rPr>
          <w:rFonts w:hint="eastAsia"/>
        </w:rPr>
        <w:t>下岗</w:t>
      </w:r>
      <w:r>
        <w:t>的劳工提供社会福利方案。该国不存在专业知识</w:t>
      </w:r>
      <w:r>
        <w:t>(</w:t>
      </w:r>
      <w:r>
        <w:t>指导方针</w:t>
      </w:r>
      <w:r>
        <w:t>)</w:t>
      </w:r>
      <w:r>
        <w:rPr>
          <w:rFonts w:hint="eastAsia"/>
        </w:rPr>
        <w:t>流动</w:t>
      </w:r>
      <w:r>
        <w:t>、市场销售、管理、全面战略、</w:t>
      </w:r>
      <w:r>
        <w:rPr>
          <w:rFonts w:hint="eastAsia"/>
        </w:rPr>
        <w:t>有</w:t>
      </w:r>
      <w:r>
        <w:t>保障价格</w:t>
      </w:r>
      <w:r>
        <w:rPr>
          <w:rFonts w:hint="eastAsia"/>
        </w:rPr>
        <w:t>的</w:t>
      </w:r>
      <w:r>
        <w:t>发展支助、单一商业政策、信息系统、教育、科学和专业机构、法律，或规划和方案的标准化。为防止波斯尼亚和黑塞哥维那村庄的消亡，难民和流离失所者回归其</w:t>
      </w:r>
      <w:r>
        <w:rPr>
          <w:rFonts w:hint="eastAsia"/>
        </w:rPr>
        <w:t>家园</w:t>
      </w:r>
      <w:r>
        <w:t>的主要动机已不复存在。</w:t>
      </w:r>
    </w:p>
    <w:p w:rsidR="00000000" w:rsidRDefault="00000000">
      <w:pPr>
        <w:rPr>
          <w:rFonts w:hint="eastAsia"/>
        </w:rPr>
      </w:pPr>
      <w:r>
        <w:rPr>
          <w:rFonts w:hint="eastAsia"/>
          <w:b/>
        </w:rPr>
        <w:tab/>
      </w:r>
      <w:r>
        <w:t xml:space="preserve">319.  </w:t>
      </w:r>
      <w:r>
        <w:t>农业地产仍然严重支离破碎。对于农业生产中的私</w:t>
      </w:r>
      <w:r>
        <w:rPr>
          <w:rFonts w:hint="eastAsia"/>
        </w:rPr>
        <w:t>人主动</w:t>
      </w:r>
      <w:r>
        <w:t>性或</w:t>
      </w:r>
      <w:r>
        <w:rPr>
          <w:rFonts w:hint="eastAsia"/>
        </w:rPr>
        <w:t>创业</w:t>
      </w:r>
      <w:r>
        <w:t>精神没有任何支助。由国外提供或捐</w:t>
      </w:r>
      <w:r>
        <w:rPr>
          <w:rFonts w:hint="eastAsia"/>
        </w:rPr>
        <w:t>赠</w:t>
      </w:r>
      <w:r>
        <w:t>的种子和牲畜没有</w:t>
      </w:r>
      <w:r>
        <w:rPr>
          <w:rFonts w:hint="eastAsia"/>
        </w:rPr>
        <w:t>带来</w:t>
      </w:r>
      <w:r>
        <w:t>预期的收成；从国外进口的家畜遭受疾病，</w:t>
      </w:r>
      <w:r>
        <w:rPr>
          <w:rFonts w:hint="eastAsia"/>
        </w:rPr>
        <w:t>从而</w:t>
      </w:r>
      <w:r>
        <w:t>破坏了家畜业。本地</w:t>
      </w:r>
      <w:r>
        <w:rPr>
          <w:rFonts w:hint="eastAsia"/>
        </w:rPr>
        <w:t>畜种</w:t>
      </w:r>
      <w:r>
        <w:t>和</w:t>
      </w:r>
      <w:r>
        <w:rPr>
          <w:rFonts w:hint="eastAsia"/>
        </w:rPr>
        <w:t>农家</w:t>
      </w:r>
      <w:r>
        <w:t>技术被毫无理由地忽视了。对于蔬果种植的密度、土壤或种植材料没有规定的标准。在养殖家畜中，采</w:t>
      </w:r>
      <w:r>
        <w:rPr>
          <w:rFonts w:hint="eastAsia"/>
        </w:rPr>
        <w:t>纳品种</w:t>
      </w:r>
      <w:r>
        <w:t>收效较差。对于家畜的现代生殖方式和保健不受重视。农场养殖家畜的商业模式还没有在波斯尼亚和</w:t>
      </w:r>
      <w:r>
        <w:rPr>
          <w:rFonts w:hint="eastAsia"/>
        </w:rPr>
        <w:t>黑塞哥维那</w:t>
      </w:r>
      <w:r>
        <w:t>形成。国内对于乳品、肉类和毛绒的加工能力不足。</w:t>
      </w:r>
    </w:p>
    <w:p w:rsidR="00000000" w:rsidRDefault="00000000">
      <w:pPr>
        <w:rPr>
          <w:rFonts w:hint="eastAsia"/>
          <w:b/>
        </w:rPr>
      </w:pPr>
      <w:r>
        <w:rPr>
          <w:rFonts w:hint="eastAsia"/>
        </w:rPr>
        <w:tab/>
      </w:r>
      <w:r>
        <w:t xml:space="preserve">320.  </w:t>
      </w:r>
      <w:r>
        <w:t>波斯尼亚和黑塞哥维那的重建</w:t>
      </w:r>
      <w:r>
        <w:rPr>
          <w:rFonts w:hint="eastAsia"/>
        </w:rPr>
        <w:t>及</w:t>
      </w:r>
      <w:r>
        <w:t>农业资源实现可持续性需要一项在生产、销售和融资方面的综合战略。需要作出旨在根据客户要求调整农业产品的技术变动。确定这一过程的因素是供求规则、</w:t>
      </w:r>
      <w:r>
        <w:rPr>
          <w:rFonts w:hint="eastAsia"/>
        </w:rPr>
        <w:t>价格、</w:t>
      </w:r>
      <w:r>
        <w:t>投资及金融</w:t>
      </w:r>
      <w:r>
        <w:t>—</w:t>
      </w:r>
      <w:r>
        <w:t>交易的</w:t>
      </w:r>
      <w:r>
        <w:rPr>
          <w:rFonts w:hint="eastAsia"/>
        </w:rPr>
        <w:t>自由化</w:t>
      </w:r>
      <w:r>
        <w:t>。涉及农地的所有制</w:t>
      </w:r>
      <w:r>
        <w:t>—</w:t>
      </w:r>
      <w:r>
        <w:t>管理方式转变</w:t>
      </w:r>
      <w:r>
        <w:rPr>
          <w:rFonts w:hint="eastAsia"/>
        </w:rPr>
        <w:t>和</w:t>
      </w:r>
      <w:r>
        <w:t>其他自然资源的保护和可持续生态经济使用则是今后的任务。在多数国家里，这些活动是由农林部、经济关系、土地规划和环境部管的。可惜，波斯尼亚和黑塞哥维那的体制结构还不够发达。</w:t>
      </w:r>
    </w:p>
    <w:p w:rsidR="00000000" w:rsidRDefault="00000000">
      <w:pPr>
        <w:spacing w:after="240"/>
        <w:rPr>
          <w:b/>
        </w:rPr>
      </w:pPr>
      <w:r>
        <w:rPr>
          <w:rFonts w:hint="eastAsia"/>
          <w:b/>
        </w:rPr>
        <w:tab/>
      </w:r>
      <w:r>
        <w:t xml:space="preserve">321.  </w:t>
      </w:r>
      <w:r>
        <w:t>关于农业发展战略，应当设置适当的体制</w:t>
      </w:r>
      <w:r>
        <w:t>—</w:t>
      </w:r>
      <w:r>
        <w:t>法律基础，</w:t>
      </w:r>
      <w:r>
        <w:rPr>
          <w:rFonts w:hint="eastAsia"/>
        </w:rPr>
        <w:t>辅之以</w:t>
      </w:r>
      <w:r>
        <w:t>一系列体制性奖励措施，以便实现农业生产可持续性并促进对土地的可持续使用。</w:t>
      </w:r>
    </w:p>
    <w:p w:rsidR="00000000" w:rsidRDefault="00000000">
      <w:pPr>
        <w:pStyle w:val="Heading4"/>
        <w:rPr>
          <w:rFonts w:hint="eastAsia"/>
          <w:b/>
        </w:rPr>
      </w:pPr>
      <w:r>
        <w:rPr>
          <w:rFonts w:hint="eastAsia"/>
        </w:rPr>
        <w:t>充足食品权</w:t>
      </w:r>
    </w:p>
    <w:p w:rsidR="00000000" w:rsidRDefault="00000000">
      <w:pPr>
        <w:pStyle w:val="Heading4"/>
        <w:rPr>
          <w:rFonts w:hint="eastAsia"/>
          <w:b/>
        </w:rPr>
      </w:pPr>
      <w:r>
        <w:rPr>
          <w:rFonts w:hint="eastAsia"/>
        </w:rPr>
        <w:t>食品的质量和安全性</w:t>
      </w:r>
    </w:p>
    <w:p w:rsidR="00000000" w:rsidRDefault="00000000">
      <w:pPr>
        <w:rPr>
          <w:b/>
        </w:rPr>
      </w:pPr>
      <w:r>
        <w:rPr>
          <w:rFonts w:hint="eastAsia"/>
          <w:b/>
        </w:rPr>
        <w:tab/>
      </w:r>
      <w:r>
        <w:t xml:space="preserve">322.  </w:t>
      </w:r>
      <w:r>
        <w:t>该国的现有条例与欧盟及世界卫生组织关于提供充足数量安全食品</w:t>
      </w:r>
      <w:r>
        <w:t xml:space="preserve"> (</w:t>
      </w:r>
      <w:r>
        <w:t>包括食物链中为</w:t>
      </w:r>
      <w:r>
        <w:rPr>
          <w:rFonts w:hint="eastAsia"/>
        </w:rPr>
        <w:t>维</w:t>
      </w:r>
      <w:r>
        <w:t>持和促进人的健康所必需的所有</w:t>
      </w:r>
      <w:r>
        <w:rPr>
          <w:rFonts w:hint="eastAsia"/>
        </w:rPr>
        <w:t>要</w:t>
      </w:r>
      <w:r>
        <w:t>素</w:t>
      </w:r>
      <w:r>
        <w:t>)</w:t>
      </w:r>
      <w:r>
        <w:t>的建议之间缺少一致性的情况十分明显。由于</w:t>
      </w:r>
      <w:r>
        <w:rPr>
          <w:rFonts w:hint="eastAsia"/>
        </w:rPr>
        <w:t>其</w:t>
      </w:r>
      <w:r>
        <w:t>极端重要性，食品是日益影响到传染病爆发的高危环境因素之一。</w:t>
      </w:r>
    </w:p>
    <w:p w:rsidR="00000000" w:rsidRDefault="00000000">
      <w:pPr>
        <w:rPr>
          <w:rFonts w:hint="eastAsia"/>
          <w:b/>
        </w:rPr>
      </w:pPr>
      <w:r>
        <w:rPr>
          <w:b/>
        </w:rPr>
        <w:tab/>
      </w:r>
      <w:r>
        <w:t xml:space="preserve">323.  </w:t>
      </w:r>
      <w:r>
        <w:t>在塞族共和国，尽管由</w:t>
      </w:r>
      <w:r>
        <w:rPr>
          <w:rFonts w:hint="eastAsia"/>
        </w:rPr>
        <w:t>产</w:t>
      </w:r>
      <w:r>
        <w:t>业</w:t>
      </w:r>
      <w:r>
        <w:rPr>
          <w:rFonts w:hint="eastAsia"/>
        </w:rPr>
        <w:t>化</w:t>
      </w:r>
      <w:r>
        <w:t>生产或小农场生产了一吨</w:t>
      </w:r>
      <w:r>
        <w:rPr>
          <w:rFonts w:hint="eastAsia"/>
        </w:rPr>
        <w:t>又</w:t>
      </w:r>
      <w:r>
        <w:t>一吨的食物，但是</w:t>
      </w:r>
      <w:r>
        <w:rPr>
          <w:rFonts w:hint="eastAsia"/>
        </w:rPr>
        <w:t>有相当数量的</w:t>
      </w:r>
      <w:r>
        <w:t>食品是进口的。对于食品</w:t>
      </w:r>
      <w:r>
        <w:t>(</w:t>
      </w:r>
      <w:r>
        <w:t>其中包括饮水这一最为重要的食品</w:t>
      </w:r>
      <w:r>
        <w:rPr>
          <w:rFonts w:hint="eastAsia"/>
        </w:rPr>
        <w:t>成份</w:t>
      </w:r>
      <w:r>
        <w:t>)</w:t>
      </w:r>
      <w:r>
        <w:t>的生产和销售过程的监督是由卫生和兽医检察官进行的。</w:t>
      </w:r>
      <w:r>
        <w:rPr>
          <w:rFonts w:hint="eastAsia"/>
        </w:rPr>
        <w:t>仅有一部分实验室在技术程序中作为内部管制而</w:t>
      </w:r>
      <w:r>
        <w:t>采用</w:t>
      </w:r>
      <w:r>
        <w:rPr>
          <w:rFonts w:hint="eastAsia"/>
        </w:rPr>
        <w:t>危害分析关键控点进行食品管制。公共卫生管制是由经授权对卫生状况进行管制的塞族共和国卫生保护研究所的实验室开展的，而微生物管制则属于兽医研究所的责任。</w:t>
      </w:r>
    </w:p>
    <w:p w:rsidR="00000000" w:rsidRDefault="00000000">
      <w:pPr>
        <w:rPr>
          <w:b/>
        </w:rPr>
      </w:pPr>
      <w:r>
        <w:rPr>
          <w:rFonts w:hint="eastAsia"/>
          <w:b/>
        </w:rPr>
        <w:tab/>
      </w:r>
      <w:r>
        <w:t xml:space="preserve">324.  </w:t>
      </w:r>
      <w:r>
        <w:t>作物质量低下的原因在于除虫剂过多，镉、铅和砷</w:t>
      </w:r>
      <w:r>
        <w:rPr>
          <w:rFonts w:hint="eastAsia"/>
        </w:rPr>
        <w:t>等重</w:t>
      </w:r>
      <w:r>
        <w:t>金属含量过多，加上食物原包装</w:t>
      </w:r>
      <w:r>
        <w:rPr>
          <w:rFonts w:hint="eastAsia"/>
        </w:rPr>
        <w:t>上说明</w:t>
      </w:r>
      <w:r>
        <w:t>不完整和不</w:t>
      </w:r>
      <w:r>
        <w:rPr>
          <w:rFonts w:hint="eastAsia"/>
        </w:rPr>
        <w:t>统</w:t>
      </w:r>
      <w:r>
        <w:t>一。在公共卫生机构中所分析的食品总数中，可以得出结论，对食品的抽样检查</w:t>
      </w:r>
      <w:r>
        <w:rPr>
          <w:rFonts w:hint="eastAsia"/>
        </w:rPr>
        <w:t>数量</w:t>
      </w:r>
      <w:r>
        <w:t>不够，</w:t>
      </w:r>
      <w:r>
        <w:rPr>
          <w:rFonts w:hint="eastAsia"/>
        </w:rPr>
        <w:t>比</w:t>
      </w:r>
      <w:r>
        <w:t>法律规定的要低很多</w:t>
      </w:r>
      <w:r>
        <w:t>(1,000</w:t>
      </w:r>
      <w:r>
        <w:t>名公民抽</w:t>
      </w:r>
      <w:r>
        <w:t>15</w:t>
      </w:r>
      <w:r>
        <w:t>个样品</w:t>
      </w:r>
      <w:r>
        <w:t>)</w:t>
      </w:r>
      <w:r>
        <w:t>。</w:t>
      </w:r>
    </w:p>
    <w:p w:rsidR="00000000" w:rsidRDefault="00000000">
      <w:pPr>
        <w:spacing w:after="320"/>
        <w:rPr>
          <w:b/>
        </w:rPr>
      </w:pPr>
      <w:r>
        <w:rPr>
          <w:b/>
        </w:rPr>
        <w:tab/>
      </w:r>
      <w:r>
        <w:t xml:space="preserve">325.  </w:t>
      </w:r>
      <w:r>
        <w:t>食物污染或食物中毒的情况</w:t>
      </w:r>
      <w:r>
        <w:rPr>
          <w:rFonts w:hint="eastAsia"/>
        </w:rPr>
        <w:t>常见于</w:t>
      </w:r>
      <w:r>
        <w:t>报道。过去几年，由于缺少设备，对食品没有进行辐射和毒</w:t>
      </w:r>
      <w:r>
        <w:rPr>
          <w:rFonts w:hint="eastAsia"/>
        </w:rPr>
        <w:t>理学</w:t>
      </w:r>
      <w:r>
        <w:t>分析。这项测定现在主要根据感官的化学和微生物分析，依照现有的法律规定进行的。</w:t>
      </w:r>
    </w:p>
    <w:p w:rsidR="00000000" w:rsidRDefault="00000000">
      <w:pPr>
        <w:pStyle w:val="Heading3"/>
        <w:spacing w:after="120"/>
        <w:rPr>
          <w:rFonts w:ascii="Time New Roman" w:eastAsia="SimHei" w:hAnsi="Time New Roman"/>
          <w:u w:val="none"/>
        </w:rPr>
      </w:pPr>
      <w:r>
        <w:rPr>
          <w:rFonts w:ascii="Time New Roman" w:eastAsia="SimHei" w:hAnsi="Time New Roman" w:hint="eastAsia"/>
          <w:u w:val="none"/>
        </w:rPr>
        <w:t>表</w:t>
      </w:r>
      <w:r>
        <w:rPr>
          <w:rFonts w:ascii="Time New Roman" w:eastAsia="SimHei" w:hAnsi="Time New Roman" w:hint="eastAsia"/>
          <w:u w:val="none"/>
        </w:rPr>
        <w:t xml:space="preserve">  </w:t>
      </w:r>
      <w:r>
        <w:rPr>
          <w:rFonts w:ascii="Time New Roman" w:eastAsia="SimHei" w:hAnsi="Time New Roman"/>
          <w:b/>
          <w:u w:val="none"/>
        </w:rPr>
        <w:t>4</w:t>
      </w:r>
    </w:p>
    <w:p w:rsidR="00000000" w:rsidRDefault="00000000">
      <w:pPr>
        <w:pStyle w:val="Heading3"/>
        <w:spacing w:after="240"/>
        <w:rPr>
          <w:rFonts w:hint="eastAsia"/>
        </w:rPr>
      </w:pPr>
      <w:r>
        <w:rPr>
          <w:rFonts w:ascii="Time New Roman" w:eastAsia="SimHei" w:hAnsi="Time New Roman" w:hint="eastAsia"/>
          <w:u w:val="none"/>
        </w:rPr>
        <w:t>食品的抽样分析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2"/>
        <w:gridCol w:w="1290"/>
        <w:gridCol w:w="1346"/>
        <w:gridCol w:w="1348"/>
        <w:gridCol w:w="1344"/>
        <w:gridCol w:w="1346"/>
        <w:gridCol w:w="1344"/>
      </w:tblGrid>
      <w:tr w:rsidR="00000000">
        <w:tblPrEx>
          <w:tblCellMar>
            <w:top w:w="0" w:type="dxa"/>
            <w:bottom w:w="0" w:type="dxa"/>
          </w:tblCellMar>
        </w:tblPrEx>
        <w:trPr>
          <w:cantSplit/>
          <w:trHeight w:val="218"/>
        </w:trPr>
        <w:tc>
          <w:tcPr>
            <w:tcW w:w="2857" w:type="pct"/>
            <w:gridSpan w:val="4"/>
            <w:vAlign w:val="center"/>
          </w:tcPr>
          <w:p w:rsidR="00000000" w:rsidRDefault="00000000">
            <w:pPr>
              <w:pStyle w:val="a2"/>
              <w:spacing w:before="60" w:after="40"/>
              <w:jc w:val="center"/>
              <w:rPr>
                <w:rFonts w:hint="eastAsia"/>
              </w:rPr>
            </w:pPr>
            <w:r>
              <w:rPr>
                <w:rFonts w:hint="eastAsia"/>
              </w:rPr>
              <w:t>形体</w:t>
            </w:r>
            <w:r>
              <w:t>/</w:t>
            </w:r>
            <w:r>
              <w:rPr>
                <w:rFonts w:hint="eastAsia"/>
              </w:rPr>
              <w:t>化学分析</w:t>
            </w:r>
          </w:p>
        </w:tc>
        <w:tc>
          <w:tcPr>
            <w:tcW w:w="2143" w:type="pct"/>
            <w:gridSpan w:val="3"/>
            <w:vAlign w:val="center"/>
          </w:tcPr>
          <w:p w:rsidR="00000000" w:rsidRDefault="00000000">
            <w:pPr>
              <w:pStyle w:val="a2"/>
              <w:spacing w:before="60" w:after="40"/>
              <w:jc w:val="center"/>
              <w:rPr>
                <w:rFonts w:hint="eastAsia"/>
              </w:rPr>
            </w:pPr>
            <w:r>
              <w:rPr>
                <w:rFonts w:hint="eastAsia"/>
              </w:rPr>
              <w:t>微生物分析</w:t>
            </w:r>
          </w:p>
        </w:tc>
      </w:tr>
      <w:tr w:rsidR="00000000">
        <w:tblPrEx>
          <w:tblCellMar>
            <w:top w:w="0" w:type="dxa"/>
            <w:bottom w:w="0" w:type="dxa"/>
          </w:tblCellMar>
        </w:tblPrEx>
        <w:trPr>
          <w:cantSplit/>
          <w:trHeight w:val="218"/>
        </w:trPr>
        <w:tc>
          <w:tcPr>
            <w:tcW w:w="740" w:type="pct"/>
            <w:vMerge w:val="restart"/>
            <w:vAlign w:val="center"/>
          </w:tcPr>
          <w:p w:rsidR="00000000" w:rsidRDefault="00000000">
            <w:pPr>
              <w:pStyle w:val="a2"/>
              <w:jc w:val="center"/>
              <w:rPr>
                <w:rFonts w:hint="eastAsia"/>
              </w:rPr>
            </w:pPr>
            <w:r>
              <w:rPr>
                <w:rFonts w:hint="eastAsia"/>
              </w:rPr>
              <w:t>年</w:t>
            </w:r>
            <w:r>
              <w:rPr>
                <w:rFonts w:hint="eastAsia"/>
              </w:rPr>
              <w:t xml:space="preserve">  </w:t>
            </w:r>
            <w:r>
              <w:rPr>
                <w:rFonts w:hint="eastAsia"/>
              </w:rPr>
              <w:t>度</w:t>
            </w:r>
          </w:p>
        </w:tc>
        <w:tc>
          <w:tcPr>
            <w:tcW w:w="686" w:type="pct"/>
            <w:vMerge w:val="restart"/>
            <w:vAlign w:val="center"/>
          </w:tcPr>
          <w:p w:rsidR="00000000" w:rsidRDefault="00000000">
            <w:pPr>
              <w:pStyle w:val="a2"/>
              <w:jc w:val="center"/>
              <w:rPr>
                <w:rFonts w:hint="eastAsia"/>
              </w:rPr>
            </w:pPr>
            <w:r>
              <w:rPr>
                <w:rFonts w:hint="eastAsia"/>
              </w:rPr>
              <w:t>总</w:t>
            </w:r>
            <w:r>
              <w:rPr>
                <w:rFonts w:hint="eastAsia"/>
              </w:rPr>
              <w:t xml:space="preserve">  </w:t>
            </w:r>
            <w:r>
              <w:rPr>
                <w:rFonts w:hint="eastAsia"/>
              </w:rPr>
              <w:t>数</w:t>
            </w:r>
          </w:p>
        </w:tc>
        <w:tc>
          <w:tcPr>
            <w:tcW w:w="1430" w:type="pct"/>
            <w:gridSpan w:val="2"/>
            <w:vAlign w:val="center"/>
          </w:tcPr>
          <w:p w:rsidR="00000000" w:rsidRDefault="00000000">
            <w:pPr>
              <w:pStyle w:val="a2"/>
              <w:jc w:val="center"/>
              <w:rPr>
                <w:rFonts w:hint="eastAsia"/>
              </w:rPr>
            </w:pPr>
            <w:r>
              <w:rPr>
                <w:rFonts w:hint="eastAsia"/>
              </w:rPr>
              <w:t>不合格样品</w:t>
            </w:r>
          </w:p>
        </w:tc>
        <w:tc>
          <w:tcPr>
            <w:tcW w:w="714" w:type="pct"/>
            <w:vMerge w:val="restart"/>
            <w:vAlign w:val="center"/>
          </w:tcPr>
          <w:p w:rsidR="00000000" w:rsidRDefault="00000000">
            <w:pPr>
              <w:pStyle w:val="a2"/>
              <w:jc w:val="center"/>
              <w:rPr>
                <w:rFonts w:hint="eastAsia"/>
              </w:rPr>
            </w:pPr>
            <w:r>
              <w:rPr>
                <w:rFonts w:hint="eastAsia"/>
              </w:rPr>
              <w:t>总</w:t>
            </w:r>
            <w:r>
              <w:rPr>
                <w:rFonts w:hint="eastAsia"/>
              </w:rPr>
              <w:t xml:space="preserve">  </w:t>
            </w:r>
            <w:r>
              <w:rPr>
                <w:rFonts w:hint="eastAsia"/>
              </w:rPr>
              <w:t>数</w:t>
            </w:r>
          </w:p>
        </w:tc>
        <w:tc>
          <w:tcPr>
            <w:tcW w:w="1429" w:type="pct"/>
            <w:gridSpan w:val="2"/>
            <w:vAlign w:val="center"/>
          </w:tcPr>
          <w:p w:rsidR="00000000" w:rsidRDefault="00000000">
            <w:pPr>
              <w:pStyle w:val="a2"/>
              <w:jc w:val="center"/>
              <w:rPr>
                <w:rFonts w:hint="eastAsia"/>
              </w:rPr>
            </w:pPr>
            <w:r>
              <w:rPr>
                <w:rFonts w:hint="eastAsia"/>
              </w:rPr>
              <w:t>不合格样品</w:t>
            </w:r>
          </w:p>
        </w:tc>
      </w:tr>
      <w:tr w:rsidR="00000000">
        <w:tblPrEx>
          <w:tblCellMar>
            <w:top w:w="0" w:type="dxa"/>
            <w:bottom w:w="0" w:type="dxa"/>
          </w:tblCellMar>
        </w:tblPrEx>
        <w:trPr>
          <w:cantSplit/>
          <w:trHeight w:val="217"/>
        </w:trPr>
        <w:tc>
          <w:tcPr>
            <w:tcW w:w="740" w:type="pct"/>
            <w:vMerge/>
            <w:tcBorders>
              <w:bottom w:val="single" w:sz="4" w:space="0" w:color="auto"/>
            </w:tcBorders>
            <w:vAlign w:val="center"/>
          </w:tcPr>
          <w:p w:rsidR="00000000" w:rsidRDefault="00000000">
            <w:pPr>
              <w:pStyle w:val="a2"/>
              <w:jc w:val="center"/>
              <w:rPr>
                <w:rFonts w:hint="eastAsia"/>
              </w:rPr>
            </w:pPr>
          </w:p>
        </w:tc>
        <w:tc>
          <w:tcPr>
            <w:tcW w:w="686" w:type="pct"/>
            <w:vMerge/>
            <w:tcBorders>
              <w:bottom w:val="single" w:sz="4" w:space="0" w:color="auto"/>
            </w:tcBorders>
            <w:vAlign w:val="center"/>
          </w:tcPr>
          <w:p w:rsidR="00000000" w:rsidRDefault="00000000">
            <w:pPr>
              <w:pStyle w:val="a2"/>
              <w:jc w:val="center"/>
              <w:rPr>
                <w:rFonts w:hint="eastAsia"/>
              </w:rPr>
            </w:pPr>
          </w:p>
        </w:tc>
        <w:tc>
          <w:tcPr>
            <w:tcW w:w="715" w:type="pct"/>
            <w:tcBorders>
              <w:bottom w:val="single" w:sz="4" w:space="0" w:color="auto"/>
            </w:tcBorders>
            <w:vAlign w:val="center"/>
          </w:tcPr>
          <w:p w:rsidR="00000000" w:rsidRDefault="00000000">
            <w:pPr>
              <w:pStyle w:val="a2"/>
              <w:jc w:val="center"/>
              <w:rPr>
                <w:rFonts w:hint="eastAsia"/>
              </w:rPr>
            </w:pPr>
            <w:r>
              <w:rPr>
                <w:rFonts w:hint="eastAsia"/>
              </w:rPr>
              <w:t>数</w:t>
            </w:r>
            <w:r>
              <w:rPr>
                <w:rFonts w:hint="eastAsia"/>
              </w:rPr>
              <w:t xml:space="preserve">  </w:t>
            </w:r>
            <w:r>
              <w:rPr>
                <w:rFonts w:hint="eastAsia"/>
              </w:rPr>
              <w:t>量</w:t>
            </w:r>
          </w:p>
        </w:tc>
        <w:tc>
          <w:tcPr>
            <w:tcW w:w="715" w:type="pct"/>
            <w:tcBorders>
              <w:bottom w:val="single" w:sz="4" w:space="0" w:color="auto"/>
            </w:tcBorders>
            <w:vAlign w:val="center"/>
          </w:tcPr>
          <w:p w:rsidR="00000000" w:rsidRDefault="00000000">
            <w:pPr>
              <w:pStyle w:val="a2"/>
              <w:jc w:val="center"/>
              <w:rPr>
                <w:rFonts w:hint="eastAsia"/>
              </w:rPr>
            </w:pPr>
            <w:r>
              <w:rPr>
                <w:rFonts w:hint="eastAsia"/>
              </w:rPr>
              <w:t>百分比</w:t>
            </w:r>
          </w:p>
        </w:tc>
        <w:tc>
          <w:tcPr>
            <w:tcW w:w="714" w:type="pct"/>
            <w:vMerge/>
            <w:tcBorders>
              <w:bottom w:val="single" w:sz="4" w:space="0" w:color="auto"/>
            </w:tcBorders>
            <w:vAlign w:val="center"/>
          </w:tcPr>
          <w:p w:rsidR="00000000" w:rsidRDefault="00000000">
            <w:pPr>
              <w:pStyle w:val="a2"/>
              <w:jc w:val="center"/>
              <w:rPr>
                <w:rFonts w:hint="eastAsia"/>
              </w:rPr>
            </w:pPr>
          </w:p>
        </w:tc>
        <w:tc>
          <w:tcPr>
            <w:tcW w:w="715" w:type="pct"/>
            <w:tcBorders>
              <w:bottom w:val="single" w:sz="4" w:space="0" w:color="auto"/>
            </w:tcBorders>
            <w:vAlign w:val="center"/>
          </w:tcPr>
          <w:p w:rsidR="00000000" w:rsidRDefault="00000000">
            <w:pPr>
              <w:pStyle w:val="a2"/>
              <w:jc w:val="center"/>
              <w:rPr>
                <w:rFonts w:hint="eastAsia"/>
              </w:rPr>
            </w:pPr>
            <w:r>
              <w:rPr>
                <w:rFonts w:hint="eastAsia"/>
              </w:rPr>
              <w:t>数</w:t>
            </w:r>
            <w:r>
              <w:rPr>
                <w:rFonts w:hint="eastAsia"/>
              </w:rPr>
              <w:t xml:space="preserve">  </w:t>
            </w:r>
            <w:r>
              <w:rPr>
                <w:rFonts w:hint="eastAsia"/>
              </w:rPr>
              <w:t>量</w:t>
            </w:r>
          </w:p>
        </w:tc>
        <w:tc>
          <w:tcPr>
            <w:tcW w:w="714" w:type="pct"/>
            <w:tcBorders>
              <w:bottom w:val="single" w:sz="4" w:space="0" w:color="auto"/>
            </w:tcBorders>
            <w:vAlign w:val="center"/>
          </w:tcPr>
          <w:p w:rsidR="00000000" w:rsidRDefault="00000000">
            <w:pPr>
              <w:pStyle w:val="a2"/>
              <w:jc w:val="center"/>
              <w:rPr>
                <w:rFonts w:hint="eastAsia"/>
              </w:rPr>
            </w:pPr>
            <w:r>
              <w:rPr>
                <w:rFonts w:hint="eastAsia"/>
              </w:rPr>
              <w:t>百分比</w:t>
            </w:r>
          </w:p>
        </w:tc>
      </w:tr>
      <w:tr w:rsidR="00000000">
        <w:tblPrEx>
          <w:tblCellMar>
            <w:top w:w="0" w:type="dxa"/>
            <w:bottom w:w="0" w:type="dxa"/>
          </w:tblCellMar>
        </w:tblPrEx>
        <w:tc>
          <w:tcPr>
            <w:tcW w:w="740" w:type="pct"/>
            <w:tcBorders>
              <w:bottom w:val="nil"/>
            </w:tcBorders>
          </w:tcPr>
          <w:p w:rsidR="00000000" w:rsidRDefault="00000000">
            <w:pPr>
              <w:pStyle w:val="a2"/>
              <w:jc w:val="center"/>
            </w:pPr>
            <w:r>
              <w:t>1998</w:t>
            </w:r>
          </w:p>
        </w:tc>
        <w:tc>
          <w:tcPr>
            <w:tcW w:w="686" w:type="pct"/>
            <w:tcBorders>
              <w:bottom w:val="nil"/>
            </w:tcBorders>
          </w:tcPr>
          <w:p w:rsidR="00000000" w:rsidRDefault="00000000">
            <w:pPr>
              <w:pStyle w:val="a2"/>
              <w:tabs>
                <w:tab w:val="decimal" w:pos="813"/>
              </w:tabs>
            </w:pPr>
            <w:r>
              <w:t>2,286</w:t>
            </w:r>
          </w:p>
        </w:tc>
        <w:tc>
          <w:tcPr>
            <w:tcW w:w="715" w:type="pct"/>
            <w:tcBorders>
              <w:bottom w:val="nil"/>
            </w:tcBorders>
          </w:tcPr>
          <w:p w:rsidR="00000000" w:rsidRDefault="00000000">
            <w:pPr>
              <w:pStyle w:val="a2"/>
              <w:tabs>
                <w:tab w:val="decimal" w:pos="813"/>
              </w:tabs>
            </w:pPr>
            <w:r>
              <w:t>253</w:t>
            </w:r>
          </w:p>
        </w:tc>
        <w:tc>
          <w:tcPr>
            <w:tcW w:w="715" w:type="pct"/>
            <w:tcBorders>
              <w:bottom w:val="nil"/>
            </w:tcBorders>
          </w:tcPr>
          <w:p w:rsidR="00000000" w:rsidRDefault="00000000">
            <w:pPr>
              <w:pStyle w:val="a2"/>
              <w:tabs>
                <w:tab w:val="decimal" w:pos="697"/>
              </w:tabs>
            </w:pPr>
            <w:r>
              <w:t>11.0</w:t>
            </w:r>
          </w:p>
        </w:tc>
        <w:tc>
          <w:tcPr>
            <w:tcW w:w="714" w:type="pct"/>
            <w:tcBorders>
              <w:bottom w:val="nil"/>
            </w:tcBorders>
          </w:tcPr>
          <w:p w:rsidR="00000000" w:rsidRDefault="00000000">
            <w:pPr>
              <w:pStyle w:val="a2"/>
              <w:tabs>
                <w:tab w:val="decimal" w:pos="813"/>
              </w:tabs>
            </w:pPr>
            <w:r>
              <w:t>3,927</w:t>
            </w:r>
          </w:p>
        </w:tc>
        <w:tc>
          <w:tcPr>
            <w:tcW w:w="715" w:type="pct"/>
            <w:tcBorders>
              <w:bottom w:val="nil"/>
            </w:tcBorders>
          </w:tcPr>
          <w:p w:rsidR="00000000" w:rsidRDefault="00000000">
            <w:pPr>
              <w:pStyle w:val="a2"/>
              <w:tabs>
                <w:tab w:val="decimal" w:pos="813"/>
              </w:tabs>
            </w:pPr>
            <w:r>
              <w:t>537</w:t>
            </w:r>
          </w:p>
        </w:tc>
        <w:tc>
          <w:tcPr>
            <w:tcW w:w="714" w:type="pct"/>
            <w:tcBorders>
              <w:bottom w:val="nil"/>
            </w:tcBorders>
          </w:tcPr>
          <w:p w:rsidR="00000000" w:rsidRDefault="00000000">
            <w:pPr>
              <w:pStyle w:val="a2"/>
              <w:tabs>
                <w:tab w:val="decimal" w:pos="649"/>
              </w:tabs>
            </w:pPr>
            <w:r>
              <w:t>13.67</w:t>
            </w:r>
          </w:p>
        </w:tc>
      </w:tr>
      <w:tr w:rsidR="00000000">
        <w:tblPrEx>
          <w:tblCellMar>
            <w:top w:w="0" w:type="dxa"/>
            <w:bottom w:w="0" w:type="dxa"/>
          </w:tblCellMar>
        </w:tblPrEx>
        <w:tc>
          <w:tcPr>
            <w:tcW w:w="740" w:type="pct"/>
            <w:tcBorders>
              <w:top w:val="nil"/>
              <w:bottom w:val="nil"/>
            </w:tcBorders>
          </w:tcPr>
          <w:p w:rsidR="00000000" w:rsidRDefault="00000000">
            <w:pPr>
              <w:pStyle w:val="a2"/>
              <w:jc w:val="center"/>
            </w:pPr>
            <w:r>
              <w:t>1999</w:t>
            </w:r>
          </w:p>
        </w:tc>
        <w:tc>
          <w:tcPr>
            <w:tcW w:w="686" w:type="pct"/>
            <w:tcBorders>
              <w:top w:val="nil"/>
              <w:bottom w:val="nil"/>
            </w:tcBorders>
          </w:tcPr>
          <w:p w:rsidR="00000000" w:rsidRDefault="00000000">
            <w:pPr>
              <w:pStyle w:val="a2"/>
              <w:tabs>
                <w:tab w:val="decimal" w:pos="813"/>
              </w:tabs>
            </w:pPr>
            <w:r>
              <w:t>2,418</w:t>
            </w:r>
          </w:p>
        </w:tc>
        <w:tc>
          <w:tcPr>
            <w:tcW w:w="715" w:type="pct"/>
            <w:tcBorders>
              <w:top w:val="nil"/>
              <w:bottom w:val="nil"/>
            </w:tcBorders>
          </w:tcPr>
          <w:p w:rsidR="00000000" w:rsidRDefault="00000000">
            <w:pPr>
              <w:pStyle w:val="a2"/>
              <w:tabs>
                <w:tab w:val="decimal" w:pos="813"/>
              </w:tabs>
            </w:pPr>
            <w:r>
              <w:t>220</w:t>
            </w:r>
          </w:p>
        </w:tc>
        <w:tc>
          <w:tcPr>
            <w:tcW w:w="715" w:type="pct"/>
            <w:tcBorders>
              <w:top w:val="nil"/>
              <w:bottom w:val="nil"/>
            </w:tcBorders>
          </w:tcPr>
          <w:p w:rsidR="00000000" w:rsidRDefault="00000000">
            <w:pPr>
              <w:pStyle w:val="a2"/>
              <w:tabs>
                <w:tab w:val="decimal" w:pos="697"/>
              </w:tabs>
            </w:pPr>
            <w:r>
              <w:t>11.1</w:t>
            </w:r>
          </w:p>
        </w:tc>
        <w:tc>
          <w:tcPr>
            <w:tcW w:w="714" w:type="pct"/>
            <w:tcBorders>
              <w:top w:val="nil"/>
              <w:bottom w:val="nil"/>
            </w:tcBorders>
          </w:tcPr>
          <w:p w:rsidR="00000000" w:rsidRDefault="00000000">
            <w:pPr>
              <w:pStyle w:val="a2"/>
              <w:tabs>
                <w:tab w:val="decimal" w:pos="813"/>
              </w:tabs>
            </w:pPr>
            <w:r>
              <w:t>3,225</w:t>
            </w:r>
          </w:p>
        </w:tc>
        <w:tc>
          <w:tcPr>
            <w:tcW w:w="715" w:type="pct"/>
            <w:tcBorders>
              <w:top w:val="nil"/>
              <w:bottom w:val="nil"/>
            </w:tcBorders>
          </w:tcPr>
          <w:p w:rsidR="00000000" w:rsidRDefault="00000000">
            <w:pPr>
              <w:pStyle w:val="a2"/>
              <w:tabs>
                <w:tab w:val="decimal" w:pos="813"/>
              </w:tabs>
            </w:pPr>
            <w:r>
              <w:t>547</w:t>
            </w:r>
          </w:p>
        </w:tc>
        <w:tc>
          <w:tcPr>
            <w:tcW w:w="714" w:type="pct"/>
            <w:tcBorders>
              <w:top w:val="nil"/>
              <w:bottom w:val="nil"/>
            </w:tcBorders>
          </w:tcPr>
          <w:p w:rsidR="00000000" w:rsidRDefault="00000000">
            <w:pPr>
              <w:pStyle w:val="a2"/>
              <w:tabs>
                <w:tab w:val="decimal" w:pos="649"/>
              </w:tabs>
            </w:pPr>
            <w:r>
              <w:t>16.96</w:t>
            </w:r>
          </w:p>
        </w:tc>
      </w:tr>
      <w:tr w:rsidR="00000000">
        <w:tblPrEx>
          <w:tblCellMar>
            <w:top w:w="0" w:type="dxa"/>
            <w:bottom w:w="0" w:type="dxa"/>
          </w:tblCellMar>
        </w:tblPrEx>
        <w:tc>
          <w:tcPr>
            <w:tcW w:w="740" w:type="pct"/>
            <w:tcBorders>
              <w:top w:val="nil"/>
              <w:bottom w:val="nil"/>
            </w:tcBorders>
          </w:tcPr>
          <w:p w:rsidR="00000000" w:rsidRDefault="00000000">
            <w:pPr>
              <w:pStyle w:val="a2"/>
              <w:jc w:val="center"/>
            </w:pPr>
            <w:r>
              <w:t>2000</w:t>
            </w:r>
          </w:p>
        </w:tc>
        <w:tc>
          <w:tcPr>
            <w:tcW w:w="686" w:type="pct"/>
            <w:tcBorders>
              <w:top w:val="nil"/>
              <w:bottom w:val="nil"/>
            </w:tcBorders>
          </w:tcPr>
          <w:p w:rsidR="00000000" w:rsidRDefault="00000000">
            <w:pPr>
              <w:pStyle w:val="a2"/>
              <w:tabs>
                <w:tab w:val="decimal" w:pos="813"/>
              </w:tabs>
            </w:pPr>
            <w:r>
              <w:t>2,647</w:t>
            </w:r>
          </w:p>
        </w:tc>
        <w:tc>
          <w:tcPr>
            <w:tcW w:w="715" w:type="pct"/>
            <w:tcBorders>
              <w:top w:val="nil"/>
              <w:bottom w:val="nil"/>
            </w:tcBorders>
          </w:tcPr>
          <w:p w:rsidR="00000000" w:rsidRDefault="00000000">
            <w:pPr>
              <w:pStyle w:val="a2"/>
              <w:tabs>
                <w:tab w:val="decimal" w:pos="813"/>
              </w:tabs>
            </w:pPr>
            <w:r>
              <w:t>398</w:t>
            </w:r>
          </w:p>
        </w:tc>
        <w:tc>
          <w:tcPr>
            <w:tcW w:w="715" w:type="pct"/>
            <w:tcBorders>
              <w:top w:val="nil"/>
              <w:bottom w:val="nil"/>
            </w:tcBorders>
          </w:tcPr>
          <w:p w:rsidR="00000000" w:rsidRDefault="00000000">
            <w:pPr>
              <w:pStyle w:val="a2"/>
              <w:tabs>
                <w:tab w:val="decimal" w:pos="697"/>
              </w:tabs>
            </w:pPr>
            <w:r>
              <w:t>15.0</w:t>
            </w:r>
          </w:p>
        </w:tc>
        <w:tc>
          <w:tcPr>
            <w:tcW w:w="714" w:type="pct"/>
            <w:tcBorders>
              <w:top w:val="nil"/>
              <w:bottom w:val="nil"/>
            </w:tcBorders>
          </w:tcPr>
          <w:p w:rsidR="00000000" w:rsidRDefault="00000000">
            <w:pPr>
              <w:pStyle w:val="a2"/>
              <w:tabs>
                <w:tab w:val="decimal" w:pos="813"/>
              </w:tabs>
            </w:pPr>
            <w:r>
              <w:t>5,243</w:t>
            </w:r>
          </w:p>
        </w:tc>
        <w:tc>
          <w:tcPr>
            <w:tcW w:w="715" w:type="pct"/>
            <w:tcBorders>
              <w:top w:val="nil"/>
              <w:bottom w:val="nil"/>
            </w:tcBorders>
          </w:tcPr>
          <w:p w:rsidR="00000000" w:rsidRDefault="00000000">
            <w:pPr>
              <w:pStyle w:val="a2"/>
              <w:tabs>
                <w:tab w:val="decimal" w:pos="813"/>
              </w:tabs>
            </w:pPr>
            <w:r>
              <w:t>528</w:t>
            </w:r>
          </w:p>
        </w:tc>
        <w:tc>
          <w:tcPr>
            <w:tcW w:w="714" w:type="pct"/>
            <w:tcBorders>
              <w:top w:val="nil"/>
              <w:bottom w:val="nil"/>
            </w:tcBorders>
          </w:tcPr>
          <w:p w:rsidR="00000000" w:rsidRDefault="00000000">
            <w:pPr>
              <w:pStyle w:val="a2"/>
              <w:tabs>
                <w:tab w:val="decimal" w:pos="649"/>
              </w:tabs>
            </w:pPr>
            <w:r>
              <w:t>10.07</w:t>
            </w:r>
          </w:p>
        </w:tc>
      </w:tr>
      <w:tr w:rsidR="00000000">
        <w:tblPrEx>
          <w:tblCellMar>
            <w:top w:w="0" w:type="dxa"/>
            <w:bottom w:w="0" w:type="dxa"/>
          </w:tblCellMar>
        </w:tblPrEx>
        <w:tc>
          <w:tcPr>
            <w:tcW w:w="740" w:type="pct"/>
            <w:tcBorders>
              <w:top w:val="nil"/>
              <w:bottom w:val="nil"/>
            </w:tcBorders>
          </w:tcPr>
          <w:p w:rsidR="00000000" w:rsidRDefault="00000000">
            <w:pPr>
              <w:pStyle w:val="a2"/>
              <w:jc w:val="center"/>
            </w:pPr>
            <w:r>
              <w:t>2001</w:t>
            </w:r>
          </w:p>
        </w:tc>
        <w:tc>
          <w:tcPr>
            <w:tcW w:w="686" w:type="pct"/>
            <w:tcBorders>
              <w:top w:val="nil"/>
              <w:bottom w:val="nil"/>
            </w:tcBorders>
          </w:tcPr>
          <w:p w:rsidR="00000000" w:rsidRDefault="00000000">
            <w:pPr>
              <w:pStyle w:val="a2"/>
              <w:tabs>
                <w:tab w:val="decimal" w:pos="813"/>
              </w:tabs>
            </w:pPr>
            <w:r>
              <w:t>3,004</w:t>
            </w:r>
          </w:p>
        </w:tc>
        <w:tc>
          <w:tcPr>
            <w:tcW w:w="715" w:type="pct"/>
            <w:tcBorders>
              <w:top w:val="nil"/>
              <w:bottom w:val="nil"/>
            </w:tcBorders>
          </w:tcPr>
          <w:p w:rsidR="00000000" w:rsidRDefault="00000000">
            <w:pPr>
              <w:pStyle w:val="a2"/>
              <w:tabs>
                <w:tab w:val="decimal" w:pos="813"/>
              </w:tabs>
            </w:pPr>
            <w:r>
              <w:t>446</w:t>
            </w:r>
          </w:p>
        </w:tc>
        <w:tc>
          <w:tcPr>
            <w:tcW w:w="715" w:type="pct"/>
            <w:tcBorders>
              <w:top w:val="nil"/>
              <w:bottom w:val="nil"/>
            </w:tcBorders>
          </w:tcPr>
          <w:p w:rsidR="00000000" w:rsidRDefault="00000000">
            <w:pPr>
              <w:pStyle w:val="a2"/>
              <w:tabs>
                <w:tab w:val="decimal" w:pos="697"/>
              </w:tabs>
            </w:pPr>
            <w:r>
              <w:t>14.8</w:t>
            </w:r>
          </w:p>
        </w:tc>
        <w:tc>
          <w:tcPr>
            <w:tcW w:w="714" w:type="pct"/>
            <w:tcBorders>
              <w:top w:val="nil"/>
              <w:bottom w:val="nil"/>
            </w:tcBorders>
          </w:tcPr>
          <w:p w:rsidR="00000000" w:rsidRDefault="00000000">
            <w:pPr>
              <w:pStyle w:val="a2"/>
              <w:tabs>
                <w:tab w:val="decimal" w:pos="813"/>
              </w:tabs>
            </w:pPr>
            <w:r>
              <w:t>5,872</w:t>
            </w:r>
          </w:p>
        </w:tc>
        <w:tc>
          <w:tcPr>
            <w:tcW w:w="715" w:type="pct"/>
            <w:tcBorders>
              <w:top w:val="nil"/>
              <w:bottom w:val="nil"/>
            </w:tcBorders>
          </w:tcPr>
          <w:p w:rsidR="00000000" w:rsidRDefault="00000000">
            <w:pPr>
              <w:pStyle w:val="a2"/>
              <w:tabs>
                <w:tab w:val="decimal" w:pos="813"/>
              </w:tabs>
            </w:pPr>
            <w:r>
              <w:t>661</w:t>
            </w:r>
          </w:p>
        </w:tc>
        <w:tc>
          <w:tcPr>
            <w:tcW w:w="714" w:type="pct"/>
            <w:tcBorders>
              <w:top w:val="nil"/>
              <w:bottom w:val="nil"/>
            </w:tcBorders>
          </w:tcPr>
          <w:p w:rsidR="00000000" w:rsidRDefault="00000000">
            <w:pPr>
              <w:pStyle w:val="a2"/>
              <w:tabs>
                <w:tab w:val="decimal" w:pos="649"/>
              </w:tabs>
            </w:pPr>
            <w:r>
              <w:t>11.25</w:t>
            </w:r>
          </w:p>
        </w:tc>
      </w:tr>
      <w:tr w:rsidR="00000000">
        <w:tblPrEx>
          <w:tblCellMar>
            <w:top w:w="0" w:type="dxa"/>
            <w:bottom w:w="0" w:type="dxa"/>
          </w:tblCellMar>
        </w:tblPrEx>
        <w:tc>
          <w:tcPr>
            <w:tcW w:w="740" w:type="pct"/>
            <w:tcBorders>
              <w:top w:val="nil"/>
            </w:tcBorders>
          </w:tcPr>
          <w:p w:rsidR="00000000" w:rsidRDefault="00000000">
            <w:pPr>
              <w:pStyle w:val="a2"/>
              <w:jc w:val="center"/>
            </w:pPr>
            <w:r>
              <w:t>2002</w:t>
            </w:r>
          </w:p>
        </w:tc>
        <w:tc>
          <w:tcPr>
            <w:tcW w:w="686" w:type="pct"/>
            <w:tcBorders>
              <w:top w:val="nil"/>
            </w:tcBorders>
          </w:tcPr>
          <w:p w:rsidR="00000000" w:rsidRDefault="00000000">
            <w:pPr>
              <w:pStyle w:val="a2"/>
              <w:tabs>
                <w:tab w:val="decimal" w:pos="813"/>
              </w:tabs>
            </w:pPr>
            <w:r>
              <w:t>4,712</w:t>
            </w:r>
          </w:p>
        </w:tc>
        <w:tc>
          <w:tcPr>
            <w:tcW w:w="715" w:type="pct"/>
            <w:tcBorders>
              <w:top w:val="nil"/>
            </w:tcBorders>
          </w:tcPr>
          <w:p w:rsidR="00000000" w:rsidRDefault="00000000">
            <w:pPr>
              <w:pStyle w:val="a2"/>
              <w:tabs>
                <w:tab w:val="decimal" w:pos="813"/>
              </w:tabs>
            </w:pPr>
            <w:r>
              <w:t>618</w:t>
            </w:r>
          </w:p>
        </w:tc>
        <w:tc>
          <w:tcPr>
            <w:tcW w:w="715" w:type="pct"/>
            <w:tcBorders>
              <w:top w:val="nil"/>
            </w:tcBorders>
          </w:tcPr>
          <w:p w:rsidR="00000000" w:rsidRDefault="00000000">
            <w:pPr>
              <w:pStyle w:val="a2"/>
              <w:tabs>
                <w:tab w:val="decimal" w:pos="697"/>
              </w:tabs>
            </w:pPr>
            <w:r>
              <w:t>13.1</w:t>
            </w:r>
          </w:p>
        </w:tc>
        <w:tc>
          <w:tcPr>
            <w:tcW w:w="714" w:type="pct"/>
            <w:tcBorders>
              <w:top w:val="nil"/>
            </w:tcBorders>
          </w:tcPr>
          <w:p w:rsidR="00000000" w:rsidRDefault="00000000">
            <w:pPr>
              <w:pStyle w:val="a2"/>
              <w:tabs>
                <w:tab w:val="decimal" w:pos="813"/>
              </w:tabs>
            </w:pPr>
            <w:r>
              <w:t>7,128</w:t>
            </w:r>
          </w:p>
        </w:tc>
        <w:tc>
          <w:tcPr>
            <w:tcW w:w="715" w:type="pct"/>
            <w:tcBorders>
              <w:top w:val="nil"/>
            </w:tcBorders>
          </w:tcPr>
          <w:p w:rsidR="00000000" w:rsidRDefault="00000000">
            <w:pPr>
              <w:pStyle w:val="a2"/>
              <w:tabs>
                <w:tab w:val="decimal" w:pos="813"/>
              </w:tabs>
            </w:pPr>
            <w:r>
              <w:t>892</w:t>
            </w:r>
          </w:p>
        </w:tc>
        <w:tc>
          <w:tcPr>
            <w:tcW w:w="714" w:type="pct"/>
            <w:tcBorders>
              <w:top w:val="nil"/>
            </w:tcBorders>
          </w:tcPr>
          <w:p w:rsidR="00000000" w:rsidRDefault="00000000">
            <w:pPr>
              <w:pStyle w:val="a2"/>
              <w:tabs>
                <w:tab w:val="decimal" w:pos="649"/>
              </w:tabs>
            </w:pPr>
            <w:r>
              <w:t>12.51</w:t>
            </w:r>
          </w:p>
        </w:tc>
      </w:tr>
    </w:tbl>
    <w:p w:rsidR="00000000" w:rsidRDefault="00000000">
      <w:pPr>
        <w:spacing w:before="180" w:after="240"/>
        <w:rPr>
          <w:rFonts w:hint="eastAsia"/>
          <w:b/>
        </w:rPr>
      </w:pPr>
      <w:r>
        <w:rPr>
          <w:rFonts w:eastAsia="KaiTi_GB2312" w:hint="eastAsia"/>
          <w:snapToGrid/>
          <w:spacing w:val="0"/>
        </w:rPr>
        <w:tab/>
      </w:r>
      <w:r>
        <w:rPr>
          <w:rFonts w:eastAsia="KaiTi_GB2312" w:hint="eastAsia"/>
          <w:snapToGrid/>
          <w:spacing w:val="0"/>
          <w:u w:val="single"/>
        </w:rPr>
        <w:t>资料来源</w:t>
      </w:r>
      <w:r>
        <w:rPr>
          <w:rFonts w:eastAsia="KaiTi_GB2312" w:hint="eastAsia"/>
          <w:snapToGrid/>
          <w:spacing w:val="0"/>
        </w:rPr>
        <w:t>：报告，</w:t>
      </w:r>
      <w:r>
        <w:rPr>
          <w:rFonts w:eastAsia="KaiTi_GB2312"/>
          <w:snapToGrid/>
          <w:spacing w:val="0"/>
        </w:rPr>
        <w:t>1998</w:t>
      </w:r>
      <w:r>
        <w:rPr>
          <w:rFonts w:eastAsia="KaiTi_GB2312"/>
          <w:snapToGrid/>
          <w:spacing w:val="0"/>
        </w:rPr>
        <w:t>年</w:t>
      </w:r>
      <w:r>
        <w:rPr>
          <w:rFonts w:eastAsia="KaiTi_GB2312"/>
          <w:snapToGrid/>
          <w:spacing w:val="0"/>
        </w:rPr>
        <w:t>/1999</w:t>
      </w:r>
      <w:r>
        <w:rPr>
          <w:rFonts w:eastAsia="KaiTi_GB2312"/>
          <w:snapToGrid/>
          <w:spacing w:val="0"/>
        </w:rPr>
        <w:t>年</w:t>
      </w:r>
      <w:r>
        <w:rPr>
          <w:rFonts w:eastAsia="KaiTi_GB2312"/>
          <w:snapToGrid/>
          <w:spacing w:val="0"/>
        </w:rPr>
        <w:t>/2000</w:t>
      </w:r>
      <w:r>
        <w:rPr>
          <w:rFonts w:eastAsia="KaiTi_GB2312"/>
          <w:snapToGrid/>
          <w:spacing w:val="0"/>
        </w:rPr>
        <w:t>年，</w:t>
      </w:r>
      <w:r>
        <w:rPr>
          <w:rFonts w:eastAsia="KaiTi_GB2312"/>
          <w:snapToGrid/>
          <w:spacing w:val="0"/>
        </w:rPr>
        <w:t>(</w:t>
      </w:r>
      <w:r>
        <w:rPr>
          <w:rFonts w:eastAsia="KaiTi_GB2312"/>
          <w:snapToGrid/>
          <w:spacing w:val="0"/>
        </w:rPr>
        <w:t>塞族共和国卫生保护研究所，巴尼亚卢卡</w:t>
      </w:r>
      <w:r>
        <w:rPr>
          <w:rFonts w:eastAsia="KaiTi_GB2312"/>
          <w:snapToGrid/>
          <w:spacing w:val="0"/>
        </w:rPr>
        <w:t>)</w:t>
      </w:r>
      <w:r>
        <w:rPr>
          <w:spacing w:val="0"/>
        </w:rPr>
        <w:t>。</w:t>
      </w:r>
    </w:p>
    <w:p w:rsidR="00000000" w:rsidRDefault="00000000">
      <w:pPr>
        <w:rPr>
          <w:b/>
        </w:rPr>
      </w:pPr>
      <w:r>
        <w:rPr>
          <w:b/>
        </w:rPr>
        <w:tab/>
      </w:r>
      <w:r>
        <w:t xml:space="preserve">326.  </w:t>
      </w:r>
      <w:r>
        <w:t>检查事务部的地方卫生检查署工作人员必须接受卫生检查</w:t>
      </w:r>
      <w:r>
        <w:t>(</w:t>
      </w:r>
      <w:r>
        <w:t>喉鼻擦试、</w:t>
      </w:r>
      <w:r>
        <w:rPr>
          <w:rFonts w:hint="eastAsia"/>
        </w:rPr>
        <w:t>大</w:t>
      </w:r>
      <w:r>
        <w:t>便的寄生虫和原生体测验</w:t>
      </w:r>
      <w:r>
        <w:t>)</w:t>
      </w:r>
      <w:r>
        <w:t>以及临床检查，另外如果医生发现检验为阳性，</w:t>
      </w:r>
      <w:r>
        <w:rPr>
          <w:rFonts w:hint="eastAsia"/>
        </w:rPr>
        <w:t>还</w:t>
      </w:r>
      <w:r>
        <w:t>需要每年至少两次</w:t>
      </w:r>
      <w:r>
        <w:rPr>
          <w:rFonts w:hint="eastAsia"/>
        </w:rPr>
        <w:t>定期</w:t>
      </w:r>
      <w:r>
        <w:t>测试。在检查完毕</w:t>
      </w:r>
      <w:r>
        <w:rPr>
          <w:rFonts w:hint="eastAsia"/>
        </w:rPr>
        <w:t>收到</w:t>
      </w:r>
      <w:r>
        <w:t>实验室研究报告之后，就颁发卫生小册子，而如果检察发现某种疾病，就对病人接下去的治疗提出建议。</w:t>
      </w:r>
    </w:p>
    <w:p w:rsidR="00000000" w:rsidRDefault="00000000">
      <w:pPr>
        <w:rPr>
          <w:b/>
        </w:rPr>
      </w:pPr>
      <w:r>
        <w:rPr>
          <w:b/>
        </w:rPr>
        <w:tab/>
      </w:r>
      <w:r>
        <w:t xml:space="preserve">327.  </w:t>
      </w:r>
      <w:r>
        <w:t>所有从事食品制造过程或在准备饭菜的设施</w:t>
      </w:r>
      <w:r>
        <w:t>(</w:t>
      </w:r>
      <w:r>
        <w:t>伙食场地</w:t>
      </w:r>
      <w:r>
        <w:t>)</w:t>
      </w:r>
      <w:r>
        <w:t>工作的人员必须</w:t>
      </w:r>
      <w:r>
        <w:rPr>
          <w:rFonts w:hint="eastAsia"/>
        </w:rPr>
        <w:t>接受</w:t>
      </w:r>
      <w:r>
        <w:t>关于个人卫生</w:t>
      </w:r>
      <w:r>
        <w:t>/</w:t>
      </w:r>
      <w:r>
        <w:t>环境卫生的基本</w:t>
      </w:r>
      <w:r>
        <w:rPr>
          <w:rFonts w:hint="eastAsia"/>
        </w:rPr>
        <w:t>知识</w:t>
      </w:r>
      <w:r>
        <w:t>讲座，并且在开始工作之前参加最后考试。这些知识在一段时间之后必须抽时间复查。在对食品生产的设施和员工监督过程中，抽样检查下列项目：食品样品，工作设备表面、参与生产过程的人员工作服、餐具和手掌擦试样本。</w:t>
      </w:r>
    </w:p>
    <w:p w:rsidR="00000000" w:rsidRDefault="00000000">
      <w:pPr>
        <w:rPr>
          <w:rFonts w:hint="eastAsia"/>
          <w:b/>
        </w:rPr>
      </w:pPr>
      <w:r>
        <w:rPr>
          <w:b/>
        </w:rPr>
        <w:tab/>
      </w:r>
      <w:r>
        <w:t xml:space="preserve">328.  </w:t>
      </w:r>
      <w:r>
        <w:rPr>
          <w:rFonts w:hint="eastAsia"/>
        </w:rPr>
        <w:t>关</w:t>
      </w:r>
      <w:r>
        <w:t>于微生物感染的问题，对食物引起疾病的监督是由卫生保护研究所流行病处根据卫生中心定期上交的报告开展的。卫生保护研究所的微生物实验室对</w:t>
      </w:r>
      <w:r>
        <w:rPr>
          <w:rFonts w:hint="eastAsia"/>
        </w:rPr>
        <w:t>人体分</w:t>
      </w:r>
      <w:r>
        <w:t>泌物和胃脏内容物，以及怀疑造成疾病的食物残余进行分析。目前，对于由化学污染食物造成的疾病</w:t>
      </w:r>
      <w:r>
        <w:rPr>
          <w:rFonts w:hint="eastAsia"/>
        </w:rPr>
        <w:t>没有</w:t>
      </w:r>
      <w:r>
        <w:t>监督机制，因为这种污染属于长期污染的种类，在多数情况下只有在长期接触时才会产生影响，而且没有监督这种污染的先决条件，尽管世界卫生组织越来越</w:t>
      </w:r>
      <w:r>
        <w:rPr>
          <w:rFonts w:hint="eastAsia"/>
        </w:rPr>
        <w:t>多</w:t>
      </w:r>
      <w:r>
        <w:t>地指出，这种监督是必要的。</w:t>
      </w:r>
    </w:p>
    <w:p w:rsidR="00000000" w:rsidRDefault="00000000">
      <w:pPr>
        <w:rPr>
          <w:b/>
        </w:rPr>
      </w:pPr>
      <w:r>
        <w:rPr>
          <w:rFonts w:hint="eastAsia"/>
          <w:b/>
        </w:rPr>
        <w:tab/>
      </w:r>
      <w:r>
        <w:t xml:space="preserve">329.  </w:t>
      </w:r>
      <w:r>
        <w:t>由于缺少及时的报告、没有现代信息传递系统，并由于对鉴定传染病起源的实验室工作开展不够</w:t>
      </w:r>
      <w:r>
        <w:t>(</w:t>
      </w:r>
      <w:r>
        <w:t>这是多数</w:t>
      </w:r>
      <w:r>
        <w:rPr>
          <w:rFonts w:hint="eastAsia"/>
        </w:rPr>
        <w:t>城市</w:t>
      </w:r>
      <w:r>
        <w:t>的情况</w:t>
      </w:r>
      <w:r>
        <w:t>)</w:t>
      </w:r>
      <w:r>
        <w:t>，对于通过水和食物传播的传染病的走向分析就</w:t>
      </w:r>
      <w:r>
        <w:rPr>
          <w:rFonts w:hint="eastAsia"/>
        </w:rPr>
        <w:t>更加</w:t>
      </w:r>
      <w:r>
        <w:t>困难。有鉴于所有上述情况，估计因这类疾病而造成的实际死亡率比登记的要高很多。</w:t>
      </w:r>
    </w:p>
    <w:p w:rsidR="00000000" w:rsidRDefault="00000000">
      <w:pPr>
        <w:rPr>
          <w:b/>
        </w:rPr>
      </w:pPr>
      <w:r>
        <w:rPr>
          <w:b/>
        </w:rPr>
        <w:tab/>
      </w:r>
      <w:r>
        <w:t xml:space="preserve">330.  </w:t>
      </w:r>
      <w:r>
        <w:t>食物污染始终是一项</w:t>
      </w:r>
      <w:r>
        <w:rPr>
          <w:rFonts w:hint="eastAsia"/>
        </w:rPr>
        <w:t>热门话题</w:t>
      </w:r>
      <w:r>
        <w:t>，而如今正当卫生组织提出</w:t>
      </w:r>
      <w:r>
        <w:rPr>
          <w:rFonts w:hint="eastAsia"/>
        </w:rPr>
        <w:t>“</w:t>
      </w:r>
      <w:r>
        <w:t>安全食</w:t>
      </w:r>
      <w:r>
        <w:rPr>
          <w:rFonts w:hint="eastAsia"/>
        </w:rPr>
        <w:t>品”</w:t>
      </w:r>
      <w:r>
        <w:t>的理念之时，就</w:t>
      </w:r>
      <w:r>
        <w:rPr>
          <w:rFonts w:hint="eastAsia"/>
        </w:rPr>
        <w:t>更是如此</w:t>
      </w:r>
      <w:r>
        <w:t>。这就</w:t>
      </w:r>
      <w:r>
        <w:rPr>
          <w:rFonts w:hint="eastAsia"/>
        </w:rPr>
        <w:t>突显</w:t>
      </w:r>
      <w:r>
        <w:t>了其作为环境中造成化学、生物、寄生虫或其他一些</w:t>
      </w:r>
      <w:r>
        <w:rPr>
          <w:rFonts w:hint="eastAsia"/>
        </w:rPr>
        <w:t>污</w:t>
      </w:r>
      <w:r>
        <w:t>染的风险因素</w:t>
      </w:r>
      <w:r>
        <w:rPr>
          <w:rFonts w:hint="eastAsia"/>
        </w:rPr>
        <w:t>的重要性</w:t>
      </w:r>
      <w:r>
        <w:t>。卫生组织目前强调，在伴随不良饮食习惯、缺少运动的生活</w:t>
      </w:r>
      <w:r>
        <w:rPr>
          <w:rFonts w:hint="eastAsia"/>
        </w:rPr>
        <w:t>方式</w:t>
      </w:r>
      <w:r>
        <w:t>、吸烟、或在另一方面，由于营养不良、缺少主要养分和微量养分等造成大规模非传染疾病中，食物是一项关键因素。</w:t>
      </w:r>
    </w:p>
    <w:p w:rsidR="00000000" w:rsidRDefault="00000000">
      <w:pPr>
        <w:rPr>
          <w:b/>
        </w:rPr>
      </w:pPr>
      <w:r>
        <w:rPr>
          <w:b/>
        </w:rPr>
        <w:tab/>
      </w:r>
      <w:r>
        <w:t xml:space="preserve">331.  </w:t>
      </w:r>
      <w:r>
        <w:t>卫生组织的结论包括如下内容：</w:t>
      </w:r>
    </w:p>
    <w:p w:rsidR="00000000" w:rsidRDefault="00000000">
      <w:pPr>
        <w:pStyle w:val="a0"/>
        <w:ind w:left="1550"/>
        <w:rPr>
          <w:rFonts w:hint="eastAsia"/>
          <w:b/>
        </w:rPr>
      </w:pPr>
      <w:r>
        <w:rPr>
          <w:rFonts w:hint="eastAsia"/>
        </w:rPr>
        <w:t>对于生产过程的设施、场地和设备、以及工作人员的监督和检察作为公共卫生监管工作开展得不够，而且在其规模和监管所涉方面也不够完整；</w:t>
      </w:r>
    </w:p>
    <w:p w:rsidR="00000000" w:rsidRDefault="00000000">
      <w:pPr>
        <w:pStyle w:val="a0"/>
        <w:ind w:left="1550"/>
        <w:rPr>
          <w:b/>
        </w:rPr>
      </w:pPr>
      <w:r>
        <w:t>义务性管制的法律责任从其范围及机构责任的角度来看都不明确，因为这方面的公共</w:t>
      </w:r>
      <w:r>
        <w:rPr>
          <w:rFonts w:hint="eastAsia"/>
        </w:rPr>
        <w:t>卫生与</w:t>
      </w:r>
      <w:r>
        <w:t>兽医</w:t>
      </w:r>
      <w:r>
        <w:rPr>
          <w:rFonts w:hint="eastAsia"/>
        </w:rPr>
        <w:t>卫生</w:t>
      </w:r>
      <w:r>
        <w:t>领域的责任有重叠现象，而且甚至已经颁发的条例在实际中也并不得到执行；</w:t>
      </w:r>
    </w:p>
    <w:p w:rsidR="00000000" w:rsidRDefault="00000000">
      <w:pPr>
        <w:pStyle w:val="a0"/>
        <w:ind w:left="1550"/>
        <w:rPr>
          <w:rFonts w:hint="eastAsia"/>
          <w:b/>
        </w:rPr>
      </w:pPr>
      <w:r>
        <w:rPr>
          <w:rFonts w:hint="eastAsia"/>
        </w:rPr>
        <w:t>尚未开展过对实验室的资格验收</w:t>
      </w:r>
      <w:r>
        <w:rPr>
          <w:rFonts w:hint="eastAsia"/>
        </w:rPr>
        <w:t>(</w:t>
      </w:r>
      <w:r>
        <w:rPr>
          <w:rFonts w:hint="eastAsia"/>
        </w:rPr>
        <w:t>包括空间、设备、人员安排、管制水平和规定的检验指标</w:t>
      </w:r>
      <w:r>
        <w:rPr>
          <w:rFonts w:hint="eastAsia"/>
        </w:rPr>
        <w:t>)</w:t>
      </w:r>
      <w:r>
        <w:rPr>
          <w:rFonts w:hint="eastAsia"/>
        </w:rPr>
        <w:t>。</w:t>
      </w:r>
    </w:p>
    <w:p w:rsidR="00000000" w:rsidRDefault="00000000">
      <w:pPr>
        <w:rPr>
          <w:b/>
        </w:rPr>
      </w:pPr>
      <w:r>
        <w:rPr>
          <w:rFonts w:hint="eastAsia"/>
          <w:b/>
        </w:rPr>
        <w:tab/>
      </w:r>
      <w:r>
        <w:t xml:space="preserve">332.  </w:t>
      </w:r>
      <w:r>
        <w:t>卫生组织的建议包括如下内容：</w:t>
      </w:r>
    </w:p>
    <w:p w:rsidR="00000000" w:rsidRDefault="00000000">
      <w:pPr>
        <w:pStyle w:val="a0"/>
        <w:ind w:left="1550"/>
        <w:rPr>
          <w:b/>
        </w:rPr>
      </w:pPr>
      <w:r>
        <w:t>减少由食物污染造成的发病率，并消除由这种污染引起的疾病；</w:t>
      </w:r>
    </w:p>
    <w:p w:rsidR="00000000" w:rsidRDefault="00000000">
      <w:pPr>
        <w:pStyle w:val="a0"/>
        <w:ind w:left="1550"/>
        <w:rPr>
          <w:rFonts w:hint="eastAsia"/>
          <w:b/>
        </w:rPr>
      </w:pPr>
      <w:r>
        <w:rPr>
          <w:rFonts w:hint="eastAsia"/>
        </w:rPr>
        <w:t>设定生产商的注册登记；</w:t>
      </w:r>
    </w:p>
    <w:p w:rsidR="00000000" w:rsidRDefault="00000000">
      <w:pPr>
        <w:pStyle w:val="a0"/>
        <w:ind w:left="1550"/>
        <w:rPr>
          <w:rFonts w:hint="eastAsia"/>
          <w:b/>
        </w:rPr>
      </w:pPr>
      <w:r>
        <w:rPr>
          <w:rFonts w:hint="eastAsia"/>
        </w:rPr>
        <w:t>在食品工业里设置危险分析和关键控制点</w:t>
      </w:r>
      <w:r>
        <w:rPr>
          <w:rFonts w:hint="eastAsia"/>
        </w:rPr>
        <w:t>(</w:t>
      </w:r>
      <w:r>
        <w:rPr>
          <w:rFonts w:hint="eastAsia"/>
        </w:rPr>
        <w:t>危险信号和关键控制点的系统</w:t>
      </w:r>
      <w:r>
        <w:rPr>
          <w:rFonts w:hint="eastAsia"/>
        </w:rPr>
        <w:t>)</w:t>
      </w:r>
      <w:r>
        <w:rPr>
          <w:rFonts w:hint="eastAsia"/>
        </w:rPr>
        <w:t>，伴之以</w:t>
      </w:r>
      <w:r>
        <w:rPr>
          <w:rFonts w:hint="eastAsia"/>
        </w:rPr>
        <w:t>(</w:t>
      </w:r>
      <w:r>
        <w:rPr>
          <w:rFonts w:hint="eastAsia"/>
        </w:rPr>
        <w:t>从最初生产者到终端消费者的</w:t>
      </w:r>
      <w:r>
        <w:rPr>
          <w:rFonts w:hint="eastAsia"/>
        </w:rPr>
        <w:t>)</w:t>
      </w:r>
      <w:r>
        <w:rPr>
          <w:rFonts w:hint="eastAsia"/>
        </w:rPr>
        <w:t>完整食品链中对食品安全的保证；</w:t>
      </w:r>
    </w:p>
    <w:p w:rsidR="00000000" w:rsidRDefault="00000000">
      <w:pPr>
        <w:pStyle w:val="a0"/>
        <w:ind w:left="1550"/>
        <w:rPr>
          <w:rFonts w:hint="eastAsia"/>
          <w:b/>
        </w:rPr>
      </w:pPr>
      <w:r>
        <w:t>在大众</w:t>
      </w:r>
      <w:r>
        <w:rPr>
          <w:rFonts w:hint="eastAsia"/>
        </w:rPr>
        <w:t>宣传媒体中鼓励公开宣传关于准备、保护和保存家庭生产的食物的生物价值的各种方法；</w:t>
      </w:r>
    </w:p>
    <w:p w:rsidR="00000000" w:rsidRDefault="00000000">
      <w:pPr>
        <w:pStyle w:val="a0"/>
        <w:ind w:left="1550"/>
      </w:pPr>
      <w:r>
        <w:t>对于转基因食品设置监督机制；</w:t>
      </w:r>
    </w:p>
    <w:p w:rsidR="00000000" w:rsidRDefault="00000000">
      <w:pPr>
        <w:pStyle w:val="a0"/>
        <w:ind w:left="1550"/>
        <w:rPr>
          <w:b/>
        </w:rPr>
      </w:pPr>
      <w:r>
        <w:t>邀请非政府组织参与提供有关食品安全与卫生的资料，促进大众的参与</w:t>
      </w:r>
      <w:r>
        <w:t>(</w:t>
      </w:r>
      <w:r>
        <w:t>消费者协会等</w:t>
      </w:r>
      <w:r>
        <w:t>)</w:t>
      </w:r>
      <w:r>
        <w:t>；</w:t>
      </w:r>
    </w:p>
    <w:p w:rsidR="00000000" w:rsidRDefault="00000000">
      <w:pPr>
        <w:pStyle w:val="a0"/>
        <w:ind w:left="1550"/>
        <w:rPr>
          <w:b/>
        </w:rPr>
      </w:pPr>
      <w:r>
        <w:t>建立一个实验室资格验收制度</w:t>
      </w:r>
      <w:r>
        <w:t>(</w:t>
      </w:r>
      <w:r>
        <w:t>空间、设备、人员、教育</w:t>
      </w:r>
      <w:r>
        <w:t>)</w:t>
      </w:r>
      <w:r>
        <w:t>；</w:t>
      </w:r>
    </w:p>
    <w:p w:rsidR="00000000" w:rsidRDefault="00000000">
      <w:pPr>
        <w:pStyle w:val="a0"/>
        <w:ind w:left="1550"/>
        <w:rPr>
          <w:b/>
        </w:rPr>
      </w:pPr>
      <w:r>
        <w:t>建立一个监督食品情况的单一信息系统；</w:t>
      </w:r>
    </w:p>
    <w:p w:rsidR="00000000" w:rsidRDefault="00000000">
      <w:pPr>
        <w:pStyle w:val="a0"/>
        <w:ind w:left="1550"/>
        <w:rPr>
          <w:b/>
        </w:rPr>
      </w:pPr>
      <w:r>
        <w:t>改进参与公共卫生监管的检察人</w:t>
      </w:r>
      <w:r>
        <w:rPr>
          <w:rFonts w:hint="eastAsia"/>
        </w:rPr>
        <w:t>现行</w:t>
      </w:r>
      <w:r>
        <w:t>职能规程；</w:t>
      </w:r>
    </w:p>
    <w:p w:rsidR="00000000" w:rsidRDefault="00000000">
      <w:pPr>
        <w:pStyle w:val="a0"/>
        <w:spacing w:after="320"/>
        <w:ind w:left="1550"/>
        <w:rPr>
          <w:b/>
        </w:rPr>
      </w:pPr>
      <w:r>
        <w:t>树立大众对于</w:t>
      </w:r>
      <w:r>
        <w:rPr>
          <w:rFonts w:hint="eastAsia"/>
        </w:rPr>
        <w:t>健康</w:t>
      </w:r>
      <w:r>
        <w:t>食品制度和健康生活习惯重要性的认识。</w:t>
      </w:r>
    </w:p>
    <w:p w:rsidR="00000000" w:rsidRDefault="00000000">
      <w:pPr>
        <w:pStyle w:val="Heading4"/>
        <w:rPr>
          <w:b/>
        </w:rPr>
      </w:pPr>
      <w:r>
        <w:rPr>
          <w:rFonts w:hint="eastAsia"/>
        </w:rPr>
        <w:t>充足</w:t>
      </w:r>
      <w:r>
        <w:t>住房权</w:t>
      </w:r>
    </w:p>
    <w:p w:rsidR="00000000" w:rsidRDefault="00000000">
      <w:pPr>
        <w:rPr>
          <w:b/>
        </w:rPr>
      </w:pPr>
      <w:r>
        <w:rPr>
          <w:b/>
        </w:rPr>
        <w:tab/>
      </w:r>
      <w:r>
        <w:t>333.  1991</w:t>
      </w:r>
      <w:r>
        <w:t>年波斯尼亚和黑塞哥维那的住房</w:t>
      </w:r>
      <w:r>
        <w:rPr>
          <w:rFonts w:hint="eastAsia"/>
        </w:rPr>
        <w:t>能力</w:t>
      </w:r>
      <w:r>
        <w:t>是，在</w:t>
      </w:r>
      <w:r>
        <w:t>5,825</w:t>
      </w:r>
      <w:r>
        <w:t>个社区中，有</w:t>
      </w:r>
      <w:r>
        <w:t>1,207,693</w:t>
      </w:r>
      <w:r>
        <w:t>个住房单位。住房单位的平均面积为每户</w:t>
      </w:r>
      <w:r>
        <w:t>60.45</w:t>
      </w:r>
      <w:r>
        <w:t>平方米，即人均</w:t>
      </w:r>
      <w:r>
        <w:t>16.68</w:t>
      </w:r>
      <w:r>
        <w:t>平方米。</w:t>
      </w:r>
    </w:p>
    <w:p w:rsidR="00000000" w:rsidRDefault="00000000">
      <w:pPr>
        <w:spacing w:after="120"/>
        <w:rPr>
          <w:b/>
        </w:rPr>
      </w:pPr>
      <w:r>
        <w:rPr>
          <w:b/>
        </w:rPr>
        <w:tab/>
      </w:r>
      <w:r>
        <w:t xml:space="preserve">334.  </w:t>
      </w:r>
      <w:r>
        <w:t>但是，战争除了破坏波斯尼亚和黑塞哥维那原有的人口结构之外，还大大改变了住房领域的状况，造成了</w:t>
      </w:r>
      <w:r>
        <w:t>451,900</w:t>
      </w:r>
      <w:r>
        <w:t>个住房单位遭到部分或完全毁坏，其中</w:t>
      </w:r>
      <w:r>
        <w:t>80%</w:t>
      </w:r>
      <w:r>
        <w:t>被摧毁或严重损坏。</w:t>
      </w:r>
    </w:p>
    <w:p w:rsidR="00000000" w:rsidRDefault="00000000">
      <w:pPr>
        <w:pStyle w:val="Heading3"/>
        <w:spacing w:after="120"/>
        <w:rPr>
          <w:rFonts w:ascii="Time New Roman" w:eastAsia="SimHei" w:hAnsi="Time New Roman"/>
          <w:b/>
          <w:u w:val="none"/>
        </w:rPr>
      </w:pPr>
      <w:r>
        <w:rPr>
          <w:rFonts w:ascii="Time New Roman" w:eastAsia="SimHei" w:hAnsi="Time New Roman"/>
          <w:u w:val="none"/>
        </w:rPr>
        <w:t>表</w:t>
      </w:r>
      <w:r>
        <w:rPr>
          <w:rFonts w:ascii="Time New Roman" w:eastAsia="SimHei" w:hAnsi="Time New Roman" w:hint="eastAsia"/>
          <w:u w:val="none"/>
        </w:rPr>
        <w:t xml:space="preserve">  </w:t>
      </w:r>
      <w:r>
        <w:rPr>
          <w:rFonts w:ascii="Time New Roman" w:eastAsia="SimHei" w:hAnsi="Time New Roman"/>
          <w:b/>
          <w:u w:val="none"/>
        </w:rPr>
        <w:t>5</w:t>
      </w:r>
    </w:p>
    <w:p w:rsidR="00000000" w:rsidRDefault="00000000">
      <w:pPr>
        <w:pStyle w:val="Heading3"/>
        <w:spacing w:after="120"/>
        <w:rPr>
          <w:rFonts w:ascii="Time New Roman" w:eastAsia="SimHei" w:hAnsi="Time New Roman" w:hint="eastAsia"/>
          <w:u w:val="none"/>
        </w:rPr>
      </w:pPr>
      <w:r>
        <w:rPr>
          <w:rFonts w:ascii="Time New Roman" w:eastAsia="SimHei" w:hAnsi="Time New Roman"/>
          <w:u w:val="none"/>
        </w:rPr>
        <w:t>波斯尼亚和黑塞哥维那住房遭破坏或摧毁的</w:t>
      </w:r>
      <w:r>
        <w:rPr>
          <w:rFonts w:ascii="Time New Roman" w:eastAsia="SimHei" w:hAnsi="Time New Roman" w:hint="eastAsia"/>
          <w:u w:val="none"/>
        </w:rPr>
        <w:t>单位</w:t>
      </w:r>
      <w:r>
        <w:rPr>
          <w:rFonts w:ascii="Time New Roman" w:eastAsia="SimHei" w:hAnsi="Time New Roman"/>
          <w:u w:val="none"/>
        </w:rPr>
        <w:t>数，</w:t>
      </w:r>
      <w:r>
        <w:rPr>
          <w:rFonts w:ascii="Time New Roman" w:eastAsia="SimHei" w:hAnsi="Time New Roman"/>
          <w:u w:val="none"/>
        </w:rPr>
        <w:br/>
      </w:r>
      <w:r>
        <w:rPr>
          <w:rFonts w:ascii="Time New Roman" w:eastAsia="SimHei" w:hAnsi="Time New Roman"/>
          <w:b/>
          <w:u w:val="none"/>
        </w:rPr>
        <w:t>1992</w:t>
      </w:r>
      <w:r>
        <w:rPr>
          <w:rFonts w:ascii="Time New Roman" w:eastAsia="SimHei" w:hAnsi="Time New Roman" w:hint="eastAsia"/>
          <w:u w:val="none"/>
        </w:rPr>
        <w:t>-</w:t>
      </w:r>
      <w:r>
        <w:rPr>
          <w:rFonts w:ascii="Time New Roman" w:eastAsia="SimHei" w:hAnsi="Time New Roman"/>
          <w:b/>
          <w:u w:val="none"/>
        </w:rPr>
        <w:t>1995</w:t>
      </w:r>
      <w:r>
        <w:rPr>
          <w:rFonts w:ascii="Time New Roman" w:eastAsia="SimHei" w:hAnsi="Time New Roman"/>
          <w:u w:val="none"/>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5"/>
        <w:gridCol w:w="1385"/>
        <w:gridCol w:w="1385"/>
        <w:gridCol w:w="1385"/>
        <w:gridCol w:w="1385"/>
        <w:gridCol w:w="1385"/>
        <w:gridCol w:w="1090"/>
      </w:tblGrid>
      <w:tr w:rsidR="00000000">
        <w:tblPrEx>
          <w:tblCellMar>
            <w:top w:w="0" w:type="dxa"/>
            <w:bottom w:w="0" w:type="dxa"/>
          </w:tblCellMar>
        </w:tblPrEx>
        <w:trPr>
          <w:cantSplit/>
        </w:trPr>
        <w:tc>
          <w:tcPr>
            <w:tcW w:w="741" w:type="pct"/>
            <w:vMerge w:val="restart"/>
            <w:vAlign w:val="center"/>
          </w:tcPr>
          <w:p w:rsidR="00000000" w:rsidRDefault="00000000">
            <w:pPr>
              <w:pStyle w:val="a2"/>
              <w:spacing w:before="60" w:after="40"/>
              <w:jc w:val="center"/>
            </w:pPr>
            <w:r>
              <w:t>实</w:t>
            </w:r>
            <w:r>
              <w:rPr>
                <w:rFonts w:hint="eastAsia"/>
              </w:rPr>
              <w:t xml:space="preserve">  </w:t>
            </w:r>
            <w:r>
              <w:t>体</w:t>
            </w:r>
          </w:p>
        </w:tc>
        <w:tc>
          <w:tcPr>
            <w:tcW w:w="4259" w:type="pct"/>
            <w:gridSpan w:val="6"/>
          </w:tcPr>
          <w:p w:rsidR="00000000" w:rsidRDefault="00000000">
            <w:pPr>
              <w:pStyle w:val="a2"/>
              <w:spacing w:before="60" w:after="40" w:line="240" w:lineRule="auto"/>
              <w:jc w:val="center"/>
            </w:pPr>
            <w:r>
              <w:t>1992</w:t>
            </w:r>
            <w:r>
              <w:rPr>
                <w:rFonts w:hint="eastAsia"/>
              </w:rPr>
              <w:t>-</w:t>
            </w:r>
            <w:r>
              <w:t>1995</w:t>
            </w:r>
            <w:r>
              <w:t>年被摧毁和严重破坏的住房单位数</w:t>
            </w:r>
            <w:r>
              <w:br/>
              <w:t>(</w:t>
            </w:r>
            <w:r>
              <w:rPr>
                <w:rFonts w:eastAsia="KaiTi_GB2312"/>
                <w:snapToGrid/>
              </w:rPr>
              <w:t>破坏的程度</w:t>
            </w:r>
            <w:r>
              <w:t>)</w:t>
            </w:r>
          </w:p>
        </w:tc>
      </w:tr>
      <w:tr w:rsidR="00000000">
        <w:tblPrEx>
          <w:tblCellMar>
            <w:top w:w="0" w:type="dxa"/>
            <w:bottom w:w="0" w:type="dxa"/>
          </w:tblCellMar>
        </w:tblPrEx>
        <w:trPr>
          <w:cantSplit/>
        </w:trPr>
        <w:tc>
          <w:tcPr>
            <w:tcW w:w="741" w:type="pct"/>
            <w:vMerge/>
            <w:vAlign w:val="center"/>
          </w:tcPr>
          <w:p w:rsidR="00000000" w:rsidRDefault="00000000">
            <w:pPr>
              <w:pStyle w:val="a2"/>
              <w:spacing w:before="60" w:after="40" w:line="240" w:lineRule="auto"/>
              <w:jc w:val="center"/>
            </w:pPr>
          </w:p>
        </w:tc>
        <w:tc>
          <w:tcPr>
            <w:tcW w:w="736" w:type="pct"/>
            <w:tcBorders>
              <w:bottom w:val="single" w:sz="4" w:space="0" w:color="auto"/>
            </w:tcBorders>
            <w:vAlign w:val="center"/>
          </w:tcPr>
          <w:p w:rsidR="00000000" w:rsidRDefault="00000000">
            <w:pPr>
              <w:pStyle w:val="a2"/>
              <w:spacing w:before="60" w:after="40" w:line="240" w:lineRule="auto"/>
              <w:jc w:val="center"/>
            </w:pPr>
            <w:r>
              <w:t>20%</w:t>
            </w:r>
            <w:r>
              <w:t>以下</w:t>
            </w:r>
          </w:p>
        </w:tc>
        <w:tc>
          <w:tcPr>
            <w:tcW w:w="736" w:type="pct"/>
            <w:tcBorders>
              <w:bottom w:val="single" w:sz="4" w:space="0" w:color="auto"/>
            </w:tcBorders>
            <w:vAlign w:val="center"/>
          </w:tcPr>
          <w:p w:rsidR="00000000" w:rsidRDefault="00000000">
            <w:pPr>
              <w:pStyle w:val="a2"/>
              <w:spacing w:before="60" w:after="40" w:line="240" w:lineRule="auto"/>
              <w:jc w:val="center"/>
            </w:pPr>
            <w:r>
              <w:t>20%</w:t>
            </w:r>
            <w:r>
              <w:rPr>
                <w:rFonts w:hint="eastAsia"/>
              </w:rPr>
              <w:t>-</w:t>
            </w:r>
            <w:r>
              <w:t>70%</w:t>
            </w:r>
          </w:p>
        </w:tc>
        <w:tc>
          <w:tcPr>
            <w:tcW w:w="736" w:type="pct"/>
            <w:tcBorders>
              <w:bottom w:val="single" w:sz="4" w:space="0" w:color="auto"/>
            </w:tcBorders>
            <w:vAlign w:val="center"/>
          </w:tcPr>
          <w:p w:rsidR="00000000" w:rsidRDefault="00000000">
            <w:pPr>
              <w:pStyle w:val="a2"/>
              <w:spacing w:before="60" w:after="40" w:line="240" w:lineRule="auto"/>
              <w:jc w:val="center"/>
            </w:pPr>
            <w:r>
              <w:t>超过</w:t>
            </w:r>
            <w:r>
              <w:t>70%</w:t>
            </w:r>
          </w:p>
        </w:tc>
        <w:tc>
          <w:tcPr>
            <w:tcW w:w="736" w:type="pct"/>
            <w:tcBorders>
              <w:bottom w:val="single" w:sz="4" w:space="0" w:color="auto"/>
            </w:tcBorders>
            <w:vAlign w:val="center"/>
          </w:tcPr>
          <w:p w:rsidR="00000000" w:rsidRDefault="00000000">
            <w:pPr>
              <w:pStyle w:val="a2"/>
              <w:spacing w:before="60" w:after="40" w:line="240" w:lineRule="auto"/>
              <w:jc w:val="center"/>
            </w:pPr>
            <w:r>
              <w:t>0%-100%</w:t>
            </w:r>
            <w:r>
              <w:rPr>
                <w:rFonts w:hint="eastAsia"/>
              </w:rPr>
              <w:br/>
            </w:r>
            <w:r>
              <w:t>共</w:t>
            </w:r>
            <w:r>
              <w:rPr>
                <w:rFonts w:hint="eastAsia"/>
              </w:rPr>
              <w:t xml:space="preserve">  </w:t>
            </w:r>
            <w:r>
              <w:t>计</w:t>
            </w:r>
          </w:p>
        </w:tc>
        <w:tc>
          <w:tcPr>
            <w:tcW w:w="736" w:type="pct"/>
            <w:tcBorders>
              <w:bottom w:val="single" w:sz="4" w:space="0" w:color="auto"/>
            </w:tcBorders>
            <w:vAlign w:val="center"/>
          </w:tcPr>
          <w:p w:rsidR="00000000" w:rsidRDefault="00000000">
            <w:pPr>
              <w:pStyle w:val="a2"/>
              <w:spacing w:before="60" w:after="40" w:line="240" w:lineRule="auto"/>
              <w:jc w:val="center"/>
            </w:pPr>
            <w:r>
              <w:t>20%</w:t>
            </w:r>
            <w:r>
              <w:rPr>
                <w:rFonts w:hint="eastAsia"/>
              </w:rPr>
              <w:t>-</w:t>
            </w:r>
            <w:r>
              <w:t>100%</w:t>
            </w:r>
            <w:r>
              <w:rPr>
                <w:rFonts w:hint="eastAsia"/>
              </w:rPr>
              <w:br/>
            </w:r>
            <w:r>
              <w:t>共</w:t>
            </w:r>
            <w:r>
              <w:rPr>
                <w:rFonts w:hint="eastAsia"/>
              </w:rPr>
              <w:t xml:space="preserve">  </w:t>
            </w:r>
            <w:r>
              <w:t>计</w:t>
            </w:r>
          </w:p>
        </w:tc>
        <w:tc>
          <w:tcPr>
            <w:tcW w:w="579" w:type="pct"/>
            <w:tcBorders>
              <w:bottom w:val="single" w:sz="4" w:space="0" w:color="auto"/>
            </w:tcBorders>
            <w:vAlign w:val="center"/>
          </w:tcPr>
          <w:p w:rsidR="00000000" w:rsidRDefault="00000000">
            <w:pPr>
              <w:pStyle w:val="a2"/>
              <w:spacing w:before="60" w:after="40" w:line="240" w:lineRule="auto"/>
              <w:jc w:val="center"/>
            </w:pPr>
            <w:r>
              <w:t>%</w:t>
            </w:r>
          </w:p>
        </w:tc>
      </w:tr>
      <w:tr w:rsidR="00000000">
        <w:tblPrEx>
          <w:tblCellMar>
            <w:top w:w="0" w:type="dxa"/>
            <w:bottom w:w="0" w:type="dxa"/>
          </w:tblCellMar>
        </w:tblPrEx>
        <w:trPr>
          <w:cantSplit/>
        </w:trPr>
        <w:tc>
          <w:tcPr>
            <w:tcW w:w="741" w:type="pct"/>
            <w:vMerge w:val="restart"/>
          </w:tcPr>
          <w:p w:rsidR="00000000" w:rsidRDefault="00000000">
            <w:pPr>
              <w:pStyle w:val="a2"/>
              <w:jc w:val="center"/>
              <w:rPr>
                <w:rFonts w:hint="eastAsia"/>
              </w:rPr>
            </w:pPr>
            <w:r>
              <w:rPr>
                <w:rFonts w:hint="eastAsia"/>
              </w:rPr>
              <w:t>波黑联邦</w:t>
            </w:r>
          </w:p>
        </w:tc>
        <w:tc>
          <w:tcPr>
            <w:tcW w:w="736" w:type="pct"/>
            <w:tcBorders>
              <w:bottom w:val="nil"/>
            </w:tcBorders>
          </w:tcPr>
          <w:p w:rsidR="00000000" w:rsidRDefault="00000000">
            <w:pPr>
              <w:pStyle w:val="a2"/>
              <w:tabs>
                <w:tab w:val="decimal" w:pos="915"/>
              </w:tabs>
            </w:pPr>
            <w:r>
              <w:t>88,901</w:t>
            </w:r>
          </w:p>
        </w:tc>
        <w:tc>
          <w:tcPr>
            <w:tcW w:w="736" w:type="pct"/>
            <w:tcBorders>
              <w:bottom w:val="nil"/>
            </w:tcBorders>
          </w:tcPr>
          <w:p w:rsidR="00000000" w:rsidRDefault="00000000">
            <w:pPr>
              <w:pStyle w:val="a2"/>
              <w:tabs>
                <w:tab w:val="decimal" w:pos="915"/>
              </w:tabs>
            </w:pPr>
            <w:r>
              <w:t>161,201</w:t>
            </w:r>
          </w:p>
        </w:tc>
        <w:tc>
          <w:tcPr>
            <w:tcW w:w="736" w:type="pct"/>
            <w:tcBorders>
              <w:bottom w:val="nil"/>
            </w:tcBorders>
          </w:tcPr>
          <w:p w:rsidR="00000000" w:rsidRDefault="00000000">
            <w:pPr>
              <w:pStyle w:val="a2"/>
              <w:tabs>
                <w:tab w:val="decimal" w:pos="915"/>
              </w:tabs>
            </w:pPr>
            <w:r>
              <w:t>56,836</w:t>
            </w:r>
          </w:p>
        </w:tc>
        <w:tc>
          <w:tcPr>
            <w:tcW w:w="736" w:type="pct"/>
            <w:tcBorders>
              <w:bottom w:val="nil"/>
            </w:tcBorders>
          </w:tcPr>
          <w:p w:rsidR="00000000" w:rsidRDefault="00000000">
            <w:pPr>
              <w:pStyle w:val="a2"/>
              <w:tabs>
                <w:tab w:val="decimal" w:pos="915"/>
              </w:tabs>
            </w:pPr>
            <w:r>
              <w:t>306,938</w:t>
            </w:r>
          </w:p>
        </w:tc>
        <w:tc>
          <w:tcPr>
            <w:tcW w:w="736" w:type="pct"/>
            <w:tcBorders>
              <w:bottom w:val="nil"/>
            </w:tcBorders>
          </w:tcPr>
          <w:p w:rsidR="00000000" w:rsidRDefault="00000000">
            <w:pPr>
              <w:pStyle w:val="a2"/>
              <w:tabs>
                <w:tab w:val="decimal" w:pos="915"/>
              </w:tabs>
            </w:pPr>
            <w:r>
              <w:t>218,039</w:t>
            </w:r>
          </w:p>
        </w:tc>
        <w:tc>
          <w:tcPr>
            <w:tcW w:w="579" w:type="pct"/>
            <w:tcBorders>
              <w:bottom w:val="nil"/>
            </w:tcBorders>
          </w:tcPr>
          <w:p w:rsidR="00000000" w:rsidRDefault="00000000">
            <w:pPr>
              <w:pStyle w:val="a2"/>
              <w:tabs>
                <w:tab w:val="decimal" w:pos="500"/>
              </w:tabs>
            </w:pPr>
            <w:r>
              <w:t>61.83</w:t>
            </w:r>
          </w:p>
        </w:tc>
      </w:tr>
      <w:tr w:rsidR="00000000">
        <w:tblPrEx>
          <w:tblCellMar>
            <w:top w:w="0" w:type="dxa"/>
            <w:bottom w:w="0" w:type="dxa"/>
          </w:tblCellMar>
        </w:tblPrEx>
        <w:trPr>
          <w:cantSplit/>
        </w:trPr>
        <w:tc>
          <w:tcPr>
            <w:tcW w:w="741" w:type="pct"/>
            <w:vMerge/>
          </w:tcPr>
          <w:p w:rsidR="00000000" w:rsidRDefault="00000000">
            <w:pPr>
              <w:pStyle w:val="a2"/>
            </w:pPr>
          </w:p>
        </w:tc>
        <w:tc>
          <w:tcPr>
            <w:tcW w:w="736" w:type="pct"/>
            <w:tcBorders>
              <w:top w:val="nil"/>
              <w:bottom w:val="nil"/>
            </w:tcBorders>
          </w:tcPr>
          <w:p w:rsidR="00000000" w:rsidRDefault="00000000">
            <w:pPr>
              <w:pStyle w:val="a2"/>
              <w:tabs>
                <w:tab w:val="decimal" w:pos="915"/>
              </w:tabs>
            </w:pPr>
            <w:r>
              <w:t>10,383</w:t>
            </w:r>
          </w:p>
        </w:tc>
        <w:tc>
          <w:tcPr>
            <w:tcW w:w="736" w:type="pct"/>
            <w:tcBorders>
              <w:top w:val="nil"/>
              <w:bottom w:val="nil"/>
            </w:tcBorders>
          </w:tcPr>
          <w:p w:rsidR="00000000" w:rsidRDefault="00000000">
            <w:pPr>
              <w:pStyle w:val="a2"/>
              <w:tabs>
                <w:tab w:val="decimal" w:pos="915"/>
              </w:tabs>
            </w:pPr>
            <w:r>
              <w:t>109,349</w:t>
            </w:r>
          </w:p>
        </w:tc>
        <w:tc>
          <w:tcPr>
            <w:tcW w:w="736" w:type="pct"/>
            <w:tcBorders>
              <w:top w:val="nil"/>
              <w:bottom w:val="nil"/>
            </w:tcBorders>
          </w:tcPr>
          <w:p w:rsidR="00000000" w:rsidRDefault="00000000">
            <w:pPr>
              <w:pStyle w:val="a2"/>
              <w:tabs>
                <w:tab w:val="decimal" w:pos="915"/>
              </w:tabs>
            </w:pPr>
            <w:r>
              <w:t>25,230</w:t>
            </w:r>
          </w:p>
        </w:tc>
        <w:tc>
          <w:tcPr>
            <w:tcW w:w="736" w:type="pct"/>
            <w:tcBorders>
              <w:top w:val="nil"/>
              <w:bottom w:val="nil"/>
            </w:tcBorders>
          </w:tcPr>
          <w:p w:rsidR="00000000" w:rsidRDefault="00000000">
            <w:pPr>
              <w:pStyle w:val="a2"/>
              <w:tabs>
                <w:tab w:val="decimal" w:pos="915"/>
              </w:tabs>
            </w:pPr>
            <w:r>
              <w:t>144,962</w:t>
            </w:r>
          </w:p>
        </w:tc>
        <w:tc>
          <w:tcPr>
            <w:tcW w:w="736" w:type="pct"/>
            <w:tcBorders>
              <w:top w:val="nil"/>
              <w:bottom w:val="nil"/>
            </w:tcBorders>
          </w:tcPr>
          <w:p w:rsidR="00000000" w:rsidRDefault="00000000">
            <w:pPr>
              <w:pStyle w:val="a2"/>
              <w:tabs>
                <w:tab w:val="decimal" w:pos="915"/>
              </w:tabs>
            </w:pPr>
            <w:r>
              <w:t>134,577</w:t>
            </w:r>
          </w:p>
        </w:tc>
        <w:tc>
          <w:tcPr>
            <w:tcW w:w="579" w:type="pct"/>
            <w:tcBorders>
              <w:top w:val="nil"/>
              <w:bottom w:val="nil"/>
            </w:tcBorders>
          </w:tcPr>
          <w:p w:rsidR="00000000" w:rsidRDefault="00000000">
            <w:pPr>
              <w:pStyle w:val="a2"/>
              <w:tabs>
                <w:tab w:val="decimal" w:pos="500"/>
              </w:tabs>
            </w:pPr>
            <w:r>
              <w:t>38.16</w:t>
            </w:r>
          </w:p>
        </w:tc>
      </w:tr>
      <w:tr w:rsidR="00000000">
        <w:tblPrEx>
          <w:tblCellMar>
            <w:top w:w="0" w:type="dxa"/>
            <w:bottom w:w="0" w:type="dxa"/>
          </w:tblCellMar>
        </w:tblPrEx>
        <w:trPr>
          <w:cantSplit/>
        </w:trPr>
        <w:tc>
          <w:tcPr>
            <w:tcW w:w="741" w:type="pct"/>
            <w:vMerge/>
          </w:tcPr>
          <w:p w:rsidR="00000000" w:rsidRDefault="00000000">
            <w:pPr>
              <w:pStyle w:val="a2"/>
            </w:pPr>
          </w:p>
        </w:tc>
        <w:tc>
          <w:tcPr>
            <w:tcW w:w="736" w:type="pct"/>
            <w:tcBorders>
              <w:top w:val="nil"/>
            </w:tcBorders>
          </w:tcPr>
          <w:p w:rsidR="00000000" w:rsidRDefault="00000000">
            <w:pPr>
              <w:pStyle w:val="a2"/>
              <w:tabs>
                <w:tab w:val="decimal" w:pos="915"/>
              </w:tabs>
            </w:pPr>
            <w:r>
              <w:t>99,284</w:t>
            </w:r>
          </w:p>
        </w:tc>
        <w:tc>
          <w:tcPr>
            <w:tcW w:w="736" w:type="pct"/>
            <w:tcBorders>
              <w:top w:val="nil"/>
            </w:tcBorders>
          </w:tcPr>
          <w:p w:rsidR="00000000" w:rsidRDefault="00000000">
            <w:pPr>
              <w:pStyle w:val="a2"/>
              <w:tabs>
                <w:tab w:val="decimal" w:pos="915"/>
              </w:tabs>
            </w:pPr>
            <w:r>
              <w:t>270,550</w:t>
            </w:r>
          </w:p>
        </w:tc>
        <w:tc>
          <w:tcPr>
            <w:tcW w:w="736" w:type="pct"/>
            <w:tcBorders>
              <w:top w:val="nil"/>
            </w:tcBorders>
          </w:tcPr>
          <w:p w:rsidR="00000000" w:rsidRDefault="00000000">
            <w:pPr>
              <w:pStyle w:val="a2"/>
              <w:tabs>
                <w:tab w:val="decimal" w:pos="915"/>
              </w:tabs>
            </w:pPr>
            <w:r>
              <w:t>82,066</w:t>
            </w:r>
          </w:p>
        </w:tc>
        <w:tc>
          <w:tcPr>
            <w:tcW w:w="736" w:type="pct"/>
            <w:tcBorders>
              <w:top w:val="nil"/>
            </w:tcBorders>
          </w:tcPr>
          <w:p w:rsidR="00000000" w:rsidRDefault="00000000">
            <w:pPr>
              <w:pStyle w:val="a2"/>
              <w:tabs>
                <w:tab w:val="decimal" w:pos="915"/>
              </w:tabs>
            </w:pPr>
            <w:r>
              <w:t>451,900</w:t>
            </w:r>
          </w:p>
        </w:tc>
        <w:tc>
          <w:tcPr>
            <w:tcW w:w="736" w:type="pct"/>
            <w:tcBorders>
              <w:top w:val="nil"/>
            </w:tcBorders>
          </w:tcPr>
          <w:p w:rsidR="00000000" w:rsidRDefault="00000000">
            <w:pPr>
              <w:pStyle w:val="a2"/>
              <w:tabs>
                <w:tab w:val="decimal" w:pos="915"/>
              </w:tabs>
            </w:pPr>
            <w:r>
              <w:t>352,616</w:t>
            </w:r>
          </w:p>
        </w:tc>
        <w:tc>
          <w:tcPr>
            <w:tcW w:w="579" w:type="pct"/>
            <w:tcBorders>
              <w:top w:val="nil"/>
            </w:tcBorders>
          </w:tcPr>
          <w:p w:rsidR="00000000" w:rsidRDefault="00000000">
            <w:pPr>
              <w:pStyle w:val="a2"/>
              <w:tabs>
                <w:tab w:val="decimal" w:pos="500"/>
              </w:tabs>
              <w:rPr>
                <w:rFonts w:hint="eastAsia"/>
              </w:rPr>
            </w:pPr>
            <w:r>
              <w:t>100</w:t>
            </w:r>
          </w:p>
        </w:tc>
      </w:tr>
    </w:tbl>
    <w:p w:rsidR="00000000" w:rsidRDefault="00000000">
      <w:pPr>
        <w:rPr>
          <w:b/>
        </w:rPr>
      </w:pPr>
    </w:p>
    <w:p w:rsidR="00000000" w:rsidRDefault="00000000">
      <w:pPr>
        <w:rPr>
          <w:b/>
        </w:rPr>
      </w:pPr>
      <w:r>
        <w:rPr>
          <w:b/>
        </w:rPr>
        <w:tab/>
      </w:r>
      <w:r>
        <w:t>335.  1995</w:t>
      </w:r>
      <w:r>
        <w:t>年之后的住房领域支助主要针对保证难民和流离失所者的回归条件，其目标是要根据《</w:t>
      </w:r>
      <w:r>
        <w:rPr>
          <w:rFonts w:hint="eastAsia"/>
        </w:rPr>
        <w:t>波斯尼亚和黑塞哥维那和平总框架协定》</w:t>
      </w:r>
      <w:r>
        <w:t>，修复冲突对该国人口结构面貌的破坏。</w:t>
      </w:r>
    </w:p>
    <w:p w:rsidR="00000000" w:rsidRDefault="00000000">
      <w:r>
        <w:rPr>
          <w:b/>
        </w:rPr>
        <w:tab/>
      </w:r>
      <w:r>
        <w:t xml:space="preserve">336.  </w:t>
      </w:r>
      <w:r>
        <w:t>在战争刚结束的一段时间里，波斯尼亚和黑塞哥维那完全依赖外援，正因为此，</w:t>
      </w:r>
      <w:r>
        <w:t>1996</w:t>
      </w:r>
      <w:r>
        <w:t>年以来国际</w:t>
      </w:r>
      <w:r>
        <w:rPr>
          <w:rFonts w:hint="eastAsia"/>
        </w:rPr>
        <w:t>上</w:t>
      </w:r>
      <w:r>
        <w:t>的工作一直集中在推动和便利难民回归波斯尼亚和黑塞哥维那，尤其是在所谓少数群体回归的工作上。在住房领域里，这种方式致使相关工作集中在两个关键的行动方面：重</w:t>
      </w:r>
      <w:r>
        <w:rPr>
          <w:rFonts w:hint="eastAsia"/>
        </w:rPr>
        <w:t>造</w:t>
      </w:r>
      <w:r>
        <w:t>/</w:t>
      </w:r>
      <w:r>
        <w:rPr>
          <w:rFonts w:hint="eastAsia"/>
        </w:rPr>
        <w:t>重建和</w:t>
      </w:r>
      <w:r>
        <w:t>财产</w:t>
      </w:r>
      <w:r>
        <w:t>/</w:t>
      </w:r>
      <w:r>
        <w:t>居住权的回归。</w:t>
      </w:r>
    </w:p>
    <w:p w:rsidR="00000000" w:rsidRDefault="00000000">
      <w:pPr>
        <w:rPr>
          <w:b/>
        </w:rPr>
      </w:pPr>
      <w:r>
        <w:rPr>
          <w:rFonts w:hint="eastAsia"/>
        </w:rPr>
        <w:tab/>
      </w:r>
      <w:r>
        <w:t xml:space="preserve">337.  </w:t>
      </w:r>
      <w:r>
        <w:t>据估算，破坏</w:t>
      </w:r>
      <w:r>
        <w:rPr>
          <w:rFonts w:hint="eastAsia"/>
        </w:rPr>
        <w:t>程度在</w:t>
      </w:r>
      <w:r>
        <w:t>20%</w:t>
      </w:r>
      <w:r>
        <w:t>以下的所有房地产都已经得到重建，同时在</w:t>
      </w:r>
      <w:r>
        <w:t>1996</w:t>
      </w:r>
      <w:r>
        <w:rPr>
          <w:rFonts w:hint="eastAsia"/>
        </w:rPr>
        <w:t>-</w:t>
      </w:r>
      <w:r>
        <w:t>2002</w:t>
      </w:r>
      <w:r>
        <w:t>年阶段，为满足波斯尼亚和黑塞哥维那回归难民的需要，重新建筑了大约</w:t>
      </w:r>
      <w:r>
        <w:t>125,000</w:t>
      </w:r>
      <w:r>
        <w:t>个住房单位。</w:t>
      </w:r>
    </w:p>
    <w:p w:rsidR="00000000" w:rsidRDefault="00000000">
      <w:pPr>
        <w:rPr>
          <w:b/>
        </w:rPr>
      </w:pPr>
      <w:r>
        <w:rPr>
          <w:b/>
        </w:rPr>
        <w:tab/>
      </w:r>
      <w:r>
        <w:t xml:space="preserve">338.  </w:t>
      </w:r>
      <w:r>
        <w:t>在重建的最初阶段里，提供了大量的重建经费。经费的使用尽管是有效的，但是其针对的方向却不符合人们对回归</w:t>
      </w:r>
      <w:r>
        <w:rPr>
          <w:rFonts w:hint="eastAsia"/>
        </w:rPr>
        <w:t>家园</w:t>
      </w:r>
      <w:r>
        <w:t>的真正兴趣；回归率很低</w:t>
      </w:r>
      <w:r>
        <w:t>(</w:t>
      </w:r>
      <w:r>
        <w:t>按每一重建的住房单位的居民人数计</w:t>
      </w:r>
      <w:r>
        <w:t>)</w:t>
      </w:r>
      <w:r>
        <w:t>，造成了一些重建的住房单位空置，因为在重建</w:t>
      </w:r>
      <w:r>
        <w:rPr>
          <w:rFonts w:hint="eastAsia"/>
        </w:rPr>
        <w:t>工作没有顺从</w:t>
      </w:r>
      <w:r>
        <w:t>难民和流离失所者的意愿。</w:t>
      </w:r>
    </w:p>
    <w:p w:rsidR="00000000" w:rsidRDefault="00000000">
      <w:pPr>
        <w:rPr>
          <w:b/>
        </w:rPr>
      </w:pPr>
      <w:r>
        <w:rPr>
          <w:b/>
        </w:rPr>
        <w:tab/>
      </w:r>
      <w:r>
        <w:t xml:space="preserve">339.  </w:t>
      </w:r>
      <w:r>
        <w:t>联邦对于保护难民和流离失所者的法律框架由以下内容组成：</w:t>
      </w:r>
    </w:p>
    <w:p w:rsidR="00000000" w:rsidRDefault="00000000">
      <w:pPr>
        <w:pStyle w:val="a0"/>
        <w:ind w:left="1550"/>
        <w:rPr>
          <w:b/>
        </w:rPr>
      </w:pPr>
      <w:r>
        <w:t>关于波斯尼亚和黑塞哥维那联邦流离失所者和难民回归者的法律，及相关细则；</w:t>
      </w:r>
    </w:p>
    <w:p w:rsidR="00000000" w:rsidRDefault="00000000">
      <w:pPr>
        <w:pStyle w:val="a0"/>
        <w:ind w:left="1550"/>
        <w:rPr>
          <w:b/>
        </w:rPr>
      </w:pPr>
      <w:r>
        <w:t>目前正在通过关于流离失所者和难民问题的州法；</w:t>
      </w:r>
    </w:p>
    <w:p w:rsidR="00000000" w:rsidRDefault="00000000">
      <w:pPr>
        <w:pStyle w:val="a0"/>
        <w:ind w:left="1550"/>
        <w:rPr>
          <w:b/>
        </w:rPr>
      </w:pPr>
      <w:r>
        <w:t>财产法和细则</w:t>
      </w:r>
      <w:r>
        <w:t>(</w:t>
      </w:r>
      <w:r>
        <w:t>关于结束放弃寓所法的适用性</w:t>
      </w:r>
      <w:r>
        <w:rPr>
          <w:rFonts w:hint="eastAsia"/>
        </w:rPr>
        <w:t>的</w:t>
      </w:r>
      <w:r>
        <w:t>法律、关于结束临时放弃公民所拥有的</w:t>
      </w:r>
      <w:r>
        <w:rPr>
          <w:rFonts w:hint="eastAsia"/>
        </w:rPr>
        <w:t>不动</w:t>
      </w:r>
      <w:r>
        <w:t>产法的适用性法律</w:t>
      </w:r>
      <w:r>
        <w:t>)</w:t>
      </w:r>
      <w:r>
        <w:t>；</w:t>
      </w:r>
    </w:p>
    <w:p w:rsidR="00000000" w:rsidRDefault="00000000">
      <w:pPr>
        <w:pStyle w:val="a0"/>
        <w:ind w:left="1550"/>
        <w:rPr>
          <w:b/>
        </w:rPr>
      </w:pPr>
      <w:r>
        <w:t>代顿协定，附件七。</w:t>
      </w:r>
    </w:p>
    <w:p w:rsidR="00000000" w:rsidRDefault="00000000">
      <w:pPr>
        <w:rPr>
          <w:b/>
        </w:rPr>
      </w:pPr>
      <w:r>
        <w:rPr>
          <w:b/>
        </w:rPr>
        <w:tab/>
      </w:r>
      <w:r>
        <w:t xml:space="preserve">340.  </w:t>
      </w:r>
      <w:r>
        <w:t>难民和流离失所者的问题得到了各级政府的处理：</w:t>
      </w:r>
    </w:p>
    <w:p w:rsidR="00000000" w:rsidRDefault="00000000">
      <w:pPr>
        <w:pStyle w:val="a0"/>
        <w:ind w:left="1550"/>
        <w:rPr>
          <w:b/>
        </w:rPr>
      </w:pPr>
      <w:r>
        <w:t>波斯尼亚和黑塞哥维那人权和难民事务部；</w:t>
      </w:r>
    </w:p>
    <w:p w:rsidR="00000000" w:rsidRDefault="00000000">
      <w:pPr>
        <w:pStyle w:val="a0"/>
        <w:ind w:left="1550"/>
        <w:rPr>
          <w:b/>
        </w:rPr>
      </w:pPr>
      <w:r>
        <w:t>联邦流离失所者和难民事务部及其难民和流离失所者办公室；</w:t>
      </w:r>
    </w:p>
    <w:p w:rsidR="00000000" w:rsidRDefault="00000000">
      <w:pPr>
        <w:pStyle w:val="a0"/>
        <w:ind w:left="1550"/>
        <w:rPr>
          <w:b/>
        </w:rPr>
      </w:pPr>
      <w:r>
        <w:t>塞族共和国难民和流离失所者</w:t>
      </w:r>
      <w:r>
        <w:rPr>
          <w:rFonts w:hint="eastAsia"/>
        </w:rPr>
        <w:t>事务</w:t>
      </w:r>
      <w:r>
        <w:t>部，在波斯尼亚和黑塞哥维那联邦设有</w:t>
      </w:r>
      <w:r>
        <w:t>52</w:t>
      </w:r>
      <w:r>
        <w:t>个市区分部和</w:t>
      </w:r>
      <w:r>
        <w:t>4</w:t>
      </w:r>
      <w:r>
        <w:t>个区域办公室，总共有</w:t>
      </w:r>
      <w:r>
        <w:t>520</w:t>
      </w:r>
      <w:r>
        <w:t>名雇员；</w:t>
      </w:r>
    </w:p>
    <w:p w:rsidR="00000000" w:rsidRDefault="00000000">
      <w:pPr>
        <w:pStyle w:val="a0"/>
        <w:ind w:left="1550"/>
        <w:rPr>
          <w:b/>
        </w:rPr>
      </w:pPr>
      <w:r>
        <w:t>布尔奇科地区难民事务部门；</w:t>
      </w:r>
    </w:p>
    <w:p w:rsidR="00000000" w:rsidRDefault="00000000">
      <w:pPr>
        <w:pStyle w:val="a0"/>
        <w:ind w:left="1550"/>
        <w:rPr>
          <w:b/>
        </w:rPr>
      </w:pPr>
      <w:r>
        <w:t>布尔奇科地区规划和经济发展部门；</w:t>
      </w:r>
    </w:p>
    <w:p w:rsidR="00000000" w:rsidRDefault="00000000">
      <w:pPr>
        <w:pStyle w:val="a0"/>
        <w:ind w:left="1550"/>
        <w:rPr>
          <w:b/>
        </w:rPr>
      </w:pPr>
      <w:r>
        <w:t>所有</w:t>
      </w:r>
      <w:r>
        <w:rPr>
          <w:rFonts w:hint="eastAsia"/>
        </w:rPr>
        <w:t>九个</w:t>
      </w:r>
      <w:r>
        <w:t>州的州级部门；</w:t>
      </w:r>
    </w:p>
    <w:p w:rsidR="00000000" w:rsidRDefault="00000000">
      <w:pPr>
        <w:pStyle w:val="a0"/>
        <w:ind w:left="1550"/>
        <w:rPr>
          <w:b/>
        </w:rPr>
      </w:pPr>
      <w:r>
        <w:t>处理这些问题的</w:t>
      </w:r>
      <w:r>
        <w:t>84</w:t>
      </w:r>
      <w:r>
        <w:t>个联邦</w:t>
      </w:r>
      <w:r>
        <w:rPr>
          <w:rFonts w:hint="eastAsia"/>
        </w:rPr>
        <w:t>城市</w:t>
      </w:r>
      <w:r>
        <w:t>市级事务部门。</w:t>
      </w:r>
    </w:p>
    <w:p w:rsidR="00000000" w:rsidRDefault="00000000">
      <w:pPr>
        <w:rPr>
          <w:b/>
        </w:rPr>
      </w:pPr>
      <w:r>
        <w:rPr>
          <w:b/>
        </w:rPr>
        <w:tab/>
      </w:r>
      <w:r>
        <w:t xml:space="preserve">341.  </w:t>
      </w:r>
      <w:r>
        <w:t>为帮助难民和流离失所者的回归，在各级政府管理部门都拨出了</w:t>
      </w:r>
      <w:r>
        <w:rPr>
          <w:rFonts w:hint="eastAsia"/>
        </w:rPr>
        <w:t>专用</w:t>
      </w:r>
      <w:r>
        <w:t>经费，</w:t>
      </w:r>
      <w:r>
        <w:rPr>
          <w:rFonts w:hint="eastAsia"/>
        </w:rPr>
        <w:t>不过</w:t>
      </w:r>
      <w:r>
        <w:t>经费正在减少。但是为下列目标</w:t>
      </w:r>
      <w:r>
        <w:rPr>
          <w:rFonts w:hint="eastAsia"/>
        </w:rPr>
        <w:t>，</w:t>
      </w:r>
      <w:r>
        <w:t>大量国际援助仍然还在源源不断地</w:t>
      </w:r>
      <w:r>
        <w:rPr>
          <w:rFonts w:hint="eastAsia"/>
        </w:rPr>
        <w:t>到来</w:t>
      </w:r>
      <w:r>
        <w:t>：</w:t>
      </w:r>
    </w:p>
    <w:p w:rsidR="00000000" w:rsidRDefault="00000000">
      <w:pPr>
        <w:pStyle w:val="a0"/>
        <w:ind w:left="1550"/>
        <w:rPr>
          <w:b/>
        </w:rPr>
      </w:pPr>
      <w:r>
        <w:t>波斯尼亚和黑塞哥维那联邦的预算经费</w:t>
      </w:r>
      <w:r>
        <w:t>(</w:t>
      </w:r>
      <w:r>
        <w:t>需求的</w:t>
      </w:r>
      <w:r>
        <w:t>3%)</w:t>
      </w:r>
      <w:r>
        <w:t>；</w:t>
      </w:r>
    </w:p>
    <w:p w:rsidR="00000000" w:rsidRDefault="00000000">
      <w:pPr>
        <w:pStyle w:val="a0"/>
        <w:ind w:left="1550"/>
        <w:rPr>
          <w:b/>
        </w:rPr>
      </w:pPr>
      <w:r>
        <w:t>州政府预算经费；</w:t>
      </w:r>
    </w:p>
    <w:p w:rsidR="00000000" w:rsidRDefault="00000000">
      <w:pPr>
        <w:pStyle w:val="a0"/>
        <w:ind w:left="1550"/>
        <w:rPr>
          <w:b/>
        </w:rPr>
      </w:pPr>
      <w:r>
        <w:t>市政府预算经费；</w:t>
      </w:r>
    </w:p>
    <w:p w:rsidR="00000000" w:rsidRDefault="00000000">
      <w:pPr>
        <w:pStyle w:val="a0"/>
        <w:ind w:left="1550"/>
        <w:rPr>
          <w:b/>
        </w:rPr>
      </w:pPr>
      <w:r>
        <w:t>由联邦政府或州政府决定或由市政府和行政决定</w:t>
      </w:r>
      <w:r>
        <w:rPr>
          <w:rFonts w:hint="eastAsia"/>
        </w:rPr>
        <w:t>拨</w:t>
      </w:r>
      <w:r>
        <w:t>出的其他经费。</w:t>
      </w:r>
    </w:p>
    <w:p w:rsidR="00000000" w:rsidRDefault="00000000">
      <w:pPr>
        <w:rPr>
          <w:b/>
        </w:rPr>
      </w:pPr>
      <w:r>
        <w:rPr>
          <w:b/>
        </w:rPr>
        <w:tab/>
      </w:r>
      <w:r>
        <w:t xml:space="preserve">342.  </w:t>
      </w:r>
      <w:r>
        <w:t>在帮助难民回归领域中积极活动的国际组织中，高级代表办事处的重建和回返问题工作队当然是最重要的机构。该组织通过七名特使、六</w:t>
      </w:r>
      <w:r>
        <w:rPr>
          <w:rFonts w:hint="eastAsia"/>
        </w:rPr>
        <w:t>个</w:t>
      </w:r>
      <w:r>
        <w:t>地区</w:t>
      </w:r>
      <w:r>
        <w:rPr>
          <w:rFonts w:hint="eastAsia"/>
        </w:rPr>
        <w:t>办事处</w:t>
      </w:r>
      <w:r>
        <w:t>和七个</w:t>
      </w:r>
      <w:r>
        <w:rPr>
          <w:rFonts w:hint="eastAsia"/>
        </w:rPr>
        <w:t>实</w:t>
      </w:r>
      <w:r>
        <w:t>地</w:t>
      </w:r>
      <w:r>
        <w:rPr>
          <w:rFonts w:hint="eastAsia"/>
        </w:rPr>
        <w:t>分</w:t>
      </w:r>
      <w:r>
        <w:t>部积极活动。联合国难民署协调有关难民回归和登记注册的工作，而前南会议以及不动产索受委在实施财产权和流离失所者及难民权</w:t>
      </w:r>
      <w:r>
        <w:rPr>
          <w:rFonts w:hint="eastAsia"/>
        </w:rPr>
        <w:t>利</w:t>
      </w:r>
      <w:r>
        <w:t>方面都发挥</w:t>
      </w:r>
      <w:r>
        <w:rPr>
          <w:rFonts w:hint="eastAsia"/>
        </w:rPr>
        <w:t>了</w:t>
      </w:r>
      <w:r>
        <w:t>重要作用，并且在其工作中与帮助创立成功回归条件的其他组织</w:t>
      </w:r>
      <w:r>
        <w:t>(</w:t>
      </w:r>
      <w:r>
        <w:t>例如欧盟、美国国际开发署、开发计划署、</w:t>
      </w:r>
      <w:r>
        <w:rPr>
          <w:rFonts w:hint="eastAsia"/>
        </w:rPr>
        <w:t>移徙组织</w:t>
      </w:r>
      <w:r>
        <w:rPr>
          <w:rFonts w:hint="eastAsia"/>
        </w:rPr>
        <w:t>)</w:t>
      </w:r>
      <w:r>
        <w:rPr>
          <w:rFonts w:hint="eastAsia"/>
        </w:rPr>
        <w:t>和支持重建和回归进程的其他许多政府和非政府组织开展合作。</w:t>
      </w:r>
    </w:p>
    <w:p w:rsidR="00000000" w:rsidRDefault="00000000">
      <w:pPr>
        <w:rPr>
          <w:b/>
        </w:rPr>
      </w:pPr>
      <w:r>
        <w:rPr>
          <w:b/>
        </w:rPr>
        <w:tab/>
      </w:r>
      <w:r>
        <w:t xml:space="preserve">343.  </w:t>
      </w:r>
      <w:r>
        <w:t>波斯尼亚和黑塞哥维那无法</w:t>
      </w:r>
      <w:r>
        <w:rPr>
          <w:rFonts w:hint="eastAsia"/>
        </w:rPr>
        <w:t>支撑</w:t>
      </w:r>
      <w:r>
        <w:t>对被战争毁坏的房屋和基础</w:t>
      </w:r>
      <w:r>
        <w:rPr>
          <w:rFonts w:hint="eastAsia"/>
        </w:rPr>
        <w:t>设施的</w:t>
      </w:r>
      <w:r>
        <w:t>全部重建工作，因此相关的主管机构，通过规划和战略活动，决定针对回归过程而重建相关的被毁住房单位。</w:t>
      </w:r>
    </w:p>
    <w:p w:rsidR="00000000" w:rsidRDefault="00000000">
      <w:pPr>
        <w:rPr>
          <w:b/>
        </w:rPr>
      </w:pPr>
      <w:r>
        <w:rPr>
          <w:b/>
        </w:rPr>
        <w:tab/>
      </w:r>
      <w:r>
        <w:t xml:space="preserve">344.  </w:t>
      </w:r>
      <w:r>
        <w:t>我们判断，为了使难民回归的兴趣与实施难民回归创造条件相一致，重建的优先工作是修建大约</w:t>
      </w:r>
      <w:r>
        <w:t>500,000</w:t>
      </w:r>
      <w:r>
        <w:t>个住房单位，以便在今后四年里保证大约</w:t>
      </w:r>
      <w:r>
        <w:t>200,000</w:t>
      </w:r>
      <w:r>
        <w:t>名流离失所者和难民回归。这项工作，加上财产管理条例的实施，就</w:t>
      </w:r>
      <w:r>
        <w:rPr>
          <w:rFonts w:hint="eastAsia"/>
        </w:rPr>
        <w:t>能使</w:t>
      </w:r>
      <w:r>
        <w:t>代顿协定附件七充分实施，以及</w:t>
      </w:r>
      <w:r>
        <w:rPr>
          <w:rFonts w:hint="eastAsia"/>
        </w:rPr>
        <w:t>使</w:t>
      </w:r>
      <w:r>
        <w:t>波斯尼亚和黑塞哥维那难民回归进程圆满</w:t>
      </w:r>
      <w:r>
        <w:rPr>
          <w:rFonts w:hint="eastAsia"/>
        </w:rPr>
        <w:t>完成</w:t>
      </w:r>
      <w:r>
        <w:t>。</w:t>
      </w:r>
    </w:p>
    <w:p w:rsidR="00000000" w:rsidRDefault="00000000">
      <w:pPr>
        <w:rPr>
          <w:b/>
        </w:rPr>
      </w:pPr>
      <w:r>
        <w:rPr>
          <w:b/>
        </w:rPr>
        <w:tab/>
      </w:r>
      <w:r>
        <w:t xml:space="preserve">345.  </w:t>
      </w:r>
      <w:r>
        <w:t>为了实现这一</w:t>
      </w:r>
      <w:r>
        <w:rPr>
          <w:rFonts w:hint="eastAsia"/>
        </w:rPr>
        <w:t>雄心勃勃</w:t>
      </w:r>
      <w:r>
        <w:t>的战略目标，有必要</w:t>
      </w:r>
      <w:r>
        <w:rPr>
          <w:rFonts w:hint="eastAsia"/>
        </w:rPr>
        <w:t>使</w:t>
      </w:r>
      <w:r>
        <w:t>这一领域的政策和条例</w:t>
      </w:r>
      <w:r>
        <w:rPr>
          <w:rFonts w:hint="eastAsia"/>
        </w:rPr>
        <w:t>统一起来</w:t>
      </w:r>
      <w:r>
        <w:t>，恢复回归基金，并据此为项目的实施确定优先事项以及</w:t>
      </w:r>
      <w:r>
        <w:rPr>
          <w:rFonts w:hint="eastAsia"/>
        </w:rPr>
        <w:t>用户</w:t>
      </w:r>
      <w:r>
        <w:t>选择标准。这样，就可以呼吁国际社会专门拨出经费，并参与联合活动。</w:t>
      </w:r>
    </w:p>
    <w:p w:rsidR="00000000" w:rsidRDefault="00000000">
      <w:pPr>
        <w:rPr>
          <w:b/>
        </w:rPr>
      </w:pPr>
      <w:r>
        <w:rPr>
          <w:b/>
        </w:rPr>
        <w:tab/>
      </w:r>
      <w:r>
        <w:t xml:space="preserve">346.  </w:t>
      </w:r>
      <w:r>
        <w:t>注意到其余尚未修好的住房单位所遭受毁坏的程度为大约</w:t>
      </w:r>
      <w:r>
        <w:t>80%-100%</w:t>
      </w:r>
      <w:r>
        <w:t>，这方面迄今</w:t>
      </w:r>
      <w:r>
        <w:rPr>
          <w:rFonts w:hint="eastAsia"/>
        </w:rPr>
        <w:t>取得</w:t>
      </w:r>
      <w:r>
        <w:t>的经验表明，重建</w:t>
      </w:r>
      <w:r>
        <w:t>50,000</w:t>
      </w:r>
      <w:r>
        <w:t>个住房单位所需的经费大约为</w:t>
      </w:r>
      <w:r>
        <w:t>9</w:t>
      </w:r>
      <w:r>
        <w:rPr>
          <w:rFonts w:hint="eastAsia"/>
        </w:rPr>
        <w:t>亿</w:t>
      </w:r>
      <w:r>
        <w:t>可兑换马克。</w:t>
      </w:r>
    </w:p>
    <w:p w:rsidR="00000000" w:rsidRDefault="00000000">
      <w:pPr>
        <w:rPr>
          <w:b/>
        </w:rPr>
      </w:pPr>
      <w:r>
        <w:rPr>
          <w:b/>
        </w:rPr>
        <w:tab/>
      </w:r>
      <w:r>
        <w:t xml:space="preserve">347.  </w:t>
      </w:r>
      <w:r>
        <w:t>归还财产作为难民和流离失所者的一项核心权</w:t>
      </w:r>
      <w:r>
        <w:rPr>
          <w:rFonts w:hint="eastAsia"/>
        </w:rPr>
        <w:t>利，</w:t>
      </w:r>
      <w:r>
        <w:t>是回归的关键先决条件之一。大约两年前，处理波斯尼亚和黑塞哥维那难民回归和财产回归问题的主要组织</w:t>
      </w:r>
      <w:r>
        <w:t>(</w:t>
      </w:r>
      <w:r>
        <w:t>难民署、高级代表处、前南会议、不动产索受委</w:t>
      </w:r>
      <w:r>
        <w:t>)</w:t>
      </w:r>
      <w:r>
        <w:t>拟订了一项《财产法实施计划》，并且在消除政治障碍、行使归回财产权和居住权这一纯粹行政问题方面迈出了一大步。实际履行《财产法实施计划》的机构</w:t>
      </w:r>
      <w:r>
        <w:rPr>
          <w:rFonts w:hint="eastAsia"/>
        </w:rPr>
        <w:t>发表</w:t>
      </w:r>
      <w:r>
        <w:t>在波斯尼亚和黑塞哥维那财产法实施情况的联合统计</w:t>
      </w:r>
      <w:r>
        <w:rPr>
          <w:rFonts w:hint="eastAsia"/>
        </w:rPr>
        <w:t>月</w:t>
      </w:r>
      <w:r>
        <w:t>报。</w:t>
      </w:r>
    </w:p>
    <w:p w:rsidR="00000000" w:rsidRDefault="00000000">
      <w:pPr>
        <w:rPr>
          <w:b/>
        </w:rPr>
      </w:pPr>
      <w:r>
        <w:rPr>
          <w:b/>
        </w:rPr>
        <w:tab/>
      </w:r>
      <w:r>
        <w:t xml:space="preserve">348.  </w:t>
      </w:r>
      <w:r>
        <w:t>这些统计数字反映出波斯尼亚和黑塞哥维那财产法</w:t>
      </w:r>
      <w:r>
        <w:t>(</w:t>
      </w:r>
      <w:r>
        <w:t>包括</w:t>
      </w:r>
      <w:r>
        <w:t>1999</w:t>
      </w:r>
      <w:r>
        <w:t>年</w:t>
      </w:r>
      <w:r>
        <w:t>10</w:t>
      </w:r>
      <w:r>
        <w:t>月的修正案</w:t>
      </w:r>
      <w:r>
        <w:t>)</w:t>
      </w:r>
      <w:r>
        <w:t>通过以来的实施情况。这些统计数据由前南会议、难民署和高级代表处的外</w:t>
      </w:r>
      <w:r>
        <w:rPr>
          <w:rFonts w:hint="eastAsia"/>
        </w:rPr>
        <w:t>勤</w:t>
      </w:r>
      <w:r>
        <w:t>人员每月根据地方当局提供的资料编撰而成。申请的数量与市政府</w:t>
      </w:r>
      <w:r>
        <w:rPr>
          <w:rFonts w:hint="eastAsia"/>
        </w:rPr>
        <w:t>收</w:t>
      </w:r>
      <w:r>
        <w:t>到要求回归的地产数量相一致。</w:t>
      </w:r>
    </w:p>
    <w:p w:rsidR="00000000" w:rsidRDefault="00000000">
      <w:pPr>
        <w:rPr>
          <w:b/>
        </w:rPr>
      </w:pPr>
      <w:r>
        <w:rPr>
          <w:b/>
        </w:rPr>
        <w:tab/>
      </w:r>
      <w:r>
        <w:t xml:space="preserve">349.  </w:t>
      </w:r>
      <w:r>
        <w:rPr>
          <w:rFonts w:hint="eastAsia"/>
        </w:rPr>
        <w:t>“</w:t>
      </w:r>
      <w:r>
        <w:t>决定数</w:t>
      </w:r>
      <w:r>
        <w:rPr>
          <w:rFonts w:hint="eastAsia"/>
        </w:rPr>
        <w:t>”</w:t>
      </w:r>
      <w:r>
        <w:t>是</w:t>
      </w:r>
      <w:r>
        <w:rPr>
          <w:rFonts w:hint="eastAsia"/>
        </w:rPr>
        <w:t>市政</w:t>
      </w:r>
      <w:r>
        <w:t>当局作出的决定总数，而</w:t>
      </w:r>
      <w:r>
        <w:rPr>
          <w:rFonts w:hint="eastAsia"/>
        </w:rPr>
        <w:t>“</w:t>
      </w:r>
      <w:r>
        <w:t>归还的住房单位</w:t>
      </w:r>
      <w:r>
        <w:rPr>
          <w:rFonts w:hint="eastAsia"/>
        </w:rPr>
        <w:t>”</w:t>
      </w:r>
      <w:r>
        <w:t>数是指那些从</w:t>
      </w:r>
      <w:r>
        <w:rPr>
          <w:rFonts w:hint="eastAsia"/>
        </w:rPr>
        <w:t>市</w:t>
      </w:r>
      <w:r>
        <w:t>政府机构得到钥匙，收回其财产的房主或居住权拥有者总数。</w:t>
      </w:r>
    </w:p>
    <w:p w:rsidR="00000000" w:rsidRDefault="00000000">
      <w:pPr>
        <w:spacing w:after="240"/>
        <w:rPr>
          <w:b/>
        </w:rPr>
      </w:pPr>
      <w:r>
        <w:rPr>
          <w:b/>
        </w:rPr>
        <w:tab/>
      </w:r>
      <w:r>
        <w:t xml:space="preserve">350.  </w:t>
      </w:r>
      <w:r>
        <w:t>这项工作的实施比率是由归还的住房单位总数</w:t>
      </w:r>
      <w:r>
        <w:rPr>
          <w:rFonts w:hint="eastAsia"/>
        </w:rPr>
        <w:t>除</w:t>
      </w:r>
      <w:r>
        <w:t>以要求收回的</w:t>
      </w:r>
      <w:r>
        <w:rPr>
          <w:rFonts w:hint="eastAsia"/>
        </w:rPr>
        <w:t>申报</w:t>
      </w:r>
      <w:r>
        <w:t>数，以百分比表示。这些统计数据不包括有关所作决定，以及被遗弃的财产、商业场地和土地的归还</w:t>
      </w:r>
      <w:r>
        <w:rPr>
          <w:rFonts w:hint="eastAsia"/>
        </w:rPr>
        <w:t>情况</w:t>
      </w:r>
      <w:r>
        <w:t>。</w:t>
      </w:r>
    </w:p>
    <w:p w:rsidR="00000000" w:rsidRDefault="00000000">
      <w:pPr>
        <w:pStyle w:val="Heading4"/>
        <w:rPr>
          <w:rFonts w:hint="eastAsia"/>
          <w:b/>
        </w:rPr>
      </w:pPr>
      <w:r>
        <w:t>波斯尼亚和黑非哥维纳的住房</w:t>
      </w:r>
      <w:r>
        <w:rPr>
          <w:rFonts w:hint="eastAsia"/>
        </w:rPr>
        <w:t>不足</w:t>
      </w:r>
    </w:p>
    <w:p w:rsidR="00000000" w:rsidRDefault="00000000">
      <w:pPr>
        <w:rPr>
          <w:b/>
        </w:rPr>
      </w:pPr>
      <w:r>
        <w:rPr>
          <w:b/>
        </w:rPr>
        <w:tab/>
      </w:r>
      <w:r>
        <w:t xml:space="preserve">351.  </w:t>
      </w:r>
      <w:r>
        <w:t>在住房领域里，境况最岌岌可危的是</w:t>
      </w:r>
      <w:r>
        <w:rPr>
          <w:rFonts w:hint="eastAsia"/>
        </w:rPr>
        <w:t>一</w:t>
      </w:r>
      <w:r>
        <w:t>些家庭和个人，那些在战前居住他人</w:t>
      </w:r>
      <w:r>
        <w:rPr>
          <w:rFonts w:hint="eastAsia"/>
        </w:rPr>
        <w:t>房</w:t>
      </w:r>
      <w:r>
        <w:t>产、然后不得</w:t>
      </w:r>
      <w:r>
        <w:rPr>
          <w:rFonts w:hint="eastAsia"/>
        </w:rPr>
        <w:t>不离开而无要求</w:t>
      </w:r>
      <w:r>
        <w:t>其他住所</w:t>
      </w:r>
      <w:r>
        <w:rPr>
          <w:rFonts w:hint="eastAsia"/>
        </w:rPr>
        <w:t>权利</w:t>
      </w:r>
      <w:r>
        <w:t>的房客，包括沦为流离失所者或户籍家庭的人们。</w:t>
      </w:r>
    </w:p>
    <w:p w:rsidR="00000000" w:rsidRDefault="00000000">
      <w:pPr>
        <w:rPr>
          <w:b/>
        </w:rPr>
      </w:pPr>
      <w:r>
        <w:rPr>
          <w:b/>
        </w:rPr>
        <w:tab/>
      </w:r>
      <w:r>
        <w:t xml:space="preserve">352.  </w:t>
      </w:r>
      <w:r>
        <w:t>目前，没有关于整个波斯尼亚和黑塞哥维那范围内无家可归</w:t>
      </w:r>
      <w:r>
        <w:rPr>
          <w:rFonts w:hint="eastAsia"/>
        </w:rPr>
        <w:t>的个人和</w:t>
      </w:r>
      <w:r>
        <w:t>家庭的数据，而从该联邦各州和各市收集的部分数据表明有</w:t>
      </w:r>
      <w:r>
        <w:t>800</w:t>
      </w:r>
      <w:r>
        <w:rPr>
          <w:rFonts w:hint="eastAsia"/>
        </w:rPr>
        <w:t>人</w:t>
      </w:r>
      <w:r>
        <w:t>。同一资料来源表明，大约有</w:t>
      </w:r>
      <w:r>
        <w:t>400</w:t>
      </w:r>
      <w:r>
        <w:t>户家庭没有适当的住所，而</w:t>
      </w:r>
      <w:r>
        <w:t>550</w:t>
      </w:r>
      <w:r>
        <w:t>人没有基本的保护。大约有</w:t>
      </w:r>
      <w:r>
        <w:t>800,000</w:t>
      </w:r>
      <w:r>
        <w:t>户家庭已在申请住房的等待名单上登记。这一数据的其他内容，例如得不到基本保护的人数以及其开支超过可接受的上限人数都已经过期多年，已经无法将</w:t>
      </w:r>
      <w:r>
        <w:rPr>
          <w:rFonts w:hint="eastAsia"/>
        </w:rPr>
        <w:t>所指人士</w:t>
      </w:r>
      <w:r>
        <w:t>看作波斯尼亚和黑塞哥维那联邦领土内的</w:t>
      </w:r>
      <w:r>
        <w:rPr>
          <w:rFonts w:hint="eastAsia"/>
        </w:rPr>
        <w:t>上述</w:t>
      </w:r>
      <w:r>
        <w:t>人士了。</w:t>
      </w:r>
    </w:p>
    <w:p w:rsidR="00000000" w:rsidRDefault="00000000">
      <w:pPr>
        <w:rPr>
          <w:b/>
        </w:rPr>
      </w:pPr>
      <w:r>
        <w:rPr>
          <w:b/>
        </w:rPr>
        <w:tab/>
      </w:r>
      <w:r>
        <w:t xml:space="preserve">353.  </w:t>
      </w:r>
      <w:r>
        <w:t>在</w:t>
      </w:r>
      <w:r>
        <w:rPr>
          <w:rFonts w:hint="eastAsia"/>
        </w:rPr>
        <w:t>塞族</w:t>
      </w:r>
      <w:r>
        <w:t>共和国没有适当住房</w:t>
      </w:r>
      <w:r>
        <w:t>(</w:t>
      </w:r>
      <w:r>
        <w:t>没有供水，供热、供电</w:t>
      </w:r>
      <w:r>
        <w:t>)</w:t>
      </w:r>
      <w:r>
        <w:t>的家庭数，以及居住在过于拥挤、潮湿、不安全和在其他方面不合适状况的人数为</w:t>
      </w:r>
      <w:r>
        <w:t>94,570</w:t>
      </w:r>
      <w:r>
        <w:t>人，这一资料令人不安。</w:t>
      </w:r>
    </w:p>
    <w:p w:rsidR="00000000" w:rsidRDefault="00000000">
      <w:pPr>
        <w:rPr>
          <w:b/>
        </w:rPr>
      </w:pPr>
      <w:r>
        <w:rPr>
          <w:b/>
        </w:rPr>
        <w:tab/>
      </w:r>
      <w:r>
        <w:t xml:space="preserve">354.  </w:t>
      </w:r>
      <w:r>
        <w:t>过去五年里迫</w:t>
      </w:r>
      <w:r>
        <w:rPr>
          <w:rFonts w:hint="eastAsia"/>
        </w:rPr>
        <w:t>迁</w:t>
      </w:r>
      <w:r>
        <w:t>的家庭数达</w:t>
      </w:r>
      <w:r>
        <w:t>44,350</w:t>
      </w:r>
      <w:r>
        <w:t>户，而有权在其他住所居住的所有家庭并非都面临迫迁，而多数都依法得到了其他住所。但是，</w:t>
      </w:r>
      <w:r>
        <w:rPr>
          <w:rFonts w:hint="eastAsia"/>
        </w:rPr>
        <w:t>有</w:t>
      </w:r>
      <w:r>
        <w:t>5,500</w:t>
      </w:r>
      <w:r>
        <w:rPr>
          <w:rFonts w:hint="eastAsia"/>
        </w:rPr>
        <w:t>户</w:t>
      </w:r>
      <w:r>
        <w:t>家庭</w:t>
      </w:r>
      <w:r>
        <w:t>(</w:t>
      </w:r>
      <w:r>
        <w:t>其中</w:t>
      </w:r>
      <w:r>
        <w:rPr>
          <w:rFonts w:hint="eastAsia"/>
        </w:rPr>
        <w:t>大</w:t>
      </w:r>
      <w:r>
        <w:t>多为战前的房客</w:t>
      </w:r>
      <w:r>
        <w:t>)</w:t>
      </w:r>
      <w:r>
        <w:t>被迫迁离，而根据法律，他们有权</w:t>
      </w:r>
      <w:r>
        <w:rPr>
          <w:rFonts w:hint="eastAsia"/>
        </w:rPr>
        <w:t>要求</w:t>
      </w:r>
      <w:r>
        <w:t>其他住所。</w:t>
      </w:r>
    </w:p>
    <w:p w:rsidR="00000000" w:rsidRDefault="00000000">
      <w:pPr>
        <w:rPr>
          <w:b/>
        </w:rPr>
      </w:pPr>
      <w:r>
        <w:rPr>
          <w:b/>
        </w:rPr>
        <w:tab/>
      </w:r>
      <w:r>
        <w:t xml:space="preserve">355.  </w:t>
      </w:r>
      <w:r>
        <w:t>目前，在塞族共和国，大约有</w:t>
      </w:r>
      <w:r>
        <w:t>1,000</w:t>
      </w:r>
      <w:r>
        <w:t>户家庭在其他住所</w:t>
      </w:r>
      <w:r>
        <w:rPr>
          <w:rFonts w:hint="eastAsia"/>
        </w:rPr>
        <w:t>或</w:t>
      </w:r>
      <w:r>
        <w:t>房租补贴</w:t>
      </w:r>
      <w:r>
        <w:rPr>
          <w:rFonts w:hint="eastAsia"/>
        </w:rPr>
        <w:t>候补</w:t>
      </w:r>
      <w:r>
        <w:t>名单上。这类援助的等待时间平均为三个月。</w:t>
      </w:r>
    </w:p>
    <w:p w:rsidR="00000000" w:rsidRDefault="00000000">
      <w:pPr>
        <w:rPr>
          <w:b/>
        </w:rPr>
      </w:pPr>
      <w:r>
        <w:rPr>
          <w:b/>
        </w:rPr>
        <w:tab/>
      </w:r>
      <w:r>
        <w:t xml:space="preserve">356.  </w:t>
      </w:r>
      <w:r>
        <w:t>使用替代形式住所</w:t>
      </w:r>
      <w:r>
        <w:rPr>
          <w:rFonts w:hint="eastAsia"/>
        </w:rPr>
        <w:t>的</w:t>
      </w:r>
      <w:r>
        <w:t>家庭数情况如下：</w:t>
      </w:r>
    </w:p>
    <w:p w:rsidR="00000000" w:rsidRDefault="00000000">
      <w:pPr>
        <w:pStyle w:val="a0"/>
        <w:ind w:left="1550"/>
        <w:rPr>
          <w:b/>
        </w:rPr>
      </w:pPr>
      <w:r>
        <w:t>房租已经支付的住所：</w:t>
      </w:r>
      <w:r>
        <w:t>5,374</w:t>
      </w:r>
      <w:r>
        <w:t>户；</w:t>
      </w:r>
    </w:p>
    <w:p w:rsidR="00000000" w:rsidRDefault="00000000">
      <w:pPr>
        <w:pStyle w:val="a0"/>
        <w:ind w:left="1550"/>
        <w:rPr>
          <w:b/>
        </w:rPr>
      </w:pPr>
      <w:r>
        <w:t>作为其他住所</w:t>
      </w:r>
      <w:r>
        <w:rPr>
          <w:rFonts w:hint="eastAsia"/>
        </w:rPr>
        <w:t>形式</w:t>
      </w:r>
      <w:r>
        <w:t>使用的公寓</w:t>
      </w:r>
      <w:r>
        <w:t>(</w:t>
      </w:r>
      <w:r>
        <w:t>为此目的而建造、改建、修理的公寓，以及那些已经被要求归还的公寓</w:t>
      </w:r>
      <w:r>
        <w:t>)</w:t>
      </w:r>
      <w:r>
        <w:t>，有</w:t>
      </w:r>
      <w:r>
        <w:t>1,726</w:t>
      </w:r>
      <w:r>
        <w:t>户家庭居住；</w:t>
      </w:r>
    </w:p>
    <w:p w:rsidR="00000000" w:rsidRDefault="00000000">
      <w:pPr>
        <w:pStyle w:val="a0"/>
        <w:ind w:left="1550"/>
        <w:rPr>
          <w:b/>
        </w:rPr>
      </w:pPr>
      <w:r>
        <w:t>公共住所</w:t>
      </w:r>
      <w:r>
        <w:t>(</w:t>
      </w:r>
      <w:r>
        <w:t>例如旅馆、汽车旅馆、修</w:t>
      </w:r>
      <w:r>
        <w:rPr>
          <w:rFonts w:hint="eastAsia"/>
        </w:rPr>
        <w:t>复</w:t>
      </w:r>
      <w:r>
        <w:t>的学校和有</w:t>
      </w:r>
      <w:r>
        <w:rPr>
          <w:rFonts w:hint="eastAsia"/>
        </w:rPr>
        <w:t>公</w:t>
      </w:r>
      <w:r>
        <w:t>共卫生设施的其他</w:t>
      </w:r>
      <w:r>
        <w:rPr>
          <w:rFonts w:hint="eastAsia"/>
        </w:rPr>
        <w:t>场所</w:t>
      </w:r>
      <w:r>
        <w:t>)</w:t>
      </w:r>
      <w:r>
        <w:t>，为</w:t>
      </w:r>
      <w:r>
        <w:t>680</w:t>
      </w:r>
      <w:r>
        <w:t>户家庭所使用。</w:t>
      </w:r>
    </w:p>
    <w:p w:rsidR="00000000" w:rsidRDefault="00000000">
      <w:pPr>
        <w:rPr>
          <w:b/>
        </w:rPr>
      </w:pPr>
      <w:r>
        <w:rPr>
          <w:b/>
        </w:rPr>
        <w:tab/>
      </w:r>
      <w:r>
        <w:t xml:space="preserve">357.  </w:t>
      </w:r>
      <w:r>
        <w:t>关于塞族共和国的住房状况，</w:t>
      </w:r>
      <w:r>
        <w:rPr>
          <w:rFonts w:hint="eastAsia"/>
        </w:rPr>
        <w:t>没有</w:t>
      </w:r>
      <w:r>
        <w:t>可靠的统计数据或精确的资料。根据该国的政府部门所作的估算，塞族共和国总人口为</w:t>
      </w:r>
      <w:r>
        <w:t>1,513,127</w:t>
      </w:r>
      <w:r>
        <w:t>人，平均每户家庭</w:t>
      </w:r>
      <w:r>
        <w:t>4</w:t>
      </w:r>
      <w:r>
        <w:t>人，因而大约有</w:t>
      </w:r>
      <w:r>
        <w:t>378,281</w:t>
      </w:r>
      <w:r>
        <w:t>户家庭。此外，估算表明如下情况：</w:t>
      </w:r>
    </w:p>
    <w:p w:rsidR="00000000" w:rsidRDefault="00000000">
      <w:pPr>
        <w:pStyle w:val="a0"/>
        <w:ind w:left="1550"/>
        <w:rPr>
          <w:b/>
        </w:rPr>
      </w:pPr>
      <w:r>
        <w:t>189,140(</w:t>
      </w:r>
      <w:r>
        <w:t>或</w:t>
      </w:r>
      <w:r>
        <w:t>50%)</w:t>
      </w:r>
      <w:r>
        <w:t>户家庭有适当的住房；</w:t>
      </w:r>
    </w:p>
    <w:p w:rsidR="00000000" w:rsidRDefault="00000000">
      <w:pPr>
        <w:pStyle w:val="a0"/>
        <w:ind w:left="1550"/>
        <w:rPr>
          <w:b/>
        </w:rPr>
      </w:pPr>
      <w:r>
        <w:t>94,570(</w:t>
      </w:r>
      <w:r>
        <w:t>或</w:t>
      </w:r>
      <w:r>
        <w:t>25%)</w:t>
      </w:r>
      <w:r>
        <w:t>户家庭没有适当的住所；</w:t>
      </w:r>
    </w:p>
    <w:p w:rsidR="00000000" w:rsidRDefault="00000000">
      <w:pPr>
        <w:pStyle w:val="a0"/>
        <w:ind w:left="1550"/>
        <w:rPr>
          <w:b/>
        </w:rPr>
      </w:pPr>
      <w:r>
        <w:t>10,000(</w:t>
      </w:r>
      <w:r>
        <w:t>或</w:t>
      </w:r>
      <w:r>
        <w:t>3%)</w:t>
      </w:r>
      <w:r>
        <w:t>户家庭仍然占据着他人的房产；</w:t>
      </w:r>
    </w:p>
    <w:p w:rsidR="00000000" w:rsidRDefault="00000000">
      <w:pPr>
        <w:pStyle w:val="a0"/>
        <w:ind w:left="1550"/>
        <w:rPr>
          <w:b/>
        </w:rPr>
      </w:pPr>
      <w:r>
        <w:t>7,565(</w:t>
      </w:r>
      <w:r>
        <w:t>或</w:t>
      </w:r>
      <w:r>
        <w:t>2%)</w:t>
      </w:r>
      <w:r>
        <w:t>户家庭使用替代形式的住所；</w:t>
      </w:r>
    </w:p>
    <w:p w:rsidR="00000000" w:rsidRDefault="00000000">
      <w:pPr>
        <w:pStyle w:val="a0"/>
        <w:ind w:left="1550"/>
        <w:rPr>
          <w:b/>
        </w:rPr>
      </w:pPr>
      <w:r>
        <w:t>75,656(</w:t>
      </w:r>
      <w:r>
        <w:t>或</w:t>
      </w:r>
      <w:r>
        <w:t>20%)</w:t>
      </w:r>
      <w:r>
        <w:t>户家庭租用其住所。</w:t>
      </w:r>
    </w:p>
    <w:p w:rsidR="00000000" w:rsidRDefault="00000000">
      <w:pPr>
        <w:rPr>
          <w:b/>
        </w:rPr>
      </w:pPr>
      <w:r>
        <w:rPr>
          <w:b/>
        </w:rPr>
        <w:tab/>
      </w:r>
      <w:r>
        <w:t xml:space="preserve">358.  </w:t>
      </w:r>
      <w:r>
        <w:t>当塞族共和国和整个联邦实施了财产法之后，住房领域这一全国面临的紧急问题</w:t>
      </w:r>
      <w:r>
        <w:rPr>
          <w:rFonts w:hint="eastAsia"/>
        </w:rPr>
        <w:t>就</w:t>
      </w:r>
      <w:r>
        <w:t>应由国家层面的法律来界定和管制。</w:t>
      </w:r>
      <w:r>
        <w:rPr>
          <w:rFonts w:hint="eastAsia"/>
        </w:rPr>
        <w:t>我们认为，</w:t>
      </w:r>
      <w:r>
        <w:t>关于国有公寓私有化</w:t>
      </w:r>
      <w:r>
        <w:rPr>
          <w:rFonts w:hint="eastAsia"/>
        </w:rPr>
        <w:t>和</w:t>
      </w:r>
      <w:r>
        <w:t>关于被放弃土地的</w:t>
      </w:r>
      <w:r>
        <w:rPr>
          <w:rFonts w:hint="eastAsia"/>
        </w:rPr>
        <w:t>现行</w:t>
      </w:r>
      <w:r>
        <w:t>法律</w:t>
      </w:r>
      <w:r>
        <w:rPr>
          <w:rFonts w:hint="eastAsia"/>
        </w:rPr>
        <w:t>，</w:t>
      </w:r>
      <w:r>
        <w:t>在财产法的实施完成之后仍然有效，</w:t>
      </w:r>
      <w:r>
        <w:rPr>
          <w:rFonts w:hint="eastAsia"/>
        </w:rPr>
        <w:t>但</w:t>
      </w:r>
      <w:r>
        <w:t>不足以完全管制国家层面的住房领域。</w:t>
      </w:r>
    </w:p>
    <w:p w:rsidR="00000000" w:rsidRDefault="00000000">
      <w:pPr>
        <w:rPr>
          <w:b/>
        </w:rPr>
      </w:pPr>
      <w:r>
        <w:rPr>
          <w:b/>
        </w:rPr>
        <w:tab/>
      </w:r>
      <w:r>
        <w:t xml:space="preserve">359.  </w:t>
      </w:r>
      <w:r>
        <w:t>塞族共和国通过根据国有公寓私有化法律设立的塞族共和国住房基金从公寓的房东征收款项，并利用这些经费作为住房建设项目的</w:t>
      </w:r>
      <w:r>
        <w:rPr>
          <w:rFonts w:hint="eastAsia"/>
        </w:rPr>
        <w:t>“</w:t>
      </w:r>
      <w:r>
        <w:t>软性</w:t>
      </w:r>
      <w:r>
        <w:rPr>
          <w:rFonts w:hint="eastAsia"/>
        </w:rPr>
        <w:t>”</w:t>
      </w:r>
      <w:r>
        <w:t>贷款。这一进程</w:t>
      </w:r>
      <w:r>
        <w:rPr>
          <w:rFonts w:hint="eastAsia"/>
        </w:rPr>
        <w:t>始于</w:t>
      </w:r>
      <w:r>
        <w:t>2000</w:t>
      </w:r>
      <w:r>
        <w:t>年</w:t>
      </w:r>
      <w:r>
        <w:t>9</w:t>
      </w:r>
      <w:r>
        <w:t>月。</w:t>
      </w:r>
    </w:p>
    <w:p w:rsidR="00000000" w:rsidRDefault="00000000">
      <w:pPr>
        <w:rPr>
          <w:b/>
        </w:rPr>
      </w:pPr>
      <w:r>
        <w:rPr>
          <w:b/>
        </w:rPr>
        <w:tab/>
      </w:r>
      <w:r>
        <w:t xml:space="preserve">360.  </w:t>
      </w:r>
      <w:r>
        <w:t>自布尔奇科地区开始实施财产法以来，已经根据新的财产法迫迁了大约</w:t>
      </w:r>
      <w:r>
        <w:t>1</w:t>
      </w:r>
      <w:r>
        <w:rPr>
          <w:rFonts w:hint="eastAsia"/>
        </w:rPr>
        <w:t>,</w:t>
      </w:r>
      <w:r>
        <w:t>000</w:t>
      </w:r>
      <w:r>
        <w:t>户其替代住所权已经结束的家庭。难民与流离失所者</w:t>
      </w:r>
      <w:r>
        <w:rPr>
          <w:rFonts w:hint="eastAsia"/>
        </w:rPr>
        <w:t>事务</w:t>
      </w:r>
      <w:r>
        <w:t>部没有在实行财产法过程中进行任意迫迁。布尔奇科地区政府为保护最低收入的家庭，确定并提供了特别依据消费者价格指数的摊款。该地区政府的计算认为，</w:t>
      </w:r>
      <w:r>
        <w:rPr>
          <w:rFonts w:hint="eastAsia"/>
        </w:rPr>
        <w:t>4</w:t>
      </w:r>
      <w:r>
        <w:rPr>
          <w:rFonts w:hint="eastAsia"/>
        </w:rPr>
        <w:t>人</w:t>
      </w:r>
      <w:r>
        <w:t>家庭的住房需要</w:t>
      </w:r>
      <w:r>
        <w:t>450</w:t>
      </w:r>
      <w:r>
        <w:t>可兑换马克</w:t>
      </w:r>
      <w:r>
        <w:t>(</w:t>
      </w:r>
      <w:r>
        <w:t>布尔奇科地区的平均工资为</w:t>
      </w:r>
      <w:r>
        <w:t>690</w:t>
      </w:r>
      <w:r>
        <w:t>马克</w:t>
      </w:r>
      <w:r>
        <w:t>)</w:t>
      </w:r>
      <w:r>
        <w:t>。对于这些类别</w:t>
      </w:r>
      <w:r>
        <w:t>/</w:t>
      </w:r>
      <w:r>
        <w:t>人群、</w:t>
      </w:r>
      <w:r>
        <w:rPr>
          <w:rFonts w:hint="eastAsia"/>
        </w:rPr>
        <w:t>或</w:t>
      </w:r>
      <w:r>
        <w:t>靠养老金生活的人，并没有援助方案，但是根据</w:t>
      </w:r>
      <w:r>
        <w:t>2003</w:t>
      </w:r>
      <w:r>
        <w:t>年的预算，向社会部门和上述类别的人群</w:t>
      </w:r>
      <w:r>
        <w:rPr>
          <w:rFonts w:hint="eastAsia"/>
        </w:rPr>
        <w:t>拨</w:t>
      </w:r>
      <w:r>
        <w:t>出了大量经费。</w:t>
      </w:r>
    </w:p>
    <w:p w:rsidR="00000000" w:rsidRDefault="00000000">
      <w:pPr>
        <w:rPr>
          <w:b/>
        </w:rPr>
      </w:pPr>
      <w:r>
        <w:rPr>
          <w:b/>
        </w:rPr>
        <w:tab/>
      </w:r>
      <w:r>
        <w:t xml:space="preserve">361.  </w:t>
      </w:r>
      <w:r>
        <w:t>住所</w:t>
      </w:r>
      <w:r>
        <w:rPr>
          <w:rFonts w:hint="eastAsia"/>
        </w:rPr>
        <w:t>候补</w:t>
      </w:r>
      <w:r>
        <w:t>名单上有</w:t>
      </w:r>
      <w:r>
        <w:t>22</w:t>
      </w:r>
      <w:r>
        <w:t>户需要社会福利的家庭。平均等待时间是六个月以上。已经采取了缩短这一等待时间的措施。从这一角度</w:t>
      </w:r>
      <w:r>
        <w:rPr>
          <w:rFonts w:hint="eastAsia"/>
        </w:rPr>
        <w:t>出发</w:t>
      </w:r>
      <w:r>
        <w:t>，并为了减少对其他住房形式的需要，布尔奇科地区政府开展了一些活动，以此将用于其他形式住所</w:t>
      </w:r>
      <w:r>
        <w:rPr>
          <w:rFonts w:hint="eastAsia"/>
        </w:rPr>
        <w:t>的</w:t>
      </w:r>
      <w:r>
        <w:t>基金转向社会工作基金。这将有助于更有效地解决需要社会福利的家庭所面临的住房问题。</w:t>
      </w:r>
      <w:r>
        <w:rPr>
          <w:rFonts w:hint="eastAsia"/>
        </w:rPr>
        <w:t>在</w:t>
      </w:r>
      <w:r>
        <w:t>2003</w:t>
      </w:r>
      <w:r>
        <w:t>年</w:t>
      </w:r>
      <w:r>
        <w:rPr>
          <w:rFonts w:hint="eastAsia"/>
        </w:rPr>
        <w:t>预算中</w:t>
      </w:r>
      <w:r>
        <w:t>拨出了</w:t>
      </w:r>
      <w:r>
        <w:t>500,000</w:t>
      </w:r>
      <w:r>
        <w:t>可兑换马克，以用于建筑属于不同社会类别的住房。已经选定了这项方案的受益人，预计将建筑</w:t>
      </w:r>
      <w:r>
        <w:t>17</w:t>
      </w:r>
      <w:r>
        <w:t>栋住房。</w:t>
      </w:r>
    </w:p>
    <w:p w:rsidR="00000000" w:rsidRDefault="00000000">
      <w:pPr>
        <w:rPr>
          <w:b/>
        </w:rPr>
      </w:pPr>
      <w:r>
        <w:rPr>
          <w:b/>
        </w:rPr>
        <w:tab/>
      </w:r>
      <w:r>
        <w:t xml:space="preserve">362.  </w:t>
      </w:r>
      <w:r>
        <w:t>有</w:t>
      </w:r>
      <w:r>
        <w:t>640</w:t>
      </w:r>
      <w:r>
        <w:t>个不同种类的住房单位</w:t>
      </w:r>
      <w:r>
        <w:rPr>
          <w:rFonts w:hint="eastAsia"/>
        </w:rPr>
        <w:t>用于</w:t>
      </w:r>
      <w:r>
        <w:t>为流离失所者和人数较少的社会地位不稳固人群提供住房。在这一数字中，有</w:t>
      </w:r>
      <w:r>
        <w:t>320</w:t>
      </w:r>
      <w:r>
        <w:t>个住房单位是用于此类目的的，具体地区分配如下：</w:t>
      </w:r>
      <w:r>
        <w:t>Prutace, 182</w:t>
      </w:r>
      <w:r>
        <w:t>套公寓；</w:t>
      </w:r>
      <w:r>
        <w:t xml:space="preserve">Grbavica, </w:t>
      </w:r>
      <w:r>
        <w:rPr>
          <w:rFonts w:hint="eastAsia"/>
        </w:rPr>
        <w:t>60</w:t>
      </w:r>
      <w:r>
        <w:t>套；</w:t>
      </w:r>
      <w:r>
        <w:t>Cerik, 32</w:t>
      </w:r>
      <w:r>
        <w:t>套；</w:t>
      </w:r>
      <w:r>
        <w:t>Bukvik, 28</w:t>
      </w:r>
      <w:r>
        <w:t>套；</w:t>
      </w:r>
      <w:r>
        <w:t>Brka,</w:t>
      </w:r>
      <w:r>
        <w:rPr>
          <w:rFonts w:hint="eastAsia"/>
        </w:rPr>
        <w:t>10</w:t>
      </w:r>
      <w:r>
        <w:t>套</w:t>
      </w:r>
      <w:r>
        <w:rPr>
          <w:rFonts w:hint="eastAsia"/>
        </w:rPr>
        <w:t>，</w:t>
      </w:r>
      <w:r>
        <w:t xml:space="preserve">Ivica, </w:t>
      </w:r>
      <w:r>
        <w:rPr>
          <w:rFonts w:hint="eastAsia"/>
        </w:rPr>
        <w:t>8</w:t>
      </w:r>
      <w:r>
        <w:t>套</w:t>
      </w:r>
      <w:r>
        <w:rPr>
          <w:rFonts w:hint="eastAsia"/>
        </w:rPr>
        <w:t xml:space="preserve">, </w:t>
      </w:r>
      <w:r>
        <w:t>有</w:t>
      </w:r>
      <w:r>
        <w:t>140</w:t>
      </w:r>
      <w:r>
        <w:t>套公寓归国家所有，或者无人要求归还，或归还的要求已被拒绝。这些公寓也用于解决上述两类人群的住房状况。还有</w:t>
      </w:r>
      <w:r>
        <w:rPr>
          <w:rFonts w:hint="eastAsia"/>
        </w:rPr>
        <w:t>为</w:t>
      </w:r>
      <w:r>
        <w:t>上述两类人提供其他住房的特别办法，就是向他们出租私人房产。对于住房有明确规定的程序和明确规定的房租数额，因而，有大约</w:t>
      </w:r>
      <w:r>
        <w:t>90</w:t>
      </w:r>
      <w:r>
        <w:t>个住房单位为</w:t>
      </w:r>
      <w:r>
        <w:t>186</w:t>
      </w:r>
      <w:r>
        <w:t>户家庭占用。</w:t>
      </w:r>
    </w:p>
    <w:p w:rsidR="00000000" w:rsidRDefault="00000000">
      <w:r>
        <w:rPr>
          <w:b/>
        </w:rPr>
        <w:tab/>
      </w:r>
      <w:r>
        <w:t xml:space="preserve">363.  </w:t>
      </w:r>
      <w:r>
        <w:t>在布尔奇科地区，除了这些</w:t>
      </w:r>
      <w:r>
        <w:rPr>
          <w:rFonts w:hint="eastAsia"/>
        </w:rPr>
        <w:t>为</w:t>
      </w:r>
      <w:r>
        <w:t>解决无家可归者住房问题的方式之外，当地政府并拨出大量资金，在流离失所者失去其对其他住房的权利时，设置了一种在</w:t>
      </w:r>
      <w:r>
        <w:t>12</w:t>
      </w:r>
      <w:r>
        <w:t>个月里提供经济支助的程序，以便解决</w:t>
      </w:r>
      <w:r>
        <w:rPr>
          <w:rFonts w:hint="eastAsia"/>
        </w:rPr>
        <w:t>其</w:t>
      </w:r>
      <w:r>
        <w:t>住房问题。按照这种支助，</w:t>
      </w:r>
      <w:r>
        <w:rPr>
          <w:rFonts w:hint="eastAsia"/>
        </w:rPr>
        <w:t>一个</w:t>
      </w:r>
      <w:r>
        <w:t>两</w:t>
      </w:r>
      <w:r>
        <w:rPr>
          <w:rFonts w:hint="eastAsia"/>
        </w:rPr>
        <w:t>口之</w:t>
      </w:r>
      <w:r>
        <w:t>家可以得到</w:t>
      </w:r>
      <w:r>
        <w:t>1,800</w:t>
      </w:r>
      <w:r>
        <w:t>可兑换马克，三</w:t>
      </w:r>
      <w:r>
        <w:rPr>
          <w:rFonts w:hint="eastAsia"/>
        </w:rPr>
        <w:t>口</w:t>
      </w:r>
      <w:r>
        <w:t>或四</w:t>
      </w:r>
      <w:r>
        <w:rPr>
          <w:rFonts w:hint="eastAsia"/>
        </w:rPr>
        <w:t>口之</w:t>
      </w:r>
      <w:r>
        <w:t>家可得</w:t>
      </w:r>
      <w:r>
        <w:t>3,000</w:t>
      </w:r>
      <w:r>
        <w:t>可兑换马克，五</w:t>
      </w:r>
      <w:r>
        <w:rPr>
          <w:rFonts w:hint="eastAsia"/>
        </w:rPr>
        <w:t>口</w:t>
      </w:r>
      <w:r>
        <w:t>以上的家庭可以得到</w:t>
      </w:r>
      <w:r>
        <w:t>3,600</w:t>
      </w:r>
      <w:r>
        <w:t>马克。这样，截至</w:t>
      </w:r>
      <w:r>
        <w:t>2003</w:t>
      </w:r>
      <w:r>
        <w:t>年</w:t>
      </w:r>
      <w:r>
        <w:t>8</w:t>
      </w:r>
      <w:r>
        <w:t>月</w:t>
      </w:r>
      <w:r>
        <w:t>31</w:t>
      </w:r>
      <w:r>
        <w:t>日，</w:t>
      </w:r>
      <w:r>
        <w:t>294</w:t>
      </w:r>
      <w:r>
        <w:t>户家庭的住房问题得到了解决。</w:t>
      </w:r>
    </w:p>
    <w:p w:rsidR="00000000" w:rsidRDefault="00000000">
      <w:r>
        <w:tab/>
        <w:t xml:space="preserve">364.  </w:t>
      </w:r>
      <w:r>
        <w:t>在波斯尼亚和黑塞哥维那联邦，存在类似情况，根据现有的数据，有大量无家可归的、被迫迁的家庭</w:t>
      </w:r>
      <w:r>
        <w:t>(56,442)</w:t>
      </w:r>
      <w:r>
        <w:t>，这些家庭没有适当的住所，还有大量占用</w:t>
      </w:r>
      <w:r>
        <w:rPr>
          <w:rFonts w:hint="eastAsia"/>
        </w:rPr>
        <w:t>不具备</w:t>
      </w:r>
      <w:r>
        <w:t>基本公用设施</w:t>
      </w:r>
      <w:r>
        <w:t>(</w:t>
      </w:r>
      <w:r>
        <w:t>供水、供电，公路等</w:t>
      </w:r>
      <w:r>
        <w:t>)</w:t>
      </w:r>
      <w:r>
        <w:t>的非法住所。</w:t>
      </w:r>
    </w:p>
    <w:p w:rsidR="00000000" w:rsidRDefault="00000000">
      <w:pPr>
        <w:spacing w:after="320"/>
        <w:rPr>
          <w:rFonts w:hint="eastAsia"/>
        </w:rPr>
      </w:pPr>
      <w:r>
        <w:tab/>
        <w:t xml:space="preserve">365.  </w:t>
      </w:r>
      <w:r>
        <w:t>在上述两个实体以及在布尔奇科地区的许多家庭在住房条件方面</w:t>
      </w:r>
      <w:r>
        <w:rPr>
          <w:rFonts w:hint="eastAsia"/>
        </w:rPr>
        <w:t>得不到</w:t>
      </w:r>
      <w:r>
        <w:t>社区所提供的切实保护。而对于罗姆人，情况尤其如此，在波斯尼亚和黑塞哥维那，罗姆人口大约为</w:t>
      </w:r>
      <w:r>
        <w:t>9</w:t>
      </w:r>
      <w:r>
        <w:rPr>
          <w:rFonts w:hint="eastAsia"/>
        </w:rPr>
        <w:t>,</w:t>
      </w:r>
      <w:r>
        <w:t>000</w:t>
      </w:r>
      <w:r>
        <w:t>至</w:t>
      </w:r>
      <w:r>
        <w:t>18</w:t>
      </w:r>
      <w:r>
        <w:rPr>
          <w:rFonts w:hint="eastAsia"/>
        </w:rPr>
        <w:t>,</w:t>
      </w:r>
      <w:r>
        <w:t>000</w:t>
      </w:r>
      <w:r>
        <w:rPr>
          <w:rFonts w:hint="eastAsia"/>
        </w:rPr>
        <w:t>人</w:t>
      </w:r>
      <w:r>
        <w:t>。尽管政府在这方面作了努力，但是据估计，</w:t>
      </w:r>
      <w:r>
        <w:rPr>
          <w:rFonts w:hint="eastAsia"/>
        </w:rPr>
        <w:t>很</w:t>
      </w:r>
      <w:r>
        <w:t>快解决住房问题的希望很渺茫。国际社会在住房方面提供了大量援助，但是这些经费很少转向其他用途。波斯尼亚和黑塞哥维那部长理事会以及</w:t>
      </w:r>
      <w:r>
        <w:rPr>
          <w:rFonts w:hint="eastAsia"/>
        </w:rPr>
        <w:t>“</w:t>
      </w:r>
      <w:r>
        <w:t>实体</w:t>
      </w:r>
      <w:r>
        <w:rPr>
          <w:rFonts w:hint="eastAsia"/>
        </w:rPr>
        <w:t>”</w:t>
      </w:r>
      <w:r>
        <w:t>和布尔奇科地区政府有重大的责任和义务在这方面进一步努力</w:t>
      </w:r>
      <w:r>
        <w:rPr>
          <w:rFonts w:hint="eastAsia"/>
        </w:rPr>
        <w:t>和</w:t>
      </w:r>
      <w:r>
        <w:t>改善，从而实现住房领域的国际水平和标准。</w:t>
      </w:r>
    </w:p>
    <w:p w:rsidR="00000000" w:rsidRDefault="00000000">
      <w:pPr>
        <w:pStyle w:val="Heading4"/>
      </w:pPr>
      <w:r>
        <w:t>住房法律</w:t>
      </w:r>
    </w:p>
    <w:p w:rsidR="00000000" w:rsidRDefault="00000000">
      <w:r>
        <w:tab/>
        <w:t xml:space="preserve">366.  </w:t>
      </w:r>
      <w:r>
        <w:t>住房问题是由</w:t>
      </w:r>
      <w:r>
        <w:rPr>
          <w:rFonts w:hint="eastAsia"/>
        </w:rPr>
        <w:t>“</w:t>
      </w:r>
      <w:r>
        <w:t>实体</w:t>
      </w:r>
      <w:r>
        <w:rPr>
          <w:rFonts w:hint="eastAsia"/>
        </w:rPr>
        <w:t>”</w:t>
      </w:r>
      <w:r>
        <w:t>和布尔奇科地区层面的法律和条例管制的。在这些法律和条例中，没有</w:t>
      </w:r>
      <w:r>
        <w:rPr>
          <w:rFonts w:hint="eastAsia"/>
        </w:rPr>
        <w:t>规</w:t>
      </w:r>
      <w:r>
        <w:t>定住房问题</w:t>
      </w:r>
      <w:r>
        <w:rPr>
          <w:rFonts w:hint="eastAsia"/>
        </w:rPr>
        <w:t>的</w:t>
      </w:r>
      <w:r>
        <w:t>解决办法，只有不自愿的或临时性质的替代解决办法是例外。这种解决办法除了对基本住房权的尊重之外，是难以令人接受的。</w:t>
      </w:r>
    </w:p>
    <w:p w:rsidR="00000000" w:rsidRDefault="00000000">
      <w:r>
        <w:tab/>
        <w:t xml:space="preserve">367.  </w:t>
      </w:r>
      <w:r>
        <w:t>联邦的相关法律如下：</w:t>
      </w:r>
    </w:p>
    <w:p w:rsidR="00000000" w:rsidRDefault="00000000">
      <w:pPr>
        <w:pStyle w:val="a0"/>
        <w:ind w:left="1550"/>
      </w:pPr>
      <w:r>
        <w:t>波斯尼亚和黑塞哥维那住房关系法；</w:t>
      </w:r>
    </w:p>
    <w:p w:rsidR="00000000" w:rsidRDefault="00000000">
      <w:pPr>
        <w:pStyle w:val="a0"/>
        <w:ind w:left="1550"/>
      </w:pPr>
      <w:r>
        <w:t>关于结束</w:t>
      </w:r>
      <w:r>
        <w:rPr>
          <w:rFonts w:hint="eastAsia"/>
        </w:rPr>
        <w:t>实施遗弃</w:t>
      </w:r>
      <w:r>
        <w:t>公寓法的法律修正案</w:t>
      </w:r>
      <w:r>
        <w:t>(</w:t>
      </w:r>
      <w:r>
        <w:t>《波斯尼亚和黑塞哥维那联邦官方公报》，第</w:t>
      </w:r>
      <w:r>
        <w:t>11/98</w:t>
      </w:r>
      <w:r>
        <w:t>、</w:t>
      </w:r>
      <w:r>
        <w:t>38/98</w:t>
      </w:r>
      <w:r>
        <w:t>、</w:t>
      </w:r>
      <w:r>
        <w:t>12/99</w:t>
      </w:r>
      <w:r>
        <w:t>、</w:t>
      </w:r>
      <w:r>
        <w:t>27/99</w:t>
      </w:r>
      <w:r>
        <w:t>、</w:t>
      </w:r>
      <w:r>
        <w:t>43/99</w:t>
      </w:r>
      <w:r>
        <w:t>、</w:t>
      </w:r>
      <w:r>
        <w:t>56/01</w:t>
      </w:r>
      <w:r>
        <w:t>和</w:t>
      </w:r>
      <w:r>
        <w:t>15/02</w:t>
      </w:r>
      <w:r>
        <w:t>号</w:t>
      </w:r>
      <w:r>
        <w:t>)</w:t>
      </w:r>
      <w:r>
        <w:t>，关于公民拥有的被遗弃财产法</w:t>
      </w:r>
      <w:r>
        <w:t>(</w:t>
      </w:r>
      <w:r>
        <w:t>《官方公报》，第</w:t>
      </w:r>
      <w:r>
        <w:t>11/98</w:t>
      </w:r>
      <w:r>
        <w:t>、</w:t>
      </w:r>
      <w:r>
        <w:t>29/98</w:t>
      </w:r>
      <w:r>
        <w:t>、</w:t>
      </w:r>
      <w:r>
        <w:t>27/99</w:t>
      </w:r>
      <w:r>
        <w:t>、</w:t>
      </w:r>
      <w:r>
        <w:t>43/99</w:t>
      </w:r>
      <w:r>
        <w:t>和</w:t>
      </w:r>
      <w:r>
        <w:t>37/01</w:t>
      </w:r>
      <w:r>
        <w:t>号</w:t>
      </w:r>
      <w:r>
        <w:t>)</w:t>
      </w:r>
      <w:r>
        <w:t>以及高级代表</w:t>
      </w:r>
      <w:r>
        <w:t>2001</w:t>
      </w:r>
      <w:r>
        <w:t>年</w:t>
      </w:r>
      <w:r>
        <w:t>11</w:t>
      </w:r>
      <w:r>
        <w:t>月</w:t>
      </w:r>
      <w:r>
        <w:t>4</w:t>
      </w:r>
      <w:r>
        <w:t>日的决定所作的修正</w:t>
      </w:r>
      <w:r>
        <w:t>(</w:t>
      </w:r>
      <w:r>
        <w:t>《官方公报》，</w:t>
      </w:r>
      <w:r>
        <w:t>56/01</w:t>
      </w:r>
      <w:r>
        <w:t>号</w:t>
      </w:r>
      <w:r>
        <w:t>)</w:t>
      </w:r>
      <w:r>
        <w:t>；关于实施难民和流离失所者索回财产问题委员会决定的法律</w:t>
      </w:r>
      <w:r>
        <w:t>(</w:t>
      </w:r>
      <w:r>
        <w:t>《官方公报》，</w:t>
      </w:r>
      <w:r>
        <w:t>49/99)</w:t>
      </w:r>
      <w:r>
        <w:t>。</w:t>
      </w:r>
    </w:p>
    <w:p w:rsidR="00000000" w:rsidRDefault="00000000">
      <w:r>
        <w:tab/>
        <w:t xml:space="preserve">368.  </w:t>
      </w:r>
      <w:r>
        <w:t>在</w:t>
      </w:r>
      <w:r>
        <w:rPr>
          <w:rFonts w:hint="eastAsia"/>
        </w:rPr>
        <w:t>塞族</w:t>
      </w:r>
      <w:r>
        <w:t>共和国，住房权是受到下列财产法管制的：结束实施关于占用被遗弃财产法的法律</w:t>
      </w:r>
      <w:r>
        <w:t>(</w:t>
      </w:r>
      <w:r>
        <w:t>《</w:t>
      </w:r>
      <w:r>
        <w:rPr>
          <w:rFonts w:hint="eastAsia"/>
        </w:rPr>
        <w:t>塞族</w:t>
      </w:r>
      <w:r>
        <w:t>共和国官方公报》，</w:t>
      </w:r>
      <w:r>
        <w:t>38/98</w:t>
      </w:r>
      <w:r>
        <w:t>、</w:t>
      </w:r>
      <w:r>
        <w:t>12/99</w:t>
      </w:r>
      <w:r>
        <w:t>、</w:t>
      </w:r>
      <w:r>
        <w:t>31/99</w:t>
      </w:r>
      <w:r>
        <w:t>、</w:t>
      </w:r>
      <w:r>
        <w:t>65/01</w:t>
      </w:r>
      <w:r>
        <w:t>、</w:t>
      </w:r>
      <w:r>
        <w:t>13/02</w:t>
      </w:r>
      <w:r>
        <w:t>、</w:t>
      </w:r>
      <w:r>
        <w:t>64/02</w:t>
      </w:r>
      <w:r>
        <w:t>和</w:t>
      </w:r>
      <w:r>
        <w:t>39/03)</w:t>
      </w:r>
      <w:r>
        <w:t>，关于</w:t>
      </w:r>
      <w:r>
        <w:rPr>
          <w:rFonts w:hint="eastAsia"/>
        </w:rPr>
        <w:t>塞族</w:t>
      </w:r>
      <w:r>
        <w:t>共和国流离失所者、难民和回归者的法律</w:t>
      </w:r>
      <w:r>
        <w:t>(</w:t>
      </w:r>
      <w:r>
        <w:t>《官方公报》，</w:t>
      </w:r>
      <w:r>
        <w:t>33/99</w:t>
      </w:r>
      <w:r>
        <w:t>和</w:t>
      </w:r>
      <w:r>
        <w:t>65/01)</w:t>
      </w:r>
      <w:r>
        <w:t>，</w:t>
      </w:r>
      <w:r>
        <w:rPr>
          <w:rFonts w:hint="eastAsia"/>
        </w:rPr>
        <w:t>塞族</w:t>
      </w:r>
      <w:r>
        <w:t>共和国公共公寓私有化法</w:t>
      </w:r>
      <w:r>
        <w:t>(</w:t>
      </w:r>
      <w:r>
        <w:t>《官方公报》，</w:t>
      </w:r>
      <w:r>
        <w:t>11/00,</w:t>
      </w:r>
      <w:r>
        <w:rPr>
          <w:rFonts w:hint="eastAsia"/>
        </w:rPr>
        <w:t xml:space="preserve"> </w:t>
      </w:r>
      <w:r>
        <w:t>18/01,</w:t>
      </w:r>
      <w:r>
        <w:rPr>
          <w:rFonts w:hint="eastAsia"/>
        </w:rPr>
        <w:t xml:space="preserve"> </w:t>
      </w:r>
      <w:r>
        <w:t>35/01,</w:t>
      </w:r>
      <w:r>
        <w:rPr>
          <w:rFonts w:hint="eastAsia"/>
        </w:rPr>
        <w:t xml:space="preserve"> </w:t>
      </w:r>
      <w:r>
        <w:t>47/02</w:t>
      </w:r>
      <w:r>
        <w:t>和</w:t>
      </w:r>
      <w:r>
        <w:t>65/03)</w:t>
      </w:r>
      <w:r>
        <w:t>，</w:t>
      </w:r>
      <w:r>
        <w:rPr>
          <w:rFonts w:hint="eastAsia"/>
        </w:rPr>
        <w:t>塞族</w:t>
      </w:r>
      <w:r>
        <w:t>共和国建筑</w:t>
      </w:r>
      <w:r>
        <w:rPr>
          <w:rFonts w:hint="eastAsia"/>
        </w:rPr>
        <w:t>用</w:t>
      </w:r>
      <w:r>
        <w:t>地法</w:t>
      </w:r>
      <w:r>
        <w:t>(</w:t>
      </w:r>
      <w:r>
        <w:t>《官方公报》，</w:t>
      </w:r>
      <w:r>
        <w:t>41/03)</w:t>
      </w:r>
      <w:r>
        <w:t>。</w:t>
      </w:r>
    </w:p>
    <w:p w:rsidR="00000000" w:rsidRDefault="00000000">
      <w:r>
        <w:tab/>
        <w:t xml:space="preserve">369.  </w:t>
      </w:r>
      <w:r>
        <w:t>布尔奇科地区</w:t>
      </w:r>
      <w:r>
        <w:rPr>
          <w:rFonts w:hint="eastAsia"/>
        </w:rPr>
        <w:t>已生</w:t>
      </w:r>
      <w:r>
        <w:t>效的住房领域法律和条例如下：</w:t>
      </w:r>
    </w:p>
    <w:p w:rsidR="00000000" w:rsidRDefault="00000000">
      <w:pPr>
        <w:pStyle w:val="a0"/>
        <w:ind w:left="1550"/>
      </w:pPr>
      <w:r>
        <w:t>波斯尼亚和黑塞哥维那社会主义共和国住房关系法；</w:t>
      </w:r>
    </w:p>
    <w:p w:rsidR="00000000" w:rsidRDefault="00000000">
      <w:pPr>
        <w:pStyle w:val="a0"/>
        <w:ind w:left="1550"/>
      </w:pPr>
      <w:r>
        <w:t>被遗弃财产</w:t>
      </w:r>
      <w:r>
        <w:rPr>
          <w:rFonts w:hint="eastAsia"/>
        </w:rPr>
        <w:t>归还</w:t>
      </w:r>
      <w:r>
        <w:t>法；</w:t>
      </w:r>
    </w:p>
    <w:p w:rsidR="00000000" w:rsidRDefault="00000000">
      <w:pPr>
        <w:pStyle w:val="a0"/>
        <w:ind w:left="1550"/>
      </w:pPr>
      <w:r>
        <w:t>购买公寓和占用公共财产权利法，布尔奇科地区。</w:t>
      </w:r>
    </w:p>
    <w:p w:rsidR="00000000" w:rsidRDefault="00000000">
      <w:r>
        <w:tab/>
        <w:t xml:space="preserve">370.  </w:t>
      </w:r>
      <w:r>
        <w:t>部长理事会</w:t>
      </w:r>
      <w:r>
        <w:t>2000</w:t>
      </w:r>
      <w:r>
        <w:t>年决定</w:t>
      </w:r>
      <w:r>
        <w:rPr>
          <w:rFonts w:hint="eastAsia"/>
        </w:rPr>
        <w:t>任命</w:t>
      </w:r>
      <w:r>
        <w:t>一个专家小组，对波斯尼亚和黑塞哥维那的住房政策开展研究。专家小组的任务是要根据目前的情况，并与稳定公约的专家协商，来确定波斯尼亚和黑塞哥维那住房政策的基础，并向部长理事会提议</w:t>
      </w:r>
      <w:r>
        <w:rPr>
          <w:rFonts w:hint="eastAsia"/>
        </w:rPr>
        <w:t>在</w:t>
      </w:r>
      <w:r>
        <w:t>波斯尼亚和黑塞哥维那</w:t>
      </w:r>
      <w:r>
        <w:rPr>
          <w:rFonts w:hint="eastAsia"/>
        </w:rPr>
        <w:t>一级</w:t>
      </w:r>
      <w:r>
        <w:t>更有效应对这一问题的</w:t>
      </w:r>
      <w:r>
        <w:rPr>
          <w:rFonts w:hint="eastAsia"/>
        </w:rPr>
        <w:t>法律措施</w:t>
      </w:r>
      <w:r>
        <w:t>。</w:t>
      </w:r>
    </w:p>
    <w:p w:rsidR="00000000" w:rsidRDefault="00000000">
      <w:r>
        <w:tab/>
        <w:t xml:space="preserve">371.  </w:t>
      </w:r>
      <w:r>
        <w:t>在与稳定公约的专家进行协商和交流意见的同时，专家组开展</w:t>
      </w:r>
      <w:r>
        <w:rPr>
          <w:rFonts w:hint="eastAsia"/>
        </w:rPr>
        <w:t>了</w:t>
      </w:r>
      <w:r>
        <w:t>一项活动方案。预计，根据专家组的活动，部长理事会将建议</w:t>
      </w:r>
      <w:r>
        <w:rPr>
          <w:rFonts w:hint="eastAsia"/>
        </w:rPr>
        <w:t>使</w:t>
      </w:r>
      <w:r>
        <w:t>波斯尼亚和黑塞哥维那范围的这一问题体制化，其方式是，颁布一项住房关系框架法，并建议修改较低层面条例的措施，</w:t>
      </w:r>
      <w:r>
        <w:rPr>
          <w:rFonts w:hint="eastAsia"/>
        </w:rPr>
        <w:t>以</w:t>
      </w:r>
      <w:r>
        <w:t>解决这类社会问题，</w:t>
      </w:r>
      <w:r>
        <w:rPr>
          <w:rFonts w:hint="eastAsia"/>
        </w:rPr>
        <w:t>推动</w:t>
      </w:r>
      <w:r>
        <w:t>住房的建</w:t>
      </w:r>
      <w:r>
        <w:rPr>
          <w:rFonts w:hint="eastAsia"/>
        </w:rPr>
        <w:t>设</w:t>
      </w:r>
      <w:r>
        <w:t>，并处理波斯尼亚和黑塞哥维那与住房政策相关的其他问题。</w:t>
      </w:r>
    </w:p>
    <w:p w:rsidR="00000000" w:rsidRDefault="00000000">
      <w:r>
        <w:tab/>
        <w:t xml:space="preserve">372.  </w:t>
      </w:r>
      <w:r>
        <w:t>这一领域的战略规划也应当在国家</w:t>
      </w:r>
      <w:r>
        <w:rPr>
          <w:rFonts w:hint="eastAsia"/>
        </w:rPr>
        <w:t>一级</w:t>
      </w:r>
      <w:r>
        <w:t>加以管制。整个项目的基础是，用于这些用途的经费可以由欧盟项目的贷款来提供，在这种情况下，国家就是贷款的担保人。同时应当在波斯尼亚和黑塞哥维那部长理事会内成立董事会或任何其他部门</w:t>
      </w:r>
      <w:r>
        <w:rPr>
          <w:rFonts w:hint="eastAsia"/>
        </w:rPr>
        <w:t>来处理这一领域的问题</w:t>
      </w:r>
      <w:r>
        <w:t>。</w:t>
      </w:r>
    </w:p>
    <w:p w:rsidR="00000000" w:rsidRDefault="00000000">
      <w:pPr>
        <w:spacing w:after="320"/>
      </w:pPr>
      <w:r>
        <w:tab/>
        <w:t xml:space="preserve">373.  </w:t>
      </w:r>
      <w:r>
        <w:rPr>
          <w:rFonts w:hint="eastAsia"/>
        </w:rPr>
        <w:t>塞族</w:t>
      </w:r>
      <w:r>
        <w:t>共和国通过公有公寓私有化法生效之后设立的住房基金，以赎回</w:t>
      </w:r>
      <w:r>
        <w:t>/</w:t>
      </w:r>
      <w:r>
        <w:t>买回公共的、国有的公寓方式来</w:t>
      </w:r>
      <w:r>
        <w:rPr>
          <w:rFonts w:hint="eastAsia"/>
        </w:rPr>
        <w:t>募</w:t>
      </w:r>
      <w:r>
        <w:t>集经费，然后又向</w:t>
      </w:r>
      <w:r>
        <w:rPr>
          <w:rFonts w:hint="eastAsia"/>
        </w:rPr>
        <w:t>其</w:t>
      </w:r>
      <w:r>
        <w:t>公民提供</w:t>
      </w:r>
      <w:r>
        <w:rPr>
          <w:rFonts w:hint="eastAsia"/>
        </w:rPr>
        <w:t>“</w:t>
      </w:r>
      <w:r>
        <w:t>软</w:t>
      </w:r>
      <w:r>
        <w:rPr>
          <w:rFonts w:hint="eastAsia"/>
        </w:rPr>
        <w:t>”</w:t>
      </w:r>
      <w:r>
        <w:t>贷款和信贷，专门用于住房用途。</w:t>
      </w:r>
    </w:p>
    <w:p w:rsidR="00000000" w:rsidRDefault="00000000">
      <w:pPr>
        <w:pStyle w:val="a3"/>
      </w:pPr>
      <w:r>
        <w:t>第</w:t>
      </w:r>
      <w:r>
        <w:t xml:space="preserve"> 12 </w:t>
      </w:r>
      <w:r>
        <w:t>条</w:t>
      </w:r>
    </w:p>
    <w:p w:rsidR="00000000" w:rsidRDefault="00000000">
      <w:pPr>
        <w:pStyle w:val="Heading4"/>
      </w:pPr>
      <w:r>
        <w:rPr>
          <w:rFonts w:hint="eastAsia"/>
        </w:rPr>
        <w:t>充分卫生</w:t>
      </w:r>
      <w:r>
        <w:t>保健权</w:t>
      </w:r>
    </w:p>
    <w:p w:rsidR="00000000" w:rsidRDefault="00000000">
      <w:r>
        <w:tab/>
        <w:t xml:space="preserve">374.  </w:t>
      </w:r>
      <w:r>
        <w:t>健康不仅是指不生病或不患有任何症状，而且还</w:t>
      </w:r>
      <w:r>
        <w:rPr>
          <w:rFonts w:hint="eastAsia"/>
        </w:rPr>
        <w:t>指</w:t>
      </w:r>
      <w:r>
        <w:t>完整的身体、心理和社会福祉状态。个人</w:t>
      </w:r>
      <w:r>
        <w:rPr>
          <w:rFonts w:hint="eastAsia"/>
        </w:rPr>
        <w:t>及</w:t>
      </w:r>
      <w:r>
        <w:t>社会的健康总体上来自于生物性基本因素、环境的外在因素</w:t>
      </w:r>
      <w:r>
        <w:t>(</w:t>
      </w:r>
      <w:r>
        <w:t>社会经济状况、生活条件、政治和文化环境</w:t>
      </w:r>
      <w:r>
        <w:t>)</w:t>
      </w:r>
      <w:r>
        <w:rPr>
          <w:rFonts w:hint="eastAsia"/>
        </w:rPr>
        <w:t>，</w:t>
      </w:r>
      <w:r>
        <w:t>以及当然还包括</w:t>
      </w:r>
      <w:r>
        <w:rPr>
          <w:rFonts w:hint="eastAsia"/>
        </w:rPr>
        <w:t>卫生</w:t>
      </w:r>
      <w:r>
        <w:t>保</w:t>
      </w:r>
      <w:r>
        <w:rPr>
          <w:rFonts w:hint="eastAsia"/>
        </w:rPr>
        <w:t>健</w:t>
      </w:r>
      <w:r>
        <w:t>质量</w:t>
      </w:r>
      <w:r>
        <w:rPr>
          <w:rFonts w:hint="eastAsia"/>
        </w:rPr>
        <w:t>各方面</w:t>
      </w:r>
      <w:r>
        <w:t>的相互作用。如果人口的健康是显示社会贫穷或富裕的一个因素，那么可以说，健康状况与经济发展的程度</w:t>
      </w:r>
      <w:r>
        <w:rPr>
          <w:rFonts w:hint="eastAsia"/>
        </w:rPr>
        <w:t>成</w:t>
      </w:r>
      <w:r>
        <w:t>正比。</w:t>
      </w:r>
    </w:p>
    <w:p w:rsidR="00000000" w:rsidRDefault="00000000">
      <w:r>
        <w:tab/>
        <w:t xml:space="preserve">375.  </w:t>
      </w:r>
      <w:r>
        <w:t>据此，贫穷，即贫困的社会经济状况、贫困的生活条件</w:t>
      </w:r>
      <w:r>
        <w:t>(</w:t>
      </w:r>
      <w:r>
        <w:t>住房及住所、工作和总体环境</w:t>
      </w:r>
      <w:r>
        <w:t>)</w:t>
      </w:r>
      <w:r>
        <w:t>以及不健康的生活方式直接影响到一个国家及其健康的潜力。</w:t>
      </w:r>
    </w:p>
    <w:p w:rsidR="00000000" w:rsidRDefault="00000000">
      <w:r>
        <w:tab/>
        <w:t xml:space="preserve">376.  </w:t>
      </w:r>
      <w:r>
        <w:t>如果我们假设健康是进步和富裕社会的条件，那么一个人和一个社会的健康与经济状况就是相互依存的。即使在最发达的国家里，不同社会</w:t>
      </w:r>
      <w:r>
        <w:rPr>
          <w:rFonts w:hint="eastAsia"/>
          <w:spacing w:val="-50"/>
        </w:rPr>
        <w:t>―</w:t>
      </w:r>
      <w:r>
        <w:rPr>
          <w:rFonts w:hint="eastAsia"/>
        </w:rPr>
        <w:t>―</w:t>
      </w:r>
      <w:r>
        <w:t>经济阶层的人的健康状况也有不同，而且并不仅仅以</w:t>
      </w:r>
      <w:r>
        <w:rPr>
          <w:rFonts w:hint="eastAsia"/>
        </w:rPr>
        <w:t>卫生</w:t>
      </w:r>
      <w:r>
        <w:t>保健质量为唯一的条件。根据</w:t>
      </w:r>
      <w:r>
        <w:t>1991</w:t>
      </w:r>
      <w:r>
        <w:t>年的普查结果，在波斯尼亚和黑塞哥维那有</w:t>
      </w:r>
      <w:r>
        <w:t>4,377,033</w:t>
      </w:r>
      <w:r>
        <w:t>名公民。</w:t>
      </w:r>
      <w:r>
        <w:rPr>
          <w:rFonts w:hint="eastAsia"/>
        </w:rPr>
        <w:t>到</w:t>
      </w:r>
      <w:r>
        <w:rPr>
          <w:rFonts w:hint="eastAsia"/>
        </w:rPr>
        <w:t>2000</w:t>
      </w:r>
      <w:r>
        <w:rPr>
          <w:rFonts w:hint="eastAsia"/>
        </w:rPr>
        <w:t>年年中，据统计局估算，波斯尼亚和黑塞哥维那有公民</w:t>
      </w:r>
      <w:r>
        <w:rPr>
          <w:rFonts w:hint="eastAsia"/>
        </w:rPr>
        <w:t>3,828,397</w:t>
      </w:r>
      <w:r>
        <w:rPr>
          <w:rFonts w:hint="eastAsia"/>
        </w:rPr>
        <w:t>人。</w:t>
      </w:r>
      <w:r>
        <w:t>1991</w:t>
      </w:r>
      <w:r>
        <w:t>年的人口年龄结构属于</w:t>
      </w:r>
      <w:r>
        <w:rPr>
          <w:rFonts w:hint="eastAsia"/>
        </w:rPr>
        <w:t>“</w:t>
      </w:r>
      <w:r>
        <w:t>边缘静止</w:t>
      </w:r>
      <w:r>
        <w:t>/</w:t>
      </w:r>
      <w:r>
        <w:t>递减</w:t>
      </w:r>
      <w:r>
        <w:rPr>
          <w:rFonts w:hint="eastAsia"/>
        </w:rPr>
        <w:t>”</w:t>
      </w:r>
      <w:r>
        <w:t>类型，呈尖窄的金字塔形。根据同一资料来源，目前波斯尼亚和黑塞哥维那人口的年龄结构维持在</w:t>
      </w:r>
      <w:r>
        <w:t>1991</w:t>
      </w:r>
      <w:r>
        <w:t>年的水平。因此，</w:t>
      </w:r>
      <w:r>
        <w:t>2002</w:t>
      </w:r>
      <w:r>
        <w:t>年波斯尼亚和黑塞哥维那人口可以称之为生</w:t>
      </w:r>
      <w:r>
        <w:rPr>
          <w:rFonts w:hint="eastAsia"/>
        </w:rPr>
        <w:t>物</w:t>
      </w:r>
      <w:r>
        <w:t>递减型。</w:t>
      </w:r>
    </w:p>
    <w:p w:rsidR="00000000" w:rsidRDefault="00000000">
      <w:r>
        <w:tab/>
        <w:t xml:space="preserve">377.  </w:t>
      </w:r>
      <w:r>
        <w:t>波斯尼亚和黑塞哥维那战后人口的健康状况在不断恶化。这种情况的主要原因</w:t>
      </w:r>
      <w:r>
        <w:rPr>
          <w:rFonts w:hint="eastAsia"/>
        </w:rPr>
        <w:t>是</w:t>
      </w:r>
      <w:r>
        <w:t>：社会经济状况、失业、</w:t>
      </w:r>
      <w:r>
        <w:rPr>
          <w:rFonts w:hint="eastAsia"/>
        </w:rPr>
        <w:t>移徙</w:t>
      </w:r>
      <w:r>
        <w:t>、大批的流离失所者、医疗保险的范围不完整、不健康的生活方式和其他因素。尽管战争直接影响到了人口的健康状况，但是</w:t>
      </w:r>
      <w:r>
        <w:t>2000</w:t>
      </w:r>
      <w:r>
        <w:t>年预期寿命</w:t>
      </w:r>
      <w:r>
        <w:rPr>
          <w:rFonts w:hint="eastAsia"/>
        </w:rPr>
        <w:t>在</w:t>
      </w:r>
      <w:r>
        <w:t>71</w:t>
      </w:r>
      <w:r>
        <w:t>岁和</w:t>
      </w:r>
      <w:r>
        <w:t>75</w:t>
      </w:r>
      <w:r>
        <w:t>岁</w:t>
      </w:r>
      <w:r>
        <w:rPr>
          <w:rFonts w:hint="eastAsia"/>
        </w:rPr>
        <w:t>之间</w:t>
      </w:r>
      <w:r>
        <w:t>，与</w:t>
      </w:r>
      <w:r>
        <w:t>1990</w:t>
      </w:r>
      <w:r>
        <w:t>年相同</w:t>
      </w:r>
      <w:r>
        <w:t>(</w:t>
      </w:r>
      <w:r>
        <w:t>世界银行，</w:t>
      </w:r>
      <w:r>
        <w:t>2003</w:t>
      </w:r>
      <w:r>
        <w:t>年</w:t>
      </w:r>
      <w:r>
        <w:t>3</w:t>
      </w:r>
      <w:r>
        <w:t>月</w:t>
      </w:r>
      <w:r>
        <w:t>)</w:t>
      </w:r>
      <w:r>
        <w:t>。波斯尼亚和黑塞哥维那</w:t>
      </w:r>
      <w:r>
        <w:t>2000</w:t>
      </w:r>
      <w:r>
        <w:t>年对于肺结核、白喉、破伤风</w:t>
      </w:r>
      <w:r>
        <w:rPr>
          <w:rFonts w:hint="eastAsia"/>
        </w:rPr>
        <w:t>、百日咳</w:t>
      </w:r>
      <w:r>
        <w:t>和小儿麻痹症的免疫</w:t>
      </w:r>
      <w:r>
        <w:rPr>
          <w:rFonts w:hint="eastAsia"/>
        </w:rPr>
        <w:t>覆盖</w:t>
      </w:r>
      <w:r>
        <w:t>面很大</w:t>
      </w:r>
      <w:r>
        <w:t>(95%)</w:t>
      </w:r>
      <w:r>
        <w:t>，但是比</w:t>
      </w:r>
      <w:r>
        <w:t>1991</w:t>
      </w:r>
      <w:r>
        <w:t>年</w:t>
      </w:r>
      <w:r>
        <w:t>(98%)</w:t>
      </w:r>
      <w:r>
        <w:t>稍低。波斯尼亚和黑塞哥维那新生儿死亡率为</w:t>
      </w:r>
      <w:r>
        <w:rPr>
          <w:rFonts w:hint="eastAsia"/>
        </w:rPr>
        <w:t>千分之</w:t>
      </w:r>
      <w:r>
        <w:t>16.4,</w:t>
      </w:r>
      <w:r>
        <w:rPr>
          <w:rFonts w:hint="eastAsia"/>
        </w:rPr>
        <w:t xml:space="preserve"> </w:t>
      </w:r>
      <w:r>
        <w:t>属于新生儿死亡率较低的国家之一。战后，由于注册登记类别不同，不同地区的新生儿死亡率统计差异很大。因此，应当审慎地看待千分之十一的死亡率。将波斯尼亚和黑塞哥维那的新生儿死亡率与西欧相比，可以看到前者的比率比后者高出一倍。</w:t>
      </w:r>
      <w:r>
        <w:rPr>
          <w:rFonts w:hint="eastAsia"/>
        </w:rPr>
        <w:t>婴儿</w:t>
      </w:r>
      <w:r>
        <w:t>死亡率也是波斯尼亚和黑塞哥维那</w:t>
      </w:r>
      <w:r>
        <w:rPr>
          <w:rFonts w:hint="eastAsia"/>
        </w:rPr>
        <w:t>卫生</w:t>
      </w:r>
      <w:r>
        <w:t>保健状况的一项可靠指标。在战前的波斯尼亚和黑塞哥维那，婴儿死亡率为千分之</w:t>
      </w:r>
      <w:r>
        <w:t>10.7</w:t>
      </w:r>
      <w:r>
        <w:t>。战后的这一数据没有公布，根据估计，婴儿死亡率在上升。</w:t>
      </w:r>
    </w:p>
    <w:p w:rsidR="00000000" w:rsidRDefault="00000000">
      <w:r>
        <w:tab/>
        <w:t xml:space="preserve">378.  </w:t>
      </w:r>
      <w:r>
        <w:t>在开列国家总体健康状况的</w:t>
      </w:r>
      <w:r>
        <w:rPr>
          <w:rFonts w:hint="eastAsia"/>
        </w:rPr>
        <w:t>“</w:t>
      </w:r>
      <w:r>
        <w:t>世界健康</w:t>
      </w:r>
      <w:r>
        <w:rPr>
          <w:rFonts w:hint="eastAsia"/>
        </w:rPr>
        <w:t>排名</w:t>
      </w:r>
      <w:r>
        <w:t>表</w:t>
      </w:r>
      <w:r>
        <w:rPr>
          <w:rFonts w:hint="eastAsia"/>
        </w:rPr>
        <w:t>”</w:t>
      </w:r>
      <w:r>
        <w:t>中，波斯尼亚和黑塞哥维那</w:t>
      </w:r>
      <w:r>
        <w:rPr>
          <w:rFonts w:hint="eastAsia"/>
        </w:rPr>
        <w:t>居</w:t>
      </w:r>
      <w:r>
        <w:t>第</w:t>
      </w:r>
      <w:r>
        <w:t>79</w:t>
      </w:r>
      <w:r>
        <w:t>位。</w:t>
      </w:r>
    </w:p>
    <w:p w:rsidR="00000000" w:rsidRDefault="00000000">
      <w:r>
        <w:tab/>
        <w:t xml:space="preserve">379.  </w:t>
      </w:r>
      <w:r>
        <w:t>与波斯尼亚和黑塞哥维纳战前主要死因列表相比，甚至与最发达的欧洲国家列表相比，波斯尼亚和黑塞哥维纳目前的主要死因列表</w:t>
      </w:r>
      <w:r>
        <w:rPr>
          <w:rFonts w:hint="eastAsia"/>
        </w:rPr>
        <w:t>几</w:t>
      </w:r>
      <w:r>
        <w:t>乎相同。</w:t>
      </w:r>
      <w:r>
        <w:t>1991</w:t>
      </w:r>
      <w:r>
        <w:t>年，主要死因及因残疾而缩短寿命的列表中第一位是心血管系统疾病</w:t>
      </w:r>
      <w:r>
        <w:t>(50%)</w:t>
      </w:r>
      <w:r>
        <w:t>，例如高血压和冠心病。恶性肿瘤据第二位</w:t>
      </w:r>
      <w:r>
        <w:t>(18%)</w:t>
      </w:r>
      <w:r>
        <w:t>，而这一数</w:t>
      </w:r>
      <w:r>
        <w:rPr>
          <w:rFonts w:hint="eastAsia"/>
        </w:rPr>
        <w:t>字</w:t>
      </w:r>
      <w:r>
        <w:t>在过去</w:t>
      </w:r>
      <w:r>
        <w:rPr>
          <w:rFonts w:hint="eastAsia"/>
        </w:rPr>
        <w:t>几</w:t>
      </w:r>
      <w:r>
        <w:t>十年里有所增加。据第三位的是其他不确定病况。受伤和中毒病</w:t>
      </w:r>
      <w:r>
        <w:rPr>
          <w:rFonts w:hint="eastAsia"/>
        </w:rPr>
        <w:t>例</w:t>
      </w:r>
      <w:r>
        <w:t>的数</w:t>
      </w:r>
      <w:r>
        <w:rPr>
          <w:rFonts w:hint="eastAsia"/>
        </w:rPr>
        <w:t>字</w:t>
      </w:r>
      <w:r>
        <w:t>也有所上升，并且在主要死因列表中</w:t>
      </w:r>
      <w:r>
        <w:rPr>
          <w:rFonts w:hint="eastAsia"/>
        </w:rPr>
        <w:t>居</w:t>
      </w:r>
      <w:r>
        <w:t>第四位。波斯尼亚和黑塞哥维那第三个主要传染病为呼吸道疾病</w:t>
      </w:r>
      <w:r>
        <w:t>(</w:t>
      </w:r>
      <w:r>
        <w:t>流行性感冒</w:t>
      </w:r>
      <w:r>
        <w:t>)</w:t>
      </w:r>
      <w:r>
        <w:t>、传染性儿科疾病和</w:t>
      </w:r>
      <w:r>
        <w:rPr>
          <w:rFonts w:hint="eastAsia"/>
        </w:rPr>
        <w:t>小肠结肠炎</w:t>
      </w:r>
      <w:r>
        <w:t>。</w:t>
      </w:r>
    </w:p>
    <w:p w:rsidR="00000000" w:rsidRDefault="00000000">
      <w:r>
        <w:tab/>
        <w:t xml:space="preserve">380.  </w:t>
      </w:r>
      <w:r>
        <w:t>波斯尼亚和黑塞哥维那</w:t>
      </w:r>
      <w:r>
        <w:rPr>
          <w:rFonts w:hint="eastAsia"/>
        </w:rPr>
        <w:t>与</w:t>
      </w:r>
      <w:r>
        <w:t>欧洲的</w:t>
      </w:r>
      <w:r>
        <w:t>46</w:t>
      </w:r>
      <w:r>
        <w:t>个国家一起发起了在欧洲控制肺结核的方案，即欧洲</w:t>
      </w:r>
      <w:r>
        <w:t>TBC</w:t>
      </w:r>
      <w:r>
        <w:t>。根据</w:t>
      </w:r>
      <w:r>
        <w:t>2000</w:t>
      </w:r>
      <w:r>
        <w:t>年的数据，波斯尼亚和黑塞哥维那的肺结核发病率为每</w:t>
      </w:r>
      <w:r>
        <w:t>10</w:t>
      </w:r>
      <w:r>
        <w:t>万人</w:t>
      </w:r>
      <w:r>
        <w:t>65.6</w:t>
      </w:r>
      <w:r>
        <w:t>例，而</w:t>
      </w:r>
      <w:r>
        <w:t>46</w:t>
      </w:r>
      <w:r>
        <w:t>个欧洲国家的平均肺结核发病率为每</w:t>
      </w:r>
      <w:r>
        <w:t>10</w:t>
      </w:r>
      <w:r>
        <w:t>万人</w:t>
      </w:r>
      <w:r>
        <w:t>76</w:t>
      </w:r>
      <w:r>
        <w:t>例。战后波斯尼亚和黑塞哥维纳肺结核发病率有所上升，这与贫困有直接关系。在这一阶段，由心血管疾病引起的死亡率也有所上升。</w:t>
      </w:r>
      <w:r>
        <w:t>2000</w:t>
      </w:r>
      <w:r>
        <w:t>年，根据登记有</w:t>
      </w:r>
      <w:r>
        <w:t>12,500</w:t>
      </w:r>
      <w:r>
        <w:t>病例，与此相比，</w:t>
      </w:r>
      <w:r>
        <w:t>1991</w:t>
      </w:r>
      <w:r>
        <w:t>年为</w:t>
      </w:r>
      <w:r>
        <w:t>11,069</w:t>
      </w:r>
      <w:r>
        <w:t>例。老年人尤其面临获得健康保</w:t>
      </w:r>
      <w:r>
        <w:rPr>
          <w:rFonts w:hint="eastAsia"/>
        </w:rPr>
        <w:t>障</w:t>
      </w:r>
      <w:r>
        <w:t>方面的困难，老年人生活在贫困之中，因而对取得保健的能力有限。致命疾病的病例也</w:t>
      </w:r>
      <w:r>
        <w:rPr>
          <w:rFonts w:hint="eastAsia"/>
        </w:rPr>
        <w:t>在</w:t>
      </w:r>
      <w:r>
        <w:t>增加，</w:t>
      </w:r>
      <w:r>
        <w:t xml:space="preserve"> 2000</w:t>
      </w:r>
      <w:r>
        <w:t>年的死亡率为每</w:t>
      </w:r>
      <w:r>
        <w:t>10</w:t>
      </w:r>
      <w:r>
        <w:t>万人</w:t>
      </w:r>
      <w:r>
        <w:t>275</w:t>
      </w:r>
      <w:r>
        <w:t>例，与此相比</w:t>
      </w:r>
      <w:r>
        <w:rPr>
          <w:rFonts w:hint="eastAsia"/>
        </w:rPr>
        <w:t>，</w:t>
      </w:r>
      <w:r>
        <w:t>1991</w:t>
      </w:r>
      <w:r>
        <w:t>年仅为</w:t>
      </w:r>
      <w:r>
        <w:t>175</w:t>
      </w:r>
      <w:r>
        <w:t>例。交通事故、创伤和精神疾病也</w:t>
      </w:r>
      <w:r>
        <w:rPr>
          <w:rFonts w:hint="eastAsia"/>
        </w:rPr>
        <w:t>有所</w:t>
      </w:r>
      <w:r>
        <w:t>增加。现有数据表明，战争</w:t>
      </w:r>
      <w:r>
        <w:rPr>
          <w:rFonts w:hint="eastAsia"/>
        </w:rPr>
        <w:t>使</w:t>
      </w:r>
      <w:r>
        <w:t>47,000</w:t>
      </w:r>
      <w:r>
        <w:rPr>
          <w:rFonts w:hint="eastAsia"/>
        </w:rPr>
        <w:t>多</w:t>
      </w:r>
      <w:r>
        <w:t>人</w:t>
      </w:r>
      <w:r>
        <w:rPr>
          <w:rFonts w:hint="eastAsia"/>
        </w:rPr>
        <w:t>肢体</w:t>
      </w:r>
      <w:r>
        <w:t>残疾。</w:t>
      </w:r>
      <w:r>
        <w:t>1991</w:t>
      </w:r>
      <w:r>
        <w:t>年因交通事故造成的创伤为每</w:t>
      </w:r>
      <w:r>
        <w:t>10</w:t>
      </w:r>
      <w:r>
        <w:t>万人</w:t>
      </w:r>
      <w:r>
        <w:t>234</w:t>
      </w:r>
      <w:r>
        <w:t>例。根据预测，在这方面</w:t>
      </w:r>
      <w:r>
        <w:rPr>
          <w:rFonts w:hint="eastAsia"/>
        </w:rPr>
        <w:t>会大幅度上升</w:t>
      </w:r>
      <w:r>
        <w:t>。</w:t>
      </w:r>
    </w:p>
    <w:p w:rsidR="00000000" w:rsidRDefault="00000000">
      <w:r>
        <w:tab/>
        <w:t xml:space="preserve">381.  </w:t>
      </w:r>
      <w:r>
        <w:t>传染病由于其特性对于社区具有重大影响，需要采取特殊的控制措施。这在很大程度上都影响了社会的病理学</w:t>
      </w:r>
      <w:r>
        <w:rPr>
          <w:rFonts w:hint="eastAsia"/>
        </w:rPr>
        <w:t>状况</w:t>
      </w:r>
      <w:r>
        <w:t>。贫困的社会经济状况、符合卫生标准的饮水供应不足、废物处理不当和不适当的住房条件</w:t>
      </w:r>
      <w:r>
        <w:rPr>
          <w:rFonts w:hint="eastAsia"/>
        </w:rPr>
        <w:t>，</w:t>
      </w:r>
      <w:r>
        <w:t>均增加了许多传染病的爆发和传播风险。</w:t>
      </w:r>
    </w:p>
    <w:p w:rsidR="00000000" w:rsidRDefault="00000000">
      <w:r>
        <w:tab/>
        <w:t xml:space="preserve">382.  </w:t>
      </w:r>
      <w:r>
        <w:t>如果不观察整个人口的健康状况，就无法观察儿童的健康。除了母亲的照看以外，还有其他一些因素，例如社会环境和物质环境也会影响到儿童的健康，尤其是在目前的经济状况下，这些不利因素会对儿童造成损害。具有重要意义的是，全部人口中有</w:t>
      </w:r>
      <w:r>
        <w:t>8.5%</w:t>
      </w:r>
      <w:r>
        <w:t>为</w:t>
      </w:r>
      <w:r>
        <w:t>5</w:t>
      </w:r>
      <w:r>
        <w:t>岁以下的儿童，而出生率正在下降</w:t>
      </w:r>
      <w:r>
        <w:t>(</w:t>
      </w:r>
      <w:r>
        <w:t>各州和各地区之间存在差异</w:t>
      </w:r>
      <w:r>
        <w:t>)</w:t>
      </w:r>
      <w:r>
        <w:t>。死亡率一般认为不高，尽管有些地区发生了这方面的危机。</w:t>
      </w:r>
    </w:p>
    <w:p w:rsidR="00000000" w:rsidRDefault="00000000">
      <w:r>
        <w:tab/>
        <w:t xml:space="preserve">383.  </w:t>
      </w:r>
      <w:r>
        <w:t>根据最新的估算，妇女占人口的</w:t>
      </w:r>
      <w:r>
        <w:t>51%</w:t>
      </w:r>
      <w:r>
        <w:t>，其中</w:t>
      </w:r>
      <w:r>
        <w:t>25%</w:t>
      </w:r>
      <w:r>
        <w:t>属于生育年龄。</w:t>
      </w:r>
      <w:r>
        <w:rPr>
          <w:rFonts w:hint="eastAsia"/>
        </w:rPr>
        <w:t>处</w:t>
      </w:r>
      <w:r>
        <w:t>于生育年龄的妇女有一些共同点：由于</w:t>
      </w:r>
      <w:r>
        <w:rPr>
          <w:rFonts w:hint="eastAsia"/>
        </w:rPr>
        <w:t>特意</w:t>
      </w:r>
      <w:r>
        <w:t>采用堕胎作为计划生育的手段使一般的和特定的出生率</w:t>
      </w:r>
      <w:r>
        <w:rPr>
          <w:rFonts w:hint="eastAsia"/>
        </w:rPr>
        <w:t>呈</w:t>
      </w:r>
      <w:r>
        <w:t>下降趋势，</w:t>
      </w:r>
      <w:r>
        <w:rPr>
          <w:rFonts w:hint="eastAsia"/>
        </w:rPr>
        <w:t>意外</w:t>
      </w:r>
      <w:r>
        <w:t>怀孕情况日益增加，强奸、性骚扰和卖淫数量增加，导致传染性性疾病增加。妇女的健康状况问题在于城乡保健机会的不平等、教育水平低下、对于青少年缺乏妇科保健服务</w:t>
      </w:r>
      <w:r>
        <w:t>/</w:t>
      </w:r>
      <w:r>
        <w:t>咨询，健康宣传不够，以及对于妇女健康问题没有采取多学科、综合性的态度。</w:t>
      </w:r>
    </w:p>
    <w:p w:rsidR="00000000" w:rsidRDefault="00000000">
      <w:pPr>
        <w:rPr>
          <w:snapToGrid/>
        </w:rPr>
      </w:pPr>
      <w:r>
        <w:rPr>
          <w:snapToGrid/>
        </w:rPr>
        <w:tab/>
        <w:t xml:space="preserve">384.  </w:t>
      </w:r>
      <w:r>
        <w:rPr>
          <w:snapToGrid/>
        </w:rPr>
        <w:t>波斯尼亚和黑塞哥维那</w:t>
      </w:r>
      <w:r>
        <w:rPr>
          <w:rFonts w:hint="eastAsia"/>
          <w:snapToGrid/>
        </w:rPr>
        <w:t>总</w:t>
      </w:r>
      <w:r>
        <w:rPr>
          <w:snapToGrid/>
        </w:rPr>
        <w:t>人口的</w:t>
      </w:r>
      <w:r>
        <w:rPr>
          <w:snapToGrid/>
        </w:rPr>
        <w:t>10%</w:t>
      </w:r>
      <w:r>
        <w:rPr>
          <w:snapToGrid/>
        </w:rPr>
        <w:t>以上属于人生的</w:t>
      </w:r>
      <w:r>
        <w:rPr>
          <w:rFonts w:hint="eastAsia"/>
        </w:rPr>
        <w:t>“</w:t>
      </w:r>
      <w:r>
        <w:rPr>
          <w:snapToGrid/>
        </w:rPr>
        <w:t>晚年</w:t>
      </w:r>
      <w:r>
        <w:rPr>
          <w:rFonts w:hint="eastAsia"/>
        </w:rPr>
        <w:t>”</w:t>
      </w:r>
      <w:r>
        <w:rPr>
          <w:snapToGrid/>
        </w:rPr>
        <w:t>，而根据国际标准，这类人就属于老年人。这是由于出生率和生育率下降的结果，也是由于年轻人大批离开祖国的结果。老年人面临特定健康问题主要涉及老年，同时还</w:t>
      </w:r>
      <w:r>
        <w:rPr>
          <w:rFonts w:hint="eastAsia"/>
          <w:snapToGrid/>
        </w:rPr>
        <w:t>涉及</w:t>
      </w:r>
      <w:r>
        <w:rPr>
          <w:snapToGrid/>
        </w:rPr>
        <w:t>自身的社会经济情况。</w:t>
      </w:r>
      <w:r>
        <w:rPr>
          <w:snapToGrid/>
        </w:rPr>
        <w:t>2001</w:t>
      </w:r>
      <w:r>
        <w:rPr>
          <w:snapToGrid/>
        </w:rPr>
        <w:t>年的最普遍疾病为循环</w:t>
      </w:r>
      <w:r>
        <w:rPr>
          <w:rFonts w:hint="eastAsia"/>
          <w:snapToGrid/>
        </w:rPr>
        <w:t>系统</w:t>
      </w:r>
      <w:r>
        <w:rPr>
          <w:snapToGrid/>
        </w:rPr>
        <w:t>疾病，其在结构上的指数为</w:t>
      </w:r>
      <w:r>
        <w:rPr>
          <w:snapToGrid/>
        </w:rPr>
        <w:t>26.2%</w:t>
      </w:r>
      <w:r>
        <w:rPr>
          <w:snapToGrid/>
        </w:rPr>
        <w:t>、呼吸系统疾病占</w:t>
      </w:r>
      <w:r>
        <w:rPr>
          <w:snapToGrid/>
        </w:rPr>
        <w:t>18.3%</w:t>
      </w:r>
      <w:r>
        <w:rPr>
          <w:snapToGrid/>
        </w:rPr>
        <w:t>，骨科和肌肉疾病占</w:t>
      </w:r>
      <w:r>
        <w:rPr>
          <w:snapToGrid/>
        </w:rPr>
        <w:t>9%</w:t>
      </w:r>
      <w:r>
        <w:rPr>
          <w:snapToGrid/>
        </w:rPr>
        <w:t>，等等。</w:t>
      </w:r>
    </w:p>
    <w:p w:rsidR="00000000" w:rsidRDefault="00000000">
      <w:r>
        <w:tab/>
        <w:t xml:space="preserve">385.  </w:t>
      </w:r>
      <w:r>
        <w:t>有鉴于</w:t>
      </w:r>
      <w:r>
        <w:rPr>
          <w:rFonts w:hint="eastAsia"/>
        </w:rPr>
        <w:t>各</w:t>
      </w:r>
      <w:r>
        <w:t>实体之间的保健制度并没有完全确定，一项特别的问题是向回归的老年人提供保健</w:t>
      </w:r>
      <w:r>
        <w:rPr>
          <w:rFonts w:hint="eastAsia"/>
        </w:rPr>
        <w:t>问题</w:t>
      </w:r>
      <w:r>
        <w:t>。</w:t>
      </w:r>
    </w:p>
    <w:p w:rsidR="00000000" w:rsidRDefault="00000000">
      <w:r>
        <w:tab/>
        <w:t xml:space="preserve">386.  </w:t>
      </w:r>
      <w:r>
        <w:t>有必要对这一年龄组的人口提供</w:t>
      </w:r>
      <w:r>
        <w:rPr>
          <w:rFonts w:hint="eastAsia"/>
        </w:rPr>
        <w:t>初级保健，</w:t>
      </w:r>
      <w:r>
        <w:t>通过家庭医疗部门</w:t>
      </w:r>
      <w:r>
        <w:rPr>
          <w:rFonts w:hint="eastAsia"/>
        </w:rPr>
        <w:t>提供家庭</w:t>
      </w:r>
      <w:r>
        <w:t>护理，</w:t>
      </w:r>
      <w:r>
        <w:rPr>
          <w:rFonts w:hint="eastAsia"/>
        </w:rPr>
        <w:t>康复和医疗保健</w:t>
      </w:r>
      <w:r>
        <w:t>，从而改善老年人的</w:t>
      </w:r>
      <w:r>
        <w:rPr>
          <w:rFonts w:hint="eastAsia"/>
        </w:rPr>
        <w:t>健康</w:t>
      </w:r>
      <w:r>
        <w:t>保健。据估计，波斯尼亚和黑塞哥维那有将近</w:t>
      </w:r>
      <w:r>
        <w:t>10%</w:t>
      </w:r>
      <w:r>
        <w:t>的人口患有某种类型或某种程度的残疾，其起因多种多样。这些人的境况十分脆弱，而且不断需要各种不同的保健服务。由于不同的支助服务不发达；使之更加孤独，并影响到其心理状况。</w:t>
      </w:r>
    </w:p>
    <w:p w:rsidR="00000000" w:rsidRDefault="00000000">
      <w:r>
        <w:tab/>
        <w:t xml:space="preserve">387.  </w:t>
      </w:r>
      <w:r>
        <w:t>必须从不同角度，以多</w:t>
      </w:r>
      <w:r>
        <w:rPr>
          <w:rFonts w:hint="eastAsia"/>
        </w:rPr>
        <w:t>学科</w:t>
      </w:r>
      <w:r>
        <w:t>的方式来寻求对这一问题的解决，因为这不仅是单纯的保健问题，而且也是社会福利、培训和工作方面的问题，这些方面的行动则能够</w:t>
      </w:r>
      <w:r>
        <w:rPr>
          <w:rFonts w:hint="eastAsia"/>
        </w:rPr>
        <w:t>预防</w:t>
      </w:r>
      <w:r>
        <w:t>残疾。波斯尼亚和黑塞哥维那的人口面临着严重的健康问题，并存在着有害健康的习惯</w:t>
      </w:r>
      <w:r>
        <w:t>(</w:t>
      </w:r>
      <w:r>
        <w:t>吸烟、酗酒和吸毒成瘾</w:t>
      </w:r>
      <w:r>
        <w:t>)</w:t>
      </w:r>
      <w:r>
        <w:t>、反社会行为和暴力、忧郁症和自杀，以及</w:t>
      </w:r>
      <w:r>
        <w:rPr>
          <w:rFonts w:hint="eastAsia"/>
        </w:rPr>
        <w:t>各种各样其他不同的身心病痛</w:t>
      </w:r>
      <w:r>
        <w:t>。波斯尼亚和黑塞哥维那人口面临的风险包括：吸烟、高血压加剧、糖尿病、胆固醇过高、缺少运动以及性行为传染</w:t>
      </w:r>
      <w:r>
        <w:rPr>
          <w:rFonts w:hint="eastAsia"/>
        </w:rPr>
        <w:t>的</w:t>
      </w:r>
      <w:r>
        <w:t>疾病</w:t>
      </w:r>
      <w:r>
        <w:t>(</w:t>
      </w:r>
      <w:r>
        <w:t>爱滋病</w:t>
      </w:r>
      <w:r>
        <w:t>)</w:t>
      </w:r>
      <w:r>
        <w:t>，等等，这些都可能影响到个人及整个社会的健康前景，但是却在大幅度增加。不良的营养状况和不适当的饮水影响到健康，而由于这一情况多年没有得到改善，健康危机加剧，消极因素</w:t>
      </w:r>
      <w:r>
        <w:rPr>
          <w:rFonts w:hint="eastAsia"/>
        </w:rPr>
        <w:t>盛行</w:t>
      </w:r>
      <w:r>
        <w:t>。</w:t>
      </w:r>
    </w:p>
    <w:p w:rsidR="00000000" w:rsidRDefault="00000000">
      <w:r>
        <w:tab/>
        <w:t xml:space="preserve">388.  </w:t>
      </w:r>
      <w:r>
        <w:t>根据波斯尼亚和黑塞哥维那宪</w:t>
      </w:r>
      <w:r>
        <w:rPr>
          <w:rFonts w:hint="eastAsia"/>
        </w:rPr>
        <w:t>法</w:t>
      </w:r>
      <w:r>
        <w:t>，在保健的结构安排领域里的所有职能都归属</w:t>
      </w:r>
      <w:r>
        <w:rPr>
          <w:rFonts w:hint="eastAsia"/>
        </w:rPr>
        <w:t>“</w:t>
      </w:r>
      <w:r>
        <w:t>实体</w:t>
      </w:r>
      <w:r>
        <w:rPr>
          <w:rFonts w:hint="eastAsia"/>
        </w:rPr>
        <w:t>”</w:t>
      </w:r>
      <w:r>
        <w:t>一级。在波斯尼亚和黑塞哥维那联邦，这些职能分由联邦和州政府掌握，使保健部门的权力下放，联邦</w:t>
      </w:r>
      <w:r>
        <w:rPr>
          <w:rFonts w:hint="eastAsia"/>
        </w:rPr>
        <w:t>一级</w:t>
      </w:r>
      <w:r>
        <w:t>主要发挥协调作用。在联邦、州和市各级</w:t>
      </w:r>
      <w:r>
        <w:rPr>
          <w:rFonts w:hint="eastAsia"/>
        </w:rPr>
        <w:t>之间</w:t>
      </w:r>
      <w:r>
        <w:t>也有同样</w:t>
      </w:r>
      <w:r>
        <w:rPr>
          <w:rFonts w:hint="eastAsia"/>
        </w:rPr>
        <w:t>的</w:t>
      </w:r>
      <w:r>
        <w:t>责任分</w:t>
      </w:r>
      <w:r>
        <w:rPr>
          <w:rFonts w:hint="eastAsia"/>
        </w:rPr>
        <w:t>工</w:t>
      </w:r>
      <w:r>
        <w:t>。</w:t>
      </w:r>
      <w:r>
        <w:rPr>
          <w:rFonts w:hint="eastAsia"/>
        </w:rPr>
        <w:t>塞族</w:t>
      </w:r>
      <w:r>
        <w:t>共和国划分为不同地区，但是相关责任归属实体一级。在</w:t>
      </w:r>
      <w:r>
        <w:rPr>
          <w:rFonts w:hint="eastAsia"/>
        </w:rPr>
        <w:t>两</w:t>
      </w:r>
      <w:r>
        <w:t>个实体和布尔奇科地区，保健制度设置为三个层面：第一层、第二层和第三层。</w:t>
      </w:r>
    </w:p>
    <w:p w:rsidR="00000000" w:rsidRDefault="00000000">
      <w:r>
        <w:tab/>
        <w:t xml:space="preserve">389.  </w:t>
      </w:r>
      <w:r>
        <w:t>对于保健制度的改革在战后</w:t>
      </w:r>
      <w:r>
        <w:rPr>
          <w:rFonts w:hint="eastAsia"/>
        </w:rPr>
        <w:t>立即</w:t>
      </w:r>
      <w:r>
        <w:t>开始。</w:t>
      </w:r>
      <w:r>
        <w:rPr>
          <w:rFonts w:hint="eastAsia"/>
        </w:rPr>
        <w:t>各</w:t>
      </w:r>
      <w:r>
        <w:t>实体的卫生部与国际组织密切合作编写了改革卫生</w:t>
      </w:r>
      <w:r>
        <w:rPr>
          <w:rFonts w:hint="eastAsia"/>
        </w:rPr>
        <w:t>系统</w:t>
      </w:r>
      <w:r>
        <w:t>的文件，目的在于使保健更加有效</w:t>
      </w:r>
      <w:r>
        <w:rPr>
          <w:rFonts w:hint="eastAsia"/>
        </w:rPr>
        <w:t>和可</w:t>
      </w:r>
      <w:r>
        <w:t>持续。</w:t>
      </w:r>
    </w:p>
    <w:p w:rsidR="00000000" w:rsidRDefault="00000000">
      <w:r>
        <w:tab/>
        <w:t xml:space="preserve">390.  </w:t>
      </w:r>
      <w:r>
        <w:t>但是，</w:t>
      </w:r>
      <w:r>
        <w:rPr>
          <w:rFonts w:hint="eastAsia"/>
        </w:rPr>
        <w:t>该国</w:t>
      </w:r>
      <w:r>
        <w:t>尽管面向改革</w:t>
      </w:r>
      <w:r>
        <w:t>(</w:t>
      </w:r>
      <w:r>
        <w:t>将</w:t>
      </w:r>
      <w:r>
        <w:rPr>
          <w:rFonts w:hint="eastAsia"/>
        </w:rPr>
        <w:t>初级卫生</w:t>
      </w:r>
      <w:r>
        <w:t>保健转变为家庭医疗专家团队</w:t>
      </w:r>
      <w:r>
        <w:t>)</w:t>
      </w:r>
      <w:r>
        <w:t>，目前的惯例仍然是在大环境里</w:t>
      </w:r>
      <w:r>
        <w:t>(</w:t>
      </w:r>
      <w:r>
        <w:t>诊所和医院</w:t>
      </w:r>
      <w:r>
        <w:t>)</w:t>
      </w:r>
      <w:r>
        <w:t>建立昂贵的、设备齐全的卫生设施，造成保健服务方面的费用和开支大幅度增长，而使用率下降，</w:t>
      </w:r>
      <w:r>
        <w:rPr>
          <w:rFonts w:hint="eastAsia"/>
        </w:rPr>
        <w:t>这</w:t>
      </w:r>
      <w:r>
        <w:t>不符合社会的经济能力。</w:t>
      </w:r>
    </w:p>
    <w:p w:rsidR="00000000" w:rsidRDefault="00000000">
      <w:r>
        <w:tab/>
        <w:t xml:space="preserve">391.  </w:t>
      </w:r>
      <w:r>
        <w:t>保健设备和人员在地域上的不平衡分配，尤其是医生的不平衡分配</w:t>
      </w:r>
      <w:r>
        <w:rPr>
          <w:rFonts w:hint="eastAsia"/>
        </w:rPr>
        <w:t>，</w:t>
      </w:r>
      <w:r>
        <w:t>造成了保健水平的不平衡，</w:t>
      </w:r>
      <w:r>
        <w:rPr>
          <w:rFonts w:hint="eastAsia"/>
        </w:rPr>
        <w:t>因而，</w:t>
      </w:r>
      <w:r>
        <w:t>农村的人口</w:t>
      </w:r>
      <w:r>
        <w:rPr>
          <w:rFonts w:hint="eastAsia"/>
        </w:rPr>
        <w:t>由通科</w:t>
      </w:r>
      <w:r>
        <w:t>医生</w:t>
      </w:r>
      <w:r>
        <w:rPr>
          <w:rFonts w:hint="eastAsia"/>
        </w:rPr>
        <w:t>提供</w:t>
      </w:r>
      <w:r>
        <w:t>医疗服务，而市区的医疗服务则由据专业背景的医疗人员提供。</w:t>
      </w:r>
    </w:p>
    <w:p w:rsidR="00000000" w:rsidRDefault="00000000">
      <w:pPr>
        <w:spacing w:after="320"/>
      </w:pPr>
      <w:r>
        <w:tab/>
        <w:t xml:space="preserve">392.  </w:t>
      </w:r>
      <w:r>
        <w:t>保健的不同层面之间相互</w:t>
      </w:r>
      <w:r>
        <w:rPr>
          <w:rFonts w:hint="eastAsia"/>
        </w:rPr>
        <w:t>联系</w:t>
      </w:r>
      <w:r>
        <w:t>和协调不够，</w:t>
      </w:r>
      <w:r>
        <w:rPr>
          <w:rFonts w:hint="eastAsia"/>
        </w:rPr>
        <w:t>卫生</w:t>
      </w:r>
      <w:r>
        <w:t>保健的重要性得到过于强调，使</w:t>
      </w:r>
      <w:r>
        <w:rPr>
          <w:rFonts w:hint="eastAsia"/>
        </w:rPr>
        <w:t>初级</w:t>
      </w:r>
      <w:r>
        <w:t>护理受到</w:t>
      </w:r>
      <w:r>
        <w:rPr>
          <w:rFonts w:hint="eastAsia"/>
        </w:rPr>
        <w:t>影响</w:t>
      </w:r>
      <w:r>
        <w:t>。专科的医务人员短缺十分明显，而且都集中在大的医疗中心里。人力资源规划和教育没有任何协调，使得某些专科人浮于事，同时又使失业增加。</w:t>
      </w:r>
    </w:p>
    <w:p w:rsidR="00000000" w:rsidRDefault="00000000">
      <w:pPr>
        <w:pStyle w:val="Heading4"/>
      </w:pPr>
      <w:r>
        <w:t>保健经费</w:t>
      </w:r>
    </w:p>
    <w:p w:rsidR="00000000" w:rsidRDefault="00000000">
      <w:r>
        <w:tab/>
        <w:t xml:space="preserve">393.  </w:t>
      </w:r>
      <w:r>
        <w:t>保健的经费来自于雇主向工人支付的工资中一部分比率，作为保费交付。对于某些类别的居民、并对于某些项目，保</w:t>
      </w:r>
      <w:r>
        <w:rPr>
          <w:rFonts w:hint="eastAsia"/>
        </w:rPr>
        <w:t>健</w:t>
      </w:r>
      <w:r>
        <w:t>费来自于农业和预算外经费转拨</w:t>
      </w:r>
      <w:r>
        <w:t>(</w:t>
      </w:r>
      <w:r>
        <w:t>各实体、各州和各市</w:t>
      </w:r>
      <w:r>
        <w:t>)</w:t>
      </w:r>
      <w:r>
        <w:t>。义务性的健康保险基金是各州、联邦和</w:t>
      </w:r>
      <w:r>
        <w:rPr>
          <w:rFonts w:hint="eastAsia"/>
        </w:rPr>
        <w:t>塞族</w:t>
      </w:r>
      <w:r>
        <w:t>共和国健康保险基金的健康保险办事处</w:t>
      </w:r>
      <w:r>
        <w:rPr>
          <w:rFonts w:hint="eastAsia"/>
        </w:rPr>
        <w:t>收集</w:t>
      </w:r>
      <w:r>
        <w:t>的。除了这类保险之外，受保人还分担保健服务的费用。这一分担在经费上数额不大，因为</w:t>
      </w:r>
      <w:r>
        <w:rPr>
          <w:rFonts w:hint="eastAsia"/>
        </w:rPr>
        <w:t>大</w:t>
      </w:r>
      <w:r>
        <w:t>多数的受保人</w:t>
      </w:r>
      <w:r>
        <w:t>(80%)</w:t>
      </w:r>
      <w:r>
        <w:t>都得到豁免。有些保健服务是直接支付的，例如按药方</w:t>
      </w:r>
      <w:r>
        <w:rPr>
          <w:rFonts w:hint="eastAsia"/>
        </w:rPr>
        <w:t>配发</w:t>
      </w:r>
      <w:r>
        <w:t>的药物。私营保健机构的保健服务是按商业方式全额支付的。</w:t>
      </w:r>
    </w:p>
    <w:p w:rsidR="00000000" w:rsidRDefault="00000000">
      <w:r>
        <w:tab/>
        <w:t xml:space="preserve">394.  </w:t>
      </w:r>
      <w:r>
        <w:t>在联邦</w:t>
      </w:r>
      <w:r>
        <w:rPr>
          <w:rFonts w:hint="eastAsia"/>
        </w:rPr>
        <w:t>一级</w:t>
      </w:r>
      <w:r>
        <w:t>，法律对于保费规定了上限</w:t>
      </w:r>
      <w:r>
        <w:t>(</w:t>
      </w:r>
      <w:r>
        <w:t>工资或其他收入的</w:t>
      </w:r>
      <w:r>
        <w:t>13%</w:t>
      </w:r>
      <w:r>
        <w:t>，</w:t>
      </w:r>
      <w:r>
        <w:t>4%</w:t>
      </w:r>
      <w:r>
        <w:t>由雇主支付</w:t>
      </w:r>
      <w:r>
        <w:t>)</w:t>
      </w:r>
      <w:r>
        <w:t>。州议会确定那些</w:t>
      </w:r>
      <w:r>
        <w:rPr>
          <w:rFonts w:hint="eastAsia"/>
        </w:rPr>
        <w:t>强制性</w:t>
      </w:r>
      <w:r>
        <w:t>保费的类别。保费的支付</w:t>
      </w:r>
      <w:r>
        <w:rPr>
          <w:rFonts w:hint="eastAsia"/>
        </w:rPr>
        <w:t>额</w:t>
      </w:r>
      <w:r>
        <w:t>随各地区和个人的境况不同而有所不同。养恤金基金、联邦就业局、武装部队和雇主支付部分保费，</w:t>
      </w:r>
      <w:r>
        <w:rPr>
          <w:rFonts w:hint="eastAsia"/>
        </w:rPr>
        <w:t>但</w:t>
      </w:r>
      <w:r>
        <w:t>有些完全不支付。</w:t>
      </w:r>
    </w:p>
    <w:p w:rsidR="00000000" w:rsidRDefault="00000000">
      <w:r>
        <w:tab/>
        <w:t xml:space="preserve">395.  </w:t>
      </w:r>
      <w:r>
        <w:rPr>
          <w:rFonts w:hint="eastAsia"/>
        </w:rPr>
        <w:t>塞族</w:t>
      </w:r>
      <w:r>
        <w:t>共和国的健康保险是由中央政府管制的</w:t>
      </w:r>
      <w:r>
        <w:t>(</w:t>
      </w:r>
      <w:r>
        <w:rPr>
          <w:rFonts w:hint="eastAsia"/>
        </w:rPr>
        <w:t>统</w:t>
      </w:r>
      <w:r>
        <w:t>一的健康保险基金，在各市有其分支</w:t>
      </w:r>
      <w:r>
        <w:t>)</w:t>
      </w:r>
      <w:r>
        <w:t>。健康保险的保费数额是按净收入计算的</w:t>
      </w:r>
      <w:r>
        <w:t>(</w:t>
      </w:r>
      <w:r>
        <w:t>雇员为</w:t>
      </w:r>
      <w:r>
        <w:t>15%</w:t>
      </w:r>
      <w:r>
        <w:t>，养恤金</w:t>
      </w:r>
      <w:r>
        <w:rPr>
          <w:rFonts w:hint="eastAsia"/>
        </w:rPr>
        <w:t>的</w:t>
      </w:r>
      <w:r>
        <w:t>3.75%</w:t>
      </w:r>
      <w:r>
        <w:t>，农民的地籍收入之</w:t>
      </w:r>
      <w:r>
        <w:t>15%)</w:t>
      </w:r>
      <w:r>
        <w:t>。保健服务的费用是以新签订的合同为依据的。</w:t>
      </w:r>
    </w:p>
    <w:p w:rsidR="00000000" w:rsidRDefault="00000000">
      <w:r>
        <w:tab/>
        <w:t xml:space="preserve">396.  </w:t>
      </w:r>
      <w:r>
        <w:t>由于实体内关于健康保险的法律不</w:t>
      </w:r>
      <w:r>
        <w:rPr>
          <w:rFonts w:hint="eastAsia"/>
        </w:rPr>
        <w:t>统一</w:t>
      </w:r>
      <w:r>
        <w:t>，回归家园和流离失所者改变住址致使其失去健康保险，因而无法进入保健机构。</w:t>
      </w:r>
    </w:p>
    <w:p w:rsidR="00000000" w:rsidRDefault="00000000">
      <w:r>
        <w:tab/>
        <w:t xml:space="preserve">397.  </w:t>
      </w:r>
      <w:r>
        <w:t>保费的数额及计算基数在所有各州和所有受保人中间并不完全相同。对于有工作的人，健康保险的保费比率和基数为工资毛额的</w:t>
      </w:r>
      <w:r>
        <w:t>17%</w:t>
      </w:r>
      <w:r>
        <w:t>，而且在所有各州里都相同。但是，对于其他受保险的人，例如养恤金</w:t>
      </w:r>
      <w:r>
        <w:rPr>
          <w:rFonts w:hint="eastAsia"/>
        </w:rPr>
        <w:t>领取者</w:t>
      </w:r>
      <w:r>
        <w:t>、农民、在</w:t>
      </w:r>
      <w:r>
        <w:rPr>
          <w:rFonts w:hint="eastAsia"/>
        </w:rPr>
        <w:t>就</w:t>
      </w:r>
      <w:r>
        <w:t>业办公室注册的失业者，在武装部队服兵役</w:t>
      </w:r>
      <w:r>
        <w:rPr>
          <w:rFonts w:hint="eastAsia"/>
        </w:rPr>
        <w:t>者</w:t>
      </w:r>
      <w:r>
        <w:t>及其他人，所有各州的保费率和计算基数均各不相同。</w:t>
      </w:r>
    </w:p>
    <w:p w:rsidR="00000000" w:rsidRDefault="00000000">
      <w:r>
        <w:tab/>
        <w:t xml:space="preserve">398.  </w:t>
      </w:r>
      <w:r>
        <w:t>根据</w:t>
      </w:r>
      <w:r>
        <w:rPr>
          <w:rFonts w:hint="eastAsia"/>
        </w:rPr>
        <w:t>州</w:t>
      </w:r>
      <w:r>
        <w:t>保健办公室的数据，有义务交付保费</w:t>
      </w:r>
      <w:r>
        <w:rPr>
          <w:rFonts w:hint="eastAsia"/>
        </w:rPr>
        <w:t>者中</w:t>
      </w:r>
      <w:r>
        <w:t>的多数人</w:t>
      </w:r>
      <w:r>
        <w:t>(50%</w:t>
      </w:r>
      <w:r>
        <w:t>以上</w:t>
      </w:r>
      <w:r>
        <w:t>)</w:t>
      </w:r>
      <w:r>
        <w:t>没有履行其义务，</w:t>
      </w:r>
      <w:r>
        <w:rPr>
          <w:rFonts w:hint="eastAsia"/>
        </w:rPr>
        <w:t>未</w:t>
      </w:r>
      <w:r>
        <w:t>支付其保费，因而，义务性健康保险的保费实际提供的收益之</w:t>
      </w:r>
      <w:r>
        <w:t>90%</w:t>
      </w:r>
      <w:r>
        <w:t>以上都是由雇主支付的保费收益。尽管义务性健康保险的义务性保费对工资和其他收益造成很重负担，但是最后实际收到的经费比法律规定的要低很多。</w:t>
      </w:r>
    </w:p>
    <w:p w:rsidR="00000000" w:rsidRDefault="00000000">
      <w:r>
        <w:tab/>
        <w:t xml:space="preserve">399.  </w:t>
      </w:r>
      <w:r>
        <w:t>主要的原因是</w:t>
      </w:r>
      <w:r>
        <w:rPr>
          <w:rFonts w:hint="eastAsia"/>
        </w:rPr>
        <w:t>健康</w:t>
      </w:r>
      <w:r>
        <w:t>保险对于人口的</w:t>
      </w:r>
      <w:r>
        <w:rPr>
          <w:rFonts w:hint="eastAsia"/>
        </w:rPr>
        <w:t>覆盖面</w:t>
      </w:r>
      <w:r>
        <w:t>很窄，而且注册受保人不交付保费。由于法律和条例的实施不力造成经费问题</w:t>
      </w:r>
      <w:r>
        <w:rPr>
          <w:rFonts w:hint="eastAsia"/>
        </w:rPr>
        <w:t>的</w:t>
      </w:r>
      <w:r>
        <w:t>一个实例就是养恤金基金，这是健康保险义务性保费的最大债务承担者，尽管与此同时</w:t>
      </w:r>
      <w:r>
        <w:rPr>
          <w:rFonts w:hint="eastAsia"/>
        </w:rPr>
        <w:t>养恤金领取</w:t>
      </w:r>
      <w:r>
        <w:t>者是健康保险的最经常使用者。这一义务现在或过去都没有得到有责任承担义务的其他一些实体的承担，例如就业办公室、市政府和州政府用于下列人士的预算：难民和流离失所者、</w:t>
      </w:r>
      <w:r>
        <w:rPr>
          <w:rFonts w:hint="eastAsia"/>
        </w:rPr>
        <w:t>病残</w:t>
      </w:r>
      <w:r>
        <w:t>者、战争的平民受害者、被招募的人</w:t>
      </w:r>
      <w:r>
        <w:rPr>
          <w:rFonts w:hint="eastAsia"/>
        </w:rPr>
        <w:t>员</w:t>
      </w:r>
      <w:r>
        <w:t>、社会上无人照看的人、农民、一些私营企业、黑市</w:t>
      </w:r>
      <w:r>
        <w:rPr>
          <w:rFonts w:hint="eastAsia"/>
        </w:rPr>
        <w:t>经营</w:t>
      </w:r>
      <w:r>
        <w:t>者，甚至一些受雇于健康保险部门的机构内却没有领到工资或</w:t>
      </w:r>
      <w:r>
        <w:rPr>
          <w:rFonts w:hint="eastAsia"/>
        </w:rPr>
        <w:t>下岗</w:t>
      </w:r>
      <w:r>
        <w:t>的人。</w:t>
      </w:r>
    </w:p>
    <w:p w:rsidR="00000000" w:rsidRDefault="00000000">
      <w:r>
        <w:tab/>
        <w:t xml:space="preserve">400.  </w:t>
      </w:r>
      <w:r>
        <w:t>人口中得到健康保险的比率</w:t>
      </w:r>
      <w:r>
        <w:rPr>
          <w:rFonts w:hint="eastAsia"/>
        </w:rPr>
        <w:t>因州而异</w:t>
      </w:r>
      <w:r>
        <w:t>，在波斯尼亚和黑塞哥维那联邦层面上，这一比率不尽人意，全部人口中只有</w:t>
      </w:r>
      <w:r>
        <w:t>85%</w:t>
      </w:r>
      <w:r>
        <w:rPr>
          <w:rFonts w:hint="eastAsia"/>
        </w:rPr>
        <w:t>享受</w:t>
      </w:r>
      <w:r>
        <w:t>保险。</w:t>
      </w:r>
      <w:r>
        <w:t>2001</w:t>
      </w:r>
      <w:r>
        <w:t>年健康保险比率最高的是泽尼察</w:t>
      </w:r>
      <w:r>
        <w:rPr>
          <w:rFonts w:hint="eastAsia"/>
        </w:rPr>
        <w:t>－</w:t>
      </w:r>
      <w:r>
        <w:t>多博伊州，为</w:t>
      </w:r>
      <w:r>
        <w:t>96.77%</w:t>
      </w:r>
      <w:r>
        <w:t>，而比率最低的是波萨维那州，只有</w:t>
      </w:r>
      <w:r>
        <w:t>47.84%</w:t>
      </w:r>
      <w:r>
        <w:t>。</w:t>
      </w:r>
      <w:r>
        <w:t>2001</w:t>
      </w:r>
      <w:r>
        <w:t>年联邦</w:t>
      </w:r>
      <w:r>
        <w:rPr>
          <w:rFonts w:hint="eastAsia"/>
        </w:rPr>
        <w:t>一级</w:t>
      </w:r>
      <w:r>
        <w:t>平均实际收到的保费收益</w:t>
      </w:r>
      <w:r>
        <w:rPr>
          <w:rFonts w:hint="eastAsia"/>
        </w:rPr>
        <w:t>为</w:t>
      </w:r>
      <w:r>
        <w:t>每居民</w:t>
      </w:r>
      <w:r>
        <w:t>182.92</w:t>
      </w:r>
      <w:r>
        <w:t>可兑换马</w:t>
      </w:r>
      <w:r>
        <w:rPr>
          <w:rFonts w:hint="eastAsia"/>
        </w:rPr>
        <w:t>克</w:t>
      </w:r>
      <w:r>
        <w:t>，每受保人</w:t>
      </w:r>
      <w:r>
        <w:t>220.87</w:t>
      </w:r>
      <w:r>
        <w:t>马</w:t>
      </w:r>
      <w:r>
        <w:rPr>
          <w:rFonts w:hint="eastAsia"/>
        </w:rPr>
        <w:t>克</w:t>
      </w:r>
      <w:r>
        <w:t>。各州之间所收到的保费收益数额存在明显差异，</w:t>
      </w:r>
      <w:r>
        <w:rPr>
          <w:rFonts w:hint="eastAsia"/>
        </w:rPr>
        <w:t>因</w:t>
      </w:r>
      <w:r>
        <w:t>此，</w:t>
      </w:r>
      <w:r>
        <w:rPr>
          <w:rFonts w:hint="eastAsia"/>
        </w:rPr>
        <w:t>收益的人均数，</w:t>
      </w:r>
      <w:r>
        <w:t>黑塞哥</w:t>
      </w:r>
      <w:r>
        <w:rPr>
          <w:rFonts w:hint="eastAsia"/>
        </w:rPr>
        <w:t>－</w:t>
      </w:r>
      <w:r>
        <w:t>波斯那州为</w:t>
      </w:r>
      <w:r>
        <w:t>99.27</w:t>
      </w:r>
      <w:r>
        <w:t>可兑换马</w:t>
      </w:r>
      <w:r>
        <w:rPr>
          <w:rFonts w:hint="eastAsia"/>
        </w:rPr>
        <w:t>克</w:t>
      </w:r>
      <w:r>
        <w:t>，萨拉热窝州为</w:t>
      </w:r>
      <w:r>
        <w:t>341.32</w:t>
      </w:r>
      <w:r>
        <w:t>可兑换马</w:t>
      </w:r>
      <w:r>
        <w:rPr>
          <w:rFonts w:hint="eastAsia"/>
        </w:rPr>
        <w:t>克</w:t>
      </w:r>
      <w:r>
        <w:t>，而按每</w:t>
      </w:r>
      <w:r>
        <w:rPr>
          <w:rFonts w:hint="eastAsia"/>
        </w:rPr>
        <w:t>投</w:t>
      </w:r>
      <w:r>
        <w:t>保人计，图兹拉州为</w:t>
      </w:r>
      <w:r>
        <w:t>148.12</w:t>
      </w:r>
      <w:r>
        <w:t>可兑换马</w:t>
      </w:r>
      <w:r>
        <w:rPr>
          <w:rFonts w:hint="eastAsia"/>
        </w:rPr>
        <w:t>克</w:t>
      </w:r>
      <w:r>
        <w:t>，萨拉热窝州为</w:t>
      </w:r>
      <w:r>
        <w:t>361.62</w:t>
      </w:r>
      <w:r>
        <w:t>马</w:t>
      </w:r>
      <w:r>
        <w:rPr>
          <w:rFonts w:hint="eastAsia"/>
        </w:rPr>
        <w:t>克</w:t>
      </w:r>
      <w:r>
        <w:t>。</w:t>
      </w:r>
    </w:p>
    <w:p w:rsidR="00000000" w:rsidRDefault="00000000">
      <w:r>
        <w:tab/>
        <w:t xml:space="preserve">401.  </w:t>
      </w:r>
      <w:r>
        <w:t>在波斯尼亚和黑塞哥维那，全部经费中三分之一</w:t>
      </w:r>
      <w:r>
        <w:rPr>
          <w:rFonts w:hint="eastAsia"/>
        </w:rPr>
        <w:t>以上</w:t>
      </w:r>
      <w:r>
        <w:t>，即</w:t>
      </w:r>
      <w:r>
        <w:t>37%</w:t>
      </w:r>
      <w:r>
        <w:rPr>
          <w:rFonts w:hint="eastAsia"/>
        </w:rPr>
        <w:t>的资金</w:t>
      </w:r>
      <w:r>
        <w:t>，拨</w:t>
      </w:r>
      <w:r>
        <w:rPr>
          <w:rFonts w:hint="eastAsia"/>
        </w:rPr>
        <w:t>于初级</w:t>
      </w:r>
      <w:r>
        <w:rPr>
          <w:rFonts w:hint="eastAsia"/>
        </w:rPr>
        <w:t>(</w:t>
      </w:r>
      <w:r>
        <w:rPr>
          <w:rFonts w:hint="eastAsia"/>
        </w:rPr>
        <w:t>第一层</w:t>
      </w:r>
      <w:r>
        <w:rPr>
          <w:rFonts w:hint="eastAsia"/>
        </w:rPr>
        <w:t>)</w:t>
      </w:r>
      <w:r>
        <w:t>保健，</w:t>
      </w:r>
      <w:r>
        <w:t>35%</w:t>
      </w:r>
      <w:r>
        <w:t>拨给第二层保健，</w:t>
      </w:r>
      <w:r>
        <w:t>18%</w:t>
      </w:r>
      <w:r>
        <w:t>拨给第三层保健。保健开支的</w:t>
      </w:r>
      <w:r>
        <w:rPr>
          <w:rFonts w:hint="eastAsia"/>
        </w:rPr>
        <w:t>决</w:t>
      </w:r>
      <w:r>
        <w:t>定因素之一是国内生产总值水平以及保健开支在</w:t>
      </w:r>
      <w:r>
        <w:rPr>
          <w:rFonts w:hint="eastAsia"/>
        </w:rPr>
        <w:t>总值</w:t>
      </w:r>
      <w:r>
        <w:t>中的比率。</w:t>
      </w:r>
      <w:r>
        <w:t>2001</w:t>
      </w:r>
      <w:r>
        <w:t>年，</w:t>
      </w:r>
      <w:r>
        <w:rPr>
          <w:rFonts w:hint="eastAsia"/>
        </w:rPr>
        <w:t>人均</w:t>
      </w:r>
      <w:r>
        <w:t>国内生产总值为</w:t>
      </w:r>
      <w:r>
        <w:t>2,559.00</w:t>
      </w:r>
      <w:r>
        <w:t>马</w:t>
      </w:r>
      <w:r>
        <w:rPr>
          <w:rFonts w:hint="eastAsia"/>
        </w:rPr>
        <w:t>克</w:t>
      </w:r>
      <w:r>
        <w:t>。根据现有的数据，</w:t>
      </w:r>
      <w:r>
        <w:t>2001</w:t>
      </w:r>
      <w:r>
        <w:t>年用于参加保健的开支为人均国内生产总值的</w:t>
      </w:r>
      <w:r>
        <w:t>8%</w:t>
      </w:r>
      <w:r>
        <w:t>，</w:t>
      </w:r>
      <w:r>
        <w:rPr>
          <w:rFonts w:hint="eastAsia"/>
        </w:rPr>
        <w:t>合</w:t>
      </w:r>
      <w:r>
        <w:t>每年每人大约</w:t>
      </w:r>
      <w:r>
        <w:t>205</w:t>
      </w:r>
      <w:r>
        <w:t>可兑换马</w:t>
      </w:r>
      <w:r>
        <w:rPr>
          <w:rFonts w:hint="eastAsia"/>
        </w:rPr>
        <w:t>克</w:t>
      </w:r>
      <w:r>
        <w:t>。</w:t>
      </w:r>
    </w:p>
    <w:p w:rsidR="00000000" w:rsidRDefault="00000000">
      <w:r>
        <w:tab/>
        <w:t xml:space="preserve">402.  </w:t>
      </w:r>
      <w:r>
        <w:t>对于工伤事故或职业病，根据法律，受保人有权</w:t>
      </w:r>
      <w:r>
        <w:rPr>
          <w:rFonts w:hint="eastAsia"/>
        </w:rPr>
        <w:t>享</w:t>
      </w:r>
      <w:r>
        <w:t>受</w:t>
      </w:r>
      <w:r>
        <w:rPr>
          <w:rFonts w:hint="eastAsia"/>
        </w:rPr>
        <w:t>医疗保健</w:t>
      </w:r>
      <w:r>
        <w:t>，享受康复和防止此类事故与疾病发生的措施，享受适当的医疗援助，以及为康复使用</w:t>
      </w:r>
      <w:r>
        <w:rPr>
          <w:rFonts w:hint="eastAsia"/>
        </w:rPr>
        <w:t>整</w:t>
      </w:r>
      <w:r>
        <w:t>形</w:t>
      </w:r>
      <w:r>
        <w:rPr>
          <w:rFonts w:hint="eastAsia"/>
        </w:rPr>
        <w:t>辅助</w:t>
      </w:r>
      <w:r>
        <w:t>设备。这样做的目的是要恢复其工作能力，在工伤事故和职业病发生之后向其偿付用于康复和保健的旅行费用，并偿付</w:t>
      </w:r>
      <w:r>
        <w:rPr>
          <w:rFonts w:hint="eastAsia"/>
        </w:rPr>
        <w:t>其</w:t>
      </w:r>
      <w:r>
        <w:t>整个病假期间的工资。</w:t>
      </w:r>
    </w:p>
    <w:p w:rsidR="00000000" w:rsidRDefault="00000000">
      <w:r>
        <w:tab/>
        <w:t xml:space="preserve">403.  </w:t>
      </w:r>
      <w:r>
        <w:t>那些由于其他、非职业疾病、创伤或事故暂时失去工作能力的</w:t>
      </w:r>
      <w:r>
        <w:rPr>
          <w:rFonts w:hint="eastAsia"/>
        </w:rPr>
        <w:t>投</w:t>
      </w:r>
      <w:r>
        <w:t>保人、或那些因为传染病而受隔离的人、被指派陪伴病人前往接受治疗或康复的人，以及照看有病痛的配偶或子女的人，也有权得到工资</w:t>
      </w:r>
      <w:r>
        <w:rPr>
          <w:rFonts w:hint="eastAsia"/>
        </w:rPr>
        <w:t>补</w:t>
      </w:r>
      <w:r>
        <w:t>偿。</w:t>
      </w:r>
    </w:p>
    <w:p w:rsidR="00000000" w:rsidRDefault="00000000">
      <w:r>
        <w:tab/>
        <w:t xml:space="preserve">404.  </w:t>
      </w:r>
      <w:r>
        <w:t>个人收入</w:t>
      </w:r>
      <w:r>
        <w:rPr>
          <w:rFonts w:hint="eastAsia"/>
        </w:rPr>
        <w:t>补</w:t>
      </w:r>
      <w:r>
        <w:t>偿是按基本报酬的至少</w:t>
      </w:r>
      <w:r>
        <w:t>80%</w:t>
      </w:r>
      <w:r>
        <w:t>来确定的，而且不能低于确定</w:t>
      </w:r>
      <w:r>
        <w:rPr>
          <w:rFonts w:hint="eastAsia"/>
        </w:rPr>
        <w:t>补</w:t>
      </w:r>
      <w:r>
        <w:t>偿的相关月份</w:t>
      </w:r>
      <w:r>
        <w:rPr>
          <w:rFonts w:hint="eastAsia"/>
        </w:rPr>
        <w:t>的</w:t>
      </w:r>
      <w:r>
        <w:t>最低工资。</w:t>
      </w:r>
    </w:p>
    <w:p w:rsidR="00000000" w:rsidRDefault="00000000">
      <w:r>
        <w:tab/>
        <w:t xml:space="preserve">405.  </w:t>
      </w:r>
      <w:r>
        <w:t>在下列情况下个人收入</w:t>
      </w:r>
      <w:r>
        <w:rPr>
          <w:rFonts w:hint="eastAsia"/>
        </w:rPr>
        <w:t>补</w:t>
      </w:r>
      <w:r>
        <w:t>偿为基本</w:t>
      </w:r>
      <w:r>
        <w:rPr>
          <w:rFonts w:hint="eastAsia"/>
        </w:rPr>
        <w:t>补</w:t>
      </w:r>
      <w:r>
        <w:t>偿的</w:t>
      </w:r>
      <w:r>
        <w:t>100%</w:t>
      </w:r>
      <w:r>
        <w:t>：</w:t>
      </w:r>
    </w:p>
    <w:p w:rsidR="00000000" w:rsidRDefault="00000000">
      <w:pPr>
        <w:pStyle w:val="a0"/>
        <w:ind w:left="1550"/>
      </w:pPr>
      <w:r>
        <w:t>由于工伤事故或职业病而暂时失去工作能力的阶段；</w:t>
      </w:r>
    </w:p>
    <w:p w:rsidR="00000000" w:rsidRDefault="00000000">
      <w:pPr>
        <w:pStyle w:val="a0"/>
        <w:ind w:left="1550"/>
      </w:pPr>
      <w:r>
        <w:t>由于怀孕或生育引起疾病或并发症而暂时失去工作能力的阶段；</w:t>
      </w:r>
    </w:p>
    <w:p w:rsidR="00000000" w:rsidRDefault="00000000">
      <w:pPr>
        <w:pStyle w:val="a0"/>
        <w:ind w:left="1550"/>
      </w:pPr>
      <w:r>
        <w:t>由于向他人移植体内组织或器官而暂时失去工作能力的阶段。</w:t>
      </w:r>
    </w:p>
    <w:p w:rsidR="00000000" w:rsidRDefault="00000000">
      <w:pPr>
        <w:spacing w:after="320"/>
      </w:pPr>
      <w:r>
        <w:tab/>
        <w:t xml:space="preserve">406.  </w:t>
      </w:r>
      <w:r>
        <w:t>由于工伤事故或职业病</w:t>
      </w:r>
      <w:r>
        <w:rPr>
          <w:rFonts w:hint="eastAsia"/>
        </w:rPr>
        <w:t>应得</w:t>
      </w:r>
      <w:r>
        <w:t>的个人收入</w:t>
      </w:r>
      <w:r>
        <w:rPr>
          <w:rFonts w:hint="eastAsia"/>
        </w:rPr>
        <w:t>补</w:t>
      </w:r>
      <w:r>
        <w:t>偿是由雇用</w:t>
      </w:r>
      <w:r>
        <w:rPr>
          <w:rFonts w:hint="eastAsia"/>
        </w:rPr>
        <w:t>投</w:t>
      </w:r>
      <w:r>
        <w:t>保人的法人或自然人</w:t>
      </w:r>
      <w:r>
        <w:rPr>
          <w:rFonts w:hint="eastAsia"/>
        </w:rPr>
        <w:t>计算并从</w:t>
      </w:r>
      <w:r>
        <w:t>其本身的资源偿付的。尽管在各实体和布尔奇科地区之间已经签署了实施</w:t>
      </w:r>
      <w:r>
        <w:rPr>
          <w:rFonts w:hint="eastAsia"/>
        </w:rPr>
        <w:t>卫生</w:t>
      </w:r>
      <w:r>
        <w:t>保健的协议，但协议并未得到</w:t>
      </w:r>
      <w:r>
        <w:rPr>
          <w:rFonts w:hint="eastAsia"/>
        </w:rPr>
        <w:t>执</w:t>
      </w:r>
      <w:r>
        <w:t>行，而受保人中只有很少一部分享用了这项权利。</w:t>
      </w:r>
    </w:p>
    <w:p w:rsidR="00000000" w:rsidRDefault="00000000">
      <w:pPr>
        <w:pStyle w:val="Heading4"/>
      </w:pPr>
      <w:r>
        <w:t>精神健康</w:t>
      </w:r>
    </w:p>
    <w:p w:rsidR="00000000" w:rsidRDefault="00000000">
      <w:r>
        <w:tab/>
        <w:t xml:space="preserve">407.  </w:t>
      </w:r>
      <w:r>
        <w:t>精神健康问题的发病率</w:t>
      </w:r>
      <w:r>
        <w:rPr>
          <w:rFonts w:hint="eastAsia"/>
        </w:rPr>
        <w:t>与</w:t>
      </w:r>
      <w:r>
        <w:t>战前阶段相比增加很多。同战前阶段的指数相比，</w:t>
      </w:r>
      <w:r>
        <w:rPr>
          <w:rFonts w:hint="eastAsia"/>
        </w:rPr>
        <w:t>战争直接造成的</w:t>
      </w:r>
      <w:r>
        <w:t>精神健康问题有所增加，特别是在极为脆弱的群体中尤其如此，例如难民、流离失所者、儿童、老年人、青年和复</w:t>
      </w:r>
      <w:r>
        <w:rPr>
          <w:rFonts w:hint="eastAsia"/>
        </w:rPr>
        <w:t>员</w:t>
      </w:r>
      <w:r>
        <w:t>军人。</w:t>
      </w:r>
    </w:p>
    <w:p w:rsidR="00000000" w:rsidRDefault="00000000">
      <w:pPr>
        <w:rPr>
          <w:rFonts w:hint="eastAsia"/>
        </w:rPr>
      </w:pPr>
      <w:r>
        <w:tab/>
        <w:t xml:space="preserve">408.  </w:t>
      </w:r>
      <w:r>
        <w:t>据估计，在波斯尼亚和黑塞哥维那联邦的人口中，大约有</w:t>
      </w:r>
      <w:r>
        <w:t>15%</w:t>
      </w:r>
      <w:r>
        <w:t>患有心理创伤、尤其是创伤后</w:t>
      </w:r>
      <w:r>
        <w:rPr>
          <w:rFonts w:hint="eastAsia"/>
        </w:rPr>
        <w:t>精神压力</w:t>
      </w:r>
      <w:r>
        <w:t>综合症。最常见的病是与心理压力相关的神经性疾病，占所有病例总数的</w:t>
      </w:r>
      <w:r>
        <w:t>61%</w:t>
      </w:r>
      <w:r>
        <w:t>；和不自然及乖戾的行为，占总数的</w:t>
      </w:r>
      <w:r>
        <w:t>14%</w:t>
      </w:r>
      <w:r>
        <w:t>。对于例如精神疾病造成的暴力上升，包括自杀和谋杀数量的上升情况，没有精确的数据。移徙、</w:t>
      </w:r>
      <w:r>
        <w:rPr>
          <w:rFonts w:hint="eastAsia"/>
        </w:rPr>
        <w:t>失</w:t>
      </w:r>
      <w:r>
        <w:t>业、家庭状况变化、暴力的增加和其他高风险因素是最终导致自杀的</w:t>
      </w:r>
      <w:r>
        <w:rPr>
          <w:rFonts w:hint="eastAsia"/>
        </w:rPr>
        <w:t>几乎</w:t>
      </w:r>
      <w:r>
        <w:t>所有精神疾病和行为疾病的起因。自杀率分别为每</w:t>
      </w:r>
      <w:r>
        <w:t>10</w:t>
      </w:r>
      <w:r>
        <w:t>万人</w:t>
      </w:r>
      <w:r>
        <w:t>3.8</w:t>
      </w:r>
      <w:r>
        <w:t>起</w:t>
      </w:r>
      <w:r>
        <w:t>(2000</w:t>
      </w:r>
      <w:r>
        <w:t>年</w:t>
      </w:r>
      <w:r>
        <w:t>)</w:t>
      </w:r>
      <w:r>
        <w:t>和每</w:t>
      </w:r>
      <w:r>
        <w:t>10</w:t>
      </w:r>
      <w:r>
        <w:t>万人</w:t>
      </w:r>
      <w:r>
        <w:t>32</w:t>
      </w:r>
      <w:r>
        <w:t>起</w:t>
      </w:r>
      <w:r>
        <w:t>(2001</w:t>
      </w:r>
      <w:r>
        <w:t>年</w:t>
      </w:r>
      <w:r>
        <w:t>)</w:t>
      </w:r>
      <w:r>
        <w:t>。最容易发生自杀的年龄组是年龄在</w:t>
      </w:r>
      <w:r>
        <w:t>15</w:t>
      </w:r>
      <w:r>
        <w:t>至</w:t>
      </w:r>
      <w:r>
        <w:t>64</w:t>
      </w:r>
      <w:r>
        <w:t>岁的工作和</w:t>
      </w:r>
      <w:r>
        <w:rPr>
          <w:rFonts w:hint="eastAsia"/>
        </w:rPr>
        <w:t>活跃</w:t>
      </w:r>
      <w:r>
        <w:t>的人口，</w:t>
      </w:r>
      <w:r>
        <w:t>2001</w:t>
      </w:r>
      <w:r>
        <w:t>年</w:t>
      </w:r>
      <w:r>
        <w:rPr>
          <w:rFonts w:hint="eastAsia"/>
        </w:rPr>
        <w:t>占全部自杀者的</w:t>
      </w:r>
      <w:r>
        <w:t>71.8%</w:t>
      </w:r>
      <w:r>
        <w:t>，</w:t>
      </w:r>
      <w:r>
        <w:t>2000</w:t>
      </w:r>
      <w:r>
        <w:t>年</w:t>
      </w:r>
      <w:r>
        <w:rPr>
          <w:rFonts w:hint="eastAsia"/>
        </w:rPr>
        <w:t>占</w:t>
      </w:r>
      <w:r>
        <w:t>64%</w:t>
      </w:r>
      <w:r>
        <w:rPr>
          <w:rFonts w:hint="eastAsia"/>
        </w:rPr>
        <w:t>。</w:t>
      </w:r>
    </w:p>
    <w:p w:rsidR="00000000" w:rsidRDefault="00000000">
      <w:r>
        <w:tab/>
        <w:t xml:space="preserve">409.  </w:t>
      </w:r>
      <w:r>
        <w:t>在流行病学的研究中，性别</w:t>
      </w:r>
      <w:r>
        <w:rPr>
          <w:rFonts w:hint="eastAsia"/>
        </w:rPr>
        <w:t>是与</w:t>
      </w:r>
      <w:r>
        <w:t>各种精神疾病具有最密切关系的风险因素。按平均计算，因精神神经病造成的忧郁性疾病在妇女中的发病率要高出二到三倍。妇女在营养方面的疾病中的发病率比男子高出八至十倍。在各种类型的</w:t>
      </w:r>
      <w:r>
        <w:rPr>
          <w:rFonts w:hint="eastAsia"/>
        </w:rPr>
        <w:t>精神错乱</w:t>
      </w:r>
      <w:r>
        <w:t>病</w:t>
      </w:r>
      <w:r>
        <w:rPr>
          <w:rFonts w:hint="eastAsia"/>
        </w:rPr>
        <w:t>例</w:t>
      </w:r>
      <w:r>
        <w:t>中，其中包括男子发病率高于妇女的疾病以及男女发病率相同的疾病中，因性别造成的差异在风险因素和临床方面都很明显。</w:t>
      </w:r>
      <w:r>
        <w:rPr>
          <w:rFonts w:hint="eastAsia"/>
        </w:rPr>
        <w:t>基于</w:t>
      </w:r>
      <w:r>
        <w:t>性别</w:t>
      </w:r>
      <w:r>
        <w:rPr>
          <w:rFonts w:hint="eastAsia"/>
        </w:rPr>
        <w:t>的</w:t>
      </w:r>
      <w:r>
        <w:t>在神经性</w:t>
      </w:r>
      <w:r>
        <w:rPr>
          <w:rFonts w:hint="eastAsia"/>
        </w:rPr>
        <w:t>心</w:t>
      </w:r>
      <w:r>
        <w:t>理状况方面的差异、疾病复发的风险或爆发的频率、症状的严重性或导致残疾的状况</w:t>
      </w:r>
      <w:r>
        <w:rPr>
          <w:rFonts w:hint="eastAsia"/>
        </w:rPr>
        <w:t>等差异</w:t>
      </w:r>
      <w:r>
        <w:t>，</w:t>
      </w:r>
      <w:r>
        <w:rPr>
          <w:rFonts w:hint="eastAsia"/>
        </w:rPr>
        <w:t>在</w:t>
      </w:r>
      <w:r>
        <w:t>确定治疗方式和特种服务方面都有重要意义。此外，精神疾病的社会影响对于处于怀孕、生育和</w:t>
      </w:r>
      <w:r>
        <w:rPr>
          <w:rFonts w:hint="eastAsia"/>
        </w:rPr>
        <w:t>哺</w:t>
      </w:r>
      <w:r>
        <w:t>乳阶段的妇女具有超出一般比率的影响。生殖和精神健康方面的其他因素包括生殖方面的症状</w:t>
      </w:r>
      <w:r>
        <w:t>(</w:t>
      </w:r>
      <w:r>
        <w:t>生殖系统的不适，例如阴道分泌物</w:t>
      </w:r>
      <w:r>
        <w:rPr>
          <w:rFonts w:hint="eastAsia"/>
        </w:rPr>
        <w:t>失常</w:t>
      </w:r>
      <w:r>
        <w:t>，更多的是由于心理压力，而不是外来因素造成的，但一般总是作为身体健康问题而非心理健康问题来治疗</w:t>
      </w:r>
      <w:r>
        <w:t>)</w:t>
      </w:r>
      <w:r>
        <w:t>，暴力和精神健康</w:t>
      </w:r>
      <w:r>
        <w:t>(</w:t>
      </w:r>
      <w:r>
        <w:t>创伤后</w:t>
      </w:r>
      <w:r>
        <w:rPr>
          <w:rFonts w:hint="eastAsia"/>
        </w:rPr>
        <w:t>精神压力</w:t>
      </w:r>
      <w:r>
        <w:t>综合症的一种最</w:t>
      </w:r>
      <w:r>
        <w:rPr>
          <w:rFonts w:hint="eastAsia"/>
        </w:rPr>
        <w:t>障碍</w:t>
      </w:r>
      <w:r>
        <w:t>病人能力和最持久的病状就是由于对妇女和儿童实行暴力造成的结果</w:t>
      </w:r>
      <w:r>
        <w:t>)</w:t>
      </w:r>
      <w:r>
        <w:t>，生殖系统的外科手术和精神健康</w:t>
      </w:r>
      <w:r>
        <w:t>(</w:t>
      </w:r>
      <w:r>
        <w:t>接受这一类手术的妇女，例如乳房切除术、子宫切除术和任何其他妇科手术的妇女都可能发生精神疾病</w:t>
      </w:r>
      <w:r>
        <w:t>)</w:t>
      </w:r>
      <w:r>
        <w:t>，爱滋病毒</w:t>
      </w:r>
      <w:r>
        <w:t>/</w:t>
      </w:r>
      <w:r>
        <w:t>爱滋病和精神健康</w:t>
      </w:r>
      <w:r>
        <w:t>(</w:t>
      </w:r>
      <w:r>
        <w:t>爱滋病毒携带者</w:t>
      </w:r>
      <w:r>
        <w:rPr>
          <w:rFonts w:hint="eastAsia"/>
        </w:rPr>
        <w:t>因其感染而遭</w:t>
      </w:r>
      <w:r>
        <w:t>污</w:t>
      </w:r>
      <w:r>
        <w:rPr>
          <w:rFonts w:hint="eastAsia"/>
        </w:rPr>
        <w:t>名</w:t>
      </w:r>
      <w:r>
        <w:t>和歧视而发生的精神疾病、以及爱滋病毒及其他</w:t>
      </w:r>
      <w:r>
        <w:rPr>
          <w:rFonts w:hint="eastAsia"/>
        </w:rPr>
        <w:t>继发性</w:t>
      </w:r>
      <w:r>
        <w:t>传染疾病对大脑的直接和间接影响</w:t>
      </w:r>
      <w:r>
        <w:rPr>
          <w:rFonts w:hint="eastAsia"/>
        </w:rPr>
        <w:t>引起的精神疾病</w:t>
      </w:r>
      <w:r>
        <w:t>)</w:t>
      </w:r>
      <w:r>
        <w:t>。</w:t>
      </w:r>
    </w:p>
    <w:p w:rsidR="00000000" w:rsidRDefault="00000000">
      <w:pPr>
        <w:spacing w:after="320"/>
      </w:pPr>
      <w:r>
        <w:tab/>
        <w:t xml:space="preserve">410.  </w:t>
      </w:r>
      <w:r>
        <w:t>一般</w:t>
      </w:r>
      <w:r>
        <w:rPr>
          <w:rFonts w:hint="eastAsia"/>
        </w:rPr>
        <w:t>而言</w:t>
      </w:r>
      <w:r>
        <w:t>，妇女是精神疾病治疗和服务的主要使用者，但是，对于通过公共卫生和相关机构的政策而开展的有关性别差异问题的流行病学和临床调查结果和分析研究，没有</w:t>
      </w:r>
      <w:r>
        <w:rPr>
          <w:rFonts w:hint="eastAsia"/>
        </w:rPr>
        <w:t>什么</w:t>
      </w:r>
      <w:r>
        <w:t>数据。对于患有精神疾病的人士缺少治疗机构和适当的</w:t>
      </w:r>
      <w:r>
        <w:rPr>
          <w:rFonts w:hint="eastAsia"/>
        </w:rPr>
        <w:t>护理</w:t>
      </w:r>
      <w:r>
        <w:t>是具有这类需要的难民回归家园的一个障碍。</w:t>
      </w:r>
    </w:p>
    <w:p w:rsidR="00000000" w:rsidRDefault="00000000">
      <w:pPr>
        <w:pStyle w:val="Heading3"/>
      </w:pPr>
      <w:r>
        <w:rPr>
          <w:u w:val="none"/>
        </w:rPr>
        <w:t>表</w:t>
      </w:r>
      <w:r>
        <w:rPr>
          <w:u w:val="none"/>
        </w:rPr>
        <w:t xml:space="preserve"> 6  </w:t>
      </w:r>
      <w:r>
        <w:t>波斯尼亚和黑塞哥维那联邦</w:t>
      </w:r>
      <w:r>
        <w:rPr>
          <w:rFonts w:hint="eastAsia"/>
        </w:rPr>
        <w:t>中</w:t>
      </w:r>
      <w:r>
        <w:t>精神和行为疾病情况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353"/>
        <w:gridCol w:w="1354"/>
        <w:gridCol w:w="1354"/>
        <w:gridCol w:w="1353"/>
        <w:gridCol w:w="1354"/>
        <w:gridCol w:w="1354"/>
      </w:tblGrid>
      <w:tr w:rsidR="00000000">
        <w:tblPrEx>
          <w:tblCellMar>
            <w:top w:w="0" w:type="dxa"/>
            <w:bottom w:w="0" w:type="dxa"/>
          </w:tblCellMar>
        </w:tblPrEx>
        <w:tc>
          <w:tcPr>
            <w:tcW w:w="1288" w:type="dxa"/>
          </w:tcPr>
          <w:p w:rsidR="00000000" w:rsidRDefault="00000000">
            <w:pPr>
              <w:pStyle w:val="a2"/>
              <w:spacing w:before="80" w:after="40"/>
              <w:jc w:val="center"/>
            </w:pPr>
          </w:p>
        </w:tc>
        <w:tc>
          <w:tcPr>
            <w:tcW w:w="2707" w:type="dxa"/>
            <w:gridSpan w:val="2"/>
          </w:tcPr>
          <w:p w:rsidR="00000000" w:rsidRDefault="00000000">
            <w:pPr>
              <w:pStyle w:val="a2"/>
              <w:spacing w:before="80" w:after="40"/>
              <w:jc w:val="center"/>
            </w:pPr>
            <w:r>
              <w:t>1990</w:t>
            </w:r>
            <w:r>
              <w:t>年</w:t>
            </w:r>
          </w:p>
        </w:tc>
        <w:tc>
          <w:tcPr>
            <w:tcW w:w="2707" w:type="dxa"/>
            <w:gridSpan w:val="2"/>
          </w:tcPr>
          <w:p w:rsidR="00000000" w:rsidRDefault="00000000">
            <w:pPr>
              <w:pStyle w:val="a2"/>
              <w:spacing w:before="80" w:after="40"/>
              <w:jc w:val="center"/>
            </w:pPr>
            <w:r>
              <w:t>2000</w:t>
            </w:r>
            <w:r>
              <w:t>年</w:t>
            </w:r>
          </w:p>
        </w:tc>
        <w:tc>
          <w:tcPr>
            <w:tcW w:w="2708" w:type="dxa"/>
            <w:gridSpan w:val="2"/>
          </w:tcPr>
          <w:p w:rsidR="00000000" w:rsidRDefault="00000000">
            <w:pPr>
              <w:pStyle w:val="a2"/>
              <w:spacing w:before="80" w:after="40"/>
              <w:jc w:val="center"/>
            </w:pPr>
            <w:r>
              <w:t>2001</w:t>
            </w:r>
            <w:r>
              <w:t>年</w:t>
            </w:r>
          </w:p>
        </w:tc>
      </w:tr>
      <w:tr w:rsidR="00000000">
        <w:tblPrEx>
          <w:tblCellMar>
            <w:top w:w="0" w:type="dxa"/>
            <w:bottom w:w="0" w:type="dxa"/>
          </w:tblCellMar>
        </w:tblPrEx>
        <w:trPr>
          <w:cantSplit/>
        </w:trPr>
        <w:tc>
          <w:tcPr>
            <w:tcW w:w="1288" w:type="dxa"/>
            <w:vMerge w:val="restart"/>
          </w:tcPr>
          <w:p w:rsidR="00000000" w:rsidRDefault="00000000">
            <w:pPr>
              <w:pStyle w:val="a2"/>
              <w:jc w:val="center"/>
            </w:pPr>
            <w:r>
              <w:t>精神疾病和</w:t>
            </w:r>
            <w:r>
              <w:br/>
            </w:r>
            <w:r>
              <w:t>行为疾病</w:t>
            </w:r>
          </w:p>
        </w:tc>
        <w:tc>
          <w:tcPr>
            <w:tcW w:w="1353" w:type="dxa"/>
          </w:tcPr>
          <w:p w:rsidR="00000000" w:rsidRDefault="00000000">
            <w:pPr>
              <w:pStyle w:val="a2"/>
              <w:jc w:val="center"/>
            </w:pPr>
            <w:r>
              <w:t>病例数量</w:t>
            </w:r>
          </w:p>
        </w:tc>
        <w:tc>
          <w:tcPr>
            <w:tcW w:w="1354" w:type="dxa"/>
          </w:tcPr>
          <w:p w:rsidR="00000000" w:rsidRDefault="00000000">
            <w:pPr>
              <w:pStyle w:val="a2"/>
              <w:jc w:val="center"/>
              <w:rPr>
                <w:rFonts w:hint="eastAsia"/>
              </w:rPr>
            </w:pPr>
            <w:r>
              <w:t>每</w:t>
            </w:r>
            <w:r>
              <w:t>10</w:t>
            </w:r>
            <w:r>
              <w:t>万人中的发病</w:t>
            </w:r>
            <w:r>
              <w:rPr>
                <w:rFonts w:hint="eastAsia"/>
              </w:rPr>
              <w:t>率</w:t>
            </w:r>
          </w:p>
        </w:tc>
        <w:tc>
          <w:tcPr>
            <w:tcW w:w="1354" w:type="dxa"/>
          </w:tcPr>
          <w:p w:rsidR="00000000" w:rsidRDefault="00000000">
            <w:pPr>
              <w:pStyle w:val="a2"/>
              <w:jc w:val="center"/>
            </w:pPr>
            <w:r>
              <w:t>病例数量</w:t>
            </w:r>
          </w:p>
        </w:tc>
        <w:tc>
          <w:tcPr>
            <w:tcW w:w="1353" w:type="dxa"/>
          </w:tcPr>
          <w:p w:rsidR="00000000" w:rsidRDefault="00000000">
            <w:pPr>
              <w:pStyle w:val="a2"/>
              <w:jc w:val="center"/>
              <w:rPr>
                <w:rFonts w:hint="eastAsia"/>
              </w:rPr>
            </w:pPr>
            <w:r>
              <w:t>每</w:t>
            </w:r>
            <w:r>
              <w:t>10</w:t>
            </w:r>
            <w:r>
              <w:t>万人中的发病</w:t>
            </w:r>
            <w:r>
              <w:rPr>
                <w:rFonts w:hint="eastAsia"/>
              </w:rPr>
              <w:t>率</w:t>
            </w:r>
          </w:p>
        </w:tc>
        <w:tc>
          <w:tcPr>
            <w:tcW w:w="1354" w:type="dxa"/>
          </w:tcPr>
          <w:p w:rsidR="00000000" w:rsidRDefault="00000000">
            <w:pPr>
              <w:pStyle w:val="a2"/>
              <w:jc w:val="center"/>
            </w:pPr>
            <w:r>
              <w:t>病例数量</w:t>
            </w:r>
          </w:p>
        </w:tc>
        <w:tc>
          <w:tcPr>
            <w:tcW w:w="1354" w:type="dxa"/>
          </w:tcPr>
          <w:p w:rsidR="00000000" w:rsidRDefault="00000000">
            <w:pPr>
              <w:pStyle w:val="a2"/>
              <w:jc w:val="center"/>
              <w:rPr>
                <w:rFonts w:hint="eastAsia"/>
              </w:rPr>
            </w:pPr>
            <w:r>
              <w:t>每</w:t>
            </w:r>
            <w:r>
              <w:t>10</w:t>
            </w:r>
            <w:r>
              <w:t>万人中的发病</w:t>
            </w:r>
            <w:r>
              <w:rPr>
                <w:rFonts w:hint="eastAsia"/>
              </w:rPr>
              <w:t>率</w:t>
            </w:r>
          </w:p>
        </w:tc>
      </w:tr>
      <w:tr w:rsidR="00000000">
        <w:tblPrEx>
          <w:tblCellMar>
            <w:top w:w="0" w:type="dxa"/>
            <w:bottom w:w="0" w:type="dxa"/>
          </w:tblCellMar>
        </w:tblPrEx>
        <w:trPr>
          <w:cantSplit/>
        </w:trPr>
        <w:tc>
          <w:tcPr>
            <w:tcW w:w="1288" w:type="dxa"/>
            <w:vMerge/>
          </w:tcPr>
          <w:p w:rsidR="00000000" w:rsidRDefault="00000000">
            <w:pPr>
              <w:pStyle w:val="a2"/>
            </w:pPr>
          </w:p>
        </w:tc>
        <w:tc>
          <w:tcPr>
            <w:tcW w:w="1353" w:type="dxa"/>
          </w:tcPr>
          <w:p w:rsidR="00000000" w:rsidRDefault="00000000">
            <w:pPr>
              <w:pStyle w:val="a2"/>
              <w:jc w:val="center"/>
              <w:rPr>
                <w:rFonts w:hint="eastAsia"/>
              </w:rPr>
            </w:pPr>
            <w:r>
              <w:rPr>
                <w:rFonts w:hint="eastAsia"/>
              </w:rPr>
              <w:t>51,435</w:t>
            </w:r>
          </w:p>
        </w:tc>
        <w:tc>
          <w:tcPr>
            <w:tcW w:w="1354" w:type="dxa"/>
          </w:tcPr>
          <w:p w:rsidR="00000000" w:rsidRDefault="00000000">
            <w:pPr>
              <w:pStyle w:val="a2"/>
              <w:jc w:val="center"/>
              <w:rPr>
                <w:rFonts w:hint="eastAsia"/>
              </w:rPr>
            </w:pPr>
            <w:r>
              <w:rPr>
                <w:rFonts w:hint="eastAsia"/>
              </w:rPr>
              <w:t>2,240</w:t>
            </w:r>
          </w:p>
        </w:tc>
        <w:tc>
          <w:tcPr>
            <w:tcW w:w="1354" w:type="dxa"/>
          </w:tcPr>
          <w:p w:rsidR="00000000" w:rsidRDefault="00000000">
            <w:pPr>
              <w:pStyle w:val="a2"/>
              <w:jc w:val="center"/>
              <w:rPr>
                <w:rFonts w:hint="eastAsia"/>
              </w:rPr>
            </w:pPr>
            <w:r>
              <w:rPr>
                <w:rFonts w:hint="eastAsia"/>
              </w:rPr>
              <w:t>56,460</w:t>
            </w:r>
          </w:p>
        </w:tc>
        <w:tc>
          <w:tcPr>
            <w:tcW w:w="1353" w:type="dxa"/>
          </w:tcPr>
          <w:p w:rsidR="00000000" w:rsidRDefault="00000000">
            <w:pPr>
              <w:pStyle w:val="a2"/>
              <w:jc w:val="center"/>
              <w:rPr>
                <w:rFonts w:hint="eastAsia"/>
              </w:rPr>
            </w:pPr>
            <w:r>
              <w:rPr>
                <w:rFonts w:hint="eastAsia"/>
              </w:rPr>
              <w:t>2,470</w:t>
            </w:r>
          </w:p>
        </w:tc>
        <w:tc>
          <w:tcPr>
            <w:tcW w:w="1354" w:type="dxa"/>
          </w:tcPr>
          <w:p w:rsidR="00000000" w:rsidRDefault="00000000">
            <w:pPr>
              <w:pStyle w:val="a2"/>
              <w:jc w:val="center"/>
              <w:rPr>
                <w:rFonts w:hint="eastAsia"/>
              </w:rPr>
            </w:pPr>
            <w:r>
              <w:rPr>
                <w:rFonts w:hint="eastAsia"/>
              </w:rPr>
              <w:t>48,464</w:t>
            </w:r>
          </w:p>
        </w:tc>
        <w:tc>
          <w:tcPr>
            <w:tcW w:w="1354" w:type="dxa"/>
          </w:tcPr>
          <w:p w:rsidR="00000000" w:rsidRDefault="00000000">
            <w:pPr>
              <w:pStyle w:val="a2"/>
              <w:jc w:val="center"/>
              <w:rPr>
                <w:rFonts w:hint="eastAsia"/>
              </w:rPr>
            </w:pPr>
            <w:r>
              <w:rPr>
                <w:rFonts w:hint="eastAsia"/>
              </w:rPr>
              <w:t>2,100</w:t>
            </w:r>
          </w:p>
        </w:tc>
      </w:tr>
    </w:tbl>
    <w:p w:rsidR="00000000" w:rsidRDefault="00000000">
      <w:pPr>
        <w:pStyle w:val="Heading4"/>
        <w:spacing w:before="320"/>
      </w:pPr>
      <w:r>
        <w:t>肺结核免疫工作的实施</w:t>
      </w:r>
    </w:p>
    <w:p w:rsidR="00000000" w:rsidRDefault="00000000">
      <w:pPr>
        <w:spacing w:after="320"/>
      </w:pPr>
      <w:r>
        <w:tab/>
        <w:t>411.  2000</w:t>
      </w:r>
      <w:r>
        <w:t>年接种</w:t>
      </w:r>
      <w:r>
        <w:t>BCG</w:t>
      </w:r>
      <w:r>
        <w:t>疫苗的初小儿童平均百分比为</w:t>
      </w:r>
      <w:r>
        <w:t>91%</w:t>
      </w:r>
      <w:r>
        <w:t>，</w:t>
      </w:r>
      <w:r>
        <w:rPr>
          <w:rFonts w:hint="eastAsia"/>
        </w:rPr>
        <w:t>低于</w:t>
      </w:r>
      <w:r>
        <w:t>2001</w:t>
      </w:r>
      <w:r>
        <w:t>年的</w:t>
      </w:r>
      <w:r>
        <w:t>92.5%</w:t>
      </w:r>
      <w:r>
        <w:t>。接种疫苗百分比最高的是利夫诺州，为</w:t>
      </w:r>
      <w:r>
        <w:t>99.5%</w:t>
      </w:r>
      <w:r>
        <w:t>，最低的是图兹拉州，为</w:t>
      </w:r>
      <w:r>
        <w:t>89.5%</w:t>
      </w:r>
      <w:r>
        <w:t>。波斯尼亚和黑塞哥维那与</w:t>
      </w:r>
      <w:r>
        <w:t>46</w:t>
      </w:r>
      <w:r>
        <w:t>个欧洲国家一起发起</w:t>
      </w:r>
      <w:r>
        <w:rPr>
          <w:rFonts w:hint="eastAsia"/>
        </w:rPr>
        <w:t>了</w:t>
      </w:r>
      <w:r>
        <w:t>在欧洲控制肺结核的方案，</w:t>
      </w:r>
      <w:r>
        <w:rPr>
          <w:rFonts w:hint="eastAsia"/>
        </w:rPr>
        <w:t>称</w:t>
      </w:r>
      <w:r>
        <w:t>为</w:t>
      </w:r>
      <w:r>
        <w:t>EuroTB</w:t>
      </w:r>
      <w:r>
        <w:t>。从</w:t>
      </w:r>
      <w:r>
        <w:t>1999</w:t>
      </w:r>
      <w:r>
        <w:t>年至</w:t>
      </w:r>
      <w:r>
        <w:t>2001</w:t>
      </w:r>
      <w:r>
        <w:t>年期间的数据中，可以看出患有肺结核的人数有所增加，下表显示了波斯尼亚和黑塞哥维那联邦这方面的数据。</w:t>
      </w:r>
    </w:p>
    <w:p w:rsidR="00000000" w:rsidRDefault="00000000">
      <w:pPr>
        <w:pStyle w:val="Heading3"/>
      </w:pPr>
      <w:r>
        <w:rPr>
          <w:rFonts w:hint="eastAsia"/>
          <w:u w:val="none"/>
        </w:rPr>
        <w:t>表</w:t>
      </w:r>
      <w:r>
        <w:rPr>
          <w:rFonts w:hint="eastAsia"/>
          <w:u w:val="none"/>
        </w:rPr>
        <w:t xml:space="preserve"> 7</w:t>
      </w:r>
      <w:r>
        <w:rPr>
          <w:u w:val="none"/>
        </w:rPr>
        <w:t xml:space="preserve">  </w:t>
      </w:r>
      <w:r>
        <w:t>波斯尼亚和黑塞哥维那</w:t>
      </w:r>
      <w:r>
        <w:rPr>
          <w:rFonts w:hint="eastAsia"/>
        </w:rPr>
        <w:t>联邦肺结核病人情况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2415"/>
        <w:gridCol w:w="630"/>
        <w:gridCol w:w="2415"/>
        <w:gridCol w:w="630"/>
        <w:gridCol w:w="2662"/>
      </w:tblGrid>
      <w:tr w:rsidR="00000000">
        <w:tblPrEx>
          <w:tblCellMar>
            <w:top w:w="0" w:type="dxa"/>
            <w:bottom w:w="0" w:type="dxa"/>
          </w:tblCellMar>
        </w:tblPrEx>
        <w:trPr>
          <w:cantSplit/>
          <w:jc w:val="center"/>
        </w:trPr>
        <w:tc>
          <w:tcPr>
            <w:tcW w:w="3073" w:type="dxa"/>
            <w:gridSpan w:val="2"/>
          </w:tcPr>
          <w:p w:rsidR="00000000" w:rsidRDefault="00000000">
            <w:pPr>
              <w:pStyle w:val="a2"/>
              <w:spacing w:before="80" w:after="40"/>
              <w:jc w:val="center"/>
            </w:pPr>
            <w:r>
              <w:t>1990</w:t>
            </w:r>
            <w:r>
              <w:t>年</w:t>
            </w:r>
          </w:p>
        </w:tc>
        <w:tc>
          <w:tcPr>
            <w:tcW w:w="3045" w:type="dxa"/>
            <w:gridSpan w:val="2"/>
          </w:tcPr>
          <w:p w:rsidR="00000000" w:rsidRDefault="00000000">
            <w:pPr>
              <w:pStyle w:val="a2"/>
              <w:spacing w:before="80" w:after="40"/>
              <w:jc w:val="center"/>
            </w:pPr>
            <w:r>
              <w:t>2000</w:t>
            </w:r>
            <w:r>
              <w:t>年</w:t>
            </w:r>
          </w:p>
        </w:tc>
        <w:tc>
          <w:tcPr>
            <w:tcW w:w="3292" w:type="dxa"/>
            <w:gridSpan w:val="2"/>
          </w:tcPr>
          <w:p w:rsidR="00000000" w:rsidRDefault="00000000">
            <w:pPr>
              <w:pStyle w:val="a2"/>
              <w:spacing w:before="80" w:after="40"/>
              <w:jc w:val="center"/>
            </w:pPr>
            <w:r>
              <w:t>2001</w:t>
            </w:r>
            <w:r>
              <w:t>年</w:t>
            </w:r>
          </w:p>
        </w:tc>
      </w:tr>
      <w:tr w:rsidR="00000000">
        <w:tblPrEx>
          <w:tblCellMar>
            <w:top w:w="0" w:type="dxa"/>
            <w:bottom w:w="0" w:type="dxa"/>
          </w:tblCellMar>
        </w:tblPrEx>
        <w:trPr>
          <w:cantSplit/>
          <w:jc w:val="center"/>
        </w:trPr>
        <w:tc>
          <w:tcPr>
            <w:tcW w:w="658" w:type="dxa"/>
          </w:tcPr>
          <w:p w:rsidR="00000000" w:rsidRDefault="00000000">
            <w:pPr>
              <w:pStyle w:val="a2"/>
              <w:jc w:val="center"/>
              <w:rPr>
                <w:rFonts w:hint="eastAsia"/>
              </w:rPr>
            </w:pPr>
            <w:r>
              <w:rPr>
                <w:rFonts w:hint="eastAsia"/>
              </w:rPr>
              <w:t>总数</w:t>
            </w:r>
          </w:p>
        </w:tc>
        <w:tc>
          <w:tcPr>
            <w:tcW w:w="2415" w:type="dxa"/>
          </w:tcPr>
          <w:p w:rsidR="00000000" w:rsidRDefault="00000000">
            <w:pPr>
              <w:pStyle w:val="a2"/>
              <w:jc w:val="center"/>
              <w:rPr>
                <w:rFonts w:hint="eastAsia"/>
              </w:rPr>
            </w:pPr>
            <w:r>
              <w:t>每</w:t>
            </w:r>
            <w:r>
              <w:t>10</w:t>
            </w:r>
            <w:r>
              <w:t>万人中的发病</w:t>
            </w:r>
            <w:r>
              <w:rPr>
                <w:rFonts w:hint="eastAsia"/>
              </w:rPr>
              <w:t>率</w:t>
            </w:r>
          </w:p>
        </w:tc>
        <w:tc>
          <w:tcPr>
            <w:tcW w:w="630" w:type="dxa"/>
          </w:tcPr>
          <w:p w:rsidR="00000000" w:rsidRDefault="00000000">
            <w:pPr>
              <w:pStyle w:val="a2"/>
              <w:jc w:val="center"/>
              <w:rPr>
                <w:rFonts w:hint="eastAsia"/>
              </w:rPr>
            </w:pPr>
            <w:r>
              <w:rPr>
                <w:rFonts w:hint="eastAsia"/>
              </w:rPr>
              <w:t>总数</w:t>
            </w:r>
          </w:p>
        </w:tc>
        <w:tc>
          <w:tcPr>
            <w:tcW w:w="2415" w:type="dxa"/>
          </w:tcPr>
          <w:p w:rsidR="00000000" w:rsidRDefault="00000000">
            <w:pPr>
              <w:pStyle w:val="a2"/>
              <w:jc w:val="center"/>
              <w:rPr>
                <w:rFonts w:hint="eastAsia"/>
              </w:rPr>
            </w:pPr>
            <w:r>
              <w:t>每</w:t>
            </w:r>
            <w:r>
              <w:t>10</w:t>
            </w:r>
            <w:r>
              <w:t>万人中的发病</w:t>
            </w:r>
            <w:r>
              <w:rPr>
                <w:rFonts w:hint="eastAsia"/>
              </w:rPr>
              <w:t>率</w:t>
            </w:r>
          </w:p>
        </w:tc>
        <w:tc>
          <w:tcPr>
            <w:tcW w:w="630" w:type="dxa"/>
          </w:tcPr>
          <w:p w:rsidR="00000000" w:rsidRDefault="00000000">
            <w:pPr>
              <w:pStyle w:val="a2"/>
              <w:jc w:val="center"/>
              <w:rPr>
                <w:rFonts w:hint="eastAsia"/>
              </w:rPr>
            </w:pPr>
            <w:r>
              <w:rPr>
                <w:rFonts w:hint="eastAsia"/>
              </w:rPr>
              <w:t>总数</w:t>
            </w:r>
          </w:p>
        </w:tc>
        <w:tc>
          <w:tcPr>
            <w:tcW w:w="2662" w:type="dxa"/>
          </w:tcPr>
          <w:p w:rsidR="00000000" w:rsidRDefault="00000000">
            <w:pPr>
              <w:pStyle w:val="a2"/>
              <w:jc w:val="center"/>
              <w:rPr>
                <w:rFonts w:hint="eastAsia"/>
              </w:rPr>
            </w:pPr>
            <w:r>
              <w:t>每</w:t>
            </w:r>
            <w:r>
              <w:t>10</w:t>
            </w:r>
            <w:r>
              <w:t>万人中的发病</w:t>
            </w:r>
            <w:r>
              <w:rPr>
                <w:rFonts w:hint="eastAsia"/>
              </w:rPr>
              <w:t>率</w:t>
            </w:r>
          </w:p>
        </w:tc>
      </w:tr>
      <w:tr w:rsidR="00000000">
        <w:tblPrEx>
          <w:tblCellMar>
            <w:top w:w="0" w:type="dxa"/>
            <w:bottom w:w="0" w:type="dxa"/>
          </w:tblCellMar>
        </w:tblPrEx>
        <w:trPr>
          <w:cantSplit/>
          <w:jc w:val="center"/>
        </w:trPr>
        <w:tc>
          <w:tcPr>
            <w:tcW w:w="658" w:type="dxa"/>
          </w:tcPr>
          <w:p w:rsidR="00000000" w:rsidRDefault="00000000">
            <w:pPr>
              <w:pStyle w:val="a2"/>
              <w:jc w:val="center"/>
              <w:rPr>
                <w:rFonts w:hint="eastAsia"/>
              </w:rPr>
            </w:pPr>
            <w:r>
              <w:rPr>
                <w:rFonts w:hint="eastAsia"/>
              </w:rPr>
              <w:t>297</w:t>
            </w:r>
          </w:p>
        </w:tc>
        <w:tc>
          <w:tcPr>
            <w:tcW w:w="2415" w:type="dxa"/>
          </w:tcPr>
          <w:p w:rsidR="00000000" w:rsidRDefault="00000000">
            <w:pPr>
              <w:pStyle w:val="a2"/>
              <w:jc w:val="center"/>
              <w:rPr>
                <w:rFonts w:hint="eastAsia"/>
              </w:rPr>
            </w:pPr>
            <w:r>
              <w:rPr>
                <w:rFonts w:hint="eastAsia"/>
              </w:rPr>
              <w:t>113.2</w:t>
            </w:r>
          </w:p>
        </w:tc>
        <w:tc>
          <w:tcPr>
            <w:tcW w:w="630" w:type="dxa"/>
          </w:tcPr>
          <w:p w:rsidR="00000000" w:rsidRDefault="00000000">
            <w:pPr>
              <w:pStyle w:val="a2"/>
              <w:jc w:val="center"/>
              <w:rPr>
                <w:rFonts w:hint="eastAsia"/>
              </w:rPr>
            </w:pPr>
            <w:r>
              <w:rPr>
                <w:rFonts w:hint="eastAsia"/>
              </w:rPr>
              <w:t>340</w:t>
            </w:r>
          </w:p>
        </w:tc>
        <w:tc>
          <w:tcPr>
            <w:tcW w:w="2415" w:type="dxa"/>
          </w:tcPr>
          <w:p w:rsidR="00000000" w:rsidRDefault="00000000">
            <w:pPr>
              <w:pStyle w:val="a2"/>
              <w:jc w:val="center"/>
              <w:rPr>
                <w:rFonts w:hint="eastAsia"/>
              </w:rPr>
            </w:pPr>
            <w:r>
              <w:rPr>
                <w:rFonts w:hint="eastAsia"/>
              </w:rPr>
              <w:t>113.4</w:t>
            </w:r>
          </w:p>
        </w:tc>
        <w:tc>
          <w:tcPr>
            <w:tcW w:w="630" w:type="dxa"/>
          </w:tcPr>
          <w:p w:rsidR="00000000" w:rsidRDefault="00000000">
            <w:pPr>
              <w:pStyle w:val="a2"/>
              <w:jc w:val="center"/>
              <w:rPr>
                <w:rFonts w:hint="eastAsia"/>
              </w:rPr>
            </w:pPr>
            <w:r>
              <w:rPr>
                <w:rFonts w:hint="eastAsia"/>
              </w:rPr>
              <w:t>368</w:t>
            </w:r>
          </w:p>
        </w:tc>
        <w:tc>
          <w:tcPr>
            <w:tcW w:w="2662" w:type="dxa"/>
          </w:tcPr>
          <w:p w:rsidR="00000000" w:rsidRDefault="00000000">
            <w:pPr>
              <w:pStyle w:val="a2"/>
              <w:jc w:val="center"/>
              <w:rPr>
                <w:rFonts w:hint="eastAsia"/>
              </w:rPr>
            </w:pPr>
            <w:r>
              <w:rPr>
                <w:rFonts w:hint="eastAsia"/>
              </w:rPr>
              <w:t>120.6</w:t>
            </w:r>
          </w:p>
        </w:tc>
      </w:tr>
    </w:tbl>
    <w:p w:rsidR="00000000" w:rsidRDefault="00000000">
      <w:pPr>
        <w:spacing w:before="240" w:after="320"/>
      </w:pPr>
      <w:r>
        <w:tab/>
      </w:r>
      <w:r>
        <w:rPr>
          <w:rFonts w:hint="eastAsia"/>
        </w:rPr>
        <w:t>与战前阶段相比，战后阶段的肺结核病例正在上升，这与人口的贫困有直接关系。</w:t>
      </w:r>
    </w:p>
    <w:p w:rsidR="00000000" w:rsidRDefault="00000000">
      <w:pPr>
        <w:pStyle w:val="Heading4"/>
        <w:rPr>
          <w:rFonts w:hint="eastAsia"/>
        </w:rPr>
      </w:pPr>
      <w:r>
        <w:rPr>
          <w:rFonts w:hint="eastAsia"/>
        </w:rPr>
        <w:t>最常见的死亡原因和死亡率</w:t>
      </w:r>
    </w:p>
    <w:p w:rsidR="00000000" w:rsidRDefault="00000000">
      <w:pPr>
        <w:rPr>
          <w:rFonts w:hint="eastAsia"/>
        </w:rPr>
      </w:pPr>
      <w:r>
        <w:rPr>
          <w:rFonts w:hint="eastAsia"/>
        </w:rPr>
        <w:tab/>
        <w:t xml:space="preserve">412.  </w:t>
      </w:r>
      <w:r>
        <w:rPr>
          <w:rFonts w:hint="eastAsia"/>
        </w:rPr>
        <w:t>波斯尼亚和黑塞哥维那没有全国卫生政策或全国卫生保健方案。</w:t>
      </w:r>
    </w:p>
    <w:p w:rsidR="00000000" w:rsidRDefault="00000000">
      <w:pPr>
        <w:rPr>
          <w:rFonts w:hint="eastAsia"/>
        </w:rPr>
      </w:pPr>
      <w:r>
        <w:rPr>
          <w:rFonts w:hint="eastAsia"/>
        </w:rPr>
        <w:tab/>
        <w:t xml:space="preserve">413.  </w:t>
      </w:r>
      <w:r>
        <w:rPr>
          <w:rFonts w:hint="eastAsia"/>
        </w:rPr>
        <w:t>波斯尼亚和黑塞哥维那战前</w:t>
      </w:r>
      <w:r>
        <w:rPr>
          <w:rFonts w:hint="eastAsia"/>
        </w:rPr>
        <w:t>1990</w:t>
      </w:r>
      <w:r>
        <w:rPr>
          <w:rFonts w:hint="eastAsia"/>
        </w:rPr>
        <w:t>年的产妇死亡率为每</w:t>
      </w:r>
      <w:r>
        <w:rPr>
          <w:rFonts w:hint="eastAsia"/>
        </w:rPr>
        <w:t>100,000</w:t>
      </w:r>
      <w:r>
        <w:rPr>
          <w:rFonts w:hint="eastAsia"/>
        </w:rPr>
        <w:t>居民死亡</w:t>
      </w:r>
      <w:r>
        <w:rPr>
          <w:rFonts w:hint="eastAsia"/>
        </w:rPr>
        <w:t>21.4</w:t>
      </w:r>
      <w:r>
        <w:rPr>
          <w:rFonts w:hint="eastAsia"/>
        </w:rPr>
        <w:t>人。战后产妇死亡率的数据不可靠，但根据死亡原因确定情况下的现有数据，</w:t>
      </w:r>
      <w:r>
        <w:rPr>
          <w:rFonts w:hint="eastAsia"/>
        </w:rPr>
        <w:t>2000</w:t>
      </w:r>
      <w:r>
        <w:rPr>
          <w:rFonts w:hint="eastAsia"/>
        </w:rPr>
        <w:t>年的产妇死亡率为每</w:t>
      </w:r>
      <w:r>
        <w:rPr>
          <w:rFonts w:hint="eastAsia"/>
        </w:rPr>
        <w:t>100,000</w:t>
      </w:r>
      <w:r>
        <w:rPr>
          <w:rFonts w:hint="eastAsia"/>
        </w:rPr>
        <w:t>人死亡</w:t>
      </w:r>
      <w:r>
        <w:rPr>
          <w:rFonts w:hint="eastAsia"/>
        </w:rPr>
        <w:t>8</w:t>
      </w:r>
      <w:r>
        <w:rPr>
          <w:rFonts w:hint="eastAsia"/>
        </w:rPr>
        <w:t>人。关于死亡原因的资料不能令人满意，因此应当谨慎看待上列数据。</w:t>
      </w:r>
    </w:p>
    <w:p w:rsidR="00000000" w:rsidRDefault="00000000">
      <w:pPr>
        <w:rPr>
          <w:rFonts w:hint="eastAsia"/>
        </w:rPr>
      </w:pPr>
      <w:r>
        <w:rPr>
          <w:rFonts w:hint="eastAsia"/>
        </w:rPr>
        <w:tab/>
        <w:t xml:space="preserve">414.  </w:t>
      </w:r>
      <w:r>
        <w:rPr>
          <w:rFonts w:hint="eastAsia"/>
        </w:rPr>
        <w:t>波斯尼亚和黑塞哥维那</w:t>
      </w:r>
      <w:r>
        <w:rPr>
          <w:rFonts w:hint="eastAsia"/>
        </w:rPr>
        <w:t>2002</w:t>
      </w:r>
      <w:r>
        <w:rPr>
          <w:rFonts w:hint="eastAsia"/>
        </w:rPr>
        <w:t>年造成婴儿死亡的主要原因</w:t>
      </w:r>
      <w:r>
        <w:rPr>
          <w:rFonts w:hint="eastAsia"/>
        </w:rPr>
        <w:t>(%)</w:t>
      </w:r>
      <w:r>
        <w:rPr>
          <w:rFonts w:hint="eastAsia"/>
        </w:rPr>
        <w:t>为：</w:t>
      </w:r>
    </w:p>
    <w:p w:rsidR="00000000" w:rsidRDefault="00000000">
      <w:pPr>
        <w:pStyle w:val="a0"/>
        <w:ind w:left="1550"/>
        <w:rPr>
          <w:rFonts w:hint="eastAsia"/>
        </w:rPr>
      </w:pPr>
      <w:r>
        <w:rPr>
          <w:rFonts w:hint="eastAsia"/>
        </w:rPr>
        <w:t>某些围产期疾病</w:t>
      </w:r>
      <w:r>
        <w:rPr>
          <w:rFonts w:hint="eastAsia"/>
          <w:spacing w:val="-50"/>
        </w:rPr>
        <w:t>―</w:t>
      </w:r>
      <w:r>
        <w:rPr>
          <w:rFonts w:hint="eastAsia"/>
        </w:rPr>
        <w:t>―</w:t>
      </w:r>
      <w:r>
        <w:rPr>
          <w:rFonts w:hint="eastAsia"/>
        </w:rPr>
        <w:t>67.7%</w:t>
      </w:r>
      <w:r>
        <w:rPr>
          <w:rFonts w:hint="eastAsia"/>
        </w:rPr>
        <w:t>；</w:t>
      </w:r>
    </w:p>
    <w:p w:rsidR="00000000" w:rsidRDefault="00000000">
      <w:pPr>
        <w:pStyle w:val="a0"/>
        <w:ind w:left="1550"/>
        <w:rPr>
          <w:rFonts w:hint="eastAsia"/>
        </w:rPr>
      </w:pPr>
      <w:r>
        <w:rPr>
          <w:rFonts w:hint="eastAsia"/>
        </w:rPr>
        <w:t>先天性畸形、畸形和染色体异常</w:t>
      </w:r>
      <w:r>
        <w:rPr>
          <w:rFonts w:hint="eastAsia"/>
          <w:spacing w:val="-50"/>
        </w:rPr>
        <w:t>―</w:t>
      </w:r>
      <w:r>
        <w:rPr>
          <w:rFonts w:hint="eastAsia"/>
        </w:rPr>
        <w:t>―</w:t>
      </w:r>
      <w:r>
        <w:rPr>
          <w:rFonts w:hint="eastAsia"/>
        </w:rPr>
        <w:t>12.6%</w:t>
      </w:r>
      <w:r>
        <w:rPr>
          <w:rFonts w:hint="eastAsia"/>
        </w:rPr>
        <w:t>；</w:t>
      </w:r>
    </w:p>
    <w:p w:rsidR="00000000" w:rsidRDefault="00000000">
      <w:pPr>
        <w:pStyle w:val="a0"/>
        <w:ind w:left="1550"/>
        <w:rPr>
          <w:rFonts w:hint="eastAsia"/>
        </w:rPr>
      </w:pPr>
      <w:r>
        <w:rPr>
          <w:rFonts w:hint="eastAsia"/>
        </w:rPr>
        <w:t>循环系统疾病</w:t>
      </w:r>
      <w:r>
        <w:rPr>
          <w:rFonts w:hint="eastAsia"/>
          <w:spacing w:val="-50"/>
        </w:rPr>
        <w:t>―</w:t>
      </w:r>
      <w:r>
        <w:rPr>
          <w:rFonts w:hint="eastAsia"/>
        </w:rPr>
        <w:t>―</w:t>
      </w:r>
      <w:r>
        <w:rPr>
          <w:rFonts w:hint="eastAsia"/>
        </w:rPr>
        <w:t>2.1%</w:t>
      </w:r>
      <w:r>
        <w:rPr>
          <w:rFonts w:hint="eastAsia"/>
        </w:rPr>
        <w:t>；</w:t>
      </w:r>
    </w:p>
    <w:p w:rsidR="00000000" w:rsidRDefault="00000000">
      <w:pPr>
        <w:pStyle w:val="a0"/>
        <w:ind w:left="1550"/>
        <w:rPr>
          <w:rFonts w:hint="eastAsia"/>
        </w:rPr>
      </w:pPr>
      <w:r>
        <w:rPr>
          <w:rFonts w:hint="eastAsia"/>
        </w:rPr>
        <w:t>没有进行分类的症状、征候和其它异常病症和试验室研究结果及诊断</w:t>
      </w:r>
      <w:r>
        <w:rPr>
          <w:rFonts w:hint="eastAsia"/>
          <w:spacing w:val="-50"/>
        </w:rPr>
        <w:t>―</w:t>
      </w:r>
      <w:r>
        <w:rPr>
          <w:rFonts w:hint="eastAsia"/>
        </w:rPr>
        <w:t>―</w:t>
      </w:r>
      <w:r>
        <w:rPr>
          <w:rFonts w:hint="eastAsia"/>
        </w:rPr>
        <w:t>6%</w:t>
      </w:r>
      <w:r>
        <w:rPr>
          <w:rFonts w:hint="eastAsia"/>
        </w:rPr>
        <w:t>；</w:t>
      </w:r>
    </w:p>
    <w:p w:rsidR="00000000" w:rsidRDefault="00000000">
      <w:pPr>
        <w:pStyle w:val="a0"/>
        <w:ind w:left="1550"/>
        <w:rPr>
          <w:rFonts w:hint="eastAsia"/>
        </w:rPr>
      </w:pPr>
      <w:r>
        <w:rPr>
          <w:rFonts w:hint="eastAsia"/>
        </w:rPr>
        <w:t>某些传染性疾病</w:t>
      </w:r>
      <w:r>
        <w:rPr>
          <w:rFonts w:hint="eastAsia"/>
          <w:spacing w:val="-50"/>
        </w:rPr>
        <w:t>―</w:t>
      </w:r>
      <w:r>
        <w:rPr>
          <w:rFonts w:hint="eastAsia"/>
        </w:rPr>
        <w:t>―</w:t>
      </w:r>
      <w:r>
        <w:rPr>
          <w:rFonts w:hint="eastAsia"/>
        </w:rPr>
        <w:t>3.9%</w:t>
      </w:r>
      <w:r>
        <w:rPr>
          <w:rFonts w:hint="eastAsia"/>
        </w:rPr>
        <w:t>；</w:t>
      </w:r>
    </w:p>
    <w:p w:rsidR="00000000" w:rsidRDefault="00000000">
      <w:pPr>
        <w:pStyle w:val="a0"/>
        <w:ind w:left="1550"/>
        <w:rPr>
          <w:rFonts w:hint="eastAsia"/>
        </w:rPr>
      </w:pPr>
      <w:r>
        <w:rPr>
          <w:rFonts w:hint="eastAsia"/>
        </w:rPr>
        <w:t>其它疾病、病况和外伤</w:t>
      </w:r>
      <w:r>
        <w:rPr>
          <w:rFonts w:hint="eastAsia"/>
          <w:spacing w:val="-50"/>
        </w:rPr>
        <w:t>―</w:t>
      </w:r>
      <w:r>
        <w:rPr>
          <w:rFonts w:hint="eastAsia"/>
        </w:rPr>
        <w:t>―</w:t>
      </w:r>
      <w:r>
        <w:rPr>
          <w:rFonts w:hint="eastAsia"/>
        </w:rPr>
        <w:t>7.8%</w:t>
      </w:r>
      <w:r>
        <w:rPr>
          <w:rFonts w:hint="eastAsia"/>
        </w:rPr>
        <w:t>；</w:t>
      </w:r>
    </w:p>
    <w:p w:rsidR="00000000" w:rsidRDefault="00000000">
      <w:pPr>
        <w:spacing w:after="160"/>
        <w:rPr>
          <w:rFonts w:eastAsia="KaiTi_GB2312" w:hint="eastAsia"/>
          <w:snapToGrid/>
          <w:spacing w:val="0"/>
        </w:rPr>
      </w:pPr>
      <w:r>
        <w:rPr>
          <w:rFonts w:eastAsia="KaiTi_GB2312" w:hint="eastAsia"/>
          <w:snapToGrid/>
          <w:spacing w:val="0"/>
        </w:rPr>
        <w:tab/>
      </w:r>
      <w:r>
        <w:rPr>
          <w:rFonts w:eastAsia="KaiTi_GB2312"/>
          <w:snapToGrid/>
          <w:spacing w:val="0"/>
        </w:rPr>
        <w:tab/>
      </w:r>
      <w:r>
        <w:rPr>
          <w:rFonts w:eastAsia="KaiTi_GB2312" w:hint="eastAsia"/>
          <w:snapToGrid/>
          <w:spacing w:val="0"/>
        </w:rPr>
        <w:t>(</w:t>
      </w:r>
      <w:r>
        <w:rPr>
          <w:rFonts w:eastAsia="KaiTi_GB2312" w:hint="eastAsia"/>
          <w:snapToGrid/>
          <w:spacing w:val="0"/>
          <w:u w:val="single"/>
        </w:rPr>
        <w:t>资料来源</w:t>
      </w:r>
      <w:r>
        <w:rPr>
          <w:rFonts w:eastAsia="KaiTi_GB2312" w:hint="eastAsia"/>
          <w:snapToGrid/>
          <w:spacing w:val="0"/>
        </w:rPr>
        <w:t>：表</w:t>
      </w:r>
      <w:r>
        <w:rPr>
          <w:rFonts w:eastAsia="KaiTi_GB2312" w:hint="eastAsia"/>
          <w:snapToGrid/>
          <w:spacing w:val="0"/>
        </w:rPr>
        <w:t>18</w:t>
      </w:r>
      <w:r>
        <w:rPr>
          <w:rFonts w:eastAsia="KaiTi_GB2312" w:hint="eastAsia"/>
          <w:snapToGrid/>
          <w:spacing w:val="0"/>
        </w:rPr>
        <w:t>：波斯尼亚和黑塞哥维那统计署，</w:t>
      </w:r>
      <w:r>
        <w:rPr>
          <w:rFonts w:eastAsia="KaiTi_GB2312" w:hint="eastAsia"/>
          <w:snapToGrid/>
          <w:spacing w:val="0"/>
        </w:rPr>
        <w:t>2003</w:t>
      </w:r>
      <w:r>
        <w:rPr>
          <w:rFonts w:eastAsia="KaiTi_GB2312" w:hint="eastAsia"/>
          <w:snapToGrid/>
          <w:spacing w:val="0"/>
        </w:rPr>
        <w:t>年统计公报</w:t>
      </w:r>
      <w:r>
        <w:rPr>
          <w:rFonts w:eastAsia="KaiTi_GB2312" w:hint="eastAsia"/>
          <w:snapToGrid/>
          <w:spacing w:val="0"/>
        </w:rPr>
        <w:t>5</w:t>
      </w:r>
      <w:r>
        <w:rPr>
          <w:rFonts w:eastAsia="KaiTi_GB2312" w:hint="eastAsia"/>
          <w:snapToGrid/>
          <w:spacing w:val="0"/>
        </w:rPr>
        <w:t>。</w:t>
      </w:r>
      <w:r>
        <w:rPr>
          <w:rFonts w:eastAsia="KaiTi_GB2312" w:hint="eastAsia"/>
          <w:snapToGrid/>
          <w:spacing w:val="0"/>
        </w:rPr>
        <w:t>)</w:t>
      </w:r>
    </w:p>
    <w:p w:rsidR="00000000" w:rsidRDefault="00000000">
      <w:pPr>
        <w:rPr>
          <w:rFonts w:hint="eastAsia"/>
        </w:rPr>
      </w:pPr>
      <w:r>
        <w:rPr>
          <w:rFonts w:hint="eastAsia"/>
        </w:rPr>
        <w:tab/>
        <w:t xml:space="preserve">415.  </w:t>
      </w:r>
      <w:r>
        <w:rPr>
          <w:rFonts w:hint="eastAsia"/>
        </w:rPr>
        <w:t>在</w:t>
      </w:r>
      <w:r>
        <w:rPr>
          <w:rFonts w:hint="eastAsia"/>
        </w:rPr>
        <w:t>2002</w:t>
      </w:r>
      <w:r>
        <w:rPr>
          <w:rFonts w:hint="eastAsia"/>
        </w:rPr>
        <w:t>年，主要死亡原因</w:t>
      </w:r>
      <w:r>
        <w:rPr>
          <w:rFonts w:hint="eastAsia"/>
        </w:rPr>
        <w:t>(</w:t>
      </w:r>
      <w:r>
        <w:rPr>
          <w:rFonts w:hint="eastAsia"/>
        </w:rPr>
        <w:t>死亡率</w:t>
      </w:r>
      <w:r>
        <w:rPr>
          <w:rFonts w:hint="eastAsia"/>
        </w:rPr>
        <w:t>)</w:t>
      </w:r>
      <w:r>
        <w:rPr>
          <w:rFonts w:hint="eastAsia"/>
        </w:rPr>
        <w:t>为循环系统疾病，死亡率为</w:t>
      </w:r>
      <w:r>
        <w:rPr>
          <w:rFonts w:hint="eastAsia"/>
        </w:rPr>
        <w:t>53.1%</w:t>
      </w:r>
      <w:r>
        <w:rPr>
          <w:rFonts w:hint="eastAsia"/>
        </w:rPr>
        <w:t>。恶性肿瘤为</w:t>
      </w:r>
      <w:r>
        <w:rPr>
          <w:rFonts w:hint="eastAsia"/>
        </w:rPr>
        <w:t>17.5%</w:t>
      </w:r>
      <w:r>
        <w:rPr>
          <w:rFonts w:hint="eastAsia"/>
        </w:rPr>
        <w:t>病例的死亡原因，外伤和中毒占</w:t>
      </w:r>
      <w:r>
        <w:rPr>
          <w:rFonts w:hint="eastAsia"/>
        </w:rPr>
        <w:t>3.2%</w:t>
      </w:r>
      <w:r>
        <w:rPr>
          <w:rFonts w:hint="eastAsia"/>
        </w:rPr>
        <w:t>，消化系统疾病占</w:t>
      </w:r>
      <w:r>
        <w:rPr>
          <w:rFonts w:hint="eastAsia"/>
        </w:rPr>
        <w:t>2.7%</w:t>
      </w:r>
      <w:r>
        <w:rPr>
          <w:rFonts w:hint="eastAsia"/>
        </w:rPr>
        <w:t>。所有其它疾病为</w:t>
      </w:r>
      <w:r>
        <w:rPr>
          <w:rFonts w:hint="eastAsia"/>
        </w:rPr>
        <w:t>13.5%</w:t>
      </w:r>
      <w:r>
        <w:rPr>
          <w:rFonts w:hint="eastAsia"/>
        </w:rPr>
        <w:t>病例的死亡原因。仍然没有各种疾病具体死亡率的标准数据。</w:t>
      </w:r>
    </w:p>
    <w:p w:rsidR="00000000" w:rsidRDefault="00000000">
      <w:pPr>
        <w:rPr>
          <w:rFonts w:hint="eastAsia"/>
        </w:rPr>
      </w:pPr>
      <w:r>
        <w:rPr>
          <w:rFonts w:hint="eastAsia"/>
        </w:rPr>
        <w:tab/>
        <w:t xml:space="preserve">416.  </w:t>
      </w:r>
      <w:r>
        <w:rPr>
          <w:rFonts w:hint="eastAsia"/>
        </w:rPr>
        <w:t>波斯尼亚和黑塞哥维那</w:t>
      </w:r>
      <w:r>
        <w:rPr>
          <w:rFonts w:hint="eastAsia"/>
        </w:rPr>
        <w:t>1991</w:t>
      </w:r>
      <w:r>
        <w:rPr>
          <w:rFonts w:hint="eastAsia"/>
        </w:rPr>
        <w:t>年总死亡率为</w:t>
      </w:r>
      <w:r>
        <w:rPr>
          <w:rFonts w:hint="eastAsia"/>
        </w:rPr>
        <w:t>7%</w:t>
      </w:r>
      <w:r>
        <w:rPr>
          <w:rFonts w:hint="eastAsia"/>
        </w:rPr>
        <w:t>。战后期间，总死亡率略有上升，</w:t>
      </w:r>
      <w:r>
        <w:rPr>
          <w:rFonts w:hint="eastAsia"/>
        </w:rPr>
        <w:t>2002</w:t>
      </w:r>
      <w:r>
        <w:rPr>
          <w:rFonts w:hint="eastAsia"/>
        </w:rPr>
        <w:t>年为</w:t>
      </w:r>
      <w:r>
        <w:rPr>
          <w:rFonts w:hint="eastAsia"/>
        </w:rPr>
        <w:t>7.9%</w:t>
      </w:r>
      <w:r>
        <w:rPr>
          <w:rFonts w:hint="eastAsia"/>
        </w:rPr>
        <w:t>。应把这一数据视为初步数据。</w:t>
      </w:r>
    </w:p>
    <w:p w:rsidR="00000000" w:rsidRDefault="00000000">
      <w:pPr>
        <w:rPr>
          <w:rFonts w:hint="eastAsia"/>
        </w:rPr>
      </w:pPr>
      <w:r>
        <w:rPr>
          <w:rFonts w:hint="eastAsia"/>
        </w:rPr>
        <w:tab/>
        <w:t xml:space="preserve">417.  </w:t>
      </w:r>
      <w:r>
        <w:rPr>
          <w:rFonts w:hint="eastAsia"/>
        </w:rPr>
        <w:t>波斯尼亚和黑塞哥维那</w:t>
      </w:r>
      <w:r>
        <w:rPr>
          <w:rFonts w:hint="eastAsia"/>
        </w:rPr>
        <w:t>2002</w:t>
      </w:r>
      <w:r>
        <w:rPr>
          <w:rFonts w:hint="eastAsia"/>
        </w:rPr>
        <w:t>年的主要死亡原因为：</w:t>
      </w:r>
    </w:p>
    <w:p w:rsidR="00000000" w:rsidRDefault="00000000">
      <w:pPr>
        <w:pStyle w:val="a0"/>
        <w:ind w:left="1550"/>
        <w:rPr>
          <w:rFonts w:hint="eastAsia"/>
        </w:rPr>
      </w:pPr>
      <w:r>
        <w:rPr>
          <w:rFonts w:hint="eastAsia"/>
        </w:rPr>
        <w:t>循环系统疾病</w:t>
      </w:r>
      <w:r>
        <w:rPr>
          <w:rFonts w:hint="eastAsia"/>
          <w:spacing w:val="-50"/>
        </w:rPr>
        <w:t>―</w:t>
      </w:r>
      <w:r>
        <w:rPr>
          <w:rFonts w:hint="eastAsia"/>
        </w:rPr>
        <w:t>―</w:t>
      </w:r>
      <w:r>
        <w:rPr>
          <w:rFonts w:hint="eastAsia"/>
        </w:rPr>
        <w:t>53.1%</w:t>
      </w:r>
      <w:r>
        <w:rPr>
          <w:rFonts w:hint="eastAsia"/>
        </w:rPr>
        <w:t>；</w:t>
      </w:r>
    </w:p>
    <w:p w:rsidR="00000000" w:rsidRDefault="00000000">
      <w:pPr>
        <w:pStyle w:val="a0"/>
        <w:ind w:left="1550"/>
        <w:rPr>
          <w:rFonts w:hint="eastAsia"/>
        </w:rPr>
      </w:pPr>
      <w:r>
        <w:rPr>
          <w:rFonts w:hint="eastAsia"/>
        </w:rPr>
        <w:t>恶性肿瘤</w:t>
      </w:r>
      <w:r>
        <w:rPr>
          <w:rFonts w:hint="eastAsia"/>
          <w:spacing w:val="-50"/>
        </w:rPr>
        <w:t>―</w:t>
      </w:r>
      <w:r>
        <w:rPr>
          <w:rFonts w:hint="eastAsia"/>
        </w:rPr>
        <w:t>―</w:t>
      </w:r>
      <w:r>
        <w:rPr>
          <w:rFonts w:hint="eastAsia"/>
        </w:rPr>
        <w:t>17.5%</w:t>
      </w:r>
      <w:r>
        <w:rPr>
          <w:rFonts w:hint="eastAsia"/>
        </w:rPr>
        <w:t>；</w:t>
      </w:r>
    </w:p>
    <w:p w:rsidR="00000000" w:rsidRDefault="00000000">
      <w:pPr>
        <w:pStyle w:val="a0"/>
        <w:ind w:left="1550"/>
        <w:rPr>
          <w:rFonts w:hint="eastAsia"/>
        </w:rPr>
      </w:pPr>
      <w:r>
        <w:rPr>
          <w:rFonts w:hint="eastAsia"/>
        </w:rPr>
        <w:t>没有进行分类的症状、征候和其它异常病症和试验室研究结果与诊断</w:t>
      </w:r>
      <w:r>
        <w:rPr>
          <w:rFonts w:hint="eastAsia"/>
          <w:spacing w:val="-50"/>
        </w:rPr>
        <w:t>―</w:t>
      </w:r>
      <w:r>
        <w:rPr>
          <w:rFonts w:hint="eastAsia"/>
        </w:rPr>
        <w:t>―</w:t>
      </w:r>
      <w:r>
        <w:rPr>
          <w:rFonts w:hint="eastAsia"/>
        </w:rPr>
        <w:t>9.9%</w:t>
      </w:r>
      <w:r>
        <w:rPr>
          <w:rFonts w:hint="eastAsia"/>
        </w:rPr>
        <w:t>；</w:t>
      </w:r>
    </w:p>
    <w:p w:rsidR="00000000" w:rsidRDefault="00000000">
      <w:pPr>
        <w:pStyle w:val="a0"/>
        <w:ind w:left="1550"/>
        <w:rPr>
          <w:rFonts w:hint="eastAsia"/>
        </w:rPr>
      </w:pPr>
      <w:r>
        <w:rPr>
          <w:rFonts w:hint="eastAsia"/>
        </w:rPr>
        <w:t>外伤、中毒和其它外部发病原因</w:t>
      </w:r>
      <w:r>
        <w:rPr>
          <w:rFonts w:hint="eastAsia"/>
          <w:spacing w:val="-50"/>
        </w:rPr>
        <w:t>―</w:t>
      </w:r>
      <w:r>
        <w:rPr>
          <w:rFonts w:hint="eastAsia"/>
        </w:rPr>
        <w:t>―</w:t>
      </w:r>
      <w:r>
        <w:rPr>
          <w:rFonts w:hint="eastAsia"/>
        </w:rPr>
        <w:t>3.2%</w:t>
      </w:r>
      <w:r>
        <w:rPr>
          <w:rFonts w:hint="eastAsia"/>
        </w:rPr>
        <w:t>；</w:t>
      </w:r>
    </w:p>
    <w:p w:rsidR="00000000" w:rsidRDefault="00000000">
      <w:pPr>
        <w:pStyle w:val="a0"/>
        <w:ind w:left="1550"/>
        <w:rPr>
          <w:rFonts w:hint="eastAsia"/>
        </w:rPr>
      </w:pPr>
      <w:r>
        <w:rPr>
          <w:rFonts w:hint="eastAsia"/>
        </w:rPr>
        <w:t>消化系统疾病</w:t>
      </w:r>
      <w:r>
        <w:rPr>
          <w:rFonts w:hint="eastAsia"/>
          <w:spacing w:val="-50"/>
        </w:rPr>
        <w:t>―</w:t>
      </w:r>
      <w:r>
        <w:rPr>
          <w:rFonts w:hint="eastAsia"/>
        </w:rPr>
        <w:t>―</w:t>
      </w:r>
      <w:r>
        <w:rPr>
          <w:rFonts w:hint="eastAsia"/>
        </w:rPr>
        <w:t>2.7%</w:t>
      </w:r>
      <w:r>
        <w:rPr>
          <w:rFonts w:hint="eastAsia"/>
        </w:rPr>
        <w:t>；</w:t>
      </w:r>
    </w:p>
    <w:p w:rsidR="00000000" w:rsidRDefault="00000000">
      <w:pPr>
        <w:pStyle w:val="a0"/>
        <w:ind w:left="1550"/>
        <w:rPr>
          <w:rFonts w:hint="eastAsia"/>
        </w:rPr>
      </w:pPr>
      <w:r>
        <w:rPr>
          <w:rFonts w:hint="eastAsia"/>
        </w:rPr>
        <w:t>其它死亡原因</w:t>
      </w:r>
      <w:r>
        <w:rPr>
          <w:rFonts w:hint="eastAsia"/>
          <w:spacing w:val="-50"/>
        </w:rPr>
        <w:t>―</w:t>
      </w:r>
      <w:r>
        <w:rPr>
          <w:rFonts w:hint="eastAsia"/>
        </w:rPr>
        <w:t>―</w:t>
      </w:r>
      <w:r>
        <w:rPr>
          <w:rFonts w:hint="eastAsia"/>
        </w:rPr>
        <w:t>13.5%</w:t>
      </w:r>
      <w:r>
        <w:rPr>
          <w:rFonts w:hint="eastAsia"/>
        </w:rPr>
        <w:t>。</w:t>
      </w:r>
    </w:p>
    <w:p w:rsidR="00000000" w:rsidRDefault="00000000">
      <w:pPr>
        <w:pStyle w:val="a0"/>
        <w:numPr>
          <w:ilvl w:val="0"/>
          <w:numId w:val="0"/>
        </w:numPr>
        <w:spacing w:after="320"/>
        <w:ind w:left="510" w:hanging="510"/>
        <w:rPr>
          <w:rFonts w:hint="eastAsia"/>
        </w:rPr>
      </w:pPr>
      <w:r>
        <w:rPr>
          <w:rFonts w:hint="eastAsia"/>
        </w:rPr>
        <w:tab/>
      </w:r>
      <w:r>
        <w:tab/>
      </w:r>
      <w:r>
        <w:rPr>
          <w:rFonts w:hint="eastAsia"/>
        </w:rPr>
        <w:t>(</w:t>
      </w:r>
      <w:r>
        <w:rPr>
          <w:rFonts w:eastAsia="KaiTi_GB2312" w:hint="eastAsia"/>
          <w:spacing w:val="0"/>
          <w:u w:val="single"/>
        </w:rPr>
        <w:t>资料来源</w:t>
      </w:r>
      <w:r>
        <w:rPr>
          <w:rFonts w:hint="eastAsia"/>
        </w:rPr>
        <w:t>：</w:t>
      </w:r>
      <w:r>
        <w:rPr>
          <w:rFonts w:eastAsia="KaiTi_GB2312" w:hint="eastAsia"/>
          <w:snapToGrid/>
          <w:spacing w:val="0"/>
        </w:rPr>
        <w:t>表</w:t>
      </w:r>
      <w:r>
        <w:rPr>
          <w:rFonts w:eastAsia="KaiTi_GB2312" w:hint="eastAsia"/>
          <w:snapToGrid/>
          <w:spacing w:val="0"/>
        </w:rPr>
        <w:t>17</w:t>
      </w:r>
      <w:r>
        <w:rPr>
          <w:rFonts w:eastAsia="KaiTi_GB2312" w:hint="eastAsia"/>
          <w:snapToGrid/>
          <w:spacing w:val="0"/>
        </w:rPr>
        <w:t>：波斯尼亚和黑塞哥维那统计署，</w:t>
      </w:r>
      <w:r>
        <w:rPr>
          <w:rFonts w:eastAsia="KaiTi_GB2312" w:hint="eastAsia"/>
          <w:snapToGrid/>
          <w:spacing w:val="0"/>
        </w:rPr>
        <w:t>2003</w:t>
      </w:r>
      <w:r>
        <w:rPr>
          <w:rFonts w:eastAsia="KaiTi_GB2312" w:hint="eastAsia"/>
          <w:snapToGrid/>
          <w:spacing w:val="0"/>
        </w:rPr>
        <w:t>年统计公报</w:t>
      </w:r>
      <w:r>
        <w:rPr>
          <w:rFonts w:eastAsia="KaiTi_GB2312" w:hint="eastAsia"/>
          <w:snapToGrid/>
          <w:spacing w:val="0"/>
        </w:rPr>
        <w:t>5</w:t>
      </w:r>
      <w:r>
        <w:rPr>
          <w:rFonts w:eastAsia="KaiTi_GB2312" w:hint="eastAsia"/>
          <w:snapToGrid/>
          <w:spacing w:val="0"/>
        </w:rPr>
        <w:t>。</w:t>
      </w:r>
      <w:r>
        <w:rPr>
          <w:rFonts w:hint="eastAsia"/>
        </w:rPr>
        <w:t>)</w:t>
      </w:r>
    </w:p>
    <w:p w:rsidR="00000000" w:rsidRDefault="00000000">
      <w:pPr>
        <w:pStyle w:val="Heading3"/>
        <w:spacing w:after="120"/>
        <w:rPr>
          <w:rFonts w:hint="eastAsia"/>
        </w:rPr>
      </w:pPr>
      <w:r>
        <w:rPr>
          <w:rFonts w:hint="eastAsia"/>
          <w:u w:val="none"/>
        </w:rPr>
        <w:t>表</w:t>
      </w:r>
      <w:r>
        <w:rPr>
          <w:u w:val="none"/>
        </w:rPr>
        <w:t xml:space="preserve">  </w:t>
      </w:r>
      <w:r>
        <w:rPr>
          <w:rFonts w:hint="eastAsia"/>
          <w:u w:val="none"/>
        </w:rPr>
        <w:t>8</w:t>
      </w:r>
      <w:r>
        <w:br/>
      </w:r>
      <w:r>
        <w:rPr>
          <w:rFonts w:hint="eastAsia"/>
        </w:rPr>
        <w:t>波斯尼亚和黑塞哥维那联邦</w:t>
      </w:r>
      <w:r>
        <w:rPr>
          <w:rFonts w:hint="eastAsia"/>
        </w:rPr>
        <w:t>1999-2001</w:t>
      </w:r>
      <w:r>
        <w:rPr>
          <w:rFonts w:hint="eastAsia"/>
        </w:rPr>
        <w:t>年主要疾病类别</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3"/>
        <w:gridCol w:w="1382"/>
        <w:gridCol w:w="895"/>
        <w:gridCol w:w="1315"/>
        <w:gridCol w:w="963"/>
        <w:gridCol w:w="1377"/>
        <w:gridCol w:w="961"/>
      </w:tblGrid>
      <w:tr w:rsidR="00000000">
        <w:tblPrEx>
          <w:tblCellMar>
            <w:top w:w="0" w:type="dxa"/>
            <w:bottom w:w="0" w:type="dxa"/>
          </w:tblCellMar>
        </w:tblPrEx>
        <w:trPr>
          <w:cantSplit/>
        </w:trPr>
        <w:tc>
          <w:tcPr>
            <w:tcW w:w="2653" w:type="dxa"/>
            <w:vMerge w:val="restart"/>
          </w:tcPr>
          <w:p w:rsidR="00000000" w:rsidRDefault="00000000">
            <w:pPr>
              <w:pStyle w:val="a2"/>
              <w:spacing w:before="360"/>
              <w:jc w:val="center"/>
              <w:rPr>
                <w:rFonts w:hint="eastAsia"/>
              </w:rPr>
            </w:pPr>
            <w:r>
              <w:rPr>
                <w:rFonts w:hint="eastAsia"/>
              </w:rPr>
              <w:t>疾</w:t>
            </w:r>
            <w:r>
              <w:t xml:space="preserve">  </w:t>
            </w:r>
            <w:r>
              <w:rPr>
                <w:rFonts w:hint="eastAsia"/>
              </w:rPr>
              <w:t>病</w:t>
            </w:r>
          </w:p>
        </w:tc>
        <w:tc>
          <w:tcPr>
            <w:tcW w:w="2277" w:type="dxa"/>
            <w:gridSpan w:val="2"/>
          </w:tcPr>
          <w:p w:rsidR="00000000" w:rsidRDefault="00000000">
            <w:pPr>
              <w:pStyle w:val="a2"/>
              <w:jc w:val="center"/>
              <w:rPr>
                <w:rFonts w:hint="eastAsia"/>
              </w:rPr>
            </w:pPr>
            <w:r>
              <w:rPr>
                <w:rFonts w:hint="eastAsia"/>
              </w:rPr>
              <w:t>1999</w:t>
            </w:r>
            <w:r>
              <w:rPr>
                <w:rFonts w:hint="eastAsia"/>
              </w:rPr>
              <w:t>年</w:t>
            </w:r>
          </w:p>
        </w:tc>
        <w:tc>
          <w:tcPr>
            <w:tcW w:w="2278" w:type="dxa"/>
            <w:gridSpan w:val="2"/>
          </w:tcPr>
          <w:p w:rsidR="00000000" w:rsidRDefault="00000000">
            <w:pPr>
              <w:pStyle w:val="a2"/>
              <w:jc w:val="center"/>
              <w:rPr>
                <w:rFonts w:hint="eastAsia"/>
              </w:rPr>
            </w:pPr>
            <w:r>
              <w:rPr>
                <w:rFonts w:hint="eastAsia"/>
              </w:rPr>
              <w:t>2000</w:t>
            </w:r>
            <w:r>
              <w:rPr>
                <w:rFonts w:hint="eastAsia"/>
              </w:rPr>
              <w:t>年</w:t>
            </w:r>
          </w:p>
        </w:tc>
        <w:tc>
          <w:tcPr>
            <w:tcW w:w="2338" w:type="dxa"/>
            <w:gridSpan w:val="2"/>
          </w:tcPr>
          <w:p w:rsidR="00000000" w:rsidRDefault="00000000">
            <w:pPr>
              <w:pStyle w:val="a2"/>
              <w:jc w:val="center"/>
              <w:rPr>
                <w:rFonts w:hint="eastAsia"/>
              </w:rPr>
            </w:pPr>
            <w:r>
              <w:rPr>
                <w:rFonts w:hint="eastAsia"/>
              </w:rPr>
              <w:t>2001</w:t>
            </w:r>
            <w:r>
              <w:rPr>
                <w:rFonts w:hint="eastAsia"/>
              </w:rPr>
              <w:t>年</w:t>
            </w:r>
          </w:p>
        </w:tc>
      </w:tr>
      <w:tr w:rsidR="00000000">
        <w:tblPrEx>
          <w:tblCellMar>
            <w:top w:w="0" w:type="dxa"/>
            <w:bottom w:w="0" w:type="dxa"/>
          </w:tblCellMar>
        </w:tblPrEx>
        <w:trPr>
          <w:cantSplit/>
        </w:trPr>
        <w:tc>
          <w:tcPr>
            <w:tcW w:w="2653" w:type="dxa"/>
            <w:vMerge/>
            <w:tcBorders>
              <w:bottom w:val="single" w:sz="4" w:space="0" w:color="auto"/>
            </w:tcBorders>
          </w:tcPr>
          <w:p w:rsidR="00000000" w:rsidRDefault="00000000">
            <w:pPr>
              <w:pStyle w:val="a2"/>
              <w:rPr>
                <w:rFonts w:hint="eastAsia"/>
              </w:rPr>
            </w:pPr>
          </w:p>
        </w:tc>
        <w:tc>
          <w:tcPr>
            <w:tcW w:w="1382" w:type="dxa"/>
            <w:tcBorders>
              <w:bottom w:val="single" w:sz="4" w:space="0" w:color="auto"/>
            </w:tcBorders>
          </w:tcPr>
          <w:p w:rsidR="00000000" w:rsidRDefault="00000000">
            <w:pPr>
              <w:pStyle w:val="a2"/>
              <w:spacing w:before="60" w:after="40" w:line="240" w:lineRule="exact"/>
              <w:ind w:left="57" w:right="57"/>
              <w:jc w:val="center"/>
              <w:rPr>
                <w:rFonts w:hint="eastAsia"/>
              </w:rPr>
            </w:pPr>
            <w:r>
              <w:rPr>
                <w:rFonts w:hint="eastAsia"/>
              </w:rPr>
              <w:t>每</w:t>
            </w:r>
            <w:r>
              <w:rPr>
                <w:rFonts w:hint="eastAsia"/>
              </w:rPr>
              <w:t>10,000</w:t>
            </w:r>
            <w:r>
              <w:rPr>
                <w:rFonts w:hint="eastAsia"/>
              </w:rPr>
              <w:t>居民发病率</w:t>
            </w:r>
          </w:p>
        </w:tc>
        <w:tc>
          <w:tcPr>
            <w:tcW w:w="895" w:type="dxa"/>
            <w:tcBorders>
              <w:bottom w:val="single" w:sz="4" w:space="0" w:color="auto"/>
            </w:tcBorders>
          </w:tcPr>
          <w:p w:rsidR="00000000" w:rsidRDefault="00000000">
            <w:pPr>
              <w:pStyle w:val="a2"/>
              <w:spacing w:before="60" w:after="40" w:line="240" w:lineRule="exact"/>
              <w:ind w:left="57" w:right="57"/>
              <w:jc w:val="center"/>
              <w:rPr>
                <w:rFonts w:hint="eastAsia"/>
              </w:rPr>
            </w:pPr>
            <w:r>
              <w:rPr>
                <w:rFonts w:hint="eastAsia"/>
              </w:rPr>
              <w:t>结构指数</w:t>
            </w:r>
            <w:r>
              <w:rPr>
                <w:rFonts w:hint="eastAsia"/>
              </w:rPr>
              <w:t>(%)</w:t>
            </w:r>
          </w:p>
        </w:tc>
        <w:tc>
          <w:tcPr>
            <w:tcW w:w="1315" w:type="dxa"/>
            <w:tcBorders>
              <w:bottom w:val="single" w:sz="4" w:space="0" w:color="auto"/>
            </w:tcBorders>
          </w:tcPr>
          <w:p w:rsidR="00000000" w:rsidRDefault="00000000">
            <w:pPr>
              <w:pStyle w:val="a2"/>
              <w:spacing w:before="60" w:after="40" w:line="240" w:lineRule="exact"/>
              <w:ind w:left="57" w:right="57"/>
              <w:jc w:val="center"/>
              <w:rPr>
                <w:rFonts w:hint="eastAsia"/>
              </w:rPr>
            </w:pPr>
            <w:r>
              <w:rPr>
                <w:rFonts w:hint="eastAsia"/>
              </w:rPr>
              <w:t>每</w:t>
            </w:r>
            <w:r>
              <w:rPr>
                <w:rFonts w:hint="eastAsia"/>
              </w:rPr>
              <w:t>10,000</w:t>
            </w:r>
            <w:r>
              <w:rPr>
                <w:rFonts w:hint="eastAsia"/>
              </w:rPr>
              <w:t>居民发病率</w:t>
            </w:r>
          </w:p>
        </w:tc>
        <w:tc>
          <w:tcPr>
            <w:tcW w:w="963" w:type="dxa"/>
            <w:tcBorders>
              <w:bottom w:val="single" w:sz="4" w:space="0" w:color="auto"/>
            </w:tcBorders>
          </w:tcPr>
          <w:p w:rsidR="00000000" w:rsidRDefault="00000000">
            <w:pPr>
              <w:pStyle w:val="a2"/>
              <w:spacing w:before="60" w:after="40" w:line="240" w:lineRule="exact"/>
              <w:ind w:left="57" w:right="57"/>
              <w:jc w:val="center"/>
              <w:rPr>
                <w:rFonts w:hint="eastAsia"/>
              </w:rPr>
            </w:pPr>
            <w:r>
              <w:rPr>
                <w:rFonts w:hint="eastAsia"/>
              </w:rPr>
              <w:t>结构指数</w:t>
            </w:r>
            <w:r>
              <w:rPr>
                <w:rFonts w:hint="eastAsia"/>
              </w:rPr>
              <w:t>(%)</w:t>
            </w:r>
          </w:p>
        </w:tc>
        <w:tc>
          <w:tcPr>
            <w:tcW w:w="1377" w:type="dxa"/>
            <w:tcBorders>
              <w:bottom w:val="single" w:sz="4" w:space="0" w:color="auto"/>
            </w:tcBorders>
            <w:tcMar>
              <w:left w:w="0" w:type="dxa"/>
              <w:right w:w="0" w:type="dxa"/>
            </w:tcMar>
          </w:tcPr>
          <w:p w:rsidR="00000000" w:rsidRDefault="00000000">
            <w:pPr>
              <w:pStyle w:val="a2"/>
              <w:spacing w:before="60" w:after="40" w:line="240" w:lineRule="exact"/>
              <w:ind w:left="57" w:right="57"/>
              <w:jc w:val="center"/>
              <w:rPr>
                <w:rFonts w:hint="eastAsia"/>
              </w:rPr>
            </w:pPr>
            <w:r>
              <w:rPr>
                <w:rFonts w:hint="eastAsia"/>
              </w:rPr>
              <w:t>每</w:t>
            </w:r>
            <w:r>
              <w:rPr>
                <w:rFonts w:hint="eastAsia"/>
                <w:spacing w:val="0"/>
              </w:rPr>
              <w:t>10,000</w:t>
            </w:r>
            <w:r>
              <w:rPr>
                <w:rFonts w:hint="eastAsia"/>
              </w:rPr>
              <w:t>居民发病率</w:t>
            </w:r>
          </w:p>
        </w:tc>
        <w:tc>
          <w:tcPr>
            <w:tcW w:w="961" w:type="dxa"/>
            <w:tcBorders>
              <w:bottom w:val="single" w:sz="4" w:space="0" w:color="auto"/>
            </w:tcBorders>
          </w:tcPr>
          <w:p w:rsidR="00000000" w:rsidRDefault="00000000">
            <w:pPr>
              <w:pStyle w:val="a2"/>
              <w:spacing w:before="60" w:after="40" w:line="240" w:lineRule="exact"/>
              <w:ind w:left="57" w:right="57"/>
              <w:jc w:val="center"/>
              <w:rPr>
                <w:rFonts w:hint="eastAsia"/>
              </w:rPr>
            </w:pPr>
            <w:r>
              <w:rPr>
                <w:rFonts w:hint="eastAsia"/>
              </w:rPr>
              <w:t>结构指数</w:t>
            </w:r>
            <w:r>
              <w:rPr>
                <w:rFonts w:hint="eastAsia"/>
              </w:rPr>
              <w:t>(%)</w:t>
            </w:r>
          </w:p>
        </w:tc>
      </w:tr>
      <w:tr w:rsidR="00000000">
        <w:tblPrEx>
          <w:tblCellMar>
            <w:top w:w="0" w:type="dxa"/>
            <w:bottom w:w="0" w:type="dxa"/>
          </w:tblCellMar>
        </w:tblPrEx>
        <w:tc>
          <w:tcPr>
            <w:tcW w:w="2653" w:type="dxa"/>
            <w:tcBorders>
              <w:bottom w:val="nil"/>
            </w:tcBorders>
          </w:tcPr>
          <w:p w:rsidR="00000000" w:rsidRDefault="00000000">
            <w:pPr>
              <w:pStyle w:val="a2"/>
              <w:spacing w:before="60"/>
              <w:ind w:left="57"/>
              <w:rPr>
                <w:rFonts w:hint="eastAsia"/>
              </w:rPr>
            </w:pPr>
            <w:r>
              <w:rPr>
                <w:rFonts w:hint="eastAsia"/>
              </w:rPr>
              <w:t xml:space="preserve">1.  </w:t>
            </w:r>
            <w:r>
              <w:rPr>
                <w:rFonts w:hint="eastAsia"/>
              </w:rPr>
              <w:t>呼吸系统疾病</w:t>
            </w:r>
          </w:p>
        </w:tc>
        <w:tc>
          <w:tcPr>
            <w:tcW w:w="1382" w:type="dxa"/>
            <w:tcBorders>
              <w:bottom w:val="nil"/>
            </w:tcBorders>
          </w:tcPr>
          <w:p w:rsidR="00000000" w:rsidRDefault="00000000">
            <w:pPr>
              <w:spacing w:before="60"/>
              <w:ind w:right="340"/>
              <w:jc w:val="right"/>
              <w:rPr>
                <w:sz w:val="20"/>
              </w:rPr>
            </w:pPr>
            <w:r>
              <w:rPr>
                <w:sz w:val="20"/>
              </w:rPr>
              <w:t>3 461</w:t>
            </w:r>
          </w:p>
        </w:tc>
        <w:tc>
          <w:tcPr>
            <w:tcW w:w="895" w:type="dxa"/>
            <w:tcBorders>
              <w:bottom w:val="nil"/>
            </w:tcBorders>
          </w:tcPr>
          <w:p w:rsidR="00000000" w:rsidRDefault="00000000">
            <w:pPr>
              <w:spacing w:before="60"/>
              <w:ind w:right="340"/>
              <w:jc w:val="right"/>
              <w:rPr>
                <w:sz w:val="20"/>
              </w:rPr>
            </w:pPr>
            <w:r>
              <w:rPr>
                <w:sz w:val="20"/>
              </w:rPr>
              <w:t>36.2</w:t>
            </w:r>
          </w:p>
        </w:tc>
        <w:tc>
          <w:tcPr>
            <w:tcW w:w="1315" w:type="dxa"/>
            <w:tcBorders>
              <w:bottom w:val="nil"/>
            </w:tcBorders>
          </w:tcPr>
          <w:p w:rsidR="00000000" w:rsidRDefault="00000000">
            <w:pPr>
              <w:spacing w:before="60"/>
              <w:ind w:right="340"/>
              <w:jc w:val="right"/>
              <w:rPr>
                <w:sz w:val="20"/>
              </w:rPr>
            </w:pPr>
            <w:r>
              <w:rPr>
                <w:sz w:val="20"/>
              </w:rPr>
              <w:t>3 347</w:t>
            </w:r>
          </w:p>
        </w:tc>
        <w:tc>
          <w:tcPr>
            <w:tcW w:w="963" w:type="dxa"/>
            <w:tcBorders>
              <w:bottom w:val="nil"/>
            </w:tcBorders>
          </w:tcPr>
          <w:p w:rsidR="00000000" w:rsidRDefault="00000000">
            <w:pPr>
              <w:spacing w:before="60"/>
              <w:ind w:right="340"/>
              <w:jc w:val="right"/>
              <w:rPr>
                <w:sz w:val="20"/>
              </w:rPr>
            </w:pPr>
            <w:r>
              <w:rPr>
                <w:sz w:val="20"/>
              </w:rPr>
              <w:t>35.2</w:t>
            </w:r>
          </w:p>
        </w:tc>
        <w:tc>
          <w:tcPr>
            <w:tcW w:w="1377" w:type="dxa"/>
            <w:tcBorders>
              <w:bottom w:val="nil"/>
            </w:tcBorders>
          </w:tcPr>
          <w:p w:rsidR="00000000" w:rsidRDefault="00000000">
            <w:pPr>
              <w:spacing w:before="60"/>
              <w:ind w:right="340"/>
              <w:jc w:val="right"/>
              <w:rPr>
                <w:sz w:val="20"/>
              </w:rPr>
            </w:pPr>
            <w:r>
              <w:rPr>
                <w:sz w:val="20"/>
              </w:rPr>
              <w:t>3 095</w:t>
            </w:r>
          </w:p>
        </w:tc>
        <w:tc>
          <w:tcPr>
            <w:tcW w:w="961" w:type="dxa"/>
            <w:tcBorders>
              <w:bottom w:val="nil"/>
            </w:tcBorders>
          </w:tcPr>
          <w:p w:rsidR="00000000" w:rsidRDefault="00000000">
            <w:pPr>
              <w:spacing w:before="60"/>
              <w:ind w:right="340"/>
              <w:jc w:val="right"/>
              <w:rPr>
                <w:sz w:val="20"/>
              </w:rPr>
            </w:pPr>
            <w:r>
              <w:rPr>
                <w:sz w:val="20"/>
              </w:rPr>
              <w:t>35.7</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2.  </w:t>
            </w:r>
            <w:r>
              <w:rPr>
                <w:rFonts w:hint="eastAsia"/>
              </w:rPr>
              <w:t>循环系统疾病</w:t>
            </w:r>
          </w:p>
        </w:tc>
        <w:tc>
          <w:tcPr>
            <w:tcW w:w="1382" w:type="dxa"/>
            <w:tcBorders>
              <w:top w:val="nil"/>
              <w:bottom w:val="nil"/>
            </w:tcBorders>
          </w:tcPr>
          <w:p w:rsidR="00000000" w:rsidRDefault="00000000">
            <w:pPr>
              <w:spacing w:after="80"/>
              <w:ind w:right="340"/>
              <w:jc w:val="right"/>
              <w:rPr>
                <w:sz w:val="20"/>
              </w:rPr>
            </w:pPr>
            <w:r>
              <w:rPr>
                <w:sz w:val="20"/>
              </w:rPr>
              <w:t>850</w:t>
            </w:r>
          </w:p>
        </w:tc>
        <w:tc>
          <w:tcPr>
            <w:tcW w:w="895" w:type="dxa"/>
            <w:tcBorders>
              <w:top w:val="nil"/>
              <w:bottom w:val="nil"/>
            </w:tcBorders>
          </w:tcPr>
          <w:p w:rsidR="00000000" w:rsidRDefault="00000000">
            <w:pPr>
              <w:spacing w:after="80"/>
              <w:ind w:right="340"/>
              <w:jc w:val="right"/>
              <w:rPr>
                <w:sz w:val="20"/>
              </w:rPr>
            </w:pPr>
            <w:r>
              <w:rPr>
                <w:sz w:val="20"/>
              </w:rPr>
              <w:t>8.9</w:t>
            </w:r>
          </w:p>
        </w:tc>
        <w:tc>
          <w:tcPr>
            <w:tcW w:w="1315" w:type="dxa"/>
            <w:tcBorders>
              <w:top w:val="nil"/>
              <w:bottom w:val="nil"/>
            </w:tcBorders>
          </w:tcPr>
          <w:p w:rsidR="00000000" w:rsidRDefault="00000000">
            <w:pPr>
              <w:spacing w:after="80"/>
              <w:ind w:right="340"/>
              <w:jc w:val="right"/>
              <w:rPr>
                <w:sz w:val="20"/>
              </w:rPr>
            </w:pPr>
            <w:r>
              <w:rPr>
                <w:sz w:val="20"/>
              </w:rPr>
              <w:t>917</w:t>
            </w:r>
          </w:p>
        </w:tc>
        <w:tc>
          <w:tcPr>
            <w:tcW w:w="963" w:type="dxa"/>
            <w:tcBorders>
              <w:top w:val="nil"/>
              <w:bottom w:val="nil"/>
            </w:tcBorders>
          </w:tcPr>
          <w:p w:rsidR="00000000" w:rsidRDefault="00000000">
            <w:pPr>
              <w:spacing w:after="80"/>
              <w:ind w:right="340"/>
              <w:jc w:val="right"/>
              <w:rPr>
                <w:sz w:val="20"/>
              </w:rPr>
            </w:pPr>
            <w:r>
              <w:rPr>
                <w:sz w:val="20"/>
              </w:rPr>
              <w:t>9.6</w:t>
            </w:r>
          </w:p>
        </w:tc>
        <w:tc>
          <w:tcPr>
            <w:tcW w:w="1377" w:type="dxa"/>
            <w:tcBorders>
              <w:top w:val="nil"/>
              <w:bottom w:val="nil"/>
            </w:tcBorders>
          </w:tcPr>
          <w:p w:rsidR="00000000" w:rsidRDefault="00000000">
            <w:pPr>
              <w:spacing w:after="80"/>
              <w:ind w:right="340"/>
              <w:jc w:val="right"/>
              <w:rPr>
                <w:sz w:val="20"/>
              </w:rPr>
            </w:pPr>
            <w:r>
              <w:rPr>
                <w:sz w:val="20"/>
              </w:rPr>
              <w:t>853</w:t>
            </w:r>
          </w:p>
        </w:tc>
        <w:tc>
          <w:tcPr>
            <w:tcW w:w="961" w:type="dxa"/>
            <w:tcBorders>
              <w:top w:val="nil"/>
              <w:bottom w:val="nil"/>
            </w:tcBorders>
          </w:tcPr>
          <w:p w:rsidR="00000000" w:rsidRDefault="00000000">
            <w:pPr>
              <w:spacing w:after="80"/>
              <w:ind w:right="340"/>
              <w:jc w:val="right"/>
              <w:rPr>
                <w:sz w:val="20"/>
              </w:rPr>
            </w:pPr>
            <w:r>
              <w:rPr>
                <w:sz w:val="20"/>
              </w:rPr>
              <w:t>9.9</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3.  </w:t>
            </w:r>
            <w:r>
              <w:rPr>
                <w:rFonts w:hint="eastAsia"/>
              </w:rPr>
              <w:t>生殖－泌尿系统疾病</w:t>
            </w:r>
          </w:p>
        </w:tc>
        <w:tc>
          <w:tcPr>
            <w:tcW w:w="1382" w:type="dxa"/>
            <w:tcBorders>
              <w:top w:val="nil"/>
              <w:bottom w:val="nil"/>
            </w:tcBorders>
          </w:tcPr>
          <w:p w:rsidR="00000000" w:rsidRDefault="00000000">
            <w:pPr>
              <w:spacing w:after="80"/>
              <w:ind w:right="340"/>
              <w:jc w:val="right"/>
              <w:rPr>
                <w:sz w:val="20"/>
              </w:rPr>
            </w:pPr>
            <w:r>
              <w:rPr>
                <w:sz w:val="20"/>
              </w:rPr>
              <w:t>706</w:t>
            </w:r>
          </w:p>
        </w:tc>
        <w:tc>
          <w:tcPr>
            <w:tcW w:w="895" w:type="dxa"/>
            <w:tcBorders>
              <w:top w:val="nil"/>
              <w:bottom w:val="nil"/>
            </w:tcBorders>
          </w:tcPr>
          <w:p w:rsidR="00000000" w:rsidRDefault="00000000">
            <w:pPr>
              <w:spacing w:after="80"/>
              <w:ind w:right="340"/>
              <w:jc w:val="right"/>
              <w:rPr>
                <w:sz w:val="20"/>
              </w:rPr>
            </w:pPr>
            <w:r>
              <w:rPr>
                <w:sz w:val="20"/>
              </w:rPr>
              <w:t>7.4</w:t>
            </w:r>
          </w:p>
        </w:tc>
        <w:tc>
          <w:tcPr>
            <w:tcW w:w="1315" w:type="dxa"/>
            <w:tcBorders>
              <w:top w:val="nil"/>
              <w:bottom w:val="nil"/>
            </w:tcBorders>
          </w:tcPr>
          <w:p w:rsidR="00000000" w:rsidRDefault="00000000">
            <w:pPr>
              <w:spacing w:after="80"/>
              <w:ind w:right="340"/>
              <w:jc w:val="right"/>
              <w:rPr>
                <w:sz w:val="20"/>
              </w:rPr>
            </w:pPr>
            <w:r>
              <w:rPr>
                <w:sz w:val="20"/>
              </w:rPr>
              <w:t>668</w:t>
            </w:r>
          </w:p>
        </w:tc>
        <w:tc>
          <w:tcPr>
            <w:tcW w:w="963" w:type="dxa"/>
            <w:tcBorders>
              <w:top w:val="nil"/>
              <w:bottom w:val="nil"/>
            </w:tcBorders>
          </w:tcPr>
          <w:p w:rsidR="00000000" w:rsidRDefault="00000000">
            <w:pPr>
              <w:spacing w:after="80"/>
              <w:ind w:right="340"/>
              <w:jc w:val="right"/>
              <w:rPr>
                <w:sz w:val="20"/>
              </w:rPr>
            </w:pPr>
            <w:r>
              <w:rPr>
                <w:sz w:val="20"/>
              </w:rPr>
              <w:t>7.0</w:t>
            </w:r>
          </w:p>
        </w:tc>
        <w:tc>
          <w:tcPr>
            <w:tcW w:w="1377" w:type="dxa"/>
            <w:tcBorders>
              <w:top w:val="nil"/>
              <w:bottom w:val="nil"/>
            </w:tcBorders>
          </w:tcPr>
          <w:p w:rsidR="00000000" w:rsidRDefault="00000000">
            <w:pPr>
              <w:spacing w:after="80"/>
              <w:ind w:right="340"/>
              <w:jc w:val="right"/>
              <w:rPr>
                <w:sz w:val="20"/>
              </w:rPr>
            </w:pPr>
            <w:r>
              <w:rPr>
                <w:sz w:val="20"/>
              </w:rPr>
              <w:t>503</w:t>
            </w:r>
          </w:p>
        </w:tc>
        <w:tc>
          <w:tcPr>
            <w:tcW w:w="961" w:type="dxa"/>
            <w:tcBorders>
              <w:top w:val="nil"/>
              <w:bottom w:val="nil"/>
            </w:tcBorders>
          </w:tcPr>
          <w:p w:rsidR="00000000" w:rsidRDefault="00000000">
            <w:pPr>
              <w:spacing w:after="80"/>
              <w:ind w:right="340"/>
              <w:jc w:val="right"/>
              <w:rPr>
                <w:sz w:val="20"/>
              </w:rPr>
            </w:pPr>
            <w:r>
              <w:rPr>
                <w:sz w:val="20"/>
              </w:rPr>
              <w:t>5.8</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4.  </w:t>
            </w:r>
            <w:r>
              <w:rPr>
                <w:rFonts w:hint="eastAsia"/>
              </w:rPr>
              <w:t>消化系统疾病</w:t>
            </w:r>
          </w:p>
        </w:tc>
        <w:tc>
          <w:tcPr>
            <w:tcW w:w="1382" w:type="dxa"/>
            <w:tcBorders>
              <w:top w:val="nil"/>
              <w:bottom w:val="nil"/>
            </w:tcBorders>
          </w:tcPr>
          <w:p w:rsidR="00000000" w:rsidRDefault="00000000">
            <w:pPr>
              <w:spacing w:after="80"/>
              <w:ind w:right="340"/>
              <w:jc w:val="right"/>
              <w:rPr>
                <w:sz w:val="20"/>
              </w:rPr>
            </w:pPr>
            <w:r>
              <w:rPr>
                <w:sz w:val="20"/>
              </w:rPr>
              <w:t>554</w:t>
            </w:r>
          </w:p>
        </w:tc>
        <w:tc>
          <w:tcPr>
            <w:tcW w:w="895" w:type="dxa"/>
            <w:tcBorders>
              <w:top w:val="nil"/>
              <w:bottom w:val="nil"/>
            </w:tcBorders>
          </w:tcPr>
          <w:p w:rsidR="00000000" w:rsidRDefault="00000000">
            <w:pPr>
              <w:spacing w:after="80"/>
              <w:ind w:right="340"/>
              <w:jc w:val="right"/>
              <w:rPr>
                <w:sz w:val="20"/>
              </w:rPr>
            </w:pPr>
            <w:r>
              <w:rPr>
                <w:sz w:val="20"/>
              </w:rPr>
              <w:t>5.8</w:t>
            </w:r>
          </w:p>
        </w:tc>
        <w:tc>
          <w:tcPr>
            <w:tcW w:w="1315" w:type="dxa"/>
            <w:tcBorders>
              <w:top w:val="nil"/>
              <w:bottom w:val="nil"/>
            </w:tcBorders>
          </w:tcPr>
          <w:p w:rsidR="00000000" w:rsidRDefault="00000000">
            <w:pPr>
              <w:spacing w:after="80"/>
              <w:ind w:right="340"/>
              <w:jc w:val="right"/>
              <w:rPr>
                <w:sz w:val="20"/>
              </w:rPr>
            </w:pPr>
            <w:r>
              <w:rPr>
                <w:sz w:val="20"/>
              </w:rPr>
              <w:t>536</w:t>
            </w:r>
          </w:p>
        </w:tc>
        <w:tc>
          <w:tcPr>
            <w:tcW w:w="963" w:type="dxa"/>
            <w:tcBorders>
              <w:top w:val="nil"/>
              <w:bottom w:val="nil"/>
            </w:tcBorders>
          </w:tcPr>
          <w:p w:rsidR="00000000" w:rsidRDefault="00000000">
            <w:pPr>
              <w:spacing w:after="80"/>
              <w:ind w:right="340"/>
              <w:jc w:val="right"/>
              <w:rPr>
                <w:sz w:val="20"/>
              </w:rPr>
            </w:pPr>
            <w:r>
              <w:rPr>
                <w:sz w:val="20"/>
              </w:rPr>
              <w:t>5.6</w:t>
            </w:r>
          </w:p>
        </w:tc>
        <w:tc>
          <w:tcPr>
            <w:tcW w:w="1377" w:type="dxa"/>
            <w:tcBorders>
              <w:top w:val="nil"/>
              <w:bottom w:val="nil"/>
            </w:tcBorders>
          </w:tcPr>
          <w:p w:rsidR="00000000" w:rsidRDefault="00000000">
            <w:pPr>
              <w:spacing w:after="80"/>
              <w:ind w:right="340"/>
              <w:jc w:val="right"/>
              <w:rPr>
                <w:sz w:val="20"/>
              </w:rPr>
            </w:pPr>
            <w:r>
              <w:rPr>
                <w:sz w:val="20"/>
              </w:rPr>
              <w:t>512</w:t>
            </w:r>
          </w:p>
        </w:tc>
        <w:tc>
          <w:tcPr>
            <w:tcW w:w="961" w:type="dxa"/>
            <w:tcBorders>
              <w:top w:val="nil"/>
              <w:bottom w:val="nil"/>
            </w:tcBorders>
          </w:tcPr>
          <w:p w:rsidR="00000000" w:rsidRDefault="00000000">
            <w:pPr>
              <w:spacing w:after="80"/>
              <w:ind w:right="340"/>
              <w:jc w:val="right"/>
              <w:rPr>
                <w:sz w:val="20"/>
              </w:rPr>
            </w:pPr>
            <w:r>
              <w:rPr>
                <w:sz w:val="20"/>
              </w:rPr>
              <w:t>5.9</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5.  </w:t>
            </w:r>
            <w:r>
              <w:rPr>
                <w:rFonts w:hint="eastAsia"/>
              </w:rPr>
              <w:t>骨骼和肌肉系统疾病</w:t>
            </w:r>
          </w:p>
        </w:tc>
        <w:tc>
          <w:tcPr>
            <w:tcW w:w="1382" w:type="dxa"/>
            <w:tcBorders>
              <w:top w:val="nil"/>
              <w:bottom w:val="nil"/>
            </w:tcBorders>
          </w:tcPr>
          <w:p w:rsidR="00000000" w:rsidRDefault="00000000">
            <w:pPr>
              <w:spacing w:after="80"/>
              <w:ind w:right="340"/>
              <w:jc w:val="right"/>
              <w:rPr>
                <w:sz w:val="20"/>
              </w:rPr>
            </w:pPr>
            <w:r>
              <w:rPr>
                <w:sz w:val="20"/>
              </w:rPr>
              <w:t>429</w:t>
            </w:r>
          </w:p>
        </w:tc>
        <w:tc>
          <w:tcPr>
            <w:tcW w:w="895" w:type="dxa"/>
            <w:tcBorders>
              <w:top w:val="nil"/>
              <w:bottom w:val="nil"/>
            </w:tcBorders>
          </w:tcPr>
          <w:p w:rsidR="00000000" w:rsidRDefault="00000000">
            <w:pPr>
              <w:spacing w:after="80"/>
              <w:ind w:right="340"/>
              <w:jc w:val="right"/>
              <w:rPr>
                <w:sz w:val="20"/>
              </w:rPr>
            </w:pPr>
            <w:r>
              <w:rPr>
                <w:sz w:val="20"/>
              </w:rPr>
              <w:t>4.5</w:t>
            </w:r>
          </w:p>
        </w:tc>
        <w:tc>
          <w:tcPr>
            <w:tcW w:w="1315" w:type="dxa"/>
            <w:tcBorders>
              <w:top w:val="nil"/>
              <w:bottom w:val="nil"/>
            </w:tcBorders>
          </w:tcPr>
          <w:p w:rsidR="00000000" w:rsidRDefault="00000000">
            <w:pPr>
              <w:spacing w:after="80"/>
              <w:ind w:right="340"/>
              <w:jc w:val="right"/>
              <w:rPr>
                <w:sz w:val="20"/>
              </w:rPr>
            </w:pPr>
            <w:r>
              <w:rPr>
                <w:sz w:val="20"/>
              </w:rPr>
              <w:t>503</w:t>
            </w:r>
          </w:p>
        </w:tc>
        <w:tc>
          <w:tcPr>
            <w:tcW w:w="963" w:type="dxa"/>
            <w:tcBorders>
              <w:top w:val="nil"/>
              <w:bottom w:val="nil"/>
            </w:tcBorders>
          </w:tcPr>
          <w:p w:rsidR="00000000" w:rsidRDefault="00000000">
            <w:pPr>
              <w:spacing w:after="80"/>
              <w:ind w:right="340"/>
              <w:jc w:val="right"/>
              <w:rPr>
                <w:sz w:val="20"/>
              </w:rPr>
            </w:pPr>
            <w:r>
              <w:rPr>
                <w:sz w:val="20"/>
              </w:rPr>
              <w:t>5.2</w:t>
            </w:r>
          </w:p>
        </w:tc>
        <w:tc>
          <w:tcPr>
            <w:tcW w:w="1377" w:type="dxa"/>
            <w:tcBorders>
              <w:top w:val="nil"/>
              <w:bottom w:val="nil"/>
            </w:tcBorders>
          </w:tcPr>
          <w:p w:rsidR="00000000" w:rsidRDefault="00000000">
            <w:pPr>
              <w:spacing w:after="80"/>
              <w:ind w:right="340"/>
              <w:jc w:val="right"/>
              <w:rPr>
                <w:sz w:val="20"/>
              </w:rPr>
            </w:pPr>
            <w:r>
              <w:rPr>
                <w:sz w:val="20"/>
              </w:rPr>
              <w:t>459</w:t>
            </w:r>
          </w:p>
        </w:tc>
        <w:tc>
          <w:tcPr>
            <w:tcW w:w="961" w:type="dxa"/>
            <w:tcBorders>
              <w:top w:val="nil"/>
              <w:bottom w:val="nil"/>
            </w:tcBorders>
          </w:tcPr>
          <w:p w:rsidR="00000000" w:rsidRDefault="00000000">
            <w:pPr>
              <w:spacing w:after="80"/>
              <w:ind w:right="340"/>
              <w:jc w:val="right"/>
              <w:rPr>
                <w:sz w:val="20"/>
              </w:rPr>
            </w:pPr>
            <w:r>
              <w:rPr>
                <w:sz w:val="20"/>
              </w:rPr>
              <w:t>5.3</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6.  </w:t>
            </w:r>
            <w:r>
              <w:rPr>
                <w:rFonts w:hint="eastAsia"/>
              </w:rPr>
              <w:t>皮肤和皮下组织疾病</w:t>
            </w:r>
          </w:p>
        </w:tc>
        <w:tc>
          <w:tcPr>
            <w:tcW w:w="1382" w:type="dxa"/>
            <w:tcBorders>
              <w:top w:val="nil"/>
              <w:bottom w:val="nil"/>
            </w:tcBorders>
          </w:tcPr>
          <w:p w:rsidR="00000000" w:rsidRDefault="00000000">
            <w:pPr>
              <w:spacing w:after="80"/>
              <w:ind w:right="340"/>
              <w:jc w:val="right"/>
              <w:rPr>
                <w:sz w:val="20"/>
              </w:rPr>
            </w:pPr>
            <w:r>
              <w:rPr>
                <w:sz w:val="20"/>
              </w:rPr>
              <w:t>419</w:t>
            </w:r>
          </w:p>
        </w:tc>
        <w:tc>
          <w:tcPr>
            <w:tcW w:w="895" w:type="dxa"/>
            <w:tcBorders>
              <w:top w:val="nil"/>
              <w:bottom w:val="nil"/>
            </w:tcBorders>
          </w:tcPr>
          <w:p w:rsidR="00000000" w:rsidRDefault="00000000">
            <w:pPr>
              <w:spacing w:after="80"/>
              <w:ind w:right="340"/>
              <w:jc w:val="right"/>
              <w:rPr>
                <w:sz w:val="20"/>
              </w:rPr>
            </w:pPr>
            <w:r>
              <w:rPr>
                <w:sz w:val="20"/>
              </w:rPr>
              <w:t>4.5</w:t>
            </w:r>
          </w:p>
        </w:tc>
        <w:tc>
          <w:tcPr>
            <w:tcW w:w="1315" w:type="dxa"/>
            <w:tcBorders>
              <w:top w:val="nil"/>
              <w:bottom w:val="nil"/>
            </w:tcBorders>
          </w:tcPr>
          <w:p w:rsidR="00000000" w:rsidRDefault="00000000">
            <w:pPr>
              <w:spacing w:after="80"/>
              <w:ind w:right="340"/>
              <w:jc w:val="right"/>
              <w:rPr>
                <w:sz w:val="20"/>
              </w:rPr>
            </w:pPr>
            <w:r>
              <w:rPr>
                <w:sz w:val="20"/>
              </w:rPr>
              <w:t>421</w:t>
            </w:r>
          </w:p>
        </w:tc>
        <w:tc>
          <w:tcPr>
            <w:tcW w:w="963" w:type="dxa"/>
            <w:tcBorders>
              <w:top w:val="nil"/>
              <w:bottom w:val="nil"/>
            </w:tcBorders>
          </w:tcPr>
          <w:p w:rsidR="00000000" w:rsidRDefault="00000000">
            <w:pPr>
              <w:spacing w:after="80"/>
              <w:ind w:right="340"/>
              <w:jc w:val="right"/>
              <w:rPr>
                <w:sz w:val="20"/>
              </w:rPr>
            </w:pPr>
            <w:r>
              <w:rPr>
                <w:sz w:val="20"/>
              </w:rPr>
              <w:t>4.4</w:t>
            </w:r>
          </w:p>
        </w:tc>
        <w:tc>
          <w:tcPr>
            <w:tcW w:w="1377" w:type="dxa"/>
            <w:tcBorders>
              <w:top w:val="nil"/>
              <w:bottom w:val="nil"/>
            </w:tcBorders>
          </w:tcPr>
          <w:p w:rsidR="00000000" w:rsidRDefault="00000000">
            <w:pPr>
              <w:spacing w:after="80"/>
              <w:ind w:right="340"/>
              <w:jc w:val="right"/>
              <w:rPr>
                <w:sz w:val="20"/>
              </w:rPr>
            </w:pPr>
            <w:r>
              <w:rPr>
                <w:sz w:val="20"/>
              </w:rPr>
              <w:t>429</w:t>
            </w:r>
          </w:p>
        </w:tc>
        <w:tc>
          <w:tcPr>
            <w:tcW w:w="961" w:type="dxa"/>
            <w:tcBorders>
              <w:top w:val="nil"/>
              <w:bottom w:val="nil"/>
            </w:tcBorders>
          </w:tcPr>
          <w:p w:rsidR="00000000" w:rsidRDefault="00000000">
            <w:pPr>
              <w:spacing w:after="80"/>
              <w:ind w:right="340"/>
              <w:jc w:val="right"/>
              <w:rPr>
                <w:sz w:val="20"/>
              </w:rPr>
            </w:pPr>
            <w:r>
              <w:rPr>
                <w:sz w:val="20"/>
              </w:rPr>
              <w:t>5.0</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7.  </w:t>
            </w:r>
            <w:r>
              <w:rPr>
                <w:rFonts w:hint="eastAsia"/>
              </w:rPr>
              <w:t>传染病和寄生虫疾病</w:t>
            </w:r>
          </w:p>
        </w:tc>
        <w:tc>
          <w:tcPr>
            <w:tcW w:w="1382" w:type="dxa"/>
            <w:tcBorders>
              <w:top w:val="nil"/>
              <w:bottom w:val="nil"/>
            </w:tcBorders>
          </w:tcPr>
          <w:p w:rsidR="00000000" w:rsidRDefault="00000000">
            <w:pPr>
              <w:spacing w:after="80"/>
              <w:ind w:right="340"/>
              <w:jc w:val="right"/>
              <w:rPr>
                <w:sz w:val="20"/>
              </w:rPr>
            </w:pPr>
            <w:r>
              <w:rPr>
                <w:sz w:val="20"/>
              </w:rPr>
              <w:t>398</w:t>
            </w:r>
          </w:p>
        </w:tc>
        <w:tc>
          <w:tcPr>
            <w:tcW w:w="895" w:type="dxa"/>
            <w:tcBorders>
              <w:top w:val="nil"/>
              <w:bottom w:val="nil"/>
            </w:tcBorders>
          </w:tcPr>
          <w:p w:rsidR="00000000" w:rsidRDefault="00000000">
            <w:pPr>
              <w:spacing w:after="80"/>
              <w:ind w:right="340"/>
              <w:jc w:val="right"/>
              <w:rPr>
                <w:sz w:val="20"/>
              </w:rPr>
            </w:pPr>
            <w:r>
              <w:rPr>
                <w:sz w:val="20"/>
              </w:rPr>
              <w:t>4.2</w:t>
            </w:r>
          </w:p>
        </w:tc>
        <w:tc>
          <w:tcPr>
            <w:tcW w:w="1315" w:type="dxa"/>
            <w:tcBorders>
              <w:top w:val="nil"/>
              <w:bottom w:val="nil"/>
            </w:tcBorders>
          </w:tcPr>
          <w:p w:rsidR="00000000" w:rsidRDefault="00000000">
            <w:pPr>
              <w:spacing w:after="80"/>
              <w:ind w:right="340"/>
              <w:jc w:val="right"/>
              <w:rPr>
                <w:sz w:val="20"/>
              </w:rPr>
            </w:pPr>
            <w:r>
              <w:rPr>
                <w:sz w:val="20"/>
              </w:rPr>
              <w:t>324</w:t>
            </w:r>
          </w:p>
        </w:tc>
        <w:tc>
          <w:tcPr>
            <w:tcW w:w="963" w:type="dxa"/>
            <w:tcBorders>
              <w:top w:val="nil"/>
              <w:bottom w:val="nil"/>
            </w:tcBorders>
          </w:tcPr>
          <w:p w:rsidR="00000000" w:rsidRDefault="00000000">
            <w:pPr>
              <w:spacing w:after="80"/>
              <w:ind w:right="340"/>
              <w:jc w:val="right"/>
              <w:rPr>
                <w:sz w:val="20"/>
              </w:rPr>
            </w:pPr>
            <w:r>
              <w:rPr>
                <w:sz w:val="20"/>
              </w:rPr>
              <w:t>3.4</w:t>
            </w:r>
          </w:p>
        </w:tc>
        <w:tc>
          <w:tcPr>
            <w:tcW w:w="1377" w:type="dxa"/>
            <w:tcBorders>
              <w:top w:val="nil"/>
              <w:bottom w:val="nil"/>
            </w:tcBorders>
          </w:tcPr>
          <w:p w:rsidR="00000000" w:rsidRDefault="00000000">
            <w:pPr>
              <w:spacing w:after="80"/>
              <w:ind w:right="340"/>
              <w:jc w:val="right"/>
              <w:rPr>
                <w:sz w:val="20"/>
              </w:rPr>
            </w:pPr>
            <w:r>
              <w:rPr>
                <w:sz w:val="20"/>
              </w:rPr>
              <w:t>245</w:t>
            </w:r>
          </w:p>
        </w:tc>
        <w:tc>
          <w:tcPr>
            <w:tcW w:w="961" w:type="dxa"/>
            <w:tcBorders>
              <w:top w:val="nil"/>
              <w:bottom w:val="nil"/>
            </w:tcBorders>
          </w:tcPr>
          <w:p w:rsidR="00000000" w:rsidRDefault="00000000">
            <w:pPr>
              <w:spacing w:after="80"/>
              <w:ind w:right="340"/>
              <w:jc w:val="right"/>
              <w:rPr>
                <w:sz w:val="20"/>
              </w:rPr>
            </w:pPr>
            <w:r>
              <w:rPr>
                <w:sz w:val="20"/>
              </w:rPr>
              <w:t>2.8</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8.  </w:t>
            </w:r>
            <w:r>
              <w:rPr>
                <w:rFonts w:hint="eastAsia"/>
              </w:rPr>
              <w:t>内分泌和新陈代谢疾</w:t>
            </w:r>
            <w:r>
              <w:br/>
              <w:t xml:space="preserve">   </w:t>
            </w:r>
            <w:r>
              <w:rPr>
                <w:rFonts w:hint="eastAsia"/>
              </w:rPr>
              <w:t>病</w:t>
            </w:r>
          </w:p>
        </w:tc>
        <w:tc>
          <w:tcPr>
            <w:tcW w:w="1382" w:type="dxa"/>
            <w:tcBorders>
              <w:top w:val="nil"/>
              <w:bottom w:val="nil"/>
            </w:tcBorders>
          </w:tcPr>
          <w:p w:rsidR="00000000" w:rsidRDefault="00000000">
            <w:pPr>
              <w:spacing w:after="80"/>
              <w:ind w:right="340"/>
              <w:jc w:val="right"/>
              <w:rPr>
                <w:sz w:val="20"/>
              </w:rPr>
            </w:pPr>
            <w:r>
              <w:rPr>
                <w:sz w:val="20"/>
              </w:rPr>
              <w:t>259</w:t>
            </w:r>
          </w:p>
        </w:tc>
        <w:tc>
          <w:tcPr>
            <w:tcW w:w="895" w:type="dxa"/>
            <w:tcBorders>
              <w:top w:val="nil"/>
              <w:bottom w:val="nil"/>
            </w:tcBorders>
          </w:tcPr>
          <w:p w:rsidR="00000000" w:rsidRDefault="00000000">
            <w:pPr>
              <w:spacing w:after="80"/>
              <w:ind w:right="340"/>
              <w:jc w:val="right"/>
              <w:rPr>
                <w:sz w:val="20"/>
              </w:rPr>
            </w:pPr>
            <w:r>
              <w:rPr>
                <w:sz w:val="20"/>
              </w:rPr>
              <w:t>2.7</w:t>
            </w:r>
          </w:p>
        </w:tc>
        <w:tc>
          <w:tcPr>
            <w:tcW w:w="1315" w:type="dxa"/>
            <w:tcBorders>
              <w:top w:val="nil"/>
              <w:bottom w:val="nil"/>
            </w:tcBorders>
          </w:tcPr>
          <w:p w:rsidR="00000000" w:rsidRDefault="00000000">
            <w:pPr>
              <w:spacing w:after="80"/>
              <w:ind w:right="340"/>
              <w:jc w:val="right"/>
              <w:rPr>
                <w:sz w:val="20"/>
              </w:rPr>
            </w:pPr>
            <w:r>
              <w:rPr>
                <w:sz w:val="20"/>
              </w:rPr>
              <w:t>253</w:t>
            </w:r>
          </w:p>
        </w:tc>
        <w:tc>
          <w:tcPr>
            <w:tcW w:w="963" w:type="dxa"/>
            <w:tcBorders>
              <w:top w:val="nil"/>
              <w:bottom w:val="nil"/>
            </w:tcBorders>
          </w:tcPr>
          <w:p w:rsidR="00000000" w:rsidRDefault="00000000">
            <w:pPr>
              <w:spacing w:after="80"/>
              <w:ind w:right="340"/>
              <w:jc w:val="right"/>
              <w:rPr>
                <w:sz w:val="20"/>
              </w:rPr>
            </w:pPr>
            <w:r>
              <w:rPr>
                <w:sz w:val="20"/>
              </w:rPr>
              <w:t>2.7</w:t>
            </w:r>
          </w:p>
        </w:tc>
        <w:tc>
          <w:tcPr>
            <w:tcW w:w="1377" w:type="dxa"/>
            <w:tcBorders>
              <w:top w:val="nil"/>
              <w:bottom w:val="nil"/>
            </w:tcBorders>
          </w:tcPr>
          <w:p w:rsidR="00000000" w:rsidRDefault="00000000">
            <w:pPr>
              <w:spacing w:after="80"/>
              <w:ind w:right="340"/>
              <w:jc w:val="right"/>
              <w:rPr>
                <w:sz w:val="20"/>
              </w:rPr>
            </w:pPr>
            <w:r>
              <w:rPr>
                <w:sz w:val="20"/>
              </w:rPr>
              <w:t>220</w:t>
            </w:r>
          </w:p>
        </w:tc>
        <w:tc>
          <w:tcPr>
            <w:tcW w:w="961" w:type="dxa"/>
            <w:tcBorders>
              <w:top w:val="nil"/>
              <w:bottom w:val="nil"/>
            </w:tcBorders>
          </w:tcPr>
          <w:p w:rsidR="00000000" w:rsidRDefault="00000000">
            <w:pPr>
              <w:spacing w:after="80"/>
              <w:ind w:right="340"/>
              <w:jc w:val="right"/>
              <w:rPr>
                <w:sz w:val="20"/>
              </w:rPr>
            </w:pPr>
            <w:r>
              <w:rPr>
                <w:sz w:val="20"/>
              </w:rPr>
              <w:t>2.5</w:t>
            </w:r>
          </w:p>
        </w:tc>
      </w:tr>
      <w:tr w:rsidR="00000000">
        <w:tblPrEx>
          <w:tblCellMar>
            <w:top w:w="0" w:type="dxa"/>
            <w:bottom w:w="0" w:type="dxa"/>
          </w:tblCellMar>
        </w:tblPrEx>
        <w:tc>
          <w:tcPr>
            <w:tcW w:w="2653" w:type="dxa"/>
            <w:tcBorders>
              <w:top w:val="nil"/>
              <w:bottom w:val="nil"/>
            </w:tcBorders>
          </w:tcPr>
          <w:p w:rsidR="00000000" w:rsidRDefault="00000000">
            <w:pPr>
              <w:pStyle w:val="a2"/>
              <w:ind w:left="57"/>
              <w:rPr>
                <w:rFonts w:hint="eastAsia"/>
              </w:rPr>
            </w:pPr>
            <w:r>
              <w:rPr>
                <w:rFonts w:hint="eastAsia"/>
              </w:rPr>
              <w:t xml:space="preserve">9.  </w:t>
            </w:r>
            <w:r>
              <w:rPr>
                <w:rFonts w:hint="eastAsia"/>
              </w:rPr>
              <w:t>眼部疾病</w:t>
            </w:r>
          </w:p>
        </w:tc>
        <w:tc>
          <w:tcPr>
            <w:tcW w:w="1382" w:type="dxa"/>
            <w:tcBorders>
              <w:top w:val="nil"/>
              <w:bottom w:val="nil"/>
            </w:tcBorders>
          </w:tcPr>
          <w:p w:rsidR="00000000" w:rsidRDefault="00000000">
            <w:pPr>
              <w:spacing w:after="80"/>
              <w:ind w:right="340"/>
              <w:jc w:val="right"/>
              <w:rPr>
                <w:sz w:val="20"/>
              </w:rPr>
            </w:pPr>
            <w:r>
              <w:rPr>
                <w:sz w:val="20"/>
              </w:rPr>
              <w:t>256</w:t>
            </w:r>
          </w:p>
        </w:tc>
        <w:tc>
          <w:tcPr>
            <w:tcW w:w="895" w:type="dxa"/>
            <w:tcBorders>
              <w:top w:val="nil"/>
              <w:bottom w:val="nil"/>
            </w:tcBorders>
          </w:tcPr>
          <w:p w:rsidR="00000000" w:rsidRDefault="00000000">
            <w:pPr>
              <w:spacing w:after="80"/>
              <w:ind w:right="340"/>
              <w:jc w:val="right"/>
              <w:rPr>
                <w:sz w:val="20"/>
              </w:rPr>
            </w:pPr>
            <w:r>
              <w:rPr>
                <w:sz w:val="20"/>
              </w:rPr>
              <w:t>2.7</w:t>
            </w:r>
          </w:p>
        </w:tc>
        <w:tc>
          <w:tcPr>
            <w:tcW w:w="1315" w:type="dxa"/>
            <w:tcBorders>
              <w:top w:val="nil"/>
              <w:bottom w:val="nil"/>
            </w:tcBorders>
          </w:tcPr>
          <w:p w:rsidR="00000000" w:rsidRDefault="00000000">
            <w:pPr>
              <w:spacing w:after="80"/>
              <w:ind w:right="340"/>
              <w:jc w:val="right"/>
              <w:rPr>
                <w:sz w:val="20"/>
              </w:rPr>
            </w:pPr>
            <w:r>
              <w:rPr>
                <w:sz w:val="20"/>
              </w:rPr>
              <w:t>285</w:t>
            </w:r>
          </w:p>
        </w:tc>
        <w:tc>
          <w:tcPr>
            <w:tcW w:w="963" w:type="dxa"/>
            <w:tcBorders>
              <w:top w:val="nil"/>
              <w:bottom w:val="nil"/>
            </w:tcBorders>
          </w:tcPr>
          <w:p w:rsidR="00000000" w:rsidRDefault="00000000">
            <w:pPr>
              <w:spacing w:after="80"/>
              <w:ind w:right="340"/>
              <w:jc w:val="right"/>
              <w:rPr>
                <w:sz w:val="20"/>
              </w:rPr>
            </w:pPr>
            <w:r>
              <w:rPr>
                <w:sz w:val="20"/>
              </w:rPr>
              <w:t>3.0</w:t>
            </w:r>
          </w:p>
        </w:tc>
        <w:tc>
          <w:tcPr>
            <w:tcW w:w="1377" w:type="dxa"/>
            <w:tcBorders>
              <w:top w:val="nil"/>
              <w:bottom w:val="nil"/>
            </w:tcBorders>
          </w:tcPr>
          <w:p w:rsidR="00000000" w:rsidRDefault="00000000">
            <w:pPr>
              <w:spacing w:after="80"/>
              <w:ind w:right="340"/>
              <w:jc w:val="right"/>
              <w:rPr>
                <w:sz w:val="20"/>
              </w:rPr>
            </w:pPr>
            <w:r>
              <w:rPr>
                <w:sz w:val="20"/>
              </w:rPr>
              <w:t>247</w:t>
            </w:r>
          </w:p>
        </w:tc>
        <w:tc>
          <w:tcPr>
            <w:tcW w:w="961" w:type="dxa"/>
            <w:tcBorders>
              <w:top w:val="nil"/>
              <w:bottom w:val="nil"/>
            </w:tcBorders>
          </w:tcPr>
          <w:p w:rsidR="00000000" w:rsidRDefault="00000000">
            <w:pPr>
              <w:spacing w:after="80"/>
              <w:ind w:right="340"/>
              <w:jc w:val="right"/>
              <w:rPr>
                <w:sz w:val="20"/>
              </w:rPr>
            </w:pPr>
            <w:r>
              <w:rPr>
                <w:sz w:val="20"/>
              </w:rPr>
              <w:t>2.9</w:t>
            </w:r>
          </w:p>
        </w:tc>
      </w:tr>
      <w:tr w:rsidR="00000000">
        <w:tblPrEx>
          <w:tblCellMar>
            <w:top w:w="0" w:type="dxa"/>
            <w:bottom w:w="0" w:type="dxa"/>
          </w:tblCellMar>
        </w:tblPrEx>
        <w:tc>
          <w:tcPr>
            <w:tcW w:w="2653" w:type="dxa"/>
            <w:tcBorders>
              <w:top w:val="nil"/>
            </w:tcBorders>
          </w:tcPr>
          <w:p w:rsidR="00000000" w:rsidRDefault="00000000">
            <w:pPr>
              <w:pStyle w:val="a2"/>
              <w:ind w:left="57"/>
              <w:rPr>
                <w:rFonts w:hint="eastAsia"/>
              </w:rPr>
            </w:pPr>
            <w:r>
              <w:rPr>
                <w:rFonts w:hint="eastAsia"/>
              </w:rPr>
              <w:t xml:space="preserve">10.  </w:t>
            </w:r>
            <w:r>
              <w:rPr>
                <w:rFonts w:hint="eastAsia"/>
              </w:rPr>
              <w:t>耳朵和乳突疾病</w:t>
            </w:r>
          </w:p>
        </w:tc>
        <w:tc>
          <w:tcPr>
            <w:tcW w:w="1382" w:type="dxa"/>
            <w:tcBorders>
              <w:top w:val="nil"/>
            </w:tcBorders>
          </w:tcPr>
          <w:p w:rsidR="00000000" w:rsidRDefault="00000000">
            <w:pPr>
              <w:ind w:right="340"/>
              <w:jc w:val="right"/>
              <w:rPr>
                <w:sz w:val="20"/>
              </w:rPr>
            </w:pPr>
            <w:r>
              <w:rPr>
                <w:sz w:val="20"/>
              </w:rPr>
              <w:t>254</w:t>
            </w:r>
          </w:p>
        </w:tc>
        <w:tc>
          <w:tcPr>
            <w:tcW w:w="895" w:type="dxa"/>
            <w:tcBorders>
              <w:top w:val="nil"/>
            </w:tcBorders>
          </w:tcPr>
          <w:p w:rsidR="00000000" w:rsidRDefault="00000000">
            <w:pPr>
              <w:ind w:right="340"/>
              <w:jc w:val="right"/>
              <w:rPr>
                <w:sz w:val="20"/>
              </w:rPr>
            </w:pPr>
            <w:r>
              <w:rPr>
                <w:sz w:val="20"/>
              </w:rPr>
              <w:t>2.7</w:t>
            </w:r>
          </w:p>
        </w:tc>
        <w:tc>
          <w:tcPr>
            <w:tcW w:w="1315" w:type="dxa"/>
            <w:tcBorders>
              <w:top w:val="nil"/>
            </w:tcBorders>
          </w:tcPr>
          <w:p w:rsidR="00000000" w:rsidRDefault="00000000">
            <w:pPr>
              <w:ind w:right="340"/>
              <w:jc w:val="right"/>
              <w:rPr>
                <w:sz w:val="20"/>
              </w:rPr>
            </w:pPr>
            <w:r>
              <w:rPr>
                <w:sz w:val="20"/>
              </w:rPr>
              <w:t>241</w:t>
            </w:r>
          </w:p>
        </w:tc>
        <w:tc>
          <w:tcPr>
            <w:tcW w:w="963" w:type="dxa"/>
            <w:tcBorders>
              <w:top w:val="nil"/>
            </w:tcBorders>
          </w:tcPr>
          <w:p w:rsidR="00000000" w:rsidRDefault="00000000">
            <w:pPr>
              <w:ind w:right="340"/>
              <w:jc w:val="right"/>
              <w:rPr>
                <w:sz w:val="20"/>
              </w:rPr>
            </w:pPr>
            <w:r>
              <w:rPr>
                <w:sz w:val="20"/>
              </w:rPr>
              <w:t>2.5</w:t>
            </w:r>
          </w:p>
        </w:tc>
        <w:tc>
          <w:tcPr>
            <w:tcW w:w="1377" w:type="dxa"/>
            <w:tcBorders>
              <w:top w:val="nil"/>
            </w:tcBorders>
          </w:tcPr>
          <w:p w:rsidR="00000000" w:rsidRDefault="00000000">
            <w:pPr>
              <w:ind w:right="340"/>
              <w:jc w:val="right"/>
              <w:rPr>
                <w:sz w:val="20"/>
              </w:rPr>
            </w:pPr>
            <w:r>
              <w:rPr>
                <w:sz w:val="20"/>
              </w:rPr>
              <w:t>238</w:t>
            </w:r>
          </w:p>
        </w:tc>
        <w:tc>
          <w:tcPr>
            <w:tcW w:w="961" w:type="dxa"/>
            <w:tcBorders>
              <w:top w:val="nil"/>
            </w:tcBorders>
          </w:tcPr>
          <w:p w:rsidR="00000000" w:rsidRDefault="00000000">
            <w:pPr>
              <w:ind w:right="340"/>
              <w:jc w:val="right"/>
              <w:rPr>
                <w:sz w:val="20"/>
              </w:rPr>
            </w:pPr>
            <w:r>
              <w:rPr>
                <w:sz w:val="20"/>
              </w:rPr>
              <w:t>2.7</w:t>
            </w:r>
          </w:p>
        </w:tc>
      </w:tr>
    </w:tbl>
    <w:p w:rsidR="00000000" w:rsidRDefault="00000000">
      <w:pPr>
        <w:rPr>
          <w:rFonts w:hint="eastAsia"/>
        </w:rPr>
      </w:pPr>
    </w:p>
    <w:p w:rsidR="00000000" w:rsidRDefault="00000000">
      <w:pPr>
        <w:spacing w:after="320"/>
        <w:rPr>
          <w:rFonts w:hint="eastAsia"/>
        </w:rPr>
      </w:pPr>
      <w:r>
        <w:rPr>
          <w:rFonts w:hint="eastAsia"/>
        </w:rPr>
        <w:tab/>
        <w:t>418.  1999-2001</w:t>
      </w:r>
      <w:r>
        <w:rPr>
          <w:rFonts w:hint="eastAsia"/>
        </w:rPr>
        <w:t>年期间的比较分析显示，波斯尼亚和黑塞哥维那联邦慢性、大规模非传染性疾病发病率高。</w:t>
      </w:r>
    </w:p>
    <w:p w:rsidR="00000000" w:rsidRDefault="00000000">
      <w:pPr>
        <w:pStyle w:val="Heading3"/>
        <w:spacing w:after="120"/>
        <w:rPr>
          <w:rFonts w:hint="eastAsia"/>
        </w:rPr>
      </w:pPr>
      <w:r>
        <w:rPr>
          <w:u w:val="none"/>
        </w:rPr>
        <w:br w:type="page"/>
      </w:r>
      <w:r>
        <w:rPr>
          <w:rFonts w:hint="eastAsia"/>
          <w:u w:val="none"/>
        </w:rPr>
        <w:t>表</w:t>
      </w:r>
      <w:r>
        <w:rPr>
          <w:u w:val="none"/>
        </w:rPr>
        <w:t xml:space="preserve">  </w:t>
      </w:r>
      <w:r>
        <w:rPr>
          <w:rFonts w:hint="eastAsia"/>
          <w:u w:val="none"/>
        </w:rPr>
        <w:t>9</w:t>
      </w:r>
      <w:r>
        <w:br/>
      </w:r>
      <w:r>
        <w:rPr>
          <w:rFonts w:hint="eastAsia"/>
        </w:rPr>
        <w:t>塞族共和国</w:t>
      </w:r>
      <w:r>
        <w:rPr>
          <w:rFonts w:hint="eastAsia"/>
        </w:rPr>
        <w:t>1999-2001</w:t>
      </w:r>
      <w:r>
        <w:rPr>
          <w:rFonts w:hint="eastAsia"/>
        </w:rPr>
        <w:t>年主要疾病类别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53"/>
        <w:gridCol w:w="1126"/>
        <w:gridCol w:w="1126"/>
        <w:gridCol w:w="1126"/>
        <w:gridCol w:w="1126"/>
        <w:gridCol w:w="1126"/>
        <w:gridCol w:w="1127"/>
      </w:tblGrid>
      <w:tr w:rsidR="00000000">
        <w:tblPrEx>
          <w:tblCellMar>
            <w:top w:w="0" w:type="dxa"/>
            <w:bottom w:w="0" w:type="dxa"/>
          </w:tblCellMar>
        </w:tblPrEx>
        <w:trPr>
          <w:cantSplit/>
        </w:trPr>
        <w:tc>
          <w:tcPr>
            <w:tcW w:w="2653" w:type="dxa"/>
            <w:vMerge w:val="restart"/>
          </w:tcPr>
          <w:p w:rsidR="00000000" w:rsidRDefault="00000000">
            <w:pPr>
              <w:pStyle w:val="a2"/>
              <w:spacing w:before="160"/>
              <w:jc w:val="center"/>
              <w:rPr>
                <w:rFonts w:hint="eastAsia"/>
              </w:rPr>
            </w:pPr>
            <w:r>
              <w:rPr>
                <w:rFonts w:hint="eastAsia"/>
              </w:rPr>
              <w:t>疾</w:t>
            </w:r>
            <w:r>
              <w:t xml:space="preserve">   </w:t>
            </w:r>
            <w:r>
              <w:rPr>
                <w:rFonts w:hint="eastAsia"/>
              </w:rPr>
              <w:t>病</w:t>
            </w:r>
          </w:p>
        </w:tc>
        <w:tc>
          <w:tcPr>
            <w:tcW w:w="2252" w:type="dxa"/>
            <w:gridSpan w:val="2"/>
          </w:tcPr>
          <w:p w:rsidR="00000000" w:rsidRDefault="00000000">
            <w:pPr>
              <w:pStyle w:val="a2"/>
              <w:jc w:val="center"/>
              <w:rPr>
                <w:rFonts w:hint="eastAsia"/>
              </w:rPr>
            </w:pPr>
            <w:r>
              <w:rPr>
                <w:rFonts w:hint="eastAsia"/>
              </w:rPr>
              <w:t>1999</w:t>
            </w:r>
            <w:r>
              <w:rPr>
                <w:rFonts w:hint="eastAsia"/>
              </w:rPr>
              <w:t>年</w:t>
            </w:r>
          </w:p>
        </w:tc>
        <w:tc>
          <w:tcPr>
            <w:tcW w:w="2252" w:type="dxa"/>
            <w:gridSpan w:val="2"/>
          </w:tcPr>
          <w:p w:rsidR="00000000" w:rsidRDefault="00000000">
            <w:pPr>
              <w:pStyle w:val="a2"/>
              <w:jc w:val="center"/>
              <w:rPr>
                <w:rFonts w:hint="eastAsia"/>
              </w:rPr>
            </w:pPr>
            <w:r>
              <w:rPr>
                <w:rFonts w:hint="eastAsia"/>
              </w:rPr>
              <w:t>2000</w:t>
            </w:r>
            <w:r>
              <w:rPr>
                <w:rFonts w:hint="eastAsia"/>
              </w:rPr>
              <w:t>年</w:t>
            </w:r>
          </w:p>
        </w:tc>
        <w:tc>
          <w:tcPr>
            <w:tcW w:w="2253" w:type="dxa"/>
            <w:gridSpan w:val="2"/>
          </w:tcPr>
          <w:p w:rsidR="00000000" w:rsidRDefault="00000000">
            <w:pPr>
              <w:pStyle w:val="a2"/>
              <w:jc w:val="center"/>
              <w:rPr>
                <w:rFonts w:hint="eastAsia"/>
              </w:rPr>
            </w:pPr>
            <w:r>
              <w:rPr>
                <w:rFonts w:hint="eastAsia"/>
              </w:rPr>
              <w:t>2001</w:t>
            </w:r>
            <w:r>
              <w:rPr>
                <w:rFonts w:hint="eastAsia"/>
              </w:rPr>
              <w:t>年</w:t>
            </w:r>
          </w:p>
        </w:tc>
      </w:tr>
      <w:tr w:rsidR="00000000">
        <w:tblPrEx>
          <w:tblCellMar>
            <w:top w:w="0" w:type="dxa"/>
            <w:bottom w:w="0" w:type="dxa"/>
          </w:tblCellMar>
        </w:tblPrEx>
        <w:trPr>
          <w:cantSplit/>
        </w:trPr>
        <w:tc>
          <w:tcPr>
            <w:tcW w:w="2653" w:type="dxa"/>
            <w:vMerge/>
            <w:tcBorders>
              <w:bottom w:val="single" w:sz="4" w:space="0" w:color="auto"/>
            </w:tcBorders>
          </w:tcPr>
          <w:p w:rsidR="00000000" w:rsidRDefault="00000000">
            <w:pPr>
              <w:pStyle w:val="a2"/>
              <w:rPr>
                <w:rFonts w:hint="eastAsia"/>
              </w:rPr>
            </w:pPr>
          </w:p>
        </w:tc>
        <w:tc>
          <w:tcPr>
            <w:tcW w:w="1126" w:type="dxa"/>
            <w:tcBorders>
              <w:bottom w:val="single" w:sz="4" w:space="0" w:color="auto"/>
            </w:tcBorders>
          </w:tcPr>
          <w:p w:rsidR="00000000" w:rsidRDefault="00000000">
            <w:pPr>
              <w:pStyle w:val="a2"/>
              <w:jc w:val="center"/>
              <w:rPr>
                <w:rFonts w:hint="eastAsia"/>
              </w:rPr>
            </w:pPr>
            <w:r>
              <w:rPr>
                <w:rFonts w:hint="eastAsia"/>
              </w:rPr>
              <w:t>病例数</w:t>
            </w:r>
            <w:r>
              <w:rPr>
                <w:rFonts w:hint="eastAsia"/>
              </w:rPr>
              <w:t>(N)</w:t>
            </w:r>
          </w:p>
        </w:tc>
        <w:tc>
          <w:tcPr>
            <w:tcW w:w="1126" w:type="dxa"/>
            <w:tcBorders>
              <w:bottom w:val="single" w:sz="4" w:space="0" w:color="auto"/>
            </w:tcBorders>
          </w:tcPr>
          <w:p w:rsidR="00000000" w:rsidRDefault="00000000">
            <w:pPr>
              <w:pStyle w:val="a2"/>
              <w:jc w:val="center"/>
              <w:rPr>
                <w:rFonts w:hint="eastAsia"/>
              </w:rPr>
            </w:pPr>
            <w:r>
              <w:rPr>
                <w:rFonts w:hint="eastAsia"/>
              </w:rPr>
              <w:t>(%)</w:t>
            </w:r>
          </w:p>
        </w:tc>
        <w:tc>
          <w:tcPr>
            <w:tcW w:w="1126" w:type="dxa"/>
            <w:tcBorders>
              <w:bottom w:val="single" w:sz="4" w:space="0" w:color="auto"/>
            </w:tcBorders>
          </w:tcPr>
          <w:p w:rsidR="00000000" w:rsidRDefault="00000000">
            <w:pPr>
              <w:pStyle w:val="a2"/>
              <w:jc w:val="center"/>
              <w:rPr>
                <w:rFonts w:hint="eastAsia"/>
              </w:rPr>
            </w:pPr>
            <w:r>
              <w:rPr>
                <w:rFonts w:hint="eastAsia"/>
              </w:rPr>
              <w:t>病例数</w:t>
            </w:r>
            <w:r>
              <w:rPr>
                <w:rFonts w:hint="eastAsia"/>
              </w:rPr>
              <w:t>(N)</w:t>
            </w:r>
          </w:p>
        </w:tc>
        <w:tc>
          <w:tcPr>
            <w:tcW w:w="1126" w:type="dxa"/>
            <w:tcBorders>
              <w:bottom w:val="single" w:sz="4" w:space="0" w:color="auto"/>
            </w:tcBorders>
          </w:tcPr>
          <w:p w:rsidR="00000000" w:rsidRDefault="00000000">
            <w:pPr>
              <w:pStyle w:val="a2"/>
              <w:jc w:val="center"/>
              <w:rPr>
                <w:rFonts w:hint="eastAsia"/>
              </w:rPr>
            </w:pPr>
            <w:r>
              <w:rPr>
                <w:rFonts w:hint="eastAsia"/>
              </w:rPr>
              <w:t>(%)</w:t>
            </w:r>
          </w:p>
        </w:tc>
        <w:tc>
          <w:tcPr>
            <w:tcW w:w="1126" w:type="dxa"/>
            <w:tcBorders>
              <w:bottom w:val="single" w:sz="4" w:space="0" w:color="auto"/>
            </w:tcBorders>
          </w:tcPr>
          <w:p w:rsidR="00000000" w:rsidRDefault="00000000">
            <w:pPr>
              <w:pStyle w:val="a2"/>
              <w:jc w:val="center"/>
              <w:rPr>
                <w:rFonts w:hint="eastAsia"/>
              </w:rPr>
            </w:pPr>
            <w:r>
              <w:rPr>
                <w:rFonts w:hint="eastAsia"/>
              </w:rPr>
              <w:t>病例数</w:t>
            </w:r>
            <w:r>
              <w:rPr>
                <w:rFonts w:hint="eastAsia"/>
              </w:rPr>
              <w:t>(N)</w:t>
            </w:r>
          </w:p>
        </w:tc>
        <w:tc>
          <w:tcPr>
            <w:tcW w:w="1127" w:type="dxa"/>
            <w:tcBorders>
              <w:bottom w:val="single" w:sz="4" w:space="0" w:color="auto"/>
            </w:tcBorders>
          </w:tcPr>
          <w:p w:rsidR="00000000" w:rsidRDefault="00000000">
            <w:pPr>
              <w:pStyle w:val="a2"/>
              <w:jc w:val="center"/>
              <w:rPr>
                <w:rFonts w:hint="eastAsia"/>
              </w:rPr>
            </w:pPr>
            <w:r>
              <w:rPr>
                <w:rFonts w:hint="eastAsia"/>
              </w:rPr>
              <w:t>(%)</w:t>
            </w:r>
          </w:p>
        </w:tc>
      </w:tr>
      <w:tr w:rsidR="00000000">
        <w:tblPrEx>
          <w:tblCellMar>
            <w:top w:w="0" w:type="dxa"/>
            <w:bottom w:w="0" w:type="dxa"/>
          </w:tblCellMar>
        </w:tblPrEx>
        <w:tc>
          <w:tcPr>
            <w:tcW w:w="2653" w:type="dxa"/>
            <w:tcBorders>
              <w:bottom w:val="nil"/>
            </w:tcBorders>
          </w:tcPr>
          <w:p w:rsidR="00000000" w:rsidRDefault="00000000">
            <w:pPr>
              <w:pStyle w:val="a2"/>
              <w:spacing w:line="240" w:lineRule="auto"/>
              <w:ind w:left="113"/>
              <w:rPr>
                <w:rFonts w:hint="eastAsia"/>
              </w:rPr>
            </w:pPr>
            <w:r>
              <w:rPr>
                <w:rFonts w:hint="eastAsia"/>
              </w:rPr>
              <w:t xml:space="preserve">1.  </w:t>
            </w:r>
            <w:r>
              <w:rPr>
                <w:rFonts w:hint="eastAsia"/>
              </w:rPr>
              <w:t>呼吸系统疾病</w:t>
            </w:r>
          </w:p>
        </w:tc>
        <w:tc>
          <w:tcPr>
            <w:tcW w:w="1126" w:type="dxa"/>
            <w:tcBorders>
              <w:bottom w:val="nil"/>
            </w:tcBorders>
          </w:tcPr>
          <w:p w:rsidR="00000000" w:rsidRDefault="00000000">
            <w:pPr>
              <w:spacing w:after="80" w:line="240" w:lineRule="auto"/>
              <w:ind w:right="250"/>
              <w:jc w:val="right"/>
              <w:rPr>
                <w:sz w:val="20"/>
              </w:rPr>
            </w:pPr>
            <w:r>
              <w:rPr>
                <w:sz w:val="20"/>
              </w:rPr>
              <w:t>3 568</w:t>
            </w:r>
          </w:p>
        </w:tc>
        <w:tc>
          <w:tcPr>
            <w:tcW w:w="1126" w:type="dxa"/>
            <w:tcBorders>
              <w:bottom w:val="nil"/>
            </w:tcBorders>
          </w:tcPr>
          <w:p w:rsidR="00000000" w:rsidRDefault="00000000">
            <w:pPr>
              <w:spacing w:after="80" w:line="240" w:lineRule="auto"/>
              <w:ind w:right="250"/>
              <w:jc w:val="right"/>
              <w:rPr>
                <w:sz w:val="20"/>
              </w:rPr>
            </w:pPr>
            <w:r>
              <w:rPr>
                <w:sz w:val="20"/>
              </w:rPr>
              <w:t>29.00</w:t>
            </w:r>
          </w:p>
        </w:tc>
        <w:tc>
          <w:tcPr>
            <w:tcW w:w="1126" w:type="dxa"/>
            <w:tcBorders>
              <w:bottom w:val="nil"/>
            </w:tcBorders>
          </w:tcPr>
          <w:p w:rsidR="00000000" w:rsidRDefault="00000000">
            <w:pPr>
              <w:spacing w:after="80" w:line="240" w:lineRule="auto"/>
              <w:ind w:right="250"/>
              <w:jc w:val="right"/>
              <w:rPr>
                <w:sz w:val="20"/>
              </w:rPr>
            </w:pPr>
            <w:r>
              <w:rPr>
                <w:sz w:val="20"/>
              </w:rPr>
              <w:t>289 054</w:t>
            </w:r>
          </w:p>
        </w:tc>
        <w:tc>
          <w:tcPr>
            <w:tcW w:w="1126" w:type="dxa"/>
            <w:tcBorders>
              <w:bottom w:val="nil"/>
            </w:tcBorders>
          </w:tcPr>
          <w:p w:rsidR="00000000" w:rsidRDefault="00000000">
            <w:pPr>
              <w:spacing w:after="80" w:line="240" w:lineRule="auto"/>
              <w:ind w:right="250"/>
              <w:jc w:val="right"/>
              <w:rPr>
                <w:sz w:val="20"/>
              </w:rPr>
            </w:pPr>
            <w:r>
              <w:rPr>
                <w:sz w:val="20"/>
              </w:rPr>
              <w:t>33.60</w:t>
            </w:r>
          </w:p>
        </w:tc>
        <w:tc>
          <w:tcPr>
            <w:tcW w:w="1126" w:type="dxa"/>
            <w:tcBorders>
              <w:bottom w:val="nil"/>
            </w:tcBorders>
          </w:tcPr>
          <w:p w:rsidR="00000000" w:rsidRDefault="00000000">
            <w:pPr>
              <w:spacing w:after="80" w:line="240" w:lineRule="auto"/>
              <w:ind w:right="113"/>
              <w:jc w:val="right"/>
              <w:rPr>
                <w:sz w:val="20"/>
              </w:rPr>
            </w:pPr>
            <w:r>
              <w:rPr>
                <w:sz w:val="20"/>
              </w:rPr>
              <w:t>283 716</w:t>
            </w:r>
          </w:p>
        </w:tc>
        <w:tc>
          <w:tcPr>
            <w:tcW w:w="1127" w:type="dxa"/>
            <w:tcBorders>
              <w:bottom w:val="nil"/>
            </w:tcBorders>
          </w:tcPr>
          <w:p w:rsidR="00000000" w:rsidRDefault="00000000">
            <w:pPr>
              <w:tabs>
                <w:tab w:val="decimal" w:pos="537"/>
              </w:tabs>
              <w:spacing w:after="80" w:line="240" w:lineRule="auto"/>
              <w:jc w:val="left"/>
              <w:rPr>
                <w:sz w:val="20"/>
              </w:rPr>
            </w:pPr>
            <w:r>
              <w:rPr>
                <w:sz w:val="20"/>
              </w:rPr>
              <w:t>31.2</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113"/>
              <w:rPr>
                <w:rFonts w:hint="eastAsia"/>
              </w:rPr>
            </w:pPr>
            <w:r>
              <w:rPr>
                <w:rFonts w:hint="eastAsia"/>
              </w:rPr>
              <w:t xml:space="preserve">2.  </w:t>
            </w:r>
            <w:r>
              <w:rPr>
                <w:rFonts w:hint="eastAsia"/>
              </w:rPr>
              <w:t>循环系统疾病</w:t>
            </w:r>
          </w:p>
        </w:tc>
        <w:tc>
          <w:tcPr>
            <w:tcW w:w="1126" w:type="dxa"/>
            <w:tcBorders>
              <w:top w:val="nil"/>
              <w:bottom w:val="nil"/>
            </w:tcBorders>
          </w:tcPr>
          <w:p w:rsidR="00000000" w:rsidRDefault="00000000">
            <w:pPr>
              <w:spacing w:after="80" w:line="240" w:lineRule="auto"/>
              <w:ind w:right="250"/>
              <w:jc w:val="right"/>
              <w:rPr>
                <w:sz w:val="20"/>
              </w:rPr>
            </w:pPr>
            <w:r>
              <w:rPr>
                <w:sz w:val="20"/>
              </w:rPr>
              <w:t>103 746</w:t>
            </w:r>
          </w:p>
        </w:tc>
        <w:tc>
          <w:tcPr>
            <w:tcW w:w="1126" w:type="dxa"/>
            <w:tcBorders>
              <w:top w:val="nil"/>
              <w:bottom w:val="nil"/>
            </w:tcBorders>
          </w:tcPr>
          <w:p w:rsidR="00000000" w:rsidRDefault="00000000">
            <w:pPr>
              <w:spacing w:after="80" w:line="240" w:lineRule="auto"/>
              <w:ind w:right="250"/>
              <w:jc w:val="right"/>
              <w:rPr>
                <w:sz w:val="20"/>
              </w:rPr>
            </w:pPr>
            <w:r>
              <w:rPr>
                <w:sz w:val="20"/>
              </w:rPr>
              <w:t>8.42</w:t>
            </w:r>
          </w:p>
        </w:tc>
        <w:tc>
          <w:tcPr>
            <w:tcW w:w="1126" w:type="dxa"/>
            <w:tcBorders>
              <w:top w:val="nil"/>
              <w:bottom w:val="nil"/>
            </w:tcBorders>
          </w:tcPr>
          <w:p w:rsidR="00000000" w:rsidRDefault="00000000">
            <w:pPr>
              <w:spacing w:after="80" w:line="240" w:lineRule="auto"/>
              <w:ind w:right="250"/>
              <w:jc w:val="right"/>
              <w:rPr>
                <w:sz w:val="20"/>
              </w:rPr>
            </w:pPr>
            <w:r>
              <w:rPr>
                <w:sz w:val="20"/>
              </w:rPr>
              <w:t>85 169</w:t>
            </w:r>
          </w:p>
        </w:tc>
        <w:tc>
          <w:tcPr>
            <w:tcW w:w="1126" w:type="dxa"/>
            <w:tcBorders>
              <w:top w:val="nil"/>
              <w:bottom w:val="nil"/>
            </w:tcBorders>
          </w:tcPr>
          <w:p w:rsidR="00000000" w:rsidRDefault="00000000">
            <w:pPr>
              <w:spacing w:after="80" w:line="240" w:lineRule="auto"/>
              <w:ind w:right="250"/>
              <w:jc w:val="right"/>
              <w:rPr>
                <w:sz w:val="20"/>
              </w:rPr>
            </w:pPr>
            <w:r>
              <w:rPr>
                <w:sz w:val="20"/>
              </w:rPr>
              <w:t>9.89</w:t>
            </w:r>
          </w:p>
        </w:tc>
        <w:tc>
          <w:tcPr>
            <w:tcW w:w="1126" w:type="dxa"/>
            <w:tcBorders>
              <w:top w:val="nil"/>
              <w:bottom w:val="nil"/>
            </w:tcBorders>
          </w:tcPr>
          <w:p w:rsidR="00000000" w:rsidRDefault="00000000">
            <w:pPr>
              <w:spacing w:after="80" w:line="240" w:lineRule="auto"/>
              <w:ind w:right="113"/>
              <w:jc w:val="right"/>
              <w:rPr>
                <w:sz w:val="20"/>
              </w:rPr>
            </w:pPr>
            <w:r>
              <w:rPr>
                <w:sz w:val="20"/>
              </w:rPr>
              <w:t>110 651</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12.2</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3.  </w:t>
            </w:r>
            <w:r>
              <w:rPr>
                <w:rFonts w:hint="eastAsia"/>
              </w:rPr>
              <w:t>生殖－泌尿系统疾病</w:t>
            </w:r>
          </w:p>
        </w:tc>
        <w:tc>
          <w:tcPr>
            <w:tcW w:w="1126" w:type="dxa"/>
            <w:tcBorders>
              <w:top w:val="nil"/>
              <w:bottom w:val="nil"/>
            </w:tcBorders>
          </w:tcPr>
          <w:p w:rsidR="00000000" w:rsidRDefault="00000000">
            <w:pPr>
              <w:spacing w:after="80" w:line="240" w:lineRule="auto"/>
              <w:ind w:right="250"/>
              <w:jc w:val="right"/>
              <w:rPr>
                <w:sz w:val="20"/>
              </w:rPr>
            </w:pPr>
            <w:r>
              <w:rPr>
                <w:sz w:val="20"/>
              </w:rPr>
              <w:t>106 505</w:t>
            </w:r>
          </w:p>
        </w:tc>
        <w:tc>
          <w:tcPr>
            <w:tcW w:w="1126" w:type="dxa"/>
            <w:tcBorders>
              <w:top w:val="nil"/>
              <w:bottom w:val="nil"/>
            </w:tcBorders>
          </w:tcPr>
          <w:p w:rsidR="00000000" w:rsidRDefault="00000000">
            <w:pPr>
              <w:spacing w:after="80" w:line="240" w:lineRule="auto"/>
              <w:ind w:right="250"/>
              <w:jc w:val="right"/>
              <w:rPr>
                <w:sz w:val="20"/>
              </w:rPr>
            </w:pPr>
            <w:r>
              <w:rPr>
                <w:sz w:val="20"/>
              </w:rPr>
              <w:t>8.65</w:t>
            </w:r>
          </w:p>
        </w:tc>
        <w:tc>
          <w:tcPr>
            <w:tcW w:w="1126" w:type="dxa"/>
            <w:tcBorders>
              <w:top w:val="nil"/>
              <w:bottom w:val="nil"/>
            </w:tcBorders>
          </w:tcPr>
          <w:p w:rsidR="00000000" w:rsidRDefault="00000000">
            <w:pPr>
              <w:spacing w:after="80" w:line="240" w:lineRule="auto"/>
              <w:ind w:right="250"/>
              <w:jc w:val="right"/>
              <w:rPr>
                <w:sz w:val="20"/>
              </w:rPr>
            </w:pPr>
            <w:r>
              <w:rPr>
                <w:sz w:val="20"/>
              </w:rPr>
              <w:t>96 164</w:t>
            </w:r>
          </w:p>
        </w:tc>
        <w:tc>
          <w:tcPr>
            <w:tcW w:w="1126" w:type="dxa"/>
            <w:tcBorders>
              <w:top w:val="nil"/>
              <w:bottom w:val="nil"/>
            </w:tcBorders>
          </w:tcPr>
          <w:p w:rsidR="00000000" w:rsidRDefault="00000000">
            <w:pPr>
              <w:spacing w:after="80" w:line="240" w:lineRule="auto"/>
              <w:ind w:right="250"/>
              <w:jc w:val="right"/>
              <w:rPr>
                <w:sz w:val="20"/>
              </w:rPr>
            </w:pPr>
            <w:r>
              <w:rPr>
                <w:sz w:val="20"/>
              </w:rPr>
              <w:t>11.20</w:t>
            </w:r>
          </w:p>
        </w:tc>
        <w:tc>
          <w:tcPr>
            <w:tcW w:w="1126" w:type="dxa"/>
            <w:tcBorders>
              <w:top w:val="nil"/>
              <w:bottom w:val="nil"/>
            </w:tcBorders>
          </w:tcPr>
          <w:p w:rsidR="00000000" w:rsidRDefault="00000000">
            <w:pPr>
              <w:spacing w:after="80" w:line="240" w:lineRule="auto"/>
              <w:ind w:right="113"/>
              <w:jc w:val="right"/>
              <w:rPr>
                <w:sz w:val="20"/>
              </w:rPr>
            </w:pPr>
            <w:r>
              <w:rPr>
                <w:sz w:val="20"/>
              </w:rPr>
              <w:t>102 345</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11.3</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4.  </w:t>
            </w:r>
            <w:r>
              <w:rPr>
                <w:rFonts w:hint="eastAsia"/>
              </w:rPr>
              <w:t>消化系统疾病</w:t>
            </w:r>
          </w:p>
        </w:tc>
        <w:tc>
          <w:tcPr>
            <w:tcW w:w="1126" w:type="dxa"/>
            <w:tcBorders>
              <w:top w:val="nil"/>
              <w:bottom w:val="nil"/>
            </w:tcBorders>
          </w:tcPr>
          <w:p w:rsidR="00000000" w:rsidRDefault="00000000">
            <w:pPr>
              <w:spacing w:after="80" w:line="240" w:lineRule="auto"/>
              <w:ind w:right="250"/>
              <w:jc w:val="right"/>
              <w:rPr>
                <w:sz w:val="20"/>
              </w:rPr>
            </w:pPr>
            <w:r>
              <w:rPr>
                <w:sz w:val="20"/>
              </w:rPr>
              <w:t>291 787</w:t>
            </w:r>
          </w:p>
        </w:tc>
        <w:tc>
          <w:tcPr>
            <w:tcW w:w="1126" w:type="dxa"/>
            <w:tcBorders>
              <w:top w:val="nil"/>
              <w:bottom w:val="nil"/>
            </w:tcBorders>
          </w:tcPr>
          <w:p w:rsidR="00000000" w:rsidRDefault="00000000">
            <w:pPr>
              <w:spacing w:after="80" w:line="240" w:lineRule="auto"/>
              <w:ind w:right="250"/>
              <w:jc w:val="right"/>
              <w:rPr>
                <w:sz w:val="20"/>
              </w:rPr>
            </w:pPr>
            <w:r>
              <w:rPr>
                <w:sz w:val="20"/>
              </w:rPr>
              <w:t>23.70</w:t>
            </w:r>
          </w:p>
        </w:tc>
        <w:tc>
          <w:tcPr>
            <w:tcW w:w="1126" w:type="dxa"/>
            <w:tcBorders>
              <w:top w:val="nil"/>
              <w:bottom w:val="nil"/>
            </w:tcBorders>
          </w:tcPr>
          <w:p w:rsidR="00000000" w:rsidRDefault="00000000">
            <w:pPr>
              <w:spacing w:after="80" w:line="240" w:lineRule="auto"/>
              <w:ind w:right="250"/>
              <w:jc w:val="right"/>
              <w:rPr>
                <w:sz w:val="20"/>
              </w:rPr>
            </w:pPr>
            <w:r>
              <w:rPr>
                <w:sz w:val="20"/>
              </w:rPr>
              <w:t>62 561</w:t>
            </w:r>
          </w:p>
        </w:tc>
        <w:tc>
          <w:tcPr>
            <w:tcW w:w="1126" w:type="dxa"/>
            <w:tcBorders>
              <w:top w:val="nil"/>
              <w:bottom w:val="nil"/>
            </w:tcBorders>
          </w:tcPr>
          <w:p w:rsidR="00000000" w:rsidRDefault="00000000">
            <w:pPr>
              <w:spacing w:after="80" w:line="240" w:lineRule="auto"/>
              <w:ind w:right="250"/>
              <w:jc w:val="right"/>
              <w:rPr>
                <w:sz w:val="20"/>
              </w:rPr>
            </w:pPr>
            <w:r>
              <w:rPr>
                <w:sz w:val="20"/>
              </w:rPr>
              <w:t>7.27</w:t>
            </w:r>
          </w:p>
        </w:tc>
        <w:tc>
          <w:tcPr>
            <w:tcW w:w="1126" w:type="dxa"/>
            <w:tcBorders>
              <w:top w:val="nil"/>
              <w:bottom w:val="nil"/>
            </w:tcBorders>
          </w:tcPr>
          <w:p w:rsidR="00000000" w:rsidRDefault="00000000">
            <w:pPr>
              <w:spacing w:after="80" w:line="240" w:lineRule="auto"/>
              <w:ind w:right="113"/>
              <w:jc w:val="right"/>
              <w:rPr>
                <w:sz w:val="20"/>
              </w:rPr>
            </w:pPr>
            <w:r>
              <w:rPr>
                <w:sz w:val="20"/>
              </w:rPr>
              <w:t>68 932</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7.6</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5.  </w:t>
            </w:r>
            <w:r>
              <w:rPr>
                <w:rFonts w:hint="eastAsia"/>
              </w:rPr>
              <w:t>骨骼和肌肉系统疾病</w:t>
            </w:r>
          </w:p>
        </w:tc>
        <w:tc>
          <w:tcPr>
            <w:tcW w:w="1126" w:type="dxa"/>
            <w:tcBorders>
              <w:top w:val="nil"/>
              <w:bottom w:val="nil"/>
            </w:tcBorders>
          </w:tcPr>
          <w:p w:rsidR="00000000" w:rsidRDefault="00000000">
            <w:pPr>
              <w:spacing w:after="80" w:line="240" w:lineRule="auto"/>
              <w:ind w:right="250"/>
              <w:jc w:val="right"/>
              <w:rPr>
                <w:sz w:val="20"/>
              </w:rPr>
            </w:pPr>
            <w:r>
              <w:rPr>
                <w:sz w:val="20"/>
              </w:rPr>
              <w:t>62 497</w:t>
            </w:r>
          </w:p>
        </w:tc>
        <w:tc>
          <w:tcPr>
            <w:tcW w:w="1126" w:type="dxa"/>
            <w:tcBorders>
              <w:top w:val="nil"/>
              <w:bottom w:val="nil"/>
            </w:tcBorders>
          </w:tcPr>
          <w:p w:rsidR="00000000" w:rsidRDefault="00000000">
            <w:pPr>
              <w:spacing w:after="80" w:line="240" w:lineRule="auto"/>
              <w:ind w:right="250"/>
              <w:jc w:val="right"/>
              <w:rPr>
                <w:sz w:val="20"/>
              </w:rPr>
            </w:pPr>
            <w:r>
              <w:rPr>
                <w:sz w:val="20"/>
              </w:rPr>
              <w:t>5.07</w:t>
            </w:r>
          </w:p>
        </w:tc>
        <w:tc>
          <w:tcPr>
            <w:tcW w:w="1126" w:type="dxa"/>
            <w:tcBorders>
              <w:top w:val="nil"/>
              <w:bottom w:val="nil"/>
            </w:tcBorders>
          </w:tcPr>
          <w:p w:rsidR="00000000" w:rsidRDefault="00000000">
            <w:pPr>
              <w:spacing w:after="80" w:line="240" w:lineRule="auto"/>
              <w:ind w:right="250"/>
              <w:jc w:val="right"/>
              <w:rPr>
                <w:sz w:val="20"/>
              </w:rPr>
            </w:pPr>
            <w:r>
              <w:rPr>
                <w:sz w:val="20"/>
              </w:rPr>
              <w:t>54 633</w:t>
            </w:r>
          </w:p>
        </w:tc>
        <w:tc>
          <w:tcPr>
            <w:tcW w:w="1126" w:type="dxa"/>
            <w:tcBorders>
              <w:top w:val="nil"/>
              <w:bottom w:val="nil"/>
            </w:tcBorders>
          </w:tcPr>
          <w:p w:rsidR="00000000" w:rsidRDefault="00000000">
            <w:pPr>
              <w:spacing w:after="80" w:line="240" w:lineRule="auto"/>
              <w:ind w:right="250"/>
              <w:jc w:val="right"/>
              <w:rPr>
                <w:sz w:val="20"/>
              </w:rPr>
            </w:pPr>
            <w:r>
              <w:rPr>
                <w:sz w:val="20"/>
              </w:rPr>
              <w:t>6.34</w:t>
            </w:r>
          </w:p>
        </w:tc>
        <w:tc>
          <w:tcPr>
            <w:tcW w:w="1126" w:type="dxa"/>
            <w:tcBorders>
              <w:top w:val="nil"/>
              <w:bottom w:val="nil"/>
            </w:tcBorders>
          </w:tcPr>
          <w:p w:rsidR="00000000" w:rsidRDefault="00000000">
            <w:pPr>
              <w:spacing w:after="80" w:line="240" w:lineRule="auto"/>
              <w:ind w:right="113"/>
              <w:jc w:val="right"/>
              <w:rPr>
                <w:sz w:val="20"/>
              </w:rPr>
            </w:pPr>
            <w:r>
              <w:rPr>
                <w:sz w:val="20"/>
              </w:rPr>
              <w:t>61 249</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6.7</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6.  </w:t>
            </w:r>
            <w:r>
              <w:rPr>
                <w:rFonts w:hint="eastAsia"/>
              </w:rPr>
              <w:t>皮肤和皮下组织疾病</w:t>
            </w:r>
          </w:p>
        </w:tc>
        <w:tc>
          <w:tcPr>
            <w:tcW w:w="1126" w:type="dxa"/>
            <w:tcBorders>
              <w:top w:val="nil"/>
              <w:bottom w:val="nil"/>
            </w:tcBorders>
          </w:tcPr>
          <w:p w:rsidR="00000000" w:rsidRDefault="00000000">
            <w:pPr>
              <w:spacing w:after="80" w:line="240" w:lineRule="auto"/>
              <w:ind w:right="250"/>
              <w:jc w:val="right"/>
              <w:rPr>
                <w:sz w:val="20"/>
              </w:rPr>
            </w:pPr>
            <w:r>
              <w:rPr>
                <w:sz w:val="20"/>
              </w:rPr>
              <w:t>35 370</w:t>
            </w:r>
          </w:p>
        </w:tc>
        <w:tc>
          <w:tcPr>
            <w:tcW w:w="1126" w:type="dxa"/>
            <w:tcBorders>
              <w:top w:val="nil"/>
              <w:bottom w:val="nil"/>
            </w:tcBorders>
          </w:tcPr>
          <w:p w:rsidR="00000000" w:rsidRDefault="00000000">
            <w:pPr>
              <w:spacing w:after="80" w:line="240" w:lineRule="auto"/>
              <w:ind w:right="250"/>
              <w:jc w:val="right"/>
              <w:rPr>
                <w:sz w:val="20"/>
              </w:rPr>
            </w:pPr>
            <w:r>
              <w:rPr>
                <w:sz w:val="20"/>
              </w:rPr>
              <w:t>2.90</w:t>
            </w:r>
          </w:p>
        </w:tc>
        <w:tc>
          <w:tcPr>
            <w:tcW w:w="1126" w:type="dxa"/>
            <w:tcBorders>
              <w:top w:val="nil"/>
              <w:bottom w:val="nil"/>
            </w:tcBorders>
          </w:tcPr>
          <w:p w:rsidR="00000000" w:rsidRDefault="00000000">
            <w:pPr>
              <w:spacing w:after="80" w:line="240" w:lineRule="auto"/>
              <w:ind w:right="250"/>
              <w:jc w:val="right"/>
              <w:rPr>
                <w:sz w:val="20"/>
              </w:rPr>
            </w:pPr>
            <w:r>
              <w:rPr>
                <w:sz w:val="20"/>
              </w:rPr>
              <w:t>31 436</w:t>
            </w:r>
          </w:p>
        </w:tc>
        <w:tc>
          <w:tcPr>
            <w:tcW w:w="1126" w:type="dxa"/>
            <w:tcBorders>
              <w:top w:val="nil"/>
              <w:bottom w:val="nil"/>
            </w:tcBorders>
          </w:tcPr>
          <w:p w:rsidR="00000000" w:rsidRDefault="00000000">
            <w:pPr>
              <w:spacing w:after="80" w:line="240" w:lineRule="auto"/>
              <w:ind w:right="250"/>
              <w:jc w:val="right"/>
              <w:rPr>
                <w:sz w:val="20"/>
              </w:rPr>
            </w:pPr>
            <w:r>
              <w:rPr>
                <w:sz w:val="20"/>
              </w:rPr>
              <w:t>3.65</w:t>
            </w:r>
          </w:p>
        </w:tc>
        <w:tc>
          <w:tcPr>
            <w:tcW w:w="1126" w:type="dxa"/>
            <w:tcBorders>
              <w:top w:val="nil"/>
              <w:bottom w:val="nil"/>
            </w:tcBorders>
          </w:tcPr>
          <w:p w:rsidR="00000000" w:rsidRDefault="00000000">
            <w:pPr>
              <w:spacing w:after="80" w:line="240" w:lineRule="auto"/>
              <w:ind w:right="113"/>
              <w:jc w:val="right"/>
              <w:rPr>
                <w:sz w:val="20"/>
              </w:rPr>
            </w:pPr>
            <w:r>
              <w:rPr>
                <w:sz w:val="20"/>
              </w:rPr>
              <w:t>36 043</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4</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7.  </w:t>
            </w:r>
            <w:r>
              <w:rPr>
                <w:rFonts w:hint="eastAsia"/>
              </w:rPr>
              <w:t>传染病和寄生虫疾病</w:t>
            </w:r>
          </w:p>
        </w:tc>
        <w:tc>
          <w:tcPr>
            <w:tcW w:w="1126" w:type="dxa"/>
            <w:tcBorders>
              <w:top w:val="nil"/>
              <w:bottom w:val="nil"/>
            </w:tcBorders>
          </w:tcPr>
          <w:p w:rsidR="00000000" w:rsidRDefault="00000000">
            <w:pPr>
              <w:spacing w:after="80" w:line="240" w:lineRule="auto"/>
              <w:ind w:right="250"/>
              <w:jc w:val="right"/>
              <w:rPr>
                <w:sz w:val="20"/>
              </w:rPr>
            </w:pPr>
            <w:r>
              <w:rPr>
                <w:sz w:val="20"/>
              </w:rPr>
              <w:t>33 654</w:t>
            </w:r>
          </w:p>
        </w:tc>
        <w:tc>
          <w:tcPr>
            <w:tcW w:w="1126" w:type="dxa"/>
            <w:tcBorders>
              <w:top w:val="nil"/>
              <w:bottom w:val="nil"/>
            </w:tcBorders>
          </w:tcPr>
          <w:p w:rsidR="00000000" w:rsidRDefault="00000000">
            <w:pPr>
              <w:spacing w:after="80" w:line="240" w:lineRule="auto"/>
              <w:ind w:right="250"/>
              <w:jc w:val="right"/>
              <w:rPr>
                <w:sz w:val="20"/>
              </w:rPr>
            </w:pPr>
            <w:r>
              <w:rPr>
                <w:sz w:val="20"/>
              </w:rPr>
              <w:t>2.70</w:t>
            </w:r>
          </w:p>
        </w:tc>
        <w:tc>
          <w:tcPr>
            <w:tcW w:w="1126" w:type="dxa"/>
            <w:tcBorders>
              <w:top w:val="nil"/>
              <w:bottom w:val="nil"/>
            </w:tcBorders>
          </w:tcPr>
          <w:p w:rsidR="00000000" w:rsidRDefault="00000000">
            <w:pPr>
              <w:spacing w:after="80" w:line="240" w:lineRule="auto"/>
              <w:ind w:right="250"/>
              <w:jc w:val="right"/>
              <w:rPr>
                <w:sz w:val="20"/>
              </w:rPr>
            </w:pPr>
            <w:r>
              <w:rPr>
                <w:sz w:val="20"/>
              </w:rPr>
              <w:t>27 025</w:t>
            </w:r>
          </w:p>
        </w:tc>
        <w:tc>
          <w:tcPr>
            <w:tcW w:w="1126" w:type="dxa"/>
            <w:tcBorders>
              <w:top w:val="nil"/>
              <w:bottom w:val="nil"/>
            </w:tcBorders>
          </w:tcPr>
          <w:p w:rsidR="00000000" w:rsidRDefault="00000000">
            <w:pPr>
              <w:spacing w:after="80" w:line="240" w:lineRule="auto"/>
              <w:ind w:right="250"/>
              <w:jc w:val="right"/>
              <w:rPr>
                <w:sz w:val="20"/>
              </w:rPr>
            </w:pPr>
            <w:r>
              <w:rPr>
                <w:sz w:val="20"/>
              </w:rPr>
              <w:t>3.14</w:t>
            </w:r>
          </w:p>
        </w:tc>
        <w:tc>
          <w:tcPr>
            <w:tcW w:w="1126" w:type="dxa"/>
            <w:tcBorders>
              <w:top w:val="nil"/>
              <w:bottom w:val="nil"/>
            </w:tcBorders>
          </w:tcPr>
          <w:p w:rsidR="00000000" w:rsidRDefault="00000000">
            <w:pPr>
              <w:spacing w:after="80" w:line="240" w:lineRule="auto"/>
              <w:ind w:right="113"/>
              <w:jc w:val="right"/>
              <w:rPr>
                <w:sz w:val="20"/>
              </w:rPr>
            </w:pPr>
            <w:r>
              <w:rPr>
                <w:sz w:val="20"/>
              </w:rPr>
              <w:t>27 188</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3</w:t>
            </w:r>
          </w:p>
        </w:tc>
      </w:tr>
      <w:tr w:rsidR="00000000">
        <w:tblPrEx>
          <w:tblCellMar>
            <w:top w:w="0" w:type="dxa"/>
            <w:bottom w:w="0" w:type="dxa"/>
          </w:tblCellMar>
        </w:tblPrEx>
        <w:trPr>
          <w:trHeight w:val="506"/>
        </w:trPr>
        <w:tc>
          <w:tcPr>
            <w:tcW w:w="2653" w:type="dxa"/>
            <w:tcBorders>
              <w:top w:val="nil"/>
              <w:bottom w:val="nil"/>
            </w:tcBorders>
          </w:tcPr>
          <w:p w:rsidR="00000000" w:rsidRDefault="00000000">
            <w:pPr>
              <w:pStyle w:val="a2"/>
              <w:spacing w:line="240" w:lineRule="auto"/>
              <w:ind w:left="588" w:hanging="458"/>
              <w:rPr>
                <w:rFonts w:hint="eastAsia"/>
              </w:rPr>
            </w:pPr>
            <w:r>
              <w:rPr>
                <w:rFonts w:hint="eastAsia"/>
              </w:rPr>
              <w:t xml:space="preserve">8.  </w:t>
            </w:r>
            <w:r>
              <w:rPr>
                <w:rFonts w:hint="eastAsia"/>
              </w:rPr>
              <w:t>内分泌和新陈代谢疾病</w:t>
            </w:r>
          </w:p>
        </w:tc>
        <w:tc>
          <w:tcPr>
            <w:tcW w:w="1126" w:type="dxa"/>
            <w:tcBorders>
              <w:top w:val="nil"/>
              <w:bottom w:val="nil"/>
            </w:tcBorders>
          </w:tcPr>
          <w:p w:rsidR="00000000" w:rsidRDefault="00000000">
            <w:pPr>
              <w:spacing w:after="80" w:line="240" w:lineRule="auto"/>
              <w:ind w:right="57"/>
              <w:jc w:val="right"/>
              <w:rPr>
                <w:sz w:val="20"/>
              </w:rPr>
            </w:pPr>
            <w:r>
              <w:rPr>
                <w:sz w:val="20"/>
              </w:rPr>
              <w:t>Soo-T98</w:t>
            </w:r>
            <w:r>
              <w:rPr>
                <w:b/>
                <w:bCs/>
                <w:sz w:val="20"/>
                <w:vertAlign w:val="superscript"/>
              </w:rPr>
              <w:t>a</w:t>
            </w:r>
            <w:r>
              <w:rPr>
                <w:sz w:val="20"/>
              </w:rPr>
              <w:t xml:space="preserve"> 43 895</w:t>
            </w:r>
          </w:p>
        </w:tc>
        <w:tc>
          <w:tcPr>
            <w:tcW w:w="1126" w:type="dxa"/>
            <w:tcBorders>
              <w:top w:val="nil"/>
              <w:bottom w:val="nil"/>
            </w:tcBorders>
          </w:tcPr>
          <w:p w:rsidR="00000000" w:rsidRDefault="00000000">
            <w:pPr>
              <w:spacing w:after="80" w:line="240" w:lineRule="auto"/>
              <w:ind w:right="250"/>
              <w:jc w:val="right"/>
              <w:rPr>
                <w:sz w:val="20"/>
              </w:rPr>
            </w:pPr>
            <w:r>
              <w:rPr>
                <w:sz w:val="20"/>
              </w:rPr>
              <w:t>3.56</w:t>
            </w:r>
          </w:p>
        </w:tc>
        <w:tc>
          <w:tcPr>
            <w:tcW w:w="1126" w:type="dxa"/>
            <w:tcBorders>
              <w:top w:val="nil"/>
              <w:bottom w:val="nil"/>
            </w:tcBorders>
          </w:tcPr>
          <w:p w:rsidR="00000000" w:rsidRDefault="00000000">
            <w:pPr>
              <w:spacing w:after="80" w:line="240" w:lineRule="auto"/>
              <w:ind w:right="113"/>
              <w:jc w:val="right"/>
              <w:rPr>
                <w:sz w:val="20"/>
              </w:rPr>
            </w:pPr>
            <w:r>
              <w:rPr>
                <w:sz w:val="20"/>
              </w:rPr>
              <w:t>25 560</w:t>
            </w:r>
          </w:p>
        </w:tc>
        <w:tc>
          <w:tcPr>
            <w:tcW w:w="1126" w:type="dxa"/>
            <w:tcBorders>
              <w:top w:val="nil"/>
              <w:bottom w:val="nil"/>
            </w:tcBorders>
          </w:tcPr>
          <w:p w:rsidR="00000000" w:rsidRDefault="00000000">
            <w:pPr>
              <w:spacing w:after="80" w:line="240" w:lineRule="auto"/>
              <w:ind w:right="170"/>
              <w:jc w:val="right"/>
              <w:rPr>
                <w:sz w:val="20"/>
              </w:rPr>
            </w:pPr>
            <w:r>
              <w:rPr>
                <w:sz w:val="20"/>
              </w:rPr>
              <w:t>2.97</w:t>
            </w:r>
          </w:p>
        </w:tc>
        <w:tc>
          <w:tcPr>
            <w:tcW w:w="1126" w:type="dxa"/>
            <w:tcBorders>
              <w:top w:val="nil"/>
              <w:bottom w:val="nil"/>
            </w:tcBorders>
          </w:tcPr>
          <w:p w:rsidR="00000000" w:rsidRDefault="00000000">
            <w:pPr>
              <w:spacing w:after="80" w:line="240" w:lineRule="auto"/>
              <w:ind w:right="113"/>
              <w:jc w:val="right"/>
              <w:rPr>
                <w:sz w:val="20"/>
              </w:rPr>
            </w:pPr>
            <w:r>
              <w:rPr>
                <w:sz w:val="20"/>
              </w:rPr>
              <w:t>Soo-T98</w:t>
            </w:r>
            <w:r>
              <w:rPr>
                <w:b/>
                <w:bCs/>
                <w:sz w:val="20"/>
                <w:vertAlign w:val="superscript"/>
              </w:rPr>
              <w:t>a</w:t>
            </w:r>
            <w:r>
              <w:rPr>
                <w:sz w:val="20"/>
              </w:rPr>
              <w:t xml:space="preserve"> 43 344</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4.8</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113"/>
              <w:rPr>
                <w:rFonts w:hint="eastAsia"/>
              </w:rPr>
            </w:pPr>
            <w:r>
              <w:rPr>
                <w:rFonts w:hint="eastAsia"/>
              </w:rPr>
              <w:t xml:space="preserve">9.  </w:t>
            </w:r>
            <w:r>
              <w:rPr>
                <w:rFonts w:hint="eastAsia"/>
              </w:rPr>
              <w:t>眼部疾病</w:t>
            </w:r>
          </w:p>
        </w:tc>
        <w:tc>
          <w:tcPr>
            <w:tcW w:w="1126" w:type="dxa"/>
            <w:tcBorders>
              <w:top w:val="nil"/>
              <w:bottom w:val="nil"/>
            </w:tcBorders>
          </w:tcPr>
          <w:p w:rsidR="00000000" w:rsidRDefault="00000000">
            <w:pPr>
              <w:spacing w:after="80" w:line="240" w:lineRule="auto"/>
              <w:ind w:right="57"/>
              <w:jc w:val="right"/>
              <w:rPr>
                <w:sz w:val="20"/>
              </w:rPr>
            </w:pPr>
            <w:r>
              <w:rPr>
                <w:sz w:val="20"/>
              </w:rPr>
              <w:t>31 364</w:t>
            </w:r>
          </w:p>
        </w:tc>
        <w:tc>
          <w:tcPr>
            <w:tcW w:w="1126" w:type="dxa"/>
            <w:tcBorders>
              <w:top w:val="nil"/>
              <w:bottom w:val="nil"/>
            </w:tcBorders>
          </w:tcPr>
          <w:p w:rsidR="00000000" w:rsidRDefault="00000000">
            <w:pPr>
              <w:spacing w:after="80" w:line="240" w:lineRule="auto"/>
              <w:ind w:right="250"/>
              <w:jc w:val="right"/>
              <w:rPr>
                <w:sz w:val="20"/>
              </w:rPr>
            </w:pPr>
            <w:r>
              <w:rPr>
                <w:sz w:val="20"/>
              </w:rPr>
              <w:t>2.54</w:t>
            </w:r>
          </w:p>
        </w:tc>
        <w:tc>
          <w:tcPr>
            <w:tcW w:w="1126" w:type="dxa"/>
            <w:tcBorders>
              <w:top w:val="nil"/>
              <w:bottom w:val="nil"/>
            </w:tcBorders>
          </w:tcPr>
          <w:p w:rsidR="00000000" w:rsidRDefault="00000000">
            <w:pPr>
              <w:spacing w:after="80" w:line="240" w:lineRule="auto"/>
              <w:ind w:right="113"/>
              <w:jc w:val="right"/>
              <w:rPr>
                <w:sz w:val="20"/>
              </w:rPr>
            </w:pPr>
            <w:r>
              <w:rPr>
                <w:sz w:val="20"/>
              </w:rPr>
              <w:t>FOO-F99</w:t>
            </w:r>
            <w:r>
              <w:rPr>
                <w:b/>
                <w:bCs/>
                <w:sz w:val="20"/>
                <w:vertAlign w:val="superscript"/>
              </w:rPr>
              <w:t>b</w:t>
            </w:r>
            <w:r>
              <w:rPr>
                <w:sz w:val="20"/>
              </w:rPr>
              <w:t xml:space="preserve"> 27 123</w:t>
            </w:r>
          </w:p>
        </w:tc>
        <w:tc>
          <w:tcPr>
            <w:tcW w:w="1126" w:type="dxa"/>
            <w:tcBorders>
              <w:top w:val="nil"/>
              <w:bottom w:val="nil"/>
            </w:tcBorders>
          </w:tcPr>
          <w:p w:rsidR="00000000" w:rsidRDefault="00000000">
            <w:pPr>
              <w:spacing w:after="80" w:line="240" w:lineRule="auto"/>
              <w:ind w:right="170"/>
              <w:jc w:val="right"/>
              <w:rPr>
                <w:sz w:val="20"/>
              </w:rPr>
            </w:pPr>
            <w:r>
              <w:rPr>
                <w:sz w:val="20"/>
              </w:rPr>
              <w:t>3.15</w:t>
            </w:r>
          </w:p>
        </w:tc>
        <w:tc>
          <w:tcPr>
            <w:tcW w:w="1126" w:type="dxa"/>
            <w:tcBorders>
              <w:top w:val="nil"/>
              <w:bottom w:val="nil"/>
            </w:tcBorders>
          </w:tcPr>
          <w:p w:rsidR="00000000" w:rsidRDefault="00000000">
            <w:pPr>
              <w:spacing w:after="80" w:line="240" w:lineRule="auto"/>
              <w:ind w:right="113"/>
              <w:jc w:val="right"/>
              <w:rPr>
                <w:sz w:val="20"/>
              </w:rPr>
            </w:pPr>
            <w:r>
              <w:rPr>
                <w:sz w:val="20"/>
              </w:rPr>
              <w:t>24 057</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2.65</w:t>
            </w:r>
          </w:p>
        </w:tc>
      </w:tr>
      <w:tr w:rsidR="00000000">
        <w:tblPrEx>
          <w:tblCellMar>
            <w:top w:w="0" w:type="dxa"/>
            <w:bottom w:w="0" w:type="dxa"/>
          </w:tblCellMar>
        </w:tblPrEx>
        <w:tc>
          <w:tcPr>
            <w:tcW w:w="2653" w:type="dxa"/>
            <w:tcBorders>
              <w:top w:val="nil"/>
              <w:bottom w:val="nil"/>
            </w:tcBorders>
          </w:tcPr>
          <w:p w:rsidR="00000000" w:rsidRDefault="00000000">
            <w:pPr>
              <w:pStyle w:val="a2"/>
              <w:spacing w:line="240" w:lineRule="auto"/>
              <w:ind w:left="113"/>
              <w:rPr>
                <w:rFonts w:hint="eastAsia"/>
              </w:rPr>
            </w:pPr>
            <w:r>
              <w:rPr>
                <w:rFonts w:hint="eastAsia"/>
              </w:rPr>
              <w:t xml:space="preserve">10  </w:t>
            </w:r>
            <w:r>
              <w:rPr>
                <w:rFonts w:hint="eastAsia"/>
              </w:rPr>
              <w:t>耳朵和乳突疾病</w:t>
            </w:r>
          </w:p>
        </w:tc>
        <w:tc>
          <w:tcPr>
            <w:tcW w:w="1126" w:type="dxa"/>
            <w:tcBorders>
              <w:top w:val="nil"/>
              <w:bottom w:val="nil"/>
            </w:tcBorders>
          </w:tcPr>
          <w:p w:rsidR="00000000" w:rsidRDefault="00000000">
            <w:pPr>
              <w:spacing w:after="80" w:line="240" w:lineRule="auto"/>
              <w:ind w:right="57"/>
              <w:jc w:val="right"/>
              <w:rPr>
                <w:sz w:val="20"/>
              </w:rPr>
            </w:pPr>
            <w:r>
              <w:rPr>
                <w:sz w:val="20"/>
              </w:rPr>
              <w:t>FOO-F99</w:t>
            </w:r>
            <w:r>
              <w:rPr>
                <w:b/>
                <w:bCs/>
                <w:sz w:val="20"/>
                <w:vertAlign w:val="superscript"/>
              </w:rPr>
              <w:t>b</w:t>
            </w:r>
            <w:r>
              <w:rPr>
                <w:sz w:val="20"/>
              </w:rPr>
              <w:t xml:space="preserve"> 29 805</w:t>
            </w:r>
          </w:p>
        </w:tc>
        <w:tc>
          <w:tcPr>
            <w:tcW w:w="1126" w:type="dxa"/>
            <w:tcBorders>
              <w:top w:val="nil"/>
              <w:bottom w:val="nil"/>
            </w:tcBorders>
          </w:tcPr>
          <w:p w:rsidR="00000000" w:rsidRDefault="00000000">
            <w:pPr>
              <w:spacing w:after="80" w:line="240" w:lineRule="auto"/>
              <w:ind w:right="250"/>
              <w:jc w:val="right"/>
              <w:rPr>
                <w:sz w:val="20"/>
              </w:rPr>
            </w:pPr>
            <w:r>
              <w:rPr>
                <w:sz w:val="20"/>
              </w:rPr>
              <w:t>2.40</w:t>
            </w:r>
          </w:p>
        </w:tc>
        <w:tc>
          <w:tcPr>
            <w:tcW w:w="1126" w:type="dxa"/>
            <w:tcBorders>
              <w:top w:val="nil"/>
              <w:bottom w:val="nil"/>
            </w:tcBorders>
          </w:tcPr>
          <w:p w:rsidR="00000000" w:rsidRDefault="00000000">
            <w:pPr>
              <w:spacing w:after="80" w:line="240" w:lineRule="auto"/>
              <w:ind w:right="113"/>
              <w:jc w:val="right"/>
              <w:rPr>
                <w:sz w:val="20"/>
              </w:rPr>
            </w:pPr>
            <w:r>
              <w:rPr>
                <w:sz w:val="20"/>
              </w:rPr>
              <w:t>Soo-T98</w:t>
            </w:r>
            <w:r>
              <w:rPr>
                <w:b/>
                <w:bCs/>
                <w:sz w:val="20"/>
                <w:vertAlign w:val="superscript"/>
              </w:rPr>
              <w:t>a</w:t>
            </w:r>
            <w:r>
              <w:rPr>
                <w:sz w:val="20"/>
              </w:rPr>
              <w:t xml:space="preserve"> 39 580</w:t>
            </w:r>
          </w:p>
        </w:tc>
        <w:tc>
          <w:tcPr>
            <w:tcW w:w="1126" w:type="dxa"/>
            <w:tcBorders>
              <w:top w:val="nil"/>
              <w:bottom w:val="nil"/>
            </w:tcBorders>
          </w:tcPr>
          <w:p w:rsidR="00000000" w:rsidRDefault="00000000">
            <w:pPr>
              <w:spacing w:after="80" w:line="240" w:lineRule="auto"/>
              <w:ind w:right="170"/>
              <w:jc w:val="right"/>
              <w:rPr>
                <w:sz w:val="20"/>
              </w:rPr>
            </w:pPr>
            <w:r>
              <w:rPr>
                <w:sz w:val="20"/>
              </w:rPr>
              <w:t>4.60</w:t>
            </w:r>
          </w:p>
        </w:tc>
        <w:tc>
          <w:tcPr>
            <w:tcW w:w="1126" w:type="dxa"/>
            <w:tcBorders>
              <w:top w:val="nil"/>
              <w:bottom w:val="nil"/>
            </w:tcBorders>
          </w:tcPr>
          <w:p w:rsidR="00000000" w:rsidRDefault="00000000">
            <w:pPr>
              <w:spacing w:after="80" w:line="240" w:lineRule="auto"/>
              <w:ind w:right="113"/>
              <w:jc w:val="right"/>
              <w:rPr>
                <w:sz w:val="20"/>
              </w:rPr>
            </w:pPr>
            <w:r>
              <w:rPr>
                <w:sz w:val="20"/>
              </w:rPr>
              <w:t>2 529</w:t>
            </w:r>
          </w:p>
        </w:tc>
        <w:tc>
          <w:tcPr>
            <w:tcW w:w="1127" w:type="dxa"/>
            <w:tcBorders>
              <w:top w:val="nil"/>
              <w:bottom w:val="nil"/>
            </w:tcBorders>
          </w:tcPr>
          <w:p w:rsidR="00000000" w:rsidRDefault="00000000">
            <w:pPr>
              <w:tabs>
                <w:tab w:val="decimal" w:pos="537"/>
              </w:tabs>
              <w:spacing w:after="80" w:line="240" w:lineRule="auto"/>
              <w:jc w:val="left"/>
              <w:rPr>
                <w:sz w:val="20"/>
              </w:rPr>
            </w:pPr>
            <w:r>
              <w:rPr>
                <w:sz w:val="20"/>
              </w:rPr>
              <w:t>2.8</w:t>
            </w:r>
          </w:p>
        </w:tc>
      </w:tr>
      <w:tr w:rsidR="00000000">
        <w:tblPrEx>
          <w:tblCellMar>
            <w:top w:w="0" w:type="dxa"/>
            <w:bottom w:w="0" w:type="dxa"/>
          </w:tblCellMar>
        </w:tblPrEx>
        <w:tc>
          <w:tcPr>
            <w:tcW w:w="2653" w:type="dxa"/>
            <w:tcBorders>
              <w:top w:val="nil"/>
              <w:bottom w:val="single" w:sz="4" w:space="0" w:color="auto"/>
            </w:tcBorders>
          </w:tcPr>
          <w:p w:rsidR="00000000" w:rsidRDefault="00000000">
            <w:pPr>
              <w:pStyle w:val="a2"/>
              <w:ind w:left="113"/>
              <w:rPr>
                <w:rFonts w:hint="eastAsia"/>
              </w:rPr>
            </w:pPr>
            <w:r>
              <w:rPr>
                <w:rFonts w:hint="eastAsia"/>
              </w:rPr>
              <w:t xml:space="preserve">    </w:t>
            </w:r>
            <w:r>
              <w:rPr>
                <w:rFonts w:hint="eastAsia"/>
              </w:rPr>
              <w:t>其它疾病</w:t>
            </w:r>
          </w:p>
        </w:tc>
        <w:tc>
          <w:tcPr>
            <w:tcW w:w="1126" w:type="dxa"/>
            <w:tcBorders>
              <w:top w:val="nil"/>
              <w:bottom w:val="single" w:sz="4" w:space="0" w:color="auto"/>
            </w:tcBorders>
          </w:tcPr>
          <w:p w:rsidR="00000000" w:rsidRDefault="00000000">
            <w:pPr>
              <w:ind w:right="57"/>
              <w:jc w:val="right"/>
              <w:rPr>
                <w:sz w:val="20"/>
              </w:rPr>
            </w:pPr>
            <w:r>
              <w:rPr>
                <w:sz w:val="20"/>
              </w:rPr>
              <w:t>135 291</w:t>
            </w:r>
          </w:p>
        </w:tc>
        <w:tc>
          <w:tcPr>
            <w:tcW w:w="1126" w:type="dxa"/>
            <w:tcBorders>
              <w:top w:val="nil"/>
              <w:bottom w:val="single" w:sz="4" w:space="0" w:color="auto"/>
            </w:tcBorders>
          </w:tcPr>
          <w:p w:rsidR="00000000" w:rsidRDefault="00000000">
            <w:pPr>
              <w:spacing w:after="80" w:line="240" w:lineRule="auto"/>
              <w:ind w:right="250"/>
              <w:jc w:val="right"/>
              <w:rPr>
                <w:sz w:val="20"/>
              </w:rPr>
            </w:pPr>
            <w:r>
              <w:rPr>
                <w:sz w:val="20"/>
              </w:rPr>
              <w:t>11.00</w:t>
            </w:r>
          </w:p>
        </w:tc>
        <w:tc>
          <w:tcPr>
            <w:tcW w:w="1126" w:type="dxa"/>
            <w:tcBorders>
              <w:top w:val="nil"/>
              <w:bottom w:val="single" w:sz="4" w:space="0" w:color="auto"/>
            </w:tcBorders>
          </w:tcPr>
          <w:p w:rsidR="00000000" w:rsidRDefault="00000000">
            <w:pPr>
              <w:ind w:right="113"/>
              <w:jc w:val="right"/>
              <w:rPr>
                <w:sz w:val="20"/>
              </w:rPr>
            </w:pPr>
            <w:r>
              <w:rPr>
                <w:sz w:val="20"/>
              </w:rPr>
              <w:t>122 092</w:t>
            </w:r>
          </w:p>
        </w:tc>
        <w:tc>
          <w:tcPr>
            <w:tcW w:w="1126" w:type="dxa"/>
            <w:tcBorders>
              <w:top w:val="nil"/>
              <w:bottom w:val="single" w:sz="4" w:space="0" w:color="auto"/>
            </w:tcBorders>
          </w:tcPr>
          <w:p w:rsidR="00000000" w:rsidRDefault="00000000">
            <w:pPr>
              <w:ind w:right="170"/>
              <w:jc w:val="right"/>
              <w:rPr>
                <w:sz w:val="20"/>
              </w:rPr>
            </w:pPr>
            <w:r>
              <w:rPr>
                <w:sz w:val="20"/>
              </w:rPr>
              <w:t>19.20</w:t>
            </w:r>
          </w:p>
        </w:tc>
        <w:tc>
          <w:tcPr>
            <w:tcW w:w="1126" w:type="dxa"/>
            <w:tcBorders>
              <w:top w:val="nil"/>
              <w:bottom w:val="single" w:sz="4" w:space="0" w:color="auto"/>
            </w:tcBorders>
          </w:tcPr>
          <w:p w:rsidR="00000000" w:rsidRDefault="00000000">
            <w:pPr>
              <w:ind w:right="113"/>
              <w:jc w:val="right"/>
              <w:rPr>
                <w:sz w:val="20"/>
              </w:rPr>
            </w:pPr>
            <w:r>
              <w:rPr>
                <w:sz w:val="20"/>
              </w:rPr>
              <w:t>126 499</w:t>
            </w:r>
          </w:p>
        </w:tc>
        <w:tc>
          <w:tcPr>
            <w:tcW w:w="1127" w:type="dxa"/>
            <w:tcBorders>
              <w:top w:val="nil"/>
              <w:bottom w:val="single" w:sz="4" w:space="0" w:color="auto"/>
            </w:tcBorders>
          </w:tcPr>
          <w:p w:rsidR="00000000" w:rsidRDefault="00000000">
            <w:pPr>
              <w:tabs>
                <w:tab w:val="decimal" w:pos="537"/>
              </w:tabs>
              <w:spacing w:after="80" w:line="240" w:lineRule="auto"/>
              <w:jc w:val="left"/>
              <w:rPr>
                <w:sz w:val="20"/>
              </w:rPr>
            </w:pPr>
            <w:r>
              <w:rPr>
                <w:sz w:val="20"/>
              </w:rPr>
              <w:t>14</w:t>
            </w:r>
          </w:p>
        </w:tc>
      </w:tr>
      <w:tr w:rsidR="00000000">
        <w:tblPrEx>
          <w:tblCellMar>
            <w:top w:w="0" w:type="dxa"/>
            <w:bottom w:w="0" w:type="dxa"/>
          </w:tblCellMar>
        </w:tblPrEx>
        <w:tc>
          <w:tcPr>
            <w:tcW w:w="2653" w:type="dxa"/>
            <w:tcBorders>
              <w:top w:val="single" w:sz="4" w:space="0" w:color="auto"/>
            </w:tcBorders>
          </w:tcPr>
          <w:p w:rsidR="00000000" w:rsidRDefault="00000000">
            <w:pPr>
              <w:pStyle w:val="a2"/>
              <w:spacing w:before="80" w:after="40"/>
              <w:ind w:left="113"/>
              <w:rPr>
                <w:rFonts w:hint="eastAsia"/>
              </w:rPr>
            </w:pPr>
            <w:r>
              <w:t xml:space="preserve">     </w:t>
            </w:r>
            <w:r>
              <w:rPr>
                <w:rFonts w:hint="eastAsia"/>
              </w:rPr>
              <w:t>总</w:t>
            </w:r>
            <w:r>
              <w:t xml:space="preserve">  </w:t>
            </w:r>
            <w:r>
              <w:rPr>
                <w:rFonts w:hint="eastAsia"/>
              </w:rPr>
              <w:t>数</w:t>
            </w:r>
          </w:p>
        </w:tc>
        <w:tc>
          <w:tcPr>
            <w:tcW w:w="1126" w:type="dxa"/>
            <w:tcBorders>
              <w:top w:val="single" w:sz="4" w:space="0" w:color="auto"/>
            </w:tcBorders>
          </w:tcPr>
          <w:p w:rsidR="00000000" w:rsidRDefault="00000000">
            <w:pPr>
              <w:spacing w:before="80" w:after="40"/>
              <w:ind w:right="57"/>
              <w:jc w:val="right"/>
              <w:rPr>
                <w:sz w:val="20"/>
              </w:rPr>
            </w:pPr>
            <w:r>
              <w:rPr>
                <w:sz w:val="20"/>
              </w:rPr>
              <w:t>1 230 790</w:t>
            </w:r>
          </w:p>
        </w:tc>
        <w:tc>
          <w:tcPr>
            <w:tcW w:w="1126" w:type="dxa"/>
            <w:tcBorders>
              <w:top w:val="single" w:sz="4" w:space="0" w:color="auto"/>
            </w:tcBorders>
          </w:tcPr>
          <w:p w:rsidR="00000000" w:rsidRDefault="00000000">
            <w:pPr>
              <w:tabs>
                <w:tab w:val="decimal" w:pos="537"/>
              </w:tabs>
              <w:spacing w:before="80" w:after="40" w:line="240" w:lineRule="auto"/>
              <w:jc w:val="left"/>
              <w:rPr>
                <w:sz w:val="20"/>
              </w:rPr>
            </w:pPr>
            <w:r>
              <w:rPr>
                <w:sz w:val="20"/>
              </w:rPr>
              <w:t>100</w:t>
            </w:r>
          </w:p>
        </w:tc>
        <w:tc>
          <w:tcPr>
            <w:tcW w:w="1126" w:type="dxa"/>
            <w:tcBorders>
              <w:top w:val="single" w:sz="4" w:space="0" w:color="auto"/>
            </w:tcBorders>
          </w:tcPr>
          <w:p w:rsidR="00000000" w:rsidRDefault="00000000">
            <w:pPr>
              <w:spacing w:before="80" w:after="40"/>
              <w:ind w:right="113"/>
              <w:jc w:val="right"/>
              <w:rPr>
                <w:sz w:val="20"/>
              </w:rPr>
            </w:pPr>
            <w:r>
              <w:rPr>
                <w:sz w:val="20"/>
              </w:rPr>
              <w:t>860 397</w:t>
            </w:r>
          </w:p>
        </w:tc>
        <w:tc>
          <w:tcPr>
            <w:tcW w:w="1126" w:type="dxa"/>
            <w:tcBorders>
              <w:top w:val="single" w:sz="4" w:space="0" w:color="auto"/>
            </w:tcBorders>
          </w:tcPr>
          <w:p w:rsidR="00000000" w:rsidRDefault="00000000">
            <w:pPr>
              <w:tabs>
                <w:tab w:val="decimal" w:pos="646"/>
              </w:tabs>
              <w:spacing w:before="80" w:after="40" w:line="240" w:lineRule="auto"/>
              <w:rPr>
                <w:sz w:val="20"/>
              </w:rPr>
            </w:pPr>
            <w:r>
              <w:rPr>
                <w:sz w:val="20"/>
              </w:rPr>
              <w:t>100</w:t>
            </w:r>
          </w:p>
        </w:tc>
        <w:tc>
          <w:tcPr>
            <w:tcW w:w="1126" w:type="dxa"/>
            <w:tcBorders>
              <w:top w:val="single" w:sz="4" w:space="0" w:color="auto"/>
            </w:tcBorders>
          </w:tcPr>
          <w:p w:rsidR="00000000" w:rsidRDefault="00000000">
            <w:pPr>
              <w:spacing w:before="80" w:after="40"/>
              <w:ind w:right="113"/>
              <w:jc w:val="right"/>
              <w:rPr>
                <w:sz w:val="20"/>
              </w:rPr>
            </w:pPr>
            <w:r>
              <w:rPr>
                <w:sz w:val="20"/>
              </w:rPr>
              <w:t>909 316</w:t>
            </w:r>
          </w:p>
        </w:tc>
        <w:tc>
          <w:tcPr>
            <w:tcW w:w="1127" w:type="dxa"/>
            <w:tcBorders>
              <w:top w:val="single" w:sz="4" w:space="0" w:color="auto"/>
            </w:tcBorders>
          </w:tcPr>
          <w:p w:rsidR="00000000" w:rsidRDefault="00000000">
            <w:pPr>
              <w:tabs>
                <w:tab w:val="decimal" w:pos="537"/>
              </w:tabs>
              <w:spacing w:before="80" w:after="40" w:line="240" w:lineRule="auto"/>
              <w:jc w:val="left"/>
              <w:rPr>
                <w:sz w:val="20"/>
              </w:rPr>
            </w:pPr>
            <w:r>
              <w:rPr>
                <w:sz w:val="20"/>
              </w:rPr>
              <w:t>100</w:t>
            </w:r>
          </w:p>
        </w:tc>
      </w:tr>
    </w:tbl>
    <w:p w:rsidR="00000000" w:rsidRDefault="00000000">
      <w:pPr>
        <w:pStyle w:val="EndnoteText"/>
        <w:spacing w:before="160"/>
        <w:rPr>
          <w:rFonts w:hint="eastAsia"/>
        </w:rPr>
      </w:pPr>
      <w:r>
        <w:rPr>
          <w:vertAlign w:val="superscript"/>
        </w:rPr>
        <w:t>a</w:t>
      </w:r>
      <w:r>
        <w:rPr>
          <w:rFonts w:hint="eastAsia"/>
          <w:vertAlign w:val="superscript"/>
        </w:rPr>
        <w:t xml:space="preserve">  </w:t>
      </w:r>
      <w:r>
        <w:t>Soo-T98</w:t>
      </w:r>
      <w:r>
        <w:rPr>
          <w:rFonts w:eastAsia="SimSun" w:hint="eastAsia"/>
          <w:snapToGrid/>
          <w:spacing w:val="-50"/>
        </w:rPr>
        <w:t>―</w:t>
      </w:r>
      <w:r>
        <w:rPr>
          <w:rFonts w:eastAsia="SimSun" w:hint="eastAsia"/>
          <w:snapToGrid/>
        </w:rPr>
        <w:t>―</w:t>
      </w:r>
      <w:r>
        <w:rPr>
          <w:rFonts w:hint="eastAsia"/>
        </w:rPr>
        <w:t>外伤和事故、中毒和外在因素后果。</w:t>
      </w:r>
    </w:p>
    <w:p w:rsidR="00000000" w:rsidRDefault="00000000">
      <w:pPr>
        <w:pStyle w:val="EndnoteText"/>
        <w:tabs>
          <w:tab w:val="left" w:pos="1995"/>
        </w:tabs>
        <w:rPr>
          <w:rFonts w:hint="eastAsia"/>
        </w:rPr>
      </w:pPr>
      <w:r>
        <w:rPr>
          <w:vertAlign w:val="superscript"/>
        </w:rPr>
        <w:t xml:space="preserve">b  </w:t>
      </w:r>
      <w:r>
        <w:rPr>
          <w:rFonts w:hint="eastAsia"/>
        </w:rPr>
        <w:t>FOO-F99</w:t>
      </w:r>
      <w:r>
        <w:rPr>
          <w:rFonts w:hint="eastAsia"/>
          <w:spacing w:val="-50"/>
        </w:rPr>
        <w:t>―</w:t>
      </w:r>
      <w:r>
        <w:rPr>
          <w:rFonts w:eastAsia="SimSun" w:hint="eastAsia"/>
          <w:snapToGrid/>
          <w:spacing w:val="-50"/>
        </w:rPr>
        <w:t>―</w:t>
      </w:r>
      <w:r>
        <w:rPr>
          <w:rFonts w:eastAsia="SimSun" w:hint="eastAsia"/>
          <w:snapToGrid/>
        </w:rPr>
        <w:t>―</w:t>
      </w:r>
      <w:r>
        <w:rPr>
          <w:rFonts w:hint="eastAsia"/>
        </w:rPr>
        <w:t>精神和行为错乱。</w:t>
      </w:r>
    </w:p>
    <w:p w:rsidR="00000000" w:rsidRDefault="00000000">
      <w:pPr>
        <w:rPr>
          <w:rFonts w:hint="eastAsia"/>
        </w:rPr>
      </w:pPr>
    </w:p>
    <w:p w:rsidR="00000000" w:rsidRDefault="00000000">
      <w:pPr>
        <w:rPr>
          <w:rFonts w:hint="eastAsia"/>
        </w:rPr>
      </w:pPr>
      <w:r>
        <w:rPr>
          <w:rFonts w:hint="eastAsia"/>
        </w:rPr>
        <w:tab/>
        <w:t>1999-2001</w:t>
      </w:r>
      <w:r>
        <w:rPr>
          <w:rFonts w:hint="eastAsia"/>
        </w:rPr>
        <w:t>年期间的比较分析显示，塞族共和国的慢性、大规模非传染性疾病发病率高。</w:t>
      </w:r>
    </w:p>
    <w:p w:rsidR="00000000" w:rsidRDefault="00000000">
      <w:pPr>
        <w:spacing w:after="320"/>
        <w:rPr>
          <w:rFonts w:hint="eastAsia"/>
        </w:rPr>
      </w:pPr>
      <w:r>
        <w:rPr>
          <w:rFonts w:hint="eastAsia"/>
        </w:rPr>
        <w:tab/>
        <w:t xml:space="preserve">419.  </w:t>
      </w:r>
      <w:r>
        <w:rPr>
          <w:rFonts w:hint="eastAsia"/>
        </w:rPr>
        <w:t>如果检查一下这三年期间死亡的主要原因，显然这种现象没有显著变化。同波斯尼亚和黑塞哥维那战前主要和最常见死亡原因清单相比，甚至与大多数欧洲国家相比，目前的主要死亡原因清单几乎与之相同。诸如冠心病和高血压等心血管系统疾病占波斯尼亚和黑塞哥维那</w:t>
      </w:r>
      <w:r>
        <w:rPr>
          <w:rFonts w:hint="eastAsia"/>
        </w:rPr>
        <w:t>1991</w:t>
      </w:r>
      <w:r>
        <w:rPr>
          <w:rFonts w:hint="eastAsia"/>
        </w:rPr>
        <w:t>年主要死亡原因的首位，达</w:t>
      </w:r>
      <w:r>
        <w:rPr>
          <w:rFonts w:hint="eastAsia"/>
        </w:rPr>
        <w:t>50%</w:t>
      </w:r>
      <w:r>
        <w:rPr>
          <w:rFonts w:hint="eastAsia"/>
        </w:rPr>
        <w:t>，并由于残疾而丧失生命年</w:t>
      </w:r>
      <w:r>
        <w:rPr>
          <w:rFonts w:hint="eastAsia"/>
        </w:rPr>
        <w:t>(</w:t>
      </w:r>
      <w:r>
        <w:rPr>
          <w:rFonts w:hint="eastAsia"/>
        </w:rPr>
        <w:t>残疾调整生命年</w:t>
      </w:r>
      <w:r>
        <w:rPr>
          <w:rFonts w:hint="eastAsia"/>
        </w:rPr>
        <w:t>)</w:t>
      </w:r>
      <w:r>
        <w:rPr>
          <w:rFonts w:hint="eastAsia"/>
        </w:rPr>
        <w:t>。恶性肿瘤占第二位，达</w:t>
      </w:r>
      <w:r>
        <w:rPr>
          <w:rFonts w:hint="eastAsia"/>
        </w:rPr>
        <w:t>18%</w:t>
      </w:r>
      <w:r>
        <w:rPr>
          <w:rFonts w:hint="eastAsia"/>
        </w:rPr>
        <w:t>，其数字在过去几十年内有所增长。各种症状和其它未作界定的病况在清单上占第三位。外伤和中毒也在增加，占特定死亡原因的第三位。</w:t>
      </w:r>
    </w:p>
    <w:p w:rsidR="00000000" w:rsidRDefault="00000000">
      <w:pPr>
        <w:pStyle w:val="Heading3"/>
        <w:spacing w:after="120"/>
        <w:rPr>
          <w:rFonts w:hint="eastAsia"/>
        </w:rPr>
      </w:pPr>
      <w:r>
        <w:rPr>
          <w:rFonts w:hint="eastAsia"/>
          <w:u w:val="none"/>
        </w:rPr>
        <w:t>表</w:t>
      </w:r>
      <w:r>
        <w:rPr>
          <w:u w:val="none"/>
        </w:rPr>
        <w:t xml:space="preserve">  </w:t>
      </w:r>
      <w:r>
        <w:rPr>
          <w:rFonts w:hint="eastAsia"/>
          <w:u w:val="none"/>
        </w:rPr>
        <w:t>10</w:t>
      </w:r>
      <w:r>
        <w:br/>
      </w:r>
      <w:r>
        <w:rPr>
          <w:rFonts w:hint="eastAsia"/>
        </w:rPr>
        <w:t>波斯尼亚和黑塞哥维那联邦</w:t>
      </w:r>
      <w:r>
        <w:rPr>
          <w:rFonts w:hint="eastAsia"/>
        </w:rPr>
        <w:t>1999-2001</w:t>
      </w:r>
      <w:r>
        <w:rPr>
          <w:rFonts w:hint="eastAsia"/>
        </w:rPr>
        <w:t>年期间慢性非传染性疾病</w:t>
      </w:r>
      <w:r>
        <w:br/>
      </w:r>
      <w:r>
        <w:rPr>
          <w:rFonts w:hint="eastAsia"/>
        </w:rPr>
        <w:t>(</w:t>
      </w:r>
      <w:r>
        <w:rPr>
          <w:rFonts w:hint="eastAsia"/>
        </w:rPr>
        <w:t>每</w:t>
      </w:r>
      <w:r>
        <w:rPr>
          <w:rFonts w:hint="eastAsia"/>
        </w:rPr>
        <w:t>100,000</w:t>
      </w:r>
      <w:r>
        <w:rPr>
          <w:rFonts w:hint="eastAsia"/>
        </w:rPr>
        <w:t>居民比率</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78"/>
        <w:gridCol w:w="2044"/>
        <w:gridCol w:w="2044"/>
        <w:gridCol w:w="2044"/>
      </w:tblGrid>
      <w:tr w:rsidR="00000000">
        <w:tblPrEx>
          <w:tblCellMar>
            <w:top w:w="0" w:type="dxa"/>
            <w:bottom w:w="0" w:type="dxa"/>
          </w:tblCellMar>
        </w:tblPrEx>
        <w:tc>
          <w:tcPr>
            <w:tcW w:w="3278" w:type="dxa"/>
            <w:tcBorders>
              <w:bottom w:val="single" w:sz="4" w:space="0" w:color="auto"/>
            </w:tcBorders>
          </w:tcPr>
          <w:p w:rsidR="00000000" w:rsidRDefault="00000000">
            <w:pPr>
              <w:pStyle w:val="a2"/>
              <w:spacing w:before="80" w:after="40"/>
              <w:jc w:val="center"/>
              <w:rPr>
                <w:rFonts w:hint="eastAsia"/>
              </w:rPr>
            </w:pPr>
          </w:p>
        </w:tc>
        <w:tc>
          <w:tcPr>
            <w:tcW w:w="2044" w:type="dxa"/>
            <w:tcBorders>
              <w:bottom w:val="single" w:sz="4" w:space="0" w:color="auto"/>
            </w:tcBorders>
          </w:tcPr>
          <w:p w:rsidR="00000000" w:rsidRDefault="00000000">
            <w:pPr>
              <w:pStyle w:val="a2"/>
              <w:spacing w:before="80" w:after="40"/>
              <w:jc w:val="center"/>
              <w:rPr>
                <w:rFonts w:hint="eastAsia"/>
              </w:rPr>
            </w:pPr>
            <w:r>
              <w:rPr>
                <w:rFonts w:hint="eastAsia"/>
              </w:rPr>
              <w:t>1999</w:t>
            </w:r>
            <w:r>
              <w:rPr>
                <w:rFonts w:hint="eastAsia"/>
              </w:rPr>
              <w:t>年</w:t>
            </w:r>
          </w:p>
        </w:tc>
        <w:tc>
          <w:tcPr>
            <w:tcW w:w="2044" w:type="dxa"/>
            <w:tcBorders>
              <w:bottom w:val="single" w:sz="4" w:space="0" w:color="auto"/>
            </w:tcBorders>
          </w:tcPr>
          <w:p w:rsidR="00000000" w:rsidRDefault="00000000">
            <w:pPr>
              <w:pStyle w:val="a2"/>
              <w:spacing w:before="80" w:after="40"/>
              <w:jc w:val="center"/>
              <w:rPr>
                <w:rFonts w:hint="eastAsia"/>
              </w:rPr>
            </w:pPr>
            <w:r>
              <w:rPr>
                <w:rFonts w:hint="eastAsia"/>
              </w:rPr>
              <w:t>2000</w:t>
            </w:r>
            <w:r>
              <w:rPr>
                <w:rFonts w:hint="eastAsia"/>
              </w:rPr>
              <w:t>年</w:t>
            </w:r>
          </w:p>
        </w:tc>
        <w:tc>
          <w:tcPr>
            <w:tcW w:w="2044" w:type="dxa"/>
            <w:tcBorders>
              <w:bottom w:val="single" w:sz="4" w:space="0" w:color="auto"/>
            </w:tcBorders>
          </w:tcPr>
          <w:p w:rsidR="00000000" w:rsidRDefault="00000000">
            <w:pPr>
              <w:pStyle w:val="a2"/>
              <w:spacing w:before="80" w:after="40"/>
              <w:jc w:val="center"/>
              <w:rPr>
                <w:rFonts w:hint="eastAsia"/>
              </w:rPr>
            </w:pPr>
            <w:r>
              <w:rPr>
                <w:rFonts w:hint="eastAsia"/>
              </w:rPr>
              <w:t>2001</w:t>
            </w:r>
            <w:r>
              <w:rPr>
                <w:rFonts w:hint="eastAsia"/>
              </w:rPr>
              <w:t>年</w:t>
            </w:r>
          </w:p>
        </w:tc>
      </w:tr>
      <w:tr w:rsidR="00000000">
        <w:tblPrEx>
          <w:tblCellMar>
            <w:top w:w="0" w:type="dxa"/>
            <w:bottom w:w="0" w:type="dxa"/>
          </w:tblCellMar>
        </w:tblPrEx>
        <w:tc>
          <w:tcPr>
            <w:tcW w:w="3278" w:type="dxa"/>
            <w:tcBorders>
              <w:bottom w:val="nil"/>
            </w:tcBorders>
          </w:tcPr>
          <w:p w:rsidR="00000000" w:rsidRDefault="00000000">
            <w:pPr>
              <w:pStyle w:val="a2"/>
              <w:ind w:left="113"/>
              <w:rPr>
                <w:rFonts w:hint="eastAsia"/>
              </w:rPr>
            </w:pPr>
            <w:r>
              <w:rPr>
                <w:rFonts w:hint="eastAsia"/>
              </w:rPr>
              <w:t>恶性肿瘤</w:t>
            </w:r>
          </w:p>
        </w:tc>
        <w:tc>
          <w:tcPr>
            <w:tcW w:w="2044" w:type="dxa"/>
            <w:tcBorders>
              <w:bottom w:val="nil"/>
            </w:tcBorders>
          </w:tcPr>
          <w:p w:rsidR="00000000" w:rsidRDefault="00000000">
            <w:pPr>
              <w:pStyle w:val="a2"/>
              <w:ind w:right="794"/>
              <w:jc w:val="right"/>
            </w:pPr>
            <w:r>
              <w:t>230</w:t>
            </w:r>
          </w:p>
        </w:tc>
        <w:tc>
          <w:tcPr>
            <w:tcW w:w="2044" w:type="dxa"/>
            <w:tcBorders>
              <w:bottom w:val="nil"/>
            </w:tcBorders>
          </w:tcPr>
          <w:p w:rsidR="00000000" w:rsidRDefault="00000000">
            <w:pPr>
              <w:pStyle w:val="a2"/>
              <w:ind w:right="794"/>
              <w:jc w:val="right"/>
            </w:pPr>
            <w:r>
              <w:t>320</w:t>
            </w:r>
          </w:p>
        </w:tc>
        <w:tc>
          <w:tcPr>
            <w:tcW w:w="2044" w:type="dxa"/>
            <w:tcBorders>
              <w:bottom w:val="nil"/>
            </w:tcBorders>
          </w:tcPr>
          <w:p w:rsidR="00000000" w:rsidRDefault="00000000">
            <w:pPr>
              <w:pStyle w:val="a2"/>
              <w:jc w:val="center"/>
              <w:rPr>
                <w:rFonts w:hint="eastAsia"/>
              </w:rPr>
            </w:pPr>
            <w:r>
              <w:t>230</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甲状腺机能性疾病</w:t>
            </w:r>
          </w:p>
        </w:tc>
        <w:tc>
          <w:tcPr>
            <w:tcW w:w="2044" w:type="dxa"/>
            <w:tcBorders>
              <w:top w:val="nil"/>
              <w:bottom w:val="nil"/>
            </w:tcBorders>
          </w:tcPr>
          <w:p w:rsidR="00000000" w:rsidRDefault="00000000">
            <w:pPr>
              <w:pStyle w:val="a2"/>
              <w:ind w:right="794"/>
              <w:jc w:val="right"/>
            </w:pPr>
            <w:r>
              <w:t>448</w:t>
            </w:r>
          </w:p>
        </w:tc>
        <w:tc>
          <w:tcPr>
            <w:tcW w:w="2044" w:type="dxa"/>
            <w:tcBorders>
              <w:top w:val="nil"/>
              <w:bottom w:val="nil"/>
            </w:tcBorders>
          </w:tcPr>
          <w:p w:rsidR="00000000" w:rsidRDefault="00000000">
            <w:pPr>
              <w:pStyle w:val="a2"/>
              <w:ind w:right="794"/>
              <w:jc w:val="right"/>
            </w:pPr>
            <w:r>
              <w:t>418</w:t>
            </w:r>
          </w:p>
        </w:tc>
        <w:tc>
          <w:tcPr>
            <w:tcW w:w="2044" w:type="dxa"/>
            <w:tcBorders>
              <w:top w:val="nil"/>
              <w:bottom w:val="nil"/>
            </w:tcBorders>
          </w:tcPr>
          <w:p w:rsidR="00000000" w:rsidRDefault="00000000">
            <w:pPr>
              <w:pStyle w:val="a2"/>
              <w:jc w:val="center"/>
            </w:pPr>
            <w:r>
              <w:rPr>
                <w:rFonts w:hint="eastAsia"/>
              </w:rPr>
              <w:t>385</w:t>
            </w:r>
            <w:r>
              <w:rPr>
                <w:rFonts w:hint="eastAsia"/>
              </w:rPr>
              <w:t>例循环系统疾病</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糖尿病</w:t>
            </w:r>
          </w:p>
        </w:tc>
        <w:tc>
          <w:tcPr>
            <w:tcW w:w="2044" w:type="dxa"/>
            <w:tcBorders>
              <w:top w:val="nil"/>
              <w:bottom w:val="nil"/>
            </w:tcBorders>
          </w:tcPr>
          <w:p w:rsidR="00000000" w:rsidRDefault="00000000">
            <w:pPr>
              <w:pStyle w:val="a2"/>
              <w:ind w:right="794"/>
              <w:jc w:val="right"/>
            </w:pPr>
            <w:r>
              <w:t>1 493</w:t>
            </w:r>
          </w:p>
        </w:tc>
        <w:tc>
          <w:tcPr>
            <w:tcW w:w="2044" w:type="dxa"/>
            <w:tcBorders>
              <w:top w:val="nil"/>
              <w:bottom w:val="nil"/>
            </w:tcBorders>
          </w:tcPr>
          <w:p w:rsidR="00000000" w:rsidRDefault="00000000">
            <w:pPr>
              <w:pStyle w:val="a2"/>
              <w:ind w:right="794"/>
              <w:jc w:val="right"/>
            </w:pPr>
            <w:r>
              <w:t>1 548</w:t>
            </w:r>
          </w:p>
        </w:tc>
        <w:tc>
          <w:tcPr>
            <w:tcW w:w="2044" w:type="dxa"/>
            <w:tcBorders>
              <w:top w:val="nil"/>
              <w:bottom w:val="nil"/>
            </w:tcBorders>
          </w:tcPr>
          <w:p w:rsidR="00000000" w:rsidRDefault="00000000">
            <w:pPr>
              <w:pStyle w:val="a2"/>
              <w:jc w:val="center"/>
            </w:pPr>
            <w:r>
              <w:t>1 358</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慢性肺病</w:t>
            </w:r>
          </w:p>
        </w:tc>
        <w:tc>
          <w:tcPr>
            <w:tcW w:w="2044" w:type="dxa"/>
            <w:tcBorders>
              <w:top w:val="nil"/>
              <w:bottom w:val="nil"/>
            </w:tcBorders>
          </w:tcPr>
          <w:p w:rsidR="00000000" w:rsidRDefault="00000000">
            <w:pPr>
              <w:pStyle w:val="a2"/>
              <w:ind w:right="794"/>
              <w:jc w:val="right"/>
            </w:pPr>
            <w:r>
              <w:t>1 758</w:t>
            </w:r>
          </w:p>
        </w:tc>
        <w:tc>
          <w:tcPr>
            <w:tcW w:w="2044" w:type="dxa"/>
            <w:tcBorders>
              <w:top w:val="nil"/>
              <w:bottom w:val="nil"/>
            </w:tcBorders>
          </w:tcPr>
          <w:p w:rsidR="00000000" w:rsidRDefault="00000000">
            <w:pPr>
              <w:pStyle w:val="a2"/>
              <w:ind w:right="794"/>
              <w:jc w:val="right"/>
            </w:pPr>
            <w:r>
              <w:t>1 797</w:t>
            </w:r>
          </w:p>
        </w:tc>
        <w:tc>
          <w:tcPr>
            <w:tcW w:w="2044" w:type="dxa"/>
            <w:tcBorders>
              <w:top w:val="nil"/>
              <w:bottom w:val="nil"/>
            </w:tcBorders>
          </w:tcPr>
          <w:p w:rsidR="00000000" w:rsidRDefault="00000000">
            <w:pPr>
              <w:pStyle w:val="a2"/>
              <w:jc w:val="center"/>
            </w:pPr>
            <w:r>
              <w:t>1 316</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缺铁性贫血症</w:t>
            </w:r>
          </w:p>
        </w:tc>
        <w:tc>
          <w:tcPr>
            <w:tcW w:w="2044" w:type="dxa"/>
            <w:tcBorders>
              <w:top w:val="nil"/>
              <w:bottom w:val="nil"/>
            </w:tcBorders>
          </w:tcPr>
          <w:p w:rsidR="00000000" w:rsidRDefault="00000000">
            <w:pPr>
              <w:pStyle w:val="a2"/>
              <w:ind w:right="794"/>
              <w:jc w:val="right"/>
            </w:pPr>
            <w:r>
              <w:t>2 035</w:t>
            </w:r>
          </w:p>
        </w:tc>
        <w:tc>
          <w:tcPr>
            <w:tcW w:w="2044" w:type="dxa"/>
            <w:tcBorders>
              <w:top w:val="nil"/>
              <w:bottom w:val="nil"/>
            </w:tcBorders>
          </w:tcPr>
          <w:p w:rsidR="00000000" w:rsidRDefault="00000000">
            <w:pPr>
              <w:pStyle w:val="a2"/>
              <w:ind w:right="794"/>
              <w:jc w:val="right"/>
            </w:pPr>
            <w:r>
              <w:t>1 881</w:t>
            </w:r>
          </w:p>
        </w:tc>
        <w:tc>
          <w:tcPr>
            <w:tcW w:w="2044" w:type="dxa"/>
            <w:tcBorders>
              <w:top w:val="nil"/>
              <w:bottom w:val="nil"/>
            </w:tcBorders>
          </w:tcPr>
          <w:p w:rsidR="00000000" w:rsidRDefault="00000000">
            <w:pPr>
              <w:pStyle w:val="a2"/>
              <w:jc w:val="center"/>
            </w:pPr>
            <w:r>
              <w:t>1 734</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精神和行为性错乱</w:t>
            </w:r>
          </w:p>
        </w:tc>
        <w:tc>
          <w:tcPr>
            <w:tcW w:w="2044" w:type="dxa"/>
            <w:tcBorders>
              <w:top w:val="nil"/>
              <w:bottom w:val="nil"/>
            </w:tcBorders>
          </w:tcPr>
          <w:p w:rsidR="00000000" w:rsidRDefault="00000000">
            <w:pPr>
              <w:pStyle w:val="a2"/>
              <w:ind w:right="794"/>
              <w:jc w:val="right"/>
            </w:pPr>
            <w:r>
              <w:t>2 238</w:t>
            </w:r>
          </w:p>
        </w:tc>
        <w:tc>
          <w:tcPr>
            <w:tcW w:w="2044" w:type="dxa"/>
            <w:tcBorders>
              <w:top w:val="nil"/>
              <w:bottom w:val="nil"/>
            </w:tcBorders>
          </w:tcPr>
          <w:p w:rsidR="00000000" w:rsidRDefault="00000000">
            <w:pPr>
              <w:pStyle w:val="a2"/>
              <w:ind w:right="794"/>
              <w:jc w:val="right"/>
            </w:pPr>
            <w:r>
              <w:t>2 428</w:t>
            </w:r>
          </w:p>
        </w:tc>
        <w:tc>
          <w:tcPr>
            <w:tcW w:w="2044" w:type="dxa"/>
            <w:tcBorders>
              <w:top w:val="nil"/>
              <w:bottom w:val="nil"/>
            </w:tcBorders>
          </w:tcPr>
          <w:p w:rsidR="00000000" w:rsidRDefault="00000000">
            <w:pPr>
              <w:pStyle w:val="a2"/>
              <w:jc w:val="center"/>
            </w:pPr>
            <w:r>
              <w:t>2 100</w:t>
            </w:r>
          </w:p>
        </w:tc>
      </w:tr>
      <w:tr w:rsidR="00000000">
        <w:tblPrEx>
          <w:tblCellMar>
            <w:top w:w="0" w:type="dxa"/>
            <w:bottom w:w="0" w:type="dxa"/>
          </w:tblCellMar>
        </w:tblPrEx>
        <w:tc>
          <w:tcPr>
            <w:tcW w:w="3278" w:type="dxa"/>
            <w:tcBorders>
              <w:top w:val="nil"/>
              <w:bottom w:val="nil"/>
            </w:tcBorders>
          </w:tcPr>
          <w:p w:rsidR="00000000" w:rsidRDefault="00000000">
            <w:pPr>
              <w:pStyle w:val="a2"/>
              <w:ind w:left="113"/>
              <w:rPr>
                <w:rFonts w:hint="eastAsia"/>
              </w:rPr>
            </w:pPr>
            <w:r>
              <w:rPr>
                <w:rFonts w:hint="eastAsia"/>
              </w:rPr>
              <w:t>慢性消化系统疾病</w:t>
            </w:r>
          </w:p>
        </w:tc>
        <w:tc>
          <w:tcPr>
            <w:tcW w:w="2044" w:type="dxa"/>
            <w:tcBorders>
              <w:top w:val="nil"/>
              <w:bottom w:val="nil"/>
            </w:tcBorders>
          </w:tcPr>
          <w:p w:rsidR="00000000" w:rsidRDefault="00000000">
            <w:pPr>
              <w:pStyle w:val="a2"/>
              <w:ind w:right="794"/>
              <w:jc w:val="right"/>
            </w:pPr>
            <w:r>
              <w:t>4 153</w:t>
            </w:r>
          </w:p>
        </w:tc>
        <w:tc>
          <w:tcPr>
            <w:tcW w:w="2044" w:type="dxa"/>
            <w:tcBorders>
              <w:top w:val="nil"/>
              <w:bottom w:val="nil"/>
            </w:tcBorders>
          </w:tcPr>
          <w:p w:rsidR="00000000" w:rsidRDefault="00000000">
            <w:pPr>
              <w:pStyle w:val="a2"/>
              <w:ind w:right="794"/>
              <w:jc w:val="right"/>
            </w:pPr>
            <w:r>
              <w:t>2 321</w:t>
            </w:r>
          </w:p>
        </w:tc>
        <w:tc>
          <w:tcPr>
            <w:tcW w:w="2044" w:type="dxa"/>
            <w:tcBorders>
              <w:top w:val="nil"/>
              <w:bottom w:val="nil"/>
            </w:tcBorders>
          </w:tcPr>
          <w:p w:rsidR="00000000" w:rsidRDefault="00000000">
            <w:pPr>
              <w:pStyle w:val="a2"/>
              <w:jc w:val="center"/>
            </w:pPr>
            <w:r>
              <w:t>2 852</w:t>
            </w:r>
          </w:p>
        </w:tc>
      </w:tr>
      <w:tr w:rsidR="00000000">
        <w:tblPrEx>
          <w:tblCellMar>
            <w:top w:w="0" w:type="dxa"/>
            <w:bottom w:w="0" w:type="dxa"/>
          </w:tblCellMar>
        </w:tblPrEx>
        <w:tc>
          <w:tcPr>
            <w:tcW w:w="3278" w:type="dxa"/>
            <w:tcBorders>
              <w:top w:val="nil"/>
            </w:tcBorders>
          </w:tcPr>
          <w:p w:rsidR="00000000" w:rsidRDefault="00000000">
            <w:pPr>
              <w:pStyle w:val="a2"/>
              <w:ind w:left="113"/>
              <w:rPr>
                <w:rFonts w:hint="eastAsia"/>
              </w:rPr>
            </w:pPr>
            <w:r>
              <w:rPr>
                <w:rFonts w:hint="eastAsia"/>
              </w:rPr>
              <w:t>骨骼和肌肉疾病</w:t>
            </w:r>
          </w:p>
        </w:tc>
        <w:tc>
          <w:tcPr>
            <w:tcW w:w="2044" w:type="dxa"/>
            <w:tcBorders>
              <w:top w:val="nil"/>
            </w:tcBorders>
          </w:tcPr>
          <w:p w:rsidR="00000000" w:rsidRDefault="00000000">
            <w:pPr>
              <w:pStyle w:val="a2"/>
              <w:ind w:right="794"/>
              <w:jc w:val="right"/>
            </w:pPr>
            <w:r>
              <w:t>4 286</w:t>
            </w:r>
          </w:p>
        </w:tc>
        <w:tc>
          <w:tcPr>
            <w:tcW w:w="2044" w:type="dxa"/>
            <w:tcBorders>
              <w:top w:val="nil"/>
            </w:tcBorders>
          </w:tcPr>
          <w:p w:rsidR="00000000" w:rsidRDefault="00000000">
            <w:pPr>
              <w:pStyle w:val="a2"/>
              <w:ind w:right="794"/>
              <w:jc w:val="right"/>
            </w:pPr>
            <w:r>
              <w:t>4 947</w:t>
            </w:r>
          </w:p>
        </w:tc>
        <w:tc>
          <w:tcPr>
            <w:tcW w:w="2044" w:type="dxa"/>
            <w:tcBorders>
              <w:top w:val="nil"/>
            </w:tcBorders>
          </w:tcPr>
          <w:p w:rsidR="00000000" w:rsidRDefault="00000000">
            <w:pPr>
              <w:pStyle w:val="a2"/>
              <w:jc w:val="center"/>
            </w:pPr>
            <w:r>
              <w:t>4 594</w:t>
            </w:r>
          </w:p>
        </w:tc>
      </w:tr>
    </w:tbl>
    <w:p w:rsidR="00000000" w:rsidRDefault="00000000">
      <w:pPr>
        <w:rPr>
          <w:rFonts w:hint="eastAsia"/>
        </w:rPr>
      </w:pPr>
    </w:p>
    <w:p w:rsidR="00000000" w:rsidRDefault="00000000">
      <w:pPr>
        <w:spacing w:after="320"/>
        <w:rPr>
          <w:rFonts w:hint="eastAsia"/>
        </w:rPr>
      </w:pPr>
      <w:r>
        <w:rPr>
          <w:rFonts w:hint="eastAsia"/>
        </w:rPr>
        <w:tab/>
        <w:t xml:space="preserve">420.  </w:t>
      </w:r>
      <w:r>
        <w:rPr>
          <w:rFonts w:hint="eastAsia"/>
        </w:rPr>
        <w:t>显然，循环系统疾病占首位，每</w:t>
      </w:r>
      <w:r>
        <w:rPr>
          <w:rFonts w:hint="eastAsia"/>
        </w:rPr>
        <w:t>100,000</w:t>
      </w:r>
      <w:r>
        <w:rPr>
          <w:rFonts w:hint="eastAsia"/>
        </w:rPr>
        <w:t>人中有</w:t>
      </w:r>
      <w:r>
        <w:rPr>
          <w:rFonts w:hint="eastAsia"/>
        </w:rPr>
        <w:t>8,300</w:t>
      </w:r>
      <w:r>
        <w:rPr>
          <w:rFonts w:hint="eastAsia"/>
        </w:rPr>
        <w:t>例，而骨骼和肌肉疾病的比率也在上升，随后是消化系统疾病以及精神和行为错乱。与</w:t>
      </w:r>
      <w:r>
        <w:rPr>
          <w:rFonts w:hint="eastAsia"/>
        </w:rPr>
        <w:t>2000</w:t>
      </w:r>
      <w:r>
        <w:rPr>
          <w:rFonts w:hint="eastAsia"/>
        </w:rPr>
        <w:t>年相比，除慢性消化系统疾病的比率在上升以外，所有比率在</w:t>
      </w:r>
      <w:r>
        <w:rPr>
          <w:rFonts w:hint="eastAsia"/>
        </w:rPr>
        <w:t>2001</w:t>
      </w:r>
      <w:r>
        <w:rPr>
          <w:rFonts w:hint="eastAsia"/>
        </w:rPr>
        <w:t>年都呈下降趋势。</w:t>
      </w:r>
    </w:p>
    <w:p w:rsidR="00000000" w:rsidRDefault="00000000">
      <w:pPr>
        <w:pStyle w:val="Heading4"/>
        <w:rPr>
          <w:rFonts w:hint="eastAsia"/>
        </w:rPr>
      </w:pPr>
      <w:r>
        <w:rPr>
          <w:rFonts w:hint="eastAsia"/>
        </w:rPr>
        <w:t>传</w:t>
      </w:r>
      <w:r>
        <w:t xml:space="preserve"> </w:t>
      </w:r>
      <w:r>
        <w:rPr>
          <w:rFonts w:hint="eastAsia"/>
        </w:rPr>
        <w:t>染</w:t>
      </w:r>
      <w:r>
        <w:t xml:space="preserve"> </w:t>
      </w:r>
      <w:r>
        <w:rPr>
          <w:rFonts w:hint="eastAsia"/>
        </w:rPr>
        <w:t>病</w:t>
      </w:r>
    </w:p>
    <w:p w:rsidR="00000000" w:rsidRDefault="00000000">
      <w:pPr>
        <w:rPr>
          <w:rFonts w:hint="eastAsia"/>
        </w:rPr>
      </w:pPr>
      <w:r>
        <w:rPr>
          <w:rFonts w:hint="eastAsia"/>
        </w:rPr>
        <w:tab/>
        <w:t>421.  2001</w:t>
      </w:r>
      <w:r>
        <w:rPr>
          <w:rFonts w:hint="eastAsia"/>
        </w:rPr>
        <w:t>年登记的传染病总数为</w:t>
      </w:r>
      <w:r>
        <w:rPr>
          <w:rFonts w:hint="eastAsia"/>
        </w:rPr>
        <w:t>55,733</w:t>
      </w:r>
      <w:r>
        <w:rPr>
          <w:rFonts w:hint="eastAsia"/>
        </w:rPr>
        <w:t>例，每</w:t>
      </w:r>
      <w:r>
        <w:rPr>
          <w:rFonts w:hint="eastAsia"/>
        </w:rPr>
        <w:t>100,000</w:t>
      </w:r>
      <w:r>
        <w:rPr>
          <w:rFonts w:hint="eastAsia"/>
        </w:rPr>
        <w:t>居民中有</w:t>
      </w:r>
      <w:r>
        <w:rPr>
          <w:rFonts w:hint="eastAsia"/>
        </w:rPr>
        <w:t>2,415</w:t>
      </w:r>
      <w:r>
        <w:rPr>
          <w:rFonts w:hint="eastAsia"/>
        </w:rPr>
        <w:t>例。波斯尼亚和黑塞哥维那联邦</w:t>
      </w:r>
      <w:r>
        <w:rPr>
          <w:rFonts w:hint="eastAsia"/>
        </w:rPr>
        <w:t>2001</w:t>
      </w:r>
      <w:r>
        <w:rPr>
          <w:rFonts w:hint="eastAsia"/>
        </w:rPr>
        <w:t>年最常见疾病为流感、肠道结肠炎、水痘、疥疮和咽峡链球菌，占登记传染病总数的</w:t>
      </w:r>
      <w:r>
        <w:rPr>
          <w:rFonts w:hint="eastAsia"/>
        </w:rPr>
        <w:t>90%</w:t>
      </w:r>
      <w:r>
        <w:rPr>
          <w:rFonts w:hint="eastAsia"/>
        </w:rPr>
        <w:t>。</w:t>
      </w:r>
      <w:r>
        <w:rPr>
          <w:rFonts w:hint="eastAsia"/>
        </w:rPr>
        <w:t>1999</w:t>
      </w:r>
      <w:r>
        <w:rPr>
          <w:rFonts w:hint="eastAsia"/>
        </w:rPr>
        <w:t>年登记有</w:t>
      </w:r>
      <w:r>
        <w:rPr>
          <w:rFonts w:hint="eastAsia"/>
        </w:rPr>
        <w:t>21</w:t>
      </w:r>
      <w:r>
        <w:rPr>
          <w:rFonts w:hint="eastAsia"/>
        </w:rPr>
        <w:t>次流行性传染病，登记病例为</w:t>
      </w:r>
      <w:r>
        <w:rPr>
          <w:rFonts w:hint="eastAsia"/>
        </w:rPr>
        <w:t>52,050</w:t>
      </w:r>
      <w:r>
        <w:rPr>
          <w:rFonts w:hint="eastAsia"/>
        </w:rPr>
        <w:t>个，</w:t>
      </w:r>
      <w:r>
        <w:rPr>
          <w:rFonts w:hint="eastAsia"/>
        </w:rPr>
        <w:t>2000</w:t>
      </w:r>
      <w:r>
        <w:rPr>
          <w:rFonts w:hint="eastAsia"/>
        </w:rPr>
        <w:t>年有</w:t>
      </w:r>
      <w:r>
        <w:rPr>
          <w:rFonts w:hint="eastAsia"/>
        </w:rPr>
        <w:t>39</w:t>
      </w:r>
      <w:r>
        <w:rPr>
          <w:rFonts w:hint="eastAsia"/>
        </w:rPr>
        <w:t>次流行性传染病，登记病例为</w:t>
      </w:r>
      <w:r>
        <w:rPr>
          <w:rFonts w:hint="eastAsia"/>
        </w:rPr>
        <w:t>42,614</w:t>
      </w:r>
      <w:r>
        <w:rPr>
          <w:rFonts w:hint="eastAsia"/>
        </w:rPr>
        <w:t>个，</w:t>
      </w:r>
      <w:r>
        <w:rPr>
          <w:rFonts w:hint="eastAsia"/>
        </w:rPr>
        <w:t>2001</w:t>
      </w:r>
      <w:r>
        <w:rPr>
          <w:rFonts w:hint="eastAsia"/>
        </w:rPr>
        <w:t>年有</w:t>
      </w:r>
      <w:r>
        <w:rPr>
          <w:rFonts w:hint="eastAsia"/>
        </w:rPr>
        <w:t>31</w:t>
      </w:r>
      <w:r>
        <w:rPr>
          <w:rFonts w:hint="eastAsia"/>
        </w:rPr>
        <w:t>次流行性传染病，登记病例为</w:t>
      </w:r>
      <w:r>
        <w:rPr>
          <w:rFonts w:hint="eastAsia"/>
        </w:rPr>
        <w:t>36,572</w:t>
      </w:r>
      <w:r>
        <w:rPr>
          <w:rFonts w:hint="eastAsia"/>
        </w:rPr>
        <w:t>个</w:t>
      </w:r>
      <w:r>
        <w:rPr>
          <w:rFonts w:hint="eastAsia"/>
        </w:rPr>
        <w:t>(</w:t>
      </w:r>
      <w:r>
        <w:rPr>
          <w:rFonts w:hint="eastAsia"/>
        </w:rPr>
        <w:t>这些数字包括流感病例</w:t>
      </w:r>
      <w:r>
        <w:rPr>
          <w:rFonts w:hint="eastAsia"/>
        </w:rPr>
        <w:t>)</w:t>
      </w:r>
      <w:r>
        <w:rPr>
          <w:rFonts w:hint="eastAsia"/>
        </w:rPr>
        <w:t>。</w:t>
      </w:r>
    </w:p>
    <w:p w:rsidR="00000000" w:rsidRDefault="00000000">
      <w:pPr>
        <w:rPr>
          <w:rFonts w:hint="eastAsia"/>
        </w:rPr>
      </w:pPr>
      <w:r>
        <w:rPr>
          <w:rFonts w:hint="eastAsia"/>
        </w:rPr>
        <w:tab/>
        <w:t xml:space="preserve">422.  </w:t>
      </w:r>
      <w:r>
        <w:rPr>
          <w:rFonts w:hint="eastAsia"/>
        </w:rPr>
        <w:t>如果观察波斯尼亚和黑塞哥维那联邦三年期间传染病和寄生虫疾病的比率，除腮腺炎和病毒性甲型肝炎以外，这一趋势显然基本固定不变。这两项疾病的比率在</w:t>
      </w:r>
      <w:r>
        <w:rPr>
          <w:rFonts w:hint="eastAsia"/>
        </w:rPr>
        <w:t>2000</w:t>
      </w:r>
      <w:r>
        <w:rPr>
          <w:rFonts w:hint="eastAsia"/>
        </w:rPr>
        <w:t>和</w:t>
      </w:r>
      <w:r>
        <w:rPr>
          <w:rFonts w:hint="eastAsia"/>
        </w:rPr>
        <w:t>2001</w:t>
      </w:r>
      <w:r>
        <w:rPr>
          <w:rFonts w:hint="eastAsia"/>
        </w:rPr>
        <w:t>年呈上升趋势，因此似乎是流行性传染病。</w:t>
      </w:r>
    </w:p>
    <w:p w:rsidR="00000000" w:rsidRDefault="00000000">
      <w:pPr>
        <w:rPr>
          <w:rFonts w:hint="eastAsia"/>
        </w:rPr>
      </w:pPr>
      <w:r>
        <w:rPr>
          <w:rFonts w:hint="eastAsia"/>
        </w:rPr>
        <w:tab/>
        <w:t xml:space="preserve">423.  </w:t>
      </w:r>
      <w:r>
        <w:rPr>
          <w:rFonts w:hint="eastAsia"/>
        </w:rPr>
        <w:t>在</w:t>
      </w:r>
      <w:r>
        <w:rPr>
          <w:rFonts w:hint="eastAsia"/>
        </w:rPr>
        <w:t>1996-2002</w:t>
      </w:r>
      <w:r>
        <w:rPr>
          <w:rFonts w:hint="eastAsia"/>
        </w:rPr>
        <w:t>年期间，波斯尼亚和黑塞哥维那有</w:t>
      </w:r>
      <w:r>
        <w:rPr>
          <w:rFonts w:hint="eastAsia"/>
        </w:rPr>
        <w:t>51</w:t>
      </w:r>
      <w:r>
        <w:rPr>
          <w:rFonts w:hint="eastAsia"/>
        </w:rPr>
        <w:t>人登记患有艾滋病，几乎所有人都已死亡。波斯尼亚和黑塞哥维那估计大约有</w:t>
      </w:r>
      <w:r>
        <w:rPr>
          <w:rFonts w:hint="eastAsia"/>
        </w:rPr>
        <w:t>350</w:t>
      </w:r>
      <w:r>
        <w:rPr>
          <w:rFonts w:hint="eastAsia"/>
        </w:rPr>
        <w:t>人艾滋病毒呈阳性。为了防治艾滋病毒</w:t>
      </w:r>
      <w:r>
        <w:rPr>
          <w:rFonts w:hint="eastAsia"/>
        </w:rPr>
        <w:t>/</w:t>
      </w:r>
      <w:r>
        <w:rPr>
          <w:rFonts w:hint="eastAsia"/>
        </w:rPr>
        <w:t>艾滋病，波斯尼亚和黑塞哥维那部长会议建立了一个防治艾滋病毒</w:t>
      </w:r>
      <w:r>
        <w:rPr>
          <w:rFonts w:hint="eastAsia"/>
        </w:rPr>
        <w:t>/</w:t>
      </w:r>
      <w:r>
        <w:rPr>
          <w:rFonts w:hint="eastAsia"/>
        </w:rPr>
        <w:t>艾滋病咨询委员会。预料波斯尼亚和黑塞哥维那将在</w:t>
      </w:r>
      <w:r>
        <w:rPr>
          <w:rFonts w:hint="eastAsia"/>
        </w:rPr>
        <w:t>2004</w:t>
      </w:r>
      <w:r>
        <w:rPr>
          <w:rFonts w:hint="eastAsia"/>
        </w:rPr>
        <w:t>年采取防治艾滋病毒</w:t>
      </w:r>
      <w:r>
        <w:rPr>
          <w:rFonts w:hint="eastAsia"/>
        </w:rPr>
        <w:t>/</w:t>
      </w:r>
      <w:r>
        <w:rPr>
          <w:rFonts w:hint="eastAsia"/>
        </w:rPr>
        <w:t>艾滋病战略。</w:t>
      </w:r>
    </w:p>
    <w:p w:rsidR="00000000" w:rsidRDefault="00000000">
      <w:pPr>
        <w:pStyle w:val="Heading3"/>
        <w:spacing w:after="120"/>
        <w:rPr>
          <w:rFonts w:hint="eastAsia"/>
        </w:rPr>
      </w:pPr>
      <w:r>
        <w:rPr>
          <w:rFonts w:hint="eastAsia"/>
          <w:u w:val="none"/>
        </w:rPr>
        <w:t>表</w:t>
      </w:r>
      <w:r>
        <w:rPr>
          <w:u w:val="none"/>
        </w:rPr>
        <w:t xml:space="preserve">  </w:t>
      </w:r>
      <w:r>
        <w:rPr>
          <w:rFonts w:hint="eastAsia"/>
          <w:u w:val="none"/>
        </w:rPr>
        <w:t>11</w:t>
      </w:r>
      <w:r>
        <w:br/>
      </w:r>
      <w:r>
        <w:rPr>
          <w:rFonts w:hint="eastAsia"/>
        </w:rPr>
        <w:t>波斯尼亚和黑塞哥维那联邦</w:t>
      </w:r>
      <w:r>
        <w:rPr>
          <w:rFonts w:hint="eastAsia"/>
        </w:rPr>
        <w:t>1999-2001</w:t>
      </w:r>
      <w:r>
        <w:rPr>
          <w:rFonts w:hint="eastAsia"/>
        </w:rPr>
        <w:t>年传染病发病率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8"/>
        <w:gridCol w:w="2087"/>
        <w:gridCol w:w="2087"/>
        <w:gridCol w:w="2088"/>
      </w:tblGrid>
      <w:tr w:rsidR="00000000">
        <w:tblPrEx>
          <w:tblCellMar>
            <w:top w:w="0" w:type="dxa"/>
            <w:bottom w:w="0" w:type="dxa"/>
          </w:tblCellMar>
        </w:tblPrEx>
        <w:trPr>
          <w:cantSplit/>
        </w:trPr>
        <w:tc>
          <w:tcPr>
            <w:tcW w:w="3148" w:type="dxa"/>
            <w:vMerge w:val="restart"/>
          </w:tcPr>
          <w:p w:rsidR="00000000" w:rsidRDefault="00000000">
            <w:pPr>
              <w:pStyle w:val="a2"/>
              <w:spacing w:before="240"/>
              <w:jc w:val="center"/>
              <w:rPr>
                <w:rFonts w:hint="eastAsia"/>
              </w:rPr>
            </w:pPr>
            <w:r>
              <w:rPr>
                <w:rFonts w:hint="eastAsia"/>
              </w:rPr>
              <w:t>传染病种类</w:t>
            </w:r>
          </w:p>
        </w:tc>
        <w:tc>
          <w:tcPr>
            <w:tcW w:w="2087" w:type="dxa"/>
          </w:tcPr>
          <w:p w:rsidR="00000000" w:rsidRDefault="00000000">
            <w:pPr>
              <w:pStyle w:val="a2"/>
              <w:jc w:val="center"/>
              <w:rPr>
                <w:rFonts w:hint="eastAsia"/>
              </w:rPr>
            </w:pPr>
            <w:r>
              <w:rPr>
                <w:rFonts w:hint="eastAsia"/>
              </w:rPr>
              <w:t>1999</w:t>
            </w:r>
            <w:r>
              <w:rPr>
                <w:rFonts w:hint="eastAsia"/>
              </w:rPr>
              <w:t>年</w:t>
            </w:r>
          </w:p>
        </w:tc>
        <w:tc>
          <w:tcPr>
            <w:tcW w:w="2087" w:type="dxa"/>
          </w:tcPr>
          <w:p w:rsidR="00000000" w:rsidRDefault="00000000">
            <w:pPr>
              <w:pStyle w:val="a2"/>
              <w:jc w:val="center"/>
              <w:rPr>
                <w:rFonts w:hint="eastAsia"/>
              </w:rPr>
            </w:pPr>
            <w:r>
              <w:rPr>
                <w:rFonts w:hint="eastAsia"/>
              </w:rPr>
              <w:t>2000</w:t>
            </w:r>
            <w:r>
              <w:rPr>
                <w:rFonts w:hint="eastAsia"/>
              </w:rPr>
              <w:t>年</w:t>
            </w:r>
          </w:p>
        </w:tc>
        <w:tc>
          <w:tcPr>
            <w:tcW w:w="2088" w:type="dxa"/>
          </w:tcPr>
          <w:p w:rsidR="00000000" w:rsidRDefault="00000000">
            <w:pPr>
              <w:pStyle w:val="a2"/>
              <w:jc w:val="center"/>
              <w:rPr>
                <w:rFonts w:hint="eastAsia"/>
              </w:rPr>
            </w:pPr>
            <w:r>
              <w:rPr>
                <w:rFonts w:hint="eastAsia"/>
              </w:rPr>
              <w:t>2001</w:t>
            </w:r>
            <w:r>
              <w:rPr>
                <w:rFonts w:hint="eastAsia"/>
              </w:rPr>
              <w:t>年</w:t>
            </w:r>
          </w:p>
        </w:tc>
      </w:tr>
      <w:tr w:rsidR="00000000">
        <w:tblPrEx>
          <w:tblCellMar>
            <w:top w:w="0" w:type="dxa"/>
            <w:bottom w:w="0" w:type="dxa"/>
          </w:tblCellMar>
        </w:tblPrEx>
        <w:trPr>
          <w:cantSplit/>
        </w:trPr>
        <w:tc>
          <w:tcPr>
            <w:tcW w:w="3148" w:type="dxa"/>
            <w:vMerge/>
            <w:tcBorders>
              <w:bottom w:val="single" w:sz="4" w:space="0" w:color="auto"/>
            </w:tcBorders>
          </w:tcPr>
          <w:p w:rsidR="00000000" w:rsidRDefault="00000000">
            <w:pPr>
              <w:pStyle w:val="a2"/>
              <w:jc w:val="center"/>
              <w:rPr>
                <w:rFonts w:hint="eastAsia"/>
              </w:rPr>
            </w:pPr>
          </w:p>
        </w:tc>
        <w:tc>
          <w:tcPr>
            <w:tcW w:w="2087" w:type="dxa"/>
            <w:tcBorders>
              <w:bottom w:val="single" w:sz="4" w:space="0" w:color="auto"/>
            </w:tcBorders>
          </w:tcPr>
          <w:p w:rsidR="00000000" w:rsidRDefault="00000000">
            <w:pPr>
              <w:pStyle w:val="a2"/>
              <w:jc w:val="center"/>
              <w:rPr>
                <w:rFonts w:hint="eastAsia"/>
              </w:rPr>
            </w:pPr>
            <w:r>
              <w:rPr>
                <w:rFonts w:hint="eastAsia"/>
              </w:rPr>
              <w:t>每</w:t>
            </w:r>
            <w:r>
              <w:rPr>
                <w:rFonts w:hint="eastAsia"/>
              </w:rPr>
              <w:t>100,000</w:t>
            </w:r>
            <w:r>
              <w:rPr>
                <w:rFonts w:hint="eastAsia"/>
              </w:rPr>
              <w:t>居民</w:t>
            </w:r>
            <w:r>
              <w:br/>
            </w:r>
            <w:r>
              <w:rPr>
                <w:rFonts w:hint="eastAsia"/>
              </w:rPr>
              <w:t>发病率</w:t>
            </w:r>
          </w:p>
        </w:tc>
        <w:tc>
          <w:tcPr>
            <w:tcW w:w="2087" w:type="dxa"/>
            <w:tcBorders>
              <w:bottom w:val="single" w:sz="4" w:space="0" w:color="auto"/>
            </w:tcBorders>
          </w:tcPr>
          <w:p w:rsidR="00000000" w:rsidRDefault="00000000">
            <w:pPr>
              <w:pStyle w:val="a2"/>
              <w:jc w:val="center"/>
              <w:rPr>
                <w:rFonts w:hint="eastAsia"/>
              </w:rPr>
            </w:pPr>
            <w:r>
              <w:rPr>
                <w:rFonts w:hint="eastAsia"/>
              </w:rPr>
              <w:t>每</w:t>
            </w:r>
            <w:r>
              <w:rPr>
                <w:rFonts w:hint="eastAsia"/>
              </w:rPr>
              <w:t>100,000</w:t>
            </w:r>
            <w:r>
              <w:rPr>
                <w:rFonts w:hint="eastAsia"/>
              </w:rPr>
              <w:t>居民</w:t>
            </w:r>
            <w:r>
              <w:br/>
            </w:r>
            <w:r>
              <w:rPr>
                <w:rFonts w:hint="eastAsia"/>
              </w:rPr>
              <w:t>发病率</w:t>
            </w:r>
          </w:p>
        </w:tc>
        <w:tc>
          <w:tcPr>
            <w:tcW w:w="2088" w:type="dxa"/>
            <w:tcBorders>
              <w:bottom w:val="single" w:sz="4" w:space="0" w:color="auto"/>
            </w:tcBorders>
          </w:tcPr>
          <w:p w:rsidR="00000000" w:rsidRDefault="00000000">
            <w:pPr>
              <w:pStyle w:val="a2"/>
              <w:jc w:val="center"/>
              <w:rPr>
                <w:rFonts w:hint="eastAsia"/>
              </w:rPr>
            </w:pPr>
            <w:r>
              <w:rPr>
                <w:rFonts w:hint="eastAsia"/>
              </w:rPr>
              <w:t>每</w:t>
            </w:r>
            <w:r>
              <w:rPr>
                <w:rFonts w:hint="eastAsia"/>
              </w:rPr>
              <w:t>100,000</w:t>
            </w:r>
            <w:r>
              <w:rPr>
                <w:rFonts w:hint="eastAsia"/>
              </w:rPr>
              <w:t>居民</w:t>
            </w:r>
            <w:r>
              <w:br/>
            </w:r>
            <w:r>
              <w:rPr>
                <w:rFonts w:hint="eastAsia"/>
              </w:rPr>
              <w:t>发病率</w:t>
            </w:r>
          </w:p>
        </w:tc>
      </w:tr>
      <w:tr w:rsidR="00000000">
        <w:tblPrEx>
          <w:tblCellMar>
            <w:top w:w="0" w:type="dxa"/>
            <w:bottom w:w="0" w:type="dxa"/>
          </w:tblCellMar>
        </w:tblPrEx>
        <w:tc>
          <w:tcPr>
            <w:tcW w:w="3148" w:type="dxa"/>
            <w:tcBorders>
              <w:bottom w:val="nil"/>
            </w:tcBorders>
          </w:tcPr>
          <w:p w:rsidR="00000000" w:rsidRDefault="00000000">
            <w:pPr>
              <w:pStyle w:val="a2"/>
              <w:ind w:left="113"/>
              <w:rPr>
                <w:rFonts w:hint="eastAsia"/>
              </w:rPr>
            </w:pPr>
            <w:r>
              <w:rPr>
                <w:rFonts w:hint="eastAsia"/>
              </w:rPr>
              <w:t xml:space="preserve">1.  </w:t>
            </w:r>
            <w:r>
              <w:rPr>
                <w:rFonts w:hint="eastAsia"/>
              </w:rPr>
              <w:t>流感</w:t>
            </w:r>
          </w:p>
        </w:tc>
        <w:tc>
          <w:tcPr>
            <w:tcW w:w="2087" w:type="dxa"/>
            <w:tcBorders>
              <w:bottom w:val="nil"/>
            </w:tcBorders>
          </w:tcPr>
          <w:p w:rsidR="00000000" w:rsidRDefault="00000000">
            <w:pPr>
              <w:pStyle w:val="a2"/>
              <w:ind w:right="794"/>
              <w:jc w:val="right"/>
            </w:pPr>
            <w:r>
              <w:t>2 342</w:t>
            </w:r>
          </w:p>
        </w:tc>
        <w:tc>
          <w:tcPr>
            <w:tcW w:w="2087" w:type="dxa"/>
            <w:tcBorders>
              <w:bottom w:val="nil"/>
            </w:tcBorders>
          </w:tcPr>
          <w:p w:rsidR="00000000" w:rsidRDefault="00000000">
            <w:pPr>
              <w:pStyle w:val="a2"/>
              <w:ind w:right="794"/>
              <w:jc w:val="right"/>
            </w:pPr>
            <w:r>
              <w:t>1 719</w:t>
            </w:r>
          </w:p>
        </w:tc>
        <w:tc>
          <w:tcPr>
            <w:tcW w:w="2088" w:type="dxa"/>
            <w:tcBorders>
              <w:bottom w:val="nil"/>
            </w:tcBorders>
          </w:tcPr>
          <w:p w:rsidR="00000000" w:rsidRDefault="00000000">
            <w:pPr>
              <w:pStyle w:val="a2"/>
              <w:ind w:right="794"/>
              <w:jc w:val="right"/>
            </w:pPr>
            <w:r>
              <w:t>1 547</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2.  </w:t>
            </w:r>
            <w:r>
              <w:rPr>
                <w:rFonts w:hint="eastAsia"/>
              </w:rPr>
              <w:t>小肠结肠炎</w:t>
            </w:r>
          </w:p>
        </w:tc>
        <w:tc>
          <w:tcPr>
            <w:tcW w:w="2087" w:type="dxa"/>
            <w:tcBorders>
              <w:top w:val="nil"/>
              <w:bottom w:val="nil"/>
            </w:tcBorders>
          </w:tcPr>
          <w:p w:rsidR="00000000" w:rsidRDefault="00000000">
            <w:pPr>
              <w:pStyle w:val="a2"/>
              <w:ind w:right="794"/>
              <w:jc w:val="right"/>
            </w:pPr>
            <w:r>
              <w:t>194</w:t>
            </w:r>
          </w:p>
        </w:tc>
        <w:tc>
          <w:tcPr>
            <w:tcW w:w="2087" w:type="dxa"/>
            <w:tcBorders>
              <w:top w:val="nil"/>
              <w:bottom w:val="nil"/>
            </w:tcBorders>
          </w:tcPr>
          <w:p w:rsidR="00000000" w:rsidRDefault="00000000">
            <w:pPr>
              <w:pStyle w:val="a2"/>
              <w:ind w:right="794"/>
              <w:jc w:val="right"/>
            </w:pPr>
            <w:r>
              <w:t>162</w:t>
            </w:r>
          </w:p>
        </w:tc>
        <w:tc>
          <w:tcPr>
            <w:tcW w:w="2088" w:type="dxa"/>
            <w:tcBorders>
              <w:top w:val="nil"/>
              <w:bottom w:val="nil"/>
            </w:tcBorders>
          </w:tcPr>
          <w:p w:rsidR="00000000" w:rsidRDefault="00000000">
            <w:pPr>
              <w:pStyle w:val="a2"/>
              <w:ind w:right="794"/>
              <w:jc w:val="right"/>
            </w:pPr>
            <w:r>
              <w:t>156</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3.  </w:t>
            </w:r>
            <w:r>
              <w:rPr>
                <w:rFonts w:hint="eastAsia"/>
              </w:rPr>
              <w:t>水痘</w:t>
            </w:r>
          </w:p>
        </w:tc>
        <w:tc>
          <w:tcPr>
            <w:tcW w:w="2087" w:type="dxa"/>
            <w:tcBorders>
              <w:top w:val="nil"/>
              <w:bottom w:val="nil"/>
            </w:tcBorders>
          </w:tcPr>
          <w:p w:rsidR="00000000" w:rsidRDefault="00000000">
            <w:pPr>
              <w:pStyle w:val="a2"/>
              <w:ind w:right="794"/>
              <w:jc w:val="right"/>
            </w:pPr>
            <w:r>
              <w:t>176</w:t>
            </w:r>
          </w:p>
        </w:tc>
        <w:tc>
          <w:tcPr>
            <w:tcW w:w="2087" w:type="dxa"/>
            <w:tcBorders>
              <w:top w:val="nil"/>
              <w:bottom w:val="nil"/>
            </w:tcBorders>
          </w:tcPr>
          <w:p w:rsidR="00000000" w:rsidRDefault="00000000">
            <w:pPr>
              <w:pStyle w:val="a2"/>
              <w:ind w:right="794"/>
              <w:jc w:val="right"/>
            </w:pPr>
            <w:r>
              <w:t>188</w:t>
            </w:r>
          </w:p>
        </w:tc>
        <w:tc>
          <w:tcPr>
            <w:tcW w:w="2088" w:type="dxa"/>
            <w:tcBorders>
              <w:top w:val="nil"/>
              <w:bottom w:val="nil"/>
            </w:tcBorders>
          </w:tcPr>
          <w:p w:rsidR="00000000" w:rsidRDefault="00000000">
            <w:pPr>
              <w:pStyle w:val="a2"/>
              <w:ind w:right="794"/>
              <w:jc w:val="right"/>
            </w:pPr>
            <w:r>
              <w:t>179</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4.  </w:t>
            </w:r>
            <w:r>
              <w:rPr>
                <w:rFonts w:hint="eastAsia"/>
              </w:rPr>
              <w:t>疥疮</w:t>
            </w:r>
          </w:p>
        </w:tc>
        <w:tc>
          <w:tcPr>
            <w:tcW w:w="2087" w:type="dxa"/>
            <w:tcBorders>
              <w:top w:val="nil"/>
              <w:bottom w:val="nil"/>
            </w:tcBorders>
          </w:tcPr>
          <w:p w:rsidR="00000000" w:rsidRDefault="00000000">
            <w:pPr>
              <w:pStyle w:val="a2"/>
              <w:ind w:right="794"/>
              <w:jc w:val="right"/>
            </w:pPr>
            <w:r>
              <w:t>158</w:t>
            </w:r>
          </w:p>
        </w:tc>
        <w:tc>
          <w:tcPr>
            <w:tcW w:w="2087" w:type="dxa"/>
            <w:tcBorders>
              <w:top w:val="nil"/>
              <w:bottom w:val="nil"/>
            </w:tcBorders>
          </w:tcPr>
          <w:p w:rsidR="00000000" w:rsidRDefault="00000000">
            <w:pPr>
              <w:pStyle w:val="a2"/>
              <w:ind w:right="794"/>
              <w:jc w:val="right"/>
            </w:pPr>
            <w:r>
              <w:t>97</w:t>
            </w:r>
          </w:p>
        </w:tc>
        <w:tc>
          <w:tcPr>
            <w:tcW w:w="2088" w:type="dxa"/>
            <w:tcBorders>
              <w:top w:val="nil"/>
              <w:bottom w:val="nil"/>
            </w:tcBorders>
          </w:tcPr>
          <w:p w:rsidR="00000000" w:rsidRDefault="00000000">
            <w:pPr>
              <w:pStyle w:val="a2"/>
              <w:ind w:right="794"/>
              <w:jc w:val="right"/>
            </w:pPr>
            <w:r>
              <w:t>81</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5.  </w:t>
            </w:r>
            <w:r>
              <w:rPr>
                <w:rFonts w:hint="eastAsia"/>
              </w:rPr>
              <w:t>咽峡链球菌</w:t>
            </w:r>
          </w:p>
        </w:tc>
        <w:tc>
          <w:tcPr>
            <w:tcW w:w="2087" w:type="dxa"/>
            <w:tcBorders>
              <w:top w:val="nil"/>
              <w:bottom w:val="nil"/>
            </w:tcBorders>
          </w:tcPr>
          <w:p w:rsidR="00000000" w:rsidRDefault="00000000">
            <w:pPr>
              <w:pStyle w:val="a2"/>
              <w:ind w:right="794"/>
              <w:jc w:val="right"/>
            </w:pPr>
            <w:r>
              <w:t>93</w:t>
            </w:r>
          </w:p>
        </w:tc>
        <w:tc>
          <w:tcPr>
            <w:tcW w:w="2087" w:type="dxa"/>
            <w:tcBorders>
              <w:top w:val="nil"/>
              <w:bottom w:val="nil"/>
            </w:tcBorders>
          </w:tcPr>
          <w:p w:rsidR="00000000" w:rsidRDefault="00000000">
            <w:pPr>
              <w:pStyle w:val="a2"/>
              <w:ind w:right="794"/>
              <w:jc w:val="right"/>
            </w:pPr>
            <w:r>
              <w:t>74</w:t>
            </w:r>
          </w:p>
        </w:tc>
        <w:tc>
          <w:tcPr>
            <w:tcW w:w="2088" w:type="dxa"/>
            <w:tcBorders>
              <w:top w:val="nil"/>
              <w:bottom w:val="nil"/>
            </w:tcBorders>
          </w:tcPr>
          <w:p w:rsidR="00000000" w:rsidRDefault="00000000">
            <w:pPr>
              <w:pStyle w:val="a2"/>
              <w:ind w:right="794"/>
              <w:jc w:val="right"/>
            </w:pPr>
            <w:r>
              <w:t>74</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6.  </w:t>
            </w:r>
            <w:r>
              <w:rPr>
                <w:rFonts w:hint="eastAsia"/>
              </w:rPr>
              <w:t>结核钚</w:t>
            </w:r>
          </w:p>
        </w:tc>
        <w:tc>
          <w:tcPr>
            <w:tcW w:w="2087" w:type="dxa"/>
            <w:tcBorders>
              <w:top w:val="nil"/>
              <w:bottom w:val="nil"/>
            </w:tcBorders>
          </w:tcPr>
          <w:p w:rsidR="00000000" w:rsidRDefault="00000000">
            <w:pPr>
              <w:pStyle w:val="a2"/>
              <w:ind w:right="794"/>
              <w:jc w:val="right"/>
            </w:pPr>
            <w:r>
              <w:t>78</w:t>
            </w:r>
          </w:p>
        </w:tc>
        <w:tc>
          <w:tcPr>
            <w:tcW w:w="2087" w:type="dxa"/>
            <w:tcBorders>
              <w:top w:val="nil"/>
              <w:bottom w:val="nil"/>
            </w:tcBorders>
          </w:tcPr>
          <w:p w:rsidR="00000000" w:rsidRDefault="00000000">
            <w:pPr>
              <w:pStyle w:val="a2"/>
              <w:ind w:right="794"/>
              <w:jc w:val="right"/>
            </w:pPr>
            <w:r>
              <w:t>68</w:t>
            </w:r>
          </w:p>
        </w:tc>
        <w:tc>
          <w:tcPr>
            <w:tcW w:w="2088" w:type="dxa"/>
            <w:tcBorders>
              <w:top w:val="nil"/>
              <w:bottom w:val="nil"/>
            </w:tcBorders>
          </w:tcPr>
          <w:p w:rsidR="00000000" w:rsidRDefault="00000000">
            <w:pPr>
              <w:pStyle w:val="a2"/>
              <w:ind w:right="794"/>
              <w:jc w:val="right"/>
            </w:pPr>
            <w:r>
              <w:t>69</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7.  </w:t>
            </w:r>
            <w:r>
              <w:rPr>
                <w:rFonts w:hint="eastAsia"/>
              </w:rPr>
              <w:t>腮腺炎</w:t>
            </w:r>
          </w:p>
        </w:tc>
        <w:tc>
          <w:tcPr>
            <w:tcW w:w="2087" w:type="dxa"/>
            <w:tcBorders>
              <w:top w:val="nil"/>
              <w:bottom w:val="nil"/>
            </w:tcBorders>
          </w:tcPr>
          <w:p w:rsidR="00000000" w:rsidRDefault="00000000">
            <w:pPr>
              <w:pStyle w:val="a2"/>
              <w:ind w:right="794"/>
              <w:jc w:val="right"/>
            </w:pPr>
            <w:r>
              <w:t>51</w:t>
            </w:r>
          </w:p>
        </w:tc>
        <w:tc>
          <w:tcPr>
            <w:tcW w:w="2087" w:type="dxa"/>
            <w:tcBorders>
              <w:top w:val="nil"/>
              <w:bottom w:val="nil"/>
            </w:tcBorders>
          </w:tcPr>
          <w:p w:rsidR="00000000" w:rsidRDefault="00000000">
            <w:pPr>
              <w:pStyle w:val="a2"/>
              <w:ind w:right="794"/>
              <w:jc w:val="right"/>
            </w:pPr>
            <w:r>
              <w:t>153</w:t>
            </w:r>
          </w:p>
        </w:tc>
        <w:tc>
          <w:tcPr>
            <w:tcW w:w="2088" w:type="dxa"/>
            <w:tcBorders>
              <w:top w:val="nil"/>
              <w:bottom w:val="nil"/>
            </w:tcBorders>
          </w:tcPr>
          <w:p w:rsidR="00000000" w:rsidRDefault="00000000">
            <w:pPr>
              <w:pStyle w:val="a2"/>
              <w:ind w:right="794"/>
              <w:jc w:val="right"/>
            </w:pPr>
            <w:r>
              <w:t>131</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8.  </w:t>
            </w:r>
            <w:r>
              <w:rPr>
                <w:rFonts w:hint="eastAsia"/>
              </w:rPr>
              <w:t>毒性传染消化疾病</w:t>
            </w:r>
          </w:p>
        </w:tc>
        <w:tc>
          <w:tcPr>
            <w:tcW w:w="2087" w:type="dxa"/>
            <w:tcBorders>
              <w:top w:val="nil"/>
              <w:bottom w:val="nil"/>
            </w:tcBorders>
          </w:tcPr>
          <w:p w:rsidR="00000000" w:rsidRDefault="00000000">
            <w:pPr>
              <w:pStyle w:val="a2"/>
              <w:ind w:right="794"/>
              <w:jc w:val="right"/>
            </w:pPr>
            <w:r>
              <w:t>43</w:t>
            </w:r>
          </w:p>
        </w:tc>
        <w:tc>
          <w:tcPr>
            <w:tcW w:w="2087" w:type="dxa"/>
            <w:tcBorders>
              <w:top w:val="nil"/>
              <w:bottom w:val="nil"/>
            </w:tcBorders>
          </w:tcPr>
          <w:p w:rsidR="00000000" w:rsidRDefault="00000000">
            <w:pPr>
              <w:pStyle w:val="a2"/>
              <w:ind w:right="794"/>
              <w:jc w:val="right"/>
            </w:pPr>
            <w:r>
              <w:t>47</w:t>
            </w:r>
          </w:p>
        </w:tc>
        <w:tc>
          <w:tcPr>
            <w:tcW w:w="2088" w:type="dxa"/>
            <w:tcBorders>
              <w:top w:val="nil"/>
              <w:bottom w:val="nil"/>
            </w:tcBorders>
          </w:tcPr>
          <w:p w:rsidR="00000000" w:rsidRDefault="00000000">
            <w:pPr>
              <w:pStyle w:val="a2"/>
              <w:ind w:right="794"/>
              <w:jc w:val="right"/>
            </w:pPr>
            <w:r>
              <w:t>37</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9.  </w:t>
            </w:r>
            <w:r>
              <w:rPr>
                <w:rFonts w:hint="eastAsia"/>
              </w:rPr>
              <w:t>腥红热</w:t>
            </w:r>
          </w:p>
        </w:tc>
        <w:tc>
          <w:tcPr>
            <w:tcW w:w="2087" w:type="dxa"/>
            <w:tcBorders>
              <w:top w:val="nil"/>
              <w:bottom w:val="nil"/>
            </w:tcBorders>
          </w:tcPr>
          <w:p w:rsidR="00000000" w:rsidRDefault="00000000">
            <w:pPr>
              <w:pStyle w:val="a2"/>
              <w:ind w:right="794"/>
              <w:jc w:val="right"/>
            </w:pPr>
            <w:r>
              <w:t>19</w:t>
            </w:r>
          </w:p>
        </w:tc>
        <w:tc>
          <w:tcPr>
            <w:tcW w:w="2087" w:type="dxa"/>
            <w:tcBorders>
              <w:top w:val="nil"/>
              <w:bottom w:val="nil"/>
            </w:tcBorders>
          </w:tcPr>
          <w:p w:rsidR="00000000" w:rsidRDefault="00000000">
            <w:pPr>
              <w:pStyle w:val="a2"/>
              <w:ind w:right="794"/>
              <w:jc w:val="right"/>
            </w:pPr>
            <w:r>
              <w:t>18</w:t>
            </w:r>
          </w:p>
        </w:tc>
        <w:tc>
          <w:tcPr>
            <w:tcW w:w="2088" w:type="dxa"/>
            <w:tcBorders>
              <w:top w:val="nil"/>
              <w:bottom w:val="nil"/>
            </w:tcBorders>
          </w:tcPr>
          <w:p w:rsidR="00000000" w:rsidRDefault="00000000">
            <w:pPr>
              <w:pStyle w:val="a2"/>
              <w:ind w:right="794"/>
              <w:jc w:val="right"/>
            </w:pPr>
            <w:r>
              <w:t>22</w:t>
            </w:r>
          </w:p>
        </w:tc>
      </w:tr>
      <w:tr w:rsidR="00000000">
        <w:tblPrEx>
          <w:tblCellMar>
            <w:top w:w="0" w:type="dxa"/>
            <w:bottom w:w="0" w:type="dxa"/>
          </w:tblCellMar>
        </w:tblPrEx>
        <w:tc>
          <w:tcPr>
            <w:tcW w:w="3148" w:type="dxa"/>
            <w:tcBorders>
              <w:top w:val="nil"/>
              <w:bottom w:val="nil"/>
            </w:tcBorders>
          </w:tcPr>
          <w:p w:rsidR="00000000" w:rsidRDefault="00000000">
            <w:pPr>
              <w:pStyle w:val="a2"/>
              <w:ind w:left="113"/>
              <w:rPr>
                <w:rFonts w:hint="eastAsia"/>
              </w:rPr>
            </w:pPr>
            <w:r>
              <w:rPr>
                <w:rFonts w:hint="eastAsia"/>
              </w:rPr>
              <w:t xml:space="preserve">10.  </w:t>
            </w:r>
            <w:r>
              <w:rPr>
                <w:rFonts w:hint="eastAsia"/>
              </w:rPr>
              <w:t>病毒性甲肝</w:t>
            </w:r>
          </w:p>
        </w:tc>
        <w:tc>
          <w:tcPr>
            <w:tcW w:w="2087" w:type="dxa"/>
            <w:tcBorders>
              <w:top w:val="nil"/>
              <w:bottom w:val="nil"/>
            </w:tcBorders>
          </w:tcPr>
          <w:p w:rsidR="00000000" w:rsidRDefault="00000000">
            <w:pPr>
              <w:pStyle w:val="a2"/>
              <w:ind w:right="794"/>
              <w:jc w:val="right"/>
            </w:pPr>
            <w:r>
              <w:t>19</w:t>
            </w:r>
          </w:p>
        </w:tc>
        <w:tc>
          <w:tcPr>
            <w:tcW w:w="2087" w:type="dxa"/>
            <w:tcBorders>
              <w:top w:val="nil"/>
              <w:bottom w:val="nil"/>
            </w:tcBorders>
          </w:tcPr>
          <w:p w:rsidR="00000000" w:rsidRDefault="00000000">
            <w:pPr>
              <w:pStyle w:val="a2"/>
              <w:ind w:right="794"/>
              <w:jc w:val="right"/>
            </w:pPr>
            <w:r>
              <w:t>69</w:t>
            </w:r>
          </w:p>
        </w:tc>
        <w:tc>
          <w:tcPr>
            <w:tcW w:w="2088" w:type="dxa"/>
            <w:tcBorders>
              <w:top w:val="nil"/>
              <w:bottom w:val="nil"/>
            </w:tcBorders>
          </w:tcPr>
          <w:p w:rsidR="00000000" w:rsidRDefault="00000000">
            <w:pPr>
              <w:pStyle w:val="a2"/>
              <w:ind w:right="794"/>
              <w:jc w:val="right"/>
            </w:pPr>
            <w:r>
              <w:t>32</w:t>
            </w:r>
          </w:p>
        </w:tc>
      </w:tr>
      <w:tr w:rsidR="00000000">
        <w:tblPrEx>
          <w:tblCellMar>
            <w:top w:w="0" w:type="dxa"/>
            <w:bottom w:w="0" w:type="dxa"/>
          </w:tblCellMar>
        </w:tblPrEx>
        <w:tc>
          <w:tcPr>
            <w:tcW w:w="3148" w:type="dxa"/>
            <w:tcBorders>
              <w:top w:val="nil"/>
              <w:bottom w:val="single" w:sz="4" w:space="0" w:color="auto"/>
            </w:tcBorders>
          </w:tcPr>
          <w:p w:rsidR="00000000" w:rsidRDefault="00000000">
            <w:pPr>
              <w:pStyle w:val="a2"/>
              <w:ind w:left="113"/>
              <w:rPr>
                <w:rFonts w:hint="eastAsia"/>
              </w:rPr>
            </w:pPr>
            <w:r>
              <w:rPr>
                <w:rFonts w:hint="eastAsia"/>
              </w:rPr>
              <w:t xml:space="preserve">11.  </w:t>
            </w:r>
            <w:r>
              <w:rPr>
                <w:rFonts w:hint="eastAsia"/>
              </w:rPr>
              <w:t>其它传染病</w:t>
            </w:r>
          </w:p>
        </w:tc>
        <w:tc>
          <w:tcPr>
            <w:tcW w:w="2087" w:type="dxa"/>
            <w:tcBorders>
              <w:top w:val="nil"/>
              <w:bottom w:val="single" w:sz="4" w:space="0" w:color="auto"/>
            </w:tcBorders>
          </w:tcPr>
          <w:p w:rsidR="00000000" w:rsidRDefault="00000000">
            <w:pPr>
              <w:pStyle w:val="a2"/>
              <w:ind w:right="794"/>
              <w:jc w:val="right"/>
            </w:pPr>
            <w:r>
              <w:t>984</w:t>
            </w:r>
          </w:p>
        </w:tc>
        <w:tc>
          <w:tcPr>
            <w:tcW w:w="2087" w:type="dxa"/>
            <w:tcBorders>
              <w:top w:val="nil"/>
              <w:bottom w:val="single" w:sz="4" w:space="0" w:color="auto"/>
            </w:tcBorders>
          </w:tcPr>
          <w:p w:rsidR="00000000" w:rsidRDefault="00000000">
            <w:pPr>
              <w:pStyle w:val="a2"/>
              <w:ind w:right="794"/>
              <w:jc w:val="right"/>
            </w:pPr>
            <w:r>
              <w:t>99</w:t>
            </w:r>
          </w:p>
        </w:tc>
        <w:tc>
          <w:tcPr>
            <w:tcW w:w="2088" w:type="dxa"/>
            <w:tcBorders>
              <w:top w:val="nil"/>
              <w:bottom w:val="single" w:sz="4" w:space="0" w:color="auto"/>
            </w:tcBorders>
          </w:tcPr>
          <w:p w:rsidR="00000000" w:rsidRDefault="00000000">
            <w:pPr>
              <w:pStyle w:val="a2"/>
              <w:ind w:right="794"/>
              <w:jc w:val="right"/>
            </w:pPr>
            <w:r>
              <w:t>89</w:t>
            </w:r>
          </w:p>
        </w:tc>
      </w:tr>
      <w:tr w:rsidR="00000000">
        <w:tblPrEx>
          <w:tblCellMar>
            <w:top w:w="0" w:type="dxa"/>
            <w:bottom w:w="0" w:type="dxa"/>
          </w:tblCellMar>
        </w:tblPrEx>
        <w:tc>
          <w:tcPr>
            <w:tcW w:w="3148" w:type="dxa"/>
            <w:tcBorders>
              <w:top w:val="single" w:sz="4" w:space="0" w:color="auto"/>
            </w:tcBorders>
          </w:tcPr>
          <w:p w:rsidR="00000000" w:rsidRDefault="00000000">
            <w:pPr>
              <w:pStyle w:val="a2"/>
              <w:ind w:left="113"/>
              <w:rPr>
                <w:rFonts w:hint="eastAsia"/>
              </w:rPr>
            </w:pPr>
            <w:r>
              <w:rPr>
                <w:rFonts w:hint="eastAsia"/>
              </w:rPr>
              <w:t>总数</w:t>
            </w:r>
          </w:p>
        </w:tc>
        <w:tc>
          <w:tcPr>
            <w:tcW w:w="2087" w:type="dxa"/>
            <w:tcBorders>
              <w:top w:val="single" w:sz="4" w:space="0" w:color="auto"/>
            </w:tcBorders>
          </w:tcPr>
          <w:p w:rsidR="00000000" w:rsidRDefault="00000000">
            <w:pPr>
              <w:pStyle w:val="a2"/>
              <w:ind w:right="794"/>
              <w:jc w:val="right"/>
            </w:pPr>
            <w:r>
              <w:t>3 274</w:t>
            </w:r>
          </w:p>
        </w:tc>
        <w:tc>
          <w:tcPr>
            <w:tcW w:w="2087" w:type="dxa"/>
            <w:tcBorders>
              <w:top w:val="single" w:sz="4" w:space="0" w:color="auto"/>
            </w:tcBorders>
          </w:tcPr>
          <w:p w:rsidR="00000000" w:rsidRDefault="00000000">
            <w:pPr>
              <w:pStyle w:val="a2"/>
              <w:ind w:right="794"/>
              <w:jc w:val="right"/>
            </w:pPr>
            <w:r>
              <w:t>2 695</w:t>
            </w:r>
          </w:p>
        </w:tc>
        <w:tc>
          <w:tcPr>
            <w:tcW w:w="2088" w:type="dxa"/>
            <w:tcBorders>
              <w:top w:val="single" w:sz="4" w:space="0" w:color="auto"/>
            </w:tcBorders>
          </w:tcPr>
          <w:p w:rsidR="00000000" w:rsidRDefault="00000000">
            <w:pPr>
              <w:pStyle w:val="a2"/>
              <w:ind w:right="794"/>
              <w:jc w:val="right"/>
            </w:pPr>
            <w:r>
              <w:t>2 415</w:t>
            </w:r>
          </w:p>
        </w:tc>
      </w:tr>
    </w:tbl>
    <w:p w:rsidR="00000000" w:rsidRDefault="00000000">
      <w:pPr>
        <w:rPr>
          <w:rFonts w:hint="eastAsia"/>
        </w:rPr>
      </w:pPr>
    </w:p>
    <w:p w:rsidR="00000000" w:rsidRDefault="00000000">
      <w:pPr>
        <w:pStyle w:val="Heading3"/>
        <w:spacing w:after="120"/>
        <w:rPr>
          <w:rFonts w:hint="eastAsia"/>
        </w:rPr>
      </w:pPr>
      <w:r>
        <w:rPr>
          <w:rFonts w:hint="eastAsia"/>
          <w:u w:val="none"/>
        </w:rPr>
        <w:t>表</w:t>
      </w:r>
      <w:r>
        <w:rPr>
          <w:u w:val="none"/>
        </w:rPr>
        <w:t xml:space="preserve">  </w:t>
      </w:r>
      <w:r>
        <w:rPr>
          <w:rFonts w:hint="eastAsia"/>
          <w:u w:val="none"/>
        </w:rPr>
        <w:t>12</w:t>
      </w:r>
      <w:r>
        <w:br/>
      </w:r>
      <w:r>
        <w:rPr>
          <w:rFonts w:hint="eastAsia"/>
        </w:rPr>
        <w:t>1991-2002</w:t>
      </w:r>
      <w:r>
        <w:rPr>
          <w:rFonts w:hint="eastAsia"/>
        </w:rPr>
        <w:t>年期间接种卡介苗的覆盖面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6"/>
        <w:gridCol w:w="3137"/>
        <w:gridCol w:w="3137"/>
      </w:tblGrid>
      <w:tr w:rsidR="00000000">
        <w:tblPrEx>
          <w:tblCellMar>
            <w:top w:w="0" w:type="dxa"/>
            <w:bottom w:w="0" w:type="dxa"/>
          </w:tblCellMar>
        </w:tblPrEx>
        <w:tc>
          <w:tcPr>
            <w:tcW w:w="3136" w:type="dxa"/>
            <w:tcBorders>
              <w:bottom w:val="single" w:sz="4" w:space="0" w:color="auto"/>
            </w:tcBorders>
          </w:tcPr>
          <w:p w:rsidR="00000000" w:rsidRDefault="00000000">
            <w:pPr>
              <w:pStyle w:val="a2"/>
              <w:jc w:val="center"/>
              <w:rPr>
                <w:rFonts w:hint="eastAsia"/>
              </w:rPr>
            </w:pPr>
            <w:r>
              <w:rPr>
                <w:rFonts w:hint="eastAsia"/>
              </w:rPr>
              <w:t>免</w:t>
            </w:r>
            <w:r>
              <w:t xml:space="preserve">  </w:t>
            </w:r>
            <w:r>
              <w:rPr>
                <w:rFonts w:hint="eastAsia"/>
              </w:rPr>
              <w:t>疫</w:t>
            </w:r>
          </w:p>
        </w:tc>
        <w:tc>
          <w:tcPr>
            <w:tcW w:w="3137" w:type="dxa"/>
            <w:tcBorders>
              <w:bottom w:val="single" w:sz="4" w:space="0" w:color="auto"/>
            </w:tcBorders>
          </w:tcPr>
          <w:p w:rsidR="00000000" w:rsidRDefault="00000000">
            <w:pPr>
              <w:pStyle w:val="a2"/>
              <w:jc w:val="center"/>
              <w:rPr>
                <w:rFonts w:hint="eastAsia"/>
              </w:rPr>
            </w:pPr>
            <w:r>
              <w:rPr>
                <w:rFonts w:hint="eastAsia"/>
              </w:rPr>
              <w:t>年</w:t>
            </w:r>
            <w:r>
              <w:t xml:space="preserve">  </w:t>
            </w:r>
            <w:r>
              <w:rPr>
                <w:rFonts w:hint="eastAsia"/>
              </w:rPr>
              <w:t>份</w:t>
            </w:r>
          </w:p>
        </w:tc>
        <w:tc>
          <w:tcPr>
            <w:tcW w:w="3137" w:type="dxa"/>
            <w:tcBorders>
              <w:bottom w:val="single" w:sz="4" w:space="0" w:color="auto"/>
            </w:tcBorders>
          </w:tcPr>
          <w:p w:rsidR="00000000" w:rsidRDefault="00000000">
            <w:pPr>
              <w:pStyle w:val="a2"/>
              <w:jc w:val="center"/>
              <w:rPr>
                <w:rFonts w:hint="eastAsia"/>
              </w:rPr>
            </w:pPr>
            <w:r>
              <w:rPr>
                <w:rFonts w:hint="eastAsia"/>
              </w:rPr>
              <w:t>卡介苗</w:t>
            </w:r>
            <w:r>
              <w:rPr>
                <w:rFonts w:hint="eastAsia"/>
              </w:rPr>
              <w:t>(%)</w:t>
            </w:r>
          </w:p>
        </w:tc>
      </w:tr>
      <w:tr w:rsidR="00000000">
        <w:tblPrEx>
          <w:tblCellMar>
            <w:top w:w="0" w:type="dxa"/>
            <w:bottom w:w="0" w:type="dxa"/>
          </w:tblCellMar>
        </w:tblPrEx>
        <w:tc>
          <w:tcPr>
            <w:tcW w:w="3136" w:type="dxa"/>
            <w:tcBorders>
              <w:bottom w:val="nil"/>
            </w:tcBorders>
          </w:tcPr>
          <w:p w:rsidR="00000000" w:rsidRDefault="00000000">
            <w:pPr>
              <w:pStyle w:val="a2"/>
              <w:ind w:left="113"/>
              <w:rPr>
                <w:rFonts w:hint="eastAsia"/>
              </w:rPr>
            </w:pPr>
            <w:r>
              <w:rPr>
                <w:rFonts w:hint="eastAsia"/>
              </w:rPr>
              <w:t>接种</w:t>
            </w:r>
          </w:p>
        </w:tc>
        <w:tc>
          <w:tcPr>
            <w:tcW w:w="3137" w:type="dxa"/>
            <w:tcBorders>
              <w:bottom w:val="nil"/>
            </w:tcBorders>
          </w:tcPr>
          <w:p w:rsidR="00000000" w:rsidRDefault="00000000">
            <w:pPr>
              <w:pStyle w:val="a2"/>
              <w:jc w:val="center"/>
            </w:pPr>
            <w:r>
              <w:t>1991</w:t>
            </w:r>
          </w:p>
        </w:tc>
        <w:tc>
          <w:tcPr>
            <w:tcW w:w="3137" w:type="dxa"/>
            <w:tcBorders>
              <w:bottom w:val="nil"/>
            </w:tcBorders>
          </w:tcPr>
          <w:p w:rsidR="00000000" w:rsidRDefault="00000000">
            <w:pPr>
              <w:pStyle w:val="a2"/>
              <w:ind w:left="1247"/>
              <w:jc w:val="left"/>
            </w:pPr>
            <w:r>
              <w:t>94</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1999</w:t>
            </w:r>
          </w:p>
        </w:tc>
        <w:tc>
          <w:tcPr>
            <w:tcW w:w="3137" w:type="dxa"/>
            <w:tcBorders>
              <w:top w:val="nil"/>
              <w:bottom w:val="nil"/>
            </w:tcBorders>
          </w:tcPr>
          <w:p w:rsidR="00000000" w:rsidRDefault="00000000">
            <w:pPr>
              <w:pStyle w:val="a2"/>
              <w:ind w:left="1247"/>
              <w:jc w:val="left"/>
            </w:pPr>
            <w:r>
              <w:t>94.78</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2000</w:t>
            </w:r>
          </w:p>
        </w:tc>
        <w:tc>
          <w:tcPr>
            <w:tcW w:w="3137" w:type="dxa"/>
            <w:tcBorders>
              <w:top w:val="nil"/>
              <w:bottom w:val="nil"/>
            </w:tcBorders>
          </w:tcPr>
          <w:p w:rsidR="00000000" w:rsidRDefault="00000000">
            <w:pPr>
              <w:pStyle w:val="a2"/>
              <w:ind w:left="1247"/>
              <w:jc w:val="left"/>
            </w:pPr>
            <w:r>
              <w:t>89.68</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2001</w:t>
            </w:r>
          </w:p>
        </w:tc>
        <w:tc>
          <w:tcPr>
            <w:tcW w:w="3137" w:type="dxa"/>
            <w:tcBorders>
              <w:top w:val="nil"/>
              <w:bottom w:val="nil"/>
            </w:tcBorders>
          </w:tcPr>
          <w:p w:rsidR="00000000" w:rsidRDefault="00000000">
            <w:pPr>
              <w:pStyle w:val="a2"/>
              <w:ind w:left="1247"/>
              <w:jc w:val="left"/>
            </w:pPr>
            <w:r>
              <w:t>92.50</w:t>
            </w:r>
          </w:p>
        </w:tc>
      </w:tr>
      <w:tr w:rsidR="00000000">
        <w:tblPrEx>
          <w:tblCellMar>
            <w:top w:w="0" w:type="dxa"/>
            <w:bottom w:w="0" w:type="dxa"/>
          </w:tblCellMar>
        </w:tblPrEx>
        <w:tc>
          <w:tcPr>
            <w:tcW w:w="3136" w:type="dxa"/>
            <w:tcBorders>
              <w:top w:val="nil"/>
              <w:bottom w:val="single" w:sz="4" w:space="0" w:color="auto"/>
            </w:tcBorders>
          </w:tcPr>
          <w:p w:rsidR="00000000" w:rsidRDefault="00000000">
            <w:pPr>
              <w:pStyle w:val="a2"/>
              <w:ind w:left="113"/>
              <w:rPr>
                <w:rFonts w:hint="eastAsia"/>
              </w:rPr>
            </w:pPr>
          </w:p>
        </w:tc>
        <w:tc>
          <w:tcPr>
            <w:tcW w:w="3137" w:type="dxa"/>
            <w:tcBorders>
              <w:top w:val="nil"/>
              <w:bottom w:val="single" w:sz="4" w:space="0" w:color="auto"/>
            </w:tcBorders>
          </w:tcPr>
          <w:p w:rsidR="00000000" w:rsidRDefault="00000000">
            <w:pPr>
              <w:pStyle w:val="a2"/>
              <w:jc w:val="center"/>
            </w:pPr>
            <w:r>
              <w:t>2002</w:t>
            </w:r>
          </w:p>
        </w:tc>
        <w:tc>
          <w:tcPr>
            <w:tcW w:w="3137" w:type="dxa"/>
            <w:tcBorders>
              <w:top w:val="nil"/>
              <w:bottom w:val="single" w:sz="4" w:space="0" w:color="auto"/>
            </w:tcBorders>
          </w:tcPr>
          <w:p w:rsidR="00000000" w:rsidRDefault="00000000">
            <w:pPr>
              <w:pStyle w:val="a2"/>
              <w:ind w:left="1247"/>
              <w:jc w:val="left"/>
            </w:pPr>
            <w:r>
              <w:t>91.9</w:t>
            </w:r>
          </w:p>
        </w:tc>
      </w:tr>
      <w:tr w:rsidR="00000000">
        <w:tblPrEx>
          <w:tblCellMar>
            <w:top w:w="0" w:type="dxa"/>
            <w:bottom w:w="0" w:type="dxa"/>
          </w:tblCellMar>
        </w:tblPrEx>
        <w:tc>
          <w:tcPr>
            <w:tcW w:w="3136" w:type="dxa"/>
            <w:tcBorders>
              <w:bottom w:val="nil"/>
            </w:tcBorders>
          </w:tcPr>
          <w:p w:rsidR="00000000" w:rsidRDefault="00000000">
            <w:pPr>
              <w:pStyle w:val="a2"/>
              <w:ind w:left="113"/>
              <w:rPr>
                <w:rFonts w:hint="eastAsia"/>
              </w:rPr>
            </w:pPr>
            <w:r>
              <w:rPr>
                <w:rFonts w:hint="eastAsia"/>
              </w:rPr>
              <w:t>再次接种</w:t>
            </w:r>
          </w:p>
        </w:tc>
        <w:tc>
          <w:tcPr>
            <w:tcW w:w="3137" w:type="dxa"/>
            <w:tcBorders>
              <w:bottom w:val="nil"/>
            </w:tcBorders>
          </w:tcPr>
          <w:p w:rsidR="00000000" w:rsidRDefault="00000000">
            <w:pPr>
              <w:pStyle w:val="a2"/>
              <w:jc w:val="center"/>
            </w:pPr>
            <w:r>
              <w:t>1991</w:t>
            </w:r>
          </w:p>
        </w:tc>
        <w:tc>
          <w:tcPr>
            <w:tcW w:w="3137" w:type="dxa"/>
            <w:tcBorders>
              <w:bottom w:val="nil"/>
            </w:tcBorders>
          </w:tcPr>
          <w:p w:rsidR="00000000" w:rsidRDefault="00000000">
            <w:pPr>
              <w:pStyle w:val="a2"/>
              <w:ind w:left="1247"/>
              <w:jc w:val="left"/>
            </w:pPr>
            <w:r>
              <w:t>92</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1999</w:t>
            </w:r>
          </w:p>
        </w:tc>
        <w:tc>
          <w:tcPr>
            <w:tcW w:w="3137" w:type="dxa"/>
            <w:tcBorders>
              <w:top w:val="nil"/>
              <w:bottom w:val="nil"/>
            </w:tcBorders>
          </w:tcPr>
          <w:p w:rsidR="00000000" w:rsidRDefault="00000000">
            <w:pPr>
              <w:pStyle w:val="a2"/>
              <w:ind w:left="113"/>
              <w:jc w:val="center"/>
              <w:rPr>
                <w:rFonts w:hint="eastAsia"/>
              </w:rPr>
            </w:pPr>
            <w:r>
              <w:rPr>
                <w:rFonts w:hint="eastAsia"/>
              </w:rPr>
              <w:t>没有再次接种</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2000</w:t>
            </w:r>
          </w:p>
        </w:tc>
        <w:tc>
          <w:tcPr>
            <w:tcW w:w="3137" w:type="dxa"/>
            <w:tcBorders>
              <w:top w:val="nil"/>
              <w:bottom w:val="nil"/>
            </w:tcBorders>
          </w:tcPr>
          <w:p w:rsidR="00000000" w:rsidRDefault="00000000">
            <w:pPr>
              <w:pStyle w:val="a2"/>
              <w:ind w:left="113"/>
              <w:jc w:val="center"/>
              <w:rPr>
                <w:rFonts w:hint="eastAsia"/>
              </w:rPr>
            </w:pPr>
            <w:r>
              <w:rPr>
                <w:rFonts w:hint="eastAsia"/>
              </w:rPr>
              <w:t>没有再次接种</w:t>
            </w:r>
          </w:p>
        </w:tc>
      </w:tr>
      <w:tr w:rsidR="00000000">
        <w:tblPrEx>
          <w:tblCellMar>
            <w:top w:w="0" w:type="dxa"/>
            <w:bottom w:w="0" w:type="dxa"/>
          </w:tblCellMar>
        </w:tblPrEx>
        <w:tc>
          <w:tcPr>
            <w:tcW w:w="3136" w:type="dxa"/>
            <w:tcBorders>
              <w:top w:val="nil"/>
              <w:bottom w:val="nil"/>
            </w:tcBorders>
          </w:tcPr>
          <w:p w:rsidR="00000000" w:rsidRDefault="00000000">
            <w:pPr>
              <w:pStyle w:val="a2"/>
              <w:ind w:left="113"/>
              <w:rPr>
                <w:rFonts w:hint="eastAsia"/>
              </w:rPr>
            </w:pPr>
          </w:p>
        </w:tc>
        <w:tc>
          <w:tcPr>
            <w:tcW w:w="3137" w:type="dxa"/>
            <w:tcBorders>
              <w:top w:val="nil"/>
              <w:bottom w:val="nil"/>
            </w:tcBorders>
          </w:tcPr>
          <w:p w:rsidR="00000000" w:rsidRDefault="00000000">
            <w:pPr>
              <w:pStyle w:val="a2"/>
              <w:jc w:val="center"/>
            </w:pPr>
            <w:r>
              <w:t>2001</w:t>
            </w:r>
          </w:p>
        </w:tc>
        <w:tc>
          <w:tcPr>
            <w:tcW w:w="3137" w:type="dxa"/>
            <w:tcBorders>
              <w:top w:val="nil"/>
              <w:bottom w:val="nil"/>
            </w:tcBorders>
          </w:tcPr>
          <w:p w:rsidR="00000000" w:rsidRDefault="00000000">
            <w:pPr>
              <w:pStyle w:val="a2"/>
              <w:ind w:left="113"/>
              <w:jc w:val="center"/>
              <w:rPr>
                <w:rFonts w:hint="eastAsia"/>
              </w:rPr>
            </w:pPr>
            <w:r>
              <w:rPr>
                <w:rFonts w:hint="eastAsia"/>
              </w:rPr>
              <w:t>没有再次接种</w:t>
            </w:r>
          </w:p>
        </w:tc>
      </w:tr>
      <w:tr w:rsidR="00000000">
        <w:tblPrEx>
          <w:tblCellMar>
            <w:top w:w="0" w:type="dxa"/>
            <w:bottom w:w="0" w:type="dxa"/>
          </w:tblCellMar>
        </w:tblPrEx>
        <w:tc>
          <w:tcPr>
            <w:tcW w:w="3136" w:type="dxa"/>
            <w:tcBorders>
              <w:top w:val="nil"/>
            </w:tcBorders>
          </w:tcPr>
          <w:p w:rsidR="00000000" w:rsidRDefault="00000000">
            <w:pPr>
              <w:pStyle w:val="a2"/>
              <w:ind w:left="113"/>
              <w:rPr>
                <w:rFonts w:hint="eastAsia"/>
              </w:rPr>
            </w:pPr>
          </w:p>
        </w:tc>
        <w:tc>
          <w:tcPr>
            <w:tcW w:w="3137" w:type="dxa"/>
            <w:tcBorders>
              <w:top w:val="nil"/>
            </w:tcBorders>
          </w:tcPr>
          <w:p w:rsidR="00000000" w:rsidRDefault="00000000">
            <w:pPr>
              <w:pStyle w:val="a2"/>
              <w:jc w:val="center"/>
            </w:pPr>
            <w:r>
              <w:t>2002</w:t>
            </w:r>
          </w:p>
        </w:tc>
        <w:tc>
          <w:tcPr>
            <w:tcW w:w="3137" w:type="dxa"/>
            <w:tcBorders>
              <w:top w:val="nil"/>
            </w:tcBorders>
          </w:tcPr>
          <w:p w:rsidR="00000000" w:rsidRDefault="00000000">
            <w:pPr>
              <w:pStyle w:val="a2"/>
              <w:ind w:left="113"/>
              <w:jc w:val="center"/>
              <w:rPr>
                <w:rFonts w:hint="eastAsia"/>
              </w:rPr>
            </w:pPr>
            <w:r>
              <w:rPr>
                <w:rFonts w:hint="eastAsia"/>
              </w:rPr>
              <w:t>没有再次接种</w:t>
            </w:r>
          </w:p>
        </w:tc>
      </w:tr>
    </w:tbl>
    <w:p w:rsidR="00000000" w:rsidRDefault="00000000">
      <w:pPr>
        <w:pStyle w:val="EndnoteText"/>
        <w:spacing w:before="120"/>
        <w:rPr>
          <w:rFonts w:hint="eastAsia"/>
        </w:rPr>
      </w:pPr>
      <w:r>
        <w:rPr>
          <w:rFonts w:hint="eastAsia"/>
          <w:u w:val="single"/>
        </w:rPr>
        <w:t>资料来源</w:t>
      </w:r>
      <w:r>
        <w:rPr>
          <w:rFonts w:hint="eastAsia"/>
        </w:rPr>
        <w:t>：联邦公共卫生署。</w:t>
      </w:r>
    </w:p>
    <w:p w:rsidR="00000000" w:rsidRDefault="00000000">
      <w:pPr>
        <w:rPr>
          <w:rFonts w:hint="eastAsia"/>
        </w:rPr>
      </w:pPr>
    </w:p>
    <w:p w:rsidR="00000000" w:rsidRDefault="00000000">
      <w:pPr>
        <w:rPr>
          <w:rFonts w:hint="eastAsia"/>
        </w:rPr>
      </w:pPr>
      <w:r>
        <w:rPr>
          <w:rFonts w:hint="eastAsia"/>
        </w:rPr>
        <w:tab/>
        <w:t xml:space="preserve">424.  </w:t>
      </w:r>
      <w:r>
        <w:rPr>
          <w:rFonts w:hint="eastAsia"/>
        </w:rPr>
        <w:t>波斯尼亚和黑塞哥维那共和国继承了现行传染病方面的法律，并正在审议有关传染病问题的新法律草案。</w:t>
      </w:r>
    </w:p>
    <w:p w:rsidR="00000000" w:rsidRDefault="00000000">
      <w:pPr>
        <w:spacing w:after="320"/>
        <w:rPr>
          <w:rFonts w:hint="eastAsia"/>
        </w:rPr>
      </w:pPr>
      <w:r>
        <w:rPr>
          <w:rFonts w:hint="eastAsia"/>
        </w:rPr>
        <w:tab/>
        <w:t xml:space="preserve">425.  </w:t>
      </w:r>
      <w:r>
        <w:rPr>
          <w:rFonts w:hint="eastAsia"/>
        </w:rPr>
        <w:t>战争造成的后果之一是截肢、脊髓和骨髓损害、脑创伤、末稍神经和多种外伤损害登记率极高。必须强调的是，这些负担大部分是由青年和人口中生产力最强的群体承担的。目前波斯尼亚和黑塞哥维那联邦各社区内有</w:t>
      </w:r>
      <w:r>
        <w:rPr>
          <w:rFonts w:hint="eastAsia"/>
        </w:rPr>
        <w:t>38</w:t>
      </w:r>
      <w:r>
        <w:rPr>
          <w:rFonts w:hint="eastAsia"/>
        </w:rPr>
        <w:t>个身体康复中心，这些中心是通过联邦卫生部称为“战争受害者康复”项目设立的。然而，必须指出，国内不同地区这类设施的分布并不均衡，有些地区根本没有这类设施。</w:t>
      </w:r>
    </w:p>
    <w:p w:rsidR="00000000" w:rsidRDefault="00000000">
      <w:pPr>
        <w:pStyle w:val="Heading4"/>
        <w:rPr>
          <w:rFonts w:hint="eastAsia"/>
        </w:rPr>
      </w:pPr>
      <w:r>
        <w:rPr>
          <w:rFonts w:hint="eastAsia"/>
        </w:rPr>
        <w:t>白喉、破伤风和百日咳免疫</w:t>
      </w:r>
    </w:p>
    <w:p w:rsidR="00000000" w:rsidRDefault="00000000">
      <w:pPr>
        <w:rPr>
          <w:rFonts w:hint="eastAsia"/>
        </w:rPr>
      </w:pPr>
      <w:r>
        <w:rPr>
          <w:rFonts w:hint="eastAsia"/>
        </w:rPr>
        <w:tab/>
        <w:t xml:space="preserve">426.  </w:t>
      </w:r>
      <w:r>
        <w:rPr>
          <w:rFonts w:hint="eastAsia"/>
        </w:rPr>
        <w:t>波斯尼亚和黑塞哥维那联邦</w:t>
      </w:r>
      <w:r>
        <w:rPr>
          <w:rFonts w:hint="eastAsia"/>
        </w:rPr>
        <w:t>2000</w:t>
      </w:r>
      <w:r>
        <w:rPr>
          <w:rFonts w:hint="eastAsia"/>
        </w:rPr>
        <w:t>年接种白喉、破伤风和百日咳疫苗的平均百分比为</w:t>
      </w:r>
      <w:r>
        <w:rPr>
          <w:rFonts w:hint="eastAsia"/>
        </w:rPr>
        <w:t>73.9%</w:t>
      </w:r>
      <w:r>
        <w:rPr>
          <w:rFonts w:hint="eastAsia"/>
        </w:rPr>
        <w:t>，大大低于</w:t>
      </w:r>
      <w:r>
        <w:rPr>
          <w:rFonts w:hint="eastAsia"/>
        </w:rPr>
        <w:t>2001</w:t>
      </w:r>
      <w:r>
        <w:rPr>
          <w:rFonts w:hint="eastAsia"/>
        </w:rPr>
        <w:t>年</w:t>
      </w:r>
      <w:r>
        <w:rPr>
          <w:rFonts w:hint="eastAsia"/>
        </w:rPr>
        <w:t>91.7%</w:t>
      </w:r>
      <w:r>
        <w:rPr>
          <w:rFonts w:hint="eastAsia"/>
        </w:rPr>
        <w:t>的接种率。登记接种覆盖范围最广的利夫诺州为</w:t>
      </w:r>
      <w:r>
        <w:rPr>
          <w:rFonts w:hint="eastAsia"/>
        </w:rPr>
        <w:t>89.8%</w:t>
      </w:r>
      <w:r>
        <w:rPr>
          <w:rFonts w:hint="eastAsia"/>
        </w:rPr>
        <w:t>，而覆盖率比例最低的萨拉热窝州为</w:t>
      </w:r>
      <w:r>
        <w:rPr>
          <w:rFonts w:hint="eastAsia"/>
        </w:rPr>
        <w:t>59.7%</w:t>
      </w:r>
      <w:r>
        <w:rPr>
          <w:rFonts w:hint="eastAsia"/>
        </w:rPr>
        <w:t>。</w:t>
      </w:r>
    </w:p>
    <w:p w:rsidR="00000000" w:rsidRDefault="00000000">
      <w:pPr>
        <w:spacing w:after="320"/>
        <w:rPr>
          <w:rFonts w:hint="eastAsia"/>
        </w:rPr>
      </w:pPr>
      <w:r>
        <w:rPr>
          <w:rFonts w:hint="eastAsia"/>
        </w:rPr>
        <w:tab/>
        <w:t xml:space="preserve">427.  </w:t>
      </w:r>
      <w:r>
        <w:rPr>
          <w:rFonts w:hint="eastAsia"/>
        </w:rPr>
        <w:t>接种儿童比例偏低是由于萨拉热窝一名儿童在接种儿童基金会分发的澳大利亚源活性疫苗后感染脑炎病例后发生危机造成的。在美利坚合众国进行试验之后证实，该疫苗引起随后发生的基因变化。</w:t>
      </w:r>
    </w:p>
    <w:p w:rsidR="00000000" w:rsidRDefault="00000000">
      <w:pPr>
        <w:pStyle w:val="Heading4"/>
        <w:rPr>
          <w:rFonts w:hint="eastAsia"/>
        </w:rPr>
      </w:pPr>
      <w:r>
        <w:rPr>
          <w:rFonts w:hint="eastAsia"/>
        </w:rPr>
        <w:t>小儿麻痹症免疫</w:t>
      </w:r>
    </w:p>
    <w:p w:rsidR="00000000" w:rsidRDefault="00000000">
      <w:pPr>
        <w:spacing w:after="320"/>
        <w:rPr>
          <w:rFonts w:hint="eastAsia"/>
        </w:rPr>
      </w:pPr>
      <w:r>
        <w:rPr>
          <w:rFonts w:hint="eastAsia"/>
        </w:rPr>
        <w:tab/>
        <w:t>428.  2002</w:t>
      </w:r>
      <w:r>
        <w:rPr>
          <w:rFonts w:hint="eastAsia"/>
        </w:rPr>
        <w:t>年，波斯尼亚和黑塞哥维那联邦所有各州口服小儿麻痹症疫苗人数平均百分比为</w:t>
      </w:r>
      <w:r>
        <w:rPr>
          <w:rFonts w:hint="eastAsia"/>
        </w:rPr>
        <w:t>81.8%</w:t>
      </w:r>
      <w:r>
        <w:rPr>
          <w:rFonts w:hint="eastAsia"/>
        </w:rPr>
        <w:t>，同</w:t>
      </w:r>
      <w:r>
        <w:rPr>
          <w:rFonts w:hint="eastAsia"/>
        </w:rPr>
        <w:t>2001</w:t>
      </w:r>
      <w:r>
        <w:rPr>
          <w:rFonts w:hint="eastAsia"/>
        </w:rPr>
        <w:t>年的</w:t>
      </w:r>
      <w:r>
        <w:rPr>
          <w:rFonts w:hint="eastAsia"/>
        </w:rPr>
        <w:t>92.3%</w:t>
      </w:r>
      <w:r>
        <w:rPr>
          <w:rFonts w:hint="eastAsia"/>
        </w:rPr>
        <w:t>相比降低很多。接种覆盖率最广的乌纳－苏纳州为</w:t>
      </w:r>
      <w:r>
        <w:rPr>
          <w:rFonts w:hint="eastAsia"/>
        </w:rPr>
        <w:t>94.0%</w:t>
      </w:r>
      <w:r>
        <w:rPr>
          <w:rFonts w:hint="eastAsia"/>
        </w:rPr>
        <w:t>，最低的萨拉热窝州为</w:t>
      </w:r>
      <w:r>
        <w:rPr>
          <w:rFonts w:hint="eastAsia"/>
        </w:rPr>
        <w:t>61.9%</w:t>
      </w:r>
      <w:r>
        <w:rPr>
          <w:rFonts w:hint="eastAsia"/>
        </w:rPr>
        <w:t>。</w:t>
      </w:r>
    </w:p>
    <w:p w:rsidR="00000000" w:rsidRDefault="00000000">
      <w:pPr>
        <w:pStyle w:val="Heading4"/>
        <w:rPr>
          <w:rFonts w:hint="eastAsia"/>
        </w:rPr>
      </w:pPr>
      <w:r>
        <w:rPr>
          <w:rFonts w:hint="eastAsia"/>
        </w:rPr>
        <w:t>麻疹免疫</w:t>
      </w:r>
    </w:p>
    <w:p w:rsidR="00000000" w:rsidRDefault="00000000">
      <w:pPr>
        <w:rPr>
          <w:rFonts w:hint="eastAsia"/>
        </w:rPr>
      </w:pPr>
      <w:r>
        <w:rPr>
          <w:rFonts w:hint="eastAsia"/>
        </w:rPr>
        <w:tab/>
        <w:t>429.  2002</w:t>
      </w:r>
      <w:r>
        <w:rPr>
          <w:rFonts w:hint="eastAsia"/>
        </w:rPr>
        <w:t>年接种麻疹疫苗的儿童平均百分比为</w:t>
      </w:r>
      <w:r>
        <w:rPr>
          <w:rFonts w:hint="eastAsia"/>
        </w:rPr>
        <w:t>86%</w:t>
      </w:r>
      <w:r>
        <w:rPr>
          <w:rFonts w:hint="eastAsia"/>
        </w:rPr>
        <w:t>，与</w:t>
      </w:r>
      <w:r>
        <w:rPr>
          <w:rFonts w:hint="eastAsia"/>
        </w:rPr>
        <w:t>2001</w:t>
      </w:r>
      <w:r>
        <w:rPr>
          <w:rFonts w:hint="eastAsia"/>
        </w:rPr>
        <w:t>年的</w:t>
      </w:r>
      <w:r>
        <w:rPr>
          <w:rFonts w:hint="eastAsia"/>
        </w:rPr>
        <w:t>91.7%</w:t>
      </w:r>
      <w:r>
        <w:rPr>
          <w:rFonts w:hint="eastAsia"/>
        </w:rPr>
        <w:t>相比有所降低。疫苗接种人数覆盖率最低的是萨拉热窝州，为</w:t>
      </w:r>
      <w:r>
        <w:rPr>
          <w:rFonts w:hint="eastAsia"/>
        </w:rPr>
        <w:t>62.8%</w:t>
      </w:r>
      <w:r>
        <w:rPr>
          <w:rFonts w:hint="eastAsia"/>
        </w:rPr>
        <w:t>，格拉日德地区的覆盖率最高，为</w:t>
      </w:r>
      <w:r>
        <w:rPr>
          <w:rFonts w:hint="eastAsia"/>
        </w:rPr>
        <w:t>96.2%</w:t>
      </w:r>
      <w:r>
        <w:rPr>
          <w:rFonts w:hint="eastAsia"/>
        </w:rPr>
        <w:t>。</w:t>
      </w:r>
    </w:p>
    <w:p w:rsidR="00000000" w:rsidRDefault="00000000">
      <w:pPr>
        <w:pStyle w:val="Heading3"/>
        <w:spacing w:after="120"/>
        <w:rPr>
          <w:rFonts w:hint="eastAsia"/>
        </w:rPr>
      </w:pPr>
      <w:r>
        <w:rPr>
          <w:u w:val="none"/>
        </w:rPr>
        <w:br w:type="page"/>
      </w:r>
      <w:r>
        <w:rPr>
          <w:rFonts w:hint="eastAsia"/>
          <w:u w:val="none"/>
        </w:rPr>
        <w:t>表</w:t>
      </w:r>
      <w:r>
        <w:rPr>
          <w:u w:val="none"/>
        </w:rPr>
        <w:t xml:space="preserve">  </w:t>
      </w:r>
      <w:r>
        <w:rPr>
          <w:rFonts w:hint="eastAsia"/>
          <w:u w:val="none"/>
        </w:rPr>
        <w:t>13</w:t>
      </w:r>
      <w:r>
        <w:br/>
      </w:r>
      <w:r>
        <w:rPr>
          <w:rFonts w:hint="eastAsia"/>
        </w:rPr>
        <w:t>麻疹免疫</w:t>
      </w:r>
      <w:r>
        <w:rPr>
          <w:rFonts w:hint="eastAsia"/>
        </w:rPr>
        <w:t>(</w:t>
      </w:r>
      <w:r>
        <w:rPr>
          <w:rFonts w:hint="eastAsia"/>
        </w:rPr>
        <w:t>麻疹</w:t>
      </w:r>
      <w:r>
        <w:rPr>
          <w:rFonts w:hint="eastAsia"/>
        </w:rPr>
        <w:t>)(</w:t>
      </w:r>
      <w:r>
        <w:rPr>
          <w:rFonts w:hint="eastAsia"/>
        </w:rPr>
        <w:t>百分比</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050"/>
        <w:gridCol w:w="2470"/>
        <w:gridCol w:w="1964"/>
        <w:gridCol w:w="2218"/>
      </w:tblGrid>
      <w:tr w:rsidR="00000000">
        <w:tblPrEx>
          <w:tblCellMar>
            <w:top w:w="0" w:type="dxa"/>
            <w:bottom w:w="0" w:type="dxa"/>
          </w:tblCellMar>
        </w:tblPrEx>
        <w:tc>
          <w:tcPr>
            <w:tcW w:w="1708" w:type="dxa"/>
            <w:tcBorders>
              <w:bottom w:val="single" w:sz="4" w:space="0" w:color="auto"/>
            </w:tcBorders>
          </w:tcPr>
          <w:p w:rsidR="00000000" w:rsidRDefault="00000000">
            <w:pPr>
              <w:pStyle w:val="a2"/>
              <w:jc w:val="center"/>
              <w:rPr>
                <w:rFonts w:hint="eastAsia"/>
              </w:rPr>
            </w:pPr>
            <w:r>
              <w:rPr>
                <w:rFonts w:hint="eastAsia"/>
              </w:rPr>
              <w:t>免疫</w:t>
            </w:r>
            <w:r>
              <w:rPr>
                <w:rFonts w:hint="eastAsia"/>
              </w:rPr>
              <w:t>(</w:t>
            </w:r>
            <w:r>
              <w:rPr>
                <w:rFonts w:hint="eastAsia"/>
              </w:rPr>
              <w:t>百分比</w:t>
            </w:r>
            <w:r>
              <w:rPr>
                <w:rFonts w:hint="eastAsia"/>
              </w:rPr>
              <w:t>)</w:t>
            </w:r>
          </w:p>
        </w:tc>
        <w:tc>
          <w:tcPr>
            <w:tcW w:w="1050" w:type="dxa"/>
            <w:tcBorders>
              <w:bottom w:val="single" w:sz="4" w:space="0" w:color="auto"/>
            </w:tcBorders>
          </w:tcPr>
          <w:p w:rsidR="00000000" w:rsidRDefault="00000000">
            <w:pPr>
              <w:pStyle w:val="a2"/>
              <w:jc w:val="center"/>
              <w:rPr>
                <w:rFonts w:hint="eastAsia"/>
              </w:rPr>
            </w:pPr>
            <w:r>
              <w:rPr>
                <w:rFonts w:hint="eastAsia"/>
              </w:rPr>
              <w:t>年份</w:t>
            </w:r>
          </w:p>
        </w:tc>
        <w:tc>
          <w:tcPr>
            <w:tcW w:w="2470" w:type="dxa"/>
            <w:tcBorders>
              <w:bottom w:val="single" w:sz="4" w:space="0" w:color="auto"/>
            </w:tcBorders>
          </w:tcPr>
          <w:p w:rsidR="00000000" w:rsidRDefault="00000000">
            <w:pPr>
              <w:pStyle w:val="a2"/>
              <w:jc w:val="center"/>
              <w:rPr>
                <w:rFonts w:hint="eastAsia"/>
              </w:rPr>
            </w:pPr>
            <w:r>
              <w:rPr>
                <w:rFonts w:hint="eastAsia"/>
              </w:rPr>
              <w:t>白喉、破伤风和百日咳</w:t>
            </w:r>
          </w:p>
        </w:tc>
        <w:tc>
          <w:tcPr>
            <w:tcW w:w="1964" w:type="dxa"/>
            <w:tcBorders>
              <w:bottom w:val="single" w:sz="4" w:space="0" w:color="auto"/>
            </w:tcBorders>
          </w:tcPr>
          <w:p w:rsidR="00000000" w:rsidRDefault="00000000">
            <w:pPr>
              <w:pStyle w:val="a2"/>
              <w:jc w:val="center"/>
              <w:rPr>
                <w:rFonts w:hint="eastAsia"/>
              </w:rPr>
            </w:pPr>
            <w:r>
              <w:rPr>
                <w:rFonts w:hint="eastAsia"/>
              </w:rPr>
              <w:t>小儿麻痹</w:t>
            </w:r>
          </w:p>
        </w:tc>
        <w:tc>
          <w:tcPr>
            <w:tcW w:w="2218" w:type="dxa"/>
            <w:tcBorders>
              <w:bottom w:val="single" w:sz="4" w:space="0" w:color="auto"/>
            </w:tcBorders>
          </w:tcPr>
          <w:p w:rsidR="00000000" w:rsidRDefault="00000000">
            <w:pPr>
              <w:pStyle w:val="a2"/>
              <w:jc w:val="center"/>
              <w:rPr>
                <w:rFonts w:hint="eastAsia"/>
              </w:rPr>
            </w:pPr>
            <w:r>
              <w:rPr>
                <w:rFonts w:hint="eastAsia"/>
              </w:rPr>
              <w:t>麻疹</w:t>
            </w:r>
            <w:r>
              <w:rPr>
                <w:rFonts w:hint="eastAsia"/>
              </w:rPr>
              <w:t>(</w:t>
            </w:r>
            <w:r>
              <w:t>morbili)</w:t>
            </w:r>
          </w:p>
        </w:tc>
      </w:tr>
      <w:tr w:rsidR="00000000">
        <w:tblPrEx>
          <w:tblCellMar>
            <w:top w:w="0" w:type="dxa"/>
            <w:bottom w:w="0" w:type="dxa"/>
          </w:tblCellMar>
        </w:tblPrEx>
        <w:tc>
          <w:tcPr>
            <w:tcW w:w="1708" w:type="dxa"/>
            <w:tcBorders>
              <w:bottom w:val="nil"/>
            </w:tcBorders>
          </w:tcPr>
          <w:p w:rsidR="00000000" w:rsidRDefault="00000000">
            <w:pPr>
              <w:pStyle w:val="a2"/>
              <w:ind w:left="113"/>
              <w:rPr>
                <w:rFonts w:hint="eastAsia"/>
              </w:rPr>
            </w:pPr>
            <w:r>
              <w:rPr>
                <w:rFonts w:hint="eastAsia"/>
              </w:rPr>
              <w:t>接种</w:t>
            </w:r>
          </w:p>
        </w:tc>
        <w:tc>
          <w:tcPr>
            <w:tcW w:w="1050" w:type="dxa"/>
            <w:tcBorders>
              <w:bottom w:val="nil"/>
            </w:tcBorders>
          </w:tcPr>
          <w:p w:rsidR="00000000" w:rsidRDefault="00000000">
            <w:pPr>
              <w:pStyle w:val="a2"/>
              <w:jc w:val="center"/>
            </w:pPr>
            <w:r>
              <w:t>1991</w:t>
            </w:r>
          </w:p>
        </w:tc>
        <w:tc>
          <w:tcPr>
            <w:tcW w:w="2470" w:type="dxa"/>
            <w:tcBorders>
              <w:bottom w:val="nil"/>
            </w:tcBorders>
          </w:tcPr>
          <w:p w:rsidR="00000000" w:rsidRDefault="00000000">
            <w:pPr>
              <w:pStyle w:val="a2"/>
              <w:ind w:left="851"/>
              <w:jc w:val="left"/>
            </w:pPr>
            <w:r>
              <w:t>94</w:t>
            </w:r>
          </w:p>
        </w:tc>
        <w:tc>
          <w:tcPr>
            <w:tcW w:w="1964" w:type="dxa"/>
            <w:tcBorders>
              <w:bottom w:val="nil"/>
            </w:tcBorders>
          </w:tcPr>
          <w:p w:rsidR="00000000" w:rsidRDefault="00000000">
            <w:pPr>
              <w:pStyle w:val="a2"/>
              <w:ind w:left="851"/>
              <w:jc w:val="left"/>
            </w:pPr>
            <w:r>
              <w:t>93</w:t>
            </w:r>
          </w:p>
        </w:tc>
        <w:tc>
          <w:tcPr>
            <w:tcW w:w="2218" w:type="dxa"/>
            <w:tcBorders>
              <w:bottom w:val="nil"/>
            </w:tcBorders>
          </w:tcPr>
          <w:p w:rsidR="00000000" w:rsidRDefault="00000000">
            <w:pPr>
              <w:pStyle w:val="a2"/>
              <w:ind w:left="851"/>
              <w:jc w:val="left"/>
            </w:pPr>
            <w:r>
              <w:t>95</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1999</w:t>
            </w:r>
          </w:p>
        </w:tc>
        <w:tc>
          <w:tcPr>
            <w:tcW w:w="2470" w:type="dxa"/>
            <w:tcBorders>
              <w:top w:val="nil"/>
              <w:bottom w:val="nil"/>
            </w:tcBorders>
          </w:tcPr>
          <w:p w:rsidR="00000000" w:rsidRDefault="00000000">
            <w:pPr>
              <w:pStyle w:val="a2"/>
              <w:ind w:left="851"/>
              <w:jc w:val="left"/>
            </w:pPr>
            <w:r>
              <w:t>95.06</w:t>
            </w:r>
          </w:p>
        </w:tc>
        <w:tc>
          <w:tcPr>
            <w:tcW w:w="1964" w:type="dxa"/>
            <w:tcBorders>
              <w:top w:val="nil"/>
              <w:bottom w:val="nil"/>
            </w:tcBorders>
          </w:tcPr>
          <w:p w:rsidR="00000000" w:rsidRDefault="00000000">
            <w:pPr>
              <w:pStyle w:val="a2"/>
              <w:ind w:left="851"/>
              <w:jc w:val="left"/>
            </w:pPr>
            <w:r>
              <w:t>95.06</w:t>
            </w:r>
          </w:p>
        </w:tc>
        <w:tc>
          <w:tcPr>
            <w:tcW w:w="2218" w:type="dxa"/>
            <w:tcBorders>
              <w:top w:val="nil"/>
              <w:bottom w:val="nil"/>
            </w:tcBorders>
          </w:tcPr>
          <w:p w:rsidR="00000000" w:rsidRDefault="00000000">
            <w:pPr>
              <w:pStyle w:val="a2"/>
              <w:ind w:left="851"/>
              <w:jc w:val="left"/>
            </w:pPr>
            <w:r>
              <w:t>80.74</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2000</w:t>
            </w:r>
          </w:p>
        </w:tc>
        <w:tc>
          <w:tcPr>
            <w:tcW w:w="2470" w:type="dxa"/>
            <w:tcBorders>
              <w:top w:val="nil"/>
              <w:bottom w:val="nil"/>
            </w:tcBorders>
          </w:tcPr>
          <w:p w:rsidR="00000000" w:rsidRDefault="00000000">
            <w:pPr>
              <w:pStyle w:val="a2"/>
              <w:ind w:left="851"/>
              <w:jc w:val="left"/>
            </w:pPr>
            <w:r>
              <w:t>82.23</w:t>
            </w:r>
          </w:p>
        </w:tc>
        <w:tc>
          <w:tcPr>
            <w:tcW w:w="1964" w:type="dxa"/>
            <w:tcBorders>
              <w:top w:val="nil"/>
              <w:bottom w:val="nil"/>
            </w:tcBorders>
          </w:tcPr>
          <w:p w:rsidR="00000000" w:rsidRDefault="00000000">
            <w:pPr>
              <w:pStyle w:val="a2"/>
              <w:ind w:left="851"/>
              <w:jc w:val="left"/>
            </w:pPr>
            <w:r>
              <w:t>85.15</w:t>
            </w:r>
          </w:p>
        </w:tc>
        <w:tc>
          <w:tcPr>
            <w:tcW w:w="2218" w:type="dxa"/>
            <w:tcBorders>
              <w:top w:val="nil"/>
              <w:bottom w:val="nil"/>
            </w:tcBorders>
          </w:tcPr>
          <w:p w:rsidR="00000000" w:rsidRDefault="00000000">
            <w:pPr>
              <w:pStyle w:val="a2"/>
              <w:ind w:left="851"/>
              <w:jc w:val="left"/>
            </w:pPr>
            <w:r>
              <w:t>88.61</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2001</w:t>
            </w:r>
          </w:p>
        </w:tc>
        <w:tc>
          <w:tcPr>
            <w:tcW w:w="2470" w:type="dxa"/>
            <w:tcBorders>
              <w:top w:val="nil"/>
              <w:bottom w:val="nil"/>
            </w:tcBorders>
          </w:tcPr>
          <w:p w:rsidR="00000000" w:rsidRDefault="00000000">
            <w:pPr>
              <w:pStyle w:val="a2"/>
              <w:ind w:left="851"/>
              <w:jc w:val="left"/>
            </w:pPr>
            <w:r>
              <w:t>91.79</w:t>
            </w:r>
          </w:p>
        </w:tc>
        <w:tc>
          <w:tcPr>
            <w:tcW w:w="1964" w:type="dxa"/>
            <w:tcBorders>
              <w:top w:val="nil"/>
              <w:bottom w:val="nil"/>
            </w:tcBorders>
          </w:tcPr>
          <w:p w:rsidR="00000000" w:rsidRDefault="00000000">
            <w:pPr>
              <w:pStyle w:val="a2"/>
              <w:ind w:left="851"/>
              <w:jc w:val="left"/>
            </w:pPr>
            <w:r>
              <w:t>92.30</w:t>
            </w:r>
          </w:p>
        </w:tc>
        <w:tc>
          <w:tcPr>
            <w:tcW w:w="2218" w:type="dxa"/>
            <w:tcBorders>
              <w:top w:val="nil"/>
              <w:bottom w:val="nil"/>
            </w:tcBorders>
          </w:tcPr>
          <w:p w:rsidR="00000000" w:rsidRDefault="00000000">
            <w:pPr>
              <w:pStyle w:val="a2"/>
              <w:ind w:left="851"/>
              <w:jc w:val="left"/>
            </w:pPr>
            <w:r>
              <w:t>91.70</w:t>
            </w:r>
          </w:p>
        </w:tc>
      </w:tr>
      <w:tr w:rsidR="00000000">
        <w:tblPrEx>
          <w:tblCellMar>
            <w:top w:w="0" w:type="dxa"/>
            <w:bottom w:w="0" w:type="dxa"/>
          </w:tblCellMar>
        </w:tblPrEx>
        <w:tc>
          <w:tcPr>
            <w:tcW w:w="1708" w:type="dxa"/>
            <w:tcBorders>
              <w:top w:val="nil"/>
              <w:bottom w:val="single" w:sz="4" w:space="0" w:color="auto"/>
            </w:tcBorders>
          </w:tcPr>
          <w:p w:rsidR="00000000" w:rsidRDefault="00000000">
            <w:pPr>
              <w:pStyle w:val="a2"/>
              <w:ind w:left="113"/>
              <w:rPr>
                <w:rFonts w:hint="eastAsia"/>
              </w:rPr>
            </w:pPr>
          </w:p>
        </w:tc>
        <w:tc>
          <w:tcPr>
            <w:tcW w:w="1050" w:type="dxa"/>
            <w:tcBorders>
              <w:top w:val="nil"/>
              <w:bottom w:val="single" w:sz="4" w:space="0" w:color="auto"/>
            </w:tcBorders>
          </w:tcPr>
          <w:p w:rsidR="00000000" w:rsidRDefault="00000000">
            <w:pPr>
              <w:pStyle w:val="a2"/>
              <w:jc w:val="center"/>
            </w:pPr>
            <w:r>
              <w:t>2002</w:t>
            </w:r>
          </w:p>
        </w:tc>
        <w:tc>
          <w:tcPr>
            <w:tcW w:w="2470" w:type="dxa"/>
            <w:tcBorders>
              <w:top w:val="nil"/>
              <w:bottom w:val="single" w:sz="4" w:space="0" w:color="auto"/>
            </w:tcBorders>
          </w:tcPr>
          <w:p w:rsidR="00000000" w:rsidRDefault="00000000">
            <w:pPr>
              <w:pStyle w:val="a2"/>
              <w:ind w:left="851"/>
              <w:jc w:val="left"/>
            </w:pPr>
            <w:r>
              <w:t>73.9</w:t>
            </w:r>
          </w:p>
        </w:tc>
        <w:tc>
          <w:tcPr>
            <w:tcW w:w="1964" w:type="dxa"/>
            <w:tcBorders>
              <w:top w:val="nil"/>
              <w:bottom w:val="single" w:sz="4" w:space="0" w:color="auto"/>
            </w:tcBorders>
          </w:tcPr>
          <w:p w:rsidR="00000000" w:rsidRDefault="00000000">
            <w:pPr>
              <w:pStyle w:val="a2"/>
              <w:ind w:left="851"/>
              <w:jc w:val="left"/>
            </w:pPr>
            <w:r>
              <w:t>81.8</w:t>
            </w:r>
          </w:p>
        </w:tc>
        <w:tc>
          <w:tcPr>
            <w:tcW w:w="2218" w:type="dxa"/>
            <w:tcBorders>
              <w:top w:val="nil"/>
              <w:bottom w:val="single" w:sz="4" w:space="0" w:color="auto"/>
            </w:tcBorders>
          </w:tcPr>
          <w:p w:rsidR="00000000" w:rsidRDefault="00000000">
            <w:pPr>
              <w:pStyle w:val="a2"/>
              <w:ind w:left="851"/>
              <w:jc w:val="left"/>
            </w:pPr>
            <w:r>
              <w:t>86</w:t>
            </w:r>
          </w:p>
        </w:tc>
      </w:tr>
      <w:tr w:rsidR="00000000">
        <w:tblPrEx>
          <w:tblCellMar>
            <w:top w:w="0" w:type="dxa"/>
            <w:bottom w:w="0" w:type="dxa"/>
          </w:tblCellMar>
        </w:tblPrEx>
        <w:tc>
          <w:tcPr>
            <w:tcW w:w="1708" w:type="dxa"/>
            <w:tcBorders>
              <w:bottom w:val="nil"/>
            </w:tcBorders>
          </w:tcPr>
          <w:p w:rsidR="00000000" w:rsidRDefault="00000000">
            <w:pPr>
              <w:pStyle w:val="a2"/>
              <w:ind w:left="113"/>
              <w:rPr>
                <w:rFonts w:hint="eastAsia"/>
              </w:rPr>
            </w:pPr>
            <w:r>
              <w:rPr>
                <w:rFonts w:hint="eastAsia"/>
              </w:rPr>
              <w:t>再接种</w:t>
            </w:r>
          </w:p>
        </w:tc>
        <w:tc>
          <w:tcPr>
            <w:tcW w:w="1050" w:type="dxa"/>
            <w:tcBorders>
              <w:bottom w:val="nil"/>
            </w:tcBorders>
          </w:tcPr>
          <w:p w:rsidR="00000000" w:rsidRDefault="00000000">
            <w:pPr>
              <w:pStyle w:val="a2"/>
              <w:jc w:val="center"/>
            </w:pPr>
            <w:r>
              <w:t>1991</w:t>
            </w:r>
          </w:p>
        </w:tc>
        <w:tc>
          <w:tcPr>
            <w:tcW w:w="2470" w:type="dxa"/>
            <w:tcBorders>
              <w:bottom w:val="nil"/>
            </w:tcBorders>
          </w:tcPr>
          <w:p w:rsidR="00000000" w:rsidRDefault="00000000">
            <w:pPr>
              <w:pStyle w:val="a2"/>
              <w:ind w:left="851"/>
              <w:jc w:val="left"/>
            </w:pPr>
            <w:r>
              <w:t>95</w:t>
            </w:r>
          </w:p>
        </w:tc>
        <w:tc>
          <w:tcPr>
            <w:tcW w:w="1964" w:type="dxa"/>
            <w:tcBorders>
              <w:bottom w:val="nil"/>
            </w:tcBorders>
          </w:tcPr>
          <w:p w:rsidR="00000000" w:rsidRDefault="00000000">
            <w:pPr>
              <w:pStyle w:val="a2"/>
              <w:ind w:left="851"/>
              <w:jc w:val="left"/>
            </w:pPr>
            <w:r>
              <w:t>96</w:t>
            </w:r>
          </w:p>
        </w:tc>
        <w:tc>
          <w:tcPr>
            <w:tcW w:w="2218" w:type="dxa"/>
            <w:tcBorders>
              <w:bottom w:val="nil"/>
            </w:tcBorders>
          </w:tcPr>
          <w:p w:rsidR="00000000" w:rsidRDefault="00000000">
            <w:pPr>
              <w:pStyle w:val="a2"/>
              <w:ind w:left="851"/>
              <w:jc w:val="left"/>
            </w:pPr>
            <w:r>
              <w:t>98</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1999</w:t>
            </w:r>
          </w:p>
        </w:tc>
        <w:tc>
          <w:tcPr>
            <w:tcW w:w="2470" w:type="dxa"/>
            <w:tcBorders>
              <w:top w:val="nil"/>
              <w:bottom w:val="nil"/>
            </w:tcBorders>
          </w:tcPr>
          <w:p w:rsidR="00000000" w:rsidRDefault="00000000">
            <w:pPr>
              <w:pStyle w:val="a2"/>
              <w:ind w:left="851"/>
              <w:jc w:val="left"/>
            </w:pPr>
            <w:r>
              <w:t>92.69</w:t>
            </w:r>
          </w:p>
        </w:tc>
        <w:tc>
          <w:tcPr>
            <w:tcW w:w="1964" w:type="dxa"/>
            <w:tcBorders>
              <w:top w:val="nil"/>
              <w:bottom w:val="nil"/>
            </w:tcBorders>
          </w:tcPr>
          <w:p w:rsidR="00000000" w:rsidRDefault="00000000">
            <w:pPr>
              <w:pStyle w:val="a2"/>
              <w:ind w:left="851"/>
              <w:jc w:val="left"/>
            </w:pPr>
            <w:r>
              <w:t>92.69</w:t>
            </w:r>
          </w:p>
        </w:tc>
        <w:tc>
          <w:tcPr>
            <w:tcW w:w="2218" w:type="dxa"/>
            <w:tcBorders>
              <w:top w:val="nil"/>
              <w:bottom w:val="nil"/>
            </w:tcBorders>
          </w:tcPr>
          <w:p w:rsidR="00000000" w:rsidRDefault="00000000">
            <w:pPr>
              <w:pStyle w:val="a2"/>
              <w:ind w:left="851"/>
              <w:jc w:val="left"/>
            </w:pPr>
            <w:r>
              <w:t>74.88</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2000</w:t>
            </w:r>
          </w:p>
        </w:tc>
        <w:tc>
          <w:tcPr>
            <w:tcW w:w="2470" w:type="dxa"/>
            <w:tcBorders>
              <w:top w:val="nil"/>
              <w:bottom w:val="nil"/>
            </w:tcBorders>
          </w:tcPr>
          <w:p w:rsidR="00000000" w:rsidRDefault="00000000">
            <w:pPr>
              <w:pStyle w:val="a2"/>
              <w:ind w:left="851"/>
              <w:jc w:val="left"/>
            </w:pPr>
            <w:r>
              <w:t>78.89</w:t>
            </w:r>
          </w:p>
        </w:tc>
        <w:tc>
          <w:tcPr>
            <w:tcW w:w="1964" w:type="dxa"/>
            <w:tcBorders>
              <w:top w:val="nil"/>
              <w:bottom w:val="nil"/>
            </w:tcBorders>
          </w:tcPr>
          <w:p w:rsidR="00000000" w:rsidRDefault="00000000">
            <w:pPr>
              <w:pStyle w:val="a2"/>
              <w:ind w:left="851"/>
              <w:jc w:val="left"/>
            </w:pPr>
            <w:r>
              <w:t>89.22</w:t>
            </w:r>
          </w:p>
        </w:tc>
        <w:tc>
          <w:tcPr>
            <w:tcW w:w="2218" w:type="dxa"/>
            <w:tcBorders>
              <w:top w:val="nil"/>
              <w:bottom w:val="nil"/>
            </w:tcBorders>
          </w:tcPr>
          <w:p w:rsidR="00000000" w:rsidRDefault="00000000">
            <w:pPr>
              <w:pStyle w:val="a2"/>
              <w:ind w:left="851"/>
              <w:jc w:val="left"/>
            </w:pPr>
            <w:r>
              <w:t>90.03</w:t>
            </w:r>
          </w:p>
        </w:tc>
      </w:tr>
      <w:tr w:rsidR="00000000">
        <w:tblPrEx>
          <w:tblCellMar>
            <w:top w:w="0" w:type="dxa"/>
            <w:bottom w:w="0" w:type="dxa"/>
          </w:tblCellMar>
        </w:tblPrEx>
        <w:tc>
          <w:tcPr>
            <w:tcW w:w="1708" w:type="dxa"/>
            <w:tcBorders>
              <w:top w:val="nil"/>
              <w:bottom w:val="nil"/>
            </w:tcBorders>
          </w:tcPr>
          <w:p w:rsidR="00000000" w:rsidRDefault="00000000">
            <w:pPr>
              <w:pStyle w:val="a2"/>
              <w:ind w:left="113"/>
              <w:rPr>
                <w:rFonts w:hint="eastAsia"/>
              </w:rPr>
            </w:pPr>
          </w:p>
        </w:tc>
        <w:tc>
          <w:tcPr>
            <w:tcW w:w="1050" w:type="dxa"/>
            <w:tcBorders>
              <w:top w:val="nil"/>
              <w:bottom w:val="nil"/>
            </w:tcBorders>
          </w:tcPr>
          <w:p w:rsidR="00000000" w:rsidRDefault="00000000">
            <w:pPr>
              <w:pStyle w:val="a2"/>
              <w:jc w:val="center"/>
            </w:pPr>
            <w:r>
              <w:t>2001</w:t>
            </w:r>
          </w:p>
        </w:tc>
        <w:tc>
          <w:tcPr>
            <w:tcW w:w="2470" w:type="dxa"/>
            <w:tcBorders>
              <w:top w:val="nil"/>
              <w:bottom w:val="nil"/>
            </w:tcBorders>
          </w:tcPr>
          <w:p w:rsidR="00000000" w:rsidRDefault="00000000">
            <w:pPr>
              <w:pStyle w:val="a2"/>
              <w:ind w:left="851"/>
              <w:jc w:val="left"/>
            </w:pPr>
            <w:r>
              <w:t>89.2</w:t>
            </w:r>
          </w:p>
        </w:tc>
        <w:tc>
          <w:tcPr>
            <w:tcW w:w="1964" w:type="dxa"/>
            <w:tcBorders>
              <w:top w:val="nil"/>
              <w:bottom w:val="nil"/>
            </w:tcBorders>
          </w:tcPr>
          <w:p w:rsidR="00000000" w:rsidRDefault="00000000">
            <w:pPr>
              <w:pStyle w:val="a2"/>
              <w:ind w:left="851"/>
              <w:jc w:val="left"/>
            </w:pPr>
            <w:r>
              <w:t>90.6</w:t>
            </w:r>
          </w:p>
        </w:tc>
        <w:tc>
          <w:tcPr>
            <w:tcW w:w="2218" w:type="dxa"/>
            <w:tcBorders>
              <w:top w:val="nil"/>
              <w:bottom w:val="nil"/>
            </w:tcBorders>
          </w:tcPr>
          <w:p w:rsidR="00000000" w:rsidRDefault="00000000">
            <w:pPr>
              <w:pStyle w:val="a2"/>
              <w:ind w:left="851"/>
              <w:jc w:val="left"/>
            </w:pPr>
            <w:r>
              <w:t>83.5</w:t>
            </w:r>
          </w:p>
        </w:tc>
      </w:tr>
      <w:tr w:rsidR="00000000">
        <w:tblPrEx>
          <w:tblCellMar>
            <w:top w:w="0" w:type="dxa"/>
            <w:bottom w:w="0" w:type="dxa"/>
          </w:tblCellMar>
        </w:tblPrEx>
        <w:tc>
          <w:tcPr>
            <w:tcW w:w="1708" w:type="dxa"/>
            <w:tcBorders>
              <w:top w:val="nil"/>
            </w:tcBorders>
          </w:tcPr>
          <w:p w:rsidR="00000000" w:rsidRDefault="00000000">
            <w:pPr>
              <w:pStyle w:val="a2"/>
              <w:ind w:left="113"/>
              <w:rPr>
                <w:rFonts w:hint="eastAsia"/>
              </w:rPr>
            </w:pPr>
          </w:p>
        </w:tc>
        <w:tc>
          <w:tcPr>
            <w:tcW w:w="1050" w:type="dxa"/>
            <w:tcBorders>
              <w:top w:val="nil"/>
            </w:tcBorders>
          </w:tcPr>
          <w:p w:rsidR="00000000" w:rsidRDefault="00000000">
            <w:pPr>
              <w:pStyle w:val="a2"/>
              <w:jc w:val="center"/>
            </w:pPr>
            <w:r>
              <w:t>2002</w:t>
            </w:r>
          </w:p>
        </w:tc>
        <w:tc>
          <w:tcPr>
            <w:tcW w:w="2470" w:type="dxa"/>
            <w:tcBorders>
              <w:top w:val="nil"/>
            </w:tcBorders>
          </w:tcPr>
          <w:p w:rsidR="00000000" w:rsidRDefault="00000000">
            <w:pPr>
              <w:pStyle w:val="a2"/>
              <w:ind w:left="851"/>
              <w:jc w:val="left"/>
            </w:pPr>
            <w:r>
              <w:t>62.6</w:t>
            </w:r>
          </w:p>
        </w:tc>
        <w:tc>
          <w:tcPr>
            <w:tcW w:w="1964" w:type="dxa"/>
            <w:tcBorders>
              <w:top w:val="nil"/>
            </w:tcBorders>
          </w:tcPr>
          <w:p w:rsidR="00000000" w:rsidRDefault="00000000">
            <w:pPr>
              <w:pStyle w:val="a2"/>
              <w:ind w:left="851"/>
              <w:jc w:val="left"/>
            </w:pPr>
            <w:r>
              <w:t>81.8</w:t>
            </w:r>
          </w:p>
        </w:tc>
        <w:tc>
          <w:tcPr>
            <w:tcW w:w="2218" w:type="dxa"/>
            <w:tcBorders>
              <w:top w:val="nil"/>
            </w:tcBorders>
          </w:tcPr>
          <w:p w:rsidR="00000000" w:rsidRDefault="00000000">
            <w:pPr>
              <w:pStyle w:val="a2"/>
              <w:ind w:left="851"/>
              <w:jc w:val="left"/>
            </w:pPr>
            <w:r>
              <w:t>87.2</w:t>
            </w:r>
          </w:p>
        </w:tc>
      </w:tr>
    </w:tbl>
    <w:p w:rsidR="00000000" w:rsidRDefault="00000000">
      <w:pPr>
        <w:pStyle w:val="a2"/>
        <w:ind w:left="1247"/>
        <w:jc w:val="left"/>
        <w:rPr>
          <w:rFonts w:hint="eastAsia"/>
        </w:rPr>
      </w:pPr>
    </w:p>
    <w:p w:rsidR="00000000" w:rsidRDefault="00000000">
      <w:pPr>
        <w:pStyle w:val="Heading4"/>
        <w:rPr>
          <w:rFonts w:hint="eastAsia"/>
        </w:rPr>
      </w:pPr>
      <w:r>
        <w:rPr>
          <w:rFonts w:hint="eastAsia"/>
        </w:rPr>
        <w:t>水的有害影响</w:t>
      </w:r>
    </w:p>
    <w:p w:rsidR="00000000" w:rsidRDefault="00000000">
      <w:pPr>
        <w:rPr>
          <w:rFonts w:hint="eastAsia"/>
        </w:rPr>
      </w:pPr>
      <w:r>
        <w:rPr>
          <w:rFonts w:hint="eastAsia"/>
        </w:rPr>
        <w:tab/>
        <w:t xml:space="preserve">430.  </w:t>
      </w:r>
      <w:r>
        <w:rPr>
          <w:rFonts w:hint="eastAsia"/>
        </w:rPr>
        <w:t>水的有害影响源自自然要素</w:t>
      </w:r>
      <w:r>
        <w:rPr>
          <w:rFonts w:hint="eastAsia"/>
        </w:rPr>
        <w:t>(</w:t>
      </w:r>
      <w:r>
        <w:rPr>
          <w:rFonts w:hint="eastAsia"/>
        </w:rPr>
        <w:t>水份状况、气候、地质、地形和人类活动</w:t>
      </w:r>
      <w:r>
        <w:rPr>
          <w:rFonts w:hint="eastAsia"/>
        </w:rPr>
        <w:t>)</w:t>
      </w:r>
      <w:r>
        <w:rPr>
          <w:rFonts w:hint="eastAsia"/>
        </w:rPr>
        <w:t>的不平衡和不均匀分布，这在波斯尼亚和黑塞哥维那广大地区很明显。其特征为形成了具有相对高度斜坡的地貌，加上降水分布不均衡，导致了不平衡的</w:t>
      </w:r>
      <w:r>
        <w:rPr>
          <w:rFonts w:ascii="SimSun" w:hAnsi="SimSun" w:hint="eastAsia"/>
        </w:rPr>
        <w:t>径</w:t>
      </w:r>
      <w:r>
        <w:rPr>
          <w:rFonts w:hint="eastAsia"/>
        </w:rPr>
        <w:t>流。萨瓦河沿岸低势山坡水流域紧缺，直接流入萨瓦河的上游较高盆地部分也是如此。我们常常目睹这类流入河的洪水波浪及其随后的流入同时发生，萨瓦河有时甚至随后洪水泛滥。人类的影响和保留洪水的条件越来越糟。伐木不断加剧，正在洪水易发地区广泛建立和利用交通联系</w:t>
      </w:r>
      <w:r>
        <w:rPr>
          <w:rFonts w:hint="eastAsia"/>
        </w:rPr>
        <w:t>(</w:t>
      </w:r>
      <w:r>
        <w:rPr>
          <w:rFonts w:hint="eastAsia"/>
        </w:rPr>
        <w:t>建筑、工业、交通等</w:t>
      </w:r>
      <w:r>
        <w:rPr>
          <w:rFonts w:hint="eastAsia"/>
        </w:rPr>
        <w:t>)</w:t>
      </w:r>
      <w:r>
        <w:rPr>
          <w:rFonts w:hint="eastAsia"/>
        </w:rPr>
        <w:t>。所有这些都助长了加快径流，而通过有意控制小型水盆地阻断洪水，减少了蓄水。由于缺乏对人类活动的协调，所有水道下游的状况都日趋复杂。</w:t>
      </w:r>
    </w:p>
    <w:p w:rsidR="00000000" w:rsidRDefault="00000000">
      <w:pPr>
        <w:spacing w:after="320"/>
        <w:rPr>
          <w:rFonts w:hint="eastAsia"/>
        </w:rPr>
      </w:pPr>
      <w:r>
        <w:rPr>
          <w:rFonts w:hint="eastAsia"/>
        </w:rPr>
        <w:tab/>
        <w:t xml:space="preserve">431.  </w:t>
      </w:r>
      <w:r>
        <w:rPr>
          <w:rFonts w:hint="eastAsia"/>
        </w:rPr>
        <w:t>很少开展积极的防洪，建设防洪设施的条件越来越困难</w:t>
      </w:r>
      <w:r>
        <w:rPr>
          <w:rFonts w:hint="eastAsia"/>
        </w:rPr>
        <w:t>(</w:t>
      </w:r>
      <w:r>
        <w:rPr>
          <w:rFonts w:hint="eastAsia"/>
        </w:rPr>
        <w:t>特别是储水和蓄水方面</w:t>
      </w:r>
      <w:r>
        <w:rPr>
          <w:rFonts w:hint="eastAsia"/>
        </w:rPr>
        <w:t>)</w:t>
      </w:r>
      <w:r>
        <w:rPr>
          <w:rFonts w:hint="eastAsia"/>
        </w:rPr>
        <w:t>。也具备将水从一个盆地转流到另一个盆地的可能条件，还有在一个盆地内提供防洪设施的问题</w:t>
      </w:r>
      <w:r>
        <w:rPr>
          <w:rFonts w:hint="eastAsia"/>
        </w:rPr>
        <w:t>(</w:t>
      </w:r>
      <w:r>
        <w:rPr>
          <w:rFonts w:hint="eastAsia"/>
        </w:rPr>
        <w:t>由于设施位于盆地某一地区，而水的作用却在影响属于不同行政单位</w:t>
      </w:r>
      <w:r>
        <w:rPr>
          <w:rFonts w:hint="eastAsia"/>
        </w:rPr>
        <w:t>/</w:t>
      </w:r>
      <w:r>
        <w:rPr>
          <w:rFonts w:hint="eastAsia"/>
        </w:rPr>
        <w:t>市政的另一地区</w:t>
      </w:r>
      <w:r>
        <w:rPr>
          <w:rFonts w:hint="eastAsia"/>
        </w:rPr>
        <w:t>)</w:t>
      </w:r>
      <w:r>
        <w:rPr>
          <w:rFonts w:hint="eastAsia"/>
        </w:rPr>
        <w:t>。</w:t>
      </w:r>
    </w:p>
    <w:p w:rsidR="00000000" w:rsidRDefault="00000000">
      <w:pPr>
        <w:pStyle w:val="Heading4"/>
        <w:rPr>
          <w:rFonts w:hint="eastAsia"/>
        </w:rPr>
      </w:pPr>
      <w:r>
        <w:rPr>
          <w:rFonts w:hint="eastAsia"/>
        </w:rPr>
        <w:t>老年人和残疾人</w:t>
      </w:r>
    </w:p>
    <w:p w:rsidR="00000000" w:rsidRDefault="00000000">
      <w:pPr>
        <w:pStyle w:val="Heading4"/>
        <w:rPr>
          <w:rFonts w:hint="eastAsia"/>
        </w:rPr>
      </w:pPr>
      <w:r>
        <w:rPr>
          <w:rFonts w:hint="eastAsia"/>
        </w:rPr>
        <w:t>老年人</w:t>
      </w:r>
    </w:p>
    <w:p w:rsidR="00000000" w:rsidRDefault="00000000">
      <w:pPr>
        <w:rPr>
          <w:rFonts w:hint="eastAsia"/>
        </w:rPr>
      </w:pPr>
      <w:r>
        <w:rPr>
          <w:rFonts w:hint="eastAsia"/>
        </w:rPr>
        <w:tab/>
        <w:t xml:space="preserve">432.  </w:t>
      </w:r>
      <w:r>
        <w:rPr>
          <w:rFonts w:hint="eastAsia"/>
        </w:rPr>
        <w:t>据实体统计署估计，在波斯尼亚和黑塞哥维那全部人口结构中，老年人占</w:t>
      </w:r>
      <w:r>
        <w:rPr>
          <w:rFonts w:hint="eastAsia"/>
        </w:rPr>
        <w:t>10%</w:t>
      </w:r>
      <w:r>
        <w:rPr>
          <w:rFonts w:hint="eastAsia"/>
        </w:rPr>
        <w:t>以上。这就是说，按照国际标准，波斯尼亚和黑塞哥维那应归入拥有“老年人口”一类。这是由于出生率降低和年轻人向海外移民的结果。老年人有特定健康问题，主要与年龄有关，但有些问题是由困难的社会和经济条件造成的。</w:t>
      </w:r>
    </w:p>
    <w:p w:rsidR="00000000" w:rsidRDefault="00000000">
      <w:pPr>
        <w:rPr>
          <w:rFonts w:hint="eastAsia"/>
        </w:rPr>
      </w:pPr>
      <w:r>
        <w:rPr>
          <w:rFonts w:hint="eastAsia"/>
        </w:rPr>
        <w:tab/>
        <w:t>433.  2001</w:t>
      </w:r>
      <w:r>
        <w:rPr>
          <w:rFonts w:hint="eastAsia"/>
        </w:rPr>
        <w:t>年大部分疾病为循环系统疾病，占</w:t>
      </w:r>
      <w:r>
        <w:rPr>
          <w:rFonts w:hint="eastAsia"/>
        </w:rPr>
        <w:t>26.2%</w:t>
      </w:r>
      <w:r>
        <w:rPr>
          <w:rFonts w:hint="eastAsia"/>
        </w:rPr>
        <w:t>，随后为呼吸系统疾病，占</w:t>
      </w:r>
      <w:r>
        <w:rPr>
          <w:rFonts w:hint="eastAsia"/>
        </w:rPr>
        <w:t>18.3%</w:t>
      </w:r>
      <w:r>
        <w:rPr>
          <w:rFonts w:hint="eastAsia"/>
        </w:rPr>
        <w:t>，再次为骨骼和肌肉疾病，占</w:t>
      </w:r>
      <w:r>
        <w:rPr>
          <w:rFonts w:hint="eastAsia"/>
        </w:rPr>
        <w:t>9%</w:t>
      </w:r>
      <w:r>
        <w:rPr>
          <w:rFonts w:hint="eastAsia"/>
        </w:rPr>
        <w:t>。另一个问题是，为这部分人口、特别是回返者中的老年人提供保健问题。我们没有经由这两个实体之间的安排全面而详尽定义提供保健的办法。</w:t>
      </w:r>
    </w:p>
    <w:p w:rsidR="00000000" w:rsidRDefault="00000000">
      <w:pPr>
        <w:spacing w:after="320"/>
        <w:rPr>
          <w:rFonts w:hint="eastAsia"/>
        </w:rPr>
      </w:pPr>
      <w:r>
        <w:rPr>
          <w:rFonts w:hint="eastAsia"/>
        </w:rPr>
        <w:tab/>
        <w:t xml:space="preserve">434.  </w:t>
      </w:r>
      <w:r>
        <w:rPr>
          <w:rFonts w:hint="eastAsia"/>
        </w:rPr>
        <w:t>有必要把通过初级卫生保护作为家庭医药的一部分来促进对老年人口的健康保护，确保向这部分人口提供家庭治疗、康复和医疗方案。</w:t>
      </w:r>
    </w:p>
    <w:p w:rsidR="00000000" w:rsidRDefault="00000000">
      <w:pPr>
        <w:pStyle w:val="Heading4"/>
        <w:rPr>
          <w:rFonts w:hint="eastAsia"/>
        </w:rPr>
      </w:pPr>
      <w:r>
        <w:rPr>
          <w:rFonts w:hint="eastAsia"/>
        </w:rPr>
        <w:t>残疾人</w:t>
      </w:r>
    </w:p>
    <w:p w:rsidR="00000000" w:rsidRDefault="00000000">
      <w:pPr>
        <w:spacing w:after="320"/>
        <w:rPr>
          <w:rFonts w:hint="eastAsia"/>
        </w:rPr>
      </w:pPr>
      <w:r>
        <w:rPr>
          <w:rFonts w:hint="eastAsia"/>
        </w:rPr>
        <w:tab/>
        <w:t xml:space="preserve">435.  </w:t>
      </w:r>
      <w:r>
        <w:rPr>
          <w:rFonts w:hint="eastAsia"/>
        </w:rPr>
        <w:t>没有确切的数据，但一些估算显示，波斯尼亚和黑塞哥维那总人口中几乎有</w:t>
      </w:r>
      <w:r>
        <w:rPr>
          <w:rFonts w:hint="eastAsia"/>
        </w:rPr>
        <w:t>10%</w:t>
      </w:r>
      <w:r>
        <w:rPr>
          <w:rFonts w:hint="eastAsia"/>
        </w:rPr>
        <w:t>的人患有不同类型、不同程度和不同原因的残疾。这些人非常易于受到伤害，他们长期需要各种形式的健康保护。各种支助服务发展不足，导致这些人处于孤立状况，这对他们的心理状态产生额外的影响。必须从几个角度和跨部门来看待解决这一问题，因为这不仅是卫生部门的问题，而且也是社会保障、工作和生活训练以及对致残的原因开展预防性工作的问题。</w:t>
      </w:r>
    </w:p>
    <w:p w:rsidR="00000000" w:rsidRDefault="00000000">
      <w:pPr>
        <w:pStyle w:val="Heading4"/>
        <w:rPr>
          <w:rFonts w:hint="eastAsia"/>
        </w:rPr>
      </w:pPr>
      <w:r>
        <w:rPr>
          <w:rFonts w:hint="eastAsia"/>
        </w:rPr>
        <w:t>影响健康状况的因素</w:t>
      </w:r>
    </w:p>
    <w:p w:rsidR="00000000" w:rsidRDefault="00000000">
      <w:pPr>
        <w:pStyle w:val="Heading4"/>
        <w:rPr>
          <w:rFonts w:hint="eastAsia"/>
        </w:rPr>
      </w:pPr>
      <w:r>
        <w:rPr>
          <w:rFonts w:hint="eastAsia"/>
        </w:rPr>
        <w:t>食品和体力活动</w:t>
      </w:r>
    </w:p>
    <w:p w:rsidR="00000000" w:rsidRDefault="00000000">
      <w:pPr>
        <w:rPr>
          <w:rFonts w:hint="eastAsia"/>
        </w:rPr>
      </w:pPr>
      <w:r>
        <w:rPr>
          <w:rFonts w:hint="eastAsia"/>
        </w:rPr>
        <w:tab/>
        <w:t xml:space="preserve">436.  </w:t>
      </w:r>
      <w:r>
        <w:rPr>
          <w:rFonts w:hint="eastAsia"/>
        </w:rPr>
        <w:t>儿童期和青春期是身体健康和增强健康以及预防可能疾病的关键时期。许多涉及健康风险的行为都可能在这一时期养成。诸如体力活动等一些行为或缺少这种行为影响到儿童整个一生的健康。在</w:t>
      </w:r>
      <w:r>
        <w:rPr>
          <w:rFonts w:hint="eastAsia"/>
        </w:rPr>
        <w:t>2002</w:t>
      </w:r>
      <w:r>
        <w:rPr>
          <w:rFonts w:hint="eastAsia"/>
        </w:rPr>
        <w:t>年，通过波斯尼亚和黑塞哥维那联邦公共卫生研究所对学龄儿童健康行为的研究，首次提供了联邦学龄儿童营养和饮食习惯方面的资料。这项研究的主要目标是建立有关青年一代健康和生活方式方面的信息系统。</w:t>
      </w:r>
    </w:p>
    <w:p w:rsidR="00000000" w:rsidRDefault="00000000">
      <w:pPr>
        <w:rPr>
          <w:rFonts w:hint="eastAsia"/>
        </w:rPr>
      </w:pPr>
      <w:r>
        <w:rPr>
          <w:rFonts w:hint="eastAsia"/>
        </w:rPr>
        <w:tab/>
        <w:t xml:space="preserve">437.  </w:t>
      </w:r>
      <w:r>
        <w:rPr>
          <w:rFonts w:hint="eastAsia"/>
        </w:rPr>
        <w:t>为了尚未出版的本报告的目的，再次选列出学龄儿童饮食习惯和体力活动的数据。这项研究的对象组分为两个年龄组，平均年龄为</w:t>
      </w:r>
      <w:r>
        <w:rPr>
          <w:rFonts w:hint="eastAsia"/>
        </w:rPr>
        <w:t>11.5</w:t>
      </w:r>
      <w:r>
        <w:rPr>
          <w:rFonts w:hint="eastAsia"/>
        </w:rPr>
        <w:t>和</w:t>
      </w:r>
      <w:r>
        <w:rPr>
          <w:rFonts w:hint="eastAsia"/>
        </w:rPr>
        <w:t>13.5</w:t>
      </w:r>
      <w:r>
        <w:rPr>
          <w:rFonts w:hint="eastAsia"/>
        </w:rPr>
        <w:t>岁，抽样共包括</w:t>
      </w:r>
      <w:r>
        <w:rPr>
          <w:rFonts w:hint="eastAsia"/>
        </w:rPr>
        <w:t>3,200</w:t>
      </w:r>
      <w:r>
        <w:rPr>
          <w:rFonts w:hint="eastAsia"/>
        </w:rPr>
        <w:t>学生。其结果显示，有</w:t>
      </w:r>
      <w:r>
        <w:rPr>
          <w:rFonts w:hint="eastAsia"/>
        </w:rPr>
        <w:t>60.5%</w:t>
      </w:r>
      <w:r>
        <w:rPr>
          <w:rFonts w:hint="eastAsia"/>
        </w:rPr>
        <w:t>的学生每周五个工作日中每天吃早餐，男女学童基本相同。然而，说自己从不吃早餐的男女学童数字很高，达</w:t>
      </w:r>
      <w:r>
        <w:rPr>
          <w:rFonts w:hint="eastAsia"/>
        </w:rPr>
        <w:t>14.8%</w:t>
      </w:r>
      <w:r>
        <w:rPr>
          <w:rFonts w:hint="eastAsia"/>
        </w:rPr>
        <w:t>。</w:t>
      </w:r>
    </w:p>
    <w:p w:rsidR="00000000" w:rsidRDefault="00000000">
      <w:pPr>
        <w:rPr>
          <w:rFonts w:hint="eastAsia"/>
        </w:rPr>
      </w:pPr>
      <w:r>
        <w:rPr>
          <w:rFonts w:hint="eastAsia"/>
        </w:rPr>
        <w:tab/>
        <w:t xml:space="preserve">438.  </w:t>
      </w:r>
      <w:r>
        <w:rPr>
          <w:rFonts w:hint="eastAsia"/>
        </w:rPr>
        <w:t>同项研究显示，体力活动不多的学生百分比，即定义为从不活动或每周仅活动两天或不到两天的学生为</w:t>
      </w:r>
      <w:r>
        <w:rPr>
          <w:rFonts w:hint="eastAsia"/>
        </w:rPr>
        <w:t>27.2%</w:t>
      </w:r>
      <w:r>
        <w:rPr>
          <w:rFonts w:hint="eastAsia"/>
        </w:rPr>
        <w:t>。男童的这项百分比</w:t>
      </w:r>
      <w:r>
        <w:rPr>
          <w:rFonts w:hint="eastAsia"/>
        </w:rPr>
        <w:t>(21.3%)</w:t>
      </w:r>
      <w:r>
        <w:rPr>
          <w:rFonts w:hint="eastAsia"/>
        </w:rPr>
        <w:t>比女童的</w:t>
      </w:r>
      <w:r>
        <w:rPr>
          <w:rFonts w:hint="eastAsia"/>
        </w:rPr>
        <w:t>(33%)</w:t>
      </w:r>
      <w:r>
        <w:rPr>
          <w:rFonts w:hint="eastAsia"/>
        </w:rPr>
        <w:t>要低。就女童而言，从六年级到八年级，在体力活动方面统计数字有着明显的变化。</w:t>
      </w:r>
    </w:p>
    <w:p w:rsidR="00000000" w:rsidRDefault="00000000">
      <w:pPr>
        <w:rPr>
          <w:rFonts w:hint="eastAsia"/>
        </w:rPr>
      </w:pPr>
      <w:r>
        <w:rPr>
          <w:rFonts w:hint="eastAsia"/>
        </w:rPr>
        <w:tab/>
        <w:t xml:space="preserve">439.  </w:t>
      </w:r>
      <w:r>
        <w:rPr>
          <w:rFonts w:hint="eastAsia"/>
        </w:rPr>
        <w:t>在波斯尼亚和黑塞哥维那以及联邦一级，通过了</w:t>
      </w:r>
      <w:r>
        <w:rPr>
          <w:rFonts w:hint="eastAsia"/>
        </w:rPr>
        <w:t>2002</w:t>
      </w:r>
      <w:r>
        <w:rPr>
          <w:rFonts w:hint="eastAsia"/>
        </w:rPr>
        <w:t>至</w:t>
      </w:r>
      <w:r>
        <w:rPr>
          <w:rFonts w:hint="eastAsia"/>
        </w:rPr>
        <w:t>2010</w:t>
      </w:r>
      <w:r>
        <w:rPr>
          <w:rFonts w:hint="eastAsia"/>
        </w:rPr>
        <w:t>年儿童行动计划。为了在儿童保护方面进行体制改革，在波斯尼亚和黑塞哥维那部长会议下设置了儿童问题委员会。在保护母婴健康方面的儿童行动计划需要强调执行预防性方案，并按照《儿童权利公约》和卫生组织的目标明确申明各项目标：</w:t>
      </w:r>
    </w:p>
    <w:p w:rsidR="00000000" w:rsidRDefault="00000000">
      <w:pPr>
        <w:pStyle w:val="a0"/>
        <w:ind w:left="1550"/>
        <w:rPr>
          <w:rFonts w:hint="eastAsia"/>
        </w:rPr>
      </w:pPr>
      <w:r>
        <w:rPr>
          <w:rFonts w:hint="eastAsia"/>
        </w:rPr>
        <w:t>降低儿童和母亲的死亡率和发病率；</w:t>
      </w:r>
    </w:p>
    <w:p w:rsidR="00000000" w:rsidRDefault="00000000">
      <w:pPr>
        <w:pStyle w:val="a0"/>
        <w:ind w:left="1550"/>
        <w:rPr>
          <w:rFonts w:hint="eastAsia"/>
        </w:rPr>
      </w:pPr>
      <w:r>
        <w:rPr>
          <w:rFonts w:hint="eastAsia"/>
        </w:rPr>
        <w:t>改善营养状况；</w:t>
      </w:r>
    </w:p>
    <w:p w:rsidR="00000000" w:rsidRDefault="00000000">
      <w:pPr>
        <w:pStyle w:val="a0"/>
        <w:ind w:left="1550"/>
        <w:rPr>
          <w:rFonts w:hint="eastAsia"/>
        </w:rPr>
      </w:pPr>
      <w:r>
        <w:rPr>
          <w:rFonts w:hint="eastAsia"/>
        </w:rPr>
        <w:t>改善饮用水供应和卫生系统的状况；</w:t>
      </w:r>
    </w:p>
    <w:p w:rsidR="00000000" w:rsidRDefault="00000000">
      <w:pPr>
        <w:pStyle w:val="a0"/>
        <w:ind w:left="1550"/>
        <w:rPr>
          <w:rFonts w:hint="eastAsia"/>
        </w:rPr>
      </w:pPr>
      <w:r>
        <w:rPr>
          <w:rFonts w:hint="eastAsia"/>
        </w:rPr>
        <w:t>预防与性传播疾病有关的危险行为，特别是艾滋病毒</w:t>
      </w:r>
      <w:r>
        <w:rPr>
          <w:rFonts w:hint="eastAsia"/>
        </w:rPr>
        <w:t>/</w:t>
      </w:r>
      <w:r>
        <w:rPr>
          <w:rFonts w:hint="eastAsia"/>
        </w:rPr>
        <w:t>艾滋病；</w:t>
      </w:r>
    </w:p>
    <w:p w:rsidR="00000000" w:rsidRDefault="00000000">
      <w:pPr>
        <w:pStyle w:val="a0"/>
        <w:ind w:left="1550"/>
        <w:rPr>
          <w:rFonts w:hint="eastAsia"/>
        </w:rPr>
      </w:pPr>
      <w:r>
        <w:rPr>
          <w:rFonts w:hint="eastAsia"/>
        </w:rPr>
        <w:t>预防吸烟、吸毒和酗酒。</w:t>
      </w:r>
    </w:p>
    <w:p w:rsidR="00000000" w:rsidRDefault="00000000">
      <w:pPr>
        <w:rPr>
          <w:rFonts w:hint="eastAsia"/>
        </w:rPr>
      </w:pPr>
      <w:r>
        <w:rPr>
          <w:rFonts w:hint="eastAsia"/>
        </w:rPr>
        <w:tab/>
        <w:t xml:space="preserve">440.  </w:t>
      </w:r>
      <w:r>
        <w:rPr>
          <w:rFonts w:hint="eastAsia"/>
        </w:rPr>
        <w:t>关于风险因素的研究第一次得以对波斯尼亚和黑塞哥维那联邦成人的日常饮食营养和饮食习惯进行了评估。有关非传染疾病危险因素的研究对象是波斯尼亚和黑塞哥维那联邦</w:t>
      </w:r>
      <w:r>
        <w:rPr>
          <w:rFonts w:hint="eastAsia"/>
        </w:rPr>
        <w:t>35</w:t>
      </w:r>
      <w:r>
        <w:rPr>
          <w:rFonts w:hint="eastAsia"/>
        </w:rPr>
        <w:t>至</w:t>
      </w:r>
      <w:r>
        <w:rPr>
          <w:rFonts w:hint="eastAsia"/>
        </w:rPr>
        <w:t>64</w:t>
      </w:r>
      <w:r>
        <w:rPr>
          <w:rFonts w:hint="eastAsia"/>
        </w:rPr>
        <w:t>岁的人口。抽样规模为</w:t>
      </w:r>
      <w:r>
        <w:rPr>
          <w:rFonts w:hint="eastAsia"/>
        </w:rPr>
        <w:t>3,020</w:t>
      </w:r>
      <w:r>
        <w:rPr>
          <w:rFonts w:hint="eastAsia"/>
        </w:rPr>
        <w:t>人。人体测量包括身高、体重、腰围和臀围测量，并采用体重指数</w:t>
      </w:r>
      <w:r>
        <w:rPr>
          <w:rFonts w:hint="eastAsia"/>
        </w:rPr>
        <w:t>(BMI)</w:t>
      </w:r>
      <w:r>
        <w:rPr>
          <w:rFonts w:hint="eastAsia"/>
        </w:rPr>
        <w:t>所建议的重量来评估人们的状况。</w:t>
      </w:r>
    </w:p>
    <w:p w:rsidR="00000000" w:rsidRDefault="00000000">
      <w:pPr>
        <w:rPr>
          <w:rFonts w:hint="eastAsia"/>
        </w:rPr>
      </w:pPr>
      <w:r>
        <w:rPr>
          <w:rFonts w:hint="eastAsia"/>
        </w:rPr>
        <w:tab/>
        <w:t xml:space="preserve">441.  </w:t>
      </w:r>
      <w:r>
        <w:rPr>
          <w:rFonts w:hint="eastAsia"/>
        </w:rPr>
        <w:t>一般说来，发现有</w:t>
      </w:r>
      <w:r>
        <w:rPr>
          <w:rFonts w:hint="eastAsia"/>
        </w:rPr>
        <w:t>21.5%</w:t>
      </w:r>
      <w:r>
        <w:rPr>
          <w:rFonts w:hint="eastAsia"/>
        </w:rPr>
        <w:t>的应答者体重超重，有</w:t>
      </w:r>
      <w:r>
        <w:rPr>
          <w:rFonts w:hint="eastAsia"/>
        </w:rPr>
        <w:t>41%</w:t>
      </w:r>
      <w:r>
        <w:rPr>
          <w:rFonts w:hint="eastAsia"/>
        </w:rPr>
        <w:t>的应答过度超重，而</w:t>
      </w:r>
      <w:r>
        <w:rPr>
          <w:rFonts w:hint="eastAsia"/>
        </w:rPr>
        <w:t>36.9%</w:t>
      </w:r>
      <w:r>
        <w:rPr>
          <w:rFonts w:hint="eastAsia"/>
        </w:rPr>
        <w:t>的应答者体重正常或体重不足。体重超重、特别是过度肥胖应答者的百分比显示，多年以来统计数字显著增长。此外，妇女中体重超重的百分比一般较高，而体重指数在</w:t>
      </w:r>
      <w:r>
        <w:rPr>
          <w:rFonts w:hint="eastAsia"/>
        </w:rPr>
        <w:t>25</w:t>
      </w:r>
      <w:r>
        <w:rPr>
          <w:rFonts w:hint="eastAsia"/>
        </w:rPr>
        <w:t>至</w:t>
      </w:r>
      <w:r>
        <w:rPr>
          <w:rFonts w:hint="eastAsia"/>
        </w:rPr>
        <w:t>30</w:t>
      </w:r>
      <w:r>
        <w:rPr>
          <w:rFonts w:hint="eastAsia"/>
        </w:rPr>
        <w:t>之间的男子体重超重的百分比较高。</w:t>
      </w:r>
    </w:p>
    <w:p w:rsidR="00000000" w:rsidRDefault="00000000">
      <w:pPr>
        <w:rPr>
          <w:rFonts w:hint="eastAsia"/>
        </w:rPr>
      </w:pPr>
      <w:r>
        <w:rPr>
          <w:rFonts w:hint="eastAsia"/>
        </w:rPr>
        <w:tab/>
        <w:t xml:space="preserve">442.  </w:t>
      </w:r>
      <w:r>
        <w:rPr>
          <w:rFonts w:hint="eastAsia"/>
        </w:rPr>
        <w:t>研究显示，有</w:t>
      </w:r>
      <w:r>
        <w:rPr>
          <w:rFonts w:hint="eastAsia"/>
        </w:rPr>
        <w:t>15.1%</w:t>
      </w:r>
      <w:r>
        <w:rPr>
          <w:rFonts w:hint="eastAsia"/>
        </w:rPr>
        <w:t>的应答者每周业余时间内开展一次以上的体育活动，这种体育活动定义为导致粗重的呼吸或大量出汗的活动。根据年龄组，体育活动积极的男子</w:t>
      </w:r>
      <w:r>
        <w:rPr>
          <w:rFonts w:hint="eastAsia"/>
        </w:rPr>
        <w:t>(19.6%)</w:t>
      </w:r>
      <w:r>
        <w:rPr>
          <w:rFonts w:hint="eastAsia"/>
        </w:rPr>
        <w:t>比妇女</w:t>
      </w:r>
      <w:r>
        <w:rPr>
          <w:rFonts w:hint="eastAsia"/>
        </w:rPr>
        <w:t>(12%)</w:t>
      </w:r>
      <w:r>
        <w:rPr>
          <w:rFonts w:hint="eastAsia"/>
        </w:rPr>
        <w:t>多。研究结果明确显示，波斯尼亚和黑塞哥维那联邦的成年人口没有营养不良问题。另一方面，大部分成年人的生活方式安逸，这反映在体重超重者普遍，受到五种主要疾病中非传染性疾病危害的影响。非传染性疾病也是人们死亡的主要原因。</w:t>
      </w:r>
    </w:p>
    <w:p w:rsidR="00000000" w:rsidRDefault="00000000">
      <w:pPr>
        <w:rPr>
          <w:rFonts w:hint="eastAsia"/>
        </w:rPr>
      </w:pPr>
      <w:r>
        <w:rPr>
          <w:rFonts w:hint="eastAsia"/>
        </w:rPr>
        <w:tab/>
        <w:t xml:space="preserve">443.  </w:t>
      </w:r>
      <w:r>
        <w:rPr>
          <w:rFonts w:hint="eastAsia"/>
        </w:rPr>
        <w:t>所有这些都显示，需要实施预防性公共卫生方案。这是波斯尼亚和黑塞哥维那联邦正在最后确定的食物和营养行动计划所预见的。</w:t>
      </w:r>
    </w:p>
    <w:p w:rsidR="00000000" w:rsidRDefault="00000000">
      <w:pPr>
        <w:rPr>
          <w:rFonts w:hint="eastAsia"/>
        </w:rPr>
      </w:pPr>
      <w:r>
        <w:rPr>
          <w:rFonts w:hint="eastAsia"/>
        </w:rPr>
        <w:tab/>
        <w:t xml:space="preserve">444.  </w:t>
      </w:r>
      <w:r>
        <w:rPr>
          <w:rFonts w:hint="eastAsia"/>
        </w:rPr>
        <w:t>在塞族共和国，位于巴尼亚卢卡的塞族共和国健康保护研究所在</w:t>
      </w:r>
      <w:r>
        <w:rPr>
          <w:rFonts w:hint="eastAsia"/>
        </w:rPr>
        <w:t>2002</w:t>
      </w:r>
      <w:r>
        <w:rPr>
          <w:rFonts w:hint="eastAsia"/>
        </w:rPr>
        <w:t>年对学龄儿童的健康行为进行了研究。这项研究搜集了有关塞族共和国儿童饮食方面的资料，对象组为三个年龄组</w:t>
      </w:r>
      <w:r>
        <w:rPr>
          <w:rFonts w:hint="eastAsia"/>
          <w:spacing w:val="-50"/>
        </w:rPr>
        <w:t>―</w:t>
      </w:r>
      <w:r>
        <w:rPr>
          <w:rFonts w:hint="eastAsia"/>
        </w:rPr>
        <w:t>―</w:t>
      </w:r>
      <w:r>
        <w:rPr>
          <w:rFonts w:hint="eastAsia"/>
        </w:rPr>
        <w:t>11</w:t>
      </w:r>
      <w:r>
        <w:rPr>
          <w:rFonts w:hint="eastAsia"/>
        </w:rPr>
        <w:t>、</w:t>
      </w:r>
      <w:r>
        <w:rPr>
          <w:rFonts w:hint="eastAsia"/>
        </w:rPr>
        <w:t>13</w:t>
      </w:r>
      <w:r>
        <w:rPr>
          <w:rFonts w:hint="eastAsia"/>
        </w:rPr>
        <w:t>和</w:t>
      </w:r>
      <w:r>
        <w:rPr>
          <w:rFonts w:hint="eastAsia"/>
        </w:rPr>
        <w:t>15</w:t>
      </w:r>
      <w:r>
        <w:rPr>
          <w:rFonts w:hint="eastAsia"/>
        </w:rPr>
        <w:t>岁</w:t>
      </w:r>
      <w:r>
        <w:rPr>
          <w:rFonts w:hint="eastAsia"/>
          <w:spacing w:val="-50"/>
        </w:rPr>
        <w:t>―</w:t>
      </w:r>
      <w:r>
        <w:rPr>
          <w:rFonts w:hint="eastAsia"/>
        </w:rPr>
        <w:t>―抽样共包括</w:t>
      </w:r>
      <w:r>
        <w:rPr>
          <w:rFonts w:hint="eastAsia"/>
        </w:rPr>
        <w:t>5,134</w:t>
      </w:r>
      <w:r>
        <w:rPr>
          <w:rFonts w:hint="eastAsia"/>
        </w:rPr>
        <w:t>名学生。</w:t>
      </w:r>
    </w:p>
    <w:p w:rsidR="00000000" w:rsidRDefault="00000000">
      <w:pPr>
        <w:rPr>
          <w:rFonts w:hint="eastAsia"/>
        </w:rPr>
      </w:pPr>
      <w:r>
        <w:rPr>
          <w:rFonts w:hint="eastAsia"/>
        </w:rPr>
        <w:tab/>
        <w:t xml:space="preserve">445.  </w:t>
      </w:r>
      <w:r>
        <w:rPr>
          <w:rFonts w:hint="eastAsia"/>
        </w:rPr>
        <w:t>研究结果显示，有</w:t>
      </w:r>
      <w:r>
        <w:rPr>
          <w:rFonts w:hint="eastAsia"/>
        </w:rPr>
        <w:t>86%</w:t>
      </w:r>
      <w:r>
        <w:rPr>
          <w:rFonts w:hint="eastAsia"/>
        </w:rPr>
        <w:t>的应答者每天吃早餐，有</w:t>
      </w:r>
      <w:r>
        <w:rPr>
          <w:rFonts w:hint="eastAsia"/>
        </w:rPr>
        <w:t>94%</w:t>
      </w:r>
      <w:r>
        <w:rPr>
          <w:rFonts w:hint="eastAsia"/>
        </w:rPr>
        <w:t>的应答者每天刷牙一次或一次以上。另外，有</w:t>
      </w:r>
      <w:r>
        <w:rPr>
          <w:rFonts w:hint="eastAsia"/>
        </w:rPr>
        <w:t>88%</w:t>
      </w:r>
      <w:r>
        <w:rPr>
          <w:rFonts w:hint="eastAsia"/>
        </w:rPr>
        <w:t>的应答者每周进行两次以上为时</w:t>
      </w:r>
      <w:r>
        <w:rPr>
          <w:rFonts w:hint="eastAsia"/>
        </w:rPr>
        <w:t>60</w:t>
      </w:r>
      <w:r>
        <w:rPr>
          <w:rFonts w:hint="eastAsia"/>
        </w:rPr>
        <w:t>分钟的体育活动。不参加体育活动的儿童数量为</w:t>
      </w:r>
      <w:r>
        <w:rPr>
          <w:rFonts w:hint="eastAsia"/>
        </w:rPr>
        <w:t>4.2%</w:t>
      </w:r>
      <w:r>
        <w:rPr>
          <w:rFonts w:hint="eastAsia"/>
        </w:rPr>
        <w:t>，每周进行体育活动不到两次的应答者为</w:t>
      </w:r>
      <w:r>
        <w:rPr>
          <w:rFonts w:hint="eastAsia"/>
        </w:rPr>
        <w:t>22.9%</w:t>
      </w:r>
      <w:r>
        <w:rPr>
          <w:rFonts w:hint="eastAsia"/>
        </w:rPr>
        <w:t>。</w:t>
      </w:r>
    </w:p>
    <w:p w:rsidR="00000000" w:rsidRDefault="00000000">
      <w:pPr>
        <w:rPr>
          <w:rFonts w:hint="eastAsia"/>
        </w:rPr>
      </w:pPr>
      <w:r>
        <w:rPr>
          <w:rFonts w:hint="eastAsia"/>
        </w:rPr>
        <w:tab/>
        <w:t xml:space="preserve">446.  </w:t>
      </w:r>
      <w:r>
        <w:rPr>
          <w:rFonts w:hint="eastAsia"/>
        </w:rPr>
        <w:t>在波斯尼亚和黑塞哥维那一级，以及在塞族共和国内，拟订了《</w:t>
      </w:r>
      <w:r>
        <w:rPr>
          <w:rFonts w:hint="eastAsia"/>
        </w:rPr>
        <w:t>2010</w:t>
      </w:r>
      <w:r>
        <w:rPr>
          <w:rFonts w:hint="eastAsia"/>
        </w:rPr>
        <w:t>年儿童行动计划》。在母亲和儿童的健康保护方面，该项《行动计划》应该把重点放在执行预防方案上，《波斯尼亚和黑塞哥维那联邦行动计划》对此也有阐述。</w:t>
      </w:r>
    </w:p>
    <w:p w:rsidR="00000000" w:rsidRDefault="00000000">
      <w:pPr>
        <w:rPr>
          <w:rFonts w:hint="eastAsia"/>
        </w:rPr>
      </w:pPr>
      <w:r>
        <w:rPr>
          <w:rFonts w:hint="eastAsia"/>
        </w:rPr>
        <w:tab/>
        <w:t xml:space="preserve">447.  </w:t>
      </w:r>
      <w:r>
        <w:rPr>
          <w:rFonts w:hint="eastAsia"/>
        </w:rPr>
        <w:t>在</w:t>
      </w:r>
      <w:r>
        <w:rPr>
          <w:rFonts w:hint="eastAsia"/>
        </w:rPr>
        <w:t>2002</w:t>
      </w:r>
      <w:r>
        <w:rPr>
          <w:rFonts w:hint="eastAsia"/>
        </w:rPr>
        <w:t>年期间，塞族共和国对非传染性疾病的危险因素进行了研究。研究对象人口为塞族共和国</w:t>
      </w:r>
      <w:r>
        <w:rPr>
          <w:rFonts w:hint="eastAsia"/>
        </w:rPr>
        <w:t>25</w:t>
      </w:r>
      <w:r>
        <w:rPr>
          <w:rFonts w:hint="eastAsia"/>
        </w:rPr>
        <w:t>至</w:t>
      </w:r>
      <w:r>
        <w:rPr>
          <w:rFonts w:hint="eastAsia"/>
        </w:rPr>
        <w:t>64</w:t>
      </w:r>
      <w:r>
        <w:rPr>
          <w:rFonts w:hint="eastAsia"/>
        </w:rPr>
        <w:t>岁之间的居民，抽样规模为</w:t>
      </w:r>
      <w:r>
        <w:rPr>
          <w:rFonts w:hint="eastAsia"/>
        </w:rPr>
        <w:t>5,952</w:t>
      </w:r>
      <w:r>
        <w:rPr>
          <w:rFonts w:hint="eastAsia"/>
        </w:rPr>
        <w:t>名应答者。有</w:t>
      </w:r>
      <w:r>
        <w:rPr>
          <w:rFonts w:hint="eastAsia"/>
        </w:rPr>
        <w:t>1,143</w:t>
      </w:r>
      <w:r>
        <w:rPr>
          <w:rFonts w:hint="eastAsia"/>
        </w:rPr>
        <w:t>名应答者不满</w:t>
      </w:r>
      <w:r>
        <w:rPr>
          <w:rFonts w:hint="eastAsia"/>
        </w:rPr>
        <w:t>18</w:t>
      </w:r>
      <w:r>
        <w:rPr>
          <w:rFonts w:hint="eastAsia"/>
        </w:rPr>
        <w:t>岁</w:t>
      </w:r>
      <w:r>
        <w:rPr>
          <w:rFonts w:hint="eastAsia"/>
        </w:rPr>
        <w:t>(19.25%)</w:t>
      </w:r>
      <w:r>
        <w:rPr>
          <w:rFonts w:hint="eastAsia"/>
        </w:rPr>
        <w:t>，而</w:t>
      </w:r>
      <w:r>
        <w:rPr>
          <w:rFonts w:hint="eastAsia"/>
        </w:rPr>
        <w:t>4,328</w:t>
      </w:r>
      <w:r>
        <w:rPr>
          <w:rFonts w:hint="eastAsia"/>
        </w:rPr>
        <w:t>名应答者则在</w:t>
      </w:r>
      <w:r>
        <w:rPr>
          <w:rFonts w:hint="eastAsia"/>
        </w:rPr>
        <w:t>18</w:t>
      </w:r>
      <w:r>
        <w:rPr>
          <w:rFonts w:hint="eastAsia"/>
        </w:rPr>
        <w:t>岁以上</w:t>
      </w:r>
      <w:r>
        <w:rPr>
          <w:rFonts w:hint="eastAsia"/>
        </w:rPr>
        <w:t>(90%)</w:t>
      </w:r>
      <w:r>
        <w:rPr>
          <w:rFonts w:hint="eastAsia"/>
        </w:rPr>
        <w:t>。人体测量包括测量身高、体重、腰围和臀围。为评估营养状况，采用了建议的体重指数</w:t>
      </w:r>
      <w:r>
        <w:rPr>
          <w:rFonts w:hint="eastAsia"/>
        </w:rPr>
        <w:t>(BMI)</w:t>
      </w:r>
      <w:r>
        <w:rPr>
          <w:rFonts w:hint="eastAsia"/>
        </w:rPr>
        <w:t>。</w:t>
      </w:r>
    </w:p>
    <w:p w:rsidR="00000000" w:rsidRDefault="00000000">
      <w:pPr>
        <w:rPr>
          <w:rFonts w:hint="eastAsia"/>
        </w:rPr>
      </w:pPr>
      <w:r>
        <w:rPr>
          <w:rFonts w:hint="eastAsia"/>
        </w:rPr>
        <w:tab/>
        <w:t xml:space="preserve">448.  </w:t>
      </w:r>
      <w:r>
        <w:rPr>
          <w:rFonts w:hint="eastAsia"/>
        </w:rPr>
        <w:t>一般说来，有</w:t>
      </w:r>
      <w:r>
        <w:rPr>
          <w:rFonts w:hint="eastAsia"/>
        </w:rPr>
        <w:t>55.7%</w:t>
      </w:r>
      <w:r>
        <w:rPr>
          <w:rFonts w:hint="eastAsia"/>
        </w:rPr>
        <w:t>应答者或</w:t>
      </w:r>
      <w:r>
        <w:rPr>
          <w:rFonts w:hint="eastAsia"/>
        </w:rPr>
        <w:t>650,000</w:t>
      </w:r>
      <w:r>
        <w:rPr>
          <w:rFonts w:hint="eastAsia"/>
        </w:rPr>
        <w:t>人的体重指数在</w:t>
      </w:r>
      <w:r>
        <w:rPr>
          <w:rFonts w:hint="eastAsia"/>
        </w:rPr>
        <w:t>27</w:t>
      </w:r>
      <w:r>
        <w:rPr>
          <w:rFonts w:hint="eastAsia"/>
        </w:rPr>
        <w:t>以上。研究显示，有</w:t>
      </w:r>
      <w:r>
        <w:rPr>
          <w:rFonts w:hint="eastAsia"/>
        </w:rPr>
        <w:t>6.7%</w:t>
      </w:r>
      <w:r>
        <w:rPr>
          <w:rFonts w:hint="eastAsia"/>
        </w:rPr>
        <w:t>的应答者进行体育活动，有</w:t>
      </w:r>
      <w:r>
        <w:rPr>
          <w:rFonts w:hint="eastAsia"/>
        </w:rPr>
        <w:t>42.1%</w:t>
      </w:r>
      <w:r>
        <w:rPr>
          <w:rFonts w:hint="eastAsia"/>
        </w:rPr>
        <w:t>的应答者患有高血压，</w:t>
      </w:r>
      <w:r>
        <w:rPr>
          <w:rFonts w:hint="eastAsia"/>
        </w:rPr>
        <w:t>55%</w:t>
      </w:r>
      <w:r>
        <w:rPr>
          <w:rFonts w:hint="eastAsia"/>
        </w:rPr>
        <w:t>应答者的胆固醇指数超过</w:t>
      </w:r>
      <w:r>
        <w:rPr>
          <w:rFonts w:hint="eastAsia"/>
        </w:rPr>
        <w:t>5.5%mmol</w:t>
      </w:r>
      <w:r>
        <w:t>/l</w:t>
      </w:r>
      <w:r>
        <w:rPr>
          <w:rFonts w:hint="eastAsia"/>
        </w:rPr>
        <w:t>。</w:t>
      </w:r>
    </w:p>
    <w:p w:rsidR="00000000" w:rsidRDefault="00000000">
      <w:pPr>
        <w:spacing w:after="320"/>
        <w:rPr>
          <w:rFonts w:hint="eastAsia"/>
        </w:rPr>
      </w:pPr>
      <w:r>
        <w:rPr>
          <w:rFonts w:hint="eastAsia"/>
        </w:rPr>
        <w:tab/>
        <w:t xml:space="preserve">449.  </w:t>
      </w:r>
      <w:r>
        <w:rPr>
          <w:rFonts w:hint="eastAsia"/>
        </w:rPr>
        <w:t>得到的结果显示，我国领土内没有营养不良问题，但另一方面，大多数人的生活方式安逸，这反映在受五种疾病中慢性非传染疾病危险影响的体重超重人士普遍。慢性非传染性疾病也是塞族共和国死亡的主要原因。</w:t>
      </w:r>
    </w:p>
    <w:p w:rsidR="00000000" w:rsidRDefault="00000000">
      <w:pPr>
        <w:pStyle w:val="Heading4"/>
        <w:rPr>
          <w:rFonts w:hint="eastAsia"/>
        </w:rPr>
      </w:pPr>
      <w:r>
        <w:rPr>
          <w:rFonts w:hint="eastAsia"/>
        </w:rPr>
        <w:t>吸烟与健康</w:t>
      </w:r>
    </w:p>
    <w:p w:rsidR="00000000" w:rsidRDefault="00000000">
      <w:pPr>
        <w:rPr>
          <w:rFonts w:hint="eastAsia"/>
        </w:rPr>
      </w:pPr>
      <w:r>
        <w:rPr>
          <w:rFonts w:hint="eastAsia"/>
        </w:rPr>
        <w:tab/>
        <w:t xml:space="preserve">450.  </w:t>
      </w:r>
      <w:r>
        <w:rPr>
          <w:rFonts w:hint="eastAsia"/>
        </w:rPr>
        <w:t>在分析波斯尼亚和黑塞哥维那联邦人口的健康状况时，必须重视监测获得诸如吸烟、饮酒和使用治疗精神药物等有害习惯的趋势。对有利和不利趋势的评估是通过官方健康统计数据以及研究来进行的，其目的是评估人们受到某些有害因素影响的程度，并确定针对最易受伤害人口的预防性方案。</w:t>
      </w:r>
    </w:p>
    <w:p w:rsidR="00000000" w:rsidRDefault="00000000">
      <w:pPr>
        <w:rPr>
          <w:rFonts w:hint="eastAsia"/>
        </w:rPr>
      </w:pPr>
      <w:r>
        <w:rPr>
          <w:rFonts w:hint="eastAsia"/>
        </w:rPr>
        <w:tab/>
        <w:t xml:space="preserve">451.  </w:t>
      </w:r>
      <w:r>
        <w:rPr>
          <w:rFonts w:hint="eastAsia"/>
        </w:rPr>
        <w:t>根据波斯尼亚和黑塞哥维那联邦公共健康研究所在</w:t>
      </w:r>
      <w:r>
        <w:rPr>
          <w:rFonts w:hint="eastAsia"/>
        </w:rPr>
        <w:t>2002</w:t>
      </w:r>
      <w:r>
        <w:rPr>
          <w:rFonts w:hint="eastAsia"/>
        </w:rPr>
        <w:t>年进行的有关波斯尼亚和黑塞哥维那联邦成年人口非传染性疾病风险因素研究的结果，吸烟仍然是波斯尼亚和黑塞哥维那联邦内最为普遍的有害习惯。相当比例</w:t>
      </w:r>
      <w:r>
        <w:rPr>
          <w:rFonts w:hint="eastAsia"/>
        </w:rPr>
        <w:t>(37.6%)</w:t>
      </w:r>
      <w:r>
        <w:rPr>
          <w:rFonts w:hint="eastAsia"/>
        </w:rPr>
        <w:t>的应答者每天吸烟，青年人口的这一比例较高。对波斯尼亚和黑塞哥维那联邦学龄儿童健康行为开展的研究是从两个方面来看待吸烟问题的：过去以及目前吸烟习惯的记录。在过去吸烟习惯方面，有</w:t>
      </w:r>
      <w:r>
        <w:rPr>
          <w:rFonts w:hint="eastAsia"/>
        </w:rPr>
        <w:t>20.8%</w:t>
      </w:r>
      <w:r>
        <w:rPr>
          <w:rFonts w:hint="eastAsia"/>
        </w:rPr>
        <w:t>的应答者承认吸过烟，其中男童</w:t>
      </w:r>
      <w:r>
        <w:rPr>
          <w:rFonts w:hint="eastAsia"/>
        </w:rPr>
        <w:t>(25.3%)</w:t>
      </w:r>
      <w:r>
        <w:rPr>
          <w:rFonts w:hint="eastAsia"/>
        </w:rPr>
        <w:t>比女童</w:t>
      </w:r>
      <w:r>
        <w:rPr>
          <w:rFonts w:hint="eastAsia"/>
        </w:rPr>
        <w:t>(16.3%)</w:t>
      </w:r>
      <w:r>
        <w:rPr>
          <w:rFonts w:hint="eastAsia"/>
        </w:rPr>
        <w:t>要多。吸烟者的比例随儿童年龄</w:t>
      </w:r>
      <w:r>
        <w:rPr>
          <w:rFonts w:hint="eastAsia"/>
        </w:rPr>
        <w:t>(</w:t>
      </w:r>
      <w:r>
        <w:rPr>
          <w:rFonts w:hint="eastAsia"/>
        </w:rPr>
        <w:t>自</w:t>
      </w:r>
      <w:r>
        <w:rPr>
          <w:rFonts w:hint="eastAsia"/>
        </w:rPr>
        <w:t>12</w:t>
      </w:r>
      <w:r>
        <w:rPr>
          <w:rFonts w:hint="eastAsia"/>
        </w:rPr>
        <w:t>至</w:t>
      </w:r>
      <w:r>
        <w:rPr>
          <w:rFonts w:hint="eastAsia"/>
        </w:rPr>
        <w:t>14</w:t>
      </w:r>
      <w:r>
        <w:rPr>
          <w:rFonts w:hint="eastAsia"/>
        </w:rPr>
        <w:t>岁</w:t>
      </w:r>
      <w:r>
        <w:rPr>
          <w:rFonts w:hint="eastAsia"/>
        </w:rPr>
        <w:t>)</w:t>
      </w:r>
      <w:r>
        <w:rPr>
          <w:rFonts w:hint="eastAsia"/>
        </w:rPr>
        <w:t>有所增加。然而，重要的是，在研究目前吸烟习惯方面，有</w:t>
      </w:r>
      <w:r>
        <w:rPr>
          <w:rFonts w:hint="eastAsia"/>
        </w:rPr>
        <w:t>90.6%</w:t>
      </w:r>
      <w:r>
        <w:rPr>
          <w:rFonts w:hint="eastAsia"/>
        </w:rPr>
        <w:t>的应答者否认吸烟，其中</w:t>
      </w:r>
      <w:r>
        <w:rPr>
          <w:rFonts w:hint="eastAsia"/>
        </w:rPr>
        <w:t>87.7%</w:t>
      </w:r>
      <w:r>
        <w:rPr>
          <w:rFonts w:hint="eastAsia"/>
        </w:rPr>
        <w:t>为男童，</w:t>
      </w:r>
      <w:r>
        <w:rPr>
          <w:rFonts w:hint="eastAsia"/>
        </w:rPr>
        <w:t>93.5%</w:t>
      </w:r>
      <w:r>
        <w:rPr>
          <w:rFonts w:hint="eastAsia"/>
        </w:rPr>
        <w:t>为女童。</w:t>
      </w:r>
    </w:p>
    <w:p w:rsidR="00000000" w:rsidRDefault="00000000">
      <w:pPr>
        <w:rPr>
          <w:rFonts w:hint="eastAsia"/>
        </w:rPr>
      </w:pPr>
      <w:r>
        <w:rPr>
          <w:rFonts w:hint="eastAsia"/>
        </w:rPr>
        <w:tab/>
        <w:t xml:space="preserve">452.  </w:t>
      </w:r>
      <w:r>
        <w:rPr>
          <w:rFonts w:hint="eastAsia"/>
        </w:rPr>
        <w:t>在分析塞族共和国人口的健康状况时，非常注意监测诸如烟草、酒精和精神药物的消费等有害习惯的趋势。对有利和不利趋势的评估是通过官方保健统计或研究进行的，其目的是为评估人们受特定有害因素影响的程度提供内容，并确定针对最易受伤害人口的预防性方案。根据健康保护研究所在</w:t>
      </w:r>
      <w:r>
        <w:rPr>
          <w:rFonts w:hint="eastAsia"/>
        </w:rPr>
        <w:t>2002</w:t>
      </w:r>
      <w:r>
        <w:rPr>
          <w:rFonts w:hint="eastAsia"/>
        </w:rPr>
        <w:t>年秋对塞族共和国成年人口非传染性疾病风险因素研究的结果，吸烟是塞族共和国成年人最为普遍的有害习惯；有</w:t>
      </w:r>
      <w:r>
        <w:rPr>
          <w:rFonts w:hint="eastAsia"/>
        </w:rPr>
        <w:t>33.6%</w:t>
      </w:r>
      <w:r>
        <w:rPr>
          <w:rFonts w:hint="eastAsia"/>
        </w:rPr>
        <w:t>的人口或</w:t>
      </w:r>
      <w:r>
        <w:rPr>
          <w:rFonts w:hint="eastAsia"/>
        </w:rPr>
        <w:t>420,000</w:t>
      </w:r>
      <w:r>
        <w:rPr>
          <w:rFonts w:hint="eastAsia"/>
        </w:rPr>
        <w:t>人</w:t>
      </w:r>
      <w:r>
        <w:rPr>
          <w:rFonts w:hint="eastAsia"/>
        </w:rPr>
        <w:t>(18</w:t>
      </w:r>
      <w:r>
        <w:rPr>
          <w:rFonts w:hint="eastAsia"/>
        </w:rPr>
        <w:t>岁以上</w:t>
      </w:r>
      <w:r>
        <w:rPr>
          <w:rFonts w:hint="eastAsia"/>
        </w:rPr>
        <w:t>)</w:t>
      </w:r>
      <w:r>
        <w:rPr>
          <w:rFonts w:hint="eastAsia"/>
        </w:rPr>
        <w:t>吸烟。</w:t>
      </w:r>
    </w:p>
    <w:p w:rsidR="00000000" w:rsidRDefault="00000000">
      <w:pPr>
        <w:spacing w:after="320"/>
        <w:rPr>
          <w:rFonts w:hint="eastAsia"/>
        </w:rPr>
      </w:pPr>
      <w:r>
        <w:rPr>
          <w:rFonts w:hint="eastAsia"/>
        </w:rPr>
        <w:tab/>
        <w:t xml:space="preserve">453.  </w:t>
      </w:r>
      <w:r>
        <w:rPr>
          <w:rFonts w:hint="eastAsia"/>
        </w:rPr>
        <w:t>在对塞族共和国学龄人口进行的研究中，从两个角度观察了吸烟问题：过去吸烟和目前的吸烟习惯。在过去是否存在吸烟习惯方面，有</w:t>
      </w:r>
      <w:r>
        <w:rPr>
          <w:rFonts w:hint="eastAsia"/>
        </w:rPr>
        <w:t>14.2%</w:t>
      </w:r>
      <w:r>
        <w:rPr>
          <w:rFonts w:hint="eastAsia"/>
        </w:rPr>
        <w:t>的人确认吸烟</w:t>
      </w:r>
      <w:r>
        <w:rPr>
          <w:rFonts w:hint="eastAsia"/>
        </w:rPr>
        <w:t xml:space="preserve">(4.1% </w:t>
      </w:r>
      <w:r>
        <w:rPr>
          <w:rFonts w:hint="eastAsia"/>
        </w:rPr>
        <w:t>的人在</w:t>
      </w:r>
      <w:r>
        <w:rPr>
          <w:rFonts w:hint="eastAsia"/>
        </w:rPr>
        <w:t>11</w:t>
      </w:r>
      <w:r>
        <w:rPr>
          <w:rFonts w:hint="eastAsia"/>
        </w:rPr>
        <w:t>岁时吸烟、</w:t>
      </w:r>
      <w:r>
        <w:rPr>
          <w:rFonts w:hint="eastAsia"/>
        </w:rPr>
        <w:t>11.6%</w:t>
      </w:r>
      <w:r>
        <w:rPr>
          <w:rFonts w:hint="eastAsia"/>
        </w:rPr>
        <w:t>在</w:t>
      </w:r>
      <w:r>
        <w:rPr>
          <w:rFonts w:hint="eastAsia"/>
        </w:rPr>
        <w:t>13</w:t>
      </w:r>
      <w:r>
        <w:rPr>
          <w:rFonts w:hint="eastAsia"/>
        </w:rPr>
        <w:t>岁吸烟，</w:t>
      </w:r>
      <w:r>
        <w:rPr>
          <w:rFonts w:hint="eastAsia"/>
        </w:rPr>
        <w:t>26.8%</w:t>
      </w:r>
      <w:r>
        <w:rPr>
          <w:rFonts w:hint="eastAsia"/>
        </w:rPr>
        <w:t>在</w:t>
      </w:r>
      <w:r>
        <w:rPr>
          <w:rFonts w:hint="eastAsia"/>
        </w:rPr>
        <w:t>15</w:t>
      </w:r>
      <w:r>
        <w:rPr>
          <w:rFonts w:hint="eastAsia"/>
        </w:rPr>
        <w:t>岁吸烟</w:t>
      </w:r>
      <w:r>
        <w:rPr>
          <w:rFonts w:hint="eastAsia"/>
        </w:rPr>
        <w:t>)</w:t>
      </w:r>
      <w:r>
        <w:rPr>
          <w:rFonts w:hint="eastAsia"/>
        </w:rPr>
        <w:t>，而</w:t>
      </w:r>
      <w:r>
        <w:rPr>
          <w:rFonts w:hint="eastAsia"/>
        </w:rPr>
        <w:t>4.2%</w:t>
      </w:r>
      <w:r>
        <w:rPr>
          <w:rFonts w:hint="eastAsia"/>
        </w:rPr>
        <w:t>的应答者说目前在吸烟</w:t>
      </w:r>
      <w:r>
        <w:rPr>
          <w:rFonts w:hint="eastAsia"/>
        </w:rPr>
        <w:t>(0.7%</w:t>
      </w:r>
      <w:r>
        <w:rPr>
          <w:rFonts w:hint="eastAsia"/>
        </w:rPr>
        <w:t>的应答者在</w:t>
      </w:r>
      <w:r>
        <w:rPr>
          <w:rFonts w:hint="eastAsia"/>
        </w:rPr>
        <w:t>11</w:t>
      </w:r>
      <w:r>
        <w:rPr>
          <w:rFonts w:hint="eastAsia"/>
        </w:rPr>
        <w:t>岁吸烟，</w:t>
      </w:r>
      <w:r>
        <w:rPr>
          <w:rFonts w:hint="eastAsia"/>
        </w:rPr>
        <w:t>1.4%</w:t>
      </w:r>
      <w:r>
        <w:rPr>
          <w:rFonts w:hint="eastAsia"/>
        </w:rPr>
        <w:t>在</w:t>
      </w:r>
      <w:r>
        <w:rPr>
          <w:rFonts w:hint="eastAsia"/>
        </w:rPr>
        <w:t>13</w:t>
      </w:r>
      <w:r>
        <w:rPr>
          <w:rFonts w:hint="eastAsia"/>
        </w:rPr>
        <w:t>岁吸烟，</w:t>
      </w:r>
      <w:r>
        <w:rPr>
          <w:rFonts w:hint="eastAsia"/>
        </w:rPr>
        <w:t>10.6%</w:t>
      </w:r>
      <w:r>
        <w:rPr>
          <w:rFonts w:hint="eastAsia"/>
        </w:rPr>
        <w:t>在</w:t>
      </w:r>
      <w:r>
        <w:rPr>
          <w:rFonts w:hint="eastAsia"/>
        </w:rPr>
        <w:t>15</w:t>
      </w:r>
      <w:r>
        <w:rPr>
          <w:rFonts w:hint="eastAsia"/>
        </w:rPr>
        <w:t>岁吸烟</w:t>
      </w:r>
      <w:r>
        <w:rPr>
          <w:rFonts w:hint="eastAsia"/>
        </w:rPr>
        <w:t>)</w:t>
      </w:r>
      <w:r>
        <w:rPr>
          <w:rFonts w:hint="eastAsia"/>
        </w:rPr>
        <w:t>。</w:t>
      </w:r>
    </w:p>
    <w:p w:rsidR="00000000" w:rsidRDefault="00000000">
      <w:pPr>
        <w:pStyle w:val="Heading4"/>
        <w:rPr>
          <w:rFonts w:hint="eastAsia"/>
        </w:rPr>
      </w:pPr>
      <w:r>
        <w:rPr>
          <w:rFonts w:hint="eastAsia"/>
        </w:rPr>
        <w:t>酒与健康</w:t>
      </w:r>
    </w:p>
    <w:p w:rsidR="00000000" w:rsidRDefault="00000000">
      <w:pPr>
        <w:rPr>
          <w:rFonts w:hint="eastAsia"/>
        </w:rPr>
      </w:pPr>
      <w:r>
        <w:rPr>
          <w:rFonts w:hint="eastAsia"/>
        </w:rPr>
        <w:tab/>
        <w:t xml:space="preserve">454.  </w:t>
      </w:r>
      <w:r>
        <w:rPr>
          <w:rFonts w:hint="eastAsia"/>
        </w:rPr>
        <w:t>根据波斯尼亚和黑塞哥维那联邦成年人口非传染性疾病风险因素的研究，有</w:t>
      </w:r>
      <w:r>
        <w:rPr>
          <w:rFonts w:hint="eastAsia"/>
        </w:rPr>
        <w:t>29.5%</w:t>
      </w:r>
      <w:r>
        <w:rPr>
          <w:rFonts w:hint="eastAsia"/>
        </w:rPr>
        <w:t>的应答者证实，在被调查前一年内饮过一些酒，无论饮酒数量多寡，各年龄组间差异不大。男女应答者间的差别较大；</w:t>
      </w:r>
      <w:r>
        <w:rPr>
          <w:rFonts w:hint="eastAsia"/>
        </w:rPr>
        <w:t>54.1%</w:t>
      </w:r>
      <w:r>
        <w:rPr>
          <w:rFonts w:hint="eastAsia"/>
        </w:rPr>
        <w:t>为男性，仅有</w:t>
      </w:r>
      <w:r>
        <w:rPr>
          <w:rFonts w:hint="eastAsia"/>
        </w:rPr>
        <w:t>12.5%</w:t>
      </w:r>
      <w:r>
        <w:rPr>
          <w:rFonts w:hint="eastAsia"/>
        </w:rPr>
        <w:t>的女性应答者说她们喝酒。</w:t>
      </w:r>
    </w:p>
    <w:p w:rsidR="00000000" w:rsidRDefault="00000000">
      <w:pPr>
        <w:rPr>
          <w:rFonts w:hint="eastAsia"/>
        </w:rPr>
      </w:pPr>
      <w:r>
        <w:rPr>
          <w:rFonts w:hint="eastAsia"/>
        </w:rPr>
        <w:tab/>
        <w:t xml:space="preserve">455.  </w:t>
      </w:r>
      <w:r>
        <w:rPr>
          <w:rFonts w:hint="eastAsia"/>
        </w:rPr>
        <w:t>饮酒量及其对人体健康影响的一个明显标志是，与酒这个危险因素有关的疾病发病率。根据联邦公共健康研究所提供的资料，自</w:t>
      </w:r>
      <w:r>
        <w:rPr>
          <w:rFonts w:hint="eastAsia"/>
        </w:rPr>
        <w:t>1998</w:t>
      </w:r>
      <w:r>
        <w:rPr>
          <w:rFonts w:hint="eastAsia"/>
        </w:rPr>
        <w:t>至</w:t>
      </w:r>
      <w:r>
        <w:rPr>
          <w:rFonts w:hint="eastAsia"/>
        </w:rPr>
        <w:t>2002</w:t>
      </w:r>
      <w:r>
        <w:rPr>
          <w:rFonts w:hint="eastAsia"/>
        </w:rPr>
        <w:t>年，在</w:t>
      </w:r>
      <w:r>
        <w:rPr>
          <w:rFonts w:hint="eastAsia"/>
        </w:rPr>
        <w:t>19</w:t>
      </w:r>
      <w:r>
        <w:rPr>
          <w:rFonts w:hint="eastAsia"/>
        </w:rPr>
        <w:t>岁以上的人口中，由酒精引起的精神和行为错乱稳步上升，发病率为每</w:t>
      </w:r>
      <w:r>
        <w:rPr>
          <w:rFonts w:hint="eastAsia"/>
        </w:rPr>
        <w:t>100,000</w:t>
      </w:r>
      <w:r>
        <w:rPr>
          <w:rFonts w:hint="eastAsia"/>
        </w:rPr>
        <w:t>人中有</w:t>
      </w:r>
      <w:r>
        <w:rPr>
          <w:rFonts w:hint="eastAsia"/>
        </w:rPr>
        <w:t>101.3</w:t>
      </w:r>
      <w:r>
        <w:rPr>
          <w:rFonts w:hint="eastAsia"/>
        </w:rPr>
        <w:t>人。在酒精引起肝病的发病率方面，也观察到上升的趋势，自每</w:t>
      </w:r>
      <w:r>
        <w:rPr>
          <w:rFonts w:hint="eastAsia"/>
        </w:rPr>
        <w:t>100,000</w:t>
      </w:r>
      <w:r>
        <w:rPr>
          <w:rFonts w:hint="eastAsia"/>
        </w:rPr>
        <w:t>人中有</w:t>
      </w:r>
      <w:r>
        <w:rPr>
          <w:rFonts w:hint="eastAsia"/>
        </w:rPr>
        <w:t>65.5</w:t>
      </w:r>
      <w:r>
        <w:rPr>
          <w:rFonts w:hint="eastAsia"/>
        </w:rPr>
        <w:t>人的比例上升为</w:t>
      </w:r>
      <w:r>
        <w:rPr>
          <w:rFonts w:hint="eastAsia"/>
        </w:rPr>
        <w:t>2002</w:t>
      </w:r>
      <w:r>
        <w:rPr>
          <w:rFonts w:hint="eastAsia"/>
        </w:rPr>
        <w:t>年每</w:t>
      </w:r>
      <w:r>
        <w:rPr>
          <w:rFonts w:hint="eastAsia"/>
        </w:rPr>
        <w:t>100,000</w:t>
      </w:r>
      <w:r>
        <w:rPr>
          <w:rFonts w:hint="eastAsia"/>
        </w:rPr>
        <w:t>人中</w:t>
      </w:r>
      <w:r>
        <w:rPr>
          <w:rFonts w:hint="eastAsia"/>
        </w:rPr>
        <w:t>67.2</w:t>
      </w:r>
      <w:r>
        <w:rPr>
          <w:rFonts w:hint="eastAsia"/>
        </w:rPr>
        <w:t>人。</w:t>
      </w:r>
    </w:p>
    <w:p w:rsidR="00000000" w:rsidRDefault="00000000">
      <w:pPr>
        <w:rPr>
          <w:rFonts w:hint="eastAsia"/>
        </w:rPr>
      </w:pPr>
      <w:r>
        <w:rPr>
          <w:rFonts w:hint="eastAsia"/>
        </w:rPr>
        <w:tab/>
        <w:t xml:space="preserve">456.  </w:t>
      </w:r>
      <w:r>
        <w:rPr>
          <w:rFonts w:hint="eastAsia"/>
        </w:rPr>
        <w:t>根据塞族共和国近年来成年人危险因素的研究结果，有</w:t>
      </w:r>
      <w:r>
        <w:rPr>
          <w:rFonts w:hint="eastAsia"/>
        </w:rPr>
        <w:t>78%</w:t>
      </w:r>
      <w:r>
        <w:rPr>
          <w:rFonts w:hint="eastAsia"/>
        </w:rPr>
        <w:t>的成年人饮酒，有</w:t>
      </w:r>
      <w:r>
        <w:rPr>
          <w:rFonts w:hint="eastAsia"/>
        </w:rPr>
        <w:t>10%(109,000)</w:t>
      </w:r>
      <w:r>
        <w:rPr>
          <w:rFonts w:hint="eastAsia"/>
        </w:rPr>
        <w:t>人每日必饮。</w:t>
      </w:r>
    </w:p>
    <w:p w:rsidR="00000000" w:rsidRDefault="00000000">
      <w:pPr>
        <w:spacing w:after="320"/>
        <w:rPr>
          <w:rFonts w:hint="eastAsia"/>
        </w:rPr>
      </w:pPr>
      <w:r>
        <w:rPr>
          <w:rFonts w:hint="eastAsia"/>
        </w:rPr>
        <w:tab/>
        <w:t xml:space="preserve">457.  </w:t>
      </w:r>
      <w:r>
        <w:rPr>
          <w:rFonts w:hint="eastAsia"/>
        </w:rPr>
        <w:t>对塞族共和国学龄儿童进行的研究显示，有</w:t>
      </w:r>
      <w:r>
        <w:rPr>
          <w:rFonts w:hint="eastAsia"/>
        </w:rPr>
        <w:t>41%</w:t>
      </w:r>
      <w:r>
        <w:rPr>
          <w:rFonts w:hint="eastAsia"/>
        </w:rPr>
        <w:t>的应答者饮啤酒</w:t>
      </w:r>
      <w:r>
        <w:rPr>
          <w:rFonts w:hint="eastAsia"/>
        </w:rPr>
        <w:t>(</w:t>
      </w:r>
      <w:r>
        <w:rPr>
          <w:rFonts w:hint="eastAsia"/>
        </w:rPr>
        <w:t>有</w:t>
      </w:r>
      <w:r>
        <w:rPr>
          <w:rFonts w:hint="eastAsia"/>
        </w:rPr>
        <w:t>31.5%</w:t>
      </w:r>
      <w:r>
        <w:rPr>
          <w:rFonts w:hint="eastAsia"/>
        </w:rPr>
        <w:t>的应答者为</w:t>
      </w:r>
      <w:r>
        <w:rPr>
          <w:rFonts w:hint="eastAsia"/>
        </w:rPr>
        <w:t>11</w:t>
      </w:r>
      <w:r>
        <w:rPr>
          <w:rFonts w:hint="eastAsia"/>
        </w:rPr>
        <w:t>岁，</w:t>
      </w:r>
      <w:r>
        <w:rPr>
          <w:rFonts w:hint="eastAsia"/>
        </w:rPr>
        <w:t>42.4%</w:t>
      </w:r>
      <w:r>
        <w:rPr>
          <w:rFonts w:hint="eastAsia"/>
        </w:rPr>
        <w:t>为</w:t>
      </w:r>
      <w:r>
        <w:rPr>
          <w:rFonts w:hint="eastAsia"/>
        </w:rPr>
        <w:t>13</w:t>
      </w:r>
      <w:r>
        <w:rPr>
          <w:rFonts w:hint="eastAsia"/>
        </w:rPr>
        <w:t>岁，</w:t>
      </w:r>
      <w:r>
        <w:rPr>
          <w:rFonts w:hint="eastAsia"/>
        </w:rPr>
        <w:t>48.7%</w:t>
      </w:r>
      <w:r>
        <w:rPr>
          <w:rFonts w:hint="eastAsia"/>
        </w:rPr>
        <w:t>为</w:t>
      </w:r>
      <w:r>
        <w:rPr>
          <w:rFonts w:hint="eastAsia"/>
        </w:rPr>
        <w:t>15</w:t>
      </w:r>
      <w:r>
        <w:rPr>
          <w:rFonts w:hint="eastAsia"/>
        </w:rPr>
        <w:t>岁</w:t>
      </w:r>
      <w:r>
        <w:rPr>
          <w:rFonts w:hint="eastAsia"/>
        </w:rPr>
        <w:t>)</w:t>
      </w:r>
      <w:r>
        <w:rPr>
          <w:rFonts w:hint="eastAsia"/>
        </w:rPr>
        <w:t>，有</w:t>
      </w:r>
      <w:r>
        <w:rPr>
          <w:rFonts w:hint="eastAsia"/>
        </w:rPr>
        <w:t>33.4%</w:t>
      </w:r>
      <w:r>
        <w:rPr>
          <w:rFonts w:hint="eastAsia"/>
        </w:rPr>
        <w:t>的学龄儿童饮葡萄酒</w:t>
      </w:r>
      <w:r>
        <w:rPr>
          <w:rFonts w:hint="eastAsia"/>
        </w:rPr>
        <w:t>(22.8%</w:t>
      </w:r>
      <w:r>
        <w:rPr>
          <w:rFonts w:hint="eastAsia"/>
        </w:rPr>
        <w:t>的应答者为</w:t>
      </w:r>
      <w:r>
        <w:rPr>
          <w:rFonts w:hint="eastAsia"/>
        </w:rPr>
        <w:t>11</w:t>
      </w:r>
      <w:r>
        <w:rPr>
          <w:rFonts w:hint="eastAsia"/>
        </w:rPr>
        <w:t>岁，</w:t>
      </w:r>
      <w:r>
        <w:rPr>
          <w:rFonts w:hint="eastAsia"/>
        </w:rPr>
        <w:t>36%</w:t>
      </w:r>
      <w:r>
        <w:rPr>
          <w:rFonts w:hint="eastAsia"/>
        </w:rPr>
        <w:t>为</w:t>
      </w:r>
      <w:r>
        <w:rPr>
          <w:rFonts w:hint="eastAsia"/>
        </w:rPr>
        <w:t>13</w:t>
      </w:r>
      <w:r>
        <w:rPr>
          <w:rFonts w:hint="eastAsia"/>
        </w:rPr>
        <w:t>岁，</w:t>
      </w:r>
      <w:r>
        <w:t>41.3</w:t>
      </w:r>
      <w:r>
        <w:rPr>
          <w:rFonts w:hint="eastAsia"/>
        </w:rPr>
        <w:t>%</w:t>
      </w:r>
      <w:r>
        <w:rPr>
          <w:rFonts w:hint="eastAsia"/>
        </w:rPr>
        <w:t>为</w:t>
      </w:r>
      <w:r>
        <w:rPr>
          <w:rFonts w:hint="eastAsia"/>
        </w:rPr>
        <w:t>15</w:t>
      </w:r>
      <w:r>
        <w:rPr>
          <w:rFonts w:hint="eastAsia"/>
        </w:rPr>
        <w:t>岁</w:t>
      </w:r>
      <w:r>
        <w:rPr>
          <w:rFonts w:hint="eastAsia"/>
        </w:rPr>
        <w:t>)</w:t>
      </w:r>
      <w:r>
        <w:rPr>
          <w:rFonts w:hint="eastAsia"/>
        </w:rPr>
        <w:t>。有</w:t>
      </w:r>
      <w:r>
        <w:rPr>
          <w:rFonts w:hint="eastAsia"/>
        </w:rPr>
        <w:t>12%</w:t>
      </w:r>
      <w:r>
        <w:rPr>
          <w:rFonts w:hint="eastAsia"/>
        </w:rPr>
        <w:t>的学龄人口饮烈酒</w:t>
      </w:r>
      <w:r>
        <w:rPr>
          <w:rFonts w:hint="eastAsia"/>
        </w:rPr>
        <w:t>(8.7%</w:t>
      </w:r>
      <w:r>
        <w:rPr>
          <w:rFonts w:hint="eastAsia"/>
        </w:rPr>
        <w:t>为</w:t>
      </w:r>
      <w:r>
        <w:rPr>
          <w:rFonts w:hint="eastAsia"/>
        </w:rPr>
        <w:t>11</w:t>
      </w:r>
      <w:r>
        <w:rPr>
          <w:rFonts w:hint="eastAsia"/>
        </w:rPr>
        <w:t>岁，</w:t>
      </w:r>
      <w:r>
        <w:rPr>
          <w:rFonts w:hint="eastAsia"/>
        </w:rPr>
        <w:t>14.3%</w:t>
      </w:r>
      <w:r>
        <w:rPr>
          <w:rFonts w:hint="eastAsia"/>
        </w:rPr>
        <w:t>为</w:t>
      </w:r>
      <w:r>
        <w:rPr>
          <w:rFonts w:hint="eastAsia"/>
        </w:rPr>
        <w:t>13</w:t>
      </w:r>
      <w:r>
        <w:rPr>
          <w:rFonts w:hint="eastAsia"/>
        </w:rPr>
        <w:t>岁，</w:t>
      </w:r>
      <w:r>
        <w:rPr>
          <w:rFonts w:hint="eastAsia"/>
        </w:rPr>
        <w:t>13%</w:t>
      </w:r>
      <w:r>
        <w:rPr>
          <w:rFonts w:hint="eastAsia"/>
        </w:rPr>
        <w:t>为</w:t>
      </w:r>
      <w:r>
        <w:rPr>
          <w:rFonts w:hint="eastAsia"/>
        </w:rPr>
        <w:t>15</w:t>
      </w:r>
      <w:r>
        <w:rPr>
          <w:rFonts w:hint="eastAsia"/>
        </w:rPr>
        <w:t>岁</w:t>
      </w:r>
      <w:r>
        <w:rPr>
          <w:rFonts w:hint="eastAsia"/>
        </w:rPr>
        <w:t>)</w:t>
      </w:r>
      <w:r>
        <w:rPr>
          <w:rFonts w:hint="eastAsia"/>
        </w:rPr>
        <w:t>。</w:t>
      </w:r>
    </w:p>
    <w:p w:rsidR="00000000" w:rsidRDefault="00000000">
      <w:pPr>
        <w:pStyle w:val="Heading4"/>
        <w:rPr>
          <w:rFonts w:hint="eastAsia"/>
        </w:rPr>
      </w:pPr>
      <w:r>
        <w:rPr>
          <w:rFonts w:hint="eastAsia"/>
        </w:rPr>
        <w:t>麻醉药品和精神药物</w:t>
      </w:r>
    </w:p>
    <w:p w:rsidR="00000000" w:rsidRDefault="00000000">
      <w:pPr>
        <w:rPr>
          <w:rFonts w:hint="eastAsia"/>
        </w:rPr>
      </w:pPr>
      <w:r>
        <w:rPr>
          <w:rFonts w:hint="eastAsia"/>
        </w:rPr>
        <w:tab/>
        <w:t xml:space="preserve">458.  </w:t>
      </w:r>
      <w:r>
        <w:rPr>
          <w:rFonts w:hint="eastAsia"/>
        </w:rPr>
        <w:t>在冲突后的波斯尼亚和黑塞哥维那，目前的社会－经济环境对毒品和其它成瘾物质开放。这一趋势分析采用的是有关研究的结果。滥用麻醉药品和精神药物通常和艾滋病毒</w:t>
      </w:r>
      <w:r>
        <w:rPr>
          <w:rFonts w:hint="eastAsia"/>
        </w:rPr>
        <w:t>/</w:t>
      </w:r>
      <w:r>
        <w:rPr>
          <w:rFonts w:hint="eastAsia"/>
        </w:rPr>
        <w:t>艾滋病相关，在波斯尼亚和黑塞哥维那联邦进行的</w:t>
      </w:r>
      <w:r>
        <w:rPr>
          <w:rFonts w:hint="eastAsia"/>
        </w:rPr>
        <w:t>2001</w:t>
      </w:r>
      <w:r>
        <w:rPr>
          <w:rFonts w:hint="eastAsia"/>
        </w:rPr>
        <w:t>年儿童基金快速评估和应对项目包括了图兹拉、莫斯塔和萨拉热窝</w:t>
      </w:r>
      <w:r>
        <w:rPr>
          <w:rFonts w:hint="eastAsia"/>
        </w:rPr>
        <w:t>676</w:t>
      </w:r>
      <w:r>
        <w:rPr>
          <w:rFonts w:hint="eastAsia"/>
        </w:rPr>
        <w:t>名年轻人。在</w:t>
      </w:r>
      <w:r>
        <w:rPr>
          <w:rFonts w:hint="eastAsia"/>
        </w:rPr>
        <w:t>212</w:t>
      </w:r>
      <w:r>
        <w:rPr>
          <w:rFonts w:hint="eastAsia"/>
        </w:rPr>
        <w:t>名使用麻醉药品的人中，有</w:t>
      </w:r>
      <w:r>
        <w:rPr>
          <w:rFonts w:hint="eastAsia"/>
        </w:rPr>
        <w:t>128</w:t>
      </w:r>
      <w:r>
        <w:rPr>
          <w:rFonts w:hint="eastAsia"/>
        </w:rPr>
        <w:t>名男子和</w:t>
      </w:r>
      <w:r>
        <w:rPr>
          <w:rFonts w:hint="eastAsia"/>
        </w:rPr>
        <w:t>83</w:t>
      </w:r>
      <w:r>
        <w:rPr>
          <w:rFonts w:hint="eastAsia"/>
        </w:rPr>
        <w:t>名妇女</w:t>
      </w:r>
      <w:r>
        <w:rPr>
          <w:rFonts w:hint="eastAsia"/>
          <w:spacing w:val="-50"/>
        </w:rPr>
        <w:t>―</w:t>
      </w:r>
      <w:r>
        <w:rPr>
          <w:rFonts w:hint="eastAsia"/>
        </w:rPr>
        <w:t>―平均年龄为</w:t>
      </w:r>
      <w:r>
        <w:rPr>
          <w:rFonts w:hint="eastAsia"/>
        </w:rPr>
        <w:t>18</w:t>
      </w:r>
      <w:r>
        <w:rPr>
          <w:rFonts w:hint="eastAsia"/>
        </w:rPr>
        <w:t>岁</w:t>
      </w:r>
      <w:r>
        <w:rPr>
          <w:rFonts w:hint="eastAsia"/>
          <w:spacing w:val="-50"/>
        </w:rPr>
        <w:t>―</w:t>
      </w:r>
      <w:r>
        <w:rPr>
          <w:rFonts w:hint="eastAsia"/>
        </w:rPr>
        <w:t>―证实他们首次使用药物时年龄为</w:t>
      </w:r>
      <w:r>
        <w:rPr>
          <w:rFonts w:hint="eastAsia"/>
        </w:rPr>
        <w:t>15</w:t>
      </w:r>
      <w:r>
        <w:rPr>
          <w:rFonts w:hint="eastAsia"/>
        </w:rPr>
        <w:t>岁。在所有应答者中，有</w:t>
      </w:r>
      <w:r>
        <w:rPr>
          <w:rFonts w:hint="eastAsia"/>
        </w:rPr>
        <w:t>67.9%</w:t>
      </w:r>
      <w:r>
        <w:rPr>
          <w:rFonts w:hint="eastAsia"/>
        </w:rPr>
        <w:t>的人性交，有</w:t>
      </w:r>
      <w:r>
        <w:rPr>
          <w:rFonts w:hint="eastAsia"/>
        </w:rPr>
        <w:t>35.3%</w:t>
      </w:r>
      <w:r>
        <w:rPr>
          <w:rFonts w:hint="eastAsia"/>
        </w:rPr>
        <w:t>的人认为自己处于艾滋病毒和其它性传播疾病的危险中，只有</w:t>
      </w:r>
      <w:r>
        <w:rPr>
          <w:rFonts w:hint="eastAsia"/>
        </w:rPr>
        <w:t>4.2%</w:t>
      </w:r>
      <w:r>
        <w:rPr>
          <w:rFonts w:hint="eastAsia"/>
        </w:rPr>
        <w:t>的人进行了艾滋病毒化验。至于他们所使用的麻醉药品和精神药物种类，有大麻</w:t>
      </w:r>
      <w:r>
        <w:rPr>
          <w:rFonts w:hint="eastAsia"/>
        </w:rPr>
        <w:t>(52.8%)</w:t>
      </w:r>
      <w:r>
        <w:rPr>
          <w:rFonts w:hint="eastAsia"/>
        </w:rPr>
        <w:t>、摇头丸</w:t>
      </w:r>
      <w:r>
        <w:rPr>
          <w:rFonts w:hint="eastAsia"/>
        </w:rPr>
        <w:t>(18.4%)</w:t>
      </w:r>
      <w:r>
        <w:rPr>
          <w:rFonts w:hint="eastAsia"/>
        </w:rPr>
        <w:t>、安定</w:t>
      </w:r>
      <w:r>
        <w:rPr>
          <w:rFonts w:hint="eastAsia"/>
        </w:rPr>
        <w:t>(9.4%)</w:t>
      </w:r>
      <w:r>
        <w:rPr>
          <w:rFonts w:hint="eastAsia"/>
        </w:rPr>
        <w:t>。此外，有</w:t>
      </w:r>
      <w:r>
        <w:rPr>
          <w:rFonts w:hint="eastAsia"/>
        </w:rPr>
        <w:t>50%</w:t>
      </w:r>
      <w:r>
        <w:rPr>
          <w:rFonts w:hint="eastAsia"/>
        </w:rPr>
        <w:t>的应答者表示同时使用两种或两种以上的麻醉药品，而</w:t>
      </w:r>
      <w:r>
        <w:rPr>
          <w:rFonts w:hint="eastAsia"/>
        </w:rPr>
        <w:t>37.7%</w:t>
      </w:r>
      <w:r>
        <w:rPr>
          <w:rFonts w:hint="eastAsia"/>
        </w:rPr>
        <w:t>的应答者确认自己在药物作用下有性交行为。</w:t>
      </w:r>
    </w:p>
    <w:p w:rsidR="00000000" w:rsidRDefault="00000000">
      <w:pPr>
        <w:spacing w:after="320"/>
        <w:rPr>
          <w:rFonts w:hint="eastAsia"/>
        </w:rPr>
      </w:pPr>
      <w:r>
        <w:rPr>
          <w:rFonts w:hint="eastAsia"/>
        </w:rPr>
        <w:tab/>
        <w:t xml:space="preserve">459.  </w:t>
      </w:r>
      <w:r>
        <w:rPr>
          <w:rFonts w:hint="eastAsia"/>
        </w:rPr>
        <w:t>关于支助更加有效地防止危险行为和有害习惯的问题，</w:t>
      </w:r>
      <w:r>
        <w:rPr>
          <w:rFonts w:hint="eastAsia"/>
        </w:rPr>
        <w:t>2001</w:t>
      </w:r>
      <w:r>
        <w:rPr>
          <w:rFonts w:hint="eastAsia"/>
        </w:rPr>
        <w:t>年在联邦卫生部的主办下，一份题为“联邦酗酒和麻醉品成瘾预防方案”的文件送交议会通过。</w:t>
      </w:r>
    </w:p>
    <w:p w:rsidR="00000000" w:rsidRDefault="00000000">
      <w:pPr>
        <w:pStyle w:val="Heading4"/>
        <w:rPr>
          <w:rFonts w:hint="eastAsia"/>
        </w:rPr>
      </w:pPr>
      <w:r>
        <w:rPr>
          <w:rFonts w:hint="eastAsia"/>
        </w:rPr>
        <w:t>改善环境和工业卫生状况</w:t>
      </w:r>
    </w:p>
    <w:p w:rsidR="00000000" w:rsidRDefault="00000000">
      <w:pPr>
        <w:rPr>
          <w:rFonts w:hint="eastAsia"/>
        </w:rPr>
      </w:pPr>
      <w:r>
        <w:rPr>
          <w:rFonts w:hint="eastAsia"/>
        </w:rPr>
        <w:tab/>
        <w:t xml:space="preserve">460.  </w:t>
      </w:r>
      <w:r>
        <w:rPr>
          <w:rFonts w:hint="eastAsia"/>
        </w:rPr>
        <w:t>所有年龄组，特别是儿童、怀孕妇女、慢性病人和老年人，都受到环境危险因素的影响。</w:t>
      </w:r>
    </w:p>
    <w:p w:rsidR="00000000" w:rsidRDefault="00000000">
      <w:pPr>
        <w:rPr>
          <w:rFonts w:hint="eastAsia"/>
        </w:rPr>
      </w:pPr>
      <w:r>
        <w:rPr>
          <w:rFonts w:hint="eastAsia"/>
        </w:rPr>
        <w:tab/>
        <w:t xml:space="preserve">461.  </w:t>
      </w:r>
      <w:r>
        <w:rPr>
          <w:rFonts w:hint="eastAsia"/>
        </w:rPr>
        <w:t>水对人的健康有着巨大影响。这就是为什么供水问题在波斯尼亚和黑塞哥维那联邦是一个优先事项，据某些估计显示，大约</w:t>
      </w:r>
      <w:r>
        <w:rPr>
          <w:rFonts w:hint="eastAsia"/>
        </w:rPr>
        <w:t>50%</w:t>
      </w:r>
      <w:r>
        <w:rPr>
          <w:rFonts w:hint="eastAsia"/>
        </w:rPr>
        <w:t>的人由供水系统供水。仅对</w:t>
      </w:r>
      <w:r>
        <w:rPr>
          <w:rFonts w:hint="eastAsia"/>
        </w:rPr>
        <w:t>55%</w:t>
      </w:r>
      <w:r>
        <w:rPr>
          <w:rFonts w:hint="eastAsia"/>
        </w:rPr>
        <w:t>的人口进行了水的环卫控制，包括将微生物、化学和放射控制在满意的水平。环卫保护区不平衡，并对水采用旧的氯净化方法，因此主要问题似乎是缺乏单一供水设施登记。这妨碍着充分核查所采用设施的状况和措施，以改善波斯尼亚和黑塞哥维那联邦目前水的供应状况。也许通过某些与水有关疾病的流行状况，主要是肠道传染病，可以估计出供水的质量。过去两年，流行病状况略有好转，是供水系统得到某些改善的迹象。</w:t>
      </w:r>
    </w:p>
    <w:p w:rsidR="00000000" w:rsidRDefault="00000000">
      <w:pPr>
        <w:rPr>
          <w:rFonts w:hint="eastAsia"/>
        </w:rPr>
      </w:pPr>
      <w:r>
        <w:rPr>
          <w:rFonts w:hint="eastAsia"/>
        </w:rPr>
        <w:tab/>
        <w:t xml:space="preserve">462.  </w:t>
      </w:r>
      <w:r>
        <w:rPr>
          <w:rFonts w:hint="eastAsia"/>
        </w:rPr>
        <w:t>审查波斯尼亚和黑塞哥维那联邦公共卫生试验室微生物和化学分析的结果，包括列入在强制性报告制度中</w:t>
      </w:r>
      <w:r>
        <w:rPr>
          <w:rFonts w:hint="eastAsia"/>
        </w:rPr>
        <w:t>(</w:t>
      </w:r>
      <w:r>
        <w:rPr>
          <w:rFonts w:hint="eastAsia"/>
        </w:rPr>
        <w:t>同其它进行水的化学质量控制机构不同</w:t>
      </w:r>
      <w:r>
        <w:rPr>
          <w:rFonts w:hint="eastAsia"/>
        </w:rPr>
        <w:t>)</w:t>
      </w:r>
      <w:r>
        <w:rPr>
          <w:rFonts w:hint="eastAsia"/>
        </w:rPr>
        <w:t>，我们可以看到微生物和化学成份不健康样品的程度较高。大部分污染物为大肠杆菌和粪便链球菌，化学污染物有：氨、硝酸盐、亚硝酸盐、稀有重金属和其它有毒剂。水源污染的主要原因与人类活动有关，例如工业和社区倾倒液体废物。除供水和排污管不当以外，不正当的废物处理也影响水的质量，造成人们受到微生物和化学污染水更多的危害。对水等食品进行分析，涉及对粮食在市场销售前的微生物、化学和放射性分析，而销售分析则指粮食投放当地和国外市场，即向消费者提供时的某些分析。</w:t>
      </w:r>
    </w:p>
    <w:p w:rsidR="00000000" w:rsidRDefault="00000000">
      <w:pPr>
        <w:rPr>
          <w:rFonts w:hint="eastAsia"/>
        </w:rPr>
      </w:pPr>
      <w:r>
        <w:rPr>
          <w:rFonts w:hint="eastAsia"/>
        </w:rPr>
        <w:tab/>
        <w:t xml:space="preserve">463.  </w:t>
      </w:r>
      <w:r>
        <w:rPr>
          <w:rFonts w:hint="eastAsia"/>
        </w:rPr>
        <w:t>鉴于环境由于工作中的传统和当代危险的影响而日趋退化，生态健康概念使部分保健活动有必要针对改善人及其环境间的相互作用。在人口日益增加、移徙和现代化增强情况下，对生态毒素、放射物质等的使用也日益增多。变化的环境质量通过水、空气、土壤直接并通过食物链间接影响着人们的健康。</w:t>
      </w:r>
    </w:p>
    <w:p w:rsidR="00000000" w:rsidRDefault="00000000">
      <w:pPr>
        <w:rPr>
          <w:rFonts w:hint="eastAsia"/>
        </w:rPr>
      </w:pPr>
      <w:r>
        <w:rPr>
          <w:rFonts w:hint="eastAsia"/>
        </w:rPr>
        <w:tab/>
        <w:t xml:space="preserve">464.  </w:t>
      </w:r>
      <w:r>
        <w:rPr>
          <w:rFonts w:hint="eastAsia"/>
        </w:rPr>
        <w:t>增进塞族共和国每个人和每个社区的健康应该成为所有发展战略的目标。环境因素有助于动态平衡，即健康和健康资源</w:t>
      </w:r>
      <w:r>
        <w:rPr>
          <w:rFonts w:hint="eastAsia"/>
        </w:rPr>
        <w:t>(</w:t>
      </w:r>
      <w:r>
        <w:rPr>
          <w:rFonts w:hint="eastAsia"/>
        </w:rPr>
        <w:t>水、空气、食物、土壤和住宿设施</w:t>
      </w:r>
      <w:r>
        <w:rPr>
          <w:rFonts w:hint="eastAsia"/>
        </w:rPr>
        <w:t>)</w:t>
      </w:r>
      <w:r>
        <w:rPr>
          <w:rFonts w:hint="eastAsia"/>
        </w:rPr>
        <w:t>；但如果这些因素发生变化，则威胁着健康平衡，降低健康潜力，引起疾病，我们称之为健康危害。</w:t>
      </w:r>
    </w:p>
    <w:p w:rsidR="00000000" w:rsidRDefault="00000000">
      <w:pPr>
        <w:rPr>
          <w:rFonts w:hint="eastAsia"/>
        </w:rPr>
      </w:pPr>
      <w:r>
        <w:rPr>
          <w:rFonts w:hint="eastAsia"/>
        </w:rPr>
        <w:tab/>
        <w:t xml:space="preserve">465.  </w:t>
      </w:r>
      <w:r>
        <w:rPr>
          <w:rFonts w:hint="eastAsia"/>
        </w:rPr>
        <w:t>生活质量和人们的福祉有赖于环境质量，可划分为四个等级：</w:t>
      </w:r>
    </w:p>
    <w:p w:rsidR="00000000" w:rsidRDefault="00000000">
      <w:pPr>
        <w:pStyle w:val="a0"/>
        <w:ind w:left="1550"/>
        <w:rPr>
          <w:rFonts w:hint="eastAsia"/>
        </w:rPr>
      </w:pPr>
      <w:r>
        <w:rPr>
          <w:rFonts w:hint="eastAsia"/>
        </w:rPr>
        <w:t>生存环境，意指大规模流行病趋势；</w:t>
      </w:r>
    </w:p>
    <w:p w:rsidR="00000000" w:rsidRDefault="00000000">
      <w:pPr>
        <w:pStyle w:val="a0"/>
        <w:ind w:left="1550"/>
        <w:rPr>
          <w:rFonts w:hint="eastAsia"/>
        </w:rPr>
      </w:pPr>
      <w:r>
        <w:rPr>
          <w:rFonts w:hint="eastAsia"/>
        </w:rPr>
        <w:t>基本安全环境，其特征为流行病趋势的抑制和事故及营养不良造成的健康状况；</w:t>
      </w:r>
    </w:p>
    <w:p w:rsidR="00000000" w:rsidRDefault="00000000">
      <w:pPr>
        <w:pStyle w:val="a0"/>
        <w:ind w:left="1550"/>
        <w:rPr>
          <w:rFonts w:hint="eastAsia"/>
        </w:rPr>
      </w:pPr>
      <w:r>
        <w:rPr>
          <w:rFonts w:hint="eastAsia"/>
        </w:rPr>
        <w:t>有效成果环境，即适当的营养、工作鼓励和环境</w:t>
      </w:r>
      <w:r>
        <w:rPr>
          <w:rFonts w:hint="eastAsia"/>
        </w:rPr>
        <w:t>(</w:t>
      </w:r>
      <w:r>
        <w:rPr>
          <w:rFonts w:hint="eastAsia"/>
        </w:rPr>
        <w:t>健康的生活方式</w:t>
      </w:r>
      <w:r>
        <w:rPr>
          <w:rFonts w:hint="eastAsia"/>
        </w:rPr>
        <w:t>)</w:t>
      </w:r>
      <w:r>
        <w:rPr>
          <w:rFonts w:hint="eastAsia"/>
        </w:rPr>
        <w:t>；</w:t>
      </w:r>
    </w:p>
    <w:p w:rsidR="00000000" w:rsidRDefault="00000000">
      <w:pPr>
        <w:pStyle w:val="a0"/>
        <w:spacing w:after="320"/>
        <w:ind w:left="1550"/>
        <w:rPr>
          <w:rFonts w:hint="eastAsia"/>
        </w:rPr>
      </w:pPr>
      <w:r>
        <w:rPr>
          <w:rFonts w:hint="eastAsia"/>
        </w:rPr>
        <w:t>舒适的环境，提供鼓励和审美方面的乐趣。</w:t>
      </w:r>
    </w:p>
    <w:p w:rsidR="00000000" w:rsidRDefault="00000000">
      <w:pPr>
        <w:pStyle w:val="Heading4"/>
        <w:rPr>
          <w:rFonts w:hint="eastAsia"/>
        </w:rPr>
      </w:pPr>
      <w:r>
        <w:rPr>
          <w:rFonts w:hint="eastAsia"/>
        </w:rPr>
        <w:t>水</w:t>
      </w:r>
    </w:p>
    <w:p w:rsidR="00000000" w:rsidRDefault="00000000">
      <w:pPr>
        <w:rPr>
          <w:rFonts w:hint="eastAsia"/>
        </w:rPr>
      </w:pPr>
      <w:r>
        <w:rPr>
          <w:rFonts w:hint="eastAsia"/>
        </w:rPr>
        <w:tab/>
        <w:t xml:space="preserve">466.  </w:t>
      </w:r>
      <w:r>
        <w:rPr>
          <w:rFonts w:hint="eastAsia"/>
        </w:rPr>
        <w:t>水在人类生活中的作用和重要性使卫生组织确定出饮水的需要和质量标准，因为水影响人类健康。它显示出水作为全球性不能替代资源的重要性。充分提供卫生清洁饮用水是现代生活的必需品，是衡量财富和福祉的尺度。</w:t>
      </w:r>
    </w:p>
    <w:p w:rsidR="00000000" w:rsidRDefault="00000000">
      <w:pPr>
        <w:rPr>
          <w:rFonts w:hint="eastAsia"/>
        </w:rPr>
      </w:pPr>
      <w:r>
        <w:rPr>
          <w:rFonts w:hint="eastAsia"/>
        </w:rPr>
        <w:tab/>
        <w:t xml:space="preserve">467.  </w:t>
      </w:r>
      <w:r>
        <w:rPr>
          <w:rFonts w:hint="eastAsia"/>
        </w:rPr>
        <w:t>在塞族共和国，有</w:t>
      </w:r>
      <w:r>
        <w:rPr>
          <w:rFonts w:hint="eastAsia"/>
        </w:rPr>
        <w:t>51.4%</w:t>
      </w:r>
      <w:r>
        <w:rPr>
          <w:rFonts w:hint="eastAsia"/>
        </w:rPr>
        <w:t>的家庭由城市供水，有</w:t>
      </w:r>
      <w:r>
        <w:rPr>
          <w:rFonts w:hint="eastAsia"/>
        </w:rPr>
        <w:t>27.7%</w:t>
      </w:r>
      <w:r>
        <w:rPr>
          <w:rFonts w:hint="eastAsia"/>
        </w:rPr>
        <w:t>的家庭由当地供水，而井水是</w:t>
      </w:r>
      <w:r>
        <w:rPr>
          <w:rFonts w:hint="eastAsia"/>
        </w:rPr>
        <w:t>13.45%</w:t>
      </w:r>
      <w:r>
        <w:rPr>
          <w:rFonts w:hint="eastAsia"/>
        </w:rPr>
        <w:t>家庭的饮水来源。有</w:t>
      </w:r>
      <w:r>
        <w:rPr>
          <w:rFonts w:hint="eastAsia"/>
        </w:rPr>
        <w:t>41.6%</w:t>
      </w:r>
      <w:r>
        <w:rPr>
          <w:rFonts w:hint="eastAsia"/>
        </w:rPr>
        <w:t>的家庭</w:t>
      </w:r>
      <w:r>
        <w:rPr>
          <w:rFonts w:hint="eastAsia"/>
        </w:rPr>
        <w:t>(</w:t>
      </w:r>
      <w:r>
        <w:rPr>
          <w:rFonts w:hint="eastAsia"/>
        </w:rPr>
        <w:t>城市</w:t>
      </w:r>
      <w:r>
        <w:rPr>
          <w:rFonts w:hint="eastAsia"/>
        </w:rPr>
        <w:t>42.2%</w:t>
      </w:r>
      <w:r>
        <w:rPr>
          <w:rFonts w:hint="eastAsia"/>
        </w:rPr>
        <w:t>，乡村地区</w:t>
      </w:r>
      <w:r>
        <w:rPr>
          <w:rFonts w:hint="eastAsia"/>
        </w:rPr>
        <w:t>41.1%)</w:t>
      </w:r>
      <w:r>
        <w:rPr>
          <w:rFonts w:hint="eastAsia"/>
        </w:rPr>
        <w:t>面临饮水供应中断问题。塞族共和国没有一个统一的水设施登记，而一些设施没有适当的技能－技术文件记录，或没有确定出水源和消毒卫生保护区。许多中央供水设施由于输水网络老旧而使水大量流失</w:t>
      </w:r>
      <w:r>
        <w:rPr>
          <w:rFonts w:hint="eastAsia"/>
        </w:rPr>
        <w:t>(25-60%)</w:t>
      </w:r>
      <w:r>
        <w:rPr>
          <w:rFonts w:hint="eastAsia"/>
        </w:rPr>
        <w:t>。饮用水及其卫生质量问题常常与以下情况有关：工业和家庭液体和固体废物处理不当以及缺乏或没有遵守供水设施区域的保护、不当建设军事设施和水库、缺乏维护这些设施及其运作的物质资源、技术生产进程、水调节进程维护不当，以及特别是不进行消毒处理或处理不当等。</w:t>
      </w:r>
    </w:p>
    <w:p w:rsidR="00000000" w:rsidRDefault="00000000">
      <w:pPr>
        <w:spacing w:after="320"/>
        <w:rPr>
          <w:rFonts w:hint="eastAsia"/>
        </w:rPr>
      </w:pPr>
      <w:r>
        <w:rPr>
          <w:rFonts w:hint="eastAsia"/>
        </w:rPr>
        <w:tab/>
        <w:t xml:space="preserve">468.  </w:t>
      </w:r>
      <w:r>
        <w:rPr>
          <w:rFonts w:hint="eastAsia"/>
        </w:rPr>
        <w:t>根据适用法律，由塞族共和国卫生保护研究所的六个实验室</w:t>
      </w:r>
      <w:r>
        <w:rPr>
          <w:rFonts w:hint="eastAsia"/>
        </w:rPr>
        <w:t>(</w:t>
      </w:r>
      <w:r>
        <w:rPr>
          <w:rFonts w:hint="eastAsia"/>
        </w:rPr>
        <w:t>巴尼亚卢卡、多博伊、卢克维卡、滋沃尔尼克、色比恩杰和特雷比涅</w:t>
      </w:r>
      <w:r>
        <w:rPr>
          <w:rFonts w:hint="eastAsia"/>
        </w:rPr>
        <w:t>)</w:t>
      </w:r>
      <w:r>
        <w:rPr>
          <w:rFonts w:hint="eastAsia"/>
        </w:rPr>
        <w:t>进行水质公共卫生控制。它们负责报告、监测、检查和交付有关当地流行病状况的数据。遵照危险分析关键控制点原则，供水设施单位在准备、生产和向终端用户输送饮用水的过程中定期检查设备。在过去几年中，微生物检查最常测到的污染物为：总的或需氧生物细菌、大肠埃希氏菌和粪便链球菌，而化学分析则测到有机物、氨、硝酸盐、亚硝酸盐、铁和其它有毒物质</w:t>
      </w:r>
      <w:r>
        <w:rPr>
          <w:rFonts w:hint="eastAsia"/>
        </w:rPr>
        <w:t>(</w:t>
      </w:r>
      <w:r>
        <w:rPr>
          <w:rFonts w:hint="eastAsia"/>
        </w:rPr>
        <w:t>消毒过程副产品</w:t>
      </w:r>
      <w:r>
        <w:rPr>
          <w:rFonts w:hint="eastAsia"/>
        </w:rPr>
        <w:t>)</w:t>
      </w:r>
      <w:r>
        <w:rPr>
          <w:rFonts w:hint="eastAsia"/>
        </w:rPr>
        <w:t>。我们可以说总共大约有</w:t>
      </w:r>
      <w:r>
        <w:rPr>
          <w:rFonts w:hint="eastAsia"/>
        </w:rPr>
        <w:t>50%</w:t>
      </w:r>
      <w:r>
        <w:rPr>
          <w:rFonts w:hint="eastAsia"/>
        </w:rPr>
        <w:t>的人口属于在公共卫生控制范围。</w:t>
      </w:r>
    </w:p>
    <w:p w:rsidR="00000000" w:rsidRDefault="00000000">
      <w:pPr>
        <w:pStyle w:val="Heading3"/>
        <w:spacing w:after="120"/>
      </w:pPr>
      <w:r>
        <w:rPr>
          <w:rFonts w:hint="eastAsia"/>
          <w:u w:val="none"/>
        </w:rPr>
        <w:t>表</w:t>
      </w:r>
      <w:r>
        <w:rPr>
          <w:u w:val="none"/>
        </w:rPr>
        <w:t xml:space="preserve"> </w:t>
      </w:r>
      <w:r>
        <w:rPr>
          <w:rFonts w:hint="eastAsia"/>
          <w:u w:val="none"/>
        </w:rPr>
        <w:t>14</w:t>
      </w:r>
      <w:r>
        <w:br/>
      </w:r>
      <w:r>
        <w:rPr>
          <w:rFonts w:hint="eastAsia"/>
        </w:rPr>
        <w:t>水</w:t>
      </w:r>
      <w:r>
        <w:t xml:space="preserve"> </w:t>
      </w:r>
      <w:r>
        <w:rPr>
          <w:rFonts w:hint="eastAsia"/>
        </w:rPr>
        <w:t>分</w:t>
      </w:r>
      <w:r>
        <w:t xml:space="preserve"> </w:t>
      </w:r>
      <w:r>
        <w:rPr>
          <w:rFonts w:hint="eastAsia"/>
        </w:rPr>
        <w:t>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344"/>
        <w:gridCol w:w="1344"/>
        <w:gridCol w:w="1344"/>
        <w:gridCol w:w="1344"/>
        <w:gridCol w:w="1345"/>
        <w:gridCol w:w="1345"/>
      </w:tblGrid>
      <w:tr w:rsidR="00000000">
        <w:tblPrEx>
          <w:tblCellMar>
            <w:top w:w="0" w:type="dxa"/>
            <w:bottom w:w="0" w:type="dxa"/>
          </w:tblCellMar>
        </w:tblPrEx>
        <w:trPr>
          <w:cantSplit/>
          <w:trHeight w:val="221"/>
        </w:trPr>
        <w:tc>
          <w:tcPr>
            <w:tcW w:w="5376" w:type="dxa"/>
            <w:gridSpan w:val="4"/>
          </w:tcPr>
          <w:p w:rsidR="00000000" w:rsidRDefault="00000000">
            <w:pPr>
              <w:pStyle w:val="a2"/>
              <w:jc w:val="center"/>
              <w:rPr>
                <w:rFonts w:hint="eastAsia"/>
              </w:rPr>
            </w:pPr>
            <w:r>
              <w:rPr>
                <w:rFonts w:hint="eastAsia"/>
              </w:rPr>
              <w:t>物理</w:t>
            </w:r>
            <w:r>
              <w:rPr>
                <w:rFonts w:hint="eastAsia"/>
              </w:rPr>
              <w:t>/</w:t>
            </w:r>
            <w:r>
              <w:rPr>
                <w:rFonts w:hint="eastAsia"/>
              </w:rPr>
              <w:t>化学分析</w:t>
            </w:r>
          </w:p>
        </w:tc>
        <w:tc>
          <w:tcPr>
            <w:tcW w:w="4034" w:type="dxa"/>
            <w:gridSpan w:val="3"/>
          </w:tcPr>
          <w:p w:rsidR="00000000" w:rsidRDefault="00000000">
            <w:pPr>
              <w:pStyle w:val="a2"/>
              <w:jc w:val="center"/>
              <w:rPr>
                <w:rFonts w:hint="eastAsia"/>
              </w:rPr>
            </w:pPr>
            <w:r>
              <w:rPr>
                <w:rFonts w:hint="eastAsia"/>
              </w:rPr>
              <w:t>微生物分析</w:t>
            </w:r>
          </w:p>
        </w:tc>
      </w:tr>
      <w:tr w:rsidR="00000000">
        <w:tblPrEx>
          <w:tblCellMar>
            <w:top w:w="0" w:type="dxa"/>
            <w:bottom w:w="0" w:type="dxa"/>
          </w:tblCellMar>
        </w:tblPrEx>
        <w:trPr>
          <w:cantSplit/>
          <w:trHeight w:val="515"/>
        </w:trPr>
        <w:tc>
          <w:tcPr>
            <w:tcW w:w="1344" w:type="dxa"/>
            <w:vMerge w:val="restart"/>
          </w:tcPr>
          <w:p w:rsidR="00000000" w:rsidRDefault="00000000">
            <w:pPr>
              <w:pStyle w:val="a2"/>
              <w:spacing w:before="240"/>
              <w:jc w:val="center"/>
              <w:rPr>
                <w:rFonts w:hint="eastAsia"/>
              </w:rPr>
            </w:pPr>
            <w:r>
              <w:rPr>
                <w:rFonts w:hint="eastAsia"/>
              </w:rPr>
              <w:t>年份</w:t>
            </w:r>
          </w:p>
        </w:tc>
        <w:tc>
          <w:tcPr>
            <w:tcW w:w="1344" w:type="dxa"/>
            <w:vMerge w:val="restart"/>
          </w:tcPr>
          <w:p w:rsidR="00000000" w:rsidRDefault="00000000">
            <w:pPr>
              <w:pStyle w:val="a2"/>
              <w:spacing w:before="240"/>
              <w:jc w:val="center"/>
              <w:rPr>
                <w:rFonts w:hint="eastAsia"/>
              </w:rPr>
            </w:pPr>
            <w:r>
              <w:rPr>
                <w:rFonts w:hint="eastAsia"/>
              </w:rPr>
              <w:t>总数</w:t>
            </w:r>
          </w:p>
        </w:tc>
        <w:tc>
          <w:tcPr>
            <w:tcW w:w="2688" w:type="dxa"/>
            <w:gridSpan w:val="2"/>
          </w:tcPr>
          <w:p w:rsidR="00000000" w:rsidRDefault="00000000">
            <w:pPr>
              <w:pStyle w:val="a2"/>
              <w:spacing w:before="80"/>
              <w:jc w:val="center"/>
              <w:rPr>
                <w:rFonts w:hint="eastAsia"/>
              </w:rPr>
            </w:pPr>
            <w:r>
              <w:rPr>
                <w:rFonts w:hint="eastAsia"/>
              </w:rPr>
              <w:t>不能令人满意的抽样</w:t>
            </w:r>
          </w:p>
        </w:tc>
        <w:tc>
          <w:tcPr>
            <w:tcW w:w="1344" w:type="dxa"/>
            <w:vMerge w:val="restart"/>
          </w:tcPr>
          <w:p w:rsidR="00000000" w:rsidRDefault="00000000">
            <w:pPr>
              <w:pStyle w:val="a2"/>
              <w:spacing w:before="240"/>
              <w:jc w:val="center"/>
              <w:rPr>
                <w:rFonts w:hint="eastAsia"/>
              </w:rPr>
            </w:pPr>
            <w:r>
              <w:rPr>
                <w:rFonts w:hint="eastAsia"/>
              </w:rPr>
              <w:t>总数</w:t>
            </w:r>
          </w:p>
        </w:tc>
        <w:tc>
          <w:tcPr>
            <w:tcW w:w="2690" w:type="dxa"/>
            <w:gridSpan w:val="2"/>
            <w:tcBorders>
              <w:top w:val="single" w:sz="4" w:space="0" w:color="auto"/>
            </w:tcBorders>
          </w:tcPr>
          <w:p w:rsidR="00000000" w:rsidRDefault="00000000">
            <w:pPr>
              <w:pStyle w:val="a2"/>
              <w:spacing w:before="80"/>
              <w:jc w:val="center"/>
              <w:rPr>
                <w:rFonts w:hint="eastAsia"/>
              </w:rPr>
            </w:pPr>
            <w:r>
              <w:rPr>
                <w:rFonts w:hint="eastAsia"/>
              </w:rPr>
              <w:t>不能令人满意的抽样</w:t>
            </w:r>
          </w:p>
        </w:tc>
      </w:tr>
      <w:tr w:rsidR="00000000">
        <w:tblPrEx>
          <w:tblCellMar>
            <w:top w:w="0" w:type="dxa"/>
            <w:bottom w:w="0" w:type="dxa"/>
          </w:tblCellMar>
        </w:tblPrEx>
        <w:trPr>
          <w:cantSplit/>
        </w:trPr>
        <w:tc>
          <w:tcPr>
            <w:tcW w:w="1344" w:type="dxa"/>
            <w:vMerge/>
            <w:tcBorders>
              <w:bottom w:val="single" w:sz="4" w:space="0" w:color="auto"/>
            </w:tcBorders>
          </w:tcPr>
          <w:p w:rsidR="00000000" w:rsidRDefault="00000000">
            <w:pPr>
              <w:pStyle w:val="a2"/>
              <w:jc w:val="center"/>
              <w:rPr>
                <w:rFonts w:hint="eastAsia"/>
              </w:rPr>
            </w:pPr>
          </w:p>
        </w:tc>
        <w:tc>
          <w:tcPr>
            <w:tcW w:w="1344" w:type="dxa"/>
            <w:vMerge/>
            <w:tcBorders>
              <w:bottom w:val="single" w:sz="4" w:space="0" w:color="auto"/>
            </w:tcBorders>
          </w:tcPr>
          <w:p w:rsidR="00000000" w:rsidRDefault="00000000">
            <w:pPr>
              <w:pStyle w:val="a2"/>
              <w:jc w:val="center"/>
              <w:rPr>
                <w:rFonts w:hint="eastAsia"/>
              </w:rPr>
            </w:pPr>
          </w:p>
        </w:tc>
        <w:tc>
          <w:tcPr>
            <w:tcW w:w="1344" w:type="dxa"/>
            <w:tcBorders>
              <w:bottom w:val="single" w:sz="4" w:space="0" w:color="auto"/>
            </w:tcBorders>
          </w:tcPr>
          <w:p w:rsidR="00000000" w:rsidRDefault="00000000">
            <w:pPr>
              <w:pStyle w:val="a2"/>
              <w:jc w:val="center"/>
              <w:rPr>
                <w:rFonts w:hint="eastAsia"/>
              </w:rPr>
            </w:pPr>
            <w:r>
              <w:rPr>
                <w:rFonts w:hint="eastAsia"/>
              </w:rPr>
              <w:t>数字</w:t>
            </w:r>
          </w:p>
        </w:tc>
        <w:tc>
          <w:tcPr>
            <w:tcW w:w="1344" w:type="dxa"/>
            <w:tcBorders>
              <w:bottom w:val="single" w:sz="4" w:space="0" w:color="auto"/>
            </w:tcBorders>
          </w:tcPr>
          <w:p w:rsidR="00000000" w:rsidRDefault="00000000">
            <w:pPr>
              <w:pStyle w:val="a2"/>
              <w:jc w:val="center"/>
              <w:rPr>
                <w:rFonts w:hint="eastAsia"/>
              </w:rPr>
            </w:pPr>
            <w:r>
              <w:rPr>
                <w:rFonts w:hint="eastAsia"/>
              </w:rPr>
              <w:t>百分比</w:t>
            </w:r>
          </w:p>
        </w:tc>
        <w:tc>
          <w:tcPr>
            <w:tcW w:w="1344" w:type="dxa"/>
            <w:vMerge/>
            <w:tcBorders>
              <w:bottom w:val="single" w:sz="4" w:space="0" w:color="auto"/>
            </w:tcBorders>
          </w:tcPr>
          <w:p w:rsidR="00000000" w:rsidRDefault="00000000">
            <w:pPr>
              <w:pStyle w:val="a2"/>
              <w:jc w:val="center"/>
              <w:rPr>
                <w:rFonts w:hint="eastAsia"/>
              </w:rPr>
            </w:pPr>
          </w:p>
        </w:tc>
        <w:tc>
          <w:tcPr>
            <w:tcW w:w="1345" w:type="dxa"/>
            <w:tcBorders>
              <w:bottom w:val="single" w:sz="4" w:space="0" w:color="auto"/>
            </w:tcBorders>
          </w:tcPr>
          <w:p w:rsidR="00000000" w:rsidRDefault="00000000">
            <w:pPr>
              <w:pStyle w:val="a2"/>
              <w:jc w:val="center"/>
              <w:rPr>
                <w:rFonts w:hint="eastAsia"/>
              </w:rPr>
            </w:pPr>
            <w:r>
              <w:rPr>
                <w:rFonts w:hint="eastAsia"/>
              </w:rPr>
              <w:t>数字</w:t>
            </w:r>
          </w:p>
        </w:tc>
        <w:tc>
          <w:tcPr>
            <w:tcW w:w="1345" w:type="dxa"/>
            <w:tcBorders>
              <w:bottom w:val="single" w:sz="4" w:space="0" w:color="auto"/>
            </w:tcBorders>
          </w:tcPr>
          <w:p w:rsidR="00000000" w:rsidRDefault="00000000">
            <w:pPr>
              <w:pStyle w:val="a2"/>
              <w:jc w:val="center"/>
              <w:rPr>
                <w:rFonts w:hint="eastAsia"/>
              </w:rPr>
            </w:pPr>
            <w:r>
              <w:rPr>
                <w:rFonts w:hint="eastAsia"/>
              </w:rPr>
              <w:t>百分比</w:t>
            </w:r>
          </w:p>
        </w:tc>
      </w:tr>
      <w:tr w:rsidR="00000000">
        <w:tblPrEx>
          <w:tblCellMar>
            <w:top w:w="0" w:type="dxa"/>
            <w:bottom w:w="0" w:type="dxa"/>
          </w:tblCellMar>
        </w:tblPrEx>
        <w:trPr>
          <w:trHeight w:val="315"/>
        </w:trPr>
        <w:tc>
          <w:tcPr>
            <w:tcW w:w="1344" w:type="dxa"/>
            <w:tcBorders>
              <w:bottom w:val="nil"/>
            </w:tcBorders>
          </w:tcPr>
          <w:p w:rsidR="00000000" w:rsidRDefault="00000000">
            <w:pPr>
              <w:pStyle w:val="a2"/>
              <w:spacing w:line="240" w:lineRule="auto"/>
              <w:jc w:val="center"/>
            </w:pPr>
            <w:r>
              <w:t>1998</w:t>
            </w:r>
          </w:p>
        </w:tc>
        <w:tc>
          <w:tcPr>
            <w:tcW w:w="1344" w:type="dxa"/>
            <w:tcBorders>
              <w:bottom w:val="nil"/>
            </w:tcBorders>
          </w:tcPr>
          <w:p w:rsidR="00000000" w:rsidRDefault="00000000">
            <w:pPr>
              <w:pStyle w:val="a2"/>
              <w:spacing w:line="240" w:lineRule="auto"/>
              <w:jc w:val="center"/>
            </w:pPr>
            <w:r>
              <w:t>1 831</w:t>
            </w:r>
          </w:p>
        </w:tc>
        <w:tc>
          <w:tcPr>
            <w:tcW w:w="1344" w:type="dxa"/>
            <w:tcBorders>
              <w:bottom w:val="nil"/>
            </w:tcBorders>
          </w:tcPr>
          <w:p w:rsidR="00000000" w:rsidRDefault="00000000">
            <w:pPr>
              <w:pStyle w:val="a2"/>
              <w:spacing w:line="240" w:lineRule="auto"/>
              <w:jc w:val="center"/>
            </w:pPr>
            <w:r>
              <w:t>258</w:t>
            </w:r>
          </w:p>
        </w:tc>
        <w:tc>
          <w:tcPr>
            <w:tcW w:w="1344" w:type="dxa"/>
            <w:tcBorders>
              <w:bottom w:val="nil"/>
            </w:tcBorders>
          </w:tcPr>
          <w:p w:rsidR="00000000" w:rsidRDefault="00000000">
            <w:pPr>
              <w:pStyle w:val="a2"/>
              <w:tabs>
                <w:tab w:val="decimal" w:pos="588"/>
              </w:tabs>
              <w:spacing w:line="240" w:lineRule="auto"/>
            </w:pPr>
            <w:r>
              <w:t>14.09</w:t>
            </w:r>
          </w:p>
        </w:tc>
        <w:tc>
          <w:tcPr>
            <w:tcW w:w="1344" w:type="dxa"/>
            <w:tcBorders>
              <w:bottom w:val="nil"/>
            </w:tcBorders>
          </w:tcPr>
          <w:p w:rsidR="00000000" w:rsidRDefault="00000000">
            <w:pPr>
              <w:pStyle w:val="a2"/>
              <w:spacing w:line="240" w:lineRule="auto"/>
              <w:jc w:val="center"/>
            </w:pPr>
            <w:r>
              <w:t>2 380</w:t>
            </w:r>
          </w:p>
        </w:tc>
        <w:tc>
          <w:tcPr>
            <w:tcW w:w="1345" w:type="dxa"/>
            <w:tcBorders>
              <w:bottom w:val="nil"/>
            </w:tcBorders>
          </w:tcPr>
          <w:p w:rsidR="00000000" w:rsidRDefault="00000000">
            <w:pPr>
              <w:pStyle w:val="a2"/>
              <w:spacing w:line="240" w:lineRule="auto"/>
              <w:jc w:val="center"/>
            </w:pPr>
            <w:r>
              <w:t>538</w:t>
            </w:r>
          </w:p>
        </w:tc>
        <w:tc>
          <w:tcPr>
            <w:tcW w:w="1345" w:type="dxa"/>
            <w:tcBorders>
              <w:bottom w:val="nil"/>
            </w:tcBorders>
          </w:tcPr>
          <w:p w:rsidR="00000000" w:rsidRDefault="00000000">
            <w:pPr>
              <w:pStyle w:val="a2"/>
              <w:tabs>
                <w:tab w:val="decimal" w:pos="588"/>
              </w:tabs>
              <w:spacing w:line="240" w:lineRule="auto"/>
            </w:pPr>
            <w:r>
              <w:t>22.6</w:t>
            </w:r>
          </w:p>
        </w:tc>
      </w:tr>
      <w:tr w:rsidR="00000000">
        <w:tblPrEx>
          <w:tblCellMar>
            <w:top w:w="0" w:type="dxa"/>
            <w:bottom w:w="0" w:type="dxa"/>
          </w:tblCellMar>
        </w:tblPrEx>
        <w:trPr>
          <w:trHeight w:val="315"/>
        </w:trPr>
        <w:tc>
          <w:tcPr>
            <w:tcW w:w="1344" w:type="dxa"/>
            <w:tcBorders>
              <w:top w:val="nil"/>
              <w:bottom w:val="nil"/>
            </w:tcBorders>
          </w:tcPr>
          <w:p w:rsidR="00000000" w:rsidRDefault="00000000">
            <w:pPr>
              <w:pStyle w:val="a2"/>
              <w:spacing w:line="240" w:lineRule="auto"/>
              <w:jc w:val="center"/>
            </w:pPr>
            <w:r>
              <w:t>1999</w:t>
            </w:r>
          </w:p>
        </w:tc>
        <w:tc>
          <w:tcPr>
            <w:tcW w:w="1344" w:type="dxa"/>
            <w:tcBorders>
              <w:top w:val="nil"/>
              <w:bottom w:val="nil"/>
            </w:tcBorders>
          </w:tcPr>
          <w:p w:rsidR="00000000" w:rsidRDefault="00000000">
            <w:pPr>
              <w:pStyle w:val="a2"/>
              <w:spacing w:line="240" w:lineRule="auto"/>
              <w:jc w:val="center"/>
            </w:pPr>
            <w:r>
              <w:t>2 077</w:t>
            </w:r>
          </w:p>
        </w:tc>
        <w:tc>
          <w:tcPr>
            <w:tcW w:w="1344" w:type="dxa"/>
            <w:tcBorders>
              <w:top w:val="nil"/>
              <w:bottom w:val="nil"/>
            </w:tcBorders>
          </w:tcPr>
          <w:p w:rsidR="00000000" w:rsidRDefault="00000000">
            <w:pPr>
              <w:pStyle w:val="a2"/>
              <w:spacing w:line="240" w:lineRule="auto"/>
              <w:jc w:val="center"/>
            </w:pPr>
            <w:r>
              <w:t>245</w:t>
            </w:r>
          </w:p>
        </w:tc>
        <w:tc>
          <w:tcPr>
            <w:tcW w:w="1344" w:type="dxa"/>
            <w:tcBorders>
              <w:top w:val="nil"/>
              <w:bottom w:val="nil"/>
            </w:tcBorders>
          </w:tcPr>
          <w:p w:rsidR="00000000" w:rsidRDefault="00000000">
            <w:pPr>
              <w:pStyle w:val="a2"/>
              <w:tabs>
                <w:tab w:val="decimal" w:pos="588"/>
              </w:tabs>
              <w:spacing w:line="240" w:lineRule="auto"/>
            </w:pPr>
            <w:r>
              <w:t>11.79</w:t>
            </w:r>
          </w:p>
        </w:tc>
        <w:tc>
          <w:tcPr>
            <w:tcW w:w="1344" w:type="dxa"/>
            <w:tcBorders>
              <w:top w:val="nil"/>
              <w:bottom w:val="nil"/>
            </w:tcBorders>
          </w:tcPr>
          <w:p w:rsidR="00000000" w:rsidRDefault="00000000">
            <w:pPr>
              <w:pStyle w:val="a2"/>
              <w:spacing w:line="240" w:lineRule="auto"/>
              <w:jc w:val="center"/>
            </w:pPr>
            <w:r>
              <w:t>2 638</w:t>
            </w:r>
          </w:p>
        </w:tc>
        <w:tc>
          <w:tcPr>
            <w:tcW w:w="1345" w:type="dxa"/>
            <w:tcBorders>
              <w:top w:val="nil"/>
              <w:bottom w:val="nil"/>
            </w:tcBorders>
          </w:tcPr>
          <w:p w:rsidR="00000000" w:rsidRDefault="00000000">
            <w:pPr>
              <w:pStyle w:val="a2"/>
              <w:spacing w:line="240" w:lineRule="auto"/>
              <w:jc w:val="center"/>
            </w:pPr>
            <w:r>
              <w:t>484</w:t>
            </w:r>
          </w:p>
        </w:tc>
        <w:tc>
          <w:tcPr>
            <w:tcW w:w="1345" w:type="dxa"/>
            <w:tcBorders>
              <w:top w:val="nil"/>
              <w:bottom w:val="nil"/>
            </w:tcBorders>
          </w:tcPr>
          <w:p w:rsidR="00000000" w:rsidRDefault="00000000">
            <w:pPr>
              <w:pStyle w:val="a2"/>
              <w:tabs>
                <w:tab w:val="decimal" w:pos="588"/>
              </w:tabs>
              <w:spacing w:line="240" w:lineRule="auto"/>
            </w:pPr>
            <w:r>
              <w:t>18.34</w:t>
            </w:r>
          </w:p>
        </w:tc>
      </w:tr>
      <w:tr w:rsidR="00000000">
        <w:tblPrEx>
          <w:tblCellMar>
            <w:top w:w="0" w:type="dxa"/>
            <w:bottom w:w="0" w:type="dxa"/>
          </w:tblCellMar>
        </w:tblPrEx>
        <w:trPr>
          <w:trHeight w:val="315"/>
        </w:trPr>
        <w:tc>
          <w:tcPr>
            <w:tcW w:w="1344" w:type="dxa"/>
            <w:tcBorders>
              <w:top w:val="nil"/>
              <w:bottom w:val="nil"/>
            </w:tcBorders>
          </w:tcPr>
          <w:p w:rsidR="00000000" w:rsidRDefault="00000000">
            <w:pPr>
              <w:pStyle w:val="a2"/>
              <w:spacing w:line="240" w:lineRule="auto"/>
              <w:jc w:val="center"/>
            </w:pPr>
            <w:r>
              <w:t>2000</w:t>
            </w:r>
          </w:p>
        </w:tc>
        <w:tc>
          <w:tcPr>
            <w:tcW w:w="1344" w:type="dxa"/>
            <w:tcBorders>
              <w:top w:val="nil"/>
              <w:bottom w:val="nil"/>
            </w:tcBorders>
          </w:tcPr>
          <w:p w:rsidR="00000000" w:rsidRDefault="00000000">
            <w:pPr>
              <w:pStyle w:val="a2"/>
              <w:spacing w:line="240" w:lineRule="auto"/>
              <w:jc w:val="center"/>
            </w:pPr>
            <w:r>
              <w:t>3 481</w:t>
            </w:r>
          </w:p>
        </w:tc>
        <w:tc>
          <w:tcPr>
            <w:tcW w:w="1344" w:type="dxa"/>
            <w:tcBorders>
              <w:top w:val="nil"/>
              <w:bottom w:val="nil"/>
            </w:tcBorders>
          </w:tcPr>
          <w:p w:rsidR="00000000" w:rsidRDefault="00000000">
            <w:pPr>
              <w:pStyle w:val="a2"/>
              <w:spacing w:line="240" w:lineRule="auto"/>
              <w:jc w:val="center"/>
            </w:pPr>
            <w:r>
              <w:t>332</w:t>
            </w:r>
          </w:p>
        </w:tc>
        <w:tc>
          <w:tcPr>
            <w:tcW w:w="1344" w:type="dxa"/>
            <w:tcBorders>
              <w:top w:val="nil"/>
              <w:bottom w:val="nil"/>
            </w:tcBorders>
          </w:tcPr>
          <w:p w:rsidR="00000000" w:rsidRDefault="00000000">
            <w:pPr>
              <w:pStyle w:val="a2"/>
              <w:tabs>
                <w:tab w:val="decimal" w:pos="588"/>
              </w:tabs>
              <w:spacing w:line="240" w:lineRule="auto"/>
            </w:pPr>
            <w:r>
              <w:t>9.53</w:t>
            </w:r>
          </w:p>
        </w:tc>
        <w:tc>
          <w:tcPr>
            <w:tcW w:w="1344" w:type="dxa"/>
            <w:tcBorders>
              <w:top w:val="nil"/>
              <w:bottom w:val="nil"/>
            </w:tcBorders>
          </w:tcPr>
          <w:p w:rsidR="00000000" w:rsidRDefault="00000000">
            <w:pPr>
              <w:pStyle w:val="a2"/>
              <w:spacing w:line="240" w:lineRule="auto"/>
              <w:jc w:val="center"/>
            </w:pPr>
            <w:r>
              <w:t>4 522</w:t>
            </w:r>
          </w:p>
        </w:tc>
        <w:tc>
          <w:tcPr>
            <w:tcW w:w="1345" w:type="dxa"/>
            <w:tcBorders>
              <w:top w:val="nil"/>
              <w:bottom w:val="nil"/>
            </w:tcBorders>
          </w:tcPr>
          <w:p w:rsidR="00000000" w:rsidRDefault="00000000">
            <w:pPr>
              <w:pStyle w:val="a2"/>
              <w:spacing w:line="240" w:lineRule="auto"/>
              <w:jc w:val="center"/>
            </w:pPr>
            <w:r>
              <w:t>892</w:t>
            </w:r>
          </w:p>
        </w:tc>
        <w:tc>
          <w:tcPr>
            <w:tcW w:w="1345" w:type="dxa"/>
            <w:tcBorders>
              <w:top w:val="nil"/>
              <w:bottom w:val="nil"/>
            </w:tcBorders>
          </w:tcPr>
          <w:p w:rsidR="00000000" w:rsidRDefault="00000000">
            <w:pPr>
              <w:pStyle w:val="a2"/>
              <w:tabs>
                <w:tab w:val="decimal" w:pos="588"/>
              </w:tabs>
              <w:spacing w:line="240" w:lineRule="auto"/>
            </w:pPr>
            <w:r>
              <w:t>19.72</w:t>
            </w:r>
          </w:p>
        </w:tc>
      </w:tr>
      <w:tr w:rsidR="00000000">
        <w:tblPrEx>
          <w:tblCellMar>
            <w:top w:w="0" w:type="dxa"/>
            <w:bottom w:w="0" w:type="dxa"/>
          </w:tblCellMar>
        </w:tblPrEx>
        <w:trPr>
          <w:trHeight w:val="315"/>
        </w:trPr>
        <w:tc>
          <w:tcPr>
            <w:tcW w:w="1344" w:type="dxa"/>
            <w:tcBorders>
              <w:top w:val="nil"/>
              <w:bottom w:val="nil"/>
            </w:tcBorders>
          </w:tcPr>
          <w:p w:rsidR="00000000" w:rsidRDefault="00000000">
            <w:pPr>
              <w:pStyle w:val="a2"/>
              <w:spacing w:line="240" w:lineRule="auto"/>
              <w:jc w:val="center"/>
            </w:pPr>
            <w:r>
              <w:t>2001</w:t>
            </w:r>
          </w:p>
        </w:tc>
        <w:tc>
          <w:tcPr>
            <w:tcW w:w="1344" w:type="dxa"/>
            <w:tcBorders>
              <w:top w:val="nil"/>
              <w:bottom w:val="nil"/>
            </w:tcBorders>
          </w:tcPr>
          <w:p w:rsidR="00000000" w:rsidRDefault="00000000">
            <w:pPr>
              <w:pStyle w:val="a2"/>
              <w:spacing w:line="240" w:lineRule="auto"/>
              <w:jc w:val="center"/>
            </w:pPr>
            <w:r>
              <w:t>3 720</w:t>
            </w:r>
          </w:p>
        </w:tc>
        <w:tc>
          <w:tcPr>
            <w:tcW w:w="1344" w:type="dxa"/>
            <w:tcBorders>
              <w:top w:val="nil"/>
              <w:bottom w:val="nil"/>
            </w:tcBorders>
          </w:tcPr>
          <w:p w:rsidR="00000000" w:rsidRDefault="00000000">
            <w:pPr>
              <w:pStyle w:val="a2"/>
              <w:spacing w:line="240" w:lineRule="auto"/>
              <w:jc w:val="center"/>
            </w:pPr>
            <w:r>
              <w:t>330</w:t>
            </w:r>
          </w:p>
        </w:tc>
        <w:tc>
          <w:tcPr>
            <w:tcW w:w="1344" w:type="dxa"/>
            <w:tcBorders>
              <w:top w:val="nil"/>
              <w:bottom w:val="nil"/>
            </w:tcBorders>
          </w:tcPr>
          <w:p w:rsidR="00000000" w:rsidRDefault="00000000">
            <w:pPr>
              <w:pStyle w:val="a2"/>
              <w:tabs>
                <w:tab w:val="decimal" w:pos="588"/>
              </w:tabs>
              <w:spacing w:line="240" w:lineRule="auto"/>
            </w:pPr>
            <w:r>
              <w:t>8.87</w:t>
            </w:r>
          </w:p>
        </w:tc>
        <w:tc>
          <w:tcPr>
            <w:tcW w:w="1344" w:type="dxa"/>
            <w:tcBorders>
              <w:top w:val="nil"/>
              <w:bottom w:val="nil"/>
            </w:tcBorders>
          </w:tcPr>
          <w:p w:rsidR="00000000" w:rsidRDefault="00000000">
            <w:pPr>
              <w:pStyle w:val="a2"/>
              <w:spacing w:line="240" w:lineRule="auto"/>
              <w:jc w:val="center"/>
            </w:pPr>
            <w:r>
              <w:t>4 711</w:t>
            </w:r>
          </w:p>
        </w:tc>
        <w:tc>
          <w:tcPr>
            <w:tcW w:w="1345" w:type="dxa"/>
            <w:tcBorders>
              <w:top w:val="nil"/>
              <w:bottom w:val="nil"/>
            </w:tcBorders>
          </w:tcPr>
          <w:p w:rsidR="00000000" w:rsidRDefault="00000000">
            <w:pPr>
              <w:pStyle w:val="a2"/>
              <w:spacing w:line="240" w:lineRule="auto"/>
              <w:jc w:val="center"/>
            </w:pPr>
            <w:r>
              <w:t>927</w:t>
            </w:r>
          </w:p>
        </w:tc>
        <w:tc>
          <w:tcPr>
            <w:tcW w:w="1345" w:type="dxa"/>
            <w:tcBorders>
              <w:top w:val="nil"/>
              <w:bottom w:val="nil"/>
            </w:tcBorders>
          </w:tcPr>
          <w:p w:rsidR="00000000" w:rsidRDefault="00000000">
            <w:pPr>
              <w:pStyle w:val="a2"/>
              <w:tabs>
                <w:tab w:val="decimal" w:pos="588"/>
              </w:tabs>
              <w:spacing w:line="240" w:lineRule="auto"/>
            </w:pPr>
            <w:r>
              <w:t>19.67</w:t>
            </w:r>
          </w:p>
        </w:tc>
      </w:tr>
      <w:tr w:rsidR="00000000">
        <w:tblPrEx>
          <w:tblCellMar>
            <w:top w:w="0" w:type="dxa"/>
            <w:bottom w:w="0" w:type="dxa"/>
          </w:tblCellMar>
        </w:tblPrEx>
        <w:trPr>
          <w:trHeight w:val="315"/>
        </w:trPr>
        <w:tc>
          <w:tcPr>
            <w:tcW w:w="1344" w:type="dxa"/>
            <w:tcBorders>
              <w:top w:val="nil"/>
            </w:tcBorders>
          </w:tcPr>
          <w:p w:rsidR="00000000" w:rsidRDefault="00000000">
            <w:pPr>
              <w:pStyle w:val="a2"/>
              <w:spacing w:line="240" w:lineRule="auto"/>
              <w:jc w:val="center"/>
            </w:pPr>
            <w:r>
              <w:t>2002</w:t>
            </w:r>
          </w:p>
        </w:tc>
        <w:tc>
          <w:tcPr>
            <w:tcW w:w="1344" w:type="dxa"/>
            <w:tcBorders>
              <w:top w:val="nil"/>
            </w:tcBorders>
          </w:tcPr>
          <w:p w:rsidR="00000000" w:rsidRDefault="00000000">
            <w:pPr>
              <w:pStyle w:val="a2"/>
              <w:spacing w:line="240" w:lineRule="auto"/>
              <w:jc w:val="center"/>
            </w:pPr>
            <w:r>
              <w:t>3 833</w:t>
            </w:r>
          </w:p>
        </w:tc>
        <w:tc>
          <w:tcPr>
            <w:tcW w:w="1344" w:type="dxa"/>
            <w:tcBorders>
              <w:top w:val="nil"/>
            </w:tcBorders>
          </w:tcPr>
          <w:p w:rsidR="00000000" w:rsidRDefault="00000000">
            <w:pPr>
              <w:pStyle w:val="a2"/>
              <w:spacing w:line="240" w:lineRule="auto"/>
              <w:jc w:val="center"/>
            </w:pPr>
            <w:r>
              <w:t>770</w:t>
            </w:r>
          </w:p>
        </w:tc>
        <w:tc>
          <w:tcPr>
            <w:tcW w:w="1344" w:type="dxa"/>
            <w:tcBorders>
              <w:top w:val="nil"/>
            </w:tcBorders>
          </w:tcPr>
          <w:p w:rsidR="00000000" w:rsidRDefault="00000000">
            <w:pPr>
              <w:pStyle w:val="a2"/>
              <w:tabs>
                <w:tab w:val="decimal" w:pos="588"/>
              </w:tabs>
              <w:spacing w:line="240" w:lineRule="auto"/>
            </w:pPr>
            <w:r>
              <w:t>20.8</w:t>
            </w:r>
          </w:p>
        </w:tc>
        <w:tc>
          <w:tcPr>
            <w:tcW w:w="1344" w:type="dxa"/>
            <w:tcBorders>
              <w:top w:val="nil"/>
            </w:tcBorders>
          </w:tcPr>
          <w:p w:rsidR="00000000" w:rsidRDefault="00000000">
            <w:pPr>
              <w:pStyle w:val="a2"/>
              <w:spacing w:line="240" w:lineRule="auto"/>
              <w:jc w:val="center"/>
            </w:pPr>
            <w:r>
              <w:t>4 946</w:t>
            </w:r>
          </w:p>
        </w:tc>
        <w:tc>
          <w:tcPr>
            <w:tcW w:w="1345" w:type="dxa"/>
            <w:tcBorders>
              <w:top w:val="nil"/>
            </w:tcBorders>
          </w:tcPr>
          <w:p w:rsidR="00000000" w:rsidRDefault="00000000">
            <w:pPr>
              <w:pStyle w:val="a2"/>
              <w:spacing w:line="240" w:lineRule="auto"/>
              <w:jc w:val="center"/>
            </w:pPr>
            <w:r>
              <w:t>910</w:t>
            </w:r>
          </w:p>
        </w:tc>
        <w:tc>
          <w:tcPr>
            <w:tcW w:w="1345" w:type="dxa"/>
            <w:tcBorders>
              <w:top w:val="nil"/>
            </w:tcBorders>
          </w:tcPr>
          <w:p w:rsidR="00000000" w:rsidRDefault="00000000">
            <w:pPr>
              <w:pStyle w:val="a2"/>
              <w:tabs>
                <w:tab w:val="decimal" w:pos="588"/>
              </w:tabs>
              <w:spacing w:line="240" w:lineRule="auto"/>
            </w:pPr>
            <w:r>
              <w:t>18.39</w:t>
            </w:r>
          </w:p>
        </w:tc>
      </w:tr>
    </w:tbl>
    <w:p w:rsidR="00000000" w:rsidRDefault="00000000">
      <w:pPr>
        <w:pStyle w:val="EndnoteText"/>
        <w:spacing w:before="120"/>
        <w:rPr>
          <w:rFonts w:hint="eastAsia"/>
        </w:rPr>
      </w:pPr>
      <w:r>
        <w:rPr>
          <w:rFonts w:hint="eastAsia"/>
          <w:u w:val="single"/>
        </w:rPr>
        <w:t>资料来源</w:t>
      </w:r>
      <w:r>
        <w:rPr>
          <w:rFonts w:hint="eastAsia"/>
        </w:rPr>
        <w:t>：塞族共和国健康保护研究所卫生和健康生态署，巴尼亚卢卡。</w:t>
      </w:r>
    </w:p>
    <w:p w:rsidR="00000000" w:rsidRDefault="00000000">
      <w:pPr>
        <w:rPr>
          <w:rFonts w:hint="eastAsia"/>
        </w:rPr>
      </w:pPr>
    </w:p>
    <w:p w:rsidR="00000000" w:rsidRDefault="00000000">
      <w:pPr>
        <w:rPr>
          <w:rFonts w:hint="eastAsia"/>
        </w:rPr>
      </w:pPr>
      <w:r>
        <w:rPr>
          <w:rFonts w:hint="eastAsia"/>
        </w:rPr>
        <w:tab/>
        <w:t xml:space="preserve">469.  </w:t>
      </w:r>
      <w:r>
        <w:rPr>
          <w:rFonts w:hint="eastAsia"/>
        </w:rPr>
        <w:t>值得注意的有关水质问题的结论包括：</w:t>
      </w:r>
    </w:p>
    <w:p w:rsidR="00000000" w:rsidRDefault="00000000">
      <w:pPr>
        <w:pStyle w:val="a0"/>
        <w:ind w:left="1550"/>
        <w:rPr>
          <w:rFonts w:hint="eastAsia"/>
        </w:rPr>
      </w:pPr>
      <w:r>
        <w:rPr>
          <w:rFonts w:hint="eastAsia"/>
        </w:rPr>
        <w:t>塞族共和国大约</w:t>
      </w:r>
      <w:r>
        <w:rPr>
          <w:rFonts w:hint="eastAsia"/>
        </w:rPr>
        <w:t>50%</w:t>
      </w:r>
      <w:r>
        <w:rPr>
          <w:rFonts w:hint="eastAsia"/>
        </w:rPr>
        <w:t>的人口由供水系统供水。在塞族共和国某些地区，仍然存在无法获得充分卫生用水问题；</w:t>
      </w:r>
    </w:p>
    <w:p w:rsidR="00000000" w:rsidRDefault="00000000">
      <w:pPr>
        <w:pStyle w:val="a0"/>
        <w:ind w:left="1550"/>
        <w:rPr>
          <w:rFonts w:hint="eastAsia"/>
        </w:rPr>
      </w:pPr>
      <w:r>
        <w:rPr>
          <w:rFonts w:hint="eastAsia"/>
        </w:rPr>
        <w:t>没有一个统一的供水设施登记；</w:t>
      </w:r>
    </w:p>
    <w:p w:rsidR="00000000" w:rsidRDefault="00000000">
      <w:pPr>
        <w:pStyle w:val="a0"/>
        <w:ind w:left="1550"/>
        <w:rPr>
          <w:rFonts w:hint="eastAsia"/>
        </w:rPr>
      </w:pPr>
      <w:r>
        <w:rPr>
          <w:rFonts w:hint="eastAsia"/>
        </w:rPr>
        <w:t>所有供水设施的基本问题是，符合卫生组织要求的饮用水源保护卫生区不平衡，因此</w:t>
      </w:r>
      <w:r>
        <w:rPr>
          <w:rFonts w:hint="eastAsia"/>
        </w:rPr>
        <w:t>95%</w:t>
      </w:r>
      <w:r>
        <w:rPr>
          <w:rFonts w:hint="eastAsia"/>
        </w:rPr>
        <w:t>的水源需要保护；</w:t>
      </w:r>
    </w:p>
    <w:p w:rsidR="00000000" w:rsidRDefault="00000000">
      <w:pPr>
        <w:pStyle w:val="a0"/>
        <w:ind w:left="1550"/>
        <w:rPr>
          <w:rFonts w:hint="eastAsia"/>
        </w:rPr>
      </w:pPr>
      <w:r>
        <w:rPr>
          <w:rFonts w:hint="eastAsia"/>
        </w:rPr>
        <w:t>公共卫生监测涵盖</w:t>
      </w:r>
      <w:r>
        <w:rPr>
          <w:rFonts w:hint="eastAsia"/>
        </w:rPr>
        <w:t>50%</w:t>
      </w:r>
      <w:r>
        <w:rPr>
          <w:rFonts w:hint="eastAsia"/>
        </w:rPr>
        <w:t>以上的人口，这表明在质量和数量上，关于饮用水可靠性的资料不足；</w:t>
      </w:r>
    </w:p>
    <w:p w:rsidR="00000000" w:rsidRDefault="00000000">
      <w:pPr>
        <w:pStyle w:val="a0"/>
        <w:ind w:left="1550"/>
        <w:rPr>
          <w:rFonts w:hint="eastAsia"/>
        </w:rPr>
      </w:pPr>
      <w:r>
        <w:rPr>
          <w:rFonts w:hint="eastAsia"/>
        </w:rPr>
        <w:t>没有按照卫生组织和欧洲联盟的规定，对化学、生物和放射性参量进行充分监测；研究所实验室在诊断方面缺乏设备和知识，妨碍监测无数其存在和毒性仍然不为一般大众所知的现代公害。</w:t>
      </w:r>
    </w:p>
    <w:p w:rsidR="00000000" w:rsidRDefault="00000000">
      <w:pPr>
        <w:rPr>
          <w:rFonts w:hint="eastAsia"/>
        </w:rPr>
      </w:pPr>
      <w:r>
        <w:rPr>
          <w:rFonts w:hint="eastAsia"/>
        </w:rPr>
        <w:tab/>
        <w:t xml:space="preserve">470.  </w:t>
      </w:r>
      <w:r>
        <w:rPr>
          <w:rFonts w:hint="eastAsia"/>
        </w:rPr>
        <w:t>建议包括下列各项：</w:t>
      </w:r>
    </w:p>
    <w:p w:rsidR="00000000" w:rsidRDefault="00000000">
      <w:pPr>
        <w:pStyle w:val="a0"/>
        <w:ind w:left="1550"/>
        <w:rPr>
          <w:rFonts w:hint="eastAsia"/>
        </w:rPr>
      </w:pPr>
      <w:r>
        <w:rPr>
          <w:rFonts w:hint="eastAsia"/>
        </w:rPr>
        <w:t>在塞族共和国为每一种设施建立统一的供水设备登记；</w:t>
      </w:r>
    </w:p>
    <w:p w:rsidR="00000000" w:rsidRDefault="00000000">
      <w:pPr>
        <w:pStyle w:val="a0"/>
        <w:ind w:left="1550"/>
        <w:rPr>
          <w:rFonts w:hint="eastAsia"/>
        </w:rPr>
      </w:pPr>
      <w:r>
        <w:rPr>
          <w:rFonts w:hint="eastAsia"/>
        </w:rPr>
        <w:t>需要开展多阶段项目，以通过提供设备、工作人员教育和扩大污染物监测范围</w:t>
      </w:r>
      <w:r>
        <w:rPr>
          <w:rFonts w:hint="eastAsia"/>
        </w:rPr>
        <w:t>(</w:t>
      </w:r>
      <w:r>
        <w:rPr>
          <w:rFonts w:hint="eastAsia"/>
        </w:rPr>
        <w:t>农药杀虫剂残留物、金属、类金属、放射微粒和其它有毒物质</w:t>
      </w:r>
      <w:r>
        <w:rPr>
          <w:rFonts w:hint="eastAsia"/>
        </w:rPr>
        <w:t>)</w:t>
      </w:r>
      <w:r>
        <w:rPr>
          <w:rFonts w:hint="eastAsia"/>
        </w:rPr>
        <w:t>在体制上加强咨询试验室；</w:t>
      </w:r>
    </w:p>
    <w:p w:rsidR="00000000" w:rsidRDefault="00000000">
      <w:pPr>
        <w:pStyle w:val="a0"/>
        <w:ind w:left="1550"/>
        <w:rPr>
          <w:rFonts w:hint="eastAsia"/>
        </w:rPr>
      </w:pPr>
      <w:r>
        <w:rPr>
          <w:rFonts w:hint="eastAsia"/>
        </w:rPr>
        <w:t>应制定卫生</w:t>
      </w:r>
      <w:r>
        <w:rPr>
          <w:rFonts w:hint="eastAsia"/>
        </w:rPr>
        <w:t>/</w:t>
      </w:r>
      <w:r>
        <w:rPr>
          <w:rFonts w:hint="eastAsia"/>
        </w:rPr>
        <w:t>生态标准，以按照卫生组织的建议增强对饮用水源的卫生检查和保护的支助；</w:t>
      </w:r>
    </w:p>
    <w:p w:rsidR="00000000" w:rsidRDefault="00000000">
      <w:pPr>
        <w:pStyle w:val="a0"/>
        <w:ind w:left="1550"/>
        <w:rPr>
          <w:rFonts w:hint="eastAsia"/>
        </w:rPr>
      </w:pPr>
      <w:r>
        <w:rPr>
          <w:rFonts w:hint="eastAsia"/>
        </w:rPr>
        <w:t>按照法律规章建立持续、系统的公共用水设施饮用水的监测；</w:t>
      </w:r>
    </w:p>
    <w:p w:rsidR="00000000" w:rsidRDefault="00000000">
      <w:pPr>
        <w:pStyle w:val="a0"/>
        <w:spacing w:after="320"/>
        <w:ind w:left="1550"/>
        <w:rPr>
          <w:rFonts w:hint="eastAsia"/>
        </w:rPr>
      </w:pPr>
      <w:r>
        <w:rPr>
          <w:rFonts w:hint="eastAsia"/>
        </w:rPr>
        <w:t>按照新的规则手册开展行动，审查水的装瓶或已在市场销售的水的情况。</w:t>
      </w:r>
    </w:p>
    <w:p w:rsidR="00000000" w:rsidRDefault="00000000">
      <w:pPr>
        <w:pStyle w:val="Heading4"/>
        <w:rPr>
          <w:rFonts w:hint="eastAsia"/>
        </w:rPr>
      </w:pPr>
      <w:r>
        <w:rPr>
          <w:rFonts w:hint="eastAsia"/>
        </w:rPr>
        <w:t>空</w:t>
      </w:r>
      <w:r>
        <w:tab/>
      </w:r>
      <w:r>
        <w:rPr>
          <w:rFonts w:hint="eastAsia"/>
        </w:rPr>
        <w:t>气</w:t>
      </w:r>
    </w:p>
    <w:p w:rsidR="00000000" w:rsidRDefault="00000000">
      <w:pPr>
        <w:rPr>
          <w:rFonts w:hint="eastAsia"/>
        </w:rPr>
      </w:pPr>
      <w:r>
        <w:rPr>
          <w:rFonts w:hint="eastAsia"/>
        </w:rPr>
        <w:tab/>
        <w:t xml:space="preserve">471.  </w:t>
      </w:r>
      <w:r>
        <w:rPr>
          <w:rFonts w:hint="eastAsia"/>
        </w:rPr>
        <w:t>在波斯尼亚和黑塞哥维那共和国，没有一个统一的监测衡量空气污染</w:t>
      </w:r>
      <w:r>
        <w:rPr>
          <w:rFonts w:hint="eastAsia"/>
        </w:rPr>
        <w:t>(</w:t>
      </w:r>
      <w:r>
        <w:rPr>
          <w:rFonts w:hint="eastAsia"/>
        </w:rPr>
        <w:t>硫磺二氧化物和漂浮微粒</w:t>
      </w:r>
      <w:r>
        <w:rPr>
          <w:rFonts w:hint="eastAsia"/>
        </w:rPr>
        <w:t>)</w:t>
      </w:r>
      <w:r>
        <w:rPr>
          <w:rFonts w:hint="eastAsia"/>
        </w:rPr>
        <w:t>基本参数的系统。目前仅在萨拉热窝、泽尼察和卡卡尼不断进行测量。交通毫无控制地发展似乎是一个特殊问题，工业污染排放仍然大大低于战前时期，战前时期的工业污染排放常常超过上限。过去三年以来，在萨拉热窝、泽尼察和卡卡尼，硫磺二氧化物的增长预期每立方米不会超过</w:t>
      </w:r>
      <w:r>
        <w:rPr>
          <w:rFonts w:hint="eastAsia"/>
        </w:rPr>
        <w:t>100</w:t>
      </w:r>
      <w:r>
        <w:rPr>
          <w:rFonts w:hint="eastAsia"/>
        </w:rPr>
        <w:t>毫克。硫磺二氧化物浓度超过上限会给人们、特别是慢性病人和儿童带来呼吸问题。在联邦内，没有硫磺二氧化物或漂浮微粒等空气污染基本指数的统一的监测系统。</w:t>
      </w:r>
    </w:p>
    <w:p w:rsidR="00000000" w:rsidRDefault="00000000">
      <w:pPr>
        <w:rPr>
          <w:rFonts w:hint="eastAsia"/>
        </w:rPr>
      </w:pPr>
      <w:r>
        <w:rPr>
          <w:rFonts w:hint="eastAsia"/>
        </w:rPr>
        <w:tab/>
        <w:t xml:space="preserve">472.  </w:t>
      </w:r>
      <w:r>
        <w:rPr>
          <w:rFonts w:hint="eastAsia"/>
        </w:rPr>
        <w:t>尽管塞族共和国没有空气监测系统或卫生质量解释，在某些地方进行的测量显示，在一些城市地区空气污染密度较高。没有进行污染者登记，现有立法也不符合卫生组织的建议和欧洲联盟的标准。</w:t>
      </w:r>
    </w:p>
    <w:p w:rsidR="00000000" w:rsidRDefault="00000000">
      <w:pPr>
        <w:rPr>
          <w:rFonts w:hint="eastAsia"/>
        </w:rPr>
      </w:pPr>
      <w:r>
        <w:rPr>
          <w:rFonts w:hint="eastAsia"/>
        </w:rPr>
        <w:tab/>
        <w:t xml:space="preserve">473.  </w:t>
      </w:r>
      <w:r>
        <w:rPr>
          <w:rFonts w:hint="eastAsia"/>
        </w:rPr>
        <w:t>在有限的市镇</w:t>
      </w:r>
      <w:r>
        <w:rPr>
          <w:rFonts w:hint="eastAsia"/>
        </w:rPr>
        <w:t>(20%)</w:t>
      </w:r>
      <w:r>
        <w:rPr>
          <w:rFonts w:hint="eastAsia"/>
        </w:rPr>
        <w:t>不时进行空气质量控制，巴尼亚卢卡不断进行这种控制</w:t>
      </w:r>
      <w:r>
        <w:rPr>
          <w:rFonts w:hint="eastAsia"/>
        </w:rPr>
        <w:t>(</w:t>
      </w:r>
      <w:r>
        <w:rPr>
          <w:rFonts w:hint="eastAsia"/>
        </w:rPr>
        <w:t>市政</w:t>
      </w:r>
      <w:r>
        <w:rPr>
          <w:rFonts w:hint="eastAsia"/>
        </w:rPr>
        <w:t>1989</w:t>
      </w:r>
      <w:r>
        <w:rPr>
          <w:rFonts w:hint="eastAsia"/>
        </w:rPr>
        <w:t>年决定</w:t>
      </w:r>
      <w:r>
        <w:rPr>
          <w:rFonts w:hint="eastAsia"/>
        </w:rPr>
        <w:t>)</w:t>
      </w:r>
      <w:r>
        <w:rPr>
          <w:rFonts w:hint="eastAsia"/>
        </w:rPr>
        <w:t>。空气污染最重要的因素是工业和能源设施、交通以及取暖季节内供暖。固体矿物原燃料最常用于取暖，含有</w:t>
      </w:r>
      <w:r>
        <w:rPr>
          <w:rFonts w:hint="eastAsia"/>
        </w:rPr>
        <w:t>2.5</w:t>
      </w:r>
      <w:r>
        <w:rPr>
          <w:rFonts w:hint="eastAsia"/>
        </w:rPr>
        <w:t>－</w:t>
      </w:r>
      <w:r>
        <w:rPr>
          <w:rFonts w:hint="eastAsia"/>
        </w:rPr>
        <w:t>4%</w:t>
      </w:r>
      <w:r>
        <w:rPr>
          <w:rFonts w:hint="eastAsia"/>
        </w:rPr>
        <w:t>的硫磺，产生大量硫磺二氧化物和灰</w:t>
      </w:r>
      <w:r>
        <w:rPr>
          <w:rFonts w:hint="eastAsia"/>
        </w:rPr>
        <w:t>(20-30%)</w:t>
      </w:r>
      <w:r>
        <w:rPr>
          <w:rFonts w:hint="eastAsia"/>
        </w:rPr>
        <w:t>。由于用润滑剂取暖，大量硫磺二氧化物排入空中。使用四乙铅造成大量污染，铅中含有一氧化碳、氧化氮和多环硝基氢化物。监测发现，仅在巴尼亚卢卡，每年就有</w:t>
      </w:r>
      <w:r>
        <w:rPr>
          <w:rFonts w:hint="eastAsia"/>
        </w:rPr>
        <w:t>250</w:t>
      </w:r>
      <w:r>
        <w:rPr>
          <w:rFonts w:hint="eastAsia"/>
        </w:rPr>
        <w:t>吨铅排入空中。尽管在法律上有义务不断测量所有空气污染物，实际上并没有做到。仅有</w:t>
      </w:r>
      <w:r>
        <w:rPr>
          <w:rFonts w:hint="eastAsia"/>
        </w:rPr>
        <w:t>10%</w:t>
      </w:r>
      <w:r>
        <w:rPr>
          <w:rFonts w:hint="eastAsia"/>
        </w:rPr>
        <w:t>的市镇采用</w:t>
      </w:r>
      <w:r>
        <w:t>Bergman</w:t>
      </w:r>
      <w:r>
        <w:rPr>
          <w:rFonts w:hint="eastAsia"/>
        </w:rPr>
        <w:t>法，不时监测来自于工业和能源设施的烟雾。对空气污染的监测是通过七个生态站的测量进行的。</w:t>
      </w:r>
    </w:p>
    <w:p w:rsidR="00000000" w:rsidRDefault="00000000">
      <w:pPr>
        <w:spacing w:after="320"/>
        <w:rPr>
          <w:rFonts w:hint="eastAsia"/>
        </w:rPr>
      </w:pPr>
      <w:r>
        <w:rPr>
          <w:rFonts w:hint="eastAsia"/>
        </w:rPr>
        <w:tab/>
        <w:t xml:space="preserve">474.  </w:t>
      </w:r>
      <w:r>
        <w:rPr>
          <w:rFonts w:hint="eastAsia"/>
        </w:rPr>
        <w:t>各地硫磺二氧化物年平均浓度差异不大，但机动车辆气体排放增加却与交通密度增加并行，是致使空气质量从一级变为二级的主要原因。在黑烟</w:t>
      </w:r>
      <w:r>
        <w:rPr>
          <w:rFonts w:hint="eastAsia"/>
        </w:rPr>
        <w:t>(</w:t>
      </w:r>
      <w:r>
        <w:rPr>
          <w:rFonts w:hint="eastAsia"/>
        </w:rPr>
        <w:t>煤尘</w:t>
      </w:r>
      <w:r>
        <w:rPr>
          <w:rFonts w:hint="eastAsia"/>
        </w:rPr>
        <w:t>)</w:t>
      </w:r>
      <w:r>
        <w:rPr>
          <w:rFonts w:hint="eastAsia"/>
        </w:rPr>
        <w:t>污染方面，可以将市区分为两个区域：</w:t>
      </w:r>
      <w:r>
        <w:rPr>
          <w:rFonts w:hint="eastAsia"/>
        </w:rPr>
        <w:t>(</w:t>
      </w:r>
      <w:r>
        <w:t>a)</w:t>
      </w:r>
      <w:r>
        <w:rPr>
          <w:rFonts w:hint="eastAsia"/>
        </w:rPr>
        <w:t xml:space="preserve"> </w:t>
      </w:r>
      <w:r>
        <w:rPr>
          <w:rFonts w:hint="eastAsia"/>
        </w:rPr>
        <w:t>清洁空气区，和</w:t>
      </w:r>
      <w:r>
        <w:t>(b)</w:t>
      </w:r>
      <w:r>
        <w:rPr>
          <w:rFonts w:hint="eastAsia"/>
        </w:rPr>
        <w:t xml:space="preserve"> </w:t>
      </w:r>
      <w:r>
        <w:rPr>
          <w:rFonts w:hint="eastAsia"/>
        </w:rPr>
        <w:t>一年当中低至中度空气污染区，以及在冬季空气极度污染区。由于主要污染物数据不完整，并鉴于气候状况的变化和参数有限，因此无法评估这一因素对人类健康的影响，尽管流行病研究的分析显示，空气质量与</w:t>
      </w:r>
      <w:r>
        <w:rPr>
          <w:rFonts w:hint="eastAsia"/>
        </w:rPr>
        <w:t>6</w:t>
      </w:r>
      <w:r>
        <w:rPr>
          <w:rFonts w:hint="eastAsia"/>
        </w:rPr>
        <w:t>岁以下儿童的健康状况极为有关。</w:t>
      </w:r>
    </w:p>
    <w:p w:rsidR="00000000" w:rsidRDefault="00000000">
      <w:pPr>
        <w:pStyle w:val="Heading3"/>
        <w:spacing w:after="120"/>
        <w:rPr>
          <w:rFonts w:hint="eastAsia"/>
        </w:rPr>
      </w:pPr>
      <w:r>
        <w:rPr>
          <w:rFonts w:hint="eastAsia"/>
          <w:u w:val="none"/>
        </w:rPr>
        <w:t>表</w:t>
      </w:r>
      <w:r>
        <w:rPr>
          <w:u w:val="none"/>
        </w:rPr>
        <w:t xml:space="preserve"> </w:t>
      </w:r>
      <w:r>
        <w:rPr>
          <w:rFonts w:hint="eastAsia"/>
          <w:u w:val="none"/>
        </w:rPr>
        <w:t>15</w:t>
      </w:r>
      <w:r>
        <w:br/>
      </w:r>
      <w:r>
        <w:rPr>
          <w:rFonts w:hint="eastAsia"/>
        </w:rPr>
        <w:t>巴尼亚卢卡</w:t>
      </w:r>
      <w:r>
        <w:rPr>
          <w:rFonts w:hint="eastAsia"/>
        </w:rPr>
        <w:t>1998-2002</w:t>
      </w:r>
      <w:r>
        <w:rPr>
          <w:rFonts w:hint="eastAsia"/>
        </w:rPr>
        <w:t>年生态站空气污染物浓度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2"/>
        <w:gridCol w:w="1882"/>
        <w:gridCol w:w="1882"/>
        <w:gridCol w:w="1882"/>
        <w:gridCol w:w="1882"/>
      </w:tblGrid>
      <w:tr w:rsidR="00000000">
        <w:tblPrEx>
          <w:tblCellMar>
            <w:top w:w="0" w:type="dxa"/>
            <w:bottom w:w="0" w:type="dxa"/>
          </w:tblCellMar>
        </w:tblPrEx>
        <w:trPr>
          <w:cantSplit/>
          <w:jc w:val="center"/>
        </w:trPr>
        <w:tc>
          <w:tcPr>
            <w:tcW w:w="1882" w:type="dxa"/>
            <w:vMerge w:val="restart"/>
          </w:tcPr>
          <w:p w:rsidR="00000000" w:rsidRDefault="00000000">
            <w:pPr>
              <w:pStyle w:val="a2"/>
              <w:spacing w:before="240"/>
              <w:jc w:val="center"/>
              <w:rPr>
                <w:rFonts w:hint="eastAsia"/>
              </w:rPr>
            </w:pPr>
            <w:r>
              <w:rPr>
                <w:rFonts w:hint="eastAsia"/>
              </w:rPr>
              <w:t>年</w:t>
            </w:r>
            <w:r>
              <w:t xml:space="preserve"> </w:t>
            </w:r>
            <w:r>
              <w:rPr>
                <w:rFonts w:hint="eastAsia"/>
              </w:rPr>
              <w:t>份</w:t>
            </w:r>
          </w:p>
        </w:tc>
        <w:tc>
          <w:tcPr>
            <w:tcW w:w="3764" w:type="dxa"/>
            <w:gridSpan w:val="2"/>
          </w:tcPr>
          <w:p w:rsidR="00000000" w:rsidRDefault="00000000">
            <w:pPr>
              <w:pStyle w:val="a2"/>
              <w:jc w:val="center"/>
              <w:rPr>
                <w:rFonts w:hint="eastAsia"/>
              </w:rPr>
            </w:pPr>
            <w:r>
              <w:rPr>
                <w:rFonts w:hint="eastAsia"/>
              </w:rPr>
              <w:t>硫磺二氧化物</w:t>
            </w:r>
          </w:p>
        </w:tc>
        <w:tc>
          <w:tcPr>
            <w:tcW w:w="3764" w:type="dxa"/>
            <w:gridSpan w:val="2"/>
          </w:tcPr>
          <w:p w:rsidR="00000000" w:rsidRDefault="00000000">
            <w:pPr>
              <w:pStyle w:val="a2"/>
              <w:jc w:val="center"/>
              <w:rPr>
                <w:rFonts w:hint="eastAsia"/>
              </w:rPr>
            </w:pPr>
            <w:r>
              <w:rPr>
                <w:rFonts w:hint="eastAsia"/>
              </w:rPr>
              <w:t>煤</w:t>
            </w:r>
            <w:r>
              <w:t xml:space="preserve">  </w:t>
            </w:r>
            <w:r>
              <w:rPr>
                <w:rFonts w:hint="eastAsia"/>
              </w:rPr>
              <w:t>尘</w:t>
            </w:r>
          </w:p>
        </w:tc>
      </w:tr>
      <w:tr w:rsidR="00000000">
        <w:tblPrEx>
          <w:tblCellMar>
            <w:top w:w="0" w:type="dxa"/>
            <w:bottom w:w="0" w:type="dxa"/>
          </w:tblCellMar>
        </w:tblPrEx>
        <w:trPr>
          <w:cantSplit/>
          <w:jc w:val="center"/>
        </w:trPr>
        <w:tc>
          <w:tcPr>
            <w:tcW w:w="1882" w:type="dxa"/>
            <w:vMerge/>
            <w:tcBorders>
              <w:bottom w:val="single" w:sz="4" w:space="0" w:color="auto"/>
            </w:tcBorders>
          </w:tcPr>
          <w:p w:rsidR="00000000" w:rsidRDefault="00000000">
            <w:pPr>
              <w:pStyle w:val="a2"/>
              <w:jc w:val="center"/>
              <w:rPr>
                <w:rFonts w:hint="eastAsia"/>
              </w:rPr>
            </w:pPr>
          </w:p>
        </w:tc>
        <w:tc>
          <w:tcPr>
            <w:tcW w:w="1882" w:type="dxa"/>
            <w:tcBorders>
              <w:bottom w:val="single" w:sz="4" w:space="0" w:color="auto"/>
            </w:tcBorders>
          </w:tcPr>
          <w:p w:rsidR="00000000" w:rsidRDefault="00000000">
            <w:pPr>
              <w:pStyle w:val="a2"/>
              <w:jc w:val="center"/>
            </w:pPr>
            <w:r>
              <w:rPr>
                <w:rFonts w:hint="eastAsia"/>
              </w:rPr>
              <w:t>C</w:t>
            </w:r>
            <w:r>
              <w:rPr>
                <w:vertAlign w:val="superscript"/>
              </w:rPr>
              <w:t>a</w:t>
            </w:r>
          </w:p>
        </w:tc>
        <w:tc>
          <w:tcPr>
            <w:tcW w:w="1882" w:type="dxa"/>
            <w:tcBorders>
              <w:bottom w:val="single" w:sz="4" w:space="0" w:color="auto"/>
            </w:tcBorders>
          </w:tcPr>
          <w:p w:rsidR="00000000" w:rsidRDefault="00000000">
            <w:pPr>
              <w:pStyle w:val="a2"/>
              <w:jc w:val="center"/>
            </w:pPr>
            <w:r>
              <w:t>Cm</w:t>
            </w:r>
            <w:r>
              <w:rPr>
                <w:vertAlign w:val="superscript"/>
              </w:rPr>
              <w:t>b</w:t>
            </w:r>
          </w:p>
        </w:tc>
        <w:tc>
          <w:tcPr>
            <w:tcW w:w="1882" w:type="dxa"/>
            <w:tcBorders>
              <w:bottom w:val="single" w:sz="4" w:space="0" w:color="auto"/>
            </w:tcBorders>
          </w:tcPr>
          <w:p w:rsidR="00000000" w:rsidRDefault="00000000">
            <w:pPr>
              <w:pStyle w:val="a2"/>
              <w:jc w:val="center"/>
            </w:pPr>
            <w:r>
              <w:t>C</w:t>
            </w:r>
          </w:p>
        </w:tc>
        <w:tc>
          <w:tcPr>
            <w:tcW w:w="1882" w:type="dxa"/>
            <w:tcBorders>
              <w:bottom w:val="single" w:sz="4" w:space="0" w:color="auto"/>
            </w:tcBorders>
          </w:tcPr>
          <w:p w:rsidR="00000000" w:rsidRDefault="00000000">
            <w:pPr>
              <w:pStyle w:val="a2"/>
              <w:jc w:val="center"/>
            </w:pPr>
            <w:r>
              <w:t>Cm</w:t>
            </w:r>
          </w:p>
        </w:tc>
      </w:tr>
      <w:tr w:rsidR="00000000">
        <w:tblPrEx>
          <w:tblCellMar>
            <w:top w:w="0" w:type="dxa"/>
            <w:bottom w:w="0" w:type="dxa"/>
          </w:tblCellMar>
        </w:tblPrEx>
        <w:trPr>
          <w:jc w:val="center"/>
        </w:trPr>
        <w:tc>
          <w:tcPr>
            <w:tcW w:w="1882" w:type="dxa"/>
            <w:tcBorders>
              <w:bottom w:val="nil"/>
            </w:tcBorders>
          </w:tcPr>
          <w:p w:rsidR="00000000" w:rsidRDefault="00000000">
            <w:pPr>
              <w:pStyle w:val="a2"/>
              <w:jc w:val="center"/>
            </w:pPr>
            <w:r>
              <w:t>1998</w:t>
            </w:r>
          </w:p>
        </w:tc>
        <w:tc>
          <w:tcPr>
            <w:tcW w:w="1882" w:type="dxa"/>
            <w:tcBorders>
              <w:bottom w:val="nil"/>
            </w:tcBorders>
          </w:tcPr>
          <w:p w:rsidR="00000000" w:rsidRDefault="00000000">
            <w:pPr>
              <w:pStyle w:val="a2"/>
              <w:jc w:val="center"/>
            </w:pPr>
            <w:r>
              <w:t>19</w:t>
            </w:r>
          </w:p>
        </w:tc>
        <w:tc>
          <w:tcPr>
            <w:tcW w:w="1882" w:type="dxa"/>
            <w:tcBorders>
              <w:bottom w:val="nil"/>
            </w:tcBorders>
          </w:tcPr>
          <w:p w:rsidR="00000000" w:rsidRDefault="00000000">
            <w:pPr>
              <w:pStyle w:val="a2"/>
              <w:jc w:val="center"/>
            </w:pPr>
            <w:r>
              <w:t>55</w:t>
            </w:r>
          </w:p>
        </w:tc>
        <w:tc>
          <w:tcPr>
            <w:tcW w:w="1882" w:type="dxa"/>
            <w:tcBorders>
              <w:bottom w:val="nil"/>
            </w:tcBorders>
          </w:tcPr>
          <w:p w:rsidR="00000000" w:rsidRDefault="00000000">
            <w:pPr>
              <w:pStyle w:val="a2"/>
              <w:jc w:val="center"/>
            </w:pPr>
            <w:r>
              <w:t>39</w:t>
            </w:r>
          </w:p>
        </w:tc>
        <w:tc>
          <w:tcPr>
            <w:tcW w:w="1882" w:type="dxa"/>
            <w:tcBorders>
              <w:bottom w:val="nil"/>
            </w:tcBorders>
          </w:tcPr>
          <w:p w:rsidR="00000000" w:rsidRDefault="00000000">
            <w:pPr>
              <w:pStyle w:val="a2"/>
              <w:jc w:val="center"/>
            </w:pPr>
            <w:r>
              <w:t>117</w:t>
            </w:r>
          </w:p>
        </w:tc>
      </w:tr>
      <w:tr w:rsidR="00000000">
        <w:tblPrEx>
          <w:tblCellMar>
            <w:top w:w="0" w:type="dxa"/>
            <w:bottom w:w="0" w:type="dxa"/>
          </w:tblCellMar>
        </w:tblPrEx>
        <w:trPr>
          <w:jc w:val="center"/>
        </w:trPr>
        <w:tc>
          <w:tcPr>
            <w:tcW w:w="1882" w:type="dxa"/>
            <w:tcBorders>
              <w:top w:val="nil"/>
              <w:bottom w:val="nil"/>
            </w:tcBorders>
          </w:tcPr>
          <w:p w:rsidR="00000000" w:rsidRDefault="00000000">
            <w:pPr>
              <w:pStyle w:val="a2"/>
              <w:jc w:val="center"/>
            </w:pPr>
            <w:r>
              <w:t>1999</w:t>
            </w:r>
          </w:p>
        </w:tc>
        <w:tc>
          <w:tcPr>
            <w:tcW w:w="1882" w:type="dxa"/>
            <w:tcBorders>
              <w:top w:val="nil"/>
              <w:bottom w:val="nil"/>
            </w:tcBorders>
          </w:tcPr>
          <w:p w:rsidR="00000000" w:rsidRDefault="00000000">
            <w:pPr>
              <w:pStyle w:val="a2"/>
              <w:jc w:val="center"/>
            </w:pPr>
            <w:r>
              <w:t>16</w:t>
            </w:r>
          </w:p>
        </w:tc>
        <w:tc>
          <w:tcPr>
            <w:tcW w:w="1882" w:type="dxa"/>
            <w:tcBorders>
              <w:top w:val="nil"/>
              <w:bottom w:val="nil"/>
            </w:tcBorders>
          </w:tcPr>
          <w:p w:rsidR="00000000" w:rsidRDefault="00000000">
            <w:pPr>
              <w:pStyle w:val="a2"/>
              <w:jc w:val="center"/>
            </w:pPr>
            <w:r>
              <w:t>38</w:t>
            </w:r>
          </w:p>
        </w:tc>
        <w:tc>
          <w:tcPr>
            <w:tcW w:w="1882" w:type="dxa"/>
            <w:tcBorders>
              <w:top w:val="nil"/>
              <w:bottom w:val="nil"/>
            </w:tcBorders>
          </w:tcPr>
          <w:p w:rsidR="00000000" w:rsidRDefault="00000000">
            <w:pPr>
              <w:pStyle w:val="a2"/>
              <w:jc w:val="center"/>
            </w:pPr>
            <w:r>
              <w:t>20</w:t>
            </w:r>
          </w:p>
        </w:tc>
        <w:tc>
          <w:tcPr>
            <w:tcW w:w="1882" w:type="dxa"/>
            <w:tcBorders>
              <w:top w:val="nil"/>
              <w:bottom w:val="nil"/>
            </w:tcBorders>
          </w:tcPr>
          <w:p w:rsidR="00000000" w:rsidRDefault="00000000">
            <w:pPr>
              <w:pStyle w:val="a2"/>
              <w:jc w:val="center"/>
            </w:pPr>
            <w:r>
              <w:t>82</w:t>
            </w:r>
          </w:p>
        </w:tc>
      </w:tr>
      <w:tr w:rsidR="00000000">
        <w:tblPrEx>
          <w:tblCellMar>
            <w:top w:w="0" w:type="dxa"/>
            <w:bottom w:w="0" w:type="dxa"/>
          </w:tblCellMar>
        </w:tblPrEx>
        <w:trPr>
          <w:jc w:val="center"/>
        </w:trPr>
        <w:tc>
          <w:tcPr>
            <w:tcW w:w="1882" w:type="dxa"/>
            <w:tcBorders>
              <w:top w:val="nil"/>
              <w:bottom w:val="nil"/>
            </w:tcBorders>
          </w:tcPr>
          <w:p w:rsidR="00000000" w:rsidRDefault="00000000">
            <w:pPr>
              <w:pStyle w:val="a2"/>
              <w:jc w:val="center"/>
            </w:pPr>
            <w:r>
              <w:t>2000</w:t>
            </w:r>
          </w:p>
        </w:tc>
        <w:tc>
          <w:tcPr>
            <w:tcW w:w="1882" w:type="dxa"/>
            <w:tcBorders>
              <w:top w:val="nil"/>
              <w:bottom w:val="nil"/>
            </w:tcBorders>
          </w:tcPr>
          <w:p w:rsidR="00000000" w:rsidRDefault="00000000">
            <w:pPr>
              <w:pStyle w:val="a2"/>
              <w:jc w:val="center"/>
            </w:pPr>
            <w:r>
              <w:t>18</w:t>
            </w:r>
          </w:p>
        </w:tc>
        <w:tc>
          <w:tcPr>
            <w:tcW w:w="1882" w:type="dxa"/>
            <w:tcBorders>
              <w:top w:val="nil"/>
              <w:bottom w:val="nil"/>
            </w:tcBorders>
          </w:tcPr>
          <w:p w:rsidR="00000000" w:rsidRDefault="00000000">
            <w:pPr>
              <w:pStyle w:val="a2"/>
              <w:jc w:val="center"/>
            </w:pPr>
            <w:r>
              <w:t>52</w:t>
            </w:r>
          </w:p>
        </w:tc>
        <w:tc>
          <w:tcPr>
            <w:tcW w:w="1882" w:type="dxa"/>
            <w:tcBorders>
              <w:top w:val="nil"/>
              <w:bottom w:val="nil"/>
            </w:tcBorders>
          </w:tcPr>
          <w:p w:rsidR="00000000" w:rsidRDefault="00000000">
            <w:pPr>
              <w:pStyle w:val="a2"/>
              <w:jc w:val="center"/>
            </w:pPr>
            <w:r>
              <w:t>22</w:t>
            </w:r>
          </w:p>
        </w:tc>
        <w:tc>
          <w:tcPr>
            <w:tcW w:w="1882" w:type="dxa"/>
            <w:tcBorders>
              <w:top w:val="nil"/>
              <w:bottom w:val="nil"/>
            </w:tcBorders>
          </w:tcPr>
          <w:p w:rsidR="00000000" w:rsidRDefault="00000000">
            <w:pPr>
              <w:pStyle w:val="a2"/>
              <w:jc w:val="center"/>
            </w:pPr>
            <w:r>
              <w:t>90</w:t>
            </w:r>
          </w:p>
        </w:tc>
      </w:tr>
      <w:tr w:rsidR="00000000">
        <w:tblPrEx>
          <w:tblCellMar>
            <w:top w:w="0" w:type="dxa"/>
            <w:bottom w:w="0" w:type="dxa"/>
          </w:tblCellMar>
        </w:tblPrEx>
        <w:trPr>
          <w:jc w:val="center"/>
        </w:trPr>
        <w:tc>
          <w:tcPr>
            <w:tcW w:w="1882" w:type="dxa"/>
            <w:tcBorders>
              <w:top w:val="nil"/>
              <w:bottom w:val="nil"/>
            </w:tcBorders>
          </w:tcPr>
          <w:p w:rsidR="00000000" w:rsidRDefault="00000000">
            <w:pPr>
              <w:pStyle w:val="a2"/>
              <w:jc w:val="center"/>
            </w:pPr>
            <w:r>
              <w:t>2001</w:t>
            </w:r>
          </w:p>
        </w:tc>
        <w:tc>
          <w:tcPr>
            <w:tcW w:w="1882" w:type="dxa"/>
            <w:tcBorders>
              <w:top w:val="nil"/>
              <w:bottom w:val="nil"/>
            </w:tcBorders>
          </w:tcPr>
          <w:p w:rsidR="00000000" w:rsidRDefault="00000000">
            <w:pPr>
              <w:pStyle w:val="a2"/>
              <w:jc w:val="center"/>
            </w:pPr>
            <w:r>
              <w:t>17</w:t>
            </w:r>
          </w:p>
        </w:tc>
        <w:tc>
          <w:tcPr>
            <w:tcW w:w="1882" w:type="dxa"/>
            <w:tcBorders>
              <w:top w:val="nil"/>
              <w:bottom w:val="nil"/>
            </w:tcBorders>
          </w:tcPr>
          <w:p w:rsidR="00000000" w:rsidRDefault="00000000">
            <w:pPr>
              <w:pStyle w:val="a2"/>
              <w:jc w:val="center"/>
            </w:pPr>
            <w:r>
              <w:t>48</w:t>
            </w:r>
          </w:p>
        </w:tc>
        <w:tc>
          <w:tcPr>
            <w:tcW w:w="1882" w:type="dxa"/>
            <w:tcBorders>
              <w:top w:val="nil"/>
              <w:bottom w:val="nil"/>
            </w:tcBorders>
          </w:tcPr>
          <w:p w:rsidR="00000000" w:rsidRDefault="00000000">
            <w:pPr>
              <w:pStyle w:val="a2"/>
              <w:jc w:val="center"/>
            </w:pPr>
            <w:r>
              <w:t>22</w:t>
            </w:r>
          </w:p>
        </w:tc>
        <w:tc>
          <w:tcPr>
            <w:tcW w:w="1882" w:type="dxa"/>
            <w:tcBorders>
              <w:top w:val="nil"/>
              <w:bottom w:val="nil"/>
            </w:tcBorders>
          </w:tcPr>
          <w:p w:rsidR="00000000" w:rsidRDefault="00000000">
            <w:pPr>
              <w:pStyle w:val="a2"/>
              <w:jc w:val="center"/>
            </w:pPr>
            <w:r>
              <w:t>68</w:t>
            </w:r>
          </w:p>
        </w:tc>
      </w:tr>
      <w:tr w:rsidR="00000000">
        <w:tblPrEx>
          <w:tblCellMar>
            <w:top w:w="0" w:type="dxa"/>
            <w:bottom w:w="0" w:type="dxa"/>
          </w:tblCellMar>
        </w:tblPrEx>
        <w:trPr>
          <w:jc w:val="center"/>
        </w:trPr>
        <w:tc>
          <w:tcPr>
            <w:tcW w:w="1882" w:type="dxa"/>
            <w:tcBorders>
              <w:top w:val="nil"/>
            </w:tcBorders>
          </w:tcPr>
          <w:p w:rsidR="00000000" w:rsidRDefault="00000000">
            <w:pPr>
              <w:pStyle w:val="a2"/>
              <w:jc w:val="center"/>
            </w:pPr>
            <w:r>
              <w:t>2002</w:t>
            </w:r>
          </w:p>
        </w:tc>
        <w:tc>
          <w:tcPr>
            <w:tcW w:w="1882" w:type="dxa"/>
            <w:tcBorders>
              <w:top w:val="nil"/>
            </w:tcBorders>
          </w:tcPr>
          <w:p w:rsidR="00000000" w:rsidRDefault="00000000">
            <w:pPr>
              <w:pStyle w:val="a2"/>
              <w:jc w:val="center"/>
            </w:pPr>
            <w:r>
              <w:t>18</w:t>
            </w:r>
          </w:p>
        </w:tc>
        <w:tc>
          <w:tcPr>
            <w:tcW w:w="1882" w:type="dxa"/>
            <w:tcBorders>
              <w:top w:val="nil"/>
            </w:tcBorders>
          </w:tcPr>
          <w:p w:rsidR="00000000" w:rsidRDefault="00000000">
            <w:pPr>
              <w:pStyle w:val="a2"/>
              <w:jc w:val="center"/>
            </w:pPr>
            <w:r>
              <w:t>46</w:t>
            </w:r>
          </w:p>
        </w:tc>
        <w:tc>
          <w:tcPr>
            <w:tcW w:w="1882" w:type="dxa"/>
            <w:tcBorders>
              <w:top w:val="nil"/>
            </w:tcBorders>
          </w:tcPr>
          <w:p w:rsidR="00000000" w:rsidRDefault="00000000">
            <w:pPr>
              <w:pStyle w:val="a2"/>
              <w:jc w:val="center"/>
            </w:pPr>
            <w:r>
              <w:t>20</w:t>
            </w:r>
          </w:p>
        </w:tc>
        <w:tc>
          <w:tcPr>
            <w:tcW w:w="1882" w:type="dxa"/>
            <w:tcBorders>
              <w:top w:val="nil"/>
            </w:tcBorders>
          </w:tcPr>
          <w:p w:rsidR="00000000" w:rsidRDefault="00000000">
            <w:pPr>
              <w:pStyle w:val="a2"/>
              <w:jc w:val="center"/>
            </w:pPr>
            <w:r>
              <w:t>41</w:t>
            </w:r>
          </w:p>
        </w:tc>
      </w:tr>
    </w:tbl>
    <w:p w:rsidR="00000000" w:rsidRDefault="00000000">
      <w:pPr>
        <w:pStyle w:val="EndnoteText"/>
        <w:spacing w:before="120"/>
        <w:rPr>
          <w:rFonts w:hint="eastAsia"/>
        </w:rPr>
      </w:pPr>
      <w:r>
        <w:rPr>
          <w:rFonts w:hint="eastAsia"/>
          <w:u w:val="single"/>
        </w:rPr>
        <w:t>资料来源</w:t>
      </w:r>
      <w:r>
        <w:rPr>
          <w:rFonts w:hint="eastAsia"/>
        </w:rPr>
        <w:t>：巴尼亚卢卡保护和生态研究所。</w:t>
      </w:r>
    </w:p>
    <w:p w:rsidR="00000000" w:rsidRDefault="00000000">
      <w:pPr>
        <w:pStyle w:val="EndnoteText"/>
        <w:ind w:left="780" w:firstLine="585"/>
        <w:rPr>
          <w:rFonts w:hint="eastAsia"/>
        </w:rPr>
      </w:pPr>
      <w:r>
        <w:rPr>
          <w:vertAlign w:val="superscript"/>
        </w:rPr>
        <w:t>a</w:t>
      </w:r>
      <w:r>
        <w:rPr>
          <w:rFonts w:hint="eastAsia"/>
          <w:vertAlign w:val="superscript"/>
        </w:rPr>
        <w:t xml:space="preserve">   </w:t>
      </w:r>
      <w:r>
        <w:rPr>
          <w:rFonts w:hint="eastAsia"/>
        </w:rPr>
        <w:t>C</w:t>
      </w:r>
      <w:r>
        <w:rPr>
          <w:rFonts w:hint="eastAsia"/>
        </w:rPr>
        <w:t>：平均月浓度。</w:t>
      </w:r>
    </w:p>
    <w:p w:rsidR="00000000" w:rsidRDefault="00000000">
      <w:pPr>
        <w:pStyle w:val="EndnoteText"/>
        <w:spacing w:after="160"/>
        <w:ind w:left="780" w:firstLine="585"/>
        <w:rPr>
          <w:rFonts w:hint="eastAsia"/>
        </w:rPr>
      </w:pPr>
      <w:r>
        <w:rPr>
          <w:vertAlign w:val="superscript"/>
        </w:rPr>
        <w:t>b</w:t>
      </w:r>
      <w:r>
        <w:rPr>
          <w:rFonts w:hint="eastAsia"/>
          <w:vertAlign w:val="superscript"/>
        </w:rPr>
        <w:t xml:space="preserve">   </w:t>
      </w:r>
      <w:r>
        <w:rPr>
          <w:rFonts w:hint="eastAsia"/>
        </w:rPr>
        <w:t>C</w:t>
      </w:r>
      <w:r>
        <w:t>m</w:t>
      </w:r>
      <w:r>
        <w:rPr>
          <w:rFonts w:hint="eastAsia"/>
        </w:rPr>
        <w:t>：</w:t>
      </w:r>
      <w:r>
        <w:rPr>
          <w:rFonts w:hint="eastAsia"/>
        </w:rPr>
        <w:t xml:space="preserve"> </w:t>
      </w:r>
      <w:r>
        <w:rPr>
          <w:rFonts w:hint="eastAsia"/>
        </w:rPr>
        <w:t>一个月期间每日最高平均浓度。</w:t>
      </w:r>
    </w:p>
    <w:p w:rsidR="00000000" w:rsidRDefault="00000000">
      <w:pPr>
        <w:rPr>
          <w:rFonts w:hint="eastAsia"/>
        </w:rPr>
      </w:pPr>
      <w:r>
        <w:rPr>
          <w:rFonts w:hint="eastAsia"/>
        </w:rPr>
        <w:tab/>
        <w:t xml:space="preserve">475.  </w:t>
      </w:r>
      <w:r>
        <w:rPr>
          <w:rFonts w:hint="eastAsia"/>
        </w:rPr>
        <w:t>来自建筑材料的污染，以及吸烟、家居灰尘、敞开的火焰和燃烧物</w:t>
      </w:r>
      <w:r>
        <w:rPr>
          <w:rFonts w:hint="eastAsia"/>
        </w:rPr>
        <w:t>(</w:t>
      </w:r>
      <w:r>
        <w:rPr>
          <w:rFonts w:hint="eastAsia"/>
        </w:rPr>
        <w:t>碳、氧化氮</w:t>
      </w:r>
      <w:r>
        <w:rPr>
          <w:rFonts w:hint="eastAsia"/>
        </w:rPr>
        <w:t>)</w:t>
      </w:r>
      <w:r>
        <w:rPr>
          <w:rFonts w:hint="eastAsia"/>
        </w:rPr>
        <w:t>等物的影响不包括在监测和解释空气质量对封闭生活空间和工作环境中人类健康的影响。</w:t>
      </w:r>
    </w:p>
    <w:p w:rsidR="00000000" w:rsidRDefault="00000000">
      <w:pPr>
        <w:rPr>
          <w:rFonts w:hint="eastAsia"/>
        </w:rPr>
      </w:pPr>
      <w:r>
        <w:rPr>
          <w:rFonts w:hint="eastAsia"/>
        </w:rPr>
        <w:tab/>
        <w:t xml:space="preserve">476.  </w:t>
      </w:r>
      <w:r>
        <w:rPr>
          <w:rFonts w:hint="eastAsia"/>
        </w:rPr>
        <w:t>我们可以得出的结论包括以下各项：</w:t>
      </w:r>
    </w:p>
    <w:p w:rsidR="00000000" w:rsidRDefault="00000000">
      <w:pPr>
        <w:pStyle w:val="a0"/>
        <w:ind w:left="1550"/>
        <w:rPr>
          <w:rFonts w:hint="eastAsia"/>
        </w:rPr>
      </w:pPr>
      <w:r>
        <w:rPr>
          <w:rFonts w:hint="eastAsia"/>
        </w:rPr>
        <w:t>在本实体中，没有对包括新的空气质量控制参数的监测，即氮、氧、重金属</w:t>
      </w:r>
      <w:r>
        <w:rPr>
          <w:rFonts w:hint="eastAsia"/>
        </w:rPr>
        <w:t>(</w:t>
      </w:r>
      <w:r>
        <w:rPr>
          <w:rFonts w:hint="eastAsia"/>
        </w:rPr>
        <w:t>铅、镉</w:t>
      </w:r>
      <w:r>
        <w:rPr>
          <w:rFonts w:hint="eastAsia"/>
        </w:rPr>
        <w:t>)</w:t>
      </w:r>
      <w:r>
        <w:rPr>
          <w:rFonts w:hint="eastAsia"/>
        </w:rPr>
        <w:t>、易挥发有机物</w:t>
      </w:r>
      <w:r>
        <w:rPr>
          <w:rFonts w:hint="eastAsia"/>
        </w:rPr>
        <w:t>(VOC)</w:t>
      </w:r>
      <w:r>
        <w:rPr>
          <w:rFonts w:hint="eastAsia"/>
        </w:rPr>
        <w:t>和持久性有机污染物质</w:t>
      </w:r>
      <w:r>
        <w:rPr>
          <w:rFonts w:hint="eastAsia"/>
        </w:rPr>
        <w:t>(POP</w:t>
      </w:r>
      <w:r>
        <w:t>s)</w:t>
      </w:r>
      <w:r>
        <w:rPr>
          <w:rFonts w:hint="eastAsia"/>
        </w:rPr>
        <w:t>的增加；</w:t>
      </w:r>
    </w:p>
    <w:p w:rsidR="00000000" w:rsidRDefault="00000000">
      <w:pPr>
        <w:pStyle w:val="a0"/>
        <w:ind w:left="1550"/>
        <w:rPr>
          <w:rFonts w:hint="eastAsia"/>
        </w:rPr>
      </w:pPr>
      <w:r>
        <w:rPr>
          <w:rFonts w:hint="eastAsia"/>
        </w:rPr>
        <w:t>没有对空气质量对人类健康影响方面的解释，对纵观结果，也许可以看出测量的参数没有重大变化；</w:t>
      </w:r>
    </w:p>
    <w:p w:rsidR="00000000" w:rsidRDefault="00000000">
      <w:pPr>
        <w:pStyle w:val="a0"/>
        <w:ind w:left="1550"/>
        <w:rPr>
          <w:rFonts w:hint="eastAsia"/>
        </w:rPr>
      </w:pPr>
      <w:r>
        <w:rPr>
          <w:rFonts w:hint="eastAsia"/>
        </w:rPr>
        <w:t>没有建立污染物登记。</w:t>
      </w:r>
    </w:p>
    <w:p w:rsidR="00000000" w:rsidRDefault="00000000">
      <w:pPr>
        <w:pStyle w:val="a0"/>
        <w:numPr>
          <w:ilvl w:val="0"/>
          <w:numId w:val="0"/>
        </w:numPr>
        <w:ind w:left="510" w:hanging="510"/>
        <w:rPr>
          <w:rFonts w:hint="eastAsia"/>
        </w:rPr>
      </w:pPr>
      <w:r>
        <w:rPr>
          <w:rFonts w:hint="eastAsia"/>
        </w:rPr>
        <w:tab/>
        <w:t xml:space="preserve">477.  </w:t>
      </w:r>
      <w:r>
        <w:rPr>
          <w:rFonts w:hint="eastAsia"/>
        </w:rPr>
        <w:t>值得落实的建议包括：</w:t>
      </w:r>
    </w:p>
    <w:p w:rsidR="00000000" w:rsidRDefault="00000000">
      <w:pPr>
        <w:pStyle w:val="a0"/>
        <w:ind w:left="1550"/>
        <w:rPr>
          <w:rFonts w:hint="eastAsia"/>
        </w:rPr>
      </w:pPr>
      <w:r>
        <w:rPr>
          <w:rFonts w:hint="eastAsia"/>
        </w:rPr>
        <w:t>建立污染物登记册和地籍图，并不断进行监测；</w:t>
      </w:r>
    </w:p>
    <w:p w:rsidR="00000000" w:rsidRDefault="00000000">
      <w:pPr>
        <w:pStyle w:val="a0"/>
        <w:ind w:left="1550"/>
        <w:rPr>
          <w:rFonts w:hint="eastAsia"/>
        </w:rPr>
      </w:pPr>
      <w:r>
        <w:rPr>
          <w:rFonts w:hint="eastAsia"/>
        </w:rPr>
        <w:t>在评估允许值时，注意</w:t>
      </w:r>
      <w:r>
        <w:rPr>
          <w:rFonts w:hint="eastAsia"/>
        </w:rPr>
        <w:t>10</w:t>
      </w:r>
      <w:r>
        <w:rPr>
          <w:rFonts w:hint="eastAsia"/>
        </w:rPr>
        <w:t>微米以下影响人们健康的烟尘微粒；</w:t>
      </w:r>
    </w:p>
    <w:p w:rsidR="00000000" w:rsidRDefault="00000000">
      <w:pPr>
        <w:pStyle w:val="a0"/>
        <w:ind w:left="1550"/>
        <w:rPr>
          <w:rFonts w:hint="eastAsia"/>
        </w:rPr>
      </w:pPr>
      <w:r>
        <w:rPr>
          <w:rFonts w:hint="eastAsia"/>
        </w:rPr>
        <w:t>使目前的立法与卫生组织的建议和欧盟准则接轨；</w:t>
      </w:r>
    </w:p>
    <w:p w:rsidR="00000000" w:rsidRDefault="00000000">
      <w:pPr>
        <w:pStyle w:val="a0"/>
        <w:ind w:left="1550"/>
        <w:rPr>
          <w:rFonts w:hint="eastAsia"/>
        </w:rPr>
      </w:pPr>
      <w:r>
        <w:rPr>
          <w:rFonts w:hint="eastAsia"/>
        </w:rPr>
        <w:t>不断收集对最易受伤害群体产生消极影响的各种因素的数据，并评估他们所处危险的程度；</w:t>
      </w:r>
    </w:p>
    <w:p w:rsidR="00000000" w:rsidRDefault="00000000">
      <w:pPr>
        <w:pStyle w:val="a0"/>
        <w:ind w:left="1550"/>
        <w:rPr>
          <w:rFonts w:hint="eastAsia"/>
        </w:rPr>
      </w:pPr>
      <w:r>
        <w:rPr>
          <w:rFonts w:hint="eastAsia"/>
        </w:rPr>
        <w:t>应该</w:t>
      </w:r>
      <w:r>
        <w:rPr>
          <w:rFonts w:hint="eastAsia"/>
        </w:rPr>
        <w:t>(</w:t>
      </w:r>
      <w:r>
        <w:rPr>
          <w:rFonts w:hint="eastAsia"/>
        </w:rPr>
        <w:t>根据排放情况</w:t>
      </w:r>
      <w:r>
        <w:rPr>
          <w:rFonts w:hint="eastAsia"/>
        </w:rPr>
        <w:t>)</w:t>
      </w:r>
      <w:r>
        <w:rPr>
          <w:rFonts w:hint="eastAsia"/>
        </w:rPr>
        <w:t>针对污染源开展活动，并参与起草土地计划，选择可能减少排放的技术；</w:t>
      </w:r>
    </w:p>
    <w:p w:rsidR="00000000" w:rsidRDefault="00000000">
      <w:pPr>
        <w:pStyle w:val="a0"/>
        <w:ind w:left="1550"/>
        <w:rPr>
          <w:rFonts w:hint="eastAsia"/>
        </w:rPr>
      </w:pPr>
      <w:r>
        <w:rPr>
          <w:rFonts w:hint="eastAsia"/>
        </w:rPr>
        <w:t>监测作为空气中致癌物指标的苯和苯并芘，努力减少汽车污染排放</w:t>
      </w:r>
      <w:r>
        <w:rPr>
          <w:rFonts w:hint="eastAsia"/>
        </w:rPr>
        <w:t>(</w:t>
      </w:r>
      <w:r>
        <w:rPr>
          <w:rFonts w:hint="eastAsia"/>
        </w:rPr>
        <w:t>调整车辆、运输方式、驾驶和运输体系</w:t>
      </w:r>
      <w:r>
        <w:rPr>
          <w:rFonts w:hint="eastAsia"/>
        </w:rPr>
        <w:t>)</w:t>
      </w:r>
      <w:r>
        <w:rPr>
          <w:rFonts w:hint="eastAsia"/>
        </w:rPr>
        <w:t>；</w:t>
      </w:r>
    </w:p>
    <w:p w:rsidR="00000000" w:rsidRDefault="00000000">
      <w:pPr>
        <w:pStyle w:val="a0"/>
        <w:ind w:left="1550"/>
        <w:rPr>
          <w:rFonts w:hint="eastAsia"/>
        </w:rPr>
      </w:pPr>
      <w:r>
        <w:rPr>
          <w:rFonts w:hint="eastAsia"/>
        </w:rPr>
        <w:t>绘制一份实体花粉图，要考虑到植物分类地区，并制作一份花粉发生日历，在不同季节及时地将花粉移动情况向大众公布；</w:t>
      </w:r>
    </w:p>
    <w:p w:rsidR="00000000" w:rsidRDefault="00000000">
      <w:pPr>
        <w:pStyle w:val="a0"/>
        <w:spacing w:after="320"/>
        <w:ind w:left="1550"/>
        <w:rPr>
          <w:rFonts w:hint="eastAsia"/>
        </w:rPr>
      </w:pPr>
      <w:r>
        <w:rPr>
          <w:rFonts w:hint="eastAsia"/>
        </w:rPr>
        <w:t>定期向大众报告空气污染的程度，向公众宣传空气污染对健康的影响以及清污行动。</w:t>
      </w:r>
    </w:p>
    <w:p w:rsidR="00000000" w:rsidRDefault="00000000">
      <w:pPr>
        <w:pStyle w:val="Heading4"/>
        <w:rPr>
          <w:rFonts w:hint="eastAsia"/>
        </w:rPr>
      </w:pPr>
      <w:r>
        <w:rPr>
          <w:rFonts w:hint="eastAsia"/>
        </w:rPr>
        <w:t>废</w:t>
      </w:r>
      <w:r>
        <w:rPr>
          <w:rFonts w:hint="eastAsia"/>
        </w:rPr>
        <w:tab/>
      </w:r>
      <w:r>
        <w:rPr>
          <w:rFonts w:hint="eastAsia"/>
        </w:rPr>
        <w:t>料</w:t>
      </w:r>
    </w:p>
    <w:p w:rsidR="00000000" w:rsidRDefault="00000000">
      <w:pPr>
        <w:spacing w:after="320"/>
      </w:pPr>
      <w:r>
        <w:rPr>
          <w:rFonts w:hint="eastAsia"/>
        </w:rPr>
        <w:tab/>
        <w:t xml:space="preserve">478.  </w:t>
      </w:r>
      <w:r>
        <w:rPr>
          <w:rFonts w:hint="eastAsia"/>
        </w:rPr>
        <w:t>波斯尼亚和黑塞哥维那联邦处理固体和液体废料的方法并不令人满意。大约</w:t>
      </w:r>
      <w:r>
        <w:rPr>
          <w:rFonts w:hint="eastAsia"/>
        </w:rPr>
        <w:t>50%</w:t>
      </w:r>
      <w:r>
        <w:rPr>
          <w:rFonts w:hint="eastAsia"/>
        </w:rPr>
        <w:t>的人口，特别是城市人口使用污水系统，而乡村人口在大多数情况下则是将液体放入可渗透或半渗透的容器中。仅有</w:t>
      </w:r>
      <w:r>
        <w:rPr>
          <w:rFonts w:hint="eastAsia"/>
        </w:rPr>
        <w:t>15%</w:t>
      </w:r>
      <w:r>
        <w:rPr>
          <w:rFonts w:hint="eastAsia"/>
        </w:rPr>
        <w:t>的液体废料在排放进河流或湖泊前得到净化。根据波斯尼亚和黑塞哥维那联邦公共卫生研究所提供的数据，大约</w:t>
      </w:r>
      <w:r>
        <w:rPr>
          <w:rFonts w:hint="eastAsia"/>
        </w:rPr>
        <w:t>40%</w:t>
      </w:r>
      <w:r>
        <w:rPr>
          <w:rFonts w:hint="eastAsia"/>
        </w:rPr>
        <w:t>的固体废料是根据环卫</w:t>
      </w:r>
      <w:r>
        <w:rPr>
          <w:rFonts w:hint="eastAsia"/>
        </w:rPr>
        <w:t>/</w:t>
      </w:r>
      <w:r>
        <w:rPr>
          <w:rFonts w:hint="eastAsia"/>
        </w:rPr>
        <w:t>卫生规则处理的。特殊废料构成特定的问题，例如过期药品问题。据信，在波斯尼亚和黑塞哥维那联邦境内有大约</w:t>
      </w:r>
      <w:r>
        <w:rPr>
          <w:rFonts w:hint="eastAsia"/>
        </w:rPr>
        <w:t>740</w:t>
      </w:r>
      <w:r>
        <w:rPr>
          <w:rFonts w:hint="eastAsia"/>
        </w:rPr>
        <w:t>吨这类废料。除容量极小的燃烧窑之外，应该用来焚烧这类废料的复杂工厂并不存在。由于这个原因，废料被装入塑料或金属桶内，用混凝土混合物密封后深埋地下。这种解决办法并非完全令人满意，因为存在着污染地下水的威胁。</w:t>
      </w:r>
    </w:p>
    <w:p w:rsidR="00000000" w:rsidRDefault="00000000">
      <w:pPr>
        <w:pStyle w:val="Heading4"/>
        <w:rPr>
          <w:rFonts w:hint="eastAsia"/>
        </w:rPr>
      </w:pPr>
      <w:r>
        <w:rPr>
          <w:rFonts w:hint="eastAsia"/>
        </w:rPr>
        <w:t>固体废料</w:t>
      </w:r>
    </w:p>
    <w:p w:rsidR="00000000" w:rsidRDefault="00000000">
      <w:pPr>
        <w:spacing w:after="320"/>
        <w:rPr>
          <w:rFonts w:hint="eastAsia"/>
        </w:rPr>
      </w:pPr>
      <w:r>
        <w:rPr>
          <w:rFonts w:hint="eastAsia"/>
        </w:rPr>
        <w:tab/>
        <w:t xml:space="preserve">479.  </w:t>
      </w:r>
      <w:r>
        <w:rPr>
          <w:rFonts w:hint="eastAsia"/>
        </w:rPr>
        <w:t>塞族共和国内每年固体废料估计数量为人均</w:t>
      </w:r>
      <w:r>
        <w:rPr>
          <w:rFonts w:hint="eastAsia"/>
        </w:rPr>
        <w:t>400</w:t>
      </w:r>
      <w:r>
        <w:rPr>
          <w:rFonts w:hint="eastAsia"/>
        </w:rPr>
        <w:t>公斤。在</w:t>
      </w:r>
      <w:r>
        <w:rPr>
          <w:rFonts w:hint="eastAsia"/>
        </w:rPr>
        <w:t>28</w:t>
      </w:r>
      <w:r>
        <w:rPr>
          <w:rFonts w:hint="eastAsia"/>
        </w:rPr>
        <w:t>个市镇中有专控固体废料站。不同地区内大约</w:t>
      </w:r>
      <w:r>
        <w:rPr>
          <w:rFonts w:hint="eastAsia"/>
        </w:rPr>
        <w:t>700,000</w:t>
      </w:r>
      <w:r>
        <w:rPr>
          <w:rFonts w:hint="eastAsia"/>
        </w:rPr>
        <w:t>人享有包括</w:t>
      </w:r>
      <w:r>
        <w:rPr>
          <w:rFonts w:hint="eastAsia"/>
        </w:rPr>
        <w:t>44</w:t>
      </w:r>
      <w:r>
        <w:rPr>
          <w:rFonts w:hint="eastAsia"/>
        </w:rPr>
        <w:t>个站</w:t>
      </w:r>
      <w:r>
        <w:rPr>
          <w:rFonts w:hint="eastAsia"/>
        </w:rPr>
        <w:t>(45</w:t>
      </w:r>
      <w:r>
        <w:rPr>
          <w:rFonts w:hint="eastAsia"/>
        </w:rPr>
        <w:t>公用事业公司</w:t>
      </w:r>
      <w:r>
        <w:rPr>
          <w:rFonts w:hint="eastAsia"/>
        </w:rPr>
        <w:t>)</w:t>
      </w:r>
      <w:r>
        <w:rPr>
          <w:rFonts w:hint="eastAsia"/>
        </w:rPr>
        <w:t>在内有组织的收集、清除和废料处理，但没有一个废料站符合环卫</w:t>
      </w:r>
      <w:r>
        <w:rPr>
          <w:rFonts w:hint="eastAsia"/>
        </w:rPr>
        <w:t>/</w:t>
      </w:r>
      <w:r>
        <w:rPr>
          <w:rFonts w:hint="eastAsia"/>
        </w:rPr>
        <w:t>卫生要求。在其它市镇有一些“无人管理”站和灰烬垃圾站。</w:t>
      </w:r>
    </w:p>
    <w:p w:rsidR="00000000" w:rsidRDefault="00000000">
      <w:pPr>
        <w:pStyle w:val="Heading3"/>
        <w:spacing w:after="120"/>
        <w:rPr>
          <w:rFonts w:hint="eastAsia"/>
        </w:rPr>
      </w:pPr>
      <w:r>
        <w:rPr>
          <w:u w:val="none"/>
        </w:rPr>
        <w:br w:type="page"/>
      </w:r>
      <w:r>
        <w:rPr>
          <w:rFonts w:hint="eastAsia"/>
          <w:u w:val="none"/>
        </w:rPr>
        <w:t>表</w:t>
      </w:r>
      <w:r>
        <w:rPr>
          <w:u w:val="none"/>
        </w:rPr>
        <w:t xml:space="preserve"> </w:t>
      </w:r>
      <w:r>
        <w:rPr>
          <w:rFonts w:hint="eastAsia"/>
          <w:u w:val="none"/>
        </w:rPr>
        <w:t>16</w:t>
      </w:r>
      <w:r>
        <w:br/>
      </w:r>
      <w:r>
        <w:rPr>
          <w:rFonts w:hint="eastAsia"/>
        </w:rPr>
        <w:t>按区域</w:t>
      </w:r>
      <w:r>
        <w:rPr>
          <w:rFonts w:hint="eastAsia"/>
        </w:rPr>
        <w:t>/</w:t>
      </w:r>
      <w:r>
        <w:rPr>
          <w:rFonts w:hint="eastAsia"/>
        </w:rPr>
        <w:t>城市划分的公共废料处理系统覆盖率</w:t>
      </w:r>
      <w:r>
        <w:rPr>
          <w:rFonts w:hint="eastAsia"/>
          <w:u w:val="none"/>
        </w:rPr>
        <w:t>、</w:t>
      </w:r>
      <w:r>
        <w:br/>
      </w:r>
      <w:r>
        <w:rPr>
          <w:rFonts w:hint="eastAsia"/>
        </w:rPr>
        <w:t>垃圾站数量和公用事业企业数量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2"/>
        <w:gridCol w:w="2352"/>
        <w:gridCol w:w="2353"/>
        <w:gridCol w:w="2353"/>
      </w:tblGrid>
      <w:tr w:rsidR="00000000">
        <w:tblPrEx>
          <w:tblCellMar>
            <w:top w:w="0" w:type="dxa"/>
            <w:bottom w:w="0" w:type="dxa"/>
          </w:tblCellMar>
        </w:tblPrEx>
        <w:tc>
          <w:tcPr>
            <w:tcW w:w="2352" w:type="dxa"/>
            <w:tcBorders>
              <w:bottom w:val="single" w:sz="4" w:space="0" w:color="auto"/>
            </w:tcBorders>
          </w:tcPr>
          <w:p w:rsidR="00000000" w:rsidRDefault="00000000">
            <w:pPr>
              <w:pStyle w:val="a2"/>
              <w:jc w:val="center"/>
              <w:rPr>
                <w:rFonts w:hint="eastAsia"/>
              </w:rPr>
            </w:pPr>
            <w:r>
              <w:rPr>
                <w:rFonts w:hint="eastAsia"/>
              </w:rPr>
              <w:t>城市</w:t>
            </w:r>
            <w:r>
              <w:rPr>
                <w:rFonts w:hint="eastAsia"/>
              </w:rPr>
              <w:t>/</w:t>
            </w:r>
            <w:r>
              <w:rPr>
                <w:rFonts w:hint="eastAsia"/>
              </w:rPr>
              <w:t>地区</w:t>
            </w:r>
          </w:p>
        </w:tc>
        <w:tc>
          <w:tcPr>
            <w:tcW w:w="2352" w:type="dxa"/>
            <w:tcBorders>
              <w:bottom w:val="single" w:sz="4" w:space="0" w:color="auto"/>
            </w:tcBorders>
          </w:tcPr>
          <w:p w:rsidR="00000000" w:rsidRDefault="00000000">
            <w:pPr>
              <w:pStyle w:val="a2"/>
              <w:jc w:val="center"/>
              <w:rPr>
                <w:rFonts w:hint="eastAsia"/>
              </w:rPr>
            </w:pPr>
            <w:r>
              <w:rPr>
                <w:rFonts w:hint="eastAsia"/>
              </w:rPr>
              <w:t>人口</w:t>
            </w:r>
          </w:p>
        </w:tc>
        <w:tc>
          <w:tcPr>
            <w:tcW w:w="2353" w:type="dxa"/>
            <w:tcBorders>
              <w:bottom w:val="single" w:sz="4" w:space="0" w:color="auto"/>
            </w:tcBorders>
          </w:tcPr>
          <w:p w:rsidR="00000000" w:rsidRDefault="00000000">
            <w:pPr>
              <w:pStyle w:val="a2"/>
              <w:jc w:val="center"/>
              <w:rPr>
                <w:rFonts w:hint="eastAsia"/>
              </w:rPr>
            </w:pPr>
            <w:r>
              <w:rPr>
                <w:rFonts w:hint="eastAsia"/>
              </w:rPr>
              <w:t>垃圾站</w:t>
            </w:r>
          </w:p>
        </w:tc>
        <w:tc>
          <w:tcPr>
            <w:tcW w:w="2353" w:type="dxa"/>
            <w:tcBorders>
              <w:bottom w:val="single" w:sz="4" w:space="0" w:color="auto"/>
            </w:tcBorders>
          </w:tcPr>
          <w:p w:rsidR="00000000" w:rsidRDefault="00000000">
            <w:pPr>
              <w:pStyle w:val="a2"/>
              <w:jc w:val="center"/>
              <w:rPr>
                <w:rFonts w:hint="eastAsia"/>
              </w:rPr>
            </w:pPr>
            <w:r>
              <w:rPr>
                <w:rFonts w:hint="eastAsia"/>
              </w:rPr>
              <w:t>JKP</w:t>
            </w:r>
          </w:p>
        </w:tc>
      </w:tr>
      <w:tr w:rsidR="00000000">
        <w:tblPrEx>
          <w:tblCellMar>
            <w:top w:w="0" w:type="dxa"/>
            <w:bottom w:w="0" w:type="dxa"/>
          </w:tblCellMar>
        </w:tblPrEx>
        <w:tc>
          <w:tcPr>
            <w:tcW w:w="2352" w:type="dxa"/>
            <w:tcBorders>
              <w:bottom w:val="nil"/>
            </w:tcBorders>
          </w:tcPr>
          <w:p w:rsidR="00000000" w:rsidRDefault="00000000">
            <w:pPr>
              <w:pStyle w:val="a2"/>
              <w:ind w:left="113"/>
              <w:rPr>
                <w:rFonts w:hint="eastAsia"/>
              </w:rPr>
            </w:pPr>
            <w:r>
              <w:rPr>
                <w:rFonts w:hint="eastAsia"/>
              </w:rPr>
              <w:t>特雷比涅</w:t>
            </w:r>
          </w:p>
        </w:tc>
        <w:tc>
          <w:tcPr>
            <w:tcW w:w="2352" w:type="dxa"/>
            <w:tcBorders>
              <w:bottom w:val="nil"/>
            </w:tcBorders>
          </w:tcPr>
          <w:p w:rsidR="00000000" w:rsidRDefault="00000000">
            <w:pPr>
              <w:pStyle w:val="a2"/>
              <w:ind w:right="851"/>
              <w:jc w:val="right"/>
            </w:pPr>
            <w:r>
              <w:t>24 500</w:t>
            </w:r>
          </w:p>
        </w:tc>
        <w:tc>
          <w:tcPr>
            <w:tcW w:w="2353" w:type="dxa"/>
            <w:tcBorders>
              <w:bottom w:val="nil"/>
            </w:tcBorders>
          </w:tcPr>
          <w:p w:rsidR="00000000" w:rsidRDefault="00000000">
            <w:pPr>
              <w:pStyle w:val="a2"/>
              <w:ind w:right="1134"/>
              <w:jc w:val="right"/>
            </w:pPr>
            <w:r>
              <w:t>5</w:t>
            </w:r>
          </w:p>
        </w:tc>
        <w:tc>
          <w:tcPr>
            <w:tcW w:w="2353" w:type="dxa"/>
            <w:tcBorders>
              <w:bottom w:val="nil"/>
            </w:tcBorders>
          </w:tcPr>
          <w:p w:rsidR="00000000" w:rsidRDefault="00000000">
            <w:pPr>
              <w:pStyle w:val="a2"/>
              <w:ind w:right="1134"/>
              <w:jc w:val="right"/>
            </w:pPr>
            <w:r>
              <w:t>5</w:t>
            </w:r>
          </w:p>
        </w:tc>
      </w:tr>
      <w:tr w:rsidR="00000000">
        <w:tblPrEx>
          <w:tblCellMar>
            <w:top w:w="0" w:type="dxa"/>
            <w:bottom w:w="0" w:type="dxa"/>
          </w:tblCellMar>
        </w:tblPrEx>
        <w:tc>
          <w:tcPr>
            <w:tcW w:w="2352" w:type="dxa"/>
            <w:tcBorders>
              <w:top w:val="nil"/>
              <w:bottom w:val="nil"/>
            </w:tcBorders>
          </w:tcPr>
          <w:p w:rsidR="00000000" w:rsidRDefault="00000000">
            <w:pPr>
              <w:pStyle w:val="a2"/>
              <w:ind w:left="113"/>
              <w:rPr>
                <w:rFonts w:hint="eastAsia"/>
                <w:snapToGrid/>
              </w:rPr>
            </w:pPr>
            <w:r>
              <w:rPr>
                <w:rFonts w:hint="eastAsia"/>
              </w:rPr>
              <w:t>富查</w:t>
            </w:r>
            <w:r>
              <w:rPr>
                <w:rFonts w:hint="eastAsia"/>
              </w:rPr>
              <w:t>/</w:t>
            </w:r>
            <w:r>
              <w:t>Srbije</w:t>
            </w:r>
          </w:p>
        </w:tc>
        <w:tc>
          <w:tcPr>
            <w:tcW w:w="2352" w:type="dxa"/>
            <w:tcBorders>
              <w:top w:val="nil"/>
              <w:bottom w:val="nil"/>
            </w:tcBorders>
          </w:tcPr>
          <w:p w:rsidR="00000000" w:rsidRDefault="00000000">
            <w:pPr>
              <w:pStyle w:val="a2"/>
              <w:ind w:right="851"/>
              <w:jc w:val="right"/>
            </w:pPr>
            <w:r>
              <w:t>22 200</w:t>
            </w:r>
          </w:p>
        </w:tc>
        <w:tc>
          <w:tcPr>
            <w:tcW w:w="2353" w:type="dxa"/>
            <w:tcBorders>
              <w:top w:val="nil"/>
              <w:bottom w:val="nil"/>
            </w:tcBorders>
          </w:tcPr>
          <w:p w:rsidR="00000000" w:rsidRDefault="00000000">
            <w:pPr>
              <w:pStyle w:val="a2"/>
              <w:ind w:right="1134"/>
              <w:jc w:val="right"/>
            </w:pPr>
            <w:r>
              <w:t>6</w:t>
            </w:r>
          </w:p>
        </w:tc>
        <w:tc>
          <w:tcPr>
            <w:tcW w:w="2353" w:type="dxa"/>
            <w:tcBorders>
              <w:top w:val="nil"/>
              <w:bottom w:val="nil"/>
            </w:tcBorders>
          </w:tcPr>
          <w:p w:rsidR="00000000" w:rsidRDefault="00000000">
            <w:pPr>
              <w:pStyle w:val="a2"/>
              <w:ind w:right="1134"/>
              <w:jc w:val="right"/>
            </w:pPr>
            <w:r>
              <w:t>7</w:t>
            </w:r>
          </w:p>
        </w:tc>
      </w:tr>
      <w:tr w:rsidR="00000000">
        <w:tblPrEx>
          <w:tblCellMar>
            <w:top w:w="0" w:type="dxa"/>
            <w:bottom w:w="0" w:type="dxa"/>
          </w:tblCellMar>
        </w:tblPrEx>
        <w:tc>
          <w:tcPr>
            <w:tcW w:w="2352" w:type="dxa"/>
            <w:tcBorders>
              <w:top w:val="nil"/>
              <w:bottom w:val="nil"/>
            </w:tcBorders>
          </w:tcPr>
          <w:p w:rsidR="00000000" w:rsidRDefault="00000000">
            <w:pPr>
              <w:pStyle w:val="a2"/>
              <w:ind w:left="113"/>
              <w:rPr>
                <w:rFonts w:hint="eastAsia"/>
              </w:rPr>
            </w:pPr>
            <w:r>
              <w:rPr>
                <w:rFonts w:hint="eastAsia"/>
              </w:rPr>
              <w:t>帕莱</w:t>
            </w:r>
          </w:p>
        </w:tc>
        <w:tc>
          <w:tcPr>
            <w:tcW w:w="2352" w:type="dxa"/>
            <w:tcBorders>
              <w:top w:val="nil"/>
              <w:bottom w:val="nil"/>
            </w:tcBorders>
          </w:tcPr>
          <w:p w:rsidR="00000000" w:rsidRDefault="00000000">
            <w:pPr>
              <w:pStyle w:val="a2"/>
              <w:ind w:right="851"/>
              <w:jc w:val="right"/>
            </w:pPr>
            <w:r>
              <w:t>39 200</w:t>
            </w:r>
          </w:p>
        </w:tc>
        <w:tc>
          <w:tcPr>
            <w:tcW w:w="2353" w:type="dxa"/>
            <w:tcBorders>
              <w:top w:val="nil"/>
              <w:bottom w:val="nil"/>
            </w:tcBorders>
          </w:tcPr>
          <w:p w:rsidR="00000000" w:rsidRDefault="00000000">
            <w:pPr>
              <w:pStyle w:val="a2"/>
              <w:ind w:right="1134"/>
              <w:jc w:val="right"/>
            </w:pPr>
            <w:r>
              <w:t>3</w:t>
            </w:r>
          </w:p>
        </w:tc>
        <w:tc>
          <w:tcPr>
            <w:tcW w:w="2353" w:type="dxa"/>
            <w:tcBorders>
              <w:top w:val="nil"/>
              <w:bottom w:val="nil"/>
            </w:tcBorders>
          </w:tcPr>
          <w:p w:rsidR="00000000" w:rsidRDefault="00000000">
            <w:pPr>
              <w:pStyle w:val="a2"/>
              <w:ind w:right="1134"/>
              <w:jc w:val="right"/>
            </w:pPr>
            <w:r>
              <w:t>3</w:t>
            </w:r>
          </w:p>
        </w:tc>
      </w:tr>
      <w:tr w:rsidR="00000000">
        <w:tblPrEx>
          <w:tblCellMar>
            <w:top w:w="0" w:type="dxa"/>
            <w:bottom w:w="0" w:type="dxa"/>
          </w:tblCellMar>
        </w:tblPrEx>
        <w:tc>
          <w:tcPr>
            <w:tcW w:w="2352" w:type="dxa"/>
            <w:tcBorders>
              <w:top w:val="nil"/>
              <w:bottom w:val="nil"/>
            </w:tcBorders>
          </w:tcPr>
          <w:p w:rsidR="00000000" w:rsidRDefault="00000000">
            <w:pPr>
              <w:pStyle w:val="a2"/>
              <w:ind w:left="113"/>
              <w:rPr>
                <w:rFonts w:hint="eastAsia"/>
              </w:rPr>
            </w:pPr>
            <w:r>
              <w:rPr>
                <w:rFonts w:hint="eastAsia"/>
              </w:rPr>
              <w:t>布拉图纳茨</w:t>
            </w:r>
          </w:p>
        </w:tc>
        <w:tc>
          <w:tcPr>
            <w:tcW w:w="2352" w:type="dxa"/>
            <w:tcBorders>
              <w:top w:val="nil"/>
              <w:bottom w:val="nil"/>
            </w:tcBorders>
          </w:tcPr>
          <w:p w:rsidR="00000000" w:rsidRDefault="00000000">
            <w:pPr>
              <w:pStyle w:val="a2"/>
              <w:ind w:right="851"/>
              <w:jc w:val="right"/>
            </w:pPr>
            <w:r>
              <w:t>45 000</w:t>
            </w:r>
          </w:p>
        </w:tc>
        <w:tc>
          <w:tcPr>
            <w:tcW w:w="2353" w:type="dxa"/>
            <w:tcBorders>
              <w:top w:val="nil"/>
              <w:bottom w:val="nil"/>
            </w:tcBorders>
          </w:tcPr>
          <w:p w:rsidR="00000000" w:rsidRDefault="00000000">
            <w:pPr>
              <w:pStyle w:val="a2"/>
              <w:ind w:right="1134"/>
              <w:jc w:val="right"/>
            </w:pPr>
            <w:r>
              <w:t>6</w:t>
            </w:r>
          </w:p>
        </w:tc>
        <w:tc>
          <w:tcPr>
            <w:tcW w:w="2353" w:type="dxa"/>
            <w:tcBorders>
              <w:top w:val="nil"/>
              <w:bottom w:val="nil"/>
            </w:tcBorders>
          </w:tcPr>
          <w:p w:rsidR="00000000" w:rsidRDefault="00000000">
            <w:pPr>
              <w:pStyle w:val="a2"/>
              <w:ind w:right="1134"/>
              <w:jc w:val="right"/>
            </w:pPr>
            <w:r>
              <w:t>6</w:t>
            </w:r>
          </w:p>
        </w:tc>
      </w:tr>
      <w:tr w:rsidR="00000000">
        <w:tblPrEx>
          <w:tblCellMar>
            <w:top w:w="0" w:type="dxa"/>
            <w:bottom w:w="0" w:type="dxa"/>
          </w:tblCellMar>
        </w:tblPrEx>
        <w:tc>
          <w:tcPr>
            <w:tcW w:w="2352" w:type="dxa"/>
            <w:tcBorders>
              <w:top w:val="nil"/>
              <w:bottom w:val="nil"/>
            </w:tcBorders>
          </w:tcPr>
          <w:p w:rsidR="00000000" w:rsidRDefault="00000000">
            <w:pPr>
              <w:pStyle w:val="a2"/>
              <w:ind w:left="113"/>
              <w:rPr>
                <w:rFonts w:hint="eastAsia"/>
              </w:rPr>
            </w:pPr>
            <w:r>
              <w:rPr>
                <w:rFonts w:hint="eastAsia"/>
              </w:rPr>
              <w:t>比耶利纳</w:t>
            </w:r>
          </w:p>
        </w:tc>
        <w:tc>
          <w:tcPr>
            <w:tcW w:w="2352" w:type="dxa"/>
            <w:tcBorders>
              <w:top w:val="nil"/>
              <w:bottom w:val="nil"/>
            </w:tcBorders>
          </w:tcPr>
          <w:p w:rsidR="00000000" w:rsidRDefault="00000000">
            <w:pPr>
              <w:pStyle w:val="a2"/>
              <w:ind w:right="851"/>
              <w:jc w:val="right"/>
            </w:pPr>
            <w:r>
              <w:t>101 000</w:t>
            </w:r>
          </w:p>
        </w:tc>
        <w:tc>
          <w:tcPr>
            <w:tcW w:w="2353" w:type="dxa"/>
            <w:tcBorders>
              <w:top w:val="nil"/>
              <w:bottom w:val="nil"/>
            </w:tcBorders>
          </w:tcPr>
          <w:p w:rsidR="00000000" w:rsidRDefault="00000000">
            <w:pPr>
              <w:pStyle w:val="a2"/>
              <w:ind w:right="1134"/>
              <w:jc w:val="right"/>
            </w:pPr>
            <w:r>
              <w:t>3</w:t>
            </w:r>
          </w:p>
        </w:tc>
        <w:tc>
          <w:tcPr>
            <w:tcW w:w="2353" w:type="dxa"/>
            <w:tcBorders>
              <w:top w:val="nil"/>
              <w:bottom w:val="nil"/>
            </w:tcBorders>
          </w:tcPr>
          <w:p w:rsidR="00000000" w:rsidRDefault="00000000">
            <w:pPr>
              <w:pStyle w:val="a2"/>
              <w:ind w:right="1134"/>
              <w:jc w:val="right"/>
            </w:pPr>
            <w:r>
              <w:t>3</w:t>
            </w:r>
          </w:p>
        </w:tc>
      </w:tr>
      <w:tr w:rsidR="00000000">
        <w:tblPrEx>
          <w:tblCellMar>
            <w:top w:w="0" w:type="dxa"/>
            <w:bottom w:w="0" w:type="dxa"/>
          </w:tblCellMar>
        </w:tblPrEx>
        <w:tc>
          <w:tcPr>
            <w:tcW w:w="2352" w:type="dxa"/>
            <w:tcBorders>
              <w:top w:val="nil"/>
              <w:bottom w:val="nil"/>
            </w:tcBorders>
          </w:tcPr>
          <w:p w:rsidR="00000000" w:rsidRDefault="00000000">
            <w:pPr>
              <w:pStyle w:val="a2"/>
              <w:ind w:left="113"/>
              <w:rPr>
                <w:rFonts w:hint="eastAsia"/>
              </w:rPr>
            </w:pPr>
            <w:r>
              <w:rPr>
                <w:rFonts w:hint="eastAsia"/>
              </w:rPr>
              <w:t>多博伊</w:t>
            </w:r>
          </w:p>
        </w:tc>
        <w:tc>
          <w:tcPr>
            <w:tcW w:w="2352" w:type="dxa"/>
            <w:tcBorders>
              <w:top w:val="nil"/>
              <w:bottom w:val="nil"/>
            </w:tcBorders>
          </w:tcPr>
          <w:p w:rsidR="00000000" w:rsidRDefault="00000000">
            <w:pPr>
              <w:pStyle w:val="a2"/>
              <w:ind w:right="851"/>
              <w:jc w:val="right"/>
            </w:pPr>
            <w:r>
              <w:t>109 000</w:t>
            </w:r>
          </w:p>
        </w:tc>
        <w:tc>
          <w:tcPr>
            <w:tcW w:w="2353" w:type="dxa"/>
            <w:tcBorders>
              <w:top w:val="nil"/>
              <w:bottom w:val="nil"/>
            </w:tcBorders>
          </w:tcPr>
          <w:p w:rsidR="00000000" w:rsidRDefault="00000000">
            <w:pPr>
              <w:pStyle w:val="a2"/>
              <w:ind w:right="1134"/>
              <w:jc w:val="right"/>
            </w:pPr>
            <w:r>
              <w:t>5</w:t>
            </w:r>
          </w:p>
        </w:tc>
        <w:tc>
          <w:tcPr>
            <w:tcW w:w="2353" w:type="dxa"/>
            <w:tcBorders>
              <w:top w:val="nil"/>
              <w:bottom w:val="nil"/>
            </w:tcBorders>
          </w:tcPr>
          <w:p w:rsidR="00000000" w:rsidRDefault="00000000">
            <w:pPr>
              <w:pStyle w:val="a2"/>
              <w:ind w:right="1134"/>
              <w:jc w:val="right"/>
            </w:pPr>
            <w:r>
              <w:t>5</w:t>
            </w:r>
          </w:p>
        </w:tc>
      </w:tr>
      <w:tr w:rsidR="00000000">
        <w:tblPrEx>
          <w:tblCellMar>
            <w:top w:w="0" w:type="dxa"/>
            <w:bottom w:w="0" w:type="dxa"/>
          </w:tblCellMar>
        </w:tblPrEx>
        <w:tc>
          <w:tcPr>
            <w:tcW w:w="2352" w:type="dxa"/>
            <w:tcBorders>
              <w:top w:val="nil"/>
            </w:tcBorders>
          </w:tcPr>
          <w:p w:rsidR="00000000" w:rsidRDefault="00000000">
            <w:pPr>
              <w:pStyle w:val="a2"/>
              <w:ind w:left="113"/>
              <w:rPr>
                <w:rFonts w:hint="eastAsia"/>
              </w:rPr>
            </w:pPr>
            <w:r>
              <w:rPr>
                <w:rFonts w:hint="eastAsia"/>
              </w:rPr>
              <w:t>巴尼亚卢卡</w:t>
            </w:r>
          </w:p>
        </w:tc>
        <w:tc>
          <w:tcPr>
            <w:tcW w:w="2352" w:type="dxa"/>
            <w:tcBorders>
              <w:top w:val="nil"/>
            </w:tcBorders>
          </w:tcPr>
          <w:p w:rsidR="00000000" w:rsidRDefault="00000000">
            <w:pPr>
              <w:pStyle w:val="a2"/>
              <w:ind w:right="851"/>
              <w:jc w:val="right"/>
            </w:pPr>
            <w:r>
              <w:t>350 000</w:t>
            </w:r>
          </w:p>
        </w:tc>
        <w:tc>
          <w:tcPr>
            <w:tcW w:w="2353" w:type="dxa"/>
            <w:tcBorders>
              <w:top w:val="nil"/>
            </w:tcBorders>
          </w:tcPr>
          <w:p w:rsidR="00000000" w:rsidRDefault="00000000">
            <w:pPr>
              <w:pStyle w:val="a2"/>
              <w:ind w:right="1134"/>
              <w:jc w:val="right"/>
            </w:pPr>
            <w:r>
              <w:t>16</w:t>
            </w:r>
          </w:p>
        </w:tc>
        <w:tc>
          <w:tcPr>
            <w:tcW w:w="2353" w:type="dxa"/>
            <w:tcBorders>
              <w:top w:val="nil"/>
            </w:tcBorders>
          </w:tcPr>
          <w:p w:rsidR="00000000" w:rsidRDefault="00000000">
            <w:pPr>
              <w:pStyle w:val="a2"/>
              <w:ind w:right="1134"/>
              <w:jc w:val="right"/>
            </w:pPr>
            <w:r>
              <w:t>16</w:t>
            </w:r>
          </w:p>
        </w:tc>
      </w:tr>
      <w:tr w:rsidR="00000000">
        <w:tblPrEx>
          <w:tblCellMar>
            <w:top w:w="0" w:type="dxa"/>
            <w:bottom w:w="0" w:type="dxa"/>
          </w:tblCellMar>
        </w:tblPrEx>
        <w:tc>
          <w:tcPr>
            <w:tcW w:w="2352" w:type="dxa"/>
          </w:tcPr>
          <w:p w:rsidR="00000000" w:rsidRDefault="00000000">
            <w:pPr>
              <w:pStyle w:val="a2"/>
              <w:ind w:left="113"/>
              <w:rPr>
                <w:rFonts w:hint="eastAsia"/>
                <w:snapToGrid/>
              </w:rPr>
            </w:pPr>
            <w:r>
              <w:rPr>
                <w:snapToGrid/>
              </w:rPr>
              <w:tab/>
            </w:r>
            <w:r>
              <w:rPr>
                <w:rFonts w:hint="eastAsia"/>
                <w:snapToGrid/>
              </w:rPr>
              <w:t>总</w:t>
            </w:r>
            <w:r>
              <w:rPr>
                <w:snapToGrid/>
              </w:rPr>
              <w:t xml:space="preserve">  </w:t>
            </w:r>
            <w:r>
              <w:rPr>
                <w:rFonts w:hint="eastAsia"/>
                <w:snapToGrid/>
              </w:rPr>
              <w:t>数</w:t>
            </w:r>
          </w:p>
        </w:tc>
        <w:tc>
          <w:tcPr>
            <w:tcW w:w="2352" w:type="dxa"/>
          </w:tcPr>
          <w:p w:rsidR="00000000" w:rsidRDefault="00000000">
            <w:pPr>
              <w:pStyle w:val="a2"/>
              <w:ind w:right="851"/>
              <w:jc w:val="right"/>
            </w:pPr>
            <w:r>
              <w:t>690 000</w:t>
            </w:r>
          </w:p>
        </w:tc>
        <w:tc>
          <w:tcPr>
            <w:tcW w:w="2353" w:type="dxa"/>
          </w:tcPr>
          <w:p w:rsidR="00000000" w:rsidRDefault="00000000">
            <w:pPr>
              <w:pStyle w:val="a2"/>
              <w:ind w:right="1134"/>
              <w:jc w:val="right"/>
            </w:pPr>
            <w:r>
              <w:t>44</w:t>
            </w:r>
          </w:p>
        </w:tc>
        <w:tc>
          <w:tcPr>
            <w:tcW w:w="2353" w:type="dxa"/>
          </w:tcPr>
          <w:p w:rsidR="00000000" w:rsidRDefault="00000000">
            <w:pPr>
              <w:pStyle w:val="a2"/>
              <w:ind w:right="1134"/>
              <w:jc w:val="right"/>
            </w:pPr>
            <w:r>
              <w:t>45</w:t>
            </w:r>
          </w:p>
        </w:tc>
      </w:tr>
    </w:tbl>
    <w:p w:rsidR="00000000" w:rsidRDefault="00000000">
      <w:pPr>
        <w:pStyle w:val="EndnoteText"/>
        <w:spacing w:before="120"/>
        <w:rPr>
          <w:rFonts w:hint="eastAsia"/>
        </w:rPr>
      </w:pPr>
      <w:r>
        <w:rPr>
          <w:rFonts w:hint="eastAsia"/>
          <w:u w:val="single"/>
        </w:rPr>
        <w:t>资料来源</w:t>
      </w:r>
      <w:r>
        <w:rPr>
          <w:rFonts w:hint="eastAsia"/>
        </w:rPr>
        <w:t>：共和国统计研究所，巴尼亚卢卡塞族共和国土地规划研究所、比耶利纳水利研究所、巴尼亚卢卡塞族共和国健康保护研究所、波斯尼亚和黑塞哥维那联邦萨拉热窝“</w:t>
      </w:r>
      <w:r>
        <w:t>Dvokut</w:t>
      </w:r>
      <w:r>
        <w:rPr>
          <w:rFonts w:hint="eastAsia"/>
        </w:rPr>
        <w:t>”公司。</w:t>
      </w:r>
    </w:p>
    <w:p w:rsidR="00000000" w:rsidRDefault="00000000">
      <w:pPr>
        <w:rPr>
          <w:rFonts w:hint="eastAsia"/>
        </w:rPr>
      </w:pPr>
    </w:p>
    <w:p w:rsidR="00000000" w:rsidRDefault="00000000">
      <w:pPr>
        <w:rPr>
          <w:rFonts w:hint="eastAsia"/>
        </w:rPr>
      </w:pPr>
      <w:r>
        <w:rPr>
          <w:rFonts w:hint="eastAsia"/>
        </w:rPr>
        <w:tab/>
        <w:t xml:space="preserve">480.  </w:t>
      </w:r>
      <w:r>
        <w:rPr>
          <w:rFonts w:hint="eastAsia"/>
        </w:rPr>
        <w:t>大部分家庭使用有组织的废物清理服务</w:t>
      </w:r>
      <w:r>
        <w:rPr>
          <w:rFonts w:hint="eastAsia"/>
        </w:rPr>
        <w:t>(45%)</w:t>
      </w:r>
      <w:r>
        <w:rPr>
          <w:rFonts w:hint="eastAsia"/>
        </w:rPr>
        <w:t>，</w:t>
      </w:r>
      <w:r>
        <w:rPr>
          <w:rFonts w:hint="eastAsia"/>
        </w:rPr>
        <w:t>7.6%</w:t>
      </w:r>
      <w:r>
        <w:rPr>
          <w:rFonts w:hint="eastAsia"/>
        </w:rPr>
        <w:t>的家庭在指定地点处理废料，</w:t>
      </w:r>
      <w:r>
        <w:rPr>
          <w:rFonts w:hint="eastAsia"/>
        </w:rPr>
        <w:t>15.2%</w:t>
      </w:r>
      <w:r>
        <w:rPr>
          <w:rFonts w:hint="eastAsia"/>
        </w:rPr>
        <w:t>的家庭使用“无人管理”的垃圾站，</w:t>
      </w:r>
      <w:r>
        <w:rPr>
          <w:rFonts w:hint="eastAsia"/>
        </w:rPr>
        <w:t>24.4%</w:t>
      </w:r>
      <w:r>
        <w:rPr>
          <w:rFonts w:hint="eastAsia"/>
        </w:rPr>
        <w:t>的家庭将废料焚烧，</w:t>
      </w:r>
      <w:r>
        <w:rPr>
          <w:rFonts w:hint="eastAsia"/>
        </w:rPr>
        <w:t>3.2%</w:t>
      </w:r>
      <w:r>
        <w:rPr>
          <w:rFonts w:hint="eastAsia"/>
        </w:rPr>
        <w:t>的家庭以其它方式处理废料。</w:t>
      </w:r>
    </w:p>
    <w:p w:rsidR="00000000" w:rsidRDefault="00000000">
      <w:pPr>
        <w:spacing w:after="320"/>
        <w:rPr>
          <w:rFonts w:hint="eastAsia"/>
        </w:rPr>
      </w:pPr>
      <w:r>
        <w:rPr>
          <w:rFonts w:hint="eastAsia"/>
        </w:rPr>
        <w:tab/>
        <w:t xml:space="preserve">481.  </w:t>
      </w:r>
      <w:r>
        <w:rPr>
          <w:rFonts w:hint="eastAsia"/>
        </w:rPr>
        <w:t>处理有毒化学材料的垃圾站一个也没有。一个特殊的问题涉及过期药品和到期日后的卫生用品，包括作为人道主义援助运进国内的物品；估计这类药品的数量有数吨。因为没有焚化炉，暂时不可能对这类废料进行处理。这些药品被密封在卫生机构附近的桶内，已拨出专款，但仅可将这类废料的一半运出塞族共和国加以处理。在乡村环境中，由于人们利用大部分废料</w:t>
      </w:r>
      <w:r>
        <w:rPr>
          <w:rFonts w:hint="eastAsia"/>
        </w:rPr>
        <w:t>(</w:t>
      </w:r>
      <w:r>
        <w:rPr>
          <w:rFonts w:hint="eastAsia"/>
        </w:rPr>
        <w:t>加工处理、作为动物饲料或固体燃料重新加以使用，或用于混合肥料</w:t>
      </w:r>
      <w:r>
        <w:rPr>
          <w:rFonts w:hint="eastAsia"/>
        </w:rPr>
        <w:t>)</w:t>
      </w:r>
      <w:r>
        <w:rPr>
          <w:rFonts w:hint="eastAsia"/>
        </w:rPr>
        <w:t>，因此并不感觉这是个问题，而在城市环境中，则可看到人均废料数量日增的趋势，高度发展的工业化邻国也是同样情况。现实是，废料已经成为当今社会全球性公共卫生问题，特别是废料是危险</w:t>
      </w:r>
      <w:r>
        <w:rPr>
          <w:rFonts w:hint="eastAsia"/>
        </w:rPr>
        <w:t>(</w:t>
      </w:r>
      <w:r>
        <w:rPr>
          <w:rFonts w:hint="eastAsia"/>
        </w:rPr>
        <w:t>医药、放射物质、药物</w:t>
      </w:r>
      <w:r>
        <w:rPr>
          <w:rFonts w:hint="eastAsia"/>
        </w:rPr>
        <w:t>)</w:t>
      </w:r>
      <w:r>
        <w:rPr>
          <w:rFonts w:hint="eastAsia"/>
        </w:rPr>
        <w:t>和具有潜在危险的废料时尤其如此。</w:t>
      </w:r>
    </w:p>
    <w:p w:rsidR="00000000" w:rsidRDefault="00000000">
      <w:pPr>
        <w:pStyle w:val="Heading4"/>
        <w:rPr>
          <w:rFonts w:hint="eastAsia"/>
        </w:rPr>
      </w:pPr>
      <w:r>
        <w:rPr>
          <w:rFonts w:hint="eastAsia"/>
        </w:rPr>
        <w:t>食品卫生</w:t>
      </w:r>
    </w:p>
    <w:p w:rsidR="00000000" w:rsidRDefault="00000000">
      <w:pPr>
        <w:ind w:firstLine="510"/>
        <w:rPr>
          <w:rFonts w:hint="eastAsia"/>
        </w:rPr>
      </w:pPr>
      <w:r>
        <w:rPr>
          <w:rFonts w:hint="eastAsia"/>
        </w:rPr>
        <w:t xml:space="preserve">482.  </w:t>
      </w:r>
      <w:r>
        <w:rPr>
          <w:rFonts w:hint="eastAsia"/>
        </w:rPr>
        <w:t>波斯尼亚和黑塞哥维那联邦境内的各种传染病的五年趋势清楚地表明那里的情况几年来基本相似，今年的发病率为</w:t>
      </w:r>
      <w:r>
        <w:rPr>
          <w:rFonts w:hint="eastAsia"/>
        </w:rPr>
        <w:t>44.09%</w:t>
      </w:r>
      <w:r>
        <w:rPr>
          <w:rFonts w:hint="eastAsia"/>
        </w:rPr>
        <w:t>，和上一年相比没有变化，死因主要为食物中毒感染。今年食物中毒感染仍居联邦主要传染病的第八位。然而</w:t>
      </w:r>
      <w:r>
        <w:rPr>
          <w:rFonts w:hint="eastAsia"/>
        </w:rPr>
        <w:t>2002</w:t>
      </w:r>
      <w:r>
        <w:rPr>
          <w:rFonts w:hint="eastAsia"/>
        </w:rPr>
        <w:t>年发生了两起食物中毒感染疫情，低于前几年。</w:t>
      </w:r>
    </w:p>
    <w:p w:rsidR="00000000" w:rsidRDefault="00000000">
      <w:pPr>
        <w:ind w:firstLine="510"/>
        <w:rPr>
          <w:rFonts w:hint="eastAsia"/>
        </w:rPr>
      </w:pPr>
      <w:r>
        <w:rPr>
          <w:rFonts w:hint="eastAsia"/>
        </w:rPr>
        <w:t xml:space="preserve">483.  </w:t>
      </w:r>
      <w:r>
        <w:rPr>
          <w:rFonts w:hint="eastAsia"/>
        </w:rPr>
        <w:t>波斯尼亚和黑塞哥维那联邦内五所公共卫生实验室收集到的食物和一般用品的卫生合格数据表明，</w:t>
      </w:r>
      <w:r>
        <w:rPr>
          <w:rFonts w:hint="eastAsia"/>
        </w:rPr>
        <w:t>2002</w:t>
      </w:r>
      <w:r>
        <w:rPr>
          <w:rFonts w:hint="eastAsia"/>
        </w:rPr>
        <w:t>年的生产中不合格样品的百分比大大低于前几年，即在全部抽检的生产样品中，仅有</w:t>
      </w:r>
      <w:r>
        <w:rPr>
          <w:rFonts w:hint="eastAsia"/>
        </w:rPr>
        <w:t>6%</w:t>
      </w:r>
      <w:r>
        <w:rPr>
          <w:rFonts w:hint="eastAsia"/>
        </w:rPr>
        <w:t>未通过化学检验，</w:t>
      </w:r>
      <w:r>
        <w:rPr>
          <w:rFonts w:hint="eastAsia"/>
        </w:rPr>
        <w:t>2.6%</w:t>
      </w:r>
      <w:r>
        <w:rPr>
          <w:rFonts w:hint="eastAsia"/>
        </w:rPr>
        <w:t>未通过微生物检验。这种情况以及疾病流行的减少也许是由于食品生产过程中采用了分析危害关键控点的原则，永久改进了生产过程。新的生产工厂还使用了国际上认可的现代技术。此外可能还有一个原因，那就是政府大力提倡购买国货，这也符合本公共卫生报告的建议。</w:t>
      </w:r>
    </w:p>
    <w:p w:rsidR="00000000" w:rsidRDefault="00000000">
      <w:pPr>
        <w:ind w:firstLine="510"/>
        <w:rPr>
          <w:rFonts w:hint="eastAsia"/>
        </w:rPr>
      </w:pPr>
      <w:r>
        <w:rPr>
          <w:rFonts w:hint="eastAsia"/>
        </w:rPr>
        <w:t xml:space="preserve">484.  </w:t>
      </w:r>
      <w:r>
        <w:rPr>
          <w:rFonts w:hint="eastAsia"/>
        </w:rPr>
        <w:t>不过，由于一些进行食品卫生质量控制的机构不属公共卫生强制性报告系统范围，所以必须指出我们对实际情况的了解并不全面。对食品卫生达标的控制和监督仍有许多问题，主要是人员有限、教育水平低，设备不足，以及法律过时和法律之间不统一等原因造成。</w:t>
      </w:r>
    </w:p>
    <w:p w:rsidR="00000000" w:rsidRDefault="00000000">
      <w:pPr>
        <w:ind w:firstLine="510"/>
        <w:rPr>
          <w:rFonts w:hint="eastAsia"/>
        </w:rPr>
      </w:pPr>
      <w:r>
        <w:rPr>
          <w:rFonts w:hint="eastAsia"/>
        </w:rPr>
        <w:t xml:space="preserve">485.  </w:t>
      </w:r>
      <w:r>
        <w:rPr>
          <w:rFonts w:hint="eastAsia"/>
        </w:rPr>
        <w:t>通过《稳定公约》的一系列举措和其成员国的《在东南欧卫生网络框架内加强食品和餐饮安全》项目，在国家一级通过一项关于食品的总括法律和制定食品及餐饮政策的条件已具备。在实体一级，项目由波斯尼亚和黑塞哥维那联邦和塞族共和国的卫生部和公共卫生研究所具体负责执行。</w:t>
      </w:r>
    </w:p>
    <w:p w:rsidR="00000000" w:rsidRDefault="00000000">
      <w:pPr>
        <w:ind w:firstLine="510"/>
      </w:pPr>
      <w:r>
        <w:rPr>
          <w:rFonts w:hint="eastAsia"/>
        </w:rPr>
        <w:t xml:space="preserve">486.  </w:t>
      </w:r>
      <w:r>
        <w:rPr>
          <w:rFonts w:hint="eastAsia"/>
        </w:rPr>
        <w:t>在食物链的所有环节都提供数量充足的健康安全食品对保持和提高人口健康十分必要，但在这方面现有立法与欧盟标准以及卫生组织的建议明显不一致。食品由于其极为高度的重要性被认为是环境中的高风险因素。很明显，食品是造成人口中传染病、甚至非传染病的大规模发病的重要因素。</w:t>
      </w:r>
    </w:p>
    <w:p w:rsidR="00000000" w:rsidRDefault="00000000">
      <w:pPr>
        <w:ind w:firstLine="510"/>
        <w:rPr>
          <w:rFonts w:hint="eastAsia"/>
        </w:rPr>
      </w:pPr>
      <w:r>
        <w:t xml:space="preserve">487.  </w:t>
      </w:r>
      <w:r>
        <w:rPr>
          <w:rFonts w:hint="eastAsia"/>
        </w:rPr>
        <w:t>虽然塞族共和国各种规模的食品生产年产总量很高，但进口数量仍然不少。食品</w:t>
      </w:r>
      <w:r>
        <w:rPr>
          <w:rFonts w:hint="eastAsia"/>
        </w:rPr>
        <w:t>(</w:t>
      </w:r>
      <w:r>
        <w:rPr>
          <w:rFonts w:hint="eastAsia"/>
        </w:rPr>
        <w:t>包括作为最重要的食物的饮用水</w:t>
      </w:r>
      <w:r>
        <w:rPr>
          <w:rFonts w:hint="eastAsia"/>
        </w:rPr>
        <w:t>)</w:t>
      </w:r>
      <w:r>
        <w:rPr>
          <w:rFonts w:hint="eastAsia"/>
        </w:rPr>
        <w:t>的生产和贸易由卫生、市场和兽医检验人员负责监督。只有几家实验室使用分析危害关键控点进行食品控制，将其作为一种技术检验的内控形式。公共卫生控制主要由塞尔维亚共和国健康保护研究所下属的实验室进行，它们被授权检查卫生达标情况，兽医研究所也进行微生物检验。</w:t>
      </w:r>
    </w:p>
    <w:p w:rsidR="00000000" w:rsidRDefault="00000000">
      <w:pPr>
        <w:ind w:firstLine="510"/>
        <w:rPr>
          <w:rFonts w:hint="eastAsia"/>
        </w:rPr>
      </w:pPr>
      <w:r>
        <w:rPr>
          <w:rFonts w:hint="eastAsia"/>
        </w:rPr>
        <w:t xml:space="preserve">488.  </w:t>
      </w:r>
      <w:r>
        <w:rPr>
          <w:rFonts w:hint="eastAsia"/>
        </w:rPr>
        <w:t>食品质量不尽人意的原因是农药或重金属，如镉、铅和砷的水平升高，同时，食品的原包装上的标注不完整或不一致。结论是公共卫生机构分析的食品总数量不足并远远低于法律规定的数量</w:t>
      </w:r>
      <w:r>
        <w:rPr>
          <w:rFonts w:hint="eastAsia"/>
        </w:rPr>
        <w:t>(</w:t>
      </w:r>
      <w:r>
        <w:rPr>
          <w:rFonts w:hint="eastAsia"/>
        </w:rPr>
        <w:t>每</w:t>
      </w:r>
      <w:r>
        <w:rPr>
          <w:rFonts w:hint="eastAsia"/>
        </w:rPr>
        <w:t>1,000</w:t>
      </w:r>
      <w:r>
        <w:rPr>
          <w:rFonts w:hint="eastAsia"/>
        </w:rPr>
        <w:t>人</w:t>
      </w:r>
      <w:r>
        <w:rPr>
          <w:rFonts w:hint="eastAsia"/>
        </w:rPr>
        <w:t>15</w:t>
      </w:r>
      <w:r>
        <w:rPr>
          <w:rFonts w:hint="eastAsia"/>
        </w:rPr>
        <w:t>个样品</w:t>
      </w:r>
      <w:r>
        <w:rPr>
          <w:rFonts w:hint="eastAsia"/>
        </w:rPr>
        <w:t>)</w:t>
      </w:r>
      <w:r>
        <w:rPr>
          <w:rFonts w:hint="eastAsia"/>
        </w:rPr>
        <w:t>。</w:t>
      </w:r>
    </w:p>
    <w:p w:rsidR="00000000" w:rsidRDefault="00000000">
      <w:pPr>
        <w:spacing w:after="320"/>
        <w:ind w:firstLine="510"/>
        <w:rPr>
          <w:rFonts w:hint="eastAsia"/>
        </w:rPr>
      </w:pPr>
      <w:r>
        <w:rPr>
          <w:rFonts w:hint="eastAsia"/>
        </w:rPr>
        <w:t xml:space="preserve">489.    </w:t>
      </w:r>
      <w:r>
        <w:rPr>
          <w:rFonts w:hint="eastAsia"/>
        </w:rPr>
        <w:t>食品转运过程中造成的感染和中毒也相对频繁。由于设备不足，过去几年没有进行过食品的放射性和毒理学分析。根据适用法律，完全以感官、化学和微生物分析为基础进行卫生达标评估。</w:t>
      </w:r>
    </w:p>
    <w:p w:rsidR="00000000" w:rsidRDefault="00000000">
      <w:pPr>
        <w:pStyle w:val="Heading3"/>
        <w:spacing w:after="120"/>
        <w:rPr>
          <w:kern w:val="0"/>
          <w:u w:val="none"/>
        </w:rPr>
      </w:pPr>
      <w:r>
        <w:rPr>
          <w:rFonts w:hint="eastAsia"/>
          <w:kern w:val="0"/>
          <w:u w:val="none"/>
        </w:rPr>
        <w:t>表</w:t>
      </w:r>
      <w:r>
        <w:rPr>
          <w:rFonts w:hint="eastAsia"/>
          <w:kern w:val="0"/>
          <w:u w:val="none"/>
        </w:rPr>
        <w:t xml:space="preserve">  17</w:t>
      </w:r>
    </w:p>
    <w:p w:rsidR="00000000" w:rsidRDefault="00000000">
      <w:pPr>
        <w:pStyle w:val="Heading3"/>
        <w:rPr>
          <w:kern w:val="0"/>
        </w:rPr>
      </w:pPr>
      <w:r>
        <w:rPr>
          <w:rFonts w:hint="eastAsia"/>
          <w:kern w:val="0"/>
        </w:rPr>
        <w:t>塞尔维亚共和国食品的微生物和物理</w:t>
      </w:r>
      <w:r>
        <w:rPr>
          <w:rFonts w:hint="eastAsia"/>
          <w:kern w:val="0"/>
        </w:rPr>
        <w:t>/</w:t>
      </w:r>
      <w:r>
        <w:rPr>
          <w:kern w:val="0"/>
        </w:rPr>
        <w:br/>
      </w:r>
      <w:r>
        <w:rPr>
          <w:rFonts w:hint="eastAsia"/>
          <w:kern w:val="0"/>
        </w:rPr>
        <w:t>化学检验结果，</w:t>
      </w:r>
      <w:r>
        <w:rPr>
          <w:kern w:val="0"/>
        </w:rPr>
        <w:t>1998/1999/2000</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1557"/>
        <w:gridCol w:w="1246"/>
        <w:gridCol w:w="1326"/>
        <w:gridCol w:w="1558"/>
        <w:gridCol w:w="1259"/>
        <w:gridCol w:w="1373"/>
      </w:tblGrid>
      <w:tr w:rsidR="00000000">
        <w:tblPrEx>
          <w:tblCellMar>
            <w:top w:w="0" w:type="dxa"/>
            <w:bottom w:w="0" w:type="dxa"/>
          </w:tblCellMar>
        </w:tblPrEx>
        <w:tc>
          <w:tcPr>
            <w:tcW w:w="5050" w:type="dxa"/>
            <w:gridSpan w:val="4"/>
            <w:vAlign w:val="center"/>
          </w:tcPr>
          <w:p w:rsidR="00000000" w:rsidRDefault="00000000">
            <w:pPr>
              <w:pStyle w:val="a2"/>
              <w:jc w:val="center"/>
              <w:rPr>
                <w:rFonts w:hint="eastAsia"/>
                <w:snapToGrid/>
              </w:rPr>
            </w:pPr>
            <w:r>
              <w:rPr>
                <w:rFonts w:hint="eastAsia"/>
                <w:snapToGrid/>
              </w:rPr>
              <w:t>物理</w:t>
            </w:r>
            <w:r>
              <w:rPr>
                <w:rFonts w:hint="eastAsia"/>
                <w:snapToGrid/>
              </w:rPr>
              <w:t>/</w:t>
            </w:r>
            <w:r>
              <w:rPr>
                <w:rFonts w:hint="eastAsia"/>
                <w:snapToGrid/>
              </w:rPr>
              <w:t>化学分析</w:t>
            </w:r>
          </w:p>
        </w:tc>
        <w:tc>
          <w:tcPr>
            <w:tcW w:w="4190" w:type="dxa"/>
            <w:gridSpan w:val="3"/>
            <w:vAlign w:val="center"/>
          </w:tcPr>
          <w:p w:rsidR="00000000" w:rsidRDefault="00000000">
            <w:pPr>
              <w:pStyle w:val="a2"/>
              <w:jc w:val="center"/>
              <w:rPr>
                <w:rFonts w:hint="eastAsia"/>
                <w:snapToGrid/>
              </w:rPr>
            </w:pPr>
            <w:r>
              <w:rPr>
                <w:rFonts w:hint="eastAsia"/>
                <w:snapToGrid/>
              </w:rPr>
              <w:t>微生物分析</w:t>
            </w:r>
          </w:p>
        </w:tc>
      </w:tr>
      <w:tr w:rsidR="00000000">
        <w:tblPrEx>
          <w:tblCellMar>
            <w:top w:w="0" w:type="dxa"/>
            <w:bottom w:w="0" w:type="dxa"/>
          </w:tblCellMar>
        </w:tblPrEx>
        <w:trPr>
          <w:cantSplit/>
        </w:trPr>
        <w:tc>
          <w:tcPr>
            <w:tcW w:w="921" w:type="dxa"/>
            <w:vMerge w:val="restart"/>
            <w:vAlign w:val="center"/>
          </w:tcPr>
          <w:p w:rsidR="00000000" w:rsidRDefault="00000000">
            <w:pPr>
              <w:pStyle w:val="a2"/>
              <w:jc w:val="center"/>
              <w:rPr>
                <w:rFonts w:hint="eastAsia"/>
                <w:snapToGrid/>
              </w:rPr>
            </w:pPr>
            <w:r>
              <w:rPr>
                <w:rFonts w:hint="eastAsia"/>
                <w:snapToGrid/>
              </w:rPr>
              <w:t>年</w:t>
            </w:r>
            <w:r>
              <w:rPr>
                <w:rFonts w:hint="eastAsia"/>
                <w:snapToGrid/>
              </w:rPr>
              <w:t xml:space="preserve"> </w:t>
            </w:r>
            <w:r>
              <w:rPr>
                <w:rFonts w:hint="eastAsia"/>
                <w:snapToGrid/>
              </w:rPr>
              <w:t>份</w:t>
            </w:r>
          </w:p>
        </w:tc>
        <w:tc>
          <w:tcPr>
            <w:tcW w:w="1557" w:type="dxa"/>
            <w:vMerge w:val="restart"/>
            <w:vAlign w:val="center"/>
          </w:tcPr>
          <w:p w:rsidR="00000000" w:rsidRDefault="00000000">
            <w:pPr>
              <w:pStyle w:val="a2"/>
              <w:jc w:val="center"/>
              <w:rPr>
                <w:rFonts w:hint="eastAsia"/>
                <w:snapToGrid/>
              </w:rPr>
            </w:pPr>
            <w:r>
              <w:rPr>
                <w:rFonts w:hint="eastAsia"/>
                <w:snapToGrid/>
              </w:rPr>
              <w:t>样品总量</w:t>
            </w:r>
          </w:p>
        </w:tc>
        <w:tc>
          <w:tcPr>
            <w:tcW w:w="2572" w:type="dxa"/>
            <w:gridSpan w:val="2"/>
            <w:vAlign w:val="center"/>
          </w:tcPr>
          <w:p w:rsidR="00000000" w:rsidRDefault="00000000">
            <w:pPr>
              <w:pStyle w:val="a2"/>
              <w:jc w:val="center"/>
              <w:rPr>
                <w:rFonts w:hint="eastAsia"/>
                <w:snapToGrid/>
              </w:rPr>
            </w:pPr>
            <w:r>
              <w:rPr>
                <w:rFonts w:hint="eastAsia"/>
                <w:snapToGrid/>
              </w:rPr>
              <w:t>不合格样品</w:t>
            </w:r>
          </w:p>
        </w:tc>
        <w:tc>
          <w:tcPr>
            <w:tcW w:w="1558" w:type="dxa"/>
            <w:vMerge w:val="restart"/>
            <w:vAlign w:val="center"/>
          </w:tcPr>
          <w:p w:rsidR="00000000" w:rsidRDefault="00000000">
            <w:pPr>
              <w:pStyle w:val="a2"/>
              <w:jc w:val="center"/>
              <w:rPr>
                <w:rFonts w:hint="eastAsia"/>
                <w:snapToGrid/>
              </w:rPr>
            </w:pPr>
            <w:r>
              <w:rPr>
                <w:rFonts w:hint="eastAsia"/>
                <w:snapToGrid/>
              </w:rPr>
              <w:t>样品总数</w:t>
            </w:r>
          </w:p>
        </w:tc>
        <w:tc>
          <w:tcPr>
            <w:tcW w:w="2632" w:type="dxa"/>
            <w:gridSpan w:val="2"/>
            <w:vAlign w:val="center"/>
          </w:tcPr>
          <w:p w:rsidR="00000000" w:rsidRDefault="00000000">
            <w:pPr>
              <w:pStyle w:val="a2"/>
              <w:jc w:val="center"/>
              <w:rPr>
                <w:rFonts w:hint="eastAsia"/>
                <w:snapToGrid/>
              </w:rPr>
            </w:pPr>
            <w:r>
              <w:rPr>
                <w:rFonts w:hint="eastAsia"/>
                <w:snapToGrid/>
              </w:rPr>
              <w:t>不合格样品</w:t>
            </w:r>
          </w:p>
        </w:tc>
      </w:tr>
      <w:tr w:rsidR="00000000">
        <w:tblPrEx>
          <w:tblCellMar>
            <w:top w:w="0" w:type="dxa"/>
            <w:bottom w:w="0" w:type="dxa"/>
          </w:tblCellMar>
        </w:tblPrEx>
        <w:trPr>
          <w:cantSplit/>
        </w:trPr>
        <w:tc>
          <w:tcPr>
            <w:tcW w:w="921" w:type="dxa"/>
            <w:vMerge/>
            <w:vAlign w:val="center"/>
          </w:tcPr>
          <w:p w:rsidR="00000000" w:rsidRDefault="00000000">
            <w:pPr>
              <w:pStyle w:val="a2"/>
              <w:jc w:val="center"/>
              <w:rPr>
                <w:snapToGrid/>
              </w:rPr>
            </w:pPr>
          </w:p>
        </w:tc>
        <w:tc>
          <w:tcPr>
            <w:tcW w:w="1557" w:type="dxa"/>
            <w:vMerge/>
            <w:vAlign w:val="center"/>
          </w:tcPr>
          <w:p w:rsidR="00000000" w:rsidRDefault="00000000">
            <w:pPr>
              <w:pStyle w:val="a2"/>
              <w:jc w:val="center"/>
              <w:rPr>
                <w:snapToGrid/>
              </w:rPr>
            </w:pPr>
          </w:p>
        </w:tc>
        <w:tc>
          <w:tcPr>
            <w:tcW w:w="1246" w:type="dxa"/>
            <w:vAlign w:val="center"/>
          </w:tcPr>
          <w:p w:rsidR="00000000" w:rsidRDefault="00000000">
            <w:pPr>
              <w:pStyle w:val="a2"/>
              <w:jc w:val="center"/>
              <w:rPr>
                <w:rFonts w:hint="eastAsia"/>
                <w:snapToGrid/>
              </w:rPr>
            </w:pPr>
            <w:r>
              <w:rPr>
                <w:rFonts w:hint="eastAsia"/>
                <w:snapToGrid/>
              </w:rPr>
              <w:t>数</w:t>
            </w:r>
            <w:r>
              <w:rPr>
                <w:rFonts w:hint="eastAsia"/>
                <w:snapToGrid/>
              </w:rPr>
              <w:t xml:space="preserve">  </w:t>
            </w:r>
            <w:r>
              <w:rPr>
                <w:rFonts w:hint="eastAsia"/>
                <w:snapToGrid/>
              </w:rPr>
              <w:t>量</w:t>
            </w:r>
          </w:p>
        </w:tc>
        <w:tc>
          <w:tcPr>
            <w:tcW w:w="1326" w:type="dxa"/>
            <w:vAlign w:val="center"/>
          </w:tcPr>
          <w:p w:rsidR="00000000" w:rsidRDefault="00000000">
            <w:pPr>
              <w:pStyle w:val="a2"/>
              <w:jc w:val="center"/>
              <w:rPr>
                <w:rFonts w:hint="eastAsia"/>
                <w:snapToGrid/>
              </w:rPr>
            </w:pPr>
            <w:r>
              <w:rPr>
                <w:rFonts w:hint="eastAsia"/>
                <w:snapToGrid/>
              </w:rPr>
              <w:t>百分比</w:t>
            </w:r>
          </w:p>
        </w:tc>
        <w:tc>
          <w:tcPr>
            <w:tcW w:w="1558" w:type="dxa"/>
            <w:vMerge/>
            <w:vAlign w:val="center"/>
          </w:tcPr>
          <w:p w:rsidR="00000000" w:rsidRDefault="00000000">
            <w:pPr>
              <w:pStyle w:val="a2"/>
              <w:jc w:val="center"/>
              <w:rPr>
                <w:snapToGrid/>
              </w:rPr>
            </w:pPr>
          </w:p>
        </w:tc>
        <w:tc>
          <w:tcPr>
            <w:tcW w:w="1259" w:type="dxa"/>
            <w:vAlign w:val="center"/>
          </w:tcPr>
          <w:p w:rsidR="00000000" w:rsidRDefault="00000000">
            <w:pPr>
              <w:pStyle w:val="a2"/>
              <w:jc w:val="center"/>
              <w:rPr>
                <w:rFonts w:hint="eastAsia"/>
                <w:snapToGrid/>
              </w:rPr>
            </w:pPr>
            <w:r>
              <w:rPr>
                <w:rFonts w:hint="eastAsia"/>
                <w:snapToGrid/>
              </w:rPr>
              <w:t>数</w:t>
            </w:r>
            <w:r>
              <w:rPr>
                <w:rFonts w:hint="eastAsia"/>
                <w:snapToGrid/>
              </w:rPr>
              <w:t xml:space="preserve">  </w:t>
            </w:r>
            <w:r>
              <w:rPr>
                <w:rFonts w:hint="eastAsia"/>
                <w:snapToGrid/>
              </w:rPr>
              <w:t>量</w:t>
            </w:r>
          </w:p>
        </w:tc>
        <w:tc>
          <w:tcPr>
            <w:tcW w:w="1373" w:type="dxa"/>
            <w:vAlign w:val="center"/>
          </w:tcPr>
          <w:p w:rsidR="00000000" w:rsidRDefault="00000000">
            <w:pPr>
              <w:pStyle w:val="a2"/>
              <w:jc w:val="center"/>
              <w:rPr>
                <w:rFonts w:hint="eastAsia"/>
                <w:snapToGrid/>
              </w:rPr>
            </w:pPr>
            <w:r>
              <w:rPr>
                <w:rFonts w:hint="eastAsia"/>
                <w:snapToGrid/>
              </w:rPr>
              <w:t>百分比</w:t>
            </w:r>
          </w:p>
        </w:tc>
      </w:tr>
      <w:tr w:rsidR="00000000">
        <w:tblPrEx>
          <w:tblCellMar>
            <w:top w:w="0" w:type="dxa"/>
            <w:bottom w:w="0" w:type="dxa"/>
          </w:tblCellMar>
        </w:tblPrEx>
        <w:tc>
          <w:tcPr>
            <w:tcW w:w="921" w:type="dxa"/>
            <w:tcBorders>
              <w:bottom w:val="nil"/>
            </w:tcBorders>
            <w:vAlign w:val="center"/>
          </w:tcPr>
          <w:p w:rsidR="00000000" w:rsidRDefault="00000000">
            <w:pPr>
              <w:pStyle w:val="a2"/>
              <w:jc w:val="center"/>
              <w:rPr>
                <w:snapToGrid/>
              </w:rPr>
            </w:pPr>
            <w:r>
              <w:rPr>
                <w:snapToGrid/>
              </w:rPr>
              <w:t>1998</w:t>
            </w:r>
          </w:p>
        </w:tc>
        <w:tc>
          <w:tcPr>
            <w:tcW w:w="1557" w:type="dxa"/>
            <w:tcBorders>
              <w:bottom w:val="nil"/>
            </w:tcBorders>
            <w:vAlign w:val="center"/>
          </w:tcPr>
          <w:p w:rsidR="00000000" w:rsidRDefault="00000000">
            <w:pPr>
              <w:pStyle w:val="a2"/>
              <w:jc w:val="center"/>
              <w:rPr>
                <w:snapToGrid/>
              </w:rPr>
            </w:pPr>
            <w:r>
              <w:rPr>
                <w:snapToGrid/>
              </w:rPr>
              <w:t>2 286</w:t>
            </w:r>
          </w:p>
        </w:tc>
        <w:tc>
          <w:tcPr>
            <w:tcW w:w="1246" w:type="dxa"/>
            <w:tcBorders>
              <w:bottom w:val="nil"/>
            </w:tcBorders>
            <w:vAlign w:val="center"/>
          </w:tcPr>
          <w:p w:rsidR="00000000" w:rsidRDefault="00000000">
            <w:pPr>
              <w:pStyle w:val="a2"/>
              <w:jc w:val="center"/>
              <w:rPr>
                <w:snapToGrid/>
              </w:rPr>
            </w:pPr>
            <w:r>
              <w:rPr>
                <w:snapToGrid/>
              </w:rPr>
              <w:t>253</w:t>
            </w:r>
          </w:p>
        </w:tc>
        <w:tc>
          <w:tcPr>
            <w:tcW w:w="1326" w:type="dxa"/>
            <w:tcBorders>
              <w:bottom w:val="nil"/>
            </w:tcBorders>
            <w:vAlign w:val="center"/>
          </w:tcPr>
          <w:p w:rsidR="00000000" w:rsidRDefault="00000000">
            <w:pPr>
              <w:pStyle w:val="a2"/>
              <w:tabs>
                <w:tab w:val="decimal" w:pos="578"/>
              </w:tabs>
              <w:rPr>
                <w:snapToGrid/>
              </w:rPr>
            </w:pPr>
            <w:r>
              <w:rPr>
                <w:snapToGrid/>
              </w:rPr>
              <w:t>11</w:t>
            </w:r>
          </w:p>
        </w:tc>
        <w:tc>
          <w:tcPr>
            <w:tcW w:w="1558" w:type="dxa"/>
            <w:tcBorders>
              <w:bottom w:val="nil"/>
            </w:tcBorders>
            <w:vAlign w:val="center"/>
          </w:tcPr>
          <w:p w:rsidR="00000000" w:rsidRDefault="00000000">
            <w:pPr>
              <w:pStyle w:val="a2"/>
              <w:jc w:val="center"/>
              <w:rPr>
                <w:snapToGrid/>
              </w:rPr>
            </w:pPr>
            <w:r>
              <w:rPr>
                <w:snapToGrid/>
              </w:rPr>
              <w:t>3 927</w:t>
            </w:r>
          </w:p>
        </w:tc>
        <w:tc>
          <w:tcPr>
            <w:tcW w:w="1259" w:type="dxa"/>
            <w:tcBorders>
              <w:bottom w:val="nil"/>
            </w:tcBorders>
            <w:vAlign w:val="center"/>
          </w:tcPr>
          <w:p w:rsidR="00000000" w:rsidRDefault="00000000">
            <w:pPr>
              <w:pStyle w:val="a2"/>
              <w:jc w:val="center"/>
              <w:rPr>
                <w:snapToGrid/>
              </w:rPr>
            </w:pPr>
            <w:r>
              <w:rPr>
                <w:snapToGrid/>
              </w:rPr>
              <w:t>537</w:t>
            </w:r>
          </w:p>
        </w:tc>
        <w:tc>
          <w:tcPr>
            <w:tcW w:w="1373" w:type="dxa"/>
            <w:tcBorders>
              <w:bottom w:val="nil"/>
            </w:tcBorders>
            <w:vAlign w:val="center"/>
          </w:tcPr>
          <w:p w:rsidR="00000000" w:rsidRDefault="00000000">
            <w:pPr>
              <w:pStyle w:val="a2"/>
              <w:jc w:val="center"/>
              <w:rPr>
                <w:snapToGrid/>
              </w:rPr>
            </w:pPr>
            <w:r>
              <w:rPr>
                <w:snapToGrid/>
              </w:rPr>
              <w:t>13.67</w:t>
            </w:r>
          </w:p>
        </w:tc>
      </w:tr>
      <w:tr w:rsidR="00000000">
        <w:tblPrEx>
          <w:tblCellMar>
            <w:top w:w="0" w:type="dxa"/>
            <w:bottom w:w="0" w:type="dxa"/>
          </w:tblCellMar>
        </w:tblPrEx>
        <w:tc>
          <w:tcPr>
            <w:tcW w:w="921" w:type="dxa"/>
            <w:tcBorders>
              <w:top w:val="nil"/>
              <w:bottom w:val="nil"/>
            </w:tcBorders>
            <w:vAlign w:val="center"/>
          </w:tcPr>
          <w:p w:rsidR="00000000" w:rsidRDefault="00000000">
            <w:pPr>
              <w:pStyle w:val="a2"/>
              <w:jc w:val="center"/>
              <w:rPr>
                <w:snapToGrid/>
              </w:rPr>
            </w:pPr>
            <w:r>
              <w:rPr>
                <w:snapToGrid/>
              </w:rPr>
              <w:t>1999</w:t>
            </w:r>
          </w:p>
        </w:tc>
        <w:tc>
          <w:tcPr>
            <w:tcW w:w="1557" w:type="dxa"/>
            <w:tcBorders>
              <w:top w:val="nil"/>
              <w:bottom w:val="nil"/>
            </w:tcBorders>
            <w:vAlign w:val="center"/>
          </w:tcPr>
          <w:p w:rsidR="00000000" w:rsidRDefault="00000000">
            <w:pPr>
              <w:pStyle w:val="a2"/>
              <w:jc w:val="center"/>
              <w:rPr>
                <w:snapToGrid/>
              </w:rPr>
            </w:pPr>
            <w:r>
              <w:rPr>
                <w:snapToGrid/>
              </w:rPr>
              <w:t>2 418</w:t>
            </w:r>
          </w:p>
        </w:tc>
        <w:tc>
          <w:tcPr>
            <w:tcW w:w="1246" w:type="dxa"/>
            <w:tcBorders>
              <w:top w:val="nil"/>
              <w:bottom w:val="nil"/>
            </w:tcBorders>
            <w:vAlign w:val="center"/>
          </w:tcPr>
          <w:p w:rsidR="00000000" w:rsidRDefault="00000000">
            <w:pPr>
              <w:pStyle w:val="a2"/>
              <w:jc w:val="center"/>
              <w:rPr>
                <w:snapToGrid/>
              </w:rPr>
            </w:pPr>
            <w:r>
              <w:rPr>
                <w:snapToGrid/>
              </w:rPr>
              <w:t>220</w:t>
            </w:r>
          </w:p>
        </w:tc>
        <w:tc>
          <w:tcPr>
            <w:tcW w:w="1326" w:type="dxa"/>
            <w:tcBorders>
              <w:top w:val="nil"/>
              <w:bottom w:val="nil"/>
            </w:tcBorders>
            <w:vAlign w:val="center"/>
          </w:tcPr>
          <w:p w:rsidR="00000000" w:rsidRDefault="00000000">
            <w:pPr>
              <w:pStyle w:val="a2"/>
              <w:tabs>
                <w:tab w:val="decimal" w:pos="578"/>
              </w:tabs>
              <w:rPr>
                <w:snapToGrid/>
              </w:rPr>
            </w:pPr>
            <w:r>
              <w:rPr>
                <w:snapToGrid/>
              </w:rPr>
              <w:t>11.1</w:t>
            </w:r>
          </w:p>
        </w:tc>
        <w:tc>
          <w:tcPr>
            <w:tcW w:w="1558" w:type="dxa"/>
            <w:tcBorders>
              <w:top w:val="nil"/>
              <w:bottom w:val="nil"/>
            </w:tcBorders>
            <w:vAlign w:val="center"/>
          </w:tcPr>
          <w:p w:rsidR="00000000" w:rsidRDefault="00000000">
            <w:pPr>
              <w:pStyle w:val="a2"/>
              <w:jc w:val="center"/>
              <w:rPr>
                <w:snapToGrid/>
              </w:rPr>
            </w:pPr>
            <w:r>
              <w:rPr>
                <w:snapToGrid/>
              </w:rPr>
              <w:t>3 225</w:t>
            </w:r>
          </w:p>
        </w:tc>
        <w:tc>
          <w:tcPr>
            <w:tcW w:w="1259" w:type="dxa"/>
            <w:tcBorders>
              <w:top w:val="nil"/>
              <w:bottom w:val="nil"/>
            </w:tcBorders>
            <w:vAlign w:val="center"/>
          </w:tcPr>
          <w:p w:rsidR="00000000" w:rsidRDefault="00000000">
            <w:pPr>
              <w:pStyle w:val="a2"/>
              <w:jc w:val="center"/>
              <w:rPr>
                <w:snapToGrid/>
              </w:rPr>
            </w:pPr>
            <w:r>
              <w:rPr>
                <w:snapToGrid/>
              </w:rPr>
              <w:t>547</w:t>
            </w:r>
          </w:p>
        </w:tc>
        <w:tc>
          <w:tcPr>
            <w:tcW w:w="1373" w:type="dxa"/>
            <w:tcBorders>
              <w:top w:val="nil"/>
              <w:bottom w:val="nil"/>
            </w:tcBorders>
            <w:vAlign w:val="center"/>
          </w:tcPr>
          <w:p w:rsidR="00000000" w:rsidRDefault="00000000">
            <w:pPr>
              <w:pStyle w:val="a2"/>
              <w:jc w:val="center"/>
              <w:rPr>
                <w:snapToGrid/>
              </w:rPr>
            </w:pPr>
            <w:r>
              <w:rPr>
                <w:snapToGrid/>
              </w:rPr>
              <w:t>16.96</w:t>
            </w:r>
          </w:p>
        </w:tc>
      </w:tr>
      <w:tr w:rsidR="00000000">
        <w:tblPrEx>
          <w:tblCellMar>
            <w:top w:w="0" w:type="dxa"/>
            <w:bottom w:w="0" w:type="dxa"/>
          </w:tblCellMar>
        </w:tblPrEx>
        <w:tc>
          <w:tcPr>
            <w:tcW w:w="921" w:type="dxa"/>
            <w:tcBorders>
              <w:top w:val="nil"/>
              <w:bottom w:val="nil"/>
            </w:tcBorders>
            <w:vAlign w:val="center"/>
          </w:tcPr>
          <w:p w:rsidR="00000000" w:rsidRDefault="00000000">
            <w:pPr>
              <w:pStyle w:val="a2"/>
              <w:jc w:val="center"/>
              <w:rPr>
                <w:snapToGrid/>
              </w:rPr>
            </w:pPr>
            <w:r>
              <w:rPr>
                <w:snapToGrid/>
              </w:rPr>
              <w:t>2000</w:t>
            </w:r>
          </w:p>
        </w:tc>
        <w:tc>
          <w:tcPr>
            <w:tcW w:w="1557" w:type="dxa"/>
            <w:tcBorders>
              <w:top w:val="nil"/>
              <w:bottom w:val="nil"/>
            </w:tcBorders>
            <w:vAlign w:val="center"/>
          </w:tcPr>
          <w:p w:rsidR="00000000" w:rsidRDefault="00000000">
            <w:pPr>
              <w:pStyle w:val="a2"/>
              <w:jc w:val="center"/>
              <w:rPr>
                <w:snapToGrid/>
              </w:rPr>
            </w:pPr>
            <w:r>
              <w:rPr>
                <w:snapToGrid/>
              </w:rPr>
              <w:t>2 647</w:t>
            </w:r>
          </w:p>
        </w:tc>
        <w:tc>
          <w:tcPr>
            <w:tcW w:w="1246" w:type="dxa"/>
            <w:tcBorders>
              <w:top w:val="nil"/>
              <w:bottom w:val="nil"/>
            </w:tcBorders>
            <w:vAlign w:val="center"/>
          </w:tcPr>
          <w:p w:rsidR="00000000" w:rsidRDefault="00000000">
            <w:pPr>
              <w:pStyle w:val="a2"/>
              <w:jc w:val="center"/>
              <w:rPr>
                <w:snapToGrid/>
              </w:rPr>
            </w:pPr>
            <w:r>
              <w:rPr>
                <w:snapToGrid/>
              </w:rPr>
              <w:t>398</w:t>
            </w:r>
          </w:p>
        </w:tc>
        <w:tc>
          <w:tcPr>
            <w:tcW w:w="1326" w:type="dxa"/>
            <w:tcBorders>
              <w:top w:val="nil"/>
              <w:bottom w:val="nil"/>
            </w:tcBorders>
            <w:vAlign w:val="center"/>
          </w:tcPr>
          <w:p w:rsidR="00000000" w:rsidRDefault="00000000">
            <w:pPr>
              <w:pStyle w:val="a2"/>
              <w:tabs>
                <w:tab w:val="decimal" w:pos="578"/>
              </w:tabs>
              <w:rPr>
                <w:snapToGrid/>
              </w:rPr>
            </w:pPr>
            <w:r>
              <w:rPr>
                <w:snapToGrid/>
              </w:rPr>
              <w:t>15</w:t>
            </w:r>
          </w:p>
        </w:tc>
        <w:tc>
          <w:tcPr>
            <w:tcW w:w="1558" w:type="dxa"/>
            <w:tcBorders>
              <w:top w:val="nil"/>
              <w:bottom w:val="nil"/>
            </w:tcBorders>
            <w:vAlign w:val="center"/>
          </w:tcPr>
          <w:p w:rsidR="00000000" w:rsidRDefault="00000000">
            <w:pPr>
              <w:pStyle w:val="a2"/>
              <w:jc w:val="center"/>
              <w:rPr>
                <w:snapToGrid/>
              </w:rPr>
            </w:pPr>
            <w:r>
              <w:rPr>
                <w:snapToGrid/>
              </w:rPr>
              <w:t>5 243</w:t>
            </w:r>
          </w:p>
        </w:tc>
        <w:tc>
          <w:tcPr>
            <w:tcW w:w="1259" w:type="dxa"/>
            <w:tcBorders>
              <w:top w:val="nil"/>
              <w:bottom w:val="nil"/>
            </w:tcBorders>
            <w:vAlign w:val="center"/>
          </w:tcPr>
          <w:p w:rsidR="00000000" w:rsidRDefault="00000000">
            <w:pPr>
              <w:pStyle w:val="a2"/>
              <w:jc w:val="center"/>
              <w:rPr>
                <w:snapToGrid/>
              </w:rPr>
            </w:pPr>
            <w:r>
              <w:rPr>
                <w:snapToGrid/>
              </w:rPr>
              <w:t>528</w:t>
            </w:r>
          </w:p>
        </w:tc>
        <w:tc>
          <w:tcPr>
            <w:tcW w:w="1373" w:type="dxa"/>
            <w:tcBorders>
              <w:top w:val="nil"/>
              <w:bottom w:val="nil"/>
            </w:tcBorders>
            <w:vAlign w:val="center"/>
          </w:tcPr>
          <w:p w:rsidR="00000000" w:rsidRDefault="00000000">
            <w:pPr>
              <w:pStyle w:val="a2"/>
              <w:jc w:val="center"/>
              <w:rPr>
                <w:snapToGrid/>
              </w:rPr>
            </w:pPr>
            <w:r>
              <w:rPr>
                <w:snapToGrid/>
              </w:rPr>
              <w:t>10.07</w:t>
            </w:r>
          </w:p>
        </w:tc>
      </w:tr>
      <w:tr w:rsidR="00000000">
        <w:tblPrEx>
          <w:tblCellMar>
            <w:top w:w="0" w:type="dxa"/>
            <w:bottom w:w="0" w:type="dxa"/>
          </w:tblCellMar>
        </w:tblPrEx>
        <w:tc>
          <w:tcPr>
            <w:tcW w:w="921" w:type="dxa"/>
            <w:tcBorders>
              <w:top w:val="nil"/>
              <w:bottom w:val="nil"/>
            </w:tcBorders>
            <w:vAlign w:val="center"/>
          </w:tcPr>
          <w:p w:rsidR="00000000" w:rsidRDefault="00000000">
            <w:pPr>
              <w:pStyle w:val="a2"/>
              <w:jc w:val="center"/>
              <w:rPr>
                <w:snapToGrid/>
              </w:rPr>
            </w:pPr>
            <w:r>
              <w:rPr>
                <w:snapToGrid/>
              </w:rPr>
              <w:t>2001</w:t>
            </w:r>
          </w:p>
        </w:tc>
        <w:tc>
          <w:tcPr>
            <w:tcW w:w="1557" w:type="dxa"/>
            <w:tcBorders>
              <w:top w:val="nil"/>
              <w:bottom w:val="nil"/>
            </w:tcBorders>
            <w:vAlign w:val="center"/>
          </w:tcPr>
          <w:p w:rsidR="00000000" w:rsidRDefault="00000000">
            <w:pPr>
              <w:pStyle w:val="a2"/>
              <w:jc w:val="center"/>
              <w:rPr>
                <w:snapToGrid/>
              </w:rPr>
            </w:pPr>
            <w:r>
              <w:rPr>
                <w:snapToGrid/>
              </w:rPr>
              <w:t>3 004</w:t>
            </w:r>
          </w:p>
        </w:tc>
        <w:tc>
          <w:tcPr>
            <w:tcW w:w="1246" w:type="dxa"/>
            <w:tcBorders>
              <w:top w:val="nil"/>
              <w:bottom w:val="nil"/>
            </w:tcBorders>
            <w:vAlign w:val="center"/>
          </w:tcPr>
          <w:p w:rsidR="00000000" w:rsidRDefault="00000000">
            <w:pPr>
              <w:pStyle w:val="a2"/>
              <w:jc w:val="center"/>
              <w:rPr>
                <w:snapToGrid/>
              </w:rPr>
            </w:pPr>
            <w:r>
              <w:rPr>
                <w:snapToGrid/>
              </w:rPr>
              <w:t>446</w:t>
            </w:r>
          </w:p>
        </w:tc>
        <w:tc>
          <w:tcPr>
            <w:tcW w:w="1326" w:type="dxa"/>
            <w:tcBorders>
              <w:top w:val="nil"/>
              <w:bottom w:val="nil"/>
            </w:tcBorders>
            <w:vAlign w:val="center"/>
          </w:tcPr>
          <w:p w:rsidR="00000000" w:rsidRDefault="00000000">
            <w:pPr>
              <w:pStyle w:val="a2"/>
              <w:tabs>
                <w:tab w:val="decimal" w:pos="578"/>
              </w:tabs>
              <w:rPr>
                <w:snapToGrid/>
              </w:rPr>
            </w:pPr>
            <w:r>
              <w:rPr>
                <w:snapToGrid/>
              </w:rPr>
              <w:t>14.8</w:t>
            </w:r>
          </w:p>
        </w:tc>
        <w:tc>
          <w:tcPr>
            <w:tcW w:w="1558" w:type="dxa"/>
            <w:tcBorders>
              <w:top w:val="nil"/>
              <w:bottom w:val="nil"/>
            </w:tcBorders>
            <w:vAlign w:val="center"/>
          </w:tcPr>
          <w:p w:rsidR="00000000" w:rsidRDefault="00000000">
            <w:pPr>
              <w:pStyle w:val="a2"/>
              <w:jc w:val="center"/>
              <w:rPr>
                <w:snapToGrid/>
              </w:rPr>
            </w:pPr>
            <w:r>
              <w:rPr>
                <w:snapToGrid/>
              </w:rPr>
              <w:t>5 872</w:t>
            </w:r>
          </w:p>
        </w:tc>
        <w:tc>
          <w:tcPr>
            <w:tcW w:w="1259" w:type="dxa"/>
            <w:tcBorders>
              <w:top w:val="nil"/>
              <w:bottom w:val="nil"/>
            </w:tcBorders>
            <w:vAlign w:val="center"/>
          </w:tcPr>
          <w:p w:rsidR="00000000" w:rsidRDefault="00000000">
            <w:pPr>
              <w:pStyle w:val="a2"/>
              <w:jc w:val="center"/>
              <w:rPr>
                <w:snapToGrid/>
              </w:rPr>
            </w:pPr>
            <w:r>
              <w:rPr>
                <w:snapToGrid/>
              </w:rPr>
              <w:t>661</w:t>
            </w:r>
          </w:p>
        </w:tc>
        <w:tc>
          <w:tcPr>
            <w:tcW w:w="1373" w:type="dxa"/>
            <w:tcBorders>
              <w:top w:val="nil"/>
              <w:bottom w:val="nil"/>
            </w:tcBorders>
            <w:vAlign w:val="center"/>
          </w:tcPr>
          <w:p w:rsidR="00000000" w:rsidRDefault="00000000">
            <w:pPr>
              <w:pStyle w:val="a2"/>
              <w:jc w:val="center"/>
              <w:rPr>
                <w:snapToGrid/>
              </w:rPr>
            </w:pPr>
            <w:r>
              <w:rPr>
                <w:snapToGrid/>
              </w:rPr>
              <w:t>11.25</w:t>
            </w:r>
          </w:p>
        </w:tc>
      </w:tr>
      <w:tr w:rsidR="00000000">
        <w:tblPrEx>
          <w:tblCellMar>
            <w:top w:w="0" w:type="dxa"/>
            <w:bottom w:w="0" w:type="dxa"/>
          </w:tblCellMar>
        </w:tblPrEx>
        <w:tc>
          <w:tcPr>
            <w:tcW w:w="921" w:type="dxa"/>
            <w:tcBorders>
              <w:top w:val="nil"/>
            </w:tcBorders>
            <w:vAlign w:val="center"/>
          </w:tcPr>
          <w:p w:rsidR="00000000" w:rsidRDefault="00000000">
            <w:pPr>
              <w:pStyle w:val="a2"/>
              <w:jc w:val="center"/>
              <w:rPr>
                <w:snapToGrid/>
              </w:rPr>
            </w:pPr>
            <w:r>
              <w:rPr>
                <w:snapToGrid/>
              </w:rPr>
              <w:t>2002</w:t>
            </w:r>
          </w:p>
        </w:tc>
        <w:tc>
          <w:tcPr>
            <w:tcW w:w="1557" w:type="dxa"/>
            <w:tcBorders>
              <w:top w:val="nil"/>
            </w:tcBorders>
            <w:vAlign w:val="center"/>
          </w:tcPr>
          <w:p w:rsidR="00000000" w:rsidRDefault="00000000">
            <w:pPr>
              <w:pStyle w:val="a2"/>
              <w:jc w:val="center"/>
              <w:rPr>
                <w:snapToGrid/>
              </w:rPr>
            </w:pPr>
            <w:r>
              <w:rPr>
                <w:snapToGrid/>
              </w:rPr>
              <w:t>4 712</w:t>
            </w:r>
          </w:p>
        </w:tc>
        <w:tc>
          <w:tcPr>
            <w:tcW w:w="1246" w:type="dxa"/>
            <w:tcBorders>
              <w:top w:val="nil"/>
            </w:tcBorders>
            <w:vAlign w:val="center"/>
          </w:tcPr>
          <w:p w:rsidR="00000000" w:rsidRDefault="00000000">
            <w:pPr>
              <w:pStyle w:val="a2"/>
              <w:jc w:val="center"/>
              <w:rPr>
                <w:snapToGrid/>
              </w:rPr>
            </w:pPr>
            <w:r>
              <w:rPr>
                <w:snapToGrid/>
              </w:rPr>
              <w:t>618</w:t>
            </w:r>
          </w:p>
        </w:tc>
        <w:tc>
          <w:tcPr>
            <w:tcW w:w="1326" w:type="dxa"/>
            <w:tcBorders>
              <w:top w:val="nil"/>
            </w:tcBorders>
            <w:vAlign w:val="center"/>
          </w:tcPr>
          <w:p w:rsidR="00000000" w:rsidRDefault="00000000">
            <w:pPr>
              <w:pStyle w:val="a2"/>
              <w:tabs>
                <w:tab w:val="decimal" w:pos="578"/>
              </w:tabs>
              <w:rPr>
                <w:snapToGrid/>
              </w:rPr>
            </w:pPr>
            <w:r>
              <w:rPr>
                <w:snapToGrid/>
              </w:rPr>
              <w:t>13.1</w:t>
            </w:r>
          </w:p>
        </w:tc>
        <w:tc>
          <w:tcPr>
            <w:tcW w:w="1558" w:type="dxa"/>
            <w:tcBorders>
              <w:top w:val="nil"/>
            </w:tcBorders>
            <w:vAlign w:val="center"/>
          </w:tcPr>
          <w:p w:rsidR="00000000" w:rsidRDefault="00000000">
            <w:pPr>
              <w:pStyle w:val="a2"/>
              <w:jc w:val="center"/>
              <w:rPr>
                <w:snapToGrid/>
              </w:rPr>
            </w:pPr>
            <w:r>
              <w:rPr>
                <w:snapToGrid/>
              </w:rPr>
              <w:t>7 128</w:t>
            </w:r>
          </w:p>
        </w:tc>
        <w:tc>
          <w:tcPr>
            <w:tcW w:w="1259" w:type="dxa"/>
            <w:tcBorders>
              <w:top w:val="nil"/>
            </w:tcBorders>
            <w:vAlign w:val="center"/>
          </w:tcPr>
          <w:p w:rsidR="00000000" w:rsidRDefault="00000000">
            <w:pPr>
              <w:pStyle w:val="a2"/>
              <w:jc w:val="center"/>
              <w:rPr>
                <w:snapToGrid/>
              </w:rPr>
            </w:pPr>
            <w:r>
              <w:rPr>
                <w:snapToGrid/>
              </w:rPr>
              <w:t>892</w:t>
            </w:r>
          </w:p>
        </w:tc>
        <w:tc>
          <w:tcPr>
            <w:tcW w:w="1373" w:type="dxa"/>
            <w:tcBorders>
              <w:top w:val="nil"/>
            </w:tcBorders>
            <w:vAlign w:val="center"/>
          </w:tcPr>
          <w:p w:rsidR="00000000" w:rsidRDefault="00000000">
            <w:pPr>
              <w:pStyle w:val="a2"/>
              <w:jc w:val="center"/>
              <w:rPr>
                <w:snapToGrid/>
              </w:rPr>
            </w:pPr>
            <w:r>
              <w:rPr>
                <w:snapToGrid/>
              </w:rPr>
              <w:t>12.51</w:t>
            </w:r>
          </w:p>
        </w:tc>
      </w:tr>
    </w:tbl>
    <w:p w:rsidR="00000000" w:rsidRDefault="00000000">
      <w:pPr>
        <w:rPr>
          <w:rFonts w:hint="eastAsia"/>
        </w:rPr>
      </w:pPr>
    </w:p>
    <w:p w:rsidR="00000000" w:rsidRDefault="00000000">
      <w:pPr>
        <w:pStyle w:val="EndnoteText"/>
        <w:spacing w:after="320"/>
        <w:rPr>
          <w:rFonts w:hint="eastAsia"/>
        </w:rPr>
      </w:pPr>
      <w:r>
        <w:rPr>
          <w:rFonts w:hint="eastAsia"/>
          <w:u w:val="single"/>
        </w:rPr>
        <w:t>资料来源</w:t>
      </w:r>
      <w:r>
        <w:t>：</w:t>
      </w:r>
      <w:r>
        <w:rPr>
          <w:rFonts w:hint="eastAsia"/>
        </w:rPr>
        <w:t>塞尔维亚共和国健康保护研究所，报告</w:t>
      </w:r>
      <w:r>
        <w:t>1998/1999/2000,</w:t>
      </w:r>
      <w:r>
        <w:rPr>
          <w:rFonts w:hint="eastAsia"/>
        </w:rPr>
        <w:t xml:space="preserve"> </w:t>
      </w:r>
      <w:r>
        <w:rPr>
          <w:rFonts w:hint="eastAsia"/>
        </w:rPr>
        <w:t>巴尼亚卢卡。</w:t>
      </w:r>
    </w:p>
    <w:p w:rsidR="00000000" w:rsidRDefault="00000000">
      <w:pPr>
        <w:ind w:firstLine="510"/>
        <w:rPr>
          <w:rFonts w:hint="eastAsia"/>
        </w:rPr>
      </w:pPr>
      <w:r>
        <w:rPr>
          <w:rFonts w:hint="eastAsia"/>
        </w:rPr>
        <w:t xml:space="preserve">490.  </w:t>
      </w:r>
      <w:r>
        <w:rPr>
          <w:rFonts w:hint="eastAsia"/>
        </w:rPr>
        <w:t>对食品生产人员的监督是在地方一级由检验事务部的卫生检查团负责。从业人员要定期</w:t>
      </w:r>
      <w:r>
        <w:rPr>
          <w:rFonts w:hint="eastAsia"/>
        </w:rPr>
        <w:t>(</w:t>
      </w:r>
      <w:r>
        <w:rPr>
          <w:rFonts w:hint="eastAsia"/>
        </w:rPr>
        <w:t>即至少一年两次</w:t>
      </w:r>
      <w:r>
        <w:rPr>
          <w:rFonts w:hint="eastAsia"/>
        </w:rPr>
        <w:t>)</w:t>
      </w:r>
      <w:r>
        <w:rPr>
          <w:rFonts w:hint="eastAsia"/>
        </w:rPr>
        <w:t>接受体检</w:t>
      </w:r>
      <w:r>
        <w:rPr>
          <w:rFonts w:hint="eastAsia"/>
        </w:rPr>
        <w:t xml:space="preserve"> (</w:t>
      </w:r>
      <w:r>
        <w:t>鼻咽拭子</w:t>
      </w:r>
      <w:r>
        <w:rPr>
          <w:rFonts w:hint="eastAsia"/>
        </w:rPr>
        <w:t>、检查大便是否存在寄生虫和原生生物</w:t>
      </w:r>
      <w:r>
        <w:rPr>
          <w:rFonts w:hint="eastAsia"/>
        </w:rPr>
        <w:t>)</w:t>
      </w:r>
      <w:r>
        <w:rPr>
          <w:rFonts w:hint="eastAsia"/>
        </w:rPr>
        <w:t>和临床检查，如果医生认为有必要还进行额外检测。体检完后并收到实验室结果后下发卫生证书，如检查中发现某些疾病则对患者的继续治疗提出适当建议。</w:t>
      </w:r>
    </w:p>
    <w:p w:rsidR="00000000" w:rsidRDefault="00000000">
      <w:pPr>
        <w:ind w:firstLine="510"/>
        <w:rPr>
          <w:rFonts w:hint="eastAsia"/>
        </w:rPr>
      </w:pPr>
      <w:r>
        <w:rPr>
          <w:rFonts w:hint="eastAsia"/>
        </w:rPr>
        <w:t xml:space="preserve">491.  </w:t>
      </w:r>
      <w:r>
        <w:rPr>
          <w:rFonts w:hint="eastAsia"/>
        </w:rPr>
        <w:t>所有从事食品生产或在食物烹制场所</w:t>
      </w:r>
      <w:r>
        <w:rPr>
          <w:rFonts w:hint="eastAsia"/>
        </w:rPr>
        <w:t>(</w:t>
      </w:r>
      <w:r>
        <w:rPr>
          <w:rFonts w:hint="eastAsia"/>
        </w:rPr>
        <w:t>餐饮场所</w:t>
      </w:r>
      <w:r>
        <w:rPr>
          <w:rFonts w:hint="eastAsia"/>
        </w:rPr>
        <w:t>)</w:t>
      </w:r>
      <w:r>
        <w:rPr>
          <w:rFonts w:hint="eastAsia"/>
        </w:rPr>
        <w:t>工作的人员必须参加卫生</w:t>
      </w:r>
      <w:r>
        <w:rPr>
          <w:rFonts w:hint="eastAsia"/>
        </w:rPr>
        <w:t>/</w:t>
      </w:r>
      <w:r>
        <w:rPr>
          <w:rFonts w:hint="eastAsia"/>
        </w:rPr>
        <w:t>设施卫生的基本课程并通过最后的考试才能开始工作。以后还要不定期地对他们的卫生知识进行再检查。对食品生产设施和人员的监督还包括：食品样品；工作台、工作服、餐具和参与生产过程人员的手。</w:t>
      </w:r>
    </w:p>
    <w:p w:rsidR="00000000" w:rsidRDefault="00000000">
      <w:pPr>
        <w:spacing w:after="320"/>
        <w:ind w:firstLine="510"/>
        <w:rPr>
          <w:rFonts w:hint="eastAsia"/>
        </w:rPr>
      </w:pPr>
      <w:r>
        <w:rPr>
          <w:rFonts w:hint="eastAsia"/>
        </w:rPr>
        <w:t xml:space="preserve">492.  </w:t>
      </w:r>
      <w:r>
        <w:rPr>
          <w:rFonts w:hint="eastAsia"/>
        </w:rPr>
        <w:t>健康保护研究所流行病学处根据卫生中心定期上报的报告监测微生物污染引起的食源性疾病。健康保护研究所的微生物实验室对分泌物、胃内含物以及怀疑造成疾病的食物残留进行分析。目前尚未监测由受化学污染的食品造成的疾病，因为这些污染属于慢性长期污染，大多数情况下只有在长期接触后才发病，此外，尽管</w:t>
      </w:r>
      <w:r>
        <w:rPr>
          <w:rFonts w:hint="eastAsia"/>
        </w:rPr>
        <w:t>SZO</w:t>
      </w:r>
      <w:r>
        <w:rPr>
          <w:rFonts w:hint="eastAsia"/>
        </w:rPr>
        <w:t>越来越多地指出应该监测，但不具备监测的前提条件</w:t>
      </w:r>
      <w:r>
        <w:rPr>
          <w:rFonts w:hint="eastAsia"/>
        </w:rPr>
        <w:t>(TDI, NOEL)</w:t>
      </w:r>
      <w:r>
        <w:rPr>
          <w:rFonts w:hint="eastAsia"/>
        </w:rPr>
        <w:t>。</w:t>
      </w:r>
    </w:p>
    <w:p w:rsidR="00000000" w:rsidRDefault="00000000">
      <w:pPr>
        <w:pStyle w:val="Heading4"/>
        <w:rPr>
          <w:rFonts w:hint="eastAsia"/>
        </w:rPr>
      </w:pPr>
      <w:r>
        <w:rPr>
          <w:rFonts w:hint="eastAsia"/>
        </w:rPr>
        <w:t>工作环境</w:t>
      </w:r>
    </w:p>
    <w:p w:rsidR="00000000" w:rsidRDefault="00000000">
      <w:pPr>
        <w:ind w:firstLine="510"/>
        <w:rPr>
          <w:rFonts w:hint="eastAsia"/>
        </w:rPr>
      </w:pPr>
      <w:r>
        <w:rPr>
          <w:rFonts w:hint="eastAsia"/>
        </w:rPr>
        <w:t xml:space="preserve">493.  </w:t>
      </w:r>
      <w:r>
        <w:rPr>
          <w:rFonts w:hint="eastAsia"/>
        </w:rPr>
        <w:t>工人的健康保护系统十分复杂，因此工作场所的卫生数据仍然极为稀缺。虽然设有州立职业医学研究所的州收集了一些相关数据，但由波斯尼亚和黑塞哥维那联邦公共卫生研究所负责的联邦统计简表只完成了一部分。</w:t>
      </w:r>
    </w:p>
    <w:p w:rsidR="00000000" w:rsidRDefault="00000000">
      <w:pPr>
        <w:ind w:firstLine="510"/>
        <w:rPr>
          <w:rFonts w:hint="eastAsia"/>
        </w:rPr>
      </w:pPr>
      <w:r>
        <w:rPr>
          <w:rFonts w:hint="eastAsia"/>
        </w:rPr>
        <w:t xml:space="preserve">494.  </w:t>
      </w:r>
      <w:r>
        <w:rPr>
          <w:rFonts w:hint="eastAsia"/>
        </w:rPr>
        <w:t>目前仅有工伤率的数据，该数据可以追溯五年。</w:t>
      </w:r>
      <w:r>
        <w:rPr>
          <w:rFonts w:hint="eastAsia"/>
        </w:rPr>
        <w:t>2002</w:t>
      </w:r>
      <w:r>
        <w:rPr>
          <w:rFonts w:hint="eastAsia"/>
        </w:rPr>
        <w:t>年的工伤率比上一年增加。我们仍然缺乏各工种的工伤率数据，也没有由于工伤或工作中事故造成死亡的数据。所以有必要在职业医学领域改进健康报告并监测工作场所的有害操作。</w:t>
      </w:r>
    </w:p>
    <w:p w:rsidR="00000000" w:rsidRDefault="00000000">
      <w:pPr>
        <w:ind w:firstLine="510"/>
        <w:rPr>
          <w:rFonts w:hint="eastAsia"/>
        </w:rPr>
      </w:pPr>
      <w:r>
        <w:rPr>
          <w:rFonts w:hint="eastAsia"/>
        </w:rPr>
        <w:t xml:space="preserve">495.  </w:t>
      </w:r>
      <w:r>
        <w:rPr>
          <w:rFonts w:hint="eastAsia"/>
        </w:rPr>
        <w:t>塞族共和国的情况不可与西欧国家相比，但可以和生产规模收缩的邻国进行比较。这些国家的相同之处在于职工的特定疾病的构成和问题还反映出他们采用人们熟知的报告制度、职工疾病登记、医务工作者治疗后所做的有针对性的流行病学研究数量减少和预防医学工作人员的共同参与减少</w:t>
      </w:r>
      <w:r>
        <w:rPr>
          <w:rFonts w:hint="eastAsia"/>
        </w:rPr>
        <w:t>(</w:t>
      </w:r>
      <w:r>
        <w:rPr>
          <w:rFonts w:hint="eastAsia"/>
        </w:rPr>
        <w:t>这些人员的数量在减少或被解聘，特别是在中小企业里</w:t>
      </w:r>
      <w:r>
        <w:rPr>
          <w:rFonts w:hint="eastAsia"/>
        </w:rPr>
        <w:t>)</w:t>
      </w:r>
      <w:r>
        <w:rPr>
          <w:rFonts w:hint="eastAsia"/>
        </w:rPr>
        <w:t>。就职工的疾病结构来看，可以看出铁路机车司机主要患有振动病、呼吸系统疾病加上吸入有害粉尘和化学物质、工作中毒和各类过敏。</w:t>
      </w:r>
    </w:p>
    <w:p w:rsidR="00000000" w:rsidRDefault="00000000">
      <w:pPr>
        <w:ind w:firstLine="510"/>
        <w:rPr>
          <w:rFonts w:hint="eastAsia"/>
        </w:rPr>
      </w:pPr>
      <w:r>
        <w:rPr>
          <w:rFonts w:hint="eastAsia"/>
        </w:rPr>
        <w:t xml:space="preserve">496.  </w:t>
      </w:r>
      <w:r>
        <w:rPr>
          <w:rFonts w:hint="eastAsia"/>
        </w:rPr>
        <w:t>缺勤加生病的大趋势越来越明显，特别是在冶金、建筑和纺织行业。许多登记疾病合在一起，使与工作条件相关的工作日损失增加，这些疾病包括呼吸系统疾病、高血压、缺血性心脏病和运动系统疾病。局部肢体残疾与残疾趋势增长和患职业病人数增加有关联。</w:t>
      </w:r>
    </w:p>
    <w:p w:rsidR="00000000" w:rsidRDefault="00000000">
      <w:pPr>
        <w:spacing w:after="320"/>
        <w:ind w:firstLine="510"/>
        <w:rPr>
          <w:rFonts w:hint="eastAsia"/>
        </w:rPr>
      </w:pPr>
      <w:r>
        <w:rPr>
          <w:rFonts w:hint="eastAsia"/>
        </w:rPr>
        <w:t xml:space="preserve">497.  </w:t>
      </w:r>
      <w:r>
        <w:rPr>
          <w:rFonts w:hint="eastAsia"/>
        </w:rPr>
        <w:t>仔细阅读下表</w:t>
      </w:r>
      <w:r>
        <w:rPr>
          <w:rFonts w:hint="eastAsia"/>
        </w:rPr>
        <w:t>18</w:t>
      </w:r>
      <w:r>
        <w:rPr>
          <w:rFonts w:hint="eastAsia"/>
        </w:rPr>
        <w:t>中目前可获得的数据，可以按适用的国际疾病分类得出各类疾病的职工患病比例。</w:t>
      </w:r>
    </w:p>
    <w:p w:rsidR="00000000" w:rsidRDefault="00000000">
      <w:pPr>
        <w:pStyle w:val="Heading3"/>
        <w:spacing w:after="120"/>
        <w:rPr>
          <w:rFonts w:hint="eastAsia"/>
          <w:u w:val="none"/>
        </w:rPr>
      </w:pPr>
      <w:r>
        <w:rPr>
          <w:rFonts w:hint="eastAsia"/>
          <w:u w:val="none"/>
        </w:rPr>
        <w:t>表</w:t>
      </w:r>
      <w:r>
        <w:rPr>
          <w:rFonts w:hint="eastAsia"/>
          <w:u w:val="none"/>
        </w:rPr>
        <w:t xml:space="preserve">  18</w:t>
      </w:r>
    </w:p>
    <w:p w:rsidR="00000000" w:rsidRDefault="00000000">
      <w:pPr>
        <w:pStyle w:val="Heading3"/>
        <w:rPr>
          <w:rFonts w:hint="eastAsia"/>
          <w:b/>
          <w:bCs/>
          <w:u w:val="none"/>
        </w:rPr>
      </w:pPr>
      <w:r>
        <w:rPr>
          <w:rFonts w:hint="eastAsia"/>
        </w:rPr>
        <w:t>1999</w:t>
      </w:r>
      <w:r>
        <w:rPr>
          <w:rFonts w:hint="eastAsia"/>
        </w:rPr>
        <w:t>年塞尔维亚共和国工人所患主要疾病</w:t>
      </w:r>
      <w:r>
        <w:br/>
      </w:r>
      <w:r>
        <w:rPr>
          <w:rFonts w:hint="eastAsia"/>
          <w:u w:val="none"/>
        </w:rPr>
        <w:t>(</w:t>
      </w:r>
      <w:r>
        <w:rPr>
          <w:rFonts w:hint="eastAsia"/>
          <w:u w:val="none"/>
        </w:rPr>
        <w:t>根据国际疾病分类</w:t>
      </w:r>
      <w:r>
        <w:rPr>
          <w:rFonts w:hint="eastAsia"/>
          <w:u w:val="none"/>
        </w:rPr>
        <w:t>)</w:t>
      </w:r>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5995"/>
        <w:gridCol w:w="1223"/>
      </w:tblGrid>
      <w:tr w:rsidR="00000000">
        <w:tblPrEx>
          <w:tblCellMar>
            <w:top w:w="0" w:type="dxa"/>
            <w:bottom w:w="0" w:type="dxa"/>
          </w:tblCellMar>
        </w:tblPrEx>
        <w:trPr>
          <w:jc w:val="center"/>
        </w:trPr>
        <w:tc>
          <w:tcPr>
            <w:tcW w:w="2034" w:type="dxa"/>
          </w:tcPr>
          <w:p w:rsidR="00000000" w:rsidRDefault="00000000">
            <w:pPr>
              <w:pStyle w:val="a2"/>
              <w:jc w:val="center"/>
              <w:rPr>
                <w:rFonts w:hint="eastAsia"/>
              </w:rPr>
            </w:pPr>
            <w:r>
              <w:rPr>
                <w:rFonts w:hint="eastAsia"/>
              </w:rPr>
              <w:t>疾病编码</w:t>
            </w:r>
          </w:p>
        </w:tc>
        <w:tc>
          <w:tcPr>
            <w:tcW w:w="5995" w:type="dxa"/>
          </w:tcPr>
          <w:p w:rsidR="00000000" w:rsidRDefault="00000000">
            <w:pPr>
              <w:pStyle w:val="a2"/>
              <w:jc w:val="center"/>
              <w:rPr>
                <w:rFonts w:hint="eastAsia"/>
              </w:rPr>
            </w:pPr>
            <w:r>
              <w:rPr>
                <w:rFonts w:hint="eastAsia"/>
              </w:rPr>
              <w:t>疾</w:t>
            </w:r>
            <w:r>
              <w:rPr>
                <w:rFonts w:hint="eastAsia"/>
              </w:rPr>
              <w:t xml:space="preserve"> </w:t>
            </w:r>
            <w:r>
              <w:rPr>
                <w:rFonts w:hint="eastAsia"/>
              </w:rPr>
              <w:t>病</w:t>
            </w:r>
            <w:r>
              <w:rPr>
                <w:rFonts w:hint="eastAsia"/>
              </w:rPr>
              <w:t xml:space="preserve"> </w:t>
            </w:r>
            <w:r>
              <w:rPr>
                <w:rFonts w:hint="eastAsia"/>
              </w:rPr>
              <w:t>类</w:t>
            </w:r>
            <w:r>
              <w:rPr>
                <w:rFonts w:hint="eastAsia"/>
              </w:rPr>
              <w:t xml:space="preserve"> </w:t>
            </w:r>
            <w:r>
              <w:rPr>
                <w:rFonts w:hint="eastAsia"/>
              </w:rPr>
              <w:t>型</w:t>
            </w:r>
          </w:p>
        </w:tc>
        <w:tc>
          <w:tcPr>
            <w:tcW w:w="1223" w:type="dxa"/>
          </w:tcPr>
          <w:p w:rsidR="00000000" w:rsidRDefault="00000000">
            <w:pPr>
              <w:pStyle w:val="a2"/>
              <w:jc w:val="center"/>
            </w:pPr>
            <w:r>
              <w:t>%</w:t>
            </w:r>
          </w:p>
        </w:tc>
      </w:tr>
      <w:tr w:rsidR="00000000">
        <w:tblPrEx>
          <w:tblCellMar>
            <w:top w:w="0" w:type="dxa"/>
            <w:bottom w:w="0" w:type="dxa"/>
          </w:tblCellMar>
        </w:tblPrEx>
        <w:trPr>
          <w:jc w:val="center"/>
        </w:trPr>
        <w:tc>
          <w:tcPr>
            <w:tcW w:w="2034" w:type="dxa"/>
            <w:tcBorders>
              <w:bottom w:val="nil"/>
            </w:tcBorders>
          </w:tcPr>
          <w:p w:rsidR="00000000" w:rsidRDefault="00000000">
            <w:pPr>
              <w:pStyle w:val="a2"/>
              <w:jc w:val="center"/>
              <w:rPr>
                <w:snapToGrid/>
              </w:rPr>
            </w:pPr>
            <w:r>
              <w:rPr>
                <w:snapToGrid/>
              </w:rPr>
              <w:t>J00.………J99</w:t>
            </w:r>
          </w:p>
        </w:tc>
        <w:tc>
          <w:tcPr>
            <w:tcW w:w="5995" w:type="dxa"/>
            <w:tcBorders>
              <w:bottom w:val="nil"/>
            </w:tcBorders>
          </w:tcPr>
          <w:p w:rsidR="00000000" w:rsidRDefault="00000000">
            <w:pPr>
              <w:pStyle w:val="a2"/>
              <w:ind w:left="113"/>
              <w:rPr>
                <w:rFonts w:hint="eastAsia"/>
                <w:snapToGrid/>
              </w:rPr>
            </w:pPr>
            <w:r>
              <w:rPr>
                <w:rFonts w:hint="eastAsia"/>
                <w:snapToGrid/>
              </w:rPr>
              <w:t>呼吸系统疾病</w:t>
            </w:r>
          </w:p>
        </w:tc>
        <w:tc>
          <w:tcPr>
            <w:tcW w:w="1223" w:type="dxa"/>
            <w:tcBorders>
              <w:bottom w:val="nil"/>
            </w:tcBorders>
          </w:tcPr>
          <w:p w:rsidR="00000000" w:rsidRDefault="00000000">
            <w:pPr>
              <w:pStyle w:val="a2"/>
              <w:jc w:val="center"/>
              <w:rPr>
                <w:snapToGrid/>
              </w:rPr>
            </w:pPr>
            <w:r>
              <w:rPr>
                <w:snapToGrid/>
              </w:rPr>
              <w:t>25.1</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I00………I99</w:t>
            </w:r>
          </w:p>
        </w:tc>
        <w:tc>
          <w:tcPr>
            <w:tcW w:w="5995" w:type="dxa"/>
            <w:tcBorders>
              <w:top w:val="nil"/>
              <w:bottom w:val="nil"/>
            </w:tcBorders>
          </w:tcPr>
          <w:p w:rsidR="00000000" w:rsidRDefault="00000000">
            <w:pPr>
              <w:pStyle w:val="a2"/>
              <w:ind w:left="113"/>
              <w:rPr>
                <w:rFonts w:hint="eastAsia"/>
                <w:snapToGrid/>
              </w:rPr>
            </w:pPr>
            <w:r>
              <w:rPr>
                <w:rFonts w:hint="eastAsia"/>
                <w:snapToGrid/>
              </w:rPr>
              <w:t>循环系统疾病</w:t>
            </w:r>
          </w:p>
        </w:tc>
        <w:tc>
          <w:tcPr>
            <w:tcW w:w="1223" w:type="dxa"/>
            <w:tcBorders>
              <w:top w:val="nil"/>
              <w:bottom w:val="nil"/>
            </w:tcBorders>
          </w:tcPr>
          <w:p w:rsidR="00000000" w:rsidRDefault="00000000">
            <w:pPr>
              <w:pStyle w:val="a2"/>
              <w:jc w:val="center"/>
              <w:rPr>
                <w:snapToGrid/>
              </w:rPr>
            </w:pPr>
            <w:r>
              <w:rPr>
                <w:snapToGrid/>
              </w:rPr>
              <w:t>10.9</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M00………M99</w:t>
            </w:r>
          </w:p>
        </w:tc>
        <w:tc>
          <w:tcPr>
            <w:tcW w:w="5995" w:type="dxa"/>
            <w:tcBorders>
              <w:top w:val="nil"/>
              <w:bottom w:val="nil"/>
            </w:tcBorders>
          </w:tcPr>
          <w:p w:rsidR="00000000" w:rsidRDefault="00000000">
            <w:pPr>
              <w:pStyle w:val="a2"/>
              <w:ind w:left="113"/>
              <w:rPr>
                <w:snapToGrid/>
              </w:rPr>
            </w:pPr>
            <w:r>
              <w:rPr>
                <w:rFonts w:hint="eastAsia"/>
                <w:snapToGrid/>
              </w:rPr>
              <w:t>肌肉骨骼系统和肌腱疾病</w:t>
            </w:r>
          </w:p>
        </w:tc>
        <w:tc>
          <w:tcPr>
            <w:tcW w:w="1223" w:type="dxa"/>
            <w:tcBorders>
              <w:top w:val="nil"/>
              <w:bottom w:val="nil"/>
            </w:tcBorders>
          </w:tcPr>
          <w:p w:rsidR="00000000" w:rsidRDefault="00000000">
            <w:pPr>
              <w:pStyle w:val="a2"/>
              <w:jc w:val="center"/>
              <w:rPr>
                <w:snapToGrid/>
              </w:rPr>
            </w:pPr>
            <w:r>
              <w:rPr>
                <w:snapToGrid/>
              </w:rPr>
              <w:t>10.4</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N00.………N99</w:t>
            </w:r>
          </w:p>
        </w:tc>
        <w:tc>
          <w:tcPr>
            <w:tcW w:w="5995" w:type="dxa"/>
            <w:tcBorders>
              <w:top w:val="nil"/>
              <w:bottom w:val="nil"/>
            </w:tcBorders>
          </w:tcPr>
          <w:p w:rsidR="00000000" w:rsidRDefault="00000000">
            <w:pPr>
              <w:pStyle w:val="a2"/>
              <w:ind w:left="113"/>
              <w:rPr>
                <w:snapToGrid/>
              </w:rPr>
            </w:pPr>
            <w:r>
              <w:rPr>
                <w:rFonts w:hint="eastAsia"/>
                <w:snapToGrid/>
              </w:rPr>
              <w:t>泌尿生殖系统疾病</w:t>
            </w:r>
          </w:p>
        </w:tc>
        <w:tc>
          <w:tcPr>
            <w:tcW w:w="1223" w:type="dxa"/>
            <w:tcBorders>
              <w:top w:val="nil"/>
              <w:bottom w:val="nil"/>
            </w:tcBorders>
          </w:tcPr>
          <w:p w:rsidR="00000000" w:rsidRDefault="00000000">
            <w:pPr>
              <w:pStyle w:val="a2"/>
              <w:jc w:val="center"/>
              <w:rPr>
                <w:snapToGrid/>
              </w:rPr>
            </w:pPr>
            <w:r>
              <w:rPr>
                <w:snapToGrid/>
              </w:rPr>
              <w:t>8.0</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K00.………K99</w:t>
            </w:r>
          </w:p>
        </w:tc>
        <w:tc>
          <w:tcPr>
            <w:tcW w:w="5995" w:type="dxa"/>
            <w:tcBorders>
              <w:top w:val="nil"/>
              <w:bottom w:val="nil"/>
            </w:tcBorders>
          </w:tcPr>
          <w:p w:rsidR="00000000" w:rsidRDefault="00000000">
            <w:pPr>
              <w:pStyle w:val="a2"/>
              <w:ind w:left="113"/>
              <w:rPr>
                <w:rFonts w:hint="eastAsia"/>
                <w:snapToGrid/>
              </w:rPr>
            </w:pPr>
            <w:r>
              <w:rPr>
                <w:rFonts w:hint="eastAsia"/>
                <w:snapToGrid/>
              </w:rPr>
              <w:t>消化系统疾病</w:t>
            </w:r>
          </w:p>
        </w:tc>
        <w:tc>
          <w:tcPr>
            <w:tcW w:w="1223" w:type="dxa"/>
            <w:tcBorders>
              <w:top w:val="nil"/>
              <w:bottom w:val="nil"/>
            </w:tcBorders>
          </w:tcPr>
          <w:p w:rsidR="00000000" w:rsidRDefault="00000000">
            <w:pPr>
              <w:pStyle w:val="a2"/>
              <w:jc w:val="center"/>
              <w:rPr>
                <w:snapToGrid/>
              </w:rPr>
            </w:pPr>
            <w:r>
              <w:rPr>
                <w:snapToGrid/>
              </w:rPr>
              <w:t>7.2</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lang w:val="fr-FR"/>
              </w:rPr>
            </w:pPr>
            <w:r>
              <w:rPr>
                <w:snapToGrid/>
                <w:lang w:val="fr-FR"/>
              </w:rPr>
              <w:t>Z00.………Z99</w:t>
            </w:r>
          </w:p>
        </w:tc>
        <w:tc>
          <w:tcPr>
            <w:tcW w:w="5995" w:type="dxa"/>
            <w:tcBorders>
              <w:top w:val="nil"/>
              <w:bottom w:val="nil"/>
            </w:tcBorders>
          </w:tcPr>
          <w:p w:rsidR="00000000" w:rsidRDefault="00000000">
            <w:pPr>
              <w:pStyle w:val="a2"/>
              <w:ind w:left="113"/>
              <w:rPr>
                <w:rFonts w:hint="eastAsia"/>
                <w:snapToGrid/>
              </w:rPr>
            </w:pPr>
            <w:r>
              <w:rPr>
                <w:rFonts w:hint="eastAsia"/>
                <w:snapToGrid/>
              </w:rPr>
              <w:t>影响健康状态的因素</w:t>
            </w:r>
          </w:p>
        </w:tc>
        <w:tc>
          <w:tcPr>
            <w:tcW w:w="1223" w:type="dxa"/>
            <w:tcBorders>
              <w:top w:val="nil"/>
              <w:bottom w:val="nil"/>
            </w:tcBorders>
          </w:tcPr>
          <w:p w:rsidR="00000000" w:rsidRDefault="00000000">
            <w:pPr>
              <w:pStyle w:val="a2"/>
              <w:jc w:val="center"/>
              <w:rPr>
                <w:snapToGrid/>
              </w:rPr>
            </w:pPr>
            <w:r>
              <w:rPr>
                <w:snapToGrid/>
              </w:rPr>
              <w:t>6.6</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S00.………S99</w:t>
            </w:r>
          </w:p>
        </w:tc>
        <w:tc>
          <w:tcPr>
            <w:tcW w:w="5995" w:type="dxa"/>
            <w:tcBorders>
              <w:top w:val="nil"/>
              <w:bottom w:val="nil"/>
            </w:tcBorders>
          </w:tcPr>
          <w:p w:rsidR="00000000" w:rsidRDefault="00000000">
            <w:pPr>
              <w:pStyle w:val="a2"/>
              <w:ind w:left="113"/>
              <w:rPr>
                <w:snapToGrid/>
              </w:rPr>
            </w:pPr>
            <w:r>
              <w:rPr>
                <w:snapToGrid/>
                <w:color w:val="000000"/>
              </w:rPr>
              <w:t>外伤、中毒及其</w:t>
            </w:r>
            <w:r>
              <w:rPr>
                <w:snapToGrid/>
              </w:rPr>
              <w:t>他外部</w:t>
            </w:r>
            <w:r>
              <w:rPr>
                <w:rFonts w:hint="eastAsia"/>
                <w:snapToGrid/>
                <w:color w:val="000000"/>
              </w:rPr>
              <w:t>因素造成</w:t>
            </w:r>
            <w:r>
              <w:rPr>
                <w:snapToGrid/>
                <w:color w:val="000000"/>
              </w:rPr>
              <w:t>的</w:t>
            </w:r>
            <w:r>
              <w:rPr>
                <w:rFonts w:hint="eastAsia"/>
                <w:snapToGrid/>
                <w:color w:val="000000"/>
              </w:rPr>
              <w:t>后果</w:t>
            </w:r>
            <w:r>
              <w:rPr>
                <w:snapToGrid/>
                <w:color w:val="000000"/>
              </w:rPr>
              <w:t xml:space="preserve">.  </w:t>
            </w:r>
          </w:p>
        </w:tc>
        <w:tc>
          <w:tcPr>
            <w:tcW w:w="1223" w:type="dxa"/>
            <w:tcBorders>
              <w:top w:val="nil"/>
              <w:bottom w:val="nil"/>
            </w:tcBorders>
          </w:tcPr>
          <w:p w:rsidR="00000000" w:rsidRDefault="00000000">
            <w:pPr>
              <w:pStyle w:val="a2"/>
              <w:jc w:val="center"/>
              <w:rPr>
                <w:snapToGrid/>
              </w:rPr>
            </w:pPr>
            <w:r>
              <w:rPr>
                <w:snapToGrid/>
              </w:rPr>
              <w:t>5.8</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F00……..…F99</w:t>
            </w:r>
          </w:p>
        </w:tc>
        <w:tc>
          <w:tcPr>
            <w:tcW w:w="5995" w:type="dxa"/>
            <w:tcBorders>
              <w:top w:val="nil"/>
              <w:bottom w:val="nil"/>
            </w:tcBorders>
          </w:tcPr>
          <w:p w:rsidR="00000000" w:rsidRDefault="00000000">
            <w:pPr>
              <w:pStyle w:val="a2"/>
              <w:ind w:left="113"/>
              <w:rPr>
                <w:rFonts w:hint="eastAsia"/>
                <w:snapToGrid/>
              </w:rPr>
            </w:pPr>
            <w:r>
              <w:rPr>
                <w:snapToGrid/>
                <w:color w:val="000000"/>
              </w:rPr>
              <w:t>精神与行为</w:t>
            </w:r>
            <w:r>
              <w:rPr>
                <w:rFonts w:hint="eastAsia"/>
                <w:snapToGrid/>
                <w:color w:val="000000"/>
              </w:rPr>
              <w:t>错乱</w:t>
            </w:r>
          </w:p>
        </w:tc>
        <w:tc>
          <w:tcPr>
            <w:tcW w:w="1223" w:type="dxa"/>
            <w:tcBorders>
              <w:top w:val="nil"/>
              <w:bottom w:val="nil"/>
            </w:tcBorders>
          </w:tcPr>
          <w:p w:rsidR="00000000" w:rsidRDefault="00000000">
            <w:pPr>
              <w:pStyle w:val="a2"/>
              <w:jc w:val="center"/>
              <w:rPr>
                <w:snapToGrid/>
              </w:rPr>
            </w:pPr>
            <w:r>
              <w:rPr>
                <w:snapToGrid/>
              </w:rPr>
              <w:t>4.0</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L00.……....L99</w:t>
            </w:r>
          </w:p>
        </w:tc>
        <w:tc>
          <w:tcPr>
            <w:tcW w:w="5995" w:type="dxa"/>
            <w:tcBorders>
              <w:top w:val="nil"/>
              <w:bottom w:val="nil"/>
            </w:tcBorders>
          </w:tcPr>
          <w:p w:rsidR="00000000" w:rsidRDefault="00000000">
            <w:pPr>
              <w:pStyle w:val="a2"/>
              <w:ind w:left="113"/>
              <w:rPr>
                <w:snapToGrid/>
              </w:rPr>
            </w:pPr>
            <w:r>
              <w:rPr>
                <w:snapToGrid/>
              </w:rPr>
              <w:t>皮肤和皮下组织疾病</w:t>
            </w:r>
          </w:p>
        </w:tc>
        <w:tc>
          <w:tcPr>
            <w:tcW w:w="1223" w:type="dxa"/>
            <w:tcBorders>
              <w:top w:val="nil"/>
              <w:bottom w:val="nil"/>
            </w:tcBorders>
          </w:tcPr>
          <w:p w:rsidR="00000000" w:rsidRDefault="00000000">
            <w:pPr>
              <w:pStyle w:val="a2"/>
              <w:jc w:val="center"/>
              <w:rPr>
                <w:snapToGrid/>
              </w:rPr>
            </w:pPr>
            <w:r>
              <w:rPr>
                <w:snapToGrid/>
              </w:rPr>
              <w:t>3.6</w:t>
            </w:r>
          </w:p>
        </w:tc>
      </w:tr>
      <w:tr w:rsidR="00000000">
        <w:tblPrEx>
          <w:tblCellMar>
            <w:top w:w="0" w:type="dxa"/>
            <w:bottom w:w="0" w:type="dxa"/>
          </w:tblCellMar>
        </w:tblPrEx>
        <w:trPr>
          <w:jc w:val="center"/>
        </w:trPr>
        <w:tc>
          <w:tcPr>
            <w:tcW w:w="2034" w:type="dxa"/>
            <w:tcBorders>
              <w:top w:val="nil"/>
              <w:bottom w:val="nil"/>
            </w:tcBorders>
          </w:tcPr>
          <w:p w:rsidR="00000000" w:rsidRDefault="00000000">
            <w:pPr>
              <w:pStyle w:val="a2"/>
              <w:jc w:val="center"/>
              <w:rPr>
                <w:snapToGrid/>
              </w:rPr>
            </w:pPr>
            <w:r>
              <w:rPr>
                <w:snapToGrid/>
              </w:rPr>
              <w:t>H00.…....…H99</w:t>
            </w:r>
          </w:p>
        </w:tc>
        <w:tc>
          <w:tcPr>
            <w:tcW w:w="5995" w:type="dxa"/>
            <w:tcBorders>
              <w:top w:val="nil"/>
              <w:bottom w:val="nil"/>
            </w:tcBorders>
          </w:tcPr>
          <w:p w:rsidR="00000000" w:rsidRDefault="00000000">
            <w:pPr>
              <w:pStyle w:val="a2"/>
              <w:ind w:left="113"/>
              <w:rPr>
                <w:rFonts w:hint="eastAsia"/>
                <w:snapToGrid/>
              </w:rPr>
            </w:pPr>
            <w:r>
              <w:rPr>
                <w:rFonts w:hint="eastAsia"/>
                <w:snapToGrid/>
              </w:rPr>
              <w:t>眼疾</w:t>
            </w:r>
          </w:p>
        </w:tc>
        <w:tc>
          <w:tcPr>
            <w:tcW w:w="1223" w:type="dxa"/>
            <w:tcBorders>
              <w:top w:val="nil"/>
              <w:bottom w:val="nil"/>
            </w:tcBorders>
          </w:tcPr>
          <w:p w:rsidR="00000000" w:rsidRDefault="00000000">
            <w:pPr>
              <w:pStyle w:val="a2"/>
              <w:jc w:val="center"/>
              <w:rPr>
                <w:snapToGrid/>
              </w:rPr>
            </w:pPr>
            <w:r>
              <w:rPr>
                <w:snapToGrid/>
              </w:rPr>
              <w:t>2.9</w:t>
            </w:r>
          </w:p>
        </w:tc>
      </w:tr>
      <w:tr w:rsidR="00000000">
        <w:tblPrEx>
          <w:tblCellMar>
            <w:top w:w="0" w:type="dxa"/>
            <w:bottom w:w="0" w:type="dxa"/>
          </w:tblCellMar>
        </w:tblPrEx>
        <w:trPr>
          <w:jc w:val="center"/>
        </w:trPr>
        <w:tc>
          <w:tcPr>
            <w:tcW w:w="2034" w:type="dxa"/>
            <w:tcBorders>
              <w:top w:val="nil"/>
            </w:tcBorders>
          </w:tcPr>
          <w:p w:rsidR="00000000" w:rsidRDefault="00000000">
            <w:pPr>
              <w:pStyle w:val="a2"/>
              <w:jc w:val="center"/>
              <w:rPr>
                <w:rFonts w:hint="eastAsia"/>
                <w:snapToGrid/>
              </w:rPr>
            </w:pPr>
            <w:r>
              <w:rPr>
                <w:snapToGrid/>
              </w:rPr>
              <w:t>.……</w:t>
            </w:r>
          </w:p>
        </w:tc>
        <w:tc>
          <w:tcPr>
            <w:tcW w:w="5995" w:type="dxa"/>
            <w:tcBorders>
              <w:top w:val="nil"/>
            </w:tcBorders>
          </w:tcPr>
          <w:p w:rsidR="00000000" w:rsidRDefault="00000000">
            <w:pPr>
              <w:pStyle w:val="a2"/>
              <w:rPr>
                <w:rFonts w:hint="eastAsia"/>
                <w:snapToGrid/>
              </w:rPr>
            </w:pPr>
            <w:r>
              <w:rPr>
                <w:rFonts w:hint="eastAsia"/>
                <w:snapToGrid/>
              </w:rPr>
              <w:t>其他疾病</w:t>
            </w:r>
          </w:p>
        </w:tc>
        <w:tc>
          <w:tcPr>
            <w:tcW w:w="1223" w:type="dxa"/>
            <w:tcBorders>
              <w:top w:val="nil"/>
            </w:tcBorders>
          </w:tcPr>
          <w:p w:rsidR="00000000" w:rsidRDefault="00000000">
            <w:pPr>
              <w:pStyle w:val="a2"/>
              <w:jc w:val="center"/>
              <w:rPr>
                <w:snapToGrid/>
              </w:rPr>
            </w:pPr>
            <w:r>
              <w:rPr>
                <w:snapToGrid/>
              </w:rPr>
              <w:t>15.5</w:t>
            </w:r>
          </w:p>
        </w:tc>
      </w:tr>
      <w:tr w:rsidR="00000000">
        <w:tblPrEx>
          <w:tblCellMar>
            <w:top w:w="0" w:type="dxa"/>
            <w:bottom w:w="0" w:type="dxa"/>
          </w:tblCellMar>
        </w:tblPrEx>
        <w:trPr>
          <w:jc w:val="center"/>
        </w:trPr>
        <w:tc>
          <w:tcPr>
            <w:tcW w:w="2034" w:type="dxa"/>
          </w:tcPr>
          <w:p w:rsidR="00000000" w:rsidRDefault="00000000">
            <w:pPr>
              <w:pStyle w:val="a2"/>
              <w:jc w:val="center"/>
              <w:rPr>
                <w:rFonts w:hint="eastAsia"/>
                <w:snapToGrid/>
              </w:rPr>
            </w:pPr>
            <w:r>
              <w:rPr>
                <w:rFonts w:hint="eastAsia"/>
                <w:snapToGrid/>
              </w:rPr>
              <w:t>总</w:t>
            </w:r>
            <w:r>
              <w:rPr>
                <w:rFonts w:hint="eastAsia"/>
                <w:snapToGrid/>
              </w:rPr>
              <w:t xml:space="preserve">  </w:t>
            </w:r>
            <w:r>
              <w:rPr>
                <w:rFonts w:hint="eastAsia"/>
                <w:snapToGrid/>
              </w:rPr>
              <w:t>计</w:t>
            </w:r>
          </w:p>
        </w:tc>
        <w:tc>
          <w:tcPr>
            <w:tcW w:w="5995" w:type="dxa"/>
          </w:tcPr>
          <w:p w:rsidR="00000000" w:rsidRDefault="00000000">
            <w:pPr>
              <w:pStyle w:val="a2"/>
              <w:rPr>
                <w:snapToGrid/>
              </w:rPr>
            </w:pPr>
          </w:p>
        </w:tc>
        <w:tc>
          <w:tcPr>
            <w:tcW w:w="1223" w:type="dxa"/>
          </w:tcPr>
          <w:p w:rsidR="00000000" w:rsidRDefault="00000000">
            <w:pPr>
              <w:pStyle w:val="a2"/>
              <w:jc w:val="center"/>
              <w:rPr>
                <w:snapToGrid/>
              </w:rPr>
            </w:pPr>
            <w:r>
              <w:rPr>
                <w:snapToGrid/>
              </w:rPr>
              <w:t>100</w:t>
            </w:r>
          </w:p>
        </w:tc>
      </w:tr>
    </w:tbl>
    <w:p w:rsidR="00000000" w:rsidRDefault="00000000">
      <w:pPr>
        <w:ind w:firstLine="510"/>
        <w:rPr>
          <w:rFonts w:hint="eastAsia"/>
        </w:rPr>
      </w:pPr>
    </w:p>
    <w:p w:rsidR="00000000" w:rsidRDefault="00000000">
      <w:pPr>
        <w:pStyle w:val="EndnoteText"/>
        <w:spacing w:after="320"/>
        <w:rPr>
          <w:rFonts w:hint="eastAsia"/>
        </w:rPr>
      </w:pPr>
      <w:r>
        <w:rPr>
          <w:rFonts w:hint="eastAsia"/>
          <w:u w:val="single"/>
        </w:rPr>
        <w:t>资料来源</w:t>
      </w:r>
      <w:r>
        <w:rPr>
          <w:rFonts w:hint="eastAsia"/>
        </w:rPr>
        <w:t>：塞尔维亚共和国的数据来自规定表格</w:t>
      </w:r>
      <w:r>
        <w:rPr>
          <w:rFonts w:hint="eastAsia"/>
        </w:rPr>
        <w:t xml:space="preserve">3-05/1 RS, </w:t>
      </w:r>
      <w:r>
        <w:rPr>
          <w:rFonts w:hint="eastAsia"/>
        </w:rPr>
        <w:t>只统计了在卫生中心和职业医学中心的工作场所医学服务处里接受治疗的工人。</w:t>
      </w:r>
    </w:p>
    <w:p w:rsidR="00000000" w:rsidRDefault="00000000">
      <w:pPr>
        <w:ind w:firstLine="510"/>
        <w:rPr>
          <w:rFonts w:hint="eastAsia"/>
        </w:rPr>
      </w:pPr>
      <w:r>
        <w:rPr>
          <w:rFonts w:hint="eastAsia"/>
        </w:rPr>
        <w:t xml:space="preserve">498.  </w:t>
      </w:r>
      <w:r>
        <w:rPr>
          <w:rFonts w:hint="eastAsia"/>
        </w:rPr>
        <w:t>职工的医疗保健有针对性地促进了疾病的诊断和治疗，同时也促进了疾病预防。这指的是对健康危害进行评价，以及开展活动减少和消除健康危害。</w:t>
      </w:r>
    </w:p>
    <w:p w:rsidR="00000000" w:rsidRDefault="00000000">
      <w:pPr>
        <w:spacing w:after="320"/>
        <w:ind w:firstLine="510"/>
        <w:rPr>
          <w:rFonts w:hint="eastAsia"/>
        </w:rPr>
      </w:pPr>
      <w:r>
        <w:rPr>
          <w:rFonts w:hint="eastAsia"/>
        </w:rPr>
        <w:t xml:space="preserve">499.  </w:t>
      </w:r>
      <w:r>
        <w:rPr>
          <w:rFonts w:hint="eastAsia"/>
        </w:rPr>
        <w:t>职工健康条例尚未对新的经济状况的要求、经济和财政举措以及改善工作条件的机制做出反应。从事危险生产操作的工人仍然享有某些特权：工时少、年假长、提前退休。然而，人们对高危工作的持正面态度并乐于从事这些工作意味着在执行工作条件方案上存在严重问题和困难。</w:t>
      </w:r>
    </w:p>
    <w:p w:rsidR="00000000" w:rsidRDefault="00000000">
      <w:pPr>
        <w:pStyle w:val="Heading4"/>
        <w:rPr>
          <w:rFonts w:hint="eastAsia"/>
        </w:rPr>
      </w:pPr>
      <w:r>
        <w:rPr>
          <w:rFonts w:hint="eastAsia"/>
        </w:rPr>
        <w:t>电离辐射</w:t>
      </w:r>
    </w:p>
    <w:p w:rsidR="00000000" w:rsidRDefault="00000000">
      <w:pPr>
        <w:ind w:firstLine="510"/>
        <w:rPr>
          <w:rFonts w:hint="eastAsia"/>
        </w:rPr>
      </w:pPr>
      <w:r>
        <w:rPr>
          <w:rFonts w:hint="eastAsia"/>
        </w:rPr>
        <w:t xml:space="preserve">500.  </w:t>
      </w:r>
      <w:r>
        <w:rPr>
          <w:rFonts w:hint="eastAsia"/>
        </w:rPr>
        <w:t>波斯尼亚和黑塞哥维那联邦公共卫生研究所的电离辐射防护中心负责检查电离辐射源。使用个人剂量仪就可以对在电离源和放射生物圈工作的人进行医学控制。立法规定对辐射源进行控制。迄今已拆除了</w:t>
      </w:r>
      <w:r>
        <w:rPr>
          <w:rFonts w:hint="eastAsia"/>
        </w:rPr>
        <w:t>15</w:t>
      </w:r>
      <w:r>
        <w:rPr>
          <w:rFonts w:hint="eastAsia"/>
        </w:rPr>
        <w:t>个放射避雷针。放射性火灾探测器以及大量的避雷针不在控制之中，因为找不到业主，此外，很多公司已经破产，无法支付控制费用。</w:t>
      </w:r>
    </w:p>
    <w:p w:rsidR="00000000" w:rsidRDefault="00000000">
      <w:pPr>
        <w:ind w:firstLine="510"/>
        <w:rPr>
          <w:rFonts w:hint="eastAsia"/>
        </w:rPr>
      </w:pPr>
      <w:r>
        <w:rPr>
          <w:rFonts w:hint="eastAsia"/>
        </w:rPr>
        <w:t xml:space="preserve">501.  </w:t>
      </w:r>
      <w:r>
        <w:rPr>
          <w:rFonts w:hint="eastAsia"/>
        </w:rPr>
        <w:t>电离和非电离辐射的控制</w:t>
      </w:r>
      <w:r>
        <w:rPr>
          <w:rFonts w:hint="eastAsia"/>
          <w:spacing w:val="-50"/>
        </w:rPr>
        <w:t>―</w:t>
      </w:r>
      <w:r>
        <w:rPr>
          <w:rFonts w:hint="eastAsia"/>
        </w:rPr>
        <w:t>―新的《塞尔维亚共和国电离防护法》采用了国际原子能机构的关于电离源监控的建议，并设立了监测。没有开展足够的活动减少人口不必要地接触在医药、工业和研究中广泛使用的电离辐射。</w:t>
      </w:r>
    </w:p>
    <w:p w:rsidR="00000000" w:rsidRDefault="00000000">
      <w:pPr>
        <w:spacing w:after="320"/>
        <w:ind w:firstLine="510"/>
        <w:rPr>
          <w:rFonts w:hint="eastAsia"/>
        </w:rPr>
      </w:pPr>
      <w:r>
        <w:rPr>
          <w:rFonts w:hint="eastAsia"/>
        </w:rPr>
        <w:t xml:space="preserve">502.  </w:t>
      </w:r>
      <w:r>
        <w:rPr>
          <w:rFonts w:hint="eastAsia"/>
        </w:rPr>
        <w:t>我们观察到所谓的自然辐射的上升，在我们国家由于战事爆发自然辐射量更加高，给人口带来了一些不幸的致突变、致畸和致癌的后果，癌的登记发病率上升证实了这一点。在塞尔维亚共和国，没有用个人剂量仪进行控制。然而，在</w:t>
      </w:r>
      <w:r>
        <w:rPr>
          <w:color w:val="000000"/>
        </w:rPr>
        <w:t>巴尼亚卢卡</w:t>
      </w:r>
      <w:r>
        <w:rPr>
          <w:rFonts w:hint="eastAsia"/>
          <w:color w:val="000000"/>
        </w:rPr>
        <w:t>的</w:t>
      </w:r>
      <w:r>
        <w:rPr>
          <w:rFonts w:hint="eastAsia"/>
        </w:rPr>
        <w:t>塞尔维亚共和国健康保护研究所内，设立了一个放射化学部门，已经开始工作了。这个部门必须使其工作、设备和人员面向国家机构的要求和健康保护的这一领域的实际需要。表</w:t>
      </w:r>
      <w:r>
        <w:rPr>
          <w:rFonts w:hint="eastAsia"/>
        </w:rPr>
        <w:t>19</w:t>
      </w:r>
      <w:r>
        <w:rPr>
          <w:rFonts w:hint="eastAsia"/>
        </w:rPr>
        <w:t>反映了这个部门的活动。</w:t>
      </w:r>
    </w:p>
    <w:p w:rsidR="00000000" w:rsidRDefault="00000000">
      <w:pPr>
        <w:pStyle w:val="Heading3"/>
        <w:spacing w:after="120"/>
        <w:rPr>
          <w:rFonts w:hint="eastAsia"/>
          <w:u w:val="none"/>
        </w:rPr>
      </w:pPr>
      <w:r>
        <w:rPr>
          <w:rFonts w:hint="eastAsia"/>
          <w:u w:val="none"/>
        </w:rPr>
        <w:t>表</w:t>
      </w:r>
      <w:r>
        <w:rPr>
          <w:rFonts w:hint="eastAsia"/>
          <w:u w:val="none"/>
        </w:rPr>
        <w:t xml:space="preserve">  19</w:t>
      </w:r>
    </w:p>
    <w:p w:rsidR="00000000" w:rsidRDefault="00000000">
      <w:pPr>
        <w:pStyle w:val="Heading3"/>
        <w:rPr>
          <w:rFonts w:hint="eastAsia"/>
        </w:rPr>
      </w:pPr>
      <w:r>
        <w:rPr>
          <w:rFonts w:hint="eastAsia"/>
        </w:rPr>
        <w:t>受控制的电离辐射源审查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1516"/>
        <w:gridCol w:w="1514"/>
        <w:gridCol w:w="1520"/>
        <w:gridCol w:w="1517"/>
      </w:tblGrid>
      <w:tr w:rsidR="00000000">
        <w:tblPrEx>
          <w:tblCellMar>
            <w:top w:w="0" w:type="dxa"/>
            <w:bottom w:w="0" w:type="dxa"/>
          </w:tblCellMar>
        </w:tblPrEx>
        <w:trPr>
          <w:cantSplit/>
          <w:jc w:val="center"/>
        </w:trPr>
        <w:tc>
          <w:tcPr>
            <w:tcW w:w="3213" w:type="dxa"/>
            <w:vMerge w:val="restart"/>
            <w:vAlign w:val="center"/>
          </w:tcPr>
          <w:p w:rsidR="00000000" w:rsidRDefault="00000000">
            <w:pPr>
              <w:pStyle w:val="a2"/>
              <w:jc w:val="center"/>
              <w:rPr>
                <w:rFonts w:hint="eastAsia"/>
              </w:rPr>
            </w:pPr>
            <w:r>
              <w:rPr>
                <w:rFonts w:hint="eastAsia"/>
              </w:rPr>
              <w:t>电离辐射源</w:t>
            </w:r>
          </w:p>
        </w:tc>
        <w:tc>
          <w:tcPr>
            <w:tcW w:w="3030" w:type="dxa"/>
            <w:gridSpan w:val="2"/>
            <w:tcBorders>
              <w:bottom w:val="single" w:sz="4" w:space="0" w:color="auto"/>
            </w:tcBorders>
          </w:tcPr>
          <w:p w:rsidR="00000000" w:rsidRDefault="00000000">
            <w:pPr>
              <w:pStyle w:val="a2"/>
              <w:jc w:val="center"/>
            </w:pPr>
            <w:r>
              <w:t>2001</w:t>
            </w:r>
          </w:p>
        </w:tc>
        <w:tc>
          <w:tcPr>
            <w:tcW w:w="3037" w:type="dxa"/>
            <w:gridSpan w:val="2"/>
            <w:tcBorders>
              <w:bottom w:val="single" w:sz="4" w:space="0" w:color="auto"/>
            </w:tcBorders>
          </w:tcPr>
          <w:p w:rsidR="00000000" w:rsidRDefault="00000000">
            <w:pPr>
              <w:pStyle w:val="a2"/>
              <w:jc w:val="center"/>
            </w:pPr>
            <w:r>
              <w:t>2002</w:t>
            </w:r>
          </w:p>
        </w:tc>
      </w:tr>
      <w:tr w:rsidR="00000000">
        <w:tblPrEx>
          <w:tblCellMar>
            <w:top w:w="0" w:type="dxa"/>
            <w:bottom w:w="0" w:type="dxa"/>
          </w:tblCellMar>
        </w:tblPrEx>
        <w:trPr>
          <w:cantSplit/>
          <w:jc w:val="center"/>
        </w:trPr>
        <w:tc>
          <w:tcPr>
            <w:tcW w:w="3213" w:type="dxa"/>
            <w:vMerge/>
            <w:tcBorders>
              <w:bottom w:val="single" w:sz="4" w:space="0" w:color="auto"/>
            </w:tcBorders>
          </w:tcPr>
          <w:p w:rsidR="00000000" w:rsidRDefault="00000000">
            <w:pPr>
              <w:pStyle w:val="a2"/>
              <w:jc w:val="center"/>
            </w:pPr>
          </w:p>
        </w:tc>
        <w:tc>
          <w:tcPr>
            <w:tcW w:w="1516" w:type="dxa"/>
            <w:tcBorders>
              <w:bottom w:val="single" w:sz="4" w:space="0" w:color="auto"/>
            </w:tcBorders>
          </w:tcPr>
          <w:p w:rsidR="00000000" w:rsidRDefault="00000000">
            <w:pPr>
              <w:pStyle w:val="a2"/>
              <w:jc w:val="center"/>
              <w:rPr>
                <w:rFonts w:hint="eastAsia"/>
              </w:rPr>
            </w:pPr>
            <w:r>
              <w:rPr>
                <w:rFonts w:hint="eastAsia"/>
              </w:rPr>
              <w:t>总</w:t>
            </w:r>
            <w:r>
              <w:rPr>
                <w:rFonts w:hint="eastAsia"/>
              </w:rPr>
              <w:t xml:space="preserve">  </w:t>
            </w:r>
            <w:r>
              <w:rPr>
                <w:rFonts w:hint="eastAsia"/>
              </w:rPr>
              <w:t>数</w:t>
            </w:r>
          </w:p>
        </w:tc>
        <w:tc>
          <w:tcPr>
            <w:tcW w:w="1514" w:type="dxa"/>
            <w:tcBorders>
              <w:bottom w:val="single" w:sz="4" w:space="0" w:color="auto"/>
            </w:tcBorders>
          </w:tcPr>
          <w:p w:rsidR="00000000" w:rsidRDefault="00000000">
            <w:pPr>
              <w:pStyle w:val="a2"/>
              <w:jc w:val="center"/>
              <w:rPr>
                <w:rFonts w:hint="eastAsia"/>
              </w:rPr>
            </w:pPr>
            <w:r>
              <w:rPr>
                <w:rFonts w:hint="eastAsia"/>
              </w:rPr>
              <w:t>检查数</w:t>
            </w:r>
          </w:p>
        </w:tc>
        <w:tc>
          <w:tcPr>
            <w:tcW w:w="1520" w:type="dxa"/>
            <w:tcBorders>
              <w:bottom w:val="single" w:sz="4" w:space="0" w:color="auto"/>
            </w:tcBorders>
          </w:tcPr>
          <w:p w:rsidR="00000000" w:rsidRDefault="00000000">
            <w:pPr>
              <w:pStyle w:val="a2"/>
              <w:jc w:val="center"/>
              <w:rPr>
                <w:rFonts w:hint="eastAsia"/>
              </w:rPr>
            </w:pPr>
            <w:r>
              <w:rPr>
                <w:rFonts w:hint="eastAsia"/>
              </w:rPr>
              <w:t>总数</w:t>
            </w:r>
          </w:p>
        </w:tc>
        <w:tc>
          <w:tcPr>
            <w:tcW w:w="1517" w:type="dxa"/>
            <w:tcBorders>
              <w:bottom w:val="single" w:sz="4" w:space="0" w:color="auto"/>
            </w:tcBorders>
          </w:tcPr>
          <w:p w:rsidR="00000000" w:rsidRDefault="00000000">
            <w:pPr>
              <w:pStyle w:val="a2"/>
              <w:jc w:val="center"/>
              <w:rPr>
                <w:rFonts w:hint="eastAsia"/>
              </w:rPr>
            </w:pPr>
            <w:r>
              <w:rPr>
                <w:rFonts w:hint="eastAsia"/>
              </w:rPr>
              <w:t>检查数</w:t>
            </w:r>
          </w:p>
        </w:tc>
      </w:tr>
      <w:tr w:rsidR="00000000">
        <w:tblPrEx>
          <w:tblCellMar>
            <w:top w:w="0" w:type="dxa"/>
            <w:bottom w:w="0" w:type="dxa"/>
          </w:tblCellMar>
        </w:tblPrEx>
        <w:trPr>
          <w:jc w:val="center"/>
        </w:trPr>
        <w:tc>
          <w:tcPr>
            <w:tcW w:w="3213" w:type="dxa"/>
            <w:tcBorders>
              <w:top w:val="single" w:sz="4" w:space="0" w:color="auto"/>
              <w:bottom w:val="nil"/>
            </w:tcBorders>
          </w:tcPr>
          <w:p w:rsidR="00000000" w:rsidRDefault="00000000">
            <w:pPr>
              <w:pStyle w:val="a2"/>
              <w:rPr>
                <w:rFonts w:hint="eastAsia"/>
              </w:rPr>
            </w:pPr>
            <w:r>
              <w:rPr>
                <w:color w:val="000000"/>
                <w:sz w:val="20"/>
              </w:rPr>
              <w:t>同位素热电式发电机</w:t>
            </w:r>
          </w:p>
        </w:tc>
        <w:tc>
          <w:tcPr>
            <w:tcW w:w="1516" w:type="dxa"/>
            <w:tcBorders>
              <w:top w:val="single" w:sz="4" w:space="0" w:color="auto"/>
              <w:bottom w:val="nil"/>
            </w:tcBorders>
          </w:tcPr>
          <w:p w:rsidR="00000000" w:rsidRDefault="00000000">
            <w:pPr>
              <w:pStyle w:val="a2"/>
              <w:jc w:val="center"/>
            </w:pPr>
            <w:r>
              <w:t>206</w:t>
            </w:r>
          </w:p>
        </w:tc>
        <w:tc>
          <w:tcPr>
            <w:tcW w:w="1514" w:type="dxa"/>
            <w:tcBorders>
              <w:top w:val="single" w:sz="4" w:space="0" w:color="auto"/>
              <w:bottom w:val="nil"/>
            </w:tcBorders>
          </w:tcPr>
          <w:p w:rsidR="00000000" w:rsidRDefault="00000000">
            <w:pPr>
              <w:pStyle w:val="a2"/>
              <w:jc w:val="center"/>
            </w:pPr>
            <w:r>
              <w:t>206</w:t>
            </w:r>
            <w:r>
              <w:br/>
              <w:t>(100%)</w:t>
            </w:r>
          </w:p>
        </w:tc>
        <w:tc>
          <w:tcPr>
            <w:tcW w:w="1520" w:type="dxa"/>
            <w:tcBorders>
              <w:top w:val="single" w:sz="4" w:space="0" w:color="auto"/>
              <w:bottom w:val="nil"/>
            </w:tcBorders>
          </w:tcPr>
          <w:p w:rsidR="00000000" w:rsidRDefault="00000000">
            <w:pPr>
              <w:pStyle w:val="a2"/>
              <w:jc w:val="center"/>
            </w:pPr>
            <w:r>
              <w:t>206</w:t>
            </w:r>
          </w:p>
        </w:tc>
        <w:tc>
          <w:tcPr>
            <w:tcW w:w="1517" w:type="dxa"/>
            <w:tcBorders>
              <w:top w:val="single" w:sz="4" w:space="0" w:color="auto"/>
              <w:bottom w:val="nil"/>
            </w:tcBorders>
          </w:tcPr>
          <w:p w:rsidR="00000000" w:rsidRDefault="00000000">
            <w:pPr>
              <w:pStyle w:val="a2"/>
              <w:jc w:val="center"/>
            </w:pPr>
            <w:r>
              <w:t>206</w:t>
            </w:r>
            <w:r>
              <w:br/>
              <w:t>(100%)</w:t>
            </w:r>
          </w:p>
        </w:tc>
      </w:tr>
      <w:tr w:rsidR="00000000">
        <w:tblPrEx>
          <w:tblCellMar>
            <w:top w:w="0" w:type="dxa"/>
            <w:bottom w:w="0" w:type="dxa"/>
          </w:tblCellMar>
        </w:tblPrEx>
        <w:trPr>
          <w:jc w:val="center"/>
        </w:trPr>
        <w:tc>
          <w:tcPr>
            <w:tcW w:w="3213" w:type="dxa"/>
            <w:tcBorders>
              <w:top w:val="nil"/>
              <w:bottom w:val="nil"/>
            </w:tcBorders>
          </w:tcPr>
          <w:p w:rsidR="00000000" w:rsidRDefault="00000000">
            <w:pPr>
              <w:pStyle w:val="a2"/>
              <w:rPr>
                <w:rFonts w:hint="eastAsia"/>
              </w:rPr>
            </w:pPr>
            <w:r>
              <w:rPr>
                <w:rFonts w:hint="eastAsia"/>
              </w:rPr>
              <w:t>断层摄影机</w:t>
            </w:r>
          </w:p>
        </w:tc>
        <w:tc>
          <w:tcPr>
            <w:tcW w:w="1516" w:type="dxa"/>
            <w:tcBorders>
              <w:top w:val="nil"/>
              <w:bottom w:val="nil"/>
            </w:tcBorders>
          </w:tcPr>
          <w:p w:rsidR="00000000" w:rsidRDefault="00000000">
            <w:pPr>
              <w:pStyle w:val="a2"/>
              <w:jc w:val="center"/>
            </w:pPr>
            <w:r>
              <w:rPr>
                <w:rFonts w:hint="eastAsia"/>
              </w:rPr>
              <w:t xml:space="preserve"> </w:t>
            </w:r>
            <w:r>
              <w:t>10</w:t>
            </w:r>
          </w:p>
        </w:tc>
        <w:tc>
          <w:tcPr>
            <w:tcW w:w="1514" w:type="dxa"/>
            <w:tcBorders>
              <w:top w:val="nil"/>
              <w:bottom w:val="nil"/>
            </w:tcBorders>
          </w:tcPr>
          <w:p w:rsidR="00000000" w:rsidRDefault="00000000">
            <w:pPr>
              <w:pStyle w:val="a2"/>
              <w:jc w:val="center"/>
            </w:pPr>
            <w:r>
              <w:t>10</w:t>
            </w:r>
            <w:r>
              <w:br/>
              <w:t>(100%)</w:t>
            </w:r>
          </w:p>
        </w:tc>
        <w:tc>
          <w:tcPr>
            <w:tcW w:w="1520" w:type="dxa"/>
            <w:tcBorders>
              <w:top w:val="nil"/>
              <w:bottom w:val="nil"/>
            </w:tcBorders>
          </w:tcPr>
          <w:p w:rsidR="00000000" w:rsidRDefault="00000000">
            <w:pPr>
              <w:pStyle w:val="a2"/>
              <w:jc w:val="center"/>
            </w:pPr>
            <w:r>
              <w:t>10</w:t>
            </w:r>
          </w:p>
        </w:tc>
        <w:tc>
          <w:tcPr>
            <w:tcW w:w="1517" w:type="dxa"/>
            <w:tcBorders>
              <w:top w:val="nil"/>
              <w:bottom w:val="nil"/>
            </w:tcBorders>
          </w:tcPr>
          <w:p w:rsidR="00000000" w:rsidRDefault="00000000">
            <w:pPr>
              <w:pStyle w:val="a2"/>
              <w:jc w:val="center"/>
            </w:pPr>
            <w:r>
              <w:t>10</w:t>
            </w:r>
            <w:r>
              <w:br/>
              <w:t>(100%)</w:t>
            </w:r>
          </w:p>
        </w:tc>
      </w:tr>
      <w:tr w:rsidR="00000000">
        <w:tblPrEx>
          <w:tblCellMar>
            <w:top w:w="0" w:type="dxa"/>
            <w:bottom w:w="0" w:type="dxa"/>
          </w:tblCellMar>
        </w:tblPrEx>
        <w:trPr>
          <w:jc w:val="center"/>
        </w:trPr>
        <w:tc>
          <w:tcPr>
            <w:tcW w:w="3213" w:type="dxa"/>
            <w:tcBorders>
              <w:top w:val="nil"/>
              <w:bottom w:val="nil"/>
            </w:tcBorders>
          </w:tcPr>
          <w:p w:rsidR="00000000" w:rsidRDefault="00000000">
            <w:pPr>
              <w:pStyle w:val="a2"/>
              <w:rPr>
                <w:rFonts w:hint="eastAsia"/>
              </w:rPr>
            </w:pPr>
            <w:r>
              <w:rPr>
                <w:rFonts w:hint="eastAsia"/>
              </w:rPr>
              <w:t>放射避雷针</w:t>
            </w:r>
          </w:p>
        </w:tc>
        <w:tc>
          <w:tcPr>
            <w:tcW w:w="1516" w:type="dxa"/>
            <w:tcBorders>
              <w:top w:val="nil"/>
              <w:bottom w:val="nil"/>
            </w:tcBorders>
          </w:tcPr>
          <w:p w:rsidR="00000000" w:rsidRDefault="00000000">
            <w:pPr>
              <w:pStyle w:val="a2"/>
              <w:jc w:val="center"/>
            </w:pPr>
            <w:r>
              <w:t>215</w:t>
            </w:r>
          </w:p>
        </w:tc>
        <w:tc>
          <w:tcPr>
            <w:tcW w:w="1514" w:type="dxa"/>
            <w:tcBorders>
              <w:top w:val="nil"/>
              <w:bottom w:val="nil"/>
            </w:tcBorders>
          </w:tcPr>
          <w:p w:rsidR="00000000" w:rsidRDefault="00000000">
            <w:pPr>
              <w:pStyle w:val="a2"/>
              <w:jc w:val="center"/>
            </w:pPr>
            <w:r>
              <w:t>0</w:t>
            </w:r>
          </w:p>
        </w:tc>
        <w:tc>
          <w:tcPr>
            <w:tcW w:w="1520" w:type="dxa"/>
            <w:tcBorders>
              <w:top w:val="nil"/>
              <w:bottom w:val="nil"/>
            </w:tcBorders>
          </w:tcPr>
          <w:p w:rsidR="00000000" w:rsidRDefault="00000000">
            <w:pPr>
              <w:pStyle w:val="a2"/>
              <w:jc w:val="center"/>
            </w:pPr>
            <w:r>
              <w:t>215</w:t>
            </w:r>
          </w:p>
        </w:tc>
        <w:tc>
          <w:tcPr>
            <w:tcW w:w="1517" w:type="dxa"/>
            <w:tcBorders>
              <w:top w:val="nil"/>
              <w:bottom w:val="nil"/>
            </w:tcBorders>
          </w:tcPr>
          <w:p w:rsidR="00000000" w:rsidRDefault="00000000">
            <w:pPr>
              <w:pStyle w:val="a2"/>
              <w:jc w:val="center"/>
            </w:pPr>
            <w:r>
              <w:t>0</w:t>
            </w:r>
          </w:p>
        </w:tc>
      </w:tr>
      <w:tr w:rsidR="00000000">
        <w:tblPrEx>
          <w:tblCellMar>
            <w:top w:w="0" w:type="dxa"/>
            <w:bottom w:w="0" w:type="dxa"/>
          </w:tblCellMar>
        </w:tblPrEx>
        <w:trPr>
          <w:jc w:val="center"/>
        </w:trPr>
        <w:tc>
          <w:tcPr>
            <w:tcW w:w="3213" w:type="dxa"/>
            <w:tcBorders>
              <w:top w:val="nil"/>
              <w:bottom w:val="nil"/>
            </w:tcBorders>
          </w:tcPr>
          <w:p w:rsidR="00000000" w:rsidRDefault="00000000">
            <w:pPr>
              <w:pStyle w:val="a2"/>
              <w:rPr>
                <w:rFonts w:hint="eastAsia"/>
              </w:rPr>
            </w:pPr>
            <w:r>
              <w:rPr>
                <w:rFonts w:hint="eastAsia"/>
              </w:rPr>
              <w:t>工业辐射源</w:t>
            </w:r>
          </w:p>
        </w:tc>
        <w:tc>
          <w:tcPr>
            <w:tcW w:w="1516" w:type="dxa"/>
            <w:tcBorders>
              <w:top w:val="nil"/>
              <w:bottom w:val="nil"/>
            </w:tcBorders>
          </w:tcPr>
          <w:p w:rsidR="00000000" w:rsidRDefault="00000000">
            <w:pPr>
              <w:pStyle w:val="a2"/>
              <w:jc w:val="center"/>
              <w:rPr>
                <w:rFonts w:hint="eastAsia"/>
              </w:rPr>
            </w:pPr>
            <w:r>
              <w:rPr>
                <w:rFonts w:hint="eastAsia"/>
              </w:rPr>
              <w:t>未知</w:t>
            </w:r>
          </w:p>
        </w:tc>
        <w:tc>
          <w:tcPr>
            <w:tcW w:w="1514" w:type="dxa"/>
            <w:tcBorders>
              <w:top w:val="nil"/>
              <w:bottom w:val="nil"/>
            </w:tcBorders>
          </w:tcPr>
          <w:p w:rsidR="00000000" w:rsidRDefault="00000000">
            <w:pPr>
              <w:pStyle w:val="a2"/>
              <w:jc w:val="center"/>
            </w:pPr>
            <w:r>
              <w:t>66</w:t>
            </w:r>
          </w:p>
        </w:tc>
        <w:tc>
          <w:tcPr>
            <w:tcW w:w="1520" w:type="dxa"/>
            <w:tcBorders>
              <w:top w:val="nil"/>
              <w:bottom w:val="nil"/>
            </w:tcBorders>
          </w:tcPr>
          <w:p w:rsidR="00000000" w:rsidRDefault="00000000">
            <w:pPr>
              <w:pStyle w:val="a2"/>
              <w:jc w:val="center"/>
              <w:rPr>
                <w:rFonts w:hint="eastAsia"/>
              </w:rPr>
            </w:pPr>
            <w:r>
              <w:rPr>
                <w:rFonts w:hint="eastAsia"/>
              </w:rPr>
              <w:t>未知</w:t>
            </w:r>
          </w:p>
        </w:tc>
        <w:tc>
          <w:tcPr>
            <w:tcW w:w="1517" w:type="dxa"/>
            <w:tcBorders>
              <w:top w:val="nil"/>
              <w:bottom w:val="nil"/>
            </w:tcBorders>
          </w:tcPr>
          <w:p w:rsidR="00000000" w:rsidRDefault="00000000">
            <w:pPr>
              <w:pStyle w:val="a2"/>
              <w:jc w:val="center"/>
            </w:pPr>
            <w:r>
              <w:t>66</w:t>
            </w:r>
          </w:p>
        </w:tc>
      </w:tr>
      <w:tr w:rsidR="00000000">
        <w:tblPrEx>
          <w:tblCellMar>
            <w:top w:w="0" w:type="dxa"/>
            <w:bottom w:w="0" w:type="dxa"/>
          </w:tblCellMar>
        </w:tblPrEx>
        <w:trPr>
          <w:jc w:val="center"/>
        </w:trPr>
        <w:tc>
          <w:tcPr>
            <w:tcW w:w="3213" w:type="dxa"/>
            <w:tcBorders>
              <w:top w:val="nil"/>
            </w:tcBorders>
          </w:tcPr>
          <w:p w:rsidR="00000000" w:rsidRDefault="00000000">
            <w:pPr>
              <w:pStyle w:val="a2"/>
              <w:rPr>
                <w:rFonts w:hint="eastAsia"/>
              </w:rPr>
            </w:pPr>
            <w:r>
              <w:rPr>
                <w:rFonts w:hint="eastAsia"/>
              </w:rPr>
              <w:t>放射性火灾探测器</w:t>
            </w:r>
          </w:p>
        </w:tc>
        <w:tc>
          <w:tcPr>
            <w:tcW w:w="1516" w:type="dxa"/>
            <w:tcBorders>
              <w:top w:val="nil"/>
            </w:tcBorders>
          </w:tcPr>
          <w:p w:rsidR="00000000" w:rsidRDefault="00000000">
            <w:pPr>
              <w:pStyle w:val="a2"/>
              <w:jc w:val="center"/>
            </w:pPr>
            <w:r>
              <w:t>11 879</w:t>
            </w:r>
          </w:p>
        </w:tc>
        <w:tc>
          <w:tcPr>
            <w:tcW w:w="1514" w:type="dxa"/>
            <w:tcBorders>
              <w:top w:val="nil"/>
            </w:tcBorders>
          </w:tcPr>
          <w:p w:rsidR="00000000" w:rsidRDefault="00000000">
            <w:pPr>
              <w:pStyle w:val="a2"/>
              <w:jc w:val="center"/>
            </w:pPr>
            <w:r>
              <w:t>0</w:t>
            </w:r>
          </w:p>
        </w:tc>
        <w:tc>
          <w:tcPr>
            <w:tcW w:w="1520" w:type="dxa"/>
            <w:tcBorders>
              <w:top w:val="nil"/>
            </w:tcBorders>
          </w:tcPr>
          <w:p w:rsidR="00000000" w:rsidRDefault="00000000">
            <w:pPr>
              <w:pStyle w:val="a2"/>
              <w:jc w:val="center"/>
            </w:pPr>
            <w:r>
              <w:t>11 897</w:t>
            </w:r>
          </w:p>
        </w:tc>
        <w:tc>
          <w:tcPr>
            <w:tcW w:w="1517" w:type="dxa"/>
            <w:tcBorders>
              <w:top w:val="nil"/>
            </w:tcBorders>
          </w:tcPr>
          <w:p w:rsidR="00000000" w:rsidRDefault="00000000">
            <w:pPr>
              <w:pStyle w:val="a2"/>
              <w:jc w:val="center"/>
            </w:pPr>
            <w:r>
              <w:t>50</w:t>
            </w:r>
          </w:p>
        </w:tc>
      </w:tr>
    </w:tbl>
    <w:p w:rsidR="00000000" w:rsidRDefault="00000000">
      <w:pPr>
        <w:ind w:firstLine="510"/>
        <w:rPr>
          <w:rFonts w:hint="eastAsia"/>
          <w:b/>
          <w:bCs/>
        </w:rPr>
      </w:pPr>
    </w:p>
    <w:p w:rsidR="00000000" w:rsidRDefault="00000000">
      <w:pPr>
        <w:ind w:firstLine="510"/>
        <w:rPr>
          <w:rFonts w:hint="eastAsia"/>
        </w:rPr>
      </w:pPr>
      <w:r>
        <w:rPr>
          <w:rFonts w:hint="eastAsia"/>
        </w:rPr>
        <w:t xml:space="preserve">503.  </w:t>
      </w:r>
      <w:r>
        <w:rPr>
          <w:rFonts w:hint="eastAsia"/>
        </w:rPr>
        <w:t>在过去两年中，共登记了</w:t>
      </w:r>
      <w:r>
        <w:rPr>
          <w:rFonts w:hint="eastAsia"/>
        </w:rPr>
        <w:t>215</w:t>
      </w:r>
      <w:r>
        <w:rPr>
          <w:rFonts w:hint="eastAsia"/>
        </w:rPr>
        <w:t>个放射避雷针，其中</w:t>
      </w:r>
      <w:r>
        <w:rPr>
          <w:rFonts w:hint="eastAsia"/>
        </w:rPr>
        <w:t>15</w:t>
      </w:r>
      <w:r>
        <w:rPr>
          <w:rFonts w:hint="eastAsia"/>
        </w:rPr>
        <w:t>个已经被拆除，然而辐射水平尚未得到控制。由于缺乏记录，尚没有关于工业源的数量和放射性火灾探测器的数量的确切数据。</w:t>
      </w:r>
    </w:p>
    <w:p w:rsidR="00000000" w:rsidRDefault="00000000">
      <w:pPr>
        <w:spacing w:after="320"/>
      </w:pPr>
      <w:r>
        <w:rPr>
          <w:rFonts w:hint="eastAsia"/>
        </w:rPr>
        <w:tab/>
        <w:t xml:space="preserve">504.  </w:t>
      </w:r>
      <w:r>
        <w:rPr>
          <w:rFonts w:hint="eastAsia"/>
        </w:rPr>
        <w:t>根据目前的登记，在塞尔维亚共和国共有</w:t>
      </w:r>
      <w:r>
        <w:rPr>
          <w:rFonts w:hint="eastAsia"/>
        </w:rPr>
        <w:t>193</w:t>
      </w:r>
      <w:r>
        <w:rPr>
          <w:rFonts w:hint="eastAsia"/>
        </w:rPr>
        <w:t>个含标准放射水平钴</w:t>
      </w:r>
      <w:r>
        <w:rPr>
          <w:rFonts w:hint="eastAsia"/>
        </w:rPr>
        <w:t>60</w:t>
      </w:r>
      <w:r>
        <w:rPr>
          <w:rFonts w:hint="eastAsia"/>
        </w:rPr>
        <w:t>的放射避雷针，范围在</w:t>
      </w:r>
      <w:r>
        <w:rPr>
          <w:rFonts w:hint="eastAsia"/>
        </w:rPr>
        <w:t>3.7</w:t>
      </w:r>
      <w:r>
        <w:rPr>
          <w:rFonts w:hint="eastAsia"/>
        </w:rPr>
        <w:t>到</w:t>
      </w:r>
      <w:r>
        <w:rPr>
          <w:rFonts w:hint="eastAsia"/>
        </w:rPr>
        <w:t>7.4 GB</w:t>
      </w:r>
      <w:r>
        <w:rPr>
          <w:rFonts w:hint="eastAsia"/>
        </w:rPr>
        <w:t>之间，就是说有</w:t>
      </w:r>
      <w:r>
        <w:rPr>
          <w:rFonts w:hint="eastAsia"/>
        </w:rPr>
        <w:t>152</w:t>
      </w:r>
      <w:r>
        <w:rPr>
          <w:rFonts w:hint="eastAsia"/>
        </w:rPr>
        <w:t>个避雷针的半衰期是</w:t>
      </w:r>
      <w:r>
        <w:rPr>
          <w:rFonts w:hint="eastAsia"/>
        </w:rPr>
        <w:t>13</w:t>
      </w:r>
      <w:r>
        <w:rPr>
          <w:rFonts w:hint="eastAsia"/>
        </w:rPr>
        <w:t>年。战争爆发之前，共有超过</w:t>
      </w:r>
      <w:r>
        <w:rPr>
          <w:rFonts w:hint="eastAsia"/>
        </w:rPr>
        <w:t>600</w:t>
      </w:r>
      <w:r>
        <w:rPr>
          <w:rFonts w:hint="eastAsia"/>
        </w:rPr>
        <w:t>个含有结晶铕的电离火灾探测器。战争期间，一些在大工厂里装有大型火灾探测器的放射避雷针被摧毁。清理废墟时，放射性材料在没有任何控制的情况下从电离火灾探测器中被拆分出来，和其他碎片一起被处理掉了。存放这些材料的地点大都不合适，只能被认为是在找到更好地点之前的暂时措施。新的《电离辐射防护法》将要规定对人口不必要地接触在医药、工业和研究中广泛使用的电离辐射进行监督并减少此类接触。</w:t>
      </w:r>
    </w:p>
    <w:p w:rsidR="00000000" w:rsidRDefault="00000000">
      <w:pPr>
        <w:pStyle w:val="Heading3"/>
        <w:spacing w:after="120"/>
        <w:rPr>
          <w:rFonts w:hint="eastAsia"/>
          <w:u w:val="none"/>
        </w:rPr>
      </w:pPr>
      <w:r>
        <w:rPr>
          <w:rFonts w:hint="eastAsia"/>
          <w:u w:val="none"/>
        </w:rPr>
        <w:t>表</w:t>
      </w:r>
      <w:r>
        <w:rPr>
          <w:rFonts w:hint="eastAsia"/>
          <w:u w:val="none"/>
        </w:rPr>
        <w:t xml:space="preserve">  20</w:t>
      </w:r>
    </w:p>
    <w:p w:rsidR="00000000" w:rsidRDefault="00000000">
      <w:pPr>
        <w:pStyle w:val="Heading3"/>
        <w:rPr>
          <w:rFonts w:hint="eastAsia"/>
        </w:rPr>
      </w:pPr>
      <w:r>
        <w:rPr>
          <w:rFonts w:hint="eastAsia"/>
        </w:rPr>
        <w:t>对在电离辐射源工作的人员进行检测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2340"/>
        <w:gridCol w:w="1776"/>
        <w:gridCol w:w="1622"/>
        <w:gridCol w:w="1762"/>
      </w:tblGrid>
      <w:tr w:rsidR="00000000">
        <w:tblPrEx>
          <w:tblCellMar>
            <w:top w:w="0" w:type="dxa"/>
            <w:bottom w:w="0" w:type="dxa"/>
          </w:tblCellMar>
        </w:tblPrEx>
        <w:trPr>
          <w:cantSplit/>
          <w:jc w:val="center"/>
        </w:trPr>
        <w:tc>
          <w:tcPr>
            <w:tcW w:w="1675" w:type="dxa"/>
            <w:vMerge w:val="restart"/>
            <w:vAlign w:val="center"/>
          </w:tcPr>
          <w:p w:rsidR="00000000" w:rsidRDefault="00000000">
            <w:pPr>
              <w:pStyle w:val="a2"/>
              <w:jc w:val="center"/>
              <w:rPr>
                <w:rFonts w:hint="eastAsia"/>
              </w:rPr>
            </w:pPr>
            <w:r>
              <w:rPr>
                <w:rFonts w:hint="eastAsia"/>
              </w:rPr>
              <w:t>检测类型</w:t>
            </w:r>
          </w:p>
        </w:tc>
        <w:tc>
          <w:tcPr>
            <w:tcW w:w="4116" w:type="dxa"/>
            <w:gridSpan w:val="2"/>
          </w:tcPr>
          <w:p w:rsidR="00000000" w:rsidRDefault="00000000">
            <w:pPr>
              <w:pStyle w:val="a2"/>
              <w:jc w:val="center"/>
            </w:pPr>
            <w:r>
              <w:t>2001</w:t>
            </w:r>
          </w:p>
        </w:tc>
        <w:tc>
          <w:tcPr>
            <w:tcW w:w="3384" w:type="dxa"/>
            <w:gridSpan w:val="2"/>
          </w:tcPr>
          <w:p w:rsidR="00000000" w:rsidRDefault="00000000">
            <w:pPr>
              <w:pStyle w:val="a2"/>
              <w:jc w:val="center"/>
            </w:pPr>
            <w:r>
              <w:t>2002</w:t>
            </w:r>
          </w:p>
        </w:tc>
      </w:tr>
      <w:tr w:rsidR="00000000">
        <w:tblPrEx>
          <w:tblCellMar>
            <w:top w:w="0" w:type="dxa"/>
            <w:bottom w:w="0" w:type="dxa"/>
          </w:tblCellMar>
        </w:tblPrEx>
        <w:trPr>
          <w:cantSplit/>
          <w:jc w:val="center"/>
        </w:trPr>
        <w:tc>
          <w:tcPr>
            <w:tcW w:w="1675" w:type="dxa"/>
            <w:vMerge/>
          </w:tcPr>
          <w:p w:rsidR="00000000" w:rsidRDefault="00000000">
            <w:pPr>
              <w:pStyle w:val="a2"/>
            </w:pPr>
          </w:p>
        </w:tc>
        <w:tc>
          <w:tcPr>
            <w:tcW w:w="2340" w:type="dxa"/>
          </w:tcPr>
          <w:p w:rsidR="00000000" w:rsidRDefault="00000000">
            <w:pPr>
              <w:pStyle w:val="a2"/>
              <w:spacing w:before="20" w:after="20" w:line="240" w:lineRule="auto"/>
              <w:jc w:val="center"/>
            </w:pPr>
            <w:r>
              <w:rPr>
                <w:rFonts w:hint="eastAsia"/>
              </w:rPr>
              <w:t>在电离辐射源</w:t>
            </w:r>
            <w:r>
              <w:br/>
            </w:r>
            <w:r>
              <w:rPr>
                <w:rFonts w:hint="eastAsia"/>
              </w:rPr>
              <w:t>工作的总人数</w:t>
            </w:r>
          </w:p>
        </w:tc>
        <w:tc>
          <w:tcPr>
            <w:tcW w:w="1776" w:type="dxa"/>
            <w:vAlign w:val="center"/>
          </w:tcPr>
          <w:p w:rsidR="00000000" w:rsidRDefault="00000000">
            <w:pPr>
              <w:pStyle w:val="a2"/>
              <w:spacing w:line="240" w:lineRule="auto"/>
              <w:jc w:val="center"/>
              <w:rPr>
                <w:rFonts w:hint="eastAsia"/>
              </w:rPr>
            </w:pPr>
            <w:r>
              <w:rPr>
                <w:rFonts w:hint="eastAsia"/>
              </w:rPr>
              <w:t>被监督的人数</w:t>
            </w:r>
          </w:p>
        </w:tc>
        <w:tc>
          <w:tcPr>
            <w:tcW w:w="1622" w:type="dxa"/>
          </w:tcPr>
          <w:p w:rsidR="00000000" w:rsidRDefault="00000000">
            <w:pPr>
              <w:pStyle w:val="a2"/>
              <w:spacing w:before="40" w:line="240" w:lineRule="auto"/>
            </w:pPr>
            <w:r>
              <w:rPr>
                <w:rFonts w:hint="eastAsia"/>
              </w:rPr>
              <w:t>在电离辐射源</w:t>
            </w:r>
            <w:r>
              <w:br/>
            </w:r>
            <w:r>
              <w:rPr>
                <w:rFonts w:hint="eastAsia"/>
              </w:rPr>
              <w:t>工作的总人数</w:t>
            </w:r>
          </w:p>
        </w:tc>
        <w:tc>
          <w:tcPr>
            <w:tcW w:w="1762" w:type="dxa"/>
            <w:vAlign w:val="center"/>
          </w:tcPr>
          <w:p w:rsidR="00000000" w:rsidRDefault="00000000">
            <w:pPr>
              <w:pStyle w:val="a2"/>
              <w:spacing w:line="240" w:lineRule="auto"/>
              <w:jc w:val="center"/>
            </w:pPr>
            <w:r>
              <w:rPr>
                <w:rFonts w:hint="eastAsia"/>
              </w:rPr>
              <w:t>被监督的人数</w:t>
            </w:r>
          </w:p>
        </w:tc>
      </w:tr>
      <w:tr w:rsidR="00000000">
        <w:tblPrEx>
          <w:tblCellMar>
            <w:top w:w="0" w:type="dxa"/>
            <w:bottom w:w="0" w:type="dxa"/>
          </w:tblCellMar>
        </w:tblPrEx>
        <w:trPr>
          <w:jc w:val="center"/>
        </w:trPr>
        <w:tc>
          <w:tcPr>
            <w:tcW w:w="1675" w:type="dxa"/>
            <w:tcBorders>
              <w:bottom w:val="nil"/>
            </w:tcBorders>
          </w:tcPr>
          <w:p w:rsidR="00000000" w:rsidRDefault="00000000">
            <w:pPr>
              <w:pStyle w:val="a2"/>
              <w:rPr>
                <w:rFonts w:hint="eastAsia"/>
              </w:rPr>
            </w:pPr>
            <w:r>
              <w:rPr>
                <w:color w:val="000000"/>
              </w:rPr>
              <w:t>热释光剂量</w:t>
            </w:r>
            <w:r>
              <w:rPr>
                <w:rFonts w:hint="eastAsia"/>
                <w:color w:val="000000"/>
              </w:rPr>
              <w:t>计</w:t>
            </w:r>
          </w:p>
        </w:tc>
        <w:tc>
          <w:tcPr>
            <w:tcW w:w="2340" w:type="dxa"/>
            <w:tcBorders>
              <w:bottom w:val="nil"/>
            </w:tcBorders>
          </w:tcPr>
          <w:p w:rsidR="00000000" w:rsidRDefault="00000000">
            <w:pPr>
              <w:pStyle w:val="a2"/>
              <w:jc w:val="center"/>
            </w:pPr>
            <w:r>
              <w:t>630</w:t>
            </w:r>
          </w:p>
        </w:tc>
        <w:tc>
          <w:tcPr>
            <w:tcW w:w="1776" w:type="dxa"/>
            <w:tcBorders>
              <w:bottom w:val="nil"/>
            </w:tcBorders>
          </w:tcPr>
          <w:p w:rsidR="00000000" w:rsidRDefault="00000000">
            <w:pPr>
              <w:pStyle w:val="a2"/>
              <w:jc w:val="center"/>
            </w:pPr>
            <w:r>
              <w:t>613</w:t>
            </w:r>
            <w:r>
              <w:br/>
              <w:t>(97%)</w:t>
            </w:r>
          </w:p>
        </w:tc>
        <w:tc>
          <w:tcPr>
            <w:tcW w:w="1622" w:type="dxa"/>
            <w:tcBorders>
              <w:bottom w:val="nil"/>
            </w:tcBorders>
          </w:tcPr>
          <w:p w:rsidR="00000000" w:rsidRDefault="00000000">
            <w:pPr>
              <w:pStyle w:val="a2"/>
              <w:jc w:val="center"/>
            </w:pPr>
            <w:r>
              <w:t>715</w:t>
            </w:r>
          </w:p>
        </w:tc>
        <w:tc>
          <w:tcPr>
            <w:tcW w:w="1762" w:type="dxa"/>
            <w:tcBorders>
              <w:bottom w:val="nil"/>
            </w:tcBorders>
          </w:tcPr>
          <w:p w:rsidR="00000000" w:rsidRDefault="00000000">
            <w:pPr>
              <w:pStyle w:val="a2"/>
              <w:jc w:val="center"/>
            </w:pPr>
            <w:r>
              <w:t>694</w:t>
            </w:r>
            <w:r>
              <w:br/>
              <w:t>(97%)</w:t>
            </w:r>
          </w:p>
        </w:tc>
      </w:tr>
      <w:tr w:rsidR="00000000">
        <w:tblPrEx>
          <w:tblCellMar>
            <w:top w:w="0" w:type="dxa"/>
            <w:bottom w:w="0" w:type="dxa"/>
          </w:tblCellMar>
        </w:tblPrEx>
        <w:trPr>
          <w:jc w:val="center"/>
        </w:trPr>
        <w:tc>
          <w:tcPr>
            <w:tcW w:w="1675" w:type="dxa"/>
            <w:tcBorders>
              <w:top w:val="nil"/>
            </w:tcBorders>
          </w:tcPr>
          <w:p w:rsidR="00000000" w:rsidRDefault="00000000">
            <w:pPr>
              <w:pStyle w:val="a2"/>
              <w:rPr>
                <w:rFonts w:hint="eastAsia"/>
              </w:rPr>
            </w:pPr>
            <w:r>
              <w:rPr>
                <w:rFonts w:hint="eastAsia"/>
              </w:rPr>
              <w:t>医学检查</w:t>
            </w:r>
          </w:p>
        </w:tc>
        <w:tc>
          <w:tcPr>
            <w:tcW w:w="2340" w:type="dxa"/>
            <w:tcBorders>
              <w:top w:val="nil"/>
            </w:tcBorders>
          </w:tcPr>
          <w:p w:rsidR="00000000" w:rsidRDefault="00000000">
            <w:pPr>
              <w:pStyle w:val="a2"/>
              <w:jc w:val="center"/>
            </w:pPr>
            <w:r>
              <w:t>630</w:t>
            </w:r>
          </w:p>
        </w:tc>
        <w:tc>
          <w:tcPr>
            <w:tcW w:w="1776" w:type="dxa"/>
            <w:tcBorders>
              <w:top w:val="nil"/>
            </w:tcBorders>
          </w:tcPr>
          <w:p w:rsidR="00000000" w:rsidRDefault="00000000">
            <w:pPr>
              <w:pStyle w:val="a2"/>
              <w:jc w:val="center"/>
            </w:pPr>
            <w:r>
              <w:t>128</w:t>
            </w:r>
            <w:r>
              <w:br/>
              <w:t>(20%)</w:t>
            </w:r>
          </w:p>
        </w:tc>
        <w:tc>
          <w:tcPr>
            <w:tcW w:w="1622" w:type="dxa"/>
            <w:tcBorders>
              <w:top w:val="nil"/>
            </w:tcBorders>
          </w:tcPr>
          <w:p w:rsidR="00000000" w:rsidRDefault="00000000">
            <w:pPr>
              <w:pStyle w:val="a2"/>
              <w:jc w:val="center"/>
            </w:pPr>
            <w:r>
              <w:t>715</w:t>
            </w:r>
          </w:p>
        </w:tc>
        <w:tc>
          <w:tcPr>
            <w:tcW w:w="1762" w:type="dxa"/>
            <w:tcBorders>
              <w:top w:val="nil"/>
            </w:tcBorders>
          </w:tcPr>
          <w:p w:rsidR="00000000" w:rsidRDefault="00000000">
            <w:pPr>
              <w:pStyle w:val="a2"/>
              <w:jc w:val="center"/>
            </w:pPr>
            <w:r>
              <w:t>460</w:t>
            </w:r>
            <w:r>
              <w:br/>
              <w:t>(64%)</w:t>
            </w:r>
          </w:p>
        </w:tc>
      </w:tr>
    </w:tbl>
    <w:p w:rsidR="00000000" w:rsidRDefault="00000000">
      <w:pPr>
        <w:ind w:firstLine="510"/>
        <w:rPr>
          <w:rFonts w:hint="eastAsia"/>
          <w:b/>
          <w:bCs/>
        </w:rPr>
      </w:pPr>
    </w:p>
    <w:p w:rsidR="00000000" w:rsidRDefault="00000000">
      <w:pPr>
        <w:spacing w:after="240"/>
        <w:ind w:firstLine="510"/>
        <w:rPr>
          <w:rFonts w:hint="eastAsia"/>
        </w:rPr>
      </w:pPr>
      <w:r>
        <w:rPr>
          <w:rFonts w:hint="eastAsia"/>
        </w:rPr>
        <w:t xml:space="preserve">505.  </w:t>
      </w:r>
      <w:r>
        <w:rPr>
          <w:rFonts w:hint="eastAsia"/>
        </w:rPr>
        <w:t>关于对在电离辐射源工作的人进行检测，</w:t>
      </w:r>
      <w:r>
        <w:rPr>
          <w:color w:val="000000"/>
        </w:rPr>
        <w:t>热释光剂量计</w:t>
      </w:r>
      <w:r>
        <w:rPr>
          <w:rFonts w:hint="eastAsia"/>
          <w:color w:val="000000"/>
        </w:rPr>
        <w:t>(TLD)</w:t>
      </w:r>
      <w:r>
        <w:rPr>
          <w:rFonts w:hint="eastAsia"/>
          <w:color w:val="000000"/>
        </w:rPr>
        <w:t>测出的剂量在规定的限量内。体检表明在</w:t>
      </w:r>
      <w:r>
        <w:rPr>
          <w:rFonts w:hint="eastAsia"/>
        </w:rPr>
        <w:t>电离辐射源工作的人的健康状况没有损害。</w:t>
      </w:r>
    </w:p>
    <w:p w:rsidR="00000000" w:rsidRDefault="00000000">
      <w:pPr>
        <w:pStyle w:val="Heading3"/>
        <w:spacing w:after="120"/>
        <w:rPr>
          <w:rFonts w:hint="eastAsia"/>
          <w:u w:val="none"/>
        </w:rPr>
      </w:pPr>
      <w:r>
        <w:rPr>
          <w:rFonts w:hint="eastAsia"/>
          <w:u w:val="none"/>
        </w:rPr>
        <w:t>表</w:t>
      </w:r>
      <w:r>
        <w:rPr>
          <w:rFonts w:hint="eastAsia"/>
          <w:u w:val="none"/>
        </w:rPr>
        <w:t xml:space="preserve">  21</w:t>
      </w:r>
    </w:p>
    <w:p w:rsidR="00000000" w:rsidRDefault="00000000">
      <w:pPr>
        <w:pStyle w:val="Heading3"/>
        <w:rPr>
          <w:rFonts w:hint="eastAsia"/>
        </w:rPr>
      </w:pPr>
      <w:r>
        <w:rPr>
          <w:rFonts w:hint="eastAsia"/>
        </w:rPr>
        <w:t>对食品和饮用水的放射性控制</w:t>
      </w:r>
    </w:p>
    <w:tbl>
      <w:tblPr>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3190"/>
        <w:gridCol w:w="3191"/>
      </w:tblGrid>
      <w:tr w:rsidR="00000000">
        <w:tblPrEx>
          <w:tblCellMar>
            <w:top w:w="0" w:type="dxa"/>
            <w:bottom w:w="0" w:type="dxa"/>
          </w:tblCellMar>
        </w:tblPrEx>
        <w:trPr>
          <w:jc w:val="center"/>
        </w:trPr>
        <w:tc>
          <w:tcPr>
            <w:tcW w:w="2906" w:type="dxa"/>
            <w:tcBorders>
              <w:bottom w:val="single" w:sz="4" w:space="0" w:color="auto"/>
            </w:tcBorders>
          </w:tcPr>
          <w:p w:rsidR="00000000" w:rsidRDefault="00000000">
            <w:pPr>
              <w:pStyle w:val="a2"/>
              <w:jc w:val="center"/>
              <w:rPr>
                <w:rFonts w:hint="eastAsia"/>
              </w:rPr>
            </w:pPr>
            <w:r>
              <w:rPr>
                <w:rFonts w:hint="eastAsia"/>
              </w:rPr>
              <w:t>样品类型</w:t>
            </w:r>
          </w:p>
        </w:tc>
        <w:tc>
          <w:tcPr>
            <w:tcW w:w="3190" w:type="dxa"/>
            <w:tcBorders>
              <w:bottom w:val="single" w:sz="4" w:space="0" w:color="auto"/>
            </w:tcBorders>
          </w:tcPr>
          <w:p w:rsidR="00000000" w:rsidRDefault="00000000">
            <w:pPr>
              <w:pStyle w:val="a2"/>
              <w:jc w:val="center"/>
            </w:pPr>
            <w:r>
              <w:rPr>
                <w:rFonts w:hint="eastAsia"/>
              </w:rPr>
              <w:t>取样数量</w:t>
            </w:r>
            <w:r>
              <w:t>，</w:t>
            </w:r>
            <w:r>
              <w:t>2001</w:t>
            </w:r>
          </w:p>
        </w:tc>
        <w:tc>
          <w:tcPr>
            <w:tcW w:w="3191" w:type="dxa"/>
            <w:tcBorders>
              <w:bottom w:val="single" w:sz="4" w:space="0" w:color="auto"/>
            </w:tcBorders>
          </w:tcPr>
          <w:p w:rsidR="00000000" w:rsidRDefault="00000000">
            <w:pPr>
              <w:pStyle w:val="a2"/>
              <w:jc w:val="center"/>
            </w:pPr>
            <w:r>
              <w:rPr>
                <w:rFonts w:hint="eastAsia"/>
              </w:rPr>
              <w:t>取样数量</w:t>
            </w:r>
            <w:r>
              <w:t>，</w:t>
            </w:r>
            <w:r>
              <w:t>2002</w:t>
            </w:r>
          </w:p>
        </w:tc>
      </w:tr>
      <w:tr w:rsidR="00000000">
        <w:tblPrEx>
          <w:tblCellMar>
            <w:top w:w="0" w:type="dxa"/>
            <w:bottom w:w="0" w:type="dxa"/>
          </w:tblCellMar>
        </w:tblPrEx>
        <w:trPr>
          <w:jc w:val="center"/>
        </w:trPr>
        <w:tc>
          <w:tcPr>
            <w:tcW w:w="2906" w:type="dxa"/>
            <w:tcBorders>
              <w:bottom w:val="nil"/>
            </w:tcBorders>
          </w:tcPr>
          <w:p w:rsidR="00000000" w:rsidRDefault="00000000">
            <w:pPr>
              <w:pStyle w:val="a2"/>
              <w:jc w:val="center"/>
              <w:rPr>
                <w:rFonts w:hint="eastAsia"/>
              </w:rPr>
            </w:pPr>
            <w:r>
              <w:rPr>
                <w:rFonts w:hint="eastAsia"/>
              </w:rPr>
              <w:t>食</w:t>
            </w:r>
            <w:r>
              <w:rPr>
                <w:rFonts w:hint="eastAsia"/>
              </w:rPr>
              <w:t xml:space="preserve">  </w:t>
            </w:r>
            <w:r>
              <w:rPr>
                <w:rFonts w:hint="eastAsia"/>
              </w:rPr>
              <w:t>品</w:t>
            </w:r>
          </w:p>
        </w:tc>
        <w:tc>
          <w:tcPr>
            <w:tcW w:w="3190" w:type="dxa"/>
            <w:tcBorders>
              <w:bottom w:val="nil"/>
            </w:tcBorders>
          </w:tcPr>
          <w:p w:rsidR="00000000" w:rsidRDefault="00000000">
            <w:pPr>
              <w:pStyle w:val="a2"/>
              <w:ind w:right="1401"/>
              <w:jc w:val="right"/>
            </w:pPr>
            <w:r>
              <w:t>170</w:t>
            </w:r>
          </w:p>
        </w:tc>
        <w:tc>
          <w:tcPr>
            <w:tcW w:w="3191" w:type="dxa"/>
            <w:tcBorders>
              <w:bottom w:val="nil"/>
            </w:tcBorders>
          </w:tcPr>
          <w:p w:rsidR="00000000" w:rsidRDefault="00000000">
            <w:pPr>
              <w:pStyle w:val="a2"/>
              <w:ind w:right="1401"/>
              <w:jc w:val="right"/>
            </w:pPr>
            <w:r>
              <w:t>349</w:t>
            </w:r>
          </w:p>
        </w:tc>
      </w:tr>
      <w:tr w:rsidR="00000000">
        <w:tblPrEx>
          <w:tblCellMar>
            <w:top w:w="0" w:type="dxa"/>
            <w:bottom w:w="0" w:type="dxa"/>
          </w:tblCellMar>
        </w:tblPrEx>
        <w:trPr>
          <w:jc w:val="center"/>
        </w:trPr>
        <w:tc>
          <w:tcPr>
            <w:tcW w:w="2906" w:type="dxa"/>
            <w:tcBorders>
              <w:top w:val="nil"/>
            </w:tcBorders>
          </w:tcPr>
          <w:p w:rsidR="00000000" w:rsidRDefault="00000000">
            <w:pPr>
              <w:pStyle w:val="a2"/>
              <w:jc w:val="center"/>
              <w:rPr>
                <w:rFonts w:hint="eastAsia"/>
              </w:rPr>
            </w:pPr>
            <w:r>
              <w:rPr>
                <w:rFonts w:hint="eastAsia"/>
              </w:rPr>
              <w:t>饮用水</w:t>
            </w:r>
          </w:p>
        </w:tc>
        <w:tc>
          <w:tcPr>
            <w:tcW w:w="3190" w:type="dxa"/>
            <w:tcBorders>
              <w:top w:val="nil"/>
            </w:tcBorders>
          </w:tcPr>
          <w:p w:rsidR="00000000" w:rsidRDefault="00000000">
            <w:pPr>
              <w:pStyle w:val="a2"/>
              <w:ind w:right="1401"/>
              <w:jc w:val="right"/>
            </w:pPr>
            <w:r>
              <w:t>27</w:t>
            </w:r>
          </w:p>
        </w:tc>
        <w:tc>
          <w:tcPr>
            <w:tcW w:w="3191" w:type="dxa"/>
            <w:tcBorders>
              <w:top w:val="nil"/>
            </w:tcBorders>
          </w:tcPr>
          <w:p w:rsidR="00000000" w:rsidRDefault="00000000">
            <w:pPr>
              <w:pStyle w:val="a2"/>
              <w:ind w:right="1401"/>
              <w:jc w:val="right"/>
            </w:pPr>
            <w:r>
              <w:t>31</w:t>
            </w:r>
          </w:p>
        </w:tc>
      </w:tr>
    </w:tbl>
    <w:p w:rsidR="00000000" w:rsidRDefault="00000000">
      <w:pPr>
        <w:spacing w:before="240"/>
        <w:ind w:firstLine="510"/>
        <w:rPr>
          <w:rFonts w:hint="eastAsia"/>
        </w:rPr>
      </w:pPr>
      <w:r>
        <w:rPr>
          <w:rFonts w:hint="eastAsia"/>
        </w:rPr>
        <w:t xml:space="preserve">506.  </w:t>
      </w:r>
      <w:r>
        <w:rPr>
          <w:rFonts w:hint="eastAsia"/>
        </w:rPr>
        <w:t>关于对食品和饮用水的放射性检测，</w:t>
      </w:r>
      <w:r>
        <w:rPr>
          <w:rFonts w:hint="eastAsia"/>
        </w:rPr>
        <w:t>2002</w:t>
      </w:r>
      <w:r>
        <w:rPr>
          <w:rFonts w:hint="eastAsia"/>
        </w:rPr>
        <w:t>年除了检测了</w:t>
      </w:r>
      <w:r>
        <w:rPr>
          <w:rFonts w:hint="eastAsia"/>
        </w:rPr>
        <w:t>349</w:t>
      </w:r>
      <w:r>
        <w:rPr>
          <w:rFonts w:hint="eastAsia"/>
        </w:rPr>
        <w:t>种食物样品外，还对监测的</w:t>
      </w:r>
      <w:r>
        <w:rPr>
          <w:rFonts w:hint="eastAsia"/>
        </w:rPr>
        <w:t>24</w:t>
      </w:r>
      <w:r>
        <w:rPr>
          <w:rFonts w:hint="eastAsia"/>
        </w:rPr>
        <w:t>种样品进行了</w:t>
      </w:r>
      <w:r>
        <w:rPr>
          <w:rFonts w:hint="eastAsia"/>
        </w:rPr>
        <w:t>5</w:t>
      </w:r>
      <w:r>
        <w:rPr>
          <w:rFonts w:hint="eastAsia"/>
        </w:rPr>
        <w:t>种放射性同位素的年检。所有样品都没有辐射。对饮用水进行了总贝他活动性的检测。所有样品都没有辐射。由于没有阿尔法</w:t>
      </w:r>
      <w:r>
        <w:rPr>
          <w:rFonts w:hint="eastAsia"/>
        </w:rPr>
        <w:t>/</w:t>
      </w:r>
      <w:r>
        <w:rPr>
          <w:rFonts w:hint="eastAsia"/>
        </w:rPr>
        <w:t>贝他计数器，不可能确定水的总阿尔法</w:t>
      </w:r>
      <w:r>
        <w:rPr>
          <w:rFonts w:hint="eastAsia"/>
        </w:rPr>
        <w:t>/</w:t>
      </w:r>
      <w:r>
        <w:rPr>
          <w:rFonts w:hint="eastAsia"/>
        </w:rPr>
        <w:t>贝他活动性，但根据立法，有必要进行确定。</w:t>
      </w:r>
    </w:p>
    <w:p w:rsidR="00000000" w:rsidRDefault="00000000">
      <w:pPr>
        <w:ind w:firstLine="510"/>
        <w:rPr>
          <w:rFonts w:hint="eastAsia"/>
        </w:rPr>
      </w:pPr>
      <w:r>
        <w:rPr>
          <w:rFonts w:hint="eastAsia"/>
        </w:rPr>
        <w:t xml:space="preserve">507.  </w:t>
      </w:r>
      <w:r>
        <w:rPr>
          <w:rFonts w:hint="eastAsia"/>
        </w:rPr>
        <w:t>由此得出结论，和前一时期相比，</w:t>
      </w:r>
      <w:r>
        <w:rPr>
          <w:rFonts w:hint="eastAsia"/>
        </w:rPr>
        <w:t>2002</w:t>
      </w:r>
      <w:r>
        <w:rPr>
          <w:rFonts w:hint="eastAsia"/>
        </w:rPr>
        <w:t>年在执行辐射控制方面取得了显著进展。国际原子能机构项目的工作有了改进。个人每年接受的剂量主要是背景辐射的结果，范围在</w:t>
      </w:r>
      <w:r>
        <w:rPr>
          <w:rFonts w:hint="eastAsia"/>
        </w:rPr>
        <w:t>1-10 mSv</w:t>
      </w:r>
      <w:r>
        <w:rPr>
          <w:rFonts w:hint="eastAsia"/>
        </w:rPr>
        <w:t>之间，平均值为</w:t>
      </w:r>
      <w:r>
        <w:rPr>
          <w:rFonts w:hint="eastAsia"/>
        </w:rPr>
        <w:t>2.4 mSv</w:t>
      </w:r>
      <w:r>
        <w:rPr>
          <w:rFonts w:hint="eastAsia"/>
        </w:rPr>
        <w:t>。更重要的是在封闭场所里空气中存在氡，这应该得到控制。</w:t>
      </w:r>
    </w:p>
    <w:p w:rsidR="00000000" w:rsidRDefault="00000000">
      <w:pPr>
        <w:ind w:firstLine="510"/>
        <w:rPr>
          <w:rFonts w:hint="eastAsia"/>
        </w:rPr>
      </w:pPr>
      <w:r>
        <w:rPr>
          <w:rFonts w:hint="eastAsia"/>
        </w:rPr>
        <w:t xml:space="preserve">508.  </w:t>
      </w:r>
      <w:r>
        <w:rPr>
          <w:rFonts w:hint="eastAsia"/>
        </w:rPr>
        <w:t>在医药、工业、研究和任何使用辐射的地方里对电离辐射的接触呈上升趋势。不过，对辐射源的防护和控制也在改善，所以人们相信，在辐射源工作的人接触电离辐射的风险在减小。</w:t>
      </w:r>
    </w:p>
    <w:p w:rsidR="00000000" w:rsidRDefault="00000000">
      <w:pPr>
        <w:ind w:firstLine="510"/>
        <w:rPr>
          <w:rFonts w:hint="eastAsia"/>
        </w:rPr>
      </w:pPr>
      <w:r>
        <w:rPr>
          <w:rFonts w:hint="eastAsia"/>
        </w:rPr>
        <w:t xml:space="preserve">509.  </w:t>
      </w:r>
      <w:r>
        <w:rPr>
          <w:rFonts w:hint="eastAsia"/>
        </w:rPr>
        <w:t>国内专家所作的健康状况研究、出版的论文、世界银行的波斯尼亚和黑塞哥维那贫困问题研究和世界卫生组织的报告，都非常清楚地表明波斯尼亚和黑塞哥维那的贫困率很高。卫生部门是直接依赖其他部门的社会部门之一，特别是依赖经济。卫生部门的所有问题都可以归结为由卫生状况、卫生系统参与者的不满和财务问题产生的。解决问题的方法就是改变收钱和花钱的方式、改进管理、让社区参与、让社区对自己的卫生状况负责和提高卫生系统的有效性使之能对整个社会的需要做出反应。</w:t>
      </w:r>
    </w:p>
    <w:p w:rsidR="00000000" w:rsidRDefault="00000000">
      <w:pPr>
        <w:spacing w:after="320"/>
        <w:ind w:firstLine="510"/>
        <w:rPr>
          <w:rFonts w:hint="eastAsia"/>
        </w:rPr>
      </w:pPr>
      <w:r>
        <w:rPr>
          <w:rFonts w:hint="eastAsia"/>
        </w:rPr>
        <w:t xml:space="preserve">510.  </w:t>
      </w:r>
      <w:r>
        <w:rPr>
          <w:rFonts w:hint="eastAsia"/>
        </w:rPr>
        <w:t>为了实现这一目标，波斯尼亚和黑塞哥维那正在制定一个卫生发展战</w:t>
      </w:r>
      <w:r>
        <w:rPr>
          <w:rFonts w:hint="eastAsia"/>
          <w:spacing w:val="6"/>
        </w:rPr>
        <w:t>略，这是《减贫战略文件》的一部分。该战略还包括修改现行立法和通过新的立</w:t>
      </w:r>
      <w:r>
        <w:rPr>
          <w:rFonts w:hint="eastAsia"/>
        </w:rPr>
        <w:t>法。</w:t>
      </w:r>
    </w:p>
    <w:p w:rsidR="00000000" w:rsidRDefault="00000000">
      <w:pPr>
        <w:pStyle w:val="Heading4"/>
        <w:rPr>
          <w:rFonts w:hint="eastAsia"/>
        </w:rPr>
      </w:pPr>
      <w:r>
        <w:rPr>
          <w:rFonts w:hint="eastAsia"/>
        </w:rPr>
        <w:t>未爆炸地雷和爆炸装置的威胁</w:t>
      </w:r>
    </w:p>
    <w:p w:rsidR="00000000" w:rsidRDefault="00000000">
      <w:pPr>
        <w:ind w:firstLine="510"/>
        <w:rPr>
          <w:rFonts w:hint="eastAsia"/>
        </w:rPr>
      </w:pPr>
      <w:r>
        <w:rPr>
          <w:rFonts w:hint="eastAsia"/>
        </w:rPr>
        <w:t xml:space="preserve">511.  </w:t>
      </w:r>
      <w:r>
        <w:rPr>
          <w:rFonts w:hint="eastAsia"/>
        </w:rPr>
        <w:t>各地的未爆炸地雷和爆炸装置对儿童的健康和整个国家的健康都造成具体威胁。估计在波斯尼亚和黑塞哥维那有大约</w:t>
      </w:r>
      <w:r>
        <w:rPr>
          <w:rFonts w:hint="eastAsia"/>
        </w:rPr>
        <w:t>100</w:t>
      </w:r>
      <w:r>
        <w:rPr>
          <w:rFonts w:hint="eastAsia"/>
        </w:rPr>
        <w:t>万枚未爆炸地雷，其中</w:t>
      </w:r>
      <w:r>
        <w:rPr>
          <w:rFonts w:hint="eastAsia"/>
        </w:rPr>
        <w:t>70%</w:t>
      </w:r>
      <w:r>
        <w:rPr>
          <w:rFonts w:hint="eastAsia"/>
        </w:rPr>
        <w:t>在波斯尼亚和黑塞哥维那联邦，分布在</w:t>
      </w:r>
      <w:r>
        <w:rPr>
          <w:rFonts w:hint="eastAsia"/>
        </w:rPr>
        <w:t>16,000</w:t>
      </w:r>
      <w:r>
        <w:rPr>
          <w:rFonts w:hint="eastAsia"/>
        </w:rPr>
        <w:t>到</w:t>
      </w:r>
      <w:r>
        <w:rPr>
          <w:rFonts w:hint="eastAsia"/>
        </w:rPr>
        <w:t>20,000</w:t>
      </w:r>
      <w:r>
        <w:rPr>
          <w:rFonts w:hint="eastAsia"/>
        </w:rPr>
        <w:t>个雷区里。</w:t>
      </w:r>
    </w:p>
    <w:p w:rsidR="00000000" w:rsidRDefault="00000000">
      <w:pPr>
        <w:ind w:firstLine="510"/>
        <w:rPr>
          <w:rFonts w:hint="eastAsia"/>
        </w:rPr>
      </w:pPr>
      <w:r>
        <w:rPr>
          <w:rFonts w:hint="eastAsia"/>
        </w:rPr>
        <w:t xml:space="preserve">512.  </w:t>
      </w:r>
      <w:r>
        <w:rPr>
          <w:rFonts w:hint="eastAsia"/>
        </w:rPr>
        <w:t>其次一个风险因素就是未受控制的电离辐射源。这方面没有确切的数据。电离辐射的登记工作正在进行。</w:t>
      </w:r>
      <w:r>
        <w:rPr>
          <w:rFonts w:hint="eastAsia"/>
        </w:rPr>
        <w:t>1999</w:t>
      </w:r>
      <w:r>
        <w:rPr>
          <w:rFonts w:hint="eastAsia"/>
        </w:rPr>
        <w:t>年通过了《电离辐射的防护和辐射安全法》。该法律在联邦卫生部内设立了一个负责电离辐射防护和辐射安全的行政单位，还设立了一个电离辐射防护中心，就在公共卫生局内。</w:t>
      </w:r>
    </w:p>
    <w:p w:rsidR="00000000" w:rsidRDefault="00000000">
      <w:pPr>
        <w:spacing w:after="320"/>
        <w:ind w:firstLine="510"/>
        <w:rPr>
          <w:rFonts w:hint="eastAsia"/>
        </w:rPr>
      </w:pPr>
      <w:r>
        <w:rPr>
          <w:rFonts w:hint="eastAsia"/>
        </w:rPr>
        <w:t xml:space="preserve">513.  </w:t>
      </w:r>
      <w:r>
        <w:rPr>
          <w:rFonts w:hint="eastAsia"/>
        </w:rPr>
        <w:t>波斯尼亚和黑塞哥维那探雷和排雷中心的数据显示，</w:t>
      </w:r>
      <w:r>
        <w:rPr>
          <w:rFonts w:hint="eastAsia"/>
        </w:rPr>
        <w:t>2001</w:t>
      </w:r>
      <w:r>
        <w:rPr>
          <w:rFonts w:hint="eastAsia"/>
        </w:rPr>
        <w:t>年共有</w:t>
      </w:r>
      <w:r>
        <w:rPr>
          <w:rFonts w:hint="eastAsia"/>
        </w:rPr>
        <w:t>63</w:t>
      </w:r>
      <w:r>
        <w:rPr>
          <w:rFonts w:hint="eastAsia"/>
        </w:rPr>
        <w:t>起事故，造成</w:t>
      </w:r>
      <w:r>
        <w:rPr>
          <w:rFonts w:hint="eastAsia"/>
        </w:rPr>
        <w:t>34</w:t>
      </w:r>
      <w:r>
        <w:rPr>
          <w:rFonts w:hint="eastAsia"/>
        </w:rPr>
        <w:t>人死亡，</w:t>
      </w:r>
      <w:r>
        <w:rPr>
          <w:rFonts w:hint="eastAsia"/>
        </w:rPr>
        <w:t>37</w:t>
      </w:r>
      <w:r>
        <w:rPr>
          <w:rFonts w:hint="eastAsia"/>
        </w:rPr>
        <w:t>人受伤。在前三年，共有</w:t>
      </w:r>
      <w:r>
        <w:rPr>
          <w:rFonts w:hint="eastAsia"/>
        </w:rPr>
        <w:t>125</w:t>
      </w:r>
      <w:r>
        <w:rPr>
          <w:rFonts w:hint="eastAsia"/>
        </w:rPr>
        <w:t>起登记的事故，造成</w:t>
      </w:r>
      <w:r>
        <w:rPr>
          <w:rFonts w:hint="eastAsia"/>
        </w:rPr>
        <w:t>71</w:t>
      </w:r>
      <w:r>
        <w:rPr>
          <w:rFonts w:hint="eastAsia"/>
        </w:rPr>
        <w:t>人死亡，</w:t>
      </w:r>
      <w:r>
        <w:rPr>
          <w:rFonts w:hint="eastAsia"/>
        </w:rPr>
        <w:t>113</w:t>
      </w:r>
      <w:r>
        <w:rPr>
          <w:rFonts w:hint="eastAsia"/>
        </w:rPr>
        <w:t>人受伤。在受害者中，</w:t>
      </w:r>
      <w:r>
        <w:rPr>
          <w:rFonts w:hint="eastAsia"/>
        </w:rPr>
        <w:t>90%</w:t>
      </w:r>
      <w:r>
        <w:rPr>
          <w:rFonts w:hint="eastAsia"/>
        </w:rPr>
        <w:t>是成年人</w:t>
      </w:r>
      <w:r>
        <w:rPr>
          <w:rFonts w:hint="eastAsia"/>
        </w:rPr>
        <w:t>(</w:t>
      </w:r>
      <w:r>
        <w:rPr>
          <w:rFonts w:hint="eastAsia"/>
        </w:rPr>
        <w:t>基本上是</w:t>
      </w:r>
      <w:r>
        <w:rPr>
          <w:rFonts w:hint="eastAsia"/>
        </w:rPr>
        <w:t>30</w:t>
      </w:r>
      <w:r>
        <w:rPr>
          <w:rFonts w:hint="eastAsia"/>
        </w:rPr>
        <w:t>岁的男性</w:t>
      </w:r>
      <w:r>
        <w:rPr>
          <w:rFonts w:hint="eastAsia"/>
        </w:rPr>
        <w:t>)</w:t>
      </w:r>
      <w:r>
        <w:rPr>
          <w:rFonts w:hint="eastAsia"/>
        </w:rPr>
        <w:t>，儿童约占受害者的</w:t>
      </w:r>
      <w:r>
        <w:rPr>
          <w:rFonts w:hint="eastAsia"/>
        </w:rPr>
        <w:t>20%</w:t>
      </w:r>
      <w:r>
        <w:rPr>
          <w:rFonts w:hint="eastAsia"/>
        </w:rPr>
        <w:t>。</w:t>
      </w:r>
      <w:r>
        <w:rPr>
          <w:rFonts w:hint="eastAsia"/>
        </w:rPr>
        <w:t>(</w:t>
      </w:r>
      <w:r>
        <w:rPr>
          <w:rFonts w:hint="eastAsia"/>
        </w:rPr>
        <w:t>译注：原文如此。</w:t>
      </w:r>
      <w:r>
        <w:rPr>
          <w:rFonts w:hint="eastAsia"/>
        </w:rPr>
        <w:t>)</w:t>
      </w:r>
      <w:r>
        <w:rPr>
          <w:rFonts w:hint="eastAsia"/>
        </w:rPr>
        <w:t>最易受这一威胁影响的人是返回家园的人，特别是在农村。</w:t>
      </w:r>
    </w:p>
    <w:p w:rsidR="00000000" w:rsidRDefault="00000000">
      <w:pPr>
        <w:pStyle w:val="Heading3"/>
        <w:spacing w:after="120"/>
        <w:rPr>
          <w:rFonts w:hint="eastAsia"/>
          <w:u w:val="none"/>
        </w:rPr>
      </w:pPr>
      <w:r>
        <w:rPr>
          <w:rFonts w:hint="eastAsia"/>
          <w:u w:val="none"/>
        </w:rPr>
        <w:t>表</w:t>
      </w:r>
      <w:r>
        <w:rPr>
          <w:rFonts w:hint="eastAsia"/>
          <w:u w:val="none"/>
        </w:rPr>
        <w:t xml:space="preserve">  22</w:t>
      </w:r>
    </w:p>
    <w:p w:rsidR="00000000" w:rsidRDefault="00000000">
      <w:pPr>
        <w:pStyle w:val="Heading3"/>
        <w:rPr>
          <w:rFonts w:hint="eastAsia"/>
        </w:rPr>
      </w:pPr>
      <w:r>
        <w:rPr>
          <w:rFonts w:hint="eastAsia"/>
        </w:rPr>
        <w:t>1998-2002</w:t>
      </w:r>
      <w:r>
        <w:rPr>
          <w:rFonts w:hint="eastAsia"/>
        </w:rPr>
        <w:t>年间地雷和其他爆炸装置致死致伤人数</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342"/>
        <w:gridCol w:w="1341"/>
        <w:gridCol w:w="1342"/>
        <w:gridCol w:w="1341"/>
        <w:gridCol w:w="1342"/>
      </w:tblGrid>
      <w:tr w:rsidR="00000000">
        <w:tblPrEx>
          <w:tblCellMar>
            <w:top w:w="0" w:type="dxa"/>
            <w:bottom w:w="0" w:type="dxa"/>
          </w:tblCellMar>
        </w:tblPrEx>
        <w:trPr>
          <w:jc w:val="center"/>
        </w:trPr>
        <w:tc>
          <w:tcPr>
            <w:tcW w:w="1993" w:type="dxa"/>
            <w:tcBorders>
              <w:bottom w:val="single" w:sz="4" w:space="0" w:color="auto"/>
            </w:tcBorders>
          </w:tcPr>
          <w:p w:rsidR="00000000" w:rsidRDefault="00000000">
            <w:pPr>
              <w:pStyle w:val="a2"/>
              <w:jc w:val="center"/>
            </w:pPr>
          </w:p>
        </w:tc>
        <w:tc>
          <w:tcPr>
            <w:tcW w:w="1342" w:type="dxa"/>
            <w:tcBorders>
              <w:bottom w:val="single" w:sz="4" w:space="0" w:color="auto"/>
            </w:tcBorders>
          </w:tcPr>
          <w:p w:rsidR="00000000" w:rsidRDefault="00000000">
            <w:pPr>
              <w:pStyle w:val="a2"/>
              <w:jc w:val="center"/>
            </w:pPr>
            <w:r>
              <w:t>1998</w:t>
            </w:r>
          </w:p>
        </w:tc>
        <w:tc>
          <w:tcPr>
            <w:tcW w:w="1341" w:type="dxa"/>
            <w:tcBorders>
              <w:bottom w:val="single" w:sz="4" w:space="0" w:color="auto"/>
            </w:tcBorders>
          </w:tcPr>
          <w:p w:rsidR="00000000" w:rsidRDefault="00000000">
            <w:pPr>
              <w:pStyle w:val="a2"/>
              <w:jc w:val="center"/>
            </w:pPr>
            <w:r>
              <w:t>1999</w:t>
            </w:r>
          </w:p>
        </w:tc>
        <w:tc>
          <w:tcPr>
            <w:tcW w:w="1342" w:type="dxa"/>
            <w:tcBorders>
              <w:bottom w:val="single" w:sz="4" w:space="0" w:color="auto"/>
            </w:tcBorders>
          </w:tcPr>
          <w:p w:rsidR="00000000" w:rsidRDefault="00000000">
            <w:pPr>
              <w:pStyle w:val="a2"/>
              <w:jc w:val="center"/>
            </w:pPr>
            <w:r>
              <w:t>2000</w:t>
            </w:r>
          </w:p>
        </w:tc>
        <w:tc>
          <w:tcPr>
            <w:tcW w:w="1341" w:type="dxa"/>
            <w:tcBorders>
              <w:bottom w:val="single" w:sz="4" w:space="0" w:color="auto"/>
            </w:tcBorders>
          </w:tcPr>
          <w:p w:rsidR="00000000" w:rsidRDefault="00000000">
            <w:pPr>
              <w:pStyle w:val="a2"/>
              <w:jc w:val="center"/>
            </w:pPr>
            <w:r>
              <w:t>2001</w:t>
            </w:r>
          </w:p>
        </w:tc>
        <w:tc>
          <w:tcPr>
            <w:tcW w:w="1342" w:type="dxa"/>
            <w:tcBorders>
              <w:bottom w:val="single" w:sz="4" w:space="0" w:color="auto"/>
            </w:tcBorders>
          </w:tcPr>
          <w:p w:rsidR="00000000" w:rsidRDefault="00000000">
            <w:pPr>
              <w:pStyle w:val="a2"/>
              <w:jc w:val="center"/>
            </w:pPr>
            <w:r>
              <w:t>2002</w:t>
            </w:r>
          </w:p>
        </w:tc>
      </w:tr>
      <w:tr w:rsidR="00000000">
        <w:tblPrEx>
          <w:tblCellMar>
            <w:top w:w="0" w:type="dxa"/>
            <w:bottom w:w="0" w:type="dxa"/>
          </w:tblCellMar>
        </w:tblPrEx>
        <w:trPr>
          <w:jc w:val="center"/>
        </w:trPr>
        <w:tc>
          <w:tcPr>
            <w:tcW w:w="1993" w:type="dxa"/>
            <w:tcBorders>
              <w:bottom w:val="nil"/>
            </w:tcBorders>
          </w:tcPr>
          <w:p w:rsidR="00000000" w:rsidRDefault="00000000">
            <w:pPr>
              <w:pStyle w:val="a2"/>
              <w:jc w:val="center"/>
              <w:rPr>
                <w:rFonts w:hint="eastAsia"/>
              </w:rPr>
            </w:pPr>
            <w:r>
              <w:rPr>
                <w:rFonts w:hint="eastAsia"/>
              </w:rPr>
              <w:t>致</w:t>
            </w:r>
            <w:r>
              <w:rPr>
                <w:rFonts w:hint="eastAsia"/>
              </w:rPr>
              <w:t xml:space="preserve">  </w:t>
            </w:r>
            <w:r>
              <w:rPr>
                <w:rFonts w:hint="eastAsia"/>
              </w:rPr>
              <w:t>死</w:t>
            </w:r>
          </w:p>
        </w:tc>
        <w:tc>
          <w:tcPr>
            <w:tcW w:w="1342" w:type="dxa"/>
            <w:tcBorders>
              <w:bottom w:val="nil"/>
            </w:tcBorders>
          </w:tcPr>
          <w:p w:rsidR="00000000" w:rsidRDefault="00000000">
            <w:pPr>
              <w:pStyle w:val="a2"/>
              <w:jc w:val="center"/>
            </w:pPr>
            <w:r>
              <w:t>30</w:t>
            </w:r>
          </w:p>
        </w:tc>
        <w:tc>
          <w:tcPr>
            <w:tcW w:w="1341" w:type="dxa"/>
            <w:tcBorders>
              <w:bottom w:val="nil"/>
            </w:tcBorders>
          </w:tcPr>
          <w:p w:rsidR="00000000" w:rsidRDefault="00000000">
            <w:pPr>
              <w:pStyle w:val="a2"/>
              <w:jc w:val="center"/>
            </w:pPr>
            <w:r>
              <w:t>14</w:t>
            </w:r>
          </w:p>
        </w:tc>
        <w:tc>
          <w:tcPr>
            <w:tcW w:w="1342" w:type="dxa"/>
            <w:tcBorders>
              <w:bottom w:val="nil"/>
            </w:tcBorders>
          </w:tcPr>
          <w:p w:rsidR="00000000" w:rsidRDefault="00000000">
            <w:pPr>
              <w:pStyle w:val="a2"/>
              <w:jc w:val="center"/>
            </w:pPr>
            <w:r>
              <w:t>21</w:t>
            </w:r>
          </w:p>
        </w:tc>
        <w:tc>
          <w:tcPr>
            <w:tcW w:w="1341" w:type="dxa"/>
            <w:tcBorders>
              <w:bottom w:val="nil"/>
            </w:tcBorders>
          </w:tcPr>
          <w:p w:rsidR="00000000" w:rsidRDefault="00000000">
            <w:pPr>
              <w:pStyle w:val="a2"/>
              <w:jc w:val="center"/>
            </w:pPr>
            <w:r>
              <w:t>24</w:t>
            </w:r>
          </w:p>
        </w:tc>
        <w:tc>
          <w:tcPr>
            <w:tcW w:w="1342" w:type="dxa"/>
            <w:tcBorders>
              <w:bottom w:val="nil"/>
            </w:tcBorders>
          </w:tcPr>
          <w:p w:rsidR="00000000" w:rsidRDefault="00000000">
            <w:pPr>
              <w:pStyle w:val="a2"/>
              <w:jc w:val="center"/>
            </w:pPr>
            <w:r>
              <w:t>17</w:t>
            </w:r>
          </w:p>
        </w:tc>
      </w:tr>
      <w:tr w:rsidR="00000000">
        <w:tblPrEx>
          <w:tblCellMar>
            <w:top w:w="0" w:type="dxa"/>
            <w:bottom w:w="0" w:type="dxa"/>
          </w:tblCellMar>
        </w:tblPrEx>
        <w:trPr>
          <w:jc w:val="center"/>
        </w:trPr>
        <w:tc>
          <w:tcPr>
            <w:tcW w:w="1993" w:type="dxa"/>
            <w:tcBorders>
              <w:top w:val="nil"/>
            </w:tcBorders>
          </w:tcPr>
          <w:p w:rsidR="00000000" w:rsidRDefault="00000000">
            <w:pPr>
              <w:pStyle w:val="a2"/>
              <w:jc w:val="center"/>
              <w:rPr>
                <w:rFonts w:hint="eastAsia"/>
              </w:rPr>
            </w:pPr>
            <w:r>
              <w:rPr>
                <w:rFonts w:hint="eastAsia"/>
              </w:rPr>
              <w:t>致</w:t>
            </w:r>
            <w:r>
              <w:rPr>
                <w:rFonts w:hint="eastAsia"/>
              </w:rPr>
              <w:t xml:space="preserve">  </w:t>
            </w:r>
            <w:r>
              <w:rPr>
                <w:rFonts w:hint="eastAsia"/>
              </w:rPr>
              <w:t>伤</w:t>
            </w:r>
          </w:p>
        </w:tc>
        <w:tc>
          <w:tcPr>
            <w:tcW w:w="1342" w:type="dxa"/>
            <w:tcBorders>
              <w:top w:val="nil"/>
            </w:tcBorders>
          </w:tcPr>
          <w:p w:rsidR="00000000" w:rsidRDefault="00000000">
            <w:pPr>
              <w:pStyle w:val="a2"/>
              <w:jc w:val="center"/>
            </w:pPr>
            <w:r>
              <w:t>50</w:t>
            </w:r>
          </w:p>
        </w:tc>
        <w:tc>
          <w:tcPr>
            <w:tcW w:w="1341" w:type="dxa"/>
            <w:tcBorders>
              <w:top w:val="nil"/>
            </w:tcBorders>
          </w:tcPr>
          <w:p w:rsidR="00000000" w:rsidRDefault="00000000">
            <w:pPr>
              <w:pStyle w:val="a2"/>
              <w:jc w:val="center"/>
            </w:pPr>
            <w:r>
              <w:t>26</w:t>
            </w:r>
          </w:p>
        </w:tc>
        <w:tc>
          <w:tcPr>
            <w:tcW w:w="1342" w:type="dxa"/>
            <w:tcBorders>
              <w:top w:val="nil"/>
            </w:tcBorders>
          </w:tcPr>
          <w:p w:rsidR="00000000" w:rsidRDefault="00000000">
            <w:pPr>
              <w:pStyle w:val="a2"/>
              <w:jc w:val="center"/>
            </w:pPr>
            <w:r>
              <w:t>44</w:t>
            </w:r>
          </w:p>
        </w:tc>
        <w:tc>
          <w:tcPr>
            <w:tcW w:w="1341" w:type="dxa"/>
            <w:tcBorders>
              <w:top w:val="nil"/>
            </w:tcBorders>
          </w:tcPr>
          <w:p w:rsidR="00000000" w:rsidRDefault="00000000">
            <w:pPr>
              <w:pStyle w:val="a2"/>
              <w:jc w:val="center"/>
            </w:pPr>
            <w:r>
              <w:t>37</w:t>
            </w:r>
          </w:p>
        </w:tc>
        <w:tc>
          <w:tcPr>
            <w:tcW w:w="1342" w:type="dxa"/>
            <w:tcBorders>
              <w:top w:val="nil"/>
            </w:tcBorders>
          </w:tcPr>
          <w:p w:rsidR="00000000" w:rsidRDefault="00000000">
            <w:pPr>
              <w:pStyle w:val="a2"/>
              <w:jc w:val="center"/>
            </w:pPr>
            <w:r>
              <w:t>35</w:t>
            </w:r>
          </w:p>
        </w:tc>
      </w:tr>
    </w:tbl>
    <w:p w:rsidR="00000000" w:rsidRDefault="00000000">
      <w:pPr>
        <w:pStyle w:val="EndnoteText"/>
        <w:rPr>
          <w:rFonts w:hint="eastAsia"/>
          <w:i/>
          <w:iCs/>
        </w:rPr>
      </w:pPr>
    </w:p>
    <w:p w:rsidR="00000000" w:rsidRDefault="00000000">
      <w:pPr>
        <w:pStyle w:val="EndnoteText"/>
        <w:spacing w:after="320"/>
        <w:rPr>
          <w:rFonts w:hint="eastAsia"/>
        </w:rPr>
      </w:pPr>
      <w:r>
        <w:rPr>
          <w:rFonts w:hint="eastAsia"/>
          <w:u w:val="single"/>
        </w:rPr>
        <w:t>资料来源</w:t>
      </w:r>
      <w:r>
        <w:rPr>
          <w:rFonts w:hint="eastAsia"/>
        </w:rPr>
        <w:t>：波斯尼亚和黑塞哥维那地雷行动中心。</w:t>
      </w:r>
    </w:p>
    <w:p w:rsidR="00000000" w:rsidRDefault="00000000">
      <w:pPr>
        <w:spacing w:after="320"/>
        <w:ind w:firstLine="510"/>
        <w:rPr>
          <w:rFonts w:hint="eastAsia"/>
        </w:rPr>
      </w:pPr>
      <w:r>
        <w:rPr>
          <w:rFonts w:hint="eastAsia"/>
        </w:rPr>
        <w:t>514.  1998</w:t>
      </w:r>
      <w:r>
        <w:rPr>
          <w:rFonts w:hint="eastAsia"/>
        </w:rPr>
        <w:t>至</w:t>
      </w:r>
      <w:r>
        <w:rPr>
          <w:rFonts w:hint="eastAsia"/>
        </w:rPr>
        <w:t>2002</w:t>
      </w:r>
      <w:r>
        <w:rPr>
          <w:rFonts w:hint="eastAsia"/>
        </w:rPr>
        <w:t>年间，在波斯尼亚和黑塞哥维那联邦境内有</w:t>
      </w:r>
      <w:r>
        <w:rPr>
          <w:rFonts w:hint="eastAsia"/>
        </w:rPr>
        <w:t>298</w:t>
      </w:r>
      <w:r>
        <w:rPr>
          <w:rFonts w:hint="eastAsia"/>
        </w:rPr>
        <w:t>人受伤，其中</w:t>
      </w:r>
      <w:r>
        <w:rPr>
          <w:rFonts w:hint="eastAsia"/>
        </w:rPr>
        <w:t>106</w:t>
      </w:r>
      <w:r>
        <w:rPr>
          <w:rFonts w:hint="eastAsia"/>
        </w:rPr>
        <w:t>人受致命伤。从表</w:t>
      </w:r>
      <w:r>
        <w:rPr>
          <w:rFonts w:hint="eastAsia"/>
        </w:rPr>
        <w:t>22</w:t>
      </w:r>
      <w:r>
        <w:rPr>
          <w:rFonts w:hint="eastAsia"/>
        </w:rPr>
        <w:t>中可以明显看出死伤人数在过去五年中没有增加。然而，每年都有人丧命于地雷说明了这一问题的严重性。</w:t>
      </w:r>
    </w:p>
    <w:p w:rsidR="00000000" w:rsidRDefault="00000000">
      <w:pPr>
        <w:pStyle w:val="Heading3"/>
        <w:spacing w:after="120"/>
        <w:rPr>
          <w:rFonts w:hint="eastAsia"/>
          <w:u w:val="none"/>
        </w:rPr>
      </w:pPr>
      <w:r>
        <w:rPr>
          <w:rFonts w:hint="eastAsia"/>
          <w:u w:val="none"/>
        </w:rPr>
        <w:t>表</w:t>
      </w:r>
      <w:r>
        <w:rPr>
          <w:rFonts w:hint="eastAsia"/>
          <w:u w:val="none"/>
        </w:rPr>
        <w:t xml:space="preserve">  23</w:t>
      </w:r>
    </w:p>
    <w:p w:rsidR="00000000" w:rsidRDefault="00000000">
      <w:pPr>
        <w:pStyle w:val="Heading3"/>
        <w:rPr>
          <w:rFonts w:hint="eastAsia"/>
        </w:rPr>
      </w:pPr>
      <w:r>
        <w:rPr>
          <w:rFonts w:hint="eastAsia"/>
        </w:rPr>
        <w:t>1993-2002</w:t>
      </w:r>
      <w:r>
        <w:rPr>
          <w:rFonts w:hint="eastAsia"/>
        </w:rPr>
        <w:t>年间死伤人数分类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1320"/>
        <w:gridCol w:w="1320"/>
        <w:gridCol w:w="1320"/>
        <w:gridCol w:w="1320"/>
        <w:gridCol w:w="1320"/>
      </w:tblGrid>
      <w:tr w:rsidR="00000000">
        <w:tblPrEx>
          <w:tblCellMar>
            <w:top w:w="0" w:type="dxa"/>
            <w:bottom w:w="0" w:type="dxa"/>
          </w:tblCellMar>
        </w:tblPrEx>
        <w:tc>
          <w:tcPr>
            <w:tcW w:w="2771" w:type="dxa"/>
            <w:tcBorders>
              <w:bottom w:val="single" w:sz="4" w:space="0" w:color="auto"/>
            </w:tcBorders>
          </w:tcPr>
          <w:p w:rsidR="00000000" w:rsidRDefault="00000000">
            <w:pPr>
              <w:pStyle w:val="a2"/>
              <w:spacing w:before="80" w:after="40"/>
              <w:jc w:val="center"/>
              <w:rPr>
                <w:rFonts w:hint="eastAsia"/>
              </w:rPr>
            </w:pPr>
            <w:r>
              <w:rPr>
                <w:rFonts w:hint="eastAsia"/>
              </w:rPr>
              <w:t>年</w:t>
            </w:r>
            <w:r>
              <w:rPr>
                <w:rFonts w:hint="eastAsia"/>
              </w:rPr>
              <w:t xml:space="preserve"> </w:t>
            </w:r>
            <w:r>
              <w:rPr>
                <w:rFonts w:hint="eastAsia"/>
              </w:rPr>
              <w:t>龄</w:t>
            </w:r>
            <w:r>
              <w:rPr>
                <w:rFonts w:hint="eastAsia"/>
              </w:rPr>
              <w:t xml:space="preserve"> </w:t>
            </w:r>
            <w:r>
              <w:rPr>
                <w:rFonts w:hint="eastAsia"/>
              </w:rPr>
              <w:t>组</w:t>
            </w:r>
          </w:p>
        </w:tc>
        <w:tc>
          <w:tcPr>
            <w:tcW w:w="1320" w:type="dxa"/>
            <w:tcBorders>
              <w:bottom w:val="single" w:sz="4" w:space="0" w:color="auto"/>
            </w:tcBorders>
          </w:tcPr>
          <w:p w:rsidR="00000000" w:rsidRDefault="00000000">
            <w:pPr>
              <w:pStyle w:val="a2"/>
              <w:spacing w:before="80" w:after="40"/>
              <w:jc w:val="center"/>
            </w:pPr>
            <w:r>
              <w:t>1998</w:t>
            </w:r>
          </w:p>
        </w:tc>
        <w:tc>
          <w:tcPr>
            <w:tcW w:w="1320" w:type="dxa"/>
            <w:tcBorders>
              <w:bottom w:val="single" w:sz="4" w:space="0" w:color="auto"/>
            </w:tcBorders>
          </w:tcPr>
          <w:p w:rsidR="00000000" w:rsidRDefault="00000000">
            <w:pPr>
              <w:pStyle w:val="a2"/>
              <w:spacing w:before="80" w:after="40"/>
              <w:jc w:val="center"/>
            </w:pPr>
            <w:r>
              <w:t>1999</w:t>
            </w:r>
          </w:p>
        </w:tc>
        <w:tc>
          <w:tcPr>
            <w:tcW w:w="1320" w:type="dxa"/>
            <w:tcBorders>
              <w:bottom w:val="single" w:sz="4" w:space="0" w:color="auto"/>
            </w:tcBorders>
          </w:tcPr>
          <w:p w:rsidR="00000000" w:rsidRDefault="00000000">
            <w:pPr>
              <w:pStyle w:val="a2"/>
              <w:spacing w:before="80" w:after="40"/>
              <w:jc w:val="center"/>
            </w:pPr>
            <w:r>
              <w:t>2000</w:t>
            </w:r>
          </w:p>
        </w:tc>
        <w:tc>
          <w:tcPr>
            <w:tcW w:w="1320" w:type="dxa"/>
            <w:tcBorders>
              <w:bottom w:val="single" w:sz="4" w:space="0" w:color="auto"/>
            </w:tcBorders>
          </w:tcPr>
          <w:p w:rsidR="00000000" w:rsidRDefault="00000000">
            <w:pPr>
              <w:pStyle w:val="a2"/>
              <w:spacing w:before="80" w:after="40"/>
              <w:jc w:val="center"/>
            </w:pPr>
            <w:r>
              <w:t>2001</w:t>
            </w:r>
          </w:p>
        </w:tc>
        <w:tc>
          <w:tcPr>
            <w:tcW w:w="1320" w:type="dxa"/>
            <w:tcBorders>
              <w:bottom w:val="single" w:sz="4" w:space="0" w:color="auto"/>
            </w:tcBorders>
          </w:tcPr>
          <w:p w:rsidR="00000000" w:rsidRDefault="00000000">
            <w:pPr>
              <w:pStyle w:val="a2"/>
              <w:spacing w:before="80" w:after="40"/>
              <w:jc w:val="center"/>
            </w:pPr>
            <w:r>
              <w:t>2002</w:t>
            </w:r>
          </w:p>
        </w:tc>
      </w:tr>
      <w:tr w:rsidR="00000000">
        <w:tblPrEx>
          <w:tblCellMar>
            <w:top w:w="0" w:type="dxa"/>
            <w:bottom w:w="0" w:type="dxa"/>
          </w:tblCellMar>
        </w:tblPrEx>
        <w:tc>
          <w:tcPr>
            <w:tcW w:w="2771" w:type="dxa"/>
            <w:tcBorders>
              <w:bottom w:val="nil"/>
            </w:tcBorders>
          </w:tcPr>
          <w:p w:rsidR="00000000" w:rsidRDefault="00000000">
            <w:pPr>
              <w:pStyle w:val="a2"/>
              <w:jc w:val="left"/>
              <w:rPr>
                <w:rFonts w:hint="eastAsia"/>
              </w:rPr>
            </w:pPr>
            <w:r>
              <w:rPr>
                <w:rFonts w:hint="eastAsia"/>
              </w:rPr>
              <w:t>儿童</w:t>
            </w:r>
            <w:r>
              <w:t xml:space="preserve"> 0-18 </w:t>
            </w:r>
            <w:r>
              <w:rPr>
                <w:rFonts w:hint="eastAsia"/>
              </w:rPr>
              <w:t>岁</w:t>
            </w:r>
          </w:p>
        </w:tc>
        <w:tc>
          <w:tcPr>
            <w:tcW w:w="1320" w:type="dxa"/>
            <w:tcBorders>
              <w:bottom w:val="nil"/>
            </w:tcBorders>
          </w:tcPr>
          <w:p w:rsidR="00000000" w:rsidRDefault="00000000">
            <w:pPr>
              <w:pStyle w:val="a2"/>
              <w:ind w:right="284"/>
              <w:jc w:val="right"/>
            </w:pPr>
            <w:r>
              <w:t>24</w:t>
            </w:r>
          </w:p>
        </w:tc>
        <w:tc>
          <w:tcPr>
            <w:tcW w:w="1320" w:type="dxa"/>
            <w:tcBorders>
              <w:bottom w:val="nil"/>
            </w:tcBorders>
          </w:tcPr>
          <w:p w:rsidR="00000000" w:rsidRDefault="00000000">
            <w:pPr>
              <w:pStyle w:val="a2"/>
              <w:ind w:right="284"/>
              <w:jc w:val="right"/>
            </w:pPr>
            <w:r>
              <w:t>9</w:t>
            </w:r>
          </w:p>
        </w:tc>
        <w:tc>
          <w:tcPr>
            <w:tcW w:w="1320" w:type="dxa"/>
            <w:tcBorders>
              <w:bottom w:val="nil"/>
            </w:tcBorders>
          </w:tcPr>
          <w:p w:rsidR="00000000" w:rsidRDefault="00000000">
            <w:pPr>
              <w:pStyle w:val="a2"/>
              <w:ind w:right="284"/>
              <w:jc w:val="right"/>
            </w:pPr>
            <w:r>
              <w:t>28</w:t>
            </w:r>
          </w:p>
        </w:tc>
        <w:tc>
          <w:tcPr>
            <w:tcW w:w="1320" w:type="dxa"/>
            <w:tcBorders>
              <w:bottom w:val="nil"/>
            </w:tcBorders>
          </w:tcPr>
          <w:p w:rsidR="00000000" w:rsidRDefault="00000000">
            <w:pPr>
              <w:pStyle w:val="a2"/>
              <w:ind w:right="284"/>
              <w:jc w:val="right"/>
            </w:pPr>
            <w:r>
              <w:t>12</w:t>
            </w:r>
          </w:p>
        </w:tc>
        <w:tc>
          <w:tcPr>
            <w:tcW w:w="1320" w:type="dxa"/>
            <w:tcBorders>
              <w:bottom w:val="nil"/>
            </w:tcBorders>
          </w:tcPr>
          <w:p w:rsidR="00000000" w:rsidRDefault="00000000">
            <w:pPr>
              <w:pStyle w:val="a2"/>
              <w:ind w:right="284"/>
              <w:jc w:val="right"/>
            </w:pPr>
            <w:r>
              <w:t>11</w:t>
            </w:r>
          </w:p>
        </w:tc>
      </w:tr>
      <w:tr w:rsidR="00000000">
        <w:tblPrEx>
          <w:tblCellMar>
            <w:top w:w="0" w:type="dxa"/>
            <w:bottom w:w="0" w:type="dxa"/>
          </w:tblCellMar>
        </w:tblPrEx>
        <w:tc>
          <w:tcPr>
            <w:tcW w:w="2771" w:type="dxa"/>
            <w:tcBorders>
              <w:top w:val="nil"/>
              <w:bottom w:val="nil"/>
            </w:tcBorders>
          </w:tcPr>
          <w:p w:rsidR="00000000" w:rsidRDefault="00000000">
            <w:pPr>
              <w:pStyle w:val="a2"/>
              <w:jc w:val="left"/>
              <w:rPr>
                <w:rFonts w:hint="eastAsia"/>
              </w:rPr>
            </w:pPr>
            <w:r>
              <w:rPr>
                <w:rFonts w:hint="eastAsia"/>
              </w:rPr>
              <w:t>成人</w:t>
            </w:r>
            <w:r>
              <w:t xml:space="preserve"> 19-39</w:t>
            </w:r>
            <w:r>
              <w:rPr>
                <w:rFonts w:hint="eastAsia"/>
              </w:rPr>
              <w:t>岁</w:t>
            </w:r>
          </w:p>
        </w:tc>
        <w:tc>
          <w:tcPr>
            <w:tcW w:w="1320" w:type="dxa"/>
            <w:tcBorders>
              <w:top w:val="nil"/>
              <w:bottom w:val="nil"/>
            </w:tcBorders>
          </w:tcPr>
          <w:p w:rsidR="00000000" w:rsidRDefault="00000000">
            <w:pPr>
              <w:pStyle w:val="a2"/>
              <w:ind w:right="284"/>
              <w:jc w:val="right"/>
            </w:pPr>
            <w:r>
              <w:t>32</w:t>
            </w:r>
          </w:p>
        </w:tc>
        <w:tc>
          <w:tcPr>
            <w:tcW w:w="1320" w:type="dxa"/>
            <w:tcBorders>
              <w:top w:val="nil"/>
              <w:bottom w:val="nil"/>
            </w:tcBorders>
          </w:tcPr>
          <w:p w:rsidR="00000000" w:rsidRDefault="00000000">
            <w:pPr>
              <w:pStyle w:val="a2"/>
              <w:ind w:right="284"/>
              <w:jc w:val="right"/>
            </w:pPr>
            <w:r>
              <w:t>15</w:t>
            </w:r>
          </w:p>
        </w:tc>
        <w:tc>
          <w:tcPr>
            <w:tcW w:w="1320" w:type="dxa"/>
            <w:tcBorders>
              <w:top w:val="nil"/>
              <w:bottom w:val="nil"/>
            </w:tcBorders>
          </w:tcPr>
          <w:p w:rsidR="00000000" w:rsidRDefault="00000000">
            <w:pPr>
              <w:pStyle w:val="a2"/>
              <w:ind w:right="284"/>
              <w:jc w:val="right"/>
            </w:pPr>
            <w:r>
              <w:t>17</w:t>
            </w:r>
          </w:p>
        </w:tc>
        <w:tc>
          <w:tcPr>
            <w:tcW w:w="1320" w:type="dxa"/>
            <w:tcBorders>
              <w:top w:val="nil"/>
              <w:bottom w:val="nil"/>
            </w:tcBorders>
          </w:tcPr>
          <w:p w:rsidR="00000000" w:rsidRDefault="00000000">
            <w:pPr>
              <w:pStyle w:val="a2"/>
              <w:ind w:right="284"/>
              <w:jc w:val="right"/>
            </w:pPr>
            <w:r>
              <w:t>25</w:t>
            </w:r>
          </w:p>
        </w:tc>
        <w:tc>
          <w:tcPr>
            <w:tcW w:w="1320" w:type="dxa"/>
            <w:tcBorders>
              <w:top w:val="nil"/>
              <w:bottom w:val="nil"/>
            </w:tcBorders>
          </w:tcPr>
          <w:p w:rsidR="00000000" w:rsidRDefault="00000000">
            <w:pPr>
              <w:pStyle w:val="a2"/>
              <w:ind w:right="284"/>
              <w:jc w:val="right"/>
            </w:pPr>
            <w:r>
              <w:t>15</w:t>
            </w:r>
          </w:p>
        </w:tc>
      </w:tr>
      <w:tr w:rsidR="00000000">
        <w:tblPrEx>
          <w:tblCellMar>
            <w:top w:w="0" w:type="dxa"/>
            <w:bottom w:w="0" w:type="dxa"/>
          </w:tblCellMar>
        </w:tblPrEx>
        <w:tc>
          <w:tcPr>
            <w:tcW w:w="2771" w:type="dxa"/>
            <w:tcBorders>
              <w:top w:val="nil"/>
              <w:bottom w:val="nil"/>
            </w:tcBorders>
          </w:tcPr>
          <w:p w:rsidR="00000000" w:rsidRDefault="00000000">
            <w:pPr>
              <w:pStyle w:val="a2"/>
              <w:jc w:val="left"/>
              <w:rPr>
                <w:rFonts w:hint="eastAsia"/>
              </w:rPr>
            </w:pPr>
            <w:r>
              <w:rPr>
                <w:rFonts w:hint="eastAsia"/>
              </w:rPr>
              <w:t>成人</w:t>
            </w:r>
            <w:r>
              <w:t xml:space="preserve"> 40-60</w:t>
            </w:r>
            <w:r>
              <w:rPr>
                <w:rFonts w:hint="eastAsia"/>
              </w:rPr>
              <w:t>岁</w:t>
            </w:r>
          </w:p>
        </w:tc>
        <w:tc>
          <w:tcPr>
            <w:tcW w:w="1320" w:type="dxa"/>
            <w:tcBorders>
              <w:top w:val="nil"/>
              <w:bottom w:val="nil"/>
            </w:tcBorders>
          </w:tcPr>
          <w:p w:rsidR="00000000" w:rsidRDefault="00000000">
            <w:pPr>
              <w:pStyle w:val="a2"/>
              <w:ind w:right="284"/>
              <w:jc w:val="right"/>
            </w:pPr>
            <w:r>
              <w:t>19</w:t>
            </w:r>
          </w:p>
        </w:tc>
        <w:tc>
          <w:tcPr>
            <w:tcW w:w="1320" w:type="dxa"/>
            <w:tcBorders>
              <w:top w:val="nil"/>
              <w:bottom w:val="nil"/>
            </w:tcBorders>
          </w:tcPr>
          <w:p w:rsidR="00000000" w:rsidRDefault="00000000">
            <w:pPr>
              <w:pStyle w:val="a2"/>
              <w:ind w:right="284"/>
              <w:jc w:val="right"/>
            </w:pPr>
            <w:r>
              <w:t>11</w:t>
            </w:r>
          </w:p>
        </w:tc>
        <w:tc>
          <w:tcPr>
            <w:tcW w:w="1320" w:type="dxa"/>
            <w:tcBorders>
              <w:top w:val="nil"/>
              <w:bottom w:val="nil"/>
            </w:tcBorders>
          </w:tcPr>
          <w:p w:rsidR="00000000" w:rsidRDefault="00000000">
            <w:pPr>
              <w:pStyle w:val="a2"/>
              <w:ind w:right="284"/>
              <w:jc w:val="right"/>
            </w:pPr>
            <w:r>
              <w:t>16</w:t>
            </w:r>
          </w:p>
        </w:tc>
        <w:tc>
          <w:tcPr>
            <w:tcW w:w="1320" w:type="dxa"/>
            <w:tcBorders>
              <w:top w:val="nil"/>
              <w:bottom w:val="nil"/>
            </w:tcBorders>
          </w:tcPr>
          <w:p w:rsidR="00000000" w:rsidRDefault="00000000">
            <w:pPr>
              <w:pStyle w:val="a2"/>
              <w:ind w:right="284"/>
              <w:jc w:val="right"/>
            </w:pPr>
            <w:r>
              <w:t>13</w:t>
            </w:r>
          </w:p>
        </w:tc>
        <w:tc>
          <w:tcPr>
            <w:tcW w:w="1320" w:type="dxa"/>
            <w:tcBorders>
              <w:top w:val="nil"/>
              <w:bottom w:val="nil"/>
            </w:tcBorders>
          </w:tcPr>
          <w:p w:rsidR="00000000" w:rsidRDefault="00000000">
            <w:pPr>
              <w:pStyle w:val="a2"/>
              <w:ind w:right="284"/>
              <w:jc w:val="right"/>
            </w:pPr>
            <w:r>
              <w:t>21</w:t>
            </w:r>
          </w:p>
        </w:tc>
      </w:tr>
      <w:tr w:rsidR="00000000">
        <w:tblPrEx>
          <w:tblCellMar>
            <w:top w:w="0" w:type="dxa"/>
            <w:bottom w:w="0" w:type="dxa"/>
          </w:tblCellMar>
        </w:tblPrEx>
        <w:tc>
          <w:tcPr>
            <w:tcW w:w="2771" w:type="dxa"/>
            <w:tcBorders>
              <w:top w:val="nil"/>
              <w:bottom w:val="nil"/>
            </w:tcBorders>
          </w:tcPr>
          <w:p w:rsidR="00000000" w:rsidRDefault="00000000">
            <w:pPr>
              <w:pStyle w:val="a2"/>
              <w:ind w:left="510" w:hanging="488"/>
              <w:jc w:val="left"/>
            </w:pPr>
            <w:r>
              <w:t>60</w:t>
            </w:r>
            <w:r>
              <w:rPr>
                <w:rFonts w:hint="eastAsia"/>
              </w:rPr>
              <w:t>岁以上</w:t>
            </w:r>
          </w:p>
        </w:tc>
        <w:tc>
          <w:tcPr>
            <w:tcW w:w="1320" w:type="dxa"/>
            <w:tcBorders>
              <w:top w:val="nil"/>
              <w:bottom w:val="nil"/>
            </w:tcBorders>
          </w:tcPr>
          <w:p w:rsidR="00000000" w:rsidRDefault="00000000">
            <w:pPr>
              <w:pStyle w:val="a2"/>
              <w:ind w:right="284"/>
              <w:jc w:val="right"/>
            </w:pPr>
            <w:r>
              <w:t>7</w:t>
            </w:r>
          </w:p>
        </w:tc>
        <w:tc>
          <w:tcPr>
            <w:tcW w:w="1320" w:type="dxa"/>
            <w:tcBorders>
              <w:top w:val="nil"/>
              <w:bottom w:val="nil"/>
            </w:tcBorders>
          </w:tcPr>
          <w:p w:rsidR="00000000" w:rsidRDefault="00000000">
            <w:pPr>
              <w:pStyle w:val="a2"/>
              <w:ind w:right="284"/>
              <w:jc w:val="right"/>
            </w:pPr>
            <w:r>
              <w:t>3</w:t>
            </w:r>
          </w:p>
        </w:tc>
        <w:tc>
          <w:tcPr>
            <w:tcW w:w="1320" w:type="dxa"/>
            <w:tcBorders>
              <w:top w:val="nil"/>
              <w:bottom w:val="nil"/>
            </w:tcBorders>
          </w:tcPr>
          <w:p w:rsidR="00000000" w:rsidRDefault="00000000">
            <w:pPr>
              <w:pStyle w:val="a2"/>
              <w:ind w:right="284"/>
              <w:jc w:val="right"/>
            </w:pPr>
            <w:r>
              <w:t>3</w:t>
            </w:r>
          </w:p>
        </w:tc>
        <w:tc>
          <w:tcPr>
            <w:tcW w:w="1320" w:type="dxa"/>
            <w:tcBorders>
              <w:top w:val="nil"/>
              <w:bottom w:val="nil"/>
            </w:tcBorders>
          </w:tcPr>
          <w:p w:rsidR="00000000" w:rsidRDefault="00000000">
            <w:pPr>
              <w:pStyle w:val="a2"/>
              <w:ind w:right="284"/>
              <w:jc w:val="right"/>
            </w:pPr>
            <w:r>
              <w:t>5</w:t>
            </w:r>
          </w:p>
        </w:tc>
        <w:tc>
          <w:tcPr>
            <w:tcW w:w="1320" w:type="dxa"/>
            <w:tcBorders>
              <w:top w:val="nil"/>
              <w:bottom w:val="nil"/>
            </w:tcBorders>
          </w:tcPr>
          <w:p w:rsidR="00000000" w:rsidRDefault="00000000">
            <w:pPr>
              <w:pStyle w:val="a2"/>
              <w:ind w:right="284"/>
              <w:jc w:val="right"/>
            </w:pPr>
            <w:r>
              <w:t>5</w:t>
            </w:r>
          </w:p>
        </w:tc>
      </w:tr>
      <w:tr w:rsidR="00000000">
        <w:tblPrEx>
          <w:tblCellMar>
            <w:top w:w="0" w:type="dxa"/>
            <w:bottom w:w="0" w:type="dxa"/>
          </w:tblCellMar>
        </w:tblPrEx>
        <w:tc>
          <w:tcPr>
            <w:tcW w:w="2771" w:type="dxa"/>
            <w:tcBorders>
              <w:top w:val="nil"/>
            </w:tcBorders>
          </w:tcPr>
          <w:p w:rsidR="00000000" w:rsidRDefault="00000000">
            <w:pPr>
              <w:pStyle w:val="a2"/>
              <w:ind w:left="588" w:hanging="588"/>
              <w:jc w:val="left"/>
              <w:rPr>
                <w:rFonts w:hint="eastAsia"/>
              </w:rPr>
            </w:pPr>
            <w:r>
              <w:rPr>
                <w:rFonts w:hint="eastAsia"/>
              </w:rPr>
              <w:t>年龄不详</w:t>
            </w:r>
          </w:p>
        </w:tc>
        <w:tc>
          <w:tcPr>
            <w:tcW w:w="1320" w:type="dxa"/>
            <w:tcBorders>
              <w:top w:val="nil"/>
            </w:tcBorders>
          </w:tcPr>
          <w:p w:rsidR="00000000" w:rsidRDefault="00000000">
            <w:pPr>
              <w:ind w:right="284" w:firstLine="510"/>
              <w:jc w:val="right"/>
            </w:pPr>
            <w:r>
              <w:t>8</w:t>
            </w:r>
          </w:p>
        </w:tc>
        <w:tc>
          <w:tcPr>
            <w:tcW w:w="1320" w:type="dxa"/>
            <w:tcBorders>
              <w:top w:val="nil"/>
            </w:tcBorders>
          </w:tcPr>
          <w:p w:rsidR="00000000" w:rsidRDefault="00000000">
            <w:pPr>
              <w:ind w:right="284" w:firstLine="510"/>
              <w:jc w:val="right"/>
            </w:pPr>
            <w:r>
              <w:t>2</w:t>
            </w:r>
          </w:p>
        </w:tc>
        <w:tc>
          <w:tcPr>
            <w:tcW w:w="1320" w:type="dxa"/>
            <w:tcBorders>
              <w:top w:val="nil"/>
            </w:tcBorders>
          </w:tcPr>
          <w:p w:rsidR="00000000" w:rsidRDefault="00000000">
            <w:pPr>
              <w:ind w:right="284" w:firstLine="510"/>
              <w:jc w:val="right"/>
            </w:pPr>
            <w:r>
              <w:t>0</w:t>
            </w:r>
          </w:p>
        </w:tc>
        <w:tc>
          <w:tcPr>
            <w:tcW w:w="1320" w:type="dxa"/>
            <w:tcBorders>
              <w:top w:val="nil"/>
            </w:tcBorders>
          </w:tcPr>
          <w:p w:rsidR="00000000" w:rsidRDefault="00000000">
            <w:pPr>
              <w:ind w:right="284" w:firstLine="510"/>
              <w:jc w:val="right"/>
            </w:pPr>
            <w:r>
              <w:t>6</w:t>
            </w:r>
          </w:p>
        </w:tc>
        <w:tc>
          <w:tcPr>
            <w:tcW w:w="1320" w:type="dxa"/>
            <w:tcBorders>
              <w:top w:val="nil"/>
            </w:tcBorders>
          </w:tcPr>
          <w:p w:rsidR="00000000" w:rsidRDefault="00000000">
            <w:pPr>
              <w:ind w:right="284" w:firstLine="510"/>
              <w:jc w:val="right"/>
            </w:pPr>
            <w:r>
              <w:t>0</w:t>
            </w:r>
          </w:p>
        </w:tc>
      </w:tr>
    </w:tbl>
    <w:p w:rsidR="00000000" w:rsidRDefault="00000000">
      <w:pPr>
        <w:pStyle w:val="EndnoteText"/>
        <w:spacing w:before="240" w:after="240"/>
        <w:ind w:firstLine="0"/>
        <w:rPr>
          <w:rFonts w:hint="eastAsia"/>
        </w:rPr>
      </w:pPr>
      <w:r>
        <w:rPr>
          <w:rFonts w:eastAsia="SimSun"/>
          <w:i/>
          <w:iCs/>
        </w:rPr>
        <w:tab/>
      </w:r>
      <w:r>
        <w:rPr>
          <w:rFonts w:hint="eastAsia"/>
          <w:u w:val="single"/>
        </w:rPr>
        <w:t>资料来源</w:t>
      </w:r>
      <w:r>
        <w:rPr>
          <w:rFonts w:hint="eastAsia"/>
        </w:rPr>
        <w:t>：波斯尼亚和黑塞哥维那探雷排雷中心。</w:t>
      </w:r>
    </w:p>
    <w:p w:rsidR="00000000" w:rsidRDefault="00000000">
      <w:pPr>
        <w:ind w:firstLine="510"/>
        <w:rPr>
          <w:rFonts w:hint="eastAsia"/>
        </w:rPr>
      </w:pPr>
      <w:r>
        <w:rPr>
          <w:rFonts w:hint="eastAsia"/>
        </w:rPr>
        <w:t xml:space="preserve">515.  </w:t>
      </w:r>
      <w:r>
        <w:rPr>
          <w:rFonts w:hint="eastAsia"/>
        </w:rPr>
        <w:t>世界卫生组织的数据库和主要指标的分析清楚表明交通事故仍然是波斯尼亚和黑塞哥维那联邦人民健康的主要风险之一。据联邦内政部资料，在波斯尼亚和黑塞哥维那联邦因交通事故受伤的比率很高。数据表明有</w:t>
      </w:r>
      <w:r>
        <w:rPr>
          <w:rFonts w:hint="eastAsia"/>
        </w:rPr>
        <w:t>1998</w:t>
      </w:r>
      <w:r>
        <w:rPr>
          <w:rFonts w:hint="eastAsia"/>
        </w:rPr>
        <w:t>年有</w:t>
      </w:r>
      <w:r>
        <w:rPr>
          <w:rFonts w:hint="eastAsia"/>
        </w:rPr>
        <w:t>6,360</w:t>
      </w:r>
      <w:r>
        <w:rPr>
          <w:rFonts w:hint="eastAsia"/>
        </w:rPr>
        <w:t>人受伤，</w:t>
      </w:r>
      <w:r>
        <w:rPr>
          <w:rFonts w:hint="eastAsia"/>
        </w:rPr>
        <w:t>2002</w:t>
      </w:r>
      <w:r>
        <w:rPr>
          <w:rFonts w:hint="eastAsia"/>
        </w:rPr>
        <w:t>年</w:t>
      </w:r>
      <w:r>
        <w:rPr>
          <w:rFonts w:hint="eastAsia"/>
        </w:rPr>
        <w:t>6,677</w:t>
      </w:r>
      <w:r>
        <w:rPr>
          <w:rFonts w:hint="eastAsia"/>
        </w:rPr>
        <w:t>人受伤。</w:t>
      </w:r>
    </w:p>
    <w:p w:rsidR="00000000" w:rsidRDefault="00000000">
      <w:pPr>
        <w:ind w:firstLine="510"/>
        <w:rPr>
          <w:rFonts w:hint="eastAsia"/>
        </w:rPr>
      </w:pPr>
      <w:r>
        <w:rPr>
          <w:rFonts w:hint="eastAsia"/>
        </w:rPr>
        <w:t>516.  2000</w:t>
      </w:r>
      <w:r>
        <w:rPr>
          <w:rFonts w:hint="eastAsia"/>
        </w:rPr>
        <w:t>至</w:t>
      </w:r>
      <w:r>
        <w:rPr>
          <w:rFonts w:hint="eastAsia"/>
        </w:rPr>
        <w:t>2002</w:t>
      </w:r>
      <w:r>
        <w:rPr>
          <w:rFonts w:hint="eastAsia"/>
        </w:rPr>
        <w:t>年间，酒后驾车造成的交通事故总量大幅上升。据同一消息来源，在波斯尼亚和黑塞哥维那联邦境内由于酒后驾车引起的事故在</w:t>
      </w:r>
      <w:r>
        <w:rPr>
          <w:rFonts w:hint="eastAsia"/>
        </w:rPr>
        <w:t>2000</w:t>
      </w:r>
      <w:r>
        <w:rPr>
          <w:rFonts w:hint="eastAsia"/>
        </w:rPr>
        <w:t>年为</w:t>
      </w:r>
      <w:r>
        <w:rPr>
          <w:rFonts w:hint="eastAsia"/>
        </w:rPr>
        <w:t>21,669</w:t>
      </w:r>
      <w:r>
        <w:rPr>
          <w:rFonts w:hint="eastAsia"/>
        </w:rPr>
        <w:t>起，</w:t>
      </w:r>
      <w:r>
        <w:rPr>
          <w:rFonts w:hint="eastAsia"/>
        </w:rPr>
        <w:t>2002</w:t>
      </w:r>
      <w:r>
        <w:rPr>
          <w:rFonts w:hint="eastAsia"/>
        </w:rPr>
        <w:t>年为</w:t>
      </w:r>
      <w:r>
        <w:rPr>
          <w:rFonts w:hint="eastAsia"/>
        </w:rPr>
        <w:t>25,772</w:t>
      </w:r>
      <w:r>
        <w:rPr>
          <w:rFonts w:hint="eastAsia"/>
        </w:rPr>
        <w:t>起，这意味着受伤率由</w:t>
      </w:r>
      <w:r>
        <w:rPr>
          <w:rFonts w:hint="eastAsia"/>
        </w:rPr>
        <w:t>2000</w:t>
      </w:r>
      <w:r>
        <w:rPr>
          <w:rFonts w:hint="eastAsia"/>
        </w:rPr>
        <w:t>年的</w:t>
      </w:r>
      <w:r>
        <w:rPr>
          <w:rFonts w:hint="eastAsia"/>
        </w:rPr>
        <w:t>10</w:t>
      </w:r>
      <w:r>
        <w:rPr>
          <w:rFonts w:hint="eastAsia"/>
        </w:rPr>
        <w:t>万分之</w:t>
      </w:r>
      <w:r>
        <w:rPr>
          <w:rFonts w:hint="eastAsia"/>
        </w:rPr>
        <w:t>59</w:t>
      </w:r>
      <w:r>
        <w:rPr>
          <w:rFonts w:hint="eastAsia"/>
        </w:rPr>
        <w:t>上升为</w:t>
      </w:r>
      <w:r>
        <w:rPr>
          <w:rFonts w:hint="eastAsia"/>
        </w:rPr>
        <w:t>2002</w:t>
      </w:r>
      <w:r>
        <w:rPr>
          <w:rFonts w:hint="eastAsia"/>
        </w:rPr>
        <w:t>年的</w:t>
      </w:r>
      <w:r>
        <w:rPr>
          <w:rFonts w:hint="eastAsia"/>
        </w:rPr>
        <w:t>10</w:t>
      </w:r>
      <w:r>
        <w:rPr>
          <w:rFonts w:hint="eastAsia"/>
        </w:rPr>
        <w:t>万分之</w:t>
      </w:r>
      <w:r>
        <w:rPr>
          <w:rFonts w:hint="eastAsia"/>
        </w:rPr>
        <w:t>71</w:t>
      </w:r>
      <w:r>
        <w:rPr>
          <w:rFonts w:hint="eastAsia"/>
        </w:rPr>
        <w:t>。</w:t>
      </w:r>
    </w:p>
    <w:p w:rsidR="00000000" w:rsidRDefault="00000000">
      <w:pPr>
        <w:ind w:firstLine="510"/>
        <w:rPr>
          <w:rFonts w:hint="eastAsia"/>
        </w:rPr>
      </w:pPr>
      <w:r>
        <w:rPr>
          <w:rFonts w:hint="eastAsia"/>
        </w:rPr>
        <w:t xml:space="preserve">517.  </w:t>
      </w:r>
      <w:r>
        <w:rPr>
          <w:rFonts w:hint="eastAsia"/>
        </w:rPr>
        <w:t>由于战争在战后阶段塞尔维亚共和国出现了许多有害健康的状况。这反映为高死亡率和残疾率，特别是在重点地区。波斯尼亚和黑塞哥维那地雷行动中心的数据表明，战后在塞尔维亚共和国登记了</w:t>
      </w:r>
      <w:r>
        <w:rPr>
          <w:rFonts w:hint="eastAsia"/>
        </w:rPr>
        <w:t>4,679</w:t>
      </w:r>
      <w:r>
        <w:rPr>
          <w:rFonts w:hint="eastAsia"/>
        </w:rPr>
        <w:t>个雷区。不过，估计这仅占实际雷区数量的</w:t>
      </w:r>
      <w:r>
        <w:rPr>
          <w:rFonts w:hint="eastAsia"/>
        </w:rPr>
        <w:t>60%</w:t>
      </w:r>
      <w:r>
        <w:rPr>
          <w:rFonts w:hint="eastAsia"/>
        </w:rPr>
        <w:t>。就对健康的具体危害而言，在所有地雷受害者中，有人丧生，有人失去腿脚</w:t>
      </w:r>
      <w:r>
        <w:rPr>
          <w:rFonts w:hint="eastAsia"/>
        </w:rPr>
        <w:t>(</w:t>
      </w:r>
      <w:r>
        <w:rPr>
          <w:rFonts w:hint="eastAsia"/>
        </w:rPr>
        <w:t>见表</w:t>
      </w:r>
      <w:r>
        <w:rPr>
          <w:rFonts w:hint="eastAsia"/>
        </w:rPr>
        <w:t>24)</w:t>
      </w:r>
      <w:r>
        <w:rPr>
          <w:rFonts w:hint="eastAsia"/>
        </w:rPr>
        <w:t>。</w:t>
      </w:r>
      <w:r>
        <w:rPr>
          <w:rFonts w:hint="eastAsia"/>
        </w:rPr>
        <w:t>1996</w:t>
      </w:r>
      <w:r>
        <w:rPr>
          <w:rFonts w:hint="eastAsia"/>
        </w:rPr>
        <w:t>年发生事故数量最多，此后呈下降趋势。还有证据显示事故主要发生在三月、四月、六月和七月，年复一年都是这种趋势。</w:t>
      </w:r>
    </w:p>
    <w:p w:rsidR="00000000" w:rsidRDefault="00000000">
      <w:pPr>
        <w:ind w:firstLine="510"/>
        <w:rPr>
          <w:rFonts w:hint="eastAsia"/>
        </w:rPr>
      </w:pPr>
      <w:r>
        <w:rPr>
          <w:rFonts w:hint="eastAsia"/>
        </w:rPr>
        <w:t xml:space="preserve">518.  </w:t>
      </w:r>
      <w:r>
        <w:rPr>
          <w:rFonts w:hint="eastAsia"/>
        </w:rPr>
        <w:t>得出的结论包括：</w:t>
      </w:r>
    </w:p>
    <w:p w:rsidR="00000000" w:rsidRDefault="00000000">
      <w:pPr>
        <w:pStyle w:val="a0"/>
        <w:ind w:left="1550"/>
        <w:rPr>
          <w:rFonts w:hint="eastAsia"/>
        </w:rPr>
      </w:pPr>
      <w:r>
        <w:rPr>
          <w:rFonts w:hint="eastAsia"/>
        </w:rPr>
        <w:t>现行的法律法规和</w:t>
      </w:r>
      <w:r>
        <w:rPr>
          <w:rFonts w:hint="eastAsia"/>
        </w:rPr>
        <w:t>SZO</w:t>
      </w:r>
      <w:r>
        <w:rPr>
          <w:rFonts w:hint="eastAsia"/>
        </w:rPr>
        <w:t>及欧盟的建议不协调，也没有完全被执行；</w:t>
      </w:r>
    </w:p>
    <w:p w:rsidR="00000000" w:rsidRDefault="00000000">
      <w:pPr>
        <w:pStyle w:val="a0"/>
        <w:spacing w:after="320"/>
        <w:ind w:left="1550"/>
        <w:rPr>
          <w:rFonts w:hint="eastAsia"/>
        </w:rPr>
      </w:pPr>
      <w:r>
        <w:rPr>
          <w:rFonts w:hint="eastAsia"/>
        </w:rPr>
        <w:t>事故登记不够，尽管法律规定必须按病因学和发生地</w:t>
      </w:r>
      <w:r>
        <w:rPr>
          <w:rFonts w:hint="eastAsia"/>
        </w:rPr>
        <w:t>(</w:t>
      </w:r>
      <w:r>
        <w:rPr>
          <w:rFonts w:hint="eastAsia"/>
        </w:rPr>
        <w:t>工作场所、家庭、交通、工业或自然灾害</w:t>
      </w:r>
      <w:r>
        <w:rPr>
          <w:rFonts w:hint="eastAsia"/>
        </w:rPr>
        <w:t>)</w:t>
      </w:r>
      <w:r>
        <w:rPr>
          <w:rFonts w:hint="eastAsia"/>
        </w:rPr>
        <w:t>实行登记。</w:t>
      </w:r>
    </w:p>
    <w:p w:rsidR="00000000" w:rsidRDefault="00000000">
      <w:pPr>
        <w:pStyle w:val="Heading3"/>
        <w:spacing w:after="160"/>
        <w:rPr>
          <w:rFonts w:hint="eastAsia"/>
          <w:u w:val="none"/>
        </w:rPr>
      </w:pPr>
      <w:r>
        <w:rPr>
          <w:rFonts w:hint="eastAsia"/>
          <w:u w:val="none"/>
        </w:rPr>
        <w:t>表</w:t>
      </w:r>
      <w:r>
        <w:rPr>
          <w:rFonts w:hint="eastAsia"/>
          <w:u w:val="none"/>
        </w:rPr>
        <w:t xml:space="preserve"> 24</w:t>
      </w:r>
    </w:p>
    <w:p w:rsidR="00000000" w:rsidRDefault="00000000">
      <w:pPr>
        <w:pStyle w:val="Heading3"/>
        <w:spacing w:after="160"/>
        <w:rPr>
          <w:rFonts w:hint="eastAsia"/>
        </w:rPr>
      </w:pPr>
      <w:r>
        <w:rPr>
          <w:rFonts w:hint="eastAsia"/>
        </w:rPr>
        <w:t>塞尔维亚共和国地雷爆炸受伤率统计数字</w:t>
      </w:r>
      <w:r>
        <w:br/>
      </w:r>
      <w:r>
        <w:rPr>
          <w:rFonts w:hint="eastAsia"/>
          <w:u w:val="none"/>
        </w:rPr>
        <w:t>(1996-2002)</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914"/>
        <w:gridCol w:w="2161"/>
        <w:gridCol w:w="1575"/>
        <w:gridCol w:w="1740"/>
      </w:tblGrid>
      <w:tr w:rsidR="00000000">
        <w:tblPrEx>
          <w:tblCellMar>
            <w:top w:w="0" w:type="dxa"/>
            <w:bottom w:w="0" w:type="dxa"/>
          </w:tblCellMar>
        </w:tblPrEx>
        <w:trPr>
          <w:jc w:val="center"/>
        </w:trPr>
        <w:tc>
          <w:tcPr>
            <w:tcW w:w="1646" w:type="dxa"/>
            <w:tcBorders>
              <w:bottom w:val="single" w:sz="4" w:space="0" w:color="auto"/>
            </w:tcBorders>
          </w:tcPr>
          <w:p w:rsidR="00000000" w:rsidRDefault="00000000">
            <w:pPr>
              <w:pStyle w:val="a2"/>
              <w:jc w:val="center"/>
              <w:rPr>
                <w:rFonts w:hint="eastAsia"/>
              </w:rPr>
            </w:pPr>
            <w:r>
              <w:rPr>
                <w:rFonts w:hint="eastAsia"/>
              </w:rPr>
              <w:t>年</w:t>
            </w:r>
            <w:r>
              <w:rPr>
                <w:rFonts w:hint="eastAsia"/>
              </w:rPr>
              <w:t xml:space="preserve">  </w:t>
            </w:r>
            <w:r>
              <w:rPr>
                <w:rFonts w:hint="eastAsia"/>
              </w:rPr>
              <w:t>份</w:t>
            </w:r>
          </w:p>
        </w:tc>
        <w:tc>
          <w:tcPr>
            <w:tcW w:w="1914" w:type="dxa"/>
            <w:tcBorders>
              <w:bottom w:val="single" w:sz="4" w:space="0" w:color="auto"/>
            </w:tcBorders>
          </w:tcPr>
          <w:p w:rsidR="00000000" w:rsidRDefault="00000000">
            <w:pPr>
              <w:pStyle w:val="a2"/>
              <w:jc w:val="center"/>
              <w:rPr>
                <w:rFonts w:hint="eastAsia"/>
              </w:rPr>
            </w:pPr>
            <w:r>
              <w:rPr>
                <w:rFonts w:hint="eastAsia"/>
              </w:rPr>
              <w:t>事故数量</w:t>
            </w:r>
          </w:p>
        </w:tc>
        <w:tc>
          <w:tcPr>
            <w:tcW w:w="2161" w:type="dxa"/>
            <w:tcBorders>
              <w:bottom w:val="single" w:sz="4" w:space="0" w:color="auto"/>
            </w:tcBorders>
          </w:tcPr>
          <w:p w:rsidR="00000000" w:rsidRDefault="00000000">
            <w:pPr>
              <w:pStyle w:val="a2"/>
              <w:jc w:val="center"/>
              <w:rPr>
                <w:rFonts w:hint="eastAsia"/>
              </w:rPr>
            </w:pPr>
            <w:r>
              <w:rPr>
                <w:rFonts w:hint="eastAsia"/>
              </w:rPr>
              <w:t>死</w:t>
            </w:r>
            <w:r>
              <w:rPr>
                <w:rFonts w:hint="eastAsia"/>
              </w:rPr>
              <w:t xml:space="preserve">  </w:t>
            </w:r>
            <w:r>
              <w:rPr>
                <w:rFonts w:hint="eastAsia"/>
              </w:rPr>
              <w:t>亡</w:t>
            </w:r>
          </w:p>
        </w:tc>
        <w:tc>
          <w:tcPr>
            <w:tcW w:w="1575" w:type="dxa"/>
            <w:tcBorders>
              <w:bottom w:val="single" w:sz="4" w:space="0" w:color="auto"/>
            </w:tcBorders>
          </w:tcPr>
          <w:p w:rsidR="00000000" w:rsidRDefault="00000000">
            <w:pPr>
              <w:pStyle w:val="a2"/>
              <w:jc w:val="center"/>
              <w:rPr>
                <w:rFonts w:hint="eastAsia"/>
              </w:rPr>
            </w:pPr>
            <w:r>
              <w:rPr>
                <w:rFonts w:hint="eastAsia"/>
              </w:rPr>
              <w:t>重</w:t>
            </w:r>
            <w:r>
              <w:rPr>
                <w:rFonts w:hint="eastAsia"/>
              </w:rPr>
              <w:t xml:space="preserve">  </w:t>
            </w:r>
            <w:r>
              <w:rPr>
                <w:rFonts w:hint="eastAsia"/>
              </w:rPr>
              <w:t>伤</w:t>
            </w:r>
          </w:p>
        </w:tc>
        <w:tc>
          <w:tcPr>
            <w:tcW w:w="1740" w:type="dxa"/>
            <w:tcBorders>
              <w:bottom w:val="single" w:sz="4" w:space="0" w:color="auto"/>
            </w:tcBorders>
          </w:tcPr>
          <w:p w:rsidR="00000000" w:rsidRDefault="00000000">
            <w:pPr>
              <w:pStyle w:val="a2"/>
              <w:jc w:val="center"/>
              <w:rPr>
                <w:rFonts w:hint="eastAsia"/>
              </w:rPr>
            </w:pPr>
            <w:r>
              <w:rPr>
                <w:rFonts w:hint="eastAsia"/>
              </w:rPr>
              <w:t>轻</w:t>
            </w:r>
            <w:r>
              <w:rPr>
                <w:rFonts w:hint="eastAsia"/>
              </w:rPr>
              <w:t xml:space="preserve">  </w:t>
            </w:r>
            <w:r>
              <w:rPr>
                <w:rFonts w:hint="eastAsia"/>
              </w:rPr>
              <w:t>伤</w:t>
            </w:r>
          </w:p>
        </w:tc>
      </w:tr>
      <w:tr w:rsidR="00000000">
        <w:tblPrEx>
          <w:tblCellMar>
            <w:top w:w="0" w:type="dxa"/>
            <w:bottom w:w="0" w:type="dxa"/>
          </w:tblCellMar>
        </w:tblPrEx>
        <w:trPr>
          <w:jc w:val="center"/>
        </w:trPr>
        <w:tc>
          <w:tcPr>
            <w:tcW w:w="1646" w:type="dxa"/>
            <w:tcBorders>
              <w:bottom w:val="nil"/>
            </w:tcBorders>
          </w:tcPr>
          <w:p w:rsidR="00000000" w:rsidRDefault="00000000">
            <w:pPr>
              <w:pStyle w:val="a2"/>
              <w:jc w:val="center"/>
            </w:pPr>
            <w:r>
              <w:t>1996</w:t>
            </w:r>
          </w:p>
        </w:tc>
        <w:tc>
          <w:tcPr>
            <w:tcW w:w="1914" w:type="dxa"/>
            <w:tcBorders>
              <w:bottom w:val="nil"/>
            </w:tcBorders>
          </w:tcPr>
          <w:p w:rsidR="00000000" w:rsidRDefault="00000000">
            <w:pPr>
              <w:pStyle w:val="a2"/>
              <w:ind w:right="776"/>
              <w:jc w:val="right"/>
            </w:pPr>
            <w:r>
              <w:t>187</w:t>
            </w:r>
          </w:p>
        </w:tc>
        <w:tc>
          <w:tcPr>
            <w:tcW w:w="2161" w:type="dxa"/>
            <w:tcBorders>
              <w:bottom w:val="nil"/>
            </w:tcBorders>
          </w:tcPr>
          <w:p w:rsidR="00000000" w:rsidRDefault="00000000">
            <w:pPr>
              <w:pStyle w:val="a2"/>
              <w:ind w:right="776"/>
              <w:jc w:val="right"/>
            </w:pPr>
            <w:r>
              <w:t>51</w:t>
            </w:r>
          </w:p>
        </w:tc>
        <w:tc>
          <w:tcPr>
            <w:tcW w:w="1575" w:type="dxa"/>
            <w:tcBorders>
              <w:bottom w:val="nil"/>
            </w:tcBorders>
          </w:tcPr>
          <w:p w:rsidR="00000000" w:rsidRDefault="00000000">
            <w:pPr>
              <w:pStyle w:val="a2"/>
              <w:ind w:right="776"/>
              <w:jc w:val="right"/>
            </w:pPr>
            <w:r>
              <w:t>131</w:t>
            </w:r>
          </w:p>
        </w:tc>
        <w:tc>
          <w:tcPr>
            <w:tcW w:w="1740" w:type="dxa"/>
            <w:tcBorders>
              <w:bottom w:val="nil"/>
            </w:tcBorders>
          </w:tcPr>
          <w:p w:rsidR="00000000" w:rsidRDefault="00000000">
            <w:pPr>
              <w:pStyle w:val="a2"/>
              <w:ind w:right="776"/>
              <w:jc w:val="right"/>
            </w:pPr>
            <w:r>
              <w:t>68</w:t>
            </w:r>
          </w:p>
        </w:tc>
      </w:tr>
      <w:tr w:rsidR="00000000">
        <w:tblPrEx>
          <w:tblCellMar>
            <w:top w:w="0" w:type="dxa"/>
            <w:bottom w:w="0" w:type="dxa"/>
          </w:tblCellMar>
        </w:tblPrEx>
        <w:trPr>
          <w:jc w:val="center"/>
        </w:trPr>
        <w:tc>
          <w:tcPr>
            <w:tcW w:w="1646" w:type="dxa"/>
            <w:tcBorders>
              <w:top w:val="nil"/>
              <w:bottom w:val="nil"/>
            </w:tcBorders>
          </w:tcPr>
          <w:p w:rsidR="00000000" w:rsidRDefault="00000000">
            <w:pPr>
              <w:pStyle w:val="a2"/>
              <w:jc w:val="center"/>
            </w:pPr>
            <w:r>
              <w:t>1997</w:t>
            </w:r>
          </w:p>
        </w:tc>
        <w:tc>
          <w:tcPr>
            <w:tcW w:w="1914" w:type="dxa"/>
            <w:tcBorders>
              <w:top w:val="nil"/>
              <w:bottom w:val="nil"/>
            </w:tcBorders>
          </w:tcPr>
          <w:p w:rsidR="00000000" w:rsidRDefault="00000000">
            <w:pPr>
              <w:pStyle w:val="a2"/>
              <w:ind w:right="776"/>
              <w:jc w:val="right"/>
            </w:pPr>
            <w:r>
              <w:t>99</w:t>
            </w:r>
          </w:p>
        </w:tc>
        <w:tc>
          <w:tcPr>
            <w:tcW w:w="2161" w:type="dxa"/>
            <w:tcBorders>
              <w:top w:val="nil"/>
              <w:bottom w:val="nil"/>
            </w:tcBorders>
          </w:tcPr>
          <w:p w:rsidR="00000000" w:rsidRDefault="00000000">
            <w:pPr>
              <w:pStyle w:val="a2"/>
              <w:ind w:right="776"/>
              <w:jc w:val="right"/>
            </w:pPr>
            <w:r>
              <w:t>46</w:t>
            </w:r>
          </w:p>
        </w:tc>
        <w:tc>
          <w:tcPr>
            <w:tcW w:w="1575" w:type="dxa"/>
            <w:tcBorders>
              <w:top w:val="nil"/>
              <w:bottom w:val="nil"/>
            </w:tcBorders>
          </w:tcPr>
          <w:p w:rsidR="00000000" w:rsidRDefault="00000000">
            <w:pPr>
              <w:pStyle w:val="a2"/>
              <w:ind w:right="776"/>
              <w:jc w:val="right"/>
            </w:pPr>
            <w:r>
              <w:t>62</w:t>
            </w:r>
          </w:p>
        </w:tc>
        <w:tc>
          <w:tcPr>
            <w:tcW w:w="1740" w:type="dxa"/>
            <w:tcBorders>
              <w:top w:val="nil"/>
              <w:bottom w:val="nil"/>
            </w:tcBorders>
          </w:tcPr>
          <w:p w:rsidR="00000000" w:rsidRDefault="00000000">
            <w:pPr>
              <w:pStyle w:val="a2"/>
              <w:ind w:right="776"/>
              <w:jc w:val="right"/>
            </w:pPr>
            <w:r>
              <w:t>13</w:t>
            </w:r>
          </w:p>
        </w:tc>
      </w:tr>
      <w:tr w:rsidR="00000000">
        <w:tblPrEx>
          <w:tblCellMar>
            <w:top w:w="0" w:type="dxa"/>
            <w:bottom w:w="0" w:type="dxa"/>
          </w:tblCellMar>
        </w:tblPrEx>
        <w:trPr>
          <w:jc w:val="center"/>
        </w:trPr>
        <w:tc>
          <w:tcPr>
            <w:tcW w:w="1646" w:type="dxa"/>
            <w:tcBorders>
              <w:top w:val="nil"/>
              <w:bottom w:val="nil"/>
            </w:tcBorders>
          </w:tcPr>
          <w:p w:rsidR="00000000" w:rsidRDefault="00000000">
            <w:pPr>
              <w:pStyle w:val="a2"/>
              <w:jc w:val="center"/>
            </w:pPr>
            <w:r>
              <w:t>1998</w:t>
            </w:r>
          </w:p>
        </w:tc>
        <w:tc>
          <w:tcPr>
            <w:tcW w:w="1914" w:type="dxa"/>
            <w:tcBorders>
              <w:top w:val="nil"/>
              <w:bottom w:val="nil"/>
            </w:tcBorders>
          </w:tcPr>
          <w:p w:rsidR="00000000" w:rsidRDefault="00000000">
            <w:pPr>
              <w:pStyle w:val="a2"/>
              <w:ind w:right="776"/>
              <w:jc w:val="right"/>
            </w:pPr>
            <w:r>
              <w:t>29</w:t>
            </w:r>
          </w:p>
        </w:tc>
        <w:tc>
          <w:tcPr>
            <w:tcW w:w="2161" w:type="dxa"/>
            <w:tcBorders>
              <w:top w:val="nil"/>
              <w:bottom w:val="nil"/>
            </w:tcBorders>
          </w:tcPr>
          <w:p w:rsidR="00000000" w:rsidRDefault="00000000">
            <w:pPr>
              <w:pStyle w:val="a2"/>
              <w:ind w:right="776"/>
              <w:jc w:val="right"/>
            </w:pPr>
            <w:r>
              <w:t>9</w:t>
            </w:r>
          </w:p>
        </w:tc>
        <w:tc>
          <w:tcPr>
            <w:tcW w:w="1575" w:type="dxa"/>
            <w:tcBorders>
              <w:top w:val="nil"/>
              <w:bottom w:val="nil"/>
            </w:tcBorders>
          </w:tcPr>
          <w:p w:rsidR="00000000" w:rsidRDefault="00000000">
            <w:pPr>
              <w:pStyle w:val="a2"/>
              <w:ind w:right="776"/>
              <w:jc w:val="right"/>
            </w:pPr>
            <w:r>
              <w:t>20</w:t>
            </w:r>
          </w:p>
        </w:tc>
        <w:tc>
          <w:tcPr>
            <w:tcW w:w="1740" w:type="dxa"/>
            <w:tcBorders>
              <w:top w:val="nil"/>
              <w:bottom w:val="nil"/>
            </w:tcBorders>
          </w:tcPr>
          <w:p w:rsidR="00000000" w:rsidRDefault="00000000">
            <w:pPr>
              <w:pStyle w:val="a2"/>
              <w:ind w:right="776"/>
              <w:jc w:val="right"/>
            </w:pPr>
            <w:r>
              <w:t>5</w:t>
            </w:r>
          </w:p>
        </w:tc>
      </w:tr>
      <w:tr w:rsidR="00000000">
        <w:tblPrEx>
          <w:tblCellMar>
            <w:top w:w="0" w:type="dxa"/>
            <w:bottom w:w="0" w:type="dxa"/>
          </w:tblCellMar>
        </w:tblPrEx>
        <w:trPr>
          <w:jc w:val="center"/>
        </w:trPr>
        <w:tc>
          <w:tcPr>
            <w:tcW w:w="1646" w:type="dxa"/>
            <w:tcBorders>
              <w:top w:val="nil"/>
              <w:bottom w:val="nil"/>
            </w:tcBorders>
          </w:tcPr>
          <w:p w:rsidR="00000000" w:rsidRDefault="00000000">
            <w:pPr>
              <w:pStyle w:val="a2"/>
              <w:jc w:val="center"/>
            </w:pPr>
            <w:r>
              <w:t>1999</w:t>
            </w:r>
          </w:p>
        </w:tc>
        <w:tc>
          <w:tcPr>
            <w:tcW w:w="1914" w:type="dxa"/>
            <w:tcBorders>
              <w:top w:val="nil"/>
              <w:bottom w:val="nil"/>
            </w:tcBorders>
          </w:tcPr>
          <w:p w:rsidR="00000000" w:rsidRDefault="00000000">
            <w:pPr>
              <w:pStyle w:val="a2"/>
              <w:ind w:right="776"/>
              <w:jc w:val="right"/>
            </w:pPr>
            <w:r>
              <w:t>9</w:t>
            </w:r>
          </w:p>
        </w:tc>
        <w:tc>
          <w:tcPr>
            <w:tcW w:w="2161" w:type="dxa"/>
            <w:tcBorders>
              <w:top w:val="nil"/>
              <w:bottom w:val="nil"/>
            </w:tcBorders>
          </w:tcPr>
          <w:p w:rsidR="00000000" w:rsidRDefault="00000000">
            <w:pPr>
              <w:pStyle w:val="a2"/>
              <w:ind w:right="776"/>
              <w:jc w:val="right"/>
            </w:pPr>
            <w:r>
              <w:t>9</w:t>
            </w:r>
          </w:p>
        </w:tc>
        <w:tc>
          <w:tcPr>
            <w:tcW w:w="1575" w:type="dxa"/>
            <w:tcBorders>
              <w:top w:val="nil"/>
              <w:bottom w:val="nil"/>
            </w:tcBorders>
          </w:tcPr>
          <w:p w:rsidR="00000000" w:rsidRDefault="00000000">
            <w:pPr>
              <w:pStyle w:val="a2"/>
              <w:ind w:right="776"/>
              <w:jc w:val="right"/>
            </w:pPr>
            <w:r>
              <w:t>9</w:t>
            </w:r>
          </w:p>
        </w:tc>
        <w:tc>
          <w:tcPr>
            <w:tcW w:w="1740" w:type="dxa"/>
            <w:tcBorders>
              <w:top w:val="nil"/>
              <w:bottom w:val="nil"/>
            </w:tcBorders>
          </w:tcPr>
          <w:p w:rsidR="00000000" w:rsidRDefault="00000000">
            <w:pPr>
              <w:pStyle w:val="a2"/>
              <w:ind w:right="776"/>
              <w:jc w:val="right"/>
            </w:pPr>
            <w:r>
              <w:t>3</w:t>
            </w:r>
          </w:p>
        </w:tc>
      </w:tr>
      <w:tr w:rsidR="00000000">
        <w:tblPrEx>
          <w:tblCellMar>
            <w:top w:w="0" w:type="dxa"/>
            <w:bottom w:w="0" w:type="dxa"/>
          </w:tblCellMar>
        </w:tblPrEx>
        <w:trPr>
          <w:jc w:val="center"/>
        </w:trPr>
        <w:tc>
          <w:tcPr>
            <w:tcW w:w="1646" w:type="dxa"/>
            <w:tcBorders>
              <w:top w:val="nil"/>
              <w:bottom w:val="nil"/>
            </w:tcBorders>
          </w:tcPr>
          <w:p w:rsidR="00000000" w:rsidRDefault="00000000">
            <w:pPr>
              <w:pStyle w:val="a2"/>
              <w:jc w:val="center"/>
            </w:pPr>
            <w:r>
              <w:t>2000</w:t>
            </w:r>
          </w:p>
        </w:tc>
        <w:tc>
          <w:tcPr>
            <w:tcW w:w="1914" w:type="dxa"/>
            <w:tcBorders>
              <w:top w:val="nil"/>
              <w:bottom w:val="nil"/>
            </w:tcBorders>
          </w:tcPr>
          <w:p w:rsidR="00000000" w:rsidRDefault="00000000">
            <w:pPr>
              <w:pStyle w:val="a2"/>
              <w:ind w:right="776"/>
              <w:jc w:val="right"/>
            </w:pPr>
            <w:r>
              <w:t>18</w:t>
            </w:r>
          </w:p>
        </w:tc>
        <w:tc>
          <w:tcPr>
            <w:tcW w:w="2161" w:type="dxa"/>
            <w:tcBorders>
              <w:top w:val="nil"/>
              <w:bottom w:val="nil"/>
            </w:tcBorders>
          </w:tcPr>
          <w:p w:rsidR="00000000" w:rsidRDefault="00000000">
            <w:pPr>
              <w:pStyle w:val="a2"/>
              <w:ind w:right="776"/>
              <w:jc w:val="right"/>
            </w:pPr>
            <w:r>
              <w:t>14</w:t>
            </w:r>
          </w:p>
        </w:tc>
        <w:tc>
          <w:tcPr>
            <w:tcW w:w="1575" w:type="dxa"/>
            <w:tcBorders>
              <w:top w:val="nil"/>
              <w:bottom w:val="nil"/>
            </w:tcBorders>
          </w:tcPr>
          <w:p w:rsidR="00000000" w:rsidRDefault="00000000">
            <w:pPr>
              <w:pStyle w:val="a2"/>
              <w:ind w:right="776"/>
              <w:jc w:val="right"/>
            </w:pPr>
            <w:r>
              <w:t>9</w:t>
            </w:r>
          </w:p>
        </w:tc>
        <w:tc>
          <w:tcPr>
            <w:tcW w:w="1740" w:type="dxa"/>
            <w:tcBorders>
              <w:top w:val="nil"/>
              <w:bottom w:val="nil"/>
            </w:tcBorders>
          </w:tcPr>
          <w:p w:rsidR="00000000" w:rsidRDefault="00000000">
            <w:pPr>
              <w:pStyle w:val="a2"/>
              <w:ind w:right="776"/>
              <w:jc w:val="right"/>
            </w:pPr>
            <w:r>
              <w:t>5</w:t>
            </w:r>
          </w:p>
        </w:tc>
      </w:tr>
      <w:tr w:rsidR="00000000">
        <w:tblPrEx>
          <w:tblCellMar>
            <w:top w:w="0" w:type="dxa"/>
            <w:bottom w:w="0" w:type="dxa"/>
          </w:tblCellMar>
        </w:tblPrEx>
        <w:trPr>
          <w:jc w:val="center"/>
        </w:trPr>
        <w:tc>
          <w:tcPr>
            <w:tcW w:w="1646" w:type="dxa"/>
            <w:tcBorders>
              <w:top w:val="nil"/>
              <w:bottom w:val="nil"/>
            </w:tcBorders>
          </w:tcPr>
          <w:p w:rsidR="00000000" w:rsidRDefault="00000000">
            <w:pPr>
              <w:pStyle w:val="a2"/>
              <w:jc w:val="center"/>
            </w:pPr>
            <w:r>
              <w:t>2001</w:t>
            </w:r>
          </w:p>
        </w:tc>
        <w:tc>
          <w:tcPr>
            <w:tcW w:w="1914" w:type="dxa"/>
            <w:tcBorders>
              <w:top w:val="nil"/>
              <w:bottom w:val="nil"/>
            </w:tcBorders>
          </w:tcPr>
          <w:p w:rsidR="00000000" w:rsidRDefault="00000000">
            <w:pPr>
              <w:pStyle w:val="a2"/>
              <w:ind w:right="776"/>
              <w:jc w:val="right"/>
            </w:pPr>
            <w:r>
              <w:t>19</w:t>
            </w:r>
          </w:p>
        </w:tc>
        <w:tc>
          <w:tcPr>
            <w:tcW w:w="2161" w:type="dxa"/>
            <w:tcBorders>
              <w:top w:val="nil"/>
              <w:bottom w:val="nil"/>
            </w:tcBorders>
          </w:tcPr>
          <w:p w:rsidR="00000000" w:rsidRDefault="00000000">
            <w:pPr>
              <w:pStyle w:val="a2"/>
              <w:ind w:right="776"/>
              <w:jc w:val="right"/>
            </w:pPr>
            <w:r>
              <w:t>9</w:t>
            </w:r>
          </w:p>
        </w:tc>
        <w:tc>
          <w:tcPr>
            <w:tcW w:w="1575" w:type="dxa"/>
            <w:tcBorders>
              <w:top w:val="nil"/>
              <w:bottom w:val="nil"/>
            </w:tcBorders>
          </w:tcPr>
          <w:p w:rsidR="00000000" w:rsidRDefault="00000000">
            <w:pPr>
              <w:pStyle w:val="a2"/>
              <w:ind w:right="776"/>
              <w:jc w:val="right"/>
            </w:pPr>
            <w:r>
              <w:t>7</w:t>
            </w:r>
          </w:p>
        </w:tc>
        <w:tc>
          <w:tcPr>
            <w:tcW w:w="1740" w:type="dxa"/>
            <w:tcBorders>
              <w:top w:val="nil"/>
              <w:bottom w:val="nil"/>
            </w:tcBorders>
          </w:tcPr>
          <w:p w:rsidR="00000000" w:rsidRDefault="00000000">
            <w:pPr>
              <w:pStyle w:val="a2"/>
              <w:ind w:right="776"/>
              <w:jc w:val="right"/>
            </w:pPr>
            <w:r>
              <w:t>2</w:t>
            </w:r>
          </w:p>
        </w:tc>
      </w:tr>
      <w:tr w:rsidR="00000000">
        <w:tblPrEx>
          <w:tblCellMar>
            <w:top w:w="0" w:type="dxa"/>
            <w:bottom w:w="0" w:type="dxa"/>
          </w:tblCellMar>
        </w:tblPrEx>
        <w:trPr>
          <w:jc w:val="center"/>
        </w:trPr>
        <w:tc>
          <w:tcPr>
            <w:tcW w:w="1646" w:type="dxa"/>
            <w:tcBorders>
              <w:top w:val="nil"/>
            </w:tcBorders>
          </w:tcPr>
          <w:p w:rsidR="00000000" w:rsidRDefault="00000000">
            <w:pPr>
              <w:pStyle w:val="a2"/>
              <w:jc w:val="center"/>
            </w:pPr>
            <w:r>
              <w:t>2002</w:t>
            </w:r>
          </w:p>
        </w:tc>
        <w:tc>
          <w:tcPr>
            <w:tcW w:w="1914" w:type="dxa"/>
            <w:tcBorders>
              <w:top w:val="nil"/>
            </w:tcBorders>
          </w:tcPr>
          <w:p w:rsidR="00000000" w:rsidRDefault="00000000">
            <w:pPr>
              <w:pStyle w:val="a2"/>
              <w:ind w:right="776"/>
              <w:jc w:val="right"/>
            </w:pPr>
            <w:r>
              <w:t>18</w:t>
            </w:r>
          </w:p>
        </w:tc>
        <w:tc>
          <w:tcPr>
            <w:tcW w:w="2161" w:type="dxa"/>
            <w:tcBorders>
              <w:top w:val="nil"/>
            </w:tcBorders>
          </w:tcPr>
          <w:p w:rsidR="00000000" w:rsidRDefault="00000000">
            <w:pPr>
              <w:pStyle w:val="a2"/>
              <w:ind w:right="776"/>
              <w:jc w:val="right"/>
            </w:pPr>
            <w:r>
              <w:t>9</w:t>
            </w:r>
          </w:p>
        </w:tc>
        <w:tc>
          <w:tcPr>
            <w:tcW w:w="1575" w:type="dxa"/>
            <w:tcBorders>
              <w:top w:val="nil"/>
            </w:tcBorders>
          </w:tcPr>
          <w:p w:rsidR="00000000" w:rsidRDefault="00000000">
            <w:pPr>
              <w:pStyle w:val="a2"/>
              <w:ind w:right="776"/>
              <w:jc w:val="right"/>
            </w:pPr>
            <w:r>
              <w:t>7</w:t>
            </w:r>
          </w:p>
        </w:tc>
        <w:tc>
          <w:tcPr>
            <w:tcW w:w="1740" w:type="dxa"/>
            <w:tcBorders>
              <w:top w:val="nil"/>
            </w:tcBorders>
          </w:tcPr>
          <w:p w:rsidR="00000000" w:rsidRDefault="00000000">
            <w:pPr>
              <w:pStyle w:val="a2"/>
              <w:ind w:right="776"/>
              <w:jc w:val="right"/>
            </w:pPr>
            <w:r>
              <w:t>4</w:t>
            </w:r>
          </w:p>
        </w:tc>
      </w:tr>
      <w:tr w:rsidR="00000000">
        <w:tblPrEx>
          <w:tblCellMar>
            <w:top w:w="0" w:type="dxa"/>
            <w:bottom w:w="0" w:type="dxa"/>
          </w:tblCellMar>
        </w:tblPrEx>
        <w:trPr>
          <w:jc w:val="center"/>
        </w:trPr>
        <w:tc>
          <w:tcPr>
            <w:tcW w:w="1646" w:type="dxa"/>
          </w:tcPr>
          <w:p w:rsidR="00000000" w:rsidRDefault="00000000">
            <w:pPr>
              <w:pStyle w:val="a2"/>
              <w:jc w:val="center"/>
              <w:rPr>
                <w:rFonts w:hint="eastAsia"/>
              </w:rPr>
            </w:pPr>
            <w:r>
              <w:rPr>
                <w:rFonts w:hint="eastAsia"/>
              </w:rPr>
              <w:t>总</w:t>
            </w:r>
            <w:r>
              <w:rPr>
                <w:rFonts w:hint="eastAsia"/>
              </w:rPr>
              <w:t xml:space="preserve">  </w:t>
            </w:r>
            <w:r>
              <w:rPr>
                <w:rFonts w:hint="eastAsia"/>
              </w:rPr>
              <w:t>计</w:t>
            </w:r>
          </w:p>
        </w:tc>
        <w:tc>
          <w:tcPr>
            <w:tcW w:w="1914" w:type="dxa"/>
          </w:tcPr>
          <w:p w:rsidR="00000000" w:rsidRDefault="00000000">
            <w:pPr>
              <w:pStyle w:val="a2"/>
              <w:ind w:right="776"/>
              <w:jc w:val="right"/>
            </w:pPr>
            <w:r>
              <w:t>381</w:t>
            </w:r>
          </w:p>
        </w:tc>
        <w:tc>
          <w:tcPr>
            <w:tcW w:w="2161" w:type="dxa"/>
          </w:tcPr>
          <w:p w:rsidR="00000000" w:rsidRDefault="00000000">
            <w:pPr>
              <w:pStyle w:val="a2"/>
              <w:ind w:right="776"/>
              <w:jc w:val="right"/>
            </w:pPr>
            <w:r>
              <w:t>148</w:t>
            </w:r>
          </w:p>
        </w:tc>
        <w:tc>
          <w:tcPr>
            <w:tcW w:w="1575" w:type="dxa"/>
          </w:tcPr>
          <w:p w:rsidR="00000000" w:rsidRDefault="00000000">
            <w:pPr>
              <w:pStyle w:val="a2"/>
              <w:ind w:right="776"/>
              <w:jc w:val="right"/>
            </w:pPr>
            <w:r>
              <w:t>246</w:t>
            </w:r>
          </w:p>
        </w:tc>
        <w:tc>
          <w:tcPr>
            <w:tcW w:w="1740" w:type="dxa"/>
          </w:tcPr>
          <w:p w:rsidR="00000000" w:rsidRDefault="00000000">
            <w:pPr>
              <w:pStyle w:val="a2"/>
              <w:ind w:right="776"/>
              <w:jc w:val="right"/>
            </w:pPr>
            <w:r>
              <w:t>100</w:t>
            </w:r>
          </w:p>
        </w:tc>
      </w:tr>
    </w:tbl>
    <w:p w:rsidR="00000000" w:rsidRDefault="00000000">
      <w:pPr>
        <w:ind w:firstLine="510"/>
        <w:rPr>
          <w:rFonts w:hint="eastAsia"/>
          <w:i/>
          <w:iCs/>
        </w:rPr>
      </w:pPr>
    </w:p>
    <w:p w:rsidR="00000000" w:rsidRDefault="00000000">
      <w:pPr>
        <w:pStyle w:val="EndnoteText"/>
        <w:spacing w:after="320"/>
        <w:rPr>
          <w:rFonts w:hint="eastAsia"/>
        </w:rPr>
      </w:pPr>
      <w:r>
        <w:rPr>
          <w:rFonts w:hint="eastAsia"/>
          <w:u w:val="single"/>
        </w:rPr>
        <w:t>资料来源</w:t>
      </w:r>
      <w:r>
        <w:rPr>
          <w:rFonts w:hint="eastAsia"/>
        </w:rPr>
        <w:t>：国际红十字会数据库。</w:t>
      </w:r>
    </w:p>
    <w:p w:rsidR="00000000" w:rsidRDefault="00000000">
      <w:pPr>
        <w:pStyle w:val="Heading3"/>
        <w:spacing w:after="120"/>
        <w:rPr>
          <w:rFonts w:hint="eastAsia"/>
          <w:u w:val="none"/>
        </w:rPr>
      </w:pPr>
      <w:r>
        <w:br w:type="page"/>
      </w:r>
      <w:r>
        <w:rPr>
          <w:rFonts w:hint="eastAsia"/>
          <w:u w:val="none"/>
        </w:rPr>
        <w:t>表</w:t>
      </w:r>
      <w:r>
        <w:rPr>
          <w:rFonts w:hint="eastAsia"/>
          <w:u w:val="none"/>
        </w:rPr>
        <w:t xml:space="preserve">  25</w:t>
      </w:r>
    </w:p>
    <w:p w:rsidR="00000000" w:rsidRDefault="00000000">
      <w:pPr>
        <w:pStyle w:val="Heading3"/>
        <w:rPr>
          <w:rFonts w:hint="eastAsia"/>
        </w:rPr>
      </w:pPr>
      <w:r>
        <w:rPr>
          <w:rFonts w:hint="eastAsia"/>
        </w:rPr>
        <w:t>事故涉及人数，按年龄组分</w:t>
      </w:r>
    </w:p>
    <w:tbl>
      <w:tblPr>
        <w:tblW w:w="8961"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966"/>
        <w:gridCol w:w="1010"/>
        <w:gridCol w:w="980"/>
        <w:gridCol w:w="11"/>
        <w:gridCol w:w="982"/>
        <w:gridCol w:w="9"/>
        <w:gridCol w:w="969"/>
        <w:gridCol w:w="1013"/>
        <w:gridCol w:w="11"/>
        <w:gridCol w:w="966"/>
        <w:gridCol w:w="14"/>
      </w:tblGrid>
      <w:tr w:rsidR="00000000">
        <w:tblPrEx>
          <w:tblCellMar>
            <w:top w:w="0" w:type="dxa"/>
            <w:bottom w:w="0" w:type="dxa"/>
          </w:tblCellMar>
        </w:tblPrEx>
        <w:trPr>
          <w:gridAfter w:val="1"/>
          <w:wAfter w:w="14" w:type="dxa"/>
          <w:jc w:val="center"/>
        </w:trPr>
        <w:tc>
          <w:tcPr>
            <w:tcW w:w="2030" w:type="dxa"/>
            <w:tcBorders>
              <w:bottom w:val="single" w:sz="4" w:space="0" w:color="auto"/>
            </w:tcBorders>
          </w:tcPr>
          <w:p w:rsidR="00000000" w:rsidRDefault="00000000">
            <w:pPr>
              <w:pStyle w:val="a2"/>
              <w:jc w:val="center"/>
              <w:rPr>
                <w:rFonts w:hint="eastAsia"/>
              </w:rPr>
            </w:pPr>
            <w:r>
              <w:rPr>
                <w:rFonts w:hint="eastAsia"/>
              </w:rPr>
              <w:t>年</w:t>
            </w:r>
            <w:r>
              <w:rPr>
                <w:rFonts w:hint="eastAsia"/>
              </w:rPr>
              <w:t xml:space="preserve"> </w:t>
            </w:r>
            <w:r>
              <w:rPr>
                <w:rFonts w:hint="eastAsia"/>
              </w:rPr>
              <w:t>龄</w:t>
            </w:r>
            <w:r>
              <w:rPr>
                <w:rFonts w:hint="eastAsia"/>
              </w:rPr>
              <w:t xml:space="preserve"> </w:t>
            </w:r>
            <w:r>
              <w:rPr>
                <w:rFonts w:hint="eastAsia"/>
              </w:rPr>
              <w:t>组</w:t>
            </w:r>
          </w:p>
        </w:tc>
        <w:tc>
          <w:tcPr>
            <w:tcW w:w="966" w:type="dxa"/>
            <w:tcBorders>
              <w:bottom w:val="single" w:sz="4" w:space="0" w:color="auto"/>
            </w:tcBorders>
          </w:tcPr>
          <w:p w:rsidR="00000000" w:rsidRDefault="00000000">
            <w:pPr>
              <w:pStyle w:val="a2"/>
              <w:jc w:val="center"/>
            </w:pPr>
            <w:r>
              <w:t>1996</w:t>
            </w:r>
          </w:p>
        </w:tc>
        <w:tc>
          <w:tcPr>
            <w:tcW w:w="1010" w:type="dxa"/>
            <w:tcBorders>
              <w:bottom w:val="single" w:sz="4" w:space="0" w:color="auto"/>
            </w:tcBorders>
          </w:tcPr>
          <w:p w:rsidR="00000000" w:rsidRDefault="00000000">
            <w:pPr>
              <w:pStyle w:val="a2"/>
              <w:jc w:val="center"/>
            </w:pPr>
            <w:r>
              <w:t>1997</w:t>
            </w:r>
          </w:p>
        </w:tc>
        <w:tc>
          <w:tcPr>
            <w:tcW w:w="980" w:type="dxa"/>
            <w:tcBorders>
              <w:bottom w:val="single" w:sz="4" w:space="0" w:color="auto"/>
            </w:tcBorders>
          </w:tcPr>
          <w:p w:rsidR="00000000" w:rsidRDefault="00000000">
            <w:pPr>
              <w:pStyle w:val="a2"/>
              <w:jc w:val="center"/>
            </w:pPr>
            <w:r>
              <w:t>1998</w:t>
            </w:r>
          </w:p>
        </w:tc>
        <w:tc>
          <w:tcPr>
            <w:tcW w:w="993" w:type="dxa"/>
            <w:gridSpan w:val="2"/>
            <w:tcBorders>
              <w:bottom w:val="single" w:sz="4" w:space="0" w:color="auto"/>
            </w:tcBorders>
          </w:tcPr>
          <w:p w:rsidR="00000000" w:rsidRDefault="00000000">
            <w:pPr>
              <w:pStyle w:val="a2"/>
              <w:jc w:val="center"/>
            </w:pPr>
            <w:r>
              <w:t>1999</w:t>
            </w:r>
          </w:p>
        </w:tc>
        <w:tc>
          <w:tcPr>
            <w:tcW w:w="978" w:type="dxa"/>
            <w:gridSpan w:val="2"/>
            <w:tcBorders>
              <w:bottom w:val="single" w:sz="4" w:space="0" w:color="auto"/>
            </w:tcBorders>
          </w:tcPr>
          <w:p w:rsidR="00000000" w:rsidRDefault="00000000">
            <w:pPr>
              <w:pStyle w:val="a2"/>
              <w:jc w:val="center"/>
            </w:pPr>
            <w:r>
              <w:t>2000</w:t>
            </w:r>
          </w:p>
        </w:tc>
        <w:tc>
          <w:tcPr>
            <w:tcW w:w="1024" w:type="dxa"/>
            <w:gridSpan w:val="2"/>
            <w:tcBorders>
              <w:bottom w:val="single" w:sz="4" w:space="0" w:color="auto"/>
            </w:tcBorders>
          </w:tcPr>
          <w:p w:rsidR="00000000" w:rsidRDefault="00000000">
            <w:pPr>
              <w:pStyle w:val="a2"/>
              <w:jc w:val="center"/>
            </w:pPr>
            <w:r>
              <w:t>2001</w:t>
            </w:r>
          </w:p>
        </w:tc>
        <w:tc>
          <w:tcPr>
            <w:tcW w:w="966" w:type="dxa"/>
            <w:tcBorders>
              <w:bottom w:val="single" w:sz="4" w:space="0" w:color="auto"/>
            </w:tcBorders>
          </w:tcPr>
          <w:p w:rsidR="00000000" w:rsidRDefault="00000000">
            <w:pPr>
              <w:pStyle w:val="a2"/>
              <w:jc w:val="center"/>
            </w:pPr>
            <w:r>
              <w:t>2002</w:t>
            </w:r>
          </w:p>
        </w:tc>
      </w:tr>
      <w:tr w:rsidR="00000000">
        <w:tblPrEx>
          <w:tblCellMar>
            <w:top w:w="0" w:type="dxa"/>
            <w:bottom w:w="0" w:type="dxa"/>
          </w:tblCellMar>
        </w:tblPrEx>
        <w:trPr>
          <w:jc w:val="center"/>
        </w:trPr>
        <w:tc>
          <w:tcPr>
            <w:tcW w:w="2030" w:type="dxa"/>
            <w:tcBorders>
              <w:bottom w:val="nil"/>
            </w:tcBorders>
          </w:tcPr>
          <w:p w:rsidR="00000000" w:rsidRDefault="00000000">
            <w:pPr>
              <w:pStyle w:val="a2"/>
              <w:ind w:left="113"/>
            </w:pPr>
            <w:r>
              <w:rPr>
                <w:rFonts w:hint="eastAsia"/>
              </w:rPr>
              <w:t>儿童</w:t>
            </w:r>
            <w:r>
              <w:t xml:space="preserve"> (0-18)</w:t>
            </w:r>
          </w:p>
        </w:tc>
        <w:tc>
          <w:tcPr>
            <w:tcW w:w="966" w:type="dxa"/>
            <w:tcBorders>
              <w:bottom w:val="nil"/>
            </w:tcBorders>
          </w:tcPr>
          <w:p w:rsidR="00000000" w:rsidRDefault="00000000">
            <w:pPr>
              <w:pStyle w:val="a2"/>
              <w:ind w:right="170"/>
              <w:jc w:val="right"/>
            </w:pPr>
            <w:r>
              <w:t>27</w:t>
            </w:r>
          </w:p>
        </w:tc>
        <w:tc>
          <w:tcPr>
            <w:tcW w:w="1010" w:type="dxa"/>
            <w:tcBorders>
              <w:bottom w:val="nil"/>
            </w:tcBorders>
          </w:tcPr>
          <w:p w:rsidR="00000000" w:rsidRDefault="00000000">
            <w:pPr>
              <w:pStyle w:val="a2"/>
              <w:ind w:right="227"/>
              <w:jc w:val="right"/>
            </w:pPr>
            <w:r>
              <w:t>13</w:t>
            </w:r>
          </w:p>
        </w:tc>
        <w:tc>
          <w:tcPr>
            <w:tcW w:w="991" w:type="dxa"/>
            <w:gridSpan w:val="2"/>
            <w:tcBorders>
              <w:bottom w:val="nil"/>
            </w:tcBorders>
          </w:tcPr>
          <w:p w:rsidR="00000000" w:rsidRDefault="00000000">
            <w:pPr>
              <w:pStyle w:val="a2"/>
              <w:ind w:right="227"/>
              <w:jc w:val="right"/>
            </w:pPr>
            <w:r>
              <w:t>8</w:t>
            </w:r>
          </w:p>
        </w:tc>
        <w:tc>
          <w:tcPr>
            <w:tcW w:w="991" w:type="dxa"/>
            <w:gridSpan w:val="2"/>
            <w:tcBorders>
              <w:bottom w:val="nil"/>
            </w:tcBorders>
          </w:tcPr>
          <w:p w:rsidR="00000000" w:rsidRDefault="00000000">
            <w:pPr>
              <w:pStyle w:val="a2"/>
              <w:ind w:right="227"/>
              <w:jc w:val="right"/>
            </w:pPr>
            <w:r>
              <w:t>10</w:t>
            </w:r>
          </w:p>
        </w:tc>
        <w:tc>
          <w:tcPr>
            <w:tcW w:w="969" w:type="dxa"/>
            <w:tcBorders>
              <w:bottom w:val="nil"/>
            </w:tcBorders>
          </w:tcPr>
          <w:p w:rsidR="00000000" w:rsidRDefault="00000000">
            <w:pPr>
              <w:pStyle w:val="a2"/>
              <w:ind w:right="227"/>
              <w:jc w:val="right"/>
            </w:pPr>
            <w:r>
              <w:t>1</w:t>
            </w:r>
          </w:p>
        </w:tc>
        <w:tc>
          <w:tcPr>
            <w:tcW w:w="1013" w:type="dxa"/>
            <w:tcBorders>
              <w:bottom w:val="nil"/>
            </w:tcBorders>
          </w:tcPr>
          <w:p w:rsidR="00000000" w:rsidRDefault="00000000">
            <w:pPr>
              <w:pStyle w:val="a2"/>
              <w:ind w:right="227"/>
              <w:jc w:val="right"/>
            </w:pPr>
            <w:r>
              <w:t>0</w:t>
            </w:r>
          </w:p>
        </w:tc>
        <w:tc>
          <w:tcPr>
            <w:tcW w:w="991" w:type="dxa"/>
            <w:gridSpan w:val="3"/>
            <w:tcBorders>
              <w:bottom w:val="nil"/>
            </w:tcBorders>
          </w:tcPr>
          <w:p w:rsidR="00000000" w:rsidRDefault="00000000">
            <w:pPr>
              <w:pStyle w:val="a2"/>
              <w:ind w:right="227"/>
              <w:jc w:val="right"/>
            </w:pPr>
            <w:r>
              <w:t>8</w:t>
            </w:r>
          </w:p>
        </w:tc>
      </w:tr>
      <w:tr w:rsidR="00000000">
        <w:tblPrEx>
          <w:tblCellMar>
            <w:top w:w="0" w:type="dxa"/>
            <w:bottom w:w="0" w:type="dxa"/>
          </w:tblCellMar>
        </w:tblPrEx>
        <w:trPr>
          <w:jc w:val="center"/>
        </w:trPr>
        <w:tc>
          <w:tcPr>
            <w:tcW w:w="2030" w:type="dxa"/>
            <w:tcBorders>
              <w:top w:val="nil"/>
              <w:bottom w:val="nil"/>
            </w:tcBorders>
          </w:tcPr>
          <w:p w:rsidR="00000000" w:rsidRDefault="00000000">
            <w:pPr>
              <w:pStyle w:val="a2"/>
              <w:ind w:left="113"/>
            </w:pPr>
            <w:r>
              <w:rPr>
                <w:rFonts w:hint="eastAsia"/>
              </w:rPr>
              <w:t>成人</w:t>
            </w:r>
            <w:r>
              <w:t xml:space="preserve"> (19-39)</w:t>
            </w:r>
          </w:p>
        </w:tc>
        <w:tc>
          <w:tcPr>
            <w:tcW w:w="966" w:type="dxa"/>
            <w:tcBorders>
              <w:top w:val="nil"/>
              <w:bottom w:val="nil"/>
            </w:tcBorders>
          </w:tcPr>
          <w:p w:rsidR="00000000" w:rsidRDefault="00000000">
            <w:pPr>
              <w:pStyle w:val="a2"/>
              <w:ind w:right="170"/>
              <w:jc w:val="right"/>
            </w:pPr>
            <w:r>
              <w:t>58</w:t>
            </w:r>
          </w:p>
        </w:tc>
        <w:tc>
          <w:tcPr>
            <w:tcW w:w="1010" w:type="dxa"/>
            <w:tcBorders>
              <w:top w:val="nil"/>
              <w:bottom w:val="nil"/>
            </w:tcBorders>
          </w:tcPr>
          <w:p w:rsidR="00000000" w:rsidRDefault="00000000">
            <w:pPr>
              <w:pStyle w:val="a2"/>
              <w:ind w:right="227"/>
              <w:jc w:val="right"/>
            </w:pPr>
            <w:r>
              <w:t>25</w:t>
            </w:r>
          </w:p>
        </w:tc>
        <w:tc>
          <w:tcPr>
            <w:tcW w:w="991" w:type="dxa"/>
            <w:gridSpan w:val="2"/>
            <w:tcBorders>
              <w:top w:val="nil"/>
              <w:bottom w:val="nil"/>
            </w:tcBorders>
          </w:tcPr>
          <w:p w:rsidR="00000000" w:rsidRDefault="00000000">
            <w:pPr>
              <w:pStyle w:val="a2"/>
              <w:ind w:right="227"/>
              <w:jc w:val="right"/>
            </w:pPr>
            <w:r>
              <w:t>24</w:t>
            </w:r>
          </w:p>
        </w:tc>
        <w:tc>
          <w:tcPr>
            <w:tcW w:w="991" w:type="dxa"/>
            <w:gridSpan w:val="2"/>
            <w:tcBorders>
              <w:top w:val="nil"/>
              <w:bottom w:val="nil"/>
            </w:tcBorders>
          </w:tcPr>
          <w:p w:rsidR="00000000" w:rsidRDefault="00000000">
            <w:pPr>
              <w:pStyle w:val="a2"/>
              <w:ind w:right="227"/>
              <w:jc w:val="right"/>
            </w:pPr>
            <w:r>
              <w:t>24</w:t>
            </w:r>
          </w:p>
        </w:tc>
        <w:tc>
          <w:tcPr>
            <w:tcW w:w="969" w:type="dxa"/>
            <w:tcBorders>
              <w:top w:val="nil"/>
              <w:bottom w:val="nil"/>
            </w:tcBorders>
          </w:tcPr>
          <w:p w:rsidR="00000000" w:rsidRDefault="00000000">
            <w:pPr>
              <w:pStyle w:val="a2"/>
              <w:ind w:right="227"/>
              <w:jc w:val="right"/>
            </w:pPr>
            <w:r>
              <w:t>23</w:t>
            </w:r>
          </w:p>
        </w:tc>
        <w:tc>
          <w:tcPr>
            <w:tcW w:w="1013" w:type="dxa"/>
            <w:tcBorders>
              <w:top w:val="nil"/>
              <w:bottom w:val="nil"/>
            </w:tcBorders>
          </w:tcPr>
          <w:p w:rsidR="00000000" w:rsidRDefault="00000000">
            <w:pPr>
              <w:pStyle w:val="a2"/>
              <w:ind w:right="227"/>
              <w:jc w:val="right"/>
            </w:pPr>
            <w:r>
              <w:t>11</w:t>
            </w:r>
          </w:p>
        </w:tc>
        <w:tc>
          <w:tcPr>
            <w:tcW w:w="991" w:type="dxa"/>
            <w:gridSpan w:val="3"/>
            <w:tcBorders>
              <w:top w:val="nil"/>
              <w:bottom w:val="nil"/>
            </w:tcBorders>
          </w:tcPr>
          <w:p w:rsidR="00000000" w:rsidRDefault="00000000">
            <w:pPr>
              <w:pStyle w:val="a2"/>
              <w:ind w:right="227"/>
              <w:jc w:val="right"/>
            </w:pPr>
            <w:r>
              <w:t>11</w:t>
            </w:r>
          </w:p>
        </w:tc>
      </w:tr>
      <w:tr w:rsidR="00000000">
        <w:tblPrEx>
          <w:tblCellMar>
            <w:top w:w="0" w:type="dxa"/>
            <w:bottom w:w="0" w:type="dxa"/>
          </w:tblCellMar>
        </w:tblPrEx>
        <w:trPr>
          <w:jc w:val="center"/>
        </w:trPr>
        <w:tc>
          <w:tcPr>
            <w:tcW w:w="2030" w:type="dxa"/>
            <w:tcBorders>
              <w:top w:val="nil"/>
              <w:bottom w:val="nil"/>
            </w:tcBorders>
          </w:tcPr>
          <w:p w:rsidR="00000000" w:rsidRDefault="00000000">
            <w:pPr>
              <w:pStyle w:val="a2"/>
              <w:ind w:left="113"/>
            </w:pPr>
            <w:r>
              <w:rPr>
                <w:rFonts w:hint="eastAsia"/>
              </w:rPr>
              <w:t>成人</w:t>
            </w:r>
            <w:r>
              <w:t>(40-60)</w:t>
            </w:r>
          </w:p>
        </w:tc>
        <w:tc>
          <w:tcPr>
            <w:tcW w:w="966" w:type="dxa"/>
            <w:tcBorders>
              <w:top w:val="nil"/>
              <w:bottom w:val="nil"/>
            </w:tcBorders>
          </w:tcPr>
          <w:p w:rsidR="00000000" w:rsidRDefault="00000000">
            <w:pPr>
              <w:pStyle w:val="a2"/>
              <w:ind w:right="170"/>
              <w:jc w:val="right"/>
            </w:pPr>
            <w:r>
              <w:t>39</w:t>
            </w:r>
          </w:p>
        </w:tc>
        <w:tc>
          <w:tcPr>
            <w:tcW w:w="1010" w:type="dxa"/>
            <w:tcBorders>
              <w:top w:val="nil"/>
              <w:bottom w:val="nil"/>
            </w:tcBorders>
          </w:tcPr>
          <w:p w:rsidR="00000000" w:rsidRDefault="00000000">
            <w:pPr>
              <w:pStyle w:val="a2"/>
              <w:ind w:right="227"/>
              <w:jc w:val="right"/>
            </w:pPr>
            <w:r>
              <w:t>28</w:t>
            </w:r>
          </w:p>
        </w:tc>
        <w:tc>
          <w:tcPr>
            <w:tcW w:w="991" w:type="dxa"/>
            <w:gridSpan w:val="2"/>
            <w:tcBorders>
              <w:top w:val="nil"/>
              <w:bottom w:val="nil"/>
            </w:tcBorders>
          </w:tcPr>
          <w:p w:rsidR="00000000" w:rsidRDefault="00000000">
            <w:pPr>
              <w:pStyle w:val="a2"/>
              <w:ind w:right="227"/>
              <w:jc w:val="right"/>
            </w:pPr>
            <w:r>
              <w:t>25</w:t>
            </w:r>
          </w:p>
        </w:tc>
        <w:tc>
          <w:tcPr>
            <w:tcW w:w="991" w:type="dxa"/>
            <w:gridSpan w:val="2"/>
            <w:tcBorders>
              <w:top w:val="nil"/>
              <w:bottom w:val="nil"/>
            </w:tcBorders>
          </w:tcPr>
          <w:p w:rsidR="00000000" w:rsidRDefault="00000000">
            <w:pPr>
              <w:pStyle w:val="a2"/>
              <w:ind w:right="227"/>
              <w:jc w:val="right"/>
            </w:pPr>
            <w:r>
              <w:t>14</w:t>
            </w:r>
          </w:p>
        </w:tc>
        <w:tc>
          <w:tcPr>
            <w:tcW w:w="969" w:type="dxa"/>
            <w:tcBorders>
              <w:top w:val="nil"/>
              <w:bottom w:val="nil"/>
            </w:tcBorders>
          </w:tcPr>
          <w:p w:rsidR="00000000" w:rsidRDefault="00000000">
            <w:pPr>
              <w:pStyle w:val="a2"/>
              <w:ind w:right="227"/>
              <w:jc w:val="right"/>
            </w:pPr>
            <w:r>
              <w:t>8</w:t>
            </w:r>
          </w:p>
        </w:tc>
        <w:tc>
          <w:tcPr>
            <w:tcW w:w="1013" w:type="dxa"/>
            <w:tcBorders>
              <w:top w:val="nil"/>
              <w:bottom w:val="nil"/>
            </w:tcBorders>
          </w:tcPr>
          <w:p w:rsidR="00000000" w:rsidRDefault="00000000">
            <w:pPr>
              <w:pStyle w:val="a2"/>
              <w:ind w:right="227"/>
              <w:jc w:val="right"/>
            </w:pPr>
            <w:r>
              <w:t>10</w:t>
            </w:r>
          </w:p>
        </w:tc>
        <w:tc>
          <w:tcPr>
            <w:tcW w:w="991" w:type="dxa"/>
            <w:gridSpan w:val="3"/>
            <w:tcBorders>
              <w:top w:val="nil"/>
              <w:bottom w:val="nil"/>
            </w:tcBorders>
          </w:tcPr>
          <w:p w:rsidR="00000000" w:rsidRDefault="00000000">
            <w:pPr>
              <w:pStyle w:val="a2"/>
              <w:ind w:right="227"/>
              <w:jc w:val="right"/>
            </w:pPr>
            <w:r>
              <w:t>1</w:t>
            </w:r>
          </w:p>
        </w:tc>
      </w:tr>
      <w:tr w:rsidR="00000000">
        <w:tblPrEx>
          <w:tblCellMar>
            <w:top w:w="0" w:type="dxa"/>
            <w:bottom w:w="0" w:type="dxa"/>
          </w:tblCellMar>
        </w:tblPrEx>
        <w:trPr>
          <w:jc w:val="center"/>
        </w:trPr>
        <w:tc>
          <w:tcPr>
            <w:tcW w:w="2030" w:type="dxa"/>
            <w:tcBorders>
              <w:top w:val="nil"/>
              <w:bottom w:val="nil"/>
            </w:tcBorders>
          </w:tcPr>
          <w:p w:rsidR="00000000" w:rsidRDefault="00000000">
            <w:pPr>
              <w:pStyle w:val="a2"/>
              <w:ind w:left="113"/>
              <w:rPr>
                <w:rFonts w:hint="eastAsia"/>
              </w:rPr>
            </w:pPr>
            <w:r>
              <w:rPr>
                <w:rFonts w:hint="eastAsia"/>
              </w:rPr>
              <w:t>60</w:t>
            </w:r>
            <w:r>
              <w:rPr>
                <w:rFonts w:hint="eastAsia"/>
              </w:rPr>
              <w:t>岁以上</w:t>
            </w:r>
          </w:p>
        </w:tc>
        <w:tc>
          <w:tcPr>
            <w:tcW w:w="966" w:type="dxa"/>
            <w:tcBorders>
              <w:top w:val="nil"/>
              <w:bottom w:val="nil"/>
            </w:tcBorders>
          </w:tcPr>
          <w:p w:rsidR="00000000" w:rsidRDefault="00000000">
            <w:pPr>
              <w:pStyle w:val="a2"/>
              <w:ind w:right="170"/>
              <w:jc w:val="right"/>
            </w:pPr>
            <w:r>
              <w:t>18</w:t>
            </w:r>
          </w:p>
        </w:tc>
        <w:tc>
          <w:tcPr>
            <w:tcW w:w="1010" w:type="dxa"/>
            <w:tcBorders>
              <w:top w:val="nil"/>
              <w:bottom w:val="nil"/>
            </w:tcBorders>
          </w:tcPr>
          <w:p w:rsidR="00000000" w:rsidRDefault="00000000">
            <w:pPr>
              <w:pStyle w:val="a2"/>
              <w:ind w:right="227"/>
              <w:jc w:val="right"/>
            </w:pPr>
            <w:r>
              <w:t>8</w:t>
            </w:r>
          </w:p>
        </w:tc>
        <w:tc>
          <w:tcPr>
            <w:tcW w:w="991" w:type="dxa"/>
            <w:gridSpan w:val="2"/>
            <w:tcBorders>
              <w:top w:val="nil"/>
              <w:bottom w:val="nil"/>
            </w:tcBorders>
          </w:tcPr>
          <w:p w:rsidR="00000000" w:rsidRDefault="00000000">
            <w:pPr>
              <w:pStyle w:val="a2"/>
              <w:ind w:right="227"/>
              <w:jc w:val="right"/>
            </w:pPr>
            <w:r>
              <w:t>10</w:t>
            </w:r>
          </w:p>
        </w:tc>
        <w:tc>
          <w:tcPr>
            <w:tcW w:w="991" w:type="dxa"/>
            <w:gridSpan w:val="2"/>
            <w:tcBorders>
              <w:top w:val="nil"/>
              <w:bottom w:val="nil"/>
            </w:tcBorders>
          </w:tcPr>
          <w:p w:rsidR="00000000" w:rsidRDefault="00000000">
            <w:pPr>
              <w:pStyle w:val="a2"/>
              <w:ind w:right="227"/>
              <w:jc w:val="right"/>
            </w:pPr>
            <w:r>
              <w:t>7</w:t>
            </w:r>
          </w:p>
        </w:tc>
        <w:tc>
          <w:tcPr>
            <w:tcW w:w="969" w:type="dxa"/>
            <w:tcBorders>
              <w:top w:val="nil"/>
              <w:bottom w:val="nil"/>
            </w:tcBorders>
          </w:tcPr>
          <w:p w:rsidR="00000000" w:rsidRDefault="00000000">
            <w:pPr>
              <w:pStyle w:val="a2"/>
              <w:ind w:right="227"/>
              <w:jc w:val="right"/>
            </w:pPr>
            <w:r>
              <w:t>3</w:t>
            </w:r>
          </w:p>
        </w:tc>
        <w:tc>
          <w:tcPr>
            <w:tcW w:w="1013" w:type="dxa"/>
            <w:tcBorders>
              <w:top w:val="nil"/>
              <w:bottom w:val="nil"/>
            </w:tcBorders>
          </w:tcPr>
          <w:p w:rsidR="00000000" w:rsidRDefault="00000000">
            <w:pPr>
              <w:pStyle w:val="a2"/>
              <w:ind w:right="227"/>
              <w:jc w:val="right"/>
            </w:pPr>
            <w:r>
              <w:t>2</w:t>
            </w:r>
          </w:p>
        </w:tc>
        <w:tc>
          <w:tcPr>
            <w:tcW w:w="991" w:type="dxa"/>
            <w:gridSpan w:val="3"/>
            <w:tcBorders>
              <w:top w:val="nil"/>
              <w:bottom w:val="nil"/>
            </w:tcBorders>
          </w:tcPr>
          <w:p w:rsidR="00000000" w:rsidRDefault="00000000">
            <w:pPr>
              <w:pStyle w:val="a2"/>
              <w:ind w:right="227"/>
              <w:jc w:val="right"/>
            </w:pPr>
            <w:r>
              <w:t>0</w:t>
            </w:r>
          </w:p>
        </w:tc>
      </w:tr>
      <w:tr w:rsidR="00000000">
        <w:tblPrEx>
          <w:tblCellMar>
            <w:top w:w="0" w:type="dxa"/>
            <w:bottom w:w="0" w:type="dxa"/>
          </w:tblCellMar>
        </w:tblPrEx>
        <w:trPr>
          <w:jc w:val="center"/>
        </w:trPr>
        <w:tc>
          <w:tcPr>
            <w:tcW w:w="2030" w:type="dxa"/>
            <w:tcBorders>
              <w:top w:val="nil"/>
            </w:tcBorders>
          </w:tcPr>
          <w:p w:rsidR="00000000" w:rsidRDefault="00000000">
            <w:pPr>
              <w:pStyle w:val="a2"/>
              <w:ind w:left="113"/>
              <w:rPr>
                <w:rFonts w:hint="eastAsia"/>
              </w:rPr>
            </w:pPr>
            <w:r>
              <w:rPr>
                <w:rFonts w:hint="eastAsia"/>
              </w:rPr>
              <w:t>年龄不详</w:t>
            </w:r>
          </w:p>
        </w:tc>
        <w:tc>
          <w:tcPr>
            <w:tcW w:w="966" w:type="dxa"/>
            <w:tcBorders>
              <w:top w:val="nil"/>
            </w:tcBorders>
          </w:tcPr>
          <w:p w:rsidR="00000000" w:rsidRDefault="00000000">
            <w:pPr>
              <w:pStyle w:val="a2"/>
              <w:ind w:right="170"/>
              <w:jc w:val="right"/>
            </w:pPr>
            <w:r>
              <w:t>9</w:t>
            </w:r>
          </w:p>
        </w:tc>
        <w:tc>
          <w:tcPr>
            <w:tcW w:w="1010" w:type="dxa"/>
            <w:tcBorders>
              <w:top w:val="nil"/>
            </w:tcBorders>
          </w:tcPr>
          <w:p w:rsidR="00000000" w:rsidRDefault="00000000">
            <w:pPr>
              <w:pStyle w:val="a2"/>
              <w:ind w:right="227"/>
              <w:jc w:val="right"/>
            </w:pPr>
            <w:r>
              <w:t>0</w:t>
            </w:r>
          </w:p>
        </w:tc>
        <w:tc>
          <w:tcPr>
            <w:tcW w:w="991" w:type="dxa"/>
            <w:gridSpan w:val="2"/>
            <w:tcBorders>
              <w:top w:val="nil"/>
            </w:tcBorders>
          </w:tcPr>
          <w:p w:rsidR="00000000" w:rsidRDefault="00000000">
            <w:pPr>
              <w:pStyle w:val="a2"/>
              <w:ind w:right="227"/>
              <w:jc w:val="right"/>
            </w:pPr>
            <w:r>
              <w:t>2</w:t>
            </w:r>
          </w:p>
        </w:tc>
        <w:tc>
          <w:tcPr>
            <w:tcW w:w="991" w:type="dxa"/>
            <w:gridSpan w:val="2"/>
            <w:tcBorders>
              <w:top w:val="nil"/>
            </w:tcBorders>
          </w:tcPr>
          <w:p w:rsidR="00000000" w:rsidRDefault="00000000">
            <w:pPr>
              <w:pStyle w:val="a2"/>
              <w:ind w:right="227"/>
              <w:jc w:val="right"/>
            </w:pPr>
            <w:r>
              <w:t>0</w:t>
            </w:r>
          </w:p>
        </w:tc>
        <w:tc>
          <w:tcPr>
            <w:tcW w:w="969" w:type="dxa"/>
            <w:tcBorders>
              <w:top w:val="nil"/>
            </w:tcBorders>
          </w:tcPr>
          <w:p w:rsidR="00000000" w:rsidRDefault="00000000">
            <w:pPr>
              <w:pStyle w:val="a2"/>
              <w:ind w:right="227"/>
              <w:jc w:val="right"/>
            </w:pPr>
            <w:r>
              <w:t>0</w:t>
            </w:r>
          </w:p>
        </w:tc>
        <w:tc>
          <w:tcPr>
            <w:tcW w:w="1013" w:type="dxa"/>
            <w:tcBorders>
              <w:top w:val="nil"/>
            </w:tcBorders>
          </w:tcPr>
          <w:p w:rsidR="00000000" w:rsidRDefault="00000000">
            <w:pPr>
              <w:pStyle w:val="a2"/>
              <w:ind w:right="227"/>
              <w:jc w:val="right"/>
            </w:pPr>
            <w:r>
              <w:t>3</w:t>
            </w:r>
          </w:p>
        </w:tc>
        <w:tc>
          <w:tcPr>
            <w:tcW w:w="991" w:type="dxa"/>
            <w:gridSpan w:val="3"/>
            <w:tcBorders>
              <w:top w:val="nil"/>
            </w:tcBorders>
          </w:tcPr>
          <w:p w:rsidR="00000000" w:rsidRDefault="00000000">
            <w:pPr>
              <w:pStyle w:val="a2"/>
              <w:ind w:right="227"/>
              <w:jc w:val="right"/>
            </w:pPr>
            <w:r>
              <w:t>0</w:t>
            </w:r>
          </w:p>
        </w:tc>
      </w:tr>
    </w:tbl>
    <w:p w:rsidR="00000000" w:rsidRDefault="00000000">
      <w:pPr>
        <w:ind w:firstLine="510"/>
        <w:rPr>
          <w:rFonts w:hint="eastAsia"/>
          <w:b/>
          <w:bCs/>
        </w:rPr>
      </w:pPr>
    </w:p>
    <w:p w:rsidR="00000000" w:rsidRDefault="00000000">
      <w:pPr>
        <w:ind w:firstLine="510"/>
        <w:rPr>
          <w:rFonts w:hint="eastAsia"/>
        </w:rPr>
      </w:pPr>
      <w:r>
        <w:rPr>
          <w:rFonts w:hint="eastAsia"/>
        </w:rPr>
        <w:t xml:space="preserve">519.  </w:t>
      </w:r>
      <w:r>
        <w:rPr>
          <w:rFonts w:hint="eastAsia"/>
        </w:rPr>
        <w:t>将执行以下建议：</w:t>
      </w:r>
    </w:p>
    <w:p w:rsidR="00000000" w:rsidRDefault="00000000">
      <w:pPr>
        <w:pStyle w:val="a0"/>
        <w:ind w:left="1550"/>
        <w:rPr>
          <w:rFonts w:hint="eastAsia"/>
        </w:rPr>
      </w:pPr>
      <w:r>
        <w:rPr>
          <w:rFonts w:hint="eastAsia"/>
        </w:rPr>
        <w:t>继续收集重点地区地雷和其他爆炸装置事故死伤情况的综合数据；</w:t>
      </w:r>
    </w:p>
    <w:p w:rsidR="00000000" w:rsidRDefault="00000000">
      <w:pPr>
        <w:pStyle w:val="a0"/>
        <w:ind w:left="1550"/>
        <w:rPr>
          <w:rFonts w:hint="eastAsia"/>
        </w:rPr>
      </w:pPr>
      <w:r>
        <w:rPr>
          <w:rFonts w:hint="eastAsia"/>
        </w:rPr>
        <w:t>加强公众宣传教育、强调危险性、指导如何预防和避免事故；</w:t>
      </w:r>
    </w:p>
    <w:p w:rsidR="00000000" w:rsidRDefault="00000000">
      <w:pPr>
        <w:pStyle w:val="a0"/>
        <w:spacing w:after="320"/>
        <w:ind w:left="1550"/>
        <w:rPr>
          <w:rFonts w:hint="eastAsia"/>
        </w:rPr>
      </w:pPr>
      <w:r>
        <w:rPr>
          <w:rFonts w:hint="eastAsia"/>
        </w:rPr>
        <w:t>通过给接触危险的人的提供康复和让他们重新融入社会来提高认识。</w:t>
      </w:r>
    </w:p>
    <w:p w:rsidR="00000000" w:rsidRDefault="00000000">
      <w:pPr>
        <w:pStyle w:val="a3"/>
        <w:rPr>
          <w:rFonts w:hint="eastAsia"/>
        </w:rPr>
      </w:pPr>
      <w:r>
        <w:rPr>
          <w:rFonts w:hint="eastAsia"/>
        </w:rPr>
        <w:t>第</w:t>
      </w:r>
      <w:r>
        <w:rPr>
          <w:rFonts w:hint="eastAsia"/>
        </w:rPr>
        <w:t xml:space="preserve"> 13 </w:t>
      </w:r>
      <w:r>
        <w:rPr>
          <w:rFonts w:hint="eastAsia"/>
        </w:rPr>
        <w:t>条</w:t>
      </w:r>
    </w:p>
    <w:p w:rsidR="00000000" w:rsidRDefault="00000000">
      <w:pPr>
        <w:pStyle w:val="Heading4"/>
        <w:rPr>
          <w:rFonts w:hint="eastAsia"/>
        </w:rPr>
      </w:pPr>
      <w:r>
        <w:rPr>
          <w:rFonts w:hint="eastAsia"/>
        </w:rPr>
        <w:t>接受充分教育的权利</w:t>
      </w:r>
    </w:p>
    <w:p w:rsidR="00000000" w:rsidRDefault="00000000">
      <w:pPr>
        <w:pStyle w:val="Heading4"/>
        <w:rPr>
          <w:rFonts w:hint="eastAsia"/>
        </w:rPr>
      </w:pPr>
      <w:r>
        <w:rPr>
          <w:rFonts w:hint="eastAsia"/>
        </w:rPr>
        <w:t>战争期间波斯尼亚和黑塞哥维那的教育</w:t>
      </w:r>
    </w:p>
    <w:p w:rsidR="00000000" w:rsidRDefault="00000000">
      <w:pPr>
        <w:spacing w:after="320"/>
        <w:rPr>
          <w:rFonts w:hint="eastAsia"/>
        </w:rPr>
      </w:pPr>
      <w:r>
        <w:rPr>
          <w:rFonts w:hint="eastAsia"/>
        </w:rPr>
        <w:tab/>
        <w:t xml:space="preserve">520.  </w:t>
      </w:r>
      <w:r>
        <w:rPr>
          <w:rFonts w:hint="eastAsia"/>
        </w:rPr>
        <w:t>战争期间，鉴于当时的情况，一度高度集中和统一的教育体系被分成三个独立的教育体系。在全部三个教育体系中，教育的总的体制法律框架，即教育结构，都保持不变，但计划和课程有显著区别，特别是母语教学和文学、历史、地理、音乐和美术方面。由波斯尼亚的克罗地亚人控制地区的学校使用克罗地亚共和国的计划和课程，而由波斯尼亚的塞尔维亚人控制地区的学校则使用南斯拉夫联邦共和国的计划和课程。波斯尼亚人控制地区的学校使用波斯尼亚和黑塞哥维那共和国的计划和课程，直到</w:t>
      </w:r>
      <w:r>
        <w:rPr>
          <w:rFonts w:hint="eastAsia"/>
        </w:rPr>
        <w:t>1994</w:t>
      </w:r>
      <w:r>
        <w:rPr>
          <w:rFonts w:hint="eastAsia"/>
        </w:rPr>
        <w:t>年推出新的计划和课程，并编写了大量的教科书。由于战争期间生活和工作条件都极为艰苦，甚至往往风险很大，在整个国家教育进程几乎都被打断。</w:t>
      </w:r>
    </w:p>
    <w:p w:rsidR="00000000" w:rsidRDefault="00000000">
      <w:pPr>
        <w:pStyle w:val="Heading4"/>
        <w:rPr>
          <w:rFonts w:hint="eastAsia"/>
        </w:rPr>
      </w:pPr>
      <w:r>
        <w:rPr>
          <w:rFonts w:hint="eastAsia"/>
        </w:rPr>
        <w:t>代顿协议的教育条款</w:t>
      </w:r>
    </w:p>
    <w:p w:rsidR="00000000" w:rsidRDefault="00000000">
      <w:pPr>
        <w:spacing w:after="320"/>
        <w:ind w:firstLine="510"/>
        <w:rPr>
          <w:rFonts w:hint="eastAsia"/>
        </w:rPr>
      </w:pPr>
      <w:r>
        <w:rPr>
          <w:rFonts w:hint="eastAsia"/>
        </w:rPr>
        <w:t xml:space="preserve">521.  </w:t>
      </w:r>
      <w:r>
        <w:rPr>
          <w:rFonts w:hint="eastAsia"/>
        </w:rPr>
        <w:t>根据《代顿协议》，主要行政权力由各实体行使，这包括教育、科学和文化的主管。在波斯尼亚和黑塞哥维那联邦，根据其宪法</w:t>
      </w:r>
      <w:r>
        <w:rPr>
          <w:rFonts w:hint="eastAsia"/>
        </w:rPr>
        <w:t>(</w:t>
      </w:r>
      <w:r>
        <w:rPr>
          <w:rFonts w:hint="eastAsia"/>
        </w:rPr>
        <w:t>第三章第</w:t>
      </w:r>
      <w:r>
        <w:rPr>
          <w:rFonts w:hint="eastAsia"/>
        </w:rPr>
        <w:t>4b</w:t>
      </w:r>
      <w:r>
        <w:rPr>
          <w:rFonts w:hint="eastAsia"/>
        </w:rPr>
        <w:t>条</w:t>
      </w:r>
      <w:r>
        <w:rPr>
          <w:rFonts w:hint="eastAsia"/>
        </w:rPr>
        <w:t>)</w:t>
      </w:r>
      <w:r>
        <w:rPr>
          <w:rFonts w:hint="eastAsia"/>
        </w:rPr>
        <w:t>，教育实行权力下放，将权限下放到各州。在塞尔维亚共和国，教育权力集中在实体一级。</w:t>
      </w:r>
    </w:p>
    <w:p w:rsidR="00000000" w:rsidRDefault="00000000">
      <w:pPr>
        <w:pStyle w:val="Heading4"/>
        <w:rPr>
          <w:rFonts w:hint="eastAsia"/>
        </w:rPr>
      </w:pPr>
      <w:r>
        <w:rPr>
          <w:rFonts w:hint="eastAsia"/>
        </w:rPr>
        <w:t>宪法条款</w:t>
      </w:r>
    </w:p>
    <w:p w:rsidR="00000000" w:rsidRDefault="00000000">
      <w:pPr>
        <w:pStyle w:val="Heading4"/>
        <w:ind w:left="510"/>
        <w:rPr>
          <w:rFonts w:hint="eastAsia"/>
        </w:rPr>
      </w:pPr>
      <w:r>
        <w:rPr>
          <w:rFonts w:hint="eastAsia"/>
          <w:u w:val="none"/>
        </w:rPr>
        <w:t>《</w:t>
      </w:r>
      <w:r>
        <w:rPr>
          <w:rFonts w:hint="eastAsia"/>
        </w:rPr>
        <w:t>波斯尼亚和黑塞哥维纳宪法</w:t>
      </w:r>
      <w:r>
        <w:rPr>
          <w:rFonts w:hint="eastAsia"/>
          <w:u w:val="none"/>
        </w:rPr>
        <w:t>》</w:t>
      </w:r>
    </w:p>
    <w:p w:rsidR="00000000" w:rsidRDefault="00000000">
      <w:pPr>
        <w:ind w:firstLine="510"/>
        <w:rPr>
          <w:rFonts w:hint="eastAsia"/>
        </w:rPr>
      </w:pPr>
      <w:r>
        <w:rPr>
          <w:rFonts w:hint="eastAsia"/>
        </w:rPr>
        <w:t xml:space="preserve">522.  </w:t>
      </w:r>
      <w:r>
        <w:rPr>
          <w:rFonts w:hint="eastAsia"/>
        </w:rPr>
        <w:t>《波斯尼亚和黑塞哥维纳宪法》和国际文件所宣扬和保障的广泛权利和自由是《宪法》不可分割的一部分，其中包括受教育权</w:t>
      </w:r>
      <w:r>
        <w:rPr>
          <w:rFonts w:hint="eastAsia"/>
        </w:rPr>
        <w:t>(</w:t>
      </w:r>
      <w:r>
        <w:rPr>
          <w:rFonts w:hint="eastAsia"/>
        </w:rPr>
        <w:t>《波斯尼亚和黑塞哥维纳宪法》第二章第</w:t>
      </w:r>
      <w:r>
        <w:rPr>
          <w:rFonts w:hint="eastAsia"/>
        </w:rPr>
        <w:t xml:space="preserve">3 </w:t>
      </w:r>
      <w:r>
        <w:t>“</w:t>
      </w:r>
      <w:r>
        <w:rPr>
          <w:rFonts w:hint="eastAsia"/>
        </w:rPr>
        <w:t>I</w:t>
      </w:r>
      <w:r>
        <w:t>”</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523.  </w:t>
      </w:r>
      <w:r>
        <w:rPr>
          <w:rFonts w:hint="eastAsia"/>
        </w:rPr>
        <w:t>《宪法》规定波斯尼亚和黑塞哥维纳国家和两个实体有责任确保实现最高水平的国际认可的人权和基本自由</w:t>
      </w:r>
      <w:r>
        <w:rPr>
          <w:rFonts w:hint="eastAsia"/>
        </w:rPr>
        <w:t>(</w:t>
      </w:r>
      <w:r>
        <w:rPr>
          <w:rFonts w:hint="eastAsia"/>
        </w:rPr>
        <w:t>《宪法》第二章第</w:t>
      </w:r>
      <w:r>
        <w:rPr>
          <w:rFonts w:hint="eastAsia"/>
        </w:rPr>
        <w:t>1</w:t>
      </w:r>
      <w:r>
        <w:rPr>
          <w:rFonts w:hint="eastAsia"/>
        </w:rPr>
        <w:t>条</w:t>
      </w:r>
      <w:r>
        <w:rPr>
          <w:rFonts w:hint="eastAsia"/>
        </w:rPr>
        <w:t>)</w:t>
      </w:r>
      <w:r>
        <w:rPr>
          <w:rFonts w:hint="eastAsia"/>
        </w:rPr>
        <w:t>。这意味着国家和实体担负保障人权和非歧视地行使这些权利的责任，各级决策当局必须确保《宪法》所保护的人权和自由得到保护，包括受教育权。</w:t>
      </w:r>
    </w:p>
    <w:p w:rsidR="00000000" w:rsidRDefault="00000000">
      <w:pPr>
        <w:ind w:firstLine="510"/>
        <w:rPr>
          <w:rFonts w:hint="eastAsia"/>
        </w:rPr>
      </w:pPr>
      <w:r>
        <w:rPr>
          <w:rFonts w:hint="eastAsia"/>
        </w:rPr>
        <w:t xml:space="preserve">524.  </w:t>
      </w:r>
      <w:r>
        <w:rPr>
          <w:rFonts w:hint="eastAsia"/>
        </w:rPr>
        <w:t>《波斯尼亚和黑塞哥维纳宪法》进一步规定了国家和实体之间具体的责任分配，以及国家和实体机构之间的相互关系。所有没有明确规定属于波斯尼亚和黑塞哥维纳机构的政府职能都属于实体</w:t>
      </w:r>
      <w:r>
        <w:rPr>
          <w:rFonts w:hint="eastAsia"/>
        </w:rPr>
        <w:t>(</w:t>
      </w:r>
      <w:r>
        <w:rPr>
          <w:rFonts w:hint="eastAsia"/>
        </w:rPr>
        <w:t>《宪法》第三章</w:t>
      </w:r>
      <w:r>
        <w:rPr>
          <w:rFonts w:hint="eastAsia"/>
        </w:rPr>
        <w:t>3(a)</w:t>
      </w:r>
      <w:r>
        <w:rPr>
          <w:rFonts w:hint="eastAsia"/>
        </w:rPr>
        <w:t>条</w:t>
      </w:r>
      <w:r>
        <w:rPr>
          <w:rFonts w:hint="eastAsia"/>
        </w:rPr>
        <w:t>)</w:t>
      </w:r>
      <w:r>
        <w:rPr>
          <w:rFonts w:hint="eastAsia"/>
        </w:rPr>
        <w:t>。从这个意义上说，教育体制的组织和行政管理这一特殊而具体的职责归属实体，即联邦单位。</w:t>
      </w:r>
    </w:p>
    <w:p w:rsidR="00000000" w:rsidRDefault="00000000">
      <w:pPr>
        <w:ind w:firstLine="510"/>
        <w:rPr>
          <w:rFonts w:hint="eastAsia"/>
        </w:rPr>
      </w:pPr>
      <w:r>
        <w:rPr>
          <w:rFonts w:hint="eastAsia"/>
        </w:rPr>
        <w:t xml:space="preserve">525.  </w:t>
      </w:r>
      <w:r>
        <w:rPr>
          <w:rFonts w:hint="eastAsia"/>
        </w:rPr>
        <w:t>此外，根据《宪法》规定，宪法条款还提倡实体之间在不属于波斯尼亚和黑塞哥维纳负责的事务上互相协调。《宪法》还规定，波斯尼亚和黑塞哥维纳可以接管实体同意转交的事务的职责，并设立新的波斯尼亚和黑塞哥维纳机构行使这些职责</w:t>
      </w:r>
      <w:r>
        <w:rPr>
          <w:rFonts w:hint="eastAsia"/>
        </w:rPr>
        <w:t>(</w:t>
      </w:r>
      <w:r>
        <w:rPr>
          <w:rFonts w:hint="eastAsia"/>
        </w:rPr>
        <w:t>《波斯尼亚和黑塞哥维纳宪法》第三章第</w:t>
      </w:r>
      <w:r>
        <w:rPr>
          <w:rFonts w:hint="eastAsia"/>
        </w:rPr>
        <w:t>4.5.(a)</w:t>
      </w:r>
      <w:r>
        <w:rPr>
          <w:rFonts w:hint="eastAsia"/>
        </w:rPr>
        <w:t>条</w:t>
      </w:r>
      <w:r>
        <w:rPr>
          <w:rFonts w:hint="eastAsia"/>
        </w:rPr>
        <w:t>)</w:t>
      </w:r>
      <w:r>
        <w:rPr>
          <w:rFonts w:hint="eastAsia"/>
        </w:rPr>
        <w:t>。</w:t>
      </w:r>
    </w:p>
    <w:p w:rsidR="00000000" w:rsidRDefault="00000000">
      <w:pPr>
        <w:ind w:firstLine="510"/>
        <w:rPr>
          <w:rFonts w:hint="eastAsia"/>
        </w:rPr>
      </w:pPr>
      <w:r>
        <w:rPr>
          <w:rFonts w:hint="eastAsia"/>
        </w:rPr>
        <w:t xml:space="preserve">526.  </w:t>
      </w:r>
      <w:r>
        <w:rPr>
          <w:rFonts w:hint="eastAsia"/>
        </w:rPr>
        <w:t>《波斯尼亚和黑塞哥维纳联邦宪法》通过在联邦权力机关和联邦单位</w:t>
      </w:r>
      <w:r>
        <w:rPr>
          <w:rFonts w:hint="eastAsia"/>
          <w:spacing w:val="-50"/>
        </w:rPr>
        <w:t>―</w:t>
      </w:r>
      <w:r>
        <w:rPr>
          <w:rFonts w:hint="eastAsia"/>
        </w:rPr>
        <w:t>―州的权力机关之间的职责分配推进了教育权力下放的理念。通过规定联邦的专属职责、联邦和州之间的职责分配、和各州的特殊职责，对各决策层的权力做出了全面的再分配。</w:t>
      </w:r>
    </w:p>
    <w:p w:rsidR="00000000" w:rsidRDefault="00000000">
      <w:pPr>
        <w:ind w:firstLine="510"/>
        <w:rPr>
          <w:rFonts w:hint="eastAsia"/>
        </w:rPr>
      </w:pPr>
      <w:r>
        <w:rPr>
          <w:rFonts w:hint="eastAsia"/>
        </w:rPr>
        <w:t xml:space="preserve">527.  </w:t>
      </w:r>
      <w:r>
        <w:rPr>
          <w:rFonts w:hint="eastAsia"/>
        </w:rPr>
        <w:t>根据宪法规定，联邦权力机关和各州共同或各自负责，或在联邦机关的协调下通过各州负责保障执行人权，包括受教育权。就职责分配的条件而言，联邦和各州权力机关同意分配是永久性的。</w:t>
      </w:r>
      <w:r>
        <w:rPr>
          <w:rFonts w:hint="eastAsia"/>
        </w:rPr>
        <w:t>(</w:t>
      </w:r>
      <w:r>
        <w:rPr>
          <w:rFonts w:hint="eastAsia"/>
        </w:rPr>
        <w:t>《波斯尼亚和黑塞哥维纳宪法》第三章第</w:t>
      </w:r>
      <w:r>
        <w:rPr>
          <w:rFonts w:hint="eastAsia"/>
        </w:rPr>
        <w:t>2(a)</w:t>
      </w:r>
      <w:r>
        <w:rPr>
          <w:rFonts w:hint="eastAsia"/>
        </w:rPr>
        <w:t>和</w:t>
      </w:r>
      <w:r>
        <w:rPr>
          <w:rFonts w:hint="eastAsia"/>
        </w:rPr>
        <w:t>3(1)</w:t>
      </w:r>
      <w:r>
        <w:rPr>
          <w:rFonts w:hint="eastAsia"/>
        </w:rPr>
        <w:t>和</w:t>
      </w:r>
      <w:r>
        <w:rPr>
          <w:rFonts w:hint="eastAsia"/>
        </w:rPr>
        <w:t>(2)</w:t>
      </w:r>
      <w:r>
        <w:rPr>
          <w:rFonts w:hint="eastAsia"/>
        </w:rPr>
        <w:t>条</w:t>
      </w:r>
      <w:r>
        <w:rPr>
          <w:rFonts w:hint="eastAsia"/>
        </w:rPr>
        <w:t>)</w:t>
      </w:r>
    </w:p>
    <w:p w:rsidR="00000000" w:rsidRDefault="00000000">
      <w:pPr>
        <w:ind w:firstLine="510"/>
        <w:rPr>
          <w:rFonts w:hint="eastAsia"/>
        </w:rPr>
      </w:pPr>
      <w:r>
        <w:rPr>
          <w:rFonts w:hint="eastAsia"/>
        </w:rPr>
        <w:t xml:space="preserve">528.  </w:t>
      </w:r>
      <w:r>
        <w:rPr>
          <w:rFonts w:hint="eastAsia"/>
        </w:rPr>
        <w:t>在教育领域，各州特别要负责以下方面：</w:t>
      </w:r>
    </w:p>
    <w:p w:rsidR="00000000" w:rsidRDefault="00000000">
      <w:pPr>
        <w:numPr>
          <w:ilvl w:val="1"/>
          <w:numId w:val="84"/>
        </w:numPr>
        <w:tabs>
          <w:tab w:val="clear" w:pos="1217"/>
          <w:tab w:val="num" w:pos="1737"/>
        </w:tabs>
        <w:ind w:left="1737"/>
        <w:rPr>
          <w:rFonts w:hint="eastAsia"/>
        </w:rPr>
      </w:pPr>
      <w:r>
        <w:rPr>
          <w:rFonts w:hint="eastAsia"/>
        </w:rPr>
        <w:t>确定教育政策；</w:t>
      </w:r>
    </w:p>
    <w:p w:rsidR="00000000" w:rsidRDefault="00000000">
      <w:pPr>
        <w:numPr>
          <w:ilvl w:val="1"/>
          <w:numId w:val="84"/>
        </w:numPr>
        <w:tabs>
          <w:tab w:val="clear" w:pos="1217"/>
          <w:tab w:val="num" w:pos="1737"/>
        </w:tabs>
        <w:ind w:left="1737"/>
        <w:rPr>
          <w:rFonts w:hint="eastAsia"/>
          <w:b/>
          <w:bCs/>
        </w:rPr>
      </w:pPr>
      <w:r>
        <w:rPr>
          <w:rFonts w:hint="eastAsia"/>
        </w:rPr>
        <w:t>通过教育法规；</w:t>
      </w:r>
    </w:p>
    <w:p w:rsidR="00000000" w:rsidRDefault="00000000">
      <w:pPr>
        <w:numPr>
          <w:ilvl w:val="1"/>
          <w:numId w:val="84"/>
        </w:numPr>
        <w:tabs>
          <w:tab w:val="clear" w:pos="1217"/>
          <w:tab w:val="num" w:pos="1737"/>
        </w:tabs>
        <w:ind w:left="1737"/>
        <w:rPr>
          <w:rFonts w:hint="eastAsia"/>
          <w:b/>
          <w:bCs/>
        </w:rPr>
      </w:pPr>
      <w:r>
        <w:rPr>
          <w:rFonts w:hint="eastAsia"/>
        </w:rPr>
        <w:t>教育保障</w:t>
      </w:r>
      <w:r>
        <w:rPr>
          <w:rFonts w:hint="eastAsia"/>
        </w:rPr>
        <w:t>(</w:t>
      </w:r>
      <w:r>
        <w:rPr>
          <w:rFonts w:hint="eastAsia"/>
        </w:rPr>
        <w:t>《波斯尼亚和黑塞哥维纳宪法》第三章第</w:t>
      </w:r>
      <w:r>
        <w:rPr>
          <w:rFonts w:hint="eastAsia"/>
        </w:rPr>
        <w:t>4(b)</w:t>
      </w:r>
      <w:r>
        <w:rPr>
          <w:rFonts w:hint="eastAsia"/>
        </w:rPr>
        <w:t>条</w:t>
      </w:r>
      <w:r>
        <w:rPr>
          <w:rFonts w:hint="eastAsia"/>
        </w:rPr>
        <w:t>)</w:t>
      </w:r>
      <w:r>
        <w:rPr>
          <w:rFonts w:hint="eastAsia"/>
        </w:rPr>
        <w:t>。</w:t>
      </w:r>
    </w:p>
    <w:p w:rsidR="00000000" w:rsidRDefault="00000000">
      <w:pPr>
        <w:rPr>
          <w:rFonts w:hint="eastAsia"/>
        </w:rPr>
      </w:pPr>
      <w:r>
        <w:rPr>
          <w:rFonts w:hint="eastAsia"/>
        </w:rPr>
        <w:t>所有各州宪法也规定和推动各项人权和自由，各州和地方自治单位有义务不断对人权和自由进行充分保障和落实。</w:t>
      </w:r>
    </w:p>
    <w:p w:rsidR="00000000" w:rsidRDefault="00000000">
      <w:pPr>
        <w:rPr>
          <w:rFonts w:hint="eastAsia"/>
          <w:snapToGrid/>
        </w:rPr>
      </w:pPr>
      <w:r>
        <w:rPr>
          <w:snapToGrid/>
        </w:rPr>
        <w:tab/>
      </w:r>
      <w:r>
        <w:rPr>
          <w:rFonts w:hint="eastAsia"/>
          <w:snapToGrid/>
        </w:rPr>
        <w:t>529.</w:t>
      </w:r>
      <w:r>
        <w:rPr>
          <w:snapToGrid/>
        </w:rPr>
        <w:t xml:space="preserve">  </w:t>
      </w:r>
      <w:r>
        <w:rPr>
          <w:rFonts w:hint="eastAsia"/>
          <w:snapToGrid/>
        </w:rPr>
        <w:t>教育领域里被明确为州的特殊职责的部分可以委托和转移给联邦机关，或地方自治单位</w:t>
      </w:r>
      <w:r>
        <w:rPr>
          <w:rFonts w:hint="eastAsia"/>
          <w:snapToGrid/>
        </w:rPr>
        <w:t>(</w:t>
      </w:r>
      <w:r>
        <w:rPr>
          <w:rFonts w:hint="eastAsia"/>
          <w:snapToGrid/>
        </w:rPr>
        <w:t>《波斯尼亚和黑塞哥维纳宪法》第五章第</w:t>
      </w:r>
      <w:r>
        <w:rPr>
          <w:rFonts w:hint="eastAsia"/>
          <w:snapToGrid/>
        </w:rPr>
        <w:t>1.2(1)</w:t>
      </w:r>
      <w:r>
        <w:rPr>
          <w:rFonts w:hint="eastAsia"/>
          <w:snapToGrid/>
        </w:rPr>
        <w:t>条</w:t>
      </w:r>
      <w:r>
        <w:rPr>
          <w:rFonts w:hint="eastAsia"/>
          <w:snapToGrid/>
        </w:rPr>
        <w:t>)</w:t>
      </w:r>
      <w:r>
        <w:rPr>
          <w:rFonts w:hint="eastAsia"/>
          <w:snapToGrid/>
        </w:rPr>
        <w:t>。所有各州的宪法都有此规定，并且规定</w:t>
      </w:r>
      <w:r>
        <w:rPr>
          <w:snapToGrid/>
        </w:rPr>
        <w:t>，</w:t>
      </w:r>
      <w:r>
        <w:rPr>
          <w:rFonts w:hint="eastAsia"/>
          <w:snapToGrid/>
        </w:rPr>
        <w:t>就其民族组成来说如果在州内属于少数的民族在本州某个市里属于多数，则州有义务将具体职责转移给市。</w:t>
      </w:r>
    </w:p>
    <w:p w:rsidR="00000000" w:rsidRDefault="00000000">
      <w:pPr>
        <w:spacing w:after="320"/>
        <w:rPr>
          <w:rFonts w:hint="eastAsia"/>
          <w:snapToGrid/>
        </w:rPr>
      </w:pPr>
      <w:r>
        <w:rPr>
          <w:snapToGrid/>
        </w:rPr>
        <w:tab/>
      </w:r>
      <w:r>
        <w:rPr>
          <w:rFonts w:hint="eastAsia"/>
          <w:snapToGrid/>
        </w:rPr>
        <w:t>530.</w:t>
      </w:r>
      <w:r>
        <w:rPr>
          <w:snapToGrid/>
        </w:rPr>
        <w:t xml:space="preserve">  </w:t>
      </w:r>
      <w:r>
        <w:rPr>
          <w:rFonts w:hint="eastAsia"/>
          <w:snapToGrid/>
        </w:rPr>
        <w:t>把职责向地方或联邦机关转移的机制多种多样，可以是有义务通过一项特别的职责转移法，或启动相互协议、接受职责和通过特殊法律的程序，或单方面决定转移职责。然而，宪法的明文规定基本上还仅是停留书面而已。根据目前所有的信息，还没有一个州将本州在教育领域里的职责转移给联邦机关，或只是通过特殊教育法的规定在微不足道的程度上向下级机关和决策层转移职责</w:t>
      </w:r>
      <w:r>
        <w:rPr>
          <w:rFonts w:hint="eastAsia"/>
          <w:snapToGrid/>
        </w:rPr>
        <w:t>(</w:t>
      </w:r>
      <w:r>
        <w:rPr>
          <w:rFonts w:hint="eastAsia"/>
          <w:snapToGrid/>
        </w:rPr>
        <w:t>例如，地方自治单位创办某些等级的教育机构；参与为学生的各种标准开销如交通和食品等</w:t>
      </w:r>
      <w:r>
        <w:rPr>
          <w:rFonts w:hint="eastAsia"/>
          <w:snapToGrid/>
        </w:rPr>
        <w:t>(</w:t>
      </w:r>
      <w:r>
        <w:rPr>
          <w:rFonts w:hint="eastAsia"/>
          <w:snapToGrid/>
        </w:rPr>
        <w:t>共同</w:t>
      </w:r>
      <w:r>
        <w:rPr>
          <w:rFonts w:hint="eastAsia"/>
          <w:snapToGrid/>
        </w:rPr>
        <w:t>)</w:t>
      </w:r>
      <w:r>
        <w:rPr>
          <w:rFonts w:hint="eastAsia"/>
          <w:snapToGrid/>
        </w:rPr>
        <w:t>提供资金</w:t>
      </w:r>
      <w:r>
        <w:rPr>
          <w:rFonts w:hint="eastAsia"/>
          <w:snapToGrid/>
        </w:rPr>
        <w:t>)</w:t>
      </w:r>
      <w:r>
        <w:rPr>
          <w:rFonts w:hint="eastAsia"/>
          <w:snapToGrid/>
        </w:rPr>
        <w:t>。</w:t>
      </w:r>
    </w:p>
    <w:p w:rsidR="00000000" w:rsidRDefault="00000000">
      <w:pPr>
        <w:pStyle w:val="Heading4"/>
        <w:rPr>
          <w:rFonts w:hint="eastAsia"/>
          <w:u w:val="none"/>
        </w:rPr>
      </w:pPr>
      <w:r>
        <w:rPr>
          <w:rFonts w:hint="eastAsia"/>
          <w:u w:val="none"/>
        </w:rPr>
        <w:t>《</w:t>
      </w:r>
      <w:r>
        <w:rPr>
          <w:rFonts w:hint="eastAsia"/>
        </w:rPr>
        <w:t>塞尔维亚共和国宪法</w:t>
      </w:r>
      <w:r>
        <w:rPr>
          <w:rFonts w:hint="eastAsia"/>
          <w:u w:val="none"/>
        </w:rPr>
        <w:t>》</w:t>
      </w:r>
    </w:p>
    <w:p w:rsidR="00000000" w:rsidRDefault="00000000">
      <w:pPr>
        <w:spacing w:after="320"/>
        <w:rPr>
          <w:rFonts w:hint="eastAsia"/>
          <w:snapToGrid/>
        </w:rPr>
      </w:pPr>
      <w:r>
        <w:rPr>
          <w:snapToGrid/>
        </w:rPr>
        <w:tab/>
      </w:r>
      <w:r>
        <w:rPr>
          <w:rFonts w:hint="eastAsia"/>
          <w:snapToGrid/>
        </w:rPr>
        <w:t>531.</w:t>
      </w:r>
      <w:r>
        <w:rPr>
          <w:snapToGrid/>
        </w:rPr>
        <w:t xml:space="preserve">  </w:t>
      </w:r>
      <w:r>
        <w:rPr>
          <w:rFonts w:hint="eastAsia"/>
          <w:snapToGrid/>
        </w:rPr>
        <w:t>《塞尔维亚共和国宪法》保障每个公民都有受教育的权利。所有</w:t>
      </w:r>
      <w:r>
        <w:rPr>
          <w:rFonts w:hint="eastAsia"/>
          <w:snapToGrid/>
        </w:rPr>
        <w:t>16</w:t>
      </w:r>
      <w:r>
        <w:rPr>
          <w:rFonts w:hint="eastAsia"/>
          <w:snapToGrid/>
        </w:rPr>
        <w:t>岁以下儿童都享受义务教育。初等教育和中等教育全部免费。此外，“所有人都可在平等条件下获得中等和高等教育”</w:t>
      </w:r>
      <w:r>
        <w:rPr>
          <w:rFonts w:hint="eastAsia"/>
          <w:snapToGrid/>
        </w:rPr>
        <w:t>(</w:t>
      </w:r>
      <w:r>
        <w:rPr>
          <w:rFonts w:hint="eastAsia"/>
          <w:snapToGrid/>
        </w:rPr>
        <w:t>《宪法》第</w:t>
      </w:r>
      <w:r>
        <w:rPr>
          <w:rFonts w:hint="eastAsia"/>
          <w:snapToGrid/>
        </w:rPr>
        <w:t>38</w:t>
      </w:r>
      <w:r>
        <w:rPr>
          <w:rFonts w:hint="eastAsia"/>
          <w:snapToGrid/>
        </w:rPr>
        <w:t>条</w:t>
      </w:r>
      <w:r>
        <w:rPr>
          <w:rFonts w:hint="eastAsia"/>
          <w:snapToGrid/>
        </w:rPr>
        <w:t>)</w:t>
      </w:r>
      <w:r>
        <w:rPr>
          <w:rFonts w:hint="eastAsia"/>
          <w:snapToGrid/>
        </w:rPr>
        <w:t>。《宪法》第</w:t>
      </w:r>
      <w:r>
        <w:rPr>
          <w:rFonts w:hint="eastAsia"/>
          <w:snapToGrid/>
        </w:rPr>
        <w:t>7</w:t>
      </w:r>
      <w:r>
        <w:rPr>
          <w:rFonts w:hint="eastAsia"/>
          <w:snapToGrid/>
        </w:rPr>
        <w:t>条规定了使用塞尔维亚语作为官方语言，使用西里尔文字，以及“在其他语言人群居住的地区他们的语言和文字也作官方使用”。此处必须提到，目前尚没有能力履行宪法规定的免费提供初等教育的义务。即只有小部分学生</w:t>
      </w:r>
      <w:r>
        <w:rPr>
          <w:rFonts w:hint="eastAsia"/>
          <w:snapToGrid/>
        </w:rPr>
        <w:t>(</w:t>
      </w:r>
      <w:r>
        <w:rPr>
          <w:rFonts w:hint="eastAsia"/>
          <w:snapToGrid/>
        </w:rPr>
        <w:t>社会个案</w:t>
      </w:r>
      <w:r>
        <w:rPr>
          <w:rFonts w:hint="eastAsia"/>
          <w:snapToGrid/>
        </w:rPr>
        <w:t>)</w:t>
      </w:r>
      <w:r>
        <w:rPr>
          <w:rFonts w:hint="eastAsia"/>
          <w:snapToGrid/>
        </w:rPr>
        <w:t>能得到免费教科书，</w:t>
      </w:r>
      <w:r>
        <w:rPr>
          <w:rFonts w:hint="eastAsia"/>
          <w:snapToGrid/>
        </w:rPr>
        <w:t>(</w:t>
      </w:r>
      <w:r>
        <w:rPr>
          <w:rFonts w:hint="eastAsia"/>
          <w:snapToGrid/>
        </w:rPr>
        <w:t>行程超过四公里的</w:t>
      </w:r>
      <w:r>
        <w:rPr>
          <w:rFonts w:hint="eastAsia"/>
          <w:snapToGrid/>
        </w:rPr>
        <w:t>)</w:t>
      </w:r>
      <w:r>
        <w:rPr>
          <w:rFonts w:hint="eastAsia"/>
          <w:snapToGrid/>
        </w:rPr>
        <w:t>学生的交通组织得不够好。</w:t>
      </w:r>
    </w:p>
    <w:p w:rsidR="00000000" w:rsidRDefault="00000000">
      <w:pPr>
        <w:pStyle w:val="Heading4"/>
        <w:rPr>
          <w:rFonts w:hint="eastAsia"/>
          <w:u w:val="none"/>
        </w:rPr>
      </w:pPr>
      <w:r>
        <w:rPr>
          <w:rFonts w:hint="eastAsia"/>
          <w:u w:val="none"/>
        </w:rPr>
        <w:t>《</w:t>
      </w:r>
      <w:r>
        <w:rPr>
          <w:rFonts w:hint="eastAsia"/>
        </w:rPr>
        <w:t>布尔奇科区法规</w:t>
      </w:r>
      <w:r>
        <w:rPr>
          <w:rFonts w:hint="eastAsia"/>
          <w:u w:val="none"/>
        </w:rPr>
        <w:t>》</w:t>
      </w:r>
    </w:p>
    <w:p w:rsidR="00000000" w:rsidRDefault="00000000">
      <w:pPr>
        <w:rPr>
          <w:rFonts w:hint="eastAsia"/>
          <w:snapToGrid/>
        </w:rPr>
      </w:pPr>
      <w:r>
        <w:rPr>
          <w:snapToGrid/>
        </w:rPr>
        <w:tab/>
      </w:r>
      <w:r>
        <w:rPr>
          <w:rFonts w:hint="eastAsia"/>
          <w:snapToGrid/>
        </w:rPr>
        <w:t>532.</w:t>
      </w:r>
      <w:r>
        <w:rPr>
          <w:snapToGrid/>
        </w:rPr>
        <w:t xml:space="preserve">  </w:t>
      </w:r>
      <w:r>
        <w:rPr>
          <w:rFonts w:hint="eastAsia"/>
          <w:snapToGrid/>
        </w:rPr>
        <w:t>《波斯尼亚和黑塞哥维纳布尔奇科区法规》第</w:t>
      </w:r>
      <w:r>
        <w:rPr>
          <w:rFonts w:hint="eastAsia"/>
          <w:snapToGrid/>
        </w:rPr>
        <w:t>9(g)</w:t>
      </w:r>
      <w:r>
        <w:rPr>
          <w:rFonts w:hint="eastAsia"/>
          <w:snapToGrid/>
        </w:rPr>
        <w:t>条明确规定了布尔奇科区的职能，包括教育。该法规第</w:t>
      </w:r>
      <w:r>
        <w:rPr>
          <w:rFonts w:hint="eastAsia"/>
          <w:snapToGrid/>
        </w:rPr>
        <w:t>13</w:t>
      </w:r>
      <w:r>
        <w:rPr>
          <w:rFonts w:hint="eastAsia"/>
          <w:snapToGrid/>
        </w:rPr>
        <w:t>条承认所有人都有权享有波斯尼亚和黑塞哥维纳宪法和法律以及布尔奇科区法律保障的各项权利和自由，不受任何理由的任何歧视。</w:t>
      </w:r>
    </w:p>
    <w:p w:rsidR="00000000" w:rsidRDefault="00000000">
      <w:pPr>
        <w:rPr>
          <w:rFonts w:hint="eastAsia"/>
          <w:snapToGrid/>
        </w:rPr>
      </w:pPr>
      <w:r>
        <w:rPr>
          <w:snapToGrid/>
        </w:rPr>
        <w:tab/>
      </w:r>
      <w:r>
        <w:rPr>
          <w:rFonts w:hint="eastAsia"/>
          <w:snapToGrid/>
        </w:rPr>
        <w:t>533.</w:t>
      </w:r>
      <w:r>
        <w:rPr>
          <w:snapToGrid/>
        </w:rPr>
        <w:t xml:space="preserve">  </w:t>
      </w:r>
      <w:r>
        <w:rPr>
          <w:rFonts w:hint="eastAsia"/>
          <w:snapToGrid/>
        </w:rPr>
        <w:t>《布尔奇科区法规》第</w:t>
      </w:r>
      <w:r>
        <w:rPr>
          <w:rFonts w:hint="eastAsia"/>
          <w:snapToGrid/>
        </w:rPr>
        <w:t>16</w:t>
      </w:r>
      <w:r>
        <w:rPr>
          <w:rFonts w:hint="eastAsia"/>
          <w:snapToGrid/>
        </w:rPr>
        <w:t>条明确规定每个人都有不受歧视平等受教育的权利。初等教育是免费的义务教育。中等教育免费。可以依法建立私立学校和学术机构。</w:t>
      </w:r>
    </w:p>
    <w:p w:rsidR="00000000" w:rsidRDefault="00000000">
      <w:pPr>
        <w:spacing w:after="320"/>
        <w:rPr>
          <w:snapToGrid/>
        </w:rPr>
      </w:pPr>
      <w:r>
        <w:rPr>
          <w:snapToGrid/>
        </w:rPr>
        <w:tab/>
      </w:r>
      <w:r>
        <w:rPr>
          <w:rFonts w:hint="eastAsia"/>
          <w:snapToGrid/>
        </w:rPr>
        <w:t>534.</w:t>
      </w:r>
      <w:r>
        <w:rPr>
          <w:snapToGrid/>
        </w:rPr>
        <w:t xml:space="preserve">  </w:t>
      </w:r>
      <w:r>
        <w:rPr>
          <w:rFonts w:hint="eastAsia"/>
          <w:snapToGrid/>
        </w:rPr>
        <w:t>根据该法规第</w:t>
      </w:r>
      <w:r>
        <w:rPr>
          <w:rFonts w:hint="eastAsia"/>
          <w:snapToGrid/>
        </w:rPr>
        <w:t>47</w:t>
      </w:r>
      <w:r>
        <w:rPr>
          <w:rFonts w:hint="eastAsia"/>
          <w:snapToGrid/>
        </w:rPr>
        <w:t>条，市长根据组织规划</w:t>
      </w:r>
      <w:r>
        <w:rPr>
          <w:rFonts w:hint="eastAsia"/>
          <w:snapToGrid/>
        </w:rPr>
        <w:t>(</w:t>
      </w:r>
      <w:r>
        <w:rPr>
          <w:rFonts w:hint="eastAsia"/>
          <w:snapToGrid/>
        </w:rPr>
        <w:t>第</w:t>
      </w:r>
      <w:r>
        <w:rPr>
          <w:rFonts w:hint="eastAsia"/>
          <w:snapToGrid/>
        </w:rPr>
        <w:t>9</w:t>
      </w:r>
      <w:r>
        <w:rPr>
          <w:rFonts w:hint="eastAsia"/>
          <w:snapToGrid/>
        </w:rPr>
        <w:t>条</w:t>
      </w:r>
      <w:r>
        <w:rPr>
          <w:rFonts w:hint="eastAsia"/>
          <w:snapToGrid/>
        </w:rPr>
        <w:t>)</w:t>
      </w:r>
      <w:r>
        <w:rPr>
          <w:rFonts w:hint="eastAsia"/>
          <w:snapToGrid/>
        </w:rPr>
        <w:t>成立各部门，包括教育部门。</w:t>
      </w:r>
    </w:p>
    <w:p w:rsidR="00000000" w:rsidRDefault="00000000">
      <w:pPr>
        <w:pStyle w:val="Heading4"/>
        <w:rPr>
          <w:rFonts w:hint="eastAsia"/>
        </w:rPr>
      </w:pPr>
      <w:r>
        <w:rPr>
          <w:rFonts w:hint="eastAsia"/>
        </w:rPr>
        <w:t>教育立法改革</w:t>
      </w:r>
    </w:p>
    <w:p w:rsidR="00000000" w:rsidRDefault="00000000">
      <w:pPr>
        <w:rPr>
          <w:rFonts w:hint="eastAsia"/>
          <w:snapToGrid/>
        </w:rPr>
      </w:pPr>
      <w:r>
        <w:rPr>
          <w:snapToGrid/>
        </w:rPr>
        <w:tab/>
      </w:r>
      <w:r>
        <w:rPr>
          <w:rFonts w:hint="eastAsia"/>
          <w:snapToGrid/>
        </w:rPr>
        <w:t>535.</w:t>
      </w:r>
      <w:r>
        <w:rPr>
          <w:snapToGrid/>
        </w:rPr>
        <w:t xml:space="preserve">  </w:t>
      </w:r>
      <w:r>
        <w:rPr>
          <w:rFonts w:hint="eastAsia"/>
          <w:snapToGrid/>
        </w:rPr>
        <w:t>因此，上述宪法条款给出了教育分权化的总体框架，使得教育可以进一步向低级或高级的决策层分权。如上所述，《波斯尼亚和黑塞哥维纳宪法》和《波斯尼亚和黑塞哥维纳联邦宪法》鼓励并支持这一进程，具体规定了义务，留下了转移当前职责或确立新的教育职责和机构的可能性。</w:t>
      </w:r>
    </w:p>
    <w:p w:rsidR="00000000" w:rsidRDefault="00000000">
      <w:pPr>
        <w:rPr>
          <w:rFonts w:hint="eastAsia"/>
          <w:snapToGrid/>
        </w:rPr>
      </w:pPr>
      <w:r>
        <w:rPr>
          <w:snapToGrid/>
        </w:rPr>
        <w:tab/>
      </w:r>
      <w:r>
        <w:rPr>
          <w:rFonts w:hint="eastAsia"/>
          <w:snapToGrid/>
        </w:rPr>
        <w:t>536.</w:t>
      </w:r>
      <w:r>
        <w:rPr>
          <w:snapToGrid/>
        </w:rPr>
        <w:t xml:space="preserve">  </w:t>
      </w:r>
      <w:r>
        <w:rPr>
          <w:rFonts w:hint="eastAsia"/>
          <w:snapToGrid/>
        </w:rPr>
        <w:t>从这个意义上讲，为保证建立一个适当的法律框架，来组织波斯尼亚和黑塞哥维纳的教育体系、建立有效的机制管理教育以保证教育过程完整持续而不是支离破碎，关于教育改革初步战略目标的文件</w:t>
      </w:r>
      <w:r>
        <w:rPr>
          <w:rFonts w:hint="eastAsia"/>
          <w:snapToGrid/>
        </w:rPr>
        <w:t>(</w:t>
      </w:r>
      <w:r>
        <w:rPr>
          <w:rFonts w:hint="eastAsia"/>
          <w:snapToGrid/>
        </w:rPr>
        <w:t>于</w:t>
      </w:r>
      <w:r>
        <w:rPr>
          <w:rFonts w:hint="eastAsia"/>
          <w:snapToGrid/>
        </w:rPr>
        <w:t>2002</w:t>
      </w:r>
      <w:r>
        <w:rPr>
          <w:rFonts w:hint="eastAsia"/>
          <w:snapToGrid/>
        </w:rPr>
        <w:t>年</w:t>
      </w:r>
      <w:r>
        <w:rPr>
          <w:rFonts w:hint="eastAsia"/>
          <w:snapToGrid/>
        </w:rPr>
        <w:t>11</w:t>
      </w:r>
      <w:r>
        <w:rPr>
          <w:rFonts w:hint="eastAsia"/>
          <w:snapToGrid/>
        </w:rPr>
        <w:t>月提交给驻布鲁塞尔的波斯尼亚和黑塞哥维纳实施和平理事会</w:t>
      </w:r>
      <w:r>
        <w:rPr>
          <w:rFonts w:hint="eastAsia"/>
          <w:snapToGrid/>
        </w:rPr>
        <w:t>)</w:t>
      </w:r>
      <w:r>
        <w:rPr>
          <w:rFonts w:hint="eastAsia"/>
          <w:snapToGrid/>
        </w:rPr>
        <w:t>认为必须改革波斯尼亚和黑塞哥维纳现行的教育立法。</w:t>
      </w:r>
    </w:p>
    <w:p w:rsidR="00000000" w:rsidRDefault="00000000">
      <w:pPr>
        <w:spacing w:after="320"/>
        <w:rPr>
          <w:rFonts w:hint="eastAsia"/>
          <w:snapToGrid/>
        </w:rPr>
      </w:pPr>
      <w:r>
        <w:rPr>
          <w:snapToGrid/>
        </w:rPr>
        <w:tab/>
      </w:r>
      <w:r>
        <w:rPr>
          <w:rFonts w:hint="eastAsia"/>
          <w:snapToGrid/>
        </w:rPr>
        <w:t>537.</w:t>
      </w:r>
      <w:r>
        <w:rPr>
          <w:snapToGrid/>
        </w:rPr>
        <w:t xml:space="preserve">  </w:t>
      </w:r>
      <w:r>
        <w:rPr>
          <w:rFonts w:hint="eastAsia"/>
          <w:snapToGrid/>
        </w:rPr>
        <w:t>教育立法改革将确保对许许多多陈旧定型的教育法律进行协调和现代化，因为它们不适应教育分权化的要求。另一方面，教育立法改革也将确保所有波斯尼亚和黑塞哥维纳人都有平等获得教育的机会，能够行使受教育权，并保证提供必要条件和前提与欧洲和世界标准接轨，并根据欧洲和世界的标准实现高质量的教育。</w:t>
      </w:r>
    </w:p>
    <w:p w:rsidR="00000000" w:rsidRDefault="00000000">
      <w:pPr>
        <w:pStyle w:val="Heading4"/>
        <w:rPr>
          <w:rFonts w:hint="eastAsia"/>
        </w:rPr>
      </w:pPr>
      <w:r>
        <w:rPr>
          <w:rFonts w:hint="eastAsia"/>
        </w:rPr>
        <w:t>对教育法律和法规清理</w:t>
      </w:r>
    </w:p>
    <w:p w:rsidR="00000000" w:rsidRDefault="00000000">
      <w:pPr>
        <w:rPr>
          <w:rFonts w:hint="eastAsia"/>
          <w:snapToGrid/>
        </w:rPr>
      </w:pPr>
      <w:r>
        <w:rPr>
          <w:snapToGrid/>
        </w:rPr>
        <w:tab/>
      </w:r>
      <w:r>
        <w:rPr>
          <w:rFonts w:hint="eastAsia"/>
          <w:snapToGrid/>
        </w:rPr>
        <w:t>538.</w:t>
      </w:r>
      <w:r>
        <w:rPr>
          <w:snapToGrid/>
        </w:rPr>
        <w:t xml:space="preserve">  </w:t>
      </w:r>
      <w:r>
        <w:rPr>
          <w:rFonts w:hint="eastAsia"/>
          <w:snapToGrid/>
        </w:rPr>
        <w:t>在教育领域通过了《波斯尼亚和黑塞哥维纳初等和中等教育框架法》。正在起草《高等教育法》草案，各实体和布尔奇科区通过了以下法律：《学前教育法》、《初等教育法》、《中等教育法》和《高等教育法》。</w:t>
      </w:r>
    </w:p>
    <w:p w:rsidR="00000000" w:rsidRDefault="00000000">
      <w:pPr>
        <w:rPr>
          <w:rFonts w:hint="eastAsia"/>
          <w:snapToGrid/>
        </w:rPr>
      </w:pPr>
      <w:r>
        <w:rPr>
          <w:snapToGrid/>
        </w:rPr>
        <w:tab/>
      </w:r>
      <w:r>
        <w:rPr>
          <w:rFonts w:hint="eastAsia"/>
          <w:snapToGrid/>
        </w:rPr>
        <w:t>539.</w:t>
      </w:r>
      <w:r>
        <w:rPr>
          <w:snapToGrid/>
        </w:rPr>
        <w:t xml:space="preserve">  </w:t>
      </w:r>
      <w:r>
        <w:rPr>
          <w:rFonts w:hint="eastAsia"/>
          <w:snapToGrid/>
        </w:rPr>
        <w:t>实体间协议包括：</w:t>
      </w:r>
    </w:p>
    <w:p w:rsidR="00000000" w:rsidRDefault="00000000">
      <w:pPr>
        <w:numPr>
          <w:ilvl w:val="0"/>
          <w:numId w:val="85"/>
        </w:numPr>
        <w:rPr>
          <w:rFonts w:hint="eastAsia"/>
          <w:snapToGrid/>
        </w:rPr>
      </w:pPr>
      <w:r>
        <w:rPr>
          <w:rFonts w:hint="eastAsia"/>
          <w:snapToGrid/>
        </w:rPr>
        <w:t>《意向声明》，布鲁塞尔，</w:t>
      </w:r>
      <w:r>
        <w:rPr>
          <w:rFonts w:hint="eastAsia"/>
          <w:snapToGrid/>
        </w:rPr>
        <w:t>2000</w:t>
      </w:r>
      <w:r>
        <w:rPr>
          <w:rFonts w:hint="eastAsia"/>
          <w:snapToGrid/>
        </w:rPr>
        <w:t>年</w:t>
      </w:r>
      <w:r>
        <w:rPr>
          <w:rFonts w:hint="eastAsia"/>
          <w:snapToGrid/>
        </w:rPr>
        <w:t>11</w:t>
      </w:r>
      <w:r>
        <w:rPr>
          <w:rFonts w:hint="eastAsia"/>
          <w:snapToGrid/>
        </w:rPr>
        <w:t>月；</w:t>
      </w:r>
    </w:p>
    <w:p w:rsidR="00000000" w:rsidRDefault="00000000">
      <w:pPr>
        <w:numPr>
          <w:ilvl w:val="0"/>
          <w:numId w:val="85"/>
        </w:numPr>
        <w:rPr>
          <w:rFonts w:hint="eastAsia"/>
          <w:snapToGrid/>
        </w:rPr>
      </w:pPr>
      <w:r>
        <w:rPr>
          <w:rFonts w:hint="eastAsia"/>
          <w:snapToGrid/>
        </w:rPr>
        <w:t>《加入博洛尼亚宣言的意向书》，</w:t>
      </w:r>
      <w:r>
        <w:rPr>
          <w:rFonts w:hint="eastAsia"/>
          <w:snapToGrid/>
        </w:rPr>
        <w:t>2001/2002</w:t>
      </w:r>
      <w:r>
        <w:rPr>
          <w:rFonts w:hint="eastAsia"/>
          <w:snapToGrid/>
        </w:rPr>
        <w:t>；</w:t>
      </w:r>
    </w:p>
    <w:p w:rsidR="00000000" w:rsidRDefault="00000000">
      <w:pPr>
        <w:numPr>
          <w:ilvl w:val="0"/>
          <w:numId w:val="85"/>
        </w:numPr>
        <w:rPr>
          <w:rFonts w:hint="eastAsia"/>
          <w:snapToGrid/>
        </w:rPr>
      </w:pPr>
      <w:r>
        <w:rPr>
          <w:rFonts w:hint="eastAsia"/>
          <w:snapToGrid/>
        </w:rPr>
        <w:t>《通用核心课程协议》，</w:t>
      </w: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日，萨拉热窝；</w:t>
      </w:r>
    </w:p>
    <w:p w:rsidR="00000000" w:rsidRDefault="00000000">
      <w:pPr>
        <w:numPr>
          <w:ilvl w:val="0"/>
          <w:numId w:val="85"/>
        </w:numPr>
        <w:spacing w:after="320"/>
        <w:rPr>
          <w:rFonts w:hint="eastAsia"/>
          <w:snapToGrid/>
        </w:rPr>
      </w:pPr>
      <w:r>
        <w:rPr>
          <w:rFonts w:hint="eastAsia"/>
          <w:snapToGrid/>
        </w:rPr>
        <w:t>《博洛尼亚宣言》，</w:t>
      </w:r>
      <w:r>
        <w:rPr>
          <w:rFonts w:hint="eastAsia"/>
          <w:snapToGrid/>
        </w:rPr>
        <w:t>2002</w:t>
      </w:r>
      <w:r>
        <w:rPr>
          <w:rFonts w:hint="eastAsia"/>
          <w:snapToGrid/>
        </w:rPr>
        <w:t>年</w:t>
      </w:r>
      <w:r>
        <w:rPr>
          <w:rFonts w:hint="eastAsia"/>
          <w:snapToGrid/>
        </w:rPr>
        <w:t>4</w:t>
      </w:r>
      <w:r>
        <w:rPr>
          <w:rFonts w:hint="eastAsia"/>
          <w:snapToGrid/>
        </w:rPr>
        <w:t>月。</w:t>
      </w:r>
    </w:p>
    <w:p w:rsidR="00000000" w:rsidRDefault="00000000">
      <w:pPr>
        <w:pStyle w:val="Heading4"/>
        <w:rPr>
          <w:rFonts w:hint="eastAsia"/>
          <w:u w:val="none"/>
        </w:rPr>
      </w:pPr>
      <w:r>
        <w:rPr>
          <w:rFonts w:hint="eastAsia"/>
          <w:u w:val="none"/>
        </w:rPr>
        <w:t>《</w:t>
      </w:r>
      <w:r>
        <w:rPr>
          <w:rFonts w:hint="eastAsia"/>
        </w:rPr>
        <w:t>关于返回儿童的临时协议</w:t>
      </w:r>
      <w:r>
        <w:rPr>
          <w:rFonts w:hint="eastAsia"/>
          <w:u w:val="none"/>
        </w:rPr>
        <w:t>》</w:t>
      </w:r>
    </w:p>
    <w:p w:rsidR="00000000" w:rsidRDefault="00000000">
      <w:pPr>
        <w:rPr>
          <w:rFonts w:hint="eastAsia"/>
          <w:snapToGrid/>
        </w:rPr>
      </w:pPr>
      <w:r>
        <w:rPr>
          <w:snapToGrid/>
        </w:rPr>
        <w:tab/>
      </w:r>
      <w:r>
        <w:rPr>
          <w:rFonts w:hint="eastAsia"/>
          <w:snapToGrid/>
        </w:rPr>
        <w:t>540.</w:t>
      </w:r>
      <w:r>
        <w:rPr>
          <w:snapToGrid/>
        </w:rPr>
        <w:t xml:space="preserve">  </w:t>
      </w:r>
      <w:r>
        <w:rPr>
          <w:rFonts w:hint="eastAsia"/>
          <w:snapToGrid/>
        </w:rPr>
        <w:t>2002</w:t>
      </w:r>
      <w:r>
        <w:rPr>
          <w:rFonts w:hint="eastAsia"/>
          <w:snapToGrid/>
        </w:rPr>
        <w:t>年</w:t>
      </w:r>
      <w:r>
        <w:rPr>
          <w:rFonts w:hint="eastAsia"/>
          <w:snapToGrid/>
        </w:rPr>
        <w:t>3</w:t>
      </w:r>
      <w:r>
        <w:rPr>
          <w:rFonts w:hint="eastAsia"/>
          <w:snapToGrid/>
        </w:rPr>
        <w:t>月</w:t>
      </w:r>
      <w:r>
        <w:rPr>
          <w:rFonts w:hint="eastAsia"/>
          <w:snapToGrid/>
        </w:rPr>
        <w:t>5</w:t>
      </w:r>
      <w:r>
        <w:rPr>
          <w:rFonts w:hint="eastAsia"/>
          <w:snapToGrid/>
        </w:rPr>
        <w:t>日，实体的教育部长签署了《关于满足返回儿童的特殊需要和实现其权利的临时协议》。该协议的目的是要确保提供必要的条件增加在波斯尼亚和黑塞哥维纳学校里就学的返回儿童，特别是在这些儿童占少数的学校里。</w:t>
      </w:r>
    </w:p>
    <w:p w:rsidR="00000000" w:rsidRDefault="00000000">
      <w:pPr>
        <w:rPr>
          <w:rFonts w:hint="eastAsia"/>
          <w:snapToGrid/>
        </w:rPr>
      </w:pPr>
      <w:r>
        <w:rPr>
          <w:snapToGrid/>
        </w:rPr>
        <w:tab/>
      </w:r>
      <w:r>
        <w:rPr>
          <w:rFonts w:hint="eastAsia"/>
          <w:snapToGrid/>
        </w:rPr>
        <w:t>541.</w:t>
      </w:r>
      <w:r>
        <w:rPr>
          <w:snapToGrid/>
        </w:rPr>
        <w:t xml:space="preserve">  </w:t>
      </w:r>
      <w:r>
        <w:rPr>
          <w:rFonts w:hint="eastAsia"/>
          <w:snapToGrid/>
        </w:rPr>
        <w:t>临时协议确保要提供条件让更多的返回教师能够获得就业，并明确规定校董会的民族构成必须反映当地人口的民族构成。临时协议还规定教育部要下发执行指示并指定教育部代表负责解决返回儿童的问题。</w:t>
      </w:r>
    </w:p>
    <w:p w:rsidR="00000000" w:rsidRDefault="00000000">
      <w:pPr>
        <w:rPr>
          <w:rFonts w:hint="eastAsia"/>
          <w:snapToGrid/>
        </w:rPr>
      </w:pPr>
      <w:r>
        <w:rPr>
          <w:snapToGrid/>
        </w:rPr>
        <w:tab/>
      </w:r>
      <w:r>
        <w:rPr>
          <w:rFonts w:hint="eastAsia"/>
          <w:snapToGrid/>
        </w:rPr>
        <w:t>542.</w:t>
      </w:r>
      <w:r>
        <w:rPr>
          <w:snapToGrid/>
        </w:rPr>
        <w:t xml:space="preserve">  </w:t>
      </w:r>
      <w:r>
        <w:rPr>
          <w:rFonts w:hint="eastAsia"/>
          <w:snapToGrid/>
        </w:rPr>
        <w:t>协议还允许返回儿童的父母让子女参加“民族课程”的教育。就是说学生可以根据自己民族的课程用母语上文学、历史、地理、自然和科学和宗教课。</w:t>
      </w:r>
    </w:p>
    <w:p w:rsidR="00000000" w:rsidRDefault="00000000">
      <w:pPr>
        <w:spacing w:after="320"/>
        <w:rPr>
          <w:rFonts w:hint="eastAsia"/>
          <w:snapToGrid/>
        </w:rPr>
      </w:pPr>
      <w:r>
        <w:rPr>
          <w:snapToGrid/>
        </w:rPr>
        <w:tab/>
      </w:r>
      <w:r>
        <w:rPr>
          <w:rFonts w:hint="eastAsia"/>
          <w:snapToGrid/>
        </w:rPr>
        <w:t>543.</w:t>
      </w:r>
      <w:r>
        <w:rPr>
          <w:snapToGrid/>
        </w:rPr>
        <w:t xml:space="preserve">  </w:t>
      </w:r>
      <w:r>
        <w:rPr>
          <w:rFonts w:hint="eastAsia"/>
          <w:snapToGrid/>
        </w:rPr>
        <w:t>为确保执行这一协议，设立了一个协调委员会，该委员会由所有的实体和州的教育部代表组成。制订了一个全面执行计划，由实体和州的教育部长于</w:t>
      </w:r>
      <w:r>
        <w:rPr>
          <w:rFonts w:hint="eastAsia"/>
          <w:snapToGrid/>
        </w:rPr>
        <w:t>2002</w:t>
      </w:r>
      <w:r>
        <w:rPr>
          <w:rFonts w:hint="eastAsia"/>
          <w:snapToGrid/>
        </w:rPr>
        <w:t>年</w:t>
      </w:r>
      <w:r>
        <w:rPr>
          <w:rFonts w:hint="eastAsia"/>
          <w:snapToGrid/>
        </w:rPr>
        <w:t>11</w:t>
      </w:r>
      <w:r>
        <w:rPr>
          <w:rFonts w:hint="eastAsia"/>
          <w:snapToGrid/>
        </w:rPr>
        <w:t>月</w:t>
      </w:r>
      <w:r>
        <w:rPr>
          <w:rFonts w:hint="eastAsia"/>
          <w:snapToGrid/>
        </w:rPr>
        <w:t>3</w:t>
      </w:r>
      <w:r>
        <w:rPr>
          <w:rFonts w:hint="eastAsia"/>
          <w:snapToGrid/>
        </w:rPr>
        <w:t>日签字。该计划概括列出了返回儿童民族课程教育的组织和融资工作所需的必要条件。</w:t>
      </w:r>
    </w:p>
    <w:p w:rsidR="00000000" w:rsidRDefault="00000000">
      <w:pPr>
        <w:pStyle w:val="Heading4"/>
        <w:rPr>
          <w:rFonts w:hint="eastAsia"/>
          <w:u w:val="none"/>
        </w:rPr>
      </w:pPr>
      <w:r>
        <w:rPr>
          <w:rFonts w:hint="eastAsia"/>
          <w:u w:val="none"/>
        </w:rPr>
        <w:t>《</w:t>
      </w:r>
      <w:r>
        <w:rPr>
          <w:rFonts w:hint="eastAsia"/>
        </w:rPr>
        <w:t>波斯尼亚和黑塞哥维纳初等和中等教育框架法</w:t>
      </w:r>
      <w:r>
        <w:rPr>
          <w:rFonts w:hint="eastAsia"/>
          <w:u w:val="none"/>
        </w:rPr>
        <w:t>》</w:t>
      </w:r>
    </w:p>
    <w:p w:rsidR="00000000" w:rsidRDefault="00000000">
      <w:pPr>
        <w:rPr>
          <w:rFonts w:hint="eastAsia"/>
          <w:snapToGrid/>
        </w:rPr>
      </w:pPr>
      <w:r>
        <w:rPr>
          <w:snapToGrid/>
        </w:rPr>
        <w:tab/>
      </w:r>
      <w:r>
        <w:rPr>
          <w:rFonts w:hint="eastAsia"/>
          <w:snapToGrid/>
        </w:rPr>
        <w:t>544.</w:t>
      </w:r>
      <w:r>
        <w:rPr>
          <w:snapToGrid/>
        </w:rPr>
        <w:t xml:space="preserve">  </w:t>
      </w:r>
      <w:r>
        <w:rPr>
          <w:rFonts w:hint="eastAsia"/>
          <w:snapToGrid/>
        </w:rPr>
        <w:t>受教育权作为一项基本权利，以及承担特殊社会利益的教育活动不应该只是地区或地方政府关注的问题。教育实现有效社会责任和功能的关键在于重新定义各级机关的作用，并创造能力推动发展教育立法以及教育体系。</w:t>
      </w:r>
    </w:p>
    <w:p w:rsidR="00000000" w:rsidRDefault="00000000">
      <w:pPr>
        <w:rPr>
          <w:rFonts w:hint="eastAsia"/>
          <w:snapToGrid/>
        </w:rPr>
      </w:pPr>
      <w:r>
        <w:rPr>
          <w:snapToGrid/>
        </w:rPr>
        <w:tab/>
      </w:r>
      <w:r>
        <w:rPr>
          <w:rFonts w:hint="eastAsia"/>
          <w:snapToGrid/>
        </w:rPr>
        <w:t>545.</w:t>
      </w:r>
      <w:r>
        <w:rPr>
          <w:snapToGrid/>
        </w:rPr>
        <w:t xml:space="preserve">  </w:t>
      </w:r>
      <w:r>
        <w:rPr>
          <w:rFonts w:hint="eastAsia"/>
          <w:snapToGrid/>
        </w:rPr>
        <w:t>根据波斯尼亚和黑塞哥维纳国的保护受教育权的宪法责任，通过了《波斯尼亚和黑塞哥维纳初等和中等教育框架法》，具体规定了“波斯尼亚和黑塞哥维纳的学前、初等和中等教育、成人教育以及成立和经营教育服务机构的基本原则”。</w:t>
      </w:r>
    </w:p>
    <w:p w:rsidR="00000000" w:rsidRDefault="00000000">
      <w:pPr>
        <w:rPr>
          <w:rFonts w:hint="eastAsia"/>
          <w:snapToGrid/>
        </w:rPr>
      </w:pPr>
      <w:r>
        <w:rPr>
          <w:snapToGrid/>
        </w:rPr>
        <w:tab/>
      </w:r>
      <w:r>
        <w:rPr>
          <w:rFonts w:hint="eastAsia"/>
          <w:snapToGrid/>
        </w:rPr>
        <w:t>546.</w:t>
      </w:r>
      <w:r>
        <w:rPr>
          <w:snapToGrid/>
        </w:rPr>
        <w:t xml:space="preserve">  </w:t>
      </w:r>
      <w:r>
        <w:rPr>
          <w:rFonts w:hint="eastAsia"/>
          <w:snapToGrid/>
          <w:color w:val="000000"/>
        </w:rPr>
        <w:t>在国家一级提出并通过这样一部一般性法律是建立一个适当的法律框架使所有的教育利害关系方的行动有法可依的第一步也是最重要的一步，</w:t>
      </w:r>
      <w:r>
        <w:rPr>
          <w:rFonts w:hint="eastAsia"/>
          <w:snapToGrid/>
        </w:rPr>
        <w:t>而且，该法还使波斯尼亚和黑塞哥维纳国站在了自己的教育体系的“入口”和“出口”，象欧洲和其他国家一样，为其教育体系的质量负责。</w:t>
      </w:r>
    </w:p>
    <w:p w:rsidR="00000000" w:rsidRDefault="00000000">
      <w:pPr>
        <w:rPr>
          <w:rFonts w:hint="eastAsia"/>
          <w:snapToGrid/>
        </w:rPr>
      </w:pPr>
      <w:r>
        <w:rPr>
          <w:snapToGrid/>
        </w:rPr>
        <w:tab/>
      </w:r>
      <w:r>
        <w:rPr>
          <w:rFonts w:hint="eastAsia"/>
          <w:snapToGrid/>
        </w:rPr>
        <w:t>547.</w:t>
      </w:r>
      <w:r>
        <w:rPr>
          <w:snapToGrid/>
        </w:rPr>
        <w:t xml:space="preserve">  </w:t>
      </w:r>
      <w:r>
        <w:rPr>
          <w:rFonts w:hint="eastAsia"/>
          <w:snapToGrid/>
        </w:rPr>
        <w:t>该法律创立了通用核心课程和其他教育标准，明确了这些标准的执行、监测和发展的适当结构，这是对目前平行的教育体系进行协调的重要前提。这应该能够实现波斯尼亚和黑塞哥维纳教育体系中必要的一致性和特殊性，并协调达到适当的教育质量。这将是可衡量的并可以在国家一级和国际上进行对比。</w:t>
      </w:r>
    </w:p>
    <w:p w:rsidR="00000000" w:rsidRDefault="00000000">
      <w:pPr>
        <w:rPr>
          <w:rFonts w:hint="eastAsia"/>
          <w:snapToGrid/>
        </w:rPr>
      </w:pPr>
      <w:r>
        <w:rPr>
          <w:snapToGrid/>
        </w:rPr>
        <w:tab/>
      </w:r>
      <w:r>
        <w:rPr>
          <w:rFonts w:hint="eastAsia"/>
          <w:snapToGrid/>
        </w:rPr>
        <w:t>548.</w:t>
      </w:r>
      <w:r>
        <w:rPr>
          <w:snapToGrid/>
        </w:rPr>
        <w:t xml:space="preserve">  </w:t>
      </w:r>
      <w:r>
        <w:rPr>
          <w:rFonts w:hint="eastAsia"/>
          <w:snapToGrid/>
        </w:rPr>
        <w:t>波斯尼亚和黑塞哥维纳联邦的教育立法非常宽泛，主要是因为平行执行着新的州立法和许多以前的联邦法规，多为二级立法。几乎所有的州都通过了自己的法规作为几乎是各级教育的基本法</w:t>
      </w:r>
      <w:r>
        <w:rPr>
          <w:rFonts w:hint="eastAsia"/>
          <w:snapToGrid/>
        </w:rPr>
        <w:t>(</w:t>
      </w:r>
      <w:r>
        <w:rPr>
          <w:rFonts w:hint="eastAsia"/>
          <w:snapToGrid/>
        </w:rPr>
        <w:t>见附件清单</w:t>
      </w:r>
      <w:r>
        <w:rPr>
          <w:rFonts w:hint="eastAsia"/>
          <w:snapToGrid/>
        </w:rPr>
        <w:t>)</w:t>
      </w:r>
      <w:r>
        <w:rPr>
          <w:rFonts w:hint="eastAsia"/>
          <w:snapToGrid/>
        </w:rPr>
        <w:t>。此外，许多州都通过了不少二级法规和细则。在没有通过所有必需的细则的州里，仍适用以前的联邦立法。</w:t>
      </w:r>
    </w:p>
    <w:p w:rsidR="00000000" w:rsidRDefault="00000000">
      <w:pPr>
        <w:rPr>
          <w:rFonts w:hint="eastAsia"/>
          <w:snapToGrid/>
        </w:rPr>
      </w:pPr>
      <w:r>
        <w:rPr>
          <w:snapToGrid/>
        </w:rPr>
        <w:tab/>
      </w:r>
      <w:r>
        <w:rPr>
          <w:rFonts w:hint="eastAsia"/>
          <w:snapToGrid/>
        </w:rPr>
        <w:t>549.</w:t>
      </w:r>
      <w:r>
        <w:rPr>
          <w:snapToGrid/>
        </w:rPr>
        <w:t xml:space="preserve">  </w:t>
      </w:r>
      <w:r>
        <w:rPr>
          <w:rFonts w:hint="eastAsia"/>
          <w:snapToGrid/>
        </w:rPr>
        <w:t>塞尔维亚共和国通过了以下法律：《小学法》、《中学法》和《高等教育法》。</w:t>
      </w:r>
    </w:p>
    <w:p w:rsidR="00000000" w:rsidRDefault="00000000">
      <w:pPr>
        <w:rPr>
          <w:rFonts w:hint="eastAsia"/>
          <w:snapToGrid/>
        </w:rPr>
      </w:pPr>
      <w:r>
        <w:rPr>
          <w:snapToGrid/>
        </w:rPr>
        <w:tab/>
      </w:r>
      <w:r>
        <w:rPr>
          <w:rFonts w:hint="eastAsia"/>
          <w:snapToGrid/>
        </w:rPr>
        <w:t>550.</w:t>
      </w:r>
      <w:r>
        <w:rPr>
          <w:snapToGrid/>
        </w:rPr>
        <w:t xml:space="preserve">  </w:t>
      </w:r>
      <w:r>
        <w:rPr>
          <w:rFonts w:hint="eastAsia"/>
          <w:snapToGrid/>
        </w:rPr>
        <w:t>在布尔奇科区，</w:t>
      </w:r>
      <w:r>
        <w:rPr>
          <w:snapToGrid/>
        </w:rPr>
        <w:t>《</w:t>
      </w:r>
      <w:r>
        <w:rPr>
          <w:rFonts w:hint="eastAsia"/>
          <w:snapToGrid/>
        </w:rPr>
        <w:t>波斯尼亚和黑塞哥维纳布尔奇科区中小学校教育法》规管教育领域。</w:t>
      </w:r>
    </w:p>
    <w:p w:rsidR="00000000" w:rsidRDefault="00000000">
      <w:pPr>
        <w:spacing w:after="320"/>
        <w:rPr>
          <w:snapToGrid/>
        </w:rPr>
      </w:pPr>
      <w:r>
        <w:rPr>
          <w:snapToGrid/>
        </w:rPr>
        <w:tab/>
      </w:r>
      <w:r>
        <w:rPr>
          <w:rFonts w:hint="eastAsia"/>
          <w:snapToGrid/>
        </w:rPr>
        <w:t>551.</w:t>
      </w:r>
      <w:r>
        <w:rPr>
          <w:snapToGrid/>
        </w:rPr>
        <w:t xml:space="preserve">  </w:t>
      </w:r>
      <w:r>
        <w:rPr>
          <w:rFonts w:hint="eastAsia"/>
          <w:snapToGrid/>
        </w:rPr>
        <w:t>作为波斯尼亚和黑塞哥维纳教育立法改革的一部分，将要对各实体，即州的现行教育立法进行协调和现代化。这个过程将包括根据欧洲标准和规范以及国际人权公约，制订和执行各级教育的立法。</w:t>
      </w:r>
    </w:p>
    <w:p w:rsidR="00000000" w:rsidRDefault="00000000">
      <w:pPr>
        <w:pStyle w:val="Heading4"/>
        <w:rPr>
          <w:rFonts w:hint="eastAsia"/>
        </w:rPr>
      </w:pPr>
      <w:r>
        <w:rPr>
          <w:rFonts w:hint="eastAsia"/>
        </w:rPr>
        <w:t>过去的法规</w:t>
      </w:r>
    </w:p>
    <w:p w:rsidR="00000000" w:rsidRDefault="00000000">
      <w:pPr>
        <w:rPr>
          <w:rFonts w:hint="eastAsia"/>
          <w:snapToGrid/>
        </w:rPr>
      </w:pPr>
      <w:r>
        <w:rPr>
          <w:snapToGrid/>
        </w:rPr>
        <w:tab/>
      </w:r>
      <w:r>
        <w:rPr>
          <w:rFonts w:hint="eastAsia"/>
          <w:snapToGrid/>
        </w:rPr>
        <w:t>552.</w:t>
      </w:r>
      <w:r>
        <w:rPr>
          <w:snapToGrid/>
        </w:rPr>
        <w:t xml:space="preserve">  </w:t>
      </w:r>
      <w:r>
        <w:rPr>
          <w:rFonts w:hint="eastAsia"/>
          <w:snapToGrid/>
        </w:rPr>
        <w:t>早期的共和国</w:t>
      </w:r>
      <w:r>
        <w:rPr>
          <w:rFonts w:hint="eastAsia"/>
          <w:snapToGrid/>
        </w:rPr>
        <w:t>/</w:t>
      </w:r>
      <w:r>
        <w:rPr>
          <w:rFonts w:hint="eastAsia"/>
          <w:snapToGrid/>
        </w:rPr>
        <w:t>联邦教育法规在各州法规通过之前作为州的适用法律被执行。自从全部</w:t>
      </w:r>
      <w:r>
        <w:rPr>
          <w:rFonts w:hint="eastAsia"/>
          <w:snapToGrid/>
        </w:rPr>
        <w:t>10</w:t>
      </w:r>
      <w:r>
        <w:rPr>
          <w:rFonts w:hint="eastAsia"/>
          <w:snapToGrid/>
        </w:rPr>
        <w:t>个州都已经通过了自己的基本</w:t>
      </w:r>
      <w:r>
        <w:rPr>
          <w:rFonts w:hint="eastAsia"/>
          <w:snapToGrid/>
        </w:rPr>
        <w:t>/</w:t>
      </w:r>
      <w:r>
        <w:rPr>
          <w:rFonts w:hint="eastAsia"/>
          <w:snapToGrid/>
        </w:rPr>
        <w:t>根本教育法，共和国</w:t>
      </w:r>
      <w:r>
        <w:rPr>
          <w:rFonts w:hint="eastAsia"/>
          <w:snapToGrid/>
        </w:rPr>
        <w:t>/</w:t>
      </w:r>
      <w:r>
        <w:rPr>
          <w:rFonts w:hint="eastAsia"/>
          <w:snapToGrid/>
        </w:rPr>
        <w:t>联邦的法律停止适用。</w:t>
      </w:r>
    </w:p>
    <w:p w:rsidR="00000000" w:rsidRDefault="00000000">
      <w:pPr>
        <w:rPr>
          <w:rFonts w:hint="eastAsia"/>
          <w:snapToGrid/>
        </w:rPr>
      </w:pPr>
      <w:r>
        <w:rPr>
          <w:snapToGrid/>
        </w:rPr>
        <w:tab/>
      </w:r>
      <w:r>
        <w:rPr>
          <w:rFonts w:hint="eastAsia"/>
          <w:snapToGrid/>
        </w:rPr>
        <w:t>553.</w:t>
      </w:r>
      <w:r>
        <w:rPr>
          <w:snapToGrid/>
        </w:rPr>
        <w:t xml:space="preserve">  </w:t>
      </w:r>
      <w:r>
        <w:rPr>
          <w:rFonts w:hint="eastAsia"/>
          <w:snapToGrid/>
        </w:rPr>
        <w:t>在没有通过全部所需的教育法细则的州里，一定数量的以前的共和国</w:t>
      </w:r>
      <w:r>
        <w:rPr>
          <w:rFonts w:hint="eastAsia"/>
          <w:snapToGrid/>
        </w:rPr>
        <w:t>/</w:t>
      </w:r>
      <w:r>
        <w:rPr>
          <w:rFonts w:hint="eastAsia"/>
          <w:snapToGrid/>
        </w:rPr>
        <w:t>联邦细则在通过州细则之前仍然有效，作为州的细则适用。</w:t>
      </w:r>
    </w:p>
    <w:p w:rsidR="00000000" w:rsidRDefault="00000000">
      <w:pPr>
        <w:rPr>
          <w:rFonts w:hint="eastAsia"/>
          <w:snapToGrid/>
        </w:rPr>
      </w:pPr>
      <w:r>
        <w:rPr>
          <w:snapToGrid/>
        </w:rPr>
        <w:tab/>
      </w:r>
      <w:r>
        <w:rPr>
          <w:rFonts w:hint="eastAsia"/>
          <w:snapToGrid/>
        </w:rPr>
        <w:t>554.</w:t>
      </w:r>
      <w:r>
        <w:rPr>
          <w:snapToGrid/>
        </w:rPr>
        <w:t xml:space="preserve">  </w:t>
      </w:r>
      <w:r>
        <w:rPr>
          <w:rFonts w:hint="eastAsia"/>
          <w:snapToGrid/>
        </w:rPr>
        <w:t>在各实体和布尔奇科区与教育有关的所有适用法律都明确教育事关总体社会利益，与之相关，初等教育对男童和女童全是义务教育。</w:t>
      </w:r>
    </w:p>
    <w:p w:rsidR="00000000" w:rsidRDefault="00000000">
      <w:pPr>
        <w:rPr>
          <w:rFonts w:hint="eastAsia"/>
          <w:snapToGrid/>
        </w:rPr>
      </w:pPr>
      <w:r>
        <w:rPr>
          <w:snapToGrid/>
        </w:rPr>
        <w:tab/>
      </w:r>
      <w:r>
        <w:rPr>
          <w:rFonts w:hint="eastAsia"/>
          <w:snapToGrid/>
        </w:rPr>
        <w:t>555.</w:t>
      </w:r>
      <w:r>
        <w:rPr>
          <w:snapToGrid/>
        </w:rPr>
        <w:t xml:space="preserve">  </w:t>
      </w:r>
      <w:r>
        <w:rPr>
          <w:rFonts w:hint="eastAsia"/>
          <w:snapToGrid/>
        </w:rPr>
        <w:t>教育活动的筹资规定既无效力又不透明，这决定了未来教师的工作条件。总体而言，教育和教学实践的实际需求之间有明显差距；教师的职业发展中形式主义太多，课程太过宽泛，又往往临时更改，没有适当的教科书和现代的教学辅助设备都造成很多问题。此外，教学标准不合适，教育机构基础设施不足，教师地位低，这全都不利于创造实施高质量教学过程的条件，尽管后者对于成功进行各级教育改革和在波斯尼亚和黑塞哥维纳执行《经济、社会和文化权利国际公约》十分关键。</w:t>
      </w:r>
    </w:p>
    <w:p w:rsidR="00000000" w:rsidRDefault="00000000">
      <w:pPr>
        <w:rPr>
          <w:rFonts w:hint="eastAsia"/>
          <w:snapToGrid/>
        </w:rPr>
      </w:pPr>
      <w:r>
        <w:rPr>
          <w:snapToGrid/>
        </w:rPr>
        <w:tab/>
      </w:r>
      <w:r>
        <w:rPr>
          <w:rFonts w:hint="eastAsia"/>
          <w:snapToGrid/>
        </w:rPr>
        <w:t>556.</w:t>
      </w:r>
      <w:r>
        <w:rPr>
          <w:snapToGrid/>
        </w:rPr>
        <w:t xml:space="preserve">  </w:t>
      </w:r>
      <w:r>
        <w:rPr>
          <w:rFonts w:hint="eastAsia"/>
          <w:snapToGrid/>
        </w:rPr>
        <w:t>《波斯尼亚和黑塞哥维纳初等和中等教育框架法》于</w:t>
      </w:r>
      <w:r>
        <w:rPr>
          <w:rFonts w:hint="eastAsia"/>
          <w:snapToGrid/>
        </w:rPr>
        <w:t>2003</w:t>
      </w:r>
      <w:r>
        <w:rPr>
          <w:rFonts w:hint="eastAsia"/>
          <w:snapToGrid/>
        </w:rPr>
        <w:t>年</w:t>
      </w:r>
      <w:r>
        <w:rPr>
          <w:rFonts w:hint="eastAsia"/>
          <w:snapToGrid/>
        </w:rPr>
        <w:t>6</w:t>
      </w:r>
      <w:r>
        <w:rPr>
          <w:rFonts w:hint="eastAsia"/>
          <w:snapToGrid/>
        </w:rPr>
        <w:t>月通过。该法规定以义务教育替代现行的八年初等教育。在塞尔维亚共和国已经开始启动九年制初等教育，从下一年开始也将在波斯尼亚和黑塞哥维纳联邦实行。实体和联邦各州有义务在</w:t>
      </w:r>
      <w:r>
        <w:rPr>
          <w:rFonts w:hint="eastAsia"/>
          <w:snapToGrid/>
        </w:rPr>
        <w:t>2003</w:t>
      </w:r>
      <w:r>
        <w:rPr>
          <w:rFonts w:hint="eastAsia"/>
          <w:snapToGrid/>
        </w:rPr>
        <w:t>年年底前根据上述法律通过各自的初等和中等教育法。</w:t>
      </w:r>
    </w:p>
    <w:p w:rsidR="00000000" w:rsidRDefault="00000000">
      <w:pPr>
        <w:rPr>
          <w:rFonts w:hint="eastAsia"/>
          <w:snapToGrid/>
        </w:rPr>
      </w:pPr>
      <w:r>
        <w:rPr>
          <w:snapToGrid/>
        </w:rPr>
        <w:tab/>
      </w:r>
      <w:r>
        <w:rPr>
          <w:rFonts w:hint="eastAsia"/>
          <w:snapToGrid/>
        </w:rPr>
        <w:t>557.</w:t>
      </w:r>
      <w:r>
        <w:rPr>
          <w:snapToGrid/>
        </w:rPr>
        <w:t xml:space="preserve">  </w:t>
      </w:r>
      <w:r>
        <w:rPr>
          <w:rFonts w:hint="eastAsia"/>
          <w:snapToGrid/>
        </w:rPr>
        <w:t>《框架法》明确规定了波斯尼亚和黑塞哥维纳的学前、初等和中等教育、成人教育以及成立和经营教育服务机构的基本原则。根据《框架法》第</w:t>
      </w:r>
      <w:r>
        <w:rPr>
          <w:rFonts w:hint="eastAsia"/>
          <w:snapToGrid/>
        </w:rPr>
        <w:t>16</w:t>
      </w:r>
      <w:r>
        <w:rPr>
          <w:rFonts w:hint="eastAsia"/>
          <w:snapToGrid/>
        </w:rPr>
        <w:t>条，初等教育对所有儿童都是免费的义务教育。此外，我们必须指出，作为目前在波斯尼亚和黑塞哥维纳正在实施的教育全面改革的一部分，计划对目前</w:t>
      </w:r>
      <w:r>
        <w:rPr>
          <w:rFonts w:hint="eastAsia"/>
          <w:snapToGrid/>
        </w:rPr>
        <w:t>(</w:t>
      </w:r>
      <w:r>
        <w:rPr>
          <w:rFonts w:hint="eastAsia"/>
          <w:snapToGrid/>
        </w:rPr>
        <w:t>实体和州的</w:t>
      </w:r>
      <w:r>
        <w:rPr>
          <w:rFonts w:hint="eastAsia"/>
          <w:snapToGrid/>
        </w:rPr>
        <w:t>)</w:t>
      </w:r>
      <w:r>
        <w:rPr>
          <w:rFonts w:hint="eastAsia"/>
          <w:snapToGrid/>
        </w:rPr>
        <w:t>从学前教育到高等教育的各级教育立法进行改革。目前正在起草</w:t>
      </w:r>
      <w:r>
        <w:rPr>
          <w:snapToGrid/>
        </w:rPr>
        <w:t>《</w:t>
      </w:r>
      <w:r>
        <w:rPr>
          <w:rFonts w:hint="eastAsia"/>
          <w:snapToGrid/>
        </w:rPr>
        <w:t>波斯尼亚和黑塞哥维纳职业教育和培训法》草案和《波斯尼亚和黑塞哥维纳高等教育框架法》草案。</w:t>
      </w:r>
    </w:p>
    <w:p w:rsidR="00000000" w:rsidRDefault="00000000">
      <w:pPr>
        <w:rPr>
          <w:rFonts w:hint="eastAsia"/>
          <w:snapToGrid/>
        </w:rPr>
      </w:pPr>
      <w:r>
        <w:rPr>
          <w:snapToGrid/>
        </w:rPr>
        <w:tab/>
      </w:r>
      <w:r>
        <w:rPr>
          <w:rFonts w:hint="eastAsia"/>
          <w:snapToGrid/>
        </w:rPr>
        <w:t>558.</w:t>
      </w:r>
      <w:r>
        <w:rPr>
          <w:snapToGrid/>
        </w:rPr>
        <w:t xml:space="preserve">  </w:t>
      </w:r>
      <w:r>
        <w:rPr>
          <w:rFonts w:hint="eastAsia"/>
          <w:snapToGrid/>
        </w:rPr>
        <w:t>波斯尼亚和黑塞哥维纳教育体系的改革根据欧洲标准实施，通用核心课程已经编制完成。实体的教育部长已经签署了《波斯尼亚和黑塞哥维纳制定和执行初等和普通中等教育现代化联合战略的协议》，又称《亚霍里纳山协议》。</w:t>
      </w:r>
    </w:p>
    <w:p w:rsidR="00000000" w:rsidRDefault="00000000">
      <w:pPr>
        <w:rPr>
          <w:rFonts w:hint="eastAsia"/>
          <w:snapToGrid/>
        </w:rPr>
      </w:pPr>
      <w:r>
        <w:rPr>
          <w:snapToGrid/>
        </w:rPr>
        <w:tab/>
      </w:r>
      <w:r>
        <w:rPr>
          <w:rFonts w:hint="eastAsia"/>
          <w:snapToGrid/>
        </w:rPr>
        <w:t>559.</w:t>
      </w:r>
      <w:r>
        <w:rPr>
          <w:snapToGrid/>
        </w:rPr>
        <w:t xml:space="preserve">  </w:t>
      </w:r>
      <w:r>
        <w:rPr>
          <w:rFonts w:hint="eastAsia"/>
          <w:snapToGrid/>
        </w:rPr>
        <w:t>同样，必须提到，波斯尼亚和黑塞哥维纳联邦正在确定教育发展的战略、政策和主要方向。在国际社会</w:t>
      </w:r>
      <w:r>
        <w:rPr>
          <w:rFonts w:hint="eastAsia"/>
          <w:snapToGrid/>
        </w:rPr>
        <w:t>(</w:t>
      </w:r>
      <w:r>
        <w:rPr>
          <w:snapToGrid/>
          <w:color w:val="000000"/>
          <w:sz w:val="20"/>
        </w:rPr>
        <w:t>欧安组织</w:t>
      </w:r>
      <w:r>
        <w:rPr>
          <w:rFonts w:hint="eastAsia"/>
          <w:snapToGrid/>
        </w:rPr>
        <w:t>)</w:t>
      </w:r>
      <w:r>
        <w:rPr>
          <w:rFonts w:hint="eastAsia"/>
          <w:snapToGrid/>
        </w:rPr>
        <w:t>的帮助下，</w:t>
      </w:r>
      <w:r>
        <w:rPr>
          <w:rFonts w:hint="eastAsia"/>
          <w:snapToGrid/>
        </w:rPr>
        <w:t>(</w:t>
      </w:r>
      <w:r>
        <w:rPr>
          <w:rFonts w:hint="eastAsia"/>
          <w:snapToGrid/>
        </w:rPr>
        <w:t>实体和州</w:t>
      </w:r>
      <w:r>
        <w:rPr>
          <w:rFonts w:hint="eastAsia"/>
          <w:snapToGrid/>
        </w:rPr>
        <w:t>)</w:t>
      </w:r>
      <w:r>
        <w:rPr>
          <w:rFonts w:hint="eastAsia"/>
          <w:snapToGrid/>
        </w:rPr>
        <w:t>各级教育机关于</w:t>
      </w:r>
      <w:r>
        <w:rPr>
          <w:rFonts w:hint="eastAsia"/>
          <w:snapToGrid/>
        </w:rPr>
        <w:t>2002</w:t>
      </w:r>
      <w:r>
        <w:rPr>
          <w:rFonts w:hint="eastAsia"/>
          <w:snapToGrid/>
        </w:rPr>
        <w:t>年</w:t>
      </w:r>
      <w:r>
        <w:rPr>
          <w:rFonts w:hint="eastAsia"/>
          <w:snapToGrid/>
        </w:rPr>
        <w:t>11</w:t>
      </w:r>
      <w:r>
        <w:rPr>
          <w:rFonts w:hint="eastAsia"/>
          <w:snapToGrid/>
        </w:rPr>
        <w:t>月</w:t>
      </w:r>
      <w:r>
        <w:rPr>
          <w:rFonts w:hint="eastAsia"/>
          <w:snapToGrid/>
        </w:rPr>
        <w:t>21</w:t>
      </w:r>
      <w:r>
        <w:rPr>
          <w:rFonts w:hint="eastAsia"/>
          <w:snapToGrid/>
        </w:rPr>
        <w:t>日在布鲁塞尔实施和平理事会签署了题为“教育改革”的文件。这一文件推动波斯尼亚和黑塞哥维纳教育发展的优先领域和主要方向，以确保所有儿童和青年人都有可能在一个一体化的多元文化环境里接受高质量的教育，不受任何歧视和偏见。这就应该能为教育提供合理和可持续的融资，并根据国际权利公约和儿童权利公约执行教育框架法。为了实现在各级教育中的改革任务和方向，现在正在实施几个项目。</w:t>
      </w:r>
    </w:p>
    <w:p w:rsidR="00000000" w:rsidRDefault="00000000">
      <w:pPr>
        <w:rPr>
          <w:rFonts w:hint="eastAsia"/>
          <w:snapToGrid/>
        </w:rPr>
      </w:pPr>
      <w:r>
        <w:rPr>
          <w:snapToGrid/>
        </w:rPr>
        <w:tab/>
      </w:r>
      <w:r>
        <w:rPr>
          <w:rFonts w:hint="eastAsia"/>
          <w:snapToGrid/>
        </w:rPr>
        <w:t>560.</w:t>
      </w:r>
      <w:r>
        <w:rPr>
          <w:snapToGrid/>
        </w:rPr>
        <w:t xml:space="preserve">  </w:t>
      </w:r>
      <w:r>
        <w:rPr>
          <w:rFonts w:hint="eastAsia"/>
          <w:snapToGrid/>
        </w:rPr>
        <w:t>现正在通过一个欧盟项目与各实体、州和布尔奇科区的教育机关及国际组织</w:t>
      </w:r>
      <w:r>
        <w:rPr>
          <w:rFonts w:hint="eastAsia"/>
          <w:snapToGrid/>
        </w:rPr>
        <w:t>(</w:t>
      </w:r>
      <w:r>
        <w:rPr>
          <w:rFonts w:hint="eastAsia"/>
          <w:snapToGrid/>
        </w:rPr>
        <w:t>欧盟委员会和</w:t>
      </w:r>
      <w:r>
        <w:rPr>
          <w:snapToGrid/>
          <w:color w:val="000000"/>
        </w:rPr>
        <w:t>欧洲安全与合作组织</w:t>
      </w:r>
      <w:r>
        <w:rPr>
          <w:rFonts w:hint="eastAsia"/>
          <w:snapToGrid/>
        </w:rPr>
        <w:t>)</w:t>
      </w:r>
      <w:r>
        <w:rPr>
          <w:rFonts w:hint="eastAsia"/>
          <w:snapToGrid/>
        </w:rPr>
        <w:t>合作执行一个初等和普通中等教育现代化的联合战略。该项目</w:t>
      </w:r>
      <w:r>
        <w:rPr>
          <w:rFonts w:hint="eastAsia"/>
          <w:snapToGrid/>
        </w:rPr>
        <w:t>(EC-TAER)</w:t>
      </w:r>
      <w:r>
        <w:rPr>
          <w:rFonts w:hint="eastAsia"/>
          <w:snapToGrid/>
        </w:rPr>
        <w:t>是给波斯尼亚和黑塞哥维纳教育改革提供技术援助的一种形式。为波斯尼亚和黑塞哥维纳的教育机关编写了建议，称为“绿皮书”</w:t>
      </w:r>
      <w:r>
        <w:rPr>
          <w:rFonts w:hint="eastAsia"/>
          <w:snapToGrid/>
        </w:rPr>
        <w:t>(2003</w:t>
      </w:r>
      <w:r>
        <w:rPr>
          <w:rFonts w:hint="eastAsia"/>
          <w:snapToGrid/>
        </w:rPr>
        <w:t>年</w:t>
      </w:r>
      <w:r>
        <w:rPr>
          <w:rFonts w:hint="eastAsia"/>
          <w:snapToGrid/>
        </w:rPr>
        <w:t>5</w:t>
      </w:r>
      <w:r>
        <w:rPr>
          <w:rFonts w:hint="eastAsia"/>
          <w:snapToGrid/>
        </w:rPr>
        <w:t>月</w:t>
      </w:r>
      <w:r>
        <w:rPr>
          <w:rFonts w:hint="eastAsia"/>
          <w:snapToGrid/>
        </w:rPr>
        <w:t>)</w:t>
      </w:r>
      <w:r>
        <w:rPr>
          <w:rFonts w:hint="eastAsia"/>
          <w:snapToGrid/>
        </w:rPr>
        <w:t>。经过公众讨论之后，已经开始编写“白皮书”，规定了初等和中等教育需要完成的具体任务和明确的优先事项，以及使波斯尼亚和黑塞哥维纳的教育体系与欧盟成员的教育体系接轨的任务和优先事项。这份文件于</w:t>
      </w:r>
      <w:r>
        <w:rPr>
          <w:rFonts w:hint="eastAsia"/>
          <w:snapToGrid/>
        </w:rPr>
        <w:t>2003</w:t>
      </w:r>
      <w:r>
        <w:rPr>
          <w:rFonts w:hint="eastAsia"/>
          <w:snapToGrid/>
        </w:rPr>
        <w:t>年</w:t>
      </w:r>
      <w:r>
        <w:rPr>
          <w:rFonts w:hint="eastAsia"/>
          <w:snapToGrid/>
        </w:rPr>
        <w:t>10</w:t>
      </w:r>
      <w:r>
        <w:rPr>
          <w:rFonts w:hint="eastAsia"/>
          <w:snapToGrid/>
        </w:rPr>
        <w:t>月获得了通过。在中等职业教育方面，正在实施一个名为“</w:t>
      </w:r>
      <w:r>
        <w:rPr>
          <w:rFonts w:hint="eastAsia"/>
          <w:snapToGrid/>
        </w:rPr>
        <w:t>EU-VET</w:t>
      </w:r>
      <w:r>
        <w:rPr>
          <w:rFonts w:hint="eastAsia"/>
          <w:snapToGrid/>
        </w:rPr>
        <w:t>”的欧盟项目。该项目的目的是要确定一个新的职业教育方式，制订合适的课程和教师培训方案。该项目正在两个实体里的五所试点学校同时实施。</w:t>
      </w:r>
    </w:p>
    <w:p w:rsidR="00000000" w:rsidRDefault="00000000">
      <w:pPr>
        <w:rPr>
          <w:rFonts w:hint="eastAsia"/>
          <w:snapToGrid/>
        </w:rPr>
      </w:pPr>
      <w:r>
        <w:rPr>
          <w:snapToGrid/>
        </w:rPr>
        <w:tab/>
      </w:r>
      <w:r>
        <w:rPr>
          <w:rFonts w:hint="eastAsia"/>
          <w:snapToGrid/>
        </w:rPr>
        <w:t>561.</w:t>
      </w:r>
      <w:r>
        <w:rPr>
          <w:snapToGrid/>
        </w:rPr>
        <w:t xml:space="preserve">  </w:t>
      </w:r>
      <w:r>
        <w:rPr>
          <w:rFonts w:hint="eastAsia"/>
          <w:snapToGrid/>
        </w:rPr>
        <w:t>在波斯尼亚和黑塞哥维纳联邦，为没有完成小学教育的人建立一个基础教育体系的活动更多了</w:t>
      </w:r>
      <w:r>
        <w:rPr>
          <w:rFonts w:hint="eastAsia"/>
          <w:snapToGrid/>
        </w:rPr>
        <w:t>(</w:t>
      </w:r>
      <w:r>
        <w:rPr>
          <w:rFonts w:hint="eastAsia"/>
          <w:snapToGrid/>
        </w:rPr>
        <w:t>在</w:t>
      </w:r>
      <w:r>
        <w:rPr>
          <w:rFonts w:hint="eastAsia"/>
          <w:snapToGrid/>
        </w:rPr>
        <w:t>PHARE VET</w:t>
      </w:r>
      <w:r>
        <w:rPr>
          <w:rFonts w:hint="eastAsia"/>
          <w:snapToGrid/>
        </w:rPr>
        <w:t>方案里，非政府部门</w:t>
      </w:r>
      <w:r>
        <w:rPr>
          <w:rFonts w:hint="eastAsia"/>
          <w:snapToGrid/>
        </w:rPr>
        <w:t>)</w:t>
      </w:r>
      <w:r>
        <w:rPr>
          <w:rFonts w:hint="eastAsia"/>
          <w:snapToGrid/>
        </w:rPr>
        <w:t>，但这并不是解决这个问题的彻底办法。</w:t>
      </w:r>
    </w:p>
    <w:p w:rsidR="00000000" w:rsidRDefault="00000000">
      <w:pPr>
        <w:rPr>
          <w:rFonts w:hint="eastAsia"/>
          <w:snapToGrid/>
        </w:rPr>
      </w:pPr>
      <w:r>
        <w:rPr>
          <w:snapToGrid/>
        </w:rPr>
        <w:tab/>
      </w:r>
      <w:r>
        <w:rPr>
          <w:rFonts w:hint="eastAsia"/>
          <w:snapToGrid/>
        </w:rPr>
        <w:t>562.</w:t>
      </w:r>
      <w:r>
        <w:rPr>
          <w:snapToGrid/>
        </w:rPr>
        <w:t xml:space="preserve">  </w:t>
      </w:r>
      <w:r>
        <w:rPr>
          <w:rFonts w:hint="eastAsia"/>
          <w:snapToGrid/>
        </w:rPr>
        <w:t>上述同一法律的同一条还明确规定教育主管机关有义务采取必要的措施提供条件将义务教育阶段延伸到中等教育。</w:t>
      </w:r>
    </w:p>
    <w:p w:rsidR="00000000" w:rsidRDefault="00000000">
      <w:pPr>
        <w:rPr>
          <w:rFonts w:hint="eastAsia"/>
          <w:snapToGrid/>
        </w:rPr>
      </w:pPr>
      <w:r>
        <w:rPr>
          <w:snapToGrid/>
        </w:rPr>
        <w:tab/>
      </w:r>
      <w:r>
        <w:rPr>
          <w:rFonts w:hint="eastAsia"/>
          <w:snapToGrid/>
        </w:rPr>
        <w:t>563.</w:t>
      </w:r>
      <w:r>
        <w:rPr>
          <w:snapToGrid/>
        </w:rPr>
        <w:t xml:space="preserve">  </w:t>
      </w:r>
      <w:r>
        <w:rPr>
          <w:rFonts w:hint="eastAsia"/>
          <w:snapToGrid/>
        </w:rPr>
        <w:t>根据该法第</w:t>
      </w:r>
      <w:r>
        <w:rPr>
          <w:rFonts w:hint="eastAsia"/>
          <w:snapToGrid/>
        </w:rPr>
        <w:t>18</w:t>
      </w:r>
      <w:r>
        <w:rPr>
          <w:rFonts w:hint="eastAsia"/>
          <w:snapToGrid/>
        </w:rPr>
        <w:t>条规定，义务教育期间，主管机关应采取一切必要措施向学生提供免费入学和就学的条件，特别是免费获得教科书、手册和其它教学材料。法律并没有具体规定这些级别的教育是付费的，但在实践中，人们注意到有些行动最终导致了不同形式的收费</w:t>
      </w:r>
      <w:r>
        <w:rPr>
          <w:rFonts w:hint="eastAsia"/>
          <w:snapToGrid/>
        </w:rPr>
        <w:t>(</w:t>
      </w:r>
      <w:r>
        <w:rPr>
          <w:rFonts w:hint="eastAsia"/>
          <w:snapToGrid/>
        </w:rPr>
        <w:t>学年期间学校财产损失保险的最低金额</w:t>
      </w:r>
      <w:r>
        <w:rPr>
          <w:rFonts w:hint="eastAsia"/>
          <w:snapToGrid/>
        </w:rPr>
        <w:t>)</w:t>
      </w:r>
      <w:r>
        <w:rPr>
          <w:rFonts w:hint="eastAsia"/>
          <w:snapToGrid/>
        </w:rPr>
        <w:t>和购买教科书、笔记本和教学材料的费用。学生</w:t>
      </w:r>
      <w:r>
        <w:rPr>
          <w:rFonts w:hint="eastAsia"/>
          <w:snapToGrid/>
          <w:spacing w:val="-50"/>
        </w:rPr>
        <w:t>―</w:t>
      </w:r>
      <w:r>
        <w:rPr>
          <w:rFonts w:hint="eastAsia"/>
          <w:snapToGrid/>
        </w:rPr>
        <w:t>―成人中等教育的半日制学生</w:t>
      </w:r>
      <w:r>
        <w:rPr>
          <w:rFonts w:hint="eastAsia"/>
          <w:snapToGrid/>
          <w:spacing w:val="-50"/>
        </w:rPr>
        <w:t>―</w:t>
      </w:r>
      <w:r>
        <w:rPr>
          <w:rFonts w:hint="eastAsia"/>
          <w:snapToGrid/>
        </w:rPr>
        <w:t>―承担每一年的教育费用，数额由主管的教育部确定。</w:t>
      </w:r>
    </w:p>
    <w:p w:rsidR="00000000" w:rsidRDefault="00000000">
      <w:pPr>
        <w:rPr>
          <w:rFonts w:hint="eastAsia"/>
          <w:snapToGrid/>
        </w:rPr>
      </w:pPr>
      <w:r>
        <w:rPr>
          <w:snapToGrid/>
        </w:rPr>
        <w:tab/>
      </w:r>
      <w:r>
        <w:rPr>
          <w:rFonts w:hint="eastAsia"/>
          <w:snapToGrid/>
        </w:rPr>
        <w:t>564.</w:t>
      </w:r>
      <w:r>
        <w:rPr>
          <w:snapToGrid/>
        </w:rPr>
        <w:t xml:space="preserve">  </w:t>
      </w:r>
      <w:r>
        <w:rPr>
          <w:rFonts w:hint="eastAsia"/>
          <w:snapToGrid/>
        </w:rPr>
        <w:t>近几年开办了一些收取全部教育费用的学校</w:t>
      </w:r>
      <w:r>
        <w:rPr>
          <w:rFonts w:hint="eastAsia"/>
          <w:snapToGrid/>
        </w:rPr>
        <w:t>(</w:t>
      </w:r>
      <w:r>
        <w:rPr>
          <w:rFonts w:hint="eastAsia"/>
          <w:snapToGrid/>
        </w:rPr>
        <w:t>私立初等和中等学校</w:t>
      </w:r>
      <w:r>
        <w:rPr>
          <w:rFonts w:hint="eastAsia"/>
          <w:snapToGrid/>
        </w:rPr>
        <w:t>)</w:t>
      </w:r>
      <w:r>
        <w:rPr>
          <w:rFonts w:hint="eastAsia"/>
          <w:snapToGrid/>
        </w:rPr>
        <w:t>。只有非常少数的人才上得起这些学校。只要学生能达到某种入学标准，人人都能进入中等学校。中等教育和初等教育一样免费，但父母必须支付与实践培训相关的额外费用，实践培训在大多数中学都是必修课。学生的交通开支也更高，因为中学网络不如小学网络那样发达。</w:t>
      </w:r>
    </w:p>
    <w:p w:rsidR="00000000" w:rsidRDefault="00000000">
      <w:pPr>
        <w:rPr>
          <w:rFonts w:hint="eastAsia"/>
          <w:snapToGrid/>
        </w:rPr>
      </w:pPr>
      <w:r>
        <w:rPr>
          <w:snapToGrid/>
        </w:rPr>
        <w:tab/>
      </w:r>
      <w:r>
        <w:rPr>
          <w:rFonts w:hint="eastAsia"/>
          <w:snapToGrid/>
        </w:rPr>
        <w:t>565.</w:t>
      </w:r>
      <w:r>
        <w:rPr>
          <w:snapToGrid/>
        </w:rPr>
        <w:t xml:space="preserve">  </w:t>
      </w:r>
      <w:r>
        <w:rPr>
          <w:rFonts w:hint="eastAsia"/>
          <w:snapToGrid/>
        </w:rPr>
        <w:t>高等教育原则上对全日制学生免费，而半日制学生则必须付学费。考虑到《宪法》将教育职责交给各州，很多州都在立法中纳入了某些接近于隔离的不当规定。</w:t>
      </w:r>
    </w:p>
    <w:p w:rsidR="00000000" w:rsidRDefault="00000000">
      <w:pPr>
        <w:rPr>
          <w:rFonts w:hint="eastAsia"/>
          <w:snapToGrid/>
        </w:rPr>
      </w:pPr>
      <w:r>
        <w:rPr>
          <w:snapToGrid/>
        </w:rPr>
        <w:tab/>
      </w:r>
      <w:r>
        <w:rPr>
          <w:rFonts w:hint="eastAsia"/>
          <w:snapToGrid/>
        </w:rPr>
        <w:t>566.</w:t>
      </w:r>
      <w:r>
        <w:rPr>
          <w:snapToGrid/>
        </w:rPr>
        <w:t xml:space="preserve">  </w:t>
      </w:r>
      <w:r>
        <w:rPr>
          <w:rFonts w:hint="eastAsia"/>
          <w:snapToGrid/>
        </w:rPr>
        <w:t>例如，一个州通过法律不当规定只能给居住在该州的人注册入学。不同的州都具体规定了入学标准，这些标准在波斯尼亚和黑塞哥维纳或波斯尼亚和黑塞哥维纳联邦内都不统一，给学生搬到其他州时带来困难</w:t>
      </w:r>
      <w:r>
        <w:rPr>
          <w:rFonts w:hint="eastAsia"/>
          <w:snapToGrid/>
        </w:rPr>
        <w:t>(</w:t>
      </w:r>
      <w:r>
        <w:rPr>
          <w:rFonts w:hint="eastAsia"/>
          <w:snapToGrid/>
        </w:rPr>
        <w:t>学生横向转校</w:t>
      </w:r>
      <w:r>
        <w:rPr>
          <w:rFonts w:hint="eastAsia"/>
          <w:snapToGrid/>
        </w:rPr>
        <w:t>)</w:t>
      </w:r>
      <w:r>
        <w:rPr>
          <w:rFonts w:hint="eastAsia"/>
          <w:snapToGrid/>
        </w:rPr>
        <w:t>。</w:t>
      </w:r>
    </w:p>
    <w:p w:rsidR="00000000" w:rsidRDefault="00000000">
      <w:pPr>
        <w:rPr>
          <w:rFonts w:hint="eastAsia"/>
          <w:snapToGrid/>
        </w:rPr>
      </w:pPr>
      <w:r>
        <w:rPr>
          <w:snapToGrid/>
        </w:rPr>
        <w:tab/>
      </w:r>
      <w:r>
        <w:rPr>
          <w:rFonts w:hint="eastAsia"/>
          <w:snapToGrid/>
        </w:rPr>
        <w:t>567.</w:t>
      </w:r>
      <w:r>
        <w:rPr>
          <w:snapToGrid/>
        </w:rPr>
        <w:t xml:space="preserve">  </w:t>
      </w:r>
      <w:r>
        <w:rPr>
          <w:rFonts w:hint="eastAsia"/>
          <w:snapToGrid/>
        </w:rPr>
        <w:t>任何人出于任何原因没有完成初等教育都可以在通过考试和支付最低费用后在指定的小学接受这种义务教育。</w:t>
      </w:r>
    </w:p>
    <w:p w:rsidR="00000000" w:rsidRDefault="00000000">
      <w:pPr>
        <w:rPr>
          <w:rFonts w:hint="eastAsia"/>
          <w:snapToGrid/>
        </w:rPr>
      </w:pPr>
      <w:r>
        <w:rPr>
          <w:snapToGrid/>
        </w:rPr>
        <w:tab/>
      </w:r>
      <w:r>
        <w:rPr>
          <w:rFonts w:hint="eastAsia"/>
          <w:snapToGrid/>
        </w:rPr>
        <w:t>568.</w:t>
      </w:r>
      <w:r>
        <w:rPr>
          <w:snapToGrid/>
        </w:rPr>
        <w:t xml:space="preserve">  </w:t>
      </w:r>
      <w:r>
        <w:rPr>
          <w:rFonts w:hint="eastAsia"/>
          <w:snapToGrid/>
        </w:rPr>
        <w:t>根据《波斯尼亚和黑塞哥维纳初等和中等教育框架协议》第</w:t>
      </w:r>
      <w:r>
        <w:rPr>
          <w:rFonts w:hint="eastAsia"/>
          <w:snapToGrid/>
        </w:rPr>
        <w:t>17</w:t>
      </w:r>
      <w:r>
        <w:rPr>
          <w:rFonts w:hint="eastAsia"/>
          <w:snapToGrid/>
        </w:rPr>
        <w:t>条，取决于小学的成绩，个人兴趣和能力，人人都可获得中等教育。</w:t>
      </w:r>
    </w:p>
    <w:p w:rsidR="00000000" w:rsidRDefault="00000000">
      <w:pPr>
        <w:rPr>
          <w:rFonts w:hint="eastAsia"/>
          <w:snapToGrid/>
        </w:rPr>
      </w:pPr>
      <w:r>
        <w:rPr>
          <w:snapToGrid/>
        </w:rPr>
        <w:tab/>
      </w:r>
      <w:r>
        <w:rPr>
          <w:rFonts w:hint="eastAsia"/>
          <w:snapToGrid/>
        </w:rPr>
        <w:t>569.</w:t>
      </w:r>
      <w:r>
        <w:rPr>
          <w:snapToGrid/>
        </w:rPr>
        <w:t xml:space="preserve">  </w:t>
      </w:r>
      <w:r>
        <w:rPr>
          <w:rFonts w:hint="eastAsia"/>
          <w:snapToGrid/>
        </w:rPr>
        <w:t>主要的困难一直是</w:t>
      </w:r>
      <w:r>
        <w:rPr>
          <w:rFonts w:hint="eastAsia"/>
          <w:snapToGrid/>
        </w:rPr>
        <w:t>(</w:t>
      </w:r>
      <w:r>
        <w:rPr>
          <w:rFonts w:hint="eastAsia"/>
          <w:snapToGrid/>
        </w:rPr>
        <w:t>实际上仍然是</w:t>
      </w:r>
      <w:r>
        <w:rPr>
          <w:rFonts w:hint="eastAsia"/>
          <w:snapToGrid/>
        </w:rPr>
        <w:t>)</w:t>
      </w:r>
      <w:r>
        <w:rPr>
          <w:rFonts w:hint="eastAsia"/>
          <w:snapToGrid/>
        </w:rPr>
        <w:t>在国家一级缺乏立法</w:t>
      </w:r>
      <w:r>
        <w:rPr>
          <w:rFonts w:hint="eastAsia"/>
          <w:snapToGrid/>
        </w:rPr>
        <w:t>(</w:t>
      </w:r>
      <w:r>
        <w:rPr>
          <w:rFonts w:hint="eastAsia"/>
          <w:snapToGrid/>
        </w:rPr>
        <w:t>州一级缺乏法规</w:t>
      </w:r>
      <w:r>
        <w:rPr>
          <w:rFonts w:hint="eastAsia"/>
          <w:snapToGrid/>
        </w:rPr>
        <w:t>)</w:t>
      </w:r>
      <w:r>
        <w:rPr>
          <w:rFonts w:hint="eastAsia"/>
          <w:snapToGrid/>
        </w:rPr>
        <w:t>来根据公认的国际文件和公约保障人人享有平等的受教育权。因此，在</w:t>
      </w:r>
      <w:r>
        <w:rPr>
          <w:rFonts w:hint="eastAsia"/>
          <w:snapToGrid/>
        </w:rPr>
        <w:t>2003/2004</w:t>
      </w:r>
      <w:r>
        <w:rPr>
          <w:rFonts w:hint="eastAsia"/>
          <w:snapToGrid/>
        </w:rPr>
        <w:t>学年前，竟有</w:t>
      </w:r>
      <w:r>
        <w:rPr>
          <w:rFonts w:hint="eastAsia"/>
          <w:snapToGrid/>
        </w:rPr>
        <w:t>52</w:t>
      </w:r>
      <w:r>
        <w:rPr>
          <w:rFonts w:hint="eastAsia"/>
          <w:snapToGrid/>
        </w:rPr>
        <w:t>所学校在同一个屋檐下但按种族划分，对返回儿童和罗姆族儿童还有其他形式的歧视，主要是行使获得高质量正规教育的权利方面</w:t>
      </w:r>
      <w:r>
        <w:rPr>
          <w:rFonts w:hint="eastAsia"/>
          <w:snapToGrid/>
        </w:rPr>
        <w:t>(</w:t>
      </w:r>
      <w:r>
        <w:rPr>
          <w:rFonts w:hint="eastAsia"/>
          <w:snapToGrid/>
        </w:rPr>
        <w:t>在返回者地区没有校舍和合适的教学辅助设施，课程不统一，父母失业等等，以及用母语受教育的机会有限或不存在</w:t>
      </w:r>
      <w:r>
        <w:rPr>
          <w:rFonts w:hint="eastAsia"/>
          <w:snapToGrid/>
        </w:rPr>
        <w:t>)</w:t>
      </w:r>
      <w:r>
        <w:rPr>
          <w:rFonts w:hint="eastAsia"/>
          <w:snapToGrid/>
        </w:rPr>
        <w:t>。</w:t>
      </w:r>
    </w:p>
    <w:p w:rsidR="00000000" w:rsidRDefault="00000000">
      <w:pPr>
        <w:rPr>
          <w:rFonts w:hint="eastAsia"/>
          <w:snapToGrid/>
        </w:rPr>
      </w:pPr>
      <w:r>
        <w:rPr>
          <w:snapToGrid/>
        </w:rPr>
        <w:tab/>
      </w:r>
      <w:r>
        <w:rPr>
          <w:rFonts w:hint="eastAsia"/>
          <w:snapToGrid/>
        </w:rPr>
        <w:t>570.</w:t>
      </w:r>
      <w:r>
        <w:rPr>
          <w:snapToGrid/>
        </w:rPr>
        <w:t xml:space="preserve">  </w:t>
      </w:r>
      <w:r>
        <w:rPr>
          <w:rFonts w:hint="eastAsia"/>
          <w:snapToGrid/>
        </w:rPr>
        <w:t>2002</w:t>
      </w:r>
      <w:r>
        <w:rPr>
          <w:rFonts w:hint="eastAsia"/>
          <w:snapToGrid/>
        </w:rPr>
        <w:t>年</w:t>
      </w:r>
      <w:r>
        <w:rPr>
          <w:rFonts w:hint="eastAsia"/>
          <w:snapToGrid/>
        </w:rPr>
        <w:t>11</w:t>
      </w:r>
      <w:r>
        <w:rPr>
          <w:rFonts w:hint="eastAsia"/>
          <w:snapToGrid/>
        </w:rPr>
        <w:t>月，所有的教育部长都签署了“波斯尼亚和黑塞哥维纳教育改革”文件，其总体目标就是在教育系统各级，向所有人提供可以平等获得的高质量教育。还采用了通用核心课程，同一屋檐下的两所学校实行行政统一</w:t>
      </w:r>
      <w:r>
        <w:rPr>
          <w:rFonts w:hint="eastAsia"/>
          <w:snapToGrid/>
        </w:rPr>
        <w:t>(</w:t>
      </w:r>
      <w:r>
        <w:rPr>
          <w:rFonts w:hint="eastAsia"/>
          <w:snapToGrid/>
        </w:rPr>
        <w:t>仍有零星抵制</w:t>
      </w:r>
      <w:r>
        <w:rPr>
          <w:rFonts w:hint="eastAsia"/>
          <w:snapToGrid/>
        </w:rPr>
        <w:t>)</w:t>
      </w:r>
      <w:r>
        <w:rPr>
          <w:rFonts w:hint="eastAsia"/>
          <w:snapToGrid/>
        </w:rPr>
        <w:t>。自</w:t>
      </w:r>
      <w:r>
        <w:rPr>
          <w:rFonts w:hint="eastAsia"/>
          <w:snapToGrid/>
        </w:rPr>
        <w:t>2003/2004</w:t>
      </w:r>
      <w:r>
        <w:rPr>
          <w:rFonts w:hint="eastAsia"/>
          <w:snapToGrid/>
        </w:rPr>
        <w:t>学年开始，在波斯尼亚和黑塞哥维纳所有学校都实行了通用核心课程。</w:t>
      </w:r>
    </w:p>
    <w:p w:rsidR="00000000" w:rsidRDefault="00000000">
      <w:pPr>
        <w:rPr>
          <w:rFonts w:hint="eastAsia"/>
          <w:snapToGrid/>
        </w:rPr>
      </w:pPr>
      <w:r>
        <w:rPr>
          <w:snapToGrid/>
        </w:rPr>
        <w:tab/>
      </w:r>
      <w:r>
        <w:rPr>
          <w:rFonts w:hint="eastAsia"/>
          <w:snapToGrid/>
        </w:rPr>
        <w:t>571.</w:t>
      </w:r>
      <w:r>
        <w:rPr>
          <w:snapToGrid/>
        </w:rPr>
        <w:t xml:space="preserve">  </w:t>
      </w:r>
      <w:r>
        <w:rPr>
          <w:rFonts w:hint="eastAsia"/>
          <w:snapToGrid/>
        </w:rPr>
        <w:t>布尔奇科区教育体系中的一个可能的困难在于母语教学。这个问题通过在布尔奇科区所有的小学和中学的教学过程中和课外活动中平等使用塞尔维亚语、克罗地亚语和波斯尼亚语以及拉丁文和西里尔字母得以克服。</w:t>
      </w:r>
    </w:p>
    <w:p w:rsidR="00000000" w:rsidRDefault="00000000">
      <w:pPr>
        <w:rPr>
          <w:rFonts w:hint="eastAsia"/>
          <w:snapToGrid/>
        </w:rPr>
      </w:pPr>
      <w:r>
        <w:rPr>
          <w:snapToGrid/>
        </w:rPr>
        <w:tab/>
      </w:r>
      <w:r>
        <w:rPr>
          <w:rFonts w:hint="eastAsia"/>
          <w:snapToGrid/>
        </w:rPr>
        <w:t>572.</w:t>
      </w:r>
      <w:r>
        <w:rPr>
          <w:snapToGrid/>
        </w:rPr>
        <w:t xml:space="preserve">  </w:t>
      </w:r>
      <w:r>
        <w:rPr>
          <w:rFonts w:hint="eastAsia"/>
          <w:snapToGrid/>
        </w:rPr>
        <w:t>一个正面的例子就是外国公民和无国籍人士有权根据《教育法》的规定、国际公约、波斯尼亚和黑塞哥维纳签署的国家间协议和契约以及布尔奇科区议会签订的契约和协议在布尔奇科区接受初等和中等教育。</w:t>
      </w:r>
    </w:p>
    <w:p w:rsidR="00000000" w:rsidRDefault="00000000">
      <w:pPr>
        <w:spacing w:after="320"/>
        <w:rPr>
          <w:rFonts w:hint="eastAsia"/>
          <w:snapToGrid/>
        </w:rPr>
      </w:pPr>
      <w:r>
        <w:rPr>
          <w:snapToGrid/>
        </w:rPr>
        <w:tab/>
      </w:r>
      <w:r>
        <w:rPr>
          <w:rFonts w:hint="eastAsia"/>
          <w:snapToGrid/>
        </w:rPr>
        <w:t>573.</w:t>
      </w:r>
      <w:r>
        <w:rPr>
          <w:snapToGrid/>
        </w:rPr>
        <w:t xml:space="preserve">  </w:t>
      </w:r>
      <w:r>
        <w:rPr>
          <w:rFonts w:hint="eastAsia"/>
          <w:snapToGrid/>
        </w:rPr>
        <w:t>以前在国外上学的学生在核实其在以前的学校完成课程的证书后，就可转校到布尔奇科区的中小学了。从波斯尼亚和黑塞哥维纳其他地区转学到布尔奇科区的学生不用核实证书。</w:t>
      </w:r>
    </w:p>
    <w:p w:rsidR="00000000" w:rsidRDefault="00000000">
      <w:pPr>
        <w:pStyle w:val="Heading4"/>
        <w:rPr>
          <w:rFonts w:hint="eastAsia"/>
        </w:rPr>
      </w:pPr>
      <w:r>
        <w:rPr>
          <w:rFonts w:hint="eastAsia"/>
        </w:rPr>
        <w:t>初等教育</w:t>
      </w:r>
    </w:p>
    <w:p w:rsidR="00000000" w:rsidRDefault="00000000">
      <w:pPr>
        <w:rPr>
          <w:rFonts w:hint="eastAsia"/>
          <w:snapToGrid/>
        </w:rPr>
      </w:pPr>
      <w:r>
        <w:rPr>
          <w:snapToGrid/>
        </w:rPr>
        <w:tab/>
      </w:r>
      <w:r>
        <w:rPr>
          <w:rFonts w:hint="eastAsia"/>
          <w:snapToGrid/>
        </w:rPr>
        <w:t>574.</w:t>
      </w:r>
      <w:r>
        <w:rPr>
          <w:snapToGrid/>
        </w:rPr>
        <w:t xml:space="preserve">  </w:t>
      </w:r>
      <w:r>
        <w:rPr>
          <w:rFonts w:hint="eastAsia"/>
          <w:snapToGrid/>
        </w:rPr>
        <w:t>2002/03</w:t>
      </w:r>
      <w:r>
        <w:rPr>
          <w:rFonts w:hint="eastAsia"/>
          <w:snapToGrid/>
        </w:rPr>
        <w:t>学年波斯尼亚和黑塞哥维纳的初等教育共有</w:t>
      </w:r>
      <w:r>
        <w:rPr>
          <w:rFonts w:hint="eastAsia"/>
          <w:snapToGrid/>
        </w:rPr>
        <w:t>1,864</w:t>
      </w:r>
      <w:r>
        <w:rPr>
          <w:rFonts w:hint="eastAsia"/>
          <w:snapToGrid/>
        </w:rPr>
        <w:t>所小学，</w:t>
      </w:r>
      <w:r>
        <w:rPr>
          <w:rFonts w:hint="eastAsia"/>
          <w:snapToGrid/>
        </w:rPr>
        <w:t>364,914</w:t>
      </w:r>
      <w:r>
        <w:rPr>
          <w:rFonts w:hint="eastAsia"/>
          <w:snapToGrid/>
        </w:rPr>
        <w:t>名学生和</w:t>
      </w:r>
      <w:r>
        <w:rPr>
          <w:rFonts w:hint="eastAsia"/>
          <w:snapToGrid/>
        </w:rPr>
        <w:t>20,874</w:t>
      </w:r>
      <w:r>
        <w:rPr>
          <w:rFonts w:hint="eastAsia"/>
          <w:snapToGrid/>
        </w:rPr>
        <w:t>名教师，其中女教师</w:t>
      </w:r>
      <w:r>
        <w:rPr>
          <w:rFonts w:hint="eastAsia"/>
          <w:snapToGrid/>
        </w:rPr>
        <w:t>13,502</w:t>
      </w:r>
      <w:r>
        <w:rPr>
          <w:rFonts w:hint="eastAsia"/>
          <w:snapToGrid/>
        </w:rPr>
        <w:t>人，男教师</w:t>
      </w:r>
      <w:r>
        <w:rPr>
          <w:rFonts w:hint="eastAsia"/>
          <w:snapToGrid/>
        </w:rPr>
        <w:t>7,372</w:t>
      </w:r>
      <w:r>
        <w:rPr>
          <w:rFonts w:hint="eastAsia"/>
          <w:snapToGrid/>
        </w:rPr>
        <w:t>人。</w:t>
      </w:r>
      <w:r>
        <w:rPr>
          <w:rFonts w:hint="eastAsia"/>
          <w:snapToGrid/>
        </w:rPr>
        <w:t>(</w:t>
      </w:r>
      <w:r>
        <w:rPr>
          <w:rFonts w:hint="eastAsia"/>
          <w:snapToGrid/>
        </w:rPr>
        <w:t>附件中统计资料里有进一步的数据。</w:t>
      </w:r>
      <w:r>
        <w:rPr>
          <w:rFonts w:hint="eastAsia"/>
          <w:snapToGrid/>
        </w:rPr>
        <w:t>)</w:t>
      </w:r>
    </w:p>
    <w:p w:rsidR="00000000" w:rsidRDefault="00000000">
      <w:pPr>
        <w:rPr>
          <w:rFonts w:hint="eastAsia"/>
          <w:snapToGrid/>
        </w:rPr>
      </w:pPr>
      <w:r>
        <w:rPr>
          <w:snapToGrid/>
        </w:rPr>
        <w:tab/>
      </w:r>
      <w:r>
        <w:rPr>
          <w:rFonts w:hint="eastAsia"/>
          <w:snapToGrid/>
        </w:rPr>
        <w:t>575.</w:t>
      </w:r>
      <w:r>
        <w:rPr>
          <w:snapToGrid/>
        </w:rPr>
        <w:t xml:space="preserve">  </w:t>
      </w:r>
      <w:r>
        <w:rPr>
          <w:rFonts w:hint="eastAsia"/>
          <w:snapToGrid/>
        </w:rPr>
        <w:t>初等教育是义务的，有普通教育的特征，为进一步教育打下基础。小学有公立的也有私立的，公立小学往往由州或市创办。除正规小学外还有：特殊小学和学校、平行小学</w:t>
      </w:r>
      <w:r>
        <w:rPr>
          <w:rFonts w:hint="eastAsia"/>
          <w:snapToGrid/>
        </w:rPr>
        <w:t>(</w:t>
      </w:r>
      <w:r>
        <w:rPr>
          <w:rFonts w:hint="eastAsia"/>
          <w:snapToGrid/>
        </w:rPr>
        <w:t>音乐和芭蕾</w:t>
      </w:r>
      <w:r>
        <w:rPr>
          <w:rFonts w:hint="eastAsia"/>
          <w:snapToGrid/>
        </w:rPr>
        <w:t>)</w:t>
      </w:r>
      <w:r>
        <w:rPr>
          <w:rFonts w:hint="eastAsia"/>
          <w:snapToGrid/>
        </w:rPr>
        <w:t>和成人小学。正规小学的初等教育从</w:t>
      </w:r>
      <w:r>
        <w:rPr>
          <w:rFonts w:hint="eastAsia"/>
          <w:snapToGrid/>
        </w:rPr>
        <w:t>7</w:t>
      </w:r>
      <w:r>
        <w:rPr>
          <w:rFonts w:hint="eastAsia"/>
          <w:snapToGrid/>
        </w:rPr>
        <w:t>岁学生开始，为时八年。对于发育受干扰的儿童，初等教育从</w:t>
      </w:r>
      <w:r>
        <w:rPr>
          <w:rFonts w:hint="eastAsia"/>
          <w:snapToGrid/>
        </w:rPr>
        <w:t>7</w:t>
      </w:r>
      <w:r>
        <w:rPr>
          <w:rFonts w:hint="eastAsia"/>
          <w:snapToGrid/>
        </w:rPr>
        <w:t>岁开始到</w:t>
      </w:r>
      <w:r>
        <w:rPr>
          <w:rFonts w:hint="eastAsia"/>
          <w:snapToGrid/>
        </w:rPr>
        <w:t>15</w:t>
      </w:r>
      <w:r>
        <w:rPr>
          <w:rFonts w:hint="eastAsia"/>
          <w:snapToGrid/>
        </w:rPr>
        <w:t>岁结束。</w:t>
      </w:r>
    </w:p>
    <w:p w:rsidR="00000000" w:rsidRDefault="00000000">
      <w:pPr>
        <w:rPr>
          <w:rFonts w:hint="eastAsia"/>
          <w:snapToGrid/>
        </w:rPr>
      </w:pPr>
      <w:r>
        <w:rPr>
          <w:snapToGrid/>
        </w:rPr>
        <w:tab/>
      </w:r>
      <w:r>
        <w:rPr>
          <w:rFonts w:hint="eastAsia"/>
          <w:snapToGrid/>
        </w:rPr>
        <w:t>576.</w:t>
      </w:r>
      <w:r>
        <w:rPr>
          <w:snapToGrid/>
        </w:rPr>
        <w:t xml:space="preserve">  </w:t>
      </w:r>
      <w:r>
        <w:rPr>
          <w:rFonts w:hint="eastAsia"/>
          <w:snapToGrid/>
        </w:rPr>
        <w:t>尽管规定男童和女童享有平等就学机会，事实上城乡的教育覆盖率有差别。那就是，初等教育是义务的，但在不发达的农村地区有证据表明没有做出足够的努力确保女孩接受教育。</w:t>
      </w:r>
    </w:p>
    <w:p w:rsidR="00000000" w:rsidRDefault="00000000">
      <w:pPr>
        <w:rPr>
          <w:rFonts w:hint="eastAsia"/>
          <w:snapToGrid/>
        </w:rPr>
      </w:pPr>
      <w:r>
        <w:rPr>
          <w:snapToGrid/>
        </w:rPr>
        <w:tab/>
      </w:r>
      <w:r>
        <w:rPr>
          <w:rFonts w:hint="eastAsia"/>
          <w:snapToGrid/>
        </w:rPr>
        <w:t>577.</w:t>
      </w:r>
      <w:r>
        <w:rPr>
          <w:snapToGrid/>
        </w:rPr>
        <w:t xml:space="preserve">  </w:t>
      </w:r>
      <w:r>
        <w:rPr>
          <w:rFonts w:hint="eastAsia"/>
          <w:snapToGrid/>
        </w:rPr>
        <w:t>人们注意到，即使在战前，在波斯尼亚和黑塞哥维纳的农村地区</w:t>
      </w:r>
      <w:r>
        <w:rPr>
          <w:rFonts w:hint="eastAsia"/>
          <w:snapToGrid/>
        </w:rPr>
        <w:t>(</w:t>
      </w:r>
      <w:r>
        <w:rPr>
          <w:rFonts w:hint="eastAsia"/>
          <w:snapToGrid/>
        </w:rPr>
        <w:t>东波斯尼亚，比哈奇地区</w:t>
      </w:r>
      <w:r>
        <w:rPr>
          <w:rFonts w:hint="eastAsia"/>
          <w:snapToGrid/>
        </w:rPr>
        <w:t>)</w:t>
      </w:r>
      <w:r>
        <w:rPr>
          <w:rFonts w:hint="eastAsia"/>
          <w:snapToGrid/>
        </w:rPr>
        <w:t>女生从小学辍学从事农活和家务活。辍学的一个原因是一些农村地区离学校较远。因此，根据适当立法采取措施主要指充分实施所有立法和遵守人权的国际指南，特别是《儿童权利公约》。</w:t>
      </w:r>
    </w:p>
    <w:p w:rsidR="00000000" w:rsidRDefault="00000000">
      <w:pPr>
        <w:rPr>
          <w:rFonts w:hint="eastAsia"/>
          <w:snapToGrid/>
        </w:rPr>
      </w:pPr>
      <w:r>
        <w:rPr>
          <w:snapToGrid/>
        </w:rPr>
        <w:tab/>
      </w:r>
      <w:r>
        <w:rPr>
          <w:rFonts w:hint="eastAsia"/>
          <w:snapToGrid/>
        </w:rPr>
        <w:t>578.</w:t>
      </w:r>
      <w:r>
        <w:rPr>
          <w:snapToGrid/>
        </w:rPr>
        <w:t xml:space="preserve">  </w:t>
      </w:r>
      <w:r>
        <w:rPr>
          <w:rFonts w:hint="eastAsia"/>
          <w:snapToGrid/>
        </w:rPr>
        <w:t>要求在更高水平上保障和保护儿童权利以及在任何情况下适用儿童的最高利益原则符合《欧洲公约》的精神。</w:t>
      </w:r>
    </w:p>
    <w:p w:rsidR="00000000" w:rsidRDefault="00000000">
      <w:pPr>
        <w:rPr>
          <w:rFonts w:hint="eastAsia"/>
          <w:snapToGrid/>
        </w:rPr>
      </w:pPr>
      <w:r>
        <w:rPr>
          <w:snapToGrid/>
        </w:rPr>
        <w:tab/>
      </w:r>
      <w:r>
        <w:rPr>
          <w:rFonts w:hint="eastAsia"/>
          <w:snapToGrid/>
        </w:rPr>
        <w:t>579.</w:t>
      </w:r>
      <w:r>
        <w:rPr>
          <w:snapToGrid/>
        </w:rPr>
        <w:t xml:space="preserve">  </w:t>
      </w:r>
      <w:r>
        <w:rPr>
          <w:rFonts w:hint="eastAsia"/>
          <w:snapToGrid/>
        </w:rPr>
        <w:t>主管部门里的巡视局没有收到过女童教育方面侵犯妇女权利的报告。</w:t>
      </w:r>
    </w:p>
    <w:p w:rsidR="00000000" w:rsidRDefault="00000000">
      <w:pPr>
        <w:rPr>
          <w:rFonts w:hint="eastAsia"/>
          <w:snapToGrid/>
        </w:rPr>
      </w:pPr>
      <w:r>
        <w:rPr>
          <w:snapToGrid/>
        </w:rPr>
        <w:tab/>
      </w:r>
      <w:r>
        <w:rPr>
          <w:rFonts w:hint="eastAsia"/>
          <w:snapToGrid/>
        </w:rPr>
        <w:t>580.</w:t>
      </w:r>
      <w:r>
        <w:rPr>
          <w:snapToGrid/>
        </w:rPr>
        <w:t xml:space="preserve">  </w:t>
      </w:r>
      <w:r>
        <w:rPr>
          <w:rFonts w:hint="eastAsia"/>
          <w:snapToGrid/>
        </w:rPr>
        <w:t>在波斯尼亚和黑塞哥维纳联邦，</w:t>
      </w:r>
      <w:r>
        <w:rPr>
          <w:rFonts w:hint="eastAsia"/>
          <w:snapToGrid/>
        </w:rPr>
        <w:t>2002/03</w:t>
      </w:r>
      <w:r>
        <w:rPr>
          <w:rFonts w:hint="eastAsia"/>
          <w:snapToGrid/>
        </w:rPr>
        <w:t>学年初，正规学校招收了</w:t>
      </w:r>
      <w:r>
        <w:rPr>
          <w:rFonts w:hint="eastAsia"/>
          <w:snapToGrid/>
        </w:rPr>
        <w:t>243,262</w:t>
      </w:r>
      <w:r>
        <w:rPr>
          <w:rFonts w:hint="eastAsia"/>
          <w:snapToGrid/>
        </w:rPr>
        <w:t>名学生。音乐和芭蕾学校</w:t>
      </w:r>
      <w:r>
        <w:rPr>
          <w:rFonts w:hint="eastAsia"/>
          <w:snapToGrid/>
        </w:rPr>
        <w:t>(</w:t>
      </w:r>
      <w:r>
        <w:rPr>
          <w:rFonts w:hint="eastAsia"/>
          <w:snapToGrid/>
        </w:rPr>
        <w:t>所谓的平行学校</w:t>
      </w:r>
      <w:r>
        <w:rPr>
          <w:rFonts w:hint="eastAsia"/>
          <w:snapToGrid/>
        </w:rPr>
        <w:t>)</w:t>
      </w:r>
      <w:r>
        <w:rPr>
          <w:rFonts w:hint="eastAsia"/>
          <w:snapToGrid/>
        </w:rPr>
        <w:t>招收了</w:t>
      </w:r>
      <w:r>
        <w:rPr>
          <w:rFonts w:hint="eastAsia"/>
          <w:snapToGrid/>
        </w:rPr>
        <w:t>4,207</w:t>
      </w:r>
      <w:r>
        <w:rPr>
          <w:rFonts w:hint="eastAsia"/>
          <w:snapToGrid/>
        </w:rPr>
        <w:t>名学生，有特殊需要儿童的学校招收了</w:t>
      </w:r>
      <w:r>
        <w:rPr>
          <w:rFonts w:hint="eastAsia"/>
          <w:snapToGrid/>
        </w:rPr>
        <w:t>958</w:t>
      </w:r>
      <w:r>
        <w:rPr>
          <w:rFonts w:hint="eastAsia"/>
          <w:snapToGrid/>
        </w:rPr>
        <w:t>名学生。正规小学校共有</w:t>
      </w:r>
      <w:r>
        <w:rPr>
          <w:rFonts w:hint="eastAsia"/>
          <w:snapToGrid/>
        </w:rPr>
        <w:t>1,052</w:t>
      </w:r>
      <w:r>
        <w:rPr>
          <w:rFonts w:hint="eastAsia"/>
          <w:snapToGrid/>
        </w:rPr>
        <w:t>所，其中</w:t>
      </w:r>
      <w:r>
        <w:rPr>
          <w:rFonts w:hint="eastAsia"/>
          <w:snapToGrid/>
        </w:rPr>
        <w:t>385</w:t>
      </w:r>
      <w:r>
        <w:rPr>
          <w:rFonts w:hint="eastAsia"/>
          <w:snapToGrid/>
        </w:rPr>
        <w:t>所是中心小学，</w:t>
      </w:r>
      <w:r>
        <w:rPr>
          <w:rFonts w:hint="eastAsia"/>
          <w:snapToGrid/>
        </w:rPr>
        <w:t>667</w:t>
      </w:r>
      <w:r>
        <w:rPr>
          <w:rFonts w:hint="eastAsia"/>
          <w:snapToGrid/>
        </w:rPr>
        <w:t>所是地区小学。</w:t>
      </w:r>
    </w:p>
    <w:p w:rsidR="00000000" w:rsidRDefault="00000000">
      <w:pPr>
        <w:rPr>
          <w:rFonts w:hint="eastAsia"/>
          <w:snapToGrid/>
        </w:rPr>
      </w:pPr>
      <w:r>
        <w:rPr>
          <w:snapToGrid/>
        </w:rPr>
        <w:tab/>
      </w:r>
      <w:r>
        <w:rPr>
          <w:rFonts w:hint="eastAsia"/>
          <w:snapToGrid/>
        </w:rPr>
        <w:t>581.</w:t>
      </w:r>
      <w:r>
        <w:rPr>
          <w:snapToGrid/>
        </w:rPr>
        <w:t xml:space="preserve">  </w:t>
      </w:r>
      <w:r>
        <w:rPr>
          <w:rFonts w:hint="eastAsia"/>
          <w:snapToGrid/>
        </w:rPr>
        <w:t>在塞尔维亚共和国，小学生年龄为</w:t>
      </w:r>
      <w:r>
        <w:rPr>
          <w:rFonts w:hint="eastAsia"/>
          <w:snapToGrid/>
        </w:rPr>
        <w:t>7-14</w:t>
      </w:r>
      <w:r>
        <w:rPr>
          <w:rFonts w:hint="eastAsia"/>
          <w:snapToGrid/>
        </w:rPr>
        <w:t>岁，人人都可免费就学；小学都为公立学校，资金来自塞尔维亚共和国预算。初等教育的提供者为：小学校、针对发育有问题的儿童的特殊小学校、和成人</w:t>
      </w:r>
      <w:r>
        <w:rPr>
          <w:rFonts w:hint="eastAsia"/>
          <w:snapToGrid/>
        </w:rPr>
        <w:t>(16</w:t>
      </w:r>
      <w:r>
        <w:rPr>
          <w:rFonts w:hint="eastAsia"/>
          <w:snapToGrid/>
        </w:rPr>
        <w:t>岁以后</w:t>
      </w:r>
      <w:r>
        <w:rPr>
          <w:rFonts w:hint="eastAsia"/>
          <w:snapToGrid/>
        </w:rPr>
        <w:t>)</w:t>
      </w:r>
      <w:r>
        <w:rPr>
          <w:rFonts w:hint="eastAsia"/>
          <w:snapToGrid/>
        </w:rPr>
        <w:t>初等教育部门。</w:t>
      </w:r>
    </w:p>
    <w:p w:rsidR="00000000" w:rsidRDefault="00000000">
      <w:pPr>
        <w:rPr>
          <w:rFonts w:hint="eastAsia"/>
          <w:snapToGrid/>
        </w:rPr>
      </w:pPr>
      <w:r>
        <w:rPr>
          <w:snapToGrid/>
        </w:rPr>
        <w:tab/>
      </w:r>
      <w:r>
        <w:rPr>
          <w:rFonts w:hint="eastAsia"/>
          <w:snapToGrid/>
        </w:rPr>
        <w:t>582.</w:t>
      </w:r>
      <w:r>
        <w:rPr>
          <w:snapToGrid/>
        </w:rPr>
        <w:t xml:space="preserve">  </w:t>
      </w:r>
      <w:r>
        <w:rPr>
          <w:rFonts w:hint="eastAsia"/>
          <w:snapToGrid/>
        </w:rPr>
        <w:t>和初等教育并行，还有艺术</w:t>
      </w:r>
      <w:r>
        <w:rPr>
          <w:rFonts w:hint="eastAsia"/>
          <w:snapToGrid/>
          <w:spacing w:val="-50"/>
        </w:rPr>
        <w:t>―</w:t>
      </w:r>
      <w:r>
        <w:rPr>
          <w:rFonts w:hint="eastAsia"/>
          <w:snapToGrid/>
        </w:rPr>
        <w:t>―音乐和芭蕾</w:t>
      </w:r>
      <w:r>
        <w:rPr>
          <w:rFonts w:hint="eastAsia"/>
          <w:snapToGrid/>
          <w:spacing w:val="-50"/>
        </w:rPr>
        <w:t>―</w:t>
      </w:r>
      <w:r>
        <w:rPr>
          <w:rFonts w:hint="eastAsia"/>
          <w:snapToGrid/>
        </w:rPr>
        <w:t>―的初等教育。《小学校法》规定成人有接受初等教育的权利，并且旅居海外的塞尔维亚共和国国民的子女有获得额外教育的权利。塞尔维亚共和国总共有</w:t>
      </w:r>
      <w:r>
        <w:rPr>
          <w:rFonts w:hint="eastAsia"/>
          <w:snapToGrid/>
        </w:rPr>
        <w:t>741</w:t>
      </w:r>
      <w:r>
        <w:rPr>
          <w:rFonts w:hint="eastAsia"/>
          <w:snapToGrid/>
        </w:rPr>
        <w:t>所小学，其中由</w:t>
      </w:r>
      <w:r>
        <w:rPr>
          <w:rFonts w:hint="eastAsia"/>
          <w:snapToGrid/>
        </w:rPr>
        <w:t>476</w:t>
      </w:r>
      <w:r>
        <w:rPr>
          <w:rFonts w:hint="eastAsia"/>
          <w:snapToGrid/>
        </w:rPr>
        <w:t>所四年级初小，和</w:t>
      </w:r>
      <w:r>
        <w:rPr>
          <w:rFonts w:hint="eastAsia"/>
          <w:snapToGrid/>
        </w:rPr>
        <w:t>265</w:t>
      </w:r>
      <w:r>
        <w:rPr>
          <w:rFonts w:hint="eastAsia"/>
          <w:snapToGrid/>
        </w:rPr>
        <w:t>所八年级高小。这些学校的班级总数为</w:t>
      </w:r>
      <w:r>
        <w:rPr>
          <w:rFonts w:hint="eastAsia"/>
          <w:snapToGrid/>
        </w:rPr>
        <w:t>5,395,</w:t>
      </w:r>
      <w:r>
        <w:rPr>
          <w:rFonts w:hint="eastAsia"/>
          <w:snapToGrid/>
        </w:rPr>
        <w:t>有</w:t>
      </w:r>
      <w:r>
        <w:rPr>
          <w:rFonts w:hint="eastAsia"/>
          <w:snapToGrid/>
        </w:rPr>
        <w:t>770</w:t>
      </w:r>
      <w:r>
        <w:rPr>
          <w:rFonts w:hint="eastAsia"/>
          <w:snapToGrid/>
        </w:rPr>
        <w:t>个混合班</w:t>
      </w:r>
      <w:r>
        <w:rPr>
          <w:rFonts w:hint="eastAsia"/>
          <w:snapToGrid/>
        </w:rPr>
        <w:t>(</w:t>
      </w:r>
      <w:r>
        <w:rPr>
          <w:rFonts w:hint="eastAsia"/>
          <w:snapToGrid/>
        </w:rPr>
        <w:t>不同年龄的孩子上同一个班</w:t>
      </w:r>
      <w:r>
        <w:rPr>
          <w:rFonts w:hint="eastAsia"/>
          <w:snapToGrid/>
        </w:rPr>
        <w:t>)</w:t>
      </w:r>
      <w:r>
        <w:rPr>
          <w:rFonts w:hint="eastAsia"/>
          <w:snapToGrid/>
        </w:rPr>
        <w:t>。混合班的比例为</w:t>
      </w:r>
      <w:r>
        <w:rPr>
          <w:rFonts w:hint="eastAsia"/>
          <w:snapToGrid/>
        </w:rPr>
        <w:t>14.27%</w:t>
      </w:r>
      <w:r>
        <w:rPr>
          <w:rFonts w:hint="eastAsia"/>
          <w:snapToGrid/>
        </w:rPr>
        <w:t>，这表明没有足够的同年龄的学生可进行教学。这一分析使用了塞尔维亚共和国统计研究所</w:t>
      </w:r>
      <w:r>
        <w:rPr>
          <w:rFonts w:hint="eastAsia"/>
          <w:snapToGrid/>
        </w:rPr>
        <w:t>1999/2000</w:t>
      </w:r>
      <w:r>
        <w:rPr>
          <w:rFonts w:hint="eastAsia"/>
          <w:snapToGrid/>
        </w:rPr>
        <w:t>学年的数据。</w:t>
      </w:r>
    </w:p>
    <w:p w:rsidR="00000000" w:rsidRDefault="00000000">
      <w:pPr>
        <w:rPr>
          <w:rFonts w:hint="eastAsia"/>
          <w:snapToGrid/>
        </w:rPr>
      </w:pPr>
      <w:r>
        <w:rPr>
          <w:snapToGrid/>
        </w:rPr>
        <w:tab/>
      </w:r>
      <w:r>
        <w:rPr>
          <w:rFonts w:hint="eastAsia"/>
          <w:snapToGrid/>
        </w:rPr>
        <w:t>583.</w:t>
      </w:r>
      <w:r>
        <w:rPr>
          <w:snapToGrid/>
        </w:rPr>
        <w:t xml:space="preserve">  </w:t>
      </w:r>
      <w:r>
        <w:rPr>
          <w:rFonts w:hint="eastAsia"/>
          <w:snapToGrid/>
        </w:rPr>
        <w:t>一至四年级的教育工作由一位师范毕业的教师担任。高小教育</w:t>
      </w:r>
      <w:r>
        <w:rPr>
          <w:rFonts w:hint="eastAsia"/>
          <w:snapToGrid/>
        </w:rPr>
        <w:t>(</w:t>
      </w:r>
      <w:r>
        <w:rPr>
          <w:rFonts w:hint="eastAsia"/>
          <w:snapToGrid/>
        </w:rPr>
        <w:t>五至八年级</w:t>
      </w:r>
      <w:r>
        <w:rPr>
          <w:rFonts w:hint="eastAsia"/>
          <w:snapToGrid/>
        </w:rPr>
        <w:t>)</w:t>
      </w:r>
      <w:r>
        <w:rPr>
          <w:rFonts w:hint="eastAsia"/>
          <w:snapToGrid/>
        </w:rPr>
        <w:t>实行分科教育，都是师范毕业的教师授课。</w:t>
      </w:r>
    </w:p>
    <w:p w:rsidR="00000000" w:rsidRDefault="00000000">
      <w:pPr>
        <w:rPr>
          <w:rFonts w:hint="eastAsia"/>
          <w:snapToGrid/>
        </w:rPr>
      </w:pPr>
      <w:r>
        <w:rPr>
          <w:snapToGrid/>
        </w:rPr>
        <w:tab/>
      </w:r>
      <w:r>
        <w:rPr>
          <w:rFonts w:hint="eastAsia"/>
          <w:snapToGrid/>
        </w:rPr>
        <w:t>584.</w:t>
      </w:r>
      <w:r>
        <w:rPr>
          <w:snapToGrid/>
        </w:rPr>
        <w:t xml:space="preserve">  </w:t>
      </w:r>
      <w:r>
        <w:rPr>
          <w:rFonts w:hint="eastAsia"/>
          <w:snapToGrid/>
        </w:rPr>
        <w:t>学校计划和课程用塞尔维亚语编制；如果一个班上有</w:t>
      </w:r>
      <w:r>
        <w:rPr>
          <w:rFonts w:hint="eastAsia"/>
          <w:snapToGrid/>
        </w:rPr>
        <w:t>20</w:t>
      </w:r>
      <w:r>
        <w:rPr>
          <w:rFonts w:hint="eastAsia"/>
          <w:snapToGrid/>
        </w:rPr>
        <w:t>名以上学生的母语不是塞尔维亚语，学校会组织母语课</w:t>
      </w:r>
      <w:r>
        <w:rPr>
          <w:rFonts w:hint="eastAsia"/>
          <w:snapToGrid/>
        </w:rPr>
        <w:t>(</w:t>
      </w:r>
      <w:r>
        <w:rPr>
          <w:rFonts w:hint="eastAsia"/>
          <w:snapToGrid/>
        </w:rPr>
        <w:t>每周两学时</w:t>
      </w:r>
      <w:r>
        <w:rPr>
          <w:rFonts w:hint="eastAsia"/>
          <w:snapToGrid/>
        </w:rPr>
        <w:t>)</w:t>
      </w:r>
      <w:r>
        <w:rPr>
          <w:rFonts w:hint="eastAsia"/>
          <w:snapToGrid/>
        </w:rPr>
        <w:t>。如果一个学校的学生同属一个民族，则用其母语授课，在三至八年级每周开设两个学时的塞尔维亚语必修课。</w:t>
      </w:r>
    </w:p>
    <w:p w:rsidR="00000000" w:rsidRDefault="00000000">
      <w:pPr>
        <w:rPr>
          <w:rFonts w:hint="eastAsia"/>
          <w:snapToGrid/>
        </w:rPr>
      </w:pPr>
      <w:r>
        <w:rPr>
          <w:snapToGrid/>
        </w:rPr>
        <w:tab/>
      </w:r>
      <w:r>
        <w:rPr>
          <w:rFonts w:hint="eastAsia"/>
          <w:snapToGrid/>
        </w:rPr>
        <w:t>585.</w:t>
      </w:r>
      <w:r>
        <w:rPr>
          <w:snapToGrid/>
        </w:rPr>
        <w:t xml:space="preserve">  </w:t>
      </w:r>
      <w:r>
        <w:rPr>
          <w:rFonts w:hint="eastAsia"/>
          <w:snapToGrid/>
        </w:rPr>
        <w:t>中等教育免费，也是整个教育体系的一部分。承担中等教育的学校有文法学校，艺术学校，职业学校，军校和宗教学校。中学是公立学校：校舍和教师工资由塞尔维亚共和国预算提供，材料费用由当地社区承担。对有发育问题的学生，安排了特殊教育，课程根据他们的能力进行调整。特殊小学和中学的资金由塞尔维亚共和国预算拨款。</w:t>
      </w:r>
    </w:p>
    <w:p w:rsidR="00000000" w:rsidRDefault="00000000">
      <w:pPr>
        <w:rPr>
          <w:rFonts w:hint="eastAsia"/>
          <w:snapToGrid/>
        </w:rPr>
      </w:pPr>
      <w:r>
        <w:rPr>
          <w:snapToGrid/>
        </w:rPr>
        <w:tab/>
      </w:r>
      <w:r>
        <w:rPr>
          <w:rFonts w:hint="eastAsia"/>
          <w:snapToGrid/>
        </w:rPr>
        <w:t>586.</w:t>
      </w:r>
      <w:r>
        <w:rPr>
          <w:snapToGrid/>
        </w:rPr>
        <w:t xml:space="preserve">  </w:t>
      </w:r>
      <w:r>
        <w:rPr>
          <w:rFonts w:hint="eastAsia"/>
          <w:snapToGrid/>
        </w:rPr>
        <w:t>布尔奇科区政府，根据《布尔奇科区中小学教育法》，规定了对所有义务教育年龄的人</w:t>
      </w:r>
      <w:r>
        <w:rPr>
          <w:rFonts w:hint="eastAsia"/>
          <w:snapToGrid/>
          <w:spacing w:val="-50"/>
        </w:rPr>
        <w:t>―</w:t>
      </w:r>
      <w:r>
        <w:rPr>
          <w:rFonts w:hint="eastAsia"/>
          <w:snapToGrid/>
        </w:rPr>
        <w:t>―</w:t>
      </w:r>
      <w:r>
        <w:rPr>
          <w:rFonts w:hint="eastAsia"/>
          <w:snapToGrid/>
        </w:rPr>
        <w:t>6</w:t>
      </w:r>
      <w:r>
        <w:rPr>
          <w:rFonts w:hint="eastAsia"/>
          <w:snapToGrid/>
        </w:rPr>
        <w:t>至</w:t>
      </w:r>
      <w:r>
        <w:rPr>
          <w:rFonts w:hint="eastAsia"/>
          <w:snapToGrid/>
        </w:rPr>
        <w:t>15</w:t>
      </w:r>
      <w:r>
        <w:rPr>
          <w:rFonts w:hint="eastAsia"/>
          <w:snapToGrid/>
        </w:rPr>
        <w:t>岁的儿童</w:t>
      </w:r>
      <w:r>
        <w:rPr>
          <w:rFonts w:hint="eastAsia"/>
          <w:snapToGrid/>
          <w:spacing w:val="-50"/>
        </w:rPr>
        <w:t>―</w:t>
      </w:r>
      <w:r>
        <w:rPr>
          <w:rFonts w:hint="eastAsia"/>
          <w:snapToGrid/>
        </w:rPr>
        <w:t>―初等教育和中等教育都是义务和免费的。</w:t>
      </w:r>
    </w:p>
    <w:p w:rsidR="00000000" w:rsidRDefault="00000000">
      <w:pPr>
        <w:rPr>
          <w:rFonts w:hint="eastAsia"/>
          <w:snapToGrid/>
        </w:rPr>
      </w:pPr>
      <w:r>
        <w:rPr>
          <w:snapToGrid/>
        </w:rPr>
        <w:tab/>
      </w:r>
      <w:r>
        <w:rPr>
          <w:rFonts w:hint="eastAsia"/>
          <w:snapToGrid/>
        </w:rPr>
        <w:t>587.</w:t>
      </w:r>
      <w:r>
        <w:rPr>
          <w:snapToGrid/>
        </w:rPr>
        <w:t xml:space="preserve">  </w:t>
      </w:r>
      <w:r>
        <w:rPr>
          <w:rFonts w:hint="eastAsia"/>
          <w:snapToGrid/>
        </w:rPr>
        <w:t>初等教育的活动包括培养和教育身心发育正常的学生和身</w:t>
      </w:r>
      <w:r>
        <w:rPr>
          <w:rFonts w:hint="eastAsia"/>
          <w:snapToGrid/>
        </w:rPr>
        <w:t>/</w:t>
      </w:r>
      <w:r>
        <w:rPr>
          <w:rFonts w:hint="eastAsia"/>
          <w:snapToGrid/>
        </w:rPr>
        <w:t>心发育滞后的学生、初等音乐教育、有特殊天赋学生的额外教育和成人的初等教育</w:t>
      </w:r>
      <w:r>
        <w:rPr>
          <w:rFonts w:hint="eastAsia"/>
          <w:snapToGrid/>
        </w:rPr>
        <w:t>(</w:t>
      </w:r>
      <w:r>
        <w:rPr>
          <w:rFonts w:hint="eastAsia"/>
          <w:snapToGrid/>
        </w:rPr>
        <w:t>这也是回答第四个问题</w:t>
      </w:r>
      <w:r>
        <w:rPr>
          <w:rFonts w:hint="eastAsia"/>
          <w:snapToGrid/>
        </w:rPr>
        <w:t>)</w:t>
      </w:r>
      <w:r>
        <w:rPr>
          <w:rFonts w:hint="eastAsia"/>
          <w:snapToGrid/>
        </w:rPr>
        <w:t>。初等教育可以是全日制学校、平行学校或针对发育受阻的儿童的学校。对有发育困难的儿童的初等教育和有特殊天赋学生的额外教育可以专门在区里的学校里组成特殊班级，采用经特别调整的课程。课程制订基于现代科学和实践的原则，考虑到民主的多民族社会，借鉴世界各地高度发达和现代的教育体系的经验。</w:t>
      </w:r>
    </w:p>
    <w:p w:rsidR="00000000" w:rsidRDefault="00000000">
      <w:pPr>
        <w:rPr>
          <w:rFonts w:hint="eastAsia"/>
          <w:snapToGrid/>
        </w:rPr>
      </w:pPr>
      <w:r>
        <w:rPr>
          <w:snapToGrid/>
        </w:rPr>
        <w:tab/>
      </w:r>
      <w:r>
        <w:rPr>
          <w:rFonts w:hint="eastAsia"/>
          <w:snapToGrid/>
        </w:rPr>
        <w:t>588.</w:t>
      </w:r>
      <w:r>
        <w:rPr>
          <w:snapToGrid/>
        </w:rPr>
        <w:t xml:space="preserve">  </w:t>
      </w:r>
      <w:r>
        <w:rPr>
          <w:rFonts w:hint="eastAsia"/>
          <w:snapToGrid/>
        </w:rPr>
        <w:t>对罗姆族儿童给予特殊照顾，他们小学一年级每年免费获得足够数量的全套教科书和材料。具体而言，在</w:t>
      </w:r>
      <w:r>
        <w:rPr>
          <w:rFonts w:hint="eastAsia"/>
          <w:snapToGrid/>
        </w:rPr>
        <w:t>2003/04</w:t>
      </w:r>
      <w:r>
        <w:rPr>
          <w:rFonts w:hint="eastAsia"/>
          <w:snapToGrid/>
        </w:rPr>
        <w:t>学年，为</w:t>
      </w:r>
      <w:r>
        <w:rPr>
          <w:rFonts w:hint="eastAsia"/>
          <w:snapToGrid/>
        </w:rPr>
        <w:t>30</w:t>
      </w:r>
      <w:r>
        <w:rPr>
          <w:rFonts w:hint="eastAsia"/>
          <w:snapToGrid/>
        </w:rPr>
        <w:t>名罗姆族儿童开办了为期六周的预备班课程，所有学生都拿到了开学用的全套教科书。</w:t>
      </w:r>
    </w:p>
    <w:p w:rsidR="00000000" w:rsidRDefault="00000000">
      <w:pPr>
        <w:spacing w:after="320"/>
        <w:rPr>
          <w:rFonts w:hint="eastAsia"/>
          <w:snapToGrid/>
        </w:rPr>
      </w:pPr>
      <w:r>
        <w:rPr>
          <w:snapToGrid/>
        </w:rPr>
        <w:tab/>
      </w:r>
      <w:r>
        <w:rPr>
          <w:rFonts w:hint="eastAsia"/>
          <w:snapToGrid/>
        </w:rPr>
        <w:t>589.</w:t>
      </w:r>
      <w:r>
        <w:rPr>
          <w:snapToGrid/>
        </w:rPr>
        <w:t xml:space="preserve">  </w:t>
      </w:r>
      <w:r>
        <w:rPr>
          <w:rFonts w:hint="eastAsia"/>
          <w:snapToGrid/>
        </w:rPr>
        <w:t>布尔奇科区的中学分为：文法学校、中等技术和相关学校、中等职业学校，而且也可以成立中等宗教学校、混合中等学校、艺术学校和针对发育迟缓儿童的中学。</w:t>
      </w:r>
    </w:p>
    <w:p w:rsidR="00000000" w:rsidRDefault="00000000">
      <w:pPr>
        <w:pStyle w:val="Heading4"/>
        <w:rPr>
          <w:rFonts w:hint="eastAsia"/>
        </w:rPr>
      </w:pPr>
      <w:r>
        <w:rPr>
          <w:rFonts w:hint="eastAsia"/>
        </w:rPr>
        <w:t>波斯尼亚和黑塞哥维纳的中小学校统计数据</w:t>
      </w:r>
    </w:p>
    <w:p w:rsidR="00000000" w:rsidRDefault="00000000">
      <w:pPr>
        <w:spacing w:after="320"/>
        <w:rPr>
          <w:rFonts w:hint="eastAsia"/>
          <w:snapToGrid/>
        </w:rPr>
      </w:pPr>
      <w:r>
        <w:rPr>
          <w:snapToGrid/>
        </w:rPr>
        <w:tab/>
        <w:t xml:space="preserve">590.  </w:t>
      </w:r>
      <w:r>
        <w:rPr>
          <w:rFonts w:hint="eastAsia"/>
          <w:snapToGrid/>
        </w:rPr>
        <w:t>下表显示了</w:t>
      </w:r>
      <w:r>
        <w:rPr>
          <w:rFonts w:hint="eastAsia"/>
          <w:snapToGrid/>
        </w:rPr>
        <w:t>2002/03</w:t>
      </w:r>
      <w:r>
        <w:rPr>
          <w:rFonts w:hint="eastAsia"/>
          <w:snapToGrid/>
        </w:rPr>
        <w:t>学年初全日制小学的学校、学生和教师人数。</w:t>
      </w:r>
    </w:p>
    <w:p w:rsidR="00000000" w:rsidRDefault="00000000">
      <w:pPr>
        <w:pStyle w:val="Heading3"/>
        <w:spacing w:after="120"/>
        <w:rPr>
          <w:rFonts w:hint="eastAsia"/>
          <w:u w:val="none"/>
        </w:rPr>
      </w:pPr>
      <w:r>
        <w:rPr>
          <w:rFonts w:hint="eastAsia"/>
          <w:u w:val="none"/>
        </w:rPr>
        <w:t>表</w:t>
      </w:r>
      <w:r>
        <w:rPr>
          <w:u w:val="none"/>
        </w:rPr>
        <w:t xml:space="preserve">  </w:t>
      </w:r>
      <w:r>
        <w:rPr>
          <w:rFonts w:hint="eastAsia"/>
          <w:u w:val="none"/>
        </w:rPr>
        <w:t>26</w:t>
      </w:r>
    </w:p>
    <w:p w:rsidR="00000000" w:rsidRDefault="00000000">
      <w:pPr>
        <w:pStyle w:val="Heading3"/>
        <w:rPr>
          <w:rFonts w:hint="eastAsia"/>
        </w:rPr>
      </w:pPr>
      <w:r>
        <w:rPr>
          <w:rFonts w:hint="eastAsia"/>
        </w:rPr>
        <w:t>全日制小学学生</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190"/>
        <w:gridCol w:w="1190"/>
        <w:gridCol w:w="1190"/>
        <w:gridCol w:w="1830"/>
      </w:tblGrid>
      <w:tr w:rsidR="00000000">
        <w:tblPrEx>
          <w:tblCellMar>
            <w:top w:w="0" w:type="dxa"/>
            <w:bottom w:w="0" w:type="dxa"/>
          </w:tblCellMar>
        </w:tblPrEx>
        <w:tc>
          <w:tcPr>
            <w:tcW w:w="2835" w:type="dxa"/>
            <w:tcBorders>
              <w:bottom w:val="single" w:sz="4" w:space="0" w:color="auto"/>
            </w:tcBorders>
          </w:tcPr>
          <w:p w:rsidR="00000000" w:rsidRDefault="00000000">
            <w:pPr>
              <w:pStyle w:val="a2"/>
              <w:spacing w:before="100" w:beforeAutospacing="1" w:after="100" w:afterAutospacing="1"/>
              <w:jc w:val="center"/>
              <w:rPr>
                <w:rFonts w:hint="eastAsia"/>
                <w:snapToGrid/>
              </w:rPr>
            </w:pPr>
            <w:r>
              <w:rPr>
                <w:rFonts w:hint="eastAsia"/>
                <w:snapToGrid/>
              </w:rPr>
              <w:t>政治单位</w:t>
            </w:r>
          </w:p>
        </w:tc>
        <w:tc>
          <w:tcPr>
            <w:tcW w:w="1190" w:type="dxa"/>
            <w:tcBorders>
              <w:bottom w:val="single" w:sz="4" w:space="0" w:color="auto"/>
            </w:tcBorders>
          </w:tcPr>
          <w:p w:rsidR="00000000" w:rsidRDefault="00000000">
            <w:pPr>
              <w:pStyle w:val="a2"/>
              <w:spacing w:before="100" w:beforeAutospacing="1" w:after="100" w:afterAutospacing="1"/>
              <w:jc w:val="center"/>
              <w:rPr>
                <w:rFonts w:hint="eastAsia"/>
                <w:snapToGrid/>
              </w:rPr>
            </w:pPr>
            <w:r>
              <w:rPr>
                <w:rFonts w:hint="eastAsia"/>
                <w:snapToGrid/>
              </w:rPr>
              <w:t>学校数量</w:t>
            </w:r>
          </w:p>
        </w:tc>
        <w:tc>
          <w:tcPr>
            <w:tcW w:w="1190" w:type="dxa"/>
            <w:tcBorders>
              <w:bottom w:val="single" w:sz="4" w:space="0" w:color="auto"/>
            </w:tcBorders>
          </w:tcPr>
          <w:p w:rsidR="00000000" w:rsidRDefault="00000000">
            <w:pPr>
              <w:pStyle w:val="a2"/>
              <w:spacing w:before="100" w:beforeAutospacing="1" w:after="100" w:afterAutospacing="1"/>
              <w:jc w:val="center"/>
              <w:rPr>
                <w:rFonts w:hint="eastAsia"/>
                <w:snapToGrid/>
              </w:rPr>
            </w:pPr>
            <w:r>
              <w:rPr>
                <w:rFonts w:hint="eastAsia"/>
                <w:snapToGrid/>
              </w:rPr>
              <w:t>学生</w:t>
            </w:r>
          </w:p>
        </w:tc>
        <w:tc>
          <w:tcPr>
            <w:tcW w:w="1190" w:type="dxa"/>
            <w:tcBorders>
              <w:bottom w:val="single" w:sz="4" w:space="0" w:color="auto"/>
            </w:tcBorders>
          </w:tcPr>
          <w:p w:rsidR="00000000" w:rsidRDefault="00000000">
            <w:pPr>
              <w:pStyle w:val="a2"/>
              <w:spacing w:before="100" w:beforeAutospacing="1" w:after="100" w:afterAutospacing="1"/>
              <w:jc w:val="center"/>
              <w:rPr>
                <w:rFonts w:hint="eastAsia"/>
                <w:snapToGrid/>
              </w:rPr>
            </w:pPr>
            <w:r>
              <w:rPr>
                <w:rFonts w:hint="eastAsia"/>
                <w:snapToGrid/>
              </w:rPr>
              <w:t>教师</w:t>
            </w:r>
          </w:p>
        </w:tc>
        <w:tc>
          <w:tcPr>
            <w:tcW w:w="1830" w:type="dxa"/>
            <w:tcBorders>
              <w:bottom w:val="single" w:sz="4" w:space="0" w:color="auto"/>
            </w:tcBorders>
          </w:tcPr>
          <w:p w:rsidR="00000000" w:rsidRDefault="00000000">
            <w:pPr>
              <w:pStyle w:val="a2"/>
              <w:spacing w:before="100" w:beforeAutospacing="1" w:after="100" w:afterAutospacing="1"/>
              <w:jc w:val="center"/>
              <w:rPr>
                <w:rFonts w:hint="eastAsia"/>
                <w:snapToGrid/>
              </w:rPr>
            </w:pPr>
            <w:r>
              <w:rPr>
                <w:rFonts w:hint="eastAsia"/>
                <w:snapToGrid/>
              </w:rPr>
              <w:t>学生－教师</w:t>
            </w:r>
          </w:p>
        </w:tc>
      </w:tr>
      <w:tr w:rsidR="00000000">
        <w:tblPrEx>
          <w:tblCellMar>
            <w:top w:w="0" w:type="dxa"/>
            <w:bottom w:w="0" w:type="dxa"/>
          </w:tblCellMar>
        </w:tblPrEx>
        <w:tc>
          <w:tcPr>
            <w:tcW w:w="2835" w:type="dxa"/>
            <w:tcBorders>
              <w:bottom w:val="nil"/>
            </w:tcBorders>
            <w:vAlign w:val="bottom"/>
          </w:tcPr>
          <w:p w:rsidR="00000000" w:rsidRDefault="00000000">
            <w:pPr>
              <w:pStyle w:val="a2"/>
              <w:rPr>
                <w:rFonts w:hint="eastAsia"/>
                <w:snapToGrid/>
              </w:rPr>
            </w:pPr>
            <w:r>
              <w:rPr>
                <w:rFonts w:hint="eastAsia"/>
                <w:snapToGrid/>
              </w:rPr>
              <w:t>塞尔维亚共和国</w:t>
            </w:r>
          </w:p>
        </w:tc>
        <w:tc>
          <w:tcPr>
            <w:tcW w:w="1190" w:type="dxa"/>
            <w:tcBorders>
              <w:bottom w:val="nil"/>
            </w:tcBorders>
            <w:vAlign w:val="bottom"/>
          </w:tcPr>
          <w:p w:rsidR="00000000" w:rsidRDefault="00000000">
            <w:pPr>
              <w:pStyle w:val="a2"/>
              <w:ind w:right="170"/>
              <w:jc w:val="right"/>
              <w:rPr>
                <w:snapToGrid/>
              </w:rPr>
            </w:pPr>
            <w:r>
              <w:rPr>
                <w:snapToGrid/>
              </w:rPr>
              <w:t>783</w:t>
            </w:r>
          </w:p>
        </w:tc>
        <w:tc>
          <w:tcPr>
            <w:tcW w:w="1190" w:type="dxa"/>
            <w:tcBorders>
              <w:bottom w:val="nil"/>
            </w:tcBorders>
            <w:vAlign w:val="bottom"/>
          </w:tcPr>
          <w:p w:rsidR="00000000" w:rsidRDefault="00000000">
            <w:pPr>
              <w:pStyle w:val="a2"/>
              <w:ind w:right="170"/>
              <w:jc w:val="right"/>
              <w:rPr>
                <w:snapToGrid/>
              </w:rPr>
            </w:pPr>
            <w:r>
              <w:rPr>
                <w:snapToGrid/>
              </w:rPr>
              <w:t>114,603</w:t>
            </w:r>
          </w:p>
        </w:tc>
        <w:tc>
          <w:tcPr>
            <w:tcW w:w="1190" w:type="dxa"/>
            <w:tcBorders>
              <w:bottom w:val="nil"/>
            </w:tcBorders>
            <w:vAlign w:val="bottom"/>
          </w:tcPr>
          <w:p w:rsidR="00000000" w:rsidRDefault="00000000">
            <w:pPr>
              <w:pStyle w:val="a2"/>
              <w:ind w:right="170"/>
              <w:jc w:val="right"/>
              <w:rPr>
                <w:snapToGrid/>
              </w:rPr>
            </w:pPr>
            <w:r>
              <w:rPr>
                <w:snapToGrid/>
              </w:rPr>
              <w:t>6,977</w:t>
            </w:r>
          </w:p>
        </w:tc>
        <w:tc>
          <w:tcPr>
            <w:tcW w:w="1830" w:type="dxa"/>
            <w:tcBorders>
              <w:bottom w:val="nil"/>
            </w:tcBorders>
            <w:vAlign w:val="bottom"/>
          </w:tcPr>
          <w:p w:rsidR="00000000" w:rsidRDefault="00000000">
            <w:pPr>
              <w:pStyle w:val="a2"/>
              <w:ind w:right="170"/>
              <w:jc w:val="center"/>
              <w:rPr>
                <w:snapToGrid/>
              </w:rPr>
            </w:pPr>
            <w:r>
              <w:rPr>
                <w:snapToGrid/>
              </w:rPr>
              <w:t>16</w:t>
            </w:r>
          </w:p>
        </w:tc>
      </w:tr>
      <w:tr w:rsidR="00000000">
        <w:tblPrEx>
          <w:tblCellMar>
            <w:top w:w="0" w:type="dxa"/>
            <w:bottom w:w="0" w:type="dxa"/>
          </w:tblCellMar>
        </w:tblPrEx>
        <w:tc>
          <w:tcPr>
            <w:tcW w:w="2835" w:type="dxa"/>
            <w:tcBorders>
              <w:top w:val="nil"/>
              <w:bottom w:val="nil"/>
            </w:tcBorders>
            <w:vAlign w:val="bottom"/>
          </w:tcPr>
          <w:p w:rsidR="00000000" w:rsidRDefault="00000000">
            <w:pPr>
              <w:pStyle w:val="a2"/>
              <w:rPr>
                <w:snapToGrid/>
              </w:rPr>
            </w:pPr>
            <w:r>
              <w:rPr>
                <w:rFonts w:hint="eastAsia"/>
                <w:snapToGrid/>
              </w:rPr>
              <w:t>波斯尼亚和黑塞哥维纳联邦</w:t>
            </w:r>
          </w:p>
        </w:tc>
        <w:tc>
          <w:tcPr>
            <w:tcW w:w="1190" w:type="dxa"/>
            <w:tcBorders>
              <w:top w:val="nil"/>
              <w:bottom w:val="nil"/>
            </w:tcBorders>
            <w:vAlign w:val="bottom"/>
          </w:tcPr>
          <w:p w:rsidR="00000000" w:rsidRDefault="00000000">
            <w:pPr>
              <w:pStyle w:val="a2"/>
              <w:ind w:right="170"/>
              <w:jc w:val="right"/>
              <w:rPr>
                <w:snapToGrid/>
              </w:rPr>
            </w:pPr>
            <w:r>
              <w:rPr>
                <w:snapToGrid/>
              </w:rPr>
              <w:t>1,066</w:t>
            </w:r>
          </w:p>
        </w:tc>
        <w:tc>
          <w:tcPr>
            <w:tcW w:w="1190" w:type="dxa"/>
            <w:tcBorders>
              <w:top w:val="nil"/>
              <w:bottom w:val="nil"/>
            </w:tcBorders>
            <w:vAlign w:val="bottom"/>
          </w:tcPr>
          <w:p w:rsidR="00000000" w:rsidRDefault="00000000">
            <w:pPr>
              <w:pStyle w:val="a2"/>
              <w:ind w:right="170"/>
              <w:jc w:val="right"/>
              <w:rPr>
                <w:snapToGrid/>
              </w:rPr>
            </w:pPr>
            <w:r>
              <w:rPr>
                <w:snapToGrid/>
              </w:rPr>
              <w:t>243,204</w:t>
            </w:r>
          </w:p>
        </w:tc>
        <w:tc>
          <w:tcPr>
            <w:tcW w:w="1190" w:type="dxa"/>
            <w:tcBorders>
              <w:top w:val="nil"/>
              <w:bottom w:val="nil"/>
            </w:tcBorders>
            <w:vAlign w:val="bottom"/>
          </w:tcPr>
          <w:p w:rsidR="00000000" w:rsidRDefault="00000000">
            <w:pPr>
              <w:pStyle w:val="a2"/>
              <w:ind w:right="170"/>
              <w:jc w:val="right"/>
              <w:rPr>
                <w:snapToGrid/>
              </w:rPr>
            </w:pPr>
            <w:r>
              <w:rPr>
                <w:snapToGrid/>
              </w:rPr>
              <w:t>13,515</w:t>
            </w:r>
          </w:p>
        </w:tc>
        <w:tc>
          <w:tcPr>
            <w:tcW w:w="1830" w:type="dxa"/>
            <w:tcBorders>
              <w:top w:val="nil"/>
              <w:bottom w:val="nil"/>
            </w:tcBorders>
            <w:vAlign w:val="bottom"/>
          </w:tcPr>
          <w:p w:rsidR="00000000" w:rsidRDefault="00000000">
            <w:pPr>
              <w:pStyle w:val="a2"/>
              <w:ind w:right="170"/>
              <w:jc w:val="center"/>
              <w:rPr>
                <w:snapToGrid/>
              </w:rPr>
            </w:pPr>
            <w:r>
              <w:rPr>
                <w:snapToGrid/>
              </w:rPr>
              <w:t>18</w:t>
            </w:r>
          </w:p>
        </w:tc>
      </w:tr>
      <w:tr w:rsidR="00000000">
        <w:tblPrEx>
          <w:tblCellMar>
            <w:top w:w="0" w:type="dxa"/>
            <w:bottom w:w="0" w:type="dxa"/>
          </w:tblCellMar>
        </w:tblPrEx>
        <w:tc>
          <w:tcPr>
            <w:tcW w:w="2835" w:type="dxa"/>
            <w:tcBorders>
              <w:top w:val="nil"/>
              <w:bottom w:val="single" w:sz="4" w:space="0" w:color="auto"/>
            </w:tcBorders>
            <w:vAlign w:val="bottom"/>
          </w:tcPr>
          <w:p w:rsidR="00000000" w:rsidRDefault="00000000">
            <w:pPr>
              <w:pStyle w:val="a2"/>
              <w:rPr>
                <w:rFonts w:hint="eastAsia"/>
                <w:snapToGrid/>
              </w:rPr>
            </w:pPr>
            <w:r>
              <w:rPr>
                <w:rFonts w:hint="eastAsia"/>
                <w:snapToGrid/>
              </w:rPr>
              <w:t>布尔奇科区</w:t>
            </w:r>
          </w:p>
        </w:tc>
        <w:tc>
          <w:tcPr>
            <w:tcW w:w="1190" w:type="dxa"/>
            <w:tcBorders>
              <w:top w:val="nil"/>
              <w:bottom w:val="single" w:sz="4" w:space="0" w:color="auto"/>
            </w:tcBorders>
            <w:vAlign w:val="bottom"/>
          </w:tcPr>
          <w:p w:rsidR="00000000" w:rsidRDefault="00000000">
            <w:pPr>
              <w:pStyle w:val="a2"/>
              <w:ind w:right="170"/>
              <w:jc w:val="right"/>
              <w:rPr>
                <w:snapToGrid/>
              </w:rPr>
            </w:pPr>
            <w:r>
              <w:rPr>
                <w:snapToGrid/>
              </w:rPr>
              <w:t>15</w:t>
            </w:r>
          </w:p>
        </w:tc>
        <w:tc>
          <w:tcPr>
            <w:tcW w:w="1190" w:type="dxa"/>
            <w:tcBorders>
              <w:top w:val="nil"/>
              <w:bottom w:val="single" w:sz="4" w:space="0" w:color="auto"/>
            </w:tcBorders>
            <w:vAlign w:val="bottom"/>
          </w:tcPr>
          <w:p w:rsidR="00000000" w:rsidRDefault="00000000">
            <w:pPr>
              <w:pStyle w:val="a2"/>
              <w:ind w:right="170"/>
              <w:jc w:val="right"/>
              <w:rPr>
                <w:snapToGrid/>
              </w:rPr>
            </w:pPr>
            <w:r>
              <w:rPr>
                <w:snapToGrid/>
              </w:rPr>
              <w:t>7.107</w:t>
            </w:r>
          </w:p>
        </w:tc>
        <w:tc>
          <w:tcPr>
            <w:tcW w:w="1190" w:type="dxa"/>
            <w:tcBorders>
              <w:top w:val="nil"/>
              <w:bottom w:val="single" w:sz="4" w:space="0" w:color="auto"/>
            </w:tcBorders>
            <w:vAlign w:val="bottom"/>
          </w:tcPr>
          <w:p w:rsidR="00000000" w:rsidRDefault="00000000">
            <w:pPr>
              <w:pStyle w:val="a2"/>
              <w:ind w:right="170"/>
              <w:jc w:val="right"/>
              <w:rPr>
                <w:snapToGrid/>
              </w:rPr>
            </w:pPr>
            <w:r>
              <w:rPr>
                <w:snapToGrid/>
              </w:rPr>
              <w:t>382</w:t>
            </w:r>
          </w:p>
        </w:tc>
        <w:tc>
          <w:tcPr>
            <w:tcW w:w="1830" w:type="dxa"/>
            <w:tcBorders>
              <w:top w:val="nil"/>
              <w:bottom w:val="single" w:sz="4" w:space="0" w:color="auto"/>
            </w:tcBorders>
            <w:vAlign w:val="bottom"/>
          </w:tcPr>
          <w:p w:rsidR="00000000" w:rsidRDefault="00000000">
            <w:pPr>
              <w:pStyle w:val="a2"/>
              <w:ind w:right="170"/>
              <w:jc w:val="center"/>
              <w:rPr>
                <w:snapToGrid/>
              </w:rPr>
            </w:pPr>
            <w:r>
              <w:rPr>
                <w:snapToGrid/>
              </w:rPr>
              <w:t>19</w:t>
            </w:r>
          </w:p>
        </w:tc>
      </w:tr>
      <w:tr w:rsidR="00000000">
        <w:tblPrEx>
          <w:tblCellMar>
            <w:top w:w="0" w:type="dxa"/>
            <w:bottom w:w="0" w:type="dxa"/>
          </w:tblCellMar>
        </w:tblPrEx>
        <w:tc>
          <w:tcPr>
            <w:tcW w:w="2835" w:type="dxa"/>
            <w:tcBorders>
              <w:top w:val="single" w:sz="4" w:space="0" w:color="auto"/>
            </w:tcBorders>
            <w:vAlign w:val="bottom"/>
          </w:tcPr>
          <w:p w:rsidR="00000000" w:rsidRDefault="00000000">
            <w:pPr>
              <w:pStyle w:val="a2"/>
              <w:spacing w:before="100" w:beforeAutospacing="1" w:after="100" w:afterAutospacing="1"/>
              <w:rPr>
                <w:snapToGrid/>
              </w:rPr>
            </w:pPr>
            <w:r>
              <w:rPr>
                <w:rFonts w:hint="eastAsia"/>
                <w:snapToGrid/>
              </w:rPr>
              <w:t>波斯尼亚和黑塞哥维纳</w:t>
            </w:r>
          </w:p>
        </w:tc>
        <w:tc>
          <w:tcPr>
            <w:tcW w:w="1190" w:type="dxa"/>
            <w:tcBorders>
              <w:top w:val="single" w:sz="4" w:space="0" w:color="auto"/>
            </w:tcBorders>
            <w:vAlign w:val="bottom"/>
          </w:tcPr>
          <w:p w:rsidR="00000000" w:rsidRDefault="00000000">
            <w:pPr>
              <w:pStyle w:val="a2"/>
              <w:spacing w:before="100" w:beforeAutospacing="1" w:after="100" w:afterAutospacing="1"/>
              <w:ind w:right="170"/>
              <w:jc w:val="right"/>
              <w:rPr>
                <w:snapToGrid/>
              </w:rPr>
            </w:pPr>
            <w:r>
              <w:rPr>
                <w:snapToGrid/>
              </w:rPr>
              <w:t>1,864</w:t>
            </w:r>
          </w:p>
        </w:tc>
        <w:tc>
          <w:tcPr>
            <w:tcW w:w="1190" w:type="dxa"/>
            <w:tcBorders>
              <w:top w:val="single" w:sz="4" w:space="0" w:color="auto"/>
            </w:tcBorders>
            <w:vAlign w:val="bottom"/>
          </w:tcPr>
          <w:p w:rsidR="00000000" w:rsidRDefault="00000000">
            <w:pPr>
              <w:pStyle w:val="a2"/>
              <w:spacing w:before="100" w:beforeAutospacing="1" w:after="100" w:afterAutospacing="1"/>
              <w:ind w:right="170"/>
              <w:jc w:val="right"/>
              <w:rPr>
                <w:snapToGrid/>
              </w:rPr>
            </w:pPr>
            <w:r>
              <w:rPr>
                <w:snapToGrid/>
              </w:rPr>
              <w:t>364,914</w:t>
            </w:r>
          </w:p>
        </w:tc>
        <w:tc>
          <w:tcPr>
            <w:tcW w:w="1190" w:type="dxa"/>
            <w:tcBorders>
              <w:top w:val="single" w:sz="4" w:space="0" w:color="auto"/>
            </w:tcBorders>
            <w:vAlign w:val="bottom"/>
          </w:tcPr>
          <w:p w:rsidR="00000000" w:rsidRDefault="00000000">
            <w:pPr>
              <w:pStyle w:val="a2"/>
              <w:spacing w:before="100" w:beforeAutospacing="1" w:after="100" w:afterAutospacing="1"/>
              <w:ind w:right="170"/>
              <w:jc w:val="right"/>
              <w:rPr>
                <w:snapToGrid/>
              </w:rPr>
            </w:pPr>
            <w:r>
              <w:rPr>
                <w:snapToGrid/>
              </w:rPr>
              <w:t>20,874</w:t>
            </w:r>
          </w:p>
        </w:tc>
        <w:tc>
          <w:tcPr>
            <w:tcW w:w="1830" w:type="dxa"/>
            <w:tcBorders>
              <w:top w:val="single" w:sz="4" w:space="0" w:color="auto"/>
            </w:tcBorders>
            <w:vAlign w:val="bottom"/>
          </w:tcPr>
          <w:p w:rsidR="00000000" w:rsidRDefault="00000000">
            <w:pPr>
              <w:pStyle w:val="a2"/>
              <w:spacing w:before="100" w:beforeAutospacing="1" w:after="100" w:afterAutospacing="1"/>
              <w:ind w:right="170"/>
              <w:jc w:val="center"/>
              <w:rPr>
                <w:snapToGrid/>
              </w:rPr>
            </w:pPr>
            <w:r>
              <w:rPr>
                <w:snapToGrid/>
              </w:rPr>
              <w:t>17</w:t>
            </w:r>
          </w:p>
        </w:tc>
      </w:tr>
    </w:tbl>
    <w:p w:rsidR="00000000" w:rsidRDefault="00000000">
      <w:pPr>
        <w:pStyle w:val="Heading4"/>
        <w:spacing w:before="320"/>
        <w:rPr>
          <w:rFonts w:hint="eastAsia"/>
        </w:rPr>
      </w:pPr>
      <w:r>
        <w:rPr>
          <w:rFonts w:hint="eastAsia"/>
        </w:rPr>
        <w:t>中</w:t>
      </w:r>
      <w:r>
        <w:t xml:space="preserve">  </w:t>
      </w:r>
      <w:r>
        <w:rPr>
          <w:rFonts w:hint="eastAsia"/>
        </w:rPr>
        <w:t>学</w:t>
      </w:r>
    </w:p>
    <w:p w:rsidR="00000000" w:rsidRDefault="00000000">
      <w:pPr>
        <w:spacing w:after="320"/>
        <w:rPr>
          <w:rFonts w:hint="eastAsia"/>
          <w:snapToGrid/>
        </w:rPr>
      </w:pPr>
      <w:r>
        <w:rPr>
          <w:snapToGrid/>
        </w:rPr>
        <w:tab/>
      </w:r>
      <w:r>
        <w:rPr>
          <w:rFonts w:hint="eastAsia"/>
          <w:snapToGrid/>
        </w:rPr>
        <w:t>591.</w:t>
      </w:r>
      <w:r>
        <w:rPr>
          <w:snapToGrid/>
        </w:rPr>
        <w:t xml:space="preserve">  </w:t>
      </w:r>
      <w:r>
        <w:rPr>
          <w:rFonts w:hint="eastAsia"/>
          <w:snapToGrid/>
        </w:rPr>
        <w:t>波斯尼亚和黑塞哥维纳联邦的中学：</w:t>
      </w:r>
      <w:r>
        <w:rPr>
          <w:rFonts w:hint="eastAsia"/>
          <w:snapToGrid/>
        </w:rPr>
        <w:t>2002/03</w:t>
      </w:r>
      <w:r>
        <w:rPr>
          <w:rFonts w:hint="eastAsia"/>
          <w:snapToGrid/>
        </w:rPr>
        <w:t>学年初中学总招生人数为</w:t>
      </w:r>
      <w:r>
        <w:rPr>
          <w:rFonts w:hint="eastAsia"/>
          <w:snapToGrid/>
        </w:rPr>
        <w:t>115,917</w:t>
      </w:r>
      <w:r>
        <w:rPr>
          <w:rFonts w:hint="eastAsia"/>
          <w:snapToGrid/>
        </w:rPr>
        <w:t>。其中，中等技术和相关学校招生</w:t>
      </w:r>
      <w:r>
        <w:rPr>
          <w:rFonts w:hint="eastAsia"/>
          <w:snapToGrid/>
        </w:rPr>
        <w:t>45,478</w:t>
      </w:r>
      <w:r>
        <w:rPr>
          <w:rFonts w:hint="eastAsia"/>
          <w:snapToGrid/>
        </w:rPr>
        <w:t>人，职业学校招生</w:t>
      </w:r>
      <w:r>
        <w:rPr>
          <w:rFonts w:hint="eastAsia"/>
          <w:snapToGrid/>
        </w:rPr>
        <w:t>38,992</w:t>
      </w:r>
      <w:r>
        <w:rPr>
          <w:rFonts w:hint="eastAsia"/>
          <w:snapToGrid/>
        </w:rPr>
        <w:t>人，文法学校招生</w:t>
      </w:r>
      <w:r>
        <w:rPr>
          <w:rFonts w:hint="eastAsia"/>
          <w:snapToGrid/>
        </w:rPr>
        <w:t>27,496</w:t>
      </w:r>
      <w:r>
        <w:rPr>
          <w:rFonts w:hint="eastAsia"/>
          <w:snapToGrid/>
        </w:rPr>
        <w:t>人，宗教学校招生</w:t>
      </w:r>
      <w:r>
        <w:rPr>
          <w:rFonts w:hint="eastAsia"/>
          <w:snapToGrid/>
        </w:rPr>
        <w:t>1,437</w:t>
      </w:r>
      <w:r>
        <w:rPr>
          <w:rFonts w:hint="eastAsia"/>
          <w:snapToGrid/>
        </w:rPr>
        <w:t>人，师范学校招生</w:t>
      </w:r>
      <w:r>
        <w:rPr>
          <w:rFonts w:hint="eastAsia"/>
          <w:snapToGrid/>
        </w:rPr>
        <w:t>1,178</w:t>
      </w:r>
      <w:r>
        <w:rPr>
          <w:rFonts w:hint="eastAsia"/>
          <w:snapToGrid/>
        </w:rPr>
        <w:t>人，艺术学校招生</w:t>
      </w:r>
      <w:r>
        <w:rPr>
          <w:rFonts w:hint="eastAsia"/>
          <w:snapToGrid/>
        </w:rPr>
        <w:t>1,051</w:t>
      </w:r>
      <w:r>
        <w:rPr>
          <w:rFonts w:hint="eastAsia"/>
          <w:snapToGrid/>
        </w:rPr>
        <w:t>人，针对由特殊需要儿童的学校招生</w:t>
      </w:r>
      <w:r>
        <w:rPr>
          <w:rFonts w:hint="eastAsia"/>
          <w:snapToGrid/>
        </w:rPr>
        <w:t>285</w:t>
      </w:r>
      <w:r>
        <w:rPr>
          <w:rFonts w:hint="eastAsia"/>
          <w:snapToGrid/>
        </w:rPr>
        <w:t>人。</w:t>
      </w:r>
    </w:p>
    <w:p w:rsidR="00000000" w:rsidRDefault="00000000">
      <w:pPr>
        <w:pStyle w:val="Heading3"/>
        <w:rPr>
          <w:rFonts w:hint="eastAsia"/>
          <w:u w:val="none"/>
        </w:rPr>
      </w:pPr>
      <w:r>
        <w:rPr>
          <w:rFonts w:hint="eastAsia"/>
          <w:u w:val="none"/>
        </w:rPr>
        <w:t>图</w:t>
      </w:r>
      <w:r>
        <w:rPr>
          <w:rFonts w:hint="eastAsia"/>
          <w:u w:val="none"/>
        </w:rPr>
        <w:t xml:space="preserve">  1</w:t>
      </w:r>
    </w:p>
    <w:bookmarkStart w:id="0" w:name="_MON_1137358364"/>
    <w:bookmarkEnd w:id="0"/>
    <w:p w:rsidR="00000000" w:rsidRDefault="00000000">
      <w:pPr>
        <w:rPr>
          <w:snapToGrid/>
        </w:rPr>
      </w:pPr>
      <w:r>
        <w:rPr>
          <w:snapToGrid/>
        </w:rPr>
        <w:object w:dxaOrig="9405"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17.5pt" o:ole="">
            <v:imagedata r:id="rId7" o:title=""/>
          </v:shape>
          <o:OLEObject Type="Embed" ProgID="Excel.Chart.8" ShapeID="_x0000_i1025" DrawAspect="Content" ObjectID="_1394882387" r:id="rId8">
            <o:FieldCodes>\s</o:FieldCodes>
          </o:OLEObject>
        </w:object>
      </w:r>
    </w:p>
    <w:p w:rsidR="00000000" w:rsidRDefault="00000000">
      <w:pPr>
        <w:spacing w:after="320"/>
        <w:rPr>
          <w:rFonts w:hint="eastAsia"/>
          <w:snapToGrid/>
        </w:rPr>
      </w:pPr>
      <w:r>
        <w:rPr>
          <w:snapToGrid/>
        </w:rPr>
        <w:tab/>
      </w:r>
      <w:r>
        <w:rPr>
          <w:rFonts w:hint="eastAsia"/>
          <w:snapToGrid/>
        </w:rPr>
        <w:t>592.</w:t>
      </w:r>
      <w:r>
        <w:rPr>
          <w:snapToGrid/>
        </w:rPr>
        <w:t xml:space="preserve">  </w:t>
      </w:r>
      <w:r>
        <w:rPr>
          <w:rFonts w:hint="eastAsia"/>
          <w:snapToGrid/>
        </w:rPr>
        <w:t>下表显示了</w:t>
      </w:r>
      <w:r>
        <w:rPr>
          <w:rFonts w:hint="eastAsia"/>
          <w:snapToGrid/>
        </w:rPr>
        <w:t>2002/03</w:t>
      </w:r>
      <w:r>
        <w:rPr>
          <w:rFonts w:hint="eastAsia"/>
          <w:snapToGrid/>
        </w:rPr>
        <w:t>学年初中学的学校、学生和教师数量。</w:t>
      </w:r>
    </w:p>
    <w:p w:rsidR="00000000" w:rsidRDefault="00000000">
      <w:pPr>
        <w:pStyle w:val="Heading3"/>
        <w:spacing w:after="120"/>
        <w:rPr>
          <w:rFonts w:hint="eastAsia"/>
          <w:u w:val="none"/>
        </w:rPr>
      </w:pPr>
      <w:r>
        <w:rPr>
          <w:rFonts w:hint="eastAsia"/>
          <w:u w:val="none"/>
        </w:rPr>
        <w:t>表</w:t>
      </w:r>
      <w:r>
        <w:rPr>
          <w:u w:val="none"/>
        </w:rPr>
        <w:t xml:space="preserve">  </w:t>
      </w:r>
      <w:r>
        <w:rPr>
          <w:rFonts w:hint="eastAsia"/>
          <w:u w:val="none"/>
        </w:rPr>
        <w:t>27</w:t>
      </w:r>
    </w:p>
    <w:p w:rsidR="00000000" w:rsidRDefault="00000000">
      <w:pPr>
        <w:pStyle w:val="Heading3"/>
        <w:rPr>
          <w:rFonts w:hint="eastAsia"/>
        </w:rPr>
      </w:pPr>
      <w:r>
        <w:rPr>
          <w:rFonts w:hint="eastAsia"/>
        </w:rPr>
        <w:t>2002/03</w:t>
      </w:r>
      <w:r>
        <w:rPr>
          <w:rFonts w:hint="eastAsia"/>
        </w:rPr>
        <w:t>学年初波斯尼亚和黑塞哥维纳联邦的中学</w:t>
      </w:r>
    </w:p>
    <w:tbl>
      <w:tblPr>
        <w:tblW w:w="9260" w:type="dxa"/>
        <w:jc w:val="center"/>
        <w:tblInd w:w="-498" w:type="dxa"/>
        <w:tblLayout w:type="fixed"/>
        <w:tblCellMar>
          <w:left w:w="57" w:type="dxa"/>
          <w:right w:w="57" w:type="dxa"/>
        </w:tblCellMar>
        <w:tblLook w:val="0000" w:firstRow="0" w:lastRow="0" w:firstColumn="0" w:lastColumn="0" w:noHBand="0" w:noVBand="0"/>
      </w:tblPr>
      <w:tblGrid>
        <w:gridCol w:w="3072"/>
        <w:gridCol w:w="911"/>
        <w:gridCol w:w="1151"/>
        <w:gridCol w:w="929"/>
        <w:gridCol w:w="1134"/>
        <w:gridCol w:w="816"/>
        <w:gridCol w:w="1247"/>
      </w:tblGrid>
      <w:tr w:rsidR="00000000">
        <w:trPr>
          <w:trHeight w:val="345"/>
          <w:jc w:val="center"/>
        </w:trPr>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rFonts w:hint="eastAsia"/>
                <w:snapToGrid/>
              </w:rPr>
              <w:t>州</w:t>
            </w:r>
          </w:p>
        </w:tc>
        <w:tc>
          <w:tcPr>
            <w:tcW w:w="911" w:type="dxa"/>
            <w:tcBorders>
              <w:top w:val="single" w:sz="4" w:space="0" w:color="auto"/>
              <w:left w:val="nil"/>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rFonts w:hint="eastAsia"/>
                <w:snapToGrid/>
                <w:szCs w:val="16"/>
              </w:rPr>
              <w:t>学生</w:t>
            </w:r>
          </w:p>
        </w:tc>
        <w:tc>
          <w:tcPr>
            <w:tcW w:w="1151"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rFonts w:hint="eastAsia"/>
                <w:snapToGrid/>
                <w:szCs w:val="16"/>
              </w:rPr>
              <w:t>学校数量</w:t>
            </w:r>
          </w:p>
        </w:tc>
        <w:tc>
          <w:tcPr>
            <w:tcW w:w="929" w:type="dxa"/>
            <w:tcBorders>
              <w:top w:val="single" w:sz="4" w:space="0" w:color="auto"/>
              <w:left w:val="nil"/>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rFonts w:hint="eastAsia"/>
                <w:snapToGrid/>
                <w:szCs w:val="16"/>
              </w:rPr>
              <w:t>教师</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rFonts w:hint="eastAsia"/>
                <w:snapToGrid/>
              </w:rPr>
              <w:t>学生</w:t>
            </w:r>
            <w:r>
              <w:rPr>
                <w:rFonts w:hint="eastAsia"/>
                <w:snapToGrid/>
              </w:rPr>
              <w:t>/</w:t>
            </w:r>
            <w:r>
              <w:rPr>
                <w:rFonts w:hint="eastAsia"/>
                <w:snapToGrid/>
              </w:rPr>
              <w:t>教师</w:t>
            </w:r>
          </w:p>
        </w:tc>
        <w:tc>
          <w:tcPr>
            <w:tcW w:w="816"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rFonts w:hint="eastAsia"/>
                <w:snapToGrid/>
                <w:szCs w:val="16"/>
              </w:rPr>
              <w:t>班级</w:t>
            </w:r>
          </w:p>
        </w:tc>
        <w:tc>
          <w:tcPr>
            <w:tcW w:w="1247"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rFonts w:hint="eastAsia"/>
                <w:snapToGrid/>
              </w:rPr>
              <w:t>学生</w:t>
            </w:r>
            <w:r>
              <w:rPr>
                <w:rFonts w:hint="eastAsia"/>
                <w:snapToGrid/>
              </w:rPr>
              <w:t>/</w:t>
            </w:r>
            <w:r>
              <w:rPr>
                <w:rFonts w:hint="eastAsia"/>
                <w:snapToGrid/>
              </w:rPr>
              <w:t>班级</w:t>
            </w:r>
          </w:p>
        </w:tc>
      </w:tr>
      <w:tr w:rsidR="00000000">
        <w:trPr>
          <w:trHeight w:val="345"/>
          <w:jc w:val="center"/>
        </w:trPr>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snapToGrid/>
                <w:szCs w:val="16"/>
              </w:rPr>
              <w:t>1</w:t>
            </w:r>
          </w:p>
        </w:tc>
        <w:tc>
          <w:tcPr>
            <w:tcW w:w="911" w:type="dxa"/>
            <w:tcBorders>
              <w:top w:val="single" w:sz="4" w:space="0" w:color="auto"/>
              <w:left w:val="nil"/>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snapToGrid/>
                <w:szCs w:val="16"/>
              </w:rPr>
              <w:t>2</w:t>
            </w:r>
          </w:p>
        </w:tc>
        <w:tc>
          <w:tcPr>
            <w:tcW w:w="1151"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snapToGrid/>
                <w:szCs w:val="16"/>
              </w:rPr>
              <w:t>3</w:t>
            </w:r>
          </w:p>
        </w:tc>
        <w:tc>
          <w:tcPr>
            <w:tcW w:w="929" w:type="dxa"/>
            <w:tcBorders>
              <w:top w:val="single" w:sz="4" w:space="0" w:color="auto"/>
              <w:left w:val="nil"/>
              <w:bottom w:val="single" w:sz="4" w:space="0" w:color="auto"/>
              <w:right w:val="single" w:sz="4" w:space="0" w:color="auto"/>
            </w:tcBorders>
            <w:shd w:val="clear" w:color="auto" w:fill="FFFFFF"/>
            <w:vAlign w:val="bottom"/>
          </w:tcPr>
          <w:p w:rsidR="00000000" w:rsidRDefault="00000000">
            <w:pPr>
              <w:pStyle w:val="a2"/>
              <w:jc w:val="center"/>
              <w:rPr>
                <w:snapToGrid/>
                <w:szCs w:val="16"/>
              </w:rPr>
            </w:pPr>
            <w:r>
              <w:rPr>
                <w:snapToGrid/>
                <w:szCs w:val="16"/>
              </w:rPr>
              <w:t>4</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snapToGrid/>
                <w:szCs w:val="16"/>
              </w:rPr>
              <w:t>2</w:t>
            </w:r>
            <w:r>
              <w:rPr>
                <w:snapToGrid/>
                <w:szCs w:val="16"/>
              </w:rPr>
              <w:t>：</w:t>
            </w:r>
            <w:r>
              <w:rPr>
                <w:snapToGrid/>
                <w:szCs w:val="16"/>
              </w:rPr>
              <w:t>4</w:t>
            </w:r>
          </w:p>
        </w:tc>
        <w:tc>
          <w:tcPr>
            <w:tcW w:w="816"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snapToGrid/>
                <w:szCs w:val="16"/>
              </w:rPr>
              <w:t>5</w:t>
            </w:r>
          </w:p>
        </w:tc>
        <w:tc>
          <w:tcPr>
            <w:tcW w:w="1247" w:type="dxa"/>
            <w:tcBorders>
              <w:top w:val="single" w:sz="4" w:space="0" w:color="auto"/>
              <w:left w:val="nil"/>
              <w:bottom w:val="single" w:sz="4" w:space="0" w:color="auto"/>
              <w:right w:val="single" w:sz="4" w:space="0" w:color="auto"/>
            </w:tcBorders>
            <w:shd w:val="clear" w:color="auto" w:fill="FFFFFF"/>
            <w:noWrap/>
            <w:vAlign w:val="bottom"/>
          </w:tcPr>
          <w:p w:rsidR="00000000" w:rsidRDefault="00000000">
            <w:pPr>
              <w:pStyle w:val="a2"/>
              <w:jc w:val="center"/>
              <w:rPr>
                <w:snapToGrid/>
                <w:szCs w:val="16"/>
              </w:rPr>
            </w:pPr>
            <w:r>
              <w:rPr>
                <w:snapToGrid/>
                <w:szCs w:val="16"/>
              </w:rPr>
              <w:t>2</w:t>
            </w:r>
            <w:r>
              <w:rPr>
                <w:snapToGrid/>
                <w:szCs w:val="16"/>
              </w:rPr>
              <w:t>：</w:t>
            </w:r>
            <w:r>
              <w:rPr>
                <w:snapToGrid/>
                <w:szCs w:val="16"/>
              </w:rPr>
              <w:t>5</w:t>
            </w:r>
          </w:p>
        </w:tc>
      </w:tr>
      <w:tr w:rsidR="00000000">
        <w:trPr>
          <w:trHeight w:val="315"/>
          <w:jc w:val="center"/>
        </w:trPr>
        <w:tc>
          <w:tcPr>
            <w:tcW w:w="3072" w:type="dxa"/>
            <w:tcBorders>
              <w:top w:val="single" w:sz="4" w:space="0" w:color="auto"/>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1.</w:t>
            </w:r>
            <w:r>
              <w:rPr>
                <w:snapToGrid/>
              </w:rPr>
              <w:tab/>
            </w:r>
            <w:r>
              <w:rPr>
                <w:snapToGrid/>
                <w:szCs w:val="18"/>
              </w:rPr>
              <w:t>乌纳－萨纳</w:t>
            </w:r>
            <w:r>
              <w:rPr>
                <w:rFonts w:hint="eastAsia"/>
                <w:snapToGrid/>
                <w:szCs w:val="18"/>
              </w:rPr>
              <w:t>州</w:t>
            </w:r>
          </w:p>
        </w:tc>
        <w:tc>
          <w:tcPr>
            <w:tcW w:w="911" w:type="dxa"/>
            <w:tcBorders>
              <w:top w:val="single" w:sz="4" w:space="0" w:color="auto"/>
              <w:left w:val="nil"/>
              <w:right w:val="single" w:sz="4" w:space="0" w:color="auto"/>
            </w:tcBorders>
            <w:noWrap/>
            <w:vAlign w:val="bottom"/>
          </w:tcPr>
          <w:p w:rsidR="00000000" w:rsidRDefault="00000000">
            <w:pPr>
              <w:pStyle w:val="a2"/>
              <w:jc w:val="right"/>
              <w:rPr>
                <w:snapToGrid/>
              </w:rPr>
            </w:pPr>
            <w:r>
              <w:rPr>
                <w:snapToGrid/>
              </w:rPr>
              <w:t>13,040</w:t>
            </w:r>
          </w:p>
        </w:tc>
        <w:tc>
          <w:tcPr>
            <w:tcW w:w="1151" w:type="dxa"/>
            <w:tcBorders>
              <w:top w:val="single" w:sz="4" w:space="0" w:color="auto"/>
              <w:left w:val="nil"/>
              <w:right w:val="single" w:sz="4" w:space="0" w:color="auto"/>
            </w:tcBorders>
            <w:vAlign w:val="bottom"/>
          </w:tcPr>
          <w:p w:rsidR="00000000" w:rsidRDefault="00000000">
            <w:pPr>
              <w:pStyle w:val="a2"/>
              <w:jc w:val="center"/>
              <w:rPr>
                <w:snapToGrid/>
              </w:rPr>
            </w:pPr>
            <w:r>
              <w:rPr>
                <w:snapToGrid/>
              </w:rPr>
              <w:t>22</w:t>
            </w:r>
          </w:p>
        </w:tc>
        <w:tc>
          <w:tcPr>
            <w:tcW w:w="929" w:type="dxa"/>
            <w:tcBorders>
              <w:top w:val="single" w:sz="4" w:space="0" w:color="auto"/>
              <w:left w:val="nil"/>
              <w:right w:val="single" w:sz="4" w:space="0" w:color="auto"/>
            </w:tcBorders>
            <w:noWrap/>
            <w:vAlign w:val="bottom"/>
          </w:tcPr>
          <w:p w:rsidR="00000000" w:rsidRDefault="00000000">
            <w:pPr>
              <w:pStyle w:val="a2"/>
              <w:ind w:right="113"/>
              <w:jc w:val="right"/>
              <w:rPr>
                <w:snapToGrid/>
              </w:rPr>
            </w:pPr>
            <w:r>
              <w:rPr>
                <w:snapToGrid/>
              </w:rPr>
              <w:t>737</w:t>
            </w:r>
          </w:p>
        </w:tc>
        <w:tc>
          <w:tcPr>
            <w:tcW w:w="1134" w:type="dxa"/>
            <w:tcBorders>
              <w:top w:val="single" w:sz="4" w:space="0" w:color="auto"/>
              <w:left w:val="nil"/>
              <w:right w:val="single" w:sz="4" w:space="0" w:color="auto"/>
            </w:tcBorders>
            <w:noWrap/>
            <w:vAlign w:val="bottom"/>
          </w:tcPr>
          <w:p w:rsidR="00000000" w:rsidRDefault="00000000">
            <w:pPr>
              <w:pStyle w:val="a2"/>
              <w:jc w:val="center"/>
              <w:rPr>
                <w:snapToGrid/>
              </w:rPr>
            </w:pPr>
            <w:r>
              <w:rPr>
                <w:snapToGrid/>
              </w:rPr>
              <w:t>18</w:t>
            </w:r>
          </w:p>
        </w:tc>
        <w:tc>
          <w:tcPr>
            <w:tcW w:w="816" w:type="dxa"/>
            <w:tcBorders>
              <w:top w:val="single" w:sz="4" w:space="0" w:color="auto"/>
              <w:left w:val="nil"/>
              <w:right w:val="single" w:sz="4" w:space="0" w:color="auto"/>
            </w:tcBorders>
            <w:noWrap/>
            <w:vAlign w:val="bottom"/>
          </w:tcPr>
          <w:p w:rsidR="00000000" w:rsidRDefault="00000000">
            <w:pPr>
              <w:pStyle w:val="a2"/>
              <w:ind w:right="113"/>
              <w:jc w:val="right"/>
              <w:rPr>
                <w:snapToGrid/>
              </w:rPr>
            </w:pPr>
            <w:r>
              <w:rPr>
                <w:snapToGrid/>
              </w:rPr>
              <w:t>472</w:t>
            </w:r>
          </w:p>
        </w:tc>
        <w:tc>
          <w:tcPr>
            <w:tcW w:w="1247" w:type="dxa"/>
            <w:tcBorders>
              <w:top w:val="single" w:sz="4" w:space="0" w:color="auto"/>
              <w:left w:val="nil"/>
              <w:right w:val="single" w:sz="4" w:space="0" w:color="auto"/>
            </w:tcBorders>
            <w:noWrap/>
            <w:vAlign w:val="bottom"/>
          </w:tcPr>
          <w:p w:rsidR="00000000" w:rsidRDefault="00000000">
            <w:pPr>
              <w:pStyle w:val="a2"/>
              <w:jc w:val="center"/>
              <w:rPr>
                <w:snapToGrid/>
                <w:szCs w:val="16"/>
              </w:rPr>
            </w:pPr>
            <w:r>
              <w:rPr>
                <w:snapToGrid/>
                <w:szCs w:val="16"/>
              </w:rPr>
              <w:t>28</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2.</w:t>
            </w:r>
            <w:r>
              <w:rPr>
                <w:rFonts w:hint="eastAsia"/>
                <w:snapToGrid/>
                <w:szCs w:val="18"/>
              </w:rPr>
              <w:tab/>
            </w:r>
            <w:r>
              <w:rPr>
                <w:snapToGrid/>
                <w:szCs w:val="18"/>
              </w:rPr>
              <w:t>波萨维纳</w:t>
            </w:r>
            <w:r>
              <w:rPr>
                <w:rFonts w:hint="eastAsia"/>
                <w:snapToGrid/>
                <w:szCs w:val="18"/>
              </w:rPr>
              <w:t>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1,702</w:t>
            </w:r>
          </w:p>
        </w:tc>
        <w:tc>
          <w:tcPr>
            <w:tcW w:w="1151" w:type="dxa"/>
            <w:tcBorders>
              <w:left w:val="nil"/>
              <w:right w:val="single" w:sz="4" w:space="0" w:color="auto"/>
            </w:tcBorders>
            <w:vAlign w:val="bottom"/>
          </w:tcPr>
          <w:p w:rsidR="00000000" w:rsidRDefault="00000000">
            <w:pPr>
              <w:pStyle w:val="a2"/>
              <w:jc w:val="center"/>
              <w:rPr>
                <w:snapToGrid/>
              </w:rPr>
            </w:pPr>
            <w:r>
              <w:rPr>
                <w:snapToGrid/>
              </w:rPr>
              <w:t>2</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125</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14</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60</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28</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snapToGrid/>
              </w:rPr>
            </w:pPr>
            <w:r>
              <w:rPr>
                <w:snapToGrid/>
              </w:rPr>
              <w:t>3.</w:t>
            </w:r>
            <w:r>
              <w:rPr>
                <w:snapToGrid/>
              </w:rPr>
              <w:tab/>
            </w:r>
            <w:r>
              <w:rPr>
                <w:rFonts w:hint="eastAsia"/>
                <w:snapToGrid/>
              </w:rPr>
              <w:t>图兹拉州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26,267</w:t>
            </w:r>
          </w:p>
        </w:tc>
        <w:tc>
          <w:tcPr>
            <w:tcW w:w="1151" w:type="dxa"/>
            <w:tcBorders>
              <w:left w:val="nil"/>
              <w:right w:val="single" w:sz="4" w:space="0" w:color="auto"/>
            </w:tcBorders>
            <w:vAlign w:val="bottom"/>
          </w:tcPr>
          <w:p w:rsidR="00000000" w:rsidRDefault="00000000">
            <w:pPr>
              <w:pStyle w:val="a2"/>
              <w:jc w:val="center"/>
              <w:rPr>
                <w:snapToGrid/>
              </w:rPr>
            </w:pPr>
            <w:r>
              <w:rPr>
                <w:snapToGrid/>
              </w:rPr>
              <w:t>33</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1,422</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18</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853</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31</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4.</w:t>
            </w:r>
            <w:r>
              <w:rPr>
                <w:snapToGrid/>
              </w:rPr>
              <w:tab/>
            </w:r>
            <w:r>
              <w:rPr>
                <w:snapToGrid/>
                <w:szCs w:val="18"/>
              </w:rPr>
              <w:t>泽尼察－多博伊</w:t>
            </w:r>
            <w:r>
              <w:rPr>
                <w:rFonts w:hint="eastAsia"/>
                <w:snapToGrid/>
                <w:szCs w:val="18"/>
              </w:rPr>
              <w:t>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19,984</w:t>
            </w:r>
          </w:p>
        </w:tc>
        <w:tc>
          <w:tcPr>
            <w:tcW w:w="1151" w:type="dxa"/>
            <w:tcBorders>
              <w:left w:val="nil"/>
              <w:right w:val="single" w:sz="4" w:space="0" w:color="auto"/>
            </w:tcBorders>
            <w:vAlign w:val="bottom"/>
          </w:tcPr>
          <w:p w:rsidR="00000000" w:rsidRDefault="00000000">
            <w:pPr>
              <w:pStyle w:val="a2"/>
              <w:jc w:val="center"/>
              <w:rPr>
                <w:snapToGrid/>
              </w:rPr>
            </w:pPr>
            <w:r>
              <w:rPr>
                <w:snapToGrid/>
              </w:rPr>
              <w:t>37</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1,415</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14</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721</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28</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snapToGrid/>
              </w:rPr>
            </w:pPr>
            <w:r>
              <w:rPr>
                <w:snapToGrid/>
              </w:rPr>
              <w:t>5.</w:t>
            </w:r>
            <w:r>
              <w:rPr>
                <w:snapToGrid/>
              </w:rPr>
              <w:tab/>
            </w:r>
            <w:r>
              <w:rPr>
                <w:rFonts w:hint="eastAsia"/>
                <w:snapToGrid/>
                <w:color w:val="000000"/>
              </w:rPr>
              <w:t>波斯那－波德里涅州</w:t>
            </w:r>
          </w:p>
        </w:tc>
        <w:tc>
          <w:tcPr>
            <w:tcW w:w="911" w:type="dxa"/>
            <w:tcBorders>
              <w:left w:val="nil"/>
              <w:right w:val="nil"/>
            </w:tcBorders>
            <w:noWrap/>
            <w:vAlign w:val="bottom"/>
          </w:tcPr>
          <w:p w:rsidR="00000000" w:rsidRDefault="00000000">
            <w:pPr>
              <w:pStyle w:val="a2"/>
              <w:jc w:val="right"/>
              <w:rPr>
                <w:snapToGrid/>
              </w:rPr>
            </w:pPr>
            <w:r>
              <w:rPr>
                <w:snapToGrid/>
              </w:rPr>
              <w:t>1,498</w:t>
            </w:r>
          </w:p>
        </w:tc>
        <w:tc>
          <w:tcPr>
            <w:tcW w:w="1151" w:type="dxa"/>
            <w:tcBorders>
              <w:left w:val="single" w:sz="4" w:space="0" w:color="auto"/>
              <w:right w:val="single" w:sz="4" w:space="0" w:color="auto"/>
            </w:tcBorders>
            <w:vAlign w:val="bottom"/>
          </w:tcPr>
          <w:p w:rsidR="00000000" w:rsidRDefault="00000000">
            <w:pPr>
              <w:pStyle w:val="a2"/>
              <w:jc w:val="center"/>
              <w:rPr>
                <w:snapToGrid/>
              </w:rPr>
            </w:pPr>
            <w:r>
              <w:rPr>
                <w:snapToGrid/>
              </w:rPr>
              <w:t>3</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118</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13</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57</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26</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snapToGrid/>
              </w:rPr>
            </w:pPr>
            <w:r>
              <w:rPr>
                <w:snapToGrid/>
              </w:rPr>
              <w:t>6.</w:t>
            </w:r>
            <w:r>
              <w:rPr>
                <w:snapToGrid/>
              </w:rPr>
              <w:tab/>
            </w:r>
            <w:r>
              <w:rPr>
                <w:rFonts w:hint="eastAsia"/>
                <w:snapToGrid/>
              </w:rPr>
              <w:t>中波斯尼亚州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13,411</w:t>
            </w:r>
          </w:p>
        </w:tc>
        <w:tc>
          <w:tcPr>
            <w:tcW w:w="1151" w:type="dxa"/>
            <w:tcBorders>
              <w:left w:val="nil"/>
              <w:right w:val="single" w:sz="4" w:space="0" w:color="auto"/>
            </w:tcBorders>
            <w:vAlign w:val="bottom"/>
          </w:tcPr>
          <w:p w:rsidR="00000000" w:rsidRDefault="00000000">
            <w:pPr>
              <w:pStyle w:val="a2"/>
              <w:jc w:val="center"/>
              <w:rPr>
                <w:snapToGrid/>
              </w:rPr>
            </w:pPr>
            <w:r>
              <w:rPr>
                <w:snapToGrid/>
              </w:rPr>
              <w:t>25</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863</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16</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464</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29</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7.</w:t>
            </w:r>
            <w:r>
              <w:rPr>
                <w:snapToGrid/>
              </w:rPr>
              <w:tab/>
            </w:r>
            <w:r>
              <w:rPr>
                <w:snapToGrid/>
                <w:szCs w:val="18"/>
              </w:rPr>
              <w:t>黑塞哥维那－涅雷特瓦</w:t>
            </w:r>
            <w:r>
              <w:rPr>
                <w:snapToGrid/>
                <w:szCs w:val="18"/>
              </w:rPr>
              <w:br/>
              <w:t xml:space="preserve">    </w:t>
            </w:r>
            <w:r>
              <w:rPr>
                <w:rFonts w:hint="eastAsia"/>
                <w:snapToGrid/>
                <w:szCs w:val="18"/>
              </w:rPr>
              <w:t>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11,004</w:t>
            </w:r>
          </w:p>
        </w:tc>
        <w:tc>
          <w:tcPr>
            <w:tcW w:w="1151" w:type="dxa"/>
            <w:tcBorders>
              <w:left w:val="nil"/>
              <w:right w:val="single" w:sz="4" w:space="0" w:color="auto"/>
            </w:tcBorders>
            <w:vAlign w:val="bottom"/>
          </w:tcPr>
          <w:p w:rsidR="00000000" w:rsidRDefault="00000000">
            <w:pPr>
              <w:pStyle w:val="a2"/>
              <w:jc w:val="center"/>
              <w:rPr>
                <w:snapToGrid/>
              </w:rPr>
            </w:pPr>
            <w:r>
              <w:rPr>
                <w:snapToGrid/>
              </w:rPr>
              <w:t>29</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910</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12</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417</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26</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8.</w:t>
            </w:r>
            <w:r>
              <w:rPr>
                <w:rFonts w:hint="eastAsia"/>
                <w:snapToGrid/>
              </w:rPr>
              <w:tab/>
            </w:r>
            <w:r>
              <w:rPr>
                <w:rFonts w:hint="eastAsia"/>
                <w:snapToGrid/>
              </w:rPr>
              <w:t>西</w:t>
            </w:r>
            <w:r>
              <w:rPr>
                <w:snapToGrid/>
                <w:szCs w:val="18"/>
              </w:rPr>
              <w:t>黑塞哥维那</w:t>
            </w:r>
            <w:r>
              <w:rPr>
                <w:rFonts w:hint="eastAsia"/>
                <w:snapToGrid/>
                <w:szCs w:val="18"/>
              </w:rPr>
              <w:t>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3,656</w:t>
            </w:r>
          </w:p>
        </w:tc>
        <w:tc>
          <w:tcPr>
            <w:tcW w:w="1151" w:type="dxa"/>
            <w:tcBorders>
              <w:left w:val="nil"/>
              <w:right w:val="single" w:sz="4" w:space="0" w:color="auto"/>
            </w:tcBorders>
            <w:vAlign w:val="bottom"/>
          </w:tcPr>
          <w:p w:rsidR="00000000" w:rsidRDefault="00000000">
            <w:pPr>
              <w:pStyle w:val="a2"/>
              <w:jc w:val="center"/>
              <w:rPr>
                <w:snapToGrid/>
              </w:rPr>
            </w:pPr>
            <w:r>
              <w:rPr>
                <w:snapToGrid/>
              </w:rPr>
              <w:t>7</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241</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15</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134</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27</w:t>
            </w:r>
          </w:p>
        </w:tc>
      </w:tr>
      <w:tr w:rsidR="00000000">
        <w:trPr>
          <w:trHeight w:val="315"/>
          <w:jc w:val="center"/>
        </w:trPr>
        <w:tc>
          <w:tcPr>
            <w:tcW w:w="3072" w:type="dxa"/>
            <w:tcBorders>
              <w:left w:val="single" w:sz="4" w:space="0" w:color="auto"/>
              <w:right w:val="single" w:sz="4" w:space="0" w:color="auto"/>
            </w:tcBorders>
            <w:shd w:val="clear" w:color="auto" w:fill="FFFFFF"/>
            <w:noWrap/>
            <w:vAlign w:val="bottom"/>
          </w:tcPr>
          <w:p w:rsidR="00000000" w:rsidRDefault="00000000">
            <w:pPr>
              <w:pStyle w:val="a2"/>
              <w:rPr>
                <w:rFonts w:hint="eastAsia"/>
                <w:snapToGrid/>
              </w:rPr>
            </w:pPr>
            <w:r>
              <w:rPr>
                <w:snapToGrid/>
              </w:rPr>
              <w:t>9.</w:t>
            </w:r>
            <w:r>
              <w:rPr>
                <w:rFonts w:hint="eastAsia"/>
                <w:snapToGrid/>
                <w:szCs w:val="18"/>
              </w:rPr>
              <w:tab/>
            </w:r>
            <w:r>
              <w:rPr>
                <w:snapToGrid/>
                <w:szCs w:val="18"/>
              </w:rPr>
              <w:t>萨拉热窝</w:t>
            </w:r>
            <w:r>
              <w:rPr>
                <w:rFonts w:hint="eastAsia"/>
                <w:snapToGrid/>
                <w:szCs w:val="18"/>
              </w:rPr>
              <w:t>州</w:t>
            </w:r>
          </w:p>
        </w:tc>
        <w:tc>
          <w:tcPr>
            <w:tcW w:w="911" w:type="dxa"/>
            <w:tcBorders>
              <w:left w:val="nil"/>
              <w:right w:val="single" w:sz="4" w:space="0" w:color="auto"/>
            </w:tcBorders>
            <w:noWrap/>
            <w:vAlign w:val="bottom"/>
          </w:tcPr>
          <w:p w:rsidR="00000000" w:rsidRDefault="00000000">
            <w:pPr>
              <w:pStyle w:val="a2"/>
              <w:jc w:val="right"/>
              <w:rPr>
                <w:snapToGrid/>
              </w:rPr>
            </w:pPr>
            <w:r>
              <w:rPr>
                <w:snapToGrid/>
              </w:rPr>
              <w:t>22,626</w:t>
            </w:r>
          </w:p>
        </w:tc>
        <w:tc>
          <w:tcPr>
            <w:tcW w:w="1151" w:type="dxa"/>
            <w:tcBorders>
              <w:left w:val="nil"/>
              <w:right w:val="single" w:sz="4" w:space="0" w:color="auto"/>
            </w:tcBorders>
            <w:vAlign w:val="bottom"/>
          </w:tcPr>
          <w:p w:rsidR="00000000" w:rsidRDefault="00000000">
            <w:pPr>
              <w:pStyle w:val="a2"/>
              <w:jc w:val="center"/>
              <w:rPr>
                <w:snapToGrid/>
              </w:rPr>
            </w:pPr>
            <w:r>
              <w:rPr>
                <w:snapToGrid/>
              </w:rPr>
              <w:t>38</w:t>
            </w:r>
          </w:p>
        </w:tc>
        <w:tc>
          <w:tcPr>
            <w:tcW w:w="929" w:type="dxa"/>
            <w:tcBorders>
              <w:left w:val="nil"/>
              <w:right w:val="single" w:sz="4" w:space="0" w:color="auto"/>
            </w:tcBorders>
            <w:noWrap/>
            <w:vAlign w:val="bottom"/>
          </w:tcPr>
          <w:p w:rsidR="00000000" w:rsidRDefault="00000000">
            <w:pPr>
              <w:pStyle w:val="a2"/>
              <w:ind w:right="113"/>
              <w:jc w:val="right"/>
              <w:rPr>
                <w:snapToGrid/>
              </w:rPr>
            </w:pPr>
            <w:r>
              <w:rPr>
                <w:snapToGrid/>
              </w:rPr>
              <w:t>1,631</w:t>
            </w:r>
          </w:p>
        </w:tc>
        <w:tc>
          <w:tcPr>
            <w:tcW w:w="1134" w:type="dxa"/>
            <w:tcBorders>
              <w:left w:val="nil"/>
              <w:right w:val="single" w:sz="4" w:space="0" w:color="auto"/>
            </w:tcBorders>
            <w:noWrap/>
            <w:vAlign w:val="bottom"/>
          </w:tcPr>
          <w:p w:rsidR="00000000" w:rsidRDefault="00000000">
            <w:pPr>
              <w:pStyle w:val="a2"/>
              <w:jc w:val="center"/>
              <w:rPr>
                <w:snapToGrid/>
              </w:rPr>
            </w:pPr>
            <w:r>
              <w:rPr>
                <w:snapToGrid/>
              </w:rPr>
              <w:t>14</w:t>
            </w:r>
          </w:p>
        </w:tc>
        <w:tc>
          <w:tcPr>
            <w:tcW w:w="816" w:type="dxa"/>
            <w:tcBorders>
              <w:left w:val="nil"/>
              <w:right w:val="single" w:sz="4" w:space="0" w:color="auto"/>
            </w:tcBorders>
            <w:noWrap/>
            <w:vAlign w:val="bottom"/>
          </w:tcPr>
          <w:p w:rsidR="00000000" w:rsidRDefault="00000000">
            <w:pPr>
              <w:pStyle w:val="a2"/>
              <w:ind w:right="113"/>
              <w:jc w:val="right"/>
              <w:rPr>
                <w:snapToGrid/>
              </w:rPr>
            </w:pPr>
            <w:r>
              <w:rPr>
                <w:snapToGrid/>
              </w:rPr>
              <w:t>808</w:t>
            </w:r>
          </w:p>
        </w:tc>
        <w:tc>
          <w:tcPr>
            <w:tcW w:w="1247" w:type="dxa"/>
            <w:tcBorders>
              <w:left w:val="nil"/>
              <w:right w:val="single" w:sz="4" w:space="0" w:color="auto"/>
            </w:tcBorders>
            <w:noWrap/>
            <w:vAlign w:val="bottom"/>
          </w:tcPr>
          <w:p w:rsidR="00000000" w:rsidRDefault="00000000">
            <w:pPr>
              <w:pStyle w:val="a2"/>
              <w:jc w:val="center"/>
              <w:rPr>
                <w:snapToGrid/>
                <w:szCs w:val="16"/>
              </w:rPr>
            </w:pPr>
            <w:r>
              <w:rPr>
                <w:snapToGrid/>
                <w:szCs w:val="16"/>
              </w:rPr>
              <w:t>28</w:t>
            </w:r>
          </w:p>
        </w:tc>
      </w:tr>
      <w:tr w:rsidR="00000000">
        <w:trPr>
          <w:trHeight w:val="315"/>
          <w:jc w:val="center"/>
        </w:trPr>
        <w:tc>
          <w:tcPr>
            <w:tcW w:w="3072" w:type="dxa"/>
            <w:tcBorders>
              <w:left w:val="single" w:sz="4" w:space="0" w:color="auto"/>
              <w:bottom w:val="single" w:sz="4" w:space="0" w:color="auto"/>
              <w:right w:val="single" w:sz="4" w:space="0" w:color="auto"/>
            </w:tcBorders>
            <w:shd w:val="clear" w:color="auto" w:fill="FFFFFF"/>
            <w:noWrap/>
            <w:vAlign w:val="bottom"/>
          </w:tcPr>
          <w:p w:rsidR="00000000" w:rsidRDefault="00000000">
            <w:pPr>
              <w:pStyle w:val="a2"/>
              <w:rPr>
                <w:bCs/>
                <w:snapToGrid/>
              </w:rPr>
            </w:pPr>
            <w:r>
              <w:rPr>
                <w:bCs/>
                <w:snapToGrid/>
              </w:rPr>
              <w:t>10.</w:t>
            </w:r>
            <w:r>
              <w:rPr>
                <w:bCs/>
                <w:snapToGrid/>
              </w:rPr>
              <w:tab/>
            </w:r>
            <w:r>
              <w:rPr>
                <w:snapToGrid/>
                <w:szCs w:val="18"/>
              </w:rPr>
              <w:t>西波斯尼亚</w:t>
            </w:r>
          </w:p>
        </w:tc>
        <w:tc>
          <w:tcPr>
            <w:tcW w:w="911" w:type="dxa"/>
            <w:tcBorders>
              <w:left w:val="nil"/>
              <w:bottom w:val="single" w:sz="4" w:space="0" w:color="auto"/>
              <w:right w:val="single" w:sz="4" w:space="0" w:color="auto"/>
            </w:tcBorders>
            <w:noWrap/>
            <w:vAlign w:val="bottom"/>
          </w:tcPr>
          <w:p w:rsidR="00000000" w:rsidRDefault="00000000">
            <w:pPr>
              <w:pStyle w:val="a2"/>
              <w:jc w:val="right"/>
              <w:rPr>
                <w:snapToGrid/>
              </w:rPr>
            </w:pPr>
            <w:r>
              <w:rPr>
                <w:snapToGrid/>
              </w:rPr>
              <w:t>2,729</w:t>
            </w:r>
          </w:p>
        </w:tc>
        <w:tc>
          <w:tcPr>
            <w:tcW w:w="1151" w:type="dxa"/>
            <w:tcBorders>
              <w:left w:val="nil"/>
              <w:bottom w:val="single" w:sz="4" w:space="0" w:color="auto"/>
              <w:right w:val="single" w:sz="4" w:space="0" w:color="auto"/>
            </w:tcBorders>
            <w:vAlign w:val="bottom"/>
          </w:tcPr>
          <w:p w:rsidR="00000000" w:rsidRDefault="00000000">
            <w:pPr>
              <w:pStyle w:val="a2"/>
              <w:jc w:val="center"/>
              <w:rPr>
                <w:snapToGrid/>
              </w:rPr>
            </w:pPr>
            <w:r>
              <w:rPr>
                <w:snapToGrid/>
              </w:rPr>
              <w:t>8</w:t>
            </w:r>
          </w:p>
        </w:tc>
        <w:tc>
          <w:tcPr>
            <w:tcW w:w="929" w:type="dxa"/>
            <w:tcBorders>
              <w:left w:val="nil"/>
              <w:bottom w:val="single" w:sz="4" w:space="0" w:color="auto"/>
              <w:right w:val="single" w:sz="4" w:space="0" w:color="auto"/>
            </w:tcBorders>
            <w:noWrap/>
            <w:vAlign w:val="bottom"/>
          </w:tcPr>
          <w:p w:rsidR="00000000" w:rsidRDefault="00000000">
            <w:pPr>
              <w:pStyle w:val="a2"/>
              <w:ind w:right="113"/>
              <w:jc w:val="right"/>
              <w:rPr>
                <w:snapToGrid/>
              </w:rPr>
            </w:pPr>
            <w:r>
              <w:rPr>
                <w:snapToGrid/>
              </w:rPr>
              <w:t>213</w:t>
            </w:r>
          </w:p>
        </w:tc>
        <w:tc>
          <w:tcPr>
            <w:tcW w:w="1134" w:type="dxa"/>
            <w:tcBorders>
              <w:left w:val="nil"/>
              <w:bottom w:val="single" w:sz="4" w:space="0" w:color="auto"/>
              <w:right w:val="single" w:sz="4" w:space="0" w:color="auto"/>
            </w:tcBorders>
            <w:noWrap/>
            <w:vAlign w:val="bottom"/>
          </w:tcPr>
          <w:p w:rsidR="00000000" w:rsidRDefault="00000000">
            <w:pPr>
              <w:pStyle w:val="a2"/>
              <w:jc w:val="center"/>
              <w:rPr>
                <w:snapToGrid/>
              </w:rPr>
            </w:pPr>
            <w:r>
              <w:rPr>
                <w:snapToGrid/>
              </w:rPr>
              <w:t>13</w:t>
            </w:r>
          </w:p>
        </w:tc>
        <w:tc>
          <w:tcPr>
            <w:tcW w:w="816" w:type="dxa"/>
            <w:tcBorders>
              <w:left w:val="nil"/>
              <w:bottom w:val="single" w:sz="4" w:space="0" w:color="auto"/>
              <w:right w:val="single" w:sz="4" w:space="0" w:color="auto"/>
            </w:tcBorders>
            <w:noWrap/>
            <w:vAlign w:val="bottom"/>
          </w:tcPr>
          <w:p w:rsidR="00000000" w:rsidRDefault="00000000">
            <w:pPr>
              <w:pStyle w:val="a2"/>
              <w:ind w:right="113"/>
              <w:jc w:val="right"/>
              <w:rPr>
                <w:snapToGrid/>
              </w:rPr>
            </w:pPr>
            <w:r>
              <w:rPr>
                <w:snapToGrid/>
              </w:rPr>
              <w:t>113</w:t>
            </w:r>
          </w:p>
        </w:tc>
        <w:tc>
          <w:tcPr>
            <w:tcW w:w="1247" w:type="dxa"/>
            <w:tcBorders>
              <w:left w:val="nil"/>
              <w:bottom w:val="single" w:sz="4" w:space="0" w:color="auto"/>
              <w:right w:val="single" w:sz="4" w:space="0" w:color="auto"/>
            </w:tcBorders>
            <w:noWrap/>
            <w:vAlign w:val="bottom"/>
          </w:tcPr>
          <w:p w:rsidR="00000000" w:rsidRDefault="00000000">
            <w:pPr>
              <w:pStyle w:val="a2"/>
              <w:jc w:val="center"/>
              <w:rPr>
                <w:snapToGrid/>
                <w:szCs w:val="16"/>
              </w:rPr>
            </w:pPr>
            <w:r>
              <w:rPr>
                <w:snapToGrid/>
                <w:szCs w:val="16"/>
              </w:rPr>
              <w:t>24</w:t>
            </w:r>
          </w:p>
        </w:tc>
      </w:tr>
      <w:tr w:rsidR="00000000">
        <w:trPr>
          <w:trHeight w:val="315"/>
          <w:jc w:val="center"/>
        </w:trPr>
        <w:tc>
          <w:tcPr>
            <w:tcW w:w="307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00000" w:rsidRDefault="00000000">
            <w:pPr>
              <w:pStyle w:val="a2"/>
              <w:rPr>
                <w:rFonts w:hint="eastAsia"/>
                <w:snapToGrid/>
              </w:rPr>
            </w:pPr>
            <w:r>
              <w:rPr>
                <w:rFonts w:hint="eastAsia"/>
                <w:snapToGrid/>
              </w:rPr>
              <w:t>波斯尼亚和黑塞哥维纳联邦</w:t>
            </w:r>
          </w:p>
        </w:tc>
        <w:tc>
          <w:tcPr>
            <w:tcW w:w="911" w:type="dxa"/>
            <w:tcBorders>
              <w:top w:val="single" w:sz="4" w:space="0" w:color="auto"/>
              <w:left w:val="nil"/>
              <w:bottom w:val="single" w:sz="4" w:space="0" w:color="auto"/>
              <w:right w:val="single" w:sz="4" w:space="0" w:color="auto"/>
            </w:tcBorders>
            <w:noWrap/>
            <w:vAlign w:val="bottom"/>
          </w:tcPr>
          <w:p w:rsidR="00000000" w:rsidRDefault="00000000">
            <w:pPr>
              <w:pStyle w:val="a2"/>
              <w:jc w:val="right"/>
              <w:rPr>
                <w:bCs/>
                <w:snapToGrid/>
              </w:rPr>
            </w:pPr>
            <w:r>
              <w:rPr>
                <w:bCs/>
                <w:snapToGrid/>
              </w:rPr>
              <w:t>115,917</w:t>
            </w:r>
          </w:p>
        </w:tc>
        <w:tc>
          <w:tcPr>
            <w:tcW w:w="1151" w:type="dxa"/>
            <w:tcBorders>
              <w:top w:val="single" w:sz="4" w:space="0" w:color="auto"/>
              <w:left w:val="nil"/>
              <w:bottom w:val="single" w:sz="4" w:space="0" w:color="auto"/>
              <w:right w:val="single" w:sz="4" w:space="0" w:color="auto"/>
            </w:tcBorders>
            <w:vAlign w:val="bottom"/>
          </w:tcPr>
          <w:p w:rsidR="00000000" w:rsidRDefault="00000000">
            <w:pPr>
              <w:pStyle w:val="a2"/>
              <w:jc w:val="center"/>
              <w:rPr>
                <w:bCs/>
                <w:snapToGrid/>
              </w:rPr>
            </w:pPr>
            <w:r>
              <w:rPr>
                <w:bCs/>
                <w:snapToGrid/>
              </w:rPr>
              <w:t>204</w:t>
            </w:r>
          </w:p>
        </w:tc>
        <w:tc>
          <w:tcPr>
            <w:tcW w:w="929" w:type="dxa"/>
            <w:tcBorders>
              <w:top w:val="single" w:sz="4" w:space="0" w:color="auto"/>
              <w:left w:val="nil"/>
              <w:bottom w:val="single" w:sz="4" w:space="0" w:color="auto"/>
              <w:right w:val="single" w:sz="4" w:space="0" w:color="auto"/>
            </w:tcBorders>
            <w:noWrap/>
            <w:vAlign w:val="bottom"/>
          </w:tcPr>
          <w:p w:rsidR="00000000" w:rsidRDefault="00000000">
            <w:pPr>
              <w:pStyle w:val="a2"/>
              <w:ind w:right="113"/>
              <w:jc w:val="right"/>
              <w:rPr>
                <w:bCs/>
                <w:snapToGrid/>
              </w:rPr>
            </w:pPr>
            <w:r>
              <w:rPr>
                <w:bCs/>
                <w:snapToGrid/>
              </w:rPr>
              <w:t>7,675</w:t>
            </w:r>
          </w:p>
        </w:tc>
        <w:tc>
          <w:tcPr>
            <w:tcW w:w="1134" w:type="dxa"/>
            <w:tcBorders>
              <w:top w:val="single" w:sz="4" w:space="0" w:color="auto"/>
              <w:left w:val="nil"/>
              <w:bottom w:val="single" w:sz="4" w:space="0" w:color="auto"/>
              <w:right w:val="single" w:sz="4" w:space="0" w:color="auto"/>
            </w:tcBorders>
            <w:noWrap/>
            <w:vAlign w:val="bottom"/>
          </w:tcPr>
          <w:p w:rsidR="00000000" w:rsidRDefault="00000000">
            <w:pPr>
              <w:pStyle w:val="a2"/>
              <w:jc w:val="center"/>
              <w:rPr>
                <w:bCs/>
                <w:snapToGrid/>
              </w:rPr>
            </w:pPr>
            <w:r>
              <w:rPr>
                <w:bCs/>
                <w:snapToGrid/>
              </w:rPr>
              <w:t>15</w:t>
            </w:r>
          </w:p>
        </w:tc>
        <w:tc>
          <w:tcPr>
            <w:tcW w:w="816" w:type="dxa"/>
            <w:tcBorders>
              <w:top w:val="single" w:sz="4" w:space="0" w:color="auto"/>
              <w:left w:val="nil"/>
              <w:bottom w:val="single" w:sz="4" w:space="0" w:color="auto"/>
              <w:right w:val="single" w:sz="4" w:space="0" w:color="auto"/>
            </w:tcBorders>
            <w:noWrap/>
            <w:vAlign w:val="bottom"/>
          </w:tcPr>
          <w:p w:rsidR="00000000" w:rsidRDefault="00000000">
            <w:pPr>
              <w:pStyle w:val="a2"/>
              <w:ind w:right="113"/>
              <w:jc w:val="right"/>
              <w:rPr>
                <w:bCs/>
                <w:snapToGrid/>
              </w:rPr>
            </w:pPr>
            <w:r>
              <w:rPr>
                <w:bCs/>
                <w:snapToGrid/>
              </w:rPr>
              <w:t>4,099</w:t>
            </w:r>
          </w:p>
        </w:tc>
        <w:tc>
          <w:tcPr>
            <w:tcW w:w="1247" w:type="dxa"/>
            <w:tcBorders>
              <w:top w:val="single" w:sz="4" w:space="0" w:color="auto"/>
              <w:left w:val="nil"/>
              <w:bottom w:val="single" w:sz="4" w:space="0" w:color="auto"/>
              <w:right w:val="single" w:sz="4" w:space="0" w:color="auto"/>
            </w:tcBorders>
            <w:noWrap/>
            <w:vAlign w:val="bottom"/>
          </w:tcPr>
          <w:p w:rsidR="00000000" w:rsidRDefault="00000000">
            <w:pPr>
              <w:pStyle w:val="a2"/>
              <w:jc w:val="center"/>
              <w:rPr>
                <w:bCs/>
                <w:snapToGrid/>
              </w:rPr>
            </w:pPr>
            <w:r>
              <w:rPr>
                <w:bCs/>
                <w:snapToGrid/>
              </w:rPr>
              <w:t>28</w:t>
            </w:r>
          </w:p>
        </w:tc>
      </w:tr>
    </w:tbl>
    <w:p w:rsidR="00000000" w:rsidRDefault="00000000">
      <w:pPr>
        <w:rPr>
          <w:rFonts w:hint="eastAsia"/>
          <w:b/>
          <w:bCs/>
          <w:snapToGrid/>
        </w:rPr>
      </w:pPr>
    </w:p>
    <w:p w:rsidR="00000000" w:rsidRDefault="00000000">
      <w:pPr>
        <w:pStyle w:val="Heading4"/>
        <w:rPr>
          <w:rFonts w:hint="eastAsia"/>
        </w:rPr>
      </w:pPr>
      <w:r>
        <w:rPr>
          <w:rFonts w:hint="eastAsia"/>
        </w:rPr>
        <w:t>塞族共和国的中等教育</w:t>
      </w:r>
    </w:p>
    <w:p w:rsidR="00000000" w:rsidRDefault="00000000">
      <w:pPr>
        <w:rPr>
          <w:rFonts w:hint="eastAsia"/>
        </w:rPr>
      </w:pPr>
      <w:r>
        <w:rPr>
          <w:rFonts w:hint="eastAsia"/>
        </w:rPr>
        <w:tab/>
        <w:t xml:space="preserve">593.  </w:t>
      </w:r>
      <w:r>
        <w:rPr>
          <w:rFonts w:hint="eastAsia"/>
        </w:rPr>
        <w:t>中学招生是在公开竞争和招生的基础上进行的</w:t>
      </w:r>
      <w:r>
        <w:rPr>
          <w:rFonts w:hint="eastAsia"/>
          <w:spacing w:val="-50"/>
        </w:rPr>
        <w:t>―</w:t>
      </w:r>
      <w:r>
        <w:rPr>
          <w:rFonts w:hint="eastAsia"/>
        </w:rPr>
        <w:t>―</w:t>
      </w:r>
      <w:r>
        <w:rPr>
          <w:rFonts w:hint="eastAsia"/>
        </w:rPr>
        <w:t>6</w:t>
      </w:r>
      <w:r>
        <w:rPr>
          <w:rFonts w:hint="eastAsia"/>
        </w:rPr>
        <w:t>月份资格考试和</w:t>
      </w:r>
      <w:r>
        <w:rPr>
          <w:rFonts w:hint="eastAsia"/>
        </w:rPr>
        <w:t>8</w:t>
      </w:r>
      <w:r>
        <w:rPr>
          <w:rFonts w:hint="eastAsia"/>
        </w:rPr>
        <w:t>月份另有一次入学条件检验。</w:t>
      </w:r>
    </w:p>
    <w:p w:rsidR="00000000" w:rsidRDefault="00000000">
      <w:pPr>
        <w:rPr>
          <w:rFonts w:hint="eastAsia"/>
        </w:rPr>
      </w:pPr>
      <w:r>
        <w:rPr>
          <w:rFonts w:hint="eastAsia"/>
        </w:rPr>
        <w:tab/>
        <w:t xml:space="preserve">594.  </w:t>
      </w:r>
      <w:r>
        <w:rPr>
          <w:rFonts w:hint="eastAsia"/>
        </w:rPr>
        <w:t>在文法学校，学生学习</w:t>
      </w:r>
      <w:r>
        <w:rPr>
          <w:rFonts w:hint="eastAsia"/>
        </w:rPr>
        <w:t>3</w:t>
      </w:r>
      <w:r>
        <w:rPr>
          <w:rFonts w:hint="eastAsia"/>
        </w:rPr>
        <w:t>至</w:t>
      </w:r>
      <w:r>
        <w:rPr>
          <w:rFonts w:hint="eastAsia"/>
        </w:rPr>
        <w:t>4</w:t>
      </w:r>
      <w:r>
        <w:rPr>
          <w:rFonts w:hint="eastAsia"/>
        </w:rPr>
        <w:t>年，接受将来工作或继续升学所需要的教育。另外，在中等职业学校，提供</w:t>
      </w:r>
      <w:r>
        <w:rPr>
          <w:rFonts w:hint="eastAsia"/>
        </w:rPr>
        <w:t>1</w:t>
      </w:r>
      <w:r>
        <w:rPr>
          <w:rFonts w:hint="eastAsia"/>
        </w:rPr>
        <w:t>年或</w:t>
      </w:r>
      <w:r>
        <w:rPr>
          <w:rFonts w:hint="eastAsia"/>
        </w:rPr>
        <w:t>1</w:t>
      </w:r>
      <w:r>
        <w:rPr>
          <w:rFonts w:hint="eastAsia"/>
        </w:rPr>
        <w:t>年以上的职业教育</w:t>
      </w:r>
      <w:r>
        <w:rPr>
          <w:rFonts w:hint="eastAsia"/>
        </w:rPr>
        <w:t>(</w:t>
      </w:r>
      <w:r>
        <w:rPr>
          <w:rFonts w:hint="eastAsia"/>
        </w:rPr>
        <w:t>简单职业</w:t>
      </w:r>
      <w:r>
        <w:rPr>
          <w:rFonts w:hint="eastAsia"/>
        </w:rPr>
        <w:t>)</w:t>
      </w:r>
      <w:r>
        <w:rPr>
          <w:rFonts w:hint="eastAsia"/>
        </w:rPr>
        <w:t>。中等教育以后的专门工作培训为一年。在艺术学校，学生接受工作或继续升学的教育。中等艺术学校学制四年。</w:t>
      </w:r>
    </w:p>
    <w:p w:rsidR="00000000" w:rsidRDefault="00000000">
      <w:pPr>
        <w:rPr>
          <w:rFonts w:hint="eastAsia"/>
        </w:rPr>
      </w:pPr>
      <w:r>
        <w:rPr>
          <w:rFonts w:hint="eastAsia"/>
        </w:rPr>
        <w:tab/>
        <w:t xml:space="preserve">595.  </w:t>
      </w:r>
      <w:r>
        <w:rPr>
          <w:rFonts w:hint="eastAsia"/>
        </w:rPr>
        <w:t>宗教学校学制</w:t>
      </w:r>
      <w:r>
        <w:rPr>
          <w:rFonts w:hint="eastAsia"/>
        </w:rPr>
        <w:t>4</w:t>
      </w:r>
      <w:r>
        <w:rPr>
          <w:rFonts w:hint="eastAsia"/>
        </w:rPr>
        <w:t>至</w:t>
      </w:r>
      <w:r>
        <w:rPr>
          <w:rFonts w:hint="eastAsia"/>
        </w:rPr>
        <w:t>5</w:t>
      </w:r>
      <w:r>
        <w:rPr>
          <w:rFonts w:hint="eastAsia"/>
        </w:rPr>
        <w:t>年，学生接受工作或继续升学的中等教育。</w:t>
      </w:r>
    </w:p>
    <w:p w:rsidR="00000000" w:rsidRDefault="00000000">
      <w:pPr>
        <w:rPr>
          <w:rFonts w:hint="eastAsia"/>
        </w:rPr>
      </w:pPr>
      <w:r>
        <w:rPr>
          <w:rFonts w:hint="eastAsia"/>
        </w:rPr>
        <w:tab/>
        <w:t xml:space="preserve">596.  </w:t>
      </w:r>
      <w:r>
        <w:rPr>
          <w:rFonts w:hint="eastAsia"/>
        </w:rPr>
        <w:t>在军事学校，学生接受工作或继续升学的中等教育。入学和课程是按特别法律进行的。也允许开办私立中学，由主管的部签发开办私立学校的批准书。</w:t>
      </w:r>
    </w:p>
    <w:p w:rsidR="00000000" w:rsidRDefault="00000000">
      <w:pPr>
        <w:rPr>
          <w:rFonts w:hint="eastAsia"/>
          <w:lang w:val="en-GB"/>
        </w:rPr>
      </w:pPr>
      <w:r>
        <w:rPr>
          <w:rFonts w:hint="eastAsia"/>
        </w:rPr>
        <w:tab/>
        <w:t xml:space="preserve">597.  </w:t>
      </w:r>
      <w:r>
        <w:rPr>
          <w:rFonts w:hint="eastAsia"/>
        </w:rPr>
        <w:t>关于女孩的教育及其事业选择，所有有关教育类型的决定都是由个人作出，但是我们找出的模式的结果在个人一级没有体现。</w:t>
      </w:r>
      <w:r>
        <w:rPr>
          <w:lang w:val="en-GB"/>
        </w:rPr>
        <w:t>A. Milić</w:t>
      </w:r>
      <w:r>
        <w:rPr>
          <w:rFonts w:hint="eastAsia"/>
          <w:lang w:val="en-GB"/>
        </w:rPr>
        <w:t>认为，女童经历了从家庭到小学、中学和大学直至就业的过程，我们需要依赖这种进入社会的过程去考查</w:t>
      </w:r>
      <w:r>
        <w:rPr>
          <w:rFonts w:hint="eastAsia"/>
          <w:lang w:val="en-GB"/>
        </w:rPr>
        <w:t>(</w:t>
      </w:r>
      <w:r>
        <w:rPr>
          <w:lang w:val="en-GB"/>
        </w:rPr>
        <w:t>Milić</w:t>
      </w:r>
      <w:r>
        <w:rPr>
          <w:rFonts w:hint="eastAsia"/>
          <w:lang w:val="en-GB"/>
        </w:rPr>
        <w:t>，</w:t>
      </w:r>
      <w:r>
        <w:rPr>
          <w:rFonts w:hint="eastAsia"/>
          <w:lang w:val="en-GB"/>
        </w:rPr>
        <w:t>1994</w:t>
      </w:r>
      <w:r>
        <w:rPr>
          <w:rFonts w:hint="eastAsia"/>
          <w:lang w:val="en-GB"/>
        </w:rPr>
        <w:t>：</w:t>
      </w:r>
      <w:r>
        <w:rPr>
          <w:rFonts w:hint="eastAsia"/>
          <w:lang w:val="en-GB"/>
        </w:rPr>
        <w:t>53)</w:t>
      </w:r>
      <w:r>
        <w:rPr>
          <w:rFonts w:hint="eastAsia"/>
          <w:lang w:val="en-GB"/>
        </w:rPr>
        <w:t>。不论对市场各种力量非常不平衡的关系的解释如何</w:t>
      </w:r>
      <w:r>
        <w:rPr>
          <w:rFonts w:hint="eastAsia"/>
          <w:spacing w:val="-50"/>
          <w:lang w:val="en-GB"/>
        </w:rPr>
        <w:t>―</w:t>
      </w:r>
      <w:r>
        <w:rPr>
          <w:rFonts w:hint="eastAsia"/>
          <w:lang w:val="en-GB"/>
        </w:rPr>
        <w:t>―不管是以一种适应新的社会条件的新方式所体现的文化形式，还是男劳力由于某些职业工资低、没有尊严或在其他地方有更好的机会而离开这些职业，而由女性劳力填补这些同样的职业</w:t>
      </w:r>
      <w:r>
        <w:rPr>
          <w:rFonts w:hint="eastAsia"/>
          <w:spacing w:val="-50"/>
          <w:lang w:val="en-GB"/>
        </w:rPr>
        <w:t>―</w:t>
      </w:r>
      <w:r>
        <w:rPr>
          <w:rFonts w:hint="eastAsia"/>
          <w:lang w:val="en-GB"/>
        </w:rPr>
        <w:t>―在这里对于妇女的问题是某种不平衡导致了劳动力市场的分割。那些属于女权主义者或所谓的性别平等派的女性作者认为，这种发展动态会降低妇女的社会经济地位。但是，这并不是看待专业条块分割的唯一的方法。</w:t>
      </w:r>
    </w:p>
    <w:p w:rsidR="00000000" w:rsidRDefault="00000000">
      <w:pPr>
        <w:rPr>
          <w:rFonts w:hint="eastAsia"/>
          <w:lang w:val="en-GB"/>
        </w:rPr>
      </w:pPr>
      <w:r>
        <w:rPr>
          <w:rFonts w:hint="eastAsia"/>
          <w:lang w:val="en-GB"/>
        </w:rPr>
        <w:tab/>
        <w:t xml:space="preserve">598.  </w:t>
      </w:r>
      <w:r>
        <w:rPr>
          <w:rFonts w:hint="eastAsia"/>
          <w:lang w:val="en-GB"/>
        </w:rPr>
        <w:t>妇女集中于某些专业也产生了其他的后果。首先，这导致了在这类专业内部的竞争加剧，并削弱了妇女在整个劳动力市场上的总的竞争力。妇女劳动力所处的情况将取决于，首先是经济系统中的条件。与此相关的就是对这类工作的所付的低工资。</w:t>
      </w:r>
    </w:p>
    <w:p w:rsidR="00000000" w:rsidRDefault="00000000">
      <w:pPr>
        <w:rPr>
          <w:rFonts w:hint="eastAsia"/>
          <w:lang w:val="en-GB"/>
        </w:rPr>
      </w:pPr>
      <w:r>
        <w:rPr>
          <w:rFonts w:hint="eastAsia"/>
          <w:lang w:val="en-GB"/>
        </w:rPr>
        <w:tab/>
        <w:t xml:space="preserve">599.  </w:t>
      </w:r>
      <w:r>
        <w:rPr>
          <w:rFonts w:hint="eastAsia"/>
          <w:lang w:val="en-GB"/>
        </w:rPr>
        <w:t>在</w:t>
      </w:r>
      <w:r>
        <w:rPr>
          <w:rFonts w:hint="eastAsia"/>
          <w:lang w:val="en-GB"/>
        </w:rPr>
        <w:t>1999/2000</w:t>
      </w:r>
      <w:r>
        <w:rPr>
          <w:rFonts w:hint="eastAsia"/>
          <w:lang w:val="en-GB"/>
        </w:rPr>
        <w:t>学年结束时，塞族共和国共有</w:t>
      </w:r>
      <w:r>
        <w:rPr>
          <w:rFonts w:hint="eastAsia"/>
          <w:lang w:val="en-GB"/>
        </w:rPr>
        <w:t>27</w:t>
      </w:r>
      <w:r>
        <w:rPr>
          <w:rFonts w:hint="eastAsia"/>
          <w:lang w:val="en-GB"/>
        </w:rPr>
        <w:t>所特殊小学。其中两所是</w:t>
      </w:r>
      <w:r>
        <w:rPr>
          <w:rFonts w:hint="eastAsia"/>
          <w:lang w:val="en-GB"/>
        </w:rPr>
        <w:t>4</w:t>
      </w:r>
      <w:r>
        <w:rPr>
          <w:rFonts w:hint="eastAsia"/>
          <w:lang w:val="en-GB"/>
        </w:rPr>
        <w:t>年级制，其余</w:t>
      </w:r>
      <w:r>
        <w:rPr>
          <w:rFonts w:hint="eastAsia"/>
          <w:lang w:val="en-GB"/>
        </w:rPr>
        <w:t>25</w:t>
      </w:r>
      <w:r>
        <w:rPr>
          <w:rFonts w:hint="eastAsia"/>
          <w:lang w:val="en-GB"/>
        </w:rPr>
        <w:t>所是</w:t>
      </w:r>
      <w:r>
        <w:rPr>
          <w:rFonts w:hint="eastAsia"/>
          <w:lang w:val="en-GB"/>
        </w:rPr>
        <w:t>8</w:t>
      </w:r>
      <w:r>
        <w:rPr>
          <w:rFonts w:hint="eastAsia"/>
          <w:lang w:val="en-GB"/>
        </w:rPr>
        <w:t>年级制小学。在特殊小学前</w:t>
      </w:r>
      <w:r>
        <w:rPr>
          <w:rFonts w:hint="eastAsia"/>
          <w:lang w:val="en-GB"/>
        </w:rPr>
        <w:t>4</w:t>
      </w:r>
      <w:r>
        <w:rPr>
          <w:rFonts w:hint="eastAsia"/>
          <w:lang w:val="en-GB"/>
        </w:rPr>
        <w:t>年级的学生总数为</w:t>
      </w:r>
      <w:r>
        <w:rPr>
          <w:rFonts w:hint="eastAsia"/>
          <w:lang w:val="en-GB"/>
        </w:rPr>
        <w:t>208</w:t>
      </w:r>
      <w:r>
        <w:rPr>
          <w:rFonts w:hint="eastAsia"/>
          <w:lang w:val="en-GB"/>
        </w:rPr>
        <w:t>名，其中</w:t>
      </w:r>
      <w:r>
        <w:rPr>
          <w:rFonts w:hint="eastAsia"/>
          <w:lang w:val="en-GB"/>
        </w:rPr>
        <w:t>76</w:t>
      </w:r>
      <w:r>
        <w:rPr>
          <w:rFonts w:hint="eastAsia"/>
          <w:lang w:val="en-GB"/>
        </w:rPr>
        <w:t>名是女孩；有</w:t>
      </w:r>
      <w:r>
        <w:rPr>
          <w:rFonts w:hint="eastAsia"/>
          <w:lang w:val="en-GB"/>
        </w:rPr>
        <w:t>204</w:t>
      </w:r>
      <w:r>
        <w:rPr>
          <w:rFonts w:hint="eastAsia"/>
          <w:lang w:val="en-GB"/>
        </w:rPr>
        <w:t>名学生完成了学业，其中</w:t>
      </w:r>
      <w:r>
        <w:rPr>
          <w:rFonts w:hint="eastAsia"/>
          <w:lang w:val="en-GB"/>
        </w:rPr>
        <w:t>75</w:t>
      </w:r>
      <w:r>
        <w:rPr>
          <w:rFonts w:hint="eastAsia"/>
          <w:lang w:val="en-GB"/>
        </w:rPr>
        <w:t>名是女学生。在</w:t>
      </w:r>
      <w:r>
        <w:rPr>
          <w:rFonts w:hint="eastAsia"/>
          <w:lang w:val="en-GB"/>
        </w:rPr>
        <w:t>1999/2000</w:t>
      </w:r>
      <w:r>
        <w:rPr>
          <w:rFonts w:hint="eastAsia"/>
          <w:lang w:val="en-GB"/>
        </w:rPr>
        <w:t>学年中，在小学高年级中有</w:t>
      </w:r>
      <w:r>
        <w:rPr>
          <w:rFonts w:hint="eastAsia"/>
          <w:lang w:val="en-GB"/>
        </w:rPr>
        <w:t>289</w:t>
      </w:r>
      <w:r>
        <w:rPr>
          <w:rFonts w:hint="eastAsia"/>
          <w:lang w:val="en-GB"/>
        </w:rPr>
        <w:t>名学生，其中</w:t>
      </w:r>
      <w:r>
        <w:rPr>
          <w:rFonts w:hint="eastAsia"/>
          <w:lang w:val="en-GB"/>
        </w:rPr>
        <w:t>94</w:t>
      </w:r>
      <w:r>
        <w:rPr>
          <w:rFonts w:hint="eastAsia"/>
          <w:lang w:val="en-GB"/>
        </w:rPr>
        <w:t>名是女学生；有</w:t>
      </w:r>
      <w:r>
        <w:rPr>
          <w:rFonts w:hint="eastAsia"/>
          <w:lang w:val="en-GB"/>
        </w:rPr>
        <w:t>283</w:t>
      </w:r>
      <w:r>
        <w:rPr>
          <w:rFonts w:hint="eastAsia"/>
          <w:lang w:val="en-GB"/>
        </w:rPr>
        <w:t>名学生毕业，其中</w:t>
      </w:r>
      <w:r>
        <w:rPr>
          <w:rFonts w:hint="eastAsia"/>
          <w:lang w:val="en-GB"/>
        </w:rPr>
        <w:t>94</w:t>
      </w:r>
      <w:r>
        <w:rPr>
          <w:rFonts w:hint="eastAsia"/>
          <w:lang w:val="en-GB"/>
        </w:rPr>
        <w:t>名是女学生，这意味着女生相对于男生来说女生</w:t>
      </w:r>
      <w:r>
        <w:rPr>
          <w:rFonts w:hint="eastAsia"/>
          <w:lang w:val="en-GB"/>
        </w:rPr>
        <w:t>100%</w:t>
      </w:r>
      <w:r>
        <w:rPr>
          <w:rFonts w:hint="eastAsia"/>
          <w:lang w:val="en-GB"/>
        </w:rPr>
        <w:t>都毕业。</w:t>
      </w:r>
    </w:p>
    <w:p w:rsidR="00000000" w:rsidRDefault="00000000">
      <w:pPr>
        <w:spacing w:after="320"/>
        <w:rPr>
          <w:rFonts w:hint="eastAsia"/>
          <w:lang w:val="en-GB"/>
        </w:rPr>
      </w:pPr>
      <w:r>
        <w:rPr>
          <w:rFonts w:hint="eastAsia"/>
          <w:lang w:val="en-GB"/>
        </w:rPr>
        <w:tab/>
        <w:t xml:space="preserve">600.  </w:t>
      </w:r>
      <w:r>
        <w:rPr>
          <w:rFonts w:hint="eastAsia"/>
          <w:lang w:val="en-GB"/>
        </w:rPr>
        <w:t>在</w:t>
      </w:r>
      <w:r>
        <w:rPr>
          <w:rFonts w:hint="eastAsia"/>
          <w:lang w:val="en-GB"/>
        </w:rPr>
        <w:t>1999/2000</w:t>
      </w:r>
      <w:r>
        <w:rPr>
          <w:rFonts w:hint="eastAsia"/>
          <w:lang w:val="en-GB"/>
        </w:rPr>
        <w:t>学年，特别小学总数为</w:t>
      </w:r>
      <w:r>
        <w:rPr>
          <w:rFonts w:hint="eastAsia"/>
          <w:lang w:val="en-GB"/>
        </w:rPr>
        <w:t>27</w:t>
      </w:r>
      <w:r>
        <w:rPr>
          <w:rFonts w:hint="eastAsia"/>
          <w:lang w:val="en-GB"/>
        </w:rPr>
        <w:t>个；其中</w:t>
      </w:r>
      <w:r>
        <w:rPr>
          <w:rFonts w:hint="eastAsia"/>
          <w:lang w:val="en-GB"/>
        </w:rPr>
        <w:t>25</w:t>
      </w:r>
      <w:r>
        <w:rPr>
          <w:rFonts w:hint="eastAsia"/>
          <w:lang w:val="en-GB"/>
        </w:rPr>
        <w:t>所是</w:t>
      </w:r>
      <w:r>
        <w:rPr>
          <w:rFonts w:hint="eastAsia"/>
          <w:lang w:val="en-GB"/>
        </w:rPr>
        <w:t>8</w:t>
      </w:r>
      <w:r>
        <w:rPr>
          <w:rFonts w:hint="eastAsia"/>
          <w:lang w:val="en-GB"/>
        </w:rPr>
        <w:t>年级制学校，其他</w:t>
      </w:r>
      <w:r>
        <w:rPr>
          <w:rFonts w:hint="eastAsia"/>
          <w:lang w:val="en-GB"/>
        </w:rPr>
        <w:t>2</w:t>
      </w:r>
      <w:r>
        <w:rPr>
          <w:rFonts w:hint="eastAsia"/>
          <w:lang w:val="en-GB"/>
        </w:rPr>
        <w:t>所是</w:t>
      </w:r>
      <w:r>
        <w:rPr>
          <w:rFonts w:hint="eastAsia"/>
          <w:lang w:val="en-GB"/>
        </w:rPr>
        <w:t>4</w:t>
      </w:r>
      <w:r>
        <w:rPr>
          <w:rFonts w:hint="eastAsia"/>
          <w:lang w:val="en-GB"/>
        </w:rPr>
        <w:t>年级制学校。</w:t>
      </w:r>
    </w:p>
    <w:p w:rsidR="00000000" w:rsidRDefault="00000000">
      <w:pPr>
        <w:pStyle w:val="Heading3"/>
        <w:spacing w:after="120"/>
        <w:rPr>
          <w:rFonts w:hint="eastAsia"/>
          <w:u w:val="none"/>
        </w:rPr>
      </w:pPr>
      <w:r>
        <w:rPr>
          <w:rFonts w:hint="eastAsia"/>
          <w:u w:val="none"/>
        </w:rPr>
        <w:t>表</w:t>
      </w:r>
      <w:r>
        <w:rPr>
          <w:rFonts w:hint="eastAsia"/>
          <w:u w:val="none"/>
        </w:rPr>
        <w:t xml:space="preserve">  28</w:t>
      </w:r>
    </w:p>
    <w:p w:rsidR="00000000" w:rsidRDefault="00000000">
      <w:pPr>
        <w:pStyle w:val="Heading3"/>
        <w:rPr>
          <w:rFonts w:hint="eastAsia"/>
        </w:rPr>
      </w:pPr>
      <w:r>
        <w:rPr>
          <w:rFonts w:hint="eastAsia"/>
        </w:rPr>
        <w:t>1999/2000</w:t>
      </w:r>
      <w:r>
        <w:rPr>
          <w:rFonts w:hint="eastAsia"/>
        </w:rPr>
        <w:t>学年结束时按性别和考试</w:t>
      </w:r>
      <w:r>
        <w:br/>
      </w:r>
      <w:r>
        <w:rPr>
          <w:rFonts w:hint="eastAsia"/>
        </w:rPr>
        <w:t>及格划分的特别小学学生的情况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332"/>
        <w:gridCol w:w="1312"/>
        <w:gridCol w:w="1332"/>
        <w:gridCol w:w="1332"/>
        <w:gridCol w:w="1780"/>
      </w:tblGrid>
      <w:tr w:rsidR="00000000">
        <w:tblPrEx>
          <w:tblCellMar>
            <w:top w:w="0" w:type="dxa"/>
            <w:bottom w:w="0" w:type="dxa"/>
          </w:tblCellMar>
        </w:tblPrEx>
        <w:tc>
          <w:tcPr>
            <w:tcW w:w="2268" w:type="dxa"/>
          </w:tcPr>
          <w:p w:rsidR="00000000" w:rsidRDefault="00000000">
            <w:pPr>
              <w:pStyle w:val="a2"/>
              <w:spacing w:before="80" w:after="40"/>
              <w:jc w:val="center"/>
              <w:rPr>
                <w:rFonts w:hint="eastAsia"/>
              </w:rPr>
            </w:pPr>
            <w:r>
              <w:rPr>
                <w:rFonts w:hint="eastAsia"/>
              </w:rPr>
              <w:t>总数，年级</w:t>
            </w:r>
          </w:p>
        </w:tc>
        <w:tc>
          <w:tcPr>
            <w:tcW w:w="1332" w:type="dxa"/>
          </w:tcPr>
          <w:p w:rsidR="00000000" w:rsidRDefault="00000000">
            <w:pPr>
              <w:pStyle w:val="a2"/>
              <w:spacing w:before="80" w:after="40"/>
              <w:jc w:val="center"/>
              <w:rPr>
                <w:rFonts w:hint="eastAsia"/>
              </w:rPr>
            </w:pPr>
            <w:r>
              <w:rPr>
                <w:rFonts w:hint="eastAsia"/>
              </w:rPr>
              <w:t>学生总数</w:t>
            </w:r>
          </w:p>
        </w:tc>
        <w:tc>
          <w:tcPr>
            <w:tcW w:w="1312" w:type="dxa"/>
          </w:tcPr>
          <w:p w:rsidR="00000000" w:rsidRDefault="00000000">
            <w:pPr>
              <w:pStyle w:val="a2"/>
              <w:spacing w:before="80" w:after="40"/>
              <w:jc w:val="center"/>
              <w:rPr>
                <w:rFonts w:hint="eastAsia"/>
              </w:rPr>
            </w:pPr>
            <w:r>
              <w:rPr>
                <w:rFonts w:hint="eastAsia"/>
              </w:rPr>
              <w:t>女生</w:t>
            </w:r>
          </w:p>
        </w:tc>
        <w:tc>
          <w:tcPr>
            <w:tcW w:w="1332" w:type="dxa"/>
          </w:tcPr>
          <w:p w:rsidR="00000000" w:rsidRDefault="00000000">
            <w:pPr>
              <w:pStyle w:val="a2"/>
              <w:spacing w:before="80" w:after="40"/>
              <w:jc w:val="center"/>
              <w:rPr>
                <w:rFonts w:hint="eastAsia"/>
              </w:rPr>
            </w:pPr>
            <w:r>
              <w:rPr>
                <w:rFonts w:hint="eastAsia"/>
              </w:rPr>
              <w:t>男生</w:t>
            </w:r>
          </w:p>
        </w:tc>
        <w:tc>
          <w:tcPr>
            <w:tcW w:w="1332" w:type="dxa"/>
          </w:tcPr>
          <w:p w:rsidR="00000000" w:rsidRDefault="00000000">
            <w:pPr>
              <w:pStyle w:val="a2"/>
              <w:spacing w:before="80" w:after="40"/>
              <w:jc w:val="center"/>
              <w:rPr>
                <w:rFonts w:hint="eastAsia"/>
              </w:rPr>
            </w:pPr>
            <w:r>
              <w:rPr>
                <w:rFonts w:hint="eastAsia"/>
              </w:rPr>
              <w:t>毕业人数</w:t>
            </w:r>
          </w:p>
        </w:tc>
        <w:tc>
          <w:tcPr>
            <w:tcW w:w="1780" w:type="dxa"/>
          </w:tcPr>
          <w:p w:rsidR="00000000" w:rsidRDefault="00000000">
            <w:pPr>
              <w:pStyle w:val="a2"/>
              <w:spacing w:before="80" w:after="40"/>
              <w:jc w:val="center"/>
              <w:rPr>
                <w:rFonts w:hint="eastAsia"/>
              </w:rPr>
            </w:pPr>
            <w:r>
              <w:rPr>
                <w:rFonts w:hint="eastAsia"/>
              </w:rPr>
              <w:t>毕业女生人数</w:t>
            </w:r>
          </w:p>
        </w:tc>
      </w:tr>
      <w:tr w:rsidR="00000000">
        <w:tblPrEx>
          <w:tblCellMar>
            <w:top w:w="0" w:type="dxa"/>
            <w:bottom w:w="0" w:type="dxa"/>
          </w:tblCellMar>
        </w:tblPrEx>
        <w:tc>
          <w:tcPr>
            <w:tcW w:w="2268" w:type="dxa"/>
            <w:tcBorders>
              <w:bottom w:val="nil"/>
            </w:tcBorders>
          </w:tcPr>
          <w:p w:rsidR="00000000" w:rsidRDefault="00000000">
            <w:pPr>
              <w:pStyle w:val="a2"/>
              <w:jc w:val="center"/>
              <w:rPr>
                <w:rFonts w:hint="eastAsia"/>
              </w:rPr>
            </w:pPr>
            <w:r>
              <w:rPr>
                <w:rFonts w:hint="eastAsia"/>
              </w:rPr>
              <w:t>1-4</w:t>
            </w:r>
            <w:r>
              <w:rPr>
                <w:rFonts w:hint="eastAsia"/>
              </w:rPr>
              <w:t>年级</w:t>
            </w:r>
          </w:p>
        </w:tc>
        <w:tc>
          <w:tcPr>
            <w:tcW w:w="1332" w:type="dxa"/>
            <w:tcBorders>
              <w:bottom w:val="nil"/>
            </w:tcBorders>
          </w:tcPr>
          <w:p w:rsidR="00000000" w:rsidRDefault="00000000">
            <w:pPr>
              <w:pStyle w:val="a2"/>
              <w:jc w:val="center"/>
            </w:pPr>
            <w:r>
              <w:t>208</w:t>
            </w:r>
          </w:p>
        </w:tc>
        <w:tc>
          <w:tcPr>
            <w:tcW w:w="1312" w:type="dxa"/>
            <w:tcBorders>
              <w:bottom w:val="nil"/>
            </w:tcBorders>
          </w:tcPr>
          <w:p w:rsidR="00000000" w:rsidRDefault="00000000">
            <w:pPr>
              <w:pStyle w:val="a2"/>
              <w:jc w:val="center"/>
            </w:pPr>
            <w:r>
              <w:t>76</w:t>
            </w:r>
          </w:p>
        </w:tc>
        <w:tc>
          <w:tcPr>
            <w:tcW w:w="1332" w:type="dxa"/>
            <w:tcBorders>
              <w:bottom w:val="nil"/>
            </w:tcBorders>
          </w:tcPr>
          <w:p w:rsidR="00000000" w:rsidRDefault="00000000">
            <w:pPr>
              <w:pStyle w:val="a2"/>
              <w:jc w:val="center"/>
            </w:pPr>
            <w:r>
              <w:t>132</w:t>
            </w:r>
          </w:p>
        </w:tc>
        <w:tc>
          <w:tcPr>
            <w:tcW w:w="1332" w:type="dxa"/>
            <w:tcBorders>
              <w:bottom w:val="nil"/>
            </w:tcBorders>
          </w:tcPr>
          <w:p w:rsidR="00000000" w:rsidRDefault="00000000">
            <w:pPr>
              <w:pStyle w:val="a2"/>
              <w:jc w:val="center"/>
            </w:pPr>
            <w:r>
              <w:t>204</w:t>
            </w:r>
          </w:p>
        </w:tc>
        <w:tc>
          <w:tcPr>
            <w:tcW w:w="1780" w:type="dxa"/>
            <w:tcBorders>
              <w:bottom w:val="nil"/>
            </w:tcBorders>
          </w:tcPr>
          <w:p w:rsidR="00000000" w:rsidRDefault="00000000">
            <w:pPr>
              <w:pStyle w:val="a2"/>
              <w:jc w:val="center"/>
            </w:pPr>
            <w:r>
              <w:t>75</w:t>
            </w:r>
          </w:p>
        </w:tc>
      </w:tr>
      <w:tr w:rsidR="00000000">
        <w:tblPrEx>
          <w:tblCellMar>
            <w:top w:w="0" w:type="dxa"/>
            <w:bottom w:w="0" w:type="dxa"/>
          </w:tblCellMar>
        </w:tblPrEx>
        <w:tc>
          <w:tcPr>
            <w:tcW w:w="2268" w:type="dxa"/>
            <w:tcBorders>
              <w:top w:val="nil"/>
            </w:tcBorders>
          </w:tcPr>
          <w:p w:rsidR="00000000" w:rsidRDefault="00000000">
            <w:pPr>
              <w:pStyle w:val="a2"/>
              <w:jc w:val="center"/>
              <w:rPr>
                <w:rFonts w:hint="eastAsia"/>
              </w:rPr>
            </w:pPr>
            <w:r>
              <w:rPr>
                <w:rFonts w:hint="eastAsia"/>
              </w:rPr>
              <w:t>5-8</w:t>
            </w:r>
            <w:r>
              <w:rPr>
                <w:rFonts w:hint="eastAsia"/>
              </w:rPr>
              <w:t>年级</w:t>
            </w:r>
          </w:p>
        </w:tc>
        <w:tc>
          <w:tcPr>
            <w:tcW w:w="1332" w:type="dxa"/>
            <w:tcBorders>
              <w:top w:val="nil"/>
            </w:tcBorders>
          </w:tcPr>
          <w:p w:rsidR="00000000" w:rsidRDefault="00000000">
            <w:pPr>
              <w:pStyle w:val="a2"/>
              <w:jc w:val="center"/>
            </w:pPr>
            <w:r>
              <w:t>289</w:t>
            </w:r>
          </w:p>
        </w:tc>
        <w:tc>
          <w:tcPr>
            <w:tcW w:w="1312" w:type="dxa"/>
            <w:tcBorders>
              <w:top w:val="nil"/>
            </w:tcBorders>
          </w:tcPr>
          <w:p w:rsidR="00000000" w:rsidRDefault="00000000">
            <w:pPr>
              <w:pStyle w:val="a2"/>
              <w:jc w:val="center"/>
            </w:pPr>
            <w:r>
              <w:t>94</w:t>
            </w:r>
          </w:p>
        </w:tc>
        <w:tc>
          <w:tcPr>
            <w:tcW w:w="1332" w:type="dxa"/>
            <w:tcBorders>
              <w:top w:val="nil"/>
            </w:tcBorders>
          </w:tcPr>
          <w:p w:rsidR="00000000" w:rsidRDefault="00000000">
            <w:pPr>
              <w:pStyle w:val="a2"/>
              <w:jc w:val="center"/>
            </w:pPr>
            <w:r>
              <w:t>195</w:t>
            </w:r>
          </w:p>
        </w:tc>
        <w:tc>
          <w:tcPr>
            <w:tcW w:w="1332" w:type="dxa"/>
            <w:tcBorders>
              <w:top w:val="nil"/>
            </w:tcBorders>
          </w:tcPr>
          <w:p w:rsidR="00000000" w:rsidRDefault="00000000">
            <w:pPr>
              <w:pStyle w:val="a2"/>
              <w:jc w:val="center"/>
            </w:pPr>
            <w:r>
              <w:t>283</w:t>
            </w:r>
          </w:p>
        </w:tc>
        <w:tc>
          <w:tcPr>
            <w:tcW w:w="1780" w:type="dxa"/>
            <w:tcBorders>
              <w:top w:val="nil"/>
            </w:tcBorders>
          </w:tcPr>
          <w:p w:rsidR="00000000" w:rsidRDefault="00000000">
            <w:pPr>
              <w:pStyle w:val="a2"/>
              <w:jc w:val="center"/>
            </w:pPr>
            <w:r>
              <w:t>94</w:t>
            </w:r>
          </w:p>
        </w:tc>
      </w:tr>
    </w:tbl>
    <w:p w:rsidR="00000000" w:rsidRDefault="00000000">
      <w:pPr>
        <w:rPr>
          <w:rFonts w:hint="eastAsia"/>
        </w:rPr>
      </w:pPr>
    </w:p>
    <w:p w:rsidR="00000000" w:rsidRDefault="00000000">
      <w:pPr>
        <w:spacing w:after="320"/>
        <w:rPr>
          <w:rFonts w:hint="eastAsia"/>
        </w:rPr>
      </w:pPr>
      <w:r>
        <w:rPr>
          <w:rFonts w:hint="eastAsia"/>
        </w:rPr>
        <w:tab/>
        <w:t xml:space="preserve">601.  </w:t>
      </w:r>
      <w:r>
        <w:rPr>
          <w:rFonts w:hint="eastAsia"/>
        </w:rPr>
        <w:t>特别小学共聘用</w:t>
      </w:r>
      <w:r>
        <w:rPr>
          <w:rFonts w:hint="eastAsia"/>
        </w:rPr>
        <w:t>62</w:t>
      </w:r>
      <w:r>
        <w:rPr>
          <w:rFonts w:hint="eastAsia"/>
        </w:rPr>
        <w:t>位教师；</w:t>
      </w:r>
      <w:r>
        <w:rPr>
          <w:rFonts w:hint="eastAsia"/>
        </w:rPr>
        <w:t>26</w:t>
      </w:r>
      <w:r>
        <w:rPr>
          <w:rFonts w:hint="eastAsia"/>
        </w:rPr>
        <w:t>名女教师在</w:t>
      </w:r>
      <w:r>
        <w:rPr>
          <w:rFonts w:hint="eastAsia"/>
        </w:rPr>
        <w:t>1</w:t>
      </w:r>
      <w:r>
        <w:rPr>
          <w:rFonts w:hint="eastAsia"/>
        </w:rPr>
        <w:t>至</w:t>
      </w:r>
      <w:r>
        <w:rPr>
          <w:rFonts w:hint="eastAsia"/>
        </w:rPr>
        <w:t>4</w:t>
      </w:r>
      <w:r>
        <w:rPr>
          <w:rFonts w:hint="eastAsia"/>
        </w:rPr>
        <w:t>年级任教，即</w:t>
      </w:r>
      <w:r>
        <w:rPr>
          <w:rFonts w:hint="eastAsia"/>
        </w:rPr>
        <w:t>100%</w:t>
      </w:r>
      <w:r>
        <w:rPr>
          <w:rFonts w:hint="eastAsia"/>
        </w:rPr>
        <w:t>。在高年级，</w:t>
      </w:r>
      <w:r>
        <w:rPr>
          <w:rFonts w:hint="eastAsia"/>
        </w:rPr>
        <w:t>5</w:t>
      </w:r>
      <w:r>
        <w:rPr>
          <w:rFonts w:hint="eastAsia"/>
        </w:rPr>
        <w:t>至</w:t>
      </w:r>
      <w:r>
        <w:rPr>
          <w:rFonts w:hint="eastAsia"/>
        </w:rPr>
        <w:t>8</w:t>
      </w:r>
      <w:r>
        <w:rPr>
          <w:rFonts w:hint="eastAsia"/>
        </w:rPr>
        <w:t>年级，共有</w:t>
      </w:r>
      <w:r>
        <w:rPr>
          <w:rFonts w:hint="eastAsia"/>
        </w:rPr>
        <w:t>36</w:t>
      </w:r>
      <w:r>
        <w:rPr>
          <w:rFonts w:hint="eastAsia"/>
        </w:rPr>
        <w:t>名教师，其中</w:t>
      </w:r>
      <w:r>
        <w:rPr>
          <w:rFonts w:hint="eastAsia"/>
        </w:rPr>
        <w:t>25</w:t>
      </w:r>
      <w:r>
        <w:rPr>
          <w:rFonts w:hint="eastAsia"/>
        </w:rPr>
        <w:t>名是女教师。这个数字表明妇女在教育中最难的岗位上工作，担任这类困难任务的女性要比男性多的多。</w:t>
      </w:r>
    </w:p>
    <w:p w:rsidR="00000000" w:rsidRDefault="00000000">
      <w:pPr>
        <w:pStyle w:val="Heading3"/>
        <w:spacing w:after="120"/>
        <w:rPr>
          <w:rFonts w:hint="eastAsia"/>
          <w:u w:val="none"/>
        </w:rPr>
      </w:pPr>
      <w:r>
        <w:rPr>
          <w:rFonts w:hint="eastAsia"/>
          <w:u w:val="none"/>
        </w:rPr>
        <w:t>表</w:t>
      </w:r>
      <w:r>
        <w:rPr>
          <w:rFonts w:hint="eastAsia"/>
          <w:u w:val="none"/>
        </w:rPr>
        <w:t xml:space="preserve">  29</w:t>
      </w:r>
    </w:p>
    <w:p w:rsidR="00000000" w:rsidRDefault="00000000">
      <w:pPr>
        <w:pStyle w:val="Heading3"/>
        <w:rPr>
          <w:rFonts w:hint="eastAsia"/>
        </w:rPr>
      </w:pPr>
      <w:r>
        <w:rPr>
          <w:rFonts w:hint="eastAsia"/>
        </w:rPr>
        <w:t>特别小学中的教师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125"/>
        <w:gridCol w:w="2127"/>
        <w:gridCol w:w="2126"/>
      </w:tblGrid>
      <w:tr w:rsidR="00000000">
        <w:tblPrEx>
          <w:tblCellMar>
            <w:top w:w="0" w:type="dxa"/>
            <w:bottom w:w="0" w:type="dxa"/>
          </w:tblCellMar>
        </w:tblPrEx>
        <w:trPr>
          <w:jc w:val="center"/>
        </w:trPr>
        <w:tc>
          <w:tcPr>
            <w:tcW w:w="2977" w:type="dxa"/>
          </w:tcPr>
          <w:p w:rsidR="00000000" w:rsidRDefault="00000000">
            <w:pPr>
              <w:pStyle w:val="a2"/>
              <w:jc w:val="center"/>
            </w:pPr>
          </w:p>
        </w:tc>
        <w:tc>
          <w:tcPr>
            <w:tcW w:w="2125" w:type="dxa"/>
          </w:tcPr>
          <w:p w:rsidR="00000000" w:rsidRDefault="00000000">
            <w:pPr>
              <w:pStyle w:val="a2"/>
              <w:jc w:val="center"/>
              <w:rPr>
                <w:rFonts w:hint="eastAsia"/>
              </w:rPr>
            </w:pPr>
            <w:r>
              <w:rPr>
                <w:rFonts w:hint="eastAsia"/>
              </w:rPr>
              <w:t>总</w:t>
            </w:r>
            <w:r>
              <w:t xml:space="preserve">  </w:t>
            </w:r>
            <w:r>
              <w:rPr>
                <w:rFonts w:hint="eastAsia"/>
              </w:rPr>
              <w:t>数</w:t>
            </w:r>
          </w:p>
        </w:tc>
        <w:tc>
          <w:tcPr>
            <w:tcW w:w="2127" w:type="dxa"/>
          </w:tcPr>
          <w:p w:rsidR="00000000" w:rsidRDefault="00000000">
            <w:pPr>
              <w:pStyle w:val="a2"/>
              <w:jc w:val="center"/>
              <w:rPr>
                <w:rFonts w:hint="eastAsia"/>
              </w:rPr>
            </w:pPr>
            <w:r>
              <w:rPr>
                <w:rFonts w:hint="eastAsia"/>
              </w:rPr>
              <w:t>女</w:t>
            </w:r>
            <w:r>
              <w:t xml:space="preserve">  </w:t>
            </w:r>
            <w:r>
              <w:rPr>
                <w:rFonts w:hint="eastAsia"/>
              </w:rPr>
              <w:t>性</w:t>
            </w:r>
          </w:p>
        </w:tc>
        <w:tc>
          <w:tcPr>
            <w:tcW w:w="2126" w:type="dxa"/>
          </w:tcPr>
          <w:p w:rsidR="00000000" w:rsidRDefault="00000000">
            <w:pPr>
              <w:pStyle w:val="a2"/>
              <w:jc w:val="center"/>
              <w:rPr>
                <w:rFonts w:hint="eastAsia"/>
              </w:rPr>
            </w:pPr>
            <w:r>
              <w:rPr>
                <w:rFonts w:hint="eastAsia"/>
              </w:rPr>
              <w:t>男</w:t>
            </w:r>
            <w:r>
              <w:t xml:space="preserve">  </w:t>
            </w:r>
            <w:r>
              <w:rPr>
                <w:rFonts w:hint="eastAsia"/>
              </w:rPr>
              <w:t>性</w:t>
            </w:r>
          </w:p>
        </w:tc>
      </w:tr>
      <w:tr w:rsidR="00000000">
        <w:tblPrEx>
          <w:tblCellMar>
            <w:top w:w="0" w:type="dxa"/>
            <w:bottom w:w="0" w:type="dxa"/>
          </w:tblCellMar>
        </w:tblPrEx>
        <w:trPr>
          <w:jc w:val="center"/>
        </w:trPr>
        <w:tc>
          <w:tcPr>
            <w:tcW w:w="2977" w:type="dxa"/>
            <w:tcBorders>
              <w:bottom w:val="nil"/>
            </w:tcBorders>
          </w:tcPr>
          <w:p w:rsidR="00000000" w:rsidRDefault="00000000">
            <w:pPr>
              <w:pStyle w:val="a2"/>
              <w:jc w:val="center"/>
            </w:pPr>
            <w:r>
              <w:rPr>
                <w:rFonts w:hint="eastAsia"/>
              </w:rPr>
              <w:t>1-4</w:t>
            </w:r>
            <w:r>
              <w:rPr>
                <w:rFonts w:hint="eastAsia"/>
              </w:rPr>
              <w:t>年级</w:t>
            </w:r>
          </w:p>
        </w:tc>
        <w:tc>
          <w:tcPr>
            <w:tcW w:w="2125" w:type="dxa"/>
            <w:tcBorders>
              <w:bottom w:val="nil"/>
            </w:tcBorders>
          </w:tcPr>
          <w:p w:rsidR="00000000" w:rsidRDefault="00000000">
            <w:pPr>
              <w:pStyle w:val="a2"/>
              <w:jc w:val="center"/>
            </w:pPr>
            <w:r>
              <w:t>26</w:t>
            </w:r>
          </w:p>
        </w:tc>
        <w:tc>
          <w:tcPr>
            <w:tcW w:w="2127" w:type="dxa"/>
            <w:tcBorders>
              <w:bottom w:val="nil"/>
            </w:tcBorders>
          </w:tcPr>
          <w:p w:rsidR="00000000" w:rsidRDefault="00000000">
            <w:pPr>
              <w:pStyle w:val="a2"/>
              <w:jc w:val="center"/>
            </w:pPr>
            <w:r>
              <w:t>26</w:t>
            </w:r>
          </w:p>
        </w:tc>
        <w:tc>
          <w:tcPr>
            <w:tcW w:w="2126" w:type="dxa"/>
            <w:tcBorders>
              <w:bottom w:val="nil"/>
            </w:tcBorders>
          </w:tcPr>
          <w:p w:rsidR="00000000" w:rsidRDefault="00000000">
            <w:pPr>
              <w:pStyle w:val="a2"/>
              <w:jc w:val="center"/>
            </w:pPr>
            <w:r>
              <w:t>0</w:t>
            </w:r>
          </w:p>
        </w:tc>
      </w:tr>
      <w:tr w:rsidR="00000000">
        <w:tblPrEx>
          <w:tblCellMar>
            <w:top w:w="0" w:type="dxa"/>
            <w:bottom w:w="0" w:type="dxa"/>
          </w:tblCellMar>
        </w:tblPrEx>
        <w:trPr>
          <w:jc w:val="center"/>
        </w:trPr>
        <w:tc>
          <w:tcPr>
            <w:tcW w:w="2977" w:type="dxa"/>
            <w:tcBorders>
              <w:top w:val="nil"/>
              <w:bottom w:val="nil"/>
            </w:tcBorders>
          </w:tcPr>
          <w:p w:rsidR="00000000" w:rsidRDefault="00000000">
            <w:pPr>
              <w:pStyle w:val="a2"/>
              <w:jc w:val="center"/>
            </w:pPr>
            <w:r>
              <w:rPr>
                <w:rFonts w:hint="eastAsia"/>
              </w:rPr>
              <w:t>5-8</w:t>
            </w:r>
            <w:r>
              <w:rPr>
                <w:rFonts w:hint="eastAsia"/>
              </w:rPr>
              <w:t>年级</w:t>
            </w:r>
          </w:p>
        </w:tc>
        <w:tc>
          <w:tcPr>
            <w:tcW w:w="2125" w:type="dxa"/>
            <w:tcBorders>
              <w:top w:val="nil"/>
              <w:bottom w:val="nil"/>
            </w:tcBorders>
          </w:tcPr>
          <w:p w:rsidR="00000000" w:rsidRDefault="00000000">
            <w:pPr>
              <w:pStyle w:val="a2"/>
              <w:jc w:val="center"/>
            </w:pPr>
            <w:r>
              <w:t>36</w:t>
            </w:r>
          </w:p>
        </w:tc>
        <w:tc>
          <w:tcPr>
            <w:tcW w:w="2127" w:type="dxa"/>
            <w:tcBorders>
              <w:top w:val="nil"/>
              <w:bottom w:val="nil"/>
            </w:tcBorders>
          </w:tcPr>
          <w:p w:rsidR="00000000" w:rsidRDefault="00000000">
            <w:pPr>
              <w:pStyle w:val="a2"/>
              <w:jc w:val="center"/>
            </w:pPr>
            <w:r>
              <w:t>25</w:t>
            </w:r>
          </w:p>
        </w:tc>
        <w:tc>
          <w:tcPr>
            <w:tcW w:w="2126" w:type="dxa"/>
            <w:tcBorders>
              <w:top w:val="nil"/>
              <w:bottom w:val="nil"/>
            </w:tcBorders>
          </w:tcPr>
          <w:p w:rsidR="00000000" w:rsidRDefault="00000000">
            <w:pPr>
              <w:pStyle w:val="a2"/>
              <w:jc w:val="center"/>
            </w:pPr>
            <w:r>
              <w:t>11</w:t>
            </w:r>
          </w:p>
        </w:tc>
      </w:tr>
      <w:tr w:rsidR="00000000">
        <w:tblPrEx>
          <w:tblCellMar>
            <w:top w:w="0" w:type="dxa"/>
            <w:bottom w:w="0" w:type="dxa"/>
          </w:tblCellMar>
        </w:tblPrEx>
        <w:trPr>
          <w:jc w:val="center"/>
        </w:trPr>
        <w:tc>
          <w:tcPr>
            <w:tcW w:w="2977" w:type="dxa"/>
            <w:tcBorders>
              <w:top w:val="nil"/>
            </w:tcBorders>
          </w:tcPr>
          <w:p w:rsidR="00000000" w:rsidRDefault="00000000">
            <w:pPr>
              <w:pStyle w:val="a2"/>
              <w:jc w:val="center"/>
              <w:rPr>
                <w:rFonts w:hint="eastAsia"/>
              </w:rPr>
            </w:pPr>
            <w:r>
              <w:rPr>
                <w:rFonts w:hint="eastAsia"/>
              </w:rPr>
              <w:t>1-8</w:t>
            </w:r>
            <w:r>
              <w:rPr>
                <w:rFonts w:hint="eastAsia"/>
              </w:rPr>
              <w:t>年级</w:t>
            </w:r>
          </w:p>
        </w:tc>
        <w:tc>
          <w:tcPr>
            <w:tcW w:w="2125" w:type="dxa"/>
            <w:tcBorders>
              <w:top w:val="nil"/>
            </w:tcBorders>
          </w:tcPr>
          <w:p w:rsidR="00000000" w:rsidRDefault="00000000">
            <w:pPr>
              <w:pStyle w:val="a2"/>
              <w:jc w:val="center"/>
            </w:pPr>
            <w:r>
              <w:t>62</w:t>
            </w:r>
          </w:p>
        </w:tc>
        <w:tc>
          <w:tcPr>
            <w:tcW w:w="2127" w:type="dxa"/>
            <w:tcBorders>
              <w:top w:val="nil"/>
            </w:tcBorders>
          </w:tcPr>
          <w:p w:rsidR="00000000" w:rsidRDefault="00000000">
            <w:pPr>
              <w:pStyle w:val="a2"/>
              <w:jc w:val="center"/>
            </w:pPr>
            <w:r>
              <w:t>51</w:t>
            </w:r>
          </w:p>
        </w:tc>
        <w:tc>
          <w:tcPr>
            <w:tcW w:w="2126" w:type="dxa"/>
            <w:tcBorders>
              <w:top w:val="nil"/>
            </w:tcBorders>
          </w:tcPr>
          <w:p w:rsidR="00000000" w:rsidRDefault="00000000">
            <w:pPr>
              <w:pStyle w:val="a2"/>
              <w:jc w:val="center"/>
            </w:pPr>
            <w:r>
              <w:t>11</w:t>
            </w:r>
          </w:p>
        </w:tc>
      </w:tr>
    </w:tbl>
    <w:p w:rsidR="00000000" w:rsidRDefault="00000000">
      <w:pPr>
        <w:pStyle w:val="FootnoteText"/>
        <w:spacing w:before="240" w:after="320"/>
        <w:rPr>
          <w:rFonts w:hint="eastAsia"/>
        </w:rPr>
      </w:pPr>
      <w:r>
        <w:rPr>
          <w:rFonts w:hint="eastAsia"/>
          <w:u w:val="single"/>
        </w:rPr>
        <w:t>资料来源</w:t>
      </w:r>
      <w:r>
        <w:rPr>
          <w:rFonts w:hint="eastAsia"/>
        </w:rPr>
        <w:t>：</w:t>
      </w:r>
      <w:r>
        <w:rPr>
          <w:rFonts w:hint="eastAsia"/>
        </w:rPr>
        <w:t xml:space="preserve">  </w:t>
      </w:r>
      <w:r>
        <w:rPr>
          <w:rFonts w:hint="eastAsia"/>
        </w:rPr>
        <w:t>塞族共和国科学和文化部。</w:t>
      </w:r>
    </w:p>
    <w:p w:rsidR="00000000" w:rsidRDefault="00000000">
      <w:pPr>
        <w:pStyle w:val="Heading3"/>
        <w:spacing w:after="120"/>
        <w:rPr>
          <w:rFonts w:hint="eastAsia"/>
          <w:u w:val="none"/>
        </w:rPr>
      </w:pPr>
      <w:r>
        <w:rPr>
          <w:rFonts w:hint="eastAsia"/>
          <w:u w:val="none"/>
        </w:rPr>
        <w:t>表</w:t>
      </w:r>
      <w:r>
        <w:rPr>
          <w:rFonts w:hint="eastAsia"/>
          <w:u w:val="none"/>
        </w:rPr>
        <w:t xml:space="preserve">  30</w:t>
      </w:r>
    </w:p>
    <w:p w:rsidR="00000000" w:rsidRDefault="00000000">
      <w:pPr>
        <w:pStyle w:val="Heading3"/>
        <w:rPr>
          <w:rFonts w:hint="eastAsia"/>
        </w:rPr>
      </w:pPr>
      <w:r>
        <w:rPr>
          <w:rFonts w:hint="eastAsia"/>
        </w:rPr>
        <w:t>特别小学：</w:t>
      </w:r>
      <w:r>
        <w:rPr>
          <w:rFonts w:hint="eastAsia"/>
        </w:rPr>
        <w:t>2000/01</w:t>
      </w:r>
      <w:r>
        <w:rPr>
          <w:rFonts w:hint="eastAsia"/>
        </w:rPr>
        <w:t>学年开学时按年级和性别分类的学生数字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51"/>
        <w:gridCol w:w="851"/>
        <w:gridCol w:w="851"/>
        <w:gridCol w:w="851"/>
        <w:gridCol w:w="851"/>
        <w:gridCol w:w="851"/>
        <w:gridCol w:w="851"/>
        <w:gridCol w:w="851"/>
        <w:gridCol w:w="988"/>
      </w:tblGrid>
      <w:tr w:rsidR="00000000">
        <w:tblPrEx>
          <w:tblCellMar>
            <w:top w:w="0" w:type="dxa"/>
            <w:bottom w:w="0" w:type="dxa"/>
          </w:tblCellMar>
        </w:tblPrEx>
        <w:trPr>
          <w:cantSplit/>
          <w:jc w:val="center"/>
        </w:trPr>
        <w:tc>
          <w:tcPr>
            <w:tcW w:w="1560" w:type="dxa"/>
            <w:vMerge w:val="restart"/>
          </w:tcPr>
          <w:p w:rsidR="00000000" w:rsidRDefault="00000000">
            <w:pPr>
              <w:pStyle w:val="a2"/>
              <w:spacing w:before="240"/>
              <w:jc w:val="center"/>
              <w:rPr>
                <w:rFonts w:hint="eastAsia"/>
              </w:rPr>
            </w:pPr>
            <w:r>
              <w:rPr>
                <w:rFonts w:hint="eastAsia"/>
              </w:rPr>
              <w:t>性</w:t>
            </w:r>
            <w:r>
              <w:t xml:space="preserve">  </w:t>
            </w:r>
            <w:r>
              <w:rPr>
                <w:rFonts w:hint="eastAsia"/>
              </w:rPr>
              <w:t>别</w:t>
            </w:r>
          </w:p>
        </w:tc>
        <w:tc>
          <w:tcPr>
            <w:tcW w:w="7796" w:type="dxa"/>
            <w:gridSpan w:val="9"/>
          </w:tcPr>
          <w:p w:rsidR="00000000" w:rsidRDefault="00000000">
            <w:pPr>
              <w:pStyle w:val="a2"/>
              <w:jc w:val="center"/>
              <w:rPr>
                <w:rFonts w:hint="eastAsia"/>
              </w:rPr>
            </w:pPr>
            <w:r>
              <w:rPr>
                <w:rFonts w:hint="eastAsia"/>
              </w:rPr>
              <w:t>年</w:t>
            </w:r>
            <w:r>
              <w:t xml:space="preserve">  </w:t>
            </w:r>
            <w:r>
              <w:rPr>
                <w:rFonts w:hint="eastAsia"/>
              </w:rPr>
              <w:t>级</w:t>
            </w:r>
          </w:p>
        </w:tc>
      </w:tr>
      <w:tr w:rsidR="00000000">
        <w:tblPrEx>
          <w:tblCellMar>
            <w:top w:w="0" w:type="dxa"/>
            <w:bottom w:w="0" w:type="dxa"/>
          </w:tblCellMar>
        </w:tblPrEx>
        <w:trPr>
          <w:cantSplit/>
          <w:jc w:val="center"/>
        </w:trPr>
        <w:tc>
          <w:tcPr>
            <w:tcW w:w="1560" w:type="dxa"/>
            <w:vMerge/>
          </w:tcPr>
          <w:p w:rsidR="00000000" w:rsidRDefault="00000000">
            <w:pPr>
              <w:pStyle w:val="a2"/>
            </w:pPr>
          </w:p>
        </w:tc>
        <w:tc>
          <w:tcPr>
            <w:tcW w:w="851" w:type="dxa"/>
          </w:tcPr>
          <w:p w:rsidR="00000000" w:rsidRDefault="00000000">
            <w:pPr>
              <w:pStyle w:val="a2"/>
              <w:jc w:val="center"/>
            </w:pPr>
            <w:r>
              <w:t>I</w:t>
            </w:r>
          </w:p>
        </w:tc>
        <w:tc>
          <w:tcPr>
            <w:tcW w:w="851" w:type="dxa"/>
          </w:tcPr>
          <w:p w:rsidR="00000000" w:rsidRDefault="00000000">
            <w:pPr>
              <w:pStyle w:val="a2"/>
              <w:jc w:val="center"/>
            </w:pPr>
            <w:r>
              <w:t>II</w:t>
            </w:r>
          </w:p>
        </w:tc>
        <w:tc>
          <w:tcPr>
            <w:tcW w:w="851" w:type="dxa"/>
          </w:tcPr>
          <w:p w:rsidR="00000000" w:rsidRDefault="00000000">
            <w:pPr>
              <w:pStyle w:val="a2"/>
              <w:jc w:val="center"/>
            </w:pPr>
            <w:r>
              <w:t>III</w:t>
            </w:r>
          </w:p>
        </w:tc>
        <w:tc>
          <w:tcPr>
            <w:tcW w:w="851" w:type="dxa"/>
          </w:tcPr>
          <w:p w:rsidR="00000000" w:rsidRDefault="00000000">
            <w:pPr>
              <w:pStyle w:val="a2"/>
              <w:jc w:val="center"/>
            </w:pPr>
            <w:r>
              <w:t>IV</w:t>
            </w:r>
          </w:p>
        </w:tc>
        <w:tc>
          <w:tcPr>
            <w:tcW w:w="851" w:type="dxa"/>
          </w:tcPr>
          <w:p w:rsidR="00000000" w:rsidRDefault="00000000">
            <w:pPr>
              <w:pStyle w:val="a2"/>
              <w:jc w:val="center"/>
            </w:pPr>
            <w:r>
              <w:t>V</w:t>
            </w:r>
          </w:p>
        </w:tc>
        <w:tc>
          <w:tcPr>
            <w:tcW w:w="851" w:type="dxa"/>
          </w:tcPr>
          <w:p w:rsidR="00000000" w:rsidRDefault="00000000">
            <w:pPr>
              <w:pStyle w:val="a2"/>
              <w:jc w:val="center"/>
            </w:pPr>
            <w:r>
              <w:t>VI</w:t>
            </w:r>
          </w:p>
        </w:tc>
        <w:tc>
          <w:tcPr>
            <w:tcW w:w="851" w:type="dxa"/>
          </w:tcPr>
          <w:p w:rsidR="00000000" w:rsidRDefault="00000000">
            <w:pPr>
              <w:pStyle w:val="a2"/>
              <w:jc w:val="center"/>
            </w:pPr>
            <w:r>
              <w:t>VII</w:t>
            </w:r>
          </w:p>
        </w:tc>
        <w:tc>
          <w:tcPr>
            <w:tcW w:w="851" w:type="dxa"/>
          </w:tcPr>
          <w:p w:rsidR="00000000" w:rsidRDefault="00000000">
            <w:pPr>
              <w:pStyle w:val="a2"/>
              <w:jc w:val="center"/>
            </w:pPr>
            <w:r>
              <w:t>VIII</w:t>
            </w:r>
          </w:p>
        </w:tc>
        <w:tc>
          <w:tcPr>
            <w:tcW w:w="988" w:type="dxa"/>
          </w:tcPr>
          <w:p w:rsidR="00000000" w:rsidRDefault="00000000">
            <w:pPr>
              <w:pStyle w:val="a2"/>
              <w:jc w:val="center"/>
              <w:rPr>
                <w:rFonts w:hint="eastAsia"/>
              </w:rPr>
            </w:pPr>
            <w:r>
              <w:rPr>
                <w:rFonts w:hint="eastAsia"/>
              </w:rPr>
              <w:t>合计</w:t>
            </w:r>
          </w:p>
        </w:tc>
      </w:tr>
      <w:tr w:rsidR="00000000">
        <w:tblPrEx>
          <w:tblCellMar>
            <w:top w:w="0" w:type="dxa"/>
            <w:bottom w:w="0" w:type="dxa"/>
          </w:tblCellMar>
        </w:tblPrEx>
        <w:trPr>
          <w:jc w:val="center"/>
        </w:trPr>
        <w:tc>
          <w:tcPr>
            <w:tcW w:w="1560" w:type="dxa"/>
            <w:tcBorders>
              <w:bottom w:val="nil"/>
            </w:tcBorders>
          </w:tcPr>
          <w:p w:rsidR="00000000" w:rsidRDefault="00000000">
            <w:pPr>
              <w:pStyle w:val="a2"/>
              <w:rPr>
                <w:rFonts w:hint="eastAsia"/>
              </w:rPr>
            </w:pPr>
            <w:r>
              <w:rPr>
                <w:rFonts w:hint="eastAsia"/>
              </w:rPr>
              <w:t>男</w:t>
            </w:r>
          </w:p>
        </w:tc>
        <w:tc>
          <w:tcPr>
            <w:tcW w:w="851" w:type="dxa"/>
            <w:tcBorders>
              <w:bottom w:val="nil"/>
            </w:tcBorders>
          </w:tcPr>
          <w:p w:rsidR="00000000" w:rsidRDefault="00000000">
            <w:pPr>
              <w:pStyle w:val="a2"/>
              <w:jc w:val="center"/>
            </w:pPr>
            <w:r>
              <w:t>35</w:t>
            </w:r>
          </w:p>
        </w:tc>
        <w:tc>
          <w:tcPr>
            <w:tcW w:w="851" w:type="dxa"/>
            <w:tcBorders>
              <w:bottom w:val="nil"/>
            </w:tcBorders>
          </w:tcPr>
          <w:p w:rsidR="00000000" w:rsidRDefault="00000000">
            <w:pPr>
              <w:pStyle w:val="a2"/>
              <w:jc w:val="center"/>
            </w:pPr>
            <w:r>
              <w:t>34</w:t>
            </w:r>
          </w:p>
        </w:tc>
        <w:tc>
          <w:tcPr>
            <w:tcW w:w="851" w:type="dxa"/>
            <w:tcBorders>
              <w:bottom w:val="nil"/>
            </w:tcBorders>
          </w:tcPr>
          <w:p w:rsidR="00000000" w:rsidRDefault="00000000">
            <w:pPr>
              <w:pStyle w:val="a2"/>
              <w:jc w:val="center"/>
            </w:pPr>
            <w:r>
              <w:t>45</w:t>
            </w:r>
          </w:p>
        </w:tc>
        <w:tc>
          <w:tcPr>
            <w:tcW w:w="851" w:type="dxa"/>
            <w:tcBorders>
              <w:bottom w:val="nil"/>
            </w:tcBorders>
          </w:tcPr>
          <w:p w:rsidR="00000000" w:rsidRDefault="00000000">
            <w:pPr>
              <w:pStyle w:val="a2"/>
              <w:jc w:val="center"/>
            </w:pPr>
            <w:r>
              <w:t>35</w:t>
            </w:r>
          </w:p>
        </w:tc>
        <w:tc>
          <w:tcPr>
            <w:tcW w:w="851" w:type="dxa"/>
            <w:tcBorders>
              <w:bottom w:val="nil"/>
            </w:tcBorders>
          </w:tcPr>
          <w:p w:rsidR="00000000" w:rsidRDefault="00000000">
            <w:pPr>
              <w:pStyle w:val="a2"/>
              <w:jc w:val="center"/>
            </w:pPr>
            <w:r>
              <w:t>47</w:t>
            </w:r>
          </w:p>
        </w:tc>
        <w:tc>
          <w:tcPr>
            <w:tcW w:w="851" w:type="dxa"/>
            <w:tcBorders>
              <w:bottom w:val="nil"/>
            </w:tcBorders>
          </w:tcPr>
          <w:p w:rsidR="00000000" w:rsidRDefault="00000000">
            <w:pPr>
              <w:pStyle w:val="a2"/>
              <w:jc w:val="center"/>
            </w:pPr>
            <w:r>
              <w:t>51</w:t>
            </w:r>
          </w:p>
        </w:tc>
        <w:tc>
          <w:tcPr>
            <w:tcW w:w="851" w:type="dxa"/>
            <w:tcBorders>
              <w:bottom w:val="nil"/>
            </w:tcBorders>
          </w:tcPr>
          <w:p w:rsidR="00000000" w:rsidRDefault="00000000">
            <w:pPr>
              <w:pStyle w:val="a2"/>
              <w:jc w:val="center"/>
            </w:pPr>
            <w:r>
              <w:t>61</w:t>
            </w:r>
          </w:p>
        </w:tc>
        <w:tc>
          <w:tcPr>
            <w:tcW w:w="851" w:type="dxa"/>
            <w:tcBorders>
              <w:bottom w:val="nil"/>
            </w:tcBorders>
          </w:tcPr>
          <w:p w:rsidR="00000000" w:rsidRDefault="00000000">
            <w:pPr>
              <w:pStyle w:val="a2"/>
              <w:jc w:val="center"/>
            </w:pPr>
            <w:r>
              <w:t>42</w:t>
            </w:r>
          </w:p>
        </w:tc>
        <w:tc>
          <w:tcPr>
            <w:tcW w:w="988" w:type="dxa"/>
            <w:tcBorders>
              <w:bottom w:val="nil"/>
            </w:tcBorders>
          </w:tcPr>
          <w:p w:rsidR="00000000" w:rsidRDefault="00000000">
            <w:pPr>
              <w:pStyle w:val="a2"/>
              <w:jc w:val="center"/>
            </w:pPr>
            <w:r>
              <w:t>350</w:t>
            </w:r>
          </w:p>
        </w:tc>
      </w:tr>
      <w:tr w:rsidR="00000000">
        <w:tblPrEx>
          <w:tblCellMar>
            <w:top w:w="0" w:type="dxa"/>
            <w:bottom w:w="0" w:type="dxa"/>
          </w:tblCellMar>
        </w:tblPrEx>
        <w:trPr>
          <w:jc w:val="center"/>
        </w:trPr>
        <w:tc>
          <w:tcPr>
            <w:tcW w:w="1560" w:type="dxa"/>
            <w:tcBorders>
              <w:top w:val="nil"/>
              <w:left w:val="single" w:sz="4" w:space="0" w:color="auto"/>
              <w:bottom w:val="single" w:sz="4" w:space="0" w:color="auto"/>
            </w:tcBorders>
          </w:tcPr>
          <w:p w:rsidR="00000000" w:rsidRDefault="00000000">
            <w:pPr>
              <w:pStyle w:val="a2"/>
              <w:rPr>
                <w:rFonts w:hint="eastAsia"/>
              </w:rPr>
            </w:pPr>
            <w:r>
              <w:rPr>
                <w:rFonts w:hint="eastAsia"/>
              </w:rPr>
              <w:t>女</w:t>
            </w:r>
          </w:p>
        </w:tc>
        <w:tc>
          <w:tcPr>
            <w:tcW w:w="851" w:type="dxa"/>
            <w:tcBorders>
              <w:top w:val="nil"/>
              <w:bottom w:val="single" w:sz="4" w:space="0" w:color="auto"/>
            </w:tcBorders>
          </w:tcPr>
          <w:p w:rsidR="00000000" w:rsidRDefault="00000000">
            <w:pPr>
              <w:pStyle w:val="a2"/>
              <w:jc w:val="center"/>
            </w:pPr>
            <w:r>
              <w:t>17</w:t>
            </w:r>
          </w:p>
        </w:tc>
        <w:tc>
          <w:tcPr>
            <w:tcW w:w="851" w:type="dxa"/>
            <w:tcBorders>
              <w:top w:val="nil"/>
              <w:bottom w:val="single" w:sz="4" w:space="0" w:color="auto"/>
            </w:tcBorders>
          </w:tcPr>
          <w:p w:rsidR="00000000" w:rsidRDefault="00000000">
            <w:pPr>
              <w:pStyle w:val="a2"/>
              <w:jc w:val="center"/>
            </w:pPr>
            <w:r>
              <w:t>18</w:t>
            </w:r>
          </w:p>
        </w:tc>
        <w:tc>
          <w:tcPr>
            <w:tcW w:w="851" w:type="dxa"/>
            <w:tcBorders>
              <w:top w:val="nil"/>
              <w:bottom w:val="single" w:sz="4" w:space="0" w:color="auto"/>
            </w:tcBorders>
          </w:tcPr>
          <w:p w:rsidR="00000000" w:rsidRDefault="00000000">
            <w:pPr>
              <w:pStyle w:val="a2"/>
              <w:jc w:val="center"/>
            </w:pPr>
            <w:r>
              <w:t>22</w:t>
            </w:r>
          </w:p>
        </w:tc>
        <w:tc>
          <w:tcPr>
            <w:tcW w:w="851" w:type="dxa"/>
            <w:tcBorders>
              <w:top w:val="nil"/>
              <w:bottom w:val="single" w:sz="4" w:space="0" w:color="auto"/>
            </w:tcBorders>
          </w:tcPr>
          <w:p w:rsidR="00000000" w:rsidRDefault="00000000">
            <w:pPr>
              <w:pStyle w:val="a2"/>
              <w:jc w:val="center"/>
            </w:pPr>
            <w:r>
              <w:t>19</w:t>
            </w:r>
          </w:p>
        </w:tc>
        <w:tc>
          <w:tcPr>
            <w:tcW w:w="851" w:type="dxa"/>
            <w:tcBorders>
              <w:top w:val="nil"/>
              <w:bottom w:val="single" w:sz="4" w:space="0" w:color="auto"/>
            </w:tcBorders>
          </w:tcPr>
          <w:p w:rsidR="00000000" w:rsidRDefault="00000000">
            <w:pPr>
              <w:pStyle w:val="a2"/>
              <w:jc w:val="center"/>
            </w:pPr>
            <w:r>
              <w:t>25</w:t>
            </w:r>
          </w:p>
        </w:tc>
        <w:tc>
          <w:tcPr>
            <w:tcW w:w="851" w:type="dxa"/>
            <w:tcBorders>
              <w:top w:val="nil"/>
              <w:bottom w:val="single" w:sz="4" w:space="0" w:color="auto"/>
            </w:tcBorders>
          </w:tcPr>
          <w:p w:rsidR="00000000" w:rsidRDefault="00000000">
            <w:pPr>
              <w:pStyle w:val="a2"/>
              <w:jc w:val="center"/>
            </w:pPr>
            <w:r>
              <w:t>24</w:t>
            </w:r>
          </w:p>
        </w:tc>
        <w:tc>
          <w:tcPr>
            <w:tcW w:w="851" w:type="dxa"/>
            <w:tcBorders>
              <w:top w:val="nil"/>
              <w:bottom w:val="single" w:sz="4" w:space="0" w:color="auto"/>
            </w:tcBorders>
          </w:tcPr>
          <w:p w:rsidR="00000000" w:rsidRDefault="00000000">
            <w:pPr>
              <w:pStyle w:val="a2"/>
              <w:jc w:val="center"/>
            </w:pPr>
            <w:r>
              <w:t>27</w:t>
            </w:r>
          </w:p>
        </w:tc>
        <w:tc>
          <w:tcPr>
            <w:tcW w:w="851" w:type="dxa"/>
            <w:tcBorders>
              <w:top w:val="nil"/>
              <w:bottom w:val="single" w:sz="4" w:space="0" w:color="auto"/>
            </w:tcBorders>
          </w:tcPr>
          <w:p w:rsidR="00000000" w:rsidRDefault="00000000">
            <w:pPr>
              <w:pStyle w:val="a2"/>
              <w:jc w:val="center"/>
            </w:pPr>
            <w:r>
              <w:t>32</w:t>
            </w:r>
          </w:p>
        </w:tc>
        <w:tc>
          <w:tcPr>
            <w:tcW w:w="988" w:type="dxa"/>
            <w:tcBorders>
              <w:top w:val="nil"/>
              <w:bottom w:val="single" w:sz="4" w:space="0" w:color="auto"/>
              <w:right w:val="single" w:sz="4" w:space="0" w:color="auto"/>
            </w:tcBorders>
          </w:tcPr>
          <w:p w:rsidR="00000000" w:rsidRDefault="00000000">
            <w:pPr>
              <w:pStyle w:val="a2"/>
              <w:jc w:val="center"/>
            </w:pPr>
            <w:r>
              <w:t>184</w:t>
            </w:r>
          </w:p>
        </w:tc>
      </w:tr>
      <w:tr w:rsidR="00000000">
        <w:tblPrEx>
          <w:tblCellMar>
            <w:top w:w="0" w:type="dxa"/>
            <w:bottom w:w="0" w:type="dxa"/>
          </w:tblCellMar>
        </w:tblPrEx>
        <w:trPr>
          <w:jc w:val="center"/>
        </w:trPr>
        <w:tc>
          <w:tcPr>
            <w:tcW w:w="1560" w:type="dxa"/>
            <w:tcBorders>
              <w:top w:val="single" w:sz="4" w:space="0" w:color="auto"/>
            </w:tcBorders>
          </w:tcPr>
          <w:p w:rsidR="00000000" w:rsidRDefault="00000000">
            <w:pPr>
              <w:pStyle w:val="a2"/>
              <w:rPr>
                <w:rFonts w:hint="eastAsia"/>
              </w:rPr>
            </w:pPr>
            <w:r>
              <w:rPr>
                <w:rFonts w:hint="eastAsia"/>
              </w:rPr>
              <w:t>总</w:t>
            </w:r>
            <w:r>
              <w:rPr>
                <w:rFonts w:hint="eastAsia"/>
              </w:rPr>
              <w:t xml:space="preserve">  </w:t>
            </w:r>
            <w:r>
              <w:rPr>
                <w:rFonts w:hint="eastAsia"/>
              </w:rPr>
              <w:t>计</w:t>
            </w:r>
          </w:p>
        </w:tc>
        <w:tc>
          <w:tcPr>
            <w:tcW w:w="851" w:type="dxa"/>
            <w:tcBorders>
              <w:top w:val="single" w:sz="4" w:space="0" w:color="auto"/>
            </w:tcBorders>
          </w:tcPr>
          <w:p w:rsidR="00000000" w:rsidRDefault="00000000">
            <w:pPr>
              <w:pStyle w:val="a2"/>
              <w:jc w:val="center"/>
            </w:pPr>
            <w:r>
              <w:t>52</w:t>
            </w:r>
          </w:p>
        </w:tc>
        <w:tc>
          <w:tcPr>
            <w:tcW w:w="851" w:type="dxa"/>
            <w:tcBorders>
              <w:top w:val="single" w:sz="4" w:space="0" w:color="auto"/>
            </w:tcBorders>
          </w:tcPr>
          <w:p w:rsidR="00000000" w:rsidRDefault="00000000">
            <w:pPr>
              <w:pStyle w:val="a2"/>
              <w:jc w:val="center"/>
            </w:pPr>
            <w:r>
              <w:t>52</w:t>
            </w:r>
          </w:p>
        </w:tc>
        <w:tc>
          <w:tcPr>
            <w:tcW w:w="851" w:type="dxa"/>
            <w:tcBorders>
              <w:top w:val="single" w:sz="4" w:space="0" w:color="auto"/>
            </w:tcBorders>
          </w:tcPr>
          <w:p w:rsidR="00000000" w:rsidRDefault="00000000">
            <w:pPr>
              <w:pStyle w:val="a2"/>
              <w:jc w:val="center"/>
            </w:pPr>
            <w:r>
              <w:t>67</w:t>
            </w:r>
          </w:p>
        </w:tc>
        <w:tc>
          <w:tcPr>
            <w:tcW w:w="851" w:type="dxa"/>
            <w:tcBorders>
              <w:top w:val="single" w:sz="4" w:space="0" w:color="auto"/>
            </w:tcBorders>
          </w:tcPr>
          <w:p w:rsidR="00000000" w:rsidRDefault="00000000">
            <w:pPr>
              <w:pStyle w:val="a2"/>
              <w:jc w:val="center"/>
            </w:pPr>
            <w:r>
              <w:t>54</w:t>
            </w:r>
          </w:p>
        </w:tc>
        <w:tc>
          <w:tcPr>
            <w:tcW w:w="851" w:type="dxa"/>
            <w:tcBorders>
              <w:top w:val="single" w:sz="4" w:space="0" w:color="auto"/>
            </w:tcBorders>
          </w:tcPr>
          <w:p w:rsidR="00000000" w:rsidRDefault="00000000">
            <w:pPr>
              <w:pStyle w:val="a2"/>
              <w:jc w:val="center"/>
            </w:pPr>
            <w:r>
              <w:t>72</w:t>
            </w:r>
          </w:p>
        </w:tc>
        <w:tc>
          <w:tcPr>
            <w:tcW w:w="851" w:type="dxa"/>
            <w:tcBorders>
              <w:top w:val="single" w:sz="4" w:space="0" w:color="auto"/>
            </w:tcBorders>
          </w:tcPr>
          <w:p w:rsidR="00000000" w:rsidRDefault="00000000">
            <w:pPr>
              <w:pStyle w:val="a2"/>
              <w:jc w:val="center"/>
            </w:pPr>
            <w:r>
              <w:t>75</w:t>
            </w:r>
          </w:p>
        </w:tc>
        <w:tc>
          <w:tcPr>
            <w:tcW w:w="851" w:type="dxa"/>
            <w:tcBorders>
              <w:top w:val="single" w:sz="4" w:space="0" w:color="auto"/>
            </w:tcBorders>
          </w:tcPr>
          <w:p w:rsidR="00000000" w:rsidRDefault="00000000">
            <w:pPr>
              <w:pStyle w:val="a2"/>
              <w:jc w:val="center"/>
            </w:pPr>
            <w:r>
              <w:t>88</w:t>
            </w:r>
          </w:p>
        </w:tc>
        <w:tc>
          <w:tcPr>
            <w:tcW w:w="851" w:type="dxa"/>
            <w:tcBorders>
              <w:top w:val="single" w:sz="4" w:space="0" w:color="auto"/>
            </w:tcBorders>
          </w:tcPr>
          <w:p w:rsidR="00000000" w:rsidRDefault="00000000">
            <w:pPr>
              <w:pStyle w:val="a2"/>
              <w:jc w:val="center"/>
            </w:pPr>
            <w:r>
              <w:t>74</w:t>
            </w:r>
          </w:p>
        </w:tc>
        <w:tc>
          <w:tcPr>
            <w:tcW w:w="988" w:type="dxa"/>
            <w:tcBorders>
              <w:top w:val="single" w:sz="4" w:space="0" w:color="auto"/>
            </w:tcBorders>
          </w:tcPr>
          <w:p w:rsidR="00000000" w:rsidRDefault="00000000">
            <w:pPr>
              <w:pStyle w:val="a2"/>
              <w:jc w:val="center"/>
            </w:pPr>
            <w:r>
              <w:t>534</w:t>
            </w:r>
          </w:p>
        </w:tc>
      </w:tr>
    </w:tbl>
    <w:p w:rsidR="00000000" w:rsidRDefault="00000000">
      <w:pPr>
        <w:spacing w:after="320"/>
        <w:rPr>
          <w:rFonts w:hint="eastAsia"/>
        </w:rPr>
      </w:pPr>
    </w:p>
    <w:p w:rsidR="00000000" w:rsidRDefault="00000000">
      <w:pPr>
        <w:pStyle w:val="Heading3"/>
        <w:spacing w:after="120"/>
        <w:rPr>
          <w:rFonts w:hint="eastAsia"/>
          <w:u w:val="none"/>
        </w:rPr>
      </w:pPr>
      <w:r>
        <w:rPr>
          <w:rFonts w:hint="eastAsia"/>
          <w:u w:val="none"/>
        </w:rPr>
        <w:t>表</w:t>
      </w:r>
      <w:r>
        <w:rPr>
          <w:rFonts w:hint="eastAsia"/>
          <w:u w:val="none"/>
        </w:rPr>
        <w:t xml:space="preserve">  31</w:t>
      </w:r>
    </w:p>
    <w:p w:rsidR="00000000" w:rsidRDefault="00000000">
      <w:pPr>
        <w:pStyle w:val="Heading3"/>
        <w:rPr>
          <w:rFonts w:hint="eastAsia"/>
        </w:rPr>
      </w:pPr>
      <w:r>
        <w:rPr>
          <w:rFonts w:hint="eastAsia"/>
        </w:rPr>
        <w:t>2000/01</w:t>
      </w:r>
      <w:r>
        <w:rPr>
          <w:rFonts w:hint="eastAsia"/>
        </w:rPr>
        <w:t>学年按性别分类的特别小学教师情况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55"/>
        <w:gridCol w:w="2155"/>
        <w:gridCol w:w="2155"/>
      </w:tblGrid>
      <w:tr w:rsidR="00000000">
        <w:tblPrEx>
          <w:tblCellMar>
            <w:top w:w="0" w:type="dxa"/>
            <w:bottom w:w="0" w:type="dxa"/>
          </w:tblCellMar>
        </w:tblPrEx>
        <w:tc>
          <w:tcPr>
            <w:tcW w:w="2835" w:type="dxa"/>
          </w:tcPr>
          <w:p w:rsidR="00000000" w:rsidRDefault="00000000">
            <w:pPr>
              <w:pStyle w:val="a2"/>
              <w:spacing w:before="80" w:after="40"/>
              <w:jc w:val="center"/>
              <w:rPr>
                <w:rFonts w:hint="eastAsia"/>
              </w:rPr>
            </w:pPr>
            <w:r>
              <w:rPr>
                <w:rFonts w:hint="eastAsia"/>
              </w:rPr>
              <w:t>性</w:t>
            </w:r>
            <w:r>
              <w:t xml:space="preserve">  </w:t>
            </w:r>
            <w:r>
              <w:rPr>
                <w:rFonts w:hint="eastAsia"/>
              </w:rPr>
              <w:t>别</w:t>
            </w:r>
          </w:p>
        </w:tc>
        <w:tc>
          <w:tcPr>
            <w:tcW w:w="2155" w:type="dxa"/>
          </w:tcPr>
          <w:p w:rsidR="00000000" w:rsidRDefault="00000000">
            <w:pPr>
              <w:pStyle w:val="a2"/>
              <w:spacing w:before="80" w:after="40"/>
              <w:jc w:val="center"/>
              <w:rPr>
                <w:rFonts w:hint="eastAsia"/>
              </w:rPr>
            </w:pPr>
            <w:r>
              <w:rPr>
                <w:rFonts w:hint="eastAsia"/>
              </w:rPr>
              <w:t>1-4</w:t>
            </w:r>
            <w:r>
              <w:rPr>
                <w:rFonts w:hint="eastAsia"/>
              </w:rPr>
              <w:t>年级</w:t>
            </w:r>
          </w:p>
        </w:tc>
        <w:tc>
          <w:tcPr>
            <w:tcW w:w="2155" w:type="dxa"/>
          </w:tcPr>
          <w:p w:rsidR="00000000" w:rsidRDefault="00000000">
            <w:pPr>
              <w:pStyle w:val="a2"/>
              <w:spacing w:before="80" w:after="40"/>
              <w:jc w:val="center"/>
              <w:rPr>
                <w:rFonts w:hint="eastAsia"/>
              </w:rPr>
            </w:pPr>
            <w:r>
              <w:rPr>
                <w:rFonts w:hint="eastAsia"/>
              </w:rPr>
              <w:t>5-8</w:t>
            </w:r>
            <w:r>
              <w:rPr>
                <w:rFonts w:hint="eastAsia"/>
              </w:rPr>
              <w:t>年级</w:t>
            </w:r>
          </w:p>
        </w:tc>
        <w:tc>
          <w:tcPr>
            <w:tcW w:w="2155" w:type="dxa"/>
          </w:tcPr>
          <w:p w:rsidR="00000000" w:rsidRDefault="00000000">
            <w:pPr>
              <w:pStyle w:val="a2"/>
              <w:spacing w:before="80" w:after="40"/>
              <w:jc w:val="center"/>
              <w:rPr>
                <w:rFonts w:hint="eastAsia"/>
              </w:rPr>
            </w:pPr>
            <w:r>
              <w:rPr>
                <w:rFonts w:hint="eastAsia"/>
              </w:rPr>
              <w:t>总</w:t>
            </w:r>
            <w:r>
              <w:t xml:space="preserve">  </w:t>
            </w:r>
            <w:r>
              <w:rPr>
                <w:rFonts w:hint="eastAsia"/>
              </w:rPr>
              <w:t>计</w:t>
            </w:r>
          </w:p>
        </w:tc>
      </w:tr>
      <w:tr w:rsidR="00000000">
        <w:tblPrEx>
          <w:tblCellMar>
            <w:top w:w="0" w:type="dxa"/>
            <w:bottom w:w="0" w:type="dxa"/>
          </w:tblCellMar>
        </w:tblPrEx>
        <w:tc>
          <w:tcPr>
            <w:tcW w:w="2835" w:type="dxa"/>
            <w:tcBorders>
              <w:bottom w:val="nil"/>
            </w:tcBorders>
          </w:tcPr>
          <w:p w:rsidR="00000000" w:rsidRDefault="00000000">
            <w:pPr>
              <w:pStyle w:val="a2"/>
              <w:rPr>
                <w:rFonts w:hint="eastAsia"/>
              </w:rPr>
            </w:pPr>
            <w:r>
              <w:rPr>
                <w:rFonts w:hint="eastAsia"/>
              </w:rPr>
              <w:t>男</w:t>
            </w:r>
          </w:p>
        </w:tc>
        <w:tc>
          <w:tcPr>
            <w:tcW w:w="2155" w:type="dxa"/>
            <w:tcBorders>
              <w:bottom w:val="nil"/>
            </w:tcBorders>
          </w:tcPr>
          <w:p w:rsidR="00000000" w:rsidRDefault="00000000">
            <w:pPr>
              <w:pStyle w:val="a2"/>
              <w:ind w:right="737"/>
              <w:jc w:val="right"/>
            </w:pPr>
            <w:r>
              <w:t>1</w:t>
            </w:r>
          </w:p>
        </w:tc>
        <w:tc>
          <w:tcPr>
            <w:tcW w:w="2155" w:type="dxa"/>
            <w:tcBorders>
              <w:bottom w:val="nil"/>
            </w:tcBorders>
          </w:tcPr>
          <w:p w:rsidR="00000000" w:rsidRDefault="00000000">
            <w:pPr>
              <w:pStyle w:val="a2"/>
              <w:ind w:right="737"/>
              <w:jc w:val="right"/>
            </w:pPr>
            <w:r>
              <w:t>12</w:t>
            </w:r>
          </w:p>
        </w:tc>
        <w:tc>
          <w:tcPr>
            <w:tcW w:w="2155" w:type="dxa"/>
            <w:tcBorders>
              <w:bottom w:val="nil"/>
            </w:tcBorders>
          </w:tcPr>
          <w:p w:rsidR="00000000" w:rsidRDefault="00000000">
            <w:pPr>
              <w:pStyle w:val="a2"/>
              <w:ind w:right="737"/>
              <w:jc w:val="right"/>
            </w:pPr>
            <w:r>
              <w:t>13</w:t>
            </w:r>
          </w:p>
        </w:tc>
      </w:tr>
      <w:tr w:rsidR="00000000">
        <w:tblPrEx>
          <w:tblCellMar>
            <w:top w:w="0" w:type="dxa"/>
            <w:bottom w:w="0" w:type="dxa"/>
          </w:tblCellMar>
        </w:tblPrEx>
        <w:tc>
          <w:tcPr>
            <w:tcW w:w="2835" w:type="dxa"/>
            <w:tcBorders>
              <w:top w:val="nil"/>
              <w:bottom w:val="nil"/>
            </w:tcBorders>
          </w:tcPr>
          <w:p w:rsidR="00000000" w:rsidRDefault="00000000">
            <w:pPr>
              <w:pStyle w:val="a2"/>
              <w:rPr>
                <w:rFonts w:hint="eastAsia"/>
              </w:rPr>
            </w:pPr>
            <w:r>
              <w:rPr>
                <w:rFonts w:hint="eastAsia"/>
              </w:rPr>
              <w:t>百分比</w:t>
            </w:r>
          </w:p>
        </w:tc>
        <w:tc>
          <w:tcPr>
            <w:tcW w:w="2155" w:type="dxa"/>
            <w:tcBorders>
              <w:top w:val="nil"/>
              <w:bottom w:val="nil"/>
            </w:tcBorders>
          </w:tcPr>
          <w:p w:rsidR="00000000" w:rsidRDefault="00000000">
            <w:pPr>
              <w:pStyle w:val="a2"/>
              <w:ind w:right="454"/>
              <w:jc w:val="right"/>
            </w:pPr>
            <w:r>
              <w:t>3.33</w:t>
            </w:r>
          </w:p>
        </w:tc>
        <w:tc>
          <w:tcPr>
            <w:tcW w:w="2155" w:type="dxa"/>
            <w:tcBorders>
              <w:top w:val="nil"/>
              <w:bottom w:val="nil"/>
            </w:tcBorders>
          </w:tcPr>
          <w:p w:rsidR="00000000" w:rsidRDefault="00000000">
            <w:pPr>
              <w:pStyle w:val="a2"/>
              <w:ind w:right="454"/>
              <w:jc w:val="right"/>
            </w:pPr>
            <w:r>
              <w:t>27.91</w:t>
            </w:r>
          </w:p>
        </w:tc>
        <w:tc>
          <w:tcPr>
            <w:tcW w:w="2155" w:type="dxa"/>
            <w:tcBorders>
              <w:top w:val="nil"/>
              <w:bottom w:val="nil"/>
            </w:tcBorders>
          </w:tcPr>
          <w:p w:rsidR="00000000" w:rsidRDefault="00000000">
            <w:pPr>
              <w:pStyle w:val="a2"/>
              <w:ind w:right="454"/>
              <w:jc w:val="right"/>
            </w:pPr>
            <w:r>
              <w:t>17.81</w:t>
            </w:r>
          </w:p>
        </w:tc>
      </w:tr>
      <w:tr w:rsidR="00000000">
        <w:tblPrEx>
          <w:tblCellMar>
            <w:top w:w="0" w:type="dxa"/>
            <w:bottom w:w="0" w:type="dxa"/>
          </w:tblCellMar>
        </w:tblPrEx>
        <w:tc>
          <w:tcPr>
            <w:tcW w:w="2835" w:type="dxa"/>
            <w:tcBorders>
              <w:top w:val="nil"/>
              <w:bottom w:val="nil"/>
            </w:tcBorders>
          </w:tcPr>
          <w:p w:rsidR="00000000" w:rsidRDefault="00000000">
            <w:pPr>
              <w:pStyle w:val="a2"/>
              <w:rPr>
                <w:rFonts w:hint="eastAsia"/>
              </w:rPr>
            </w:pPr>
            <w:r>
              <w:rPr>
                <w:rFonts w:hint="eastAsia"/>
              </w:rPr>
              <w:t>女</w:t>
            </w:r>
          </w:p>
        </w:tc>
        <w:tc>
          <w:tcPr>
            <w:tcW w:w="2155" w:type="dxa"/>
            <w:tcBorders>
              <w:top w:val="nil"/>
              <w:bottom w:val="nil"/>
            </w:tcBorders>
          </w:tcPr>
          <w:p w:rsidR="00000000" w:rsidRDefault="00000000">
            <w:pPr>
              <w:pStyle w:val="a2"/>
              <w:ind w:right="737"/>
              <w:jc w:val="right"/>
            </w:pPr>
            <w:r>
              <w:t>29</w:t>
            </w:r>
          </w:p>
        </w:tc>
        <w:tc>
          <w:tcPr>
            <w:tcW w:w="2155" w:type="dxa"/>
            <w:tcBorders>
              <w:top w:val="nil"/>
              <w:bottom w:val="nil"/>
            </w:tcBorders>
          </w:tcPr>
          <w:p w:rsidR="00000000" w:rsidRDefault="00000000">
            <w:pPr>
              <w:pStyle w:val="a2"/>
              <w:ind w:right="737"/>
              <w:jc w:val="right"/>
            </w:pPr>
            <w:r>
              <w:t>31</w:t>
            </w:r>
          </w:p>
        </w:tc>
        <w:tc>
          <w:tcPr>
            <w:tcW w:w="2155" w:type="dxa"/>
            <w:tcBorders>
              <w:top w:val="nil"/>
              <w:bottom w:val="nil"/>
            </w:tcBorders>
          </w:tcPr>
          <w:p w:rsidR="00000000" w:rsidRDefault="00000000">
            <w:pPr>
              <w:pStyle w:val="a2"/>
              <w:ind w:right="737"/>
              <w:jc w:val="right"/>
            </w:pPr>
            <w:r>
              <w:t>60</w:t>
            </w:r>
          </w:p>
        </w:tc>
      </w:tr>
      <w:tr w:rsidR="00000000">
        <w:tblPrEx>
          <w:tblCellMar>
            <w:top w:w="0" w:type="dxa"/>
            <w:bottom w:w="0" w:type="dxa"/>
          </w:tblCellMar>
        </w:tblPrEx>
        <w:tc>
          <w:tcPr>
            <w:tcW w:w="2835" w:type="dxa"/>
            <w:tcBorders>
              <w:top w:val="nil"/>
            </w:tcBorders>
          </w:tcPr>
          <w:p w:rsidR="00000000" w:rsidRDefault="00000000">
            <w:pPr>
              <w:pStyle w:val="a2"/>
              <w:rPr>
                <w:rFonts w:hint="eastAsia"/>
              </w:rPr>
            </w:pPr>
            <w:r>
              <w:rPr>
                <w:rFonts w:hint="eastAsia"/>
              </w:rPr>
              <w:t>百分比</w:t>
            </w:r>
          </w:p>
        </w:tc>
        <w:tc>
          <w:tcPr>
            <w:tcW w:w="2155" w:type="dxa"/>
            <w:tcBorders>
              <w:top w:val="nil"/>
            </w:tcBorders>
          </w:tcPr>
          <w:p w:rsidR="00000000" w:rsidRDefault="00000000">
            <w:pPr>
              <w:pStyle w:val="a2"/>
              <w:ind w:right="454"/>
              <w:jc w:val="right"/>
            </w:pPr>
            <w:r>
              <w:t>96.66</w:t>
            </w:r>
          </w:p>
        </w:tc>
        <w:tc>
          <w:tcPr>
            <w:tcW w:w="2155" w:type="dxa"/>
            <w:tcBorders>
              <w:top w:val="nil"/>
            </w:tcBorders>
          </w:tcPr>
          <w:p w:rsidR="00000000" w:rsidRDefault="00000000">
            <w:pPr>
              <w:pStyle w:val="a2"/>
              <w:ind w:right="454"/>
              <w:jc w:val="right"/>
            </w:pPr>
            <w:r>
              <w:t>72.09</w:t>
            </w:r>
          </w:p>
        </w:tc>
        <w:tc>
          <w:tcPr>
            <w:tcW w:w="2155" w:type="dxa"/>
            <w:tcBorders>
              <w:top w:val="nil"/>
            </w:tcBorders>
          </w:tcPr>
          <w:p w:rsidR="00000000" w:rsidRDefault="00000000">
            <w:pPr>
              <w:pStyle w:val="a2"/>
              <w:ind w:right="454"/>
              <w:jc w:val="right"/>
            </w:pPr>
            <w:r>
              <w:t>82.19</w:t>
            </w:r>
          </w:p>
        </w:tc>
      </w:tr>
      <w:tr w:rsidR="00000000">
        <w:tblPrEx>
          <w:tblCellMar>
            <w:top w:w="0" w:type="dxa"/>
            <w:bottom w:w="0" w:type="dxa"/>
          </w:tblCellMar>
        </w:tblPrEx>
        <w:tc>
          <w:tcPr>
            <w:tcW w:w="2835" w:type="dxa"/>
          </w:tcPr>
          <w:p w:rsidR="00000000" w:rsidRDefault="00000000">
            <w:pPr>
              <w:pStyle w:val="a2"/>
              <w:rPr>
                <w:rFonts w:hint="eastAsia"/>
              </w:rPr>
            </w:pPr>
            <w:r>
              <w:tab/>
            </w:r>
            <w:r>
              <w:rPr>
                <w:rFonts w:hint="eastAsia"/>
              </w:rPr>
              <w:t>总</w:t>
            </w:r>
            <w:r>
              <w:t xml:space="preserve">  </w:t>
            </w:r>
            <w:r>
              <w:rPr>
                <w:rFonts w:hint="eastAsia"/>
              </w:rPr>
              <w:t>计</w:t>
            </w:r>
          </w:p>
        </w:tc>
        <w:tc>
          <w:tcPr>
            <w:tcW w:w="2155" w:type="dxa"/>
          </w:tcPr>
          <w:p w:rsidR="00000000" w:rsidRDefault="00000000">
            <w:pPr>
              <w:pStyle w:val="a2"/>
              <w:ind w:right="737"/>
              <w:jc w:val="right"/>
            </w:pPr>
            <w:r>
              <w:t>30</w:t>
            </w:r>
          </w:p>
        </w:tc>
        <w:tc>
          <w:tcPr>
            <w:tcW w:w="2155" w:type="dxa"/>
          </w:tcPr>
          <w:p w:rsidR="00000000" w:rsidRDefault="00000000">
            <w:pPr>
              <w:pStyle w:val="a2"/>
              <w:ind w:right="737"/>
              <w:jc w:val="right"/>
            </w:pPr>
            <w:r>
              <w:t>43</w:t>
            </w:r>
          </w:p>
        </w:tc>
        <w:tc>
          <w:tcPr>
            <w:tcW w:w="2155" w:type="dxa"/>
          </w:tcPr>
          <w:p w:rsidR="00000000" w:rsidRDefault="00000000">
            <w:pPr>
              <w:pStyle w:val="a2"/>
              <w:ind w:right="737"/>
              <w:jc w:val="right"/>
            </w:pPr>
            <w:r>
              <w:t>73</w:t>
            </w:r>
          </w:p>
        </w:tc>
      </w:tr>
    </w:tbl>
    <w:p w:rsidR="00000000" w:rsidRDefault="00000000">
      <w:pPr>
        <w:rPr>
          <w:rFonts w:hint="eastAsia"/>
        </w:rPr>
      </w:pPr>
    </w:p>
    <w:p w:rsidR="00000000" w:rsidRDefault="00000000">
      <w:pPr>
        <w:rPr>
          <w:rFonts w:hint="eastAsia"/>
          <w:lang w:val="en-GB"/>
        </w:rPr>
      </w:pPr>
      <w:r>
        <w:rPr>
          <w:rFonts w:hint="eastAsia"/>
        </w:rPr>
        <w:tab/>
        <w:t xml:space="preserve">602.  </w:t>
      </w:r>
      <w:r>
        <w:rPr>
          <w:rFonts w:hint="eastAsia"/>
        </w:rPr>
        <w:t>在</w:t>
      </w:r>
      <w:r>
        <w:rPr>
          <w:rFonts w:hint="eastAsia"/>
        </w:rPr>
        <w:t>198</w:t>
      </w:r>
      <w:r>
        <w:rPr>
          <w:rFonts w:hint="eastAsia"/>
        </w:rPr>
        <w:t>所小学中，只有</w:t>
      </w:r>
      <w:r>
        <w:rPr>
          <w:rFonts w:hint="eastAsia"/>
        </w:rPr>
        <w:t>25</w:t>
      </w:r>
      <w:r>
        <w:rPr>
          <w:rFonts w:hint="eastAsia"/>
        </w:rPr>
        <w:t>所校长是女性，或</w:t>
      </w:r>
      <w:r>
        <w:rPr>
          <w:rFonts w:hint="eastAsia"/>
        </w:rPr>
        <w:t>15%</w:t>
      </w:r>
      <w:r>
        <w:rPr>
          <w:rFonts w:hint="eastAsia"/>
        </w:rPr>
        <w:t>左右</w:t>
      </w:r>
      <w:r>
        <w:rPr>
          <w:rFonts w:hint="eastAsia"/>
        </w:rPr>
        <w:t>(</w:t>
      </w:r>
      <w:r>
        <w:rPr>
          <w:rFonts w:hint="eastAsia"/>
        </w:rPr>
        <w:t>在多数是妇女的领域</w:t>
      </w:r>
      <w:r>
        <w:rPr>
          <w:rFonts w:hint="eastAsia"/>
        </w:rPr>
        <w:t>)</w:t>
      </w:r>
      <w:r>
        <w:rPr>
          <w:rFonts w:hint="eastAsia"/>
        </w:rPr>
        <w:t>。在</w:t>
      </w:r>
      <w:r>
        <w:rPr>
          <w:rFonts w:hint="eastAsia"/>
          <w:lang w:val="en-GB"/>
        </w:rPr>
        <w:t>比尔奇科区</w:t>
      </w:r>
      <w:r>
        <w:rPr>
          <w:rFonts w:hint="eastAsia"/>
          <w:lang w:val="en-GB"/>
        </w:rPr>
        <w:t>16</w:t>
      </w:r>
      <w:r>
        <w:rPr>
          <w:rFonts w:hint="eastAsia"/>
          <w:lang w:val="en-GB"/>
        </w:rPr>
        <w:t>所小学中，有</w:t>
      </w:r>
      <w:r>
        <w:rPr>
          <w:rFonts w:hint="eastAsia"/>
          <w:lang w:val="en-GB"/>
        </w:rPr>
        <w:t>3</w:t>
      </w:r>
      <w:r>
        <w:rPr>
          <w:rFonts w:hint="eastAsia"/>
          <w:lang w:val="en-GB"/>
        </w:rPr>
        <w:t>位校长是女性以及</w:t>
      </w:r>
      <w:r>
        <w:rPr>
          <w:rFonts w:hint="eastAsia"/>
          <w:lang w:val="en-GB"/>
        </w:rPr>
        <w:t>7</w:t>
      </w:r>
      <w:r>
        <w:rPr>
          <w:rFonts w:hint="eastAsia"/>
          <w:lang w:val="en-GB"/>
        </w:rPr>
        <w:t>位女性教务主任，而在</w:t>
      </w:r>
      <w:r>
        <w:rPr>
          <w:rFonts w:hint="eastAsia"/>
          <w:lang w:val="en-GB"/>
        </w:rPr>
        <w:t>4</w:t>
      </w:r>
      <w:r>
        <w:rPr>
          <w:rFonts w:hint="eastAsia"/>
          <w:lang w:val="en-GB"/>
        </w:rPr>
        <w:t>所中学中，有</w:t>
      </w:r>
      <w:r>
        <w:rPr>
          <w:rFonts w:hint="eastAsia"/>
          <w:lang w:val="en-GB"/>
        </w:rPr>
        <w:t>1</w:t>
      </w:r>
      <w:r>
        <w:rPr>
          <w:rFonts w:hint="eastAsia"/>
          <w:lang w:val="en-GB"/>
        </w:rPr>
        <w:t>位女性校长，一位女性副校长和</w:t>
      </w:r>
      <w:r>
        <w:rPr>
          <w:rFonts w:hint="eastAsia"/>
          <w:lang w:val="en-GB"/>
        </w:rPr>
        <w:t>2</w:t>
      </w:r>
      <w:r>
        <w:rPr>
          <w:rFonts w:hint="eastAsia"/>
          <w:lang w:val="en-GB"/>
        </w:rPr>
        <w:t>位女性教务主任。在比尔奇科区，中学提供中等教育，所有从小学毕业的学生都可入学。中学教育象小学一样是免费的，这就是说，在比尔奇科区中小学学生，或其家长或监护人，都无需支付入学费或学费，家住离学校</w:t>
      </w:r>
      <w:r>
        <w:rPr>
          <w:rFonts w:hint="eastAsia"/>
          <w:lang w:val="en-GB"/>
        </w:rPr>
        <w:t>4</w:t>
      </w:r>
      <w:r>
        <w:rPr>
          <w:rFonts w:hint="eastAsia"/>
          <w:lang w:val="en-GB"/>
        </w:rPr>
        <w:t>公里以外的学生可享受免费交通。他们有免费的公共文件</w:t>
      </w:r>
      <w:r>
        <w:rPr>
          <w:rFonts w:hint="eastAsia"/>
          <w:lang w:val="en-GB"/>
        </w:rPr>
        <w:t>(</w:t>
      </w:r>
      <w:r>
        <w:rPr>
          <w:rFonts w:hint="eastAsia"/>
          <w:lang w:val="en-GB"/>
        </w:rPr>
        <w:t>学生的书籍和毕业证书</w:t>
      </w:r>
      <w:r>
        <w:rPr>
          <w:rFonts w:hint="eastAsia"/>
          <w:lang w:val="en-GB"/>
        </w:rPr>
        <w:t>)</w:t>
      </w:r>
      <w:r>
        <w:rPr>
          <w:rFonts w:hint="eastAsia"/>
          <w:lang w:val="en-GB"/>
        </w:rPr>
        <w:t>。他们可免费进入剧院以及所有其他为中小学学生组织的表演。</w:t>
      </w:r>
    </w:p>
    <w:p w:rsidR="00000000" w:rsidRDefault="00000000">
      <w:pPr>
        <w:spacing w:after="320"/>
        <w:rPr>
          <w:rFonts w:hint="eastAsia"/>
          <w:lang w:val="en-GB"/>
        </w:rPr>
      </w:pPr>
      <w:r>
        <w:rPr>
          <w:rFonts w:hint="eastAsia"/>
          <w:lang w:val="en-GB"/>
        </w:rPr>
        <w:tab/>
        <w:t xml:space="preserve">603.  </w:t>
      </w:r>
      <w:r>
        <w:rPr>
          <w:rFonts w:hint="eastAsia"/>
          <w:lang w:val="en-GB"/>
        </w:rPr>
        <w:t>在比尔奇科区，有发育障碍的学生以及天才儿童的中等教育被安排在专门为此目的而设立的中学特别班中，为这两类学生使用特别调整过的课程。在中学中除了实行普通教育和适当的专业培训以外，也可提供各种补充的教育课程和专业培训。</w:t>
      </w:r>
    </w:p>
    <w:p w:rsidR="00000000" w:rsidRDefault="00000000">
      <w:pPr>
        <w:pStyle w:val="Heading3"/>
        <w:spacing w:after="120"/>
        <w:rPr>
          <w:rFonts w:hint="eastAsia"/>
          <w:u w:val="none"/>
        </w:rPr>
      </w:pPr>
      <w:r>
        <w:rPr>
          <w:rFonts w:hint="eastAsia"/>
          <w:u w:val="none"/>
        </w:rPr>
        <w:t>表</w:t>
      </w:r>
      <w:r>
        <w:rPr>
          <w:rFonts w:hint="eastAsia"/>
          <w:u w:val="none"/>
        </w:rPr>
        <w:t xml:space="preserve">  32</w:t>
      </w:r>
    </w:p>
    <w:p w:rsidR="00000000" w:rsidRDefault="00000000">
      <w:pPr>
        <w:pStyle w:val="Heading3"/>
        <w:rPr>
          <w:u w:val="none"/>
        </w:rPr>
      </w:pPr>
      <w:r>
        <w:rPr>
          <w:rFonts w:hint="eastAsia"/>
        </w:rPr>
        <w:t>各教育机构中的毛入学率和纯入学率</w:t>
      </w:r>
      <w:r>
        <w:rPr>
          <w:rFonts w:hint="eastAsia"/>
        </w:rPr>
        <w:t>(</w:t>
      </w:r>
      <w:r>
        <w:rPr>
          <w:rFonts w:hint="eastAsia"/>
        </w:rPr>
        <w:t>百分比</w:t>
      </w:r>
      <w:r>
        <w:rPr>
          <w:rFonts w:hint="eastAsia"/>
          <w:u w:val="none"/>
        </w:rPr>
        <w:t>)</w:t>
      </w:r>
      <w:r>
        <w:rPr>
          <w:u w:val="none"/>
        </w:rPr>
        <w:t>a 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1320"/>
        <w:gridCol w:w="1443"/>
        <w:gridCol w:w="1393"/>
        <w:gridCol w:w="1309"/>
        <w:gridCol w:w="1163"/>
        <w:gridCol w:w="1277"/>
      </w:tblGrid>
      <w:tr w:rsidR="00000000">
        <w:tblPrEx>
          <w:tblCellMar>
            <w:top w:w="0" w:type="dxa"/>
            <w:bottom w:w="0" w:type="dxa"/>
          </w:tblCellMar>
        </w:tblPrEx>
        <w:trPr>
          <w:cantSplit/>
        </w:trPr>
        <w:tc>
          <w:tcPr>
            <w:tcW w:w="1451" w:type="dxa"/>
            <w:vMerge w:val="restart"/>
          </w:tcPr>
          <w:p w:rsidR="00000000" w:rsidRDefault="00000000">
            <w:pPr>
              <w:pStyle w:val="a2"/>
              <w:jc w:val="center"/>
            </w:pPr>
          </w:p>
        </w:tc>
        <w:tc>
          <w:tcPr>
            <w:tcW w:w="2763" w:type="dxa"/>
            <w:gridSpan w:val="2"/>
          </w:tcPr>
          <w:p w:rsidR="00000000" w:rsidRDefault="00000000">
            <w:pPr>
              <w:pStyle w:val="a2"/>
              <w:jc w:val="center"/>
              <w:rPr>
                <w:rFonts w:hint="eastAsia"/>
                <w:spacing w:val="4"/>
              </w:rPr>
            </w:pPr>
            <w:r>
              <w:rPr>
                <w:rFonts w:hint="eastAsia"/>
                <w:spacing w:val="4"/>
              </w:rPr>
              <w:t>波斯尼亚和黑塞哥维那</w:t>
            </w:r>
          </w:p>
        </w:tc>
        <w:tc>
          <w:tcPr>
            <w:tcW w:w="2702" w:type="dxa"/>
            <w:gridSpan w:val="2"/>
          </w:tcPr>
          <w:p w:rsidR="00000000" w:rsidRDefault="00000000">
            <w:pPr>
              <w:pStyle w:val="a2"/>
              <w:jc w:val="center"/>
              <w:rPr>
                <w:rFonts w:hint="eastAsia"/>
              </w:rPr>
            </w:pPr>
            <w:r>
              <w:rPr>
                <w:rFonts w:hint="eastAsia"/>
              </w:rPr>
              <w:t>波黑联邦</w:t>
            </w:r>
          </w:p>
        </w:tc>
        <w:tc>
          <w:tcPr>
            <w:tcW w:w="2440" w:type="dxa"/>
            <w:gridSpan w:val="2"/>
          </w:tcPr>
          <w:p w:rsidR="00000000" w:rsidRDefault="00000000">
            <w:pPr>
              <w:pStyle w:val="a2"/>
              <w:jc w:val="center"/>
              <w:rPr>
                <w:rFonts w:hint="eastAsia"/>
              </w:rPr>
            </w:pPr>
            <w:r>
              <w:rPr>
                <w:rFonts w:hint="eastAsia"/>
              </w:rPr>
              <w:t>塞族共和国</w:t>
            </w:r>
          </w:p>
        </w:tc>
      </w:tr>
      <w:tr w:rsidR="00000000">
        <w:tblPrEx>
          <w:tblCellMar>
            <w:top w:w="0" w:type="dxa"/>
            <w:bottom w:w="0" w:type="dxa"/>
          </w:tblCellMar>
        </w:tblPrEx>
        <w:trPr>
          <w:cantSplit/>
        </w:trPr>
        <w:tc>
          <w:tcPr>
            <w:tcW w:w="1451" w:type="dxa"/>
            <w:vMerge/>
          </w:tcPr>
          <w:p w:rsidR="00000000" w:rsidRDefault="00000000">
            <w:pPr>
              <w:pStyle w:val="a2"/>
              <w:jc w:val="center"/>
            </w:pPr>
          </w:p>
        </w:tc>
        <w:tc>
          <w:tcPr>
            <w:tcW w:w="1320" w:type="dxa"/>
          </w:tcPr>
          <w:p w:rsidR="00000000" w:rsidRDefault="00000000">
            <w:pPr>
              <w:pStyle w:val="a2"/>
              <w:jc w:val="center"/>
              <w:rPr>
                <w:rFonts w:hint="eastAsia"/>
              </w:rPr>
            </w:pPr>
            <w:r>
              <w:rPr>
                <w:rFonts w:hint="eastAsia"/>
              </w:rPr>
              <w:t>毛</w:t>
            </w:r>
          </w:p>
        </w:tc>
        <w:tc>
          <w:tcPr>
            <w:tcW w:w="1443" w:type="dxa"/>
          </w:tcPr>
          <w:p w:rsidR="00000000" w:rsidRDefault="00000000">
            <w:pPr>
              <w:pStyle w:val="a2"/>
              <w:jc w:val="center"/>
              <w:rPr>
                <w:rFonts w:hint="eastAsia"/>
              </w:rPr>
            </w:pPr>
            <w:r>
              <w:rPr>
                <w:rFonts w:hint="eastAsia"/>
              </w:rPr>
              <w:t>纯</w:t>
            </w:r>
          </w:p>
        </w:tc>
        <w:tc>
          <w:tcPr>
            <w:tcW w:w="1393" w:type="dxa"/>
          </w:tcPr>
          <w:p w:rsidR="00000000" w:rsidRDefault="00000000">
            <w:pPr>
              <w:pStyle w:val="a2"/>
              <w:jc w:val="center"/>
              <w:rPr>
                <w:rFonts w:hint="eastAsia"/>
              </w:rPr>
            </w:pPr>
            <w:r>
              <w:rPr>
                <w:rFonts w:hint="eastAsia"/>
              </w:rPr>
              <w:t>毛</w:t>
            </w:r>
          </w:p>
        </w:tc>
        <w:tc>
          <w:tcPr>
            <w:tcW w:w="1309" w:type="dxa"/>
          </w:tcPr>
          <w:p w:rsidR="00000000" w:rsidRDefault="00000000">
            <w:pPr>
              <w:pStyle w:val="a2"/>
              <w:jc w:val="center"/>
              <w:rPr>
                <w:rFonts w:hint="eastAsia"/>
              </w:rPr>
            </w:pPr>
            <w:r>
              <w:rPr>
                <w:rFonts w:hint="eastAsia"/>
              </w:rPr>
              <w:t>纯</w:t>
            </w:r>
          </w:p>
        </w:tc>
        <w:tc>
          <w:tcPr>
            <w:tcW w:w="1163" w:type="dxa"/>
          </w:tcPr>
          <w:p w:rsidR="00000000" w:rsidRDefault="00000000">
            <w:pPr>
              <w:pStyle w:val="a2"/>
              <w:jc w:val="center"/>
              <w:rPr>
                <w:rFonts w:hint="eastAsia"/>
              </w:rPr>
            </w:pPr>
            <w:r>
              <w:rPr>
                <w:rFonts w:hint="eastAsia"/>
              </w:rPr>
              <w:t>毛</w:t>
            </w:r>
          </w:p>
        </w:tc>
        <w:tc>
          <w:tcPr>
            <w:tcW w:w="1277" w:type="dxa"/>
          </w:tcPr>
          <w:p w:rsidR="00000000" w:rsidRDefault="00000000">
            <w:pPr>
              <w:pStyle w:val="a2"/>
              <w:jc w:val="center"/>
              <w:rPr>
                <w:rFonts w:hint="eastAsia"/>
              </w:rPr>
            </w:pPr>
            <w:r>
              <w:rPr>
                <w:rFonts w:hint="eastAsia"/>
              </w:rPr>
              <w:t>纯</w:t>
            </w:r>
          </w:p>
        </w:tc>
      </w:tr>
      <w:tr w:rsidR="00000000">
        <w:tblPrEx>
          <w:tblCellMar>
            <w:top w:w="0" w:type="dxa"/>
            <w:bottom w:w="0" w:type="dxa"/>
          </w:tblCellMar>
        </w:tblPrEx>
        <w:tc>
          <w:tcPr>
            <w:tcW w:w="1451" w:type="dxa"/>
            <w:tcBorders>
              <w:bottom w:val="nil"/>
            </w:tcBorders>
          </w:tcPr>
          <w:p w:rsidR="00000000" w:rsidRDefault="00000000">
            <w:pPr>
              <w:pStyle w:val="a2"/>
              <w:jc w:val="center"/>
              <w:rPr>
                <w:rFonts w:hint="eastAsia"/>
              </w:rPr>
            </w:pPr>
            <w:r>
              <w:rPr>
                <w:rFonts w:hint="eastAsia"/>
              </w:rPr>
              <w:t>小学</w:t>
            </w:r>
          </w:p>
        </w:tc>
        <w:tc>
          <w:tcPr>
            <w:tcW w:w="1320" w:type="dxa"/>
            <w:tcBorders>
              <w:bottom w:val="nil"/>
            </w:tcBorders>
          </w:tcPr>
          <w:p w:rsidR="00000000" w:rsidRDefault="00000000">
            <w:pPr>
              <w:pStyle w:val="a2"/>
              <w:jc w:val="center"/>
            </w:pPr>
            <w:r>
              <w:t>96.35</w:t>
            </w:r>
          </w:p>
        </w:tc>
        <w:tc>
          <w:tcPr>
            <w:tcW w:w="1443" w:type="dxa"/>
            <w:tcBorders>
              <w:bottom w:val="nil"/>
            </w:tcBorders>
          </w:tcPr>
          <w:p w:rsidR="00000000" w:rsidRDefault="00000000">
            <w:pPr>
              <w:pStyle w:val="a2"/>
              <w:jc w:val="center"/>
            </w:pPr>
            <w:r>
              <w:t>92.80</w:t>
            </w:r>
          </w:p>
        </w:tc>
        <w:tc>
          <w:tcPr>
            <w:tcW w:w="1393" w:type="dxa"/>
            <w:tcBorders>
              <w:bottom w:val="nil"/>
            </w:tcBorders>
          </w:tcPr>
          <w:p w:rsidR="00000000" w:rsidRDefault="00000000">
            <w:pPr>
              <w:pStyle w:val="a2"/>
              <w:jc w:val="center"/>
            </w:pPr>
            <w:r>
              <w:t>96.00</w:t>
            </w:r>
          </w:p>
        </w:tc>
        <w:tc>
          <w:tcPr>
            <w:tcW w:w="1309" w:type="dxa"/>
            <w:tcBorders>
              <w:bottom w:val="nil"/>
            </w:tcBorders>
          </w:tcPr>
          <w:p w:rsidR="00000000" w:rsidRDefault="00000000">
            <w:pPr>
              <w:pStyle w:val="a2"/>
              <w:jc w:val="center"/>
            </w:pPr>
            <w:r>
              <w:t>92.61</w:t>
            </w:r>
          </w:p>
        </w:tc>
        <w:tc>
          <w:tcPr>
            <w:tcW w:w="1163" w:type="dxa"/>
            <w:tcBorders>
              <w:bottom w:val="nil"/>
            </w:tcBorders>
          </w:tcPr>
          <w:p w:rsidR="00000000" w:rsidRDefault="00000000">
            <w:pPr>
              <w:pStyle w:val="a2"/>
              <w:jc w:val="center"/>
            </w:pPr>
            <w:r>
              <w:t>97.04</w:t>
            </w:r>
          </w:p>
        </w:tc>
        <w:tc>
          <w:tcPr>
            <w:tcW w:w="1277" w:type="dxa"/>
            <w:tcBorders>
              <w:bottom w:val="nil"/>
            </w:tcBorders>
          </w:tcPr>
          <w:p w:rsidR="00000000" w:rsidRDefault="00000000">
            <w:pPr>
              <w:pStyle w:val="a2"/>
              <w:jc w:val="center"/>
            </w:pPr>
            <w:r>
              <w:t>93.17</w:t>
            </w:r>
          </w:p>
        </w:tc>
      </w:tr>
      <w:tr w:rsidR="00000000">
        <w:tblPrEx>
          <w:tblCellMar>
            <w:top w:w="0" w:type="dxa"/>
            <w:bottom w:w="0" w:type="dxa"/>
          </w:tblCellMar>
        </w:tblPrEx>
        <w:tc>
          <w:tcPr>
            <w:tcW w:w="1451" w:type="dxa"/>
            <w:tcBorders>
              <w:top w:val="nil"/>
              <w:bottom w:val="nil"/>
            </w:tcBorders>
          </w:tcPr>
          <w:p w:rsidR="00000000" w:rsidRDefault="00000000">
            <w:pPr>
              <w:pStyle w:val="a2"/>
              <w:jc w:val="center"/>
              <w:rPr>
                <w:rFonts w:hint="eastAsia"/>
              </w:rPr>
            </w:pPr>
            <w:r>
              <w:rPr>
                <w:rFonts w:hint="eastAsia"/>
              </w:rPr>
              <w:t>中学</w:t>
            </w:r>
          </w:p>
        </w:tc>
        <w:tc>
          <w:tcPr>
            <w:tcW w:w="1320" w:type="dxa"/>
            <w:tcBorders>
              <w:top w:val="nil"/>
              <w:bottom w:val="nil"/>
            </w:tcBorders>
          </w:tcPr>
          <w:p w:rsidR="00000000" w:rsidRDefault="00000000">
            <w:pPr>
              <w:pStyle w:val="a2"/>
              <w:jc w:val="center"/>
            </w:pPr>
            <w:r>
              <w:t>83.77</w:t>
            </w:r>
          </w:p>
        </w:tc>
        <w:tc>
          <w:tcPr>
            <w:tcW w:w="1443" w:type="dxa"/>
            <w:tcBorders>
              <w:top w:val="nil"/>
              <w:bottom w:val="nil"/>
            </w:tcBorders>
          </w:tcPr>
          <w:p w:rsidR="00000000" w:rsidRDefault="00000000">
            <w:pPr>
              <w:pStyle w:val="a2"/>
              <w:jc w:val="center"/>
            </w:pPr>
            <w:r>
              <w:t>72.64</w:t>
            </w:r>
          </w:p>
        </w:tc>
        <w:tc>
          <w:tcPr>
            <w:tcW w:w="1393" w:type="dxa"/>
            <w:tcBorders>
              <w:top w:val="nil"/>
              <w:bottom w:val="nil"/>
            </w:tcBorders>
          </w:tcPr>
          <w:p w:rsidR="00000000" w:rsidRDefault="00000000">
            <w:pPr>
              <w:pStyle w:val="a2"/>
              <w:jc w:val="center"/>
            </w:pPr>
            <w:r>
              <w:t>85.52</w:t>
            </w:r>
          </w:p>
        </w:tc>
        <w:tc>
          <w:tcPr>
            <w:tcW w:w="1309" w:type="dxa"/>
            <w:tcBorders>
              <w:top w:val="nil"/>
              <w:bottom w:val="nil"/>
            </w:tcBorders>
          </w:tcPr>
          <w:p w:rsidR="00000000" w:rsidRDefault="00000000">
            <w:pPr>
              <w:pStyle w:val="a2"/>
              <w:jc w:val="center"/>
            </w:pPr>
            <w:r>
              <w:t>73.70</w:t>
            </w:r>
          </w:p>
        </w:tc>
        <w:tc>
          <w:tcPr>
            <w:tcW w:w="1163" w:type="dxa"/>
            <w:tcBorders>
              <w:top w:val="nil"/>
              <w:bottom w:val="nil"/>
            </w:tcBorders>
          </w:tcPr>
          <w:p w:rsidR="00000000" w:rsidRDefault="00000000">
            <w:pPr>
              <w:pStyle w:val="a2"/>
              <w:jc w:val="center"/>
            </w:pPr>
            <w:r>
              <w:t>80.39</w:t>
            </w:r>
          </w:p>
        </w:tc>
        <w:tc>
          <w:tcPr>
            <w:tcW w:w="1277" w:type="dxa"/>
            <w:tcBorders>
              <w:top w:val="nil"/>
              <w:bottom w:val="nil"/>
            </w:tcBorders>
          </w:tcPr>
          <w:p w:rsidR="00000000" w:rsidRDefault="00000000">
            <w:pPr>
              <w:pStyle w:val="a2"/>
              <w:jc w:val="center"/>
            </w:pPr>
            <w:r>
              <w:t>70.60</w:t>
            </w:r>
          </w:p>
        </w:tc>
      </w:tr>
      <w:tr w:rsidR="00000000">
        <w:tblPrEx>
          <w:tblCellMar>
            <w:top w:w="0" w:type="dxa"/>
            <w:bottom w:w="0" w:type="dxa"/>
          </w:tblCellMar>
        </w:tblPrEx>
        <w:trPr>
          <w:trHeight w:val="277"/>
        </w:trPr>
        <w:tc>
          <w:tcPr>
            <w:tcW w:w="1451" w:type="dxa"/>
            <w:tcBorders>
              <w:top w:val="nil"/>
            </w:tcBorders>
          </w:tcPr>
          <w:p w:rsidR="00000000" w:rsidRDefault="00000000">
            <w:pPr>
              <w:pStyle w:val="a2"/>
              <w:jc w:val="center"/>
              <w:rPr>
                <w:rFonts w:hint="eastAsia"/>
              </w:rPr>
            </w:pPr>
            <w:r>
              <w:rPr>
                <w:rFonts w:hint="eastAsia"/>
              </w:rPr>
              <w:t>大学</w:t>
            </w:r>
          </w:p>
        </w:tc>
        <w:tc>
          <w:tcPr>
            <w:tcW w:w="1320" w:type="dxa"/>
            <w:tcBorders>
              <w:top w:val="nil"/>
            </w:tcBorders>
          </w:tcPr>
          <w:p w:rsidR="00000000" w:rsidRDefault="00000000">
            <w:pPr>
              <w:pStyle w:val="a2"/>
              <w:jc w:val="center"/>
            </w:pPr>
            <w:r>
              <w:t>36.61</w:t>
            </w:r>
          </w:p>
        </w:tc>
        <w:tc>
          <w:tcPr>
            <w:tcW w:w="1443" w:type="dxa"/>
            <w:tcBorders>
              <w:top w:val="nil"/>
            </w:tcBorders>
          </w:tcPr>
          <w:p w:rsidR="00000000" w:rsidRDefault="00000000">
            <w:pPr>
              <w:pStyle w:val="a2"/>
              <w:jc w:val="center"/>
            </w:pPr>
            <w:r>
              <w:t>24.22</w:t>
            </w:r>
          </w:p>
        </w:tc>
        <w:tc>
          <w:tcPr>
            <w:tcW w:w="1393" w:type="dxa"/>
            <w:tcBorders>
              <w:top w:val="nil"/>
            </w:tcBorders>
          </w:tcPr>
          <w:p w:rsidR="00000000" w:rsidRDefault="00000000">
            <w:pPr>
              <w:pStyle w:val="a2"/>
              <w:jc w:val="center"/>
            </w:pPr>
            <w:r>
              <w:t>38.67</w:t>
            </w:r>
          </w:p>
        </w:tc>
        <w:tc>
          <w:tcPr>
            <w:tcW w:w="1309" w:type="dxa"/>
            <w:tcBorders>
              <w:top w:val="nil"/>
            </w:tcBorders>
          </w:tcPr>
          <w:p w:rsidR="00000000" w:rsidRDefault="00000000">
            <w:pPr>
              <w:pStyle w:val="a2"/>
              <w:jc w:val="center"/>
            </w:pPr>
            <w:r>
              <w:t>25.55</w:t>
            </w:r>
          </w:p>
        </w:tc>
        <w:tc>
          <w:tcPr>
            <w:tcW w:w="1163" w:type="dxa"/>
            <w:tcBorders>
              <w:top w:val="nil"/>
            </w:tcBorders>
          </w:tcPr>
          <w:p w:rsidR="00000000" w:rsidRDefault="00000000">
            <w:pPr>
              <w:pStyle w:val="a2"/>
              <w:jc w:val="center"/>
            </w:pPr>
            <w:r>
              <w:t>33.27</w:t>
            </w:r>
          </w:p>
        </w:tc>
        <w:tc>
          <w:tcPr>
            <w:tcW w:w="1277" w:type="dxa"/>
            <w:tcBorders>
              <w:top w:val="nil"/>
            </w:tcBorders>
          </w:tcPr>
          <w:p w:rsidR="00000000" w:rsidRDefault="00000000">
            <w:pPr>
              <w:pStyle w:val="a2"/>
              <w:jc w:val="center"/>
            </w:pPr>
            <w:r>
              <w:t>22.06</w:t>
            </w:r>
          </w:p>
        </w:tc>
      </w:tr>
    </w:tbl>
    <w:p w:rsidR="00000000" w:rsidRDefault="00000000"/>
    <w:p w:rsidR="00000000" w:rsidRDefault="00000000">
      <w:pPr>
        <w:pStyle w:val="FootnoteText"/>
        <w:rPr>
          <w:rFonts w:hint="eastAsia"/>
        </w:rPr>
      </w:pPr>
      <w:r>
        <w:t>a.</w:t>
      </w:r>
      <w:r>
        <w:rPr>
          <w:rFonts w:hint="eastAsia"/>
        </w:rPr>
        <w:t xml:space="preserve">  </w:t>
      </w:r>
      <w:r>
        <w:rPr>
          <w:rFonts w:hint="eastAsia"/>
        </w:rPr>
        <w:t>各教育机构的毛入学率和纯入学率根据世界银行发表的出版物，标题是“波斯尼亚和黑塞哥维那贫困状况评估”，</w:t>
      </w:r>
      <w:r>
        <w:rPr>
          <w:rFonts w:hint="eastAsia"/>
        </w:rPr>
        <w:t xml:space="preserve">2003, </w:t>
      </w:r>
      <w:r>
        <w:rPr>
          <w:rFonts w:hint="eastAsia"/>
        </w:rPr>
        <w:t>中发表的生活水平衡量标准研究调查提供的。</w:t>
      </w:r>
    </w:p>
    <w:p w:rsidR="00000000" w:rsidRDefault="00000000">
      <w:pPr>
        <w:pStyle w:val="FootnoteText"/>
        <w:spacing w:after="320"/>
        <w:rPr>
          <w:rFonts w:hint="eastAsia"/>
        </w:rPr>
      </w:pPr>
      <w:r>
        <w:t xml:space="preserve">b.  </w:t>
      </w:r>
      <w:r>
        <w:rPr>
          <w:rFonts w:hint="eastAsia"/>
        </w:rPr>
        <w:t>这一比例中不包括研究生。</w:t>
      </w:r>
    </w:p>
    <w:p w:rsidR="00000000" w:rsidRDefault="00000000">
      <w:pPr>
        <w:pStyle w:val="Heading4"/>
        <w:rPr>
          <w:rFonts w:hint="eastAsia"/>
        </w:rPr>
      </w:pPr>
      <w:r>
        <w:rPr>
          <w:rFonts w:hint="eastAsia"/>
        </w:rPr>
        <w:t>波斯尼亚和黑塞哥维那联邦的高等教育</w:t>
      </w:r>
    </w:p>
    <w:p w:rsidR="00000000" w:rsidRDefault="00000000">
      <w:pPr>
        <w:rPr>
          <w:rFonts w:hint="eastAsia"/>
        </w:rPr>
      </w:pPr>
      <w:r>
        <w:rPr>
          <w:rFonts w:hint="eastAsia"/>
        </w:rPr>
        <w:tab/>
        <w:t xml:space="preserve">604.  </w:t>
      </w:r>
      <w:r>
        <w:rPr>
          <w:rFonts w:hint="eastAsia"/>
        </w:rPr>
        <w:t>战前，波斯尼亚和黑塞哥维那的高等教育是中央集中的。各大学的设立、管理和组织都受一个统一的大学法指导。波斯尼亚和黑塞哥维那的教育权力下放使高等教育处于非常困难的境地，引起了一系列的新的问题和困难。</w:t>
      </w:r>
    </w:p>
    <w:p w:rsidR="00000000" w:rsidRDefault="00000000">
      <w:pPr>
        <w:rPr>
          <w:rFonts w:hint="eastAsia"/>
        </w:rPr>
      </w:pPr>
      <w:r>
        <w:rPr>
          <w:rFonts w:hint="eastAsia"/>
        </w:rPr>
        <w:tab/>
        <w:t xml:space="preserve">605.  </w:t>
      </w:r>
      <w:r>
        <w:rPr>
          <w:rFonts w:hint="eastAsia"/>
        </w:rPr>
        <w:t>波斯尼亚和黑塞哥维那的高等教育在塞族共和国是在实体一级，在波斯尼亚和黑塞哥维那联邦是在州一级，州一级共有</w:t>
      </w:r>
      <w:r>
        <w:rPr>
          <w:rFonts w:hint="eastAsia"/>
        </w:rPr>
        <w:t>5</w:t>
      </w:r>
      <w:r>
        <w:rPr>
          <w:rFonts w:hint="eastAsia"/>
        </w:rPr>
        <w:t>所大学，由</w:t>
      </w:r>
      <w:r>
        <w:rPr>
          <w:rFonts w:hint="eastAsia"/>
        </w:rPr>
        <w:t>62</w:t>
      </w:r>
      <w:r>
        <w:rPr>
          <w:rFonts w:hint="eastAsia"/>
        </w:rPr>
        <w:t>个高等教育机构组成。高等教育机构包括专科、研究院和高等学校。</w:t>
      </w:r>
    </w:p>
    <w:p w:rsidR="00000000" w:rsidRDefault="00000000">
      <w:pPr>
        <w:rPr>
          <w:rFonts w:hint="eastAsia"/>
        </w:rPr>
      </w:pPr>
      <w:r>
        <w:rPr>
          <w:rFonts w:hint="eastAsia"/>
        </w:rPr>
        <w:tab/>
        <w:t xml:space="preserve">606.  </w:t>
      </w:r>
      <w:r>
        <w:rPr>
          <w:rFonts w:hint="eastAsia"/>
        </w:rPr>
        <w:t>相对于人口而言，</w:t>
      </w:r>
      <w:r>
        <w:rPr>
          <w:rFonts w:hint="eastAsia"/>
        </w:rPr>
        <w:t>2002</w:t>
      </w:r>
      <w:r>
        <w:rPr>
          <w:rFonts w:hint="eastAsia"/>
        </w:rPr>
        <w:t>年入学的学生人数约为</w:t>
      </w:r>
      <w:r>
        <w:rPr>
          <w:rFonts w:hint="eastAsia"/>
        </w:rPr>
        <w:t>2.2%</w:t>
      </w:r>
      <w:r>
        <w:rPr>
          <w:rFonts w:hint="eastAsia"/>
        </w:rPr>
        <w:t>。在大多数转型国家，这一百分比一般为</w:t>
      </w:r>
      <w:r>
        <w:rPr>
          <w:rFonts w:hint="eastAsia"/>
        </w:rPr>
        <w:t>2%</w:t>
      </w:r>
      <w:r>
        <w:rPr>
          <w:rFonts w:hint="eastAsia"/>
        </w:rPr>
        <w:t>左右，而在发达国家，则至少是</w:t>
      </w:r>
      <w:r>
        <w:rPr>
          <w:rFonts w:hint="eastAsia"/>
        </w:rPr>
        <w:t>3%</w:t>
      </w:r>
      <w:r>
        <w:rPr>
          <w:rFonts w:hint="eastAsia"/>
        </w:rPr>
        <w:t>。这一参数表明，我们离代表国家经济前景和竞争力的核心力量的必不可少的受过教育的年轻人队伍还有多远。</w:t>
      </w:r>
    </w:p>
    <w:p w:rsidR="00000000" w:rsidRDefault="00000000">
      <w:pPr>
        <w:rPr>
          <w:rFonts w:hint="eastAsia"/>
        </w:rPr>
      </w:pPr>
      <w:r>
        <w:rPr>
          <w:rFonts w:hint="eastAsia"/>
        </w:rPr>
        <w:tab/>
        <w:t xml:space="preserve">607.  </w:t>
      </w:r>
      <w:r>
        <w:rPr>
          <w:rFonts w:hint="eastAsia"/>
        </w:rPr>
        <w:t>高等教育是在大学、专科学院和艺术研究院中进行的。招生计划根据教育部的建议制定。根据入学考试的成绩和文法学校或中等职业学校的成绩录取学生。在高等学校和专业院校中的教学用塞尔维亚语。在学生的同意以及教育部的批准下也可以用某一种世界通用的语言教学。政府是所有高等院校、专科院校或艺术研究院的创办者。</w:t>
      </w:r>
    </w:p>
    <w:p w:rsidR="00000000" w:rsidRDefault="00000000">
      <w:pPr>
        <w:spacing w:after="320"/>
        <w:rPr>
          <w:rFonts w:hint="eastAsia"/>
        </w:rPr>
      </w:pPr>
      <w:r>
        <w:rPr>
          <w:rFonts w:hint="eastAsia"/>
        </w:rPr>
        <w:tab/>
        <w:t xml:space="preserve">608.  </w:t>
      </w:r>
      <w:r>
        <w:rPr>
          <w:rFonts w:hint="eastAsia"/>
        </w:rPr>
        <w:t>最近，有一些私立高等学校和专科院校开办。根据大学法，高等专科院校和高等教育机构享受高度的自主权，这体现在采用课程、选择教师、以及决定发展战略和规划研究项目和基本研究方面</w:t>
      </w:r>
      <w:r>
        <w:rPr>
          <w:rFonts w:hint="eastAsia"/>
        </w:rPr>
        <w:t>(</w:t>
      </w:r>
      <w:r>
        <w:rPr>
          <w:rFonts w:hint="eastAsia"/>
        </w:rPr>
        <w:t>资料来源：塞族共和国经济</w:t>
      </w:r>
      <w:r>
        <w:rPr>
          <w:rFonts w:hint="eastAsia"/>
        </w:rPr>
        <w:t>/</w:t>
      </w:r>
      <w:r>
        <w:rPr>
          <w:rFonts w:hint="eastAsia"/>
        </w:rPr>
        <w:t>教育学院</w:t>
      </w:r>
      <w:r>
        <w:rPr>
          <w:rFonts w:hint="eastAsia"/>
        </w:rPr>
        <w:t>)</w:t>
      </w:r>
      <w:r>
        <w:rPr>
          <w:rFonts w:hint="eastAsia"/>
        </w:rPr>
        <w:t>。</w:t>
      </w:r>
    </w:p>
    <w:p w:rsidR="00000000" w:rsidRDefault="00000000">
      <w:pPr>
        <w:pStyle w:val="Heading4"/>
        <w:rPr>
          <w:rFonts w:hint="eastAsia"/>
        </w:rPr>
      </w:pPr>
      <w:r>
        <w:rPr>
          <w:rFonts w:hint="eastAsia"/>
        </w:rPr>
        <w:t>博洛尼亚宣言</w:t>
      </w:r>
      <w:r>
        <w:rPr>
          <w:rFonts w:hint="eastAsia"/>
          <w:spacing w:val="-50"/>
        </w:rPr>
        <w:t>―</w:t>
      </w:r>
      <w:r>
        <w:rPr>
          <w:rFonts w:hint="eastAsia"/>
        </w:rPr>
        <w:t>―波斯尼亚和黑塞哥维那所取得的进步和未来的活动</w:t>
      </w:r>
    </w:p>
    <w:p w:rsidR="00000000" w:rsidRDefault="00000000">
      <w:pPr>
        <w:rPr>
          <w:rFonts w:hint="eastAsia"/>
        </w:rPr>
      </w:pPr>
      <w:r>
        <w:rPr>
          <w:rFonts w:hint="eastAsia"/>
        </w:rPr>
        <w:tab/>
        <w:t xml:space="preserve">609.  </w:t>
      </w:r>
      <w:r>
        <w:rPr>
          <w:rFonts w:hint="eastAsia"/>
        </w:rPr>
        <w:t>在</w:t>
      </w:r>
      <w:r>
        <w:rPr>
          <w:rFonts w:hint="eastAsia"/>
        </w:rPr>
        <w:t>2002</w:t>
      </w:r>
      <w:r>
        <w:rPr>
          <w:rFonts w:hint="eastAsia"/>
        </w:rPr>
        <w:t>年</w:t>
      </w:r>
      <w:r>
        <w:rPr>
          <w:rFonts w:hint="eastAsia"/>
        </w:rPr>
        <w:t>4</w:t>
      </w:r>
      <w:r>
        <w:rPr>
          <w:rFonts w:hint="eastAsia"/>
        </w:rPr>
        <w:t>月期间，波斯尼亚和黑塞哥维那向博洛尼亚进程的西班牙主席发出了一封意向书，正式宣布波斯尼亚和黑塞哥维那决心通过博洛尼亚宣言并接受由此而引起的所有义务。</w:t>
      </w:r>
    </w:p>
    <w:p w:rsidR="00000000" w:rsidRDefault="00000000">
      <w:pPr>
        <w:rPr>
          <w:rFonts w:hint="eastAsia"/>
        </w:rPr>
      </w:pPr>
      <w:r>
        <w:rPr>
          <w:rFonts w:hint="eastAsia"/>
        </w:rPr>
        <w:tab/>
        <w:t xml:space="preserve">610.  </w:t>
      </w:r>
      <w:r>
        <w:rPr>
          <w:rFonts w:hint="eastAsia"/>
        </w:rPr>
        <w:t>一份题为“波斯尼亚和黑塞哥维那的教育改革”文件被制定出来，于</w:t>
      </w:r>
      <w:r>
        <w:rPr>
          <w:rFonts w:hint="eastAsia"/>
        </w:rPr>
        <w:t>2002</w:t>
      </w:r>
      <w:r>
        <w:rPr>
          <w:rFonts w:hint="eastAsia"/>
        </w:rPr>
        <w:t>年</w:t>
      </w:r>
      <w:r>
        <w:rPr>
          <w:rFonts w:hint="eastAsia"/>
        </w:rPr>
        <w:t>11</w:t>
      </w:r>
      <w:r>
        <w:rPr>
          <w:rFonts w:hint="eastAsia"/>
        </w:rPr>
        <w:t>月</w:t>
      </w:r>
      <w:r>
        <w:rPr>
          <w:rFonts w:hint="eastAsia"/>
        </w:rPr>
        <w:t>21</w:t>
      </w:r>
      <w:r>
        <w:rPr>
          <w:rFonts w:hint="eastAsia"/>
        </w:rPr>
        <w:t>日提交给在布鲁塞尔的和平执行理事会，并被波斯尼亚和黑塞哥维那的两个实体所接受。这份关于实施全面教育改革的文件从博洛尼亚进程的角度为波斯尼亚和黑塞哥维那的高等教育改革规定了明确的指导原则。</w:t>
      </w:r>
    </w:p>
    <w:p w:rsidR="00000000" w:rsidRDefault="00000000">
      <w:pPr>
        <w:rPr>
          <w:rFonts w:hint="eastAsia"/>
        </w:rPr>
      </w:pPr>
      <w:r>
        <w:rPr>
          <w:rFonts w:hint="eastAsia"/>
        </w:rPr>
        <w:tab/>
        <w:t xml:space="preserve">611.  </w:t>
      </w:r>
      <w:r>
        <w:rPr>
          <w:rFonts w:hint="eastAsia"/>
        </w:rPr>
        <w:t>最近，各大学通过设立波斯尼亚和黑塞哥维那高等教育协调委员会协调统一了活动以加快改革进程。该委员会协调并鼓励高等教育的改革，证明了其存在的必要性。</w:t>
      </w:r>
    </w:p>
    <w:p w:rsidR="00000000" w:rsidRDefault="00000000">
      <w:pPr>
        <w:spacing w:after="320"/>
        <w:rPr>
          <w:rFonts w:hint="eastAsia"/>
        </w:rPr>
      </w:pPr>
      <w:r>
        <w:rPr>
          <w:rFonts w:hint="eastAsia"/>
        </w:rPr>
        <w:tab/>
        <w:t xml:space="preserve">612.  </w:t>
      </w:r>
      <w:r>
        <w:rPr>
          <w:rFonts w:hint="eastAsia"/>
        </w:rPr>
        <w:t>所有的高等学校机构和大学已经起草并且其中大多数已经通过了“</w:t>
      </w:r>
      <w:r>
        <w:rPr>
          <w:rFonts w:hint="eastAsia"/>
        </w:rPr>
        <w:t>2003-2010</w:t>
      </w:r>
      <w:r>
        <w:rPr>
          <w:rFonts w:hint="eastAsia"/>
        </w:rPr>
        <w:t>年大学体制发展计划”，其中纳入了博洛尼亚进程。由于波斯尼亚和黑塞哥维那的不同大学发展水平各不相同，高教改革计划的落实速度和优先事项也各不相同。各大学一方面评估学术界和发展水平，同时又制定出相应的充满活力的改革计划。</w:t>
      </w:r>
    </w:p>
    <w:p w:rsidR="00000000" w:rsidRDefault="00000000">
      <w:pPr>
        <w:pStyle w:val="Heading4"/>
        <w:rPr>
          <w:rFonts w:hint="eastAsia"/>
        </w:rPr>
      </w:pPr>
      <w:r>
        <w:rPr>
          <w:rFonts w:hint="eastAsia"/>
        </w:rPr>
        <w:t>特殊需求儿童的教育</w:t>
      </w:r>
    </w:p>
    <w:p w:rsidR="00000000" w:rsidRDefault="00000000">
      <w:pPr>
        <w:spacing w:after="320"/>
        <w:rPr>
          <w:rFonts w:hint="eastAsia"/>
        </w:rPr>
      </w:pPr>
      <w:r>
        <w:rPr>
          <w:rFonts w:hint="eastAsia"/>
        </w:rPr>
        <w:tab/>
        <w:t xml:space="preserve">613.  </w:t>
      </w:r>
      <w:r>
        <w:rPr>
          <w:rFonts w:hint="eastAsia"/>
        </w:rPr>
        <w:t>目前，儿童基金会的项目“医院</w:t>
      </w:r>
      <w:r>
        <w:rPr>
          <w:rFonts w:hint="eastAsia"/>
          <w:spacing w:val="-50"/>
        </w:rPr>
        <w:t>―</w:t>
      </w:r>
      <w:r>
        <w:rPr>
          <w:rFonts w:hint="eastAsia"/>
        </w:rPr>
        <w:t>―儿童的朋友”正在执行阶段，试图为长期住院的慢性病儿童提供教育。其目标是尽可能向这些儿童提供正规教育，以便他们对于正常上学的其他儿童而言不至于落后太远。</w:t>
      </w:r>
    </w:p>
    <w:p w:rsidR="00000000" w:rsidRDefault="00000000">
      <w:pPr>
        <w:pStyle w:val="Heading4"/>
        <w:rPr>
          <w:rFonts w:hint="eastAsia"/>
        </w:rPr>
      </w:pPr>
      <w:r>
        <w:rPr>
          <w:rFonts w:hint="eastAsia"/>
        </w:rPr>
        <w:t>教育制度中的问题</w:t>
      </w:r>
    </w:p>
    <w:p w:rsidR="00000000" w:rsidRDefault="00000000">
      <w:pPr>
        <w:rPr>
          <w:rFonts w:hint="eastAsia"/>
        </w:rPr>
      </w:pPr>
      <w:r>
        <w:rPr>
          <w:rFonts w:hint="eastAsia"/>
        </w:rPr>
        <w:tab/>
        <w:t xml:space="preserve">614.  </w:t>
      </w:r>
      <w:r>
        <w:rPr>
          <w:rFonts w:hint="eastAsia"/>
        </w:rPr>
        <w:t>将孩子运送到单一种族的学校而不是离家最近的学校就学这一普遍做法是一体化多元文化学校教育的一个障碍。在本国的一些地区，政府支付将学生送到另外城市或甚至送到另一个实体就学的开支，这是一种非常昂贵而且不必要的做法，使学生在路上浪费了太多的时间。</w:t>
      </w:r>
    </w:p>
    <w:p w:rsidR="00000000" w:rsidRDefault="00000000">
      <w:pPr>
        <w:rPr>
          <w:rFonts w:hint="eastAsia"/>
        </w:rPr>
      </w:pPr>
      <w:r>
        <w:rPr>
          <w:rFonts w:hint="eastAsia"/>
        </w:rPr>
        <w:tab/>
        <w:t xml:space="preserve">615.  </w:t>
      </w:r>
      <w:r>
        <w:rPr>
          <w:rFonts w:hint="eastAsia"/>
        </w:rPr>
        <w:t>孩子们在路况很差的路上要走</w:t>
      </w:r>
      <w:r>
        <w:rPr>
          <w:rFonts w:hint="eastAsia"/>
        </w:rPr>
        <w:t>15</w:t>
      </w:r>
      <w:r>
        <w:rPr>
          <w:rFonts w:hint="eastAsia"/>
        </w:rPr>
        <w:t>或者</w:t>
      </w:r>
      <w:r>
        <w:rPr>
          <w:rFonts w:hint="eastAsia"/>
        </w:rPr>
        <w:t>20</w:t>
      </w:r>
      <w:r>
        <w:rPr>
          <w:rFonts w:hint="eastAsia"/>
        </w:rPr>
        <w:t>公里去上他们在种族上占多数的学校，而不是去离家只有几米远的学校，这样的例子有很多。将孩子们运送到单一种族的学校不仅破坏了国家可持续的恢复和重建，而且带来昂贵的费用给州预算和实体预算造成不必要的负担。</w:t>
      </w:r>
    </w:p>
    <w:p w:rsidR="00000000" w:rsidRDefault="00000000">
      <w:pPr>
        <w:rPr>
          <w:rFonts w:hint="eastAsia"/>
        </w:rPr>
      </w:pPr>
      <w:r>
        <w:rPr>
          <w:rFonts w:hint="eastAsia"/>
        </w:rPr>
        <w:tab/>
        <w:t xml:space="preserve">616.  </w:t>
      </w:r>
      <w:r>
        <w:rPr>
          <w:rFonts w:hint="eastAsia"/>
        </w:rPr>
        <w:t>在波斯尼亚和黑塞哥维那破坏教改最明显的隔离形式就是“一楼两校”现象。从</w:t>
      </w:r>
      <w:r>
        <w:rPr>
          <w:rFonts w:hint="eastAsia"/>
        </w:rPr>
        <w:t>2000</w:t>
      </w:r>
      <w:r>
        <w:rPr>
          <w:rFonts w:hint="eastAsia"/>
        </w:rPr>
        <w:t>年以来，在</w:t>
      </w:r>
      <w:r>
        <w:rPr>
          <w:rFonts w:hint="eastAsia"/>
        </w:rPr>
        <w:t>Z</w:t>
      </w:r>
      <w:r>
        <w:t>enica Doboj</w:t>
      </w:r>
      <w:r>
        <w:rPr>
          <w:rFonts w:hint="eastAsia"/>
        </w:rPr>
        <w:t>州、中波斯尼亚州和黑塞哥维那</w:t>
      </w:r>
      <w:r>
        <w:rPr>
          <w:rFonts w:hint="eastAsia"/>
        </w:rPr>
        <w:t>-N</w:t>
      </w:r>
      <w:r>
        <w:t>eretva</w:t>
      </w:r>
      <w:r>
        <w:rPr>
          <w:rFonts w:hint="eastAsia"/>
        </w:rPr>
        <w:t>州，有数十所学校大楼被真的分为两所学校。</w:t>
      </w:r>
      <w:r>
        <w:rPr>
          <w:rFonts w:hint="eastAsia"/>
        </w:rPr>
        <w:t>2003</w:t>
      </w:r>
      <w:r>
        <w:rPr>
          <w:rFonts w:hint="eastAsia"/>
        </w:rPr>
        <w:t>年</w:t>
      </w:r>
      <w:r>
        <w:rPr>
          <w:rFonts w:hint="eastAsia"/>
        </w:rPr>
        <w:t>6</w:t>
      </w:r>
      <w:r>
        <w:rPr>
          <w:rFonts w:hint="eastAsia"/>
        </w:rPr>
        <w:t>月，在波斯尼亚和黑塞哥维那联邦有</w:t>
      </w:r>
      <w:r>
        <w:rPr>
          <w:rFonts w:hint="eastAsia"/>
        </w:rPr>
        <w:t>50</w:t>
      </w:r>
      <w:r>
        <w:rPr>
          <w:rFonts w:hint="eastAsia"/>
        </w:rPr>
        <w:t>多例所谓的“一楼两校”的情况。几乎在学校生活的所有方面都反映出分裂现象。在一些情况下，学校的钟在不同的时间敲响，不同种族的学生不共用电脑设备、语言和其他服务。有一种最极端的情况是，波斯尼亚族和克罗地亚族学生甚至在白天不在同一时间上学。</w:t>
      </w:r>
    </w:p>
    <w:p w:rsidR="00000000" w:rsidRDefault="00000000">
      <w:pPr>
        <w:rPr>
          <w:rFonts w:hint="eastAsia"/>
        </w:rPr>
      </w:pPr>
      <w:r>
        <w:rPr>
          <w:rFonts w:hint="eastAsia"/>
        </w:rPr>
        <w:tab/>
        <w:t xml:space="preserve">617.  </w:t>
      </w:r>
      <w:r>
        <w:rPr>
          <w:rFonts w:hint="eastAsia"/>
        </w:rPr>
        <w:t>这种分裂制度不仅影响了联邦的教育质量，而且是对金钱的极大浪费。要从纳税人交的税金中拨出资金向两批校长、教师、行政管理和后勤人员支付工资。同样的钱可以更好地用在改善上课的质量和全面改进教学质量。</w:t>
      </w:r>
    </w:p>
    <w:p w:rsidR="00000000" w:rsidRDefault="00000000">
      <w:pPr>
        <w:spacing w:after="320"/>
        <w:rPr>
          <w:rFonts w:hint="eastAsia"/>
        </w:rPr>
      </w:pPr>
      <w:r>
        <w:rPr>
          <w:rFonts w:hint="eastAsia"/>
        </w:rPr>
        <w:tab/>
        <w:t xml:space="preserve">618.  </w:t>
      </w:r>
      <w:r>
        <w:rPr>
          <w:rFonts w:hint="eastAsia"/>
        </w:rPr>
        <w:t>为了遵循教育改革战略的原则，必须将学校统一起来。实体和州的教育部长们签署了该战略，同意“结束通过教育进行隔离和歧视的现象”、停止浪费金钱、以及在波斯尼亚和黑塞哥维那教育系统中重复和效率低下现象。</w:t>
      </w:r>
    </w:p>
    <w:p w:rsidR="00000000" w:rsidRDefault="00000000">
      <w:pPr>
        <w:pStyle w:val="Heading4"/>
        <w:rPr>
          <w:rFonts w:hint="eastAsia"/>
        </w:rPr>
      </w:pPr>
      <w:r>
        <w:rPr>
          <w:rFonts w:hint="eastAsia"/>
        </w:rPr>
        <w:t>包容性教育</w:t>
      </w:r>
    </w:p>
    <w:p w:rsidR="00000000" w:rsidRDefault="00000000">
      <w:pPr>
        <w:rPr>
          <w:rFonts w:hint="eastAsia"/>
        </w:rPr>
      </w:pPr>
      <w:r>
        <w:rPr>
          <w:rFonts w:hint="eastAsia"/>
        </w:rPr>
        <w:tab/>
        <w:t xml:space="preserve">619.  </w:t>
      </w:r>
      <w:r>
        <w:rPr>
          <w:rFonts w:hint="eastAsia"/>
        </w:rPr>
        <w:t>波斯尼亚和黑塞哥维那决心将其学校的大门向来自所有社会和其他环境以及有不同能力或各种籍贯的学生开放。包容性教育是教改方案的关键因素，它确保儿童能够就近入学，而不论其身体、智利、社会、情感、语言和其他能力。根据包容性教育的原则，有特殊需要的儿童不再需要去特殊学校或被安置在住宿学校。他们将同其他孩子一起上正规学校。欧洲安全和合作组织也在努力确定在实地的原则，向社区宣传包容性教育的好处。在整个波斯尼亚和黑塞哥维那正以这种方式向有特殊需要的儿童提供帮助，使其纳入正规学校。</w:t>
      </w:r>
    </w:p>
    <w:p w:rsidR="00000000" w:rsidRDefault="00000000">
      <w:pPr>
        <w:spacing w:after="320"/>
        <w:rPr>
          <w:rFonts w:hint="eastAsia"/>
        </w:rPr>
      </w:pPr>
      <w:r>
        <w:rPr>
          <w:rFonts w:hint="eastAsia"/>
        </w:rPr>
        <w:tab/>
        <w:t xml:space="preserve">620.  </w:t>
      </w:r>
      <w:r>
        <w:rPr>
          <w:rFonts w:hint="eastAsia"/>
          <w:lang w:val="en-GB"/>
        </w:rPr>
        <w:t>比尔奇科地区</w:t>
      </w:r>
      <w:r>
        <w:rPr>
          <w:rFonts w:hint="eastAsia"/>
        </w:rPr>
        <w:t>和一些州已经实施了体现包容性教育原则的法律规定。此外，还有一些组织正在努力确保向具有不同能力的儿童提供更好的更广泛的受教育机会。最近，在萨拉热窝大学开办了关于包容性教育的研究生课程，以及正在开展一项支持智力残疾不太严重的孩子进入小学一、二年级读书的试点项目。在波斯尼亚和黑塞哥维那全境，由</w:t>
      </w:r>
      <w:r>
        <w:rPr>
          <w:rFonts w:hint="eastAsia"/>
        </w:rPr>
        <w:t>16</w:t>
      </w:r>
      <w:r>
        <w:rPr>
          <w:rFonts w:hint="eastAsia"/>
        </w:rPr>
        <w:t>座城市承担义务为特殊教育咨询专家、语言治疗专家和小学教职员工提供培训。</w:t>
      </w:r>
    </w:p>
    <w:p w:rsidR="00000000" w:rsidRDefault="00000000">
      <w:pPr>
        <w:pStyle w:val="Heading4"/>
        <w:rPr>
          <w:rFonts w:hint="eastAsia"/>
        </w:rPr>
      </w:pPr>
      <w:r>
        <w:rPr>
          <w:rFonts w:hint="eastAsia"/>
        </w:rPr>
        <w:t>罗姆族：受教育权</w:t>
      </w:r>
    </w:p>
    <w:p w:rsidR="00000000" w:rsidRDefault="00000000">
      <w:pPr>
        <w:rPr>
          <w:rFonts w:hint="eastAsia"/>
        </w:rPr>
      </w:pPr>
      <w:r>
        <w:rPr>
          <w:rFonts w:hint="eastAsia"/>
        </w:rPr>
        <w:tab/>
        <w:t xml:space="preserve">621.  </w:t>
      </w:r>
      <w:r>
        <w:rPr>
          <w:rFonts w:hint="eastAsia"/>
        </w:rPr>
        <w:t>波斯尼亚和黑塞哥维那的罗姆族群体是传统歧视的受害者，这导致了广泛的贫困、失业、无家可归和缺少就学机会。</w:t>
      </w:r>
    </w:p>
    <w:p w:rsidR="00000000" w:rsidRDefault="00000000">
      <w:pPr>
        <w:rPr>
          <w:rFonts w:hint="eastAsia"/>
        </w:rPr>
      </w:pPr>
      <w:r>
        <w:rPr>
          <w:rFonts w:hint="eastAsia"/>
        </w:rPr>
        <w:tab/>
        <w:t xml:space="preserve">622.  </w:t>
      </w:r>
      <w:r>
        <w:rPr>
          <w:rFonts w:hint="eastAsia"/>
        </w:rPr>
        <w:t>目前，罗姆儿童只是断断续续的上学。在小学高年级和中学里几乎没有罗姆族的儿童。与儿童基金会、欧洲理事会和欧洲安全与合作组织提出的</w:t>
      </w:r>
      <w:r>
        <w:rPr>
          <w:rFonts w:hint="eastAsia"/>
        </w:rPr>
        <w:t>2002</w:t>
      </w:r>
      <w:r>
        <w:rPr>
          <w:rFonts w:hint="eastAsia"/>
        </w:rPr>
        <w:t>年评估报告的情况一致，在</w:t>
      </w:r>
      <w:r>
        <w:rPr>
          <w:rFonts w:hint="eastAsia"/>
          <w:lang w:val="en-GB"/>
        </w:rPr>
        <w:t>图兹拉</w:t>
      </w:r>
      <w:r>
        <w:rPr>
          <w:rFonts w:hint="eastAsia"/>
        </w:rPr>
        <w:t>州</w:t>
      </w:r>
      <w:r>
        <w:rPr>
          <w:rFonts w:hint="eastAsia"/>
        </w:rPr>
        <w:t>(</w:t>
      </w:r>
      <w:r>
        <w:rPr>
          <w:rFonts w:hint="eastAsia"/>
        </w:rPr>
        <w:t>居住的罗姆儿童百分比最大</w:t>
      </w:r>
      <w:r>
        <w:rPr>
          <w:rFonts w:hint="eastAsia"/>
        </w:rPr>
        <w:t>)</w:t>
      </w:r>
      <w:r>
        <w:rPr>
          <w:rFonts w:hint="eastAsia"/>
        </w:rPr>
        <w:t>，大约有</w:t>
      </w:r>
      <w:r>
        <w:rPr>
          <w:rFonts w:hint="eastAsia"/>
        </w:rPr>
        <w:t>80%</w:t>
      </w:r>
      <w:r>
        <w:rPr>
          <w:rFonts w:hint="eastAsia"/>
        </w:rPr>
        <w:t>的罗姆儿童根本不上学。此外，</w:t>
      </w:r>
      <w:r>
        <w:rPr>
          <w:rFonts w:hint="eastAsia"/>
        </w:rPr>
        <w:t>60%</w:t>
      </w:r>
      <w:r>
        <w:rPr>
          <w:rFonts w:hint="eastAsia"/>
        </w:rPr>
        <w:t>以上的儿童是文盲，其中</w:t>
      </w:r>
      <w:r>
        <w:rPr>
          <w:rFonts w:hint="eastAsia"/>
        </w:rPr>
        <w:t>80%</w:t>
      </w:r>
      <w:r>
        <w:rPr>
          <w:rFonts w:hint="eastAsia"/>
        </w:rPr>
        <w:t>左右达不到就业资格。只有两个罗姆学生上大学。</w:t>
      </w:r>
    </w:p>
    <w:p w:rsidR="00000000" w:rsidRDefault="00000000">
      <w:pPr>
        <w:spacing w:after="320"/>
        <w:rPr>
          <w:rFonts w:hint="eastAsia"/>
        </w:rPr>
      </w:pPr>
      <w:r>
        <w:rPr>
          <w:rFonts w:hint="eastAsia"/>
        </w:rPr>
        <w:tab/>
        <w:t xml:space="preserve">623.  </w:t>
      </w:r>
      <w:r>
        <w:rPr>
          <w:rFonts w:hint="eastAsia"/>
        </w:rPr>
        <w:t>罗姆儿童纳入教育体系的比例如此低有许多原因，其中包括如下：贫穷、歧视、在学校骂人和骚扰、缺乏对政府的信任、战争和流离失所、传统和风俗习惯、语言等等。教育当局已经开始采取积极步骤消除阻碍平等获得教育机会的障碍。根据教育改革战略文件规定的义务，已经成立了一个小组，其特殊任务是要制定一项计划为各少数民族的所有成员提供教育，尤其是罗姆儿童。教育小组正在就以下问题开展工作：平等入学机会、教科书资金、学校中的罗姆族语言和交通。</w:t>
      </w:r>
    </w:p>
    <w:p w:rsidR="00000000" w:rsidRDefault="00000000">
      <w:pPr>
        <w:pStyle w:val="Heading4"/>
        <w:rPr>
          <w:rFonts w:hint="eastAsia"/>
        </w:rPr>
      </w:pPr>
      <w:r>
        <w:rPr>
          <w:rFonts w:hint="eastAsia"/>
        </w:rPr>
        <w:t>非政府组织的援助对于实现受教育权的影响</w:t>
      </w:r>
    </w:p>
    <w:p w:rsidR="00000000" w:rsidRDefault="00000000">
      <w:pPr>
        <w:rPr>
          <w:rFonts w:hint="eastAsia"/>
        </w:rPr>
      </w:pPr>
      <w:r>
        <w:rPr>
          <w:rFonts w:hint="eastAsia"/>
        </w:rPr>
        <w:tab/>
        <w:t xml:space="preserve">624.  </w:t>
      </w:r>
      <w:r>
        <w:rPr>
          <w:rFonts w:hint="eastAsia"/>
        </w:rPr>
        <w:t>有一些非政府组织在提倡“终生学习节日”。第一个这样的节日是</w:t>
      </w:r>
      <w:r>
        <w:rPr>
          <w:rFonts w:hint="eastAsia"/>
        </w:rPr>
        <w:t>2001</w:t>
      </w:r>
      <w:r>
        <w:rPr>
          <w:rFonts w:hint="eastAsia"/>
        </w:rPr>
        <w:t>年在图兹拉州举行的。第二个和第三个终生学习节分别于</w:t>
      </w:r>
      <w:r>
        <w:rPr>
          <w:rFonts w:hint="eastAsia"/>
        </w:rPr>
        <w:t>2002</w:t>
      </w:r>
      <w:r>
        <w:rPr>
          <w:rFonts w:hint="eastAsia"/>
        </w:rPr>
        <w:t>和</w:t>
      </w:r>
      <w:r>
        <w:rPr>
          <w:rFonts w:hint="eastAsia"/>
        </w:rPr>
        <w:t>2003</w:t>
      </w:r>
      <w:r>
        <w:rPr>
          <w:rFonts w:hint="eastAsia"/>
        </w:rPr>
        <w:t>年在萨拉热窝、图兹拉、</w:t>
      </w:r>
      <w:r>
        <w:rPr>
          <w:lang w:val="en-GB"/>
        </w:rPr>
        <w:t>Banja Luka</w:t>
      </w:r>
      <w:r>
        <w:rPr>
          <w:rFonts w:hint="eastAsia"/>
        </w:rPr>
        <w:t>和莫斯塔举行。</w:t>
      </w:r>
    </w:p>
    <w:p w:rsidR="00000000" w:rsidRDefault="00000000">
      <w:pPr>
        <w:spacing w:after="320"/>
        <w:rPr>
          <w:rFonts w:hint="eastAsia"/>
        </w:rPr>
      </w:pPr>
      <w:r>
        <w:rPr>
          <w:rFonts w:hint="eastAsia"/>
        </w:rPr>
        <w:tab/>
        <w:t>625.</w:t>
      </w:r>
      <w:r>
        <w:rPr>
          <w:lang w:val="en-GB"/>
        </w:rPr>
        <w:t xml:space="preserve"> </w:t>
      </w:r>
      <w:r>
        <w:rPr>
          <w:rFonts w:hint="eastAsia"/>
          <w:lang w:val="en-GB"/>
        </w:rPr>
        <w:t xml:space="preserve"> </w:t>
      </w:r>
      <w:r>
        <w:rPr>
          <w:lang w:val="en-GB"/>
        </w:rPr>
        <w:t xml:space="preserve">Civitas, Proni, </w:t>
      </w:r>
      <w:r>
        <w:rPr>
          <w:rFonts w:hint="eastAsia"/>
        </w:rPr>
        <w:t>世界展望和欧洲理事会都积极的通过学生项目参与中学和小学的活动，以及参与教职员工的长期教育。</w:t>
      </w:r>
    </w:p>
    <w:p w:rsidR="00000000" w:rsidRDefault="00000000">
      <w:pPr>
        <w:pStyle w:val="Heading4"/>
        <w:rPr>
          <w:rFonts w:hint="eastAsia"/>
        </w:rPr>
      </w:pPr>
      <w:r>
        <w:rPr>
          <w:rFonts w:hint="eastAsia"/>
        </w:rPr>
        <w:t>优先事项和法律框架</w:t>
      </w:r>
    </w:p>
    <w:p w:rsidR="00000000" w:rsidRDefault="00000000">
      <w:pPr>
        <w:rPr>
          <w:rFonts w:hint="eastAsia"/>
        </w:rPr>
      </w:pPr>
      <w:r>
        <w:rPr>
          <w:rFonts w:hint="eastAsia"/>
        </w:rPr>
        <w:tab/>
        <w:t xml:space="preserve">626.  </w:t>
      </w:r>
      <w:r>
        <w:rPr>
          <w:rFonts w:hint="eastAsia"/>
        </w:rPr>
        <w:t>关于通过全面的教育制度改革要实现的长期目标，需要在这个领域采取以下步骤：</w:t>
      </w:r>
    </w:p>
    <w:p w:rsidR="00000000" w:rsidRDefault="00000000">
      <w:pPr>
        <w:pStyle w:val="a0"/>
        <w:ind w:left="1550"/>
        <w:rPr>
          <w:rFonts w:hint="eastAsia"/>
        </w:rPr>
      </w:pPr>
      <w:r>
        <w:rPr>
          <w:rFonts w:hint="eastAsia"/>
        </w:rPr>
        <w:t>执行已经通过的小学、中学和大学教育框架法；</w:t>
      </w:r>
    </w:p>
    <w:p w:rsidR="00000000" w:rsidRDefault="00000000">
      <w:pPr>
        <w:pStyle w:val="a0"/>
        <w:ind w:left="1550"/>
        <w:rPr>
          <w:rFonts w:hint="eastAsia"/>
        </w:rPr>
      </w:pPr>
      <w:r>
        <w:rPr>
          <w:rFonts w:hint="eastAsia"/>
        </w:rPr>
        <w:t>通过国家一级的科学法；</w:t>
      </w:r>
    </w:p>
    <w:p w:rsidR="00000000" w:rsidRDefault="00000000">
      <w:pPr>
        <w:pStyle w:val="a0"/>
        <w:ind w:left="1550"/>
        <w:rPr>
          <w:rFonts w:hint="eastAsia"/>
        </w:rPr>
      </w:pPr>
      <w:r>
        <w:rPr>
          <w:rFonts w:hint="eastAsia"/>
        </w:rPr>
        <w:t>将实体和各州的教育法与框架法统一起来；</w:t>
      </w:r>
    </w:p>
    <w:p w:rsidR="00000000" w:rsidRDefault="00000000">
      <w:pPr>
        <w:pStyle w:val="a0"/>
        <w:spacing w:after="320"/>
        <w:ind w:left="1550"/>
        <w:rPr>
          <w:rFonts w:hint="eastAsia"/>
        </w:rPr>
      </w:pPr>
      <w:r>
        <w:rPr>
          <w:rFonts w:hint="eastAsia"/>
        </w:rPr>
        <w:t>完成通过其他补充法律和细则的程序。</w:t>
      </w:r>
    </w:p>
    <w:p w:rsidR="00000000" w:rsidRDefault="00000000">
      <w:pPr>
        <w:pStyle w:val="a3"/>
        <w:rPr>
          <w:rFonts w:hint="eastAsia"/>
        </w:rPr>
      </w:pPr>
      <w:r>
        <w:rPr>
          <w:rFonts w:hint="eastAsia"/>
        </w:rPr>
        <w:t>第</w:t>
      </w:r>
      <w:r>
        <w:t xml:space="preserve"> </w:t>
      </w:r>
      <w:r>
        <w:rPr>
          <w:rFonts w:hint="eastAsia"/>
        </w:rPr>
        <w:t>14</w:t>
      </w:r>
      <w:r>
        <w:t xml:space="preserve"> </w:t>
      </w:r>
      <w:r>
        <w:rPr>
          <w:rFonts w:hint="eastAsia"/>
        </w:rPr>
        <w:t>条</w:t>
      </w:r>
    </w:p>
    <w:p w:rsidR="00000000" w:rsidRDefault="00000000">
      <w:pPr>
        <w:pStyle w:val="Heading4"/>
        <w:rPr>
          <w:rFonts w:hint="eastAsia"/>
        </w:rPr>
      </w:pPr>
      <w:r>
        <w:rPr>
          <w:rFonts w:hint="eastAsia"/>
        </w:rPr>
        <w:t>义务性免费初级教育</w:t>
      </w:r>
    </w:p>
    <w:p w:rsidR="00000000" w:rsidRDefault="00000000">
      <w:pPr>
        <w:rPr>
          <w:rFonts w:hint="eastAsia"/>
        </w:rPr>
      </w:pPr>
      <w:r>
        <w:rPr>
          <w:rFonts w:hint="eastAsia"/>
        </w:rPr>
        <w:tab/>
        <w:t xml:space="preserve">627.  </w:t>
      </w:r>
      <w:r>
        <w:rPr>
          <w:rFonts w:hint="eastAsia"/>
        </w:rPr>
        <w:t>在波斯尼亚和黑塞哥维那，义务性初级教育向所有全日制学生免费提供，而非全日制学生如愿意完成教育或改变职业必须根据目前的收费标准支付费用。</w:t>
      </w:r>
    </w:p>
    <w:p w:rsidR="00000000" w:rsidRDefault="00000000">
      <w:pPr>
        <w:spacing w:after="320"/>
        <w:rPr>
          <w:rFonts w:hint="eastAsia"/>
        </w:rPr>
      </w:pPr>
      <w:r>
        <w:rPr>
          <w:rFonts w:hint="eastAsia"/>
        </w:rPr>
        <w:tab/>
        <w:t xml:space="preserve">628.  </w:t>
      </w:r>
      <w:r>
        <w:rPr>
          <w:rFonts w:hint="eastAsia"/>
        </w:rPr>
        <w:t>在波斯尼亚和黑塞哥维那通过了初级和中级教育框架法以及两个实体和</w:t>
      </w:r>
      <w:r>
        <w:rPr>
          <w:rFonts w:hint="eastAsia"/>
          <w:lang w:val="en-GB"/>
        </w:rPr>
        <w:t>比尔奇科</w:t>
      </w:r>
      <w:r>
        <w:rPr>
          <w:rFonts w:hint="eastAsia"/>
        </w:rPr>
        <w:t>地区教育部在教育领域的初次合作有助于逐步消除过去遗留的某些不同做法和困难，这同时也得到了国际社会的有力支持。</w:t>
      </w:r>
    </w:p>
    <w:p w:rsidR="00000000" w:rsidRDefault="00000000">
      <w:pPr>
        <w:pStyle w:val="a3"/>
        <w:rPr>
          <w:rFonts w:hint="eastAsia"/>
        </w:rPr>
      </w:pPr>
      <w:r>
        <w:rPr>
          <w:rFonts w:hint="eastAsia"/>
        </w:rPr>
        <w:t>第</w:t>
      </w:r>
      <w:r>
        <w:t xml:space="preserve"> </w:t>
      </w:r>
      <w:r>
        <w:rPr>
          <w:rFonts w:hint="eastAsia"/>
        </w:rPr>
        <w:t>15</w:t>
      </w:r>
      <w:r>
        <w:t xml:space="preserve"> </w:t>
      </w:r>
      <w:r>
        <w:rPr>
          <w:rFonts w:hint="eastAsia"/>
        </w:rPr>
        <w:t>条</w:t>
      </w:r>
    </w:p>
    <w:p w:rsidR="00000000" w:rsidRDefault="00000000">
      <w:pPr>
        <w:pStyle w:val="Heading4"/>
        <w:rPr>
          <w:rFonts w:hint="eastAsia"/>
        </w:rPr>
      </w:pPr>
      <w:r>
        <w:rPr>
          <w:rFonts w:hint="eastAsia"/>
        </w:rPr>
        <w:t>参与文化和取得文化成就的权利</w:t>
      </w:r>
    </w:p>
    <w:p w:rsidR="00000000" w:rsidRDefault="00000000">
      <w:pPr>
        <w:rPr>
          <w:rFonts w:hint="eastAsia"/>
        </w:rPr>
      </w:pPr>
      <w:r>
        <w:rPr>
          <w:rFonts w:hint="eastAsia"/>
        </w:rPr>
        <w:tab/>
        <w:t xml:space="preserve">629.  </w:t>
      </w:r>
      <w:r>
        <w:rPr>
          <w:rFonts w:hint="eastAsia"/>
        </w:rPr>
        <w:t>根据代顿和平协定，波斯尼亚和黑塞哥维那的文化属于各实体管辖。在通过新的法律之前，一直采用原南斯拉夫社会主义联邦共和国和波斯尼亚和黑塞哥维那社会主义共和国的旧的法律，而且在某些情况下现在仍然如此。在塞族共和国，十年来已经通过了一些法案，其中有一些已经进行了多次改动</w:t>
      </w:r>
      <w:r>
        <w:rPr>
          <w:rFonts w:hint="eastAsia"/>
        </w:rPr>
        <w:t>(</w:t>
      </w:r>
      <w:r>
        <w:rPr>
          <w:rFonts w:hint="eastAsia"/>
        </w:rPr>
        <w:t>例如图书和出版活动</w:t>
      </w:r>
      <w:r>
        <w:rPr>
          <w:rFonts w:hint="eastAsia"/>
        </w:rPr>
        <w:t>)</w:t>
      </w:r>
      <w:r>
        <w:rPr>
          <w:rFonts w:hint="eastAsia"/>
        </w:rPr>
        <w:t>，因此已作出决定要通过新的法律。在这一领域的大多数的法律细则也是这种情况。</w:t>
      </w:r>
    </w:p>
    <w:p w:rsidR="00000000" w:rsidRDefault="00000000">
      <w:pPr>
        <w:rPr>
          <w:rFonts w:hint="eastAsia"/>
        </w:rPr>
      </w:pPr>
      <w:r>
        <w:rPr>
          <w:rFonts w:hint="eastAsia"/>
        </w:rPr>
        <w:tab/>
        <w:t xml:space="preserve">630.  </w:t>
      </w:r>
      <w:r>
        <w:rPr>
          <w:rFonts w:hint="eastAsia"/>
        </w:rPr>
        <w:t>在波斯尼亚和黑塞哥维那联邦，迄今为止大多数的州尚未通过法律，尽管根据代顿和平协议有义务这么做。</w:t>
      </w:r>
    </w:p>
    <w:p w:rsidR="00000000" w:rsidRDefault="00000000">
      <w:pPr>
        <w:rPr>
          <w:rFonts w:hint="eastAsia"/>
        </w:rPr>
      </w:pPr>
      <w:r>
        <w:rPr>
          <w:rFonts w:hint="eastAsia"/>
        </w:rPr>
        <w:tab/>
        <w:t xml:space="preserve">631.  </w:t>
      </w:r>
      <w:r>
        <w:rPr>
          <w:rFonts w:hint="eastAsia"/>
        </w:rPr>
        <w:t>同样，根据波斯尼亚和黑塞哥维那联邦宪法，在文化领域，州可以将其义务转交给其下属的市，从种族结构的角度而言，各个市的人口的多数与各个州作为一个整体而言其人口的多数并不相同。州也可以将某些责任转给联邦一级，如果这样做有助于更有效更合理的运作的话。迄今为止，没有一个州使用过这一可能性，即没有作过任何将文化领域的责任转给某些市或转给联邦的任何决定。</w:t>
      </w:r>
    </w:p>
    <w:p w:rsidR="00000000" w:rsidRDefault="00000000">
      <w:pPr>
        <w:rPr>
          <w:rFonts w:hint="eastAsia"/>
        </w:rPr>
      </w:pPr>
      <w:r>
        <w:rPr>
          <w:rFonts w:hint="eastAsia"/>
        </w:rPr>
        <w:tab/>
        <w:t xml:space="preserve">632.  </w:t>
      </w:r>
      <w:r>
        <w:rPr>
          <w:rFonts w:hint="eastAsia"/>
        </w:rPr>
        <w:t>这种情况的后果是，在这个领域我们有不同的法规，文化工作者的权利没有被平等的实现就体现了这一点。这在自由职业的艺术家的例子上表现的最为明显，他们选择以其艺术创作为生，即没有进入一种根据就业关系法可以向他们提供各种权利的工作关系。在某些州，自由职业艺术家没有社会和医疗保障，但萨拉热窝州已经通过了自由职业艺术家法，并从</w:t>
      </w:r>
      <w:r>
        <w:rPr>
          <w:rFonts w:hint="eastAsia"/>
        </w:rPr>
        <w:t>2001</w:t>
      </w:r>
      <w:r>
        <w:rPr>
          <w:rFonts w:hint="eastAsia"/>
        </w:rPr>
        <w:t>年</w:t>
      </w:r>
      <w:r>
        <w:rPr>
          <w:rFonts w:hint="eastAsia"/>
        </w:rPr>
        <w:t>1</w:t>
      </w:r>
      <w:r>
        <w:rPr>
          <w:rFonts w:hint="eastAsia"/>
        </w:rPr>
        <w:t>月起全面界定了他们的地位。</w:t>
      </w:r>
    </w:p>
    <w:p w:rsidR="00000000" w:rsidRDefault="00000000">
      <w:pPr>
        <w:rPr>
          <w:rFonts w:hint="eastAsia"/>
        </w:rPr>
      </w:pPr>
      <w:r>
        <w:rPr>
          <w:rFonts w:hint="eastAsia"/>
        </w:rPr>
        <w:tab/>
        <w:t xml:space="preserve">633.  </w:t>
      </w:r>
      <w:r>
        <w:rPr>
          <w:rFonts w:hint="eastAsia"/>
        </w:rPr>
        <w:t>为了使波斯尼亚和黑塞哥维那的每一位个人都实现其参与文化生活并展示其自己文化的权利，波斯尼亚和黑塞哥维那于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日签署了知识产权组织成立公约，从而成为世界知识产权组织的成员。</w:t>
      </w:r>
    </w:p>
    <w:p w:rsidR="00000000" w:rsidRDefault="00000000">
      <w:pPr>
        <w:rPr>
          <w:rFonts w:hint="eastAsia"/>
        </w:rPr>
      </w:pPr>
      <w:r>
        <w:rPr>
          <w:rFonts w:hint="eastAsia"/>
        </w:rPr>
        <w:tab/>
        <w:t xml:space="preserve">634.  </w:t>
      </w:r>
      <w:r>
        <w:rPr>
          <w:rFonts w:hint="eastAsia"/>
        </w:rPr>
        <w:t>自从通过了波斯尼亚和黑塞哥维那代顿和平协议以来，文化领域的立法完全由塞族共和国负责，塞族共和国利用这一机会制定了许多适当的法律，虽然并不是在所有的领域。这个领域对于塞族共和国的文化机构的命运有着至关重要的意义，因为前波斯尼亚和黑塞哥维那共和国的现存机构都努力争取要成为“国家的”，即国家机构。波斯尼亚和黑塞哥维那联邦还没有通过一个关于文化的单一的法案，因此，“旧法律的执行被延长”。由于没有意愿，似乎也没有必要在这个领域立法，因此波斯尼亚和黑塞哥维那在欧洲和国际文化联合会中的地位尚不明确。塞族共和国感到其机构应有代表参与这些联合会，但这往往与欧洲立法的惯例发生冲突，根据欧洲立法，任何国家必须存在一个单一的中央国家机构，不管其性质是多么复杂。</w:t>
      </w:r>
    </w:p>
    <w:p w:rsidR="00000000" w:rsidRDefault="00000000">
      <w:pPr>
        <w:rPr>
          <w:rFonts w:hint="eastAsia"/>
        </w:rPr>
      </w:pPr>
      <w:r>
        <w:rPr>
          <w:rFonts w:hint="eastAsia"/>
        </w:rPr>
        <w:tab/>
        <w:t xml:space="preserve">635.  </w:t>
      </w:r>
      <w:r>
        <w:rPr>
          <w:rFonts w:hint="eastAsia"/>
        </w:rPr>
        <w:t>在塞族共和国有以下法律：文化产品法、成就法、图书法、博物馆法、出版法和剧院法。以下法律尚待通过：艺术家地位法、演艺业和艺术家法，以及电影制作法。</w:t>
      </w:r>
    </w:p>
    <w:p w:rsidR="00000000" w:rsidRDefault="00000000">
      <w:pPr>
        <w:rPr>
          <w:rFonts w:hint="eastAsia"/>
        </w:rPr>
      </w:pPr>
      <w:r>
        <w:rPr>
          <w:rFonts w:hint="eastAsia"/>
        </w:rPr>
        <w:tab/>
        <w:t xml:space="preserve">636.  </w:t>
      </w:r>
      <w:r>
        <w:rPr>
          <w:rFonts w:hint="eastAsia"/>
        </w:rPr>
        <w:t>所谓的总体法律，即波斯尼亚和黑塞哥维那一级的法律，有必要在塞族共和国得到遵守，例如版权法。这是在欧洲范围内必须尊重的两部法律中的一部。另一部法律是传媒法。版权的问题并不是法律本身的问题，而是在于遵守并执行的问题。在塞族共和国并没有对打击盗版和尊重知识产权采取任何措施。</w:t>
      </w:r>
    </w:p>
    <w:p w:rsidR="00000000" w:rsidRDefault="00000000">
      <w:pPr>
        <w:rPr>
          <w:rFonts w:hint="eastAsia"/>
        </w:rPr>
      </w:pPr>
      <w:r>
        <w:rPr>
          <w:rFonts w:hint="eastAsia"/>
        </w:rPr>
        <w:tab/>
        <w:t xml:space="preserve">637.  </w:t>
      </w:r>
      <w:r>
        <w:rPr>
          <w:rFonts w:hint="eastAsia"/>
        </w:rPr>
        <w:t>教育和文化部积极参与所有有关将对文化适用的立法的讨论，例如复杂的税收政策，十分重要。</w:t>
      </w:r>
    </w:p>
    <w:p w:rsidR="00000000" w:rsidRDefault="00000000">
      <w:pPr>
        <w:rPr>
          <w:rFonts w:hint="eastAsia"/>
        </w:rPr>
      </w:pPr>
      <w:r>
        <w:rPr>
          <w:rFonts w:hint="eastAsia"/>
        </w:rPr>
        <w:tab/>
        <w:t xml:space="preserve">638.  </w:t>
      </w:r>
      <w:r>
        <w:rPr>
          <w:rFonts w:hint="eastAsia"/>
        </w:rPr>
        <w:t>为了把握好文化立法的范围，有必要组成一个律师班子，由文化机构的现有的律师组成，再加上部里的法律工作人员。这样的机构将审查现行的立法并使其与欧洲立法接轨，因为，总的来讲这太广泛，而且很大程度上已经过时。</w:t>
      </w:r>
    </w:p>
    <w:p w:rsidR="00000000" w:rsidRDefault="00000000">
      <w:pPr>
        <w:rPr>
          <w:rFonts w:hint="eastAsia"/>
        </w:rPr>
      </w:pPr>
      <w:r>
        <w:rPr>
          <w:rFonts w:hint="eastAsia"/>
        </w:rPr>
        <w:tab/>
        <w:t xml:space="preserve">639.  </w:t>
      </w:r>
      <w:r>
        <w:rPr>
          <w:rFonts w:hint="eastAsia"/>
          <w:lang w:val="en-GB"/>
        </w:rPr>
        <w:t>比尔奇科</w:t>
      </w:r>
      <w:r>
        <w:rPr>
          <w:rFonts w:hint="eastAsia"/>
        </w:rPr>
        <w:t>地区的规约和法律是符合波斯尼亚和黑塞哥维那宪法和法律的规定的</w:t>
      </w:r>
      <w:r>
        <w:rPr>
          <w:rFonts w:hint="eastAsia"/>
        </w:rPr>
        <w:t>(</w:t>
      </w:r>
      <w:r>
        <w:rPr>
          <w:rFonts w:hint="eastAsia"/>
          <w:lang w:val="en-GB"/>
        </w:rPr>
        <w:t>比尔奇科</w:t>
      </w:r>
      <w:r>
        <w:rPr>
          <w:rFonts w:hint="eastAsia"/>
        </w:rPr>
        <w:t>区规约第</w:t>
      </w:r>
      <w:r>
        <w:rPr>
          <w:rFonts w:hint="eastAsia"/>
        </w:rPr>
        <w:t>41</w:t>
      </w:r>
      <w:r>
        <w:rPr>
          <w:rFonts w:hint="eastAsia"/>
        </w:rPr>
        <w:t>条，宪法性和法律性</w:t>
      </w:r>
      <w:r>
        <w:rPr>
          <w:rFonts w:hint="eastAsia"/>
        </w:rPr>
        <w:t>)</w:t>
      </w:r>
      <w:r>
        <w:rPr>
          <w:rFonts w:hint="eastAsia"/>
        </w:rPr>
        <w:t>。在</w:t>
      </w:r>
      <w:r>
        <w:rPr>
          <w:rFonts w:hint="eastAsia"/>
        </w:rPr>
        <w:t>2000</w:t>
      </w:r>
      <w:r>
        <w:rPr>
          <w:rFonts w:hint="eastAsia"/>
        </w:rPr>
        <w:t>至</w:t>
      </w:r>
      <w:r>
        <w:rPr>
          <w:rFonts w:hint="eastAsia"/>
        </w:rPr>
        <w:t>2003</w:t>
      </w:r>
      <w:r>
        <w:rPr>
          <w:rFonts w:hint="eastAsia"/>
        </w:rPr>
        <w:t>年期间，</w:t>
      </w:r>
      <w:r>
        <w:rPr>
          <w:rFonts w:hint="eastAsia"/>
          <w:lang w:val="en-GB"/>
        </w:rPr>
        <w:t>比尔奇科</w:t>
      </w:r>
      <w:r>
        <w:rPr>
          <w:rFonts w:hint="eastAsia"/>
        </w:rPr>
        <w:t>区国民大会共通过了</w:t>
      </w:r>
      <w:r>
        <w:rPr>
          <w:rFonts w:hint="eastAsia"/>
        </w:rPr>
        <w:t>74</w:t>
      </w:r>
      <w:r>
        <w:rPr>
          <w:rFonts w:hint="eastAsia"/>
        </w:rPr>
        <w:t>部法律，但是没有一部是文化领域的。</w:t>
      </w:r>
    </w:p>
    <w:p w:rsidR="00000000" w:rsidRDefault="00000000">
      <w:pPr>
        <w:rPr>
          <w:rFonts w:hint="eastAsia"/>
        </w:rPr>
      </w:pPr>
      <w:r>
        <w:rPr>
          <w:rFonts w:hint="eastAsia"/>
        </w:rPr>
        <w:tab/>
        <w:t xml:space="preserve">640.  </w:t>
      </w:r>
      <w:r>
        <w:rPr>
          <w:rFonts w:hint="eastAsia"/>
          <w:lang w:val="en-GB"/>
        </w:rPr>
        <w:t>比尔奇科区</w:t>
      </w:r>
      <w:r>
        <w:rPr>
          <w:rFonts w:hint="eastAsia"/>
        </w:rPr>
        <w:t>政府体育和文化分部</w:t>
      </w:r>
      <w:r>
        <w:rPr>
          <w:rFonts w:hint="eastAsia"/>
        </w:rPr>
        <w:t>(</w:t>
      </w:r>
      <w:r>
        <w:rPr>
          <w:rFonts w:hint="eastAsia"/>
        </w:rPr>
        <w:t>卫生、公共安全和其他服务部</w:t>
      </w:r>
      <w:r>
        <w:rPr>
          <w:rFonts w:hint="eastAsia"/>
        </w:rPr>
        <w:t>)</w:t>
      </w:r>
      <w:r>
        <w:rPr>
          <w:rFonts w:hint="eastAsia"/>
        </w:rPr>
        <w:t>在文化领域有其职责和职权。早在</w:t>
      </w:r>
      <w:r>
        <w:rPr>
          <w:rFonts w:hint="eastAsia"/>
        </w:rPr>
        <w:t>2002</w:t>
      </w:r>
      <w:r>
        <w:rPr>
          <w:rFonts w:hint="eastAsia"/>
        </w:rPr>
        <w:t>年，该分部就建议由其法律小组制定</w:t>
      </w:r>
      <w:r>
        <w:rPr>
          <w:rFonts w:hint="eastAsia"/>
          <w:lang w:val="en-GB"/>
        </w:rPr>
        <w:t>比尔奇科</w:t>
      </w:r>
      <w:r>
        <w:rPr>
          <w:rFonts w:hint="eastAsia"/>
        </w:rPr>
        <w:t>区文化产品法。这部法律迄今尚未起草，因为它并不属于优先法律。</w:t>
      </w:r>
    </w:p>
    <w:p w:rsidR="00000000" w:rsidRDefault="00000000">
      <w:pPr>
        <w:rPr>
          <w:rFonts w:hint="eastAsia"/>
        </w:rPr>
      </w:pPr>
      <w:r>
        <w:rPr>
          <w:rFonts w:hint="eastAsia"/>
        </w:rPr>
        <w:tab/>
        <w:t xml:space="preserve">641.  </w:t>
      </w:r>
      <w:r>
        <w:rPr>
          <w:rFonts w:hint="eastAsia"/>
        </w:rPr>
        <w:t>对</w:t>
      </w:r>
      <w:r>
        <w:rPr>
          <w:rFonts w:hint="eastAsia"/>
          <w:lang w:val="en-GB"/>
        </w:rPr>
        <w:t>比尔奇科</w:t>
      </w:r>
      <w:r>
        <w:rPr>
          <w:rFonts w:hint="eastAsia"/>
        </w:rPr>
        <w:t>目前文化领域的立法并没有一个总体的监督机关。</w:t>
      </w:r>
      <w:r>
        <w:rPr>
          <w:rFonts w:hint="eastAsia"/>
          <w:lang w:val="en-GB"/>
        </w:rPr>
        <w:t>比尔奇科</w:t>
      </w:r>
      <w:r>
        <w:rPr>
          <w:rFonts w:hint="eastAsia"/>
        </w:rPr>
        <w:t>所有的文化机构都归体育和文化分部管理</w:t>
      </w:r>
      <w:r>
        <w:rPr>
          <w:rFonts w:hint="eastAsia"/>
        </w:rPr>
        <w:t>(</w:t>
      </w:r>
      <w:r>
        <w:rPr>
          <w:rFonts w:hint="eastAsia"/>
        </w:rPr>
        <w:t>“文化之家”，画廊、图书馆</w:t>
      </w:r>
      <w:r>
        <w:rPr>
          <w:rFonts w:hint="eastAsia"/>
        </w:rPr>
        <w:t>)</w:t>
      </w:r>
      <w:r>
        <w:rPr>
          <w:rFonts w:hint="eastAsia"/>
        </w:rPr>
        <w:t>，其资金来自国民大会根据年度计划和分部提出的报告所通过的预算拨出。</w:t>
      </w:r>
    </w:p>
    <w:p w:rsidR="00000000" w:rsidRDefault="00000000">
      <w:pPr>
        <w:rPr>
          <w:rFonts w:hint="eastAsia"/>
        </w:rPr>
      </w:pPr>
      <w:r>
        <w:rPr>
          <w:rFonts w:hint="eastAsia"/>
        </w:rPr>
        <w:tab/>
        <w:t xml:space="preserve">642.  </w:t>
      </w:r>
      <w:r>
        <w:rPr>
          <w:rFonts w:hint="eastAsia"/>
        </w:rPr>
        <w:t>非政府的文化组织</w:t>
      </w:r>
      <w:r>
        <w:rPr>
          <w:rFonts w:hint="eastAsia"/>
        </w:rPr>
        <w:t>(</w:t>
      </w:r>
      <w:r>
        <w:rPr>
          <w:rFonts w:hint="eastAsia"/>
        </w:rPr>
        <w:t>全国文化协会和开展文化项目的社团</w:t>
      </w:r>
      <w:r>
        <w:rPr>
          <w:rFonts w:hint="eastAsia"/>
        </w:rPr>
        <w:t>)</w:t>
      </w:r>
      <w:r>
        <w:rPr>
          <w:rFonts w:hint="eastAsia"/>
        </w:rPr>
        <w:t>其部分资金也来自分部的预算，通过给非盈利组织的赠款提供。在执行分部的年度计划时，充分考虑到</w:t>
      </w:r>
      <w:r>
        <w:rPr>
          <w:rFonts w:hint="eastAsia"/>
          <w:lang w:val="en-GB"/>
        </w:rPr>
        <w:t>比尔奇科</w:t>
      </w:r>
      <w:r>
        <w:rPr>
          <w:rFonts w:hint="eastAsia"/>
        </w:rPr>
        <w:t>所有公民都有权参加文化生活并在以下方面有平等的代表权：</w:t>
      </w:r>
    </w:p>
    <w:p w:rsidR="00000000" w:rsidRDefault="00000000">
      <w:pPr>
        <w:pStyle w:val="a0"/>
        <w:ind w:left="1550"/>
        <w:rPr>
          <w:rFonts w:hint="eastAsia"/>
        </w:rPr>
      </w:pPr>
      <w:r>
        <w:rPr>
          <w:rFonts w:hint="eastAsia"/>
        </w:rPr>
        <w:t>字母</w:t>
      </w:r>
      <w:r>
        <w:rPr>
          <w:rFonts w:hint="eastAsia"/>
        </w:rPr>
        <w:t>(</w:t>
      </w:r>
      <w:r>
        <w:rPr>
          <w:rFonts w:hint="eastAsia"/>
        </w:rPr>
        <w:t>拉丁文或西里尔文</w:t>
      </w:r>
      <w:r>
        <w:rPr>
          <w:rFonts w:hint="eastAsia"/>
        </w:rPr>
        <w:t>)</w:t>
      </w:r>
      <w:r>
        <w:rPr>
          <w:rFonts w:hint="eastAsia"/>
        </w:rPr>
        <w:t>；</w:t>
      </w:r>
    </w:p>
    <w:p w:rsidR="00000000" w:rsidRDefault="00000000">
      <w:pPr>
        <w:pStyle w:val="a0"/>
        <w:ind w:left="1550"/>
        <w:rPr>
          <w:rFonts w:hint="eastAsia"/>
        </w:rPr>
      </w:pPr>
      <w:r>
        <w:rPr>
          <w:rFonts w:hint="eastAsia"/>
        </w:rPr>
        <w:t>语言</w:t>
      </w:r>
      <w:r>
        <w:rPr>
          <w:rFonts w:hint="eastAsia"/>
        </w:rPr>
        <w:t>(</w:t>
      </w:r>
      <w:r>
        <w:rPr>
          <w:rFonts w:hint="eastAsia"/>
        </w:rPr>
        <w:t>塞尔维亚、克罗地亚和波斯尼亚</w:t>
      </w:r>
      <w:r>
        <w:rPr>
          <w:rFonts w:hint="eastAsia"/>
        </w:rPr>
        <w:t>)</w:t>
      </w:r>
      <w:r>
        <w:rPr>
          <w:rFonts w:hint="eastAsia"/>
        </w:rPr>
        <w:t>；</w:t>
      </w:r>
    </w:p>
    <w:p w:rsidR="00000000" w:rsidRDefault="00000000">
      <w:pPr>
        <w:pStyle w:val="a0"/>
        <w:ind w:left="1550"/>
        <w:rPr>
          <w:rFonts w:hint="eastAsia"/>
        </w:rPr>
      </w:pPr>
      <w:r>
        <w:rPr>
          <w:rFonts w:hint="eastAsia"/>
        </w:rPr>
        <w:t>种族特性</w:t>
      </w:r>
      <w:r>
        <w:rPr>
          <w:rFonts w:hint="eastAsia"/>
        </w:rPr>
        <w:t>(</w:t>
      </w:r>
      <w:r>
        <w:rPr>
          <w:rFonts w:hint="eastAsia"/>
        </w:rPr>
        <w:t>自由表达自己认为必要的自己的文化和自己民族的传统</w:t>
      </w:r>
      <w:r>
        <w:rPr>
          <w:rFonts w:hint="eastAsia"/>
        </w:rPr>
        <w:t>)</w:t>
      </w:r>
      <w:r>
        <w:rPr>
          <w:rFonts w:hint="eastAsia"/>
        </w:rPr>
        <w:t>；</w:t>
      </w:r>
    </w:p>
    <w:p w:rsidR="00000000" w:rsidRDefault="00000000">
      <w:pPr>
        <w:pStyle w:val="a0"/>
        <w:ind w:left="1550"/>
        <w:rPr>
          <w:rFonts w:hint="eastAsia"/>
        </w:rPr>
      </w:pPr>
      <w:r>
        <w:rPr>
          <w:rFonts w:hint="eastAsia"/>
        </w:rPr>
        <w:t>宗教特性</w:t>
      </w:r>
      <w:r>
        <w:rPr>
          <w:rFonts w:hint="eastAsia"/>
        </w:rPr>
        <w:t>(</w:t>
      </w:r>
      <w:r>
        <w:rPr>
          <w:rFonts w:hint="eastAsia"/>
        </w:rPr>
        <w:t>自由公开表现宗教活动、节日和有宗教内容的文化节目</w:t>
      </w:r>
      <w:r>
        <w:rPr>
          <w:rFonts w:hint="eastAsia"/>
        </w:rPr>
        <w:t>)</w:t>
      </w:r>
      <w:r>
        <w:rPr>
          <w:rFonts w:hint="eastAsia"/>
        </w:rPr>
        <w:t>。</w:t>
      </w:r>
    </w:p>
    <w:p w:rsidR="00000000" w:rsidRDefault="00000000">
      <w:pPr>
        <w:spacing w:after="320"/>
        <w:rPr>
          <w:rFonts w:hint="eastAsia"/>
        </w:rPr>
      </w:pPr>
      <w:r>
        <w:rPr>
          <w:rFonts w:hint="eastAsia"/>
        </w:rPr>
        <w:t>此外，所有公民都有权参加多种族的联合项目。</w:t>
      </w:r>
    </w:p>
    <w:p w:rsidR="00000000" w:rsidRDefault="00000000">
      <w:pPr>
        <w:pStyle w:val="Heading4"/>
        <w:rPr>
          <w:rFonts w:hint="eastAsia"/>
        </w:rPr>
      </w:pPr>
      <w:r>
        <w:rPr>
          <w:rFonts w:hint="eastAsia"/>
        </w:rPr>
        <w:t>文化和文化活动资金</w:t>
      </w:r>
    </w:p>
    <w:p w:rsidR="00000000" w:rsidRDefault="00000000">
      <w:pPr>
        <w:rPr>
          <w:rFonts w:hint="eastAsia"/>
        </w:rPr>
      </w:pPr>
      <w:r>
        <w:rPr>
          <w:rFonts w:hint="eastAsia"/>
        </w:rPr>
        <w:tab/>
        <w:t xml:space="preserve">643.  </w:t>
      </w:r>
      <w:r>
        <w:rPr>
          <w:rFonts w:hint="eastAsia"/>
        </w:rPr>
        <w:t>实体政府每年都为文化编制预算，根据规定的条件拨给各文化机构和项目。波斯尼亚和黑塞哥维那政府决定根据波斯尼亚和黑塞哥维那联邦</w:t>
      </w:r>
      <w:r>
        <w:rPr>
          <w:rFonts w:hint="eastAsia"/>
        </w:rPr>
        <w:t>2003</w:t>
      </w:r>
      <w:r>
        <w:rPr>
          <w:rFonts w:hint="eastAsia"/>
        </w:rPr>
        <w:t>年联邦文化和体育部预算的规定，采用资金使用方案和资金分配标准</w:t>
      </w:r>
      <w:r>
        <w:rPr>
          <w:rFonts w:hint="eastAsia"/>
        </w:rPr>
        <w:t>(</w:t>
      </w:r>
      <w:r>
        <w:rPr>
          <w:rFonts w:hint="eastAsia"/>
        </w:rPr>
        <w:t>波斯尼亚和黑塞哥维那联邦政府公报，第</w:t>
      </w:r>
      <w:r>
        <w:rPr>
          <w:rFonts w:hint="eastAsia"/>
        </w:rPr>
        <w:t>13/03</w:t>
      </w:r>
      <w:r>
        <w:rPr>
          <w:rFonts w:hint="eastAsia"/>
        </w:rPr>
        <w:t>号</w:t>
      </w:r>
      <w:r>
        <w:rPr>
          <w:rFonts w:hint="eastAsia"/>
        </w:rPr>
        <w:t>)</w:t>
      </w:r>
      <w:r>
        <w:rPr>
          <w:rFonts w:hint="eastAsia"/>
        </w:rPr>
        <w:t>。这为文化机构申请经费开展由大批文化工作者参与的各种文化活动提供了可能性。在分配财政资金的时候，特别注意全国性文化社团的活动，使这些单位的成员和支持者有机会保持其文化特性和自己的文化。</w:t>
      </w:r>
    </w:p>
    <w:p w:rsidR="00000000" w:rsidRDefault="00000000">
      <w:pPr>
        <w:rPr>
          <w:rFonts w:hint="eastAsia"/>
        </w:rPr>
      </w:pPr>
      <w:r>
        <w:rPr>
          <w:rFonts w:hint="eastAsia"/>
        </w:rPr>
        <w:tab/>
        <w:t xml:space="preserve">644.  </w:t>
      </w:r>
      <w:r>
        <w:rPr>
          <w:rFonts w:hint="eastAsia"/>
        </w:rPr>
        <w:t>此外，在文化领域设立了各种基金会以鼓励开展各不同文化的活动并提供资金协助文化发展和每个个人参与文化的发展。因此，波斯尼亚和黑塞哥维那政府根据文化潜力现实的参数为基金会的运作启动并确保了最初的资金，并确保了塞拉热窝电影摄影艺术基金会</w:t>
      </w:r>
      <w:r>
        <w:rPr>
          <w:rFonts w:hint="eastAsia"/>
        </w:rPr>
        <w:t>(</w:t>
      </w:r>
      <w:r>
        <w:rPr>
          <w:rFonts w:hint="eastAsia"/>
        </w:rPr>
        <w:t>波斯尼亚和黑塞哥维那联邦政府公报，第</w:t>
      </w:r>
      <w:r>
        <w:rPr>
          <w:rFonts w:hint="eastAsia"/>
        </w:rPr>
        <w:t>2/99,</w:t>
      </w:r>
      <w:r>
        <w:t xml:space="preserve"> </w:t>
      </w:r>
      <w:r>
        <w:rPr>
          <w:rFonts w:hint="eastAsia"/>
        </w:rPr>
        <w:t>55/02</w:t>
      </w:r>
      <w:r>
        <w:rPr>
          <w:rFonts w:hint="eastAsia"/>
        </w:rPr>
        <w:t>和</w:t>
      </w:r>
      <w:r>
        <w:rPr>
          <w:rFonts w:hint="eastAsia"/>
        </w:rPr>
        <w:t>23/03</w:t>
      </w:r>
      <w:r>
        <w:rPr>
          <w:rFonts w:hint="eastAsia"/>
        </w:rPr>
        <w:t>号</w:t>
      </w:r>
      <w:r>
        <w:rPr>
          <w:rFonts w:hint="eastAsia"/>
        </w:rPr>
        <w:t>)</w:t>
      </w:r>
      <w:r>
        <w:rPr>
          <w:rFonts w:hint="eastAsia"/>
        </w:rPr>
        <w:t>和出版基金会</w:t>
      </w:r>
      <w:r>
        <w:rPr>
          <w:rFonts w:hint="eastAsia"/>
        </w:rPr>
        <w:t>(</w:t>
      </w:r>
      <w:r>
        <w:rPr>
          <w:rFonts w:hint="eastAsia"/>
        </w:rPr>
        <w:t>波斯尼亚和黑塞哥维那联邦政府公报，第</w:t>
      </w:r>
      <w:r>
        <w:rPr>
          <w:rFonts w:hint="eastAsia"/>
        </w:rPr>
        <w:t>53/00</w:t>
      </w:r>
      <w:r>
        <w:rPr>
          <w:rFonts w:hint="eastAsia"/>
        </w:rPr>
        <w:t>和</w:t>
      </w:r>
      <w:r>
        <w:rPr>
          <w:rFonts w:hint="eastAsia"/>
        </w:rPr>
        <w:t>43/03</w:t>
      </w:r>
      <w:r>
        <w:rPr>
          <w:rFonts w:hint="eastAsia"/>
        </w:rPr>
        <w:t>号</w:t>
      </w:r>
      <w:r>
        <w:rPr>
          <w:rFonts w:hint="eastAsia"/>
        </w:rPr>
        <w:t>)</w:t>
      </w:r>
      <w:r>
        <w:rPr>
          <w:rFonts w:hint="eastAsia"/>
        </w:rPr>
        <w:t>注册登记的法律先决条件。</w:t>
      </w:r>
    </w:p>
    <w:p w:rsidR="00000000" w:rsidRDefault="00000000">
      <w:pPr>
        <w:rPr>
          <w:rFonts w:hint="eastAsia"/>
        </w:rPr>
      </w:pPr>
      <w:r>
        <w:rPr>
          <w:rFonts w:hint="eastAsia"/>
        </w:rPr>
        <w:tab/>
        <w:t xml:space="preserve">645.  </w:t>
      </w:r>
      <w:r>
        <w:rPr>
          <w:rFonts w:hint="eastAsia"/>
        </w:rPr>
        <w:t>基金会是独立的机构，在联邦司法部的公共登记处中也是如此注册的。基金会有独立的董事会，其中包括杰出的文化工作者。基金会是为了开展这种文化活动，但同时要从政府结构中将决策中枢剥离。在波斯尼亚和黑塞哥维那一级，通过了基金会法</w:t>
      </w:r>
      <w:r>
        <w:rPr>
          <w:rFonts w:hint="eastAsia"/>
        </w:rPr>
        <w:t>(</w:t>
      </w:r>
      <w:r>
        <w:rPr>
          <w:rFonts w:hint="eastAsia"/>
        </w:rPr>
        <w:t>波斯尼亚和黑塞哥维那联邦政府公报，第</w:t>
      </w:r>
      <w:r>
        <w:rPr>
          <w:rFonts w:hint="eastAsia"/>
        </w:rPr>
        <w:t>32/01</w:t>
      </w:r>
      <w:r>
        <w:rPr>
          <w:rFonts w:hint="eastAsia"/>
        </w:rPr>
        <w:t>号</w:t>
      </w:r>
      <w:r>
        <w:rPr>
          <w:rFonts w:hint="eastAsia"/>
        </w:rPr>
        <w:t>)</w:t>
      </w:r>
      <w:r>
        <w:rPr>
          <w:rFonts w:hint="eastAsia"/>
        </w:rPr>
        <w:t>。</w:t>
      </w:r>
    </w:p>
    <w:p w:rsidR="00000000" w:rsidRDefault="00000000">
      <w:pPr>
        <w:rPr>
          <w:rFonts w:hint="eastAsia"/>
        </w:rPr>
      </w:pPr>
      <w:r>
        <w:rPr>
          <w:rFonts w:hint="eastAsia"/>
        </w:rPr>
        <w:tab/>
        <w:t xml:space="preserve">646.  </w:t>
      </w:r>
      <w:r>
        <w:rPr>
          <w:rFonts w:hint="eastAsia"/>
        </w:rPr>
        <w:t>每一个国家都在财政上支持艺术家的专业协会并通过其帮助艺术学解决与其地位</w:t>
      </w:r>
      <w:r>
        <w:rPr>
          <w:rFonts w:hint="eastAsia"/>
        </w:rPr>
        <w:t>(</w:t>
      </w:r>
      <w:r>
        <w:rPr>
          <w:rFonts w:hint="eastAsia"/>
        </w:rPr>
        <w:t>首先是其地点</w:t>
      </w:r>
      <w:r>
        <w:rPr>
          <w:rFonts w:hint="eastAsia"/>
        </w:rPr>
        <w:t>)</w:t>
      </w:r>
      <w:r>
        <w:rPr>
          <w:rFonts w:hint="eastAsia"/>
        </w:rPr>
        <w:t>、工作室、社会保险和养老金保险等相关的事项。这一领域迫切需要规章制度。没有一个转型国家建立起公民专业协会是不带某种程度的财政援助的，这是基础，没有这种基础就不会有文化体制。而且，专业人员本身就是体制。这就是为什么有必要通过关于独立艺术家权利和义务的特别法律来界定这一领域，这一法律首先要规范对于艺术创作的奖励，并根据艺术创作的领域规范其在专业协会内的运作，以便实现共同的利益。</w:t>
      </w:r>
    </w:p>
    <w:p w:rsidR="00000000" w:rsidRDefault="00000000">
      <w:pPr>
        <w:rPr>
          <w:rFonts w:hint="eastAsia"/>
        </w:rPr>
      </w:pPr>
      <w:r>
        <w:rPr>
          <w:rFonts w:hint="eastAsia"/>
        </w:rPr>
        <w:tab/>
        <w:t xml:space="preserve">647.  </w:t>
      </w:r>
      <w:r>
        <w:rPr>
          <w:rFonts w:hint="eastAsia"/>
        </w:rPr>
        <w:t>如同文化机构的情况，专业机构在这次战争之前的阶段是由各共和国或在地区一级组织的。这就决定了设立共和国专业艺术家和相关工作人员协会的道路很艰难。在塞族共和国作为任何好的组织基础的区域方面不可忽视，在此前提下，目前各种协会</w:t>
      </w:r>
      <w:r>
        <w:rPr>
          <w:rFonts w:hint="eastAsia"/>
        </w:rPr>
        <w:t>(</w:t>
      </w:r>
      <w:r>
        <w:rPr>
          <w:rFonts w:hint="eastAsia"/>
        </w:rPr>
        <w:t>塞族共和国的作家、画家、表演艺术家、图书管理专业协会</w:t>
      </w:r>
      <w:r>
        <w:rPr>
          <w:rFonts w:hint="eastAsia"/>
        </w:rPr>
        <w:t>)</w:t>
      </w:r>
      <w:r>
        <w:rPr>
          <w:rFonts w:hint="eastAsia"/>
        </w:rPr>
        <w:t>需要恢复，而塞族共和国的音乐和表演活动领域的工作人员协会以及文学翻译家协会则需要成立。</w:t>
      </w:r>
    </w:p>
    <w:p w:rsidR="00000000" w:rsidRDefault="00000000">
      <w:pPr>
        <w:rPr>
          <w:rFonts w:hint="eastAsia"/>
        </w:rPr>
      </w:pPr>
      <w:r>
        <w:rPr>
          <w:rFonts w:hint="eastAsia"/>
        </w:rPr>
        <w:tab/>
        <w:t xml:space="preserve">648.  </w:t>
      </w:r>
      <w:r>
        <w:rPr>
          <w:rFonts w:hint="eastAsia"/>
        </w:rPr>
        <w:t>在比尔奇科地区支持文化发展的资金很少，不足，与其他现有的基金相比不成比例</w:t>
      </w:r>
      <w:r>
        <w:rPr>
          <w:rFonts w:hint="eastAsia"/>
        </w:rPr>
        <w:t>(</w:t>
      </w:r>
      <w:r>
        <w:rPr>
          <w:rFonts w:hint="eastAsia"/>
        </w:rPr>
        <w:t>例如经济和社会基金</w:t>
      </w:r>
      <w:r>
        <w:rPr>
          <w:rFonts w:hint="eastAsia"/>
        </w:rPr>
        <w:t>)</w:t>
      </w:r>
      <w:r>
        <w:rPr>
          <w:rFonts w:hint="eastAsia"/>
        </w:rPr>
        <w:t>，与比尔奇科地区整个预算相比也不成比例。比尔奇科地区文化发展基金由于同可能的监督者或赞助者的合作系统发展不完善，因此没有长期稳定的资金流入。因此，虽然上文提到的体育和文化分部的现有资金是公共的并且可以向所有提交有效项目的人士提供，但是往往捉襟见肘，无法为文化的发展作贡献，而只能简单的维持目前的文化状况。</w:t>
      </w:r>
    </w:p>
    <w:p w:rsidR="00000000" w:rsidRDefault="00000000">
      <w:pPr>
        <w:rPr>
          <w:rFonts w:hint="eastAsia"/>
        </w:rPr>
      </w:pPr>
      <w:r>
        <w:rPr>
          <w:rFonts w:hint="eastAsia"/>
        </w:rPr>
        <w:tab/>
        <w:t xml:space="preserve">649.  </w:t>
      </w:r>
      <w:r>
        <w:rPr>
          <w:rFonts w:hint="eastAsia"/>
        </w:rPr>
        <w:t>基金的使用者以及执行者所面临的困难可以通过以下方法克服：</w:t>
      </w:r>
    </w:p>
    <w:p w:rsidR="00000000" w:rsidRDefault="00000000">
      <w:pPr>
        <w:pStyle w:val="a0"/>
        <w:ind w:left="1550"/>
        <w:rPr>
          <w:rFonts w:hint="eastAsia"/>
        </w:rPr>
      </w:pPr>
      <w:r>
        <w:rPr>
          <w:rFonts w:hint="eastAsia"/>
        </w:rPr>
        <w:t>简化目前的关于需求的缓慢、复杂和不加调整的详细说明，以及由此产生的对于审议公民和组织申请的低效率的程序；</w:t>
      </w:r>
    </w:p>
    <w:p w:rsidR="00000000" w:rsidRDefault="00000000">
      <w:pPr>
        <w:pStyle w:val="a0"/>
        <w:ind w:left="1550"/>
        <w:rPr>
          <w:rFonts w:hint="eastAsia"/>
        </w:rPr>
      </w:pPr>
      <w:r>
        <w:rPr>
          <w:rFonts w:hint="eastAsia"/>
        </w:rPr>
        <w:t>重新组织安排文化领域工作人员目前的工作</w:t>
      </w:r>
      <w:r>
        <w:rPr>
          <w:rFonts w:hint="eastAsia"/>
        </w:rPr>
        <w:t>(</w:t>
      </w:r>
      <w:r>
        <w:rPr>
          <w:rFonts w:hint="eastAsia"/>
        </w:rPr>
        <w:t>使各个机构独立，并使其有更多广泛的权力、自己的计划和预算</w:t>
      </w:r>
      <w:r>
        <w:rPr>
          <w:rFonts w:hint="eastAsia"/>
        </w:rPr>
        <w:t>)</w:t>
      </w:r>
      <w:r>
        <w:rPr>
          <w:rFonts w:hint="eastAsia"/>
        </w:rPr>
        <w:t>；</w:t>
      </w:r>
    </w:p>
    <w:p w:rsidR="00000000" w:rsidRDefault="00000000">
      <w:pPr>
        <w:pStyle w:val="a0"/>
        <w:ind w:left="1550"/>
        <w:rPr>
          <w:rFonts w:hint="eastAsia"/>
        </w:rPr>
      </w:pPr>
      <w:r>
        <w:rPr>
          <w:rFonts w:hint="eastAsia"/>
        </w:rPr>
        <w:t>引进专家服务并且为文化领域的不同问题聘用专业顾问；</w:t>
      </w:r>
    </w:p>
    <w:p w:rsidR="00000000" w:rsidRDefault="00000000">
      <w:pPr>
        <w:pStyle w:val="a0"/>
        <w:ind w:left="1550"/>
        <w:rPr>
          <w:rFonts w:hint="eastAsia"/>
        </w:rPr>
      </w:pPr>
      <w:r>
        <w:rPr>
          <w:rFonts w:hint="eastAsia"/>
        </w:rPr>
        <w:t>将体育专款同文化专款分开；</w:t>
      </w:r>
    </w:p>
    <w:p w:rsidR="00000000" w:rsidRDefault="00000000">
      <w:pPr>
        <w:pStyle w:val="a0"/>
        <w:spacing w:after="320"/>
        <w:ind w:left="1550"/>
        <w:rPr>
          <w:rFonts w:hint="eastAsia"/>
        </w:rPr>
      </w:pPr>
      <w:r>
        <w:rPr>
          <w:rFonts w:hint="eastAsia"/>
        </w:rPr>
        <w:t>通过立法明确界定文化产品及其生存需求。</w:t>
      </w:r>
    </w:p>
    <w:p w:rsidR="00000000" w:rsidRDefault="00000000">
      <w:pPr>
        <w:pStyle w:val="Heading4"/>
        <w:rPr>
          <w:rFonts w:hint="eastAsia"/>
        </w:rPr>
      </w:pPr>
      <w:r>
        <w:rPr>
          <w:rFonts w:hint="eastAsia"/>
        </w:rPr>
        <w:t>知识产权</w:t>
      </w:r>
    </w:p>
    <w:p w:rsidR="00000000" w:rsidRDefault="00000000">
      <w:pPr>
        <w:rPr>
          <w:rFonts w:hint="eastAsia"/>
        </w:rPr>
      </w:pPr>
      <w:r>
        <w:rPr>
          <w:rFonts w:hint="eastAsia"/>
        </w:rPr>
        <w:tab/>
        <w:t xml:space="preserve">650.  </w:t>
      </w:r>
      <w:r>
        <w:rPr>
          <w:rFonts w:hint="eastAsia"/>
        </w:rPr>
        <w:t>波斯尼亚和黑塞哥维那知识财产领域的法律使每一个人都有可能实现知识产权，这些法律是：</w:t>
      </w:r>
    </w:p>
    <w:p w:rsidR="00000000" w:rsidRDefault="00000000">
      <w:pPr>
        <w:numPr>
          <w:ilvl w:val="0"/>
          <w:numId w:val="86"/>
        </w:numPr>
        <w:rPr>
          <w:rFonts w:hint="eastAsia"/>
        </w:rPr>
      </w:pPr>
      <w:r>
        <w:rPr>
          <w:rFonts w:hint="eastAsia"/>
        </w:rPr>
        <w:t>国家法律：</w:t>
      </w:r>
    </w:p>
    <w:p w:rsidR="00000000" w:rsidRDefault="00000000">
      <w:pPr>
        <w:pStyle w:val="a0"/>
        <w:ind w:left="2070"/>
        <w:rPr>
          <w:rFonts w:hint="eastAsia"/>
        </w:rPr>
      </w:pPr>
      <w:r>
        <w:rPr>
          <w:rFonts w:hint="eastAsia"/>
        </w:rPr>
        <w:t>波斯尼亚和黑塞哥维那工业财产法</w:t>
      </w:r>
      <w:r>
        <w:rPr>
          <w:rFonts w:hint="eastAsia"/>
        </w:rPr>
        <w:t>(</w:t>
      </w:r>
      <w:r>
        <w:rPr>
          <w:rFonts w:hint="eastAsia"/>
        </w:rPr>
        <w:t>波斯尼亚和黑塞哥维那政府公报，第</w:t>
      </w:r>
      <w:r>
        <w:rPr>
          <w:rFonts w:hint="eastAsia"/>
        </w:rPr>
        <w:t>03/02</w:t>
      </w:r>
      <w:r>
        <w:rPr>
          <w:rFonts w:hint="eastAsia"/>
        </w:rPr>
        <w:t>号</w:t>
      </w:r>
      <w:r>
        <w:rPr>
          <w:rFonts w:hint="eastAsia"/>
        </w:rPr>
        <w:t>)</w:t>
      </w:r>
      <w:r>
        <w:rPr>
          <w:rFonts w:hint="eastAsia"/>
        </w:rPr>
        <w:t>；</w:t>
      </w:r>
    </w:p>
    <w:p w:rsidR="00000000" w:rsidRDefault="00000000">
      <w:pPr>
        <w:pStyle w:val="a0"/>
        <w:ind w:left="2070"/>
        <w:rPr>
          <w:rFonts w:hint="eastAsia"/>
        </w:rPr>
      </w:pPr>
      <w:r>
        <w:rPr>
          <w:rFonts w:hint="eastAsia"/>
        </w:rPr>
        <w:t>波斯尼亚和黑塞哥维那产权及相关权利法</w:t>
      </w:r>
      <w:r>
        <w:rPr>
          <w:rFonts w:hint="eastAsia"/>
        </w:rPr>
        <w:t>(</w:t>
      </w:r>
      <w:r>
        <w:rPr>
          <w:rFonts w:hint="eastAsia"/>
        </w:rPr>
        <w:t>波斯尼亚和黑塞哥维那政府公报，第</w:t>
      </w:r>
      <w:r>
        <w:rPr>
          <w:rFonts w:hint="eastAsia"/>
        </w:rPr>
        <w:t>07/02</w:t>
      </w:r>
      <w:r>
        <w:rPr>
          <w:rFonts w:hint="eastAsia"/>
        </w:rPr>
        <w:t>号</w:t>
      </w:r>
      <w:r>
        <w:rPr>
          <w:rFonts w:hint="eastAsia"/>
        </w:rPr>
        <w:t>)</w:t>
      </w:r>
      <w:r>
        <w:rPr>
          <w:rFonts w:hint="eastAsia"/>
        </w:rPr>
        <w:t>；</w:t>
      </w:r>
    </w:p>
    <w:p w:rsidR="00000000" w:rsidRDefault="00000000">
      <w:pPr>
        <w:numPr>
          <w:ilvl w:val="0"/>
          <w:numId w:val="86"/>
        </w:numPr>
        <w:rPr>
          <w:rFonts w:hint="eastAsia"/>
        </w:rPr>
      </w:pPr>
      <w:r>
        <w:rPr>
          <w:rFonts w:hint="eastAsia"/>
        </w:rPr>
        <w:t>国际公约和协定：</w:t>
      </w:r>
    </w:p>
    <w:p w:rsidR="00000000" w:rsidRDefault="00000000">
      <w:pPr>
        <w:pStyle w:val="a0"/>
        <w:ind w:left="2070"/>
        <w:rPr>
          <w:rFonts w:hint="eastAsia"/>
        </w:rPr>
      </w:pPr>
      <w:r>
        <w:rPr>
          <w:rFonts w:hint="eastAsia"/>
        </w:rPr>
        <w:t>保护工业产权巴黎公约</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商标国际注册马德里协定</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商标注册用商品与服务国际分类尼斯协定</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工业外观设计国际分类洛迦诺协定</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专利法领域合作条约</w:t>
      </w:r>
      <w:r>
        <w:rPr>
          <w:rFonts w:hint="eastAsia"/>
        </w:rPr>
        <w:t>(</w:t>
      </w:r>
      <w:r>
        <w:rPr>
          <w:rFonts w:hint="eastAsia"/>
        </w:rPr>
        <w:t>波斯尼亚和黑塞哥维那于</w:t>
      </w:r>
      <w:r>
        <w:rPr>
          <w:rFonts w:hint="eastAsia"/>
        </w:rPr>
        <w:t>1996</w:t>
      </w:r>
      <w:r>
        <w:rPr>
          <w:rFonts w:hint="eastAsia"/>
        </w:rPr>
        <w:t>年</w:t>
      </w:r>
      <w:r>
        <w:rPr>
          <w:rFonts w:hint="eastAsia"/>
        </w:rPr>
        <w:t>9</w:t>
      </w:r>
      <w:r>
        <w:rPr>
          <w:rFonts w:hint="eastAsia"/>
        </w:rPr>
        <w:t>月</w:t>
      </w:r>
      <w:r>
        <w:rPr>
          <w:rFonts w:hint="eastAsia"/>
        </w:rPr>
        <w:t>7</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保护文学和艺术作品伯尔尼公约</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1</w:t>
      </w:r>
      <w:r>
        <w:rPr>
          <w:rFonts w:hint="eastAsia"/>
        </w:rPr>
        <w:t>日加入</w:t>
      </w:r>
      <w:r>
        <w:rPr>
          <w:rFonts w:hint="eastAsia"/>
        </w:rPr>
        <w:t>)</w:t>
      </w:r>
      <w:r>
        <w:rPr>
          <w:rFonts w:hint="eastAsia"/>
        </w:rPr>
        <w:t>；</w:t>
      </w:r>
    </w:p>
    <w:p w:rsidR="00000000" w:rsidRDefault="00000000">
      <w:pPr>
        <w:pStyle w:val="a0"/>
        <w:ind w:left="2070"/>
        <w:rPr>
          <w:rFonts w:hint="eastAsia"/>
        </w:rPr>
      </w:pPr>
      <w:r>
        <w:rPr>
          <w:rFonts w:hint="eastAsia"/>
        </w:rPr>
        <w:t>关于分配卫星传送的节目信号的布鲁塞尔公约</w:t>
      </w:r>
      <w:r>
        <w:rPr>
          <w:rFonts w:hint="eastAsia"/>
        </w:rPr>
        <w:t>(</w:t>
      </w:r>
      <w:r>
        <w:rPr>
          <w:rFonts w:hint="eastAsia"/>
        </w:rPr>
        <w:t>波斯尼亚和黑塞哥维那于</w:t>
      </w:r>
      <w:r>
        <w:rPr>
          <w:rFonts w:hint="eastAsia"/>
        </w:rPr>
        <w:t>1992</w:t>
      </w:r>
      <w:r>
        <w:rPr>
          <w:rFonts w:hint="eastAsia"/>
        </w:rPr>
        <w:t>年</w:t>
      </w:r>
      <w:r>
        <w:rPr>
          <w:rFonts w:hint="eastAsia"/>
        </w:rPr>
        <w:t>3</w:t>
      </w:r>
      <w:r>
        <w:rPr>
          <w:rFonts w:hint="eastAsia"/>
        </w:rPr>
        <w:t>月</w:t>
      </w:r>
      <w:r>
        <w:rPr>
          <w:rFonts w:hint="eastAsia"/>
        </w:rPr>
        <w:t>6</w:t>
      </w:r>
      <w:r>
        <w:rPr>
          <w:rFonts w:hint="eastAsia"/>
        </w:rPr>
        <w:t>日加入</w:t>
      </w:r>
      <w:r>
        <w:rPr>
          <w:rFonts w:hint="eastAsia"/>
        </w:rPr>
        <w:t>)</w:t>
      </w:r>
      <w:r>
        <w:rPr>
          <w:rFonts w:hint="eastAsia"/>
        </w:rPr>
        <w:t>。</w:t>
      </w:r>
    </w:p>
    <w:p w:rsidR="00000000" w:rsidRDefault="00000000">
      <w:pPr>
        <w:rPr>
          <w:rFonts w:hint="eastAsia"/>
        </w:rPr>
      </w:pPr>
      <w:r>
        <w:rPr>
          <w:rFonts w:hint="eastAsia"/>
        </w:rPr>
        <w:tab/>
        <w:t xml:space="preserve">651.  </w:t>
      </w:r>
      <w:r>
        <w:rPr>
          <w:rFonts w:hint="eastAsia"/>
        </w:rPr>
        <w:t>对波斯尼亚和黑塞哥维那而言，关于知识产权的法律只是几年前才通过的在新的领域的新的法律。因此，在原则上，它们与欧洲联盟其他国家在知识产权领域的国家立法和国家法律是保持一致的。这一领域的立法是在知识产权所有领域保护波斯尼亚和黑塞哥维那国家内外的作家和表演家的道德和物质权利的良好基础，因为它是与《巴黎公约》和与贸易有关的知识产权协定相一致的。</w:t>
      </w:r>
    </w:p>
    <w:p w:rsidR="00000000" w:rsidRDefault="00000000">
      <w:pPr>
        <w:rPr>
          <w:rFonts w:hint="eastAsia"/>
        </w:rPr>
      </w:pPr>
      <w:r>
        <w:rPr>
          <w:rFonts w:hint="eastAsia"/>
        </w:rPr>
        <w:tab/>
        <w:t xml:space="preserve">652.  </w:t>
      </w:r>
      <w:r>
        <w:rPr>
          <w:rFonts w:hint="eastAsia"/>
        </w:rPr>
        <w:t>比尔奇科地区在科学和科学研究工作领域没有一部法律。现有的科学硕士和博士并得不到基于其专业知识的工资补贴，并且当他们在比尔奇科地区谋求工作的时候也没有任何优势。他们也没有任何地方可以申请进行科学研究项目。专业发展并没有什么鼓励</w:t>
      </w:r>
      <w:r>
        <w:rPr>
          <w:rFonts w:hint="eastAsia"/>
          <w:spacing w:val="-50"/>
        </w:rPr>
        <w:t>―</w:t>
      </w:r>
      <w:r>
        <w:rPr>
          <w:rFonts w:hint="eastAsia"/>
        </w:rPr>
        <w:t>―一旦一个雇员接受一个学术学位，他</w:t>
      </w:r>
      <w:r>
        <w:rPr>
          <w:rFonts w:hint="eastAsia"/>
        </w:rPr>
        <w:t>(</w:t>
      </w:r>
      <w:r>
        <w:rPr>
          <w:rFonts w:hint="eastAsia"/>
        </w:rPr>
        <w:t>或她</w:t>
      </w:r>
      <w:r>
        <w:rPr>
          <w:rFonts w:hint="eastAsia"/>
        </w:rPr>
        <w:t>)</w:t>
      </w:r>
      <w:r>
        <w:rPr>
          <w:rFonts w:hint="eastAsia"/>
        </w:rPr>
        <w:t>并不能自动的改变地位。在教育和文化领域工作的有硕士学位和科学硕士学位的毕业生得到的工资与其他受过大学教育的雇员相同，他们的学位称号并不受特别重视，因为根据公开竞争，雇用他们所做的工作是当前职业系统所预见到的，也没有额外的立法来管理有这种学历的专家的权利。</w:t>
      </w:r>
    </w:p>
    <w:p w:rsidR="00000000" w:rsidRDefault="00000000">
      <w:pPr>
        <w:rPr>
          <w:rFonts w:hint="eastAsia"/>
        </w:rPr>
      </w:pPr>
      <w:r>
        <w:rPr>
          <w:rFonts w:hint="eastAsia"/>
        </w:rPr>
        <w:tab/>
        <w:t xml:space="preserve">653.  </w:t>
      </w:r>
      <w:r>
        <w:rPr>
          <w:rFonts w:hint="eastAsia"/>
        </w:rPr>
        <w:t>例如，在比尔奇科区</w:t>
      </w:r>
      <w:r>
        <w:rPr>
          <w:rFonts w:hint="eastAsia"/>
        </w:rPr>
        <w:t>(</w:t>
      </w:r>
      <w:r>
        <w:rPr>
          <w:rFonts w:hint="eastAsia"/>
        </w:rPr>
        <w:t>巴尼亚卢卡大学</w:t>
      </w:r>
      <w:r>
        <w:rPr>
          <w:rFonts w:hint="eastAsia"/>
        </w:rPr>
        <w:t>)</w:t>
      </w:r>
      <w:r>
        <w:rPr>
          <w:rFonts w:hint="eastAsia"/>
        </w:rPr>
        <w:t>经济系的博士的工资同比尔奇科区行政部门工作的清洁女工的工资一样。虽然有计划要在比尔奇科地区政府设立一个高等教育处，但这个程序尚未启动。市长有过一个指示，根据这个指示任何写博士论文的人都可以向政府申请</w:t>
      </w:r>
      <w:r>
        <w:rPr>
          <w:rFonts w:hint="eastAsia"/>
        </w:rPr>
        <w:t>5,000</w:t>
      </w:r>
      <w:r>
        <w:rPr>
          <w:rFonts w:hint="eastAsia"/>
        </w:rPr>
        <w:t>可兑换马克的资助。这表明，执政的机关了解现在迫切需要改变现状。</w:t>
      </w:r>
    </w:p>
    <w:p w:rsidR="00000000" w:rsidRDefault="00000000">
      <w:pPr>
        <w:rPr>
          <w:rFonts w:hint="eastAsia"/>
        </w:rPr>
      </w:pPr>
      <w:r>
        <w:rPr>
          <w:rFonts w:hint="eastAsia"/>
        </w:rPr>
        <w:tab/>
        <w:t xml:space="preserve">654.  </w:t>
      </w:r>
      <w:r>
        <w:rPr>
          <w:rFonts w:hint="eastAsia"/>
        </w:rPr>
        <w:t>比尔奇科区科学家参与国际学术活动只是零星的现象，这更多的是个人的主动性以及个人与科学机构的关系，以及那些当有可能采取制度性的措施的时候这些最有能量的人为了留在科学圈子里所采取的机灵的做法的结果。</w:t>
      </w:r>
    </w:p>
    <w:p w:rsidR="00000000" w:rsidRDefault="00000000">
      <w:pPr>
        <w:rPr>
          <w:rFonts w:hint="eastAsia"/>
        </w:rPr>
      </w:pPr>
      <w:r>
        <w:rPr>
          <w:rFonts w:hint="eastAsia"/>
        </w:rPr>
        <w:tab/>
        <w:t xml:space="preserve">655.  </w:t>
      </w:r>
      <w:r>
        <w:rPr>
          <w:rFonts w:hint="eastAsia"/>
        </w:rPr>
        <w:t>由于通过了文化产品法，保护人类自然遗产也有了保障，该部法律除了包括物质和精神产品之外，还包括自然文化产品</w:t>
      </w:r>
      <w:r>
        <w:rPr>
          <w:rFonts w:hint="eastAsia"/>
        </w:rPr>
        <w:t>(</w:t>
      </w:r>
      <w:r>
        <w:rPr>
          <w:rFonts w:hint="eastAsia"/>
        </w:rPr>
        <w:t>稀有植物和动物的品种及其生长的自然环境，特定人种地区，自然胜地，自然历史遗址等等。</w:t>
      </w:r>
      <w:r>
        <w:rPr>
          <w:rFonts w:hint="eastAsia"/>
        </w:rPr>
        <w:t>)</w:t>
      </w:r>
      <w:r>
        <w:rPr>
          <w:rFonts w:hint="eastAsia"/>
        </w:rPr>
        <w:t>。考虑到这些物品没有明确的定义，就有可能解释和应用已经通过的其他法律</w:t>
      </w:r>
      <w:r>
        <w:rPr>
          <w:rFonts w:hint="eastAsia"/>
        </w:rPr>
        <w:t>(</w:t>
      </w:r>
      <w:r>
        <w:rPr>
          <w:rFonts w:hint="eastAsia"/>
        </w:rPr>
        <w:t>例如，自然环境规划法</w:t>
      </w:r>
      <w:r>
        <w:rPr>
          <w:rFonts w:hint="eastAsia"/>
        </w:rPr>
        <w:t>)</w:t>
      </w:r>
      <w:r>
        <w:rPr>
          <w:rFonts w:hint="eastAsia"/>
        </w:rPr>
        <w:t>，从而破坏自然遗产，其价值到时候是无法估量的。</w:t>
      </w:r>
    </w:p>
    <w:p w:rsidR="00000000" w:rsidRDefault="00000000">
      <w:pPr>
        <w:rPr>
          <w:rFonts w:hint="eastAsia"/>
        </w:rPr>
      </w:pPr>
      <w:r>
        <w:rPr>
          <w:rFonts w:hint="eastAsia"/>
        </w:rPr>
        <w:tab/>
        <w:t xml:space="preserve">656.  </w:t>
      </w:r>
      <w:r>
        <w:rPr>
          <w:rFonts w:hint="eastAsia"/>
        </w:rPr>
        <w:t>在比尔奇科区成立之前，在比尔奇科文化中心已经收集了一批考古和人种物品，使一批专家聚集在一起编辑档案、处理加工、展示这些物品，并宣传该地区人民的科学成就和遗产。虽然体育和文化分部在其预算建议中都为这个小小的博物馆的重建申请款项，但是仍然有克服不了的限制：没有能力设置议会一般性决定要求的或上级建议的新的工作岗位。</w:t>
      </w:r>
    </w:p>
    <w:p w:rsidR="00000000" w:rsidRDefault="00000000">
      <w:pPr>
        <w:rPr>
          <w:rFonts w:hint="eastAsia"/>
        </w:rPr>
      </w:pPr>
      <w:r>
        <w:rPr>
          <w:rFonts w:hint="eastAsia"/>
        </w:rPr>
        <w:tab/>
        <w:t xml:space="preserve">657.  </w:t>
      </w:r>
      <w:r>
        <w:rPr>
          <w:rFonts w:hint="eastAsia"/>
        </w:rPr>
        <w:t>这一机构的工作将能在波斯尼亚和黑塞哥维那一级执行目前在比尔奇科区所没有的法律，例如：机构法；博物馆法；档案法；赔偿和使用自由作家作品法；个人档案、肖像、照片、和录音带出版条件法；为特殊文化或艺术价值的外国展览担保法；版权法；保护和利用文化、历史和自然遗产法；在文化领域资助社会需求和利益法；与外国科学、文化、教育和技术合作活动登记法。</w:t>
      </w:r>
    </w:p>
    <w:p w:rsidR="00000000" w:rsidRDefault="00000000">
      <w:pPr>
        <w:rPr>
          <w:rFonts w:hint="eastAsia"/>
        </w:rPr>
      </w:pPr>
      <w:r>
        <w:rPr>
          <w:rFonts w:hint="eastAsia"/>
        </w:rPr>
        <w:tab/>
        <w:t xml:space="preserve">658.  </w:t>
      </w:r>
      <w:r>
        <w:rPr>
          <w:rFonts w:hint="eastAsia"/>
        </w:rPr>
        <w:t>关于保护知识产权的法律通过规范知识产权，给持有者以道义和物质的权利。这些道义权利包括持有者的知识产权得到承认并被定为作品、创造或发明的创造者，持有者有权反对会损害其荣誉和</w:t>
      </w:r>
      <w:r>
        <w:rPr>
          <w:rFonts w:hint="eastAsia"/>
        </w:rPr>
        <w:t>/</w:t>
      </w:r>
      <w:r>
        <w:rPr>
          <w:rFonts w:hint="eastAsia"/>
        </w:rPr>
        <w:t>或尊严的对其作品、创作发明任何变形或改变。道义权利不可转让，在时间上没有限制。</w:t>
      </w:r>
    </w:p>
    <w:p w:rsidR="00000000" w:rsidRDefault="00000000">
      <w:pPr>
        <w:spacing w:after="240"/>
        <w:rPr>
          <w:rFonts w:hint="eastAsia"/>
        </w:rPr>
      </w:pPr>
      <w:r>
        <w:rPr>
          <w:rFonts w:hint="eastAsia"/>
        </w:rPr>
        <w:tab/>
        <w:t xml:space="preserve">659.  </w:t>
      </w:r>
      <w:r>
        <w:rPr>
          <w:rFonts w:hint="eastAsia"/>
        </w:rPr>
        <w:t>物质权利是知识产权持有者利用其作品的权利，是通过出版、复制、流传、转让或任何其他适当的方式实现的。这种权利是可以整体或部分转让的，在时间上有限度。这种权利的转让是通过作者的书面合同进行的。</w:t>
      </w:r>
    </w:p>
    <w:p w:rsidR="00000000" w:rsidRDefault="00000000">
      <w:pPr>
        <w:pStyle w:val="Heading4"/>
        <w:rPr>
          <w:rFonts w:hint="eastAsia"/>
        </w:rPr>
      </w:pPr>
      <w:r>
        <w:rPr>
          <w:rFonts w:hint="eastAsia"/>
        </w:rPr>
        <w:t>知识产权保护的立法和规范的执行机制</w:t>
      </w:r>
    </w:p>
    <w:p w:rsidR="00000000" w:rsidRDefault="00000000">
      <w:pPr>
        <w:rPr>
          <w:rFonts w:hint="eastAsia"/>
        </w:rPr>
      </w:pPr>
      <w:r>
        <w:rPr>
          <w:rFonts w:hint="eastAsia"/>
        </w:rPr>
        <w:tab/>
        <w:t xml:space="preserve">660.  </w:t>
      </w:r>
      <w:r>
        <w:rPr>
          <w:rFonts w:hint="eastAsia"/>
        </w:rPr>
        <w:t>波斯尼亚和黑塞哥维那知识产权办公室从属于标准和知识产权研究所，负责根据规定的行政程序颁布知识产权。根据建立标准、度量衡和知识产权研究所法，按计划将把这个办公室从研究所脱离，根据其他国家的通常做法建立一个单独的波斯尼亚和黑塞哥维那知识产权研究所</w:t>
      </w:r>
      <w:r>
        <w:t>，</w:t>
      </w:r>
      <w:r>
        <w:rPr>
          <w:rFonts w:hint="eastAsia"/>
        </w:rPr>
        <w:t>到</w:t>
      </w:r>
      <w:r>
        <w:rPr>
          <w:rFonts w:hint="eastAsia"/>
        </w:rPr>
        <w:t>2003</w:t>
      </w:r>
      <w:r>
        <w:rPr>
          <w:rFonts w:hint="eastAsia"/>
        </w:rPr>
        <w:t>年底成为一个独立的政府行政机构。就保护知识产权领域执法角度而言，现有的机制有：波斯尼亚和黑塞哥维那法院、海关总署和各处的措施、波斯尼亚和黑塞哥维那知识产权办公室、行政争端和程序、检查、刑事诉讼和惩罚规定。</w:t>
      </w:r>
    </w:p>
    <w:p w:rsidR="00000000" w:rsidRDefault="00000000">
      <w:pPr>
        <w:rPr>
          <w:rFonts w:hint="eastAsia"/>
        </w:rPr>
      </w:pPr>
      <w:r>
        <w:rPr>
          <w:rFonts w:hint="eastAsia"/>
        </w:rPr>
        <w:tab/>
        <w:t xml:space="preserve">661.  </w:t>
      </w:r>
      <w:r>
        <w:rPr>
          <w:rFonts w:hint="eastAsia"/>
        </w:rPr>
        <w:t>在波斯尼亚和黑塞哥维那与保护知识产权相关的问题有：</w:t>
      </w:r>
    </w:p>
    <w:p w:rsidR="00000000" w:rsidRDefault="00000000">
      <w:pPr>
        <w:pStyle w:val="a0"/>
        <w:ind w:left="1550"/>
        <w:rPr>
          <w:rFonts w:hint="eastAsia"/>
        </w:rPr>
      </w:pPr>
      <w:r>
        <w:rPr>
          <w:rFonts w:hint="eastAsia"/>
        </w:rPr>
        <w:t>知识产权领域通过的法律执法缓慢</w:t>
      </w:r>
      <w:r>
        <w:rPr>
          <w:rFonts w:hint="eastAsia"/>
        </w:rPr>
        <w:t>(</w:t>
      </w:r>
      <w:r>
        <w:rPr>
          <w:rFonts w:hint="eastAsia"/>
        </w:rPr>
        <w:t>特别是在版权和相关的权利领域，这些权利受到了大规模的侵犯，并且没有采取任何适当措施来预防和补救这种状况。</w:t>
      </w:r>
      <w:r>
        <w:rPr>
          <w:rFonts w:hint="eastAsia"/>
        </w:rPr>
        <w:t>)</w:t>
      </w:r>
      <w:r>
        <w:rPr>
          <w:rFonts w:hint="eastAsia"/>
        </w:rPr>
        <w:t>；</w:t>
      </w:r>
    </w:p>
    <w:p w:rsidR="00000000" w:rsidRDefault="00000000">
      <w:pPr>
        <w:pStyle w:val="a0"/>
        <w:ind w:left="1550"/>
        <w:rPr>
          <w:rFonts w:hint="eastAsia"/>
        </w:rPr>
      </w:pPr>
      <w:r>
        <w:rPr>
          <w:rFonts w:hint="eastAsia"/>
        </w:rPr>
        <w:t>在负责执法的机制之间缺乏协调，例如：波斯尼亚和黑塞哥维那知识产权办公室、负责的法院、海关总署、检查机构、行业部委、例如对外贸易和经济关系部，外交部、内政部、贸易和旅游部、财政部和司法、私有化机构和负责中小企业发展的机构；</w:t>
      </w:r>
    </w:p>
    <w:p w:rsidR="00000000" w:rsidRDefault="00000000">
      <w:pPr>
        <w:pStyle w:val="a0"/>
        <w:ind w:left="1550"/>
        <w:rPr>
          <w:rFonts w:hint="eastAsia"/>
        </w:rPr>
      </w:pPr>
      <w:r>
        <w:rPr>
          <w:rFonts w:hint="eastAsia"/>
        </w:rPr>
        <w:t>司法部门专门化程度不够并且效率低下，这在打击违反知识产权和盗版连锁行动中成了“绊脚石”；</w:t>
      </w:r>
    </w:p>
    <w:p w:rsidR="00000000" w:rsidRDefault="00000000">
      <w:pPr>
        <w:pStyle w:val="a0"/>
        <w:ind w:left="1550"/>
        <w:rPr>
          <w:rFonts w:hint="eastAsia"/>
        </w:rPr>
      </w:pPr>
      <w:r>
        <w:rPr>
          <w:rFonts w:hint="eastAsia"/>
        </w:rPr>
        <w:t>主管组织</w:t>
      </w:r>
      <w:r>
        <w:rPr>
          <w:rFonts w:hint="eastAsia"/>
        </w:rPr>
        <w:t>(</w:t>
      </w:r>
      <w:r>
        <w:rPr>
          <w:rFonts w:hint="eastAsia"/>
        </w:rPr>
        <w:t>波斯尼亚和黑塞哥维那知识产权办公室</w:t>
      </w:r>
      <w:r>
        <w:rPr>
          <w:rFonts w:hint="eastAsia"/>
        </w:rPr>
        <w:t>)</w:t>
      </w:r>
      <w:r>
        <w:rPr>
          <w:rFonts w:hint="eastAsia"/>
        </w:rPr>
        <w:t>就获得知识产权的条件、意义和程序方面对于人民的长期教育行动不够；</w:t>
      </w:r>
    </w:p>
    <w:p w:rsidR="00000000" w:rsidRDefault="00000000">
      <w:pPr>
        <w:pStyle w:val="a0"/>
        <w:ind w:left="1550"/>
        <w:rPr>
          <w:rFonts w:hint="eastAsia"/>
        </w:rPr>
      </w:pPr>
      <w:r>
        <w:rPr>
          <w:rFonts w:hint="eastAsia"/>
        </w:rPr>
        <w:t>政府的内部结构、适当的部委和非政府组织在知识产权方面的沟通不够；</w:t>
      </w:r>
    </w:p>
    <w:p w:rsidR="00000000" w:rsidRDefault="00000000">
      <w:pPr>
        <w:pStyle w:val="a0"/>
        <w:ind w:left="1550"/>
        <w:rPr>
          <w:rFonts w:hint="eastAsia"/>
        </w:rPr>
      </w:pPr>
      <w:r>
        <w:rPr>
          <w:rFonts w:hint="eastAsia"/>
        </w:rPr>
        <w:t>在知识产权办公室、法官和专家证人中专门化干部人数太少；</w:t>
      </w:r>
    </w:p>
    <w:p w:rsidR="00000000" w:rsidRDefault="00000000">
      <w:pPr>
        <w:pStyle w:val="a0"/>
        <w:ind w:left="1550"/>
        <w:rPr>
          <w:rFonts w:hint="eastAsia"/>
        </w:rPr>
      </w:pPr>
      <w:r>
        <w:rPr>
          <w:rFonts w:hint="eastAsia"/>
        </w:rPr>
        <w:t>由于波斯尼亚和黑塞哥维那是一个国家的特殊组织机构，对于监控知识产权的违反情况程序复杂。</w:t>
      </w:r>
    </w:p>
    <w:p w:rsidR="00000000" w:rsidRDefault="00000000">
      <w:pPr>
        <w:pStyle w:val="Heading4"/>
        <w:rPr>
          <w:rFonts w:hint="eastAsia"/>
        </w:rPr>
      </w:pPr>
      <w:r>
        <w:rPr>
          <w:rFonts w:hint="eastAsia"/>
        </w:rPr>
        <w:t>塞族共和国组织文化活动的方式</w:t>
      </w:r>
    </w:p>
    <w:p w:rsidR="00000000" w:rsidRDefault="00000000">
      <w:pPr>
        <w:rPr>
          <w:rFonts w:hint="eastAsia"/>
        </w:rPr>
      </w:pPr>
      <w:r>
        <w:rPr>
          <w:rFonts w:hint="eastAsia"/>
        </w:rPr>
        <w:tab/>
        <w:t xml:space="preserve">662.  </w:t>
      </w:r>
      <w:r>
        <w:rPr>
          <w:rFonts w:hint="eastAsia"/>
        </w:rPr>
        <w:t>在塞族共和国没有一个分支机构担任负责音乐</w:t>
      </w:r>
      <w:r>
        <w:rPr>
          <w:rFonts w:hint="eastAsia"/>
          <w:spacing w:val="-50"/>
        </w:rPr>
        <w:t>―</w:t>
      </w:r>
      <w:r>
        <w:rPr>
          <w:rFonts w:hint="eastAsia"/>
        </w:rPr>
        <w:t>―表演活动的独特机关。因此，有必要组织这么一种机构来促进来自相关领域的专业人员和艺术家的活动。艺术家联合会一方面要承认高等艺术成就的专业标准并为此创造条件，还要推动创立其自己的专业生产，以提高塞族共和国艺术家在确保其地位中的信誉。</w:t>
      </w:r>
    </w:p>
    <w:p w:rsidR="00000000" w:rsidRDefault="00000000">
      <w:pPr>
        <w:rPr>
          <w:rFonts w:hint="eastAsia"/>
        </w:rPr>
      </w:pPr>
      <w:r>
        <w:rPr>
          <w:rFonts w:hint="eastAsia"/>
        </w:rPr>
        <w:tab/>
        <w:t xml:space="preserve">663.  </w:t>
      </w:r>
      <w:r>
        <w:rPr>
          <w:rFonts w:hint="eastAsia"/>
        </w:rPr>
        <w:t>舞台艺术家大会虽然是一种正式的团体但没有能够在塞族共和国发挥任何重大影响；在大会中没有提出过任何关于艺术家个人的地位、表演、文学遗产等方面的重要问题，因此实际上它只是存在于纸面上。随着一批从艺术学院毕业的新一代的艺术家的到来，预计这一组织会变得活跃起来。</w:t>
      </w:r>
    </w:p>
    <w:p w:rsidR="00000000" w:rsidRDefault="00000000">
      <w:pPr>
        <w:rPr>
          <w:rFonts w:hint="eastAsia"/>
        </w:rPr>
      </w:pPr>
      <w:r>
        <w:rPr>
          <w:rFonts w:hint="eastAsia"/>
        </w:rPr>
        <w:tab/>
        <w:t xml:space="preserve">664.  </w:t>
      </w:r>
      <w:r>
        <w:rPr>
          <w:rFonts w:hint="eastAsia"/>
        </w:rPr>
        <w:t>在比尔奇科地区没有系统的应用法律来保证个人因其自己的科学、文学或艺术作品应享受的道德和物质利益受到保护。自然人和实体的法律界并不了解知识产权一词的重要性，并且迄今为止内部组织、部门部委或非政府组织部门并没有采取任何主动行动。</w:t>
      </w:r>
    </w:p>
    <w:p w:rsidR="00000000" w:rsidRDefault="00000000">
      <w:pPr>
        <w:rPr>
          <w:rFonts w:hint="eastAsia"/>
        </w:rPr>
      </w:pPr>
      <w:r>
        <w:rPr>
          <w:rFonts w:hint="eastAsia"/>
        </w:rPr>
        <w:tab/>
        <w:t xml:space="preserve">665.  </w:t>
      </w:r>
      <w:r>
        <w:rPr>
          <w:rFonts w:hint="eastAsia"/>
        </w:rPr>
        <w:t>在宣传和制定文化政策方面，比尔奇科地区政府采取了以下措施：国民大会通过了社团和基金会法</w:t>
      </w:r>
      <w:r>
        <w:rPr>
          <w:rFonts w:hint="eastAsia"/>
        </w:rPr>
        <w:t>(2002)</w:t>
      </w:r>
      <w:r>
        <w:rPr>
          <w:rFonts w:hint="eastAsia"/>
        </w:rPr>
        <w:t>，它也涵盖文化社团；为修复遭到破坏的乡村文化俱乐部和发展新的俱乐部</w:t>
      </w:r>
      <w:r>
        <w:rPr>
          <w:rFonts w:hint="eastAsia"/>
        </w:rPr>
        <w:t>(</w:t>
      </w:r>
      <w:r>
        <w:rPr>
          <w:rFonts w:hint="eastAsia"/>
        </w:rPr>
        <w:t>例如为罗姆人口</w:t>
      </w:r>
      <w:r>
        <w:rPr>
          <w:rFonts w:hint="eastAsia"/>
        </w:rPr>
        <w:t>)</w:t>
      </w:r>
      <w:r>
        <w:rPr>
          <w:rFonts w:hint="eastAsia"/>
        </w:rPr>
        <w:t>提供资金；资助并组织了大规模的文化项目，如国际艺术节，波斯尼亚和黑塞哥维那戏剧节，精神音乐日，城乡业余手工艺品展览；为文化社团的重新登记费用报销；为农村文化社团采购设备提供资助并且参与提供海外旅费；参与为书籍印刷和文化活动宣传材料制作提供资金；应要求为个人</w:t>
      </w:r>
      <w:r>
        <w:rPr>
          <w:rFonts w:hint="eastAsia"/>
        </w:rPr>
        <w:t>(</w:t>
      </w:r>
      <w:r>
        <w:rPr>
          <w:rFonts w:hint="eastAsia"/>
        </w:rPr>
        <w:t>艺术、文学</w:t>
      </w:r>
      <w:r>
        <w:rPr>
          <w:rFonts w:hint="eastAsia"/>
        </w:rPr>
        <w:t>)</w:t>
      </w:r>
      <w:r>
        <w:rPr>
          <w:rFonts w:hint="eastAsia"/>
        </w:rPr>
        <w:t>提供支助。通过适当的方案，为业余活动提供咨询意见、指导和建议以支持这些活动。</w:t>
      </w:r>
    </w:p>
    <w:p w:rsidR="00000000" w:rsidRDefault="00000000">
      <w:pPr>
        <w:rPr>
          <w:rFonts w:hint="eastAsia"/>
        </w:rPr>
      </w:pPr>
      <w:r>
        <w:rPr>
          <w:rFonts w:hint="eastAsia"/>
        </w:rPr>
        <w:tab/>
        <w:t xml:space="preserve">666.  </w:t>
      </w:r>
      <w:r>
        <w:rPr>
          <w:rFonts w:hint="eastAsia"/>
        </w:rPr>
        <w:t>但是，用户的需求变得越来越复杂，而在体育和文化分部的适当的专家的数目及其授权和能力继续处于停顿状态。为了跟上环境的变化并满足要求，有必要作出法律和组织上的调整和升级。</w:t>
      </w:r>
    </w:p>
    <w:p w:rsidR="00000000" w:rsidRDefault="00000000">
      <w:pPr>
        <w:rPr>
          <w:rFonts w:hint="eastAsia"/>
        </w:rPr>
      </w:pPr>
      <w:r>
        <w:rPr>
          <w:rFonts w:hint="eastAsia"/>
        </w:rPr>
        <w:tab/>
        <w:t xml:space="preserve">667.  </w:t>
      </w:r>
      <w:r>
        <w:rPr>
          <w:rFonts w:hint="eastAsia"/>
        </w:rPr>
        <w:t>塞族共和国图书管理人员协会是</w:t>
      </w:r>
      <w:r>
        <w:rPr>
          <w:rFonts w:hint="eastAsia"/>
        </w:rPr>
        <w:t>1987</w:t>
      </w:r>
      <w:r>
        <w:rPr>
          <w:rFonts w:hint="eastAsia"/>
        </w:rPr>
        <w:t>年</w:t>
      </w:r>
      <w:r>
        <w:rPr>
          <w:rFonts w:hint="eastAsia"/>
        </w:rPr>
        <w:t>10</w:t>
      </w:r>
      <w:r>
        <w:rPr>
          <w:rFonts w:hint="eastAsia"/>
        </w:rPr>
        <w:t>月</w:t>
      </w:r>
      <w:r>
        <w:rPr>
          <w:rFonts w:hint="eastAsia"/>
        </w:rPr>
        <w:t>10</w:t>
      </w:r>
      <w:r>
        <w:rPr>
          <w:rFonts w:hint="eastAsia"/>
        </w:rPr>
        <w:t>日在维塞格拉德成立的，那是传统上举行年会的地方，也是该组织的所在地。该协会有一个主席、副主席和管理班子。其主要的目标如下：</w:t>
      </w:r>
    </w:p>
    <w:p w:rsidR="00000000" w:rsidRDefault="00000000">
      <w:pPr>
        <w:pStyle w:val="a0"/>
        <w:ind w:left="1550"/>
        <w:rPr>
          <w:rFonts w:hint="eastAsia"/>
        </w:rPr>
      </w:pPr>
      <w:r>
        <w:rPr>
          <w:rFonts w:hint="eastAsia"/>
        </w:rPr>
        <w:t>努力改善图书馆管理人员的地位；</w:t>
      </w:r>
    </w:p>
    <w:p w:rsidR="00000000" w:rsidRDefault="00000000">
      <w:pPr>
        <w:pStyle w:val="a0"/>
        <w:ind w:left="1550"/>
        <w:rPr>
          <w:rFonts w:hint="eastAsia"/>
        </w:rPr>
      </w:pPr>
      <w:r>
        <w:rPr>
          <w:rFonts w:hint="eastAsia"/>
        </w:rPr>
        <w:t>促进并支持图书管理人员；</w:t>
      </w:r>
    </w:p>
    <w:p w:rsidR="00000000" w:rsidRDefault="00000000">
      <w:pPr>
        <w:pStyle w:val="a0"/>
        <w:ind w:left="1550"/>
        <w:rPr>
          <w:rFonts w:hint="eastAsia"/>
        </w:rPr>
      </w:pPr>
      <w:r>
        <w:rPr>
          <w:rFonts w:hint="eastAsia"/>
        </w:rPr>
        <w:t>审议对图书管理人员工作有关的专业问题；</w:t>
      </w:r>
    </w:p>
    <w:p w:rsidR="00000000" w:rsidRDefault="00000000">
      <w:pPr>
        <w:pStyle w:val="a0"/>
        <w:ind w:left="1550"/>
        <w:rPr>
          <w:rFonts w:hint="eastAsia"/>
        </w:rPr>
      </w:pPr>
      <w:r>
        <w:rPr>
          <w:rFonts w:hint="eastAsia"/>
        </w:rPr>
        <w:t>鼓励图书管理人员的专业和科学研究工作；</w:t>
      </w:r>
    </w:p>
    <w:p w:rsidR="00000000" w:rsidRDefault="00000000">
      <w:pPr>
        <w:pStyle w:val="a0"/>
        <w:ind w:left="1550"/>
        <w:rPr>
          <w:rFonts w:hint="eastAsia"/>
        </w:rPr>
      </w:pPr>
      <w:r>
        <w:rPr>
          <w:rFonts w:hint="eastAsia"/>
        </w:rPr>
        <w:t>就当前图书管理的理论问题总结经验并在国内外交流意见。</w:t>
      </w:r>
    </w:p>
    <w:p w:rsidR="00000000" w:rsidRDefault="00000000">
      <w:pPr>
        <w:rPr>
          <w:rFonts w:hint="eastAsia"/>
        </w:rPr>
      </w:pPr>
      <w:r>
        <w:rPr>
          <w:rFonts w:hint="eastAsia"/>
        </w:rPr>
        <w:tab/>
        <w:t xml:space="preserve">668.  </w:t>
      </w:r>
      <w:r>
        <w:rPr>
          <w:rFonts w:hint="eastAsia"/>
        </w:rPr>
        <w:t>塞族共和国图书馆管理员协会每年向图书馆和个人颁发年度“</w:t>
      </w:r>
      <w:r>
        <w:rPr>
          <w:lang w:val="en-GB"/>
        </w:rPr>
        <w:t>Dorde </w:t>
      </w:r>
      <w:r>
        <w:rPr>
          <w:rFonts w:hint="eastAsia"/>
          <w:lang w:val="en-GB"/>
        </w:rPr>
        <w:t xml:space="preserve"> </w:t>
      </w:r>
      <w:r>
        <w:rPr>
          <w:lang w:val="en-GB"/>
        </w:rPr>
        <w:t>Pejanović</w:t>
      </w:r>
      <w:r>
        <w:rPr>
          <w:rFonts w:hint="eastAsia"/>
        </w:rPr>
        <w:t xml:space="preserve"> </w:t>
      </w:r>
      <w:r>
        <w:rPr>
          <w:rFonts w:hint="eastAsia"/>
        </w:rPr>
        <w:t>奖”以鼓励对塞族共和国图书馆学发展的贡献。这个协会很快将成为国际图书馆协会的成员。</w:t>
      </w:r>
    </w:p>
    <w:p w:rsidR="00000000" w:rsidRDefault="00000000">
      <w:pPr>
        <w:rPr>
          <w:rFonts w:hint="eastAsia"/>
        </w:rPr>
      </w:pPr>
      <w:r>
        <w:rPr>
          <w:rFonts w:hint="eastAsia"/>
        </w:rPr>
        <w:tab/>
        <w:t xml:space="preserve">669.  </w:t>
      </w:r>
      <w:r>
        <w:rPr>
          <w:rFonts w:hint="eastAsia"/>
        </w:rPr>
        <w:t>塞族共和国档案管理员协会成立大会于</w:t>
      </w:r>
      <w:r>
        <w:rPr>
          <w:rFonts w:hint="eastAsia"/>
        </w:rPr>
        <w:t>2000</w:t>
      </w:r>
      <w:r>
        <w:rPr>
          <w:rFonts w:hint="eastAsia"/>
        </w:rPr>
        <w:t>年</w:t>
      </w:r>
      <w:r>
        <w:rPr>
          <w:rFonts w:hint="eastAsia"/>
        </w:rPr>
        <w:t>10</w:t>
      </w:r>
      <w:r>
        <w:rPr>
          <w:rFonts w:hint="eastAsia"/>
        </w:rPr>
        <w:t>月</w:t>
      </w:r>
      <w:r>
        <w:rPr>
          <w:rFonts w:hint="eastAsia"/>
        </w:rPr>
        <w:t>26</w:t>
      </w:r>
      <w:r>
        <w:rPr>
          <w:rFonts w:hint="eastAsia"/>
        </w:rPr>
        <w:t>日在巴尼亚卢卡举行。大会通过了章程和方案目标及任务，选择了董事会和协会主席。该协会的方案目标体现在塞族共和国档案馆方案活动中。塞族共和国档案管理员协会公报是该协会的专业刊物，但至今尚未发行。</w:t>
      </w:r>
    </w:p>
    <w:p w:rsidR="00000000" w:rsidRDefault="00000000">
      <w:pPr>
        <w:rPr>
          <w:rFonts w:hint="eastAsia"/>
        </w:rPr>
      </w:pPr>
      <w:r>
        <w:rPr>
          <w:rFonts w:hint="eastAsia"/>
        </w:rPr>
        <w:tab/>
        <w:t xml:space="preserve">670.  </w:t>
      </w:r>
      <w:r>
        <w:rPr>
          <w:rFonts w:hint="eastAsia"/>
        </w:rPr>
        <w:t>波斯尼亚和黑塞哥维那联邦的文化活动推动了公民社会的各个方面和各个阶层之间建立合作，就文化和艺术的真正价值观及其创造者形成了公众舆论或文化观点，从而大大强化了民主社会的价值观。通过把不同的文化、教育和媒体机构联系起来，这就为加强一个开放的民主社会创造了条件，这种社会的明显特点就是各种文化之间的对话，尊重彼此之间的差别、新的价值标准和对于教育的做法，这一切都体现在带有国际性的活动中。</w:t>
      </w:r>
    </w:p>
    <w:p w:rsidR="00000000" w:rsidRDefault="00000000">
      <w:pPr>
        <w:rPr>
          <w:rFonts w:hint="eastAsia"/>
        </w:rPr>
      </w:pPr>
      <w:r>
        <w:rPr>
          <w:rFonts w:hint="eastAsia"/>
        </w:rPr>
        <w:tab/>
        <w:t xml:space="preserve">671.  </w:t>
      </w:r>
      <w:r>
        <w:rPr>
          <w:rFonts w:hint="eastAsia"/>
        </w:rPr>
        <w:t>在波斯尼亚和黑塞哥维那联邦，有一些很突出的节日和活动受到参加者、艺术界、观众和普通民众的欢迎。这些是具有国际意义的以下活动：</w:t>
      </w:r>
      <w:r>
        <w:rPr>
          <w:rFonts w:hint="eastAsia"/>
        </w:rPr>
        <w:t>MESS</w:t>
      </w:r>
      <w:r>
        <w:rPr>
          <w:rFonts w:hint="eastAsia"/>
        </w:rPr>
        <w:t>戏剧节，塞拉热窝冬天节，塞拉热窝电影节和</w:t>
      </w:r>
      <w:r>
        <w:rPr>
          <w:rFonts w:hint="eastAsia"/>
        </w:rPr>
        <w:t>ARS AEVI</w:t>
      </w:r>
      <w:r>
        <w:rPr>
          <w:rFonts w:hint="eastAsia"/>
        </w:rPr>
        <w:t>项目。这些节日、活动和项目将来自波斯尼亚和黑塞哥维那的艺术家和创作者推向世界，向那儿的观众提供了艺术领域新成就的信息，并有助于加强文化作为任何民主社会的一个具有根本意义的价值观。通过与国内外与文化机构的合作以及积极参与许许多多联合制作活动，这些方案在文化的所有领域得到了实施。这些方案的特别价值在于它们为年轻的艺术家提供了机会，使他们得以表现自己并积极参加各种文化发展活动，接触世界、广交朋友，并获得新的技能和经验。</w:t>
      </w:r>
    </w:p>
    <w:p w:rsidR="00000000" w:rsidRDefault="00000000">
      <w:pPr>
        <w:rPr>
          <w:rFonts w:hint="eastAsia"/>
        </w:rPr>
      </w:pPr>
      <w:r>
        <w:rPr>
          <w:rFonts w:hint="eastAsia"/>
        </w:rPr>
        <w:tab/>
        <w:t>672.  MESS</w:t>
      </w:r>
      <w:r>
        <w:rPr>
          <w:rFonts w:hint="eastAsia"/>
        </w:rPr>
        <w:t>国际戏剧节是一个有</w:t>
      </w:r>
      <w:r>
        <w:rPr>
          <w:rFonts w:hint="eastAsia"/>
        </w:rPr>
        <w:t>43</w:t>
      </w:r>
      <w:r>
        <w:rPr>
          <w:rFonts w:hint="eastAsia"/>
        </w:rPr>
        <w:t>年传统的节日。这一节日的理念包括综合介绍戏剧艺术在本国以及在世界的最新发展动态和趋势。除了舞台艺术表演之外，还组织了一些辅助活动，例如展览会、音乐会、圆桌会议等等，以使艺术节如世界上最有声望的这类节日一样得到各方面的肯定。例如在</w:t>
      </w:r>
      <w:r>
        <w:rPr>
          <w:rFonts w:hint="eastAsia"/>
        </w:rPr>
        <w:t>2003</w:t>
      </w:r>
      <w:r>
        <w:rPr>
          <w:rFonts w:hint="eastAsia"/>
        </w:rPr>
        <w:t>年，来自</w:t>
      </w:r>
      <w:r>
        <w:rPr>
          <w:rFonts w:hint="eastAsia"/>
        </w:rPr>
        <w:t>12</w:t>
      </w:r>
      <w:r>
        <w:rPr>
          <w:rFonts w:hint="eastAsia"/>
        </w:rPr>
        <w:t>个国家的</w:t>
      </w:r>
      <w:r>
        <w:rPr>
          <w:rFonts w:hint="eastAsia"/>
        </w:rPr>
        <w:t>14</w:t>
      </w:r>
      <w:r>
        <w:rPr>
          <w:rFonts w:hint="eastAsia"/>
        </w:rPr>
        <w:t>场表演参加了戏剧节。这些表演在戏剧节全面展开之前在塞拉热窝和</w:t>
      </w:r>
      <w:r>
        <w:rPr>
          <w:lang w:val="en-GB"/>
        </w:rPr>
        <w:t>Zenica</w:t>
      </w:r>
      <w:r>
        <w:rPr>
          <w:rFonts w:hint="eastAsia"/>
        </w:rPr>
        <w:t>举行。有</w:t>
      </w:r>
      <w:r>
        <w:rPr>
          <w:rFonts w:hint="eastAsia"/>
        </w:rPr>
        <w:t>200</w:t>
      </w:r>
      <w:r>
        <w:rPr>
          <w:rFonts w:hint="eastAsia"/>
        </w:rPr>
        <w:t>多位国内外记者跟踪采访，并且有约同样数量的贵宾参加了戏剧节的各项活动。</w:t>
      </w:r>
    </w:p>
    <w:p w:rsidR="00000000" w:rsidRDefault="00000000">
      <w:pPr>
        <w:rPr>
          <w:rFonts w:hint="eastAsia"/>
        </w:rPr>
      </w:pPr>
      <w:r>
        <w:rPr>
          <w:rFonts w:hint="eastAsia"/>
        </w:rPr>
        <w:tab/>
        <w:t xml:space="preserve">673.  </w:t>
      </w:r>
      <w:r>
        <w:rPr>
          <w:rFonts w:hint="eastAsia"/>
        </w:rPr>
        <w:t>“塞拉热窝冬季节”这一国际节日是来自国内外的艺术家的一次传统聚会，在其存在的</w:t>
      </w:r>
      <w:r>
        <w:rPr>
          <w:rFonts w:hint="eastAsia"/>
        </w:rPr>
        <w:t>20</w:t>
      </w:r>
      <w:r>
        <w:rPr>
          <w:rFonts w:hint="eastAsia"/>
        </w:rPr>
        <w:t>年中，这一节日为来自世界各地的艺术家和访问者搭起了联系的桥梁。有关方案在波斯尼亚和黑塞哥维那的所有较大的城市中实施。在为期</w:t>
      </w:r>
      <w:r>
        <w:rPr>
          <w:rFonts w:hint="eastAsia"/>
        </w:rPr>
        <w:t>45</w:t>
      </w:r>
      <w:r>
        <w:rPr>
          <w:rFonts w:hint="eastAsia"/>
        </w:rPr>
        <w:t>天的节日内，上演了</w:t>
      </w:r>
      <w:r>
        <w:rPr>
          <w:rFonts w:hint="eastAsia"/>
        </w:rPr>
        <w:t>90</w:t>
      </w:r>
      <w:r>
        <w:rPr>
          <w:rFonts w:hint="eastAsia"/>
        </w:rPr>
        <w:t>多台节目，来自</w:t>
      </w:r>
      <w:r>
        <w:rPr>
          <w:rFonts w:hint="eastAsia"/>
        </w:rPr>
        <w:t>30</w:t>
      </w:r>
      <w:r>
        <w:rPr>
          <w:rFonts w:hint="eastAsia"/>
        </w:rPr>
        <w:t>个国家的</w:t>
      </w:r>
      <w:r>
        <w:rPr>
          <w:rFonts w:hint="eastAsia"/>
        </w:rPr>
        <w:t>1,400</w:t>
      </w:r>
      <w:r>
        <w:rPr>
          <w:rFonts w:hint="eastAsia"/>
        </w:rPr>
        <w:t>多名人员参加演出。每年来观看这些节目的有</w:t>
      </w:r>
      <w:r>
        <w:rPr>
          <w:rFonts w:hint="eastAsia"/>
        </w:rPr>
        <w:t>35,400</w:t>
      </w:r>
      <w:r>
        <w:rPr>
          <w:rFonts w:hint="eastAsia"/>
        </w:rPr>
        <w:t>多名来访者和贵宾，以及来自约</w:t>
      </w:r>
      <w:r>
        <w:rPr>
          <w:rFonts w:hint="eastAsia"/>
        </w:rPr>
        <w:t>60</w:t>
      </w:r>
      <w:r>
        <w:rPr>
          <w:rFonts w:hint="eastAsia"/>
        </w:rPr>
        <w:t>家媒体的</w:t>
      </w:r>
      <w:r>
        <w:rPr>
          <w:rFonts w:hint="eastAsia"/>
        </w:rPr>
        <w:t>120</w:t>
      </w:r>
      <w:r>
        <w:rPr>
          <w:rFonts w:hint="eastAsia"/>
        </w:rPr>
        <w:t>多位注册记者的采访。这些节目包括视觉和舞台表演、音乐、文学、电影、录像和电视节目，以及关于不同课题的会议，例如“欧洲之迷”，“太空</w:t>
      </w:r>
      <w:r>
        <w:rPr>
          <w:rFonts w:hint="eastAsia"/>
          <w:spacing w:val="-50"/>
        </w:rPr>
        <w:t>―</w:t>
      </w:r>
      <w:r>
        <w:rPr>
          <w:rFonts w:hint="eastAsia"/>
        </w:rPr>
        <w:t>―我们未来的天地”等。有些是专门为了青年的节目，采取的形式是学生的创作比赛以及其他活动。本届艺术节的青年节目已经列入协会的欧洲青年双年刊。</w:t>
      </w:r>
    </w:p>
    <w:p w:rsidR="00000000" w:rsidRDefault="00000000">
      <w:pPr>
        <w:rPr>
          <w:rFonts w:hint="eastAsia"/>
        </w:rPr>
      </w:pPr>
      <w:r>
        <w:rPr>
          <w:rFonts w:hint="eastAsia"/>
        </w:rPr>
        <w:tab/>
        <w:t xml:space="preserve">674.  </w:t>
      </w:r>
      <w:r>
        <w:rPr>
          <w:rFonts w:hint="eastAsia"/>
        </w:rPr>
        <w:t>塞拉热窝电影节是波斯尼亚和黑塞哥维那最有声望的节日。通过它的节目安排，电影节在欧洲已经达到了同类节日的最高声望。其节目包括商业性电影创作，来自国际电影节的最佳故事片和记录片，本区域制作的节目，录像和儿童节目，包括最新的热门流行影片。作为这一电影节的一部分，还组织了一些补充的活动。例如讲习班、影评家研讨会</w:t>
      </w:r>
      <w:r>
        <w:rPr>
          <w:rFonts w:hint="eastAsia"/>
        </w:rPr>
        <w:t>(</w:t>
      </w:r>
      <w:r>
        <w:rPr>
          <w:rFonts w:hint="eastAsia"/>
        </w:rPr>
        <w:t>例如关于数字技术的研讨会</w:t>
      </w:r>
      <w:r>
        <w:rPr>
          <w:rFonts w:hint="eastAsia"/>
        </w:rPr>
        <w:t>)</w:t>
      </w:r>
      <w:r>
        <w:rPr>
          <w:rFonts w:hint="eastAsia"/>
        </w:rPr>
        <w:t>、记录片等。</w:t>
      </w:r>
    </w:p>
    <w:p w:rsidR="00000000" w:rsidRDefault="00000000">
      <w:pPr>
        <w:rPr>
          <w:rFonts w:hint="eastAsia"/>
        </w:rPr>
      </w:pPr>
      <w:r>
        <w:rPr>
          <w:rFonts w:hint="eastAsia"/>
        </w:rPr>
        <w:tab/>
        <w:t xml:space="preserve">675.  </w:t>
      </w:r>
      <w:r>
        <w:rPr>
          <w:rFonts w:hint="eastAsia"/>
        </w:rPr>
        <w:t>塞拉热窝电影节已有九年历史，每年有</w:t>
      </w:r>
      <w:r>
        <w:rPr>
          <w:rFonts w:hint="eastAsia"/>
        </w:rPr>
        <w:t>75,000</w:t>
      </w:r>
      <w:r>
        <w:rPr>
          <w:rFonts w:hint="eastAsia"/>
        </w:rPr>
        <w:t>多位客人到访。影迷们有机会看到来自波斯尼亚和黑塞哥维那以及约</w:t>
      </w:r>
      <w:r>
        <w:rPr>
          <w:rFonts w:hint="eastAsia"/>
        </w:rPr>
        <w:t>36</w:t>
      </w:r>
      <w:r>
        <w:rPr>
          <w:rFonts w:hint="eastAsia"/>
        </w:rPr>
        <w:t>个其他国家的</w:t>
      </w:r>
      <w:r>
        <w:rPr>
          <w:rFonts w:hint="eastAsia"/>
        </w:rPr>
        <w:t>130</w:t>
      </w:r>
      <w:r>
        <w:rPr>
          <w:rFonts w:hint="eastAsia"/>
        </w:rPr>
        <w:t>多部电影和录像创作。每年来参加电影节的有</w:t>
      </w:r>
      <w:r>
        <w:rPr>
          <w:rFonts w:hint="eastAsia"/>
        </w:rPr>
        <w:t>230</w:t>
      </w:r>
      <w:r>
        <w:rPr>
          <w:rFonts w:hint="eastAsia"/>
        </w:rPr>
        <w:t>多位贵宾和</w:t>
      </w:r>
      <w:r>
        <w:rPr>
          <w:rFonts w:hint="eastAsia"/>
        </w:rPr>
        <w:t>200</w:t>
      </w:r>
      <w:r>
        <w:rPr>
          <w:rFonts w:hint="eastAsia"/>
        </w:rPr>
        <w:t>多位媒体的代表。</w:t>
      </w:r>
    </w:p>
    <w:p w:rsidR="00000000" w:rsidRDefault="00000000">
      <w:pPr>
        <w:rPr>
          <w:rFonts w:hint="eastAsia"/>
        </w:rPr>
      </w:pPr>
      <w:r>
        <w:rPr>
          <w:rFonts w:hint="eastAsia"/>
        </w:rPr>
        <w:tab/>
        <w:t xml:space="preserve">676.  </w:t>
      </w:r>
      <w:r>
        <w:rPr>
          <w:rFonts w:hint="eastAsia"/>
        </w:rPr>
        <w:t>“</w:t>
      </w:r>
      <w:r>
        <w:rPr>
          <w:rFonts w:hint="eastAsia"/>
        </w:rPr>
        <w:t>ARS AEVI</w:t>
      </w:r>
      <w:r>
        <w:rPr>
          <w:rFonts w:hint="eastAsia"/>
        </w:rPr>
        <w:t>”项目是欧洲和世界上当代艺术领域最有实际意义的国际项目。这一塞拉热窝项目已经有</w:t>
      </w:r>
      <w:r>
        <w:rPr>
          <w:rFonts w:hint="eastAsia"/>
        </w:rPr>
        <w:t>10</w:t>
      </w:r>
      <w:r>
        <w:rPr>
          <w:rFonts w:hint="eastAsia"/>
        </w:rPr>
        <w:t>多年的历史，已经发展成了一种国际性的大合作，参与合作的有来自欧洲和世界其他地区的艺术家和文化机构、城市和地区的行政当局、艺术家和知识分子等。这一项目的目的是要在塞拉热窝创造一个有吸引力的城市建筑群，由我们时代最出名的建筑师设计，将聚集许多著名的艺术家和现代艺术博物馆，这将成为今后塞拉热窝“</w:t>
      </w:r>
      <w:r>
        <w:rPr>
          <w:rFonts w:hint="eastAsia"/>
        </w:rPr>
        <w:t>ARS AEVI</w:t>
      </w:r>
      <w:r>
        <w:rPr>
          <w:rFonts w:hint="eastAsia"/>
        </w:rPr>
        <w:t>”博物馆藏品。</w:t>
      </w:r>
    </w:p>
    <w:p w:rsidR="00000000" w:rsidRDefault="00000000">
      <w:pPr>
        <w:rPr>
          <w:rFonts w:hint="eastAsia"/>
        </w:rPr>
      </w:pPr>
      <w:r>
        <w:rPr>
          <w:rFonts w:hint="eastAsia"/>
        </w:rPr>
        <w:tab/>
        <w:t xml:space="preserve">677.  </w:t>
      </w:r>
      <w:r>
        <w:rPr>
          <w:rFonts w:hint="eastAsia"/>
        </w:rPr>
        <w:t>到目前为止，这一藏品包括</w:t>
      </w:r>
      <w:r>
        <w:rPr>
          <w:rFonts w:hint="eastAsia"/>
        </w:rPr>
        <w:t>100</w:t>
      </w:r>
      <w:r>
        <w:rPr>
          <w:rFonts w:hint="eastAsia"/>
        </w:rPr>
        <w:t>多件艺术作品，并正在发展成为一种企业家精神，使艺术家、欧洲著名博物馆的馆长、城市的市长和推动这一理念并付诸实施的范围广泛的知识分子的热情汇聚在一起。根据这一项目开展的一些活动包括：多文化研讨会、博物馆学课程、展览会以及建筑设计介绍、教育方案、讲习班等。</w:t>
      </w:r>
    </w:p>
    <w:p w:rsidR="00000000" w:rsidRDefault="00000000">
      <w:pPr>
        <w:rPr>
          <w:rFonts w:hint="eastAsia"/>
        </w:rPr>
      </w:pPr>
      <w:r>
        <w:rPr>
          <w:rFonts w:hint="eastAsia"/>
        </w:rPr>
        <w:tab/>
        <w:t xml:space="preserve">678.  </w:t>
      </w:r>
      <w:r>
        <w:rPr>
          <w:rFonts w:hint="eastAsia"/>
        </w:rPr>
        <w:t>塞族共和国的出版活动就是过去两年塞族共和国</w:t>
      </w:r>
      <w:r>
        <w:rPr>
          <w:rFonts w:hint="eastAsia"/>
        </w:rPr>
        <w:t>ISBN</w:t>
      </w:r>
      <w:r>
        <w:rPr>
          <w:rFonts w:hint="eastAsia"/>
        </w:rPr>
        <w:t>机构所登记的出版物，截止</w:t>
      </w:r>
      <w:r>
        <w:rPr>
          <w:rFonts w:hint="eastAsia"/>
        </w:rPr>
        <w:t>2002</w:t>
      </w:r>
      <w:r>
        <w:rPr>
          <w:rFonts w:hint="eastAsia"/>
        </w:rPr>
        <w:t>年</w:t>
      </w:r>
      <w:r>
        <w:rPr>
          <w:rFonts w:hint="eastAsia"/>
        </w:rPr>
        <w:t>12</w:t>
      </w:r>
      <w:r>
        <w:rPr>
          <w:rFonts w:hint="eastAsia"/>
        </w:rPr>
        <w:t>月</w:t>
      </w:r>
      <w:r>
        <w:rPr>
          <w:rFonts w:hint="eastAsia"/>
        </w:rPr>
        <w:t>31</w:t>
      </w:r>
      <w:r>
        <w:rPr>
          <w:rFonts w:hint="eastAsia"/>
        </w:rPr>
        <w:t>日，国家和大学图书馆所登记的有</w:t>
      </w:r>
      <w:r>
        <w:rPr>
          <w:rFonts w:hint="eastAsia"/>
        </w:rPr>
        <w:t>102</w:t>
      </w:r>
      <w:r>
        <w:rPr>
          <w:rFonts w:hint="eastAsia"/>
        </w:rPr>
        <w:t>家出版商。这一阶段展示出版物最多的出版商是塞族塞拉热窝教科书和教学辅导材料研究所，共出版了</w:t>
      </w:r>
      <w:r>
        <w:rPr>
          <w:rFonts w:hint="eastAsia"/>
        </w:rPr>
        <w:t>141</w:t>
      </w:r>
      <w:r>
        <w:rPr>
          <w:rFonts w:hint="eastAsia"/>
        </w:rPr>
        <w:t>种不同题材的出版物。其次是</w:t>
      </w:r>
      <w:r>
        <w:rPr>
          <w:rFonts w:hint="eastAsia"/>
        </w:rPr>
        <w:t>(</w:t>
      </w:r>
      <w:r>
        <w:rPr>
          <w:rFonts w:hint="eastAsia"/>
        </w:rPr>
        <w:t>巴尼亚卢卡</w:t>
      </w:r>
      <w:r>
        <w:rPr>
          <w:rFonts w:hint="eastAsia"/>
        </w:rPr>
        <w:t>)</w:t>
      </w:r>
      <w:r>
        <w:t>Banja Luka-Beograd</w:t>
      </w:r>
      <w:r>
        <w:rPr>
          <w:rFonts w:hint="eastAsia"/>
        </w:rPr>
        <w:t xml:space="preserve"> </w:t>
      </w:r>
      <w:r>
        <w:rPr>
          <w:lang w:val="en-GB"/>
        </w:rPr>
        <w:t>Zadužbina</w:t>
      </w:r>
      <w:r>
        <w:t xml:space="preserve"> Petar </w:t>
      </w:r>
      <w:r>
        <w:rPr>
          <w:lang w:val="en-GB"/>
        </w:rPr>
        <w:t>Kočić</w:t>
      </w:r>
      <w:r>
        <w:t>，</w:t>
      </w:r>
      <w:r>
        <w:rPr>
          <w:rFonts w:hint="eastAsia"/>
        </w:rPr>
        <w:t>出了</w:t>
      </w:r>
      <w:r>
        <w:t>34</w:t>
      </w:r>
      <w:r>
        <w:rPr>
          <w:rFonts w:hint="eastAsia"/>
        </w:rPr>
        <w:t>种出版物，</w:t>
      </w:r>
      <w:r>
        <w:t xml:space="preserve">Grafomark, Laktasi, </w:t>
      </w:r>
      <w:r>
        <w:rPr>
          <w:rFonts w:hint="eastAsia"/>
        </w:rPr>
        <w:t>出版了</w:t>
      </w:r>
      <w:r>
        <w:rPr>
          <w:rFonts w:hint="eastAsia"/>
        </w:rPr>
        <w:t>24</w:t>
      </w:r>
      <w:r>
        <w:rPr>
          <w:rFonts w:hint="eastAsia"/>
        </w:rPr>
        <w:t>种，</w:t>
      </w:r>
      <w:r>
        <w:t>Banja Luka</w:t>
      </w:r>
      <w:r>
        <w:rPr>
          <w:rFonts w:hint="eastAsia"/>
        </w:rPr>
        <w:t xml:space="preserve"> G</w:t>
      </w:r>
      <w:r>
        <w:t xml:space="preserve">las </w:t>
      </w:r>
      <w:r>
        <w:rPr>
          <w:rFonts w:hint="eastAsia"/>
        </w:rPr>
        <w:t>塞族和</w:t>
      </w:r>
      <w:r>
        <w:t>Banja Luka Besjeda</w:t>
      </w:r>
      <w:r>
        <w:rPr>
          <w:rFonts w:hint="eastAsia"/>
        </w:rPr>
        <w:t>各出版了</w:t>
      </w:r>
      <w:r>
        <w:rPr>
          <w:rFonts w:hint="eastAsia"/>
        </w:rPr>
        <w:t>20</w:t>
      </w:r>
      <w:r>
        <w:rPr>
          <w:rFonts w:hint="eastAsia"/>
        </w:rPr>
        <w:t>种新书。在塞族共和国出版的书籍总数为</w:t>
      </w:r>
      <w:r>
        <w:rPr>
          <w:rFonts w:hint="eastAsia"/>
        </w:rPr>
        <w:t>441</w:t>
      </w:r>
      <w:r>
        <w:rPr>
          <w:rFonts w:hint="eastAsia"/>
        </w:rPr>
        <w:t>种。</w:t>
      </w:r>
    </w:p>
    <w:p w:rsidR="00000000" w:rsidRDefault="00000000">
      <w:pPr>
        <w:rPr>
          <w:rFonts w:hint="eastAsia"/>
        </w:rPr>
      </w:pPr>
      <w:r>
        <w:rPr>
          <w:rFonts w:hint="eastAsia"/>
        </w:rPr>
        <w:tab/>
        <w:t xml:space="preserve">679.  </w:t>
      </w:r>
      <w:r>
        <w:rPr>
          <w:rFonts w:hint="eastAsia"/>
        </w:rPr>
        <w:t>截至</w:t>
      </w:r>
      <w:r>
        <w:rPr>
          <w:rFonts w:hint="eastAsia"/>
        </w:rPr>
        <w:t>2003</w:t>
      </w:r>
      <w:r>
        <w:rPr>
          <w:rFonts w:hint="eastAsia"/>
        </w:rPr>
        <w:t>年</w:t>
      </w:r>
      <w:r>
        <w:rPr>
          <w:rFonts w:hint="eastAsia"/>
        </w:rPr>
        <w:t>9</w:t>
      </w:r>
      <w:r>
        <w:rPr>
          <w:rFonts w:hint="eastAsia"/>
        </w:rPr>
        <w:t>月</w:t>
      </w:r>
      <w:r>
        <w:rPr>
          <w:rFonts w:hint="eastAsia"/>
        </w:rPr>
        <w:t>30</w:t>
      </w:r>
      <w:r>
        <w:rPr>
          <w:rFonts w:hint="eastAsia"/>
        </w:rPr>
        <w:t>日，</w:t>
      </w:r>
      <w:r>
        <w:rPr>
          <w:rFonts w:hint="eastAsia"/>
        </w:rPr>
        <w:t>ISBN</w:t>
      </w:r>
      <w:r>
        <w:rPr>
          <w:rFonts w:hint="eastAsia"/>
        </w:rPr>
        <w:t>机构情况如下：</w:t>
      </w:r>
    </w:p>
    <w:p w:rsidR="00000000" w:rsidRDefault="00000000">
      <w:pPr>
        <w:ind w:left="1040"/>
        <w:rPr>
          <w:rFonts w:hint="eastAsia"/>
          <w:lang w:val="en-GB"/>
        </w:rPr>
      </w:pPr>
      <w:r>
        <w:tab/>
      </w:r>
      <w:r>
        <w:rPr>
          <w:rFonts w:hint="eastAsia"/>
        </w:rPr>
        <w:t>共有</w:t>
      </w:r>
      <w:r>
        <w:rPr>
          <w:rFonts w:hint="eastAsia"/>
        </w:rPr>
        <w:t>142</w:t>
      </w:r>
      <w:r>
        <w:rPr>
          <w:rFonts w:hint="eastAsia"/>
        </w:rPr>
        <w:t>家出版商登记。出版量最大的仍然是教科书和教学参考书研究所，</w:t>
      </w:r>
      <w:r>
        <w:rPr>
          <w:rFonts w:hint="eastAsia"/>
        </w:rPr>
        <w:t>2003</w:t>
      </w:r>
      <w:r>
        <w:rPr>
          <w:rFonts w:hint="eastAsia"/>
        </w:rPr>
        <w:t>年出版了</w:t>
      </w:r>
      <w:r>
        <w:rPr>
          <w:rFonts w:hint="eastAsia"/>
        </w:rPr>
        <w:t>174</w:t>
      </w:r>
      <w:r>
        <w:rPr>
          <w:rFonts w:hint="eastAsia"/>
        </w:rPr>
        <w:t>部；</w:t>
      </w:r>
      <w:r>
        <w:rPr>
          <w:lang w:val="en-GB"/>
        </w:rPr>
        <w:t>Besjeda</w:t>
      </w:r>
      <w:r>
        <w:rPr>
          <w:rFonts w:hint="eastAsia"/>
          <w:lang w:val="en-GB"/>
        </w:rPr>
        <w:t>出版了</w:t>
      </w:r>
      <w:r>
        <w:rPr>
          <w:rFonts w:hint="eastAsia"/>
          <w:lang w:val="en-GB"/>
        </w:rPr>
        <w:t>28</w:t>
      </w:r>
      <w:r>
        <w:rPr>
          <w:rFonts w:hint="eastAsia"/>
          <w:lang w:val="en-GB"/>
        </w:rPr>
        <w:t>部，塞族</w:t>
      </w:r>
      <w:r>
        <w:rPr>
          <w:lang w:val="en-GB"/>
        </w:rPr>
        <w:t xml:space="preserve">Glas </w:t>
      </w:r>
      <w:r>
        <w:rPr>
          <w:rFonts w:hint="eastAsia"/>
          <w:lang w:val="en-GB"/>
        </w:rPr>
        <w:t>19</w:t>
      </w:r>
      <w:r>
        <w:rPr>
          <w:rFonts w:hint="eastAsia"/>
          <w:lang w:val="en-GB"/>
        </w:rPr>
        <w:t>部。随后是巴尼亚卢卡，</w:t>
      </w:r>
      <w:r>
        <w:rPr>
          <w:rFonts w:hint="eastAsia"/>
          <w:lang w:val="en-GB"/>
        </w:rPr>
        <w:t>15</w:t>
      </w:r>
      <w:r>
        <w:rPr>
          <w:rFonts w:hint="eastAsia"/>
          <w:lang w:val="en-GB"/>
        </w:rPr>
        <w:t>部新书，</w:t>
      </w:r>
      <w:r>
        <w:rPr>
          <w:lang w:val="en-GB"/>
        </w:rPr>
        <w:t>Zadužbina Petar Kočić</w:t>
      </w:r>
      <w:r>
        <w:rPr>
          <w:rFonts w:hint="eastAsia"/>
          <w:lang w:val="en-GB"/>
        </w:rPr>
        <w:t>，</w:t>
      </w:r>
      <w:r>
        <w:rPr>
          <w:rFonts w:hint="eastAsia"/>
          <w:lang w:val="en-GB"/>
        </w:rPr>
        <w:t>11</w:t>
      </w:r>
      <w:r>
        <w:rPr>
          <w:rFonts w:hint="eastAsia"/>
          <w:lang w:val="en-GB"/>
        </w:rPr>
        <w:t>部，以及</w:t>
      </w:r>
      <w:r>
        <w:rPr>
          <w:lang w:val="en-GB"/>
        </w:rPr>
        <w:t>Grafomark,  10</w:t>
      </w:r>
      <w:r>
        <w:rPr>
          <w:rFonts w:hint="eastAsia"/>
          <w:lang w:val="en-GB"/>
        </w:rPr>
        <w:t>部。</w:t>
      </w:r>
    </w:p>
    <w:p w:rsidR="00000000" w:rsidRDefault="00000000">
      <w:pPr>
        <w:rPr>
          <w:rFonts w:hint="eastAsia"/>
          <w:lang w:val="en-GB"/>
        </w:rPr>
      </w:pPr>
      <w:r>
        <w:rPr>
          <w:rFonts w:hint="eastAsia"/>
          <w:lang w:val="en-GB"/>
        </w:rPr>
        <w:tab/>
        <w:t xml:space="preserve">680.  </w:t>
      </w:r>
      <w:r>
        <w:rPr>
          <w:rFonts w:hint="eastAsia"/>
          <w:lang w:val="en-GB"/>
        </w:rPr>
        <w:t>迄今为止，在塞族共和国已出版了</w:t>
      </w:r>
      <w:r>
        <w:rPr>
          <w:rFonts w:hint="eastAsia"/>
          <w:lang w:val="en-GB"/>
        </w:rPr>
        <w:t>463</w:t>
      </w:r>
      <w:r>
        <w:rPr>
          <w:rFonts w:hint="eastAsia"/>
          <w:lang w:val="en-GB"/>
        </w:rPr>
        <w:t>种书籍，这是一个相当大的数目，特别是考虑到在年底以前还会有</w:t>
      </w:r>
      <w:r>
        <w:rPr>
          <w:rFonts w:hint="eastAsia"/>
          <w:lang w:val="en-GB"/>
        </w:rPr>
        <w:t>20</w:t>
      </w:r>
      <w:r>
        <w:rPr>
          <w:rFonts w:hint="eastAsia"/>
          <w:lang w:val="en-GB"/>
        </w:rPr>
        <w:t>来部新书出版。但是塞族共和国的出版活动情况并不令人满意。</w:t>
      </w:r>
    </w:p>
    <w:p w:rsidR="00000000" w:rsidRDefault="00000000">
      <w:pPr>
        <w:rPr>
          <w:rFonts w:hint="eastAsia"/>
          <w:lang w:val="en-GB"/>
        </w:rPr>
      </w:pPr>
      <w:r>
        <w:rPr>
          <w:rFonts w:hint="eastAsia"/>
          <w:lang w:val="en-GB"/>
        </w:rPr>
        <w:tab/>
        <w:t xml:space="preserve">681.  </w:t>
      </w:r>
      <w:r>
        <w:rPr>
          <w:rFonts w:hint="eastAsia"/>
          <w:lang w:val="en-GB"/>
        </w:rPr>
        <w:t>塞族共和国教科书和教学辅导材料研究所可以算是最好的机构，它的法律地位、作用和任务都有适当规定，并十分恰当的解决了其出版活动的资金问题。参与这一活动的国有公司包括：巴尼亚卢卡的</w:t>
      </w:r>
      <w:r>
        <w:rPr>
          <w:lang w:val="en-GB"/>
        </w:rPr>
        <w:t>Glas</w:t>
      </w:r>
      <w:r>
        <w:rPr>
          <w:rFonts w:hint="eastAsia"/>
          <w:lang w:val="en-GB"/>
        </w:rPr>
        <w:t>塞族和</w:t>
      </w:r>
      <w:r>
        <w:rPr>
          <w:lang w:val="en-GB"/>
        </w:rPr>
        <w:t xml:space="preserve">Knjizevna zadruga, </w:t>
      </w:r>
      <w:r>
        <w:rPr>
          <w:rFonts w:hint="eastAsia"/>
          <w:lang w:val="en-GB"/>
        </w:rPr>
        <w:t>和塞拉热窝塞族</w:t>
      </w:r>
      <w:r>
        <w:rPr>
          <w:lang w:val="en-GB"/>
        </w:rPr>
        <w:t>Oslobodenje</w:t>
      </w:r>
      <w:r>
        <w:rPr>
          <w:rFonts w:hint="eastAsia"/>
          <w:lang w:val="en-GB"/>
        </w:rPr>
        <w:t>。只有</w:t>
      </w:r>
      <w:r>
        <w:rPr>
          <w:lang w:val="en-GB"/>
        </w:rPr>
        <w:t>Knjizevna zadruga</w:t>
      </w:r>
      <w:r>
        <w:rPr>
          <w:rFonts w:hint="eastAsia"/>
          <w:lang w:val="en-GB"/>
        </w:rPr>
        <w:t>出版社的资金有预算拨款，而其他的出版社，只是偶然的或者某些特定的书籍得到一些经费。从事出版业的还有以下一些单位：</w:t>
      </w:r>
      <w:r>
        <w:rPr>
          <w:lang w:val="en-GB"/>
        </w:rPr>
        <w:t>Besjeda, Zadužbina Petar Kočić</w:t>
      </w:r>
      <w:r>
        <w:rPr>
          <w:lang w:val="en-GB"/>
        </w:rPr>
        <w:t>，</w:t>
      </w:r>
      <w:r>
        <w:rPr>
          <w:lang w:val="en-GB"/>
        </w:rPr>
        <w:t>Književna zajednica Vaso Pelagić</w:t>
      </w:r>
      <w:r>
        <w:rPr>
          <w:lang w:val="en-GB"/>
        </w:rPr>
        <w:t>，</w:t>
      </w:r>
      <w:r>
        <w:rPr>
          <w:lang w:val="en-GB"/>
        </w:rPr>
        <w:t xml:space="preserve">Art-print, Gradif, </w:t>
      </w:r>
      <w:r>
        <w:rPr>
          <w:rFonts w:hint="eastAsia"/>
          <w:lang w:val="en-GB"/>
        </w:rPr>
        <w:t>塞族共和国国家大学图书馆营养不良者协会，塞族作家协会</w:t>
      </w:r>
      <w:r>
        <w:rPr>
          <w:rFonts w:hint="eastAsia"/>
          <w:spacing w:val="-40"/>
          <w:lang w:val="en-GB"/>
        </w:rPr>
        <w:t>――</w:t>
      </w:r>
      <w:r>
        <w:rPr>
          <w:rFonts w:hint="eastAsia"/>
          <w:spacing w:val="-40"/>
          <w:lang w:val="en-GB"/>
        </w:rPr>
        <w:t xml:space="preserve"> </w:t>
      </w:r>
      <w:r>
        <w:rPr>
          <w:rFonts w:hint="eastAsia"/>
          <w:spacing w:val="-52"/>
          <w:lang w:val="en-GB"/>
        </w:rPr>
        <w:t xml:space="preserve"> </w:t>
      </w:r>
      <w:r>
        <w:rPr>
          <w:rFonts w:hint="eastAsia"/>
          <w:lang w:val="en-GB"/>
        </w:rPr>
        <w:t>巴尼亚卢卡分会，</w:t>
      </w:r>
      <w:r>
        <w:rPr>
          <w:rFonts w:hint="eastAsia"/>
          <w:lang w:val="en-GB"/>
        </w:rPr>
        <w:t>M</w:t>
      </w:r>
      <w:r>
        <w:rPr>
          <w:lang w:val="en-GB"/>
        </w:rPr>
        <w:t xml:space="preserve">edia-Prelom, </w:t>
      </w:r>
      <w:r>
        <w:rPr>
          <w:rFonts w:hint="eastAsia"/>
          <w:lang w:val="en-GB"/>
        </w:rPr>
        <w:t>巴尼亚卢卡市“巴斯蒂纳”图书馆</w:t>
      </w:r>
      <w:r>
        <w:rPr>
          <w:lang w:val="en-GB"/>
        </w:rPr>
        <w:t xml:space="preserve">Slovo, Bina </w:t>
      </w:r>
      <w:r>
        <w:rPr>
          <w:rFonts w:hint="eastAsia"/>
          <w:lang w:val="en-GB"/>
        </w:rPr>
        <w:t>以及巴尼亚卢卡的一些比较小的其他一些出版社，然后是</w:t>
      </w:r>
      <w:r>
        <w:rPr>
          <w:lang w:val="en-GB"/>
        </w:rPr>
        <w:t>Laktaši</w:t>
      </w:r>
      <w:r>
        <w:rPr>
          <w:rFonts w:hint="eastAsia"/>
          <w:lang w:val="en-GB"/>
        </w:rPr>
        <w:t>的</w:t>
      </w:r>
      <w:r>
        <w:rPr>
          <w:lang w:val="en-GB"/>
        </w:rPr>
        <w:t>Grafomark, Trebinje</w:t>
      </w:r>
      <w:r>
        <w:rPr>
          <w:rFonts w:hint="eastAsia"/>
          <w:lang w:val="en-GB"/>
        </w:rPr>
        <w:t>的</w:t>
      </w:r>
      <w:r>
        <w:rPr>
          <w:lang w:val="en-GB"/>
        </w:rPr>
        <w:t>Književna</w:t>
      </w:r>
      <w:r>
        <w:rPr>
          <w:rFonts w:hint="eastAsia"/>
          <w:lang w:val="en-GB"/>
        </w:rPr>
        <w:t xml:space="preserve"> </w:t>
      </w:r>
      <w:r>
        <w:rPr>
          <w:lang w:val="en-GB"/>
        </w:rPr>
        <w:t>zajednica Jovan Dučić</w:t>
      </w:r>
      <w:r>
        <w:rPr>
          <w:rFonts w:hint="eastAsia"/>
          <w:lang w:val="en-GB"/>
        </w:rPr>
        <w:t>，塞族塞拉热窝塞族作家协会分会，</w:t>
      </w:r>
      <w:r>
        <w:rPr>
          <w:lang w:val="en-GB"/>
        </w:rPr>
        <w:t>Prosvjeta</w:t>
      </w:r>
      <w:r>
        <w:rPr>
          <w:rFonts w:hint="eastAsia"/>
          <w:lang w:val="en-GB"/>
        </w:rPr>
        <w:t>塞尔维亚文化和艺术学会</w:t>
      </w:r>
      <w:r>
        <w:rPr>
          <w:rFonts w:hint="eastAsia"/>
          <w:lang w:val="en-GB"/>
        </w:rPr>
        <w:t>(</w:t>
      </w:r>
      <w:r>
        <w:rPr>
          <w:rFonts w:hint="eastAsia"/>
          <w:lang w:val="en-GB"/>
        </w:rPr>
        <w:t>总部及涉及委员会设在</w:t>
      </w:r>
      <w:r>
        <w:rPr>
          <w:lang w:val="en-GB"/>
        </w:rPr>
        <w:t>Teslić</w:t>
      </w:r>
      <w:r>
        <w:rPr>
          <w:rFonts w:hint="eastAsia"/>
          <w:lang w:val="en-GB"/>
        </w:rPr>
        <w:t>、</w:t>
      </w:r>
      <w:r>
        <w:rPr>
          <w:lang w:val="en-GB"/>
        </w:rPr>
        <w:t>Bijeljina</w:t>
      </w:r>
      <w:r>
        <w:rPr>
          <w:rFonts w:hint="eastAsia"/>
          <w:lang w:val="en-GB"/>
        </w:rPr>
        <w:t>、</w:t>
      </w:r>
      <w:r>
        <w:rPr>
          <w:lang w:val="en-GB"/>
        </w:rPr>
        <w:t>Gradiška</w:t>
      </w:r>
      <w:r>
        <w:rPr>
          <w:rFonts w:hint="eastAsia"/>
          <w:lang w:val="en-GB"/>
        </w:rPr>
        <w:t>、</w:t>
      </w:r>
      <w:r>
        <w:rPr>
          <w:lang w:val="en-GB"/>
        </w:rPr>
        <w:t>Bileća</w:t>
      </w:r>
      <w:r>
        <w:rPr>
          <w:rFonts w:hint="eastAsia"/>
          <w:lang w:val="en-GB"/>
        </w:rPr>
        <w:t>、</w:t>
      </w:r>
      <w:r>
        <w:rPr>
          <w:lang w:val="en-GB"/>
        </w:rPr>
        <w:t>Gacko</w:t>
      </w:r>
      <w:r>
        <w:rPr>
          <w:rFonts w:hint="eastAsia"/>
          <w:lang w:val="en-GB"/>
        </w:rPr>
        <w:t>、</w:t>
      </w:r>
      <w:r>
        <w:rPr>
          <w:lang w:val="en-GB"/>
        </w:rPr>
        <w:t>Kotor Varoš</w:t>
      </w:r>
      <w:r>
        <w:rPr>
          <w:rFonts w:hint="eastAsia"/>
          <w:lang w:val="en-GB"/>
        </w:rPr>
        <w:t>和其他地方</w:t>
      </w:r>
      <w:r>
        <w:rPr>
          <w:rFonts w:hint="eastAsia"/>
          <w:lang w:val="en-GB"/>
        </w:rPr>
        <w:t>)</w:t>
      </w:r>
      <w:r>
        <w:rPr>
          <w:rFonts w:hint="eastAsia"/>
          <w:lang w:val="en-GB"/>
        </w:rPr>
        <w:t>，以及在塞族塞拉热窝和巴尼亚卢卡的大学及其各个系。这还不是出版社的全部名单，但是那些能全部满足所有必要的要求和只是出版艺术、科学和社会价值著作的出版社的名单要短得多。</w:t>
      </w:r>
    </w:p>
    <w:p w:rsidR="00000000" w:rsidRDefault="00000000">
      <w:pPr>
        <w:rPr>
          <w:rFonts w:hint="eastAsia"/>
          <w:lang w:val="en-GB"/>
        </w:rPr>
      </w:pPr>
      <w:r>
        <w:rPr>
          <w:rFonts w:hint="eastAsia"/>
          <w:lang w:val="en-GB"/>
        </w:rPr>
        <w:tab/>
        <w:t xml:space="preserve">682.  </w:t>
      </w:r>
      <w:r>
        <w:rPr>
          <w:rFonts w:hint="eastAsia"/>
          <w:lang w:val="en-GB"/>
        </w:rPr>
        <w:t>直到</w:t>
      </w:r>
      <w:r>
        <w:rPr>
          <w:rFonts w:hint="eastAsia"/>
          <w:lang w:val="en-GB"/>
        </w:rPr>
        <w:t>1991</w:t>
      </w:r>
      <w:r>
        <w:rPr>
          <w:rFonts w:hint="eastAsia"/>
          <w:lang w:val="en-GB"/>
        </w:rPr>
        <w:t>年以前，许多文学杂志是在波斯尼亚和黑塞哥维那社会主义共和国发行的，其中最有影响力的是：塞拉热窝的</w:t>
      </w:r>
      <w:r>
        <w:rPr>
          <w:lang w:val="en-GB"/>
        </w:rPr>
        <w:t>Život</w:t>
      </w:r>
      <w:r>
        <w:rPr>
          <w:rFonts w:hint="eastAsia"/>
          <w:lang w:val="en-GB"/>
        </w:rPr>
        <w:t>、</w:t>
      </w:r>
      <w:r>
        <w:rPr>
          <w:lang w:val="en-GB"/>
        </w:rPr>
        <w:t>Izraz</w:t>
      </w:r>
      <w:r>
        <w:rPr>
          <w:rFonts w:hint="eastAsia"/>
          <w:lang w:val="en-GB"/>
        </w:rPr>
        <w:t>、</w:t>
      </w:r>
      <w:r>
        <w:rPr>
          <w:lang w:val="en-GB"/>
        </w:rPr>
        <w:t xml:space="preserve">Lica </w:t>
      </w:r>
      <w:r>
        <w:rPr>
          <w:rFonts w:hint="eastAsia"/>
          <w:lang w:val="en-GB"/>
        </w:rPr>
        <w:t>和</w:t>
      </w:r>
      <w:r>
        <w:rPr>
          <w:lang w:val="en-GB"/>
        </w:rPr>
        <w:t xml:space="preserve"> Dalje, </w:t>
      </w:r>
      <w:r>
        <w:rPr>
          <w:rFonts w:hint="eastAsia"/>
          <w:lang w:val="en-GB"/>
        </w:rPr>
        <w:t>巴尼亚卢卡的</w:t>
      </w:r>
      <w:r>
        <w:rPr>
          <w:lang w:val="en-GB"/>
        </w:rPr>
        <w:t>Putev</w:t>
      </w:r>
      <w:r>
        <w:t>i</w:t>
      </w:r>
      <w:r>
        <w:rPr>
          <w:rFonts w:hint="eastAsia"/>
        </w:rPr>
        <w:t>和</w:t>
      </w:r>
      <w:r>
        <w:rPr>
          <w:lang w:val="en-GB"/>
        </w:rPr>
        <w:t>Mostar</w:t>
      </w:r>
      <w:r>
        <w:rPr>
          <w:rFonts w:hint="eastAsia"/>
          <w:lang w:val="en-GB"/>
        </w:rPr>
        <w:t>的</w:t>
      </w:r>
      <w:r>
        <w:rPr>
          <w:lang w:val="en-GB"/>
        </w:rPr>
        <w:t>Most</w:t>
      </w:r>
      <w:r>
        <w:rPr>
          <w:rFonts w:hint="eastAsia"/>
          <w:lang w:val="en-GB"/>
        </w:rPr>
        <w:t>。今天，在塞族共和国还有巴尼亚卢卡的塞族</w:t>
      </w:r>
      <w:r>
        <w:rPr>
          <w:lang w:val="en-GB"/>
        </w:rPr>
        <w:t>Vila</w:t>
      </w:r>
      <w:r>
        <w:rPr>
          <w:rFonts w:hint="eastAsia"/>
          <w:lang w:val="en-GB"/>
        </w:rPr>
        <w:t>由</w:t>
      </w:r>
      <w:r>
        <w:rPr>
          <w:rFonts w:hint="eastAsia"/>
          <w:lang w:val="en-GB"/>
        </w:rPr>
        <w:t>(</w:t>
      </w:r>
      <w:r>
        <w:rPr>
          <w:lang w:val="en-GB"/>
        </w:rPr>
        <w:t>Prosvjeta</w:t>
      </w:r>
      <w:r>
        <w:rPr>
          <w:rFonts w:hint="eastAsia"/>
          <w:lang w:val="en-GB"/>
        </w:rPr>
        <w:t>出版</w:t>
      </w:r>
      <w:r>
        <w:rPr>
          <w:rFonts w:hint="eastAsia"/>
          <w:lang w:val="en-GB"/>
        </w:rPr>
        <w:t>)</w:t>
      </w:r>
      <w:r>
        <w:rPr>
          <w:rFonts w:hint="eastAsia"/>
          <w:lang w:val="en-GB"/>
        </w:rPr>
        <w:t>、</w:t>
      </w:r>
      <w:r>
        <w:rPr>
          <w:lang w:val="en-GB"/>
        </w:rPr>
        <w:t>Doboj</w:t>
      </w:r>
      <w:r>
        <w:rPr>
          <w:rFonts w:hint="eastAsia"/>
          <w:lang w:val="en-GB"/>
        </w:rPr>
        <w:t>的</w:t>
      </w:r>
      <w:r>
        <w:rPr>
          <w:lang w:val="en-GB"/>
        </w:rPr>
        <w:t>Znacenja</w:t>
      </w:r>
      <w:r>
        <w:rPr>
          <w:rFonts w:hint="eastAsia"/>
          <w:lang w:val="en-GB"/>
        </w:rPr>
        <w:t xml:space="preserve"> (</w:t>
      </w:r>
      <w:r>
        <w:rPr>
          <w:rFonts w:hint="eastAsia"/>
          <w:lang w:val="en-GB"/>
        </w:rPr>
        <w:t>由</w:t>
      </w:r>
      <w:r>
        <w:rPr>
          <w:lang w:val="en-GB"/>
        </w:rPr>
        <w:t>Maticna biblioteka</w:t>
      </w:r>
      <w:r>
        <w:rPr>
          <w:rFonts w:hint="eastAsia"/>
          <w:lang w:val="en-GB"/>
        </w:rPr>
        <w:t>出版</w:t>
      </w:r>
      <w:r>
        <w:rPr>
          <w:lang w:val="en-GB"/>
        </w:rPr>
        <w:t>)</w:t>
      </w:r>
      <w:r>
        <w:rPr>
          <w:rFonts w:hint="eastAsia"/>
          <w:lang w:val="en-GB"/>
        </w:rPr>
        <w:t>和</w:t>
      </w:r>
      <w:r>
        <w:rPr>
          <w:lang w:val="en-GB"/>
        </w:rPr>
        <w:t>Teslic</w:t>
      </w:r>
      <w:r>
        <w:rPr>
          <w:rFonts w:hint="eastAsia"/>
          <w:lang w:val="en-GB"/>
        </w:rPr>
        <w:t>的</w:t>
      </w:r>
      <w:r>
        <w:rPr>
          <w:lang w:val="en-GB"/>
        </w:rPr>
        <w:t>Duhovnost</w:t>
      </w:r>
      <w:r>
        <w:rPr>
          <w:rFonts w:hint="eastAsia"/>
          <w:lang w:val="en-GB"/>
        </w:rPr>
        <w:t>塞族</w:t>
      </w:r>
      <w:r>
        <w:rPr>
          <w:rFonts w:hint="eastAsia"/>
          <w:lang w:val="en-GB"/>
        </w:rPr>
        <w:t>(</w:t>
      </w:r>
      <w:r>
        <w:rPr>
          <w:rFonts w:hint="eastAsia"/>
          <w:lang w:val="en-GB"/>
        </w:rPr>
        <w:t>由</w:t>
      </w:r>
      <w:r>
        <w:rPr>
          <w:lang w:val="en-GB"/>
        </w:rPr>
        <w:t>Prosvjeta</w:t>
      </w:r>
      <w:r>
        <w:rPr>
          <w:rFonts w:hint="eastAsia"/>
          <w:lang w:val="en-GB"/>
        </w:rPr>
        <w:t>出版</w:t>
      </w:r>
      <w:r>
        <w:rPr>
          <w:rFonts w:hint="eastAsia"/>
          <w:lang w:val="en-GB"/>
        </w:rPr>
        <w:t>)</w:t>
      </w:r>
      <w:r>
        <w:rPr>
          <w:rFonts w:hint="eastAsia"/>
          <w:lang w:val="en-GB"/>
        </w:rPr>
        <w:t>几本杂志不定期出版，而且都负债累累，给专栏作家和编辑都付不出稿费。同时，在巴尼亚卢卡新出了一本文学杂志，名称是</w:t>
      </w:r>
      <w:r>
        <w:rPr>
          <w:lang w:val="en-GB"/>
        </w:rPr>
        <w:t>Krajina</w:t>
      </w:r>
      <w:r>
        <w:rPr>
          <w:rFonts w:hint="eastAsia"/>
          <w:lang w:val="en-GB"/>
        </w:rPr>
        <w:t>(</w:t>
      </w:r>
      <w:r>
        <w:rPr>
          <w:rFonts w:hint="eastAsia"/>
          <w:lang w:val="en-GB"/>
        </w:rPr>
        <w:t>由私人公司艺术</w:t>
      </w:r>
      <w:r>
        <w:rPr>
          <w:rFonts w:hint="eastAsia"/>
          <w:spacing w:val="-50"/>
          <w:lang w:val="en-GB"/>
        </w:rPr>
        <w:t>―</w:t>
      </w:r>
      <w:r>
        <w:rPr>
          <w:rFonts w:hint="eastAsia"/>
          <w:lang w:val="en-GB"/>
        </w:rPr>
        <w:t>―印刷出版社出版，由于这一成就它应当受到称赞</w:t>
      </w:r>
      <w:r>
        <w:rPr>
          <w:rFonts w:hint="eastAsia"/>
          <w:lang w:val="en-GB"/>
        </w:rPr>
        <w:t>)</w:t>
      </w:r>
      <w:r>
        <w:rPr>
          <w:rFonts w:hint="eastAsia"/>
          <w:lang w:val="en-GB"/>
        </w:rPr>
        <w:t>，每年定期出版四期。</w:t>
      </w:r>
      <w:r>
        <w:rPr>
          <w:lang w:val="en-GB"/>
        </w:rPr>
        <w:t>Putevi</w:t>
      </w:r>
      <w:r>
        <w:rPr>
          <w:rFonts w:hint="eastAsia"/>
          <w:lang w:val="en-GB"/>
        </w:rPr>
        <w:t>是资格最老并且最有影响的杂志，很快就是其成立五十周年纪念日，但是由于国家没有能够向其提供资金并且出版商没有兴趣再投资，不幸已经关闭。</w:t>
      </w:r>
    </w:p>
    <w:p w:rsidR="00000000" w:rsidRDefault="00000000">
      <w:pPr>
        <w:rPr>
          <w:rFonts w:hint="eastAsia"/>
          <w:lang w:val="en-GB"/>
        </w:rPr>
      </w:pPr>
      <w:r>
        <w:rPr>
          <w:rFonts w:hint="eastAsia"/>
          <w:lang w:val="en-GB"/>
        </w:rPr>
        <w:tab/>
        <w:t xml:space="preserve">683.  </w:t>
      </w:r>
      <w:r>
        <w:rPr>
          <w:rFonts w:hint="eastAsia"/>
          <w:lang w:val="en-GB"/>
        </w:rPr>
        <w:t>由于供资方式不当，使出版活动不能令人满意的状况变得更加糟糕。用于这一目的的拨款数量之少连“象征性”的都谈不上，加上没有资金分配的明确标准，使这些资金变得更加毫无意义。教育部在竞争的基础上提供少量的资金，每年用来资助</w:t>
      </w:r>
      <w:r>
        <w:rPr>
          <w:rFonts w:hint="eastAsia"/>
          <w:lang w:val="en-GB"/>
        </w:rPr>
        <w:t>15</w:t>
      </w:r>
      <w:r>
        <w:rPr>
          <w:rFonts w:hint="eastAsia"/>
          <w:lang w:val="en-GB"/>
        </w:rPr>
        <w:t>本书和三本杂志</w:t>
      </w:r>
      <w:r>
        <w:rPr>
          <w:rFonts w:hint="eastAsia"/>
          <w:lang w:val="en-GB"/>
        </w:rPr>
        <w:t>(</w:t>
      </w:r>
      <w:r>
        <w:rPr>
          <w:rFonts w:hint="eastAsia"/>
          <w:lang w:val="en-GB"/>
        </w:rPr>
        <w:t>诗集、小说和论文每一本</w:t>
      </w:r>
      <w:r>
        <w:rPr>
          <w:rFonts w:hint="eastAsia"/>
          <w:lang w:val="en-GB"/>
        </w:rPr>
        <w:t>2,000</w:t>
      </w:r>
      <w:r>
        <w:rPr>
          <w:rFonts w:hint="eastAsia"/>
          <w:lang w:val="en-GB"/>
        </w:rPr>
        <w:t>可兑换马克，年轻作者的第一本书</w:t>
      </w:r>
      <w:r>
        <w:rPr>
          <w:rFonts w:hint="eastAsia"/>
          <w:lang w:val="en-GB"/>
        </w:rPr>
        <w:t>1,500</w:t>
      </w:r>
      <w:r>
        <w:rPr>
          <w:rFonts w:hint="eastAsia"/>
          <w:lang w:val="en-GB"/>
        </w:rPr>
        <w:t>可兑换马克，三本杂志共</w:t>
      </w:r>
      <w:r>
        <w:rPr>
          <w:rFonts w:hint="eastAsia"/>
          <w:lang w:val="en-GB"/>
        </w:rPr>
        <w:t>3,000</w:t>
      </w:r>
      <w:r>
        <w:rPr>
          <w:rFonts w:hint="eastAsia"/>
          <w:lang w:val="en-GB"/>
        </w:rPr>
        <w:t>可兑换马克</w:t>
      </w:r>
      <w:r>
        <w:rPr>
          <w:rFonts w:hint="eastAsia"/>
          <w:lang w:val="en-GB"/>
        </w:rPr>
        <w:t>)</w:t>
      </w:r>
      <w:r>
        <w:rPr>
          <w:rFonts w:hint="eastAsia"/>
          <w:lang w:val="en-GB"/>
        </w:rPr>
        <w:t>，这点钱远远不够，只有能够支付书籍或一期杂志的印刷费，但付不出作者的稿费。此外，一些出版商偶然能收到一些资金用于特定书籍和</w:t>
      </w:r>
      <w:r>
        <w:rPr>
          <w:rFonts w:hint="eastAsia"/>
          <w:lang w:val="en-GB"/>
        </w:rPr>
        <w:t>(</w:t>
      </w:r>
      <w:r>
        <w:rPr>
          <w:rFonts w:hint="eastAsia"/>
          <w:lang w:val="en-GB"/>
        </w:rPr>
        <w:t>或</w:t>
      </w:r>
      <w:r>
        <w:rPr>
          <w:rFonts w:hint="eastAsia"/>
          <w:lang w:val="en-GB"/>
        </w:rPr>
        <w:t>)</w:t>
      </w:r>
      <w:r>
        <w:rPr>
          <w:rFonts w:hint="eastAsia"/>
          <w:lang w:val="en-GB"/>
        </w:rPr>
        <w:t>出版项目，与此同时，由于缺乏支付安排，对塞族作者用塞尔维亚文出版的作品就不可能支付稿费。</w:t>
      </w:r>
    </w:p>
    <w:p w:rsidR="00000000" w:rsidRDefault="00000000">
      <w:pPr>
        <w:rPr>
          <w:rFonts w:hint="eastAsia"/>
          <w:lang w:val="en-GB"/>
        </w:rPr>
      </w:pPr>
      <w:r>
        <w:rPr>
          <w:rFonts w:hint="eastAsia"/>
          <w:lang w:val="en-GB"/>
        </w:rPr>
        <w:tab/>
        <w:t xml:space="preserve">684.  </w:t>
      </w:r>
      <w:r>
        <w:rPr>
          <w:rFonts w:hint="eastAsia"/>
          <w:lang w:val="en-GB"/>
        </w:rPr>
        <w:t>当前，最重要的事情就是国家要确认并且界定在出版工作中的国家利益，并要采取一定的立场，这首先意味着要在制度上解决出版活动的资金问题。在这么做的时候，必须牢记出版我们古典和现代有价值的文学作品往往在经济上是得不偿失，如果在这一领域没有深思熟虑的有针对性的财政资金，这么做是不可想象的，就象博物馆、画廊、剧院和类似的文化机构，如果没有国家的帮助是无法生存的。</w:t>
      </w:r>
    </w:p>
    <w:p w:rsidR="00000000" w:rsidRDefault="00000000">
      <w:pPr>
        <w:rPr>
          <w:rFonts w:hint="eastAsia"/>
          <w:lang w:val="en-GB"/>
        </w:rPr>
      </w:pPr>
      <w:r>
        <w:rPr>
          <w:rFonts w:hint="eastAsia"/>
          <w:lang w:val="en-GB"/>
        </w:rPr>
        <w:tab/>
        <w:t xml:space="preserve">685.  </w:t>
      </w:r>
      <w:r>
        <w:rPr>
          <w:rFonts w:hint="eastAsia"/>
          <w:lang w:val="en-GB"/>
        </w:rPr>
        <w:t>报纸、电台</w:t>
      </w:r>
      <w:r>
        <w:rPr>
          <w:rFonts w:hint="eastAsia"/>
          <w:spacing w:val="-50"/>
          <w:lang w:val="en-GB"/>
        </w:rPr>
        <w:t>―</w:t>
      </w:r>
      <w:r>
        <w:rPr>
          <w:rFonts w:hint="eastAsia"/>
          <w:lang w:val="en-GB"/>
        </w:rPr>
        <w:t>―电视服务是迄今为止没采取任何行动的领域，尽管社会为其发展和生存拨出了大量资金。虽然如此，新闻媒体的报导在宣扬我们的文化方面发挥了重大作用，其中首先是作为电视和电台媒体的</w:t>
      </w:r>
      <w:r>
        <w:rPr>
          <w:lang w:val="en-GB"/>
        </w:rPr>
        <w:t>Oslobodenje</w:t>
      </w:r>
      <w:r>
        <w:rPr>
          <w:rFonts w:hint="eastAsia"/>
          <w:lang w:val="en-GB"/>
        </w:rPr>
        <w:t>的塞族</w:t>
      </w:r>
      <w:r>
        <w:rPr>
          <w:lang w:val="en-GB"/>
        </w:rPr>
        <w:t>Glas</w:t>
      </w:r>
      <w:r>
        <w:rPr>
          <w:rFonts w:hint="eastAsia"/>
          <w:lang w:val="en-GB"/>
        </w:rPr>
        <w:t>和塞族共和国的</w:t>
      </w:r>
      <w:r>
        <w:rPr>
          <w:rFonts w:hint="eastAsia"/>
          <w:lang w:val="en-GB"/>
        </w:rPr>
        <w:t>RT</w:t>
      </w:r>
      <w:r>
        <w:rPr>
          <w:rFonts w:hint="eastAsia"/>
          <w:lang w:val="en-GB"/>
        </w:rPr>
        <w:t>。它们的稳步发展是符合塞族共和国的利益的。</w:t>
      </w:r>
    </w:p>
    <w:p w:rsidR="00000000" w:rsidRDefault="00000000">
      <w:pPr>
        <w:rPr>
          <w:rFonts w:hint="eastAsia"/>
          <w:lang w:val="en-GB"/>
        </w:rPr>
      </w:pPr>
      <w:r>
        <w:rPr>
          <w:rFonts w:hint="eastAsia"/>
          <w:lang w:val="en-GB"/>
        </w:rPr>
        <w:tab/>
        <w:t xml:space="preserve">686.  </w:t>
      </w:r>
      <w:r>
        <w:rPr>
          <w:rFonts w:hint="eastAsia"/>
          <w:lang w:val="en-GB"/>
        </w:rPr>
        <w:t>电视台在制作业务上很强，与巴尼亚卢卡的艺术研究院一起正在设法创办塞族共和国交响乐团，以及与其陪伴的塞族共和国国家管弦乐团和塞族共和国合唱团。</w:t>
      </w:r>
    </w:p>
    <w:p w:rsidR="00000000" w:rsidRDefault="00000000">
      <w:pPr>
        <w:rPr>
          <w:rFonts w:hint="eastAsia"/>
          <w:lang w:val="en-GB"/>
        </w:rPr>
      </w:pPr>
      <w:r>
        <w:rPr>
          <w:rFonts w:hint="eastAsia"/>
          <w:lang w:val="en-GB"/>
        </w:rPr>
        <w:tab/>
        <w:t xml:space="preserve">687.  </w:t>
      </w:r>
      <w:r>
        <w:rPr>
          <w:rFonts w:hint="eastAsia"/>
          <w:lang w:val="en-GB"/>
        </w:rPr>
        <w:t>虽然塞族共和国电视台首先是一个新闻媒体，在保持和培育其自身的音乐地位方面，它的制作作用特别重要。另一个同样重要的方面是为所有音乐流派的当代国内作曲家制作新的录音档案，这已经根据最高的欧洲标准进行了。为了实现这一构想，必须找到方法维持专业乐团的音乐制作，这些乐团包括：塞族共和国电视台儿童合唱团、塞族共和国电视台混合合唱团和塞族共和国电视台某种形式的交响乐团。</w:t>
      </w:r>
    </w:p>
    <w:p w:rsidR="00000000" w:rsidRDefault="00000000">
      <w:pPr>
        <w:rPr>
          <w:rFonts w:hint="eastAsia"/>
          <w:lang w:val="en-GB"/>
        </w:rPr>
      </w:pPr>
      <w:r>
        <w:rPr>
          <w:rFonts w:hint="eastAsia"/>
          <w:lang w:val="en-GB"/>
        </w:rPr>
        <w:tab/>
        <w:t xml:space="preserve">688.  </w:t>
      </w:r>
      <w:r>
        <w:rPr>
          <w:rFonts w:hint="eastAsia"/>
          <w:lang w:val="en-GB"/>
        </w:rPr>
        <w:t>这类专业团体的节目活动将大大丰富电台</w:t>
      </w:r>
      <w:r>
        <w:rPr>
          <w:rFonts w:hint="eastAsia"/>
          <w:spacing w:val="-50"/>
          <w:lang w:val="en-GB"/>
        </w:rPr>
        <w:t>―</w:t>
      </w:r>
      <w:r>
        <w:rPr>
          <w:rFonts w:hint="eastAsia"/>
          <w:lang w:val="en-GB"/>
        </w:rPr>
        <w:t>―电视制作的音乐会，使其置身于那些文化机构之中，可以平等的与所有同类的其他国际和欧洲的乐团交换录音。</w:t>
      </w:r>
    </w:p>
    <w:p w:rsidR="00000000" w:rsidRDefault="00000000">
      <w:pPr>
        <w:rPr>
          <w:rFonts w:hint="eastAsia"/>
          <w:lang w:val="en-GB"/>
        </w:rPr>
      </w:pPr>
    </w:p>
    <w:p w:rsidR="00000000" w:rsidRDefault="00000000">
      <w:pPr>
        <w:rPr>
          <w:rFonts w:hint="eastAsia"/>
          <w:lang w:val="en-GB"/>
        </w:rPr>
      </w:pPr>
    </w:p>
    <w:p w:rsidR="00000000" w:rsidRDefault="00000000">
      <w:pPr>
        <w:rPr>
          <w:rFonts w:hint="eastAsia"/>
          <w:lang w:val="en-GB"/>
        </w:rPr>
      </w:pPr>
    </w:p>
    <w:p w:rsidR="00000000" w:rsidRDefault="00000000">
      <w:pPr>
        <w:jc w:val="center"/>
      </w:pPr>
      <w:r>
        <w:t>--  --  --  --  --</w:t>
      </w:r>
    </w:p>
    <w:sectPr w:rsidR="00000000">
      <w:headerReference w:type="even" r:id="rId9"/>
      <w:headerReference w:type="default" r:id="rId10"/>
      <w:headerReference w:type="first" r:id="rId11"/>
      <w:footerReference w:type="first" r:id="rId12"/>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left"/>
    </w:pPr>
  </w:p>
  <w:tbl>
    <w:tblPr>
      <w:tblW w:w="9571" w:type="dxa"/>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05-</w:t>
          </w:r>
          <w:r>
            <w:rPr>
              <w:rFonts w:hint="eastAsia"/>
            </w:rPr>
            <w:t>40305</w:t>
          </w:r>
          <w:r>
            <w:t xml:space="preserve"> (C)</w:t>
          </w:r>
        </w:p>
      </w:tc>
      <w:tc>
        <w:tcPr>
          <w:tcW w:w="1050" w:type="dxa"/>
        </w:tcPr>
        <w:p w:rsidR="00000000" w:rsidRDefault="00000000">
          <w:pPr>
            <w:pStyle w:val="Footer"/>
            <w:rPr>
              <w:rFonts w:hint="eastAsia"/>
            </w:rPr>
          </w:pPr>
          <w:r>
            <w:rPr>
              <w:rFonts w:hint="eastAsia"/>
            </w:rPr>
            <w:t>040805</w:t>
          </w:r>
        </w:p>
      </w:tc>
      <w:tc>
        <w:tcPr>
          <w:tcW w:w="6061" w:type="dxa"/>
        </w:tcPr>
        <w:p w:rsidR="00000000" w:rsidRDefault="00000000">
          <w:pPr>
            <w:pStyle w:val="Footer"/>
          </w:pPr>
          <w:r>
            <w:t>021105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b/>
          <w:bCs/>
        </w:rPr>
      </w:pPr>
      <w:r>
        <w:rPr>
          <w:rStyle w:val="FootnoteReference"/>
          <w:b w:val="0"/>
          <w:bCs/>
          <w:vertAlign w:val="baseline"/>
        </w:rPr>
        <w:t>*</w:t>
      </w:r>
      <w:r>
        <w:rPr>
          <w:b/>
          <w:bCs/>
        </w:rPr>
        <w:t xml:space="preserve"> </w:t>
      </w:r>
      <w:r>
        <w:rPr>
          <w:rFonts w:hint="eastAsia"/>
          <w:b/>
          <w:bCs/>
        </w:rPr>
        <w:tab/>
      </w:r>
      <w:r>
        <w:rPr>
          <w:rFonts w:hint="eastAsia"/>
        </w:rPr>
        <w:t>波斯尼亚和黑塞哥维那按照缔约国报告初次报告编写准则提交的资料载于核心文件</w:t>
      </w:r>
      <w:r>
        <w:rPr>
          <w:rFonts w:hint="eastAsia"/>
        </w:rPr>
        <w:t>(HRI/CORE/1/</w:t>
      </w:r>
      <w:r>
        <w:t>Add.89)</w:t>
      </w:r>
      <w:r>
        <w:rPr>
          <w:rFonts w:hint="eastAsia"/>
        </w:rPr>
        <w:t>。</w:t>
      </w:r>
    </w:p>
  </w:footnote>
  <w:footnote w:id="2">
    <w:p w:rsidR="00000000" w:rsidRDefault="00000000">
      <w:pPr>
        <w:pStyle w:val="FootnoteText"/>
        <w:rPr>
          <w:rFonts w:hint="eastAsia"/>
          <w:b/>
          <w:bCs/>
        </w:rPr>
      </w:pPr>
      <w:r>
        <w:rPr>
          <w:rStyle w:val="FootnoteReference"/>
          <w:b w:val="0"/>
          <w:bCs/>
          <w:vertAlign w:val="baseline"/>
        </w:rPr>
        <w:t>**</w:t>
      </w:r>
      <w:r>
        <w:rPr>
          <w:b/>
          <w:bCs/>
        </w:rPr>
        <w:t xml:space="preserve"> </w:t>
      </w:r>
      <w:r>
        <w:rPr>
          <w:rFonts w:hint="eastAsia"/>
          <w:b/>
          <w:bCs/>
        </w:rPr>
        <w:tab/>
      </w:r>
      <w:r>
        <w:rPr>
          <w:rFonts w:hint="eastAsia"/>
        </w:rPr>
        <w:t>各项附件见秘书处档案。</w:t>
      </w:r>
    </w:p>
  </w:footnote>
  <w:footnote w:id="3">
    <w:p w:rsidR="00000000" w:rsidRDefault="00000000">
      <w:pPr>
        <w:pStyle w:val="FootnoteText"/>
        <w:rPr>
          <w:rFonts w:hint="eastAsia"/>
        </w:rPr>
      </w:pPr>
      <w:r>
        <w:rPr>
          <w:rStyle w:val="FootnoteReference"/>
          <w:b w:val="0"/>
          <w:bCs/>
          <w:vertAlign w:val="baseline"/>
        </w:rPr>
        <w:t>*</w:t>
      </w:r>
      <w:r>
        <w:t xml:space="preserve"> </w:t>
      </w:r>
      <w:r>
        <w:rPr>
          <w:rFonts w:hint="eastAsia"/>
        </w:rPr>
        <w:tab/>
      </w:r>
      <w:r>
        <w:rPr>
          <w:rFonts w:hint="eastAsia"/>
        </w:rPr>
        <w:t>各项附件见秘书处档案。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rPr>
    </w:pPr>
    <w:r>
      <w:t>E/</w:t>
    </w:r>
    <w:r>
      <w:rPr>
        <w:rFonts w:hint="eastAsia"/>
      </w:rPr>
      <w:t>1990</w:t>
    </w:r>
    <w:r>
      <w:t>/5/Add.65</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hint="eastAsia"/>
      </w:rPr>
    </w:pPr>
    <w:r>
      <w:tab/>
    </w:r>
    <w:r>
      <w:tab/>
    </w:r>
    <w:r>
      <w:tab/>
    </w:r>
    <w:r>
      <w:tab/>
      <w:t xml:space="preserve"> E/</w:t>
    </w:r>
    <w:r>
      <w:rPr>
        <w:rFonts w:hint="eastAsia"/>
      </w:rPr>
      <w:t>1990</w:t>
    </w:r>
    <w:r>
      <w:t>/5/Add.65</w:t>
    </w:r>
  </w:p>
  <w:p w:rsidR="00000000" w:rsidRDefault="00000000">
    <w:pPr>
      <w:pStyle w:val="Header"/>
    </w:pPr>
    <w:r>
      <w:tab/>
    </w: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1" type="#_x0000_t202" style="position:absolute;left:0;text-align:left;margin-left:357.5pt;margin-top:2.8pt;width:130pt;height:99pt;z-index:6" strokecolor="white">
          <v:textbox>
            <w:txbxContent>
              <w:p w:rsidR="00000000" w:rsidRDefault="00000000">
                <w:pPr>
                  <w:pStyle w:val="Header"/>
                </w:pPr>
                <w:r>
                  <w:t>Distr.</w:t>
                </w:r>
              </w:p>
              <w:p w:rsidR="00000000" w:rsidRDefault="00000000">
                <w:pPr>
                  <w:pStyle w:val="Header"/>
                  <w:rPr>
                    <w:rFonts w:hint="eastAsia"/>
                  </w:rPr>
                </w:pPr>
                <w:r>
                  <w:t>GENERAL</w:t>
                </w:r>
              </w:p>
              <w:p w:rsidR="00000000" w:rsidRDefault="00000000">
                <w:pPr>
                  <w:pStyle w:val="Header"/>
                </w:pPr>
              </w:p>
              <w:p w:rsidR="00000000" w:rsidRDefault="00000000">
                <w:pPr>
                  <w:pStyle w:val="Header"/>
                  <w:rPr>
                    <w:rFonts w:hint="eastAsia"/>
                  </w:rPr>
                </w:pPr>
                <w:r>
                  <w:t>E/</w:t>
                </w:r>
                <w:r>
                  <w:rPr>
                    <w:rFonts w:hint="eastAsia"/>
                  </w:rPr>
                  <w:t>1990</w:t>
                </w:r>
                <w:r>
                  <w:t>/5/Add.65</w:t>
                </w:r>
              </w:p>
              <w:p w:rsidR="00000000" w:rsidRDefault="00000000">
                <w:pPr>
                  <w:pStyle w:val="Header"/>
                </w:pPr>
                <w:r>
                  <w:rPr>
                    <w:rFonts w:hint="eastAsia"/>
                  </w:rPr>
                  <w:t xml:space="preserve">3 </w:t>
                </w:r>
                <w:r>
                  <w:t>February 2005</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3">
    <w:nsid w:val="15075A9A"/>
    <w:multiLevelType w:val="hybridMultilevel"/>
    <w:tmpl w:val="7F02EA42"/>
    <w:lvl w:ilvl="0" w:tplc="7D36E212">
      <w:start w:val="1"/>
      <w:numFmt w:val="lowerLetter"/>
      <w:lvlText w:val="(%1)"/>
      <w:lvlJc w:val="left"/>
      <w:pPr>
        <w:tabs>
          <w:tab w:val="num" w:pos="444"/>
        </w:tabs>
        <w:ind w:left="444" w:hanging="44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7">
    <w:nsid w:val="18DE3182"/>
    <w:multiLevelType w:val="hybridMultilevel"/>
    <w:tmpl w:val="831A22C4"/>
    <w:lvl w:ilvl="0" w:tplc="DC986E5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9">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F82731"/>
    <w:multiLevelType w:val="hybridMultilevel"/>
    <w:tmpl w:val="8FD0BE52"/>
    <w:lvl w:ilvl="0" w:tplc="C28CF3FC">
      <w:start w:val="1"/>
      <w:numFmt w:val="lowerLetter"/>
      <w:lvlRestart w:val="0"/>
      <w:lvlText w:val="(%1)"/>
      <w:lvlJc w:val="right"/>
      <w:pPr>
        <w:tabs>
          <w:tab w:val="num" w:pos="2041"/>
        </w:tabs>
        <w:ind w:left="2041" w:hanging="227"/>
      </w:pPr>
      <w:rPr>
        <w:rFonts w:ascii="Times New Roman" w:hAnsi="Times New Roman"/>
        <w:b w:val="0"/>
        <w:i w:val="0"/>
        <w:sz w:val="24"/>
      </w:rPr>
    </w:lvl>
    <w:lvl w:ilvl="1" w:tplc="C28CF3FC">
      <w:start w:val="1"/>
      <w:numFmt w:val="lowerLetter"/>
      <w:lvlRestart w:val="0"/>
      <w:lvlText w:val="(%2)"/>
      <w:lvlJc w:val="right"/>
      <w:pPr>
        <w:tabs>
          <w:tab w:val="num" w:pos="1217"/>
        </w:tabs>
        <w:ind w:left="1217" w:hanging="227"/>
      </w:pPr>
      <w:rPr>
        <w:rFonts w:ascii="Times New Roman" w:hAnsi="Times New Roman"/>
        <w:b w:val="0"/>
        <w:i w:val="0"/>
        <w:sz w:val="24"/>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5">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2D9147E5"/>
    <w:multiLevelType w:val="hybridMultilevel"/>
    <w:tmpl w:val="9D900A56"/>
    <w:lvl w:ilvl="0" w:tplc="9B0809D4">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2070540"/>
    <w:multiLevelType w:val="hybridMultilevel"/>
    <w:tmpl w:val="56289040"/>
    <w:lvl w:ilvl="0" w:tplc="323ED9C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30">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2">
    <w:nsid w:val="364B19DD"/>
    <w:multiLevelType w:val="hybridMultilevel"/>
    <w:tmpl w:val="AFF6227A"/>
    <w:lvl w:ilvl="0" w:tplc="3ED8724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5">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6">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1">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2">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7">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9">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2">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3">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9">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5DC05D78"/>
    <w:multiLevelType w:val="hybridMultilevel"/>
    <w:tmpl w:val="1460E366"/>
    <w:lvl w:ilvl="0" w:tplc="F0F0A70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5F062473"/>
    <w:multiLevelType w:val="hybridMultilevel"/>
    <w:tmpl w:val="206EA5C4"/>
    <w:lvl w:ilvl="0" w:tplc="BE0695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8">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9">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0">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711D3428"/>
    <w:multiLevelType w:val="hybridMultilevel"/>
    <w:tmpl w:val="483A5556"/>
    <w:lvl w:ilvl="0" w:tplc="6BD0696C">
      <w:start w:val="1"/>
      <w:numFmt w:val="chineseCountingThousand"/>
      <w:lvlRestart w:val="0"/>
      <w:lvlText w:val="(%1)"/>
      <w:lvlJc w:val="right"/>
      <w:pPr>
        <w:tabs>
          <w:tab w:val="num" w:pos="170"/>
        </w:tabs>
        <w:ind w:left="170" w:hanging="170"/>
      </w:pPr>
      <w:rPr>
        <w:rFonts w:ascii="Times New Roman" w:hAnsi="Times New Roman"/>
        <w:sz w:val="20"/>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76">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0">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8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5">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51"/>
  </w:num>
  <w:num w:numId="2">
    <w:abstractNumId w:val="35"/>
  </w:num>
  <w:num w:numId="3">
    <w:abstractNumId w:val="29"/>
  </w:num>
  <w:num w:numId="4">
    <w:abstractNumId w:val="30"/>
  </w:num>
  <w:num w:numId="5">
    <w:abstractNumId w:val="81"/>
  </w:num>
  <w:num w:numId="6">
    <w:abstractNumId w:val="0"/>
  </w:num>
  <w:num w:numId="7">
    <w:abstractNumId w:val="44"/>
  </w:num>
  <w:num w:numId="8">
    <w:abstractNumId w:val="25"/>
  </w:num>
  <w:num w:numId="9">
    <w:abstractNumId w:val="8"/>
  </w:num>
  <w:num w:numId="10">
    <w:abstractNumId w:val="14"/>
  </w:num>
  <w:num w:numId="11">
    <w:abstractNumId w:val="74"/>
  </w:num>
  <w:num w:numId="12">
    <w:abstractNumId w:val="18"/>
  </w:num>
  <w:num w:numId="13">
    <w:abstractNumId w:val="79"/>
  </w:num>
  <w:num w:numId="14">
    <w:abstractNumId w:val="48"/>
  </w:num>
  <w:num w:numId="15">
    <w:abstractNumId w:val="52"/>
  </w:num>
  <w:num w:numId="16">
    <w:abstractNumId w:val="4"/>
  </w:num>
  <w:num w:numId="17">
    <w:abstractNumId w:val="85"/>
  </w:num>
  <w:num w:numId="18">
    <w:abstractNumId w:val="73"/>
  </w:num>
  <w:num w:numId="19">
    <w:abstractNumId w:val="70"/>
  </w:num>
  <w:num w:numId="20">
    <w:abstractNumId w:val="6"/>
  </w:num>
  <w:num w:numId="21">
    <w:abstractNumId w:val="50"/>
  </w:num>
  <w:num w:numId="22">
    <w:abstractNumId w:val="54"/>
  </w:num>
  <w:num w:numId="23">
    <w:abstractNumId w:val="83"/>
  </w:num>
  <w:num w:numId="24">
    <w:abstractNumId w:val="63"/>
  </w:num>
  <w:num w:numId="25">
    <w:abstractNumId w:val="60"/>
  </w:num>
  <w:num w:numId="26">
    <w:abstractNumId w:val="43"/>
  </w:num>
  <w:num w:numId="27">
    <w:abstractNumId w:val="10"/>
  </w:num>
  <w:num w:numId="28">
    <w:abstractNumId w:val="7"/>
  </w:num>
  <w:num w:numId="29">
    <w:abstractNumId w:val="86"/>
  </w:num>
  <w:num w:numId="30">
    <w:abstractNumId w:val="1"/>
  </w:num>
  <w:num w:numId="31">
    <w:abstractNumId w:val="16"/>
  </w:num>
  <w:num w:numId="32">
    <w:abstractNumId w:val="78"/>
  </w:num>
  <w:num w:numId="33">
    <w:abstractNumId w:val="26"/>
  </w:num>
  <w:num w:numId="34">
    <w:abstractNumId w:val="69"/>
  </w:num>
  <w:num w:numId="35">
    <w:abstractNumId w:val="68"/>
  </w:num>
  <w:num w:numId="36">
    <w:abstractNumId w:val="36"/>
  </w:num>
  <w:num w:numId="37">
    <w:abstractNumId w:val="55"/>
  </w:num>
  <w:num w:numId="38">
    <w:abstractNumId w:val="59"/>
  </w:num>
  <w:num w:numId="39">
    <w:abstractNumId w:val="76"/>
  </w:num>
  <w:num w:numId="40">
    <w:abstractNumId w:val="5"/>
  </w:num>
  <w:num w:numId="41">
    <w:abstractNumId w:val="33"/>
  </w:num>
  <w:num w:numId="42">
    <w:abstractNumId w:val="84"/>
  </w:num>
  <w:num w:numId="43">
    <w:abstractNumId w:val="58"/>
  </w:num>
  <w:num w:numId="44">
    <w:abstractNumId w:val="71"/>
  </w:num>
  <w:num w:numId="45">
    <w:abstractNumId w:val="24"/>
  </w:num>
  <w:num w:numId="46">
    <w:abstractNumId w:val="34"/>
  </w:num>
  <w:num w:numId="47">
    <w:abstractNumId w:val="12"/>
  </w:num>
  <w:num w:numId="48">
    <w:abstractNumId w:val="65"/>
  </w:num>
  <w:num w:numId="49">
    <w:abstractNumId w:val="56"/>
  </w:num>
  <w:num w:numId="50">
    <w:abstractNumId w:val="38"/>
  </w:num>
  <w:num w:numId="51">
    <w:abstractNumId w:val="15"/>
  </w:num>
  <w:num w:numId="52">
    <w:abstractNumId w:val="57"/>
  </w:num>
  <w:num w:numId="53">
    <w:abstractNumId w:val="11"/>
  </w:num>
  <w:num w:numId="54">
    <w:abstractNumId w:val="37"/>
  </w:num>
  <w:num w:numId="55">
    <w:abstractNumId w:val="46"/>
  </w:num>
  <w:num w:numId="56">
    <w:abstractNumId w:val="82"/>
  </w:num>
  <w:num w:numId="57">
    <w:abstractNumId w:val="53"/>
  </w:num>
  <w:num w:numId="58">
    <w:abstractNumId w:val="39"/>
  </w:num>
  <w:num w:numId="59">
    <w:abstractNumId w:val="31"/>
  </w:num>
  <w:num w:numId="60">
    <w:abstractNumId w:val="3"/>
  </w:num>
  <w:num w:numId="61">
    <w:abstractNumId w:val="47"/>
  </w:num>
  <w:num w:numId="62">
    <w:abstractNumId w:val="20"/>
  </w:num>
  <w:num w:numId="63">
    <w:abstractNumId w:val="67"/>
  </w:num>
  <w:num w:numId="64">
    <w:abstractNumId w:val="66"/>
  </w:num>
  <w:num w:numId="65">
    <w:abstractNumId w:val="2"/>
  </w:num>
  <w:num w:numId="66">
    <w:abstractNumId w:val="49"/>
  </w:num>
  <w:num w:numId="67">
    <w:abstractNumId w:val="19"/>
  </w:num>
  <w:num w:numId="68">
    <w:abstractNumId w:val="45"/>
  </w:num>
  <w:num w:numId="69">
    <w:abstractNumId w:val="9"/>
  </w:num>
  <w:num w:numId="70">
    <w:abstractNumId w:val="61"/>
  </w:num>
  <w:num w:numId="71">
    <w:abstractNumId w:val="42"/>
  </w:num>
  <w:num w:numId="72">
    <w:abstractNumId w:val="77"/>
  </w:num>
  <w:num w:numId="73">
    <w:abstractNumId w:val="72"/>
  </w:num>
  <w:num w:numId="74">
    <w:abstractNumId w:val="21"/>
  </w:num>
  <w:num w:numId="75">
    <w:abstractNumId w:val="40"/>
  </w:num>
  <w:num w:numId="76">
    <w:abstractNumId w:val="41"/>
  </w:num>
  <w:num w:numId="77">
    <w:abstractNumId w:val="22"/>
  </w:num>
  <w:num w:numId="78">
    <w:abstractNumId w:val="80"/>
  </w:num>
  <w:num w:numId="79">
    <w:abstractNumId w:val="64"/>
  </w:num>
  <w:num w:numId="80">
    <w:abstractNumId w:val="62"/>
  </w:num>
  <w:num w:numId="81">
    <w:abstractNumId w:val="27"/>
  </w:num>
  <w:num w:numId="82">
    <w:abstractNumId w:val="17"/>
  </w:num>
  <w:num w:numId="83">
    <w:abstractNumId w:val="13"/>
  </w:num>
  <w:num w:numId="84">
    <w:abstractNumId w:val="23"/>
  </w:num>
  <w:num w:numId="85">
    <w:abstractNumId w:val="32"/>
  </w:num>
  <w:num w:numId="86">
    <w:abstractNumId w:val="28"/>
  </w:num>
  <w:num w:numId="87">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
    <w:name w:val="文"/>
    <w:pPr>
      <w:tabs>
        <w:tab w:val="left" w:pos="510"/>
        <w:tab w:val="left" w:pos="1021"/>
        <w:tab w:val="left" w:pos="1531"/>
      </w:tabs>
      <w:adjustRightInd w:val="0"/>
      <w:snapToGrid w:val="0"/>
      <w:spacing w:line="336" w:lineRule="auto"/>
      <w:jc w:val="both"/>
    </w:pPr>
    <w:rPr>
      <w:rFonts w:eastAsia="SimSun"/>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4</TotalTime>
  <Pages>1</Pages>
  <Words>17034</Words>
  <Characters>97095</Characters>
  <Application>Microsoft Office Word</Application>
  <DocSecurity>4</DocSecurity>
  <Lines>809</Lines>
  <Paragraphs>194</Paragraphs>
  <ScaleCrop>false</ScaleCrop>
  <HeadingPairs>
    <vt:vector size="4" baseType="variant">
      <vt:variant>
        <vt:lpstr>题目</vt:lpstr>
      </vt:variant>
      <vt:variant>
        <vt:i4>1</vt:i4>
      </vt:variant>
      <vt:variant>
        <vt:lpstr>标题</vt:lpstr>
      </vt:variant>
      <vt:variant>
        <vt:i4>48</vt:i4>
      </vt:variant>
    </vt:vector>
  </HeadingPairs>
  <TitlesOfParts>
    <vt:vector size="49" baseType="lpstr">
      <vt:lpstr>2005年实质性会议</vt:lpstr>
      <vt:lpstr>    《经济、社会、文化权利国际公约》执行情况</vt:lpstr>
      <vt:lpstr>        缔约国根据《公约》第16条和第17条 提交的初次报告</vt:lpstr>
      <vt:lpstr>        增   编</vt:lpstr>
      <vt:lpstr>        波斯尼亚和黑塞哥维那 * **</vt:lpstr>
      <vt:lpstr>    导   言</vt:lpstr>
      <vt:lpstr>        第 1 条</vt:lpstr>
      <vt:lpstr>        第 2 条</vt:lpstr>
      <vt:lpstr>        表 1</vt:lpstr>
      <vt:lpstr>        波斯尼亚和黑塞哥维那联邦工伤情况</vt:lpstr>
      <vt:lpstr>        表 2</vt:lpstr>
      <vt:lpstr>        塞族共和国工伤情况</vt:lpstr>
      <vt:lpstr>        表  3 医保总收支情况 (百万可兑换马克)</vt:lpstr>
      <vt:lpstr>        第 11 条</vt:lpstr>
      <vt:lpstr>        表  4</vt:lpstr>
      <vt:lpstr>        食品的抽样分析</vt:lpstr>
      <vt:lpstr>        表  5</vt:lpstr>
      <vt:lpstr>        波斯尼亚和黑塞哥维那住房遭破坏或摧毁的单位数， 1992-1995年</vt:lpstr>
      <vt:lpstr>        表 6  波斯尼亚和黑塞哥维那联邦中精神和行为疾病情况</vt:lpstr>
      <vt:lpstr>        表 7  波斯尼亚和黑塞哥维那联邦肺结核病人情况</vt:lpstr>
      <vt:lpstr>        表  8 波斯尼亚和黑塞哥维那联邦1999-2001年主要疾病类别</vt:lpstr>
      <vt:lpstr>        表  9 塞族共和国1999-2001年主要疾病类别</vt:lpstr>
      <vt:lpstr>        表  10 波斯尼亚和黑塞哥维那联邦1999-2001年期间慢性非传染性疾病 (每100,000居民比率)</vt:lpstr>
      <vt:lpstr>        表  11 波斯尼亚和黑塞哥维那联邦1999-2001年传染病发病率</vt:lpstr>
      <vt:lpstr>        表  12 1991-2002年期间接种卡介苗的覆盖面</vt:lpstr>
      <vt:lpstr>        表  13 麻疹免疫(麻疹)(百分比)</vt:lpstr>
      <vt:lpstr>        表 14 水 分 析</vt:lpstr>
      <vt:lpstr>        表 15 巴尼亚卢卡1998-2002年生态站空气污染物浓度</vt:lpstr>
      <vt:lpstr>        表 16 按区域/城市划分的公共废料处理系统覆盖率、 垃圾站数量和公用事业企业数量</vt:lpstr>
      <vt:lpstr>        表  17</vt:lpstr>
      <vt:lpstr>        塞尔维亚共和国食品的微生物和物理/ 化学检验结果，1998/1999/2000</vt:lpstr>
      <vt:lpstr>        表  18</vt:lpstr>
      <vt:lpstr>        1999年塞尔维亚共和国工人所患主要疾病 (根据国际疾病分类)</vt:lpstr>
      <vt:lpstr>        表  19</vt:lpstr>
      <vt:lpstr>        受控制的电离辐射源审查</vt:lpstr>
      <vt:lpstr>        表  20</vt:lpstr>
      <vt:lpstr>        对在电离辐射源工作的人员进行检测</vt:lpstr>
      <vt:lpstr>        表  21</vt:lpstr>
      <vt:lpstr>        对食品和饮用水的放射性控制</vt:lpstr>
      <vt:lpstr>        表  22</vt:lpstr>
      <vt:lpstr>        1998-2002年间地雷和其他爆炸装置致死致伤人数</vt:lpstr>
      <vt:lpstr>        表  23</vt:lpstr>
      <vt:lpstr>        1993-2002年间死伤人数分类</vt:lpstr>
      <vt:lpstr>        表 24</vt:lpstr>
      <vt:lpstr>        塞尔维亚共和国地雷爆炸受伤率统计数字 (1996-2002)</vt:lpstr>
      <vt:lpstr>        表  25</vt:lpstr>
      <vt:lpstr>        事故涉及人数，按年龄组分</vt:lpstr>
      <vt:lpstr>        表  26</vt:lpstr>
      <vt:lpstr>        全日制小学学生</vt:lpstr>
    </vt:vector>
  </TitlesOfParts>
  <Company>Chinese Unit - GE</Company>
  <LinksUpToDate>false</LinksUpToDate>
  <CharactersWithSpaces>119239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2005年实质性会议</dc:title>
  <dc:subject/>
  <dc:creator>CSD</dc:creator>
  <cp:keywords/>
  <dc:description>经济及社会理事会</dc:description>
  <cp:lastModifiedBy>CSD</cp:lastModifiedBy>
  <cp:revision>3</cp:revision>
  <cp:lastPrinted>2005-11-02T13:13:00Z</cp:lastPrinted>
  <dcterms:created xsi:type="dcterms:W3CDTF">2005-11-02T13:13:00Z</dcterms:created>
  <dcterms:modified xsi:type="dcterms:W3CDTF">2005-11-02T13:14:00Z</dcterms:modified>
  <cp:category>E</cp:category>
</cp:coreProperties>
</file>