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AEC2EB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1625F8B" w14:textId="77777777" w:rsidR="002D5AAC" w:rsidRDefault="002D5AAC" w:rsidP="00831A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5F8298A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5E8F5D" w14:textId="77777777" w:rsidR="002D5AAC" w:rsidRDefault="00831A0B" w:rsidP="00831A0B">
            <w:pPr>
              <w:jc w:val="right"/>
            </w:pPr>
            <w:r w:rsidRPr="00831A0B">
              <w:rPr>
                <w:sz w:val="40"/>
              </w:rPr>
              <w:t>E</w:t>
            </w:r>
            <w:r>
              <w:t>/C.12/CHE/CO/4</w:t>
            </w:r>
          </w:p>
        </w:tc>
      </w:tr>
      <w:tr w:rsidR="002D5AAC" w:rsidRPr="00B06C25" w14:paraId="6F9FC412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788CEE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9D6D43" wp14:editId="7175835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C38550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3DE3BC2" w14:textId="77777777" w:rsidR="002D5AAC" w:rsidRDefault="00831A0B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A75852" w14:textId="77777777" w:rsidR="00831A0B" w:rsidRDefault="00831A0B" w:rsidP="00831A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November 2019</w:t>
            </w:r>
          </w:p>
          <w:p w14:paraId="21F40946" w14:textId="77777777" w:rsidR="00831A0B" w:rsidRDefault="00831A0B" w:rsidP="00831A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1480D9" w14:textId="77777777" w:rsidR="00831A0B" w:rsidRPr="00D62A45" w:rsidRDefault="00831A0B" w:rsidP="00831A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F31CC11" w14:textId="77777777" w:rsidR="00831A0B" w:rsidRPr="00831A0B" w:rsidRDefault="00831A0B" w:rsidP="00831A0B">
      <w:pPr>
        <w:pStyle w:val="SingleTxtG"/>
        <w:spacing w:before="120"/>
        <w:ind w:left="0" w:right="0"/>
        <w:jc w:val="left"/>
        <w:rPr>
          <w:b/>
          <w:sz w:val="24"/>
        </w:rPr>
      </w:pPr>
      <w:r w:rsidRPr="00831A0B">
        <w:rPr>
          <w:b/>
          <w:bCs/>
          <w:sz w:val="24"/>
        </w:rPr>
        <w:t xml:space="preserve">Комитет по экономическим, социальным </w:t>
      </w:r>
      <w:r>
        <w:rPr>
          <w:b/>
          <w:bCs/>
          <w:sz w:val="24"/>
        </w:rPr>
        <w:br/>
      </w:r>
      <w:r w:rsidRPr="00831A0B">
        <w:rPr>
          <w:b/>
          <w:bCs/>
          <w:sz w:val="24"/>
        </w:rPr>
        <w:t>и культурным правам</w:t>
      </w:r>
    </w:p>
    <w:p w14:paraId="146E86D0" w14:textId="77777777" w:rsidR="00831A0B" w:rsidRPr="00831A0B" w:rsidRDefault="00831A0B" w:rsidP="00831A0B">
      <w:pPr>
        <w:pStyle w:val="HChG"/>
      </w:pPr>
      <w:r w:rsidRPr="00831A0B">
        <w:tab/>
      </w:r>
      <w:r w:rsidRPr="00831A0B">
        <w:tab/>
      </w:r>
      <w:r w:rsidRPr="00831A0B">
        <w:tab/>
        <w:t>Заключительные замечания по четвертому периодическому докладу Швейцарии</w:t>
      </w:r>
      <w:r w:rsidRPr="00831A0B">
        <w:rPr>
          <w:b w:val="0"/>
          <w:sz w:val="20"/>
        </w:rPr>
        <w:footnoteReference w:customMarkFollows="1" w:id="1"/>
        <w:t>*</w:t>
      </w:r>
      <w:r w:rsidRPr="00831A0B">
        <w:tab/>
      </w:r>
    </w:p>
    <w:p w14:paraId="6F369CD8" w14:textId="77777777" w:rsidR="00831A0B" w:rsidRPr="00831A0B" w:rsidRDefault="00831A0B" w:rsidP="00831A0B">
      <w:pPr>
        <w:pStyle w:val="SingleTxtG"/>
      </w:pPr>
      <w:r w:rsidRPr="00831A0B">
        <w:t>1.</w:t>
      </w:r>
      <w:r w:rsidRPr="00831A0B">
        <w:tab/>
        <w:t>Комитет рассмотрел четвертый периодический доклад Швейцарии (E/C.12/CHE/4) на своих 34-м и 35-м заседаниях (см. E/C.12/2019/SR.34 и 35), состоявшихся 1 и 2 октября 2019 года, и на своем 60-м заседании, состоявшемся 18</w:t>
      </w:r>
      <w:r>
        <w:rPr>
          <w:lang w:val="en-US"/>
        </w:rPr>
        <w:t> </w:t>
      </w:r>
      <w:r w:rsidRPr="00831A0B">
        <w:t xml:space="preserve">октября 2019 года, принял следующие заключительные замечания. </w:t>
      </w:r>
    </w:p>
    <w:p w14:paraId="1D2C0F05" w14:textId="77777777" w:rsidR="00831A0B" w:rsidRPr="00831A0B" w:rsidRDefault="00831A0B" w:rsidP="00831A0B">
      <w:pPr>
        <w:pStyle w:val="H1G"/>
      </w:pPr>
      <w:r>
        <w:tab/>
      </w:r>
      <w:r w:rsidRPr="00831A0B">
        <w:t>A.</w:t>
      </w:r>
      <w:r w:rsidRPr="00831A0B">
        <w:tab/>
      </w:r>
      <w:r w:rsidRPr="00831A0B">
        <w:tab/>
        <w:t>Введение</w:t>
      </w:r>
    </w:p>
    <w:p w14:paraId="3E48F2BB" w14:textId="77777777" w:rsidR="00831A0B" w:rsidRPr="00831A0B" w:rsidRDefault="00831A0B" w:rsidP="00831A0B">
      <w:pPr>
        <w:pStyle w:val="SingleTxtG"/>
      </w:pPr>
      <w:r w:rsidRPr="00831A0B">
        <w:t>2.</w:t>
      </w:r>
      <w:r w:rsidRPr="00831A0B">
        <w:tab/>
        <w:t xml:space="preserve">Комитет приветствует представление Швейцарией четвертого периодического доклада, а также письменных ответов на перечень вопросов (E/C.12/CHE/Q/4/Add.1). Комитет c удовлетворением отмечает состоявшийся у него конструктивный диалог с делегацией государства-участника и представленную в ходе него информацию. Кроме того, Комитет выражает свою признательность государству-участнику за дополнительную информацию, представленную после диалога. </w:t>
      </w:r>
    </w:p>
    <w:p w14:paraId="0F94C774" w14:textId="77777777" w:rsidR="00831A0B" w:rsidRPr="00831A0B" w:rsidRDefault="00831A0B" w:rsidP="00831A0B">
      <w:pPr>
        <w:pStyle w:val="H1G"/>
      </w:pPr>
      <w:r>
        <w:tab/>
      </w:r>
      <w:r w:rsidRPr="00831A0B">
        <w:t>B.</w:t>
      </w:r>
      <w:r w:rsidRPr="00831A0B">
        <w:tab/>
      </w:r>
      <w:r w:rsidRPr="00831A0B">
        <w:tab/>
        <w:t xml:space="preserve">Позитивные аспекты </w:t>
      </w:r>
    </w:p>
    <w:p w14:paraId="59B4669C" w14:textId="77777777" w:rsidR="00831A0B" w:rsidRPr="00831A0B" w:rsidRDefault="00831A0B" w:rsidP="00831A0B">
      <w:pPr>
        <w:pStyle w:val="SingleTxtG"/>
      </w:pPr>
      <w:r w:rsidRPr="00831A0B">
        <w:t>3.</w:t>
      </w:r>
      <w:r w:rsidRPr="00831A0B">
        <w:tab/>
        <w:t xml:space="preserve">Комитет приветствует приверженность государства-участника дальнейшему обеспечению полного осуществления экономических, социальных и культурных прав и приложенные им усилия с этой целью, такие как меры по сокращению неравенства между мужчинами и женщинами и поощрению гармоничного сочетания семейной и профессиональной жизни. Комитет с удовлетворением отмечает принятие Швейцарской программы интеграции, которая должна способствовать интеграции беженцев и лиц, временно допущенных в страну. Комитет приветствует ратификацию Конвенции Международной организации труда (МОТ) 2000 года об охране материнства (№ 183) и Конвенции МОТ 2011 года о достойном труде домашних работников (№ 189). </w:t>
      </w:r>
    </w:p>
    <w:p w14:paraId="78D154B9" w14:textId="77777777" w:rsidR="00831A0B" w:rsidRPr="00831A0B" w:rsidRDefault="00831A0B" w:rsidP="00831A0B">
      <w:pPr>
        <w:pStyle w:val="H1G"/>
      </w:pPr>
      <w:r>
        <w:tab/>
      </w:r>
      <w:r w:rsidRPr="00831A0B">
        <w:t>C.</w:t>
      </w:r>
      <w:r w:rsidRPr="00831A0B">
        <w:tab/>
      </w:r>
      <w:r w:rsidRPr="00831A0B">
        <w:tab/>
        <w:t>Основные вопросы, вызывающие обеспокоенность, и</w:t>
      </w:r>
      <w:r>
        <w:rPr>
          <w:lang w:val="en-US"/>
        </w:rPr>
        <w:t> </w:t>
      </w:r>
      <w:r w:rsidRPr="00831A0B">
        <w:t>рекомендации</w:t>
      </w:r>
    </w:p>
    <w:p w14:paraId="11AC262F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>Возможность защиты экономических, социальных и культурных прав в</w:t>
      </w:r>
      <w:r>
        <w:rPr>
          <w:lang w:val="en-US"/>
        </w:rPr>
        <w:t> </w:t>
      </w:r>
      <w:r w:rsidRPr="00831A0B">
        <w:t>судебном порядке</w:t>
      </w:r>
    </w:p>
    <w:p w14:paraId="14419EFC" w14:textId="77777777" w:rsidR="00831A0B" w:rsidRPr="00831A0B" w:rsidRDefault="00831A0B" w:rsidP="00831A0B">
      <w:pPr>
        <w:pStyle w:val="SingleTxtG"/>
      </w:pPr>
      <w:r w:rsidRPr="00831A0B">
        <w:t>4.</w:t>
      </w:r>
      <w:r w:rsidRPr="00831A0B">
        <w:tab/>
        <w:t xml:space="preserve">Комитет с обеспокоенностью принимает к сведению пояснения относительно возможности защиты в судебном порядке прав, закрепленных в Международном пакте </w:t>
      </w:r>
      <w:r w:rsidRPr="00831A0B">
        <w:lastRenderedPageBreak/>
        <w:t xml:space="preserve">об экономических, социальных и культурных правах, согласно которым на эти права можно ссылаться в судах только при определенных условиях. Комитет сожалеет, что Федеральный суд подтвердил свое понимание программного характера экономических, социальных и культурных прав и что лишь некоторые из них закреплены в Конституции, что ограничивает возможность их защиты в суде. </w:t>
      </w:r>
    </w:p>
    <w:p w14:paraId="347CEF15" w14:textId="77777777" w:rsidR="00831A0B" w:rsidRPr="00831A0B" w:rsidRDefault="00831A0B" w:rsidP="00831A0B">
      <w:pPr>
        <w:pStyle w:val="SingleTxtG"/>
        <w:rPr>
          <w:b/>
        </w:rPr>
      </w:pPr>
      <w:r w:rsidRPr="00831A0B">
        <w:t>5.</w:t>
      </w:r>
      <w:r w:rsidRPr="00831A0B">
        <w:tab/>
      </w:r>
      <w:r w:rsidRPr="00831A0B">
        <w:rPr>
          <w:b/>
          <w:bCs/>
        </w:rPr>
        <w:t>Комитет напоминает о своих рекомендациях, сформулированных в предыдущих заключительных замечаниях (E/C.12/CHE/CO/2-3, пункт 5), и</w:t>
      </w:r>
      <w:r>
        <w:rPr>
          <w:b/>
          <w:bCs/>
          <w:lang w:val="en-US"/>
        </w:rPr>
        <w:t> </w:t>
      </w:r>
      <w:r w:rsidRPr="00831A0B">
        <w:rPr>
          <w:b/>
          <w:bCs/>
        </w:rPr>
        <w:t>призывает государство-участник в полной мере обеспечить осуществление прав, закрепленных в Пакте, в рамках своей внутренней правовой системы и предоставить жертвам нарушений экономических, социальных и культурных прав полный доступ к эффективным средствам правовой защиты.</w:t>
      </w:r>
      <w:r w:rsidRPr="00831A0B">
        <w:t xml:space="preserve"> </w:t>
      </w:r>
      <w:r w:rsidRPr="00831A0B">
        <w:rPr>
          <w:b/>
          <w:bCs/>
        </w:rPr>
        <w:t>Комитет обращает внимание государства-участника на свое замечание общего порядка №</w:t>
      </w:r>
      <w:r>
        <w:rPr>
          <w:b/>
          <w:bCs/>
          <w:lang w:val="en-US"/>
        </w:rPr>
        <w:t> </w:t>
      </w:r>
      <w:r w:rsidRPr="00831A0B">
        <w:rPr>
          <w:b/>
          <w:bCs/>
        </w:rPr>
        <w:t>9 (1998) применении Пакта во внутреннем праве.</w:t>
      </w:r>
      <w:r w:rsidRPr="00831A0B">
        <w:t xml:space="preserve"> </w:t>
      </w:r>
    </w:p>
    <w:p w14:paraId="37ECC1AF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Осуществление прав, закрепленных в Пакте, в конфедеральном контексте </w:t>
      </w:r>
    </w:p>
    <w:p w14:paraId="10CF343D" w14:textId="77777777" w:rsidR="00831A0B" w:rsidRPr="00831A0B" w:rsidRDefault="00831A0B" w:rsidP="00831A0B">
      <w:pPr>
        <w:pStyle w:val="SingleTxtG"/>
      </w:pPr>
      <w:r w:rsidRPr="00831A0B">
        <w:t>6.</w:t>
      </w:r>
      <w:r w:rsidRPr="00831A0B">
        <w:tab/>
        <w:t>Комитет признает сложность федерального устройства государства-участника, в соответствии с которым ответственность за осуществление признаваемых в Пакте прав возлагается главным образом на коммуны и кантоны, а лишь затем на Конфедерацию. Тем не менее Комитет обеспокоен определенными различиями в осуществлении некоторых из этих прав, которые могут противоречить обязательствам государства-участника по Пакту.</w:t>
      </w:r>
    </w:p>
    <w:p w14:paraId="7813BD95" w14:textId="77777777" w:rsidR="00831A0B" w:rsidRPr="00831A0B" w:rsidRDefault="00831A0B" w:rsidP="00831A0B">
      <w:pPr>
        <w:pStyle w:val="SingleTxtG"/>
      </w:pPr>
      <w:r w:rsidRPr="00831A0B">
        <w:t>7.</w:t>
      </w:r>
      <w:r w:rsidRPr="00831A0B">
        <w:tab/>
      </w:r>
      <w:r w:rsidRPr="00831A0B">
        <w:rPr>
          <w:b/>
          <w:bCs/>
        </w:rPr>
        <w:t>Комитет напоминает государству-участнику о том, что в конечном итоге ответственность за обеспечение выполнения Пакта несет Конфедерация в пределах</w:t>
      </w:r>
      <w:r w:rsidRPr="00831A0B">
        <w:t xml:space="preserve"> </w:t>
      </w:r>
      <w:r w:rsidRPr="00831A0B">
        <w:rPr>
          <w:b/>
          <w:bCs/>
        </w:rPr>
        <w:t>своей юрисдикции.</w:t>
      </w:r>
      <w:r w:rsidRPr="00831A0B">
        <w:t xml:space="preserve"> </w:t>
      </w:r>
      <w:r w:rsidRPr="00831A0B">
        <w:rPr>
          <w:b/>
          <w:bCs/>
        </w:rPr>
        <w:t>Он призывает государство-участник укрепить механизмы координации между Конфедерацией, кантонами и коммунами в целях обеспечения полного осуществления прав, признанных в Пакте.</w:t>
      </w:r>
    </w:p>
    <w:p w14:paraId="285CEA87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Национальное правозащитное учреждение </w:t>
      </w:r>
    </w:p>
    <w:p w14:paraId="0F9DF804" w14:textId="77777777" w:rsidR="00831A0B" w:rsidRPr="00831A0B" w:rsidRDefault="00831A0B" w:rsidP="00831A0B">
      <w:pPr>
        <w:pStyle w:val="SingleTxtG"/>
      </w:pPr>
      <w:r w:rsidRPr="00831A0B">
        <w:t>8.</w:t>
      </w:r>
      <w:r w:rsidRPr="00831A0B">
        <w:tab/>
        <w:t xml:space="preserve">Комитет приветствует продолжающиеся усилия государства-участника по созданию национального правозащитного учреждения. Вместе с тем он сожалеет, что некоторые аспекты предварительного проекта 2017 года не соответствуют Принципам, касающимся статуса национальных учреждений, занимающихся поощрением и защитой прав человека (Парижским принципам), в частности в том, что касается независимости и правозащитного мандата. </w:t>
      </w:r>
    </w:p>
    <w:p w14:paraId="3A40630E" w14:textId="77777777" w:rsidR="00831A0B" w:rsidRPr="00831A0B" w:rsidRDefault="00831A0B" w:rsidP="00831A0B">
      <w:pPr>
        <w:pStyle w:val="SingleTxtG"/>
        <w:rPr>
          <w:b/>
        </w:rPr>
      </w:pPr>
      <w:r w:rsidRPr="00831A0B">
        <w:t>9.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активизировать усилия по созданию национального правозащитного учреждения в полном соответствии с Парижскими принципами.</w:t>
      </w:r>
      <w:r w:rsidRPr="00831A0B">
        <w:t xml:space="preserve"> </w:t>
      </w:r>
      <w:r w:rsidRPr="00831A0B">
        <w:rPr>
          <w:b/>
          <w:bCs/>
        </w:rPr>
        <w:t>В частности, он просит государство-участник обеспечить, чтобы это учреждение было обеспечено эффективными механизмами, гарантирующими его независимость, достаточными ресурсами для его эффективного функционирования и широким мандатом по защите и поощрению прав человека, в том числе</w:t>
      </w:r>
      <w:r>
        <w:t xml:space="preserve"> </w:t>
      </w:r>
      <w:r w:rsidRPr="00831A0B">
        <w:rPr>
          <w:b/>
          <w:bCs/>
        </w:rPr>
        <w:t>надлежащими надзорными полномочиями для проведения независимых расследований случаев нарушений прав человека, включая экономические, социальные и культурные права, во всех кантонах.</w:t>
      </w:r>
      <w:r w:rsidRPr="00831A0B">
        <w:t xml:space="preserve"> </w:t>
      </w:r>
      <w:r w:rsidRPr="00831A0B">
        <w:rPr>
          <w:b/>
          <w:bCs/>
        </w:rPr>
        <w:t>Комитет призывает государство-участник рассмотреть возможность наделения указанного учреждения полномочиями получать и рассматривать жалобы и просьбы, касающиеся конкретных ситуаций.</w:t>
      </w:r>
      <w:r w:rsidRPr="00831A0B">
        <w:t xml:space="preserve"> </w:t>
      </w:r>
    </w:p>
    <w:p w14:paraId="5324F35D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Предпринимательская деятельность и права человека </w:t>
      </w:r>
    </w:p>
    <w:p w14:paraId="4B992A79" w14:textId="77777777" w:rsidR="00831A0B" w:rsidRPr="00831A0B" w:rsidRDefault="00831A0B" w:rsidP="00831A0B">
      <w:pPr>
        <w:pStyle w:val="SingleTxtG"/>
      </w:pPr>
      <w:r w:rsidRPr="00831A0B">
        <w:t>10.</w:t>
      </w:r>
      <w:r w:rsidRPr="00831A0B">
        <w:tab/>
        <w:t xml:space="preserve">Комитет принимает к сведению представленную государством-участником информацию об обсуждениях, касающихся инициативы в отношении ответственных транснациональных корпораций. Вместе с тем он обеспокоен тем, что Федеральный совет заявил о своей поддержке введения принципа должной осмотрительности только на добровольной основе. </w:t>
      </w:r>
    </w:p>
    <w:p w14:paraId="4DFF4F2E" w14:textId="77777777" w:rsidR="00831A0B" w:rsidRPr="00831A0B" w:rsidRDefault="00831A0B" w:rsidP="00831A0B">
      <w:pPr>
        <w:pStyle w:val="SingleTxtG"/>
      </w:pPr>
      <w:r w:rsidRPr="00831A0B">
        <w:t>11.</w:t>
      </w:r>
      <w:r w:rsidRPr="00831A0B">
        <w:tab/>
      </w:r>
      <w:r w:rsidRPr="00831A0B">
        <w:rPr>
          <w:b/>
          <w:bCs/>
        </w:rPr>
        <w:t xml:space="preserve">Комитет рекомендует государству-участнику создать эффективные правовые механизмы для обеспечения того, чтобы компании проявляли должную осмотрительность в области прав человека, с тем чтобы: а) выявлять, </w:t>
      </w:r>
      <w:r w:rsidRPr="00831A0B">
        <w:rPr>
          <w:b/>
          <w:bCs/>
        </w:rPr>
        <w:lastRenderedPageBreak/>
        <w:t>предотвращать и смягчать риски нарушений прав, закрепленных в Пакте;</w:t>
      </w:r>
      <w:r w:rsidRPr="00831A0B">
        <w:t xml:space="preserve"> </w:t>
      </w:r>
      <w:r w:rsidRPr="00831A0B">
        <w:rPr>
          <w:b/>
          <w:bCs/>
        </w:rPr>
        <w:t>и</w:t>
      </w:r>
      <w:r>
        <w:rPr>
          <w:b/>
          <w:bCs/>
          <w:lang w:val="en-US"/>
        </w:rPr>
        <w:t> </w:t>
      </w:r>
      <w:r w:rsidRPr="00831A0B">
        <w:rPr>
          <w:b/>
          <w:bCs/>
        </w:rPr>
        <w:t>b)</w:t>
      </w:r>
      <w:r>
        <w:rPr>
          <w:b/>
          <w:bCs/>
          <w:lang w:val="en-US"/>
        </w:rPr>
        <w:t> </w:t>
      </w:r>
      <w:r w:rsidRPr="00831A0B">
        <w:rPr>
          <w:b/>
          <w:bCs/>
        </w:rPr>
        <w:t>не допускать нарушения прав, гарантированных Пактом, в цепочке поставок компаний, а также их субподрядчиков, поставщиков, франчайзи или других партнеров.</w:t>
      </w:r>
      <w:r w:rsidRPr="00831A0B">
        <w:t xml:space="preserve"> </w:t>
      </w:r>
      <w:r w:rsidRPr="00831A0B">
        <w:rPr>
          <w:b/>
          <w:bCs/>
        </w:rPr>
        <w:t>Комитет рекомендует государству-участнику продолжать свои усилия по обеспечению доступа к механизмам подачи жалоб в тех случаях, когда компании, зарегистрированные в государстве-участнике, причастны к нарушениям прав человека за рубежом.</w:t>
      </w:r>
      <w:r w:rsidRPr="00831A0B">
        <w:t xml:space="preserve"> </w:t>
      </w:r>
      <w:r w:rsidRPr="00831A0B">
        <w:rPr>
          <w:b/>
          <w:bCs/>
        </w:rPr>
        <w:t>Комитет отсылает государство-участник к своему замечанию общего порядка № 24 (2017) об обязательствах государств по Международному пакту об экономических, социальных и культурных правах в контексте предпринимательской деятельности.</w:t>
      </w:r>
      <w:r w:rsidRPr="00831A0B">
        <w:t xml:space="preserve"> </w:t>
      </w:r>
    </w:p>
    <w:p w14:paraId="568D6EC7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Международное сотрудничество для достижения максимальных пределов имеющихся ресурсов </w:t>
      </w:r>
    </w:p>
    <w:p w14:paraId="0ADFA4AF" w14:textId="77777777" w:rsidR="00831A0B" w:rsidRPr="00831A0B" w:rsidRDefault="00831A0B" w:rsidP="00831A0B">
      <w:pPr>
        <w:pStyle w:val="SingleTxtG"/>
        <w:rPr>
          <w:b/>
        </w:rPr>
      </w:pPr>
      <w:r w:rsidRPr="00831A0B">
        <w:t>12.</w:t>
      </w:r>
      <w:r w:rsidRPr="00831A0B">
        <w:tab/>
        <w:t>Комитет отмечает усилия государства-участника по борьбе с трансграничным уклонением от уплаты налогов и достигнутые в этой связи результаты. Тем не менее Комитет с обеспокоенностью отмечает, что незаконные финансовые потоки из третьих стран продолжают поступать в финансовые учреждения государства-участника, что негативно сказывается на наличии финансовых ресурсов, необходимых для осуществления экономических, социальных и культурных прав в этих странах (статья</w:t>
      </w:r>
      <w:r>
        <w:rPr>
          <w:lang w:val="en-US"/>
        </w:rPr>
        <w:t> </w:t>
      </w:r>
      <w:r w:rsidRPr="00831A0B">
        <w:t>2).</w:t>
      </w:r>
    </w:p>
    <w:p w14:paraId="40BD7FA0" w14:textId="77777777" w:rsidR="00831A0B" w:rsidRPr="00831A0B" w:rsidRDefault="00831A0B" w:rsidP="00831A0B">
      <w:pPr>
        <w:pStyle w:val="SingleTxtG"/>
        <w:rPr>
          <w:b/>
        </w:rPr>
      </w:pPr>
      <w:r w:rsidRPr="00831A0B">
        <w:t>13.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принять строгие меры по борьбе с уклонением от налогов, в частности когда оно практикуется богатыми компаниями и отдельными лицами, и активизировать свои усилия по борьбе с уклонением от налогов на глобальном уровне, в том числе путем обеспечения того, чтобы государственные и частные финансовые учреждения подпадали под надлежащее регулирование в целях содействия усилиям по борьбе со схемами уклонения от налогов и их избежания.</w:t>
      </w:r>
      <w:r w:rsidRPr="00831A0B">
        <w:t xml:space="preserve"> </w:t>
      </w:r>
      <w:r w:rsidRPr="00831A0B">
        <w:rPr>
          <w:b/>
          <w:bCs/>
        </w:rPr>
        <w:t>Комитет призывает государство-участник выполнить рекомендации, содержащиеся в докладе Независимого эксперта по вопросу о последствиях внешней задолженности и других соответствующих международных финансовых обязательств государств для полного осуществления всех прав человека, в частности экономических, социальных и культурных прав, о его поездке в Швейцарию в 2017 году (A/HRC/37/54/Add.3).</w:t>
      </w:r>
    </w:p>
    <w:p w14:paraId="40D603DA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Соглашения о свободной торговле </w:t>
      </w:r>
    </w:p>
    <w:p w14:paraId="6D5E9D28" w14:textId="77777777" w:rsidR="00831A0B" w:rsidRPr="00831A0B" w:rsidRDefault="00831A0B" w:rsidP="00831A0B">
      <w:pPr>
        <w:pStyle w:val="SingleTxtG"/>
        <w:rPr>
          <w:b/>
        </w:rPr>
      </w:pPr>
      <w:r w:rsidRPr="00831A0B">
        <w:t>14.</w:t>
      </w:r>
      <w:r w:rsidRPr="00831A0B">
        <w:tab/>
        <w:t xml:space="preserve">Комитет обеспокоен тем, что государство-участник не проводит оценок воздействия, которое соглашения о свободной торговле могут оказать на права человека в государстве-участнике, а также в странах-партнерах (статья 2). </w:t>
      </w:r>
    </w:p>
    <w:p w14:paraId="61BFF500" w14:textId="77777777" w:rsidR="00831A0B" w:rsidRPr="00831A0B" w:rsidRDefault="00831A0B" w:rsidP="00831A0B">
      <w:pPr>
        <w:pStyle w:val="SingleTxtG"/>
        <w:rPr>
          <w:b/>
        </w:rPr>
      </w:pPr>
      <w:r w:rsidRPr="00831A0B">
        <w:t>15.</w:t>
      </w:r>
      <w:r w:rsidRPr="00831A0B">
        <w:tab/>
      </w:r>
      <w:r w:rsidRPr="00831A0B">
        <w:rPr>
          <w:b/>
          <w:bCs/>
        </w:rPr>
        <w:t>Комитет напоминает о своих рекомендациях, вынесенных в предыдущих заключительных замечаниях (пункт 24), и призывает государство-участник проводить систематические оценки воздействия для определения возможных последствий заключения соглашений о свободной торговле для прав человека, включая экономические, социальные и культурные права, в государстве-участнике и в странах-партнерах.</w:t>
      </w:r>
      <w:r w:rsidRPr="00831A0B">
        <w:t xml:space="preserve"> </w:t>
      </w:r>
    </w:p>
    <w:p w14:paraId="1C26E961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Официальная помощь в целях развития </w:t>
      </w:r>
    </w:p>
    <w:p w14:paraId="1BD3E2B1" w14:textId="77777777" w:rsidR="00831A0B" w:rsidRPr="00831A0B" w:rsidRDefault="00831A0B" w:rsidP="00831A0B">
      <w:pPr>
        <w:pStyle w:val="SingleTxtG"/>
        <w:rPr>
          <w:b/>
        </w:rPr>
      </w:pPr>
      <w:r w:rsidRPr="00831A0B">
        <w:t>16.</w:t>
      </w:r>
      <w:r w:rsidRPr="00831A0B">
        <w:tab/>
        <w:t>Комитет с обеспокоенностью отмечает, что вклад государства-участника в официальную помощь в целях развития в 2017 году составил лишь 0,46% от валового национального дохода (статья 2).</w:t>
      </w:r>
    </w:p>
    <w:p w14:paraId="2AAC5979" w14:textId="77777777" w:rsidR="00831A0B" w:rsidRPr="00831A0B" w:rsidRDefault="00831A0B" w:rsidP="00831A0B">
      <w:pPr>
        <w:pStyle w:val="SingleTxtG"/>
        <w:rPr>
          <w:b/>
        </w:rPr>
      </w:pPr>
      <w:r w:rsidRPr="00831A0B">
        <w:t>17.</w:t>
      </w:r>
      <w:r w:rsidRPr="00831A0B">
        <w:tab/>
      </w:r>
      <w:r w:rsidRPr="00831A0B">
        <w:rPr>
          <w:b/>
          <w:bCs/>
        </w:rPr>
        <w:t>Комитет напоминает государству-участнику о своих рекомендациях, сформулированных в его предыдущих заключительных замечаниях (пункт 25), и</w:t>
      </w:r>
      <w:r w:rsidR="00B06C25">
        <w:rPr>
          <w:b/>
          <w:bCs/>
          <w:lang w:val="en-US"/>
        </w:rPr>
        <w:t> </w:t>
      </w:r>
      <w:r w:rsidRPr="00831A0B">
        <w:rPr>
          <w:b/>
          <w:bCs/>
        </w:rPr>
        <w:t>призывает его удвоить свои усилия для достижения международного целевого показателя, предусматривающего выделение 0,7% валового национального дохода на официальную помощь в целях развития.</w:t>
      </w:r>
      <w:r w:rsidRPr="00831A0B">
        <w:t xml:space="preserve"> </w:t>
      </w:r>
    </w:p>
    <w:p w14:paraId="30F14123" w14:textId="77777777" w:rsidR="00831A0B" w:rsidRPr="00831A0B" w:rsidRDefault="00831A0B" w:rsidP="00831A0B">
      <w:pPr>
        <w:pStyle w:val="H23G"/>
      </w:pPr>
      <w:r w:rsidRPr="00831A0B">
        <w:lastRenderedPageBreak/>
        <w:tab/>
      </w:r>
      <w:r w:rsidRPr="00831A0B">
        <w:tab/>
        <w:t xml:space="preserve">Изменение климата </w:t>
      </w:r>
    </w:p>
    <w:p w14:paraId="325CAED0" w14:textId="77777777" w:rsidR="00831A0B" w:rsidRPr="00831A0B" w:rsidRDefault="00831A0B" w:rsidP="00831A0B">
      <w:pPr>
        <w:pStyle w:val="SingleTxtG"/>
        <w:rPr>
          <w:b/>
        </w:rPr>
      </w:pPr>
      <w:r w:rsidRPr="00831A0B">
        <w:t>18.</w:t>
      </w:r>
      <w:r w:rsidRPr="00831A0B">
        <w:tab/>
        <w:t xml:space="preserve">Комитет с обеспокоенностью отмечает, что государство-участник не предпринимает необходимых усилий для достижения целевого показателя сокращения выбросов парниковых газов к 2020 году и что целевой показатель сокращения выбросов на 50% по сравнению с уровнем 1990 года, установленный на 2030 год, не совместим с целевыми показателями смягчения последствий глобального потепления, установленными международным сообществом. Комитет также с обеспокоенностью отмечает информацию о том, что государственные и частные финансовые учреждения, включая пенсионные фонды, продолжают осуществлять значительные инвестиции в добычу ископаемых видов топлива, несмотря на ее негативное воздействие на климат. </w:t>
      </w:r>
    </w:p>
    <w:p w14:paraId="28AB25E6" w14:textId="77777777" w:rsidR="00831A0B" w:rsidRPr="00831A0B" w:rsidRDefault="00831A0B" w:rsidP="00831A0B">
      <w:pPr>
        <w:pStyle w:val="SingleTxtG"/>
        <w:rPr>
          <w:b/>
        </w:rPr>
      </w:pPr>
      <w:r w:rsidRPr="00831A0B">
        <w:t>19.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активизировать свои усилия по достижению своих целевых показателей сокращения выбросов парниковых газов к 2020 году и пересмотреть их в сторону повышения, с тем чтобы они соответствовали обязательству не допустить повышения температур на более чем 1,5</w:t>
      </w:r>
      <w:r w:rsidR="00B06C25">
        <w:rPr>
          <w:b/>
          <w:bCs/>
          <w:lang w:val="en-US"/>
        </w:rPr>
        <w:t> </w:t>
      </w:r>
      <w:r w:rsidRPr="00831A0B">
        <w:rPr>
          <w:b/>
          <w:bCs/>
        </w:rPr>
        <w:t>°C. Комитет также рекомендует государству-участнику принять необходимые меры для сокращения государственных и частных инвестиций в добычу ископаемых видов топлива и обеспечить, чтобы они были совместимы с необходимостью сокращения выбросов парниковых газов.</w:t>
      </w:r>
      <w:r w:rsidRPr="00831A0B">
        <w:t xml:space="preserve"> </w:t>
      </w:r>
      <w:r w:rsidRPr="00831A0B">
        <w:rPr>
          <w:b/>
          <w:bCs/>
        </w:rPr>
        <w:t>В этой связи он ссылается на свое Заявление об изменении климата и Международном пакте об экономических, социальных и культурных правах (E/C.12/2018/1), принятую 8</w:t>
      </w:r>
      <w:r>
        <w:rPr>
          <w:b/>
          <w:bCs/>
          <w:lang w:val="en-US"/>
        </w:rPr>
        <w:t> </w:t>
      </w:r>
      <w:r w:rsidRPr="00831A0B">
        <w:rPr>
          <w:b/>
          <w:bCs/>
        </w:rPr>
        <w:t>октября 2018 года, и на совместное заявление о правах человека и изменении климата, сделанное Комитетом по ликвидации дискриминации в отношении женщин, Комитетом по экономическим, социальным и культурным правам, Комитетом по правам трудящихся-мигрантов, Комитетом по правам ребенка и Комитетом по правам инвалидов 16 сентября 2019 года.</w:t>
      </w:r>
      <w:r w:rsidRPr="00831A0B">
        <w:t xml:space="preserve"> </w:t>
      </w:r>
    </w:p>
    <w:p w14:paraId="48D9B535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Недискриминация </w:t>
      </w:r>
    </w:p>
    <w:p w14:paraId="6309851F" w14:textId="77777777" w:rsidR="00831A0B" w:rsidRPr="00831A0B" w:rsidRDefault="00831A0B" w:rsidP="00831A0B">
      <w:pPr>
        <w:pStyle w:val="SingleTxtG"/>
      </w:pPr>
      <w:r w:rsidRPr="00831A0B">
        <w:t>20.</w:t>
      </w:r>
      <w:r w:rsidRPr="00831A0B">
        <w:tab/>
        <w:t>Комитет принимает к сведению представленные государством-участником разъяснения о ходе осуществления политики и стратегий по борьбе с дискриминацией. Вместе с тем он сожалеет, что отсутствие общего закона о борьбе с дискриминацией по-прежнему является препятствием для доступа жертв к эффективным средствам правовой защиты и надлежащей защите от всех запрещенных оснований и многочисленных форм дискриминации. Он также по-прежнему обеспокоен тем, что на практике некоторые лица и группы, такие как лесбиянки, геи, бисексуалы, трансгендеры и интерсексуалы, инвалиды, мигранты и лица, живущие в бедности, продолжают подвергаться дискриминации (статья 2).</w:t>
      </w:r>
    </w:p>
    <w:p w14:paraId="7F44F26A" w14:textId="77777777" w:rsidR="00831A0B" w:rsidRPr="00831A0B" w:rsidRDefault="00831A0B" w:rsidP="00831A0B">
      <w:pPr>
        <w:pStyle w:val="SingleTxtG"/>
        <w:rPr>
          <w:b/>
        </w:rPr>
      </w:pPr>
      <w:r w:rsidRPr="00831A0B">
        <w:t>21.</w:t>
      </w:r>
      <w:r w:rsidRPr="00831A0B">
        <w:tab/>
      </w:r>
      <w:r w:rsidRPr="00831A0B">
        <w:rPr>
          <w:b/>
          <w:bCs/>
        </w:rPr>
        <w:t>Комитет напоминает государству-участнику о своих рекомендациях, сформулированных в предыдущих заключительных замечаниях (пункт 7), и</w:t>
      </w:r>
      <w:r>
        <w:rPr>
          <w:b/>
          <w:bCs/>
          <w:lang w:val="en-US"/>
        </w:rPr>
        <w:t> </w:t>
      </w:r>
      <w:r w:rsidRPr="00831A0B">
        <w:rPr>
          <w:b/>
          <w:bCs/>
        </w:rPr>
        <w:t>рекомендует ему принять общее законодательство по борьбе с дискриминацией, одинаково применимое на всей территории Конфедерации, которое а)</w:t>
      </w:r>
      <w:r>
        <w:rPr>
          <w:b/>
          <w:bCs/>
          <w:lang w:val="en-US"/>
        </w:rPr>
        <w:t> </w:t>
      </w:r>
      <w:r w:rsidRPr="00831A0B">
        <w:rPr>
          <w:b/>
          <w:bCs/>
        </w:rPr>
        <w:t>охватывало бы все запрещенные основания для дискриминации, включая дискриминацию по экономическим и социальным признакам, а также по признаку сексуальной идентичности;</w:t>
      </w:r>
      <w:r w:rsidRPr="00831A0B">
        <w:t xml:space="preserve"> </w:t>
      </w:r>
      <w:r w:rsidRPr="00831A0B">
        <w:rPr>
          <w:b/>
          <w:bCs/>
        </w:rPr>
        <w:t>b) определяло бы множественную дискриминацию;</w:t>
      </w:r>
      <w:r w:rsidRPr="00831A0B">
        <w:t xml:space="preserve"> </w:t>
      </w:r>
      <w:r w:rsidRPr="00831A0B">
        <w:rPr>
          <w:b/>
          <w:bCs/>
        </w:rPr>
        <w:t>c) запрещало бы прямую и косвенную дискриминацию;</w:t>
      </w:r>
      <w:r w:rsidRPr="00831A0B">
        <w:t xml:space="preserve"> </w:t>
      </w:r>
      <w:r w:rsidRPr="00831A0B">
        <w:rPr>
          <w:b/>
          <w:bCs/>
        </w:rPr>
        <w:t>и</w:t>
      </w:r>
      <w:r>
        <w:rPr>
          <w:b/>
          <w:bCs/>
          <w:lang w:val="en-US"/>
        </w:rPr>
        <w:t> </w:t>
      </w:r>
      <w:r w:rsidRPr="00831A0B">
        <w:rPr>
          <w:b/>
          <w:bCs/>
        </w:rPr>
        <w:t>d)</w:t>
      </w:r>
      <w:r>
        <w:rPr>
          <w:b/>
          <w:bCs/>
          <w:lang w:val="en-US"/>
        </w:rPr>
        <w:t> </w:t>
      </w:r>
      <w:r w:rsidRPr="00831A0B">
        <w:rPr>
          <w:b/>
          <w:bCs/>
        </w:rPr>
        <w:t>предусматривало бы судебные или административные средства правовой защиты для потерпевших, с тем чтобы они могли воспользоваться эффективной защитой.</w:t>
      </w:r>
      <w:r w:rsidRPr="00831A0B">
        <w:t xml:space="preserve"> </w:t>
      </w:r>
      <w:r w:rsidRPr="00831A0B">
        <w:rPr>
          <w:b/>
          <w:bCs/>
        </w:rPr>
        <w:t>Кроме того, Комитет рекомендует государству-участнику продолжать свои усилия по предупреждению продолжающейся дискриминации в отношении некоторых лиц и групп и борьбе с ней, в том числе посредством проведения информационно-просветительских кампаний, с тем чтобы обеспечить полное осуществление прав, признанных в Пакте.</w:t>
      </w:r>
      <w:r w:rsidRPr="00831A0B">
        <w:t xml:space="preserve"> </w:t>
      </w:r>
      <w:r w:rsidRPr="00831A0B">
        <w:rPr>
          <w:b/>
          <w:bCs/>
        </w:rPr>
        <w:t>В этой связи Комитет обращает внимание государства-участника на свое замечание общего порядка № 20 (2009) о недискриминации экономических, социальных и культурных прав.</w:t>
      </w:r>
    </w:p>
    <w:p w14:paraId="1314CBE4" w14:textId="77777777" w:rsidR="00831A0B" w:rsidRPr="00831A0B" w:rsidRDefault="00831A0B" w:rsidP="00831A0B">
      <w:pPr>
        <w:pStyle w:val="H23G"/>
      </w:pPr>
      <w:r w:rsidRPr="00831A0B">
        <w:lastRenderedPageBreak/>
        <w:tab/>
      </w:r>
      <w:r w:rsidRPr="00831A0B">
        <w:tab/>
        <w:t xml:space="preserve">Равенство между мужчинами и женщинами </w:t>
      </w:r>
    </w:p>
    <w:p w14:paraId="1FDE9537" w14:textId="77777777" w:rsidR="00831A0B" w:rsidRPr="00831A0B" w:rsidRDefault="00831A0B" w:rsidP="00831A0B">
      <w:pPr>
        <w:pStyle w:val="SingleTxtG"/>
        <w:rPr>
          <w:b/>
        </w:rPr>
      </w:pPr>
      <w:r w:rsidRPr="00831A0B">
        <w:t>22.</w:t>
      </w:r>
      <w:r w:rsidRPr="00831A0B">
        <w:tab/>
        <w:t xml:space="preserve">Несмотря на многочисленные усилия государства-участника по поощрению гендерного равенства, традиционные роли, связанные с местом женщин и мужчин в семье и обществе, по-прежнему препятствуют полному осуществлению женщинами своих экономических, социальных и культурных прав. Комитет с обеспокоенностью отмечает, что большинство женщин работают в течение неполного рабочего дня и что это усугубляет разрыв в размерах заработной платы между мужчинами и женщинами. Комитет также обеспокоен сохраняющимися препятствиями, с которыми сталкиваются женщины для получения доступа к руководящим и ответственным должностям (статья 3). </w:t>
      </w:r>
    </w:p>
    <w:p w14:paraId="390F18FA" w14:textId="77777777" w:rsidR="00831A0B" w:rsidRPr="00831A0B" w:rsidRDefault="00831A0B" w:rsidP="00831A0B">
      <w:pPr>
        <w:pStyle w:val="SingleTxtG"/>
        <w:rPr>
          <w:b/>
        </w:rPr>
      </w:pPr>
      <w:r w:rsidRPr="00831A0B">
        <w:t>23.</w:t>
      </w:r>
      <w:r w:rsidRPr="00831A0B">
        <w:tab/>
      </w:r>
      <w:r w:rsidRPr="00831A0B">
        <w:rPr>
          <w:b/>
          <w:bCs/>
        </w:rPr>
        <w:t>Комитет рекомендует государству-участнику удвоить свои усилия по достижению реального равенства между мужчинами и женщинами, и в частности:</w:t>
      </w:r>
    </w:p>
    <w:p w14:paraId="133DF8ED" w14:textId="77777777" w:rsidR="00831A0B" w:rsidRPr="00831A0B" w:rsidRDefault="00831A0B" w:rsidP="00831A0B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831A0B">
        <w:rPr>
          <w:b/>
          <w:bCs/>
        </w:rPr>
        <w:t>а)</w:t>
      </w:r>
      <w:r w:rsidRPr="00831A0B">
        <w:tab/>
      </w:r>
      <w:r w:rsidRPr="00831A0B">
        <w:rPr>
          <w:b/>
          <w:bCs/>
        </w:rPr>
        <w:t>принять конкретные меры по борьбе с восприятием традиционных ролей мужчин и женщин в семье и обществе в целях обеспечения равных профессиональных возможностей;</w:t>
      </w:r>
      <w:r w:rsidRPr="00831A0B">
        <w:t xml:space="preserve"> </w:t>
      </w:r>
    </w:p>
    <w:p w14:paraId="4B836839" w14:textId="77777777" w:rsidR="00831A0B" w:rsidRPr="00831A0B" w:rsidRDefault="00831A0B" w:rsidP="00831A0B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831A0B">
        <w:rPr>
          <w:b/>
          <w:bCs/>
        </w:rPr>
        <w:t>b)</w:t>
      </w:r>
      <w:r w:rsidRPr="00831A0B">
        <w:tab/>
      </w:r>
      <w:r w:rsidRPr="00831A0B">
        <w:rPr>
          <w:b/>
          <w:bCs/>
        </w:rPr>
        <w:t>продолжать содействовать расширению представленности женщин на всех уровнях государственного управления, в частности на руководящих должностях, а также занятию ими руководящих должностей в частном секторе;</w:t>
      </w:r>
    </w:p>
    <w:p w14:paraId="0B424188" w14:textId="77777777" w:rsidR="00831A0B" w:rsidRPr="00831A0B" w:rsidRDefault="00831A0B" w:rsidP="00831A0B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831A0B">
        <w:rPr>
          <w:b/>
          <w:bCs/>
        </w:rPr>
        <w:t>c)</w:t>
      </w:r>
      <w:r w:rsidRPr="00831A0B">
        <w:tab/>
      </w:r>
      <w:r w:rsidRPr="00831A0B">
        <w:rPr>
          <w:b/>
          <w:bCs/>
        </w:rPr>
        <w:t>принять эффективные меры для ликвидации сохраняющегося разрыва в размерах заработной платы между мужчинами и женщинами, в том числе путем устранения структурных причин, ведущих к тому, что женщины занимают низкооплачиваемую работу и сталкиваются с препятствиями, не позволяющими им иметь равные с мужчинами возможности для карьерного роста;</w:t>
      </w:r>
    </w:p>
    <w:p w14:paraId="07D8A453" w14:textId="77777777" w:rsidR="00831A0B" w:rsidRPr="00831A0B" w:rsidRDefault="00831A0B" w:rsidP="00831A0B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831A0B">
        <w:rPr>
          <w:b/>
          <w:bCs/>
        </w:rPr>
        <w:t>d)</w:t>
      </w:r>
      <w:r w:rsidRPr="00831A0B">
        <w:tab/>
      </w:r>
      <w:r w:rsidRPr="00831A0B">
        <w:rPr>
          <w:b/>
          <w:bCs/>
        </w:rPr>
        <w:t>принять во внимание его замечание общего порядка № 16 (2005) о</w:t>
      </w:r>
      <w:r>
        <w:rPr>
          <w:b/>
          <w:bCs/>
          <w:lang w:val="en-US"/>
        </w:rPr>
        <w:t> </w:t>
      </w:r>
      <w:r w:rsidRPr="00831A0B">
        <w:rPr>
          <w:b/>
          <w:bCs/>
        </w:rPr>
        <w:t>равном для мужчин и женщин праве пользования всеми экономическими, социальными и культурными правами.</w:t>
      </w:r>
      <w:r w:rsidRPr="00831A0B">
        <w:t xml:space="preserve"> </w:t>
      </w:r>
    </w:p>
    <w:p w14:paraId="1D24B42F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>Право на труд</w:t>
      </w:r>
    </w:p>
    <w:p w14:paraId="2421331C" w14:textId="77777777" w:rsidR="00831A0B" w:rsidRPr="00831A0B" w:rsidRDefault="00831A0B" w:rsidP="00831A0B">
      <w:pPr>
        <w:pStyle w:val="SingleTxtG"/>
        <w:rPr>
          <w:b/>
        </w:rPr>
      </w:pPr>
      <w:r w:rsidRPr="00831A0B">
        <w:t>24.</w:t>
      </w:r>
      <w:r w:rsidRPr="00831A0B">
        <w:tab/>
        <w:t>Комитет обеспокоен тем, что обеспечение полной интеграции инвалидов представляет собой сложную задачу и что инвалиды часто продолжают сталкиваться с дискриминацией в плане доступа к рынку труда. Кроме того, инвалиды часто работают в закрытых мастерских и получают недостаточное вознаграждение для обеспечения достойного уровня жизни. Кроме того, Комитет с обеспокоенностью отмечает, что показатель долгосрочной безработицы выше среди пожилых людей и что они сталкиваются с большими трудностями при возвращении на рынок труда (статьи 6 и 7).</w:t>
      </w:r>
    </w:p>
    <w:p w14:paraId="28B29051" w14:textId="77777777" w:rsidR="00831A0B" w:rsidRPr="00831A0B" w:rsidRDefault="00831A0B" w:rsidP="00831A0B">
      <w:pPr>
        <w:pStyle w:val="SingleTxtG"/>
        <w:rPr>
          <w:b/>
        </w:rPr>
      </w:pPr>
      <w:r w:rsidRPr="00831A0B">
        <w:t>25.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активизировать свои усилия по решению проблем, с которыми сталкиваются некоторые группы населения, включая инвалидов и пожилых людей, в плане доступа к занятости.</w:t>
      </w:r>
      <w:r w:rsidRPr="00831A0B">
        <w:t xml:space="preserve"> </w:t>
      </w:r>
      <w:r w:rsidRPr="00831A0B">
        <w:rPr>
          <w:b/>
          <w:bCs/>
        </w:rPr>
        <w:t>Комитет призывает государство-участник осуществлять стратегии, направленные на полную интеграцию этих групп населения на рынке труда.</w:t>
      </w:r>
      <w:r w:rsidRPr="00831A0B">
        <w:t xml:space="preserve"> </w:t>
      </w:r>
      <w:r w:rsidRPr="00831A0B">
        <w:rPr>
          <w:b/>
          <w:bCs/>
        </w:rPr>
        <w:t>Кроме того, Комитет рекомендует государству-участнику обеспечить, чтобы инвалиды, работающие в закрытых мастерских, в полной мере обеспечивались мерами трудовой и социальной защиты, включая адекватное вознаграждение, и принять эффективные меры по содействию их выходу на обычный рынок труда.</w:t>
      </w:r>
      <w:r w:rsidRPr="00831A0B">
        <w:t xml:space="preserve"> </w:t>
      </w:r>
      <w:r w:rsidRPr="00831A0B">
        <w:rPr>
          <w:b/>
          <w:bCs/>
        </w:rPr>
        <w:t>Он</w:t>
      </w:r>
      <w:r>
        <w:rPr>
          <w:b/>
          <w:bCs/>
          <w:lang w:val="en-US"/>
        </w:rPr>
        <w:t> </w:t>
      </w:r>
      <w:r w:rsidRPr="00831A0B">
        <w:rPr>
          <w:b/>
          <w:bCs/>
        </w:rPr>
        <w:t>настоятельно призывает государство-участник активизировать свои усилия по принятию, при участии социальных партнеров, эффективных мер по борьбе с безработицей среди пожилых трудящихся.</w:t>
      </w:r>
      <w:r w:rsidRPr="00831A0B">
        <w:t xml:space="preserve"> </w:t>
      </w:r>
      <w:r w:rsidRPr="00831A0B">
        <w:rPr>
          <w:b/>
          <w:bCs/>
        </w:rPr>
        <w:t>Комитет обращает внимание государства-участника на свое замечание общего порядка № 18 (2005) о праве на труд.</w:t>
      </w:r>
      <w:r w:rsidRPr="00831A0B">
        <w:t xml:space="preserve"> </w:t>
      </w:r>
    </w:p>
    <w:p w14:paraId="6557306A" w14:textId="77777777" w:rsidR="00831A0B" w:rsidRPr="00831A0B" w:rsidRDefault="00831A0B" w:rsidP="00831A0B">
      <w:pPr>
        <w:pStyle w:val="SingleTxtG"/>
        <w:rPr>
          <w:b/>
        </w:rPr>
      </w:pPr>
      <w:r w:rsidRPr="00831A0B">
        <w:t>26.</w:t>
      </w:r>
      <w:r w:rsidRPr="00831A0B">
        <w:tab/>
        <w:t>Приветствуя поправку к Федеральному закону № 142.20 от 16 декабря 2005 года об иностранцах и интеграции, статья 21 которого с поправками, внесенными в 2016</w:t>
      </w:r>
      <w:r>
        <w:rPr>
          <w:lang w:val="en-US"/>
        </w:rPr>
        <w:t> </w:t>
      </w:r>
      <w:r w:rsidRPr="00831A0B">
        <w:t xml:space="preserve">году, рассматривает иностранцев, временно допущенных в Швейцарию, в </w:t>
      </w:r>
      <w:r w:rsidRPr="00831A0B">
        <w:lastRenderedPageBreak/>
        <w:t>качестве трудящихся, Комитет по-прежнему обеспокоен трудностями, с которыми сталкиваются иностранцы, особенно лица, временно допущенные в страну, при выходе на рынок труда (статья 6).</w:t>
      </w:r>
    </w:p>
    <w:p w14:paraId="5CE94D2A" w14:textId="77777777" w:rsidR="00831A0B" w:rsidRPr="00831A0B" w:rsidRDefault="00831A0B" w:rsidP="00831A0B">
      <w:pPr>
        <w:pStyle w:val="SingleTxtG"/>
        <w:rPr>
          <w:b/>
        </w:rPr>
      </w:pPr>
      <w:r w:rsidRPr="00831A0B">
        <w:t>27.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принять необходимые меры для облегчения доступа к трудоустройству лиц иностранного гражданства, в том числе лиц, временно допущенных в страну.</w:t>
      </w:r>
      <w:r w:rsidRPr="00831A0B">
        <w:t xml:space="preserve"> </w:t>
      </w:r>
    </w:p>
    <w:p w14:paraId="7D422B5B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Минимальная заработная плата </w:t>
      </w:r>
    </w:p>
    <w:p w14:paraId="6E863FDC" w14:textId="77777777" w:rsidR="00831A0B" w:rsidRPr="00831A0B" w:rsidRDefault="00831A0B" w:rsidP="00831A0B">
      <w:pPr>
        <w:pStyle w:val="SingleTxtG"/>
      </w:pPr>
      <w:r w:rsidRPr="00831A0B">
        <w:t>28.</w:t>
      </w:r>
      <w:r w:rsidRPr="00831A0B">
        <w:tab/>
        <w:t>С учетом сообщений о том, что заработная плата, указанная в коллективных трудовых договорах, не всегда обеспечивает достаточный жизненный уровень, Комитет обеспокоен тем, что государство-участник не имеет системы минимальной заработной платы на федеральном уровне и что только два кантона ввели местный минимальный размер оплаты труда (статья 7).</w:t>
      </w:r>
    </w:p>
    <w:p w14:paraId="2F4CDA3A" w14:textId="77777777" w:rsidR="00831A0B" w:rsidRPr="00831A0B" w:rsidRDefault="00831A0B" w:rsidP="00831A0B">
      <w:pPr>
        <w:pStyle w:val="SingleTxtG"/>
        <w:rPr>
          <w:b/>
        </w:rPr>
      </w:pPr>
      <w:r w:rsidRPr="00831A0B">
        <w:t>29.</w:t>
      </w:r>
      <w:r w:rsidRPr="00831A0B">
        <w:tab/>
      </w:r>
      <w:r w:rsidRPr="00831A0B">
        <w:rPr>
          <w:b/>
          <w:bCs/>
        </w:rPr>
        <w:t>Комитет рекомендует государству-участнику совместно с социальными партнерами установить регулярно индексируемую</w:t>
      </w:r>
      <w:r w:rsidRPr="00831A0B">
        <w:t xml:space="preserve"> </w:t>
      </w:r>
      <w:r w:rsidRPr="00831A0B">
        <w:rPr>
          <w:b/>
          <w:bCs/>
        </w:rPr>
        <w:t>минимальную заработную плату на достаточном уровне, с тем чтобы обеспечить достойные условия жизни для всех трудящихся и членов их семей.</w:t>
      </w:r>
      <w:r w:rsidRPr="00831A0B">
        <w:t xml:space="preserve"> </w:t>
      </w:r>
      <w:r w:rsidRPr="00831A0B">
        <w:rPr>
          <w:b/>
          <w:bCs/>
        </w:rPr>
        <w:t>Он обращает внимание государства-участника на свое замечание общего порядка № 23 (2016) о праве на справедливые и благоприятные условия труда.</w:t>
      </w:r>
    </w:p>
    <w:p w14:paraId="325CADED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>Равное вознаграждение за труд равной ценности</w:t>
      </w:r>
    </w:p>
    <w:p w14:paraId="2889222F" w14:textId="77777777" w:rsidR="00831A0B" w:rsidRPr="00831A0B" w:rsidRDefault="00831A0B" w:rsidP="00831A0B">
      <w:pPr>
        <w:pStyle w:val="SingleTxtG"/>
      </w:pPr>
      <w:r w:rsidRPr="00831A0B">
        <w:t>30.</w:t>
      </w:r>
      <w:r w:rsidRPr="00831A0B">
        <w:tab/>
        <w:t>Комитет по-прежнему выражает озабоченность по поводу трудностей, с которыми сталкивается государство-участник в ходе осуществления принципа равного вознаграждения за труд равной ценности, в частности, из-за отсутствия всеобъемлющей стратегии осуществления этого принципа и принудительных мер в случае несоблюдения (статья 7).</w:t>
      </w:r>
    </w:p>
    <w:p w14:paraId="2FF12AAF" w14:textId="77777777" w:rsidR="00831A0B" w:rsidRPr="00831A0B" w:rsidRDefault="00831A0B" w:rsidP="00831A0B">
      <w:pPr>
        <w:pStyle w:val="SingleTxtG"/>
        <w:rPr>
          <w:b/>
        </w:rPr>
      </w:pPr>
      <w:r w:rsidRPr="00831A0B">
        <w:t>31.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активизировать свои усилия по обеспечению применения принципа равного вознаграждения за труд равной ценности, в том числе путем разработки системы проведения сравнительных исследований между различными категориями профессий, в целях подготовки всеобъемлющей стратегии устранения разницы в заработной плате и принятия принудительных мер, включая санкции, в случае несоблюдения этого принципа.</w:t>
      </w:r>
      <w:r w:rsidRPr="00831A0B">
        <w:t xml:space="preserve"> </w:t>
      </w:r>
    </w:p>
    <w:p w14:paraId="51FF4B99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>Работа в качестве домашней прислуги</w:t>
      </w:r>
    </w:p>
    <w:p w14:paraId="4A04061F" w14:textId="77777777" w:rsidR="00831A0B" w:rsidRPr="00831A0B" w:rsidRDefault="00831A0B" w:rsidP="00831A0B">
      <w:pPr>
        <w:pStyle w:val="SingleTxtG"/>
      </w:pPr>
      <w:r w:rsidRPr="00831A0B">
        <w:t>32.</w:t>
      </w:r>
      <w:r w:rsidRPr="00831A0B">
        <w:tab/>
        <w:t>Комитет отмечает, что в государств</w:t>
      </w:r>
      <w:r w:rsidR="00B06C25">
        <w:t>е</w:t>
      </w:r>
      <w:r w:rsidRPr="00831A0B">
        <w:t>-участнике приблизительно 49 000 человек, в основном женщины из числа трудящихся-мигрантов, заняты в домашних хозяйствах, и с обеспокоенностью отмечает, что защита, обеспечиваемая Федеральным законом о труде, не распространяется на этот вид работы. Комитет обеспокоен отсутствием эффективных механизмов защиты этих трудящихся от эксплуатации, злоупотреблений и домогательств (статья 7).</w:t>
      </w:r>
    </w:p>
    <w:p w14:paraId="176BAF6D" w14:textId="77777777" w:rsidR="00831A0B" w:rsidRPr="00831A0B" w:rsidRDefault="00831A0B" w:rsidP="00831A0B">
      <w:pPr>
        <w:pStyle w:val="SingleTxtG"/>
        <w:rPr>
          <w:b/>
        </w:rPr>
      </w:pPr>
      <w:r w:rsidRPr="00831A0B">
        <w:t>33.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принять дополнительные меры для обеспечения того, чтобы домашние работники пользовалась теми же условиями, что и другие трудящиеся, с точки зрения вознаграждения, отдыха и досуга, ограничения рабочего времени и защиты от несправедливого увольнения.</w:t>
      </w:r>
      <w:r w:rsidRPr="00831A0B">
        <w:t xml:space="preserve"> </w:t>
      </w:r>
      <w:r w:rsidRPr="00831A0B">
        <w:rPr>
          <w:b/>
          <w:bCs/>
        </w:rPr>
        <w:t>Он также рекомендует государству-участнику обеспечить их защиту от всех форм эксплуатации и неправомерного обращения.</w:t>
      </w:r>
      <w:r w:rsidRPr="00831A0B">
        <w:t xml:space="preserve"> </w:t>
      </w:r>
      <w:r w:rsidRPr="00831A0B">
        <w:rPr>
          <w:b/>
          <w:bCs/>
        </w:rPr>
        <w:t>Кроме того, он рекомендует государству-участнику усовершенствовать механизмы подачи жалоб, с тем чтобы сделать их легкодоступными для этой категории трудящихся, и создать эффективные инспекционные механизмы для контроля за условиями их труда.</w:t>
      </w:r>
      <w:r w:rsidRPr="00831A0B">
        <w:t xml:space="preserve"> </w:t>
      </w:r>
      <w:r w:rsidRPr="00831A0B">
        <w:rPr>
          <w:b/>
          <w:bCs/>
        </w:rPr>
        <w:t>Комитет обращает внимание государства-участника на свое замечание общего порядка № 23.</w:t>
      </w:r>
    </w:p>
    <w:p w14:paraId="1935AC1C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>Дискриминация и домогательства на рабочем месте</w:t>
      </w:r>
    </w:p>
    <w:p w14:paraId="3B187AE6" w14:textId="77777777" w:rsidR="00831A0B" w:rsidRPr="00831A0B" w:rsidRDefault="00831A0B" w:rsidP="00831A0B">
      <w:pPr>
        <w:pStyle w:val="SingleTxtG"/>
      </w:pPr>
      <w:r w:rsidRPr="00831A0B">
        <w:t>34.</w:t>
      </w:r>
      <w:r w:rsidRPr="00831A0B">
        <w:tab/>
        <w:t xml:space="preserve">Комитет с обеспокоенностью отмечает сообщения о том, что случаи несправедливого увольнения во время беременности, а также случаи сексуальных </w:t>
      </w:r>
      <w:r w:rsidRPr="00831A0B">
        <w:lastRenderedPageBreak/>
        <w:t>домогательств и дискриминации по признаку сексуальной ориентации или гендерной идентичности продолжают иметь место и что существующие механизмы не гарантируют эффективную защиту от подобных действий (статьи 7 и 10).</w:t>
      </w:r>
    </w:p>
    <w:p w14:paraId="352FA365" w14:textId="77777777" w:rsidR="00831A0B" w:rsidRPr="00831A0B" w:rsidRDefault="00831A0B" w:rsidP="00831A0B">
      <w:pPr>
        <w:pStyle w:val="SingleTxtG"/>
        <w:rPr>
          <w:b/>
        </w:rPr>
      </w:pPr>
      <w:r w:rsidRPr="00831A0B">
        <w:t>35.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принять все необходимые законодательные и административные меры, в том числе с помощью трудовых инспекций, с тем чтобы запретить работодателям увольнять женщин и отказывать им в найме или возобновлении срочных трудовых контрактов по причине беременности, родов и отпуска по беременности и родам.</w:t>
      </w:r>
      <w:r w:rsidRPr="00831A0B">
        <w:t xml:space="preserve"> </w:t>
      </w:r>
      <w:r w:rsidRPr="00831A0B">
        <w:rPr>
          <w:b/>
          <w:bCs/>
        </w:rPr>
        <w:t>Комитет рекомендует государству-участнику принять эффективные меры по защите жертв несправедливого увольнения, сексуальных домогательств и дискриминации по признаку сексуальной ориентации или гендерной идентичности, в том числе путем переноса бремени доказывания в ходе судебного разбирательства на другую сторону.</w:t>
      </w:r>
    </w:p>
    <w:p w14:paraId="7F9C2B5C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Профсоюзные права </w:t>
      </w:r>
    </w:p>
    <w:p w14:paraId="2538682D" w14:textId="77777777" w:rsidR="00831A0B" w:rsidRPr="00831A0B" w:rsidRDefault="00831A0B" w:rsidP="00831A0B">
      <w:pPr>
        <w:pStyle w:val="SingleTxtG"/>
      </w:pPr>
      <w:r w:rsidRPr="00831A0B">
        <w:t>36.</w:t>
      </w:r>
      <w:r w:rsidRPr="00831A0B">
        <w:tab/>
        <w:t>Комитет с обеспокоенностью отмечает, что трудящиеся, уволенные в связи с их участием в профсоюзной деятельности, включая забастовки, не имеют права на возвращение на прежнюю работу. Он также обеспокоен тем, что компенсация, предусмотренная в связи с увольнением по причине участия в профсоюзной деятельности, не оказывает достаточного сдерживающего воздействия (статья 8).</w:t>
      </w:r>
    </w:p>
    <w:p w14:paraId="000154A7" w14:textId="77777777" w:rsidR="00831A0B" w:rsidRPr="00831A0B" w:rsidRDefault="00831A0B" w:rsidP="00831A0B">
      <w:pPr>
        <w:pStyle w:val="SingleTxtG"/>
        <w:rPr>
          <w:b/>
        </w:rPr>
      </w:pPr>
      <w:r w:rsidRPr="00831A0B">
        <w:t>37.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продолжать диалог с социальными партнерами в целях обеспечения надлежащей защиты от увольнений в связи с профсоюзной деятельностью в соответствии со статьей 8 Пакта и положениями Конвенции 1948 года о свободе ассоциации и защите права на организацию (№ 87) и Конвенции 1949 года о праве на организацию и ведение коллективных переговоров (№ 98) Международной организации труда.</w:t>
      </w:r>
      <w:r w:rsidRPr="00831A0B">
        <w:t xml:space="preserve"> </w:t>
      </w:r>
      <w:r w:rsidRPr="00831A0B">
        <w:rPr>
          <w:b/>
          <w:bCs/>
        </w:rPr>
        <w:t>В этой связи Комитет призывает государство-участник установить достаточно убедительную компенсацию, учитывающую размер соответствующего предприятия, и рассмотреть вопрос о включении в свое законодательство права на восстановление на работе в случае такого увольнения.</w:t>
      </w:r>
      <w:r w:rsidRPr="00831A0B">
        <w:t xml:space="preserve"> </w:t>
      </w:r>
    </w:p>
    <w:p w14:paraId="4E193706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>Право на социальное обеспечение</w:t>
      </w:r>
    </w:p>
    <w:p w14:paraId="3860CF67" w14:textId="77777777" w:rsidR="00831A0B" w:rsidRPr="00831A0B" w:rsidRDefault="00831A0B" w:rsidP="00831A0B">
      <w:pPr>
        <w:pStyle w:val="SingleTxtG"/>
      </w:pPr>
      <w:r w:rsidRPr="00831A0B">
        <w:t>38.</w:t>
      </w:r>
      <w:r w:rsidRPr="00831A0B">
        <w:tab/>
        <w:t>Комитет с обеспокоенностью отмечает, что, согласно полученной информации, стигматизация, санкции и сложные процедуры в различных кантонах создают препятствия для доступа к социальным пособиям в государстве-участнике. Он</w:t>
      </w:r>
      <w:r>
        <w:rPr>
          <w:lang w:val="en-US"/>
        </w:rPr>
        <w:t> </w:t>
      </w:r>
      <w:r w:rsidRPr="00831A0B">
        <w:t>обеспокоен тем, что иностранным гражданам и лицам, имеющи</w:t>
      </w:r>
      <w:r w:rsidR="00B06C25">
        <w:t>м</w:t>
      </w:r>
      <w:r w:rsidRPr="00831A0B">
        <w:t xml:space="preserve"> разрешение на временное проживание в стране, доступна не социальная, а чрезвычайная помощь, которая не позволяет им иметь доступ к достаточному уровню жизни (статья 9).</w:t>
      </w:r>
    </w:p>
    <w:p w14:paraId="75016B2C" w14:textId="77777777" w:rsidR="00831A0B" w:rsidRPr="00831A0B" w:rsidRDefault="00831A0B" w:rsidP="00831A0B">
      <w:pPr>
        <w:pStyle w:val="SingleTxtG"/>
        <w:rPr>
          <w:b/>
        </w:rPr>
      </w:pPr>
      <w:r w:rsidRPr="00831A0B">
        <w:t>39.</w:t>
      </w:r>
      <w:r w:rsidRPr="00831A0B">
        <w:tab/>
      </w:r>
      <w:r w:rsidRPr="00831A0B">
        <w:rPr>
          <w:b/>
          <w:bCs/>
        </w:rPr>
        <w:t>Комитет напоминает о своих предыдущих заключительных замечаниях (пункт 12) и рекомендует государству-участнику принять необходимые меры для согласования систем социальной помощи между кантонами и установить минимальные и общие критерии для уровней социальных пособий, с тем чтобы обеспечить достаточный уровень жизни лиц, проживающих на его территории, и их семей.</w:t>
      </w:r>
      <w:r w:rsidRPr="00831A0B">
        <w:t xml:space="preserve"> </w:t>
      </w:r>
      <w:r w:rsidRPr="00831A0B">
        <w:rPr>
          <w:b/>
          <w:bCs/>
        </w:rPr>
        <w:t>Комитет настоятельно призывает государство-участник оказывать лицам, имеющим временный вид на жительство, социальную, а не чрезвычайную помощь.</w:t>
      </w:r>
      <w:r w:rsidRPr="00831A0B">
        <w:t xml:space="preserve"> </w:t>
      </w:r>
    </w:p>
    <w:p w14:paraId="52795F22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Опека над детьми </w:t>
      </w:r>
    </w:p>
    <w:p w14:paraId="154387C7" w14:textId="77777777" w:rsidR="00831A0B" w:rsidRPr="00831A0B" w:rsidRDefault="00831A0B" w:rsidP="00831A0B">
      <w:pPr>
        <w:pStyle w:val="SingleTxtG"/>
      </w:pPr>
      <w:r w:rsidRPr="00831A0B">
        <w:t>40.</w:t>
      </w:r>
      <w:r w:rsidRPr="00831A0B">
        <w:tab/>
        <w:t>Комитет с обеспокоенностью отмечает недостаточное предложение услуг по уходу за детьми в государстве-участнике и их высокую стоимость. Комитет принимает к сведению информацию о том, что был утвержден двухнедельный отпуск по уходу за ребенком для отца и что в настоящее время обсуждается предложение о его продлении. Вместе с тем он обеспокоен отсутствием совместного отпуска по уходу за ребенком (статья 10).</w:t>
      </w:r>
    </w:p>
    <w:p w14:paraId="5ABC8A66" w14:textId="77777777" w:rsidR="00831A0B" w:rsidRPr="00831A0B" w:rsidRDefault="00831A0B" w:rsidP="00831A0B">
      <w:pPr>
        <w:pStyle w:val="SingleTxtG"/>
        <w:keepNext/>
        <w:keepLines/>
        <w:rPr>
          <w:b/>
        </w:rPr>
      </w:pPr>
      <w:r w:rsidRPr="00831A0B">
        <w:lastRenderedPageBreak/>
        <w:t>41.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активизировать свои усилия по обеспечению наличия, доступности и приемлемости услуг по уходу за детьми на всей территории государства-участника, в том числе путем увеличения государственного финансирования учреждений по уходу за детьми и введения пособия по уходу за детьми.</w:t>
      </w:r>
      <w:r w:rsidRPr="00831A0B">
        <w:t xml:space="preserve"> </w:t>
      </w:r>
      <w:r w:rsidRPr="00831A0B">
        <w:rPr>
          <w:b/>
          <w:bCs/>
        </w:rPr>
        <w:t>Он также рекомендует государству-участнику пересмотреть систему отпусков по уходу за ребенком для отца с целью ее расширения и ввести совместный отпуск по уходу за ребенком, с тем чтобы распределение обязанностей в семье и обществе было более справедливым.</w:t>
      </w:r>
      <w:r w:rsidRPr="00831A0B">
        <w:t xml:space="preserve"> </w:t>
      </w:r>
    </w:p>
    <w:p w14:paraId="0E16523C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>Воссоединение семей</w:t>
      </w:r>
    </w:p>
    <w:p w14:paraId="095D7FD9" w14:textId="77777777" w:rsidR="00831A0B" w:rsidRPr="00831A0B" w:rsidRDefault="00831A0B" w:rsidP="00831A0B">
      <w:pPr>
        <w:pStyle w:val="SingleTxtG"/>
      </w:pPr>
      <w:r w:rsidRPr="00831A0B">
        <w:t>42.</w:t>
      </w:r>
      <w:r w:rsidRPr="00831A0B">
        <w:tab/>
        <w:t>Комитет обеспокоен многочисленными правовыми и практическими препятствиями, которые ограничивают доступ к воссоединению семей для лиц, имеющих статус беженца или временный статус беженца, а также для иностранцев, временно допущенных в страну. Он также обеспокоен тем, что пункт 7 статьи 85 Федерального закона об иностранцах и интеграции может препятствовать обращению временно принятых иностранцев за социальной помощью и что лицо, ставш</w:t>
      </w:r>
      <w:r w:rsidR="00B06C25">
        <w:t>е</w:t>
      </w:r>
      <w:r w:rsidRPr="00831A0B">
        <w:t>е жертвой насилия в браке, может не захотеть покидать приют из-за опасения утратить свое право на проживание (статья 10).</w:t>
      </w:r>
    </w:p>
    <w:p w14:paraId="62FE5636" w14:textId="77777777" w:rsidR="00831A0B" w:rsidRPr="00831A0B" w:rsidRDefault="00831A0B" w:rsidP="00831A0B">
      <w:pPr>
        <w:pStyle w:val="SingleTxtG"/>
        <w:rPr>
          <w:b/>
        </w:rPr>
      </w:pPr>
      <w:r w:rsidRPr="00831A0B">
        <w:t>43.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пересмотреть свое законодательство и практику, касающиеся условий воссоединения семей, применимые к лицам, имеющим статус беженца или временного беженца, а также к лицам, допущенным в страну на временной основе, с тем чтобы уделить приоритетное внимание воссоединению семей и облегчить их интеграцию в государстве-участнике.</w:t>
      </w:r>
    </w:p>
    <w:p w14:paraId="523E402A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>Усыновление/удочерение</w:t>
      </w:r>
    </w:p>
    <w:p w14:paraId="39307056" w14:textId="77777777" w:rsidR="00831A0B" w:rsidRPr="00831A0B" w:rsidRDefault="00831A0B" w:rsidP="00831A0B">
      <w:pPr>
        <w:pStyle w:val="SingleTxtG"/>
      </w:pPr>
      <w:r w:rsidRPr="00831A0B">
        <w:t>44.</w:t>
      </w:r>
      <w:r w:rsidRPr="00831A0B">
        <w:tab/>
        <w:t xml:space="preserve">Приветствуя поправки, касающиеся конфиденциальности усыновления/ удочерения, Комитет отмечает, что дети, усыновленные/удочеренные из третьей страны, могут ходатайствовать об установлении их происхождении только с согласия властей этой страны и что они не имеют надлежащей и необходимой поддержки в ходе этих процедур (статья 10). </w:t>
      </w:r>
    </w:p>
    <w:p w14:paraId="12526E5C" w14:textId="77777777" w:rsidR="00831A0B" w:rsidRPr="00831A0B" w:rsidRDefault="00831A0B" w:rsidP="00831A0B">
      <w:pPr>
        <w:pStyle w:val="SingleTxtG"/>
        <w:rPr>
          <w:b/>
        </w:rPr>
      </w:pPr>
      <w:r w:rsidRPr="00831A0B">
        <w:t>45.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активизировать свои усилия по обеспечению надлежащей поддержки, включая психологическую и финансовую поддержку, а также, при необходимости, переводческие услуги для лиц, усыновленных/удочеренных швейцарскими родителями из третьих стран, в их стремлении установить свое происхождение и усилить правовые и административные средства для оказания им поддержки в этих действиях.</w:t>
      </w:r>
      <w:r w:rsidRPr="00831A0B">
        <w:t xml:space="preserve"> </w:t>
      </w:r>
    </w:p>
    <w:p w14:paraId="7F606E19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Нищета </w:t>
      </w:r>
    </w:p>
    <w:p w14:paraId="316CBB81" w14:textId="77777777" w:rsidR="00831A0B" w:rsidRPr="00831A0B" w:rsidRDefault="00831A0B" w:rsidP="00831A0B">
      <w:pPr>
        <w:pStyle w:val="SingleTxtG"/>
      </w:pPr>
      <w:r w:rsidRPr="00831A0B">
        <w:t>46.</w:t>
      </w:r>
      <w:r w:rsidRPr="00831A0B">
        <w:tab/>
        <w:t>Комитет обеспокоен тем, что доля населения, страдающего от нищеты по уровню доходов</w:t>
      </w:r>
      <w:r w:rsidR="00B06C25">
        <w:t>,</w:t>
      </w:r>
      <w:r w:rsidRPr="00831A0B">
        <w:t xml:space="preserve"> превышает 8% и что некоторые группы населения, включая инвалидов и пожилых людей, в большей степени подвержены риску оказаться в нищете (статья 11).</w:t>
      </w:r>
    </w:p>
    <w:p w14:paraId="3362189C" w14:textId="77777777" w:rsidR="00831A0B" w:rsidRPr="00831A0B" w:rsidRDefault="00831A0B" w:rsidP="00831A0B">
      <w:pPr>
        <w:pStyle w:val="SingleTxtG"/>
        <w:rPr>
          <w:b/>
        </w:rPr>
      </w:pPr>
      <w:r w:rsidRPr="00831A0B">
        <w:t>47.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принять национальную стратегию по предупреждению нищеты и борьбе с ней, обеспечив, чтобы она была сосредоточена на наиболее затронутых лицах и группах и чтобы она осуществлялась на основе правозащитного подхода и с участием соответствующих лиц.</w:t>
      </w:r>
      <w:r w:rsidRPr="00831A0B">
        <w:t xml:space="preserve"> </w:t>
      </w:r>
      <w:r w:rsidRPr="00831A0B">
        <w:rPr>
          <w:b/>
          <w:bCs/>
        </w:rPr>
        <w:t>Он также рекомендует государству-участнику выделить достаточные ресурсы на осуществление этой стратегии и создать эффективные механизмы координации на федеральном уровне, с тем чтобы избежать кантональных различий.</w:t>
      </w:r>
      <w:r w:rsidRPr="00831A0B">
        <w:t xml:space="preserve"> </w:t>
      </w:r>
      <w:r w:rsidRPr="00831A0B">
        <w:rPr>
          <w:b/>
          <w:bCs/>
        </w:rPr>
        <w:t>В этой связи Комитет напоминает государству-участнику о своем заявлении о нищете и Международном пакте об экономических, социальных и культурных правах, принятом 4 мая 2001 года (E/C.12/2001/10).</w:t>
      </w:r>
      <w:r w:rsidRPr="00831A0B">
        <w:t xml:space="preserve"> </w:t>
      </w:r>
    </w:p>
    <w:p w14:paraId="5556DCDB" w14:textId="77777777" w:rsidR="00831A0B" w:rsidRPr="00831A0B" w:rsidRDefault="00831A0B" w:rsidP="00831A0B">
      <w:pPr>
        <w:pStyle w:val="H23G"/>
      </w:pPr>
      <w:r w:rsidRPr="00831A0B">
        <w:lastRenderedPageBreak/>
        <w:tab/>
      </w:r>
      <w:r w:rsidRPr="00831A0B">
        <w:tab/>
        <w:t xml:space="preserve">Психическое здоровье </w:t>
      </w:r>
    </w:p>
    <w:p w14:paraId="0063A2A4" w14:textId="77777777" w:rsidR="00831A0B" w:rsidRPr="00831A0B" w:rsidRDefault="00831A0B" w:rsidP="00831A0B">
      <w:pPr>
        <w:pStyle w:val="SingleTxtG"/>
      </w:pPr>
      <w:r w:rsidRPr="00831A0B">
        <w:t>48.</w:t>
      </w:r>
      <w:r w:rsidRPr="00831A0B">
        <w:tab/>
        <w:t>Несмотря на принятые меры, Комитет по-прежнему обеспокоен высоким уровнем самоубийств в государстве-участнике, особенно среди молодых лесбиянок, геев, бисексуалов, трансгендеров и интерсексуалов (статья 12).</w:t>
      </w:r>
    </w:p>
    <w:p w14:paraId="09632255" w14:textId="77777777" w:rsidR="00831A0B" w:rsidRPr="00831A0B" w:rsidRDefault="00831A0B" w:rsidP="00831A0B">
      <w:pPr>
        <w:pStyle w:val="SingleTxtG"/>
        <w:rPr>
          <w:b/>
        </w:rPr>
      </w:pPr>
      <w:r w:rsidRPr="00831A0B">
        <w:t>49.</w:t>
      </w:r>
      <w:r w:rsidRPr="00831A0B">
        <w:tab/>
      </w:r>
      <w:r w:rsidRPr="00831A0B">
        <w:rPr>
          <w:b/>
          <w:bCs/>
        </w:rPr>
        <w:t xml:space="preserve">Комитет рекомендует государству-участнику выполнить рекомендации, содержащиеся в докладе </w:t>
      </w:r>
      <w:r>
        <w:rPr>
          <w:b/>
          <w:bCs/>
        </w:rPr>
        <w:t>«</w:t>
      </w:r>
      <w:r w:rsidRPr="00831A0B">
        <w:rPr>
          <w:b/>
          <w:bCs/>
        </w:rPr>
        <w:t>La santé psychique en Suisse</w:t>
      </w:r>
      <w:r>
        <w:rPr>
          <w:b/>
          <w:bCs/>
        </w:rPr>
        <w:t>»</w:t>
      </w:r>
      <w:r w:rsidRPr="00831A0B">
        <w:rPr>
          <w:b/>
          <w:bCs/>
        </w:rPr>
        <w:t xml:space="preserve"> (</w:t>
      </w:r>
      <w:r>
        <w:rPr>
          <w:b/>
          <w:bCs/>
        </w:rPr>
        <w:t>«</w:t>
      </w:r>
      <w:r w:rsidRPr="00831A0B">
        <w:rPr>
          <w:b/>
          <w:bCs/>
        </w:rPr>
        <w:t>Психологическое здоровье в Швейцарии</w:t>
      </w:r>
      <w:r>
        <w:rPr>
          <w:b/>
          <w:bCs/>
        </w:rPr>
        <w:t>»</w:t>
      </w:r>
      <w:r w:rsidRPr="00831A0B">
        <w:rPr>
          <w:b/>
          <w:bCs/>
        </w:rPr>
        <w:t>) Швейцарского органа по надзору в сфере здравоохранения, и принять необходимые меры для обеспечения наличия и доступности на всей территории государства-участника надлежащих служб охраны психического здоровья.</w:t>
      </w:r>
      <w:r w:rsidRPr="00831A0B">
        <w:t xml:space="preserve"> </w:t>
      </w:r>
      <w:r w:rsidRPr="00831A0B">
        <w:rPr>
          <w:b/>
          <w:bCs/>
        </w:rPr>
        <w:t>Комитет также рекомендует государству-участнику продолжить свои усилия по профилактике самоубийств, в том числе путем мобилизации необходимых ресурсов.</w:t>
      </w:r>
      <w:r w:rsidRPr="00831A0B">
        <w:t xml:space="preserve"> </w:t>
      </w:r>
    </w:p>
    <w:p w14:paraId="3B28C590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Лица, употребляющие наркотики </w:t>
      </w:r>
    </w:p>
    <w:p w14:paraId="262FED63" w14:textId="77777777" w:rsidR="00831A0B" w:rsidRPr="00831A0B" w:rsidRDefault="00831A0B" w:rsidP="00831A0B">
      <w:pPr>
        <w:pStyle w:val="SingleTxtG"/>
      </w:pPr>
      <w:r w:rsidRPr="00831A0B">
        <w:t>50.</w:t>
      </w:r>
      <w:r w:rsidRPr="00831A0B">
        <w:tab/>
        <w:t xml:space="preserve">Признавая усилия государства-участника по снижению рисков для лиц, употребляющих наркотики, Комитет вместе с тем обеспокоен региональными различиями в наличии и доступности таких услуг (статья 12). </w:t>
      </w:r>
    </w:p>
    <w:p w14:paraId="17B2AF7B" w14:textId="77777777" w:rsidR="00831A0B" w:rsidRPr="00831A0B" w:rsidRDefault="00831A0B" w:rsidP="00831A0B">
      <w:pPr>
        <w:pStyle w:val="SingleTxtG"/>
        <w:rPr>
          <w:b/>
        </w:rPr>
      </w:pPr>
      <w:r w:rsidRPr="00831A0B">
        <w:t>51.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обеспечить наличие и доступность услуг по снижению рисков для лиц, употребляющих наркотики или другие вещества, на всей территории государства-участника и устранить препятствия, которые могут ограничивать доступ к ним, в частности для потребителей наркотиков из более обездоленных или маргинализованных групп.</w:t>
      </w:r>
      <w:r w:rsidRPr="00831A0B">
        <w:t xml:space="preserve"> </w:t>
      </w:r>
    </w:p>
    <w:p w14:paraId="3D02C438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Доступ к образованию </w:t>
      </w:r>
    </w:p>
    <w:p w14:paraId="2E2E7D93" w14:textId="77777777" w:rsidR="00831A0B" w:rsidRPr="00831A0B" w:rsidRDefault="00831A0B" w:rsidP="00831A0B">
      <w:pPr>
        <w:pStyle w:val="SingleTxtG"/>
      </w:pPr>
      <w:r w:rsidRPr="00831A0B">
        <w:t>52.</w:t>
      </w:r>
      <w:r w:rsidRPr="00831A0B">
        <w:tab/>
        <w:t>Несмотря на усилия государства-участника по обеспечению качественного образования, Комитет с обеспокоенностью отмечает, что:</w:t>
      </w:r>
    </w:p>
    <w:p w14:paraId="48943317" w14:textId="77777777" w:rsidR="00831A0B" w:rsidRPr="00831A0B" w:rsidRDefault="00831A0B" w:rsidP="00831A0B">
      <w:pPr>
        <w:pStyle w:val="SingleTxtG"/>
      </w:pPr>
      <w:r>
        <w:tab/>
      </w:r>
      <w:r>
        <w:tab/>
      </w:r>
      <w:r w:rsidRPr="00831A0B">
        <w:t>а)</w:t>
      </w:r>
      <w:r w:rsidRPr="00831A0B">
        <w:tab/>
        <w:t>дети-беженцы и дети</w:t>
      </w:r>
      <w:r w:rsidR="00B06C25">
        <w:t> – </w:t>
      </w:r>
      <w:r w:rsidRPr="00831A0B">
        <w:t>просители убежища в федеральных центрах приема продолжают сталкиваться со многими препятствиями в доступе к образованию, с которыми также сталкиваются и дети-мигранты в доступе к высшему образованию и профессиональной подготовке;</w:t>
      </w:r>
    </w:p>
    <w:p w14:paraId="7878C627" w14:textId="77777777" w:rsidR="00831A0B" w:rsidRPr="00831A0B" w:rsidRDefault="00831A0B" w:rsidP="00831A0B">
      <w:pPr>
        <w:pStyle w:val="SingleTxtG"/>
      </w:pPr>
      <w:r>
        <w:tab/>
      </w:r>
      <w:r>
        <w:tab/>
      </w:r>
      <w:r w:rsidRPr="00831A0B">
        <w:t>b)</w:t>
      </w:r>
      <w:r w:rsidRPr="00831A0B">
        <w:tab/>
        <w:t>получившие отказ молодые просители убежища и молодые люди, временно допущенные в страну, не всегда имеют возможность продолжить свое профессиональное обучение;</w:t>
      </w:r>
    </w:p>
    <w:p w14:paraId="4C56CD57" w14:textId="77777777" w:rsidR="00831A0B" w:rsidRPr="00831A0B" w:rsidRDefault="00831A0B" w:rsidP="00831A0B">
      <w:pPr>
        <w:pStyle w:val="SingleTxtG"/>
      </w:pPr>
      <w:r>
        <w:tab/>
      </w:r>
      <w:r>
        <w:tab/>
      </w:r>
      <w:r w:rsidRPr="00831A0B">
        <w:t>c)</w:t>
      </w:r>
      <w:r w:rsidRPr="00831A0B">
        <w:tab/>
        <w:t xml:space="preserve">разрыв в показателях успеваемости между детьми из семей иммигрантов, малообеспеченных семей и привилегированных кругов является препятствием для социальной мобильности; </w:t>
      </w:r>
    </w:p>
    <w:p w14:paraId="39105028" w14:textId="77777777" w:rsidR="00831A0B" w:rsidRPr="00831A0B" w:rsidRDefault="00831A0B" w:rsidP="00831A0B">
      <w:pPr>
        <w:pStyle w:val="SingleTxtG"/>
      </w:pPr>
      <w:r>
        <w:tab/>
      </w:r>
      <w:r>
        <w:tab/>
      </w:r>
      <w:r w:rsidRPr="00831A0B">
        <w:t>d)</w:t>
      </w:r>
      <w:r w:rsidRPr="00831A0B">
        <w:tab/>
        <w:t>несмотря на введение принципа инклюзивного образования, некоторые дети-инвалиды продолжают посещать специальные школы.</w:t>
      </w:r>
    </w:p>
    <w:p w14:paraId="41DFE84C" w14:textId="77777777" w:rsidR="00831A0B" w:rsidRPr="00831A0B" w:rsidRDefault="00831A0B" w:rsidP="00831A0B">
      <w:pPr>
        <w:pStyle w:val="SingleTxtG"/>
        <w:rPr>
          <w:b/>
        </w:rPr>
      </w:pPr>
      <w:r w:rsidRPr="00831A0B">
        <w:t>53.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принять необходимые меры, чтобы:</w:t>
      </w:r>
      <w:r w:rsidRPr="00831A0B">
        <w:t xml:space="preserve"> </w:t>
      </w:r>
    </w:p>
    <w:p w14:paraId="45DF7650" w14:textId="77777777" w:rsidR="00831A0B" w:rsidRPr="00831A0B" w:rsidRDefault="00831A0B" w:rsidP="00831A0B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831A0B">
        <w:rPr>
          <w:b/>
          <w:bCs/>
        </w:rPr>
        <w:t>а)</w:t>
      </w:r>
      <w:r w:rsidRPr="00831A0B">
        <w:tab/>
      </w:r>
      <w:r w:rsidRPr="00831A0B">
        <w:rPr>
          <w:b/>
          <w:bCs/>
        </w:rPr>
        <w:t>обеспечить интеграцию детей-беженцев и детей-просителей убежища в федеральных центрах приема во всех кантонах в общую систему образования и предоставить им доступ к качественному образованию, учитывающему их культурные особенности и языковые потребности, а также продолжить усилия по обеспечению доступа детей-мигрантов к высшему образованию и профессиональной подготовке;</w:t>
      </w:r>
      <w:r w:rsidRPr="00831A0B">
        <w:t xml:space="preserve"> </w:t>
      </w:r>
    </w:p>
    <w:p w14:paraId="28CAB893" w14:textId="77777777" w:rsidR="00831A0B" w:rsidRPr="00831A0B" w:rsidRDefault="00831A0B" w:rsidP="00831A0B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831A0B">
        <w:rPr>
          <w:b/>
          <w:bCs/>
        </w:rPr>
        <w:t>b)</w:t>
      </w:r>
      <w:r w:rsidRPr="00831A0B">
        <w:tab/>
      </w:r>
      <w:r w:rsidRPr="00831A0B">
        <w:rPr>
          <w:b/>
          <w:bCs/>
        </w:rPr>
        <w:t>устранить существующие барьеры, которые мешают получившим отказ молодым просителям убежища и временно допущенным в страну молодым людям продолжить свою профессиональную подготовку, а также облегчить им доступ к высшему образованию;</w:t>
      </w:r>
      <w:r w:rsidRPr="00831A0B">
        <w:t xml:space="preserve"> </w:t>
      </w:r>
    </w:p>
    <w:p w14:paraId="0417AD42" w14:textId="77777777" w:rsidR="00831A0B" w:rsidRPr="00831A0B" w:rsidRDefault="00831A0B" w:rsidP="00831A0B">
      <w:pPr>
        <w:pStyle w:val="SingleTxtG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831A0B">
        <w:rPr>
          <w:b/>
          <w:bCs/>
        </w:rPr>
        <w:t>c)</w:t>
      </w:r>
      <w:r w:rsidRPr="00831A0B">
        <w:tab/>
      </w:r>
      <w:r w:rsidRPr="00831A0B">
        <w:rPr>
          <w:b/>
          <w:bCs/>
        </w:rPr>
        <w:t>продолжить усилия по повышению школьной успеваемости детей из неблагополучных семей, включая детей-мигрантов и детей из семей с низким уровнем дохода;</w:t>
      </w:r>
      <w:r w:rsidRPr="00831A0B">
        <w:t xml:space="preserve"> </w:t>
      </w:r>
    </w:p>
    <w:p w14:paraId="1B5E65E4" w14:textId="77777777" w:rsidR="00831A0B" w:rsidRPr="00831A0B" w:rsidRDefault="00831A0B" w:rsidP="00831A0B">
      <w:pPr>
        <w:pStyle w:val="SingleTxtG"/>
        <w:rPr>
          <w:b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Pr="00831A0B">
        <w:rPr>
          <w:b/>
          <w:bCs/>
        </w:rPr>
        <w:t>d)</w:t>
      </w:r>
      <w:r w:rsidRPr="00831A0B">
        <w:tab/>
      </w:r>
      <w:r w:rsidRPr="00831A0B">
        <w:rPr>
          <w:b/>
          <w:bCs/>
        </w:rPr>
        <w:t>продолжать обеспечивать доступ детей-инвалидов к качественному инклюзивному образованию, в том числе путем совершенствования подготовки преподавателей.</w:t>
      </w:r>
      <w:r w:rsidRPr="00831A0B">
        <w:t xml:space="preserve"> </w:t>
      </w:r>
    </w:p>
    <w:p w14:paraId="0F77960D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Официальные языки </w:t>
      </w:r>
    </w:p>
    <w:p w14:paraId="79C4295E" w14:textId="77777777" w:rsidR="00831A0B" w:rsidRPr="00831A0B" w:rsidRDefault="00831A0B" w:rsidP="00831A0B">
      <w:pPr>
        <w:pStyle w:val="SingleTxtG"/>
        <w:rPr>
          <w:b/>
        </w:rPr>
      </w:pPr>
      <w:r w:rsidRPr="00831A0B">
        <w:t>54.</w:t>
      </w:r>
      <w:r w:rsidRPr="00831A0B">
        <w:tab/>
        <w:t>Комитет отмечает меры, принятые государством-участником для продвижения итальянского языка, а также меры, которые могут быть приняты с 2020 года в отношении ретороманского языка. Вместе с тем он сожалеет об отсутствии механизма мониторинга для оценки результатов принятия этих мер (статья 15).</w:t>
      </w:r>
    </w:p>
    <w:p w14:paraId="7573E146" w14:textId="77777777" w:rsidR="00831A0B" w:rsidRPr="00831A0B" w:rsidRDefault="00831A0B" w:rsidP="00831A0B">
      <w:pPr>
        <w:pStyle w:val="SingleTxtG"/>
        <w:rPr>
          <w:b/>
        </w:rPr>
      </w:pPr>
      <w:r w:rsidRPr="00831A0B">
        <w:t>55.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активизировать свои усилия по принятию эффективных мер для продвижения итальянского и ретороманского языков и выделить необходимые ресурсы для их осуществления.</w:t>
      </w:r>
      <w:r w:rsidRPr="00831A0B">
        <w:t xml:space="preserve"> </w:t>
      </w:r>
      <w:r w:rsidRPr="00831A0B">
        <w:rPr>
          <w:b/>
          <w:bCs/>
        </w:rPr>
        <w:t>Он также рекомендует государству-участнику рассмотреть вопрос о создании механизмов мониторинга для оценки результатов принятия этих мер.</w:t>
      </w:r>
      <w:r w:rsidRPr="00831A0B">
        <w:t xml:space="preserve"> </w:t>
      </w:r>
    </w:p>
    <w:p w14:paraId="79962A72" w14:textId="77777777" w:rsidR="00831A0B" w:rsidRPr="00831A0B" w:rsidRDefault="00831A0B" w:rsidP="00831A0B">
      <w:pPr>
        <w:pStyle w:val="H23G"/>
      </w:pPr>
      <w:r w:rsidRPr="00831A0B">
        <w:tab/>
      </w:r>
      <w:r w:rsidRPr="00831A0B">
        <w:tab/>
        <w:t xml:space="preserve">Культурные права </w:t>
      </w:r>
    </w:p>
    <w:p w14:paraId="10E74689" w14:textId="77777777" w:rsidR="00831A0B" w:rsidRPr="00831A0B" w:rsidRDefault="00831A0B" w:rsidP="00831A0B">
      <w:pPr>
        <w:pStyle w:val="SingleTxtG"/>
      </w:pPr>
      <w:r w:rsidRPr="00831A0B">
        <w:t>56.</w:t>
      </w:r>
      <w:r w:rsidRPr="00831A0B">
        <w:tab/>
        <w:t xml:space="preserve">Комитет с обеспокоенностью отмечает, что, несмотря на усилия государства-участника по признанию права на самоидентификацию, ениши, синти/мануши и рома продолжают подвергаться дискриминации и что принятые меры являются недостаточными для поощрения их традиций, культуры и языков. Комитет </w:t>
      </w:r>
      <w:r w:rsidR="00B06C25">
        <w:br/>
      </w:r>
      <w:r w:rsidRPr="00831A0B">
        <w:t>по-прежнему обеспокоен недостаточным количеством предоставленных в их распоряжение площадок для размещения, а также отсутствием надлежащих мер по облегчению доступа к образованию для детей, принадлежащих к этим меньшинствам (статьи 2, 13 и 15).</w:t>
      </w:r>
    </w:p>
    <w:p w14:paraId="1389B7A2" w14:textId="77777777" w:rsidR="00831A0B" w:rsidRPr="00831A0B" w:rsidRDefault="00831A0B" w:rsidP="00831A0B">
      <w:pPr>
        <w:pStyle w:val="SingleTxtG"/>
        <w:rPr>
          <w:b/>
        </w:rPr>
      </w:pPr>
      <w:r w:rsidRPr="00831A0B">
        <w:t>57.</w:t>
      </w:r>
      <w:r w:rsidRPr="00831A0B">
        <w:tab/>
      </w:r>
      <w:r w:rsidRPr="00831A0B">
        <w:rPr>
          <w:b/>
          <w:bCs/>
        </w:rPr>
        <w:t xml:space="preserve">Комитет рекомендует государству-участнику продолжить свои усилия по активизации борьбы с дискриминацией в отношении енишей, синти/манушей и рома и обеспечить защиту их культурных прав и уважение разнообразия, в том числе посредством эффективного осуществления плана действий </w:t>
      </w:r>
      <w:r>
        <w:rPr>
          <w:b/>
          <w:bCs/>
        </w:rPr>
        <w:t>«</w:t>
      </w:r>
      <w:r w:rsidRPr="00831A0B">
        <w:rPr>
          <w:b/>
          <w:bCs/>
        </w:rPr>
        <w:t>Ениши, мануши, рома</w:t>
      </w:r>
      <w:r>
        <w:rPr>
          <w:b/>
          <w:bCs/>
        </w:rPr>
        <w:t>»</w:t>
      </w:r>
      <w:r w:rsidRPr="00831A0B">
        <w:rPr>
          <w:b/>
          <w:bCs/>
        </w:rPr>
        <w:t>.</w:t>
      </w:r>
      <w:r w:rsidRPr="00831A0B">
        <w:t xml:space="preserve"> </w:t>
      </w:r>
      <w:r w:rsidRPr="00831A0B">
        <w:rPr>
          <w:b/>
          <w:bCs/>
        </w:rPr>
        <w:t>Комитет просит государство-участник создать надлежащие условия для сохранения, развития и распространения самобытности, истории, культуры, традиций и образа жизни этих меньшинств.</w:t>
      </w:r>
      <w:r w:rsidRPr="00831A0B">
        <w:t xml:space="preserve"> </w:t>
      </w:r>
      <w:r w:rsidRPr="00831A0B">
        <w:rPr>
          <w:b/>
          <w:bCs/>
        </w:rPr>
        <w:t>Он напоминает государству-участнику о своей рекомендации, вынесенной в предыдущих заключительных замечан</w:t>
      </w:r>
      <w:bookmarkStart w:id="0" w:name="_GoBack"/>
      <w:bookmarkEnd w:id="0"/>
      <w:r w:rsidRPr="00831A0B">
        <w:rPr>
          <w:b/>
          <w:bCs/>
        </w:rPr>
        <w:t>иях (пункт 23), и призывает его создать достаточное число площадок для долгосрочного и краткосрочного размещения на всей территории страны и продолжить усилия по облегчению доступа к образованию для детей, принадлежащих к этим меньшинствам.</w:t>
      </w:r>
    </w:p>
    <w:p w14:paraId="25568EBB" w14:textId="77777777" w:rsidR="00831A0B" w:rsidRPr="00831A0B" w:rsidRDefault="00831A0B" w:rsidP="00831A0B">
      <w:pPr>
        <w:pStyle w:val="H1G"/>
      </w:pPr>
      <w:r>
        <w:tab/>
      </w:r>
      <w:r w:rsidRPr="00831A0B">
        <w:t>D.</w:t>
      </w:r>
      <w:r w:rsidRPr="00831A0B">
        <w:tab/>
      </w:r>
      <w:r w:rsidRPr="00831A0B">
        <w:tab/>
        <w:t>Другие рекомендации</w:t>
      </w:r>
    </w:p>
    <w:p w14:paraId="04AE5D5A" w14:textId="77777777" w:rsidR="00831A0B" w:rsidRPr="00831A0B" w:rsidRDefault="00831A0B" w:rsidP="00831A0B">
      <w:pPr>
        <w:pStyle w:val="SingleTxtG"/>
        <w:rPr>
          <w:b/>
          <w:bCs/>
        </w:rPr>
      </w:pPr>
      <w:r w:rsidRPr="00831A0B">
        <w:t>58.</w:t>
      </w:r>
      <w:r w:rsidRPr="00831A0B">
        <w:tab/>
      </w:r>
      <w:r w:rsidRPr="00831A0B">
        <w:rPr>
          <w:b/>
          <w:bCs/>
        </w:rPr>
        <w:t>Комитет призывает государство-участник ратифицировать Факультативный протокол к Международному пакту об экономических, социальных и культурных правах.</w:t>
      </w:r>
    </w:p>
    <w:p w14:paraId="303FE8C3" w14:textId="77777777" w:rsidR="00831A0B" w:rsidRPr="00831A0B" w:rsidRDefault="00831A0B" w:rsidP="00831A0B">
      <w:pPr>
        <w:pStyle w:val="SingleTxtG"/>
        <w:rPr>
          <w:b/>
          <w:bCs/>
        </w:rPr>
      </w:pPr>
      <w:r w:rsidRPr="00831A0B">
        <w:t>59.</w:t>
      </w:r>
      <w:r w:rsidRPr="00831A0B">
        <w:tab/>
      </w:r>
      <w:r w:rsidRPr="00831A0B">
        <w:rPr>
          <w:b/>
          <w:bCs/>
        </w:rPr>
        <w:t>Комитет призывает государство-участник ратифицировать Международную конвенцию о защите прав всех трудящихся-мигрантов и членов их семей, Факультативный протокол к Международному пакту о гражданских и политических правах и Факультативный протокол к Конвенции о правах инвалидов.</w:t>
      </w:r>
      <w:r w:rsidRPr="00831A0B">
        <w:t xml:space="preserve"> </w:t>
      </w:r>
    </w:p>
    <w:p w14:paraId="1ED15AFB" w14:textId="77777777" w:rsidR="00831A0B" w:rsidRPr="00831A0B" w:rsidRDefault="00831A0B" w:rsidP="00831A0B">
      <w:pPr>
        <w:pStyle w:val="SingleTxtG"/>
        <w:rPr>
          <w:b/>
          <w:bCs/>
        </w:rPr>
      </w:pPr>
      <w:r w:rsidRPr="00831A0B">
        <w:t>60.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года.</w:t>
      </w:r>
      <w:r w:rsidRPr="00831A0B">
        <w:t xml:space="preserve"> </w:t>
      </w:r>
      <w:r w:rsidRPr="00831A0B">
        <w:rPr>
          <w:b/>
          <w:bCs/>
        </w:rPr>
        <w:t xml:space="preserve">Государство-участник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</w:t>
      </w:r>
      <w:r w:rsidRPr="00831A0B">
        <w:rPr>
          <w:b/>
          <w:bCs/>
        </w:rPr>
        <w:lastRenderedPageBreak/>
        <w:t>причитающиеся им льготы.</w:t>
      </w:r>
      <w:r w:rsidRPr="00831A0B">
        <w:t xml:space="preserve"> </w:t>
      </w:r>
      <w:r w:rsidRPr="00831A0B">
        <w:rPr>
          <w:b/>
          <w:bCs/>
        </w:rPr>
        <w:t>Достижение Целей на основе принципов участия, подотчетности и недискриминации будет гарантировать, что никто не будет забыт.</w:t>
      </w:r>
      <w:r w:rsidRPr="00831A0B">
        <w:t xml:space="preserve"> </w:t>
      </w:r>
      <w:r w:rsidRPr="00831A0B">
        <w:rPr>
          <w:b/>
          <w:bCs/>
        </w:rPr>
        <w:t>В этой связи Комитет обращает внимание государства-участника на свое заявление об обязательстве не забыть никого (E/C.12/2019/1).</w:t>
      </w:r>
    </w:p>
    <w:p w14:paraId="609C165D" w14:textId="77777777" w:rsidR="00831A0B" w:rsidRPr="00831A0B" w:rsidRDefault="00831A0B" w:rsidP="00831A0B">
      <w:pPr>
        <w:pStyle w:val="SingleTxtG"/>
        <w:rPr>
          <w:b/>
          <w:bCs/>
        </w:rPr>
      </w:pPr>
      <w:r w:rsidRPr="00831A0B">
        <w:t>61.</w:t>
      </w:r>
      <w:r w:rsidRPr="00831A0B">
        <w:tab/>
      </w:r>
      <w:r w:rsidRPr="00831A0B">
        <w:rPr>
          <w:b/>
          <w:bCs/>
        </w:rPr>
        <w:t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</w:t>
      </w:r>
      <w:r w:rsidRPr="00831A0B">
        <w:t xml:space="preserve"> </w:t>
      </w:r>
      <w:r w:rsidRPr="00831A0B">
        <w:rPr>
          <w:b/>
          <w:bCs/>
        </w:rPr>
        <w:t>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(HRI/MC/2008/3).</w:t>
      </w:r>
    </w:p>
    <w:p w14:paraId="5F12DD0D" w14:textId="77777777" w:rsidR="00831A0B" w:rsidRPr="00831A0B" w:rsidRDefault="00831A0B" w:rsidP="00831A0B">
      <w:pPr>
        <w:pStyle w:val="SingleTxtG"/>
        <w:rPr>
          <w:b/>
          <w:bCs/>
        </w:rPr>
      </w:pPr>
      <w:r w:rsidRPr="00831A0B">
        <w:t>62.</w:t>
      </w:r>
      <w:r w:rsidRPr="00831A0B">
        <w:tab/>
      </w:r>
      <w:r w:rsidRPr="00831A0B">
        <w:rPr>
          <w:b/>
          <w:bCs/>
        </w:rPr>
        <w:t>Комитет просит государство-участник обеспечить широкое распространение настоящих заключительных замечаний среди всех слоев населения на федеральном, кантональном и муниципальном уровнях, в частности среди членов Федерального совета, Национального совета и Совета кантонов, органов государственного управления и судебных органов, и проинформировать Комитет в своем следующем периодическом докладе о мерах, принятых для их осуществления.</w:t>
      </w:r>
      <w:r w:rsidRPr="00831A0B">
        <w:t xml:space="preserve"> </w:t>
      </w:r>
      <w:r w:rsidRPr="00831A0B">
        <w:rPr>
          <w:b/>
          <w:bCs/>
        </w:rPr>
        <w:t>Он призывает государство-участник привлечь неправительственные организации и других членов гражданского общества, включая Швейцарский экспертно-консультационный центр по правам человека, к последующей деятельности по выполнению настоящих заключительных замечаний и к процессу национальных консультаций до представления своего следующего периодического доклада.</w:t>
      </w:r>
    </w:p>
    <w:p w14:paraId="71B731CF" w14:textId="77777777" w:rsidR="00831A0B" w:rsidRPr="00831A0B" w:rsidRDefault="00831A0B" w:rsidP="00831A0B">
      <w:pPr>
        <w:pStyle w:val="SingleTxtG"/>
        <w:rPr>
          <w:b/>
          <w:bCs/>
        </w:rPr>
      </w:pPr>
      <w:r w:rsidRPr="00831A0B">
        <w:t>63.</w:t>
      </w:r>
      <w:r w:rsidRPr="00831A0B">
        <w:tab/>
      </w:r>
      <w:r w:rsidRPr="00831A0B">
        <w:rPr>
          <w:b/>
          <w:bCs/>
        </w:rPr>
        <w:t>В соответствии с процедурой принятия последующих мер по выполнению принятых Комитетом</w:t>
      </w:r>
      <w:r w:rsidRPr="00831A0B">
        <w:t xml:space="preserve"> </w:t>
      </w:r>
      <w:r w:rsidRPr="00831A0B">
        <w:rPr>
          <w:b/>
          <w:bCs/>
        </w:rPr>
        <w:t>заключительных замечаний Комитет просит государство-участник представить в течение 24 месяцев после принятия настоящих заключительных замечаний информацию о выполнении рекомендаций Комитета, содержащихся в пунктах 9 (национальное правозащитное учреждение), 11 (предпринимательская деятельность и права человека) и</w:t>
      </w:r>
      <w:r>
        <w:rPr>
          <w:b/>
          <w:bCs/>
        </w:rPr>
        <w:t> </w:t>
      </w:r>
      <w:r w:rsidRPr="00831A0B">
        <w:rPr>
          <w:b/>
          <w:bCs/>
        </w:rPr>
        <w:t>41</w:t>
      </w:r>
      <w:r>
        <w:rPr>
          <w:b/>
          <w:bCs/>
        </w:rPr>
        <w:t> </w:t>
      </w:r>
      <w:r w:rsidRPr="00831A0B">
        <w:rPr>
          <w:b/>
          <w:bCs/>
        </w:rPr>
        <w:t>(опека над детьми) выше.</w:t>
      </w:r>
      <w:r w:rsidRPr="00831A0B">
        <w:t xml:space="preserve"> </w:t>
      </w:r>
    </w:p>
    <w:p w14:paraId="1BFEB63B" w14:textId="77777777" w:rsidR="00831A0B" w:rsidRPr="00831A0B" w:rsidRDefault="00831A0B" w:rsidP="00831A0B">
      <w:pPr>
        <w:pStyle w:val="SingleTxtG"/>
      </w:pPr>
      <w:r w:rsidRPr="00831A0B">
        <w:t>64.</w:t>
      </w:r>
      <w:r w:rsidRPr="00831A0B">
        <w:tab/>
      </w:r>
      <w:r w:rsidRPr="00831A0B">
        <w:rPr>
          <w:b/>
          <w:bCs/>
        </w:rPr>
        <w:t>Комитет просит государство-участник представить свой пятый периодический доклад, который будет подготовлен в соответствии с руководящими принципами представления докладов, принятыми Комитетом в 2008 году (см. E/C.12/2008/2), к 31 октября 2024 года.</w:t>
      </w:r>
      <w:r w:rsidRPr="00831A0B">
        <w:t xml:space="preserve"> </w:t>
      </w:r>
      <w:r w:rsidRPr="00831A0B">
        <w:rPr>
          <w:b/>
          <w:bCs/>
        </w:rPr>
        <w:t>Кроме того, он предлагает государству-участнику при необходимости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 (HRI/GEN/2/Rev.6, глава I).</w:t>
      </w:r>
    </w:p>
    <w:p w14:paraId="15A1BBCB" w14:textId="77777777" w:rsidR="00831A0B" w:rsidRDefault="00831A0B" w:rsidP="00831A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AE23B9" w14:textId="77777777" w:rsidR="00381C24" w:rsidRPr="00831A0B" w:rsidRDefault="00381C24" w:rsidP="00896BA2"/>
    <w:sectPr w:rsidR="00381C24" w:rsidRPr="00831A0B" w:rsidSect="00831A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2E67" w14:textId="77777777" w:rsidR="00EE4A82" w:rsidRPr="00A312BC" w:rsidRDefault="00EE4A82" w:rsidP="00A312BC"/>
  </w:endnote>
  <w:endnote w:type="continuationSeparator" w:id="0">
    <w:p w14:paraId="4F4CE9C6" w14:textId="77777777" w:rsidR="00EE4A82" w:rsidRPr="00A312BC" w:rsidRDefault="00EE4A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29FA" w14:textId="77777777" w:rsidR="00831A0B" w:rsidRPr="00831A0B" w:rsidRDefault="00831A0B">
    <w:pPr>
      <w:pStyle w:val="aa"/>
    </w:pPr>
    <w:r w:rsidRPr="00831A0B">
      <w:rPr>
        <w:b/>
        <w:sz w:val="18"/>
      </w:rPr>
      <w:fldChar w:fldCharType="begin"/>
    </w:r>
    <w:r w:rsidRPr="00831A0B">
      <w:rPr>
        <w:b/>
        <w:sz w:val="18"/>
      </w:rPr>
      <w:instrText xml:space="preserve"> PAGE  \* MERGEFORMAT </w:instrText>
    </w:r>
    <w:r w:rsidRPr="00831A0B">
      <w:rPr>
        <w:b/>
        <w:sz w:val="18"/>
      </w:rPr>
      <w:fldChar w:fldCharType="separate"/>
    </w:r>
    <w:r w:rsidRPr="00831A0B">
      <w:rPr>
        <w:b/>
        <w:noProof/>
        <w:sz w:val="18"/>
      </w:rPr>
      <w:t>2</w:t>
    </w:r>
    <w:r w:rsidRPr="00831A0B">
      <w:rPr>
        <w:b/>
        <w:sz w:val="18"/>
      </w:rPr>
      <w:fldChar w:fldCharType="end"/>
    </w:r>
    <w:r>
      <w:rPr>
        <w:b/>
        <w:sz w:val="18"/>
      </w:rPr>
      <w:tab/>
    </w:r>
    <w:r>
      <w:t>GE.19-19865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0293" w14:textId="77777777" w:rsidR="00831A0B" w:rsidRPr="00831A0B" w:rsidRDefault="00831A0B" w:rsidP="00831A0B">
    <w:pPr>
      <w:pStyle w:val="aa"/>
      <w:tabs>
        <w:tab w:val="clear" w:pos="9639"/>
        <w:tab w:val="right" w:pos="9638"/>
      </w:tabs>
      <w:rPr>
        <w:b/>
        <w:sz w:val="18"/>
      </w:rPr>
    </w:pPr>
    <w:r>
      <w:t>GE.19-19865</w:t>
    </w:r>
    <w:r>
      <w:tab/>
    </w:r>
    <w:r w:rsidRPr="00831A0B">
      <w:rPr>
        <w:b/>
        <w:sz w:val="18"/>
      </w:rPr>
      <w:fldChar w:fldCharType="begin"/>
    </w:r>
    <w:r w:rsidRPr="00831A0B">
      <w:rPr>
        <w:b/>
        <w:sz w:val="18"/>
      </w:rPr>
      <w:instrText xml:space="preserve"> PAGE  \* MERGEFORMAT </w:instrText>
    </w:r>
    <w:r w:rsidRPr="00831A0B">
      <w:rPr>
        <w:b/>
        <w:sz w:val="18"/>
      </w:rPr>
      <w:fldChar w:fldCharType="separate"/>
    </w:r>
    <w:r w:rsidRPr="00831A0B">
      <w:rPr>
        <w:b/>
        <w:noProof/>
        <w:sz w:val="18"/>
      </w:rPr>
      <w:t>3</w:t>
    </w:r>
    <w:r w:rsidRPr="00831A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C561" w14:textId="77777777" w:rsidR="00042B72" w:rsidRPr="00831A0B" w:rsidRDefault="00831A0B" w:rsidP="00831A0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97D9EB" wp14:editId="528FF8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19-19865  (R)</w:t>
    </w:r>
    <w:r>
      <w:rPr>
        <w:lang w:val="en-US"/>
      </w:rPr>
      <w:t xml:space="preserve">   091219  101219</w:t>
    </w:r>
    <w:r>
      <w:br/>
    </w:r>
    <w:r w:rsidRPr="00831A0B">
      <w:rPr>
        <w:rFonts w:ascii="C39T30Lfz" w:hAnsi="C39T30Lfz"/>
        <w:kern w:val="14"/>
        <w:sz w:val="56"/>
      </w:rPr>
      <w:t></w:t>
    </w:r>
    <w:r w:rsidRPr="00831A0B">
      <w:rPr>
        <w:rFonts w:ascii="C39T30Lfz" w:hAnsi="C39T30Lfz"/>
        <w:kern w:val="14"/>
        <w:sz w:val="56"/>
      </w:rPr>
      <w:t></w:t>
    </w:r>
    <w:r w:rsidRPr="00831A0B">
      <w:rPr>
        <w:rFonts w:ascii="C39T30Lfz" w:hAnsi="C39T30Lfz"/>
        <w:kern w:val="14"/>
        <w:sz w:val="56"/>
      </w:rPr>
      <w:t></w:t>
    </w:r>
    <w:r w:rsidRPr="00831A0B">
      <w:rPr>
        <w:rFonts w:ascii="C39T30Lfz" w:hAnsi="C39T30Lfz"/>
        <w:kern w:val="14"/>
        <w:sz w:val="56"/>
      </w:rPr>
      <w:t></w:t>
    </w:r>
    <w:r w:rsidRPr="00831A0B">
      <w:rPr>
        <w:rFonts w:ascii="C39T30Lfz" w:hAnsi="C39T30Lfz"/>
        <w:kern w:val="14"/>
        <w:sz w:val="56"/>
      </w:rPr>
      <w:t></w:t>
    </w:r>
    <w:r w:rsidRPr="00831A0B">
      <w:rPr>
        <w:rFonts w:ascii="C39T30Lfz" w:hAnsi="C39T30Lfz"/>
        <w:kern w:val="14"/>
        <w:sz w:val="56"/>
      </w:rPr>
      <w:t></w:t>
    </w:r>
    <w:r w:rsidRPr="00831A0B">
      <w:rPr>
        <w:rFonts w:ascii="C39T30Lfz" w:hAnsi="C39T30Lfz"/>
        <w:kern w:val="14"/>
        <w:sz w:val="56"/>
      </w:rPr>
      <w:t></w:t>
    </w:r>
    <w:r w:rsidRPr="00831A0B">
      <w:rPr>
        <w:rFonts w:ascii="C39T30Lfz" w:hAnsi="C39T30Lfz"/>
        <w:kern w:val="14"/>
        <w:sz w:val="56"/>
      </w:rPr>
      <w:t></w:t>
    </w:r>
    <w:r w:rsidRPr="00831A0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315853" wp14:editId="181650E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CHE/CO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CHE/CO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B706" w14:textId="77777777" w:rsidR="00EE4A82" w:rsidRPr="001075E9" w:rsidRDefault="00EE4A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E1FF83" w14:textId="77777777" w:rsidR="00EE4A82" w:rsidRDefault="00EE4A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2A855C" w14:textId="77777777" w:rsidR="00831A0B" w:rsidRPr="001F7348" w:rsidRDefault="00831A0B" w:rsidP="00831A0B">
      <w:pPr>
        <w:pStyle w:val="af"/>
      </w:pPr>
      <w:r>
        <w:tab/>
        <w:t>*</w:t>
      </w:r>
      <w:r>
        <w:tab/>
        <w:t>Приняты Комитетом на его шестьдесят шестой сессии (30 сентября – 18 октября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CF35" w14:textId="03A2FAAD" w:rsidR="00831A0B" w:rsidRPr="00831A0B" w:rsidRDefault="00D00A8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E/C.12/CHE/CO/4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CB5A" w14:textId="667B168E" w:rsidR="00831A0B" w:rsidRPr="00831A0B" w:rsidRDefault="00D00A81" w:rsidP="00831A0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E/C.12/CHE/CO/4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82"/>
    <w:rsid w:val="00033EE1"/>
    <w:rsid w:val="00042B72"/>
    <w:rsid w:val="00043B08"/>
    <w:rsid w:val="000558BD"/>
    <w:rsid w:val="000857D2"/>
    <w:rsid w:val="000B57E7"/>
    <w:rsid w:val="000B6373"/>
    <w:rsid w:val="000E67FE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1A0B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06C25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00A81"/>
    <w:rsid w:val="00D27998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E4A82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D6BE6"/>
  <w15:docId w15:val="{8C74229B-48AE-45D8-A3CC-5D8BDA43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11</Pages>
  <Words>4332</Words>
  <Characters>30718</Characters>
  <Application>Microsoft Office Word</Application>
  <DocSecurity>0</DocSecurity>
  <Lines>558</Lines>
  <Paragraphs>131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E/C.12/CHE/CO/4</vt:lpstr>
      <vt:lpstr>A/</vt:lpstr>
      <vt:lpstr>A/</vt:lpstr>
    </vt:vector>
  </TitlesOfParts>
  <Company>DCM</Company>
  <LinksUpToDate>false</LinksUpToDate>
  <CharactersWithSpaces>34919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E/C.12/CHE/CO/4</dc:title>
  <dc:subject/>
  <dc:creator>Anna BLAGODATSKIKH</dc:creator>
  <cp:keywords/>
  <cp:lastModifiedBy>Anna Blagodatskikh</cp:lastModifiedBy>
  <cp:revision>3</cp:revision>
  <cp:lastPrinted>2019-12-10T10:12:00Z</cp:lastPrinted>
  <dcterms:created xsi:type="dcterms:W3CDTF">2019-12-10T10:12:00Z</dcterms:created>
  <dcterms:modified xsi:type="dcterms:W3CDTF">2019-12-10T10:14:00Z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