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827"/>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827"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25299" r:id="rId8"/>
              </w:object>
            </w:r>
          </w:p>
        </w:tc>
        <w:tc>
          <w:tcPr>
            <w:tcW w:w="4252"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827" w:type="dxa"/>
            <w:tcBorders>
              <w:top w:val="single" w:sz="6" w:space="0" w:color="auto"/>
              <w:left w:val="nil"/>
              <w:bottom w:val="single" w:sz="36" w:space="0" w:color="auto"/>
              <w:right w:val="nil"/>
            </w:tcBorders>
          </w:tcPr>
          <w:p w:rsidR="00000000" w:rsidRDefault="00000000">
            <w:pPr>
              <w:spacing w:before="480"/>
              <w:rPr>
                <w:lang w:val="es-ES_tradnl"/>
              </w:rPr>
            </w:pPr>
            <w:r>
              <w:rPr>
                <w:lang w:val="es-ES_tradnl"/>
              </w:rPr>
              <w:t>Distr.</w:t>
            </w:r>
            <w:r>
              <w:rPr>
                <w:lang w:val="es-ES_tradnl"/>
              </w:rPr>
              <w:br/>
              <w:t>GENERAL</w:t>
            </w:r>
          </w:p>
          <w:p w:rsidR="00000000" w:rsidRDefault="00000000">
            <w:pPr>
              <w:spacing w:after="240"/>
            </w:pPr>
          </w:p>
          <w:p w:rsidR="00000000" w:rsidRDefault="00000000">
            <w:pPr>
              <w:spacing w:after="240"/>
              <w:rPr>
                <w:lang w:val="it-IT"/>
              </w:rPr>
            </w:pPr>
            <w:r>
              <w:fldChar w:fldCharType="begin"/>
            </w:r>
            <w:r>
              <w:rPr>
                <w:lang w:val="it-IT"/>
              </w:rPr>
              <w:instrText xml:space="preserve"> FILLIN "Symbol" \* MERGEFORMAT </w:instrText>
            </w:r>
            <w:r>
              <w:fldChar w:fldCharType="separate"/>
            </w:r>
            <w:r>
              <w:rPr>
                <w:lang w:val="it-IT"/>
              </w:rPr>
              <w:t>E/C.12/</w:t>
            </w:r>
            <w:r>
              <w:fldChar w:fldCharType="end"/>
            </w:r>
            <w:r>
              <w:t>CYP/Q/5</w:t>
            </w:r>
            <w:r>
              <w:rPr>
                <w:lang w:val="it-IT"/>
              </w:rPr>
              <w:br/>
              <w:t>7 January 2009</w:t>
            </w:r>
          </w:p>
          <w:p w:rsidR="00000000" w:rsidRDefault="00000000">
            <w:pPr>
              <w:rPr>
                <w:lang w:val="it-IT"/>
              </w:rPr>
            </w:pPr>
          </w:p>
          <w:p w:rsidR="00000000" w:rsidRDefault="00000000">
            <w:r>
              <w:t xml:space="preserve">Original:  </w:t>
            </w:r>
            <w:fldSimple w:instr=" FILLIN &quot;Orig. Lang.&quot; \* MERGEFORMAT ">
              <w:r>
                <w:t>ENGLISH</w:t>
              </w:r>
            </w:fldSimple>
          </w:p>
        </w:tc>
      </w:tr>
    </w:tbl>
    <w:p w:rsidR="00000000" w:rsidRDefault="00000000"/>
    <w:p w:rsidR="00000000" w:rsidRDefault="00000000">
      <w:r>
        <w:t>COMMITTEE ON ECONOMIC, SOCIAL</w:t>
      </w:r>
      <w:r>
        <w:br/>
        <w:t>AND CULTURAL RIGHTS</w:t>
      </w:r>
      <w:r>
        <w:br/>
        <w:t>Pre-sessional working group</w:t>
      </w:r>
    </w:p>
    <w:p w:rsidR="00000000" w:rsidRDefault="00000000">
      <w:r>
        <w:t>Geneva, 24-28 November 2008</w:t>
      </w:r>
      <w:r>
        <w:br/>
      </w:r>
    </w:p>
    <w:p w:rsidR="00000000" w:rsidRDefault="00000000">
      <w:pPr>
        <w:jc w:val="center"/>
        <w:rPr>
          <w:b/>
          <w:lang w:val="en-GB"/>
        </w:rPr>
      </w:pPr>
      <w:r>
        <w:rPr>
          <w:b/>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6pt;margin-top:345.8pt;width:90pt;height:30pt;z-index:1" stroked="f">
            <v:textbox>
              <w:txbxContent>
                <w:p w:rsidR="00000000" w:rsidRDefault="00000000">
                  <w:r>
                    <w:rPr>
                      <w:rFonts w:hint="eastAsia"/>
                    </w:rPr>
                    <w:t>GE.09-4016</w:t>
                  </w:r>
                  <w:r>
                    <w:t>5</w:t>
                  </w:r>
                </w:p>
              </w:txbxContent>
            </v:textbox>
          </v:shape>
        </w:pict>
      </w:r>
      <w:r>
        <w:rPr>
          <w:b/>
          <w:lang w:val="en-GB"/>
        </w:rPr>
        <w:t>IMPLEMENTATION OF THE INTERNATIONAL COVENANT ON</w:t>
      </w:r>
      <w:r>
        <w:rPr>
          <w:b/>
          <w:lang w:val="en-GB"/>
        </w:rPr>
        <w:br/>
        <w:t>ECONOMIC, SOCIAL AND CULTURAL RIGHTS</w:t>
      </w:r>
    </w:p>
    <w:p w:rsidR="00000000" w:rsidRDefault="00000000">
      <w:pPr>
        <w:rPr>
          <w:lang w:val="en-GB"/>
        </w:rPr>
      </w:pPr>
    </w:p>
    <w:p w:rsidR="00000000" w:rsidRDefault="00000000">
      <w:pPr>
        <w:jc w:val="center"/>
        <w:rPr>
          <w:b/>
          <w:lang w:val="en-GB"/>
        </w:rPr>
      </w:pPr>
      <w:r>
        <w:rPr>
          <w:b/>
          <w:lang w:val="en-GB"/>
        </w:rPr>
        <w:t>List of issues to be taken up in connection with the consideration of  the fourth and fifth reports of CYPRUS concerning the rights covered by articles 1 to 15 of the International Covenant on Economic, Social and Cultural Rights (</w:t>
      </w:r>
      <w:r>
        <w:rPr>
          <w:b/>
          <w:lang w:val="en-GB"/>
        </w:rPr>
        <w:fldChar w:fldCharType="begin"/>
      </w:r>
      <w:r>
        <w:rPr>
          <w:b/>
        </w:rPr>
        <w:instrText xml:space="preserve"> FILLIN "Symbol" \* MERGEFORMAT </w:instrText>
      </w:r>
      <w:r>
        <w:rPr>
          <w:b/>
          <w:lang w:val="en-GB"/>
        </w:rPr>
        <w:fldChar w:fldCharType="separate"/>
      </w:r>
      <w:r>
        <w:rPr>
          <w:b/>
        </w:rPr>
        <w:t>E/C.12/</w:t>
      </w:r>
      <w:r>
        <w:fldChar w:fldCharType="end"/>
      </w:r>
      <w:r>
        <w:rPr>
          <w:b/>
          <w:lang w:val="en-GB"/>
        </w:rPr>
        <w:t>CYP/5)</w:t>
      </w:r>
    </w:p>
    <w:p w:rsidR="00000000" w:rsidRDefault="00000000">
      <w:pPr>
        <w:rPr>
          <w:lang w:val="en-GB"/>
        </w:rPr>
      </w:pPr>
    </w:p>
    <w:p w:rsidR="00000000" w:rsidRDefault="00000000">
      <w:pPr>
        <w:numPr>
          <w:ilvl w:val="0"/>
          <w:numId w:val="2"/>
        </w:numPr>
        <w:jc w:val="center"/>
        <w:rPr>
          <w:b/>
          <w:lang w:val="en-GB"/>
        </w:rPr>
      </w:pPr>
      <w:r>
        <w:rPr>
          <w:b/>
          <w:lang w:val="en-GB"/>
        </w:rPr>
        <w:t>GENERAL INFORMATION</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t>Please explain how the Covenant is reflected in the Constitution. Please provide examples of cases in which individuals have invoked economic, social and cultural rights before a national court. What steps are being taken to ensure that victims of violations of economic, social and cultural rights have access to effective judicial remedies, and that court orders and judgments are being enforced?</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t xml:space="preserve">Please indicate whether the National Institution for the Protection of Human Rights conforms to the Paris Principles and why it has not been accredited by the </w:t>
      </w:r>
      <w:r>
        <w:rPr>
          <w:szCs w:val="20"/>
        </w:rPr>
        <w:t>International Coordinating Committee of National Institutions for the Promotion and Protection of Human Rights</w:t>
      </w:r>
      <w:r>
        <w:t xml:space="preserve"> till now. Please indicate whether the National Institution’s mandate covers economic, social and cultural rights and cite examples of case law. </w:t>
      </w:r>
    </w:p>
    <w:p w:rsidR="00000000" w:rsidRDefault="00000000"/>
    <w:p w:rsidR="00000000" w:rsidRDefault="00000000"/>
    <w:p w:rsidR="00000000" w:rsidRDefault="00000000"/>
    <w:p w:rsidR="00000000" w:rsidRDefault="00000000"/>
    <w:p w:rsidR="00000000" w:rsidRDefault="00000000">
      <w:pPr>
        <w:numPr>
          <w:ilvl w:val="0"/>
          <w:numId w:val="1"/>
        </w:numPr>
        <w:tabs>
          <w:tab w:val="clear" w:pos="644"/>
          <w:tab w:val="num" w:pos="720"/>
        </w:tabs>
        <w:ind w:left="0" w:firstLine="0"/>
        <w:rPr>
          <w:lang w:val="en-GB"/>
        </w:rPr>
      </w:pPr>
      <w:r>
        <w:t xml:space="preserve">In view of the fact that the State party’s report was communicated to the National Institution for the Protection of Human Rights and NGOs, please indicate the nature of their contribution to the report. </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t>Please explain the mandate of the Ombudsman created by the Law no. 42/04 on Combating of Racism and Other Discrimination, and cite examples of cases dealt with by this mechanism.</w:t>
      </w:r>
      <w:r>
        <w:rPr>
          <w:i/>
          <w:iCs/>
          <w:lang w:val="en-GB"/>
        </w:rPr>
        <w:t xml:space="preserve"> </w:t>
      </w:r>
      <w:r>
        <w:rPr>
          <w:lang w:val="en-GB"/>
        </w:rPr>
        <w:t>Has the Ombudsman’s office been afforded sufficient funds to cope with the additional duties bestowed upon it by its new function as equality body?</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t>Please indicate whether human rights education is provided in schools at all levels and whether awareness about human rights, in particular economic, social and cultural rights, is raised among State officials and in judiciary schools.</w:t>
      </w:r>
    </w:p>
    <w:p w:rsidR="00000000" w:rsidRDefault="00000000">
      <w:pPr>
        <w:rPr>
          <w:lang w:val="en-GB"/>
        </w:rPr>
      </w:pPr>
    </w:p>
    <w:p w:rsidR="00000000" w:rsidRDefault="00000000">
      <w:pPr>
        <w:jc w:val="center"/>
        <w:rPr>
          <w:b/>
          <w:lang w:val="en-GB"/>
        </w:rPr>
      </w:pPr>
      <w:r>
        <w:rPr>
          <w:b/>
          <w:lang w:val="en-GB"/>
        </w:rPr>
        <w:t>II.</w:t>
      </w:r>
      <w:r>
        <w:rPr>
          <w:b/>
          <w:lang w:val="en-GB"/>
        </w:rPr>
        <w:tab/>
        <w:t>ISSUES RELATING TO THE GENERAL PROVISIONS OF THE COVENANT (arts. 1-5)</w:t>
      </w:r>
    </w:p>
    <w:p w:rsidR="00000000" w:rsidRDefault="00000000">
      <w:pPr>
        <w:rPr>
          <w:lang w:val="en-GB"/>
        </w:rPr>
      </w:pPr>
    </w:p>
    <w:p w:rsidR="00000000" w:rsidRDefault="00000000">
      <w:pPr>
        <w:jc w:val="center"/>
        <w:rPr>
          <w:bCs/>
          <w:lang w:val="en-GB"/>
        </w:rPr>
      </w:pPr>
      <w:r>
        <w:rPr>
          <w:bCs/>
          <w:lang w:val="en-GB"/>
        </w:rPr>
        <w:t>Article 2(2). Non-discrimination</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Please indicate whether the new primary anti-discrimination legislation ( State party’s report, para 16) provides protection from discrimination on all grounds.</w:t>
      </w:r>
      <w:r>
        <w:rPr>
          <w:i/>
          <w:iCs/>
          <w:lang w:val="en-GB"/>
        </w:rPr>
        <w:t xml:space="preserve"> </w:t>
      </w:r>
      <w:r>
        <w:rPr>
          <w:lang w:val="en-GB"/>
        </w:rPr>
        <w:t xml:space="preserve">Please also explain why not one single case has been brought before the courts under the new primary anti-discrimination legislation. What measures have been taken to bring to the attention of vulnerable groups the new complaint procedures open to them? Is </w:t>
      </w:r>
      <w:r>
        <w:t>legal aid provided to the victims to pursue their claims?</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 xml:space="preserve">Please indicate the interactions between the Anti-Discrimination Agency, the Equality Authority and the Cypriot Equality Agency. Please cite examples on how they deal with cases falling under their respective mandates. </w:t>
      </w:r>
    </w:p>
    <w:p w:rsidR="00000000" w:rsidRDefault="00000000">
      <w:pPr>
        <w:rPr>
          <w:lang w:val="en-GB"/>
        </w:rPr>
      </w:pPr>
    </w:p>
    <w:p w:rsidR="00000000" w:rsidRDefault="00000000">
      <w:pPr>
        <w:numPr>
          <w:ilvl w:val="0"/>
          <w:numId w:val="1"/>
        </w:numPr>
        <w:tabs>
          <w:tab w:val="clear" w:pos="644"/>
          <w:tab w:val="num" w:pos="720"/>
        </w:tabs>
        <w:ind w:left="0" w:firstLine="0"/>
      </w:pPr>
      <w:r>
        <w:t>Please explain why members of minority groups are not represented in Parliament and why the 24 seats assigned to the Turkish Cypriots remain unfilled. Please explain to what extent the 1975 Vienna Agreement III regarding the treatment of Turkish Cypriots living in the State party is being applied.</w:t>
      </w:r>
    </w:p>
    <w:p w:rsidR="00000000" w:rsidRDefault="00000000"/>
    <w:p w:rsidR="00000000" w:rsidRDefault="00000000">
      <w:pPr>
        <w:numPr>
          <w:ilvl w:val="0"/>
          <w:numId w:val="1"/>
        </w:numPr>
        <w:tabs>
          <w:tab w:val="clear" w:pos="644"/>
          <w:tab w:val="num" w:pos="720"/>
        </w:tabs>
        <w:ind w:left="0" w:firstLine="0"/>
      </w:pPr>
      <w:r>
        <w:t>Please indicate whether the Turkish community is afforded the right to use their language in official transactions in accordance with the 1960 Constitution.</w:t>
      </w:r>
    </w:p>
    <w:p w:rsidR="00000000" w:rsidRDefault="00000000">
      <w:pPr>
        <w:rPr>
          <w:lang w:val="en-GB"/>
        </w:rPr>
      </w:pPr>
    </w:p>
    <w:p w:rsidR="00000000" w:rsidRDefault="00000000">
      <w:pPr>
        <w:numPr>
          <w:ilvl w:val="0"/>
          <w:numId w:val="1"/>
        </w:numPr>
        <w:tabs>
          <w:tab w:val="clear" w:pos="644"/>
          <w:tab w:val="num" w:pos="720"/>
        </w:tabs>
        <w:ind w:left="0" w:firstLine="0"/>
      </w:pPr>
      <w:r>
        <w:rPr>
          <w:lang w:val="en-GB"/>
        </w:rPr>
        <w:t xml:space="preserve">Please explain why Roma, Pontian Greeks and Maronites are still discriminated against and what effective measures are taken to effectively address </w:t>
      </w:r>
      <w:r>
        <w:t>manifestations of prejudice and discrimination affecting them.</w:t>
      </w:r>
    </w:p>
    <w:p w:rsidR="00000000" w:rsidRDefault="00000000"/>
    <w:p w:rsidR="00000000" w:rsidRDefault="00000000">
      <w:pPr>
        <w:numPr>
          <w:ilvl w:val="0"/>
          <w:numId w:val="1"/>
        </w:numPr>
        <w:tabs>
          <w:tab w:val="clear" w:pos="644"/>
          <w:tab w:val="num" w:pos="720"/>
        </w:tabs>
        <w:ind w:left="0" w:firstLine="0"/>
        <w:rPr>
          <w:lang w:val="en-GB"/>
        </w:rPr>
      </w:pPr>
      <w:r>
        <w:t xml:space="preserve">Please comment on allegations that non-nationals make up 30 per cent of the prison population. </w:t>
      </w:r>
      <w:r>
        <w:rPr>
          <w:lang w:val="en-GB"/>
        </w:rPr>
        <w:t>Please also indicate whether applicants for asylum are still placed in prisons throughout the process of the examination of their claims and explain the reasons why in some cases  rejected asylum-seekers have been detained for 6 to 10 months in police detention not adequate for long stay.</w:t>
      </w:r>
      <w:r>
        <w:rPr>
          <w:lang w:val="en-GB"/>
        </w:rPr>
        <w:tab/>
      </w:r>
    </w:p>
    <w:p w:rsidR="00000000" w:rsidRDefault="00000000">
      <w:pPr>
        <w:jc w:val="center"/>
        <w:rPr>
          <w:bCs/>
          <w:lang w:val="en-GB"/>
        </w:rPr>
      </w:pPr>
      <w:r>
        <w:rPr>
          <w:bCs/>
          <w:lang w:val="en-GB"/>
        </w:rPr>
        <w:t>Article 3.  Equal rights of men and women</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Please indicate whether the State party implements or envisages implementing a comprehensive strategy, including clear goals and timetables, to modify and eliminate negative cultural attitudes and practices and stereotypes that discriminate against women in the State party. Please also inform whether the State party has carried out awareness-raising campaigns aimed at the elimination of stereotypes associated with men’s and women’s traditional roles in the family and in society at large.</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 xml:space="preserve">Please elaborate on the specific measures adopted to increase </w:t>
      </w:r>
      <w:r>
        <w:t xml:space="preserve">women’s participation in public and political life </w:t>
      </w:r>
      <w:r>
        <w:rPr>
          <w:lang w:val="en-GB"/>
        </w:rPr>
        <w:t>(para. 607 of the State party’s report)</w:t>
      </w:r>
      <w:r>
        <w:t>. Why has the quota system failed to increase the number of women at all decision-making levels?</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Please explain why there is no specific law prohibiting sexual harassment in the work place.</w:t>
      </w:r>
    </w:p>
    <w:p w:rsidR="00000000" w:rsidRDefault="00000000">
      <w:pPr>
        <w:rPr>
          <w:lang w:val="en-GB"/>
        </w:rPr>
      </w:pPr>
    </w:p>
    <w:p w:rsidR="00000000" w:rsidRDefault="00000000">
      <w:pPr>
        <w:jc w:val="center"/>
        <w:rPr>
          <w:b/>
          <w:lang w:val="en-GB"/>
        </w:rPr>
      </w:pPr>
      <w:r>
        <w:rPr>
          <w:b/>
          <w:lang w:val="en-GB"/>
        </w:rPr>
        <w:t>IV.</w:t>
      </w:r>
      <w:r>
        <w:rPr>
          <w:b/>
          <w:lang w:val="en-GB"/>
        </w:rPr>
        <w:tab/>
        <w:t xml:space="preserve">ISSUES RELATING TO THE SPECIFIC PROVISIONS </w:t>
      </w:r>
      <w:r>
        <w:rPr>
          <w:b/>
          <w:lang w:val="en-GB"/>
        </w:rPr>
        <w:br/>
        <w:t>OF THE COVENANT (arts. 6-15)</w:t>
      </w:r>
    </w:p>
    <w:p w:rsidR="00000000" w:rsidRDefault="00000000">
      <w:pPr>
        <w:rPr>
          <w:lang w:val="en-GB"/>
        </w:rPr>
      </w:pPr>
    </w:p>
    <w:p w:rsidR="00000000" w:rsidRDefault="00000000">
      <w:pPr>
        <w:jc w:val="center"/>
        <w:rPr>
          <w:bCs/>
          <w:lang w:val="en-GB"/>
        </w:rPr>
      </w:pPr>
      <w:r>
        <w:rPr>
          <w:bCs/>
          <w:lang w:val="en-GB"/>
        </w:rPr>
        <w:t>Article 6.  The right to work</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 xml:space="preserve">Does the statistics provided by the State party (paras. 29 -35) include third country migrants who reside and/or work in Cyprus? Please supply more detailed information on the migrants working without papers who are said to represent one out of six or  one out of seven workers. </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Please give information on the situation of the thousands of Turkish Cypriots workers employed in the South of the State party. Which measures have been taken to ensure proper registration of Turkish Cypriots who travel on a daily basis to work in the</w:t>
      </w:r>
      <w:r>
        <w:t xml:space="preserve"> government-controlled part of Cyprus?</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 xml:space="preserve">In light of information that youth employment rates fluctuate at low levels and that employment rates for women are is still well below those for men (report, para. 31), please provide detailed and accurate information on the steps taken to increase employment opportunities for young persons and women, including technical and vocational courses offered to them, and on the policies designated to reduce unemployment among them. </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Please explain why asylum-seekers cannot access employment for the first six months after they file an application for refugee status and why after this period the Government only allows them access to jobs in agriculture and farming, where they reportedly suffer poor working and living conditions.</w:t>
      </w: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jc w:val="center"/>
        <w:rPr>
          <w:bCs/>
          <w:lang w:val="en-GB"/>
        </w:rPr>
      </w:pPr>
      <w:r>
        <w:rPr>
          <w:bCs/>
          <w:lang w:val="en-GB"/>
        </w:rPr>
        <w:t>Article 7.  The right to just and favourable conditions of work</w:t>
      </w:r>
    </w:p>
    <w:p w:rsidR="00000000" w:rsidRDefault="00000000">
      <w:pPr>
        <w:rPr>
          <w:b/>
          <w:lang w:val="en-GB"/>
        </w:rPr>
      </w:pPr>
    </w:p>
    <w:p w:rsidR="00000000" w:rsidRDefault="00000000">
      <w:pPr>
        <w:numPr>
          <w:ilvl w:val="0"/>
          <w:numId w:val="1"/>
        </w:numPr>
        <w:tabs>
          <w:tab w:val="clear" w:pos="644"/>
          <w:tab w:val="num" w:pos="720"/>
        </w:tabs>
        <w:ind w:left="0" w:firstLine="0"/>
        <w:rPr>
          <w:lang w:val="en-GB"/>
        </w:rPr>
      </w:pPr>
      <w:r>
        <w:rPr>
          <w:lang w:val="en-GB"/>
        </w:rPr>
        <w:t xml:space="preserve">In light of information given by the State party (para. 106) that the gender wage gap in Cyprus  is high (25 per cent), please provide information on  concrete measures taken or envisaged to enforce the Law on Equal Pay Between Men and Women for the Same Work or for Work of Equal Value of 2002. </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According to information before the Committee, domestic workers, who make up the largest group of migrant workers, continue to work up to 14 to 16 hours a day, seven days a week and under very exploitative conditions, when the legal maximum work week is between 36 to 38 hours. In this context, please explain why domestic workers and “artists” are the two only categories of workers whose contracts depend on the Ministry of Interior. Please also explain why domestic workers are excluded from the application of the Law on Safety and Health at Work and the Law on the Organization of Working Time (paras. 113 and 124 of the report) and why they remain outside the system of fixing of minimum wages. Which specific and concrete measures have been taken in accordance to the previous recommendations of the Committee to protect them?</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Is the minimum wage sufficient to provide workers and their families an adequate standard of living? How is this minimum wage determined and on what basis? Please indicate how minimum wage for workers covered by collective agreements is determined (report, para. 92).</w:t>
      </w:r>
    </w:p>
    <w:p w:rsidR="00000000" w:rsidRDefault="00000000">
      <w:pPr>
        <w:rPr>
          <w:lang w:val="en-GB"/>
        </w:rPr>
      </w:pPr>
    </w:p>
    <w:p w:rsidR="00000000" w:rsidRDefault="00000000">
      <w:pPr>
        <w:jc w:val="center"/>
        <w:rPr>
          <w:bCs/>
          <w:lang w:val="en-GB"/>
        </w:rPr>
      </w:pPr>
      <w:r>
        <w:rPr>
          <w:bCs/>
          <w:lang w:val="en-GB"/>
        </w:rPr>
        <w:t>Article 8.  Trade union rights</w:t>
      </w:r>
    </w:p>
    <w:p w:rsidR="00000000" w:rsidRDefault="00000000"/>
    <w:p w:rsidR="00000000" w:rsidRDefault="00000000">
      <w:pPr>
        <w:numPr>
          <w:ilvl w:val="0"/>
          <w:numId w:val="1"/>
        </w:numPr>
        <w:tabs>
          <w:tab w:val="clear" w:pos="644"/>
          <w:tab w:val="num" w:pos="720"/>
        </w:tabs>
        <w:ind w:left="0" w:firstLine="0"/>
      </w:pPr>
      <w:r>
        <w:rPr>
          <w:lang w:val="en-GB"/>
        </w:rPr>
        <w:t>Please indicate why the Industrial Relations Code of 1977 for the settlement of labour relations has no force of law and why its recommendations are not binding. Please illustrate how this code assisted in settling labour disputes and provide concrete examples. Does the code cover all labour relations? Please explain the mandate of the Arbitration Committee and why its decision is not binding on the parties.</w:t>
      </w:r>
    </w:p>
    <w:p w:rsidR="00000000" w:rsidRDefault="00000000"/>
    <w:p w:rsidR="00000000" w:rsidRDefault="00000000">
      <w:pPr>
        <w:numPr>
          <w:ilvl w:val="0"/>
          <w:numId w:val="1"/>
        </w:numPr>
        <w:tabs>
          <w:tab w:val="clear" w:pos="644"/>
          <w:tab w:val="num" w:pos="720"/>
        </w:tabs>
        <w:ind w:left="0" w:firstLine="0"/>
      </w:pPr>
      <w:r>
        <w:rPr>
          <w:lang w:val="en-GB"/>
        </w:rPr>
        <w:t xml:space="preserve">Articles 10 and 27 of the Constitution deal with strikes in essential services as does article 1.2 of the Agreement on the Procedure for the Settlement of Labour Disputes in Essential Services. </w:t>
      </w:r>
      <w:r>
        <w:t>Please complement the information provided in the State party’s report (</w:t>
      </w:r>
      <w:r>
        <w:rPr>
          <w:lang w:val="en-GB"/>
        </w:rPr>
        <w:t>para. 154) as to the services which are considered as essential and clarify how disputes in essential services are settled.</w:t>
      </w:r>
    </w:p>
    <w:p w:rsidR="00000000" w:rsidRDefault="00000000"/>
    <w:p w:rsidR="00000000" w:rsidRDefault="00000000">
      <w:pPr>
        <w:jc w:val="center"/>
        <w:rPr>
          <w:bCs/>
          <w:lang w:val="en-GB"/>
        </w:rPr>
      </w:pPr>
      <w:r>
        <w:rPr>
          <w:bCs/>
          <w:lang w:val="en-GB"/>
        </w:rPr>
        <w:t>Article 9.  The right to social security</w:t>
      </w:r>
    </w:p>
    <w:p w:rsidR="00000000" w:rsidRDefault="00000000">
      <w:pPr>
        <w:jc w:val="center"/>
        <w:rPr>
          <w:bCs/>
          <w:lang w:val="en-GB"/>
        </w:rPr>
      </w:pPr>
    </w:p>
    <w:p w:rsidR="00000000" w:rsidRDefault="00000000">
      <w:pPr>
        <w:numPr>
          <w:ilvl w:val="0"/>
          <w:numId w:val="1"/>
        </w:numPr>
        <w:tabs>
          <w:tab w:val="clear" w:pos="644"/>
          <w:tab w:val="num" w:pos="720"/>
        </w:tabs>
        <w:ind w:left="0" w:firstLine="0"/>
        <w:rPr>
          <w:lang w:val="en-GB"/>
        </w:rPr>
      </w:pPr>
      <w:r>
        <w:rPr>
          <w:lang w:val="en-GB"/>
        </w:rPr>
        <w:t>Please indicate the measures taken to ensure that migrant workers who contribute to the social security system have effective access to social security benefits such as unemployment or sickness benefits while in Cyprus and pensions once they leave the country.</w:t>
      </w:r>
    </w:p>
    <w:p w:rsidR="00000000" w:rsidRDefault="00000000">
      <w:pPr>
        <w:rPr>
          <w:lang w:val="en-GB"/>
        </w:rPr>
      </w:pPr>
      <w:r>
        <w:rPr>
          <w:lang w:val="en-GB"/>
        </w:rPr>
        <w:t xml:space="preserve"> </w:t>
      </w:r>
    </w:p>
    <w:p w:rsidR="00000000" w:rsidRDefault="00000000">
      <w:pPr>
        <w:numPr>
          <w:ilvl w:val="0"/>
          <w:numId w:val="1"/>
        </w:numPr>
        <w:tabs>
          <w:tab w:val="clear" w:pos="644"/>
          <w:tab w:val="num" w:pos="720"/>
        </w:tabs>
        <w:ind w:left="0" w:firstLine="0"/>
        <w:rPr>
          <w:lang w:val="en-GB"/>
        </w:rPr>
      </w:pPr>
      <w:r>
        <w:rPr>
          <w:lang w:val="en-GB"/>
        </w:rPr>
        <w:t xml:space="preserve">Please indicate the measures taken or envisaged to accelerate the process of issuing residence permits to asylum-seekers, needed to access rights in the fields of healthcare provision, social welfare and education. </w:t>
      </w:r>
    </w:p>
    <w:p w:rsidR="00000000" w:rsidRDefault="00000000">
      <w:pPr>
        <w:rPr>
          <w:lang w:val="en-GB"/>
        </w:rPr>
      </w:pPr>
    </w:p>
    <w:p w:rsidR="00000000" w:rsidRDefault="00000000">
      <w:pPr>
        <w:jc w:val="center"/>
        <w:rPr>
          <w:bCs/>
          <w:lang w:val="en-GB"/>
        </w:rPr>
      </w:pPr>
      <w:r>
        <w:rPr>
          <w:bCs/>
          <w:lang w:val="en-GB"/>
        </w:rPr>
        <w:t>Article 10.  Protection of the family, mothers and children</w:t>
      </w:r>
    </w:p>
    <w:p w:rsidR="00000000" w:rsidRDefault="00000000">
      <w:pPr>
        <w:jc w:val="center"/>
        <w:rPr>
          <w:bCs/>
          <w:lang w:val="en-GB"/>
        </w:rPr>
      </w:pPr>
    </w:p>
    <w:p w:rsidR="00000000" w:rsidRDefault="00000000">
      <w:pPr>
        <w:numPr>
          <w:ilvl w:val="0"/>
          <w:numId w:val="1"/>
        </w:numPr>
        <w:tabs>
          <w:tab w:val="clear" w:pos="644"/>
          <w:tab w:val="num" w:pos="720"/>
        </w:tabs>
        <w:ind w:left="0" w:firstLine="0"/>
      </w:pPr>
      <w:r>
        <w:rPr>
          <w:lang w:val="en-GB"/>
        </w:rPr>
        <w:t xml:space="preserve">Please indicate whether </w:t>
      </w:r>
      <w:r>
        <w:t xml:space="preserve">there is a specific provision in legislation that criminalizes and punishes domestic violence. </w:t>
      </w:r>
      <w:r>
        <w:rPr>
          <w:lang w:val="en-GB"/>
        </w:rPr>
        <w:t xml:space="preserve">Please supply additional updated information on cases of domestic violence where perpetrators were prosecuted and punished. </w:t>
      </w:r>
      <w:r>
        <w:t xml:space="preserve">Please explain why in case of violence against women it is necessary to have at least one witness in order to convict the perpetrator. </w:t>
      </w:r>
      <w:r>
        <w:rPr>
          <w:lang w:val="en-GB"/>
        </w:rPr>
        <w:t>Are shelters available for victims of domestic violence? Please also supply information on cooperation among the various government departments working on this issue and on the human and financial resources allocated to the implementation of the law for the prevention of domestic violence.</w:t>
      </w:r>
    </w:p>
    <w:p w:rsidR="00000000" w:rsidRDefault="00000000"/>
    <w:p w:rsidR="00000000" w:rsidRDefault="00000000">
      <w:pPr>
        <w:numPr>
          <w:ilvl w:val="0"/>
          <w:numId w:val="1"/>
        </w:numPr>
        <w:tabs>
          <w:tab w:val="clear" w:pos="644"/>
          <w:tab w:val="num" w:pos="720"/>
        </w:tabs>
        <w:ind w:left="0" w:firstLine="0"/>
        <w:rPr>
          <w:lang w:val="en-GB"/>
        </w:rPr>
      </w:pPr>
      <w:r>
        <w:rPr>
          <w:lang w:val="en-GB"/>
        </w:rPr>
        <w:t xml:space="preserve">Please indicate whether the Government intends to reform the system of artists’ visas (paras. 70 and 74 of the State party’s report), which is reportedly still used for facilitating trafficking and forced prostitution. Please clarify whether it is the women themselves who apply for the visas or the establishment owners? Please provide information on the measures taken to improve the identification of victims and to make available shelters for victims of trafficking. </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 xml:space="preserve">Please give examples of prosecution under the 2000 </w:t>
      </w:r>
      <w:r>
        <w:t xml:space="preserve">Law on Combating of Trafficking in Persons and Sexual Exploitation of Children </w:t>
      </w:r>
      <w:r>
        <w:rPr>
          <w:lang w:val="en-GB"/>
        </w:rPr>
        <w:t>and the 2001 Law on Protection of Witnesses. Please indicate why the penalties stipulated in the 2000 Trafficking Law are not severe enough and are not commensurate with those prescribed for other grave crimes.</w:t>
      </w:r>
    </w:p>
    <w:p w:rsidR="00000000" w:rsidRDefault="00000000">
      <w:pPr>
        <w:rPr>
          <w:i/>
          <w:iCs/>
          <w:lang w:val="en-GB"/>
        </w:rPr>
      </w:pPr>
    </w:p>
    <w:p w:rsidR="00000000" w:rsidRDefault="00000000">
      <w:pPr>
        <w:numPr>
          <w:ilvl w:val="0"/>
          <w:numId w:val="1"/>
        </w:numPr>
        <w:tabs>
          <w:tab w:val="clear" w:pos="644"/>
          <w:tab w:val="num" w:pos="720"/>
        </w:tabs>
        <w:ind w:left="0" w:firstLine="0"/>
        <w:rPr>
          <w:lang w:val="en-GB"/>
        </w:rPr>
      </w:pPr>
      <w:r>
        <w:rPr>
          <w:lang w:val="en-GB"/>
        </w:rPr>
        <w:t xml:space="preserve">Please indicate whether the Government intends to withdraw the subjective condition of “having a good character” (para. 256 of the State party’s report) as one of the conditions for the spouse of a Cypriot to acquire Cypriot citizenship. Could the State party be more specific as to the special circumstances which will enable </w:t>
      </w:r>
      <w:r>
        <w:t xml:space="preserve">the Council of Ministers to allow registration of an alien spouse of a Cypriot citizen, despite the fact that he/she entered or resides in the Republic illegally </w:t>
      </w:r>
      <w:r>
        <w:rPr>
          <w:lang w:val="en-GB"/>
        </w:rPr>
        <w:t>(para. 257 )?</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 xml:space="preserve">Please comment on the allegation that it is reportedly almost impossible for migrants to exercise their rights to family reunification because of the obstacles they encounter in meeting conditions set by the law. </w:t>
      </w:r>
    </w:p>
    <w:p w:rsidR="00000000" w:rsidRDefault="00000000">
      <w:pPr>
        <w:rPr>
          <w:lang w:val="en-GB"/>
        </w:rPr>
      </w:pPr>
    </w:p>
    <w:p w:rsidR="00000000" w:rsidRDefault="00000000">
      <w:pPr>
        <w:jc w:val="center"/>
        <w:rPr>
          <w:bCs/>
          <w:lang w:val="en-GB"/>
        </w:rPr>
      </w:pPr>
      <w:r>
        <w:rPr>
          <w:bCs/>
          <w:lang w:val="en-GB"/>
        </w:rPr>
        <w:t>Article 11. The right to an adequate standard of living</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 xml:space="preserve">Please indicate how the State party determines the poverty line and what  percentage of the population is living under the poverty line. </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Please provide updated information on the results of the various housing policies and programmes, including those for displaced persons. Please also indicate how the Rent Control Law, as amended, prevents forced evictions and complies with the Committee’s general comment No. 7. Please also provide updated information on the achievement of the Housing Finance Corporation which provides loans for housing purposes to persons with low or moderate incomes.</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 xml:space="preserve">Given the increasing presence of Turkish Cypriot citizens in the government-controlled part of Cyprus, please explain how the Government will make sure that they do not face difficulties in having their property reinstated or being compensated for the loss of such property. </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 xml:space="preserve">Please indicate what measures are taken or envisaged to improve the housing conditions of the migrants who live in old dwellings which reportedly </w:t>
      </w:r>
      <w:r>
        <w:t>do not comply with building and sanitary requirements</w:t>
      </w:r>
      <w:r>
        <w:rPr>
          <w:lang w:val="en-GB"/>
        </w:rPr>
        <w:t>, and to ensure that Roma families are no longer left without access to basic facilities such as water and electricity.</w:t>
      </w:r>
      <w:r>
        <w:rPr>
          <w:b/>
          <w:bCs/>
          <w:lang w:val="en"/>
        </w:rPr>
        <w:t xml:space="preserve"> </w:t>
      </w:r>
    </w:p>
    <w:p w:rsidR="00000000" w:rsidRDefault="00000000">
      <w:pPr>
        <w:rPr>
          <w:b/>
          <w:lang w:val="en-GB"/>
        </w:rPr>
      </w:pPr>
    </w:p>
    <w:p w:rsidR="00000000" w:rsidRDefault="00000000">
      <w:pPr>
        <w:jc w:val="center"/>
        <w:rPr>
          <w:bCs/>
          <w:lang w:val="en-GB"/>
        </w:rPr>
      </w:pPr>
      <w:r>
        <w:rPr>
          <w:bCs/>
          <w:lang w:val="en-GB"/>
        </w:rPr>
        <w:t>Article 12.  The right to physical and mental health</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Please indicate whether public health services are being made available to everyone in the State party and how it is ensured that migrants benefit from the same coverage as Cypriots.</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 xml:space="preserve">Please provide information on the mental health policy in place in the State party. </w:t>
      </w:r>
      <w:r>
        <w:t xml:space="preserve">Please indicate how the authorities intend to tackle the problem of mental health patients being increasingly transferred to homes for the aged, and if an increased allocation of funds to outpatient care as well as the opening of more day centres is foreseen. </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Please supply information on the coverage under the compulsory health insurance, who is covered and who is not, and on what basis coverage is determined. In particular, please indicate the health problems covered and why certain illnesses, such as gynaecological ones, are not covered.</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t>Please indicate what measures have been adopted to address the high rate of children and young people consuming alcohol, tobacco, drugs and other harmful substances.</w:t>
      </w:r>
      <w:r>
        <w:rPr>
          <w:b/>
          <w:bCs/>
          <w:lang w:val="en-GB"/>
        </w:rPr>
        <w:t xml:space="preserve"> </w:t>
      </w:r>
    </w:p>
    <w:p w:rsidR="00000000" w:rsidRDefault="00000000">
      <w:pPr>
        <w:rPr>
          <w:i/>
          <w:iCs/>
          <w:lang w:val="en-GB"/>
        </w:rPr>
      </w:pPr>
    </w:p>
    <w:p w:rsidR="00000000" w:rsidRDefault="00000000">
      <w:pPr>
        <w:jc w:val="center"/>
      </w:pPr>
      <w:r>
        <w:t>Articles 13 and 14.  The right to education</w:t>
      </w:r>
    </w:p>
    <w:p w:rsidR="00000000" w:rsidRDefault="00000000">
      <w:pPr>
        <w:rPr>
          <w:lang w:val="en-GB"/>
        </w:rPr>
      </w:pPr>
    </w:p>
    <w:p w:rsidR="00000000" w:rsidRDefault="00000000">
      <w:pPr>
        <w:numPr>
          <w:ilvl w:val="0"/>
          <w:numId w:val="1"/>
        </w:numPr>
        <w:tabs>
          <w:tab w:val="clear" w:pos="644"/>
          <w:tab w:val="num" w:pos="720"/>
        </w:tabs>
        <w:ind w:left="0" w:firstLine="0"/>
      </w:pPr>
      <w:r>
        <w:t>Does the Government envisage abrogating the circular issued in 2005 requesting all school headmasters in primary and secondary education to notify the immigration authorities about migrant children enrolled in their schools in order to investigate their legal status?</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 xml:space="preserve">According to information before the Committee, Pontian Greek children suffer de facto segregation in schools. It is also reported that Roma children suffer discrimination in access to education as the result of </w:t>
      </w:r>
      <w:r>
        <w:t xml:space="preserve">rejection by parents of school children. </w:t>
      </w:r>
      <w:r>
        <w:rPr>
          <w:lang w:val="en-GB"/>
        </w:rPr>
        <w:t xml:space="preserve">Please comment on this information and provide any available information on the measures to combat discrimination against children belonging to vulnerable groups. </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Please indicate the measures taken to ensure that Turkish Cypriot children enjoy education in</w:t>
      </w:r>
      <w:r>
        <w:t xml:space="preserve"> their own language. </w:t>
      </w:r>
    </w:p>
    <w:p w:rsidR="00000000" w:rsidRDefault="00000000">
      <w:pPr>
        <w:rPr>
          <w:lang w:val="en-GB"/>
        </w:rPr>
      </w:pPr>
    </w:p>
    <w:p w:rsidR="00000000" w:rsidRDefault="00000000">
      <w:pPr>
        <w:numPr>
          <w:ilvl w:val="0"/>
          <w:numId w:val="1"/>
        </w:numPr>
        <w:tabs>
          <w:tab w:val="clear" w:pos="644"/>
          <w:tab w:val="num" w:pos="720"/>
        </w:tabs>
        <w:ind w:left="0" w:firstLine="0"/>
        <w:rPr>
          <w:lang w:val="en-GB"/>
        </w:rPr>
      </w:pPr>
      <w:r>
        <w:rPr>
          <w:lang w:val="en-GB"/>
        </w:rPr>
        <w:t>Are teachers properly trained to teach in a multicultural environment and to react to any manifestation of racism or discriminatory attitudes?</w:t>
      </w:r>
    </w:p>
    <w:p w:rsidR="00000000" w:rsidRDefault="00000000">
      <w:pPr>
        <w:rPr>
          <w:lang w:val="en-GB"/>
        </w:rPr>
      </w:pPr>
    </w:p>
    <w:p w:rsidR="00000000" w:rsidRDefault="00000000">
      <w:pPr>
        <w:jc w:val="center"/>
        <w:rPr>
          <w:bCs/>
          <w:lang w:val="en-GB"/>
        </w:rPr>
      </w:pPr>
      <w:r>
        <w:rPr>
          <w:bCs/>
          <w:lang w:val="en-GB"/>
        </w:rPr>
        <w:t>Article 15.  Cultural rights</w:t>
      </w:r>
    </w:p>
    <w:p w:rsidR="00000000" w:rsidRDefault="00000000">
      <w:pPr>
        <w:jc w:val="center"/>
        <w:rPr>
          <w:bCs/>
          <w:lang w:val="en-GB"/>
        </w:rPr>
      </w:pPr>
    </w:p>
    <w:p w:rsidR="00000000" w:rsidRDefault="00000000">
      <w:pPr>
        <w:numPr>
          <w:ilvl w:val="0"/>
          <w:numId w:val="1"/>
        </w:numPr>
        <w:tabs>
          <w:tab w:val="clear" w:pos="644"/>
          <w:tab w:val="num" w:pos="720"/>
        </w:tabs>
        <w:ind w:left="0" w:firstLine="0"/>
        <w:rPr>
          <w:lang w:val="en-GB"/>
        </w:rPr>
      </w:pPr>
      <w:r>
        <w:rPr>
          <w:lang w:val="en-GB"/>
        </w:rPr>
        <w:t>Please provide updated information on the results of the work of the recently appointed Committee of Experts on the integration of non-nationals (paras. 495 and 496 of the State party’s report). Please also provide the Committee with more specific information as to what will be covered by the policy framework for the integration of migrants.</w:t>
      </w:r>
    </w:p>
    <w:p w:rsidR="00000000" w:rsidRDefault="00000000">
      <w:pPr>
        <w:rPr>
          <w:lang w:val="en-GB"/>
        </w:rPr>
      </w:pPr>
    </w:p>
    <w:p w:rsidR="00000000" w:rsidRDefault="00000000"/>
    <w:p w:rsidR="00000000" w:rsidRDefault="00000000">
      <w:pPr>
        <w:jc w:val="center"/>
        <w:rPr>
          <w:b/>
          <w:bCs/>
        </w:rPr>
      </w:pPr>
      <w:r>
        <w:rPr>
          <w:b/>
          <w:bCs/>
        </w:rPr>
        <w:t>-----</w:t>
      </w:r>
    </w:p>
    <w:p w:rsidR="00000000" w:rsidRDefault="00000000"/>
    <w:sectPr w:rsidR="00000000">
      <w:headerReference w:type="even" r:id="rId9"/>
      <w:headerReference w:type="default" r:id="rId10"/>
      <w:headerReference w:type="first" r:id="rId11"/>
      <w:pgSz w:w="12242" w:h="15842" w:code="1"/>
      <w:pgMar w:top="1134" w:right="851" w:bottom="1985"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E/C.12/CYP/Q/5</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E/C.12/CYP/Q/5</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3E3D"/>
    <w:multiLevelType w:val="hybridMultilevel"/>
    <w:tmpl w:val="7A00E90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490080"/>
    <w:multiLevelType w:val="hybridMultilevel"/>
    <w:tmpl w:val="C8D4EE94"/>
    <w:lvl w:ilvl="0" w:tplc="406E50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doNotTrackMoves/>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2201</Words>
  <Characters>12548</Characters>
  <Application>Microsoft Office Word</Application>
  <DocSecurity>4</DocSecurity>
  <Lines>104</Lines>
  <Paragraphs>25</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2</cp:revision>
  <cp:lastPrinted>2008-12-11T13:04:00Z</cp:lastPrinted>
  <dcterms:created xsi:type="dcterms:W3CDTF">2009-01-19T15:28:00Z</dcterms:created>
  <dcterms:modified xsi:type="dcterms:W3CDTF">2009-01-19T15:28:00Z</dcterms:modified>
</cp:coreProperties>
</file>