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37C2E" w:rsidRDefault="0084613B" w:rsidP="00D76358">
            <w:pPr>
              <w:spacing w:after="80"/>
              <w:jc w:val="right"/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 w:rsidRPr="00437C2E">
              <w:t>/</w:t>
            </w:r>
            <w:r w:rsidR="00437C2E">
              <w:t>С</w:t>
            </w:r>
            <w:r w:rsidR="00437C2E">
              <w:rPr>
                <w:lang w:val="en-US"/>
              </w:rPr>
              <w:t>/SR</w:t>
            </w:r>
            <w:r w:rsidR="00437C2E" w:rsidRPr="00437C2E">
              <w:t>.</w:t>
            </w:r>
            <w:r w:rsidR="00B663E6" w:rsidRPr="00437C2E">
              <w:t>28</w:t>
            </w:r>
            <w:r w:rsidR="00B663E6">
              <w:t>42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B663E6" w:rsidRPr="00710B39" w:rsidRDefault="00710B39" w:rsidP="00B663E6">
            <w:pPr>
              <w:rPr>
                <w:lang w:val="en-US"/>
              </w:rPr>
            </w:pPr>
            <w:r>
              <w:t xml:space="preserve">13 </w:t>
            </w:r>
            <w:r>
              <w:rPr>
                <w:lang w:val="en-US"/>
              </w:rPr>
              <w:t>September 2012</w:t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B663E6" w:rsidRDefault="00B663E6" w:rsidP="00B663E6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B663E6" w:rsidRDefault="00B663E6" w:rsidP="00B663E6">
      <w:pPr>
        <w:rPr>
          <w:b/>
        </w:rPr>
      </w:pPr>
      <w:r>
        <w:rPr>
          <w:b/>
        </w:rPr>
        <w:t>Сто третья сессия</w:t>
      </w:r>
    </w:p>
    <w:p w:rsidR="00B663E6" w:rsidRDefault="00B663E6" w:rsidP="00B663E6">
      <w:pPr>
        <w:spacing w:before="120"/>
        <w:rPr>
          <w:b/>
        </w:rPr>
      </w:pPr>
      <w:r>
        <w:rPr>
          <w:b/>
        </w:rPr>
        <w:t>Краткий отчет (частичный)</w:t>
      </w:r>
      <w:r w:rsidR="0080428C" w:rsidRPr="0080428C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>
        <w:rPr>
          <w:b/>
        </w:rPr>
        <w:t xml:space="preserve"> о 2842-м заседании,</w:t>
      </w:r>
    </w:p>
    <w:p w:rsidR="00B663E6" w:rsidRDefault="00B663E6" w:rsidP="00B663E6">
      <w:r>
        <w:t>состоявшемся во Дворце Вильсона в Женеве</w:t>
      </w:r>
      <w:r>
        <w:br/>
        <w:t>в пятницу, 21 октября 2011 года, в 15 ч. 00 м.</w:t>
      </w:r>
    </w:p>
    <w:p w:rsidR="00B663E6" w:rsidRDefault="00B663E6" w:rsidP="00B663E6">
      <w:pPr>
        <w:spacing w:before="120" w:after="120"/>
      </w:pPr>
      <w:r>
        <w:rPr>
          <w:i/>
        </w:rPr>
        <w:t>Председатель</w:t>
      </w:r>
      <w:r>
        <w:t>:</w:t>
      </w:r>
      <w:r>
        <w:tab/>
        <w:t>г-жа Майодина</w:t>
      </w:r>
    </w:p>
    <w:p w:rsidR="00B663E6" w:rsidRDefault="00B663E6" w:rsidP="00B663E6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B663E6" w:rsidRDefault="00B663E6" w:rsidP="00B663E6">
      <w:pPr>
        <w:pStyle w:val="SingleTxtGR"/>
        <w:jc w:val="left"/>
      </w:pPr>
      <w:r>
        <w:t>Рассмотрение докладов, представленных государствами-участниками</w:t>
      </w:r>
      <w:r>
        <w:br/>
        <w:t>в соотве</w:t>
      </w:r>
      <w:r>
        <w:t>т</w:t>
      </w:r>
      <w:r>
        <w:t>ствии со статьей 40 Пакта (</w:t>
      </w:r>
      <w:r>
        <w:rPr>
          <w:i/>
        </w:rPr>
        <w:t>продолжение</w:t>
      </w:r>
      <w:r>
        <w:t>)</w:t>
      </w:r>
    </w:p>
    <w:p w:rsidR="00B663E6" w:rsidRDefault="00B663E6" w:rsidP="00B663E6">
      <w:pPr>
        <w:pStyle w:val="SingleTxtGR"/>
        <w:rPr>
          <w:i/>
        </w:rPr>
      </w:pPr>
      <w:r>
        <w:tab/>
      </w:r>
      <w:r>
        <w:rPr>
          <w:i/>
        </w:rPr>
        <w:t xml:space="preserve">Второй периодический доклад Кувейта </w:t>
      </w:r>
      <w:r>
        <w:t>(продолжение)</w:t>
      </w:r>
    </w:p>
    <w:p w:rsidR="00B663E6" w:rsidRDefault="00B663E6" w:rsidP="00B663E6">
      <w:pPr>
        <w:pStyle w:val="SingleTxtGR"/>
      </w:pPr>
      <w:r>
        <w:br w:type="page"/>
      </w:r>
      <w:r>
        <w:rPr>
          <w:i/>
        </w:rPr>
        <w:t>Заседание открывается в 15 ч. 00 м.</w:t>
      </w:r>
    </w:p>
    <w:p w:rsidR="00B663E6" w:rsidRDefault="00B663E6" w:rsidP="00B663E6">
      <w:pPr>
        <w:pStyle w:val="H23GR"/>
        <w:rPr>
          <w:b w:val="0"/>
          <w:i/>
        </w:rPr>
      </w:pPr>
      <w:r>
        <w:tab/>
      </w:r>
      <w:r>
        <w:tab/>
        <w:t>Рассмотрение докладов, представленных государствами-участ</w:t>
      </w:r>
      <w:r w:rsidR="00437C2E">
        <w:t>никами в</w:t>
      </w:r>
      <w:r w:rsidR="00437C2E">
        <w:rPr>
          <w:lang w:val="en-US"/>
        </w:rPr>
        <w:t> </w:t>
      </w:r>
      <w:r>
        <w:t xml:space="preserve">соответствии со статьей 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B663E6" w:rsidRDefault="00B663E6" w:rsidP="006D641A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</w:tabs>
        <w:ind w:left="1701" w:hanging="567"/>
        <w:rPr>
          <w:lang w:val="es-ES_tradnl"/>
        </w:rPr>
      </w:pPr>
      <w:r>
        <w:rPr>
          <w:lang w:val="es-ES_tradnl"/>
        </w:rPr>
        <w:tab/>
      </w:r>
      <w:r>
        <w:rPr>
          <w:i/>
        </w:rPr>
        <w:t>Второй</w:t>
      </w:r>
      <w:r>
        <w:rPr>
          <w:i/>
          <w:lang w:val="es-ES_tradnl"/>
        </w:rPr>
        <w:t xml:space="preserve"> </w:t>
      </w:r>
      <w:r>
        <w:rPr>
          <w:i/>
        </w:rPr>
        <w:t>периодический</w:t>
      </w:r>
      <w:r>
        <w:rPr>
          <w:i/>
          <w:lang w:val="es-ES_tradnl"/>
        </w:rPr>
        <w:t xml:space="preserve"> </w:t>
      </w:r>
      <w:r>
        <w:rPr>
          <w:i/>
        </w:rPr>
        <w:t>доклад</w:t>
      </w:r>
      <w:r>
        <w:rPr>
          <w:i/>
          <w:lang w:val="es-ES_tradnl"/>
        </w:rPr>
        <w:t xml:space="preserve"> </w:t>
      </w:r>
      <w:r>
        <w:rPr>
          <w:i/>
        </w:rPr>
        <w:t>Кувейта</w:t>
      </w:r>
      <w:r>
        <w:rPr>
          <w:lang w:val="es-ES_tradnl"/>
        </w:rPr>
        <w:t xml:space="preserve"> (</w:t>
      </w:r>
      <w:r>
        <w:t>продолжение</w:t>
      </w:r>
      <w:r>
        <w:rPr>
          <w:lang w:val="es-ES_tradnl"/>
        </w:rPr>
        <w:t>)</w:t>
      </w:r>
      <w:r>
        <w:t xml:space="preserve"> </w:t>
      </w:r>
      <w:r>
        <w:rPr>
          <w:lang w:val="es-ES_tradnl"/>
        </w:rPr>
        <w:t xml:space="preserve">(CCPR/C/KWT/2; CCPR/C/KWT/Q/2 </w:t>
      </w:r>
      <w:r>
        <w:t>и</w:t>
      </w:r>
      <w:r>
        <w:rPr>
          <w:lang w:val="es-ES_tradnl"/>
        </w:rPr>
        <w:t xml:space="preserve"> Add.1)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</w:tabs>
        <w:rPr>
          <w:i/>
        </w:rPr>
      </w:pPr>
      <w:r>
        <w:t>1.</w:t>
      </w:r>
      <w:r>
        <w:tab/>
      </w:r>
      <w:r>
        <w:rPr>
          <w:i/>
        </w:rPr>
        <w:t xml:space="preserve">По приглашению Председателя делегация </w:t>
      </w:r>
      <w:r w:rsidR="006D641A">
        <w:rPr>
          <w:i/>
        </w:rPr>
        <w:t>Кувейта</w:t>
      </w:r>
      <w:r>
        <w:rPr>
          <w:i/>
        </w:rPr>
        <w:t xml:space="preserve"> занимает места за столом Комитета.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2.</w:t>
      </w:r>
      <w:r>
        <w:tab/>
      </w:r>
      <w:r>
        <w:rPr>
          <w:b/>
        </w:rPr>
        <w:t xml:space="preserve">Г-жа Альшааджи </w:t>
      </w:r>
      <w:r>
        <w:t>(Кувейт), отвечая на вопрос 19 перечня вопросов, г</w:t>
      </w:r>
      <w:r>
        <w:t>о</w:t>
      </w:r>
      <w:r>
        <w:t>ворит, что законопроект об обязательной воинской службе в настоящее время находится на рассмотрении парламента. Согласно Конституции, защита страны является священным долгом и честью, а также обязанностью всех граждан. З</w:t>
      </w:r>
      <w:r>
        <w:t>а</w:t>
      </w:r>
      <w:r>
        <w:t>конопроект содержит положения, позволяющие мужчинам, которые обладают надлежащими навыками, работать в военных госпиталях и полностью освоб</w:t>
      </w:r>
      <w:r>
        <w:t>о</w:t>
      </w:r>
      <w:r>
        <w:t>ждаться от воинской службы по ряду причин, включая болезнь и статус единс</w:t>
      </w:r>
      <w:r>
        <w:t>т</w:t>
      </w:r>
      <w:r>
        <w:t>венного сына. Отсрочку от воинской службы в соответствии с законопроектом могут получить лица, обучающиеся в высших учебных заведениях или име</w:t>
      </w:r>
      <w:r>
        <w:t>ю</w:t>
      </w:r>
      <w:r>
        <w:t>щие жен, которые учатся за рубежом, а также мужчины, имеющие малое пре</w:t>
      </w:r>
      <w:r>
        <w:t>д</w:t>
      </w:r>
      <w:r>
        <w:t>приятие, которое действует менее пяти лет. Лица, отказывающиеся от воинской службы по соображениям совести, могут осуществлять альтернативную службу чисто гражданского характера. Национальную службу несут мужчины в возра</w:t>
      </w:r>
      <w:r>
        <w:t>с</w:t>
      </w:r>
      <w:r>
        <w:t>те от 18 до 35 лет. Трудовое законодательство запрещает детям моложе 15 лет заниматься какой-либо деятельностью по найму, включая воинскую службу.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3.</w:t>
      </w:r>
      <w:r>
        <w:tab/>
        <w:t>Попрошайничество запрещено и рассматривается как противоречащее традициям и культуре страны. Нуждающимся, включая детей, оказывается п</w:t>
      </w:r>
      <w:r>
        <w:t>о</w:t>
      </w:r>
      <w:r>
        <w:t>мощь.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4.</w:t>
      </w:r>
      <w:r>
        <w:tab/>
      </w:r>
      <w:r>
        <w:rPr>
          <w:b/>
        </w:rPr>
        <w:t>Г-н Мухаммед Альмутаири</w:t>
      </w:r>
      <w:r>
        <w:t xml:space="preserve"> (Кувейт), отвечая на вопрос 20, говорит, что после 2005 года ни один немусульманин не перешел в ислам с целью натурал</w:t>
      </w:r>
      <w:r>
        <w:t>и</w:t>
      </w:r>
      <w:r>
        <w:t>зации и ни один гражданин Кувейта не перешел из ислама в другую религию.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5.</w:t>
      </w:r>
      <w:r>
        <w:tab/>
      </w:r>
      <w:r>
        <w:rPr>
          <w:b/>
        </w:rPr>
        <w:t>Г-н Мутлак Альмутаири</w:t>
      </w:r>
      <w:r>
        <w:t xml:space="preserve"> (Кувейт), отвечая на вопрос 21, говорит, что семь церквей получили лицензии действовать в качестве мест поклонения. Это Римско-католическая, Англиканская, Евангелическая, Греческая православная, Армянская православная, Коптская православная и Армянская католическая церкви. Получение виз священнослужи</w:t>
      </w:r>
      <w:r w:rsidR="00FE526D">
        <w:t>телями подчиняется требованиям М</w:t>
      </w:r>
      <w:r>
        <w:t>ин</w:t>
      </w:r>
      <w:r>
        <w:t>и</w:t>
      </w:r>
      <w:r>
        <w:t>стерства в</w:t>
      </w:r>
      <w:r w:rsidR="00FE526D">
        <w:t>нутренних дел и М</w:t>
      </w:r>
      <w:r>
        <w:t>инистерства труда и социального обеспечения. С</w:t>
      </w:r>
      <w:r>
        <w:t>о</w:t>
      </w:r>
      <w:r>
        <w:t>гласно Конституции, в стране существует полная свобода религии; все лица вправе выражать св</w:t>
      </w:r>
      <w:r w:rsidR="00FE526D">
        <w:t>ои религиозные и иные убеждения</w:t>
      </w:r>
      <w:r>
        <w:t xml:space="preserve"> при условии</w:t>
      </w:r>
      <w:r w:rsidR="00FE526D">
        <w:t>,</w:t>
      </w:r>
      <w:r>
        <w:t xml:space="preserve"> что они не нарушают общественный порядок или нравственность. Все места поклонения обязаны иметь лицензию, а в некоторых случаях требуется несколько лицензий от различных органов власти. 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6.</w:t>
      </w:r>
      <w:r>
        <w:tab/>
      </w:r>
      <w:r>
        <w:rPr>
          <w:b/>
        </w:rPr>
        <w:t>Г-н Альхарби</w:t>
      </w:r>
      <w:r>
        <w:t xml:space="preserve"> (Кувейт), отвечая на вопрос 22, говорит, что учащиеся-немусульмане не обязаны посещать занятия по изучению ислама. Все учащи</w:t>
      </w:r>
      <w:r>
        <w:t>е</w:t>
      </w:r>
      <w:r>
        <w:t>ся-немусульмане – как граждане Кувейта, так и иностранцы – могут проходить курс по изучению шариата, учить Коран и сдавать соответствующие экзамены по желанию. Они не обязаны посещать эти занятия и могут прекратить их п</w:t>
      </w:r>
      <w:r>
        <w:t>о</w:t>
      </w:r>
      <w:r>
        <w:t>сещение в любой момент. Религиозное образование предоставляется во всех классах. Порядка 26% школ в стране являются частными. Религиозное образ</w:t>
      </w:r>
      <w:r>
        <w:t>о</w:t>
      </w:r>
      <w:r>
        <w:t>вание для немусульман осуществляется соответствующими общинами и в ме</w:t>
      </w:r>
      <w:r>
        <w:t>с</w:t>
      </w:r>
      <w:r>
        <w:t>тах поклонения.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7.</w:t>
      </w:r>
      <w:r>
        <w:tab/>
      </w:r>
      <w:r>
        <w:rPr>
          <w:b/>
        </w:rPr>
        <w:t>Г-н Альсаана</w:t>
      </w:r>
      <w:r>
        <w:t xml:space="preserve"> (Кувейт), отвечая на вопрос 23, говорит, что свобода убе</w:t>
      </w:r>
      <w:r>
        <w:t>ж</w:t>
      </w:r>
      <w:r>
        <w:t>дений и их выражения и свобода печати закреплены в Конституции. Единс</w:t>
      </w:r>
      <w:r>
        <w:t>т</w:t>
      </w:r>
      <w:r>
        <w:t>венным ограничением для этих прав является требование поддерживать общ</w:t>
      </w:r>
      <w:r>
        <w:t>е</w:t>
      </w:r>
      <w:r>
        <w:t>ственный порядок и нравственность. В соответствии с законодательством в о</w:t>
      </w:r>
      <w:r>
        <w:t>б</w:t>
      </w:r>
      <w:r>
        <w:t>ласти печатного и издательского дела, а также радио- и телевещания судами было рассмотрено большое количество дел. Законодательство предусматривает многочисленные запреты, в частности, на материалы, оскорбляющие общес</w:t>
      </w:r>
      <w:r>
        <w:t>т</w:t>
      </w:r>
      <w:r>
        <w:t>венную мораль, подвергающие критике ислам, эмира или Конституцию, соде</w:t>
      </w:r>
      <w:r>
        <w:t>р</w:t>
      </w:r>
      <w:r>
        <w:t>жащие нападки на работников судебных органов, раскрывающие детали час</w:t>
      </w:r>
      <w:r>
        <w:t>т</w:t>
      </w:r>
      <w:r>
        <w:t>ной жизни людей или направленные на дестабилизацию национальной валюты или экономики. Дела о клевете, которые были переданы в суды, касаются пу</w:t>
      </w:r>
      <w:r>
        <w:t>б</w:t>
      </w:r>
      <w:r>
        <w:t>ликации или распространения с использованием широковещательных средств оскорбительных или порочащих материалов о частных лицах. По закону такая информация может распространяться, если суды вынесли постановление, что она является правдивой, служит интересам общественного блага и что иници</w:t>
      </w:r>
      <w:r>
        <w:t>а</w:t>
      </w:r>
      <w:r>
        <w:t>тор ее распространения действовал, исходя из лучших побуждений, и огран</w:t>
      </w:r>
      <w:r>
        <w:t>и</w:t>
      </w:r>
      <w:r>
        <w:t>чил информацию, размещенную в открытом доступе, той, которая необходима для з</w:t>
      </w:r>
      <w:r>
        <w:t>а</w:t>
      </w:r>
      <w:r>
        <w:t>щиты интересов общественного блага.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8.</w:t>
      </w:r>
      <w:r>
        <w:tab/>
        <w:t xml:space="preserve">Отвечая на вопрос 24, оратор говорит, что Конституция защищает права на свободу выражения </w:t>
      </w:r>
      <w:r w:rsidR="0091201C">
        <w:t xml:space="preserve">мнений </w:t>
      </w:r>
      <w:r>
        <w:t>и конфиденциальность личных сообщений, н</w:t>
      </w:r>
      <w:r>
        <w:t>а</w:t>
      </w:r>
      <w:r>
        <w:t>правляемых в ходе переписки, телефонных переговоров, с использованием т</w:t>
      </w:r>
      <w:r>
        <w:t>е</w:t>
      </w:r>
      <w:r>
        <w:t>леграфных и иных средств связи. Было принято законодательство, регулиру</w:t>
      </w:r>
      <w:r>
        <w:t>ю</w:t>
      </w:r>
      <w:r>
        <w:t>щее все средства наблюдения за сообщениями в целях запрещения несанкци</w:t>
      </w:r>
      <w:r>
        <w:t>о</w:t>
      </w:r>
      <w:r>
        <w:t>нированного проникновения в сеть и извлечения выгоды от продажи незаконно пр</w:t>
      </w:r>
      <w:r>
        <w:t>и</w:t>
      </w:r>
      <w:r>
        <w:t>обретенных материалов путем несанкционированного проникновения в сеть. Пользоваться Интернетом можно без каких-либо ограничений. Все сайты Ин</w:t>
      </w:r>
      <w:r w:rsidR="00942513">
        <w:t>тернета являются общедоступными</w:t>
      </w:r>
      <w:r>
        <w:t xml:space="preserve"> за исключением сайтов, содержащих порнографические материалы или поощряющих религиозный экстремизм.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9.</w:t>
      </w:r>
      <w:r>
        <w:tab/>
      </w:r>
      <w:r>
        <w:rPr>
          <w:b/>
        </w:rPr>
        <w:t>Г-н Алансари</w:t>
      </w:r>
      <w:r>
        <w:t xml:space="preserve"> (Кувейт), отвечая на вопрос 31, говорит, что Кодекс о ли</w:t>
      </w:r>
      <w:r>
        <w:t>ч</w:t>
      </w:r>
      <w:r>
        <w:t>ном статусе предусматривает минимальный законный возраст для вступления в брак для женщин 15 лет, а для мужчин – 17 лет. Ответственность за выдачу свидете</w:t>
      </w:r>
      <w:r w:rsidR="0091201C">
        <w:t>льств о заключении брака несет М</w:t>
      </w:r>
      <w:r>
        <w:t>инистерство юстиции. В ходе пров</w:t>
      </w:r>
      <w:r>
        <w:t>о</w:t>
      </w:r>
      <w:r>
        <w:t>димых им проверок устанавливается, не является ли девушка моложе 15 лет, а мальчик – моложе 17 лет, и в большинстве случаев такой брак не разрешается. По сравнению с периодом десяти</w:t>
      </w:r>
      <w:r w:rsidR="0091201C">
        <w:t>летней давности</w:t>
      </w:r>
      <w:r>
        <w:t xml:space="preserve"> в настоящее время девочкам младше 15 лет крайне редко разрешается вступать в брак. 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10.</w:t>
      </w:r>
      <w:r>
        <w:tab/>
        <w:t>Отвечая на вопрос, поднятый на предыдущем заседании, оратор говорит, что, согласно Декрету-закону № 74 от 1979 года, регулирующему вопросы вл</w:t>
      </w:r>
      <w:r>
        <w:t>а</w:t>
      </w:r>
      <w:r>
        <w:t>дения собственностью лицами, не являющимися гражданами Кувейта, ин</w:t>
      </w:r>
      <w:r>
        <w:t>о</w:t>
      </w:r>
      <w:r>
        <w:t>странные граждане могут приобретать собственность в соответствии с потре</w:t>
      </w:r>
      <w:r>
        <w:t>б</w:t>
      </w:r>
      <w:r>
        <w:t>ностями консульств и посольств. Министерским решением № 259 от 2010 года был создан комитет по рассмотрению заявок на владение собственностью и разработана общая политика по вопросам владения собственностью лицами, не я</w:t>
      </w:r>
      <w:r>
        <w:t>в</w:t>
      </w:r>
      <w:r>
        <w:t>ляющимися гражданами Кувейта.</w:t>
      </w:r>
    </w:p>
    <w:p w:rsidR="00B663E6" w:rsidRPr="00047C30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11.</w:t>
      </w:r>
      <w:r>
        <w:tab/>
      </w:r>
      <w:r w:rsidRPr="00047C30">
        <w:rPr>
          <w:b/>
        </w:rPr>
        <w:t>Г-жа Альнасер</w:t>
      </w:r>
      <w:r>
        <w:t xml:space="preserve"> (Кувейт), отвечая на вопрос 35, говорит, что мигрантское население Кувейта состоит из выходцев из Индии (25% общей численности м</w:t>
      </w:r>
      <w:r>
        <w:t>и</w:t>
      </w:r>
      <w:r>
        <w:t>грантского населения), Египта (16%), Бангладеш (9%), Сирии, Пакистана, Са</w:t>
      </w:r>
      <w:r>
        <w:t>у</w:t>
      </w:r>
      <w:r>
        <w:t>довской Аравии, Филиппин и Шри-Ланки.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12.</w:t>
      </w:r>
      <w:r>
        <w:tab/>
      </w:r>
      <w:r w:rsidRPr="00047C30">
        <w:rPr>
          <w:b/>
        </w:rPr>
        <w:t>Г-н Мухаммед Альмутаири</w:t>
      </w:r>
      <w:r>
        <w:t xml:space="preserve"> (Кувейт) говорит, что этим иностранным общинам было выдано несколько разрешений на проведение их традиционных, культурных и религиозных мероприятий и собраний. В 2010 году в рамках этих акций было проведено благотворительное мероприятие для индусов, а также празднование Рождества и Нового года для египетских коптов. Большинство иностранных общин отмечают свои национальные праздники в общественных местах в условиях полной свободы. 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13.</w:t>
      </w:r>
      <w:r>
        <w:tab/>
      </w:r>
      <w:r>
        <w:rPr>
          <w:b/>
        </w:rPr>
        <w:t>Г-н Абдельхади</w:t>
      </w:r>
      <w:r>
        <w:t xml:space="preserve"> (Кувейт) говорит, что лица, ранее не проживавшие в К</w:t>
      </w:r>
      <w:r>
        <w:t>у</w:t>
      </w:r>
      <w:r>
        <w:t>вейте, могут поселиться здесь только после уплаты налогов на медицинское о</w:t>
      </w:r>
      <w:r>
        <w:t>б</w:t>
      </w:r>
      <w:r>
        <w:t>служивание; размеры таких налогов устанавливаются законом. Он приводит подробные сведения о выплатах, взимаемых с частных лиц и членов семей, а также с домашней прислуги, которые платят гораздо меньший налог, чем их р</w:t>
      </w:r>
      <w:r>
        <w:t>а</w:t>
      </w:r>
      <w:r>
        <w:t>ботодатели. Компании также обязаны платить за своих работников. Медици</w:t>
      </w:r>
      <w:r>
        <w:t>н</w:t>
      </w:r>
      <w:r>
        <w:t xml:space="preserve">ские услуги, которые покрывают эти платежи, включают </w:t>
      </w:r>
      <w:r w:rsidR="0091201C">
        <w:t xml:space="preserve">в себя </w:t>
      </w:r>
      <w:r>
        <w:t>консультации, анализы, рентгено</w:t>
      </w:r>
      <w:r>
        <w:t>в</w:t>
      </w:r>
      <w:r>
        <w:t>ские исследования и рецепты.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14.</w:t>
      </w:r>
      <w:r>
        <w:tab/>
        <w:t>Иностранные граждане обязаны также оплачивать небольшие расходы на лечение в больницах и медицинских центрах, за исключением чрезвычайных ситуаций, когда помощь оказывается бесплатно. Не являющиеся гражданами Кувейта дети, больные раком, освобождаются от всех налогов и платежей за медицинское обслуживание, равно как и иностранные учащиеся, туристы, заб</w:t>
      </w:r>
      <w:r>
        <w:t>о</w:t>
      </w:r>
      <w:r>
        <w:t>левшие во время следования транзитом через Кувейт в международном аэр</w:t>
      </w:r>
      <w:r>
        <w:t>о</w:t>
      </w:r>
      <w:r>
        <w:t>порту, трудящиеся-мигранты, живущие в приютах, и лица, проживающие нел</w:t>
      </w:r>
      <w:r>
        <w:t>е</w:t>
      </w:r>
      <w:r>
        <w:t>гально.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15.</w:t>
      </w:r>
      <w:r>
        <w:tab/>
      </w:r>
      <w:r>
        <w:rPr>
          <w:b/>
        </w:rPr>
        <w:t>Г-жа Альшааджи</w:t>
      </w:r>
      <w:r>
        <w:t xml:space="preserve"> (Кувейт) говорит, что положения Пакта являются н</w:t>
      </w:r>
      <w:r>
        <w:t>е</w:t>
      </w:r>
      <w:r>
        <w:t>отъемлемой составной частью внутреннего законодательства в силу зак</w:t>
      </w:r>
      <w:r>
        <w:t>о</w:t>
      </w:r>
      <w:r>
        <w:t>на № 12 от 1996 года, несмотря на ряд оговорок в отношении некоторых статей Пакта, которые несовместимы с законом шариата. Шариат является единстве</w:t>
      </w:r>
      <w:r>
        <w:t>н</w:t>
      </w:r>
      <w:r>
        <w:t>ным источником законодательства по семейным вопросам, таким как заключ</w:t>
      </w:r>
      <w:r>
        <w:t>е</w:t>
      </w:r>
      <w:r>
        <w:t>ние брака, развод и наследование.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16.</w:t>
      </w:r>
      <w:r>
        <w:tab/>
      </w:r>
      <w:r>
        <w:rPr>
          <w:b/>
        </w:rPr>
        <w:t>Г-н Альсаана</w:t>
      </w:r>
      <w:r>
        <w:t xml:space="preserve"> (Кувейт) говорит, что и Конституция, и другое внутреннее законодательство гарантируют независимость судебной власти. Решения суда являются обязательными для исполнения как гражданами Кувейта, так и ин</w:t>
      </w:r>
      <w:r>
        <w:t>о</w:t>
      </w:r>
      <w:r>
        <w:t>странными гражданами. Согласно Конституции, все работники судебных орг</w:t>
      </w:r>
      <w:r>
        <w:t>а</w:t>
      </w:r>
      <w:r>
        <w:t xml:space="preserve">нов обладают иммунитетом и соблюдают принцип разделения исполнительной и судебной ветвей власти. </w:t>
      </w:r>
    </w:p>
    <w:p w:rsidR="00B663E6" w:rsidRDefault="00B663E6" w:rsidP="00B663E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17.</w:t>
      </w:r>
      <w:r>
        <w:tab/>
        <w:t>Член</w:t>
      </w:r>
      <w:r w:rsidR="0091201C">
        <w:t>ы Верховного судебного совета, М</w:t>
      </w:r>
      <w:r>
        <w:t>инистерства юстиции, а также специалисты и эксперты, которые работают с судами, не имеют решающего г</w:t>
      </w:r>
      <w:r>
        <w:t>о</w:t>
      </w:r>
      <w:r>
        <w:t>лоса при принятии судебных решений. Все судьи, в том числе иностранные, н</w:t>
      </w:r>
      <w:r>
        <w:t>а</w:t>
      </w:r>
      <w:r>
        <w:t>значаются на основе указа и приносят эмиру клятву обеспечивать соблюдение кувейтского права. Судьи могут быть освобождены от своей должности только в рамках дисциплинарных мер, установленных для судебной системы в целом. Контракт с иностранным судьей или прокурором может быть прекращен только с согласия Верховного судебного совета. Между кувейтскими и ин</w:t>
      </w:r>
      <w:r>
        <w:t>о</w:t>
      </w:r>
      <w:r>
        <w:t>странными судьями не проводится никакого различия, а с Египтом было заключено согл</w:t>
      </w:r>
      <w:r>
        <w:t>а</w:t>
      </w:r>
      <w:r>
        <w:t>шение, позволяющее египетским судьям работать в Кувейте. Судьи всех наци</w:t>
      </w:r>
      <w:r>
        <w:t>о</w:t>
      </w:r>
      <w:r>
        <w:t>нальностей обязаны руководствоваться только кувейтским законод</w:t>
      </w:r>
      <w:r>
        <w:t>а</w:t>
      </w:r>
      <w:r>
        <w:t xml:space="preserve">тельством. </w:t>
      </w:r>
    </w:p>
    <w:p w:rsidR="006A4B5B" w:rsidRDefault="00B663E6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18.</w:t>
      </w:r>
      <w:r>
        <w:tab/>
      </w:r>
      <w:r>
        <w:rPr>
          <w:b/>
        </w:rPr>
        <w:t>Г-н Альхаджири</w:t>
      </w:r>
      <w:r>
        <w:t xml:space="preserve"> (Кувейт) говорит, что полиция не может задерживать никого без ордера государственного обвинителя и Управления по расследован</w:t>
      </w:r>
      <w:r>
        <w:t>и</w:t>
      </w:r>
      <w:r>
        <w:t xml:space="preserve">ям, если только данное лицо не было задержано на месте преступления. После ареста задержанный имеет право быть представленным адвокатом, после чего его доставляют к судье, ведущему допрос. Лицо может быть задержано на срок до 4 </w:t>
      </w:r>
      <w:r w:rsidR="0091201C">
        <w:t>суток</w:t>
      </w:r>
      <w:r>
        <w:t xml:space="preserve"> в связи с серьезными преступлениями или вопросами, затрагива</w:t>
      </w:r>
      <w:r>
        <w:t>ю</w:t>
      </w:r>
      <w:r>
        <w:t xml:space="preserve">щими безопасность, такими как наркотики или другие преступления, которые </w:t>
      </w:r>
      <w:r w:rsidR="006A4B5B">
        <w:t>расследуют разведывательные службы. Такие задержанные доставляются к г</w:t>
      </w:r>
      <w:r w:rsidR="006A4B5B">
        <w:t>о</w:t>
      </w:r>
      <w:r w:rsidR="006A4B5B">
        <w:t>сударственному обвинителю, который санкционирует расследование и арест. Проводятся регулярные инспекции с целью обеспечить законность любого д</w:t>
      </w:r>
      <w:r w:rsidR="006A4B5B">
        <w:t>о</w:t>
      </w:r>
      <w:r w:rsidR="006A4B5B">
        <w:t>проса, ареста или содержания под стражей в полиции. Рассматривается закон</w:t>
      </w:r>
      <w:r w:rsidR="006A4B5B">
        <w:t>о</w:t>
      </w:r>
      <w:r w:rsidR="006A4B5B">
        <w:t>проект о сокращении допустимого срока содержания под стражей в связи с н</w:t>
      </w:r>
      <w:r w:rsidR="006A4B5B">
        <w:t>е</w:t>
      </w:r>
      <w:r w:rsidR="006A4B5B">
        <w:t xml:space="preserve">которыми вопросами безопасности на срок до 48 часов. 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19.</w:t>
      </w:r>
      <w:r>
        <w:tab/>
      </w:r>
      <w:r w:rsidRPr="00047C30">
        <w:rPr>
          <w:b/>
        </w:rPr>
        <w:t>Г-н О'Флаэрти</w:t>
      </w:r>
      <w:r>
        <w:t>, поблагодарив делегацию Кувейта за устный ответ на в</w:t>
      </w:r>
      <w:r>
        <w:t>о</w:t>
      </w:r>
      <w:r>
        <w:t>прос 20 перечня вопросов, просит представить конкретную письменную и</w:t>
      </w:r>
      <w:r>
        <w:t>н</w:t>
      </w:r>
      <w:r>
        <w:t>формацию, касающуюся ранее рассматривавшегося дела 27-летнего гражданина Кувейта, которому не удалось изменить свою религию в свидетельстве о ро</w:t>
      </w:r>
      <w:r>
        <w:t>ж</w:t>
      </w:r>
      <w:r>
        <w:t xml:space="preserve">дении после перехода из ислама в христианство. 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20.</w:t>
      </w:r>
      <w:r>
        <w:tab/>
        <w:t>Относительно регистрации мест поклонения он отмечает, что, хотя с то</w:t>
      </w:r>
      <w:r>
        <w:t>ч</w:t>
      </w:r>
      <w:r>
        <w:t>ки зрения закона проблемы отсутствуют, согласно информации, которой расп</w:t>
      </w:r>
      <w:r>
        <w:t>о</w:t>
      </w:r>
      <w:r>
        <w:t>лагает Комитет, на практике проблемы есть и что буддисты, индуисты и сикхи не имеют зарегистрированных мест поклонения. Было бы желательно получить письменные комментарии делегации по данному вопросу и относительно до</w:t>
      </w:r>
      <w:r>
        <w:t>с</w:t>
      </w:r>
      <w:r>
        <w:t>товерности этой информации.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21.</w:t>
      </w:r>
      <w:r>
        <w:tab/>
        <w:t>По завершении дискуссии относительно свободы выражения мнений ор</w:t>
      </w:r>
      <w:r>
        <w:t>а</w:t>
      </w:r>
      <w:r>
        <w:t>тор делает вывод, что имеет место расхождение между стандартами свободы выражения мнений, установленными в статье 19 Пакта, и законом и практикой государства-участника. Он настоятельно призывает государство-участник из</w:t>
      </w:r>
      <w:r>
        <w:t>у</w:t>
      </w:r>
      <w:r>
        <w:t>чить замечание общего порядка № 34, которое служит ценным руководством и позволит государству-участнику пересмотреть законы и практику в этой обла</w:t>
      </w:r>
      <w:r>
        <w:t>с</w:t>
      </w:r>
      <w:r>
        <w:t>ти.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22.</w:t>
      </w:r>
      <w:r>
        <w:tab/>
        <w:t>Делая краткий обзор ключевых проблем, касающихся свободы выраж</w:t>
      </w:r>
      <w:r>
        <w:t>е</w:t>
      </w:r>
      <w:r>
        <w:t>ния мнений, он отмечает, что ограничение выражения мнений должно быть искл</w:t>
      </w:r>
      <w:r>
        <w:t>ю</w:t>
      </w:r>
      <w:r>
        <w:t>чением, а не правилом и что любое ограничение должно проходить жесткую проверку на предмет его соразмерности и разумности. При оценке результатов такой проверки важно помнить, что критика в адрес главы государства и пол</w:t>
      </w:r>
      <w:r>
        <w:t>и</w:t>
      </w:r>
      <w:r>
        <w:t>тическая оппозиция ему являются законными, о чем со всей определенностью говорится в замечании общего порядка. Ограничение богохульства также по</w:t>
      </w:r>
      <w:r>
        <w:t>д</w:t>
      </w:r>
      <w:r>
        <w:t>лежит строгой проверке. Отмечая, что в статье 20 Пакта говорится о подстрек</w:t>
      </w:r>
      <w:r>
        <w:t>а</w:t>
      </w:r>
      <w:r>
        <w:t>тельстве к ненависти, он приводит выдержку из замечания общего порядка № 34: "Запреты на разные формы неуважения к какой-либо религии или другим системам убеждений, в том числе законы о богохульстве, являются несовме</w:t>
      </w:r>
      <w:r>
        <w:t>с</w:t>
      </w:r>
      <w:r>
        <w:t>тимыми с Пактом, за исключением отдельных случаев, предусмотренных в ст</w:t>
      </w:r>
      <w:r>
        <w:t>а</w:t>
      </w:r>
      <w:r>
        <w:t>тье 20 Па</w:t>
      </w:r>
      <w:r>
        <w:t>к</w:t>
      </w:r>
      <w:r>
        <w:t>та"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GC</w:t>
      </w:r>
      <w:r>
        <w:t>/34, пункт 48).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23.</w:t>
      </w:r>
      <w:r>
        <w:tab/>
        <w:t>Оратор выражает обеспокоенность по поводу атмосферы сутяжничества, получившей распространение среди частных граждан, которые в 2010 году п</w:t>
      </w:r>
      <w:r>
        <w:t>о</w:t>
      </w:r>
      <w:r>
        <w:t>дали большое число жалоб на ненадлежащие высказывания в судах, многие из которых были поддержаны. Такие жалобы неблагоприятным образом сказыв</w:t>
      </w:r>
      <w:r>
        <w:t>а</w:t>
      </w:r>
      <w:r>
        <w:t>ются на свободе выражения мнений</w:t>
      </w:r>
      <w:r w:rsidR="00B74D8C">
        <w:t>, и</w:t>
      </w:r>
      <w:r>
        <w:t xml:space="preserve"> в интересах соблюдения Пакта, госуда</w:t>
      </w:r>
      <w:r>
        <w:t>р</w:t>
      </w:r>
      <w:r>
        <w:t>ству-участнику рекомендуется пересмотреть количество таких жалоб,</w:t>
      </w:r>
      <w:r w:rsidRPr="00047C30">
        <w:t xml:space="preserve"> </w:t>
      </w:r>
      <w:r>
        <w:t>получе</w:t>
      </w:r>
      <w:r>
        <w:t>н</w:t>
      </w:r>
      <w:r>
        <w:t>ных и ра</w:t>
      </w:r>
      <w:r>
        <w:t>с</w:t>
      </w:r>
      <w:r>
        <w:t>смотренных судами.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24.</w:t>
      </w:r>
      <w:r>
        <w:tab/>
      </w:r>
      <w:r>
        <w:rPr>
          <w:b/>
        </w:rPr>
        <w:t>Сэр Найджел Родли</w:t>
      </w:r>
      <w:r>
        <w:t xml:space="preserve"> спрашивает, имеются ли в Кувейте судьи из числа женщин. Он просит представить дополнительные сведения о женщинах-судьях, если таковые имеются, и информацию о критериях принадлежности к судебной системе, которым женщины не соответствуют, если их там нет.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25.</w:t>
      </w:r>
      <w:r>
        <w:tab/>
      </w:r>
      <w:r>
        <w:rPr>
          <w:b/>
        </w:rPr>
        <w:t>Г-н Раззуки</w:t>
      </w:r>
      <w:r>
        <w:t xml:space="preserve"> (Кувейт) говорит, что его делегация не располагает инфо</w:t>
      </w:r>
      <w:r>
        <w:t>р</w:t>
      </w:r>
      <w:r>
        <w:t>мацией о конкретном деле о смене религии, упомянутом г-ном О'Флаэрти. Если соответствующая информация будет направлена делегации, то этот вопрос б</w:t>
      </w:r>
      <w:r>
        <w:t>у</w:t>
      </w:r>
      <w:r>
        <w:t>дет расследован.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26.</w:t>
      </w:r>
      <w:r>
        <w:tab/>
        <w:t>Переходя к вопросу о количестве дел об использовании ненадлежащих выражений, рассматриваемых в судах, он говорит, что политический климат в Кувейте таков, что различные группы порой применяют весьма резкие выраж</w:t>
      </w:r>
      <w:r>
        <w:t>е</w:t>
      </w:r>
      <w:r>
        <w:t>ния с целью унизить своих соперников и высказывают обвинения, способные запятнать репутацию. Любой гражданин Кувейта имеет право направлять такие вопросы в суды и получать судебные решения о том, соответствуют ли такие обвинения действ</w:t>
      </w:r>
      <w:r>
        <w:t>и</w:t>
      </w:r>
      <w:r>
        <w:t>тельности или нет. Это право нельзя нарушать.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27.</w:t>
      </w:r>
      <w:r>
        <w:tab/>
      </w:r>
      <w:r w:rsidRPr="009751B7">
        <w:rPr>
          <w:b/>
        </w:rPr>
        <w:t>Г-н Альсаана</w:t>
      </w:r>
      <w:r>
        <w:t xml:space="preserve"> (Кувейт) говорит, что многие женщины добиваются пр</w:t>
      </w:r>
      <w:r>
        <w:t>е</w:t>
      </w:r>
      <w:r>
        <w:t>восходных успехов в качестве юристов как в частном, так и в государственном секторе, особенно в области исламского права и в финансовой сфере. Нет ни одного закона, прямо запрещающего женщинам становиться судьями, и многие женщины занимают другие высокие должности, являясь послами и министр</w:t>
      </w:r>
      <w:r>
        <w:t>а</w:t>
      </w:r>
      <w:r>
        <w:t>ми. Работники судебных органов считают, что со временем среди судей появя</w:t>
      </w:r>
      <w:r>
        <w:t>т</w:t>
      </w:r>
      <w:r>
        <w:t>ся женщины; никаких ограничений в этом отношении нет. Нынешнее отсутс</w:t>
      </w:r>
      <w:r>
        <w:t>т</w:t>
      </w:r>
      <w:r>
        <w:t>вие женщин среди судей объясняется кувейтской традицией, и оратор убежден, что в скором времени в Кувейте появятся судьи из числа женщин.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28.</w:t>
      </w:r>
      <w:r>
        <w:tab/>
      </w:r>
      <w:r>
        <w:rPr>
          <w:b/>
        </w:rPr>
        <w:t>Г-н Раззу</w:t>
      </w:r>
      <w:r w:rsidRPr="009751B7">
        <w:rPr>
          <w:b/>
        </w:rPr>
        <w:t>ки</w:t>
      </w:r>
      <w:r>
        <w:t xml:space="preserve"> (Кувейт) говорит, что Конституция не препятствует будд</w:t>
      </w:r>
      <w:r>
        <w:t>и</w:t>
      </w:r>
      <w:r>
        <w:t>стам и сикхам отправлять свою религию, хотя некоторые виды практики и р</w:t>
      </w:r>
      <w:r>
        <w:t>и</w:t>
      </w:r>
      <w:r>
        <w:t>туалы противоречат нормам общественного порядка и морали и поэтому ра</w:t>
      </w:r>
      <w:r>
        <w:t>з</w:t>
      </w:r>
      <w:r>
        <w:t>решены только в домах или в специальных местах. Такие ритуалы не могут осуществляться в общественных местах в силу положений Конституции и ст</w:t>
      </w:r>
      <w:r>
        <w:t>а</w:t>
      </w:r>
      <w:r>
        <w:t>тьи 18 Пакта, которая требует соблюдения общественного порядка и нравстве</w:t>
      </w:r>
      <w:r>
        <w:t>н</w:t>
      </w:r>
      <w:r>
        <w:t>ности.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29.</w:t>
      </w:r>
      <w:r>
        <w:tab/>
      </w:r>
      <w:r w:rsidRPr="009751B7">
        <w:rPr>
          <w:b/>
        </w:rPr>
        <w:t>Г-жа Альшааджи</w:t>
      </w:r>
      <w:r>
        <w:t xml:space="preserve"> (Кувейт) в ответ на обеспокоенности по поводу ос</w:t>
      </w:r>
      <w:r>
        <w:t>у</w:t>
      </w:r>
      <w:r>
        <w:t>ществления статьи 20 Пакта говорит, что подстрекательство к ненависти, ди</w:t>
      </w:r>
      <w:r>
        <w:t>с</w:t>
      </w:r>
      <w:r>
        <w:t>криминации или враждебности запрещено. Закон о прессе и печатных изданиях гласит, что дискредитация людей или религии, подстрекательство к ненависти к той или иной группе или разглашение финансовой информации, которая может повредить репутации человека или нанести ущерб его состоянию, запрещены. В настоящее время парламент в срочном порядке рассматривает законопроект о защите национального единства, который связан с положениями статьи 20 Па</w:t>
      </w:r>
      <w:r>
        <w:t>к</w:t>
      </w:r>
      <w:r>
        <w:t>та. Законопроект предусматривает запрещение подстрекательства к ненависти с использованием любых средств в отношении любой общины кувейтского о</w:t>
      </w:r>
      <w:r>
        <w:t>б</w:t>
      </w:r>
      <w:r>
        <w:t>щества или любое публичное заявление, которое может подорвать национал</w:t>
      </w:r>
      <w:r>
        <w:t>ь</w:t>
      </w:r>
      <w:r>
        <w:t>ное единство, привести к расколу, межплеменной вражде или мятежу либо с</w:t>
      </w:r>
      <w:r>
        <w:t>о</w:t>
      </w:r>
      <w:r>
        <w:t>держать идеи превосходства одной расы, цвета кожи, религии или пола над др</w:t>
      </w:r>
      <w:r>
        <w:t>у</w:t>
      </w:r>
      <w:r>
        <w:t>гими.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30.</w:t>
      </w:r>
      <w:r>
        <w:tab/>
        <w:t>Пункт 3 статьи 19 Пакта предусматривает ограничение свободы выраж</w:t>
      </w:r>
      <w:r>
        <w:t>е</w:t>
      </w:r>
      <w:r>
        <w:t>ния мнений в соответствии с законом. В Кувейте такие ограничения установл</w:t>
      </w:r>
      <w:r>
        <w:t>е</w:t>
      </w:r>
      <w:r>
        <w:t>ны законом, а не декретами и соответствуют положениям Пакта и Закона о прессе и печатных изданиях. Пакт предусматривает ограничения по двум осн</w:t>
      </w:r>
      <w:r>
        <w:t>о</w:t>
      </w:r>
      <w:r>
        <w:t>ваниям: защита репутации других лиц и охрана национальной безопасности и общественного порядка. Только при наличии таких оснований возможно огр</w:t>
      </w:r>
      <w:r>
        <w:t>а</w:t>
      </w:r>
      <w:r>
        <w:t>ничение свободы выражения мнений. Однако общественный порядок является понятием, которое в разных государствах может иметь разное значение.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31.</w:t>
      </w:r>
      <w:r>
        <w:tab/>
      </w:r>
      <w:r w:rsidRPr="000D32CA">
        <w:rPr>
          <w:b/>
        </w:rPr>
        <w:t>Г-жа Альтарарва</w:t>
      </w:r>
      <w:r>
        <w:t xml:space="preserve"> (Кувейт) в ответ на высказанную членами Комитета обеспокоенность по поводу преступлений, квалифицируемых как оскорбление государства, говорит, что такого рода преступления определены в Конституции, принятой с согласия эмира и народа. Эмир никоим образом не участвует в п</w:t>
      </w:r>
      <w:r>
        <w:t>о</w:t>
      </w:r>
      <w:r>
        <w:t>литической деятельности; всю его политическую деятельность осуществляют министры. Конституция и законодательство Кувейта составляют неразрывное целое.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32.</w:t>
      </w:r>
      <w:r>
        <w:tab/>
      </w:r>
      <w:r>
        <w:rPr>
          <w:b/>
        </w:rPr>
        <w:t>Г-н Раззу</w:t>
      </w:r>
      <w:r w:rsidRPr="009751B7">
        <w:rPr>
          <w:b/>
        </w:rPr>
        <w:t>ки</w:t>
      </w:r>
      <w:r>
        <w:t xml:space="preserve"> (Кувейт) говорит, что Пакт рассматривается как составная часть кувейтского законодательства и международные договоры имеют пр</w:t>
      </w:r>
      <w:r>
        <w:t>е</w:t>
      </w:r>
      <w:r>
        <w:t>имущественную силу над этим законодательством, хотя в отношении опред</w:t>
      </w:r>
      <w:r>
        <w:t>е</w:t>
      </w:r>
      <w:r>
        <w:t>ленных вопросов применяется шариатское право. Внесение изменений в зак</w:t>
      </w:r>
      <w:r>
        <w:t>о</w:t>
      </w:r>
      <w:r>
        <w:t>нодательство и его адаптация представляют собой длительный и сложный пр</w:t>
      </w:r>
      <w:r>
        <w:t>о</w:t>
      </w:r>
      <w:r>
        <w:t>цесс, и дискуссии в этой области продолжаются. Выражая надежду, что в с</w:t>
      </w:r>
      <w:r>
        <w:t>о</w:t>
      </w:r>
      <w:r>
        <w:t>став следующей делегации Кувейта войдет женщина-судья, которая выступит на заседании Комитета, он вновь подтверждает решимость Кувейта выполнять свои обязательства по международному праву.</w:t>
      </w:r>
    </w:p>
    <w:p w:rsidR="006A4B5B" w:rsidRDefault="006A4B5B" w:rsidP="006A4B5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33.</w:t>
      </w:r>
      <w:r>
        <w:tab/>
      </w:r>
      <w:r w:rsidRPr="00047C30">
        <w:rPr>
          <w:b/>
        </w:rPr>
        <w:t>Председатель</w:t>
      </w:r>
      <w:r>
        <w:t>, выражая признательность делегации за ее четкие ответы на вопросы членов Комитета, говорит, что национальное законодательство должно соответствовать международным стандартам. Никакие другие правовые акты не должны подменять обязательства Кувейта по Пакту.</w:t>
      </w:r>
    </w:p>
    <w:p w:rsidR="006A4B5B" w:rsidRPr="0006677F" w:rsidRDefault="006A4B5B" w:rsidP="006A4B5B">
      <w:pPr>
        <w:pStyle w:val="SingleTxtGR"/>
      </w:pPr>
      <w:r>
        <w:rPr>
          <w:i/>
        </w:rPr>
        <w:t xml:space="preserve">Дискуссия, отраженная в настоящем кратком отчете, завершается </w:t>
      </w:r>
      <w:r>
        <w:rPr>
          <w:i/>
        </w:rPr>
        <w:br/>
        <w:t>в 16 ч. 30 м</w:t>
      </w:r>
      <w:r w:rsidRPr="0006677F">
        <w:rPr>
          <w:i/>
        </w:rPr>
        <w:t>.</w:t>
      </w:r>
    </w:p>
    <w:p w:rsidR="006A4B5B" w:rsidRPr="00B663E6" w:rsidRDefault="006A4B5B" w:rsidP="0091201C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</w:p>
    <w:sectPr w:rsidR="006A4B5B" w:rsidRPr="00B663E6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CB" w:rsidRDefault="007B15CB">
      <w:r>
        <w:rPr>
          <w:lang w:val="en-US"/>
        </w:rPr>
        <w:tab/>
      </w:r>
      <w:r>
        <w:separator/>
      </w:r>
    </w:p>
  </w:endnote>
  <w:endnote w:type="continuationSeparator" w:id="0">
    <w:p w:rsidR="007B15CB" w:rsidRDefault="007B1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B4" w:rsidRPr="005F0588" w:rsidRDefault="00A408B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E56BB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</w:r>
    <w:r w:rsidRPr="00285663">
      <w:rPr>
        <w:lang w:val="en-US"/>
      </w:rPr>
      <w:t>GE.11-46</w:t>
    </w:r>
    <w:r w:rsidRPr="00285663">
      <w:rPr>
        <w:lang w:val="ru-RU"/>
      </w:rPr>
      <w:t>431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B4" w:rsidRPr="005F0588" w:rsidRDefault="00A408B4">
    <w:pPr>
      <w:pStyle w:val="Footer"/>
      <w:rPr>
        <w:lang w:val="en-US"/>
      </w:rPr>
    </w:pPr>
    <w:r w:rsidRPr="00285663">
      <w:rPr>
        <w:lang w:val="en-US"/>
      </w:rPr>
      <w:t>GE.11-46</w:t>
    </w:r>
    <w:r w:rsidRPr="00285663">
      <w:rPr>
        <w:lang w:val="ru-RU"/>
      </w:rPr>
      <w:t>431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E56BB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B4" w:rsidRDefault="00A408B4" w:rsidP="00942513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ru-RU"/>
      </w:rPr>
    </w:pPr>
  </w:p>
  <w:p w:rsidR="00A408B4" w:rsidRDefault="00A408B4" w:rsidP="00942513">
    <w:pPr>
      <w:spacing w:after="120"/>
      <w:ind w:left="567" w:firstLine="567"/>
      <w:rPr>
        <w:sz w:val="18"/>
        <w:szCs w:val="18"/>
      </w:rPr>
    </w:pPr>
    <w:r>
      <w:rPr>
        <w:sz w:val="18"/>
        <w:szCs w:val="18"/>
      </w:rPr>
      <w:tab/>
      <w:t>В настоящий отчет могут вноситься поправки.</w:t>
    </w:r>
  </w:p>
  <w:p w:rsidR="00A408B4" w:rsidRDefault="00A408B4" w:rsidP="00942513">
    <w:pPr>
      <w:spacing w:after="120"/>
      <w:ind w:left="1134"/>
      <w:jc w:val="both"/>
      <w:rPr>
        <w:sz w:val="18"/>
        <w:szCs w:val="18"/>
      </w:rPr>
    </w:pPr>
    <w:r>
      <w:rPr>
        <w:sz w:val="18"/>
        <w:szCs w:val="18"/>
      </w:rPr>
      <w:tab/>
      <w:t>Поправки должны представляться на одном из рабочих языков. Они должны быть изложены в поя</w:t>
    </w:r>
    <w:r>
      <w:rPr>
        <w:sz w:val="18"/>
        <w:szCs w:val="18"/>
      </w:rPr>
      <w:t>с</w:t>
    </w:r>
    <w:r>
      <w:rPr>
        <w:sz w:val="18"/>
        <w:szCs w:val="18"/>
      </w:rPr>
      <w:t xml:space="preserve">нительной записке, а также внесены в один из экземпляров отчета. Поправки следует направлять </w:t>
    </w:r>
    <w:r>
      <w:rPr>
        <w:i/>
        <w:sz w:val="18"/>
        <w:szCs w:val="18"/>
      </w:rPr>
      <w:t>в течение одной недели с момента выпуска настоящего документа</w:t>
    </w:r>
    <w:r>
      <w:rPr>
        <w:sz w:val="18"/>
        <w:szCs w:val="18"/>
      </w:rPr>
      <w:t xml:space="preserve"> в Группу издания официальных документов, комната E.4108, Дворец Наций, Женева.</w:t>
    </w:r>
  </w:p>
  <w:p w:rsidR="00A408B4" w:rsidRPr="00942513" w:rsidRDefault="00A408B4" w:rsidP="00942513">
    <w:pPr>
      <w:spacing w:after="120"/>
      <w:ind w:left="1134"/>
      <w:rPr>
        <w:sz w:val="18"/>
        <w:szCs w:val="18"/>
      </w:rPr>
    </w:pPr>
    <w:r>
      <w:tab/>
      <w:t>Любые поправки к отчетам об открытых заседаниях Комитета на данной сессии будут сведены в ед</w:t>
    </w:r>
    <w:r>
      <w:t>и</w:t>
    </w:r>
    <w:r>
      <w:t>ное исправление, которое будет издано вскоре после окончания сессии.</w:t>
    </w:r>
  </w:p>
  <w:p w:rsidR="00A408B4" w:rsidRPr="007B2C3F" w:rsidRDefault="00A408B4">
    <w:pPr>
      <w:pStyle w:val="Footer"/>
      <w:rPr>
        <w:sz w:val="20"/>
        <w:lang w:val="en-US"/>
      </w:rPr>
    </w:pPr>
    <w:r w:rsidRPr="0091201C">
      <w:rPr>
        <w:sz w:val="20"/>
        <w:lang w:val="en-US"/>
      </w:rPr>
      <w:t>GE.11-46</w:t>
    </w:r>
    <w:r w:rsidRPr="0091201C">
      <w:rPr>
        <w:sz w:val="20"/>
        <w:lang w:val="ru-RU"/>
      </w:rPr>
      <w:t xml:space="preserve">431 </w:t>
    </w:r>
    <w:r w:rsidRPr="0091201C">
      <w:rPr>
        <w:sz w:val="20"/>
        <w:lang w:val="fr-CA"/>
      </w:rPr>
      <w:t>(R)</w:t>
    </w:r>
    <w:r>
      <w:rPr>
        <w:sz w:val="20"/>
        <w:lang w:val="ru-RU"/>
      </w:rPr>
      <w:t xml:space="preserve">   040912   130912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CB" w:rsidRPr="00F71F63" w:rsidRDefault="007B15C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B15CB" w:rsidRPr="00F71F63" w:rsidRDefault="007B15C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B15CB" w:rsidRPr="00635E86" w:rsidRDefault="007B15CB" w:rsidP="00635E86">
      <w:pPr>
        <w:pStyle w:val="Footer"/>
      </w:pPr>
    </w:p>
  </w:footnote>
  <w:footnote w:id="1">
    <w:p w:rsidR="00A408B4" w:rsidRPr="0080428C" w:rsidRDefault="00A408B4">
      <w:pPr>
        <w:pStyle w:val="FootnoteText"/>
        <w:rPr>
          <w:lang w:val="ru-RU"/>
        </w:rPr>
      </w:pPr>
      <w:r>
        <w:rPr>
          <w:lang w:val="ru-RU"/>
        </w:rPr>
        <w:tab/>
      </w:r>
      <w:r w:rsidRPr="0080428C">
        <w:rPr>
          <w:rStyle w:val="FootnoteReference"/>
          <w:lang w:val="ru-RU"/>
        </w:rPr>
        <w:t>*</w:t>
      </w:r>
      <w:r>
        <w:rPr>
          <w:lang w:val="ru-RU"/>
        </w:rPr>
        <w:tab/>
      </w:r>
      <w:r w:rsidRPr="0080428C">
        <w:rPr>
          <w:lang w:val="ru-RU"/>
        </w:rPr>
        <w:t>В отношении остальной части заседания краткий отчет не составлялся.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B4" w:rsidRPr="005F0588" w:rsidRDefault="00A408B4">
    <w:pPr>
      <w:pStyle w:val="Header"/>
      <w:rPr>
        <w:lang w:val="en-US"/>
      </w:rPr>
    </w:pPr>
    <w:r w:rsidRPr="00437C2E">
      <w:rPr>
        <w:lang w:val="en-US"/>
      </w:rPr>
      <w:t>CCPR</w:t>
    </w:r>
    <w:r w:rsidRPr="00437C2E">
      <w:rPr>
        <w:lang w:val="ru-RU"/>
      </w:rPr>
      <w:t>/С</w:t>
    </w:r>
    <w:r w:rsidRPr="00437C2E">
      <w:rPr>
        <w:lang w:val="en-US"/>
      </w:rPr>
      <w:t>/SR</w:t>
    </w:r>
    <w:r w:rsidRPr="00437C2E">
      <w:rPr>
        <w:lang w:val="ru-RU"/>
      </w:rPr>
      <w:t>.2842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B4" w:rsidRPr="005F0588" w:rsidRDefault="00A408B4">
    <w:pPr>
      <w:pStyle w:val="Header"/>
      <w:rPr>
        <w:lang w:val="en-US"/>
      </w:rPr>
    </w:pPr>
    <w:r>
      <w:rPr>
        <w:lang w:val="en-US"/>
      </w:rPr>
      <w:tab/>
    </w:r>
    <w:r w:rsidRPr="00437C2E">
      <w:rPr>
        <w:lang w:val="en-US"/>
      </w:rPr>
      <w:t>CCPR</w:t>
    </w:r>
    <w:r w:rsidRPr="00437C2E">
      <w:rPr>
        <w:lang w:val="ru-RU"/>
      </w:rPr>
      <w:t>/С</w:t>
    </w:r>
    <w:r w:rsidRPr="00437C2E">
      <w:rPr>
        <w:lang w:val="en-US"/>
      </w:rPr>
      <w:t>/SR</w:t>
    </w:r>
    <w:r w:rsidRPr="00437C2E">
      <w:rPr>
        <w:lang w:val="ru-RU"/>
      </w:rPr>
      <w:t>.2842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35AA"/>
    <w:rsid w:val="000033D8"/>
    <w:rsid w:val="00005C1C"/>
    <w:rsid w:val="00016553"/>
    <w:rsid w:val="000233B3"/>
    <w:rsid w:val="00023E9E"/>
    <w:rsid w:val="00026B0C"/>
    <w:rsid w:val="0003638E"/>
    <w:rsid w:val="00036FF2"/>
    <w:rsid w:val="00037918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16AA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5663"/>
    <w:rsid w:val="00291C8F"/>
    <w:rsid w:val="002B726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7B5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37C2E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56BB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5945"/>
    <w:rsid w:val="006926C7"/>
    <w:rsid w:val="00694C37"/>
    <w:rsid w:val="006A1BEB"/>
    <w:rsid w:val="006A401C"/>
    <w:rsid w:val="006A4B5B"/>
    <w:rsid w:val="006A7C6E"/>
    <w:rsid w:val="006B23D9"/>
    <w:rsid w:val="006C1814"/>
    <w:rsid w:val="006C2F45"/>
    <w:rsid w:val="006C361A"/>
    <w:rsid w:val="006C5657"/>
    <w:rsid w:val="006D5E4E"/>
    <w:rsid w:val="006D641A"/>
    <w:rsid w:val="006E6860"/>
    <w:rsid w:val="006E7183"/>
    <w:rsid w:val="006F5FBF"/>
    <w:rsid w:val="0070327E"/>
    <w:rsid w:val="00707B5F"/>
    <w:rsid w:val="00710B39"/>
    <w:rsid w:val="00735602"/>
    <w:rsid w:val="0075279B"/>
    <w:rsid w:val="00753748"/>
    <w:rsid w:val="00762446"/>
    <w:rsid w:val="00781ACB"/>
    <w:rsid w:val="007A79EB"/>
    <w:rsid w:val="007B15CB"/>
    <w:rsid w:val="007D4CA0"/>
    <w:rsid w:val="007D7A23"/>
    <w:rsid w:val="007E38C3"/>
    <w:rsid w:val="007E549E"/>
    <w:rsid w:val="007E71C9"/>
    <w:rsid w:val="007F7553"/>
    <w:rsid w:val="0080428C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45C2"/>
    <w:rsid w:val="008D6A7A"/>
    <w:rsid w:val="008E3E87"/>
    <w:rsid w:val="008E7F13"/>
    <w:rsid w:val="008F3185"/>
    <w:rsid w:val="0091201C"/>
    <w:rsid w:val="00915B0A"/>
    <w:rsid w:val="00926904"/>
    <w:rsid w:val="009372F0"/>
    <w:rsid w:val="00942513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08B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63E6"/>
    <w:rsid w:val="00B74D8C"/>
    <w:rsid w:val="00B81305"/>
    <w:rsid w:val="00BB17DC"/>
    <w:rsid w:val="00BB1AF9"/>
    <w:rsid w:val="00BB4C4A"/>
    <w:rsid w:val="00BC7F12"/>
    <w:rsid w:val="00BD3CAE"/>
    <w:rsid w:val="00BD5F3C"/>
    <w:rsid w:val="00BF35AA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4A7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355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526D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2359</Words>
  <Characters>16331</Characters>
  <Application>Microsoft Office Word</Application>
  <DocSecurity>4</DocSecurity>
  <Lines>388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Abramova</dc:creator>
  <cp:keywords/>
  <dc:description/>
  <cp:lastModifiedBy>Tatiana Sharkina</cp:lastModifiedBy>
  <cp:revision>3</cp:revision>
  <cp:lastPrinted>2012-09-13T14:13:00Z</cp:lastPrinted>
  <dcterms:created xsi:type="dcterms:W3CDTF">2012-09-13T14:13:00Z</dcterms:created>
  <dcterms:modified xsi:type="dcterms:W3CDTF">2012-09-13T14:15:00Z</dcterms:modified>
</cp:coreProperties>
</file>