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bidiVisual/>
        <w:tblW w:w="9639" w:type="dxa"/>
        <w:tblBorders>
          <w:top w:val="none" w:sz="0" w:space="0" w:color="auto"/>
          <w:left w:val="none" w:sz="0" w:space="0" w:color="auto"/>
          <w:right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4"/>
        <w:gridCol w:w="4403"/>
        <w:gridCol w:w="3962"/>
      </w:tblGrid>
      <w:tr w:rsidR="006B3E27" w:rsidRPr="00DB7679" w:rsidTr="00A54EC9">
        <w:trPr>
          <w:trHeight w:hRule="exact" w:val="851"/>
        </w:trPr>
        <w:tc>
          <w:tcPr>
            <w:tcW w:w="1274" w:type="dxa"/>
            <w:tcBorders>
              <w:bottom w:val="single" w:sz="4" w:space="0" w:color="auto"/>
            </w:tcBorders>
          </w:tcPr>
          <w:p w:rsidR="006B3E27" w:rsidRPr="00983870" w:rsidRDefault="006B3E27" w:rsidP="00E76499">
            <w:pPr>
              <w:bidi w:val="0"/>
              <w:jc w:val="right"/>
            </w:pPr>
          </w:p>
        </w:tc>
        <w:tc>
          <w:tcPr>
            <w:tcW w:w="4403" w:type="dxa"/>
            <w:tcBorders>
              <w:bottom w:val="single" w:sz="4" w:space="0" w:color="auto"/>
            </w:tcBorders>
            <w:vAlign w:val="bottom"/>
          </w:tcPr>
          <w:p w:rsidR="006B3E27" w:rsidRPr="00DB7679" w:rsidRDefault="006B3E27" w:rsidP="00E70E04">
            <w:pPr>
              <w:spacing w:after="80" w:line="480" w:lineRule="exact"/>
              <w:jc w:val="left"/>
              <w:rPr>
                <w:szCs w:val="40"/>
                <w:rtl/>
              </w:rPr>
            </w:pPr>
            <w:r w:rsidRPr="00DB7679">
              <w:rPr>
                <w:rFonts w:hint="cs"/>
                <w:szCs w:val="40"/>
                <w:rtl/>
              </w:rPr>
              <w:t>الأمم المتحدة</w:t>
            </w:r>
          </w:p>
        </w:tc>
        <w:tc>
          <w:tcPr>
            <w:tcW w:w="3962" w:type="dxa"/>
            <w:tcBorders>
              <w:bottom w:val="single" w:sz="4" w:space="0" w:color="auto"/>
            </w:tcBorders>
            <w:vAlign w:val="bottom"/>
          </w:tcPr>
          <w:p w:rsidR="006B3E27" w:rsidRPr="00243C8A" w:rsidRDefault="00983BA8" w:rsidP="00983BA8">
            <w:pPr>
              <w:bidi w:val="0"/>
              <w:spacing w:after="20"/>
              <w:jc w:val="left"/>
              <w:rPr>
                <w:szCs w:val="20"/>
              </w:rPr>
            </w:pPr>
            <w:r w:rsidRPr="00983BA8">
              <w:rPr>
                <w:sz w:val="40"/>
                <w:szCs w:val="20"/>
              </w:rPr>
              <w:t>CED</w:t>
            </w:r>
            <w:r w:rsidRPr="00983BA8">
              <w:rPr>
                <w:szCs w:val="20"/>
              </w:rPr>
              <w:t>/C</w:t>
            </w:r>
            <w:r>
              <w:rPr>
                <w:szCs w:val="20"/>
              </w:rPr>
              <w:t>/SRB/CO/1</w:t>
            </w:r>
          </w:p>
        </w:tc>
      </w:tr>
      <w:tr w:rsidR="006B3E27" w:rsidRPr="00DB7679" w:rsidTr="00A54EC9">
        <w:trPr>
          <w:trHeight w:hRule="exact" w:val="2835"/>
        </w:trPr>
        <w:tc>
          <w:tcPr>
            <w:tcW w:w="1274" w:type="dxa"/>
            <w:tcBorders>
              <w:top w:val="single" w:sz="4" w:space="0" w:color="auto"/>
              <w:bottom w:val="single" w:sz="12" w:space="0" w:color="auto"/>
            </w:tcBorders>
          </w:tcPr>
          <w:p w:rsidR="006B3E27" w:rsidRPr="00DB7679" w:rsidRDefault="0059622A" w:rsidP="00B477A4">
            <w:pPr>
              <w:jc w:val="center"/>
              <w:rPr>
                <w:rtl/>
              </w:rPr>
            </w:pPr>
            <w:r>
              <w:rPr>
                <w:noProof/>
              </w:rPr>
              <w:drawing>
                <wp:inline distT="0" distB="0" distL="0" distR="0" wp14:anchorId="58F8D9AE" wp14:editId="5DC3D814">
                  <wp:extent cx="630000" cy="6120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9">
                            <a:extLst>
                              <a:ext uri="{28A0092B-C50C-407E-A947-70E740481C1C}">
                                <a14:useLocalDpi xmlns:a14="http://schemas.microsoft.com/office/drawing/2010/main" val="0"/>
                              </a:ext>
                            </a:extLst>
                          </a:blip>
                          <a:srcRect l="-52" t="-1387" r="-52" b="-1387"/>
                          <a:stretch/>
                        </pic:blipFill>
                        <pic:spPr bwMode="auto">
                          <a:xfrm>
                            <a:off x="0" y="0"/>
                            <a:ext cx="630000" cy="612000"/>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4403" w:type="dxa"/>
            <w:tcBorders>
              <w:top w:val="single" w:sz="4" w:space="0" w:color="auto"/>
              <w:bottom w:val="single" w:sz="12" w:space="0" w:color="auto"/>
            </w:tcBorders>
          </w:tcPr>
          <w:p w:rsidR="006B3E27" w:rsidRPr="004A14A6" w:rsidRDefault="001E1CAD" w:rsidP="00A54EC9">
            <w:pPr>
              <w:spacing w:before="120" w:after="40" w:line="640" w:lineRule="exact"/>
              <w:rPr>
                <w:b/>
                <w:bCs/>
                <w:sz w:val="52"/>
                <w:szCs w:val="52"/>
                <w:rtl/>
              </w:rPr>
            </w:pPr>
            <w:r w:rsidRPr="004A14A6">
              <w:rPr>
                <w:rFonts w:hint="cs"/>
                <w:b/>
                <w:bCs/>
                <w:sz w:val="52"/>
                <w:szCs w:val="52"/>
                <w:rtl/>
              </w:rPr>
              <w:t>ا</w:t>
            </w:r>
            <w:r w:rsidR="00983BA8">
              <w:rPr>
                <w:rFonts w:hint="cs"/>
                <w:b/>
                <w:bCs/>
                <w:sz w:val="52"/>
                <w:szCs w:val="52"/>
                <w:rtl/>
              </w:rPr>
              <w:t>لا</w:t>
            </w:r>
            <w:r w:rsidR="004A14A6" w:rsidRPr="004A14A6">
              <w:rPr>
                <w:rFonts w:hint="cs"/>
                <w:b/>
                <w:bCs/>
                <w:sz w:val="52"/>
                <w:szCs w:val="52"/>
                <w:rtl/>
              </w:rPr>
              <w:t xml:space="preserve">تفاقية </w:t>
            </w:r>
            <w:r w:rsidR="00983BA8">
              <w:rPr>
                <w:rFonts w:hint="cs"/>
                <w:b/>
                <w:bCs/>
                <w:sz w:val="52"/>
                <w:szCs w:val="52"/>
                <w:rtl/>
              </w:rPr>
              <w:t xml:space="preserve">الدولية لحماية </w:t>
            </w:r>
            <w:r w:rsidR="004A14A6" w:rsidRPr="004A14A6">
              <w:rPr>
                <w:rFonts w:hint="cs"/>
                <w:b/>
                <w:bCs/>
                <w:sz w:val="52"/>
                <w:szCs w:val="52"/>
                <w:rtl/>
              </w:rPr>
              <w:t xml:space="preserve">جميع </w:t>
            </w:r>
            <w:r w:rsidR="00983BA8">
              <w:rPr>
                <w:rFonts w:hint="cs"/>
                <w:b/>
                <w:bCs/>
                <w:sz w:val="52"/>
                <w:szCs w:val="52"/>
                <w:rtl/>
              </w:rPr>
              <w:t>ال</w:t>
            </w:r>
            <w:r w:rsidR="004A14A6" w:rsidRPr="004A14A6">
              <w:rPr>
                <w:rFonts w:hint="cs"/>
                <w:b/>
                <w:bCs/>
                <w:sz w:val="52"/>
                <w:szCs w:val="52"/>
                <w:rtl/>
              </w:rPr>
              <w:t>أش</w:t>
            </w:r>
            <w:r w:rsidR="00983BA8">
              <w:rPr>
                <w:rFonts w:hint="cs"/>
                <w:b/>
                <w:bCs/>
                <w:sz w:val="52"/>
                <w:szCs w:val="52"/>
                <w:rtl/>
              </w:rPr>
              <w:t>خ</w:t>
            </w:r>
            <w:r w:rsidR="004A14A6" w:rsidRPr="004A14A6">
              <w:rPr>
                <w:rFonts w:hint="cs"/>
                <w:b/>
                <w:bCs/>
                <w:sz w:val="52"/>
                <w:szCs w:val="52"/>
                <w:rtl/>
              </w:rPr>
              <w:t>ا</w:t>
            </w:r>
            <w:r w:rsidR="00983BA8">
              <w:rPr>
                <w:rFonts w:hint="cs"/>
                <w:b/>
                <w:bCs/>
                <w:sz w:val="52"/>
                <w:szCs w:val="52"/>
                <w:rtl/>
              </w:rPr>
              <w:t>ص</w:t>
            </w:r>
            <w:r w:rsidR="004A14A6" w:rsidRPr="004A14A6">
              <w:rPr>
                <w:rFonts w:hint="cs"/>
                <w:b/>
                <w:bCs/>
                <w:sz w:val="52"/>
                <w:szCs w:val="52"/>
                <w:rtl/>
              </w:rPr>
              <w:t xml:space="preserve"> </w:t>
            </w:r>
            <w:r w:rsidR="00983BA8">
              <w:rPr>
                <w:rFonts w:hint="cs"/>
                <w:b/>
                <w:bCs/>
                <w:sz w:val="52"/>
                <w:szCs w:val="52"/>
                <w:rtl/>
              </w:rPr>
              <w:t>من الاختفاء القسري</w:t>
            </w:r>
          </w:p>
        </w:tc>
        <w:tc>
          <w:tcPr>
            <w:tcW w:w="3962" w:type="dxa"/>
            <w:tcBorders>
              <w:top w:val="single" w:sz="4" w:space="0" w:color="auto"/>
              <w:bottom w:val="single" w:sz="12" w:space="0" w:color="auto"/>
            </w:tcBorders>
          </w:tcPr>
          <w:p w:rsidR="006B3E27" w:rsidRDefault="00983BA8" w:rsidP="00983BA8">
            <w:pPr>
              <w:bidi w:val="0"/>
              <w:spacing w:before="240"/>
              <w:jc w:val="left"/>
            </w:pPr>
            <w:r>
              <w:t>Distr.: General</w:t>
            </w:r>
          </w:p>
          <w:p w:rsidR="00983BA8" w:rsidRDefault="00983BA8" w:rsidP="00983BA8">
            <w:pPr>
              <w:bidi w:val="0"/>
              <w:jc w:val="left"/>
            </w:pPr>
            <w:r>
              <w:t>16 March 2015</w:t>
            </w:r>
          </w:p>
          <w:p w:rsidR="00983BA8" w:rsidRDefault="00983BA8" w:rsidP="00983BA8">
            <w:pPr>
              <w:bidi w:val="0"/>
              <w:jc w:val="left"/>
            </w:pPr>
            <w:r>
              <w:t>Arabic</w:t>
            </w:r>
          </w:p>
          <w:p w:rsidR="00983BA8" w:rsidRPr="008B4BC6" w:rsidRDefault="00983BA8" w:rsidP="00983BA8">
            <w:pPr>
              <w:bidi w:val="0"/>
              <w:jc w:val="left"/>
            </w:pPr>
            <w:r>
              <w:t>Original: English</w:t>
            </w:r>
          </w:p>
        </w:tc>
      </w:tr>
    </w:tbl>
    <w:p w:rsidR="00983BA8" w:rsidRPr="00D5651F" w:rsidRDefault="000421F7" w:rsidP="004B36BA">
      <w:pPr>
        <w:spacing w:before="120" w:line="380" w:lineRule="exact"/>
        <w:rPr>
          <w:rFonts w:ascii="Traditional Arabic" w:hAnsi="Traditional Arabic"/>
          <w:b/>
          <w:bCs/>
          <w:sz w:val="36"/>
          <w:szCs w:val="36"/>
          <w:rtl/>
        </w:rPr>
      </w:pPr>
      <w:dir w:val="rtl">
        <w:r w:rsidR="00983BA8" w:rsidRPr="00D5651F">
          <w:rPr>
            <w:rFonts w:ascii="Traditional Arabic" w:hAnsi="Traditional Arabic"/>
            <w:b/>
            <w:bCs/>
            <w:sz w:val="36"/>
            <w:szCs w:val="36"/>
            <w:rtl/>
          </w:rPr>
          <w:t>اللجنة المعنية بحالات الاختفاء القسري</w:t>
        </w:r>
        <w:r w:rsidR="00983BA8" w:rsidRPr="00D5651F">
          <w:rPr>
            <w:rFonts w:ascii="MS Mincho" w:eastAsia="MS Mincho" w:hAnsi="MS Mincho" w:cs="MS Mincho" w:hint="eastAsia"/>
            <w:b/>
            <w:bCs/>
            <w:sz w:val="36"/>
            <w:szCs w:val="36"/>
            <w:rtl/>
          </w:rPr>
          <w:t>‬</w:t>
        </w:r>
        <w:r w:rsidR="00983BA8" w:rsidRPr="00D5651F">
          <w:rPr>
            <w:rFonts w:ascii="MS Mincho" w:eastAsia="MS Mincho" w:hAnsi="MS Mincho" w:hint="eastAsia"/>
            <w:b/>
            <w:bCs/>
            <w:sz w:val="36"/>
            <w:szCs w:val="36"/>
          </w:rPr>
          <w:t>‬</w:t>
        </w:r>
        <w:r w:rsidR="00D5651F" w:rsidRPr="00D5651F">
          <w:rPr>
            <w:b/>
            <w:bCs/>
          </w:rPr>
          <w:t>‬</w:t>
        </w:r>
        <w:r w:rsidR="00EC3E5A">
          <w:t>‬</w:t>
        </w:r>
        <w:r>
          <w:t>‬</w:t>
        </w:r>
      </w:dir>
    </w:p>
    <w:p w:rsidR="00983BA8" w:rsidRPr="00A74299" w:rsidRDefault="00983BA8" w:rsidP="00A51C42">
      <w:pPr>
        <w:pStyle w:val="HChGA"/>
        <w:rPr>
          <w:rtl/>
          <w:lang w:eastAsia="zh-TW"/>
        </w:rPr>
      </w:pPr>
      <w:r w:rsidRPr="00A74299">
        <w:rPr>
          <w:rtl/>
          <w:lang w:eastAsia="zh-TW"/>
        </w:rPr>
        <w:tab/>
      </w:r>
      <w:r w:rsidRPr="00A74299">
        <w:rPr>
          <w:lang w:eastAsia="zh-TW"/>
        </w:rPr>
        <w:tab/>
      </w:r>
      <w:r w:rsidRPr="00A74299">
        <w:rPr>
          <w:rtl/>
          <w:lang w:eastAsia="zh-TW"/>
        </w:rPr>
        <w:t>الملاحظات الختامية بشأن التقرير المقدم من صربيا بموجب الفقرة 1 من المادة 29 من الاتفاقية</w:t>
      </w:r>
      <w:r w:rsidR="00A51C42" w:rsidRPr="00A74299">
        <w:rPr>
          <w:rStyle w:val="FootnoteReference"/>
          <w:b/>
          <w:bCs w:val="0"/>
          <w:sz w:val="20"/>
          <w:vertAlign w:val="baseline"/>
          <w:rtl/>
          <w:lang w:eastAsia="zh-TW"/>
        </w:rPr>
        <w:footnoteReference w:customMarkFollows="1" w:id="1"/>
        <w:t>*</w:t>
      </w:r>
    </w:p>
    <w:p w:rsidR="00983BA8" w:rsidRPr="00A74299" w:rsidRDefault="00983BA8" w:rsidP="00F40D10">
      <w:pPr>
        <w:pStyle w:val="SingleTxtGA"/>
        <w:rPr>
          <w:rtl/>
          <w:lang w:eastAsia="zh-TW"/>
        </w:rPr>
      </w:pPr>
      <w:r w:rsidRPr="00A74299">
        <w:rPr>
          <w:rtl/>
        </w:rPr>
        <w:t>١-</w:t>
      </w:r>
      <w:r w:rsidRPr="00A74299">
        <w:rPr>
          <w:rtl/>
        </w:rPr>
        <w:tab/>
      </w:r>
      <w:r w:rsidRPr="00A74299">
        <w:rPr>
          <w:rtl/>
          <w:lang w:eastAsia="zh-TW"/>
        </w:rPr>
        <w:t>نظرت اللجنة المعنية بحالات الاختفاء القسري في التقرير المقدم من صربيا بموجب الفقرة 1 من المادة 29 من الاتفاقية (</w:t>
      </w:r>
      <w:r w:rsidRPr="00A74299">
        <w:rPr>
          <w:lang w:eastAsia="zh-TW"/>
        </w:rPr>
        <w:t>CED/C/SRB/1</w:t>
      </w:r>
      <w:r w:rsidRPr="00A74299">
        <w:rPr>
          <w:rtl/>
          <w:lang w:eastAsia="zh-TW"/>
        </w:rPr>
        <w:t>) في جلستيها 124 و125 (</w:t>
      </w:r>
      <w:r w:rsidRPr="00A74299">
        <w:rPr>
          <w:lang w:eastAsia="zh-TW"/>
        </w:rPr>
        <w:t>CED/C/SR.124</w:t>
      </w:r>
      <w:r w:rsidRPr="00A74299">
        <w:rPr>
          <w:rtl/>
          <w:lang w:eastAsia="zh-TW"/>
        </w:rPr>
        <w:t xml:space="preserve"> و</w:t>
      </w:r>
      <w:r w:rsidR="00F40D10">
        <w:rPr>
          <w:lang w:eastAsia="zh-TW"/>
        </w:rPr>
        <w:t>125</w:t>
      </w:r>
      <w:r w:rsidRPr="00A74299">
        <w:rPr>
          <w:rtl/>
          <w:lang w:eastAsia="zh-TW"/>
        </w:rPr>
        <w:t xml:space="preserve">) المعقودتين في 4 و5 شباط/فبراير 2015. واعتمدت اللجنة في جلستها 135، المعقودة في 12 شباط/فبراير 2015، الملاحظات الختامية التالية. </w:t>
      </w:r>
    </w:p>
    <w:p w:rsidR="00983BA8" w:rsidRPr="00A74299" w:rsidRDefault="00983BA8" w:rsidP="00A51C42">
      <w:pPr>
        <w:pStyle w:val="H1GA"/>
        <w:rPr>
          <w:rFonts w:eastAsiaTheme="minorEastAsia"/>
          <w:rtl/>
          <w:lang w:eastAsia="zh-CN"/>
        </w:rPr>
      </w:pPr>
      <w:r w:rsidRPr="00A74299">
        <w:rPr>
          <w:szCs w:val="24"/>
          <w:rtl/>
          <w:lang w:eastAsia="zh-TW"/>
        </w:rPr>
        <w:tab/>
      </w:r>
      <w:r w:rsidRPr="00A74299">
        <w:rPr>
          <w:sz w:val="30"/>
          <w:rtl/>
          <w:lang w:eastAsia="zh-TW"/>
        </w:rPr>
        <w:t>ألف</w:t>
      </w:r>
      <w:r w:rsidRPr="00A74299">
        <w:rPr>
          <w:rtl/>
        </w:rPr>
        <w:t>-</w:t>
      </w:r>
      <w:r w:rsidR="00A51C42" w:rsidRPr="00A74299">
        <w:rPr>
          <w:rFonts w:hint="cs"/>
          <w:rtl/>
        </w:rPr>
        <w:tab/>
      </w:r>
      <w:r w:rsidR="00A51C42" w:rsidRPr="00A74299">
        <w:rPr>
          <w:rtl/>
          <w:lang w:eastAsia="zh-TW"/>
        </w:rPr>
        <w:t>مقدمة</w:t>
      </w:r>
    </w:p>
    <w:p w:rsidR="00983BA8" w:rsidRPr="00A74299" w:rsidRDefault="00983BA8" w:rsidP="00983BA8">
      <w:pPr>
        <w:pStyle w:val="SingleTxtGA"/>
        <w:rPr>
          <w:rtl/>
          <w:lang w:eastAsia="zh-TW"/>
        </w:rPr>
      </w:pPr>
      <w:r w:rsidRPr="00A74299">
        <w:rPr>
          <w:rtl/>
        </w:rPr>
        <w:t>٢-</w:t>
      </w:r>
      <w:r w:rsidRPr="00A74299">
        <w:rPr>
          <w:rtl/>
        </w:rPr>
        <w:tab/>
      </w:r>
      <w:r w:rsidRPr="00A74299">
        <w:rPr>
          <w:rtl/>
          <w:lang w:eastAsia="zh-TW"/>
        </w:rPr>
        <w:t xml:space="preserve">ترحب اللجنة بالتقرير الذي قدمته صربيا بموجب الفقرة 1 من المادة 29 من الاتفاقية، والذي أُعد وفقاً للمبادئ التوجيهية لتقديم التقارير، وبالمعلومات الواردة فيه. وتعرب اللجنة عن امتنانها للحوار البناء الذي أجرته مع وفد الدولة الطرف الرفيع المستوى بشأن التدابير المتخذة من أجل تطبيق أحكام الاتفاقية، وهو ما مكّن من تبديد عدة شواغل أعربت عنها اللجنة. </w:t>
      </w:r>
    </w:p>
    <w:p w:rsidR="00983BA8" w:rsidRPr="00A74299" w:rsidRDefault="00983BA8" w:rsidP="00983BA8">
      <w:pPr>
        <w:pStyle w:val="SingleTxtGA"/>
        <w:rPr>
          <w:rtl/>
          <w:lang w:eastAsia="zh-TW"/>
        </w:rPr>
      </w:pPr>
      <w:r w:rsidRPr="00A74299">
        <w:rPr>
          <w:rtl/>
        </w:rPr>
        <w:t>٣-</w:t>
      </w:r>
      <w:r w:rsidRPr="00A74299">
        <w:rPr>
          <w:rtl/>
        </w:rPr>
        <w:tab/>
      </w:r>
      <w:dir w:val="rtl">
        <w:r w:rsidRPr="00A74299">
          <w:rPr>
            <w:rtl/>
            <w:lang w:eastAsia="zh-TW"/>
          </w:rPr>
          <w:t>وتعرب اللجنة أيضاً عن شكرها للدولة الطرف على ما قدمته من ردود كتابية (</w:t>
        </w:r>
        <w:r w:rsidRPr="00A74299">
          <w:rPr>
            <w:lang w:eastAsia="zh-TW"/>
          </w:rPr>
          <w:t>CED/C/SERB/Q/1/Add.1</w:t>
        </w:r>
        <w:r w:rsidRPr="00A74299">
          <w:rPr>
            <w:rtl/>
            <w:lang w:eastAsia="zh-TW"/>
          </w:rPr>
          <w:t xml:space="preserve">) على قائمة المسائل </w:t>
        </w:r>
        <w:r w:rsidRPr="00A74299">
          <w:rPr>
            <w:lang w:eastAsia="zh-TW"/>
          </w:rPr>
          <w:t>CED/C/SRB/Q/1)</w:t>
        </w:r>
        <w:r w:rsidRPr="00A74299">
          <w:rPr>
            <w:rtl/>
            <w:lang w:eastAsia="zh-TW"/>
          </w:rPr>
          <w:t>).</w:t>
        </w:r>
        <w:r w:rsidRPr="00A74299">
          <w:rPr>
            <w:rFonts w:ascii="MS Mincho" w:eastAsia="MS Mincho" w:hAnsi="MS Mincho" w:cs="MS Mincho" w:hint="eastAsia"/>
            <w:rtl/>
            <w:lang w:eastAsia="zh-TW"/>
          </w:rPr>
          <w:t>‬</w:t>
        </w:r>
        <w:r w:rsidRPr="00A74299">
          <w:rPr>
            <w:rtl/>
            <w:lang w:eastAsia="zh-TW"/>
          </w:rPr>
          <w:t xml:space="preserve"> </w:t>
        </w:r>
        <w:r w:rsidRPr="00A74299">
          <w:rPr>
            <w:rFonts w:ascii="MS Mincho" w:eastAsia="MS Mincho" w:hAnsi="MS Mincho" w:cs="MS Mincho" w:hint="eastAsia"/>
          </w:rPr>
          <w:t>‬</w:t>
        </w:r>
        <w:r w:rsidR="00D5651F">
          <w:t>‬</w:t>
        </w:r>
        <w:r w:rsidR="00EC3E5A">
          <w:t>‬</w:t>
        </w:r>
        <w:r w:rsidR="000421F7">
          <w:t>‬</w:t>
        </w:r>
      </w:dir>
    </w:p>
    <w:p w:rsidR="00983BA8" w:rsidRPr="00A74299" w:rsidRDefault="00983BA8" w:rsidP="00A51C42">
      <w:pPr>
        <w:pStyle w:val="H1GA"/>
        <w:rPr>
          <w:rtl/>
          <w:lang w:eastAsia="zh-TW"/>
        </w:rPr>
      </w:pPr>
      <w:r w:rsidRPr="00A74299">
        <w:rPr>
          <w:rtl/>
          <w:lang w:eastAsia="zh-TW"/>
        </w:rPr>
        <w:tab/>
        <w:t>باء-</w:t>
      </w:r>
      <w:r w:rsidRPr="00A74299">
        <w:rPr>
          <w:rtl/>
          <w:lang w:eastAsia="zh-TW"/>
        </w:rPr>
        <w:tab/>
      </w:r>
      <w:dir w:val="rtl">
        <w:r w:rsidRPr="00A74299">
          <w:rPr>
            <w:rtl/>
            <w:lang w:eastAsia="zh-TW"/>
          </w:rPr>
          <w:t>الجوانب الإيجابية</w:t>
        </w:r>
        <w:r w:rsidRPr="00A74299">
          <w:rPr>
            <w:rFonts w:ascii="MS Mincho" w:eastAsia="MS Mincho" w:hAnsi="MS Mincho" w:cs="MS Mincho" w:hint="eastAsia"/>
            <w:rtl/>
            <w:lang w:eastAsia="zh-TW"/>
          </w:rPr>
          <w:t>‬</w:t>
        </w:r>
        <w:r w:rsidRPr="00A74299">
          <w:rPr>
            <w:rtl/>
            <w:lang w:eastAsia="zh-TW"/>
          </w:rPr>
          <w:t xml:space="preserve"> </w:t>
        </w:r>
        <w:r w:rsidR="00D5651F">
          <w:t>‬</w:t>
        </w:r>
        <w:r w:rsidR="00EC3E5A">
          <w:t>‬</w:t>
        </w:r>
        <w:r w:rsidR="000421F7">
          <w:t>‬</w:t>
        </w:r>
      </w:dir>
    </w:p>
    <w:p w:rsidR="00983BA8" w:rsidRPr="00A74299" w:rsidRDefault="00983BA8" w:rsidP="00983BA8">
      <w:pPr>
        <w:pStyle w:val="SingleTxtGA"/>
        <w:rPr>
          <w:rtl/>
          <w:lang w:eastAsia="zh-TW"/>
        </w:rPr>
      </w:pPr>
      <w:r w:rsidRPr="00A74299">
        <w:rPr>
          <w:rtl/>
        </w:rPr>
        <w:t>٤-</w:t>
      </w:r>
      <w:r w:rsidRPr="00A74299">
        <w:rPr>
          <w:rtl/>
        </w:rPr>
        <w:tab/>
      </w:r>
      <w:r w:rsidRPr="00A74299">
        <w:rPr>
          <w:rtl/>
          <w:lang w:eastAsia="zh-TW"/>
        </w:rPr>
        <w:t xml:space="preserve">تشيد اللجنة بتصديق الدولة الطرف على جميع صكوك الأمم المتحدة الأساسية المتعلقة بحقوق الإنسان والبروتوكولات الاختيارية الملحقة بها تقريباً، علاوة على نظام روما الأساسي للمحكمة الجنائية الدولية. </w:t>
      </w:r>
    </w:p>
    <w:p w:rsidR="00983BA8" w:rsidRPr="00A74299" w:rsidRDefault="00983BA8" w:rsidP="00983BA8">
      <w:pPr>
        <w:pStyle w:val="SingleTxtGA"/>
        <w:rPr>
          <w:rtl/>
          <w:lang w:eastAsia="zh-TW"/>
        </w:rPr>
      </w:pPr>
      <w:r w:rsidRPr="00A74299">
        <w:rPr>
          <w:rtl/>
        </w:rPr>
        <w:lastRenderedPageBreak/>
        <w:t>٥-</w:t>
      </w:r>
      <w:r w:rsidRPr="00A74299">
        <w:rPr>
          <w:rtl/>
        </w:rPr>
        <w:tab/>
      </w:r>
      <w:dir w:val="rtl">
        <w:r w:rsidRPr="00A74299">
          <w:rPr>
            <w:rtl/>
            <w:lang w:eastAsia="zh-TW"/>
          </w:rPr>
          <w:t>وترحّب اللجنة أيضاً باعتراف الدولة الطرف باختصاص اللجنة بالنظر في البلاغات المقدَّمة من الأفراد ومن الدول، بموجب المادتين 31 و32 من الاتفاقية.</w:t>
        </w:r>
        <w:r w:rsidRPr="00A74299">
          <w:rPr>
            <w:rFonts w:ascii="MS Mincho" w:eastAsia="MS Mincho" w:hAnsi="MS Mincho" w:cs="MS Mincho" w:hint="eastAsia"/>
            <w:rtl/>
            <w:lang w:eastAsia="zh-TW"/>
          </w:rPr>
          <w:t>‬</w:t>
        </w:r>
        <w:r w:rsidRPr="00A74299">
          <w:rPr>
            <w:rtl/>
            <w:lang w:eastAsia="zh-TW"/>
          </w:rPr>
          <w:t xml:space="preserve"> </w:t>
        </w:r>
        <w:r w:rsidRPr="00A74299">
          <w:rPr>
            <w:rFonts w:ascii="MS Mincho" w:eastAsia="MS Mincho" w:hAnsi="MS Mincho" w:cs="MS Mincho" w:hint="eastAsia"/>
          </w:rPr>
          <w:t>‬</w:t>
        </w:r>
        <w:r w:rsidR="00D5651F">
          <w:t>‬</w:t>
        </w:r>
        <w:r w:rsidR="00EC3E5A">
          <w:t>‬</w:t>
        </w:r>
        <w:r w:rsidR="000421F7">
          <w:t>‬</w:t>
        </w:r>
      </w:dir>
    </w:p>
    <w:p w:rsidR="00983BA8" w:rsidRPr="00A74299" w:rsidRDefault="00983BA8" w:rsidP="00A51C42">
      <w:pPr>
        <w:pStyle w:val="SingleTxtGA"/>
        <w:rPr>
          <w:rtl/>
          <w:lang w:eastAsia="zh-TW"/>
        </w:rPr>
      </w:pPr>
      <w:r w:rsidRPr="00A74299">
        <w:rPr>
          <w:rtl/>
        </w:rPr>
        <w:t>٦-</w:t>
      </w:r>
      <w:r w:rsidRPr="00A74299">
        <w:rPr>
          <w:rtl/>
        </w:rPr>
        <w:tab/>
      </w:r>
      <w:r w:rsidRPr="00A74299">
        <w:rPr>
          <w:rtl/>
          <w:lang w:eastAsia="zh-TW"/>
        </w:rPr>
        <w:t xml:space="preserve">وتُثني اللجنة على الدولة الطرف أيضاً لما اتخذته من تدابير في المجالات ذات الصلة، ومن ذلك التدابير التالية: </w:t>
      </w:r>
    </w:p>
    <w:p w:rsidR="00983BA8" w:rsidRPr="00A74299" w:rsidRDefault="00A51C42" w:rsidP="00A51C42">
      <w:pPr>
        <w:pStyle w:val="SingleTxtGA"/>
        <w:rPr>
          <w:rtl/>
          <w:lang w:eastAsia="zh-TW"/>
        </w:rPr>
      </w:pPr>
      <w:r w:rsidRPr="00A74299">
        <w:rPr>
          <w:rFonts w:hint="cs"/>
          <w:rtl/>
          <w:lang w:eastAsia="zh-TW"/>
        </w:rPr>
        <w:tab/>
      </w:r>
      <w:r w:rsidR="00983BA8" w:rsidRPr="00A74299">
        <w:rPr>
          <w:rtl/>
          <w:lang w:eastAsia="zh-TW"/>
        </w:rPr>
        <w:t>(أ)</w:t>
      </w:r>
      <w:r w:rsidR="00983BA8" w:rsidRPr="00A74299">
        <w:rPr>
          <w:rtl/>
          <w:lang w:eastAsia="zh-TW"/>
        </w:rPr>
        <w:tab/>
        <w:t xml:space="preserve">اعتماد القانون المتعلق بتنظيم السلطات الحكومية واختصاصاتها في الإجراءات المتعلقة بجرائم الحرب، بصيغته المعدلة عام 2004؛ </w:t>
      </w:r>
    </w:p>
    <w:p w:rsidR="00983BA8" w:rsidRPr="00A74299" w:rsidRDefault="00A51C42" w:rsidP="00A51C42">
      <w:pPr>
        <w:pStyle w:val="SingleTxtGA"/>
        <w:rPr>
          <w:rtl/>
          <w:lang w:eastAsia="zh-TW"/>
        </w:rPr>
      </w:pPr>
      <w:r w:rsidRPr="00A74299">
        <w:rPr>
          <w:rFonts w:hint="cs"/>
          <w:rtl/>
          <w:lang w:eastAsia="zh-TW"/>
        </w:rPr>
        <w:tab/>
      </w:r>
      <w:r w:rsidR="00983BA8" w:rsidRPr="00A74299">
        <w:rPr>
          <w:rtl/>
          <w:lang w:eastAsia="zh-TW"/>
        </w:rPr>
        <w:t>(ب)</w:t>
      </w:r>
      <w:r w:rsidR="00983BA8" w:rsidRPr="00A74299">
        <w:rPr>
          <w:rtl/>
          <w:lang w:eastAsia="zh-TW"/>
        </w:rPr>
        <w:tab/>
        <w:t xml:space="preserve">وإنشاء اللجنة المعنية بالمفقودين في حزيران/يونيه 2006؛ </w:t>
      </w:r>
    </w:p>
    <w:p w:rsidR="00983BA8" w:rsidRPr="00A74299" w:rsidRDefault="00A51C42" w:rsidP="00A51C42">
      <w:pPr>
        <w:pStyle w:val="SingleTxtGA"/>
        <w:rPr>
          <w:rtl/>
          <w:lang w:eastAsia="zh-TW"/>
        </w:rPr>
      </w:pPr>
      <w:r w:rsidRPr="00A74299">
        <w:rPr>
          <w:rFonts w:hint="cs"/>
          <w:rtl/>
          <w:lang w:eastAsia="zh-TW"/>
        </w:rPr>
        <w:tab/>
      </w:r>
      <w:r w:rsidR="00983BA8" w:rsidRPr="00A74299">
        <w:rPr>
          <w:rtl/>
          <w:lang w:eastAsia="zh-TW"/>
        </w:rPr>
        <w:t>(ج)</w:t>
      </w:r>
      <w:r w:rsidR="00983BA8" w:rsidRPr="00A74299">
        <w:rPr>
          <w:rtl/>
          <w:lang w:eastAsia="zh-TW"/>
        </w:rPr>
        <w:tab/>
        <w:t xml:space="preserve">والتوقيع على اتفاقات ووثائق ثنائية مختلفة بشأن التعاون فيما يتعلق بالمفقودين أثناء النزاعات المسلحة، كما ذكر في الفقرة 95 من التقرير؛ </w:t>
      </w:r>
    </w:p>
    <w:p w:rsidR="00983BA8" w:rsidRPr="00A74299" w:rsidRDefault="00A51C42" w:rsidP="00A51C42">
      <w:pPr>
        <w:pStyle w:val="SingleTxtGA"/>
        <w:rPr>
          <w:rtl/>
          <w:lang w:eastAsia="zh-TW"/>
        </w:rPr>
      </w:pPr>
      <w:r w:rsidRPr="00A74299">
        <w:rPr>
          <w:rFonts w:hint="cs"/>
          <w:rtl/>
          <w:lang w:eastAsia="zh-TW"/>
        </w:rPr>
        <w:tab/>
      </w:r>
      <w:r w:rsidR="00983BA8" w:rsidRPr="00A74299">
        <w:rPr>
          <w:rtl/>
          <w:lang w:eastAsia="zh-TW"/>
        </w:rPr>
        <w:t>(د)</w:t>
      </w:r>
      <w:r w:rsidR="00983BA8" w:rsidRPr="00A74299">
        <w:rPr>
          <w:rtl/>
          <w:lang w:eastAsia="zh-TW"/>
        </w:rPr>
        <w:tab/>
        <w:t xml:space="preserve">وإنشاء مكتب أمين مظالم جمهورية صربيا بموجب القانونين رقم 79/2005 و54/2007، وتعيينه بصفته الآلية الوطنية لمنع التعذيب. </w:t>
      </w:r>
    </w:p>
    <w:p w:rsidR="00983BA8" w:rsidRPr="00A74299" w:rsidRDefault="00983BA8" w:rsidP="00A51C42">
      <w:pPr>
        <w:pStyle w:val="SingleTxtGA"/>
        <w:rPr>
          <w:rtl/>
          <w:lang w:eastAsia="zh-TW"/>
        </w:rPr>
      </w:pPr>
      <w:r w:rsidRPr="00A74299">
        <w:rPr>
          <w:rtl/>
        </w:rPr>
        <w:t>٧-</w:t>
      </w:r>
      <w:r w:rsidRPr="00A74299">
        <w:rPr>
          <w:rtl/>
        </w:rPr>
        <w:tab/>
      </w:r>
      <w:r w:rsidRPr="00A74299">
        <w:rPr>
          <w:rtl/>
          <w:lang w:eastAsia="zh-TW"/>
        </w:rPr>
        <w:t xml:space="preserve">وتلاحظ اللجنة أن المادة 16 من الدستور تقضي بتطبيق المعاهدات الدولية المصدق عليها تطبيقاً مباشراً وتشترط أن تكون أحكام تلك المعاهدات مطابقة للدستور. وفي هذا الصدد، تحيط اللجنة علماً بما صرح به الوفد من أنه جرت دراسة الاتفاقية قبل التصديق عليها ولم يتبين وجود أي تعارض مع الدستور. </w:t>
      </w:r>
    </w:p>
    <w:p w:rsidR="00983BA8" w:rsidRPr="00A74299" w:rsidRDefault="00983BA8" w:rsidP="00A51C42">
      <w:pPr>
        <w:pStyle w:val="SingleTxtGA"/>
        <w:rPr>
          <w:rtl/>
          <w:lang w:eastAsia="zh-TW"/>
        </w:rPr>
      </w:pPr>
      <w:r w:rsidRPr="00A74299">
        <w:rPr>
          <w:rtl/>
        </w:rPr>
        <w:t>٨-</w:t>
      </w:r>
      <w:r w:rsidRPr="00A74299">
        <w:rPr>
          <w:rtl/>
        </w:rPr>
        <w:tab/>
      </w:r>
      <w:r w:rsidRPr="00A74299">
        <w:rPr>
          <w:rtl/>
          <w:lang w:eastAsia="zh-TW"/>
        </w:rPr>
        <w:t xml:space="preserve">وتشير اللجنة بارتياح إلى أن الدولة الطرف وجهت دعوة مفتوحة إلى جميع المكلفين بولايات في إطار الإجراءات الخاصة لمجلس حقوق الإنسان لزيارتها. وفي هذا الصدد، تُرحب اللجنة بالزيارة التي أجراها إلى صربيا الفريق العامل المعني بحالات الاختفاء القسري أو غير الطوعي في حزيران/يونيه 2014، وتشجع الدولة الطرف على مواصلة التعاون مع هذه الآلية في إطار ولايتها. </w:t>
      </w:r>
    </w:p>
    <w:p w:rsidR="00983BA8" w:rsidRPr="00A74299" w:rsidRDefault="00983BA8" w:rsidP="00A51C42">
      <w:pPr>
        <w:pStyle w:val="H1GA"/>
        <w:rPr>
          <w:rtl/>
          <w:lang w:eastAsia="zh-TW"/>
        </w:rPr>
      </w:pPr>
      <w:r w:rsidRPr="00A74299">
        <w:rPr>
          <w:szCs w:val="24"/>
          <w:rtl/>
          <w:lang w:eastAsia="zh-TW"/>
        </w:rPr>
        <w:tab/>
      </w:r>
      <w:r w:rsidRPr="00A74299">
        <w:rPr>
          <w:sz w:val="30"/>
          <w:rtl/>
          <w:lang w:eastAsia="zh-TW"/>
        </w:rPr>
        <w:t>جيم</w:t>
      </w:r>
      <w:r w:rsidRPr="00A74299">
        <w:rPr>
          <w:rtl/>
        </w:rPr>
        <w:t>-</w:t>
      </w:r>
      <w:r w:rsidRPr="00A74299">
        <w:rPr>
          <w:rtl/>
        </w:rPr>
        <w:tab/>
      </w:r>
      <w:r w:rsidRPr="00A74299">
        <w:rPr>
          <w:rtl/>
          <w:lang w:eastAsia="zh-TW"/>
        </w:rPr>
        <w:t>دواعي القلق الرئيسية والتوصيات</w:t>
      </w:r>
      <w:r w:rsidRPr="00A74299">
        <w:rPr>
          <w:rFonts w:ascii="MS Mincho" w:eastAsia="MS Mincho" w:hAnsi="MS Mincho" w:cs="MS Mincho" w:hint="eastAsia"/>
          <w:rtl/>
          <w:lang w:eastAsia="zh-TW"/>
        </w:rPr>
        <w:t>‬</w:t>
      </w:r>
      <w:r w:rsidRPr="00A74299">
        <w:rPr>
          <w:rtl/>
          <w:lang w:eastAsia="zh-TW"/>
        </w:rPr>
        <w:t xml:space="preserve"> </w:t>
      </w:r>
    </w:p>
    <w:p w:rsidR="00983BA8" w:rsidRPr="00A74299" w:rsidRDefault="00983BA8" w:rsidP="00A51C42">
      <w:pPr>
        <w:pStyle w:val="SingleTxtGA"/>
        <w:rPr>
          <w:rtl/>
          <w:lang w:eastAsia="zh-TW"/>
        </w:rPr>
      </w:pPr>
      <w:r w:rsidRPr="00A74299">
        <w:rPr>
          <w:rtl/>
        </w:rPr>
        <w:t>٩-</w:t>
      </w:r>
      <w:r w:rsidRPr="00A74299">
        <w:rPr>
          <w:rtl/>
        </w:rPr>
        <w:tab/>
      </w:r>
      <w:r w:rsidRPr="00A74299">
        <w:rPr>
          <w:rtl/>
          <w:lang w:eastAsia="zh-TW"/>
        </w:rPr>
        <w:t>ترى اللجنة أن ما كان ساريا</w:t>
      </w:r>
      <w:r w:rsidR="00F40D10">
        <w:rPr>
          <w:rFonts w:hint="cs"/>
          <w:rtl/>
          <w:lang w:eastAsia="zh-TW"/>
        </w:rPr>
        <w:t>ً</w:t>
      </w:r>
      <w:r w:rsidRPr="00A74299">
        <w:rPr>
          <w:rtl/>
          <w:lang w:eastAsia="zh-TW"/>
        </w:rPr>
        <w:t xml:space="preserve"> من تشريعات منع الاختفاء القسري والمعاقبة عليه في الدولة الطرف، وقت اعتماد هذه الملاحظات الختامية، لم يكن يمتثل امتثالا</w:t>
      </w:r>
      <w:r w:rsidR="00F40D10">
        <w:rPr>
          <w:rFonts w:hint="cs"/>
          <w:rtl/>
          <w:lang w:eastAsia="zh-TW"/>
        </w:rPr>
        <w:t>ً</w:t>
      </w:r>
      <w:r w:rsidRPr="00A74299">
        <w:rPr>
          <w:rtl/>
          <w:lang w:eastAsia="zh-TW"/>
        </w:rPr>
        <w:t xml:space="preserve"> تاماً للالتزامات الواقعة على الدول التي صدّقت على الاتفاقية. وتشجع اللجنة الدولة الطرف على تنفيذ توصياتها التي قدمت بروحٍ بناءة ومن منطلق الحرص على المساعدة، بهدف مواءمة الإطار القانوني الموجود وطريقة تنفيذ السلطات الحكومية له مواءمةً تامةً مع الحقوق والالتزامات المنصوص عليها في الاتفاقية. </w:t>
      </w:r>
    </w:p>
    <w:p w:rsidR="00983BA8" w:rsidRPr="00A74299" w:rsidRDefault="00983BA8" w:rsidP="00A51C42">
      <w:pPr>
        <w:pStyle w:val="H1GA"/>
        <w:rPr>
          <w:rtl/>
          <w:lang w:eastAsia="zh-TW"/>
        </w:rPr>
      </w:pPr>
      <w:r w:rsidRPr="00A74299">
        <w:rPr>
          <w:rtl/>
          <w:lang w:eastAsia="zh-TW"/>
        </w:rPr>
        <w:lastRenderedPageBreak/>
        <w:tab/>
      </w:r>
      <w:r w:rsidRPr="00A74299">
        <w:rPr>
          <w:rtl/>
          <w:lang w:eastAsia="zh-TW"/>
        </w:rPr>
        <w:tab/>
      </w:r>
      <w:dir w:val="rtl">
        <w:r w:rsidRPr="00A74299">
          <w:rPr>
            <w:rtl/>
            <w:lang w:eastAsia="zh-TW"/>
          </w:rPr>
          <w:t>تعريف الاختفاء القسري وتجريمه (المواد 1-7)</w:t>
        </w:r>
        <w:r w:rsidRPr="00A74299">
          <w:rPr>
            <w:rFonts w:ascii="MS Mincho" w:eastAsia="MS Mincho" w:hAnsi="MS Mincho" w:cs="MS Mincho" w:hint="eastAsia"/>
            <w:rtl/>
            <w:lang w:eastAsia="zh-TW"/>
          </w:rPr>
          <w:t>‬</w:t>
        </w:r>
        <w:r w:rsidRPr="00A74299">
          <w:rPr>
            <w:rtl/>
            <w:lang w:eastAsia="zh-TW"/>
          </w:rPr>
          <w:t xml:space="preserve"> </w:t>
        </w:r>
        <w:r w:rsidRPr="00A74299">
          <w:rPr>
            <w:rFonts w:ascii="MS Mincho" w:eastAsia="MS Mincho" w:hAnsi="MS Mincho" w:cs="MS Mincho" w:hint="eastAsia"/>
          </w:rPr>
          <w:t>‬</w:t>
        </w:r>
        <w:r w:rsidR="00D5651F">
          <w:t>‬</w:t>
        </w:r>
        <w:r w:rsidR="00EC3E5A">
          <w:t>‬</w:t>
        </w:r>
        <w:r w:rsidR="000421F7">
          <w:t>‬</w:t>
        </w:r>
      </w:dir>
    </w:p>
    <w:p w:rsidR="00983BA8" w:rsidRPr="00A74299" w:rsidRDefault="00983BA8" w:rsidP="00A51C42">
      <w:pPr>
        <w:pStyle w:val="H23GA"/>
        <w:rPr>
          <w:rtl/>
        </w:rPr>
      </w:pPr>
      <w:r w:rsidRPr="00A74299">
        <w:rPr>
          <w:rtl/>
        </w:rPr>
        <w:tab/>
      </w:r>
      <w:r w:rsidRPr="00A74299">
        <w:rPr>
          <w:rtl/>
        </w:rPr>
        <w:tab/>
      </w:r>
      <w:dir w:val="rtl">
        <w:r w:rsidRPr="00A74299">
          <w:rPr>
            <w:rtl/>
          </w:rPr>
          <w:t>جريمة الاختفاء القسري</w:t>
        </w:r>
        <w:r w:rsidRPr="00A74299">
          <w:rPr>
            <w:rFonts w:ascii="MS Mincho" w:eastAsia="MS Mincho" w:hAnsi="MS Mincho" w:cs="MS Mincho" w:hint="eastAsia"/>
            <w:rtl/>
          </w:rPr>
          <w:t>‬</w:t>
        </w:r>
        <w:r w:rsidRPr="00A74299">
          <w:rPr>
            <w:rFonts w:ascii="MS Mincho" w:eastAsia="MS Mincho" w:hAnsi="MS Mincho" w:cs="MS Mincho" w:hint="eastAsia"/>
            <w:szCs w:val="20"/>
            <w:rtl/>
          </w:rPr>
          <w:t>‬</w:t>
        </w:r>
        <w:r w:rsidR="00D5651F">
          <w:t>‬</w:t>
        </w:r>
        <w:r w:rsidR="00EC3E5A">
          <w:t>‬</w:t>
        </w:r>
        <w:r w:rsidR="000421F7">
          <w:t>‬</w:t>
        </w:r>
      </w:dir>
    </w:p>
    <w:p w:rsidR="00983BA8" w:rsidRPr="00A74299" w:rsidRDefault="00983BA8" w:rsidP="00F40D10">
      <w:pPr>
        <w:pStyle w:val="SingleTxtGA"/>
        <w:rPr>
          <w:rtl/>
          <w:lang w:eastAsia="zh-TW"/>
        </w:rPr>
      </w:pPr>
      <w:r w:rsidRPr="00A74299">
        <w:rPr>
          <w:rtl/>
        </w:rPr>
        <w:t>١٠-</w:t>
      </w:r>
      <w:r w:rsidRPr="00A74299">
        <w:rPr>
          <w:rtl/>
        </w:rPr>
        <w:tab/>
      </w:r>
      <w:r w:rsidRPr="00A74299">
        <w:rPr>
          <w:rtl/>
          <w:lang w:eastAsia="zh-TW"/>
        </w:rPr>
        <w:t>ترحب اللجنة بما ورد في البيان الذي أدلى به الوفد من أنه يجري إعداد تعديلات على القانون الجنائي من أجل إدراج جريمة الاختفاء القسري في النظام القانوني الوطني. وتحيط علما</w:t>
      </w:r>
      <w:r w:rsidR="00F40D10">
        <w:rPr>
          <w:rFonts w:hint="cs"/>
          <w:rtl/>
          <w:lang w:eastAsia="zh-TW"/>
        </w:rPr>
        <w:t>ً</w:t>
      </w:r>
      <w:r w:rsidRPr="00A74299">
        <w:rPr>
          <w:rtl/>
          <w:lang w:eastAsia="zh-TW"/>
        </w:rPr>
        <w:t xml:space="preserve"> أيضاً بموقف الدولة الطرف الذي مفاده أن الأفعال الموصوفة في المادة 2 من الاتفاقية حاليا ربما</w:t>
      </w:r>
      <w:r w:rsidR="00F40D10">
        <w:rPr>
          <w:rFonts w:hint="cs"/>
          <w:rtl/>
          <w:lang w:eastAsia="zh-TW"/>
        </w:rPr>
        <w:t> </w:t>
      </w:r>
      <w:r w:rsidRPr="00A74299">
        <w:rPr>
          <w:rtl/>
          <w:lang w:eastAsia="zh-TW"/>
        </w:rPr>
        <w:t xml:space="preserve">تنطوي على نفس الخصائص القانونية للجرائم المنصوص عليها في القانون الجنائي. وفي هذا الصدد، ترى اللجنة أن تجريم الاختفاء القسري بوصفه جريمة قائمة بذاتها هو وحده الكفيل بأن يسمح للدولة الطرف بالوفاء بالتزامها بموجب المادة 4، وهو التزام يتصل اتصالاً وثيقاً بالتزامات </w:t>
      </w:r>
      <w:proofErr w:type="spellStart"/>
      <w:r w:rsidRPr="00A74299">
        <w:rPr>
          <w:rtl/>
          <w:lang w:eastAsia="zh-TW"/>
        </w:rPr>
        <w:t>تعاهدية</w:t>
      </w:r>
      <w:proofErr w:type="spellEnd"/>
      <w:r w:rsidRPr="00A74299">
        <w:rPr>
          <w:rtl/>
          <w:lang w:eastAsia="zh-TW"/>
        </w:rPr>
        <w:t xml:space="preserve"> أخرى تتعلق بالتشريع، من قبيل الالتزامات الواردة في المواد 6 و7 و8 (المواد 2 و4 و6 و7 و8). </w:t>
      </w:r>
    </w:p>
    <w:p w:rsidR="00983BA8" w:rsidRPr="000F660E" w:rsidRDefault="00983BA8" w:rsidP="00A51C42">
      <w:pPr>
        <w:pStyle w:val="SingleTxtGA"/>
        <w:rPr>
          <w:spacing w:val="-1"/>
          <w:rtl/>
          <w:lang w:eastAsia="zh-TW"/>
        </w:rPr>
      </w:pPr>
      <w:r w:rsidRPr="000F660E">
        <w:rPr>
          <w:spacing w:val="-1"/>
          <w:rtl/>
        </w:rPr>
        <w:t>١١-</w:t>
      </w:r>
      <w:r w:rsidRPr="000F660E">
        <w:rPr>
          <w:spacing w:val="-1"/>
          <w:rtl/>
        </w:rPr>
        <w:tab/>
      </w:r>
      <w:r w:rsidRPr="000F660E">
        <w:rPr>
          <w:b/>
          <w:bCs/>
          <w:spacing w:val="-1"/>
          <w:rtl/>
          <w:lang w:eastAsia="zh-TW"/>
        </w:rPr>
        <w:t>توصي اللجنة الدولة الطرف بأن تتخذ التدابير الضرورية للتعجيل بالإجراءات الرامية إلى جعل جريمة الاختفاء القسري جريمة قائمة بذاتها على نحوٍ يتماشى مع التعريف الوارد في المادة 2 من الاتفاقية؛ وتوصيها أيضاً بأن تكفل معاقبة مرتكبي الجريمة بعقوبات مناسبة تأخذ في الاعتبار الخطورة الشديدة للجريمة؛ وسريان نظام لمسؤولية القيادة يتماشى مع أحكام الفقرة 1(ب) من المادة 6 من الاتفاقية على هذه الجريمة.</w:t>
      </w:r>
      <w:r w:rsidRPr="000F660E">
        <w:rPr>
          <w:spacing w:val="-1"/>
          <w:rtl/>
          <w:lang w:eastAsia="zh-TW"/>
        </w:rPr>
        <w:t xml:space="preserve"> </w:t>
      </w:r>
    </w:p>
    <w:p w:rsidR="00983BA8" w:rsidRPr="00A74299" w:rsidRDefault="00983BA8" w:rsidP="00A51C42">
      <w:pPr>
        <w:pStyle w:val="SingleTxtGA"/>
        <w:rPr>
          <w:rtl/>
          <w:lang w:eastAsia="zh-TW"/>
        </w:rPr>
      </w:pPr>
      <w:r w:rsidRPr="00A74299">
        <w:rPr>
          <w:rtl/>
        </w:rPr>
        <w:t>١٢-</w:t>
      </w:r>
      <w:r w:rsidRPr="00A74299">
        <w:rPr>
          <w:rtl/>
        </w:rPr>
        <w:tab/>
      </w:r>
      <w:r w:rsidRPr="00A74299">
        <w:rPr>
          <w:b/>
          <w:bCs/>
          <w:rtl/>
          <w:lang w:eastAsia="zh-TW"/>
        </w:rPr>
        <w:t>وفي ضوء المادة 8 من الاتفاقية، توصي اللجنة الدولة الطرف بأن تضمن، في حالة وجود فترة تقادم تسري على الاختفاء القسري، أن تكون مدتها طويلة ومناسبة للخطورة الشديدة لهذه الجريمة، ومراعاةً للطابع المستمر للاختفاء القسري، ألا يبدأ احتسابها إلا من لحظة انتهاء الجريمة.</w:t>
      </w:r>
      <w:r w:rsidRPr="00A74299">
        <w:rPr>
          <w:rtl/>
          <w:lang w:eastAsia="zh-TW"/>
        </w:rPr>
        <w:t xml:space="preserve"> </w:t>
      </w:r>
    </w:p>
    <w:p w:rsidR="00983BA8" w:rsidRPr="00CF267E" w:rsidRDefault="00983BA8" w:rsidP="000F660E">
      <w:pPr>
        <w:pStyle w:val="H1GA"/>
        <w:rPr>
          <w:rFonts w:ascii="Times New Roman Bold" w:hAnsi="Times New Roman Bold"/>
          <w:spacing w:val="-6"/>
          <w:rtl/>
          <w:lang w:eastAsia="zh-TW"/>
        </w:rPr>
      </w:pPr>
      <w:r w:rsidRPr="00CF267E">
        <w:rPr>
          <w:rFonts w:ascii="Times New Roman Bold" w:hAnsi="Times New Roman Bold"/>
          <w:spacing w:val="-6"/>
          <w:rtl/>
          <w:lang w:eastAsia="zh-TW"/>
        </w:rPr>
        <w:tab/>
      </w:r>
      <w:r w:rsidRPr="00CF267E">
        <w:rPr>
          <w:rFonts w:ascii="Times New Roman Bold" w:hAnsi="Times New Roman Bold"/>
          <w:spacing w:val="-6"/>
          <w:rtl/>
          <w:lang w:eastAsia="zh-TW"/>
        </w:rPr>
        <w:tab/>
        <w:t>المسؤولية الجنائية والتعاون الق</w:t>
      </w:r>
      <w:r w:rsidR="00CF267E" w:rsidRPr="00CF267E">
        <w:rPr>
          <w:rFonts w:ascii="Times New Roman Bold" w:hAnsi="Times New Roman Bold"/>
          <w:spacing w:val="-6"/>
          <w:rtl/>
          <w:lang w:eastAsia="zh-TW"/>
        </w:rPr>
        <w:t>ضائي فيما يتصل بالاختفاء القسري</w:t>
      </w:r>
      <w:r w:rsidR="00A74299" w:rsidRPr="00CF267E">
        <w:rPr>
          <w:rFonts w:ascii="Times New Roman Bold" w:hAnsi="Times New Roman Bold" w:hint="cs"/>
          <w:spacing w:val="-6"/>
          <w:rtl/>
          <w:lang w:eastAsia="zh-TW"/>
        </w:rPr>
        <w:t xml:space="preserve"> </w:t>
      </w:r>
      <w:r w:rsidRPr="00CF267E">
        <w:rPr>
          <w:rFonts w:ascii="Times New Roman Bold" w:hAnsi="Times New Roman Bold"/>
          <w:spacing w:val="-6"/>
          <w:rtl/>
          <w:lang w:eastAsia="zh-TW"/>
        </w:rPr>
        <w:t>(المواد 8</w:t>
      </w:r>
      <w:r w:rsidR="000F660E">
        <w:rPr>
          <w:rFonts w:ascii="Times New Roman Bold" w:hAnsi="Times New Roman Bold" w:hint="cs"/>
          <w:spacing w:val="-6"/>
          <w:rtl/>
          <w:lang w:eastAsia="zh-TW"/>
        </w:rPr>
        <w:t>-</w:t>
      </w:r>
      <w:r w:rsidR="00A51C42" w:rsidRPr="00CF267E">
        <w:rPr>
          <w:rFonts w:ascii="Times New Roman Bold" w:hAnsi="Times New Roman Bold"/>
          <w:spacing w:val="-6"/>
          <w:rtl/>
          <w:lang w:eastAsia="zh-TW"/>
        </w:rPr>
        <w:t>15)</w:t>
      </w:r>
    </w:p>
    <w:p w:rsidR="00983BA8" w:rsidRPr="00A74299" w:rsidRDefault="00983BA8" w:rsidP="00A51C42">
      <w:pPr>
        <w:pStyle w:val="H23GA"/>
        <w:rPr>
          <w:rFonts w:ascii="Times New Roman Bold" w:hAnsi="Times New Roman Bold"/>
          <w:rtl/>
        </w:rPr>
      </w:pPr>
      <w:r w:rsidRPr="00A74299">
        <w:rPr>
          <w:rFonts w:ascii="Times New Roman Bold" w:hAnsi="Times New Roman Bold"/>
          <w:rtl/>
        </w:rPr>
        <w:tab/>
      </w:r>
      <w:r w:rsidRPr="00A74299">
        <w:rPr>
          <w:rFonts w:ascii="Times New Roman Bold" w:hAnsi="Times New Roman Bold"/>
          <w:rtl/>
        </w:rPr>
        <w:tab/>
        <w:t xml:space="preserve">التحقيق في حالات الاختفاء القسري المرتكبة في سياق النزاعات المسلحة التي حدثت في الماضي </w:t>
      </w:r>
    </w:p>
    <w:p w:rsidR="00983BA8" w:rsidRPr="00A74299" w:rsidRDefault="00983BA8" w:rsidP="00A51C42">
      <w:pPr>
        <w:pStyle w:val="SingleTxtGA"/>
        <w:rPr>
          <w:rtl/>
          <w:lang w:eastAsia="zh-TW"/>
        </w:rPr>
      </w:pPr>
      <w:r w:rsidRPr="00A74299">
        <w:rPr>
          <w:rtl/>
        </w:rPr>
        <w:t>١٣-</w:t>
      </w:r>
      <w:r w:rsidRPr="00A74299">
        <w:rPr>
          <w:rtl/>
        </w:rPr>
        <w:tab/>
      </w:r>
      <w:r w:rsidRPr="00A74299">
        <w:rPr>
          <w:rtl/>
          <w:lang w:eastAsia="zh-TW"/>
        </w:rPr>
        <w:t xml:space="preserve">تشير اللجنة بقلق إلى ما ورد إليها من معلومات تفيد بعدم مساءلة أي أحد حتى الآن في الدولة الطرف بشأن إخفاء مئات الجثث التي عُثر عليها في مقابر جماعية في </w:t>
      </w:r>
      <w:proofErr w:type="spellStart"/>
      <w:r w:rsidRPr="00A74299">
        <w:rPr>
          <w:rtl/>
          <w:lang w:eastAsia="zh-TW"/>
        </w:rPr>
        <w:t>باتاجنيكا</w:t>
      </w:r>
      <w:proofErr w:type="spellEnd"/>
      <w:r w:rsidRPr="00A74299">
        <w:rPr>
          <w:rtl/>
          <w:lang w:eastAsia="zh-TW"/>
        </w:rPr>
        <w:t xml:space="preserve">، </w:t>
      </w:r>
      <w:proofErr w:type="spellStart"/>
      <w:r w:rsidRPr="00A74299">
        <w:rPr>
          <w:rtl/>
          <w:lang w:eastAsia="zh-TW"/>
        </w:rPr>
        <w:t>وبتروفو</w:t>
      </w:r>
      <w:proofErr w:type="spellEnd"/>
      <w:r w:rsidRPr="00A74299">
        <w:rPr>
          <w:rtl/>
          <w:lang w:eastAsia="zh-TW"/>
        </w:rPr>
        <w:t xml:space="preserve"> سيلو، وبحيرة </w:t>
      </w:r>
      <w:proofErr w:type="spellStart"/>
      <w:r w:rsidRPr="00A74299">
        <w:rPr>
          <w:rtl/>
          <w:lang w:eastAsia="zh-TW"/>
        </w:rPr>
        <w:t>بيروكاك</w:t>
      </w:r>
      <w:proofErr w:type="spellEnd"/>
      <w:r w:rsidRPr="00A74299">
        <w:rPr>
          <w:rtl/>
          <w:lang w:eastAsia="zh-TW"/>
        </w:rPr>
        <w:t xml:space="preserve">، </w:t>
      </w:r>
      <w:proofErr w:type="spellStart"/>
      <w:r w:rsidRPr="00A74299">
        <w:rPr>
          <w:rtl/>
          <w:lang w:eastAsia="zh-TW"/>
        </w:rPr>
        <w:t>ورودنيكا</w:t>
      </w:r>
      <w:proofErr w:type="spellEnd"/>
      <w:r w:rsidRPr="00A74299">
        <w:rPr>
          <w:rtl/>
          <w:lang w:eastAsia="zh-TW"/>
        </w:rPr>
        <w:t xml:space="preserve"> (المادتان 12 و24). </w:t>
      </w:r>
    </w:p>
    <w:p w:rsidR="00983BA8" w:rsidRPr="00A74299" w:rsidRDefault="00983BA8" w:rsidP="00A51C42">
      <w:pPr>
        <w:pStyle w:val="SingleTxtGA"/>
        <w:rPr>
          <w:rtl/>
          <w:lang w:eastAsia="zh-TW"/>
        </w:rPr>
      </w:pPr>
      <w:r w:rsidRPr="00A74299">
        <w:rPr>
          <w:rtl/>
        </w:rPr>
        <w:t>١٤-</w:t>
      </w:r>
      <w:r w:rsidRPr="00A74299">
        <w:rPr>
          <w:rtl/>
        </w:rPr>
        <w:tab/>
      </w:r>
      <w:r w:rsidRPr="00A74299">
        <w:rPr>
          <w:b/>
          <w:bCs/>
          <w:rtl/>
          <w:lang w:eastAsia="zh-TW"/>
        </w:rPr>
        <w:t xml:space="preserve">توصي اللجنة الدولة الطرف بأن تكفل التحقيق في جميع حالات الاختفاء القسري التي قد يكون ارتكبها موظفو الدولة الطرف أو أشخاص أو مجموعات من الأفراد يتصرفون بإذن أو دعم منهم أو بموافقتهم في سياق النزاعات المسلحة التي حدثت في الماضي تحقيقا شاملا ونزيها دون تأخير، بما في ذلك توفير ضمانات الوصول الكامل إلى المحفوظات ذات الصلة؛ ومعاقبة من تثبت مسؤوليتهم، بما في ذلك القادة </w:t>
      </w:r>
      <w:r w:rsidRPr="00A74299">
        <w:rPr>
          <w:b/>
          <w:bCs/>
          <w:rtl/>
          <w:lang w:eastAsia="zh-TW"/>
        </w:rPr>
        <w:lastRenderedPageBreak/>
        <w:t>والرؤساء المدنيون، حسب خطورة أفعالهم. وينبغي للدولة الطرف أيضا أن تضمن توفير ما يكفي من الموظفين والموارد التقنية والمالية لمكتب المدعي العام لجرائم الحرب وغيره من السلطات المختصة حتى تتمكن من أداء مهامها بسرعة وفعالية.</w:t>
      </w:r>
      <w:r w:rsidRPr="00A74299">
        <w:rPr>
          <w:rtl/>
          <w:lang w:eastAsia="zh-TW"/>
        </w:rPr>
        <w:t xml:space="preserve"> </w:t>
      </w:r>
    </w:p>
    <w:p w:rsidR="00983BA8" w:rsidRPr="00A74299" w:rsidRDefault="00983BA8" w:rsidP="00A51C42">
      <w:pPr>
        <w:pStyle w:val="H1GA"/>
        <w:rPr>
          <w:rtl/>
          <w:lang w:eastAsia="zh-TW"/>
        </w:rPr>
      </w:pPr>
      <w:r w:rsidRPr="00A74299">
        <w:rPr>
          <w:rtl/>
          <w:lang w:eastAsia="zh-TW"/>
        </w:rPr>
        <w:tab/>
      </w:r>
      <w:r w:rsidRPr="00A74299">
        <w:rPr>
          <w:rtl/>
          <w:lang w:eastAsia="zh-TW"/>
        </w:rPr>
        <w:tab/>
        <w:t>منع الأعمال التي تعيق تقدم التحقيقات</w:t>
      </w:r>
    </w:p>
    <w:p w:rsidR="00983BA8" w:rsidRPr="00A74299" w:rsidRDefault="00983BA8" w:rsidP="00A51C42">
      <w:pPr>
        <w:pStyle w:val="SingleTxtGA"/>
        <w:rPr>
          <w:rtl/>
          <w:lang w:eastAsia="zh-TW"/>
        </w:rPr>
      </w:pPr>
      <w:r w:rsidRPr="00A74299">
        <w:rPr>
          <w:rtl/>
        </w:rPr>
        <w:t>١٥-</w:t>
      </w:r>
      <w:r w:rsidRPr="00A74299">
        <w:rPr>
          <w:rtl/>
        </w:rPr>
        <w:tab/>
      </w:r>
      <w:r w:rsidRPr="00A74299">
        <w:rPr>
          <w:rtl/>
          <w:lang w:eastAsia="zh-TW"/>
        </w:rPr>
        <w:t>تشير اللجنة إلى أن أفراد الشرطة والموظفين المدنيين المشتبه في ارتكابهم جرائم قد يجري إيقافهم مؤقتاً عن العمل. وتشير أيضاً إلى المعلومات المقدمة من الوفد والتي مفادها أن المسؤول الكبير في وحدة التحقيق أو رئيسها يمكنه أن يعلق عضوية أعضاء معينين أو يستبعدهم من تحقيق ما أو أن يطلب من وحدة تنظيمية أخرى الاضطلاع بأنشطة معينة. بيد أن اللجنة تعرب عن الانشغال لكون مسألة إيقاف أي موظف حكومي، مدنيا</w:t>
      </w:r>
      <w:r w:rsidR="00CF267E">
        <w:rPr>
          <w:rFonts w:hint="cs"/>
          <w:rtl/>
          <w:lang w:eastAsia="zh-TW"/>
        </w:rPr>
        <w:t>ً</w:t>
      </w:r>
      <w:r w:rsidRPr="00A74299">
        <w:rPr>
          <w:rtl/>
          <w:lang w:eastAsia="zh-TW"/>
        </w:rPr>
        <w:t xml:space="preserve"> كان أو عسكريا</w:t>
      </w:r>
      <w:r w:rsidR="00CF267E">
        <w:rPr>
          <w:rFonts w:hint="cs"/>
          <w:rtl/>
          <w:lang w:eastAsia="zh-TW"/>
        </w:rPr>
        <w:t>ً</w:t>
      </w:r>
      <w:r w:rsidRPr="00A74299">
        <w:rPr>
          <w:rtl/>
          <w:lang w:eastAsia="zh-TW"/>
        </w:rPr>
        <w:t>، مشتبه في ارتكابه جريمة عن العمل ليست دائما</w:t>
      </w:r>
      <w:r w:rsidR="00CF267E">
        <w:rPr>
          <w:rFonts w:hint="cs"/>
          <w:rtl/>
          <w:lang w:eastAsia="zh-TW"/>
        </w:rPr>
        <w:t>ً</w:t>
      </w:r>
      <w:r w:rsidRPr="00A74299">
        <w:rPr>
          <w:rtl/>
          <w:lang w:eastAsia="zh-TW"/>
        </w:rPr>
        <w:t xml:space="preserve"> مضمونة في التحقيقات الجنائية (المادة 12). </w:t>
      </w:r>
    </w:p>
    <w:p w:rsidR="00983BA8" w:rsidRPr="00A74299" w:rsidRDefault="00983BA8" w:rsidP="00A51C42">
      <w:pPr>
        <w:pStyle w:val="SingleTxtGA"/>
        <w:rPr>
          <w:rtl/>
          <w:lang w:eastAsia="zh-TW"/>
        </w:rPr>
      </w:pPr>
      <w:r w:rsidRPr="00A74299">
        <w:rPr>
          <w:rtl/>
        </w:rPr>
        <w:t>١٦-</w:t>
      </w:r>
      <w:r w:rsidRPr="00A74299">
        <w:rPr>
          <w:rtl/>
        </w:rPr>
        <w:tab/>
      </w:r>
      <w:r w:rsidRPr="00A74299">
        <w:rPr>
          <w:b/>
          <w:bCs/>
          <w:rtl/>
          <w:lang w:eastAsia="zh-TW"/>
        </w:rPr>
        <w:t>سعياً إلى تعزيز الإطار القانوني القائم وضمان تطبيق الفقرة 4 من المادة 12 من الاتفاقية على النحو الملائم، توصي اللجنة بأن تعتمد الدولة الطرف أحكاماً قانونية واضحة تنص صراحة على ما يلي: (أ) وقف أي موظف حكومي، مدنيا</w:t>
      </w:r>
      <w:r w:rsidR="00CF267E">
        <w:rPr>
          <w:rFonts w:hint="cs"/>
          <w:b/>
          <w:bCs/>
          <w:rtl/>
          <w:lang w:eastAsia="zh-TW"/>
        </w:rPr>
        <w:t>ً</w:t>
      </w:r>
      <w:r w:rsidRPr="00A74299">
        <w:rPr>
          <w:b/>
          <w:bCs/>
          <w:rtl/>
          <w:lang w:eastAsia="zh-TW"/>
        </w:rPr>
        <w:t xml:space="preserve"> كان أو عسكريا</w:t>
      </w:r>
      <w:r w:rsidR="00CF267E">
        <w:rPr>
          <w:rFonts w:hint="cs"/>
          <w:b/>
          <w:bCs/>
          <w:rtl/>
          <w:lang w:eastAsia="zh-TW"/>
        </w:rPr>
        <w:t>ً</w:t>
      </w:r>
      <w:r w:rsidRPr="00A74299">
        <w:rPr>
          <w:b/>
          <w:bCs/>
          <w:rtl/>
          <w:lang w:eastAsia="zh-TW"/>
        </w:rPr>
        <w:t>، مشتبه في ارتكابه جريمة اختفاء قسري عن العمل لمدة التحقيق؛ (ب) وإنشاء آلية تكفل ألا تشارك في التحقيق قوات لإنفاذ القانون أو الأمن، مدنية كانت أو عسكرية، يشتبه في ارتكاب أفرادها لجريمة اختفاء قسري.</w:t>
      </w:r>
      <w:r w:rsidRPr="00A74299">
        <w:rPr>
          <w:rtl/>
          <w:lang w:eastAsia="zh-TW"/>
        </w:rPr>
        <w:t xml:space="preserve"> </w:t>
      </w:r>
    </w:p>
    <w:p w:rsidR="00983BA8" w:rsidRPr="00A74299" w:rsidRDefault="00983BA8" w:rsidP="00A51C42">
      <w:pPr>
        <w:pStyle w:val="H23GA"/>
        <w:rPr>
          <w:rtl/>
        </w:rPr>
      </w:pPr>
      <w:r w:rsidRPr="00A74299">
        <w:rPr>
          <w:rtl/>
        </w:rPr>
        <w:tab/>
      </w:r>
      <w:r w:rsidRPr="00A74299">
        <w:rPr>
          <w:rtl/>
        </w:rPr>
        <w:tab/>
        <w:t>حماية الأشخاص المشاركين في التحقيق</w:t>
      </w:r>
    </w:p>
    <w:p w:rsidR="00983BA8" w:rsidRPr="00A74299" w:rsidRDefault="00983BA8" w:rsidP="00A74299">
      <w:pPr>
        <w:pStyle w:val="SingleTxtGA"/>
        <w:rPr>
          <w:rtl/>
          <w:lang w:eastAsia="zh-TW"/>
        </w:rPr>
      </w:pPr>
      <w:r w:rsidRPr="00A74299">
        <w:rPr>
          <w:rtl/>
        </w:rPr>
        <w:t>١٧-</w:t>
      </w:r>
      <w:r w:rsidRPr="00A74299">
        <w:rPr>
          <w:rtl/>
        </w:rPr>
        <w:tab/>
      </w:r>
      <w:r w:rsidRPr="00A74299">
        <w:rPr>
          <w:rtl/>
          <w:lang w:eastAsia="zh-TW"/>
        </w:rPr>
        <w:t>تعرب اللجنة عن قلقها إزاء المزاعم التي تفيد بتعرض الشهود في محاكمات جرائم الحرب للتهديد من موظفين مكلفين بحمايتهم. ومع ذلك، ترحب اللجنة بالتزام الدولة الطرف بمعالجة أوجه قصور النظام الحالي لحماية الشهود في قضايا جرائم الحرب، بما في ذلك التفكير في إقامة نظام للرقابة المدنية فيما يتعلق بالادعاءات التي تخص أعضاء وحدة حماية الشهود (المادة</w:t>
      </w:r>
      <w:r w:rsidR="00A74299">
        <w:rPr>
          <w:rFonts w:hint="cs"/>
          <w:rtl/>
          <w:lang w:eastAsia="zh-TW"/>
        </w:rPr>
        <w:t> </w:t>
      </w:r>
      <w:r w:rsidRPr="00A74299">
        <w:rPr>
          <w:rtl/>
          <w:lang w:eastAsia="zh-TW"/>
        </w:rPr>
        <w:t xml:space="preserve">12). </w:t>
      </w:r>
    </w:p>
    <w:p w:rsidR="00983BA8" w:rsidRPr="00A74299" w:rsidRDefault="00983BA8" w:rsidP="00CF267E">
      <w:pPr>
        <w:pStyle w:val="SingleTxtGA"/>
        <w:rPr>
          <w:rtl/>
          <w:lang w:eastAsia="zh-TW"/>
        </w:rPr>
      </w:pPr>
      <w:r w:rsidRPr="00A74299">
        <w:rPr>
          <w:rtl/>
        </w:rPr>
        <w:t>١٨-</w:t>
      </w:r>
      <w:r w:rsidRPr="00A74299">
        <w:rPr>
          <w:rtl/>
        </w:rPr>
        <w:tab/>
      </w:r>
      <w:r w:rsidRPr="00A74299">
        <w:rPr>
          <w:b/>
          <w:bCs/>
          <w:rtl/>
          <w:lang w:eastAsia="zh-TW"/>
        </w:rPr>
        <w:t>توصي اللجنة بأن تعتمد الدولة الطرف التدابير اللازمة لضمان إجراء تحقيق سريع وشامل ونزيه في جميع ادعاءات تهديد أو تخويف الشهود في الإجراءات القضائية المتعلقة بجرائم الحرب وحالات الاختفاء القسري من الموظفين المكلفين بحمايتهم، حتى ولو لم تقدم أية شكوى رسمية؛ ومحاكمة الجناة المزعومين؛ ومعاقبتهم، في حال إدانتهم، بعقوبات مناسبة. وتوصي اللجنة أيضاً بأن تضمن الدولة الطرف، في سياق ما</w:t>
      </w:r>
      <w:r w:rsidR="00CF267E">
        <w:rPr>
          <w:rFonts w:hint="cs"/>
          <w:b/>
          <w:bCs/>
          <w:rtl/>
          <w:lang w:eastAsia="zh-TW"/>
        </w:rPr>
        <w:t> </w:t>
      </w:r>
      <w:r w:rsidRPr="00A74299">
        <w:rPr>
          <w:b/>
          <w:bCs/>
          <w:rtl/>
          <w:lang w:eastAsia="zh-TW"/>
        </w:rPr>
        <w:t>سيتخذ من تدابير من أجل تحسين نظام حماية الشهود في قضايا جرائم الحرب، تعزيز استقلال وحدة حماية الشهود بما يكفل أعلى المستويات الممكنة من الحماية.</w:t>
      </w:r>
      <w:r w:rsidRPr="00A74299">
        <w:rPr>
          <w:rtl/>
          <w:lang w:eastAsia="zh-TW"/>
        </w:rPr>
        <w:t xml:space="preserve"> </w:t>
      </w:r>
    </w:p>
    <w:p w:rsidR="00983BA8" w:rsidRPr="00A74299" w:rsidRDefault="00983BA8" w:rsidP="00A51C42">
      <w:pPr>
        <w:pStyle w:val="H1GA"/>
        <w:rPr>
          <w:rtl/>
          <w:lang w:eastAsia="zh-TW"/>
        </w:rPr>
      </w:pPr>
      <w:r w:rsidRPr="00A74299">
        <w:rPr>
          <w:rtl/>
          <w:lang w:eastAsia="zh-TW"/>
        </w:rPr>
        <w:lastRenderedPageBreak/>
        <w:tab/>
      </w:r>
      <w:r w:rsidRPr="00A74299">
        <w:rPr>
          <w:rtl/>
          <w:lang w:eastAsia="zh-TW"/>
        </w:rPr>
        <w:tab/>
      </w:r>
      <w:dir w:val="rtl">
        <w:r w:rsidRPr="00A74299">
          <w:rPr>
            <w:rtl/>
            <w:lang w:eastAsia="zh-TW"/>
          </w:rPr>
          <w:t>تدابير منع حدوث حالات الاختفاء القسري (المواد 16-23)</w:t>
        </w:r>
        <w:r w:rsidRPr="00A74299">
          <w:rPr>
            <w:rFonts w:ascii="MS Mincho" w:eastAsia="MS Mincho" w:hAnsi="MS Mincho" w:cs="MS Mincho" w:hint="eastAsia"/>
            <w:rtl/>
            <w:lang w:eastAsia="zh-TW"/>
          </w:rPr>
          <w:t>‬</w:t>
        </w:r>
        <w:r w:rsidRPr="00A74299">
          <w:rPr>
            <w:rtl/>
            <w:lang w:eastAsia="zh-TW"/>
          </w:rPr>
          <w:t xml:space="preserve"> </w:t>
        </w:r>
        <w:r w:rsidRPr="00A74299">
          <w:rPr>
            <w:rFonts w:ascii="MS Mincho" w:eastAsia="MS Mincho" w:hAnsi="MS Mincho" w:cs="MS Mincho" w:hint="eastAsia"/>
          </w:rPr>
          <w:t>‬</w:t>
        </w:r>
        <w:r w:rsidR="00D5651F">
          <w:t>‬</w:t>
        </w:r>
        <w:r w:rsidR="00EC3E5A">
          <w:t>‬</w:t>
        </w:r>
        <w:r w:rsidR="000421F7">
          <w:t>‬</w:t>
        </w:r>
      </w:dir>
    </w:p>
    <w:p w:rsidR="00983BA8" w:rsidRPr="00A74299" w:rsidRDefault="00983BA8" w:rsidP="00A74299">
      <w:pPr>
        <w:pStyle w:val="H23GA"/>
        <w:rPr>
          <w:rtl/>
        </w:rPr>
      </w:pPr>
      <w:r w:rsidRPr="00A74299">
        <w:rPr>
          <w:rtl/>
        </w:rPr>
        <w:tab/>
      </w:r>
      <w:r w:rsidRPr="00A74299">
        <w:rPr>
          <w:rtl/>
        </w:rPr>
        <w:tab/>
      </w:r>
      <w:dir w:val="rtl">
        <w:r w:rsidRPr="00A74299">
          <w:rPr>
            <w:rtl/>
          </w:rPr>
          <w:t>عدم الإعادة القسرية</w:t>
        </w:r>
        <w:r w:rsidRPr="00A74299">
          <w:rPr>
            <w:rFonts w:ascii="MS Mincho" w:eastAsia="MS Mincho" w:hAnsi="MS Mincho" w:cs="MS Mincho" w:hint="eastAsia"/>
            <w:rtl/>
          </w:rPr>
          <w:t>‬</w:t>
        </w:r>
        <w:r w:rsidRPr="00A74299">
          <w:rPr>
            <w:rFonts w:ascii="MS Mincho" w:eastAsia="MS Mincho" w:hAnsi="MS Mincho" w:cs="MS Mincho" w:hint="eastAsia"/>
            <w:szCs w:val="20"/>
            <w:rtl/>
          </w:rPr>
          <w:t>‬</w:t>
        </w:r>
        <w:r w:rsidR="00D5651F">
          <w:t>‬</w:t>
        </w:r>
        <w:r w:rsidR="00EC3E5A">
          <w:t>‬</w:t>
        </w:r>
        <w:r w:rsidR="000421F7">
          <w:t>‬</w:t>
        </w:r>
      </w:dir>
    </w:p>
    <w:p w:rsidR="00983BA8" w:rsidRPr="00A74299" w:rsidRDefault="00983BA8" w:rsidP="002D0847">
      <w:pPr>
        <w:pStyle w:val="SingleTxtGA"/>
        <w:spacing w:after="100"/>
        <w:rPr>
          <w:rtl/>
          <w:lang w:eastAsia="zh-TW"/>
        </w:rPr>
      </w:pPr>
      <w:r w:rsidRPr="00A74299">
        <w:rPr>
          <w:rtl/>
        </w:rPr>
        <w:t>١٩-</w:t>
      </w:r>
      <w:r w:rsidRPr="00A74299">
        <w:rPr>
          <w:rtl/>
        </w:rPr>
        <w:tab/>
      </w:r>
      <w:r w:rsidRPr="00A74299">
        <w:rPr>
          <w:rtl/>
          <w:lang w:eastAsia="zh-TW"/>
        </w:rPr>
        <w:t>بالرغم من ترحيب اللجنة بالمعلومات التي قدمتها الدولة الطرف والتي تفيد أن الاستئناف يؤجل تنفيذ أمر تسليم المجرمين (</w:t>
      </w:r>
      <w:r w:rsidRPr="00A74299">
        <w:rPr>
          <w:lang w:eastAsia="zh-TW"/>
        </w:rPr>
        <w:t>CED/C/SRB/Q/1/Add.1</w:t>
      </w:r>
      <w:r w:rsidRPr="00A74299">
        <w:rPr>
          <w:rtl/>
          <w:lang w:eastAsia="zh-TW"/>
        </w:rPr>
        <w:t>، الفقرة 34)، فإنها تشير إلى أنها لم تتلق توضيحا</w:t>
      </w:r>
      <w:r w:rsidR="00250BBC">
        <w:rPr>
          <w:rFonts w:hint="cs"/>
          <w:rtl/>
          <w:lang w:eastAsia="zh-TW"/>
        </w:rPr>
        <w:t>ً</w:t>
      </w:r>
      <w:r w:rsidRPr="00A74299">
        <w:rPr>
          <w:rtl/>
          <w:lang w:eastAsia="zh-TW"/>
        </w:rPr>
        <w:t xml:space="preserve"> في هذا الصدد بشأن القرارات المتعلقة بطرد طالبي اللجوء الذين رفضت طلباتهم. وتلاحظ اللجنة أيضاً أنها لم تتلق معلومات عما إذا كان إجراء الطعن في قرارات رفض طلبات اللجوء ينص على مراجعة موضوعية للوقائع. وإضافةً إلى ذلك، تلاحظ اللجنة أن القانون المحلي لا ينص على حظر قانوني محدد للإعادة القسرية متى وجدت أسباب وجيهة تدعو إلى الاعتقاد بأن الشخص المعني سيواجه خطر التعرض للاختفاء القسري (المادة 16). </w:t>
      </w:r>
    </w:p>
    <w:p w:rsidR="00983BA8" w:rsidRPr="00A74299" w:rsidRDefault="00983BA8" w:rsidP="002D0847">
      <w:pPr>
        <w:pStyle w:val="SingleTxtGA"/>
        <w:spacing w:after="100"/>
        <w:rPr>
          <w:color w:val="000000"/>
          <w:rtl/>
          <w:lang w:eastAsia="zh-TW"/>
        </w:rPr>
      </w:pPr>
      <w:r w:rsidRPr="00A74299">
        <w:rPr>
          <w:rtl/>
        </w:rPr>
        <w:t>٢٠-</w:t>
      </w:r>
      <w:r w:rsidRPr="00A74299">
        <w:rPr>
          <w:rtl/>
        </w:rPr>
        <w:tab/>
      </w:r>
      <w:r w:rsidRPr="00A74299">
        <w:rPr>
          <w:b/>
          <w:bCs/>
          <w:rtl/>
          <w:lang w:eastAsia="zh-TW"/>
        </w:rPr>
        <w:t>ينبغي أن تضمن الدولة الطرف أن يكون لإجراء الطعن في قرارات رفض طلبات اللجوء أثر إيقافي تلقائي، وأن ينص على مراجعة موضوعية للطلب. وينبغي للدولة الطرف أن تنظر في إدراج نص قانوني في تشريعاتها المحلية يحظر بشكل صريح تنفيذ عمليات الطرد أو الإبعاد أو التسليم إذا كانت هناك أسباب قوية تدعو إلى الاعتقاد بأن الشخص المعني سيواجه خطر التعرض للاختفاء القسري.</w:t>
      </w:r>
      <w:r w:rsidRPr="00A74299">
        <w:rPr>
          <w:rtl/>
          <w:lang w:eastAsia="zh-TW"/>
        </w:rPr>
        <w:t xml:space="preserve"> </w:t>
      </w:r>
    </w:p>
    <w:p w:rsidR="00983BA8" w:rsidRPr="00A74299" w:rsidRDefault="00983BA8" w:rsidP="00A51C42">
      <w:pPr>
        <w:pStyle w:val="H23GA"/>
        <w:rPr>
          <w:rtl/>
        </w:rPr>
      </w:pPr>
      <w:r w:rsidRPr="00A74299">
        <w:rPr>
          <w:rtl/>
        </w:rPr>
        <w:tab/>
      </w:r>
      <w:r w:rsidRPr="00A74299">
        <w:rPr>
          <w:rtl/>
        </w:rPr>
        <w:tab/>
        <w:t>التدريب على الاتفاقية</w:t>
      </w:r>
    </w:p>
    <w:p w:rsidR="00983BA8" w:rsidRPr="00A74299" w:rsidRDefault="00983BA8" w:rsidP="002D0847">
      <w:pPr>
        <w:pStyle w:val="SingleTxtGA"/>
        <w:spacing w:after="100"/>
        <w:rPr>
          <w:rtl/>
          <w:lang w:eastAsia="zh-TW"/>
        </w:rPr>
      </w:pPr>
      <w:r w:rsidRPr="00A74299">
        <w:rPr>
          <w:rtl/>
        </w:rPr>
        <w:t>٢١-</w:t>
      </w:r>
      <w:r w:rsidRPr="00A74299">
        <w:rPr>
          <w:rtl/>
        </w:rPr>
        <w:tab/>
      </w:r>
      <w:r w:rsidRPr="00A74299">
        <w:rPr>
          <w:rtl/>
          <w:lang w:eastAsia="zh-TW"/>
        </w:rPr>
        <w:t>تحيط اللجنة علما</w:t>
      </w:r>
      <w:r w:rsidR="000F660E">
        <w:rPr>
          <w:rFonts w:hint="cs"/>
          <w:rtl/>
          <w:lang w:eastAsia="zh-TW"/>
        </w:rPr>
        <w:t>ً</w:t>
      </w:r>
      <w:r w:rsidRPr="00A74299">
        <w:rPr>
          <w:rtl/>
          <w:lang w:eastAsia="zh-TW"/>
        </w:rPr>
        <w:t xml:space="preserve"> بالمعلومات المقدمة بشأن التدريب الذي يتلقاه مختلف الفاعلين الحكوميين على مسائل متصلة بالاتفاقية. غير أن اللجنة تشير بقلق إلى عدم توفير تدريب محدد ومنتظم على الاتفاقية (المادة 23). </w:t>
      </w:r>
    </w:p>
    <w:p w:rsidR="00983BA8" w:rsidRPr="00A74299" w:rsidRDefault="00983BA8" w:rsidP="002D0847">
      <w:pPr>
        <w:pStyle w:val="SingleTxtGA"/>
        <w:spacing w:after="100"/>
        <w:rPr>
          <w:rtl/>
          <w:lang w:eastAsia="zh-TW"/>
        </w:rPr>
      </w:pPr>
      <w:r w:rsidRPr="00A74299">
        <w:rPr>
          <w:rtl/>
        </w:rPr>
        <w:t>٢٢-</w:t>
      </w:r>
      <w:r w:rsidRPr="00A74299">
        <w:rPr>
          <w:rtl/>
        </w:rPr>
        <w:tab/>
      </w:r>
      <w:r w:rsidRPr="00A74299">
        <w:rPr>
          <w:b/>
          <w:bCs/>
          <w:rtl/>
          <w:lang w:eastAsia="zh-TW"/>
        </w:rPr>
        <w:t>توصي اللجنة الدولة الطرف بأن تضمن تلقي جميع موظفي إنفاذ القانون، سواء أكانوا مدنيين أو عسكريين، والعاملين في المجال الطبي والموظفين العموميين وغيرهم من الأشخاص الذين قد تكون لهم صلة باحتجاز أو معاملة شخص سلبت حريته، بمن فيهم القضاة والمدعون العامون وغيرهم من الموظفين المكلفين بإقامة العدل، لتدريب مناسب ومنتظم على أحكام الاتفاقية، وفقاً للمادة 23 منها.</w:t>
      </w:r>
      <w:r w:rsidRPr="00A74299">
        <w:rPr>
          <w:rtl/>
          <w:lang w:eastAsia="zh-TW"/>
        </w:rPr>
        <w:t xml:space="preserve"> </w:t>
      </w:r>
    </w:p>
    <w:p w:rsidR="00983BA8" w:rsidRPr="00740846" w:rsidRDefault="00983BA8" w:rsidP="00A51C42">
      <w:pPr>
        <w:pStyle w:val="H1GA"/>
        <w:rPr>
          <w:spacing w:val="-6"/>
          <w:rtl/>
          <w:lang w:eastAsia="zh-TW"/>
        </w:rPr>
      </w:pPr>
      <w:r w:rsidRPr="00740846">
        <w:rPr>
          <w:spacing w:val="-6"/>
          <w:rtl/>
          <w:lang w:eastAsia="zh-TW"/>
        </w:rPr>
        <w:tab/>
      </w:r>
      <w:dir w:val="rtl">
        <w:r w:rsidRPr="00740846">
          <w:rPr>
            <w:rFonts w:ascii="MS Mincho" w:eastAsia="MS Mincho" w:hAnsi="MS Mincho" w:cs="MS Mincho"/>
            <w:spacing w:val="-6"/>
            <w:rtl/>
            <w:lang w:eastAsia="zh-TW"/>
          </w:rPr>
          <w:tab/>
        </w:r>
        <w:r w:rsidRPr="00740846">
          <w:rPr>
            <w:spacing w:val="-6"/>
            <w:rtl/>
            <w:lang w:eastAsia="zh-TW"/>
          </w:rPr>
          <w:t>تدابير الجبر وتدابير ح</w:t>
        </w:r>
        <w:r w:rsidR="00740846" w:rsidRPr="00740846">
          <w:rPr>
            <w:spacing w:val="-6"/>
            <w:rtl/>
            <w:lang w:eastAsia="zh-TW"/>
          </w:rPr>
          <w:t>ماية الأطفال من الاختفاء القسري</w:t>
        </w:r>
        <w:r w:rsidR="00D4407C" w:rsidRPr="00740846">
          <w:rPr>
            <w:rFonts w:hint="cs"/>
            <w:spacing w:val="-6"/>
            <w:rtl/>
            <w:lang w:eastAsia="zh-TW"/>
          </w:rPr>
          <w:t xml:space="preserve"> </w:t>
        </w:r>
        <w:r w:rsidRPr="00740846">
          <w:rPr>
            <w:spacing w:val="-6"/>
            <w:rtl/>
            <w:lang w:eastAsia="zh-TW"/>
          </w:rPr>
          <w:t>(المادتان 24 و25)</w:t>
        </w:r>
        <w:r w:rsidRPr="00740846">
          <w:rPr>
            <w:rFonts w:ascii="MS Mincho" w:eastAsia="MS Mincho" w:hAnsi="MS Mincho" w:cs="MS Mincho" w:hint="eastAsia"/>
            <w:spacing w:val="-6"/>
            <w:rtl/>
            <w:lang w:eastAsia="zh-TW"/>
          </w:rPr>
          <w:t>‬</w:t>
        </w:r>
        <w:r w:rsidRPr="00740846">
          <w:rPr>
            <w:spacing w:val="-6"/>
            <w:rtl/>
            <w:lang w:eastAsia="zh-TW"/>
          </w:rPr>
          <w:t xml:space="preserve"> </w:t>
        </w:r>
        <w:r w:rsidRPr="00740846">
          <w:rPr>
            <w:rFonts w:ascii="MS Mincho" w:eastAsia="MS Mincho" w:hAnsi="MS Mincho" w:cs="MS Mincho" w:hint="eastAsia"/>
            <w:spacing w:val="-6"/>
          </w:rPr>
          <w:t>‬</w:t>
        </w:r>
        <w:r w:rsidR="00D5651F" w:rsidRPr="00740846">
          <w:rPr>
            <w:spacing w:val="-6"/>
          </w:rPr>
          <w:t>‬</w:t>
        </w:r>
        <w:r w:rsidR="00EC3E5A" w:rsidRPr="00740846">
          <w:rPr>
            <w:spacing w:val="-6"/>
          </w:rPr>
          <w:t>‬</w:t>
        </w:r>
        <w:r w:rsidR="000421F7">
          <w:t>‬</w:t>
        </w:r>
      </w:dir>
    </w:p>
    <w:p w:rsidR="00983BA8" w:rsidRPr="00A74299" w:rsidRDefault="00983BA8" w:rsidP="00A51C42">
      <w:pPr>
        <w:pStyle w:val="H23GA"/>
        <w:rPr>
          <w:rtl/>
        </w:rPr>
      </w:pPr>
      <w:r w:rsidRPr="00A74299">
        <w:rPr>
          <w:rtl/>
        </w:rPr>
        <w:tab/>
      </w:r>
      <w:r w:rsidRPr="00A74299">
        <w:rPr>
          <w:rtl/>
        </w:rPr>
        <w:tab/>
        <w:t>تعريف الضحية</w:t>
      </w:r>
    </w:p>
    <w:p w:rsidR="00983BA8" w:rsidRPr="00A74299" w:rsidRDefault="00983BA8" w:rsidP="002D0847">
      <w:pPr>
        <w:pStyle w:val="SingleTxtGA"/>
        <w:spacing w:after="100"/>
        <w:rPr>
          <w:rtl/>
          <w:lang w:eastAsia="zh-TW"/>
        </w:rPr>
      </w:pPr>
      <w:r w:rsidRPr="00A74299">
        <w:rPr>
          <w:rtl/>
        </w:rPr>
        <w:t>٢٣-</w:t>
      </w:r>
      <w:r w:rsidRPr="00A74299">
        <w:rPr>
          <w:rtl/>
        </w:rPr>
        <w:tab/>
      </w:r>
      <w:r w:rsidRPr="00A74299">
        <w:rPr>
          <w:rtl/>
          <w:lang w:eastAsia="zh-TW"/>
        </w:rPr>
        <w:t xml:space="preserve">بينما تحيط اللجنة علماً بما قدمته الدولة الطرف من معلومات مفادها أنه "تبدو فكرة الطرف المتضرر بموجب قانون الإجراءات الجنائية وقانون العقود والالتزامات أضيق من فكرة الضحية بالمعنى المقصود في المادة 24 من الاتفاقية، ولذلك فإن الإطار القانوني الحالي قد يترك أشخاصاً معيَّنين دون حماية"، فإنها تلاحظ باهتمام ما أكده الوفد من أن ثمة ضرورة لتعديل التشريع الحالي في هذا الصدد (المادة 24). </w:t>
      </w:r>
    </w:p>
    <w:p w:rsidR="00983BA8" w:rsidRPr="00A74299" w:rsidRDefault="00983BA8" w:rsidP="00A51C42">
      <w:pPr>
        <w:pStyle w:val="SingleTxtGA"/>
        <w:rPr>
          <w:rtl/>
          <w:lang w:eastAsia="zh-TW"/>
        </w:rPr>
      </w:pPr>
      <w:r w:rsidRPr="00A74299">
        <w:rPr>
          <w:rtl/>
        </w:rPr>
        <w:lastRenderedPageBreak/>
        <w:t>٢٤-</w:t>
      </w:r>
      <w:r w:rsidRPr="00A74299">
        <w:rPr>
          <w:rtl/>
        </w:rPr>
        <w:tab/>
      </w:r>
      <w:r w:rsidRPr="00A74299">
        <w:rPr>
          <w:b/>
          <w:bCs/>
          <w:rtl/>
          <w:lang w:eastAsia="zh-TW"/>
        </w:rPr>
        <w:t>ضماناً لتمتع كل شخص لحق به ضرر مباشر من جراء الاختفاء القسري تمتعاً كاملاً بحقوقه المكفولة بموجب الاتفاقية، ولا سيما الحق في معرفة الحقيقة والحق في الجبر المنصوص عليهما في الفقرات 2 و4 و5 من المادة 24 من الاتفاقية، ينبغي للدولة الطرف أن تنظر في إدخال التعديلات التشريعية الضرورية من أجل إقرار تعريف للضحية يتفق مع التعريف الوارد في الفقرة 1 من المادة 24 من الاتفاقية.</w:t>
      </w:r>
      <w:r w:rsidRPr="00A74299">
        <w:rPr>
          <w:rtl/>
          <w:lang w:eastAsia="zh-TW"/>
        </w:rPr>
        <w:t xml:space="preserve"> </w:t>
      </w:r>
    </w:p>
    <w:p w:rsidR="00983BA8" w:rsidRPr="00A74299" w:rsidRDefault="00983BA8" w:rsidP="00A51C42">
      <w:pPr>
        <w:pStyle w:val="H23GA"/>
        <w:rPr>
          <w:rtl/>
        </w:rPr>
      </w:pPr>
      <w:r w:rsidRPr="00A74299">
        <w:rPr>
          <w:rtl/>
        </w:rPr>
        <w:tab/>
      </w:r>
      <w:r w:rsidRPr="00A74299">
        <w:rPr>
          <w:rtl/>
        </w:rPr>
        <w:tab/>
      </w:r>
      <w:dir w:val="rtl">
        <w:r w:rsidRPr="00A74299">
          <w:rPr>
            <w:rtl/>
          </w:rPr>
          <w:t>الحق في الجبر وفي تعويض سريع وعادل ومناسب</w:t>
        </w:r>
        <w:r w:rsidRPr="00A74299">
          <w:rPr>
            <w:rFonts w:ascii="MS Mincho" w:eastAsia="MS Mincho" w:hAnsi="MS Mincho" w:cs="MS Mincho" w:hint="eastAsia"/>
            <w:rtl/>
          </w:rPr>
          <w:t>‬</w:t>
        </w:r>
        <w:r w:rsidRPr="00A74299">
          <w:rPr>
            <w:rFonts w:ascii="MS Mincho" w:eastAsia="MS Mincho" w:hAnsi="MS Mincho" w:cs="MS Mincho" w:hint="eastAsia"/>
            <w:szCs w:val="20"/>
            <w:rtl/>
          </w:rPr>
          <w:t>‬</w:t>
        </w:r>
        <w:r w:rsidR="00D5651F">
          <w:t>‬</w:t>
        </w:r>
        <w:r w:rsidR="00EC3E5A">
          <w:t>‬</w:t>
        </w:r>
        <w:r w:rsidR="000421F7">
          <w:t>‬</w:t>
        </w:r>
      </w:dir>
    </w:p>
    <w:p w:rsidR="00983BA8" w:rsidRPr="00A74299" w:rsidRDefault="00983BA8" w:rsidP="00740846">
      <w:pPr>
        <w:pStyle w:val="SingleTxtGA"/>
        <w:rPr>
          <w:rtl/>
          <w:lang w:eastAsia="zh-TW"/>
        </w:rPr>
      </w:pPr>
      <w:r w:rsidRPr="00A74299">
        <w:rPr>
          <w:rtl/>
        </w:rPr>
        <w:t>٢٥-</w:t>
      </w:r>
      <w:r w:rsidRPr="00A74299">
        <w:rPr>
          <w:rtl/>
        </w:rPr>
        <w:tab/>
      </w:r>
      <w:r w:rsidRPr="00A74299">
        <w:rPr>
          <w:rtl/>
          <w:lang w:eastAsia="zh-TW"/>
        </w:rPr>
        <w:t>بينما تحيط اللجنة علما بالمعلومات التي قدمها الوفد بشأن التدابير المتخذة لضمان استحقاقات لأقارب المفقودين أثناء النزاعات المسلحة التي حدثت في الماضي-</w:t>
      </w:r>
      <w:r w:rsidR="00740846">
        <w:rPr>
          <w:rFonts w:hint="cs"/>
          <w:rtl/>
          <w:lang w:eastAsia="zh-TW"/>
        </w:rPr>
        <w:t xml:space="preserve"> </w:t>
      </w:r>
      <w:r w:rsidRPr="00A74299">
        <w:rPr>
          <w:rtl/>
          <w:lang w:eastAsia="zh-TW"/>
        </w:rPr>
        <w:t>بما في ذلك الدعم النفسي الذي ما فتئ يقدم بالاشتراك مع لجنة الصليب الأحمر الدولية إلى أكثر من 750 أسرة</w:t>
      </w:r>
      <w:r w:rsidR="00740846">
        <w:rPr>
          <w:rFonts w:hint="cs"/>
          <w:rtl/>
          <w:lang w:eastAsia="zh-TW"/>
        </w:rPr>
        <w:t xml:space="preserve"> </w:t>
      </w:r>
      <w:r w:rsidRPr="00A74299">
        <w:rPr>
          <w:rtl/>
          <w:lang w:eastAsia="zh-TW"/>
        </w:rPr>
        <w:t xml:space="preserve">- فإنها تعرب عن قلقها إزاء ما وردها من معلومات عن الشروط الصارمة التي يتعين على الضحايا استيفاؤها لإثبات الضرر في إطار الإجراءات المدنية، وغير ذلك من الحواجز التي يمكن أن تحول دون حصولهم الفعلي على تعويض سريع وكافٍ. وفي هذا الصدد، تشير اللجنة بقلق إلى أن نظام التعويض الإداري الذي أنشئ من أجل ضحايا النزاعات المسلحة التي حدثت في الماضي غير متاح لضحايا الاختفاء القسري ما لم يُعلن عن وفاة الشخص المفقود. وتعرب اللجنة عن قلقها كذلك من أن النظام القانوني للدولة الطرف لا ينص على حق قانوني في الحصول على تعويض ملائم يشمل جميع تدابير الجبر المنصوص عليها في الفقرة 5 من المادة 24 من الاتفاقية (المادة 24). </w:t>
      </w:r>
    </w:p>
    <w:p w:rsidR="00983BA8" w:rsidRPr="00A74299" w:rsidRDefault="00983BA8" w:rsidP="00A51C42">
      <w:pPr>
        <w:pStyle w:val="SingleTxtGA"/>
        <w:rPr>
          <w:b/>
          <w:bCs/>
          <w:rtl/>
          <w:lang w:eastAsia="zh-TW"/>
        </w:rPr>
      </w:pPr>
      <w:r w:rsidRPr="00A74299">
        <w:rPr>
          <w:rtl/>
        </w:rPr>
        <w:t>٢٦-</w:t>
      </w:r>
      <w:r w:rsidRPr="00A74299">
        <w:rPr>
          <w:b/>
          <w:bCs/>
          <w:rtl/>
        </w:rPr>
        <w:tab/>
      </w:r>
      <w:r w:rsidRPr="00A74299">
        <w:rPr>
          <w:b/>
          <w:bCs/>
          <w:rtl/>
          <w:lang w:eastAsia="zh-TW"/>
        </w:rPr>
        <w:t xml:space="preserve">ينبغي للدولة الطرف أن تكفل الحق في الجبر وفي الحصول على تعويض سريع ومنصف وملائم لجميع الأشخاص الذين تعرضوا لضرر كنتيجة مباشرة لحالة اختفاء قسري، بغض النظر عن وقت وقوع الاختفاء وحتى في حالة عدم رفع شكوى جنائية ضد المسؤولين المحتملين أو تعذر التعرف على هوية المسؤولين. وتحقيقاً لذلك، توصي اللجنة الدولة الطرف باتخاذ ما يلزم من تدابير تشريعية أو غير تشريعية من أجل ما يلي: </w:t>
      </w:r>
    </w:p>
    <w:p w:rsidR="00983BA8" w:rsidRPr="00A74299" w:rsidRDefault="00A51C42" w:rsidP="00A51C42">
      <w:pPr>
        <w:pStyle w:val="SingleTxtGA"/>
        <w:rPr>
          <w:b/>
          <w:bCs/>
          <w:rtl/>
          <w:lang w:eastAsia="zh-TW"/>
        </w:rPr>
      </w:pPr>
      <w:r w:rsidRPr="00A74299">
        <w:rPr>
          <w:rFonts w:hint="cs"/>
          <w:b/>
          <w:bCs/>
          <w:rtl/>
          <w:lang w:eastAsia="zh-TW"/>
        </w:rPr>
        <w:tab/>
      </w:r>
      <w:r w:rsidR="00983BA8" w:rsidRPr="00A74299">
        <w:rPr>
          <w:b/>
          <w:bCs/>
          <w:rtl/>
          <w:lang w:eastAsia="zh-TW"/>
        </w:rPr>
        <w:t>(أ)</w:t>
      </w:r>
      <w:r w:rsidR="00983BA8" w:rsidRPr="00A74299">
        <w:rPr>
          <w:b/>
          <w:bCs/>
          <w:rtl/>
          <w:lang w:eastAsia="zh-TW"/>
        </w:rPr>
        <w:tab/>
        <w:t xml:space="preserve">إنشاء نظام تعويض شامل يراعي المنظور الجنساني ويتوافق توافقاً تاماً مع الفقرتين 4 و5 من المادة 24 من الاتفاقية؛ </w:t>
      </w:r>
    </w:p>
    <w:p w:rsidR="00983BA8" w:rsidRPr="002D0847" w:rsidRDefault="00A51C42" w:rsidP="002D0847">
      <w:pPr>
        <w:pStyle w:val="SingleTxtGA"/>
        <w:rPr>
          <w:rFonts w:ascii="Times New Roman Bold" w:hAnsi="Times New Roman Bold"/>
          <w:b/>
          <w:bCs/>
          <w:rtl/>
          <w:lang w:eastAsia="zh-TW"/>
        </w:rPr>
      </w:pPr>
      <w:r w:rsidRPr="002D0847">
        <w:rPr>
          <w:rFonts w:ascii="Times New Roman Bold" w:hAnsi="Times New Roman Bold" w:hint="cs"/>
          <w:b/>
          <w:bCs/>
          <w:rtl/>
          <w:lang w:eastAsia="zh-TW"/>
        </w:rPr>
        <w:tab/>
      </w:r>
      <w:r w:rsidR="00983BA8" w:rsidRPr="002D0847">
        <w:rPr>
          <w:rFonts w:ascii="Times New Roman Bold" w:hAnsi="Times New Roman Bold"/>
          <w:b/>
          <w:bCs/>
          <w:rtl/>
          <w:lang w:eastAsia="zh-TW"/>
        </w:rPr>
        <w:t>(ب)</w:t>
      </w:r>
      <w:r w:rsidR="00983BA8" w:rsidRPr="002D0847">
        <w:rPr>
          <w:rFonts w:ascii="Times New Roman Bold" w:hAnsi="Times New Roman Bold"/>
          <w:b/>
          <w:bCs/>
          <w:rtl/>
          <w:lang w:eastAsia="zh-TW"/>
        </w:rPr>
        <w:tab/>
        <w:t>وضمان تمتع جميع الأشخاص الذين لحق بهم ضرر مباشر جراء حالة اختفاء قسري، قد يكون ارتكبها في الماضي موظفو الدولة أو أشخاص أو مجموعات من الأشخاص يتصرفون بإذن أو دعم منهم أو بموافقتهم، بحقهم في التعويض، بما</w:t>
      </w:r>
      <w:r w:rsidR="002D0847" w:rsidRPr="002D0847">
        <w:rPr>
          <w:rFonts w:ascii="Times New Roman Bold" w:hAnsi="Times New Roman Bold" w:hint="eastAsia"/>
          <w:b/>
          <w:bCs/>
          <w:rtl/>
          <w:lang w:eastAsia="zh-TW"/>
        </w:rPr>
        <w:t> </w:t>
      </w:r>
      <w:r w:rsidR="00983BA8" w:rsidRPr="002D0847">
        <w:rPr>
          <w:rFonts w:ascii="Times New Roman Bold" w:hAnsi="Times New Roman Bold"/>
          <w:b/>
          <w:bCs/>
          <w:rtl/>
          <w:lang w:eastAsia="zh-TW"/>
        </w:rPr>
        <w:t>يشمل إعادة التأهيل الطبي والنفسي وفقاً لأحكام الفقرتين 4 و5 من المادة 24 من الاتفاقية. وفي هذا الصدد، وإدراكا</w:t>
      </w:r>
      <w:r w:rsidR="00740846" w:rsidRPr="002D0847">
        <w:rPr>
          <w:rFonts w:ascii="Times New Roman Bold" w:hAnsi="Times New Roman Bold" w:hint="cs"/>
          <w:b/>
          <w:bCs/>
          <w:rtl/>
          <w:lang w:eastAsia="zh-TW"/>
        </w:rPr>
        <w:t>ً</w:t>
      </w:r>
      <w:r w:rsidR="00983BA8" w:rsidRPr="002D0847">
        <w:rPr>
          <w:rFonts w:ascii="Times New Roman Bold" w:hAnsi="Times New Roman Bold"/>
          <w:b/>
          <w:bCs/>
          <w:rtl/>
          <w:lang w:eastAsia="zh-TW"/>
        </w:rPr>
        <w:t xml:space="preserve"> من اللجنة أن مشروع قانون بشأن حقوق المحاربين القدماء والمحاربين القدماء معوقي الحرب وضحايا الحرب من المدنيين وأفراد أسرهم لا يزال في طور الصياغة، فإنها تحث الدولة الطرف على أن تغتنم هذه الفرصة لكي تضمن لجميع ضحايا حالات الاختفاء القسري التي قد تكون ارتكبت في الماضي الحصول على </w:t>
      </w:r>
      <w:r w:rsidR="00983BA8" w:rsidRPr="002D0847">
        <w:rPr>
          <w:rFonts w:ascii="Times New Roman Bold" w:hAnsi="Times New Roman Bold"/>
          <w:b/>
          <w:bCs/>
          <w:rtl/>
          <w:lang w:eastAsia="zh-TW"/>
        </w:rPr>
        <w:lastRenderedPageBreak/>
        <w:t>تعويض كامل</w:t>
      </w:r>
      <w:r w:rsidRPr="002D0847">
        <w:rPr>
          <w:rFonts w:ascii="Times New Roman Bold" w:hAnsi="Times New Roman Bold" w:hint="cs"/>
          <w:b/>
          <w:bCs/>
          <w:rtl/>
          <w:lang w:eastAsia="zh-TW"/>
        </w:rPr>
        <w:t xml:space="preserve"> </w:t>
      </w:r>
      <w:r w:rsidR="00983BA8" w:rsidRPr="002D0847">
        <w:rPr>
          <w:rFonts w:ascii="Times New Roman Bold" w:hAnsi="Times New Roman Bold"/>
          <w:b/>
          <w:bCs/>
          <w:rtl/>
          <w:lang w:eastAsia="zh-TW"/>
        </w:rPr>
        <w:t>- بما في ذلك رد الحقوق وإعادة التأهيل والترضية وضمانات بعدم التكرار</w:t>
      </w:r>
      <w:r w:rsidRPr="002D0847">
        <w:rPr>
          <w:rFonts w:ascii="Times New Roman Bold" w:hAnsi="Times New Roman Bold" w:hint="eastAsia"/>
          <w:b/>
          <w:bCs/>
          <w:rtl/>
          <w:lang w:eastAsia="zh-TW"/>
        </w:rPr>
        <w:t> </w:t>
      </w:r>
      <w:r w:rsidR="00983BA8" w:rsidRPr="002D0847">
        <w:rPr>
          <w:rFonts w:ascii="Times New Roman Bold" w:hAnsi="Times New Roman Bold"/>
          <w:b/>
          <w:bCs/>
          <w:rtl/>
          <w:lang w:eastAsia="zh-TW"/>
        </w:rPr>
        <w:t>-</w:t>
      </w:r>
      <w:r w:rsidRPr="002D0847">
        <w:rPr>
          <w:rFonts w:ascii="Times New Roman Bold" w:hAnsi="Times New Roman Bold" w:hint="cs"/>
          <w:b/>
          <w:bCs/>
          <w:rtl/>
          <w:lang w:eastAsia="zh-TW"/>
        </w:rPr>
        <w:t> </w:t>
      </w:r>
      <w:r w:rsidR="00983BA8" w:rsidRPr="002D0847">
        <w:rPr>
          <w:rFonts w:ascii="Times New Roman Bold" w:hAnsi="Times New Roman Bold"/>
          <w:b/>
          <w:bCs/>
          <w:rtl/>
          <w:lang w:eastAsia="zh-TW"/>
        </w:rPr>
        <w:t xml:space="preserve">دونما تمييز ودون إلزامهم بالإعلان عن وفاة الشخص المختفي؛ </w:t>
      </w:r>
    </w:p>
    <w:p w:rsidR="00983BA8" w:rsidRPr="00A74299" w:rsidRDefault="00A51C42" w:rsidP="00A51C42">
      <w:pPr>
        <w:pStyle w:val="SingleTxtGA"/>
        <w:rPr>
          <w:b/>
          <w:bCs/>
          <w:rtl/>
          <w:lang w:eastAsia="zh-TW"/>
        </w:rPr>
      </w:pPr>
      <w:r w:rsidRPr="00A74299">
        <w:rPr>
          <w:rFonts w:hint="cs"/>
          <w:b/>
          <w:bCs/>
          <w:rtl/>
          <w:lang w:eastAsia="zh-TW"/>
        </w:rPr>
        <w:tab/>
      </w:r>
      <w:r w:rsidR="00983BA8" w:rsidRPr="00A74299">
        <w:rPr>
          <w:b/>
          <w:bCs/>
          <w:rtl/>
          <w:lang w:eastAsia="zh-TW"/>
        </w:rPr>
        <w:t>(ج)</w:t>
      </w:r>
      <w:r w:rsidR="00983BA8" w:rsidRPr="00A74299">
        <w:rPr>
          <w:b/>
          <w:bCs/>
          <w:rtl/>
          <w:lang w:eastAsia="zh-TW"/>
        </w:rPr>
        <w:tab/>
        <w:t xml:space="preserve">وضمان الحق في معرفة الحقيقة فيما يتعلق بحالات الاختفاء القسري التي قد تكون ارتكبت في الماضي. </w:t>
      </w:r>
    </w:p>
    <w:p w:rsidR="00983BA8" w:rsidRPr="00A74299" w:rsidRDefault="00983BA8" w:rsidP="00A74299">
      <w:pPr>
        <w:pStyle w:val="H23G"/>
        <w:bidi/>
        <w:spacing w:line="240" w:lineRule="auto"/>
        <w:textDirection w:val="tbRlV"/>
        <w:rPr>
          <w:rFonts w:hint="default"/>
          <w:b w:val="0"/>
          <w:bCs/>
          <w:rtl/>
          <w:lang w:eastAsia="zh-TW"/>
        </w:rPr>
      </w:pPr>
      <w:r w:rsidRPr="00A74299">
        <w:rPr>
          <w:rtl/>
          <w:lang w:eastAsia="zh-TW"/>
        </w:rPr>
        <w:tab/>
      </w:r>
      <w:r w:rsidRPr="00A74299">
        <w:rPr>
          <w:b w:val="0"/>
          <w:bCs/>
          <w:rtl/>
          <w:lang w:eastAsia="zh-TW"/>
        </w:rPr>
        <w:tab/>
        <w:t>البحث عن مفقودي نزاع</w:t>
      </w:r>
      <w:r w:rsidR="00A74299" w:rsidRPr="00A74299">
        <w:rPr>
          <w:b w:val="0"/>
          <w:bCs/>
          <w:rtl/>
          <w:lang w:eastAsia="zh-TW"/>
        </w:rPr>
        <w:t xml:space="preserve"> كوسوفو</w:t>
      </w:r>
      <w:r w:rsidR="00A74299" w:rsidRPr="00A74299">
        <w:rPr>
          <w:rFonts w:hint="default"/>
          <w:vertAlign w:val="superscript"/>
          <w:rtl/>
          <w:lang w:eastAsia="zh-TW"/>
        </w:rPr>
        <w:t>(</w:t>
      </w:r>
      <w:r w:rsidR="00A74299" w:rsidRPr="00A74299">
        <w:rPr>
          <w:rStyle w:val="FootnoteReference"/>
          <w:rFonts w:hint="default"/>
          <w:rtl/>
          <w:lang w:eastAsia="zh-TW"/>
        </w:rPr>
        <w:footnoteReference w:id="2"/>
      </w:r>
      <w:r w:rsidR="00A74299" w:rsidRPr="00A74299">
        <w:rPr>
          <w:rFonts w:hint="default"/>
          <w:vertAlign w:val="superscript"/>
          <w:rtl/>
          <w:lang w:eastAsia="zh-TW"/>
        </w:rPr>
        <w:t>)</w:t>
      </w:r>
    </w:p>
    <w:p w:rsidR="00983BA8" w:rsidRPr="00A74299" w:rsidRDefault="00983BA8" w:rsidP="00740846">
      <w:pPr>
        <w:pStyle w:val="SingleTxtGA"/>
        <w:rPr>
          <w:sz w:val="18"/>
          <w:rtl/>
          <w:lang w:eastAsia="zh-TW"/>
        </w:rPr>
      </w:pPr>
      <w:r w:rsidRPr="00A74299">
        <w:rPr>
          <w:rtl/>
        </w:rPr>
        <w:t>٢٧-</w:t>
      </w:r>
      <w:r w:rsidRPr="00A74299">
        <w:rPr>
          <w:rtl/>
        </w:rPr>
        <w:tab/>
      </w:r>
      <w:r w:rsidRPr="00A74299">
        <w:rPr>
          <w:rtl/>
          <w:lang w:eastAsia="zh-TW"/>
        </w:rPr>
        <w:t xml:space="preserve">في حين تشير اللجنة بتقدير إلى الجهود المشتركة المضطلع بها في إطار الفريق العامل المعني بالمفقودين، يساورها القلق لكون أكثر من 650 </w:t>
      </w:r>
      <w:r w:rsidR="00740846" w:rsidRPr="00A74299">
        <w:rPr>
          <w:rtl/>
          <w:lang w:eastAsia="zh-TW"/>
        </w:rPr>
        <w:t>1</w:t>
      </w:r>
      <w:r w:rsidR="00740846">
        <w:rPr>
          <w:rFonts w:hint="cs"/>
          <w:rtl/>
          <w:lang w:eastAsia="zh-TW"/>
        </w:rPr>
        <w:t xml:space="preserve"> </w:t>
      </w:r>
      <w:r w:rsidRPr="00A74299">
        <w:rPr>
          <w:rtl/>
          <w:lang w:eastAsia="zh-TW"/>
        </w:rPr>
        <w:t>شخصا</w:t>
      </w:r>
      <w:r w:rsidR="00740846">
        <w:rPr>
          <w:rFonts w:hint="cs"/>
          <w:rtl/>
          <w:lang w:eastAsia="zh-TW"/>
        </w:rPr>
        <w:t>ً</w:t>
      </w:r>
      <w:r w:rsidRPr="00A74299">
        <w:rPr>
          <w:rtl/>
          <w:lang w:eastAsia="zh-TW"/>
        </w:rPr>
        <w:t xml:space="preserve"> لا يزالون مدرجين في قائمة مفقودي نزاع كوسوفو، العديد منهم قد يكونون ضحايا الاختفاء القسري (المادة 24). </w:t>
      </w:r>
    </w:p>
    <w:p w:rsidR="00983BA8" w:rsidRPr="00A74299" w:rsidRDefault="00983BA8" w:rsidP="00A51C42">
      <w:pPr>
        <w:pStyle w:val="SingleTxtGA"/>
        <w:rPr>
          <w:b/>
          <w:bCs/>
          <w:rtl/>
          <w:lang w:eastAsia="zh-TW"/>
        </w:rPr>
      </w:pPr>
      <w:r w:rsidRPr="00A74299">
        <w:rPr>
          <w:rtl/>
        </w:rPr>
        <w:t>٢٨-</w:t>
      </w:r>
      <w:r w:rsidRPr="00A74299">
        <w:rPr>
          <w:rtl/>
        </w:rPr>
        <w:tab/>
      </w:r>
      <w:r w:rsidRPr="00A74299">
        <w:rPr>
          <w:b/>
          <w:bCs/>
          <w:rtl/>
          <w:lang w:eastAsia="zh-TW"/>
        </w:rPr>
        <w:t xml:space="preserve">في ضوء الفقرة 3 من المادة 24 من الاتفاقية، توصي اللجنة الدولة الطرف بأن تواصل وتضاعف جهودها في إطار الفريق العامل المعني بالمفقودين من أجل إحراز المزيد من التقدم في البحث عن المفقودين وتحديد هوية الرفات، في حالة الوفاة. </w:t>
      </w:r>
    </w:p>
    <w:p w:rsidR="00983BA8" w:rsidRPr="00A74299" w:rsidRDefault="00983BA8" w:rsidP="00A74299">
      <w:pPr>
        <w:pStyle w:val="H23GA"/>
        <w:rPr>
          <w:rtl/>
        </w:rPr>
      </w:pPr>
      <w:r w:rsidRPr="00A74299">
        <w:rPr>
          <w:rtl/>
        </w:rPr>
        <w:tab/>
      </w:r>
      <w:r w:rsidRPr="00A74299">
        <w:rPr>
          <w:rtl/>
        </w:rPr>
        <w:tab/>
        <w:t>الوضع القانوني للمختفين وأقاربهم</w:t>
      </w:r>
    </w:p>
    <w:p w:rsidR="00983BA8" w:rsidRPr="00A74299" w:rsidRDefault="00983BA8" w:rsidP="00A51C42">
      <w:pPr>
        <w:pStyle w:val="SingleTxtGA"/>
        <w:rPr>
          <w:rtl/>
          <w:lang w:eastAsia="zh-TW"/>
        </w:rPr>
      </w:pPr>
      <w:r w:rsidRPr="00A74299">
        <w:rPr>
          <w:rtl/>
        </w:rPr>
        <w:t>٢٩-</w:t>
      </w:r>
      <w:r w:rsidRPr="00A74299">
        <w:rPr>
          <w:rtl/>
        </w:rPr>
        <w:tab/>
      </w:r>
      <w:r w:rsidRPr="00A74299">
        <w:rPr>
          <w:rtl/>
          <w:lang w:eastAsia="zh-TW"/>
        </w:rPr>
        <w:t xml:space="preserve">تشير اللجنة بقلق إلى أن الإطار القانوني الوطني للدولة الطرف لا يعالج بشكل مناسب الوضع القانوني للمختفين مجهولي المصير ولأقاربهم، في مجالات من قبيل الضمان الاجتماعي والمسائل المالية وقانون الأسرة وحقوق الملكية (المادة 24). </w:t>
      </w:r>
    </w:p>
    <w:p w:rsidR="00983BA8" w:rsidRPr="00A74299" w:rsidRDefault="00983BA8" w:rsidP="00A51C42">
      <w:pPr>
        <w:pStyle w:val="SingleTxtGA"/>
        <w:rPr>
          <w:rtl/>
          <w:lang w:eastAsia="zh-TW"/>
        </w:rPr>
      </w:pPr>
      <w:r w:rsidRPr="00A74299">
        <w:rPr>
          <w:rtl/>
        </w:rPr>
        <w:t>٣٠-</w:t>
      </w:r>
      <w:r w:rsidRPr="00A74299">
        <w:rPr>
          <w:rtl/>
        </w:rPr>
        <w:tab/>
      </w:r>
      <w:r w:rsidRPr="00A74299">
        <w:rPr>
          <w:b/>
          <w:bCs/>
          <w:rtl/>
          <w:lang w:eastAsia="zh-TW"/>
        </w:rPr>
        <w:t xml:space="preserve">توصي اللجنة الدولة الطرف بأن تعتمد ما يلزم من تدابير تشريعية بغية وضع إجراء يتيح الحصول على إعلان عن غياب الأشخاص بسبب الاختفاء القسري، من أجل معالجة الوضع القانوني للمختفين وأقاربهم بشكل مناسب، في مجالات من قبيل الضمان الاجتماعي والمسائل المالية وقانون الأسرة وحقوق الملكية. </w:t>
      </w:r>
    </w:p>
    <w:p w:rsidR="00983BA8" w:rsidRPr="00A74299" w:rsidRDefault="00983BA8" w:rsidP="00A74299">
      <w:pPr>
        <w:pStyle w:val="H23GA"/>
        <w:rPr>
          <w:rtl/>
        </w:rPr>
      </w:pPr>
      <w:r w:rsidRPr="00A74299">
        <w:rPr>
          <w:rtl/>
        </w:rPr>
        <w:tab/>
      </w:r>
      <w:r w:rsidRPr="00A74299">
        <w:rPr>
          <w:rtl/>
        </w:rPr>
        <w:tab/>
        <w:t>التشريع المتعلق بانتزاع الأطفال</w:t>
      </w:r>
    </w:p>
    <w:p w:rsidR="00983BA8" w:rsidRPr="002D0847" w:rsidRDefault="00983BA8" w:rsidP="00A51C42">
      <w:pPr>
        <w:pStyle w:val="SingleTxtGA"/>
        <w:rPr>
          <w:spacing w:val="-6"/>
          <w:rtl/>
          <w:lang w:eastAsia="zh-TW"/>
        </w:rPr>
      </w:pPr>
      <w:r w:rsidRPr="002D0847">
        <w:rPr>
          <w:spacing w:val="-6"/>
          <w:rtl/>
        </w:rPr>
        <w:t>٣١-</w:t>
      </w:r>
      <w:r w:rsidRPr="002D0847">
        <w:rPr>
          <w:spacing w:val="-6"/>
          <w:rtl/>
        </w:rPr>
        <w:tab/>
      </w:r>
      <w:r w:rsidRPr="002D0847">
        <w:rPr>
          <w:spacing w:val="-6"/>
          <w:rtl/>
          <w:lang w:eastAsia="zh-TW"/>
        </w:rPr>
        <w:t xml:space="preserve">في حين تحيط اللجنة علماً بأحكام القانون الجنائي المتعلقة بالاختطاف وتغيير الوضع الأسري </w:t>
      </w:r>
      <w:proofErr w:type="spellStart"/>
      <w:r w:rsidRPr="002D0847">
        <w:rPr>
          <w:spacing w:val="-6"/>
          <w:rtl/>
          <w:lang w:eastAsia="zh-TW"/>
        </w:rPr>
        <w:t>والاتجار</w:t>
      </w:r>
      <w:proofErr w:type="spellEnd"/>
      <w:r w:rsidRPr="002D0847">
        <w:rPr>
          <w:spacing w:val="-6"/>
          <w:rtl/>
          <w:lang w:eastAsia="zh-TW"/>
        </w:rPr>
        <w:t xml:space="preserve"> وتزوير الوثائق المشار إليها في الردود على قائمة المسائل (</w:t>
      </w:r>
      <w:r w:rsidRPr="002D0847">
        <w:rPr>
          <w:spacing w:val="-6"/>
          <w:lang w:eastAsia="zh-TW"/>
        </w:rPr>
        <w:t>CED/C/SRB/Q/1/Add.1</w:t>
      </w:r>
      <w:r w:rsidRPr="002D0847">
        <w:rPr>
          <w:spacing w:val="-6"/>
          <w:rtl/>
          <w:lang w:eastAsia="zh-TW"/>
        </w:rPr>
        <w:t>، الفقرتان 63 و64)، فإنها تعرب عن قلقها لعدم وجود أحكام تعاقب تحديدا</w:t>
      </w:r>
      <w:r w:rsidR="00740846" w:rsidRPr="002D0847">
        <w:rPr>
          <w:rFonts w:hint="cs"/>
          <w:spacing w:val="-6"/>
          <w:rtl/>
          <w:lang w:eastAsia="zh-TW"/>
        </w:rPr>
        <w:t>ً</w:t>
      </w:r>
      <w:r w:rsidRPr="002D0847">
        <w:rPr>
          <w:spacing w:val="-6"/>
          <w:rtl/>
          <w:lang w:eastAsia="zh-TW"/>
        </w:rPr>
        <w:t xml:space="preserve"> على الأفعال المتعلقة بانتزاع الأطفال المشار إليها في الفقرة 1 من المادة 25 من الاتفاقية (المادة 25). </w:t>
      </w:r>
    </w:p>
    <w:p w:rsidR="00983BA8" w:rsidRPr="00A74299" w:rsidRDefault="00983BA8" w:rsidP="00A51C42">
      <w:pPr>
        <w:pStyle w:val="SingleTxtGA"/>
        <w:rPr>
          <w:rtl/>
          <w:lang w:eastAsia="zh-TW"/>
        </w:rPr>
      </w:pPr>
      <w:r w:rsidRPr="00A74299">
        <w:rPr>
          <w:rtl/>
        </w:rPr>
        <w:t>٣٢-</w:t>
      </w:r>
      <w:r w:rsidRPr="00A74299">
        <w:rPr>
          <w:rtl/>
        </w:rPr>
        <w:tab/>
      </w:r>
      <w:r w:rsidRPr="00A74299">
        <w:rPr>
          <w:b/>
          <w:bCs/>
          <w:rtl/>
          <w:lang w:eastAsia="zh-TW"/>
        </w:rPr>
        <w:t>توصي اللجنة الدولة الطرف بأن تعتمد التدابير التشريعية اللازمة لجعل الأفعال المشار إليها في الفقرة 1 من المادة 25 من الاتفاقية جرائم محددة وأن تفرض عقوبات على تلك الأفعال تتناسب وشدة خطورتها.</w:t>
      </w:r>
      <w:r w:rsidRPr="00A74299">
        <w:rPr>
          <w:rtl/>
          <w:lang w:eastAsia="zh-TW"/>
        </w:rPr>
        <w:t xml:space="preserve"> </w:t>
      </w:r>
    </w:p>
    <w:p w:rsidR="00983BA8" w:rsidRPr="00A74299" w:rsidRDefault="00983BA8" w:rsidP="00A74299">
      <w:pPr>
        <w:pStyle w:val="H1GA"/>
        <w:rPr>
          <w:rtl/>
          <w:lang w:eastAsia="zh-TW"/>
        </w:rPr>
      </w:pPr>
      <w:r w:rsidRPr="00A74299">
        <w:rPr>
          <w:szCs w:val="24"/>
          <w:rtl/>
          <w:lang w:eastAsia="zh-TW"/>
        </w:rPr>
        <w:lastRenderedPageBreak/>
        <w:tab/>
      </w:r>
      <w:r w:rsidRPr="00A74299">
        <w:rPr>
          <w:rtl/>
          <w:lang w:eastAsia="zh-TW"/>
        </w:rPr>
        <w:t>دال</w:t>
      </w:r>
      <w:r w:rsidRPr="00A74299">
        <w:rPr>
          <w:rtl/>
        </w:rPr>
        <w:t>-</w:t>
      </w:r>
      <w:r w:rsidRPr="00A74299">
        <w:rPr>
          <w:rtl/>
        </w:rPr>
        <w:tab/>
      </w:r>
      <w:r w:rsidRPr="00A74299">
        <w:rPr>
          <w:rtl/>
          <w:lang w:eastAsia="zh-TW"/>
        </w:rPr>
        <w:t xml:space="preserve">النشر والمتابعة </w:t>
      </w:r>
    </w:p>
    <w:p w:rsidR="00983BA8" w:rsidRPr="00A74299" w:rsidRDefault="00983BA8" w:rsidP="00A51C42">
      <w:pPr>
        <w:pStyle w:val="SingleTxtGA"/>
        <w:rPr>
          <w:rtl/>
          <w:lang w:eastAsia="zh-TW"/>
        </w:rPr>
      </w:pPr>
      <w:r w:rsidRPr="00A74299">
        <w:rPr>
          <w:rtl/>
        </w:rPr>
        <w:t>٣٣-</w:t>
      </w:r>
      <w:r w:rsidRPr="00A74299">
        <w:rPr>
          <w:rtl/>
        </w:rPr>
        <w:tab/>
      </w:r>
      <w:r w:rsidRPr="00A74299">
        <w:rPr>
          <w:rtl/>
          <w:lang w:eastAsia="zh-TW"/>
        </w:rPr>
        <w:t xml:space="preserve">تود اللجنة أن تشير إلى الالتزامات التي تعهدت بها الدول عند التصديق على الاتفاقية، وتحث اللجنة، في هذا الصدد، الدولة الطرف على كفالة أن تكون جميع التدابير التي تتخذها، بصرف النظر عن طبيعتها أو السلطة التي تصدرها، متسقة تماماً مع الالتزامات التي قطعتها على نفسها عند التصديق على الاتفاقية وغيرها من الصكوك الدولية ذات الصلة. وتحث اللجنة الدولة الطرف بوجه خاص على ضمان التحقيق الفعال في جميع حالات الاختفاء القسري وضمان إعمال حقوق الضحايا إعمالاً تاماً كما هي مكرَّسة في الاتفاقية. </w:t>
      </w:r>
    </w:p>
    <w:p w:rsidR="00983BA8" w:rsidRPr="002D0847" w:rsidRDefault="00983BA8" w:rsidP="00A51C42">
      <w:pPr>
        <w:pStyle w:val="SingleTxtGA"/>
        <w:rPr>
          <w:spacing w:val="-4"/>
          <w:rtl/>
          <w:lang w:eastAsia="zh-TW"/>
        </w:rPr>
      </w:pPr>
      <w:r w:rsidRPr="002D0847">
        <w:rPr>
          <w:spacing w:val="-4"/>
          <w:rtl/>
        </w:rPr>
        <w:t>٣٤-</w:t>
      </w:r>
      <w:r w:rsidRPr="002D0847">
        <w:rPr>
          <w:spacing w:val="-4"/>
          <w:rtl/>
        </w:rPr>
        <w:tab/>
      </w:r>
      <w:r w:rsidRPr="002D0847">
        <w:rPr>
          <w:spacing w:val="-4"/>
          <w:rtl/>
          <w:lang w:eastAsia="zh-TW"/>
        </w:rPr>
        <w:t xml:space="preserve">كما تود اللجنة أن تؤكد ما لحالات الاختفاء القسري من أثرٍ شديد القسوة على حقوق الإنسان المكفولة للنساء والأطفال. فالنساء اللائي يتعرضن للاختفاء القسري معرضات بوجه خاص للعنف الجنسي وغيره من أنواع العنف الجنساني. ويُرجح بوجه خاص أن تتعرض النساء من أقارب الأشخاص المختفين للحرمان الشديد من المزايا الاجتماعية والاقتصادية وأن يتعرضن للعنف والاضطهاد والانتقام نتيجة سعيهن للعثور على ذويهن. ويكون الأطفال الذين يقعون ضحايا للاختفاء القسري، إما لأنهم تعرضوا هم أنفسهم لاختفاء أو لأنهم يتحملون تبعات اختفاء أقاربهم، عرضة بشكل خاص للعديد من انتهاكات حقوق الإنسان، بما في ذلك تغيير الهوية. وفي هذا السياق، تركز اللجنة بوجه خاص على ضرورة أن تكفل الدولة الطرف مراعاة المنظور الجنساني واعتماد نهج مراعية للأطفال في إعمال الحقوق وتنفيذ الالتزامات المنصوص عليها في الاتفاقية. </w:t>
      </w:r>
    </w:p>
    <w:p w:rsidR="00983BA8" w:rsidRPr="00A74299" w:rsidRDefault="00983BA8" w:rsidP="00A51C42">
      <w:pPr>
        <w:pStyle w:val="SingleTxtGA"/>
        <w:rPr>
          <w:rtl/>
          <w:lang w:eastAsia="zh-TW"/>
        </w:rPr>
      </w:pPr>
      <w:r w:rsidRPr="00A74299">
        <w:rPr>
          <w:rtl/>
        </w:rPr>
        <w:t>٣٥-</w:t>
      </w:r>
      <w:r w:rsidRPr="00A74299">
        <w:rPr>
          <w:rtl/>
        </w:rPr>
        <w:tab/>
      </w:r>
      <w:r w:rsidRPr="00A74299">
        <w:rPr>
          <w:rtl/>
          <w:lang w:eastAsia="zh-TW"/>
        </w:rPr>
        <w:t xml:space="preserve">وتشجَّع الدولة الطرف على أن تنشر على نطاق واسع كلاً من الاتفاقية ونص تقريرها المقدم بموجب الفقرة 1 من المادة 29 من الاتفاقية وردودها الكتابية على قائمة القضايا التي أعدتها اللجنة وهذه الملاحظات الختامية، بغية توعية السلطات القضائية والتشريعية والإدارية والمجتمع المدني والمنظمات غير الحكومية العاملة في الدولة الطرف والجمهور عامةً. كما تشجع اللجنة الدولة الطرف على أن تدعم مشاركة المجتمع المدني، ولا سيما منظمات ذوي الضحايا، فيما يُتخذ من إجراءات تنفيذاً لهذه الملاحظات الختامية. </w:t>
      </w:r>
    </w:p>
    <w:p w:rsidR="00983BA8" w:rsidRPr="002D0847" w:rsidRDefault="00983BA8" w:rsidP="00A51C42">
      <w:pPr>
        <w:pStyle w:val="SingleTxtGA"/>
        <w:rPr>
          <w:spacing w:val="-6"/>
          <w:rtl/>
          <w:lang w:eastAsia="zh-TW"/>
        </w:rPr>
      </w:pPr>
      <w:r w:rsidRPr="002D0847">
        <w:rPr>
          <w:spacing w:val="-6"/>
          <w:rtl/>
        </w:rPr>
        <w:t>٣٦-</w:t>
      </w:r>
      <w:r w:rsidRPr="002D0847">
        <w:rPr>
          <w:spacing w:val="-6"/>
          <w:rtl/>
        </w:rPr>
        <w:tab/>
      </w:r>
      <w:r w:rsidRPr="002D0847">
        <w:rPr>
          <w:spacing w:val="-6"/>
          <w:rtl/>
          <w:lang w:eastAsia="zh-TW"/>
        </w:rPr>
        <w:t xml:space="preserve">وعملاً بالنظام الداخلي للجنة، يتعين على الدولة الطرف أن تقدم في أجل أقصاه 13 شباط/فبراير 2016 معلومات عن تنفيذ توصيات اللجنة الواردة في الفقرات 11 و14 و28 أعلاه. </w:t>
      </w:r>
    </w:p>
    <w:p w:rsidR="00983BA8" w:rsidRPr="00A74299" w:rsidRDefault="00983BA8" w:rsidP="00A51C42">
      <w:pPr>
        <w:pStyle w:val="SingleTxtGA"/>
        <w:rPr>
          <w:lang w:eastAsia="zh-TW"/>
        </w:rPr>
      </w:pPr>
      <w:r w:rsidRPr="00A74299">
        <w:rPr>
          <w:rtl/>
        </w:rPr>
        <w:t>٣٧-</w:t>
      </w:r>
      <w:r w:rsidRPr="00A74299">
        <w:rPr>
          <w:rtl/>
        </w:rPr>
        <w:tab/>
      </w:r>
      <w:r w:rsidRPr="00A74299">
        <w:rPr>
          <w:rtl/>
          <w:lang w:eastAsia="zh-TW"/>
        </w:rPr>
        <w:t>وبمقتضى الفقرة 4 من المادة 29 من الاتفاقية، تطلب اللجنة إلى الدولة الطرف أن تقدم، في أجل أقصاه 13 شباط/فبراير 2021، معلومات محددة ومحدثة بشأن تنفيذ جميع توصياتها، فضلاً عن أي معلومات جديدة أخرى تتعلق بالوفاء بالالتزامات المنصوص عليها في الاتفاقية، وذلك في وثيقة تعدها الدولة الطرف وفقاً للفقرة 39 من المبادئ التوجيهية المتعلقة بشكل ومضمون التقارير التي يتعين على الدول الأطراف تقديمها بموجب المادة 29 من الاتفاقية (</w:t>
      </w:r>
      <w:r w:rsidRPr="00A74299">
        <w:rPr>
          <w:lang w:eastAsia="zh-TW"/>
        </w:rPr>
        <w:t>CED/C/2</w:t>
      </w:r>
      <w:r w:rsidRPr="00A74299">
        <w:rPr>
          <w:rtl/>
          <w:lang w:eastAsia="zh-TW"/>
        </w:rPr>
        <w:t xml:space="preserve">). </w:t>
      </w:r>
      <w:dir w:val="rtl">
        <w:r w:rsidRPr="00A74299">
          <w:rPr>
            <w:rtl/>
            <w:lang w:eastAsia="zh-TW"/>
          </w:rPr>
          <w:t>وتهيب اللجنة بالدولة الطرف أن تشجع وتيسّر مشاركة المجتمع المدني، ولا سيما منظمات ذوي الضحايا، في إعداد هذه المعلومات.</w:t>
        </w:r>
        <w:r w:rsidRPr="00A74299">
          <w:rPr>
            <w:rFonts w:ascii="MS Mincho" w:eastAsia="MS Mincho" w:hAnsi="MS Mincho" w:cs="MS Mincho" w:hint="eastAsia"/>
            <w:rtl/>
            <w:lang w:eastAsia="zh-TW"/>
          </w:rPr>
          <w:t>‬</w:t>
        </w:r>
        <w:r w:rsidRPr="00A74299">
          <w:rPr>
            <w:rtl/>
            <w:lang w:eastAsia="zh-TW"/>
          </w:rPr>
          <w:t xml:space="preserve"> </w:t>
        </w:r>
        <w:r w:rsidRPr="00A74299">
          <w:rPr>
            <w:rFonts w:ascii="MS Mincho" w:eastAsia="MS Mincho" w:hAnsi="MS Mincho" w:cs="MS Mincho" w:hint="eastAsia"/>
          </w:rPr>
          <w:t>‬</w:t>
        </w:r>
        <w:r w:rsidR="00D5651F">
          <w:t>‬</w:t>
        </w:r>
        <w:r w:rsidR="00EC3E5A">
          <w:t>‬</w:t>
        </w:r>
        <w:r w:rsidR="000421F7">
          <w:t>‬</w:t>
        </w:r>
      </w:dir>
    </w:p>
    <w:p w:rsidR="00A51C42" w:rsidRPr="00A74299" w:rsidRDefault="00A51C42" w:rsidP="002D0847">
      <w:pPr>
        <w:spacing w:line="220" w:lineRule="exact"/>
        <w:jc w:val="center"/>
        <w:rPr>
          <w:u w:val="single"/>
          <w:rtl/>
          <w:lang w:eastAsia="zh-TW"/>
        </w:rPr>
      </w:pPr>
      <w:r w:rsidRPr="00A74299">
        <w:rPr>
          <w:u w:val="single"/>
          <w:rtl/>
          <w:lang w:eastAsia="zh-TW"/>
        </w:rPr>
        <w:tab/>
      </w:r>
      <w:r w:rsidRPr="00A74299">
        <w:rPr>
          <w:u w:val="single"/>
          <w:rtl/>
          <w:lang w:eastAsia="zh-TW"/>
        </w:rPr>
        <w:tab/>
      </w:r>
      <w:r w:rsidRPr="00A74299">
        <w:rPr>
          <w:u w:val="single"/>
          <w:rtl/>
          <w:lang w:eastAsia="zh-TW"/>
        </w:rPr>
        <w:tab/>
      </w:r>
    </w:p>
    <w:sectPr w:rsidR="00A51C42" w:rsidRPr="00A74299" w:rsidSect="00420D7B">
      <w:headerReference w:type="even" r:id="rId10"/>
      <w:headerReference w:type="default" r:id="rId11"/>
      <w:footerReference w:type="even" r:id="rId12"/>
      <w:footerReference w:type="default" r:id="rId13"/>
      <w:footerReference w:type="first" r:id="rId14"/>
      <w:endnotePr>
        <w:numFmt w:val="decimal"/>
      </w:endnotePr>
      <w:pgSz w:w="11907" w:h="16840" w:code="9"/>
      <w:pgMar w:top="1701" w:right="1134" w:bottom="2268" w:left="1134" w:header="1134" w:footer="1701" w:gutter="0"/>
      <w:cols w:space="720"/>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501FC" w:rsidRPr="002901D9" w:rsidRDefault="00F501FC" w:rsidP="002901D9">
      <w:pPr>
        <w:spacing w:after="60" w:line="240" w:lineRule="auto"/>
        <w:rPr>
          <w:i/>
          <w:iCs/>
        </w:rPr>
      </w:pPr>
      <w:r>
        <w:rPr>
          <w:rFonts w:hint="cs"/>
          <w:i/>
          <w:iCs/>
          <w:rtl/>
        </w:rPr>
        <w:t>الحواشي</w:t>
      </w:r>
    </w:p>
  </w:endnote>
  <w:endnote w:type="continuationSeparator" w:id="0">
    <w:p w:rsidR="00F501FC" w:rsidRDefault="00F501FC" w:rsidP="0065639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aditional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notTrueType/>
    <w:pitch w:val="variable"/>
    <w:sig w:usb0="00000003" w:usb1="00000000" w:usb2="00000000" w:usb3="00000000" w:csb0="00000001" w:csb1="00000000"/>
  </w:font>
  <w:font w:name="MS Mincho">
    <w:altName w:val="ＭＳ 明朝"/>
    <w:panose1 w:val="02020609040205080304"/>
    <w:charset w:val="80"/>
    <w:family w:val="modern"/>
    <w:pitch w:val="fixed"/>
    <w:sig w:usb0="E00002FF" w:usb1="6AC7FDFB" w:usb2="00000012" w:usb3="00000000" w:csb0="0002009F" w:csb1="00000000"/>
  </w:font>
  <w:font w:name="Times New Roman Bold">
    <w:panose1 w:val="02020803070505020304"/>
    <w:charset w:val="00"/>
    <w:family w:val="roman"/>
    <w:notTrueType/>
    <w:pitch w:val="default"/>
  </w:font>
  <w:font w:name="C39T30Lfz">
    <w:panose1 w:val="00000400000000000000"/>
    <w:charset w:val="02"/>
    <w:family w:val="auto"/>
    <w:pitch w:val="variable"/>
    <w:sig w:usb0="00000000" w:usb1="10000000" w:usb2="00000000" w:usb3="00000000" w:csb0="8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83BA8" w:rsidRPr="00983BA8" w:rsidRDefault="00983BA8" w:rsidP="00983BA8">
    <w:pPr>
      <w:pStyle w:val="Footer"/>
      <w:tabs>
        <w:tab w:val="right" w:pos="9598"/>
      </w:tabs>
    </w:pPr>
    <w:r>
      <w:t>GE.15-05107</w:t>
    </w:r>
    <w:r>
      <w:tab/>
    </w:r>
    <w:r w:rsidRPr="00983BA8">
      <w:rPr>
        <w:b/>
        <w:sz w:val="18"/>
      </w:rPr>
      <w:fldChar w:fldCharType="begin"/>
    </w:r>
    <w:r w:rsidRPr="00983BA8">
      <w:rPr>
        <w:b/>
        <w:sz w:val="18"/>
      </w:rPr>
      <w:instrText xml:space="preserve"> PAGE  \* MERGEFORMAT </w:instrText>
    </w:r>
    <w:r w:rsidRPr="00983BA8">
      <w:rPr>
        <w:b/>
        <w:sz w:val="18"/>
      </w:rPr>
      <w:fldChar w:fldCharType="separate"/>
    </w:r>
    <w:r w:rsidR="00C81AB0">
      <w:rPr>
        <w:b/>
        <w:noProof/>
        <w:sz w:val="18"/>
      </w:rPr>
      <w:t>2</w:t>
    </w:r>
    <w:r w:rsidRPr="00983BA8">
      <w:rPr>
        <w:b/>
        <w:sz w:val="18"/>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959B0" w:rsidRPr="00983BA8" w:rsidRDefault="00983BA8" w:rsidP="006959B0">
    <w:pPr>
      <w:pStyle w:val="Footer"/>
      <w:tabs>
        <w:tab w:val="right" w:pos="9599"/>
      </w:tabs>
      <w:jc w:val="left"/>
      <w:rPr>
        <w:b/>
        <w:sz w:val="18"/>
        <w:lang w:val="en-US"/>
      </w:rPr>
    </w:pPr>
    <w:r w:rsidRPr="00983BA8">
      <w:rPr>
        <w:b/>
        <w:sz w:val="18"/>
        <w:lang w:val="en-US"/>
      </w:rPr>
      <w:fldChar w:fldCharType="begin"/>
    </w:r>
    <w:r w:rsidRPr="00983BA8">
      <w:rPr>
        <w:b/>
        <w:sz w:val="18"/>
        <w:lang w:val="en-US"/>
      </w:rPr>
      <w:instrText xml:space="preserve"> PAGE  \* MERGEFORMAT </w:instrText>
    </w:r>
    <w:r w:rsidRPr="00983BA8">
      <w:rPr>
        <w:b/>
        <w:sz w:val="18"/>
        <w:lang w:val="en-US"/>
      </w:rPr>
      <w:fldChar w:fldCharType="separate"/>
    </w:r>
    <w:r w:rsidR="00C81AB0">
      <w:rPr>
        <w:b/>
        <w:noProof/>
        <w:sz w:val="18"/>
        <w:lang w:val="en-US"/>
      </w:rPr>
      <w:t>7</w:t>
    </w:r>
    <w:r w:rsidRPr="00983BA8">
      <w:rPr>
        <w:b/>
        <w:sz w:val="18"/>
        <w:lang w:val="en-US"/>
      </w:rPr>
      <w:fldChar w:fldCharType="end"/>
    </w:r>
    <w:r>
      <w:rPr>
        <w:b/>
        <w:sz w:val="18"/>
        <w:lang w:val="en-US"/>
      </w:rPr>
      <w:tab/>
    </w:r>
    <w:r>
      <w:rPr>
        <w:lang w:val="en-US"/>
      </w:rPr>
      <w:t>GE.15-05107</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914A7" w:rsidRDefault="00983BA8" w:rsidP="002D0072">
    <w:pPr>
      <w:pStyle w:val="Footer"/>
      <w:jc w:val="right"/>
    </w:pPr>
    <w:r>
      <w:rPr>
        <w:sz w:val="20"/>
      </w:rPr>
      <w:t>(A)   GE.15-05107</w:t>
    </w:r>
    <w:r w:rsidR="00D914A7">
      <w:rPr>
        <w:noProof/>
        <w:lang w:val="en-US"/>
      </w:rPr>
      <w:drawing>
        <wp:anchor distT="0" distB="0" distL="114300" distR="114300" simplePos="0" relativeHeight="251658240" behindDoc="1" locked="1" layoutInCell="0" allowOverlap="1" wp14:anchorId="467CE159" wp14:editId="3FDDDB0A">
          <wp:simplePos x="0" y="0"/>
          <wp:positionH relativeFrom="margin">
            <wp:posOffset>706755</wp:posOffset>
          </wp:positionH>
          <wp:positionV relativeFrom="margin">
            <wp:posOffset>8188960</wp:posOffset>
          </wp:positionV>
          <wp:extent cx="1162050" cy="323850"/>
          <wp:effectExtent l="0" t="0" r="0" b="0"/>
          <wp:wrapTight wrapText="bothSides">
            <wp:wrapPolygon edited="0">
              <wp:start x="0" y="0"/>
              <wp:lineTo x="0" y="20329"/>
              <wp:lineTo x="21246" y="20329"/>
              <wp:lineTo x="21246" y="0"/>
              <wp:lineTo x="0" y="0"/>
            </wp:wrapPolygon>
          </wp:wrapTight>
          <wp:docPr id="2" name="Picture 2" descr="PleaseRecycleArabi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leaseRecycleArabic"/>
                  <pic:cNvPicPr>
                    <a:picLocks noChangeAspect="1" noChangeArrowheads="1"/>
                  </pic:cNvPicPr>
                </pic:nvPicPr>
                <pic:blipFill rotWithShape="1">
                  <a:blip r:embed="rId1">
                    <a:extLst>
                      <a:ext uri="{28A0092B-C50C-407E-A947-70E740481C1C}">
                        <a14:useLocalDpi xmlns:a14="http://schemas.microsoft.com/office/drawing/2010/main" val="0"/>
                      </a:ext>
                    </a:extLst>
                  </a:blip>
                  <a:srcRect t="4566" b="4566"/>
                  <a:stretch/>
                </pic:blipFill>
                <pic:spPr bwMode="auto">
                  <a:xfrm>
                    <a:off x="0" y="0"/>
                    <a:ext cx="1162050" cy="32385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0</w:t>
    </w:r>
    <w:r w:rsidR="002D0072">
      <w:rPr>
        <w:sz w:val="20"/>
      </w:rPr>
      <w:t>1</w:t>
    </w:r>
    <w:r>
      <w:rPr>
        <w:sz w:val="20"/>
      </w:rPr>
      <w:t>0415    070415</w:t>
    </w:r>
    <w:r w:rsidR="00EC3E5A">
      <w:rPr>
        <w:noProof/>
        <w:lang w:val="en-US"/>
      </w:rPr>
      <w:drawing>
        <wp:anchor distT="0" distB="0" distL="114300" distR="114300" simplePos="0" relativeHeight="251659264" behindDoc="0" locked="0" layoutInCell="1" allowOverlap="1" wp14:anchorId="55A6183D" wp14:editId="5FFCC416">
          <wp:simplePos x="0" y="0"/>
          <wp:positionH relativeFrom="column">
            <wp:posOffset>635</wp:posOffset>
          </wp:positionH>
          <wp:positionV relativeFrom="paragraph">
            <wp:posOffset>0</wp:posOffset>
          </wp:positionV>
          <wp:extent cx="638175" cy="638175"/>
          <wp:effectExtent l="0" t="0" r="9525" b="9525"/>
          <wp:wrapNone/>
          <wp:docPr id="3" name="Picture 1" descr="http://undocs.org/m2/QRCode.ashx?DS=CED/C/SRB/CO/1&amp;Size=2&amp;Lang=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ashx?DS=CED/C/SRB/CO/1&amp;Size=2&amp;Lang=A"/>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r w:rsidR="00EC3E5A">
      <w:rPr>
        <w:sz w:val="20"/>
      </w:rPr>
      <w:br/>
    </w:r>
    <w:r w:rsidR="00EC3E5A" w:rsidRPr="00EC3E5A">
      <w:rPr>
        <w:rFonts w:ascii="C39T30Lfz" w:hAnsi="C39T30Lfz"/>
        <w:sz w:val="56"/>
      </w:rPr>
      <w:t></w:t>
    </w:r>
    <w:r w:rsidR="00EC3E5A" w:rsidRPr="00EC3E5A">
      <w:rPr>
        <w:rFonts w:ascii="C39T30Lfz" w:hAnsi="C39T30Lfz"/>
        <w:sz w:val="56"/>
      </w:rPr>
      <w:t></w:t>
    </w:r>
    <w:r w:rsidR="00EC3E5A" w:rsidRPr="00EC3E5A">
      <w:rPr>
        <w:rFonts w:ascii="C39T30Lfz" w:hAnsi="C39T30Lfz"/>
        <w:sz w:val="56"/>
      </w:rPr>
      <w:t></w:t>
    </w:r>
    <w:r w:rsidR="00EC3E5A" w:rsidRPr="00EC3E5A">
      <w:rPr>
        <w:rFonts w:ascii="C39T30Lfz" w:hAnsi="C39T30Lfz"/>
        <w:sz w:val="56"/>
      </w:rPr>
      <w:t></w:t>
    </w:r>
    <w:r w:rsidR="00EC3E5A" w:rsidRPr="00EC3E5A">
      <w:rPr>
        <w:rFonts w:ascii="C39T30Lfz" w:hAnsi="C39T30Lfz"/>
        <w:sz w:val="56"/>
      </w:rPr>
      <w:t></w:t>
    </w:r>
    <w:r w:rsidR="00EC3E5A" w:rsidRPr="00EC3E5A">
      <w:rPr>
        <w:rFonts w:ascii="C39T30Lfz" w:hAnsi="C39T30Lfz"/>
        <w:sz w:val="56"/>
      </w:rPr>
      <w:t></w:t>
    </w:r>
    <w:r w:rsidR="00EC3E5A" w:rsidRPr="00EC3E5A">
      <w:rPr>
        <w:rFonts w:ascii="C39T30Lfz" w:hAnsi="C39T30Lfz"/>
        <w:sz w:val="56"/>
      </w:rPr>
      <w:t></w:t>
    </w:r>
    <w:r w:rsidR="00EC3E5A" w:rsidRPr="00EC3E5A">
      <w:rPr>
        <w:rFonts w:ascii="C39T30Lfz" w:hAnsi="C39T30Lfz"/>
        <w:sz w:val="56"/>
      </w:rPr>
      <w:t></w:t>
    </w:r>
    <w:r w:rsidR="00EC3E5A" w:rsidRPr="00EC3E5A">
      <w:rPr>
        <w:rFonts w:ascii="C39T30Lfz" w:hAnsi="C39T30Lfz"/>
        <w:sz w:val="56"/>
      </w:rPr>
      <w:t></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501FC" w:rsidRPr="00A51C42" w:rsidRDefault="00F501FC" w:rsidP="00A51C42">
      <w:pPr>
        <w:pStyle w:val="Footer"/>
        <w:bidi/>
        <w:spacing w:after="80" w:line="200" w:lineRule="exact"/>
        <w:ind w:left="680"/>
      </w:pPr>
      <w:r>
        <w:rPr>
          <w:rtl/>
        </w:rPr>
        <w:t>__________</w:t>
      </w:r>
    </w:p>
  </w:footnote>
  <w:footnote w:type="continuationSeparator" w:id="0">
    <w:p w:rsidR="00F501FC" w:rsidRDefault="00F501FC" w:rsidP="00656392">
      <w:pPr>
        <w:spacing w:line="240" w:lineRule="auto"/>
      </w:pPr>
      <w:r>
        <w:continuationSeparator/>
      </w:r>
    </w:p>
  </w:footnote>
  <w:footnote w:id="1">
    <w:p w:rsidR="00A51C42" w:rsidRPr="00A51C42" w:rsidRDefault="00F40D10" w:rsidP="004B36BA">
      <w:pPr>
        <w:pStyle w:val="FootnoteText1"/>
        <w:tabs>
          <w:tab w:val="right" w:pos="1021"/>
        </w:tabs>
        <w:spacing w:after="240"/>
        <w:ind w:hanging="1247"/>
      </w:pPr>
      <w:r>
        <w:rPr>
          <w:rFonts w:hint="cs"/>
          <w:rtl/>
        </w:rPr>
        <w:tab/>
      </w:r>
      <w:r w:rsidR="00A51C42">
        <w:rPr>
          <w:rtl/>
        </w:rPr>
        <w:t>*</w:t>
      </w:r>
      <w:r w:rsidR="00A51C42">
        <w:rPr>
          <w:rtl/>
        </w:rPr>
        <w:tab/>
      </w:r>
      <w:r w:rsidR="00A51C42" w:rsidRPr="00A51C42">
        <w:rPr>
          <w:b/>
          <w:rtl/>
        </w:rPr>
        <w:t>اعتمدتها اللجنة في دو</w:t>
      </w:r>
      <w:bookmarkStart w:id="0" w:name="_GoBack"/>
      <w:bookmarkEnd w:id="0"/>
      <w:r w:rsidR="00A51C42" w:rsidRPr="00A51C42">
        <w:rPr>
          <w:b/>
          <w:rtl/>
        </w:rPr>
        <w:t>رتها الث</w:t>
      </w:r>
      <w:r w:rsidR="00A51C42" w:rsidRPr="00A51C42">
        <w:rPr>
          <w:rtl/>
        </w:rPr>
        <w:t>ا</w:t>
      </w:r>
      <w:r w:rsidR="00C81AB0">
        <w:rPr>
          <w:b/>
          <w:rtl/>
        </w:rPr>
        <w:t>منة (</w:t>
      </w:r>
      <w:r w:rsidR="00A51C42" w:rsidRPr="00A51C42">
        <w:rPr>
          <w:b/>
          <w:rtl/>
        </w:rPr>
        <w:t xml:space="preserve">من 2 </w:t>
      </w:r>
      <w:r w:rsidR="00A51C42" w:rsidRPr="00A51C42">
        <w:rPr>
          <w:rtl/>
        </w:rPr>
        <w:t xml:space="preserve">إلى </w:t>
      </w:r>
      <w:r w:rsidR="00A51C42" w:rsidRPr="00A51C42">
        <w:rPr>
          <w:b/>
          <w:rtl/>
        </w:rPr>
        <w:t>13 شباط/فبراير 2015)</w:t>
      </w:r>
      <w:r w:rsidR="00A51C42">
        <w:rPr>
          <w:rFonts w:hint="cs"/>
          <w:rtl/>
        </w:rPr>
        <w:t>.</w:t>
      </w:r>
    </w:p>
  </w:footnote>
  <w:footnote w:id="2">
    <w:p w:rsidR="00A74299" w:rsidRPr="00A74299" w:rsidRDefault="00F40D10" w:rsidP="00B053F4">
      <w:pPr>
        <w:pStyle w:val="FootnoteText1"/>
        <w:tabs>
          <w:tab w:val="right" w:pos="1021"/>
        </w:tabs>
        <w:ind w:hanging="1247"/>
      </w:pPr>
      <w:r>
        <w:rPr>
          <w:rFonts w:hint="cs"/>
          <w:rtl/>
        </w:rPr>
        <w:tab/>
      </w:r>
      <w:r w:rsidR="00A74299" w:rsidRPr="00A74299">
        <w:rPr>
          <w:rtl/>
        </w:rPr>
        <w:t>(</w:t>
      </w:r>
      <w:r w:rsidR="00A74299" w:rsidRPr="00A74299">
        <w:rPr>
          <w:rStyle w:val="FootnoteReference"/>
          <w:vertAlign w:val="baseline"/>
        </w:rPr>
        <w:footnoteRef/>
      </w:r>
      <w:r w:rsidR="00A74299">
        <w:rPr>
          <w:sz w:val="26"/>
          <w:rtl/>
        </w:rPr>
        <w:t>)</w:t>
      </w:r>
      <w:r w:rsidR="00A74299">
        <w:rPr>
          <w:sz w:val="26"/>
          <w:rtl/>
        </w:rPr>
        <w:tab/>
      </w:r>
      <w:r w:rsidR="00A74299" w:rsidRPr="00A74299">
        <w:rPr>
          <w:sz w:val="26"/>
          <w:rtl/>
        </w:rPr>
        <w:t>ينبغي فهم جميع الإشارات إلى كوسوفو في هذا التقرير على أنها تمتثل بالكامل لقرار مجلس الأمن</w:t>
      </w:r>
      <w:r w:rsidR="00B053F4">
        <w:rPr>
          <w:rFonts w:hint="cs"/>
          <w:sz w:val="26"/>
          <w:rtl/>
        </w:rPr>
        <w:t> </w:t>
      </w:r>
      <w:r w:rsidR="00A74299" w:rsidRPr="00A74299">
        <w:rPr>
          <w:sz w:val="26"/>
          <w:rtl/>
        </w:rPr>
        <w:t>1244(1999)، دون المساس بمركز كوسوفو</w:t>
      </w:r>
      <w:r w:rsidR="00A74299">
        <w:rPr>
          <w:rFonts w:hint="cs"/>
          <w:sz w:val="26"/>
          <w:rtl/>
        </w:rPr>
        <w:t>.</w:t>
      </w:r>
      <w:r w:rsidR="00A74299" w:rsidRPr="00A74299">
        <w:rPr>
          <w:rtl/>
        </w:rPr>
        <w:t xml:space="preserve"> </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83BA8" w:rsidRPr="00983BA8" w:rsidRDefault="00983BA8" w:rsidP="00983BA8">
    <w:pPr>
      <w:pStyle w:val="Header"/>
      <w:jc w:val="right"/>
    </w:pPr>
    <w:r w:rsidRPr="00983BA8">
      <w:t>CED/C/SRB/CO/1</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83BA8" w:rsidRPr="00983BA8" w:rsidRDefault="00983BA8" w:rsidP="00983BA8">
    <w:pPr>
      <w:pStyle w:val="Header"/>
      <w:jc w:val="left"/>
    </w:pPr>
    <w:r w:rsidRPr="00983BA8">
      <w:t>CED/C/SRB/CO/1</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1">
    <w:nsid w:val="0B851AF4"/>
    <w:multiLevelType w:val="hybridMultilevel"/>
    <w:tmpl w:val="7740538E"/>
    <w:lvl w:ilvl="0" w:tplc="E89AD7DE">
      <w:start w:val="1"/>
      <w:numFmt w:val="bullet"/>
      <w:pStyle w:val="Bullet1GA"/>
      <w:lvlText w:val=""/>
      <w:lvlJc w:val="left"/>
      <w:pPr>
        <w:tabs>
          <w:tab w:val="num" w:pos="2495"/>
        </w:tabs>
        <w:ind w:left="2495" w:hanging="545"/>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nsid w:val="25F272F0"/>
    <w:multiLevelType w:val="hybridMultilevel"/>
    <w:tmpl w:val="842AD3E4"/>
    <w:lvl w:ilvl="0" w:tplc="E6B8D5B8">
      <w:start w:val="1"/>
      <w:numFmt w:val="decimal"/>
      <w:pStyle w:val="Roman1GA"/>
      <w:lvlText w:val="'%1'"/>
      <w:lvlJc w:val="right"/>
      <w:pPr>
        <w:tabs>
          <w:tab w:val="num" w:pos="2310"/>
        </w:tabs>
        <w:ind w:left="2310" w:hanging="360"/>
      </w:pPr>
      <w:rPr>
        <w:rFonts w:ascii="Times New Roman" w:hAnsi="Times New Roman" w:cs="Traditional Arabic" w:hint="default"/>
        <w:sz w:val="20"/>
        <w:szCs w:val="28"/>
      </w:r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3">
    <w:nsid w:val="32A75D52"/>
    <w:multiLevelType w:val="hybridMultilevel"/>
    <w:tmpl w:val="AF6C6348"/>
    <w:lvl w:ilvl="0" w:tplc="308CB36A">
      <w:start w:val="1"/>
      <w:numFmt w:val="decimal"/>
      <w:pStyle w:val="ParaNoGA"/>
      <w:lvlText w:val="%1-"/>
      <w:lvlJc w:val="left"/>
      <w:pPr>
        <w:tabs>
          <w:tab w:val="num" w:pos="1361"/>
        </w:tabs>
        <w:ind w:left="1247"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
    <w:nsid w:val="454B2370"/>
    <w:multiLevelType w:val="hybridMultilevel"/>
    <w:tmpl w:val="64AEC0BA"/>
    <w:lvl w:ilvl="0" w:tplc="DE1A3C16">
      <w:start w:val="1"/>
      <w:numFmt w:val="bullet"/>
      <w:pStyle w:val="Bullet2GA"/>
      <w:lvlText w:val=""/>
      <w:lvlJc w:val="left"/>
      <w:pPr>
        <w:tabs>
          <w:tab w:val="num" w:pos="3215"/>
        </w:tabs>
        <w:ind w:left="3215" w:hanging="36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5">
    <w:nsid w:val="48F8044A"/>
    <w:multiLevelType w:val="hybridMultilevel"/>
    <w:tmpl w:val="973C8384"/>
    <w:lvl w:ilvl="0" w:tplc="F1944034">
      <w:start w:val="1"/>
      <w:numFmt w:val="decimal"/>
      <w:lvlText w:val="(%1)"/>
      <w:lvlJc w:val="right"/>
      <w:pPr>
        <w:ind w:left="720" w:hanging="360"/>
      </w:pPr>
      <w:rPr>
        <w:rFonts w:ascii="Traditional Arabic" w:hAnsi="Traditional Arabic" w:cs="Traditional Arabic"/>
        <w:sz w:val="26"/>
        <w:szCs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6FCD5A59"/>
    <w:multiLevelType w:val="hybridMultilevel"/>
    <w:tmpl w:val="5D8E7F50"/>
    <w:lvl w:ilvl="0" w:tplc="F1944034">
      <w:start w:val="1"/>
      <w:numFmt w:val="decimal"/>
      <w:lvlRestart w:val="0"/>
      <w:lvlText w:val="(%1)"/>
      <w:lvlJc w:val="right"/>
      <w:pPr>
        <w:tabs>
          <w:tab w:val="num" w:pos="1292"/>
        </w:tabs>
        <w:ind w:left="1292" w:hanging="227"/>
      </w:pPr>
      <w:rPr>
        <w:rFonts w:ascii="Traditional Arabic" w:hAnsi="Traditional Arabic" w:cs="Traditional Arabic"/>
        <w:sz w:val="26"/>
        <w:szCs w:val="26"/>
      </w:r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7">
    <w:nsid w:val="7AE32A09"/>
    <w:multiLevelType w:val="hybridMultilevel"/>
    <w:tmpl w:val="8F4C0150"/>
    <w:lvl w:ilvl="0" w:tplc="C9160F04">
      <w:start w:val="1"/>
      <w:numFmt w:val="decimal"/>
      <w:pStyle w:val="Roman2GA"/>
      <w:lvlText w:val="'%1'"/>
      <w:lvlJc w:val="right"/>
      <w:pPr>
        <w:tabs>
          <w:tab w:val="num" w:pos="2877"/>
        </w:tabs>
        <w:ind w:left="2877" w:hanging="360"/>
      </w:pPr>
      <w:rPr>
        <w:rFonts w:ascii="Times New Roman" w:hAnsi="Times New Roman" w:cs="Traditional Arabic" w:hint="default"/>
        <w:sz w:val="20"/>
        <w:szCs w:val="28"/>
      </w:r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num w:numId="1">
    <w:abstractNumId w:val="6"/>
  </w:num>
  <w:num w:numId="2">
    <w:abstractNumId w:val="5"/>
  </w:num>
  <w:num w:numId="3">
    <w:abstractNumId w:val="1"/>
  </w:num>
  <w:num w:numId="4">
    <w:abstractNumId w:val="4"/>
  </w:num>
  <w:num w:numId="5">
    <w:abstractNumId w:val="3"/>
  </w:num>
  <w:num w:numId="6">
    <w:abstractNumId w:val="2"/>
  </w:num>
  <w:num w:numId="7">
    <w:abstractNumId w:val="7"/>
  </w:num>
  <w:num w:numId="8">
    <w:abstractNumId w:val="1"/>
  </w:num>
  <w:num w:numId="9">
    <w:abstractNumId w:val="4"/>
  </w:num>
  <w:num w:numId="10">
    <w:abstractNumId w:val="2"/>
  </w:num>
  <w:num w:numId="11">
    <w:abstractNumId w:val="7"/>
  </w:num>
  <w:num w:numId="1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attachedTemplate r:id="rId1"/>
  <w:defaultTabStop w:val="567"/>
  <w:evenAndOddHeaders/>
  <w:characterSpacingControl w:val="doNotCompress"/>
  <w:hdrShapeDefaults>
    <o:shapedefaults v:ext="edit" spidmax="8193"/>
  </w:hdrShapeDefaults>
  <w:footnotePr>
    <w:footnote w:id="-1"/>
    <w:footnote w:id="0"/>
  </w:footnotePr>
  <w:endnotePr>
    <w:numFmt w:val="decimal"/>
    <w:endnote w:id="-1"/>
    <w:endnote w:id="0"/>
  </w:endnotePr>
  <w:compat>
    <w:useNormalStyleForList/>
    <w:doNotUseIndentAsNumberingTabStop/>
    <w:useAltKinsokuLineBreakRules/>
    <w:allowSpaceOfSameStyleInTable/>
    <w:doNotSuppressIndentation/>
    <w:autofitToFirstFixedWidthCell/>
    <w:underlineTabInNumList/>
    <w:displayHangulFixedWidth/>
    <w:splitPgBreakAndParaMark/>
    <w:doNotBreakConstrainedForcedTable/>
    <w:doNotVertAlignInTxbx/>
    <w:useAnsiKerningPairs/>
    <w:cachedColBalance/>
    <w:compatSetting w:name="compatibilityMode" w:uri="http://schemas.microsoft.com/office/word" w:val="14"/>
  </w:compat>
  <w:rsids>
    <w:rsidRoot w:val="00F501FC"/>
    <w:rsid w:val="000076D5"/>
    <w:rsid w:val="000421F7"/>
    <w:rsid w:val="00043663"/>
    <w:rsid w:val="000505CF"/>
    <w:rsid w:val="000D701C"/>
    <w:rsid w:val="000E2A71"/>
    <w:rsid w:val="000F660E"/>
    <w:rsid w:val="00160263"/>
    <w:rsid w:val="00181F96"/>
    <w:rsid w:val="001A1371"/>
    <w:rsid w:val="001B346A"/>
    <w:rsid w:val="001E1CAD"/>
    <w:rsid w:val="001E290D"/>
    <w:rsid w:val="002144FA"/>
    <w:rsid w:val="0023469A"/>
    <w:rsid w:val="00243C8A"/>
    <w:rsid w:val="00250BBC"/>
    <w:rsid w:val="00267A0E"/>
    <w:rsid w:val="002901D9"/>
    <w:rsid w:val="002976C2"/>
    <w:rsid w:val="002D0072"/>
    <w:rsid w:val="002D0847"/>
    <w:rsid w:val="003260FF"/>
    <w:rsid w:val="00343D95"/>
    <w:rsid w:val="00374341"/>
    <w:rsid w:val="003D1062"/>
    <w:rsid w:val="00420D7B"/>
    <w:rsid w:val="00450B21"/>
    <w:rsid w:val="00453B63"/>
    <w:rsid w:val="00455780"/>
    <w:rsid w:val="004A14A6"/>
    <w:rsid w:val="004B0A1C"/>
    <w:rsid w:val="004B36BA"/>
    <w:rsid w:val="004D298E"/>
    <w:rsid w:val="0054472E"/>
    <w:rsid w:val="005662A9"/>
    <w:rsid w:val="005827D4"/>
    <w:rsid w:val="00583B74"/>
    <w:rsid w:val="0059622A"/>
    <w:rsid w:val="005C5878"/>
    <w:rsid w:val="005C7CEA"/>
    <w:rsid w:val="005D3C0B"/>
    <w:rsid w:val="005E5217"/>
    <w:rsid w:val="005F0FA4"/>
    <w:rsid w:val="005F30EE"/>
    <w:rsid w:val="0060473A"/>
    <w:rsid w:val="00656392"/>
    <w:rsid w:val="0068781D"/>
    <w:rsid w:val="006959B0"/>
    <w:rsid w:val="006B3E27"/>
    <w:rsid w:val="006B6507"/>
    <w:rsid w:val="006C104C"/>
    <w:rsid w:val="00733704"/>
    <w:rsid w:val="00740846"/>
    <w:rsid w:val="0078071A"/>
    <w:rsid w:val="00852A9A"/>
    <w:rsid w:val="008F49E1"/>
    <w:rsid w:val="0090370F"/>
    <w:rsid w:val="009269D2"/>
    <w:rsid w:val="00942135"/>
    <w:rsid w:val="009521B0"/>
    <w:rsid w:val="00983BA8"/>
    <w:rsid w:val="00994130"/>
    <w:rsid w:val="009A7E9F"/>
    <w:rsid w:val="009E5018"/>
    <w:rsid w:val="00A12B37"/>
    <w:rsid w:val="00A51C42"/>
    <w:rsid w:val="00A54EC9"/>
    <w:rsid w:val="00A74299"/>
    <w:rsid w:val="00AB6758"/>
    <w:rsid w:val="00B053F4"/>
    <w:rsid w:val="00B13763"/>
    <w:rsid w:val="00B477A4"/>
    <w:rsid w:val="00B54045"/>
    <w:rsid w:val="00C438D7"/>
    <w:rsid w:val="00C81AB0"/>
    <w:rsid w:val="00C81B50"/>
    <w:rsid w:val="00CB28F9"/>
    <w:rsid w:val="00CD1801"/>
    <w:rsid w:val="00CF267E"/>
    <w:rsid w:val="00D10EF1"/>
    <w:rsid w:val="00D20FEF"/>
    <w:rsid w:val="00D42810"/>
    <w:rsid w:val="00D4407C"/>
    <w:rsid w:val="00D5651F"/>
    <w:rsid w:val="00D914A7"/>
    <w:rsid w:val="00DD13C3"/>
    <w:rsid w:val="00DD596E"/>
    <w:rsid w:val="00DD621E"/>
    <w:rsid w:val="00DF0575"/>
    <w:rsid w:val="00E70E04"/>
    <w:rsid w:val="00E76499"/>
    <w:rsid w:val="00EA334D"/>
    <w:rsid w:val="00EC05A7"/>
    <w:rsid w:val="00EC3E5A"/>
    <w:rsid w:val="00EC4B6B"/>
    <w:rsid w:val="00EF1EE5"/>
    <w:rsid w:val="00F40D10"/>
    <w:rsid w:val="00F501FC"/>
    <w:rsid w:val="00F763B4"/>
    <w:rsid w:val="00F900C3"/>
    <w:rsid w:val="00FF2AB2"/>
    <w:rsid w:val="00FF6EC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8193"/>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imes New Roman"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lsdException w:name="heading 3" w:uiPriority="9"/>
    <w:lsdException w:name="heading 4" w:uiPriority="9"/>
    <w:lsdException w:name="heading 5" w:uiPriority="9"/>
    <w:lsdException w:name="heading 6" w:uiPriority="9"/>
    <w:lsdException w:name="heading 7" w:uiPriority="9"/>
    <w:lsdException w:name="heading 8" w:uiPriority="9"/>
    <w:lsdException w:name="heading 9" w:uiPriority="9"/>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qFormat="1"/>
    <w:lsdException w:name="footer" w:uiPriority="0" w:qFormat="1"/>
    <w:lsdException w:name="caption" w:uiPriority="35" w:qFormat="1"/>
    <w:lsdException w:name="footnote reference" w:uiPriority="0" w:qFormat="1"/>
    <w:lsdException w:name="page number" w:uiPriority="0" w:qFormat="1"/>
    <w:lsdException w:name="endnote text" w:uiPriority="0" w:qFormat="1"/>
    <w:lsdException w:name="List Bullet 3" w:uiPriority="0"/>
    <w:lsdException w:name="Title" w:semiHidden="0" w:uiPriority="10" w:unhideWhenUsed="0"/>
    <w:lsdException w:name="Default Paragraph Font" w:uiPriority="1"/>
    <w:lsdException w:name="Subtitle" w:semiHidden="0" w:uiPriority="11" w:unhideWhenUsed="0"/>
    <w:lsdException w:name="Strong" w:semiHidden="0" w:uiPriority="22" w:unhideWhenUsed="0"/>
    <w:lsdException w:name="Emphasis" w:semiHidden="0" w:uiPriority="20" w:unhideWhenUsed="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lsdException w:name="Quote" w:semiHidden="0" w:uiPriority="29" w:unhideWhenUsed="0"/>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6B3E27"/>
    <w:pPr>
      <w:bidi/>
      <w:spacing w:after="0" w:line="240" w:lineRule="atLeast"/>
      <w:jc w:val="lowKashida"/>
    </w:pPr>
    <w:rPr>
      <w:rFonts w:ascii="Times New Roman" w:hAnsi="Times New Roman" w:cs="Traditional Arabic"/>
      <w:sz w:val="20"/>
      <w:szCs w:val="30"/>
    </w:rPr>
  </w:style>
  <w:style w:type="paragraph" w:styleId="Heading1">
    <w:name w:val="heading 1"/>
    <w:aliases w:val="Table_GA"/>
    <w:basedOn w:val="SingleTxtGA"/>
    <w:next w:val="Normal"/>
    <w:link w:val="Heading1Char"/>
    <w:qFormat/>
    <w:rsid w:val="00AB6758"/>
    <w:pPr>
      <w:suppressAutoHyphens/>
      <w:bidi w:val="0"/>
      <w:outlineLvl w:val="0"/>
    </w:pPr>
  </w:style>
  <w:style w:type="paragraph" w:styleId="Heading2">
    <w:name w:val="heading 2"/>
    <w:basedOn w:val="Normal"/>
    <w:next w:val="Normal"/>
    <w:link w:val="Heading2Char"/>
    <w:uiPriority w:val="9"/>
    <w:unhideWhenUsed/>
    <w:rsid w:val="00455780"/>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rsid w:val="00EC4B6B"/>
    <w:pPr>
      <w:keepNext/>
      <w:keepLines/>
      <w:spacing w:before="20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rsid w:val="00EC4B6B"/>
    <w:pPr>
      <w:keepNext/>
      <w:keepLines/>
      <w:spacing w:before="20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rsid w:val="00EC4B6B"/>
    <w:pPr>
      <w:keepNext/>
      <w:keepLines/>
      <w:spacing w:before="20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rsid w:val="00EC4B6B"/>
    <w:pPr>
      <w:keepNext/>
      <w:keepLines/>
      <w:spacing w:before="20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rsid w:val="00EC4B6B"/>
    <w:pPr>
      <w:keepNext/>
      <w:keepLines/>
      <w:spacing w:before="20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rsid w:val="00EC4B6B"/>
    <w:pPr>
      <w:keepNext/>
      <w:keepLines/>
      <w:spacing w:before="200"/>
      <w:outlineLvl w:val="7"/>
    </w:pPr>
    <w:rPr>
      <w:rFonts w:asciiTheme="majorHAnsi" w:eastAsiaTheme="majorEastAsia" w:hAnsiTheme="majorHAnsi" w:cstheme="majorBidi"/>
      <w:color w:val="404040" w:themeColor="text1" w:themeTint="BF"/>
      <w:szCs w:val="20"/>
    </w:rPr>
  </w:style>
  <w:style w:type="paragraph" w:styleId="Heading9">
    <w:name w:val="heading 9"/>
    <w:basedOn w:val="Normal"/>
    <w:next w:val="Normal"/>
    <w:link w:val="Heading9Char"/>
    <w:uiPriority w:val="9"/>
    <w:unhideWhenUsed/>
    <w:rsid w:val="00EC4B6B"/>
    <w:pPr>
      <w:keepNext/>
      <w:keepLines/>
      <w:spacing w:before="200"/>
      <w:outlineLvl w:val="8"/>
    </w:pPr>
    <w:rPr>
      <w:rFonts w:asciiTheme="majorHAnsi" w:eastAsiaTheme="majorEastAsia" w:hAnsiTheme="majorHAnsi" w:cstheme="majorBidi"/>
      <w:i/>
      <w:iCs/>
      <w:color w:val="404040" w:themeColor="text1" w:themeTint="BF"/>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aliases w:val="5_G"/>
    <w:basedOn w:val="Normal"/>
    <w:link w:val="FootnoteTextChar"/>
    <w:unhideWhenUsed/>
    <w:rsid w:val="001A1371"/>
    <w:pPr>
      <w:spacing w:line="240" w:lineRule="auto"/>
    </w:pPr>
    <w:rPr>
      <w:szCs w:val="20"/>
    </w:rPr>
  </w:style>
  <w:style w:type="character" w:customStyle="1" w:styleId="FootnoteTextChar">
    <w:name w:val="Footnote Text Char"/>
    <w:aliases w:val="5_G Char"/>
    <w:basedOn w:val="DefaultParagraphFont"/>
    <w:link w:val="FootnoteText"/>
    <w:rsid w:val="001A1371"/>
    <w:rPr>
      <w:sz w:val="20"/>
      <w:szCs w:val="20"/>
    </w:rPr>
  </w:style>
  <w:style w:type="character" w:styleId="FootnoteReference">
    <w:name w:val="footnote reference"/>
    <w:aliases w:val="4_GA,4_G"/>
    <w:basedOn w:val="DefaultParagraphFont"/>
    <w:qFormat/>
    <w:rsid w:val="00AB6758"/>
    <w:rPr>
      <w:rFonts w:ascii="Times New Roman" w:hAnsi="Times New Roman" w:cs="Traditional Arabic"/>
      <w:b/>
      <w:kern w:val="0"/>
      <w:sz w:val="18"/>
      <w:szCs w:val="28"/>
      <w:vertAlign w:val="superscript"/>
    </w:rPr>
  </w:style>
  <w:style w:type="paragraph" w:customStyle="1" w:styleId="HMGA">
    <w:name w:val="_ H __M_GA"/>
    <w:basedOn w:val="Normal"/>
    <w:next w:val="Normal"/>
    <w:qFormat/>
    <w:rsid w:val="00AB6758"/>
    <w:pPr>
      <w:keepNext/>
      <w:keepLines/>
      <w:tabs>
        <w:tab w:val="right" w:pos="1021"/>
      </w:tabs>
      <w:suppressAutoHyphens/>
      <w:spacing w:before="360" w:after="240" w:line="480" w:lineRule="exact"/>
      <w:ind w:left="1247" w:right="1247" w:hanging="1247"/>
    </w:pPr>
    <w:rPr>
      <w:b/>
      <w:bCs/>
      <w:sz w:val="34"/>
      <w:szCs w:val="44"/>
    </w:rPr>
  </w:style>
  <w:style w:type="paragraph" w:customStyle="1" w:styleId="HChGA">
    <w:name w:val="_ H _Ch_GA"/>
    <w:basedOn w:val="Normal"/>
    <w:next w:val="Normal"/>
    <w:qFormat/>
    <w:rsid w:val="00AB6758"/>
    <w:pPr>
      <w:keepNext/>
      <w:keepLines/>
      <w:tabs>
        <w:tab w:val="right" w:pos="1021"/>
      </w:tabs>
      <w:suppressAutoHyphens/>
      <w:spacing w:before="360" w:after="240" w:line="440" w:lineRule="exact"/>
      <w:ind w:left="1247" w:right="1247" w:hanging="1247"/>
    </w:pPr>
    <w:rPr>
      <w:b/>
      <w:bCs/>
      <w:sz w:val="28"/>
      <w:szCs w:val="38"/>
    </w:rPr>
  </w:style>
  <w:style w:type="paragraph" w:customStyle="1" w:styleId="H1GA">
    <w:name w:val="_ H_1_GA"/>
    <w:basedOn w:val="Normal"/>
    <w:next w:val="Normal"/>
    <w:qFormat/>
    <w:rsid w:val="00AB6758"/>
    <w:pPr>
      <w:keepNext/>
      <w:keepLines/>
      <w:tabs>
        <w:tab w:val="right" w:pos="1021"/>
      </w:tabs>
      <w:suppressAutoHyphens/>
      <w:spacing w:before="240" w:after="240" w:line="400" w:lineRule="exact"/>
      <w:ind w:left="1247" w:right="1247" w:hanging="1247"/>
    </w:pPr>
    <w:rPr>
      <w:b/>
      <w:bCs/>
      <w:sz w:val="24"/>
      <w:szCs w:val="34"/>
    </w:rPr>
  </w:style>
  <w:style w:type="paragraph" w:customStyle="1" w:styleId="H23GA">
    <w:name w:val="_ H_2/3_GA"/>
    <w:basedOn w:val="Normal"/>
    <w:next w:val="Normal"/>
    <w:qFormat/>
    <w:rsid w:val="00CF267E"/>
    <w:pPr>
      <w:keepNext/>
      <w:keepLines/>
      <w:tabs>
        <w:tab w:val="right" w:pos="1021"/>
      </w:tabs>
      <w:spacing w:before="120" w:after="120" w:line="380" w:lineRule="exact"/>
      <w:ind w:left="1247" w:right="1247" w:hanging="1247"/>
    </w:pPr>
    <w:rPr>
      <w:b/>
      <w:bCs/>
      <w:lang w:eastAsia="ar-SA"/>
    </w:rPr>
  </w:style>
  <w:style w:type="paragraph" w:customStyle="1" w:styleId="H4GA">
    <w:name w:val="_ H_4_GA"/>
    <w:basedOn w:val="Normal"/>
    <w:next w:val="Normal"/>
    <w:qFormat/>
    <w:rsid w:val="00AB6758"/>
    <w:pPr>
      <w:keepNext/>
      <w:keepLines/>
      <w:tabs>
        <w:tab w:val="right" w:pos="1021"/>
      </w:tabs>
      <w:suppressAutoHyphens/>
      <w:spacing w:before="120" w:after="120" w:line="380" w:lineRule="exact"/>
      <w:ind w:left="1247" w:right="1247" w:hanging="1247"/>
    </w:pPr>
    <w:rPr>
      <w:i/>
      <w:iCs/>
    </w:rPr>
  </w:style>
  <w:style w:type="paragraph" w:customStyle="1" w:styleId="H56GA">
    <w:name w:val="_ H_5/6_GA"/>
    <w:basedOn w:val="Normal"/>
    <w:next w:val="Normal"/>
    <w:qFormat/>
    <w:rsid w:val="00AB6758"/>
    <w:pPr>
      <w:keepNext/>
      <w:keepLines/>
      <w:tabs>
        <w:tab w:val="right" w:pos="1021"/>
      </w:tabs>
      <w:suppressAutoHyphens/>
      <w:spacing w:before="120" w:after="120" w:line="380" w:lineRule="exact"/>
      <w:ind w:left="1247" w:right="1247" w:hanging="1247"/>
    </w:pPr>
  </w:style>
  <w:style w:type="paragraph" w:customStyle="1" w:styleId="SingleTxtGA">
    <w:name w:val="_ Single Txt_GA"/>
    <w:basedOn w:val="Normal"/>
    <w:qFormat/>
    <w:rsid w:val="00AB6758"/>
    <w:pPr>
      <w:tabs>
        <w:tab w:val="left" w:pos="1928"/>
        <w:tab w:val="left" w:pos="2608"/>
        <w:tab w:val="left" w:pos="3289"/>
        <w:tab w:val="left" w:pos="3969"/>
        <w:tab w:val="left" w:pos="4649"/>
        <w:tab w:val="left" w:pos="5330"/>
      </w:tabs>
      <w:spacing w:after="120" w:line="380" w:lineRule="exact"/>
      <w:ind w:left="1247" w:right="1247"/>
    </w:pPr>
  </w:style>
  <w:style w:type="paragraph" w:customStyle="1" w:styleId="SLGA">
    <w:name w:val="__S_L_GA"/>
    <w:basedOn w:val="Normal"/>
    <w:next w:val="Normal"/>
    <w:qFormat/>
    <w:rsid w:val="00AB6758"/>
    <w:pPr>
      <w:keepNext/>
      <w:keepLines/>
      <w:suppressAutoHyphens/>
      <w:bidi w:val="0"/>
      <w:spacing w:before="240" w:after="240" w:line="800" w:lineRule="exact"/>
      <w:ind w:left="1247" w:right="1247"/>
    </w:pPr>
    <w:rPr>
      <w:b/>
      <w:bCs/>
      <w:sz w:val="56"/>
      <w:szCs w:val="84"/>
    </w:rPr>
  </w:style>
  <w:style w:type="paragraph" w:customStyle="1" w:styleId="SMGA">
    <w:name w:val="__S_M_GA"/>
    <w:basedOn w:val="Normal"/>
    <w:next w:val="Normal"/>
    <w:qFormat/>
    <w:rsid w:val="00AB6758"/>
    <w:pPr>
      <w:keepNext/>
      <w:keepLines/>
      <w:suppressAutoHyphens/>
      <w:bidi w:val="0"/>
      <w:spacing w:before="240" w:after="240" w:line="560" w:lineRule="exact"/>
      <w:ind w:left="1247" w:right="1247"/>
    </w:pPr>
    <w:rPr>
      <w:b/>
      <w:bCs/>
      <w:sz w:val="40"/>
      <w:szCs w:val="60"/>
    </w:rPr>
  </w:style>
  <w:style w:type="paragraph" w:customStyle="1" w:styleId="SSGA">
    <w:name w:val="__S_S_GA"/>
    <w:basedOn w:val="Normal"/>
    <w:next w:val="Normal"/>
    <w:qFormat/>
    <w:rsid w:val="00AB6758"/>
    <w:pPr>
      <w:keepNext/>
      <w:keepLines/>
      <w:suppressAutoHyphens/>
      <w:bidi w:val="0"/>
      <w:spacing w:before="240" w:after="240" w:line="440" w:lineRule="exact"/>
      <w:ind w:left="1134" w:right="1134"/>
    </w:pPr>
    <w:rPr>
      <w:b/>
      <w:bCs/>
      <w:sz w:val="28"/>
      <w:szCs w:val="38"/>
    </w:rPr>
  </w:style>
  <w:style w:type="paragraph" w:customStyle="1" w:styleId="XLargeGA">
    <w:name w:val="__XLarge_GA"/>
    <w:basedOn w:val="Normal"/>
    <w:qFormat/>
    <w:rsid w:val="00AB6758"/>
    <w:pPr>
      <w:keepNext/>
      <w:keepLines/>
      <w:tabs>
        <w:tab w:val="right" w:leader="dot" w:pos="360"/>
      </w:tabs>
      <w:suppressAutoHyphens/>
      <w:spacing w:before="240" w:after="240" w:line="580" w:lineRule="exact"/>
      <w:ind w:left="1247" w:right="1247"/>
    </w:pPr>
    <w:rPr>
      <w:b/>
      <w:bCs/>
      <w:sz w:val="40"/>
      <w:szCs w:val="60"/>
    </w:rPr>
  </w:style>
  <w:style w:type="paragraph" w:customStyle="1" w:styleId="Bullet1GA">
    <w:name w:val="_Bullet 1_GA"/>
    <w:basedOn w:val="Normal"/>
    <w:qFormat/>
    <w:rsid w:val="00F900C3"/>
    <w:pPr>
      <w:numPr>
        <w:numId w:val="8"/>
      </w:numPr>
      <w:suppressAutoHyphens/>
      <w:bidi w:val="0"/>
      <w:spacing w:after="120" w:line="380" w:lineRule="exact"/>
      <w:ind w:right="1247"/>
    </w:pPr>
  </w:style>
  <w:style w:type="paragraph" w:customStyle="1" w:styleId="Bullet2GA">
    <w:name w:val="_Bullet 2_GA"/>
    <w:basedOn w:val="Normal"/>
    <w:qFormat/>
    <w:rsid w:val="00F900C3"/>
    <w:pPr>
      <w:numPr>
        <w:numId w:val="9"/>
      </w:numPr>
      <w:tabs>
        <w:tab w:val="left" w:pos="3062"/>
      </w:tabs>
      <w:suppressAutoHyphens/>
      <w:bidi w:val="0"/>
      <w:spacing w:after="120" w:line="380" w:lineRule="exact"/>
      <w:ind w:right="1247"/>
    </w:pPr>
  </w:style>
  <w:style w:type="paragraph" w:customStyle="1" w:styleId="ParaNoGA">
    <w:name w:val="_ParaNo._GA"/>
    <w:basedOn w:val="SingleTxtGA"/>
    <w:qFormat/>
    <w:rsid w:val="00AB6758"/>
    <w:pPr>
      <w:numPr>
        <w:numId w:val="5"/>
      </w:numPr>
      <w:suppressAutoHyphens/>
      <w:bidi w:val="0"/>
    </w:pPr>
  </w:style>
  <w:style w:type="paragraph" w:customStyle="1" w:styleId="Roman1GA">
    <w:name w:val="_Roman 1_GA"/>
    <w:basedOn w:val="Bullet1GA"/>
    <w:qFormat/>
    <w:rsid w:val="00F900C3"/>
    <w:pPr>
      <w:numPr>
        <w:numId w:val="10"/>
      </w:numPr>
    </w:pPr>
  </w:style>
  <w:style w:type="paragraph" w:customStyle="1" w:styleId="Roman2GA">
    <w:name w:val="_Roman 2_GA"/>
    <w:basedOn w:val="Bullet2GA"/>
    <w:next w:val="Normal"/>
    <w:qFormat/>
    <w:rsid w:val="00F900C3"/>
    <w:pPr>
      <w:numPr>
        <w:numId w:val="11"/>
      </w:numPr>
    </w:pPr>
  </w:style>
  <w:style w:type="paragraph" w:styleId="EndnoteText">
    <w:name w:val="endnote text"/>
    <w:aliases w:val="2_ GA"/>
    <w:basedOn w:val="Normal"/>
    <w:link w:val="EndnoteTextChar"/>
    <w:qFormat/>
    <w:rsid w:val="00AB6758"/>
    <w:pPr>
      <w:tabs>
        <w:tab w:val="right" w:pos="1021"/>
      </w:tabs>
      <w:spacing w:after="120" w:line="300" w:lineRule="exact"/>
      <w:ind w:left="1247" w:right="1247" w:hanging="1247"/>
    </w:pPr>
    <w:rPr>
      <w:sz w:val="18"/>
      <w:szCs w:val="26"/>
    </w:rPr>
  </w:style>
  <w:style w:type="character" w:customStyle="1" w:styleId="EndnoteTextChar">
    <w:name w:val="Endnote Text Char"/>
    <w:aliases w:val="2_ GA Char"/>
    <w:basedOn w:val="DefaultParagraphFont"/>
    <w:link w:val="EndnoteText"/>
    <w:rsid w:val="00AB6758"/>
    <w:rPr>
      <w:rFonts w:ascii="Times New Roman" w:eastAsia="Times New Roman" w:hAnsi="Times New Roman" w:cs="Traditional Arabic"/>
      <w:sz w:val="18"/>
      <w:szCs w:val="26"/>
    </w:rPr>
  </w:style>
  <w:style w:type="character" w:customStyle="1" w:styleId="EndtnoteReference">
    <w:name w:val="Endtnote Reference"/>
    <w:aliases w:val="1_GA"/>
    <w:basedOn w:val="DefaultParagraphFont"/>
    <w:qFormat/>
    <w:rsid w:val="00F900C3"/>
    <w:rPr>
      <w:rFonts w:ascii="Times New Roman" w:hAnsi="Times New Roman" w:cs="Traditional Arabic"/>
      <w:b/>
      <w:kern w:val="0"/>
      <w:sz w:val="18"/>
      <w:szCs w:val="28"/>
      <w:vertAlign w:val="superscript"/>
    </w:rPr>
  </w:style>
  <w:style w:type="paragraph" w:styleId="Footer">
    <w:name w:val="footer"/>
    <w:aliases w:val="3_GA,3_G"/>
    <w:basedOn w:val="Normal"/>
    <w:link w:val="FooterChar"/>
    <w:qFormat/>
    <w:rsid w:val="00AB6758"/>
    <w:pPr>
      <w:suppressAutoHyphens/>
      <w:bidi w:val="0"/>
      <w:spacing w:line="240" w:lineRule="auto"/>
    </w:pPr>
    <w:rPr>
      <w:sz w:val="16"/>
      <w:szCs w:val="22"/>
      <w:lang w:val="en-GB"/>
    </w:rPr>
  </w:style>
  <w:style w:type="character" w:customStyle="1" w:styleId="FooterChar">
    <w:name w:val="Footer Char"/>
    <w:aliases w:val="3_GA Char,3_G Char"/>
    <w:basedOn w:val="DefaultParagraphFont"/>
    <w:link w:val="Footer"/>
    <w:rsid w:val="00AB6758"/>
    <w:rPr>
      <w:rFonts w:ascii="Times New Roman" w:eastAsia="Times New Roman" w:hAnsi="Times New Roman" w:cs="Traditional Arabic"/>
      <w:sz w:val="16"/>
      <w:lang w:val="en-GB"/>
    </w:rPr>
  </w:style>
  <w:style w:type="paragraph" w:customStyle="1" w:styleId="FootnoteText1">
    <w:name w:val="Footnote Text1"/>
    <w:aliases w:val="5_GA"/>
    <w:basedOn w:val="Normal"/>
    <w:qFormat/>
    <w:rsid w:val="00994130"/>
    <w:pPr>
      <w:spacing w:after="60" w:line="300" w:lineRule="exact"/>
      <w:ind w:left="1247" w:right="1247" w:hanging="567"/>
    </w:pPr>
    <w:rPr>
      <w:sz w:val="18"/>
      <w:szCs w:val="26"/>
    </w:rPr>
  </w:style>
  <w:style w:type="paragraph" w:styleId="Header">
    <w:name w:val="header"/>
    <w:aliases w:val="6_GA"/>
    <w:basedOn w:val="Normal"/>
    <w:link w:val="HeaderChar"/>
    <w:qFormat/>
    <w:rsid w:val="00AB6758"/>
    <w:pPr>
      <w:pBdr>
        <w:bottom w:val="single" w:sz="4" w:space="4" w:color="auto"/>
      </w:pBdr>
      <w:suppressAutoHyphens/>
      <w:bidi w:val="0"/>
    </w:pPr>
    <w:rPr>
      <w:b/>
      <w:bCs/>
      <w:sz w:val="18"/>
      <w:szCs w:val="26"/>
    </w:rPr>
  </w:style>
  <w:style w:type="character" w:customStyle="1" w:styleId="HeaderChar">
    <w:name w:val="Header Char"/>
    <w:aliases w:val="6_GA Char"/>
    <w:basedOn w:val="DefaultParagraphFont"/>
    <w:link w:val="Header"/>
    <w:rsid w:val="00AB6758"/>
    <w:rPr>
      <w:rFonts w:ascii="Times New Roman" w:eastAsia="Times New Roman" w:hAnsi="Times New Roman" w:cs="Traditional Arabic"/>
      <w:b/>
      <w:bCs/>
      <w:sz w:val="18"/>
      <w:szCs w:val="26"/>
    </w:rPr>
  </w:style>
  <w:style w:type="character" w:customStyle="1" w:styleId="Heading1Char">
    <w:name w:val="Heading 1 Char"/>
    <w:aliases w:val="Table_GA Char"/>
    <w:basedOn w:val="DefaultParagraphFont"/>
    <w:link w:val="Heading1"/>
    <w:rsid w:val="00AB6758"/>
    <w:rPr>
      <w:rFonts w:ascii="Times New Roman" w:eastAsia="Times New Roman" w:hAnsi="Times New Roman" w:cs="Traditional Arabic"/>
      <w:sz w:val="20"/>
      <w:szCs w:val="30"/>
    </w:rPr>
  </w:style>
  <w:style w:type="character" w:styleId="PageNumber">
    <w:name w:val="page number"/>
    <w:aliases w:val="7_GA"/>
    <w:basedOn w:val="DefaultParagraphFont"/>
    <w:qFormat/>
    <w:rsid w:val="00AB6758"/>
    <w:rPr>
      <w:rFonts w:ascii="Times New Roman" w:hAnsi="Times New Roman"/>
      <w:b/>
      <w:sz w:val="18"/>
    </w:rPr>
  </w:style>
  <w:style w:type="paragraph" w:customStyle="1" w:styleId="XXLargeGA">
    <w:name w:val="XXLarge_GA"/>
    <w:basedOn w:val="XLargeGA"/>
    <w:next w:val="Normal"/>
    <w:qFormat/>
    <w:rsid w:val="00AB6758"/>
    <w:pPr>
      <w:spacing w:line="820" w:lineRule="exact"/>
    </w:pPr>
    <w:rPr>
      <w:spacing w:val="-8"/>
      <w:w w:val="96"/>
      <w:sz w:val="57"/>
      <w:szCs w:val="86"/>
    </w:rPr>
  </w:style>
  <w:style w:type="character" w:customStyle="1" w:styleId="Heading2Char">
    <w:name w:val="Heading 2 Char"/>
    <w:basedOn w:val="DefaultParagraphFont"/>
    <w:link w:val="Heading2"/>
    <w:uiPriority w:val="9"/>
    <w:rsid w:val="00455780"/>
    <w:rPr>
      <w:rFonts w:asciiTheme="majorHAnsi" w:eastAsiaTheme="majorEastAsia" w:hAnsiTheme="majorHAnsi" w:cstheme="majorBidi"/>
      <w:b/>
      <w:bCs/>
      <w:color w:val="4F81BD" w:themeColor="accent1"/>
      <w:sz w:val="26"/>
      <w:szCs w:val="26"/>
    </w:rPr>
  </w:style>
  <w:style w:type="character" w:styleId="BookTitle">
    <w:name w:val="Book Title"/>
    <w:basedOn w:val="DefaultParagraphFont"/>
    <w:uiPriority w:val="33"/>
    <w:rsid w:val="00455780"/>
    <w:rPr>
      <w:b/>
      <w:bCs/>
      <w:smallCaps/>
      <w:spacing w:val="5"/>
    </w:rPr>
  </w:style>
  <w:style w:type="character" w:customStyle="1" w:styleId="Heading3Char">
    <w:name w:val="Heading 3 Char"/>
    <w:basedOn w:val="DefaultParagraphFont"/>
    <w:link w:val="Heading3"/>
    <w:uiPriority w:val="9"/>
    <w:rsid w:val="00EC4B6B"/>
    <w:rPr>
      <w:rFonts w:asciiTheme="majorHAnsi" w:eastAsiaTheme="majorEastAsia" w:hAnsiTheme="majorHAnsi" w:cstheme="majorBidi"/>
      <w:b/>
      <w:bCs/>
      <w:color w:val="4F81BD" w:themeColor="accent1"/>
      <w:sz w:val="20"/>
      <w:szCs w:val="30"/>
    </w:rPr>
  </w:style>
  <w:style w:type="character" w:customStyle="1" w:styleId="Heading4Char">
    <w:name w:val="Heading 4 Char"/>
    <w:basedOn w:val="DefaultParagraphFont"/>
    <w:link w:val="Heading4"/>
    <w:uiPriority w:val="9"/>
    <w:rsid w:val="00EC4B6B"/>
    <w:rPr>
      <w:rFonts w:asciiTheme="majorHAnsi" w:eastAsiaTheme="majorEastAsia" w:hAnsiTheme="majorHAnsi" w:cstheme="majorBidi"/>
      <w:b/>
      <w:bCs/>
      <w:i/>
      <w:iCs/>
      <w:color w:val="4F81BD" w:themeColor="accent1"/>
      <w:sz w:val="20"/>
      <w:szCs w:val="30"/>
    </w:rPr>
  </w:style>
  <w:style w:type="character" w:customStyle="1" w:styleId="Heading5Char">
    <w:name w:val="Heading 5 Char"/>
    <w:basedOn w:val="DefaultParagraphFont"/>
    <w:link w:val="Heading5"/>
    <w:uiPriority w:val="9"/>
    <w:rsid w:val="00EC4B6B"/>
    <w:rPr>
      <w:rFonts w:asciiTheme="majorHAnsi" w:eastAsiaTheme="majorEastAsia" w:hAnsiTheme="majorHAnsi" w:cstheme="majorBidi"/>
      <w:color w:val="243F60" w:themeColor="accent1" w:themeShade="7F"/>
      <w:sz w:val="20"/>
      <w:szCs w:val="30"/>
    </w:rPr>
  </w:style>
  <w:style w:type="character" w:customStyle="1" w:styleId="Heading6Char">
    <w:name w:val="Heading 6 Char"/>
    <w:basedOn w:val="DefaultParagraphFont"/>
    <w:link w:val="Heading6"/>
    <w:uiPriority w:val="9"/>
    <w:rsid w:val="00EC4B6B"/>
    <w:rPr>
      <w:rFonts w:asciiTheme="majorHAnsi" w:eastAsiaTheme="majorEastAsia" w:hAnsiTheme="majorHAnsi" w:cstheme="majorBidi"/>
      <w:i/>
      <w:iCs/>
      <w:color w:val="243F60" w:themeColor="accent1" w:themeShade="7F"/>
      <w:sz w:val="20"/>
      <w:szCs w:val="30"/>
    </w:rPr>
  </w:style>
  <w:style w:type="character" w:customStyle="1" w:styleId="Heading7Char">
    <w:name w:val="Heading 7 Char"/>
    <w:basedOn w:val="DefaultParagraphFont"/>
    <w:link w:val="Heading7"/>
    <w:uiPriority w:val="9"/>
    <w:rsid w:val="00EC4B6B"/>
    <w:rPr>
      <w:rFonts w:asciiTheme="majorHAnsi" w:eastAsiaTheme="majorEastAsia" w:hAnsiTheme="majorHAnsi" w:cstheme="majorBidi"/>
      <w:i/>
      <w:iCs/>
      <w:color w:val="404040" w:themeColor="text1" w:themeTint="BF"/>
      <w:sz w:val="20"/>
      <w:szCs w:val="30"/>
    </w:rPr>
  </w:style>
  <w:style w:type="character" w:customStyle="1" w:styleId="Heading8Char">
    <w:name w:val="Heading 8 Char"/>
    <w:basedOn w:val="DefaultParagraphFont"/>
    <w:link w:val="Heading8"/>
    <w:uiPriority w:val="9"/>
    <w:rsid w:val="00EC4B6B"/>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EC4B6B"/>
    <w:rPr>
      <w:rFonts w:asciiTheme="majorHAnsi" w:eastAsiaTheme="majorEastAsia" w:hAnsiTheme="majorHAnsi" w:cstheme="majorBidi"/>
      <w:i/>
      <w:iCs/>
      <w:color w:val="404040" w:themeColor="text1" w:themeTint="BF"/>
      <w:sz w:val="20"/>
      <w:szCs w:val="20"/>
    </w:rPr>
  </w:style>
  <w:style w:type="paragraph" w:styleId="Title">
    <w:name w:val="Title"/>
    <w:basedOn w:val="Normal"/>
    <w:next w:val="Normal"/>
    <w:link w:val="TitleChar"/>
    <w:uiPriority w:val="10"/>
    <w:rsid w:val="00EC4B6B"/>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EC4B6B"/>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rsid w:val="00EC4B6B"/>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EC4B6B"/>
    <w:rPr>
      <w:rFonts w:asciiTheme="majorHAnsi" w:eastAsiaTheme="majorEastAsia" w:hAnsiTheme="majorHAnsi" w:cstheme="majorBidi"/>
      <w:i/>
      <w:iCs/>
      <w:color w:val="4F81BD" w:themeColor="accent1"/>
      <w:spacing w:val="15"/>
      <w:sz w:val="24"/>
      <w:szCs w:val="24"/>
    </w:rPr>
  </w:style>
  <w:style w:type="character" w:styleId="SubtleEmphasis">
    <w:name w:val="Subtle Emphasis"/>
    <w:basedOn w:val="DefaultParagraphFont"/>
    <w:uiPriority w:val="19"/>
    <w:rsid w:val="00EC4B6B"/>
    <w:rPr>
      <w:i/>
      <w:iCs/>
      <w:color w:val="808080" w:themeColor="text1" w:themeTint="7F"/>
    </w:rPr>
  </w:style>
  <w:style w:type="table" w:styleId="ColorfulGrid-Accent6">
    <w:name w:val="Colorful Grid Accent 6"/>
    <w:basedOn w:val="TableNormal"/>
    <w:uiPriority w:val="73"/>
    <w:rsid w:val="00EC4B6B"/>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character" w:styleId="Emphasis">
    <w:name w:val="Emphasis"/>
    <w:basedOn w:val="DefaultParagraphFont"/>
    <w:uiPriority w:val="20"/>
    <w:rsid w:val="003260FF"/>
    <w:rPr>
      <w:i/>
      <w:iCs/>
    </w:rPr>
  </w:style>
  <w:style w:type="character" w:styleId="IntenseEmphasis">
    <w:name w:val="Intense Emphasis"/>
    <w:basedOn w:val="DefaultParagraphFont"/>
    <w:uiPriority w:val="21"/>
    <w:rsid w:val="003260FF"/>
    <w:rPr>
      <w:b/>
      <w:bCs/>
      <w:i/>
      <w:iCs/>
      <w:color w:val="4F81BD" w:themeColor="accent1"/>
    </w:rPr>
  </w:style>
  <w:style w:type="character" w:styleId="Strong">
    <w:name w:val="Strong"/>
    <w:basedOn w:val="DefaultParagraphFont"/>
    <w:uiPriority w:val="22"/>
    <w:rsid w:val="003260FF"/>
    <w:rPr>
      <w:b/>
      <w:bCs/>
    </w:rPr>
  </w:style>
  <w:style w:type="paragraph" w:styleId="Quote">
    <w:name w:val="Quote"/>
    <w:basedOn w:val="Normal"/>
    <w:next w:val="Normal"/>
    <w:link w:val="QuoteChar"/>
    <w:uiPriority w:val="29"/>
    <w:rsid w:val="003260FF"/>
    <w:rPr>
      <w:i/>
      <w:iCs/>
      <w:color w:val="000000" w:themeColor="text1"/>
    </w:rPr>
  </w:style>
  <w:style w:type="character" w:customStyle="1" w:styleId="QuoteChar">
    <w:name w:val="Quote Char"/>
    <w:basedOn w:val="DefaultParagraphFont"/>
    <w:link w:val="Quote"/>
    <w:uiPriority w:val="29"/>
    <w:rsid w:val="003260FF"/>
    <w:rPr>
      <w:rFonts w:ascii="Times New Roman" w:hAnsi="Times New Roman" w:cs="Traditional Arabic"/>
      <w:i/>
      <w:iCs/>
      <w:color w:val="000000" w:themeColor="text1"/>
      <w:sz w:val="20"/>
      <w:szCs w:val="30"/>
    </w:rPr>
  </w:style>
  <w:style w:type="paragraph" w:styleId="IntenseQuote">
    <w:name w:val="Intense Quote"/>
    <w:basedOn w:val="Normal"/>
    <w:next w:val="Normal"/>
    <w:link w:val="IntenseQuoteChar"/>
    <w:uiPriority w:val="30"/>
    <w:rsid w:val="003260F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3260FF"/>
    <w:rPr>
      <w:rFonts w:ascii="Times New Roman" w:hAnsi="Times New Roman" w:cs="Traditional Arabic"/>
      <w:b/>
      <w:bCs/>
      <w:i/>
      <w:iCs/>
      <w:color w:val="4F81BD" w:themeColor="accent1"/>
      <w:sz w:val="20"/>
      <w:szCs w:val="30"/>
    </w:rPr>
  </w:style>
  <w:style w:type="character" w:styleId="SubtleReference">
    <w:name w:val="Subtle Reference"/>
    <w:basedOn w:val="DefaultParagraphFont"/>
    <w:uiPriority w:val="31"/>
    <w:rsid w:val="003260FF"/>
    <w:rPr>
      <w:smallCaps/>
      <w:color w:val="C0504D" w:themeColor="accent2"/>
      <w:u w:val="single"/>
    </w:rPr>
  </w:style>
  <w:style w:type="character" w:styleId="IntenseReference">
    <w:name w:val="Intense Reference"/>
    <w:basedOn w:val="DefaultParagraphFont"/>
    <w:uiPriority w:val="32"/>
    <w:rsid w:val="003260FF"/>
    <w:rPr>
      <w:b/>
      <w:bCs/>
      <w:smallCaps/>
      <w:color w:val="C0504D" w:themeColor="accent2"/>
      <w:spacing w:val="5"/>
      <w:u w:val="single"/>
    </w:rPr>
  </w:style>
  <w:style w:type="paragraph" w:styleId="ListParagraph">
    <w:name w:val="List Paragraph"/>
    <w:basedOn w:val="Normal"/>
    <w:uiPriority w:val="34"/>
    <w:rsid w:val="003260FF"/>
    <w:pPr>
      <w:ind w:left="720"/>
      <w:contextualSpacing/>
    </w:pPr>
  </w:style>
  <w:style w:type="table" w:styleId="MediumShading1-Accent4">
    <w:name w:val="Medium Shading 1 Accent 4"/>
    <w:basedOn w:val="TableNormal"/>
    <w:uiPriority w:val="63"/>
    <w:rsid w:val="003260FF"/>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character" w:styleId="EndnoteReference">
    <w:name w:val="endnote reference"/>
    <w:basedOn w:val="DefaultParagraphFont"/>
    <w:uiPriority w:val="99"/>
    <w:semiHidden/>
    <w:unhideWhenUsed/>
    <w:rsid w:val="00F900C3"/>
    <w:rPr>
      <w:vertAlign w:val="superscript"/>
    </w:rPr>
  </w:style>
  <w:style w:type="table" w:styleId="TableGrid">
    <w:name w:val="Table Grid"/>
    <w:basedOn w:val="TableNormal"/>
    <w:rsid w:val="006B3E27"/>
    <w:pPr>
      <w:bidi/>
      <w:spacing w:after="0" w:line="240" w:lineRule="auto"/>
      <w:jc w:val="lowKashida"/>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B3E27"/>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B3E27"/>
    <w:rPr>
      <w:rFonts w:ascii="Tahoma" w:hAnsi="Tahoma" w:cs="Tahoma"/>
      <w:sz w:val="16"/>
      <w:szCs w:val="16"/>
    </w:rPr>
  </w:style>
  <w:style w:type="paragraph" w:customStyle="1" w:styleId="HChG">
    <w:name w:val="_ H _Ch_G"/>
    <w:basedOn w:val="Normal"/>
    <w:next w:val="Normal"/>
    <w:rsid w:val="00983BA8"/>
    <w:pPr>
      <w:keepNext/>
      <w:keepLines/>
      <w:tabs>
        <w:tab w:val="right" w:pos="851"/>
      </w:tabs>
      <w:suppressAutoHyphens/>
      <w:bidi w:val="0"/>
      <w:spacing w:before="360" w:after="240" w:line="300" w:lineRule="exact"/>
      <w:ind w:left="1134" w:right="1134" w:hanging="1134"/>
      <w:jc w:val="left"/>
    </w:pPr>
    <w:rPr>
      <w:rFonts w:eastAsia="SimSun" w:hint="cs"/>
      <w:b/>
      <w:sz w:val="28"/>
      <w:lang w:val="en-GB"/>
    </w:rPr>
  </w:style>
  <w:style w:type="paragraph" w:customStyle="1" w:styleId="SingleTxtG">
    <w:name w:val="_ Single Txt_G"/>
    <w:basedOn w:val="Normal"/>
    <w:rsid w:val="00983BA8"/>
    <w:pPr>
      <w:suppressAutoHyphens/>
      <w:bidi w:val="0"/>
      <w:spacing w:after="120"/>
      <w:ind w:left="1134" w:right="1134"/>
      <w:jc w:val="both"/>
    </w:pPr>
    <w:rPr>
      <w:rFonts w:eastAsia="SimSun" w:hint="cs"/>
      <w:lang w:val="en-GB"/>
    </w:rPr>
  </w:style>
  <w:style w:type="paragraph" w:customStyle="1" w:styleId="H1G">
    <w:name w:val="_ H_1_G"/>
    <w:basedOn w:val="Normal"/>
    <w:next w:val="Normal"/>
    <w:rsid w:val="00983BA8"/>
    <w:pPr>
      <w:keepNext/>
      <w:keepLines/>
      <w:tabs>
        <w:tab w:val="right" w:pos="851"/>
      </w:tabs>
      <w:suppressAutoHyphens/>
      <w:bidi w:val="0"/>
      <w:spacing w:before="360" w:after="240" w:line="270" w:lineRule="exact"/>
      <w:ind w:left="1134" w:right="1134" w:hanging="1134"/>
      <w:jc w:val="left"/>
    </w:pPr>
    <w:rPr>
      <w:rFonts w:eastAsia="SimSun" w:hint="cs"/>
      <w:b/>
      <w:sz w:val="24"/>
      <w:lang w:val="en-GB"/>
    </w:rPr>
  </w:style>
  <w:style w:type="paragraph" w:customStyle="1" w:styleId="H23G">
    <w:name w:val="_ H_2/3_G"/>
    <w:basedOn w:val="Normal"/>
    <w:next w:val="Normal"/>
    <w:rsid w:val="00983BA8"/>
    <w:pPr>
      <w:keepNext/>
      <w:keepLines/>
      <w:tabs>
        <w:tab w:val="right" w:pos="851"/>
      </w:tabs>
      <w:suppressAutoHyphens/>
      <w:bidi w:val="0"/>
      <w:spacing w:before="240" w:after="120" w:line="240" w:lineRule="exact"/>
      <w:ind w:left="1134" w:right="1134" w:hanging="1134"/>
      <w:jc w:val="left"/>
    </w:pPr>
    <w:rPr>
      <w:rFonts w:eastAsia="SimSun" w:hint="cs"/>
      <w:b/>
      <w:lang w:val="en-GB"/>
    </w:rPr>
  </w:style>
  <w:style w:type="paragraph" w:styleId="ListBullet3">
    <w:name w:val="List Bullet 3"/>
    <w:basedOn w:val="Normal"/>
    <w:semiHidden/>
    <w:rsid w:val="00983BA8"/>
    <w:pPr>
      <w:numPr>
        <w:numId w:val="12"/>
      </w:numPr>
      <w:suppressAutoHyphens/>
      <w:bidi w:val="0"/>
      <w:jc w:val="left"/>
    </w:pPr>
    <w:rPr>
      <w:rFonts w:eastAsia="SimSun" w:hint="cs"/>
      <w:lang w:val="en-GB"/>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imes New Roman"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lsdException w:name="heading 3" w:uiPriority="9"/>
    <w:lsdException w:name="heading 4" w:uiPriority="9"/>
    <w:lsdException w:name="heading 5" w:uiPriority="9"/>
    <w:lsdException w:name="heading 6" w:uiPriority="9"/>
    <w:lsdException w:name="heading 7" w:uiPriority="9"/>
    <w:lsdException w:name="heading 8" w:uiPriority="9"/>
    <w:lsdException w:name="heading 9" w:uiPriority="9"/>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qFormat="1"/>
    <w:lsdException w:name="footer" w:uiPriority="0" w:qFormat="1"/>
    <w:lsdException w:name="caption" w:uiPriority="35" w:qFormat="1"/>
    <w:lsdException w:name="footnote reference" w:uiPriority="0" w:qFormat="1"/>
    <w:lsdException w:name="page number" w:uiPriority="0" w:qFormat="1"/>
    <w:lsdException w:name="endnote text" w:uiPriority="0" w:qFormat="1"/>
    <w:lsdException w:name="List Bullet 3" w:uiPriority="0"/>
    <w:lsdException w:name="Title" w:semiHidden="0" w:uiPriority="10" w:unhideWhenUsed="0"/>
    <w:lsdException w:name="Default Paragraph Font" w:uiPriority="1"/>
    <w:lsdException w:name="Subtitle" w:semiHidden="0" w:uiPriority="11" w:unhideWhenUsed="0"/>
    <w:lsdException w:name="Strong" w:semiHidden="0" w:uiPriority="22" w:unhideWhenUsed="0"/>
    <w:lsdException w:name="Emphasis" w:semiHidden="0" w:uiPriority="20" w:unhideWhenUsed="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lsdException w:name="Quote" w:semiHidden="0" w:uiPriority="29" w:unhideWhenUsed="0"/>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6B3E27"/>
    <w:pPr>
      <w:bidi/>
      <w:spacing w:after="0" w:line="240" w:lineRule="atLeast"/>
      <w:jc w:val="lowKashida"/>
    </w:pPr>
    <w:rPr>
      <w:rFonts w:ascii="Times New Roman" w:hAnsi="Times New Roman" w:cs="Traditional Arabic"/>
      <w:sz w:val="20"/>
      <w:szCs w:val="30"/>
    </w:rPr>
  </w:style>
  <w:style w:type="paragraph" w:styleId="Heading1">
    <w:name w:val="heading 1"/>
    <w:aliases w:val="Table_GA"/>
    <w:basedOn w:val="SingleTxtGA"/>
    <w:next w:val="Normal"/>
    <w:link w:val="Heading1Char"/>
    <w:qFormat/>
    <w:rsid w:val="00AB6758"/>
    <w:pPr>
      <w:suppressAutoHyphens/>
      <w:bidi w:val="0"/>
      <w:outlineLvl w:val="0"/>
    </w:pPr>
  </w:style>
  <w:style w:type="paragraph" w:styleId="Heading2">
    <w:name w:val="heading 2"/>
    <w:basedOn w:val="Normal"/>
    <w:next w:val="Normal"/>
    <w:link w:val="Heading2Char"/>
    <w:uiPriority w:val="9"/>
    <w:unhideWhenUsed/>
    <w:rsid w:val="00455780"/>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rsid w:val="00EC4B6B"/>
    <w:pPr>
      <w:keepNext/>
      <w:keepLines/>
      <w:spacing w:before="20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rsid w:val="00EC4B6B"/>
    <w:pPr>
      <w:keepNext/>
      <w:keepLines/>
      <w:spacing w:before="20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rsid w:val="00EC4B6B"/>
    <w:pPr>
      <w:keepNext/>
      <w:keepLines/>
      <w:spacing w:before="20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rsid w:val="00EC4B6B"/>
    <w:pPr>
      <w:keepNext/>
      <w:keepLines/>
      <w:spacing w:before="20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rsid w:val="00EC4B6B"/>
    <w:pPr>
      <w:keepNext/>
      <w:keepLines/>
      <w:spacing w:before="20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rsid w:val="00EC4B6B"/>
    <w:pPr>
      <w:keepNext/>
      <w:keepLines/>
      <w:spacing w:before="200"/>
      <w:outlineLvl w:val="7"/>
    </w:pPr>
    <w:rPr>
      <w:rFonts w:asciiTheme="majorHAnsi" w:eastAsiaTheme="majorEastAsia" w:hAnsiTheme="majorHAnsi" w:cstheme="majorBidi"/>
      <w:color w:val="404040" w:themeColor="text1" w:themeTint="BF"/>
      <w:szCs w:val="20"/>
    </w:rPr>
  </w:style>
  <w:style w:type="paragraph" w:styleId="Heading9">
    <w:name w:val="heading 9"/>
    <w:basedOn w:val="Normal"/>
    <w:next w:val="Normal"/>
    <w:link w:val="Heading9Char"/>
    <w:uiPriority w:val="9"/>
    <w:unhideWhenUsed/>
    <w:rsid w:val="00EC4B6B"/>
    <w:pPr>
      <w:keepNext/>
      <w:keepLines/>
      <w:spacing w:before="200"/>
      <w:outlineLvl w:val="8"/>
    </w:pPr>
    <w:rPr>
      <w:rFonts w:asciiTheme="majorHAnsi" w:eastAsiaTheme="majorEastAsia" w:hAnsiTheme="majorHAnsi" w:cstheme="majorBidi"/>
      <w:i/>
      <w:iCs/>
      <w:color w:val="404040" w:themeColor="text1" w:themeTint="BF"/>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aliases w:val="5_G"/>
    <w:basedOn w:val="Normal"/>
    <w:link w:val="FootnoteTextChar"/>
    <w:unhideWhenUsed/>
    <w:rsid w:val="001A1371"/>
    <w:pPr>
      <w:spacing w:line="240" w:lineRule="auto"/>
    </w:pPr>
    <w:rPr>
      <w:szCs w:val="20"/>
    </w:rPr>
  </w:style>
  <w:style w:type="character" w:customStyle="1" w:styleId="FootnoteTextChar">
    <w:name w:val="Footnote Text Char"/>
    <w:aliases w:val="5_G Char"/>
    <w:basedOn w:val="DefaultParagraphFont"/>
    <w:link w:val="FootnoteText"/>
    <w:rsid w:val="001A1371"/>
    <w:rPr>
      <w:sz w:val="20"/>
      <w:szCs w:val="20"/>
    </w:rPr>
  </w:style>
  <w:style w:type="character" w:styleId="FootnoteReference">
    <w:name w:val="footnote reference"/>
    <w:aliases w:val="4_GA,4_G"/>
    <w:basedOn w:val="DefaultParagraphFont"/>
    <w:qFormat/>
    <w:rsid w:val="00AB6758"/>
    <w:rPr>
      <w:rFonts w:ascii="Times New Roman" w:hAnsi="Times New Roman" w:cs="Traditional Arabic"/>
      <w:b/>
      <w:kern w:val="0"/>
      <w:sz w:val="18"/>
      <w:szCs w:val="28"/>
      <w:vertAlign w:val="superscript"/>
    </w:rPr>
  </w:style>
  <w:style w:type="paragraph" w:customStyle="1" w:styleId="HMGA">
    <w:name w:val="_ H __M_GA"/>
    <w:basedOn w:val="Normal"/>
    <w:next w:val="Normal"/>
    <w:qFormat/>
    <w:rsid w:val="00AB6758"/>
    <w:pPr>
      <w:keepNext/>
      <w:keepLines/>
      <w:tabs>
        <w:tab w:val="right" w:pos="1021"/>
      </w:tabs>
      <w:suppressAutoHyphens/>
      <w:spacing w:before="360" w:after="240" w:line="480" w:lineRule="exact"/>
      <w:ind w:left="1247" w:right="1247" w:hanging="1247"/>
    </w:pPr>
    <w:rPr>
      <w:b/>
      <w:bCs/>
      <w:sz w:val="34"/>
      <w:szCs w:val="44"/>
    </w:rPr>
  </w:style>
  <w:style w:type="paragraph" w:customStyle="1" w:styleId="HChGA">
    <w:name w:val="_ H _Ch_GA"/>
    <w:basedOn w:val="Normal"/>
    <w:next w:val="Normal"/>
    <w:qFormat/>
    <w:rsid w:val="00AB6758"/>
    <w:pPr>
      <w:keepNext/>
      <w:keepLines/>
      <w:tabs>
        <w:tab w:val="right" w:pos="1021"/>
      </w:tabs>
      <w:suppressAutoHyphens/>
      <w:spacing w:before="360" w:after="240" w:line="440" w:lineRule="exact"/>
      <w:ind w:left="1247" w:right="1247" w:hanging="1247"/>
    </w:pPr>
    <w:rPr>
      <w:b/>
      <w:bCs/>
      <w:sz w:val="28"/>
      <w:szCs w:val="38"/>
    </w:rPr>
  </w:style>
  <w:style w:type="paragraph" w:customStyle="1" w:styleId="H1GA">
    <w:name w:val="_ H_1_GA"/>
    <w:basedOn w:val="Normal"/>
    <w:next w:val="Normal"/>
    <w:qFormat/>
    <w:rsid w:val="00AB6758"/>
    <w:pPr>
      <w:keepNext/>
      <w:keepLines/>
      <w:tabs>
        <w:tab w:val="right" w:pos="1021"/>
      </w:tabs>
      <w:suppressAutoHyphens/>
      <w:spacing w:before="240" w:after="240" w:line="400" w:lineRule="exact"/>
      <w:ind w:left="1247" w:right="1247" w:hanging="1247"/>
    </w:pPr>
    <w:rPr>
      <w:b/>
      <w:bCs/>
      <w:sz w:val="24"/>
      <w:szCs w:val="34"/>
    </w:rPr>
  </w:style>
  <w:style w:type="paragraph" w:customStyle="1" w:styleId="H23GA">
    <w:name w:val="_ H_2/3_GA"/>
    <w:basedOn w:val="Normal"/>
    <w:next w:val="Normal"/>
    <w:qFormat/>
    <w:rsid w:val="00CF267E"/>
    <w:pPr>
      <w:keepNext/>
      <w:keepLines/>
      <w:tabs>
        <w:tab w:val="right" w:pos="1021"/>
      </w:tabs>
      <w:spacing w:before="120" w:after="120" w:line="380" w:lineRule="exact"/>
      <w:ind w:left="1247" w:right="1247" w:hanging="1247"/>
    </w:pPr>
    <w:rPr>
      <w:b/>
      <w:bCs/>
      <w:lang w:eastAsia="ar-SA"/>
    </w:rPr>
  </w:style>
  <w:style w:type="paragraph" w:customStyle="1" w:styleId="H4GA">
    <w:name w:val="_ H_4_GA"/>
    <w:basedOn w:val="Normal"/>
    <w:next w:val="Normal"/>
    <w:qFormat/>
    <w:rsid w:val="00AB6758"/>
    <w:pPr>
      <w:keepNext/>
      <w:keepLines/>
      <w:tabs>
        <w:tab w:val="right" w:pos="1021"/>
      </w:tabs>
      <w:suppressAutoHyphens/>
      <w:spacing w:before="120" w:after="120" w:line="380" w:lineRule="exact"/>
      <w:ind w:left="1247" w:right="1247" w:hanging="1247"/>
    </w:pPr>
    <w:rPr>
      <w:i/>
      <w:iCs/>
    </w:rPr>
  </w:style>
  <w:style w:type="paragraph" w:customStyle="1" w:styleId="H56GA">
    <w:name w:val="_ H_5/6_GA"/>
    <w:basedOn w:val="Normal"/>
    <w:next w:val="Normal"/>
    <w:qFormat/>
    <w:rsid w:val="00AB6758"/>
    <w:pPr>
      <w:keepNext/>
      <w:keepLines/>
      <w:tabs>
        <w:tab w:val="right" w:pos="1021"/>
      </w:tabs>
      <w:suppressAutoHyphens/>
      <w:spacing w:before="120" w:after="120" w:line="380" w:lineRule="exact"/>
      <w:ind w:left="1247" w:right="1247" w:hanging="1247"/>
    </w:pPr>
  </w:style>
  <w:style w:type="paragraph" w:customStyle="1" w:styleId="SingleTxtGA">
    <w:name w:val="_ Single Txt_GA"/>
    <w:basedOn w:val="Normal"/>
    <w:qFormat/>
    <w:rsid w:val="00AB6758"/>
    <w:pPr>
      <w:tabs>
        <w:tab w:val="left" w:pos="1928"/>
        <w:tab w:val="left" w:pos="2608"/>
        <w:tab w:val="left" w:pos="3289"/>
        <w:tab w:val="left" w:pos="3969"/>
        <w:tab w:val="left" w:pos="4649"/>
        <w:tab w:val="left" w:pos="5330"/>
      </w:tabs>
      <w:spacing w:after="120" w:line="380" w:lineRule="exact"/>
      <w:ind w:left="1247" w:right="1247"/>
    </w:pPr>
  </w:style>
  <w:style w:type="paragraph" w:customStyle="1" w:styleId="SLGA">
    <w:name w:val="__S_L_GA"/>
    <w:basedOn w:val="Normal"/>
    <w:next w:val="Normal"/>
    <w:qFormat/>
    <w:rsid w:val="00AB6758"/>
    <w:pPr>
      <w:keepNext/>
      <w:keepLines/>
      <w:suppressAutoHyphens/>
      <w:bidi w:val="0"/>
      <w:spacing w:before="240" w:after="240" w:line="800" w:lineRule="exact"/>
      <w:ind w:left="1247" w:right="1247"/>
    </w:pPr>
    <w:rPr>
      <w:b/>
      <w:bCs/>
      <w:sz w:val="56"/>
      <w:szCs w:val="84"/>
    </w:rPr>
  </w:style>
  <w:style w:type="paragraph" w:customStyle="1" w:styleId="SMGA">
    <w:name w:val="__S_M_GA"/>
    <w:basedOn w:val="Normal"/>
    <w:next w:val="Normal"/>
    <w:qFormat/>
    <w:rsid w:val="00AB6758"/>
    <w:pPr>
      <w:keepNext/>
      <w:keepLines/>
      <w:suppressAutoHyphens/>
      <w:bidi w:val="0"/>
      <w:spacing w:before="240" w:after="240" w:line="560" w:lineRule="exact"/>
      <w:ind w:left="1247" w:right="1247"/>
    </w:pPr>
    <w:rPr>
      <w:b/>
      <w:bCs/>
      <w:sz w:val="40"/>
      <w:szCs w:val="60"/>
    </w:rPr>
  </w:style>
  <w:style w:type="paragraph" w:customStyle="1" w:styleId="SSGA">
    <w:name w:val="__S_S_GA"/>
    <w:basedOn w:val="Normal"/>
    <w:next w:val="Normal"/>
    <w:qFormat/>
    <w:rsid w:val="00AB6758"/>
    <w:pPr>
      <w:keepNext/>
      <w:keepLines/>
      <w:suppressAutoHyphens/>
      <w:bidi w:val="0"/>
      <w:spacing w:before="240" w:after="240" w:line="440" w:lineRule="exact"/>
      <w:ind w:left="1134" w:right="1134"/>
    </w:pPr>
    <w:rPr>
      <w:b/>
      <w:bCs/>
      <w:sz w:val="28"/>
      <w:szCs w:val="38"/>
    </w:rPr>
  </w:style>
  <w:style w:type="paragraph" w:customStyle="1" w:styleId="XLargeGA">
    <w:name w:val="__XLarge_GA"/>
    <w:basedOn w:val="Normal"/>
    <w:qFormat/>
    <w:rsid w:val="00AB6758"/>
    <w:pPr>
      <w:keepNext/>
      <w:keepLines/>
      <w:tabs>
        <w:tab w:val="right" w:leader="dot" w:pos="360"/>
      </w:tabs>
      <w:suppressAutoHyphens/>
      <w:spacing w:before="240" w:after="240" w:line="580" w:lineRule="exact"/>
      <w:ind w:left="1247" w:right="1247"/>
    </w:pPr>
    <w:rPr>
      <w:b/>
      <w:bCs/>
      <w:sz w:val="40"/>
      <w:szCs w:val="60"/>
    </w:rPr>
  </w:style>
  <w:style w:type="paragraph" w:customStyle="1" w:styleId="Bullet1GA">
    <w:name w:val="_Bullet 1_GA"/>
    <w:basedOn w:val="Normal"/>
    <w:qFormat/>
    <w:rsid w:val="00F900C3"/>
    <w:pPr>
      <w:numPr>
        <w:numId w:val="8"/>
      </w:numPr>
      <w:suppressAutoHyphens/>
      <w:bidi w:val="0"/>
      <w:spacing w:after="120" w:line="380" w:lineRule="exact"/>
      <w:ind w:right="1247"/>
    </w:pPr>
  </w:style>
  <w:style w:type="paragraph" w:customStyle="1" w:styleId="Bullet2GA">
    <w:name w:val="_Bullet 2_GA"/>
    <w:basedOn w:val="Normal"/>
    <w:qFormat/>
    <w:rsid w:val="00F900C3"/>
    <w:pPr>
      <w:numPr>
        <w:numId w:val="9"/>
      </w:numPr>
      <w:tabs>
        <w:tab w:val="left" w:pos="3062"/>
      </w:tabs>
      <w:suppressAutoHyphens/>
      <w:bidi w:val="0"/>
      <w:spacing w:after="120" w:line="380" w:lineRule="exact"/>
      <w:ind w:right="1247"/>
    </w:pPr>
  </w:style>
  <w:style w:type="paragraph" w:customStyle="1" w:styleId="ParaNoGA">
    <w:name w:val="_ParaNo._GA"/>
    <w:basedOn w:val="SingleTxtGA"/>
    <w:qFormat/>
    <w:rsid w:val="00AB6758"/>
    <w:pPr>
      <w:numPr>
        <w:numId w:val="5"/>
      </w:numPr>
      <w:suppressAutoHyphens/>
      <w:bidi w:val="0"/>
    </w:pPr>
  </w:style>
  <w:style w:type="paragraph" w:customStyle="1" w:styleId="Roman1GA">
    <w:name w:val="_Roman 1_GA"/>
    <w:basedOn w:val="Bullet1GA"/>
    <w:qFormat/>
    <w:rsid w:val="00F900C3"/>
    <w:pPr>
      <w:numPr>
        <w:numId w:val="10"/>
      </w:numPr>
    </w:pPr>
  </w:style>
  <w:style w:type="paragraph" w:customStyle="1" w:styleId="Roman2GA">
    <w:name w:val="_Roman 2_GA"/>
    <w:basedOn w:val="Bullet2GA"/>
    <w:next w:val="Normal"/>
    <w:qFormat/>
    <w:rsid w:val="00F900C3"/>
    <w:pPr>
      <w:numPr>
        <w:numId w:val="11"/>
      </w:numPr>
    </w:pPr>
  </w:style>
  <w:style w:type="paragraph" w:styleId="EndnoteText">
    <w:name w:val="endnote text"/>
    <w:aliases w:val="2_ GA"/>
    <w:basedOn w:val="Normal"/>
    <w:link w:val="EndnoteTextChar"/>
    <w:qFormat/>
    <w:rsid w:val="00AB6758"/>
    <w:pPr>
      <w:tabs>
        <w:tab w:val="right" w:pos="1021"/>
      </w:tabs>
      <w:spacing w:after="120" w:line="300" w:lineRule="exact"/>
      <w:ind w:left="1247" w:right="1247" w:hanging="1247"/>
    </w:pPr>
    <w:rPr>
      <w:sz w:val="18"/>
      <w:szCs w:val="26"/>
    </w:rPr>
  </w:style>
  <w:style w:type="character" w:customStyle="1" w:styleId="EndnoteTextChar">
    <w:name w:val="Endnote Text Char"/>
    <w:aliases w:val="2_ GA Char"/>
    <w:basedOn w:val="DefaultParagraphFont"/>
    <w:link w:val="EndnoteText"/>
    <w:rsid w:val="00AB6758"/>
    <w:rPr>
      <w:rFonts w:ascii="Times New Roman" w:eastAsia="Times New Roman" w:hAnsi="Times New Roman" w:cs="Traditional Arabic"/>
      <w:sz w:val="18"/>
      <w:szCs w:val="26"/>
    </w:rPr>
  </w:style>
  <w:style w:type="character" w:customStyle="1" w:styleId="EndtnoteReference">
    <w:name w:val="Endtnote Reference"/>
    <w:aliases w:val="1_GA"/>
    <w:basedOn w:val="DefaultParagraphFont"/>
    <w:qFormat/>
    <w:rsid w:val="00F900C3"/>
    <w:rPr>
      <w:rFonts w:ascii="Times New Roman" w:hAnsi="Times New Roman" w:cs="Traditional Arabic"/>
      <w:b/>
      <w:kern w:val="0"/>
      <w:sz w:val="18"/>
      <w:szCs w:val="28"/>
      <w:vertAlign w:val="superscript"/>
    </w:rPr>
  </w:style>
  <w:style w:type="paragraph" w:styleId="Footer">
    <w:name w:val="footer"/>
    <w:aliases w:val="3_GA,3_G"/>
    <w:basedOn w:val="Normal"/>
    <w:link w:val="FooterChar"/>
    <w:qFormat/>
    <w:rsid w:val="00AB6758"/>
    <w:pPr>
      <w:suppressAutoHyphens/>
      <w:bidi w:val="0"/>
      <w:spacing w:line="240" w:lineRule="auto"/>
    </w:pPr>
    <w:rPr>
      <w:sz w:val="16"/>
      <w:szCs w:val="22"/>
      <w:lang w:val="en-GB"/>
    </w:rPr>
  </w:style>
  <w:style w:type="character" w:customStyle="1" w:styleId="FooterChar">
    <w:name w:val="Footer Char"/>
    <w:aliases w:val="3_GA Char,3_G Char"/>
    <w:basedOn w:val="DefaultParagraphFont"/>
    <w:link w:val="Footer"/>
    <w:rsid w:val="00AB6758"/>
    <w:rPr>
      <w:rFonts w:ascii="Times New Roman" w:eastAsia="Times New Roman" w:hAnsi="Times New Roman" w:cs="Traditional Arabic"/>
      <w:sz w:val="16"/>
      <w:lang w:val="en-GB"/>
    </w:rPr>
  </w:style>
  <w:style w:type="paragraph" w:customStyle="1" w:styleId="FootnoteText1">
    <w:name w:val="Footnote Text1"/>
    <w:aliases w:val="5_GA"/>
    <w:basedOn w:val="Normal"/>
    <w:qFormat/>
    <w:rsid w:val="00994130"/>
    <w:pPr>
      <w:spacing w:after="60" w:line="300" w:lineRule="exact"/>
      <w:ind w:left="1247" w:right="1247" w:hanging="567"/>
    </w:pPr>
    <w:rPr>
      <w:sz w:val="18"/>
      <w:szCs w:val="26"/>
    </w:rPr>
  </w:style>
  <w:style w:type="paragraph" w:styleId="Header">
    <w:name w:val="header"/>
    <w:aliases w:val="6_GA"/>
    <w:basedOn w:val="Normal"/>
    <w:link w:val="HeaderChar"/>
    <w:qFormat/>
    <w:rsid w:val="00AB6758"/>
    <w:pPr>
      <w:pBdr>
        <w:bottom w:val="single" w:sz="4" w:space="4" w:color="auto"/>
      </w:pBdr>
      <w:suppressAutoHyphens/>
      <w:bidi w:val="0"/>
    </w:pPr>
    <w:rPr>
      <w:b/>
      <w:bCs/>
      <w:sz w:val="18"/>
      <w:szCs w:val="26"/>
    </w:rPr>
  </w:style>
  <w:style w:type="character" w:customStyle="1" w:styleId="HeaderChar">
    <w:name w:val="Header Char"/>
    <w:aliases w:val="6_GA Char"/>
    <w:basedOn w:val="DefaultParagraphFont"/>
    <w:link w:val="Header"/>
    <w:rsid w:val="00AB6758"/>
    <w:rPr>
      <w:rFonts w:ascii="Times New Roman" w:eastAsia="Times New Roman" w:hAnsi="Times New Roman" w:cs="Traditional Arabic"/>
      <w:b/>
      <w:bCs/>
      <w:sz w:val="18"/>
      <w:szCs w:val="26"/>
    </w:rPr>
  </w:style>
  <w:style w:type="character" w:customStyle="1" w:styleId="Heading1Char">
    <w:name w:val="Heading 1 Char"/>
    <w:aliases w:val="Table_GA Char"/>
    <w:basedOn w:val="DefaultParagraphFont"/>
    <w:link w:val="Heading1"/>
    <w:rsid w:val="00AB6758"/>
    <w:rPr>
      <w:rFonts w:ascii="Times New Roman" w:eastAsia="Times New Roman" w:hAnsi="Times New Roman" w:cs="Traditional Arabic"/>
      <w:sz w:val="20"/>
      <w:szCs w:val="30"/>
    </w:rPr>
  </w:style>
  <w:style w:type="character" w:styleId="PageNumber">
    <w:name w:val="page number"/>
    <w:aliases w:val="7_GA"/>
    <w:basedOn w:val="DefaultParagraphFont"/>
    <w:qFormat/>
    <w:rsid w:val="00AB6758"/>
    <w:rPr>
      <w:rFonts w:ascii="Times New Roman" w:hAnsi="Times New Roman"/>
      <w:b/>
      <w:sz w:val="18"/>
    </w:rPr>
  </w:style>
  <w:style w:type="paragraph" w:customStyle="1" w:styleId="XXLargeGA">
    <w:name w:val="XXLarge_GA"/>
    <w:basedOn w:val="XLargeGA"/>
    <w:next w:val="Normal"/>
    <w:qFormat/>
    <w:rsid w:val="00AB6758"/>
    <w:pPr>
      <w:spacing w:line="820" w:lineRule="exact"/>
    </w:pPr>
    <w:rPr>
      <w:spacing w:val="-8"/>
      <w:w w:val="96"/>
      <w:sz w:val="57"/>
      <w:szCs w:val="86"/>
    </w:rPr>
  </w:style>
  <w:style w:type="character" w:customStyle="1" w:styleId="Heading2Char">
    <w:name w:val="Heading 2 Char"/>
    <w:basedOn w:val="DefaultParagraphFont"/>
    <w:link w:val="Heading2"/>
    <w:uiPriority w:val="9"/>
    <w:rsid w:val="00455780"/>
    <w:rPr>
      <w:rFonts w:asciiTheme="majorHAnsi" w:eastAsiaTheme="majorEastAsia" w:hAnsiTheme="majorHAnsi" w:cstheme="majorBidi"/>
      <w:b/>
      <w:bCs/>
      <w:color w:val="4F81BD" w:themeColor="accent1"/>
      <w:sz w:val="26"/>
      <w:szCs w:val="26"/>
    </w:rPr>
  </w:style>
  <w:style w:type="character" w:styleId="BookTitle">
    <w:name w:val="Book Title"/>
    <w:basedOn w:val="DefaultParagraphFont"/>
    <w:uiPriority w:val="33"/>
    <w:rsid w:val="00455780"/>
    <w:rPr>
      <w:b/>
      <w:bCs/>
      <w:smallCaps/>
      <w:spacing w:val="5"/>
    </w:rPr>
  </w:style>
  <w:style w:type="character" w:customStyle="1" w:styleId="Heading3Char">
    <w:name w:val="Heading 3 Char"/>
    <w:basedOn w:val="DefaultParagraphFont"/>
    <w:link w:val="Heading3"/>
    <w:uiPriority w:val="9"/>
    <w:rsid w:val="00EC4B6B"/>
    <w:rPr>
      <w:rFonts w:asciiTheme="majorHAnsi" w:eastAsiaTheme="majorEastAsia" w:hAnsiTheme="majorHAnsi" w:cstheme="majorBidi"/>
      <w:b/>
      <w:bCs/>
      <w:color w:val="4F81BD" w:themeColor="accent1"/>
      <w:sz w:val="20"/>
      <w:szCs w:val="30"/>
    </w:rPr>
  </w:style>
  <w:style w:type="character" w:customStyle="1" w:styleId="Heading4Char">
    <w:name w:val="Heading 4 Char"/>
    <w:basedOn w:val="DefaultParagraphFont"/>
    <w:link w:val="Heading4"/>
    <w:uiPriority w:val="9"/>
    <w:rsid w:val="00EC4B6B"/>
    <w:rPr>
      <w:rFonts w:asciiTheme="majorHAnsi" w:eastAsiaTheme="majorEastAsia" w:hAnsiTheme="majorHAnsi" w:cstheme="majorBidi"/>
      <w:b/>
      <w:bCs/>
      <w:i/>
      <w:iCs/>
      <w:color w:val="4F81BD" w:themeColor="accent1"/>
      <w:sz w:val="20"/>
      <w:szCs w:val="30"/>
    </w:rPr>
  </w:style>
  <w:style w:type="character" w:customStyle="1" w:styleId="Heading5Char">
    <w:name w:val="Heading 5 Char"/>
    <w:basedOn w:val="DefaultParagraphFont"/>
    <w:link w:val="Heading5"/>
    <w:uiPriority w:val="9"/>
    <w:rsid w:val="00EC4B6B"/>
    <w:rPr>
      <w:rFonts w:asciiTheme="majorHAnsi" w:eastAsiaTheme="majorEastAsia" w:hAnsiTheme="majorHAnsi" w:cstheme="majorBidi"/>
      <w:color w:val="243F60" w:themeColor="accent1" w:themeShade="7F"/>
      <w:sz w:val="20"/>
      <w:szCs w:val="30"/>
    </w:rPr>
  </w:style>
  <w:style w:type="character" w:customStyle="1" w:styleId="Heading6Char">
    <w:name w:val="Heading 6 Char"/>
    <w:basedOn w:val="DefaultParagraphFont"/>
    <w:link w:val="Heading6"/>
    <w:uiPriority w:val="9"/>
    <w:rsid w:val="00EC4B6B"/>
    <w:rPr>
      <w:rFonts w:asciiTheme="majorHAnsi" w:eastAsiaTheme="majorEastAsia" w:hAnsiTheme="majorHAnsi" w:cstheme="majorBidi"/>
      <w:i/>
      <w:iCs/>
      <w:color w:val="243F60" w:themeColor="accent1" w:themeShade="7F"/>
      <w:sz w:val="20"/>
      <w:szCs w:val="30"/>
    </w:rPr>
  </w:style>
  <w:style w:type="character" w:customStyle="1" w:styleId="Heading7Char">
    <w:name w:val="Heading 7 Char"/>
    <w:basedOn w:val="DefaultParagraphFont"/>
    <w:link w:val="Heading7"/>
    <w:uiPriority w:val="9"/>
    <w:rsid w:val="00EC4B6B"/>
    <w:rPr>
      <w:rFonts w:asciiTheme="majorHAnsi" w:eastAsiaTheme="majorEastAsia" w:hAnsiTheme="majorHAnsi" w:cstheme="majorBidi"/>
      <w:i/>
      <w:iCs/>
      <w:color w:val="404040" w:themeColor="text1" w:themeTint="BF"/>
      <w:sz w:val="20"/>
      <w:szCs w:val="30"/>
    </w:rPr>
  </w:style>
  <w:style w:type="character" w:customStyle="1" w:styleId="Heading8Char">
    <w:name w:val="Heading 8 Char"/>
    <w:basedOn w:val="DefaultParagraphFont"/>
    <w:link w:val="Heading8"/>
    <w:uiPriority w:val="9"/>
    <w:rsid w:val="00EC4B6B"/>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EC4B6B"/>
    <w:rPr>
      <w:rFonts w:asciiTheme="majorHAnsi" w:eastAsiaTheme="majorEastAsia" w:hAnsiTheme="majorHAnsi" w:cstheme="majorBidi"/>
      <w:i/>
      <w:iCs/>
      <w:color w:val="404040" w:themeColor="text1" w:themeTint="BF"/>
      <w:sz w:val="20"/>
      <w:szCs w:val="20"/>
    </w:rPr>
  </w:style>
  <w:style w:type="paragraph" w:styleId="Title">
    <w:name w:val="Title"/>
    <w:basedOn w:val="Normal"/>
    <w:next w:val="Normal"/>
    <w:link w:val="TitleChar"/>
    <w:uiPriority w:val="10"/>
    <w:rsid w:val="00EC4B6B"/>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EC4B6B"/>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rsid w:val="00EC4B6B"/>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EC4B6B"/>
    <w:rPr>
      <w:rFonts w:asciiTheme="majorHAnsi" w:eastAsiaTheme="majorEastAsia" w:hAnsiTheme="majorHAnsi" w:cstheme="majorBidi"/>
      <w:i/>
      <w:iCs/>
      <w:color w:val="4F81BD" w:themeColor="accent1"/>
      <w:spacing w:val="15"/>
      <w:sz w:val="24"/>
      <w:szCs w:val="24"/>
    </w:rPr>
  </w:style>
  <w:style w:type="character" w:styleId="SubtleEmphasis">
    <w:name w:val="Subtle Emphasis"/>
    <w:basedOn w:val="DefaultParagraphFont"/>
    <w:uiPriority w:val="19"/>
    <w:rsid w:val="00EC4B6B"/>
    <w:rPr>
      <w:i/>
      <w:iCs/>
      <w:color w:val="808080" w:themeColor="text1" w:themeTint="7F"/>
    </w:rPr>
  </w:style>
  <w:style w:type="table" w:styleId="ColorfulGrid-Accent6">
    <w:name w:val="Colorful Grid Accent 6"/>
    <w:basedOn w:val="TableNormal"/>
    <w:uiPriority w:val="73"/>
    <w:rsid w:val="00EC4B6B"/>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character" w:styleId="Emphasis">
    <w:name w:val="Emphasis"/>
    <w:basedOn w:val="DefaultParagraphFont"/>
    <w:uiPriority w:val="20"/>
    <w:rsid w:val="003260FF"/>
    <w:rPr>
      <w:i/>
      <w:iCs/>
    </w:rPr>
  </w:style>
  <w:style w:type="character" w:styleId="IntenseEmphasis">
    <w:name w:val="Intense Emphasis"/>
    <w:basedOn w:val="DefaultParagraphFont"/>
    <w:uiPriority w:val="21"/>
    <w:rsid w:val="003260FF"/>
    <w:rPr>
      <w:b/>
      <w:bCs/>
      <w:i/>
      <w:iCs/>
      <w:color w:val="4F81BD" w:themeColor="accent1"/>
    </w:rPr>
  </w:style>
  <w:style w:type="character" w:styleId="Strong">
    <w:name w:val="Strong"/>
    <w:basedOn w:val="DefaultParagraphFont"/>
    <w:uiPriority w:val="22"/>
    <w:rsid w:val="003260FF"/>
    <w:rPr>
      <w:b/>
      <w:bCs/>
    </w:rPr>
  </w:style>
  <w:style w:type="paragraph" w:styleId="Quote">
    <w:name w:val="Quote"/>
    <w:basedOn w:val="Normal"/>
    <w:next w:val="Normal"/>
    <w:link w:val="QuoteChar"/>
    <w:uiPriority w:val="29"/>
    <w:rsid w:val="003260FF"/>
    <w:rPr>
      <w:i/>
      <w:iCs/>
      <w:color w:val="000000" w:themeColor="text1"/>
    </w:rPr>
  </w:style>
  <w:style w:type="character" w:customStyle="1" w:styleId="QuoteChar">
    <w:name w:val="Quote Char"/>
    <w:basedOn w:val="DefaultParagraphFont"/>
    <w:link w:val="Quote"/>
    <w:uiPriority w:val="29"/>
    <w:rsid w:val="003260FF"/>
    <w:rPr>
      <w:rFonts w:ascii="Times New Roman" w:hAnsi="Times New Roman" w:cs="Traditional Arabic"/>
      <w:i/>
      <w:iCs/>
      <w:color w:val="000000" w:themeColor="text1"/>
      <w:sz w:val="20"/>
      <w:szCs w:val="30"/>
    </w:rPr>
  </w:style>
  <w:style w:type="paragraph" w:styleId="IntenseQuote">
    <w:name w:val="Intense Quote"/>
    <w:basedOn w:val="Normal"/>
    <w:next w:val="Normal"/>
    <w:link w:val="IntenseQuoteChar"/>
    <w:uiPriority w:val="30"/>
    <w:rsid w:val="003260F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3260FF"/>
    <w:rPr>
      <w:rFonts w:ascii="Times New Roman" w:hAnsi="Times New Roman" w:cs="Traditional Arabic"/>
      <w:b/>
      <w:bCs/>
      <w:i/>
      <w:iCs/>
      <w:color w:val="4F81BD" w:themeColor="accent1"/>
      <w:sz w:val="20"/>
      <w:szCs w:val="30"/>
    </w:rPr>
  </w:style>
  <w:style w:type="character" w:styleId="SubtleReference">
    <w:name w:val="Subtle Reference"/>
    <w:basedOn w:val="DefaultParagraphFont"/>
    <w:uiPriority w:val="31"/>
    <w:rsid w:val="003260FF"/>
    <w:rPr>
      <w:smallCaps/>
      <w:color w:val="C0504D" w:themeColor="accent2"/>
      <w:u w:val="single"/>
    </w:rPr>
  </w:style>
  <w:style w:type="character" w:styleId="IntenseReference">
    <w:name w:val="Intense Reference"/>
    <w:basedOn w:val="DefaultParagraphFont"/>
    <w:uiPriority w:val="32"/>
    <w:rsid w:val="003260FF"/>
    <w:rPr>
      <w:b/>
      <w:bCs/>
      <w:smallCaps/>
      <w:color w:val="C0504D" w:themeColor="accent2"/>
      <w:spacing w:val="5"/>
      <w:u w:val="single"/>
    </w:rPr>
  </w:style>
  <w:style w:type="paragraph" w:styleId="ListParagraph">
    <w:name w:val="List Paragraph"/>
    <w:basedOn w:val="Normal"/>
    <w:uiPriority w:val="34"/>
    <w:rsid w:val="003260FF"/>
    <w:pPr>
      <w:ind w:left="720"/>
      <w:contextualSpacing/>
    </w:pPr>
  </w:style>
  <w:style w:type="table" w:styleId="MediumShading1-Accent4">
    <w:name w:val="Medium Shading 1 Accent 4"/>
    <w:basedOn w:val="TableNormal"/>
    <w:uiPriority w:val="63"/>
    <w:rsid w:val="003260FF"/>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character" w:styleId="EndnoteReference">
    <w:name w:val="endnote reference"/>
    <w:basedOn w:val="DefaultParagraphFont"/>
    <w:uiPriority w:val="99"/>
    <w:semiHidden/>
    <w:unhideWhenUsed/>
    <w:rsid w:val="00F900C3"/>
    <w:rPr>
      <w:vertAlign w:val="superscript"/>
    </w:rPr>
  </w:style>
  <w:style w:type="table" w:styleId="TableGrid">
    <w:name w:val="Table Grid"/>
    <w:basedOn w:val="TableNormal"/>
    <w:rsid w:val="006B3E27"/>
    <w:pPr>
      <w:bidi/>
      <w:spacing w:after="0" w:line="240" w:lineRule="auto"/>
      <w:jc w:val="lowKashida"/>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B3E27"/>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B3E27"/>
    <w:rPr>
      <w:rFonts w:ascii="Tahoma" w:hAnsi="Tahoma" w:cs="Tahoma"/>
      <w:sz w:val="16"/>
      <w:szCs w:val="16"/>
    </w:rPr>
  </w:style>
  <w:style w:type="paragraph" w:customStyle="1" w:styleId="HChG">
    <w:name w:val="_ H _Ch_G"/>
    <w:basedOn w:val="Normal"/>
    <w:next w:val="Normal"/>
    <w:rsid w:val="00983BA8"/>
    <w:pPr>
      <w:keepNext/>
      <w:keepLines/>
      <w:tabs>
        <w:tab w:val="right" w:pos="851"/>
      </w:tabs>
      <w:suppressAutoHyphens/>
      <w:bidi w:val="0"/>
      <w:spacing w:before="360" w:after="240" w:line="300" w:lineRule="exact"/>
      <w:ind w:left="1134" w:right="1134" w:hanging="1134"/>
      <w:jc w:val="left"/>
    </w:pPr>
    <w:rPr>
      <w:rFonts w:eastAsia="SimSun" w:hint="cs"/>
      <w:b/>
      <w:sz w:val="28"/>
      <w:lang w:val="en-GB"/>
    </w:rPr>
  </w:style>
  <w:style w:type="paragraph" w:customStyle="1" w:styleId="SingleTxtG">
    <w:name w:val="_ Single Txt_G"/>
    <w:basedOn w:val="Normal"/>
    <w:rsid w:val="00983BA8"/>
    <w:pPr>
      <w:suppressAutoHyphens/>
      <w:bidi w:val="0"/>
      <w:spacing w:after="120"/>
      <w:ind w:left="1134" w:right="1134"/>
      <w:jc w:val="both"/>
    </w:pPr>
    <w:rPr>
      <w:rFonts w:eastAsia="SimSun" w:hint="cs"/>
      <w:lang w:val="en-GB"/>
    </w:rPr>
  </w:style>
  <w:style w:type="paragraph" w:customStyle="1" w:styleId="H1G">
    <w:name w:val="_ H_1_G"/>
    <w:basedOn w:val="Normal"/>
    <w:next w:val="Normal"/>
    <w:rsid w:val="00983BA8"/>
    <w:pPr>
      <w:keepNext/>
      <w:keepLines/>
      <w:tabs>
        <w:tab w:val="right" w:pos="851"/>
      </w:tabs>
      <w:suppressAutoHyphens/>
      <w:bidi w:val="0"/>
      <w:spacing w:before="360" w:after="240" w:line="270" w:lineRule="exact"/>
      <w:ind w:left="1134" w:right="1134" w:hanging="1134"/>
      <w:jc w:val="left"/>
    </w:pPr>
    <w:rPr>
      <w:rFonts w:eastAsia="SimSun" w:hint="cs"/>
      <w:b/>
      <w:sz w:val="24"/>
      <w:lang w:val="en-GB"/>
    </w:rPr>
  </w:style>
  <w:style w:type="paragraph" w:customStyle="1" w:styleId="H23G">
    <w:name w:val="_ H_2/3_G"/>
    <w:basedOn w:val="Normal"/>
    <w:next w:val="Normal"/>
    <w:rsid w:val="00983BA8"/>
    <w:pPr>
      <w:keepNext/>
      <w:keepLines/>
      <w:tabs>
        <w:tab w:val="right" w:pos="851"/>
      </w:tabs>
      <w:suppressAutoHyphens/>
      <w:bidi w:val="0"/>
      <w:spacing w:before="240" w:after="120" w:line="240" w:lineRule="exact"/>
      <w:ind w:left="1134" w:right="1134" w:hanging="1134"/>
      <w:jc w:val="left"/>
    </w:pPr>
    <w:rPr>
      <w:rFonts w:eastAsia="SimSun" w:hint="cs"/>
      <w:b/>
      <w:lang w:val="en-GB"/>
    </w:rPr>
  </w:style>
  <w:style w:type="paragraph" w:styleId="ListBullet3">
    <w:name w:val="List Bullet 3"/>
    <w:basedOn w:val="Normal"/>
    <w:semiHidden/>
    <w:rsid w:val="00983BA8"/>
    <w:pPr>
      <w:numPr>
        <w:numId w:val="12"/>
      </w:numPr>
      <w:suppressAutoHyphens/>
      <w:bidi w:val="0"/>
      <w:jc w:val="left"/>
    </w:pPr>
    <w:rPr>
      <w:rFonts w:eastAsia="SimSun" w:hint="cs"/>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161352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0\CoverPages\CEDAW.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B64C8F2-1305-44D1-A33B-903CE1D9AFB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CEDAW.dotm</Template>
  <TotalTime>0</TotalTime>
  <Pages>8</Pages>
  <Words>2412</Words>
  <Characters>13755</Characters>
  <Application>Microsoft Office Word</Application>
  <DocSecurity>0</DocSecurity>
  <Lines>114</Lines>
  <Paragraphs>32</Paragraphs>
  <ScaleCrop>false</ScaleCrop>
  <HeadingPairs>
    <vt:vector size="2" baseType="variant">
      <vt:variant>
        <vt:lpstr>Title</vt:lpstr>
      </vt:variant>
      <vt:variant>
        <vt:i4>1</vt:i4>
      </vt:variant>
    </vt:vector>
  </HeadingPairs>
  <TitlesOfParts>
    <vt:vector size="1" baseType="lpstr">
      <vt:lpstr>CED/C/SRB/CO/1</vt:lpstr>
    </vt:vector>
  </TitlesOfParts>
  <Company>DCM</Company>
  <LinksUpToDate>false</LinksUpToDate>
  <CharactersWithSpaces>16135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CED/C/SRB/CO/1</dc:title>
  <dc:subject>Mr Ghailan</dc:subject>
  <dc:creator>Chedad Jamila</dc:creator>
  <cp:lastModifiedBy>Bahnassawy Mohamed</cp:lastModifiedBy>
  <cp:revision>2</cp:revision>
  <cp:lastPrinted>2015-04-07T07:15:00Z</cp:lastPrinted>
  <dcterms:created xsi:type="dcterms:W3CDTF">2015-04-07T12:36:00Z</dcterms:created>
  <dcterms:modified xsi:type="dcterms:W3CDTF">2015-04-07T12:36:00Z</dcterms:modified>
</cp:coreProperties>
</file>