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FB5E09" w:rsidRDefault="00FB5E09" w:rsidP="00B614C4">
            <w:pPr>
              <w:spacing w:line="240" w:lineRule="atLeast"/>
              <w:jc w:val="right"/>
              <w:rPr>
                <w:sz w:val="20"/>
                <w:szCs w:val="21"/>
              </w:rPr>
            </w:pPr>
            <w:r w:rsidRPr="00FB5E09">
              <w:rPr>
                <w:sz w:val="40"/>
                <w:szCs w:val="21"/>
              </w:rPr>
              <w:t>CCPR</w:t>
            </w:r>
            <w:r>
              <w:rPr>
                <w:sz w:val="20"/>
                <w:szCs w:val="21"/>
              </w:rPr>
              <w:t>/C/129/2/Add.3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0465B0" w:rsidRPr="000465B0" w:rsidRDefault="00CE1D1C" w:rsidP="000465B0">
            <w:pPr>
              <w:spacing w:before="240"/>
              <w:rPr>
                <w:sz w:val="20"/>
              </w:rPr>
            </w:pPr>
            <w:r w:rsidRPr="000465B0">
              <w:rPr>
                <w:sz w:val="20"/>
              </w:rPr>
              <w:t>Distr.:</w:t>
            </w:r>
            <w:r w:rsidR="000465B0" w:rsidRPr="000465B0">
              <w:rPr>
                <w:sz w:val="20"/>
              </w:rPr>
              <w:t xml:space="preserve"> General</w:t>
            </w:r>
          </w:p>
          <w:p w:rsidR="00CE1D1C" w:rsidRPr="000465B0" w:rsidRDefault="000465B0" w:rsidP="000465B0">
            <w:pPr>
              <w:spacing w:line="240" w:lineRule="atLeast"/>
              <w:rPr>
                <w:sz w:val="20"/>
              </w:rPr>
            </w:pPr>
            <w:r w:rsidRPr="000465B0">
              <w:rPr>
                <w:sz w:val="20"/>
              </w:rPr>
              <w:t>8 September 2020</w:t>
            </w:r>
          </w:p>
          <w:p w:rsidR="00CE1D1C" w:rsidRPr="000465B0" w:rsidRDefault="00CE1D1C" w:rsidP="00B614C4">
            <w:pPr>
              <w:spacing w:line="240" w:lineRule="atLeast"/>
              <w:rPr>
                <w:sz w:val="20"/>
              </w:rPr>
            </w:pPr>
            <w:r w:rsidRPr="000465B0">
              <w:rPr>
                <w:sz w:val="20"/>
              </w:rPr>
              <w:t>Chinese</w:t>
            </w:r>
          </w:p>
          <w:p w:rsidR="00CE1D1C" w:rsidRPr="00F124C6" w:rsidRDefault="00CE1D1C" w:rsidP="00B614C4">
            <w:pPr>
              <w:spacing w:line="240" w:lineRule="atLeast"/>
            </w:pPr>
            <w:r w:rsidRPr="000465B0">
              <w:rPr>
                <w:sz w:val="20"/>
              </w:rPr>
              <w:t>Original: English</w:t>
            </w:r>
          </w:p>
        </w:tc>
      </w:tr>
    </w:tbl>
    <w:p w:rsidR="000465B0" w:rsidRDefault="000465B0" w:rsidP="001A1FA6">
      <w:pPr>
        <w:suppressAutoHyphens/>
        <w:spacing w:before="120" w:line="340" w:lineRule="atLeast"/>
        <w:rPr>
          <w:rFonts w:ascii="黑体" w:eastAsia="黑体" w:hAnsi="黑体"/>
          <w:snapToGrid/>
          <w:sz w:val="24"/>
          <w:szCs w:val="24"/>
        </w:rPr>
      </w:pPr>
      <w:r>
        <w:rPr>
          <w:rFonts w:ascii="黑体" w:eastAsia="黑体" w:hAnsi="黑体" w:hint="eastAsia"/>
          <w:sz w:val="24"/>
          <w:szCs w:val="24"/>
        </w:rPr>
        <w:t>人权事务委员会</w:t>
      </w:r>
    </w:p>
    <w:p w:rsidR="000465B0" w:rsidRDefault="000465B0" w:rsidP="001A1FA6">
      <w:pPr>
        <w:pStyle w:val="HChGC"/>
      </w:pPr>
      <w:r>
        <w:tab/>
      </w:r>
      <w:r>
        <w:tab/>
      </w:r>
      <w:r>
        <w:rPr>
          <w:rFonts w:hint="eastAsia"/>
        </w:rPr>
        <w:t>关于人权事务委员会结论性意见后续行动的报告</w:t>
      </w:r>
      <w:r w:rsidRPr="0039069C">
        <w:rPr>
          <w:color w:val="0000CC"/>
        </w:rPr>
        <w:footnoteReference w:customMarkFollows="1" w:id="2"/>
        <w:t>*</w:t>
      </w:r>
    </w:p>
    <w:p w:rsidR="000465B0" w:rsidRDefault="000465B0" w:rsidP="001A1FA6">
      <w:pPr>
        <w:pStyle w:val="H23GC"/>
      </w:pPr>
      <w:r>
        <w:tab/>
      </w:r>
      <w:r>
        <w:tab/>
      </w:r>
      <w:r>
        <w:rPr>
          <w:rFonts w:hint="eastAsia"/>
        </w:rPr>
        <w:t>增编</w:t>
      </w:r>
    </w:p>
    <w:p w:rsidR="000465B0" w:rsidRDefault="000465B0" w:rsidP="001A1FA6">
      <w:pPr>
        <w:pStyle w:val="H1GC"/>
      </w:pPr>
      <w:r>
        <w:tab/>
      </w:r>
      <w:r>
        <w:tab/>
      </w:r>
      <w:r>
        <w:rPr>
          <w:rFonts w:hint="eastAsia"/>
        </w:rPr>
        <w:t>评价关于波斯尼亚和黑塞哥维那的结论性意见的后续行动资料</w:t>
      </w:r>
    </w:p>
    <w:tbl>
      <w:tblPr>
        <w:tblW w:w="6945" w:type="dxa"/>
        <w:tblInd w:w="1560" w:type="dxa"/>
        <w:tblLayout w:type="fixed"/>
        <w:tblCellMar>
          <w:left w:w="0" w:type="dxa"/>
          <w:right w:w="0" w:type="dxa"/>
        </w:tblCellMar>
        <w:tblLook w:val="01E0" w:firstRow="1" w:lastRow="1" w:firstColumn="1" w:lastColumn="1" w:noHBand="0" w:noVBand="0"/>
      </w:tblPr>
      <w:tblGrid>
        <w:gridCol w:w="2765"/>
        <w:gridCol w:w="4180"/>
      </w:tblGrid>
      <w:tr w:rsidR="00D879AE" w:rsidTr="00880F0E">
        <w:tc>
          <w:tcPr>
            <w:tcW w:w="2765" w:type="dxa"/>
            <w:shd w:val="clear" w:color="auto" w:fill="auto"/>
          </w:tcPr>
          <w:p w:rsidR="00D879AE" w:rsidRPr="00C83902" w:rsidRDefault="00D879AE" w:rsidP="00C83902">
            <w:pPr>
              <w:spacing w:after="120"/>
              <w:rPr>
                <w:rFonts w:eastAsia="楷体"/>
                <w:szCs w:val="21"/>
              </w:rPr>
            </w:pPr>
            <w:r w:rsidRPr="00C83902">
              <w:rPr>
                <w:rFonts w:ascii="楷体" w:eastAsia="楷体" w:hAnsi="楷体" w:hint="eastAsia"/>
                <w:szCs w:val="21"/>
              </w:rPr>
              <w:t>结论性意见</w:t>
            </w:r>
            <w:r w:rsidR="00B07841">
              <w:rPr>
                <w:rFonts w:ascii="楷体" w:eastAsia="楷体" w:hAnsi="楷体"/>
                <w:szCs w:val="21"/>
              </w:rPr>
              <w:br/>
            </w:r>
            <w:r w:rsidR="00EA10A0" w:rsidRPr="00EA10A0">
              <w:rPr>
                <w:rStyle w:val="SingleTxtGCChar"/>
              </w:rPr>
              <w:t>(</w:t>
            </w:r>
            <w:r w:rsidRPr="00C83902">
              <w:rPr>
                <w:rFonts w:ascii="楷体" w:eastAsia="楷体" w:hAnsi="楷体" w:hint="eastAsia"/>
                <w:szCs w:val="21"/>
              </w:rPr>
              <w:t>第一百一十九届会议</w:t>
            </w:r>
            <w:r w:rsidR="00EA10A0" w:rsidRPr="00EA10A0">
              <w:rPr>
                <w:rStyle w:val="SingleTxtGCChar"/>
              </w:rPr>
              <w:t>)</w:t>
            </w:r>
            <w:r w:rsidRPr="00C83902">
              <w:rPr>
                <w:rFonts w:ascii="楷体" w:eastAsia="楷体" w:hAnsi="楷体" w:hint="eastAsia"/>
                <w:szCs w:val="21"/>
              </w:rPr>
              <w:t>：</w:t>
            </w:r>
          </w:p>
        </w:tc>
        <w:tc>
          <w:tcPr>
            <w:tcW w:w="4180" w:type="dxa"/>
            <w:shd w:val="clear" w:color="auto" w:fill="auto"/>
          </w:tcPr>
          <w:p w:rsidR="00D879AE" w:rsidRPr="00EA10A0" w:rsidRDefault="00D879AE" w:rsidP="00C83902">
            <w:pPr>
              <w:spacing w:after="120"/>
              <w:rPr>
                <w:rFonts w:eastAsiaTheme="minorEastAsia"/>
                <w:szCs w:val="21"/>
              </w:rPr>
            </w:pPr>
            <w:r w:rsidRPr="00EA10A0">
              <w:rPr>
                <w:rFonts w:eastAsiaTheme="minorEastAsia"/>
                <w:szCs w:val="21"/>
              </w:rPr>
              <w:t>CCPR/C/BIH/CO/3</w:t>
            </w:r>
            <w:r w:rsidRPr="00EA10A0">
              <w:rPr>
                <w:rFonts w:eastAsiaTheme="minorEastAsia" w:hint="eastAsia"/>
                <w:szCs w:val="21"/>
              </w:rPr>
              <w:t>，</w:t>
            </w:r>
            <w:r w:rsidRPr="00EA10A0">
              <w:rPr>
                <w:rFonts w:eastAsiaTheme="minorEastAsia"/>
                <w:szCs w:val="21"/>
              </w:rPr>
              <w:t>2017</w:t>
            </w:r>
            <w:r w:rsidRPr="00EA10A0">
              <w:rPr>
                <w:rFonts w:eastAsiaTheme="minorEastAsia" w:hint="eastAsia"/>
                <w:szCs w:val="21"/>
              </w:rPr>
              <w:t>年</w:t>
            </w:r>
            <w:r w:rsidRPr="00EA10A0">
              <w:rPr>
                <w:rFonts w:eastAsiaTheme="minorEastAsia"/>
                <w:szCs w:val="21"/>
              </w:rPr>
              <w:t>3</w:t>
            </w:r>
            <w:r w:rsidRPr="00EA10A0">
              <w:rPr>
                <w:rFonts w:eastAsiaTheme="minorEastAsia" w:hint="eastAsia"/>
                <w:szCs w:val="21"/>
              </w:rPr>
              <w:t>月</w:t>
            </w:r>
            <w:r w:rsidRPr="00EA10A0">
              <w:rPr>
                <w:rFonts w:eastAsiaTheme="minorEastAsia"/>
                <w:szCs w:val="21"/>
              </w:rPr>
              <w:t>23</w:t>
            </w:r>
            <w:r w:rsidRPr="00EA10A0">
              <w:rPr>
                <w:rFonts w:eastAsiaTheme="minorEastAsia" w:hint="eastAsia"/>
                <w:szCs w:val="21"/>
              </w:rPr>
              <w:t>日</w:t>
            </w:r>
          </w:p>
        </w:tc>
      </w:tr>
      <w:tr w:rsidR="00D879AE" w:rsidRPr="00C30924" w:rsidTr="00880F0E">
        <w:tc>
          <w:tcPr>
            <w:tcW w:w="2765" w:type="dxa"/>
            <w:shd w:val="clear" w:color="auto" w:fill="auto"/>
          </w:tcPr>
          <w:p w:rsidR="00D879AE" w:rsidRPr="00C83902" w:rsidRDefault="00D879AE" w:rsidP="00C83902">
            <w:pPr>
              <w:pStyle w:val="a5"/>
              <w:spacing w:after="120" w:line="320" w:lineRule="exact"/>
              <w:rPr>
                <w:color w:val="000000" w:themeColor="text1"/>
                <w:sz w:val="21"/>
                <w:szCs w:val="21"/>
              </w:rPr>
            </w:pPr>
            <w:r w:rsidRPr="00C83902">
              <w:rPr>
                <w:rFonts w:ascii="楷体" w:eastAsia="楷体" w:hAnsi="楷体" w:hint="eastAsia"/>
                <w:sz w:val="21"/>
                <w:szCs w:val="21"/>
              </w:rPr>
              <w:t>关于后续行动的段落：</w:t>
            </w:r>
          </w:p>
        </w:tc>
        <w:tc>
          <w:tcPr>
            <w:tcW w:w="4180" w:type="dxa"/>
            <w:shd w:val="clear" w:color="auto" w:fill="auto"/>
          </w:tcPr>
          <w:p w:rsidR="00D879AE" w:rsidRPr="00EA10A0" w:rsidRDefault="00D879AE" w:rsidP="00C83902">
            <w:pPr>
              <w:pStyle w:val="a5"/>
              <w:spacing w:after="120" w:line="320" w:lineRule="exact"/>
              <w:rPr>
                <w:rFonts w:eastAsiaTheme="minorEastAsia"/>
                <w:color w:val="000000" w:themeColor="text1"/>
                <w:sz w:val="21"/>
                <w:szCs w:val="21"/>
              </w:rPr>
            </w:pPr>
            <w:r w:rsidRPr="00EA10A0">
              <w:rPr>
                <w:rFonts w:eastAsiaTheme="minorEastAsia"/>
                <w:sz w:val="21"/>
                <w:szCs w:val="21"/>
              </w:rPr>
              <w:t>14</w:t>
            </w:r>
            <w:r w:rsidRPr="00EA10A0">
              <w:rPr>
                <w:rFonts w:eastAsiaTheme="minorEastAsia" w:hint="eastAsia"/>
                <w:sz w:val="21"/>
                <w:szCs w:val="21"/>
              </w:rPr>
              <w:t>、</w:t>
            </w:r>
            <w:r w:rsidRPr="00EA10A0">
              <w:rPr>
                <w:rFonts w:eastAsiaTheme="minorEastAsia"/>
                <w:sz w:val="21"/>
                <w:szCs w:val="21"/>
              </w:rPr>
              <w:t>20</w:t>
            </w:r>
            <w:r w:rsidRPr="00EA10A0">
              <w:rPr>
                <w:rFonts w:eastAsiaTheme="minorEastAsia" w:hint="eastAsia"/>
                <w:sz w:val="21"/>
                <w:szCs w:val="21"/>
              </w:rPr>
              <w:t>和</w:t>
            </w:r>
            <w:r w:rsidRPr="00EA10A0">
              <w:rPr>
                <w:rFonts w:eastAsiaTheme="minorEastAsia"/>
                <w:sz w:val="21"/>
                <w:szCs w:val="21"/>
              </w:rPr>
              <w:t>36</w:t>
            </w:r>
          </w:p>
        </w:tc>
      </w:tr>
      <w:tr w:rsidR="00D879AE" w:rsidRPr="00C30924" w:rsidTr="00880F0E">
        <w:tc>
          <w:tcPr>
            <w:tcW w:w="2765" w:type="dxa"/>
            <w:shd w:val="clear" w:color="auto" w:fill="auto"/>
          </w:tcPr>
          <w:p w:rsidR="00D879AE" w:rsidRPr="00C83902" w:rsidRDefault="00D879AE" w:rsidP="00C83902">
            <w:pPr>
              <w:pStyle w:val="a5"/>
              <w:spacing w:after="120" w:line="320" w:lineRule="exact"/>
              <w:rPr>
                <w:color w:val="000000" w:themeColor="text1"/>
                <w:sz w:val="21"/>
                <w:szCs w:val="21"/>
              </w:rPr>
            </w:pPr>
            <w:r w:rsidRPr="00C83902">
              <w:rPr>
                <w:rFonts w:ascii="楷体" w:eastAsia="楷体" w:hAnsi="楷体" w:hint="eastAsia"/>
                <w:sz w:val="21"/>
                <w:szCs w:val="21"/>
              </w:rPr>
              <w:t>关于后续行动的答复：</w:t>
            </w:r>
          </w:p>
        </w:tc>
        <w:tc>
          <w:tcPr>
            <w:tcW w:w="4180" w:type="dxa"/>
            <w:shd w:val="clear" w:color="auto" w:fill="auto"/>
          </w:tcPr>
          <w:p w:rsidR="00D879AE" w:rsidRPr="00EA10A0" w:rsidRDefault="00D879AE" w:rsidP="00C83902">
            <w:pPr>
              <w:pStyle w:val="a5"/>
              <w:spacing w:after="120" w:line="320" w:lineRule="exact"/>
              <w:rPr>
                <w:rFonts w:eastAsiaTheme="minorEastAsia"/>
                <w:color w:val="000000" w:themeColor="text1"/>
                <w:sz w:val="21"/>
                <w:szCs w:val="21"/>
              </w:rPr>
            </w:pPr>
            <w:r w:rsidRPr="00EA10A0">
              <w:rPr>
                <w:rFonts w:eastAsiaTheme="minorEastAsia"/>
                <w:sz w:val="21"/>
                <w:szCs w:val="21"/>
              </w:rPr>
              <w:t>CCPR/C/BIH/CO/3/Add.1</w:t>
            </w:r>
            <w:r w:rsidRPr="00EA10A0">
              <w:rPr>
                <w:rFonts w:eastAsiaTheme="minorEastAsia" w:hint="eastAsia"/>
                <w:sz w:val="21"/>
                <w:szCs w:val="21"/>
              </w:rPr>
              <w:t>，</w:t>
            </w:r>
            <w:r w:rsidRPr="00EA10A0">
              <w:rPr>
                <w:rFonts w:eastAsiaTheme="minorEastAsia"/>
                <w:sz w:val="21"/>
                <w:szCs w:val="21"/>
              </w:rPr>
              <w:t>2018</w:t>
            </w:r>
            <w:r w:rsidRPr="00EA10A0">
              <w:rPr>
                <w:rFonts w:eastAsiaTheme="minorEastAsia" w:hint="eastAsia"/>
                <w:sz w:val="21"/>
                <w:szCs w:val="21"/>
              </w:rPr>
              <w:t>年</w:t>
            </w:r>
            <w:r w:rsidRPr="00EA10A0">
              <w:rPr>
                <w:rFonts w:eastAsiaTheme="minorEastAsia"/>
                <w:sz w:val="21"/>
                <w:szCs w:val="21"/>
              </w:rPr>
              <w:t>7</w:t>
            </w:r>
            <w:r w:rsidRPr="00EA10A0">
              <w:rPr>
                <w:rFonts w:eastAsiaTheme="minorEastAsia" w:hint="eastAsia"/>
                <w:sz w:val="21"/>
                <w:szCs w:val="21"/>
              </w:rPr>
              <w:t>月</w:t>
            </w:r>
            <w:r w:rsidRPr="00EA10A0">
              <w:rPr>
                <w:rFonts w:eastAsiaTheme="minorEastAsia"/>
                <w:sz w:val="21"/>
                <w:szCs w:val="21"/>
              </w:rPr>
              <w:t>5</w:t>
            </w:r>
            <w:r w:rsidRPr="00EA10A0">
              <w:rPr>
                <w:rFonts w:eastAsiaTheme="minorEastAsia" w:hint="eastAsia"/>
                <w:sz w:val="21"/>
                <w:szCs w:val="21"/>
              </w:rPr>
              <w:t>日</w:t>
            </w:r>
          </w:p>
        </w:tc>
      </w:tr>
      <w:tr w:rsidR="00D879AE" w:rsidRPr="00C30924" w:rsidTr="00880F0E">
        <w:tc>
          <w:tcPr>
            <w:tcW w:w="2765" w:type="dxa"/>
            <w:shd w:val="clear" w:color="auto" w:fill="auto"/>
          </w:tcPr>
          <w:p w:rsidR="00D879AE" w:rsidRPr="00C83902" w:rsidRDefault="00D879AE" w:rsidP="00C83902">
            <w:pPr>
              <w:pStyle w:val="a5"/>
              <w:spacing w:after="120" w:line="320" w:lineRule="exact"/>
              <w:rPr>
                <w:i/>
                <w:color w:val="000000" w:themeColor="text1"/>
                <w:sz w:val="21"/>
                <w:szCs w:val="21"/>
              </w:rPr>
            </w:pPr>
            <w:r w:rsidRPr="00C83902">
              <w:rPr>
                <w:rFonts w:ascii="楷体" w:eastAsia="楷体" w:hAnsi="楷体" w:hint="eastAsia"/>
                <w:sz w:val="21"/>
                <w:szCs w:val="21"/>
              </w:rPr>
              <w:t>委员会的评价：</w:t>
            </w:r>
          </w:p>
        </w:tc>
        <w:tc>
          <w:tcPr>
            <w:tcW w:w="4180" w:type="dxa"/>
            <w:shd w:val="clear" w:color="auto" w:fill="auto"/>
          </w:tcPr>
          <w:p w:rsidR="00D879AE" w:rsidRPr="00EA10A0" w:rsidRDefault="00D879AE" w:rsidP="00C83902">
            <w:pPr>
              <w:pStyle w:val="a5"/>
              <w:spacing w:after="120" w:line="320" w:lineRule="exact"/>
              <w:rPr>
                <w:rFonts w:eastAsiaTheme="minorEastAsia"/>
                <w:color w:val="000000" w:themeColor="text1"/>
                <w:sz w:val="21"/>
                <w:szCs w:val="21"/>
              </w:rPr>
            </w:pPr>
            <w:r w:rsidRPr="00EA10A0">
              <w:rPr>
                <w:rFonts w:eastAsiaTheme="minorEastAsia" w:hint="eastAsia"/>
                <w:sz w:val="21"/>
                <w:szCs w:val="21"/>
              </w:rPr>
              <w:t>需追加关于以下段落的资料：</w:t>
            </w:r>
            <w:r w:rsidRPr="00EA10A0">
              <w:rPr>
                <w:rFonts w:eastAsiaTheme="minorEastAsia"/>
                <w:sz w:val="21"/>
                <w:szCs w:val="21"/>
              </w:rPr>
              <w:t>14</w:t>
            </w:r>
            <w:r w:rsidR="00B07841" w:rsidRPr="002912B4">
              <w:rPr>
                <w:rFonts w:eastAsiaTheme="minorEastAsia"/>
                <w:sz w:val="10"/>
                <w:szCs w:val="10"/>
              </w:rPr>
              <w:t xml:space="preserve"> </w:t>
            </w:r>
            <w:r w:rsidRPr="00EA10A0">
              <w:rPr>
                <w:rFonts w:eastAsiaTheme="minorEastAsia"/>
                <w:sz w:val="21"/>
                <w:szCs w:val="21"/>
              </w:rPr>
              <w:t>[C]</w:t>
            </w:r>
            <w:r w:rsidRPr="00EA10A0">
              <w:rPr>
                <w:rFonts w:eastAsiaTheme="minorEastAsia" w:hint="eastAsia"/>
                <w:sz w:val="21"/>
                <w:szCs w:val="21"/>
              </w:rPr>
              <w:t>、</w:t>
            </w:r>
            <w:r w:rsidRPr="00EA10A0">
              <w:rPr>
                <w:rFonts w:eastAsiaTheme="minorEastAsia"/>
                <w:sz w:val="21"/>
                <w:szCs w:val="21"/>
              </w:rPr>
              <w:t>20</w:t>
            </w:r>
            <w:r w:rsidR="00B07841" w:rsidRPr="002912B4">
              <w:rPr>
                <w:rFonts w:eastAsiaTheme="minorEastAsia"/>
                <w:sz w:val="10"/>
                <w:szCs w:val="10"/>
              </w:rPr>
              <w:t xml:space="preserve"> </w:t>
            </w:r>
            <w:r w:rsidRPr="00EA10A0">
              <w:rPr>
                <w:rFonts w:eastAsiaTheme="minorEastAsia"/>
                <w:sz w:val="21"/>
                <w:szCs w:val="21"/>
              </w:rPr>
              <w:t>[C]</w:t>
            </w:r>
            <w:r w:rsidRPr="00EA10A0">
              <w:rPr>
                <w:rFonts w:eastAsiaTheme="minorEastAsia" w:hint="eastAsia"/>
                <w:sz w:val="21"/>
                <w:szCs w:val="21"/>
              </w:rPr>
              <w:t>和</w:t>
            </w:r>
            <w:r w:rsidRPr="00EA10A0">
              <w:rPr>
                <w:rFonts w:eastAsiaTheme="minorEastAsia"/>
                <w:sz w:val="21"/>
                <w:szCs w:val="21"/>
              </w:rPr>
              <w:t>36</w:t>
            </w:r>
            <w:r w:rsidR="00B07841" w:rsidRPr="002912B4">
              <w:rPr>
                <w:rFonts w:eastAsiaTheme="minorEastAsia"/>
                <w:sz w:val="10"/>
                <w:szCs w:val="10"/>
              </w:rPr>
              <w:t xml:space="preserve"> </w:t>
            </w:r>
            <w:r w:rsidRPr="00EA10A0">
              <w:rPr>
                <w:rFonts w:eastAsiaTheme="minorEastAsia"/>
                <w:sz w:val="21"/>
                <w:szCs w:val="21"/>
              </w:rPr>
              <w:t>[C]</w:t>
            </w:r>
          </w:p>
        </w:tc>
      </w:tr>
      <w:tr w:rsidR="00D879AE" w:rsidRPr="00C30924" w:rsidTr="00880F0E">
        <w:tc>
          <w:tcPr>
            <w:tcW w:w="2765" w:type="dxa"/>
            <w:shd w:val="clear" w:color="auto" w:fill="auto"/>
          </w:tcPr>
          <w:p w:rsidR="00D879AE" w:rsidRPr="00C83902" w:rsidRDefault="008D3DEE" w:rsidP="00C83902">
            <w:pPr>
              <w:pStyle w:val="a5"/>
              <w:spacing w:after="120" w:line="320" w:lineRule="exact"/>
              <w:rPr>
                <w:iCs/>
                <w:color w:val="000000" w:themeColor="text1"/>
                <w:sz w:val="21"/>
                <w:szCs w:val="21"/>
              </w:rPr>
            </w:pPr>
            <w:r w:rsidRPr="00C83902">
              <w:rPr>
                <w:rFonts w:ascii="楷体" w:eastAsia="楷体" w:hAnsi="楷体" w:hint="eastAsia"/>
                <w:sz w:val="21"/>
                <w:szCs w:val="21"/>
              </w:rPr>
              <w:t>从非政府组织收到的资料：</w:t>
            </w:r>
          </w:p>
        </w:tc>
        <w:tc>
          <w:tcPr>
            <w:tcW w:w="4180" w:type="dxa"/>
            <w:shd w:val="clear" w:color="auto" w:fill="auto"/>
          </w:tcPr>
          <w:p w:rsidR="00D879AE" w:rsidRPr="00EA10A0" w:rsidRDefault="0039069C" w:rsidP="00C83902">
            <w:pPr>
              <w:pStyle w:val="a5"/>
              <w:spacing w:after="120" w:line="320" w:lineRule="exact"/>
              <w:rPr>
                <w:rFonts w:eastAsiaTheme="minorEastAsia"/>
                <w:color w:val="000000" w:themeColor="text1"/>
                <w:sz w:val="21"/>
                <w:szCs w:val="21"/>
              </w:rPr>
            </w:pPr>
            <w:r w:rsidRPr="00EA10A0">
              <w:rPr>
                <w:rFonts w:eastAsiaTheme="minorEastAsia" w:hint="eastAsia"/>
                <w:sz w:val="21"/>
                <w:szCs w:val="21"/>
              </w:rPr>
              <w:t>穷追未受惩罚者组织</w:t>
            </w:r>
            <w:r w:rsidR="00E61D9B" w:rsidRPr="00EA10A0">
              <w:rPr>
                <w:rFonts w:eastAsiaTheme="minorEastAsia" w:hint="eastAsia"/>
                <w:sz w:val="21"/>
                <w:szCs w:val="21"/>
              </w:rPr>
              <w:t>；</w:t>
            </w:r>
            <w:r w:rsidRPr="00EA10A0">
              <w:rPr>
                <w:rStyle w:val="a8"/>
                <w:rFonts w:eastAsiaTheme="minorEastAsia"/>
                <w:szCs w:val="21"/>
              </w:rPr>
              <w:footnoteReference w:id="3"/>
            </w:r>
            <w:r w:rsidR="00E61D9B">
              <w:rPr>
                <w:rFonts w:eastAsiaTheme="minorEastAsia" w:hint="eastAsia"/>
                <w:sz w:val="21"/>
                <w:szCs w:val="21"/>
              </w:rPr>
              <w:t xml:space="preserve"> </w:t>
            </w:r>
            <w:r w:rsidRPr="00EA10A0">
              <w:rPr>
                <w:rFonts w:eastAsiaTheme="minorEastAsia" w:hint="eastAsia"/>
                <w:sz w:val="21"/>
                <w:szCs w:val="21"/>
              </w:rPr>
              <w:t>以及穷追未受惩罚者组织和耶鲁法学院</w:t>
            </w:r>
            <w:r w:rsidRPr="00EA10A0">
              <w:rPr>
                <w:rStyle w:val="a8"/>
                <w:rFonts w:eastAsiaTheme="minorEastAsia"/>
                <w:szCs w:val="21"/>
              </w:rPr>
              <w:footnoteReference w:id="4"/>
            </w:r>
          </w:p>
        </w:tc>
      </w:tr>
    </w:tbl>
    <w:p w:rsidR="000465B0" w:rsidRDefault="000465B0" w:rsidP="00D27FB2">
      <w:pPr>
        <w:pStyle w:val="H23GC"/>
        <w:rPr>
          <w:sz w:val="20"/>
          <w:lang w:val="en-GB"/>
        </w:rPr>
      </w:pPr>
      <w:r>
        <w:tab/>
      </w:r>
      <w:r>
        <w:tab/>
      </w:r>
      <w:r>
        <w:rPr>
          <w:rFonts w:hint="eastAsia"/>
        </w:rPr>
        <w:t>第</w:t>
      </w:r>
      <w:r>
        <w:t>14</w:t>
      </w:r>
      <w:r>
        <w:rPr>
          <w:rFonts w:hint="eastAsia"/>
        </w:rPr>
        <w:t>段</w:t>
      </w:r>
      <w:r w:rsidR="0059416A" w:rsidRPr="0059416A">
        <w:rPr>
          <w:rFonts w:ascii="黑体" w:hAnsi="黑体" w:hint="eastAsia"/>
        </w:rPr>
        <w:t>：</w:t>
      </w:r>
      <w:r>
        <w:rPr>
          <w:rFonts w:hint="eastAsia"/>
        </w:rPr>
        <w:t>起诉危害人类罪和其他国际罪行以及保护受害人和证人</w:t>
      </w:r>
    </w:p>
    <w:p w:rsidR="000465B0" w:rsidRPr="00D27FB2" w:rsidRDefault="00D27FB2" w:rsidP="00D27FB2">
      <w:pPr>
        <w:pStyle w:val="SingleTxtGC"/>
        <w:rPr>
          <w:rFonts w:eastAsia="黑体"/>
        </w:rPr>
      </w:pPr>
      <w:r>
        <w:rPr>
          <w:rFonts w:eastAsia="黑体"/>
        </w:rPr>
        <w:tab/>
      </w:r>
      <w:r w:rsidR="000465B0" w:rsidRPr="00D27FB2">
        <w:rPr>
          <w:rFonts w:eastAsia="黑体" w:hint="eastAsia"/>
        </w:rPr>
        <w:t>缔约国应加快起诉危害人类罪和其他国际罪行，并继续为这些罪行的受害人和证人，特别是性暴力相关罪行的受害人和证人提供包括心理支助在内的适当支助以及保护。缔约国还应在全境内全面执行免费法律援助制度，供包括战时性暴力行为受害人在内的所有弱势公民使用，并制定一个有效的受害人和证人保护方案。</w:t>
      </w:r>
    </w:p>
    <w:p w:rsidR="000465B0" w:rsidRDefault="000465B0" w:rsidP="00D27FB2">
      <w:pPr>
        <w:pStyle w:val="H23GC"/>
      </w:pPr>
      <w:r>
        <w:lastRenderedPageBreak/>
        <w:tab/>
      </w:r>
      <w:r>
        <w:tab/>
      </w:r>
      <w:r>
        <w:rPr>
          <w:rFonts w:hint="eastAsia"/>
        </w:rPr>
        <w:t>缔约国答复概要</w:t>
      </w:r>
    </w:p>
    <w:p w:rsidR="000465B0" w:rsidRDefault="00D27FB2" w:rsidP="001A1FA6">
      <w:pPr>
        <w:pStyle w:val="SingleTxtGC"/>
      </w:pPr>
      <w:r>
        <w:tab/>
      </w:r>
      <w:r w:rsidR="000465B0">
        <w:rPr>
          <w:rFonts w:hint="eastAsia"/>
        </w:rPr>
        <w:t>经修订的</w:t>
      </w:r>
      <w:r w:rsidR="000465B0" w:rsidRPr="00C30D32">
        <w:rPr>
          <w:rFonts w:hint="eastAsia"/>
          <w:spacing w:val="4"/>
        </w:rPr>
        <w:t>《国家战争罪起诉战略》的</w:t>
      </w:r>
      <w:r w:rsidR="000465B0">
        <w:rPr>
          <w:rFonts w:hint="eastAsia"/>
        </w:rPr>
        <w:t>提案已于</w:t>
      </w:r>
      <w:r w:rsidR="000465B0">
        <w:t>2018</w:t>
      </w:r>
      <w:r w:rsidR="000465B0">
        <w:rPr>
          <w:rFonts w:hint="eastAsia"/>
        </w:rPr>
        <w:t>年</w:t>
      </w:r>
      <w:r w:rsidR="000465B0">
        <w:t>5</w:t>
      </w:r>
      <w:r w:rsidR="000465B0">
        <w:rPr>
          <w:rFonts w:hint="eastAsia"/>
        </w:rPr>
        <w:t>月</w:t>
      </w:r>
      <w:r w:rsidR="000465B0">
        <w:t>16</w:t>
      </w:r>
      <w:r w:rsidR="000465B0">
        <w:rPr>
          <w:rFonts w:hint="eastAsia"/>
        </w:rPr>
        <w:t>日提交波斯尼亚和黑塞哥维那部长会议，以供审议和通过。</w:t>
      </w:r>
      <w:r w:rsidR="000465B0">
        <w:t>2017</w:t>
      </w:r>
      <w:r w:rsidR="000465B0">
        <w:rPr>
          <w:rFonts w:hint="eastAsia"/>
        </w:rPr>
        <w:t>年</w:t>
      </w:r>
      <w:r w:rsidR="000465B0">
        <w:t>4</w:t>
      </w:r>
      <w:r w:rsidR="000465B0">
        <w:rPr>
          <w:rFonts w:hint="eastAsia"/>
        </w:rPr>
        <w:t>月</w:t>
      </w:r>
      <w:r w:rsidR="000465B0">
        <w:t>12</w:t>
      </w:r>
      <w:r w:rsidR="000465B0">
        <w:rPr>
          <w:rFonts w:hint="eastAsia"/>
        </w:rPr>
        <w:t>日，部长会议设立了一个工作组，负责起草该战略的修正案。之所以需要制定修正案，是因为《战略》设定的目标没有在截止日期前实现，而且仍有大量战争罪案件在检察官办公室待审。预计修正案将规定适当的机制，以改进法院和检察官办公室起诉战争罪案件的工作。修正案载有经修订的标准，以确保将大量复杂度较低的案件从国家一级司法机关移交给各实体和</w:t>
      </w:r>
      <w:bookmarkStart w:id="0" w:name="_Hlk51066008"/>
      <w:r w:rsidR="000465B0">
        <w:rPr>
          <w:rFonts w:hint="eastAsia"/>
        </w:rPr>
        <w:t>布尔奇科特区</w:t>
      </w:r>
      <w:bookmarkEnd w:id="0"/>
      <w:r w:rsidR="000465B0">
        <w:rPr>
          <w:rFonts w:hint="eastAsia"/>
        </w:rPr>
        <w:t>的司法机关。</w:t>
      </w:r>
    </w:p>
    <w:p w:rsidR="000465B0" w:rsidRDefault="00D27FB2" w:rsidP="001A1FA6">
      <w:pPr>
        <w:pStyle w:val="SingleTxtGC"/>
      </w:pPr>
      <w:r>
        <w:tab/>
      </w:r>
      <w:r w:rsidR="000465B0">
        <w:rPr>
          <w:rFonts w:hint="eastAsia"/>
        </w:rPr>
        <w:t>修正案还确认有必要对相关法律条款进行分析，以期建立统一的保护机制，以</w:t>
      </w:r>
      <w:r w:rsidR="000465B0" w:rsidRPr="00D97C5F">
        <w:rPr>
          <w:rFonts w:hint="eastAsia"/>
          <w:spacing w:val="2"/>
        </w:rPr>
        <w:t>及在审判期间和作证之后向证人提供支助。除了波斯尼亚和黑塞哥维那法院证人支助部之外，波斯尼亚和黑塞哥维那大多数州法院和地区法院以及布尔奇科特区初级法院都已设立了有关部门，并聘请</w:t>
      </w:r>
      <w:r w:rsidR="000465B0">
        <w:rPr>
          <w:rFonts w:hint="eastAsia"/>
        </w:rPr>
        <w:t>了心理学家或助理来向证人提供支助。</w:t>
      </w:r>
    </w:p>
    <w:p w:rsidR="000465B0" w:rsidRDefault="00D27FB2" w:rsidP="001A1FA6">
      <w:pPr>
        <w:pStyle w:val="SingleTxtGC"/>
      </w:pPr>
      <w:r>
        <w:tab/>
      </w:r>
      <w:r w:rsidR="000465B0">
        <w:rPr>
          <w:rFonts w:hint="eastAsia"/>
        </w:rPr>
        <w:t>布尔奇科特区、塞族共和国以及波斯尼亚和黑塞哥维那联邦的八个州已经通过了规定法律援助权的法律。在国家一级，也通过了一项关于提供法律援助的法律</w:t>
      </w:r>
      <w:r w:rsidR="000465B0">
        <w:t>(</w:t>
      </w:r>
      <w:r w:rsidR="000465B0">
        <w:rPr>
          <w:rFonts w:hint="eastAsia"/>
        </w:rPr>
        <w:t>波斯尼亚和黑塞哥维那第</w:t>
      </w:r>
      <w:r w:rsidR="000465B0">
        <w:t>83/16</w:t>
      </w:r>
      <w:r w:rsidR="000465B0">
        <w:rPr>
          <w:rFonts w:hint="eastAsia"/>
        </w:rPr>
        <w:t>号政府公报</w:t>
      </w:r>
      <w:r w:rsidR="000465B0">
        <w:t>)</w:t>
      </w:r>
      <w:r w:rsidR="000465B0">
        <w:rPr>
          <w:rFonts w:hint="eastAsia"/>
        </w:rPr>
        <w:t>。</w:t>
      </w:r>
    </w:p>
    <w:p w:rsidR="000465B0" w:rsidRDefault="00D27FB2" w:rsidP="001A1FA6">
      <w:pPr>
        <w:pStyle w:val="SingleTxtGC"/>
      </w:pPr>
      <w:r>
        <w:tab/>
      </w:r>
      <w:r w:rsidR="000465B0">
        <w:rPr>
          <w:rFonts w:hint="eastAsia"/>
        </w:rPr>
        <w:t>失踪人员研究所与失踪人员家属保持着日常联系。研究所各区域和外地办事处的雇员向这些家属提供其所需的一切援助，并按照研究所的任务每天与这些家属进行合作。</w:t>
      </w:r>
    </w:p>
    <w:p w:rsidR="000465B0" w:rsidRDefault="000465B0" w:rsidP="00D27FB2">
      <w:pPr>
        <w:pStyle w:val="H23GC"/>
      </w:pPr>
      <w:r>
        <w:rPr>
          <w:rFonts w:hint="eastAsia"/>
        </w:rPr>
        <w:tab/>
      </w:r>
      <w:r>
        <w:rPr>
          <w:rFonts w:hint="eastAsia"/>
        </w:rPr>
        <w:tab/>
      </w:r>
      <w:r>
        <w:rPr>
          <w:rFonts w:hint="eastAsia"/>
        </w:rPr>
        <w:t>非政府组织提供的资料</w:t>
      </w:r>
    </w:p>
    <w:p w:rsidR="000465B0" w:rsidRDefault="000465B0" w:rsidP="00D27FB2">
      <w:pPr>
        <w:pStyle w:val="H4GC"/>
      </w:pPr>
      <w:r>
        <w:rPr>
          <w:rFonts w:hint="eastAsia"/>
        </w:rPr>
        <w:tab/>
      </w:r>
      <w:r>
        <w:rPr>
          <w:rFonts w:hint="eastAsia"/>
        </w:rPr>
        <w:tab/>
      </w:r>
      <w:r>
        <w:rPr>
          <w:rFonts w:hint="eastAsia"/>
        </w:rPr>
        <w:t>穷追未受惩罚者组织和耶鲁法学院</w:t>
      </w:r>
    </w:p>
    <w:p w:rsidR="000465B0" w:rsidRDefault="00D27FB2" w:rsidP="001A1FA6">
      <w:pPr>
        <w:pStyle w:val="SingleTxtGC"/>
      </w:pPr>
      <w:r>
        <w:tab/>
      </w:r>
      <w:r w:rsidR="000465B0">
        <w:rPr>
          <w:rFonts w:hint="eastAsia"/>
        </w:rPr>
        <w:t>过去，缔约国未能加快起诉战争罪行，造成了数百起案件的积压，迫使受害者只能在民事法院系统寻求补救。民事法</w:t>
      </w:r>
      <w:r w:rsidR="000465B0" w:rsidRPr="001D40F0">
        <w:rPr>
          <w:rFonts w:hint="eastAsia"/>
        </w:rPr>
        <w:t>院适用</w:t>
      </w:r>
      <w:r w:rsidR="000465B0" w:rsidRPr="001D40F0">
        <w:t>zastara</w:t>
      </w:r>
      <w:r w:rsidR="001D40F0" w:rsidRPr="002912B4">
        <w:rPr>
          <w:sz w:val="10"/>
          <w:szCs w:val="10"/>
        </w:rPr>
        <w:t xml:space="preserve"> </w:t>
      </w:r>
      <w:r w:rsidR="000465B0" w:rsidRPr="001D40F0">
        <w:t>(</w:t>
      </w:r>
      <w:r w:rsidR="000465B0" w:rsidRPr="001D40F0">
        <w:rPr>
          <w:rFonts w:hint="eastAsia"/>
        </w:rPr>
        <w:t>诉</w:t>
      </w:r>
      <w:r w:rsidR="000465B0">
        <w:rPr>
          <w:rFonts w:hint="eastAsia"/>
        </w:rPr>
        <w:t>讼时效</w:t>
      </w:r>
      <w:r w:rsidR="000465B0">
        <w:t>)</w:t>
      </w:r>
      <w:r w:rsidR="000465B0">
        <w:rPr>
          <w:rFonts w:hint="eastAsia"/>
        </w:rPr>
        <w:t>驳回受害者的申诉并随后征收诉讼费，使受害者无法寻求或获得补救。</w:t>
      </w:r>
    </w:p>
    <w:p w:rsidR="000465B0" w:rsidRDefault="00D27FB2" w:rsidP="001A1FA6">
      <w:pPr>
        <w:pStyle w:val="SingleTxtGC"/>
      </w:pPr>
      <w:r>
        <w:tab/>
      </w:r>
      <w:r w:rsidR="000465B0">
        <w:rPr>
          <w:rFonts w:hint="eastAsia"/>
        </w:rPr>
        <w:t>在波斯尼亚和黑塞哥维那，受害者在寻求赔偿和正义的过程中的许多环节都受到了再次伤害。对受害者而言，在法庭上面对侵害者会唤起鲜活而沉痛的战争回忆。</w:t>
      </w:r>
      <w:r w:rsidR="000465B0" w:rsidRPr="00D27FB2">
        <w:rPr>
          <w:rFonts w:hint="eastAsia"/>
        </w:rPr>
        <w:t>适用</w:t>
      </w:r>
      <w:r w:rsidR="000465B0" w:rsidRPr="00D27FB2">
        <w:t>zastara</w:t>
      </w:r>
      <w:r w:rsidR="000465B0" w:rsidRPr="00D27FB2">
        <w:rPr>
          <w:rFonts w:hint="eastAsia"/>
        </w:rPr>
        <w:t>和征收诉讼</w:t>
      </w:r>
      <w:r w:rsidR="000465B0">
        <w:rPr>
          <w:rFonts w:hint="eastAsia"/>
        </w:rPr>
        <w:t>费更加剧了受害者的痛苦。</w:t>
      </w:r>
    </w:p>
    <w:p w:rsidR="000465B0" w:rsidRDefault="000465B0" w:rsidP="00D27FB2">
      <w:pPr>
        <w:pStyle w:val="H4GC"/>
        <w:rPr>
          <w:highlight w:val="lightGray"/>
        </w:rPr>
      </w:pPr>
      <w:r>
        <w:rPr>
          <w:rFonts w:hint="eastAsia"/>
        </w:rPr>
        <w:tab/>
      </w:r>
      <w:r>
        <w:rPr>
          <w:rFonts w:hint="eastAsia"/>
        </w:rPr>
        <w:tab/>
      </w:r>
      <w:r>
        <w:rPr>
          <w:rFonts w:hint="eastAsia"/>
        </w:rPr>
        <w:t>穷追未受惩罚者组织</w:t>
      </w:r>
    </w:p>
    <w:p w:rsidR="000465B0" w:rsidRDefault="000465B0" w:rsidP="001A1FA6">
      <w:pPr>
        <w:pStyle w:val="SingleTxtGC"/>
      </w:pPr>
      <w:r>
        <w:tab/>
      </w:r>
      <w:r>
        <w:rPr>
          <w:rFonts w:hint="eastAsia"/>
        </w:rPr>
        <w:t>两年来，波斯尼亚和黑塞哥维那部长会议既没有审议也没有通过经修订的《国家战争罪起诉战略》。这仍是缔约国司法改革最紧迫的问题之一，尤其是考虑到战争结束已有</w:t>
      </w:r>
      <w:r>
        <w:t>25</w:t>
      </w:r>
      <w:r>
        <w:rPr>
          <w:rFonts w:hint="eastAsia"/>
        </w:rPr>
        <w:t>年。</w:t>
      </w:r>
    </w:p>
    <w:p w:rsidR="000465B0" w:rsidRDefault="00D27FB2" w:rsidP="001A1FA6">
      <w:pPr>
        <w:pStyle w:val="SingleTxtGC"/>
      </w:pPr>
      <w:r>
        <w:tab/>
      </w:r>
      <w:r w:rsidR="000465B0">
        <w:rPr>
          <w:rFonts w:hint="eastAsia"/>
        </w:rPr>
        <w:t>鉴于缔约国</w:t>
      </w:r>
      <w:r w:rsidR="000465B0" w:rsidRPr="000927F2">
        <w:rPr>
          <w:rFonts w:hint="eastAsia"/>
          <w:spacing w:val="-4"/>
        </w:rPr>
        <w:t>有大量未决</w:t>
      </w:r>
      <w:r w:rsidR="000465B0" w:rsidRPr="000927F2">
        <w:rPr>
          <w:rFonts w:hint="eastAsia"/>
        </w:rPr>
        <w:t>的战争罪案件，而且</w:t>
      </w:r>
      <w:r w:rsidR="000465B0" w:rsidRPr="000927F2">
        <w:rPr>
          <w:rFonts w:hint="eastAsia"/>
          <w:spacing w:val="-4"/>
        </w:rPr>
        <w:t>去世的证人和犯罪者越来越多从而使起诉受到了阻碍或无从进行，缔约国必须不再拖延地通过经修订</w:t>
      </w:r>
      <w:r w:rsidR="000465B0">
        <w:rPr>
          <w:rFonts w:hint="eastAsia"/>
        </w:rPr>
        <w:t>的《战略》，这是打击有罪不罚的紧迫所需。按照经修订的《战略》草案的设想，应不迟于</w:t>
      </w:r>
      <w:r w:rsidR="000465B0" w:rsidRPr="00D97C5F">
        <w:rPr>
          <w:spacing w:val="4"/>
        </w:rPr>
        <w:t>2023</w:t>
      </w:r>
      <w:r w:rsidR="000465B0" w:rsidRPr="00D97C5F">
        <w:rPr>
          <w:rFonts w:hint="eastAsia"/>
          <w:spacing w:val="4"/>
        </w:rPr>
        <w:t>年完成所有案件的审理，但已经过去了两年，草案却还未得到通过。因</w:t>
      </w:r>
      <w:r w:rsidR="000465B0">
        <w:rPr>
          <w:rFonts w:hint="eastAsia"/>
        </w:rPr>
        <w:t>此，应立即修订和更新完成日期。</w:t>
      </w:r>
    </w:p>
    <w:p w:rsidR="000465B0" w:rsidRDefault="00D27FB2" w:rsidP="001A1FA6">
      <w:pPr>
        <w:pStyle w:val="SingleTxtGC"/>
      </w:pPr>
      <w:r>
        <w:tab/>
      </w:r>
      <w:r w:rsidR="000465B0">
        <w:rPr>
          <w:rFonts w:hint="eastAsia"/>
        </w:rPr>
        <w:t>除了大量尚未起诉的案件之外，波斯尼亚和黑塞哥维那社会长期以来一直不得不应对否认、淡化、辩解和宽恕灭绝种族罪、危害人类罪和战争罪的问题。</w:t>
      </w:r>
    </w:p>
    <w:p w:rsidR="000465B0" w:rsidRDefault="00D27FB2" w:rsidP="001A1FA6">
      <w:pPr>
        <w:pStyle w:val="SingleTxtGC"/>
      </w:pPr>
      <w:r>
        <w:lastRenderedPageBreak/>
        <w:tab/>
      </w:r>
      <w:r w:rsidR="000465B0">
        <w:rPr>
          <w:rFonts w:hint="eastAsia"/>
        </w:rPr>
        <w:t>免费法律援助制度在全国仍然不成体系、缺乏协调。缔约国通过了一项关于提供免费法律援助的法律，从而确认了对这一事项进行规范的必要性，这一点值得称赞。然而，司法部下属的负责提供这种援助的办公室人手严重不足，使受害者无法获得免费法律援助。尽管关于提供免费法律援助的法律已于</w:t>
      </w:r>
      <w:r w:rsidR="000465B0">
        <w:t>2016</w:t>
      </w:r>
      <w:r w:rsidR="000465B0">
        <w:rPr>
          <w:rFonts w:hint="eastAsia"/>
        </w:rPr>
        <w:t>年通过，但法律援助办公室仍未有效开展工作。</w:t>
      </w:r>
    </w:p>
    <w:p w:rsidR="000465B0" w:rsidRDefault="00D27FB2" w:rsidP="001A1FA6">
      <w:pPr>
        <w:pStyle w:val="SingleTxtGC"/>
      </w:pPr>
      <w:r>
        <w:tab/>
      </w:r>
      <w:r w:rsidR="000465B0">
        <w:rPr>
          <w:rFonts w:hint="eastAsia"/>
        </w:rPr>
        <w:t>仍然无法保证国家一级和实体一级的司法机关正在努力协调关于冲突期间所犯罪行的判例，尤其是与冲突有关的性暴力方面的判例。波斯尼亚和黑塞哥维那对此类罪行不但判刑率低，而且判刑不一致。全国各地法院的做法存在差异，特别是国家一级和实体一级合议庭的做法存在差异，产生了任意感和不信任司法系统的氛围。</w:t>
      </w:r>
    </w:p>
    <w:p w:rsidR="000465B0" w:rsidRDefault="00D27FB2" w:rsidP="001A1FA6">
      <w:pPr>
        <w:pStyle w:val="SingleTxtGC"/>
      </w:pPr>
      <w:r>
        <w:tab/>
      </w:r>
      <w:r w:rsidR="000465B0">
        <w:rPr>
          <w:rFonts w:hint="eastAsia"/>
        </w:rPr>
        <w:t>缔约国没有采取立法措施和实际措施来确保酷刑和性暴力的幸存者能够获得有效补救。波斯尼亚和黑塞哥维那仍然对战时非金钱损害的民事索赔适用诉讼时效，而且宪法法院始终支持适用诉讼时效。此外，法院在许多案件中仍然征收诉讼费，导致许多受害者仍然面临高额诉讼费和强制执行程序。</w:t>
      </w:r>
    </w:p>
    <w:p w:rsidR="000465B0" w:rsidRDefault="000465B0" w:rsidP="00D27FB2">
      <w:pPr>
        <w:pStyle w:val="H23GC"/>
      </w:pPr>
      <w:r>
        <w:tab/>
      </w:r>
      <w:r>
        <w:rPr>
          <w:rFonts w:hint="eastAsia"/>
        </w:rPr>
        <w:tab/>
      </w:r>
      <w:r>
        <w:rPr>
          <w:rFonts w:hint="eastAsia"/>
        </w:rPr>
        <w:t>委员会的评价</w:t>
      </w:r>
    </w:p>
    <w:p w:rsidR="000465B0" w:rsidRDefault="00D27FB2" w:rsidP="001A1FA6">
      <w:pPr>
        <w:pStyle w:val="SingleTxtGC"/>
      </w:pPr>
      <w:r>
        <w:tab/>
      </w:r>
      <w:r w:rsidR="000465B0" w:rsidRPr="00275DAC">
        <w:rPr>
          <w:b/>
          <w:bCs/>
        </w:rPr>
        <w:t>[C]</w:t>
      </w:r>
      <w:r w:rsidR="00275DAC">
        <w:rPr>
          <w:rFonts w:hint="eastAsia"/>
        </w:rPr>
        <w:t>：</w:t>
      </w:r>
      <w:r w:rsidR="000465B0">
        <w:rPr>
          <w:rFonts w:hint="eastAsia"/>
        </w:rPr>
        <w:t>委员会感到遗憾的是，缔约国没有采取具体措施以落实委员会的建议。在这方面，委员会请缔约国提供资料，说明经修订的《国家战争罪起诉战略》的内容，包括说明该战略是否符合《公约》，以及已采取哪些措施以加快通过该战略。委员会又请缔约国提供资料，说明已采取哪些具体措施，向危害人类罪和其他国际罪行</w:t>
      </w:r>
      <w:r w:rsidR="000465B0">
        <w:t>(</w:t>
      </w:r>
      <w:r w:rsidR="000465B0">
        <w:rPr>
          <w:rFonts w:hint="eastAsia"/>
        </w:rPr>
        <w:t>特别是与性暴力有关的罪行</w:t>
      </w:r>
      <w:r w:rsidR="000465B0">
        <w:t>)</w:t>
      </w:r>
      <w:r w:rsidR="000465B0">
        <w:rPr>
          <w:rFonts w:hint="eastAsia"/>
        </w:rPr>
        <w:t>的受害者提供适当支助</w:t>
      </w:r>
      <w:r w:rsidR="000465B0">
        <w:t>(</w:t>
      </w:r>
      <w:r w:rsidR="000465B0">
        <w:rPr>
          <w:rFonts w:hint="eastAsia"/>
        </w:rPr>
        <w:t>包括心理支助</w:t>
      </w:r>
      <w:r w:rsidR="000465B0">
        <w:t>)</w:t>
      </w:r>
      <w:r w:rsidR="000465B0">
        <w:rPr>
          <w:rFonts w:hint="eastAsia"/>
        </w:rPr>
        <w:t>和保护；以及已采取哪些具体措施，以充分实施</w:t>
      </w:r>
      <w:r w:rsidR="000465B0">
        <w:t>2016</w:t>
      </w:r>
      <w:r w:rsidR="000465B0">
        <w:rPr>
          <w:rFonts w:hint="eastAsia"/>
        </w:rPr>
        <w:t>年通过的关于提供免费法律援助的法律，包括提供充足的财力和人力用于执行该法。委员会还请缔约国提供资料，说明民事法院适用诉讼时效的情况，以及征收高额诉讼费的情况及其对寻求补救的受害者造成的影响。</w:t>
      </w:r>
    </w:p>
    <w:p w:rsidR="000465B0" w:rsidRDefault="000465B0" w:rsidP="00D27FB2">
      <w:pPr>
        <w:pStyle w:val="H23GC"/>
      </w:pPr>
      <w:r>
        <w:tab/>
      </w:r>
      <w:r>
        <w:tab/>
      </w:r>
      <w:r>
        <w:rPr>
          <w:rFonts w:hint="eastAsia"/>
        </w:rPr>
        <w:t>第</w:t>
      </w:r>
      <w:r>
        <w:t>20</w:t>
      </w:r>
      <w:r>
        <w:rPr>
          <w:rFonts w:hint="eastAsia"/>
        </w:rPr>
        <w:t>段</w:t>
      </w:r>
      <w:r w:rsidR="0059416A" w:rsidRPr="0059416A">
        <w:rPr>
          <w:rFonts w:ascii="黑体" w:hAnsi="黑体" w:hint="eastAsia"/>
        </w:rPr>
        <w:t>：</w:t>
      </w:r>
      <w:r>
        <w:rPr>
          <w:rFonts w:hint="eastAsia"/>
        </w:rPr>
        <w:t>强迫失踪和失踪人员</w:t>
      </w:r>
    </w:p>
    <w:p w:rsidR="000465B0" w:rsidRPr="002E3FA1" w:rsidRDefault="00D27FB2" w:rsidP="001A1FA6">
      <w:pPr>
        <w:pStyle w:val="SingleTxtGC"/>
        <w:rPr>
          <w:rFonts w:eastAsia="黑体"/>
        </w:rPr>
      </w:pPr>
      <w:r w:rsidRPr="002E3FA1">
        <w:rPr>
          <w:rFonts w:eastAsia="黑体"/>
        </w:rPr>
        <w:tab/>
      </w:r>
      <w:r w:rsidR="000465B0" w:rsidRPr="002E3FA1">
        <w:rPr>
          <w:rFonts w:eastAsia="黑体" w:hint="eastAsia"/>
        </w:rPr>
        <w:t>缔约国应加快调查所有涉及失踪人员的未决案件。此外，缔约国应采取一切必要措施，确保失踪人员研究所获得充足资金并能够充分履行任务，以期如《失踪人员法》所设想的那样解决这些案件。缔约国应作为紧急事项设立一个失踪人员家庭支助基金，为失踪人员家庭提供适当支助。</w:t>
      </w:r>
    </w:p>
    <w:p w:rsidR="000465B0" w:rsidRDefault="000465B0" w:rsidP="00D05448">
      <w:pPr>
        <w:pStyle w:val="H23GC"/>
      </w:pPr>
      <w:r>
        <w:tab/>
      </w:r>
      <w:r>
        <w:tab/>
      </w:r>
      <w:r>
        <w:rPr>
          <w:rFonts w:hint="eastAsia"/>
        </w:rPr>
        <w:t>缔约国答复概要</w:t>
      </w:r>
    </w:p>
    <w:p w:rsidR="000465B0" w:rsidRDefault="00D05448" w:rsidP="001A1FA6">
      <w:pPr>
        <w:pStyle w:val="SingleTxtGC"/>
      </w:pPr>
      <w:r>
        <w:tab/>
      </w:r>
      <w:r w:rsidR="000465B0">
        <w:rPr>
          <w:rFonts w:hint="eastAsia"/>
        </w:rPr>
        <w:t>波斯尼亚和黑塞哥维那仍有</w:t>
      </w:r>
      <w:r w:rsidR="000465B0">
        <w:t>7,146</w:t>
      </w:r>
      <w:r w:rsidR="000465B0">
        <w:rPr>
          <w:rFonts w:hint="eastAsia"/>
        </w:rPr>
        <w:t>人失踪，但该缔约国的主管机关对失踪人员问题的态度与该区域其他国家不同。缔约国主管机关没有充分遵守强迫或非自愿失踪问题工作组的建议，就明显地体现了这种态度。</w:t>
      </w:r>
    </w:p>
    <w:p w:rsidR="000465B0" w:rsidRDefault="00D05448" w:rsidP="001A1FA6">
      <w:pPr>
        <w:pStyle w:val="SingleTxtGC"/>
      </w:pPr>
      <w:r>
        <w:tab/>
      </w:r>
      <w:r w:rsidR="000465B0">
        <w:rPr>
          <w:rFonts w:hint="eastAsia"/>
        </w:rPr>
        <w:t>关于失踪人员研究所的财务状况，可以注意到长期预算呈削减趋势。缔约国提供了一份表格，从中可见该研究所的核定预算从</w:t>
      </w:r>
      <w:r w:rsidR="000465B0">
        <w:t>2008</w:t>
      </w:r>
      <w:r w:rsidR="000465B0">
        <w:rPr>
          <w:rFonts w:hint="eastAsia"/>
        </w:rPr>
        <w:t>年的</w:t>
      </w:r>
      <w:r w:rsidR="000465B0">
        <w:t>6,455,467</w:t>
      </w:r>
      <w:r w:rsidR="000465B0">
        <w:rPr>
          <w:rFonts w:hint="eastAsia"/>
        </w:rPr>
        <w:t>马尔卡减少至了</w:t>
      </w:r>
      <w:r w:rsidR="000465B0">
        <w:t>2018</w:t>
      </w:r>
      <w:r w:rsidR="000465B0">
        <w:rPr>
          <w:rFonts w:hint="eastAsia"/>
        </w:rPr>
        <w:t>年的</w:t>
      </w:r>
      <w:r w:rsidR="000465B0">
        <w:t>3,004,000</w:t>
      </w:r>
      <w:r w:rsidR="000465B0">
        <w:rPr>
          <w:rFonts w:hint="eastAsia"/>
        </w:rPr>
        <w:t>马尔卡。</w:t>
      </w:r>
    </w:p>
    <w:p w:rsidR="000465B0" w:rsidRDefault="00D05448" w:rsidP="001A1FA6">
      <w:pPr>
        <w:pStyle w:val="SingleTxtGC"/>
      </w:pPr>
      <w:r>
        <w:tab/>
      </w:r>
      <w:r w:rsidR="000465B0">
        <w:rPr>
          <w:rFonts w:hint="eastAsia"/>
        </w:rPr>
        <w:t>该研究所不具备任何能够促进其工作和提高实地工作效率的现代或尖端技术或设备。</w:t>
      </w:r>
    </w:p>
    <w:p w:rsidR="000465B0" w:rsidRDefault="000465B0" w:rsidP="00D05448">
      <w:pPr>
        <w:pStyle w:val="H23GC"/>
      </w:pPr>
      <w:r>
        <w:lastRenderedPageBreak/>
        <w:tab/>
      </w:r>
      <w:r>
        <w:tab/>
      </w:r>
      <w:r>
        <w:rPr>
          <w:rFonts w:hint="eastAsia"/>
        </w:rPr>
        <w:t>非政府组织提供的资料</w:t>
      </w:r>
    </w:p>
    <w:p w:rsidR="000465B0" w:rsidRDefault="00D05448" w:rsidP="00D05448">
      <w:pPr>
        <w:pStyle w:val="H4GC"/>
      </w:pPr>
      <w:r>
        <w:tab/>
      </w:r>
      <w:r w:rsidR="000465B0">
        <w:rPr>
          <w:rFonts w:hint="eastAsia"/>
        </w:rPr>
        <w:tab/>
      </w:r>
      <w:r w:rsidR="000465B0">
        <w:rPr>
          <w:rFonts w:hint="eastAsia"/>
        </w:rPr>
        <w:t>穷追未受惩罚者组织</w:t>
      </w:r>
    </w:p>
    <w:p w:rsidR="000465B0" w:rsidRDefault="00D05448" w:rsidP="001A1FA6">
      <w:pPr>
        <w:pStyle w:val="SingleTxtGC"/>
      </w:pPr>
      <w:r>
        <w:tab/>
      </w:r>
      <w:r w:rsidR="000465B0">
        <w:rPr>
          <w:rFonts w:hint="eastAsia"/>
        </w:rPr>
        <w:t>该组织提及</w:t>
      </w:r>
      <w:r w:rsidR="000465B0">
        <w:t>2013</w:t>
      </w:r>
      <w:r w:rsidR="000465B0">
        <w:rPr>
          <w:rFonts w:hint="eastAsia"/>
        </w:rPr>
        <w:t>至</w:t>
      </w:r>
      <w:r w:rsidR="000465B0">
        <w:t>2017</w:t>
      </w:r>
      <w:r w:rsidR="000465B0">
        <w:rPr>
          <w:rFonts w:hint="eastAsia"/>
        </w:rPr>
        <w:t>年间人权事务委员会通过的若干关于波斯尼亚和黑塞哥维那冲突期间发生的强迫失踪案件的个人来文的意见。缔约国未能落实这些意见，间接证实该国未能落实委员会在其结论性意见第</w:t>
      </w:r>
      <w:r w:rsidR="000465B0">
        <w:t>20</w:t>
      </w:r>
      <w:r w:rsidR="000465B0">
        <w:rPr>
          <w:rFonts w:hint="eastAsia"/>
        </w:rPr>
        <w:t>段中提出的建议。</w:t>
      </w:r>
    </w:p>
    <w:p w:rsidR="000465B0" w:rsidRDefault="000465B0" w:rsidP="00D05448">
      <w:pPr>
        <w:pStyle w:val="H23GC"/>
      </w:pPr>
      <w:r>
        <w:tab/>
      </w:r>
      <w:r>
        <w:tab/>
      </w:r>
      <w:r>
        <w:rPr>
          <w:rFonts w:hint="eastAsia"/>
        </w:rPr>
        <w:t>委员会的评价</w:t>
      </w:r>
    </w:p>
    <w:p w:rsidR="000465B0" w:rsidRDefault="00D05448" w:rsidP="001A1FA6">
      <w:pPr>
        <w:pStyle w:val="SingleTxtGC"/>
      </w:pPr>
      <w:r>
        <w:tab/>
      </w:r>
      <w:r w:rsidR="000465B0" w:rsidRPr="00275DAC">
        <w:rPr>
          <w:b/>
          <w:bCs/>
        </w:rPr>
        <w:t>[C]</w:t>
      </w:r>
      <w:r w:rsidR="00275DAC">
        <w:rPr>
          <w:rFonts w:hint="eastAsia"/>
        </w:rPr>
        <w:t>：</w:t>
      </w:r>
      <w:r w:rsidR="000465B0">
        <w:rPr>
          <w:rFonts w:hint="eastAsia"/>
        </w:rPr>
        <w:t>委员会感到遗憾的是，缔约国没有采取措施加快调查所有涉及失踪人员的未决案件，也没有采取措施设立一个基金以向失踪人员家属提供支助。</w:t>
      </w:r>
    </w:p>
    <w:p w:rsidR="000465B0" w:rsidRDefault="00D05448" w:rsidP="001A1FA6">
      <w:pPr>
        <w:pStyle w:val="SingleTxtGC"/>
      </w:pPr>
      <w:r>
        <w:tab/>
      </w:r>
      <w:r w:rsidR="000465B0">
        <w:rPr>
          <w:rFonts w:hint="eastAsia"/>
        </w:rPr>
        <w:t>委员会对失踪人员研究所的预算拨款不断减少感到遗憾，这违背了委员会的建议。委员会重申其建议。</w:t>
      </w:r>
    </w:p>
    <w:p w:rsidR="000465B0" w:rsidRDefault="000465B0" w:rsidP="00D05448">
      <w:pPr>
        <w:pStyle w:val="H23GC"/>
      </w:pPr>
      <w:r>
        <w:tab/>
      </w:r>
      <w:r>
        <w:tab/>
      </w:r>
      <w:r>
        <w:rPr>
          <w:rFonts w:hint="eastAsia"/>
        </w:rPr>
        <w:t>第</w:t>
      </w:r>
      <w:r>
        <w:t>36</w:t>
      </w:r>
      <w:r>
        <w:rPr>
          <w:rFonts w:hint="eastAsia"/>
        </w:rPr>
        <w:t>段</w:t>
      </w:r>
      <w:r w:rsidR="0059416A" w:rsidRPr="0059416A">
        <w:rPr>
          <w:rFonts w:ascii="黑体" w:hAnsi="黑体" w:hint="eastAsia"/>
        </w:rPr>
        <w:t>：</w:t>
      </w:r>
      <w:r>
        <w:rPr>
          <w:rFonts w:hint="eastAsia"/>
        </w:rPr>
        <w:t>难民和流离失所者</w:t>
      </w:r>
    </w:p>
    <w:p w:rsidR="000465B0" w:rsidRPr="007553EC" w:rsidRDefault="00D05448" w:rsidP="001A1FA6">
      <w:pPr>
        <w:pStyle w:val="SingleTxtGC"/>
        <w:rPr>
          <w:rFonts w:eastAsia="黑体"/>
        </w:rPr>
      </w:pPr>
      <w:r w:rsidRPr="007553EC">
        <w:rPr>
          <w:rFonts w:eastAsia="黑体"/>
        </w:rPr>
        <w:tab/>
      </w:r>
      <w:r w:rsidR="000465B0" w:rsidRPr="007553EC">
        <w:rPr>
          <w:rFonts w:eastAsia="黑体" w:hint="eastAsia"/>
        </w:rPr>
        <w:t>缔约国应加强努力，全面执行经修订的《代顿和平协定》附件七执行战略，以帮助回返者和境内流离失所者重新融入，不受歧视地享有其权利。缔约国还应继续努力，关闭集体收容中心，向境内流离失所者提供替代住房解决办法，并确保获得国际辅助保护者获得与难民平等的服务，包括家庭团聚和旅行证件服务。</w:t>
      </w:r>
    </w:p>
    <w:p w:rsidR="000465B0" w:rsidRDefault="000465B0" w:rsidP="00EF3E59">
      <w:pPr>
        <w:pStyle w:val="H23GC"/>
      </w:pPr>
      <w:r>
        <w:tab/>
      </w:r>
      <w:r>
        <w:tab/>
      </w:r>
      <w:r>
        <w:rPr>
          <w:rFonts w:hint="eastAsia"/>
        </w:rPr>
        <w:t>缔约国答复概要</w:t>
      </w:r>
    </w:p>
    <w:p w:rsidR="000465B0" w:rsidRDefault="000465B0" w:rsidP="001A1FA6">
      <w:pPr>
        <w:pStyle w:val="SingleTxtGC"/>
      </w:pPr>
      <w:r>
        <w:tab/>
      </w:r>
      <w:r>
        <w:rPr>
          <w:rFonts w:hint="eastAsia"/>
        </w:rPr>
        <w:t>没有提供资料。</w:t>
      </w:r>
    </w:p>
    <w:p w:rsidR="000465B0" w:rsidRDefault="000465B0" w:rsidP="00EF3E59">
      <w:pPr>
        <w:pStyle w:val="H23GC"/>
      </w:pPr>
      <w:r>
        <w:tab/>
      </w:r>
      <w:r>
        <w:tab/>
      </w:r>
      <w:r>
        <w:rPr>
          <w:rFonts w:hint="eastAsia"/>
        </w:rPr>
        <w:t>委员会的评价</w:t>
      </w:r>
    </w:p>
    <w:p w:rsidR="000465B0" w:rsidRDefault="00EF3E59" w:rsidP="001A1FA6">
      <w:pPr>
        <w:pStyle w:val="SingleTxtGC"/>
      </w:pPr>
      <w:r>
        <w:tab/>
      </w:r>
      <w:r w:rsidR="000465B0" w:rsidRPr="00275DAC">
        <w:rPr>
          <w:b/>
          <w:bCs/>
        </w:rPr>
        <w:t>[C]</w:t>
      </w:r>
      <w:r w:rsidR="00275DAC">
        <w:rPr>
          <w:rFonts w:hint="eastAsia"/>
        </w:rPr>
        <w:t>：</w:t>
      </w:r>
      <w:r w:rsidR="000465B0">
        <w:rPr>
          <w:rFonts w:hint="eastAsia"/>
        </w:rPr>
        <w:t>委员会感到遗憾的是，缔约国没有提供资料说明落实委员会建议的情况。委员会重申其建议。</w:t>
      </w:r>
    </w:p>
    <w:p w:rsidR="000465B0" w:rsidRDefault="00EF3E59" w:rsidP="00EF3E59">
      <w:pPr>
        <w:pStyle w:val="SingleTxtGC"/>
      </w:pPr>
      <w:r>
        <w:tab/>
      </w:r>
      <w:r w:rsidR="000465B0" w:rsidRPr="00BE3D72">
        <w:rPr>
          <w:rFonts w:eastAsia="黑体" w:hint="eastAsia"/>
        </w:rPr>
        <w:t>建议采取的行动</w:t>
      </w:r>
      <w:r w:rsidR="000465B0">
        <w:rPr>
          <w:rFonts w:hint="eastAsia"/>
        </w:rPr>
        <w:t>：</w:t>
      </w:r>
      <w:bookmarkStart w:id="1" w:name="_Toc506807563"/>
      <w:r w:rsidR="000465B0">
        <w:rPr>
          <w:rFonts w:hint="eastAsia"/>
        </w:rPr>
        <w:t>应发函通知缔约国后续程序至此终止。所要求的资料应列入缔约国下次定期报告。</w:t>
      </w:r>
    </w:p>
    <w:bookmarkEnd w:id="1"/>
    <w:p w:rsidR="000465B0" w:rsidRDefault="00EF3E59" w:rsidP="001A1FA6">
      <w:pPr>
        <w:pStyle w:val="SingleTxtGC"/>
      </w:pPr>
      <w:r>
        <w:tab/>
      </w:r>
      <w:r w:rsidR="000465B0" w:rsidRPr="00BE3D72">
        <w:rPr>
          <w:rFonts w:eastAsia="黑体" w:hint="eastAsia"/>
        </w:rPr>
        <w:t>下次定期报告的截止日期</w:t>
      </w:r>
      <w:r w:rsidR="000465B0">
        <w:rPr>
          <w:rFonts w:hint="eastAsia"/>
        </w:rPr>
        <w:t>：</w:t>
      </w:r>
      <w:r w:rsidR="000465B0">
        <w:t>2022</w:t>
      </w:r>
      <w:r w:rsidR="000465B0">
        <w:rPr>
          <w:rFonts w:hint="eastAsia"/>
        </w:rPr>
        <w:t>年</w:t>
      </w:r>
      <w:r w:rsidR="000465B0">
        <w:t>3</w:t>
      </w:r>
      <w:r w:rsidR="000465B0">
        <w:rPr>
          <w:rFonts w:hint="eastAsia"/>
        </w:rPr>
        <w:t>月</w:t>
      </w:r>
      <w:r w:rsidR="000465B0">
        <w:t>29</w:t>
      </w:r>
      <w:r w:rsidR="000465B0">
        <w:rPr>
          <w:rFonts w:hint="eastAsia"/>
        </w:rPr>
        <w:t>日。</w:t>
      </w:r>
    </w:p>
    <w:p w:rsidR="0059416A" w:rsidRDefault="0059416A" w:rsidP="001A1FA6">
      <w:pPr>
        <w:pStyle w:val="SingleTxtGC"/>
        <w:rPr>
          <w:rFonts w:hint="eastAsia"/>
        </w:rPr>
      </w:pPr>
      <w:bookmarkStart w:id="2" w:name="_GoBack"/>
      <w:bookmarkEnd w:id="2"/>
    </w:p>
    <w:p w:rsidR="002E42BD" w:rsidRPr="00BE3D72" w:rsidRDefault="00BE3D72" w:rsidP="00BE3D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E42BD" w:rsidRPr="00BE3D7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43A5" w:rsidRPr="000D319F" w:rsidRDefault="00B943A5" w:rsidP="000D319F">
      <w:pPr>
        <w:pStyle w:val="af0"/>
        <w:spacing w:after="240"/>
        <w:ind w:left="907"/>
        <w:rPr>
          <w:rFonts w:asciiTheme="majorBidi" w:eastAsia="宋体" w:hAnsiTheme="majorBidi" w:cstheme="majorBidi"/>
          <w:sz w:val="21"/>
          <w:szCs w:val="21"/>
          <w:lang w:val="en-US"/>
        </w:rPr>
      </w:pPr>
    </w:p>
    <w:p w:rsidR="00B943A5" w:rsidRPr="000D319F" w:rsidRDefault="00B943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943A5" w:rsidRPr="000D319F" w:rsidRDefault="00B943A5" w:rsidP="000D319F">
      <w:pPr>
        <w:pStyle w:val="af0"/>
      </w:pPr>
    </w:p>
  </w:endnote>
  <w:endnote w:type="continuationNotice" w:id="1">
    <w:p w:rsidR="00B943A5" w:rsidRDefault="00B943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B5E09" w:rsidRDefault="00FB5E09" w:rsidP="00FB5E0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B5E09">
      <w:rPr>
        <w:rStyle w:val="af2"/>
        <w:b w:val="0"/>
        <w:snapToGrid w:val="0"/>
        <w:sz w:val="16"/>
      </w:rPr>
      <w:t>GE.20-11625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B5E09" w:rsidRDefault="00FB5E09" w:rsidP="00FB5E09">
    <w:pPr>
      <w:pStyle w:val="af0"/>
      <w:tabs>
        <w:tab w:val="clear" w:pos="431"/>
        <w:tab w:val="right" w:pos="9638"/>
      </w:tabs>
      <w:rPr>
        <w:rStyle w:val="af2"/>
      </w:rPr>
    </w:pPr>
    <w:r>
      <w:t>GE.20-11625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FB5E09"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GE.20-11625</w:t>
    </w:r>
    <w:r w:rsidR="00731A42" w:rsidRPr="00EE277A">
      <w:rPr>
        <w:sz w:val="20"/>
        <w:lang w:eastAsia="zh-CN"/>
      </w:rPr>
      <w:t xml:space="preserve"> (C)</w:t>
    </w:r>
    <w:r w:rsidR="00EA7E67">
      <w:rPr>
        <w:sz w:val="20"/>
        <w:lang w:eastAsia="zh-CN"/>
      </w:rPr>
      <w:tab/>
    </w:r>
    <w:r>
      <w:rPr>
        <w:sz w:val="20"/>
        <w:lang w:eastAsia="zh-CN"/>
      </w:rPr>
      <w:t>16</w:t>
    </w:r>
    <w:r w:rsidR="00EA7E67">
      <w:rPr>
        <w:sz w:val="20"/>
        <w:lang w:eastAsia="zh-CN"/>
      </w:rPr>
      <w:t>0</w:t>
    </w:r>
    <w:r>
      <w:rPr>
        <w:sz w:val="20"/>
        <w:lang w:eastAsia="zh-CN"/>
      </w:rPr>
      <w:t>9</w:t>
    </w:r>
    <w:r w:rsidR="0060122D">
      <w:rPr>
        <w:sz w:val="20"/>
        <w:lang w:eastAsia="zh-CN"/>
      </w:rPr>
      <w:t>20</w:t>
    </w:r>
    <w:r w:rsidR="00731A42">
      <w:rPr>
        <w:sz w:val="20"/>
        <w:lang w:eastAsia="zh-CN"/>
      </w:rPr>
      <w:tab/>
    </w:r>
    <w:r>
      <w:rPr>
        <w:sz w:val="20"/>
        <w:lang w:eastAsia="zh-CN"/>
      </w:rPr>
      <w:t>2</w:t>
    </w:r>
    <w:r w:rsidR="00731A42">
      <w:rPr>
        <w:sz w:val="20"/>
        <w:lang w:eastAsia="zh-CN"/>
      </w:rPr>
      <w:t>0</w:t>
    </w:r>
    <w:r w:rsidR="009C133F">
      <w:rPr>
        <w:sz w:val="20"/>
        <w:lang w:eastAsia="zh-CN"/>
      </w:rPr>
      <w:t>10</w:t>
    </w:r>
    <w:r w:rsidR="0060122D">
      <w:rPr>
        <w:sz w:val="20"/>
        <w:lang w:eastAsia="zh-CN"/>
      </w:rPr>
      <w:t>20</w:t>
    </w:r>
  </w:p>
  <w:p w:rsidR="00056632" w:rsidRPr="00487939" w:rsidRDefault="00FB5E09" w:rsidP="00487939">
    <w:pPr>
      <w:pStyle w:val="af0"/>
      <w:tabs>
        <w:tab w:val="clear" w:pos="431"/>
        <w:tab w:val="right" w:pos="8450"/>
      </w:tabs>
      <w:rPr>
        <w:sz w:val="20"/>
        <w:lang w:val="en-US" w:eastAsia="zh-CN"/>
      </w:rPr>
    </w:pPr>
    <w:r>
      <w:rPr>
        <w:rFonts w:ascii="C39T30Lfz" w:hAnsi="C39T30Lfz"/>
        <w:sz w:val="56"/>
      </w:rPr>
      <w:t>*2011625*</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43A5" w:rsidRPr="000157B1" w:rsidRDefault="00B943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943A5" w:rsidRPr="000157B1" w:rsidRDefault="00B943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943A5" w:rsidRDefault="00B943A5"/>
  </w:footnote>
  <w:footnote w:id="2">
    <w:p w:rsidR="000465B0" w:rsidRDefault="000465B0" w:rsidP="000465B0">
      <w:pPr>
        <w:pStyle w:val="a6"/>
      </w:pPr>
      <w:r w:rsidRPr="00AE6692">
        <w:rPr>
          <w:rStyle w:val="SingleTxtGCChar"/>
        </w:rPr>
        <w:tab/>
      </w:r>
      <w:r w:rsidRPr="00AE6692">
        <w:rPr>
          <w:rStyle w:val="a8"/>
          <w:rFonts w:eastAsia="宋体"/>
          <w:vertAlign w:val="baseline"/>
        </w:rPr>
        <w:t>*</w:t>
      </w:r>
      <w:r w:rsidRPr="00AE6692">
        <w:rPr>
          <w:rStyle w:val="SingleTxtGCChar"/>
        </w:rPr>
        <w:tab/>
      </w:r>
      <w:r>
        <w:rPr>
          <w:rFonts w:hint="eastAsia"/>
        </w:rPr>
        <w:t>委员会第一百二十九届会议</w:t>
      </w:r>
      <w:r>
        <w:t>(2020</w:t>
      </w:r>
      <w:r>
        <w:rPr>
          <w:rFonts w:hint="eastAsia"/>
        </w:rPr>
        <w:t>年</w:t>
      </w:r>
      <w:r>
        <w:t>6</w:t>
      </w:r>
      <w:r>
        <w:rPr>
          <w:rFonts w:hint="eastAsia"/>
        </w:rPr>
        <w:t>月</w:t>
      </w:r>
      <w:r>
        <w:t>29</w:t>
      </w:r>
      <w:r>
        <w:rPr>
          <w:rFonts w:hint="eastAsia"/>
        </w:rPr>
        <w:t>日至</w:t>
      </w:r>
      <w:r>
        <w:t>7</w:t>
      </w:r>
      <w:r>
        <w:rPr>
          <w:rFonts w:hint="eastAsia"/>
        </w:rPr>
        <w:t>月</w:t>
      </w:r>
      <w:r>
        <w:t>24</w:t>
      </w:r>
      <w:r>
        <w:rPr>
          <w:rFonts w:hint="eastAsia"/>
        </w:rPr>
        <w:t>日</w:t>
      </w:r>
      <w:r>
        <w:t>)</w:t>
      </w:r>
      <w:r>
        <w:rPr>
          <w:rFonts w:hint="eastAsia"/>
        </w:rPr>
        <w:t>通过。</w:t>
      </w:r>
    </w:p>
  </w:footnote>
  <w:footnote w:id="3">
    <w:p w:rsidR="0039069C" w:rsidRDefault="0039069C" w:rsidP="0039069C">
      <w:pPr>
        <w:pStyle w:val="a6"/>
      </w:pPr>
      <w:r>
        <w:tab/>
      </w:r>
      <w:r>
        <w:rPr>
          <w:rStyle w:val="a8"/>
          <w:rFonts w:eastAsia="宋体"/>
        </w:rPr>
        <w:footnoteRef/>
      </w:r>
      <w:r>
        <w:tab/>
      </w:r>
      <w:r>
        <w:rPr>
          <w:rFonts w:hint="eastAsia"/>
        </w:rPr>
        <w:t>见</w:t>
      </w:r>
      <w:r w:rsidR="00AE6692" w:rsidRPr="00AE6692">
        <w:rPr>
          <w:spacing w:val="-4"/>
        </w:rPr>
        <w:t>https://tbinternet.ohchr.org/_layouts/15/treatybodyexternal/Download.aspx?symbolno=INT%2fCCPR%</w:t>
      </w:r>
      <w:r w:rsidR="00AE6692">
        <w:t xml:space="preserve"> </w:t>
      </w:r>
      <w:r>
        <w:t>2fNGS%2fBIH%2f42053&amp;Lang=en</w:t>
      </w:r>
      <w:r>
        <w:rPr>
          <w:rFonts w:hint="eastAsia"/>
        </w:rPr>
        <w:t>。</w:t>
      </w:r>
    </w:p>
  </w:footnote>
  <w:footnote w:id="4">
    <w:p w:rsidR="0039069C" w:rsidRDefault="0039069C" w:rsidP="0039069C">
      <w:pPr>
        <w:pStyle w:val="a6"/>
      </w:pPr>
      <w:r>
        <w:tab/>
      </w:r>
      <w:r>
        <w:rPr>
          <w:rStyle w:val="a8"/>
          <w:rFonts w:eastAsia="宋体"/>
        </w:rPr>
        <w:footnoteRef/>
      </w:r>
      <w:r>
        <w:tab/>
      </w:r>
      <w:r>
        <w:rPr>
          <w:rFonts w:hint="eastAsia"/>
        </w:rPr>
        <w:t>见</w:t>
      </w:r>
      <w:r w:rsidR="008E7920" w:rsidRPr="008E7920">
        <w:t>https:</w:t>
      </w:r>
      <w:r w:rsidR="008E7920" w:rsidRPr="008E7920">
        <w:rPr>
          <w:spacing w:val="-4"/>
        </w:rPr>
        <w:t>//tbinternet.ohchr.org/_layouts/15/treatybodyexternal/Download.aspx?symbolno=INT%2fCCPR%</w:t>
      </w:r>
      <w:r w:rsidR="008E7920">
        <w:rPr>
          <w:spacing w:val="-4"/>
        </w:rPr>
        <w:t xml:space="preserve"> </w:t>
      </w:r>
      <w:r>
        <w:t>2fNGS%2fBIH%2f30781&amp;Lang=en</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FB5E09" w:rsidP="00FB5E09">
    <w:pPr>
      <w:pStyle w:val="af3"/>
    </w:pPr>
    <w:r>
      <w:t>CCPR/C/129/2/Add.3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FB5E09" w:rsidP="00FB5E09">
    <w:pPr>
      <w:pStyle w:val="af3"/>
      <w:jc w:val="right"/>
    </w:pPr>
    <w:r>
      <w:t>CCPR/C/129/2/Add.3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A5"/>
    <w:rsid w:val="00011483"/>
    <w:rsid w:val="00032550"/>
    <w:rsid w:val="0004554F"/>
    <w:rsid w:val="000465B0"/>
    <w:rsid w:val="000927F2"/>
    <w:rsid w:val="000D319F"/>
    <w:rsid w:val="000E4D0E"/>
    <w:rsid w:val="000F5EB8"/>
    <w:rsid w:val="00144B69"/>
    <w:rsid w:val="00153E86"/>
    <w:rsid w:val="00172E04"/>
    <w:rsid w:val="001A1FA6"/>
    <w:rsid w:val="001B1BD1"/>
    <w:rsid w:val="001C3EF2"/>
    <w:rsid w:val="001D17F6"/>
    <w:rsid w:val="001D40F0"/>
    <w:rsid w:val="00204B42"/>
    <w:rsid w:val="0021265F"/>
    <w:rsid w:val="002231C3"/>
    <w:rsid w:val="0024417F"/>
    <w:rsid w:val="00250F8D"/>
    <w:rsid w:val="00275DAC"/>
    <w:rsid w:val="002912B4"/>
    <w:rsid w:val="002E1C97"/>
    <w:rsid w:val="002E3FA1"/>
    <w:rsid w:val="002E42BD"/>
    <w:rsid w:val="002F5834"/>
    <w:rsid w:val="003006AB"/>
    <w:rsid w:val="00326EBF"/>
    <w:rsid w:val="00327FE4"/>
    <w:rsid w:val="003333CC"/>
    <w:rsid w:val="0039069C"/>
    <w:rsid w:val="00427F63"/>
    <w:rsid w:val="00431658"/>
    <w:rsid w:val="00434D38"/>
    <w:rsid w:val="00470065"/>
    <w:rsid w:val="00494EB8"/>
    <w:rsid w:val="004C4A0A"/>
    <w:rsid w:val="004D0A00"/>
    <w:rsid w:val="004E473D"/>
    <w:rsid w:val="004F348E"/>
    <w:rsid w:val="00501220"/>
    <w:rsid w:val="0059416A"/>
    <w:rsid w:val="005E403A"/>
    <w:rsid w:val="005E4086"/>
    <w:rsid w:val="0060122D"/>
    <w:rsid w:val="00604D91"/>
    <w:rsid w:val="006257FE"/>
    <w:rsid w:val="00645554"/>
    <w:rsid w:val="00654DD9"/>
    <w:rsid w:val="00670DEE"/>
    <w:rsid w:val="00680656"/>
    <w:rsid w:val="006B1119"/>
    <w:rsid w:val="006D3757"/>
    <w:rsid w:val="006D37EB"/>
    <w:rsid w:val="006E3E46"/>
    <w:rsid w:val="006E71B1"/>
    <w:rsid w:val="006F1404"/>
    <w:rsid w:val="0070593B"/>
    <w:rsid w:val="00705D89"/>
    <w:rsid w:val="00731A42"/>
    <w:rsid w:val="007538C6"/>
    <w:rsid w:val="007553EC"/>
    <w:rsid w:val="00755487"/>
    <w:rsid w:val="00767E69"/>
    <w:rsid w:val="0077079A"/>
    <w:rsid w:val="007710C4"/>
    <w:rsid w:val="00771504"/>
    <w:rsid w:val="007A5599"/>
    <w:rsid w:val="00856233"/>
    <w:rsid w:val="00860F27"/>
    <w:rsid w:val="00873616"/>
    <w:rsid w:val="00880F0E"/>
    <w:rsid w:val="008B0560"/>
    <w:rsid w:val="008B2BFA"/>
    <w:rsid w:val="008D31F4"/>
    <w:rsid w:val="008D3DEE"/>
    <w:rsid w:val="008E6A3F"/>
    <w:rsid w:val="008E6FEB"/>
    <w:rsid w:val="008E7920"/>
    <w:rsid w:val="00923557"/>
    <w:rsid w:val="00936F03"/>
    <w:rsid w:val="00943B69"/>
    <w:rsid w:val="00944CB3"/>
    <w:rsid w:val="00954D2B"/>
    <w:rsid w:val="0096722F"/>
    <w:rsid w:val="00986624"/>
    <w:rsid w:val="009B09D7"/>
    <w:rsid w:val="009C133F"/>
    <w:rsid w:val="009D35ED"/>
    <w:rsid w:val="00A03CB6"/>
    <w:rsid w:val="00A1364C"/>
    <w:rsid w:val="00A21076"/>
    <w:rsid w:val="00A31BA8"/>
    <w:rsid w:val="00A3739A"/>
    <w:rsid w:val="00A52DAF"/>
    <w:rsid w:val="00A84072"/>
    <w:rsid w:val="00AE6692"/>
    <w:rsid w:val="00B07841"/>
    <w:rsid w:val="00B16570"/>
    <w:rsid w:val="00B23B03"/>
    <w:rsid w:val="00B43EB7"/>
    <w:rsid w:val="00B53320"/>
    <w:rsid w:val="00B614C4"/>
    <w:rsid w:val="00B943A5"/>
    <w:rsid w:val="00BC6522"/>
    <w:rsid w:val="00BE3D72"/>
    <w:rsid w:val="00C121D5"/>
    <w:rsid w:val="00C17349"/>
    <w:rsid w:val="00C30D32"/>
    <w:rsid w:val="00C351AA"/>
    <w:rsid w:val="00C70852"/>
    <w:rsid w:val="00C7253F"/>
    <w:rsid w:val="00C83902"/>
    <w:rsid w:val="00C90707"/>
    <w:rsid w:val="00CE1D1C"/>
    <w:rsid w:val="00D05448"/>
    <w:rsid w:val="00D26A05"/>
    <w:rsid w:val="00D27FB2"/>
    <w:rsid w:val="00D879AE"/>
    <w:rsid w:val="00D9309B"/>
    <w:rsid w:val="00D97B98"/>
    <w:rsid w:val="00D97C5F"/>
    <w:rsid w:val="00DB0D94"/>
    <w:rsid w:val="00DC671F"/>
    <w:rsid w:val="00DE4DA7"/>
    <w:rsid w:val="00E02C13"/>
    <w:rsid w:val="00E33B38"/>
    <w:rsid w:val="00E442A1"/>
    <w:rsid w:val="00E47FE5"/>
    <w:rsid w:val="00E574AF"/>
    <w:rsid w:val="00E61D9B"/>
    <w:rsid w:val="00E73B33"/>
    <w:rsid w:val="00EA10A0"/>
    <w:rsid w:val="00EA7E67"/>
    <w:rsid w:val="00EF3E59"/>
    <w:rsid w:val="00F24E6D"/>
    <w:rsid w:val="00F379B8"/>
    <w:rsid w:val="00F714DA"/>
    <w:rsid w:val="00F87910"/>
    <w:rsid w:val="00FB456B"/>
    <w:rsid w:val="00FB5E0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D2A395"/>
  <w15:docId w15:val="{C4F281B7-8FA7-495F-992B-4553E64E2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0465B0"/>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23G">
    <w:name w:val="_ H_2/3_G"/>
    <w:basedOn w:val="a"/>
    <w:next w:val="a"/>
    <w:rsid w:val="000465B0"/>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0465B0"/>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SingleTxtG">
    <w:name w:val="_ Single Txt_G"/>
    <w:basedOn w:val="a"/>
    <w:rsid w:val="000465B0"/>
    <w:pPr>
      <w:tabs>
        <w:tab w:val="clear" w:pos="431"/>
      </w:tabs>
      <w:overflowPunct/>
      <w:adjustRightInd/>
      <w:snapToGrid/>
      <w:spacing w:after="120" w:line="240" w:lineRule="auto"/>
      <w:ind w:left="1134" w:right="1134"/>
    </w:pPr>
    <w:rPr>
      <w:snapToGrid/>
      <w:sz w:val="20"/>
      <w:lang w:val="en-GB"/>
    </w:rPr>
  </w:style>
  <w:style w:type="character" w:styleId="afa">
    <w:name w:val="Hyperlink"/>
    <w:basedOn w:val="a0"/>
    <w:uiPriority w:val="99"/>
    <w:unhideWhenUsed/>
    <w:rsid w:val="00AE6692"/>
    <w:rPr>
      <w:color w:val="0000FF" w:themeColor="hyperlink"/>
      <w:u w:val="single"/>
    </w:rPr>
  </w:style>
  <w:style w:type="character" w:styleId="afb">
    <w:name w:val="Unresolved Mention"/>
    <w:basedOn w:val="a0"/>
    <w:uiPriority w:val="99"/>
    <w:semiHidden/>
    <w:unhideWhenUsed/>
    <w:rsid w:val="00AE6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872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B920E-18C4-441E-A32F-FE02F17AA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41</TotalTime>
  <Pages>4</Pages>
  <Words>499</Words>
  <Characters>2850</Characters>
  <Application>Microsoft Office Word</Application>
  <DocSecurity>0</DocSecurity>
  <Lines>23</Lines>
  <Paragraphs>6</Paragraphs>
  <ScaleCrop>false</ScaleCrop>
  <Company>DCM</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CCPR/C/129/2/Add.3</dc:title>
  <dc:subject>2011625</dc:subject>
  <dc:creator>WUJS</dc:creator>
  <cp:keywords/>
  <dc:description/>
  <cp:lastModifiedBy>Xiaoqing YANG</cp:lastModifiedBy>
  <cp:revision>14</cp:revision>
  <cp:lastPrinted>2020-10-20T08:01:00Z</cp:lastPrinted>
  <dcterms:created xsi:type="dcterms:W3CDTF">2020-09-29T05:53:00Z</dcterms:created>
  <dcterms:modified xsi:type="dcterms:W3CDTF">2020-10-20T08:36:00Z</dcterms:modified>
</cp:coreProperties>
</file>