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E2E6DE7" w14:textId="77777777" w:rsidTr="00B614C4">
        <w:trPr>
          <w:trHeight w:hRule="exact" w:val="851"/>
        </w:trPr>
        <w:tc>
          <w:tcPr>
            <w:tcW w:w="1280" w:type="dxa"/>
            <w:tcBorders>
              <w:bottom w:val="single" w:sz="4" w:space="0" w:color="auto"/>
            </w:tcBorders>
          </w:tcPr>
          <w:p w14:paraId="7FDCA4FD" w14:textId="77777777" w:rsidR="00CE1D1C" w:rsidRPr="00F124C6" w:rsidRDefault="00CE1D1C" w:rsidP="00B614C4">
            <w:pPr>
              <w:pStyle w:val="H23GC"/>
            </w:pPr>
          </w:p>
        </w:tc>
        <w:tc>
          <w:tcPr>
            <w:tcW w:w="2273" w:type="dxa"/>
            <w:tcBorders>
              <w:bottom w:val="single" w:sz="4" w:space="0" w:color="auto"/>
            </w:tcBorders>
            <w:vAlign w:val="bottom"/>
          </w:tcPr>
          <w:p w14:paraId="4EB26CCE"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E04EE15" w14:textId="40C2D904" w:rsidR="00CE1D1C" w:rsidRPr="00552F50" w:rsidRDefault="0098064C" w:rsidP="00B614C4">
            <w:pPr>
              <w:spacing w:line="240" w:lineRule="atLeast"/>
              <w:jc w:val="right"/>
              <w:rPr>
                <w:sz w:val="20"/>
                <w:szCs w:val="21"/>
              </w:rPr>
            </w:pPr>
            <w:proofErr w:type="spellStart"/>
            <w:r>
              <w:rPr>
                <w:sz w:val="40"/>
                <w:szCs w:val="21"/>
              </w:rPr>
              <w:t>CCPR</w:t>
            </w:r>
            <w:proofErr w:type="spellEnd"/>
            <w:r w:rsidR="00552F50">
              <w:rPr>
                <w:sz w:val="20"/>
                <w:szCs w:val="21"/>
              </w:rPr>
              <w:t>/</w:t>
            </w:r>
            <w:r>
              <w:rPr>
                <w:sz w:val="20"/>
                <w:szCs w:val="21"/>
              </w:rPr>
              <w:t>C</w:t>
            </w:r>
            <w:r w:rsidR="00552F50">
              <w:rPr>
                <w:sz w:val="20"/>
                <w:szCs w:val="21"/>
              </w:rPr>
              <w:t>/</w:t>
            </w:r>
            <w:r>
              <w:rPr>
                <w:sz w:val="20"/>
                <w:szCs w:val="21"/>
              </w:rPr>
              <w:t>SUR</w:t>
            </w:r>
            <w:r w:rsidR="00552F50">
              <w:rPr>
                <w:sz w:val="20"/>
                <w:szCs w:val="21"/>
              </w:rPr>
              <w:t>/</w:t>
            </w:r>
            <w:r>
              <w:rPr>
                <w:sz w:val="20"/>
                <w:szCs w:val="21"/>
              </w:rPr>
              <w:t>CO</w:t>
            </w:r>
            <w:r w:rsidR="00552F50">
              <w:rPr>
                <w:sz w:val="20"/>
                <w:szCs w:val="21"/>
              </w:rPr>
              <w:t>/</w:t>
            </w:r>
            <w:r>
              <w:rPr>
                <w:sz w:val="20"/>
                <w:szCs w:val="21"/>
              </w:rPr>
              <w:t>4</w:t>
            </w:r>
          </w:p>
        </w:tc>
      </w:tr>
      <w:tr w:rsidR="00CE1D1C" w:rsidRPr="00F124C6" w14:paraId="3CB7A534" w14:textId="77777777" w:rsidTr="00B614C4">
        <w:trPr>
          <w:trHeight w:hRule="exact" w:val="2835"/>
        </w:trPr>
        <w:tc>
          <w:tcPr>
            <w:tcW w:w="1280" w:type="dxa"/>
            <w:tcBorders>
              <w:top w:val="single" w:sz="4" w:space="0" w:color="auto"/>
              <w:bottom w:val="single" w:sz="12" w:space="0" w:color="auto"/>
            </w:tcBorders>
          </w:tcPr>
          <w:p w14:paraId="263AFB54" w14:textId="77777777" w:rsidR="00CE1D1C" w:rsidRPr="00F124C6" w:rsidRDefault="00CE1D1C" w:rsidP="00B614C4">
            <w:pPr>
              <w:spacing w:line="120" w:lineRule="atLeast"/>
              <w:rPr>
                <w:sz w:val="10"/>
                <w:szCs w:val="10"/>
              </w:rPr>
            </w:pPr>
          </w:p>
          <w:p w14:paraId="3FC8992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DD11ACD" wp14:editId="39FE23A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A7A27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3108565" w14:textId="6928A387" w:rsidR="00CE1D1C" w:rsidRPr="0004600B" w:rsidRDefault="0098064C" w:rsidP="00B614C4">
            <w:pPr>
              <w:spacing w:before="240" w:line="240" w:lineRule="atLeast"/>
              <w:rPr>
                <w:sz w:val="20"/>
              </w:rPr>
            </w:pPr>
            <w:r>
              <w:rPr>
                <w:sz w:val="20"/>
              </w:rPr>
              <w:t xml:space="preserve">Distr.: </w:t>
            </w:r>
            <w:r w:rsidR="00A20DD6" w:rsidRPr="00A20DD6">
              <w:rPr>
                <w:sz w:val="20"/>
              </w:rPr>
              <w:t>General</w:t>
            </w:r>
          </w:p>
          <w:p w14:paraId="5BDA6F8C" w14:textId="068D5226" w:rsidR="00CE1D1C" w:rsidRPr="00F124C6" w:rsidRDefault="00A20DD6" w:rsidP="00B614C4">
            <w:pPr>
              <w:spacing w:line="240" w:lineRule="atLeast"/>
              <w:rPr>
                <w:sz w:val="20"/>
              </w:rPr>
            </w:pPr>
            <w:r w:rsidRPr="00A20DD6">
              <w:rPr>
                <w:sz w:val="20"/>
              </w:rPr>
              <w:t>28 August 2024</w:t>
            </w:r>
          </w:p>
          <w:p w14:paraId="65F63170" w14:textId="6F4D07E2" w:rsidR="00CE1D1C" w:rsidRPr="00F124C6" w:rsidRDefault="0098064C" w:rsidP="00B614C4">
            <w:pPr>
              <w:spacing w:line="240" w:lineRule="atLeast"/>
              <w:rPr>
                <w:sz w:val="20"/>
              </w:rPr>
            </w:pPr>
            <w:r>
              <w:rPr>
                <w:sz w:val="20"/>
              </w:rPr>
              <w:t>Chinese</w:t>
            </w:r>
            <w:r w:rsidR="00CE1D1C" w:rsidRPr="00F124C6">
              <w:rPr>
                <w:sz w:val="20"/>
              </w:rPr>
              <w:t xml:space="preserve"> </w:t>
            </w:r>
          </w:p>
          <w:p w14:paraId="30D37EE3" w14:textId="6B3E5107" w:rsidR="00CE1D1C" w:rsidRPr="00F124C6" w:rsidRDefault="0098064C" w:rsidP="00B614C4">
            <w:pPr>
              <w:spacing w:line="240" w:lineRule="atLeast"/>
            </w:pPr>
            <w:r>
              <w:rPr>
                <w:sz w:val="20"/>
              </w:rPr>
              <w:t>Original: English</w:t>
            </w:r>
          </w:p>
        </w:tc>
      </w:tr>
    </w:tbl>
    <w:p w14:paraId="11DE266D" w14:textId="77777777" w:rsidR="0098064C" w:rsidRDefault="0098064C"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A6DB7AF" w14:textId="77777777" w:rsidR="0098064C" w:rsidRPr="0098064C" w:rsidRDefault="0098064C" w:rsidP="002712FB">
      <w:pPr>
        <w:pStyle w:val="HChGC"/>
      </w:pPr>
      <w:r w:rsidRPr="0098064C">
        <w:tab/>
      </w:r>
      <w:r w:rsidRPr="0098064C">
        <w:tab/>
      </w:r>
      <w:r w:rsidRPr="0098064C">
        <w:t>关于苏里南第四次定期报告的结论性意见</w:t>
      </w:r>
      <w:r w:rsidRPr="0098064C">
        <w:footnoteReference w:customMarkFollows="1" w:id="2"/>
        <w:t>*</w:t>
      </w:r>
    </w:p>
    <w:p w14:paraId="6E2C8DF6" w14:textId="6A686DA2" w:rsidR="0098064C" w:rsidRPr="0098064C" w:rsidRDefault="0098064C" w:rsidP="0098064C">
      <w:pPr>
        <w:pStyle w:val="SingleTxtGC"/>
      </w:pPr>
      <w:r>
        <w:t>1</w:t>
      </w:r>
      <w:r w:rsidRPr="0098064C">
        <w:t>.</w:t>
      </w:r>
      <w:r w:rsidRPr="0098064C">
        <w:tab/>
      </w:r>
      <w:r w:rsidRPr="0098064C">
        <w:t>委员会在</w:t>
      </w:r>
      <w:r>
        <w:t>2</w:t>
      </w:r>
      <w:r w:rsidRPr="0098064C">
        <w:t>0</w:t>
      </w:r>
      <w:r>
        <w:t>24</w:t>
      </w:r>
      <w:r w:rsidRPr="0098064C">
        <w:t>年</w:t>
      </w:r>
      <w:r>
        <w:t>7</w:t>
      </w:r>
      <w:r w:rsidRPr="0098064C">
        <w:t>月</w:t>
      </w:r>
      <w:r>
        <w:t>1</w:t>
      </w:r>
      <w:r w:rsidRPr="0098064C">
        <w:t>0</w:t>
      </w:r>
      <w:r w:rsidRPr="0098064C">
        <w:t>日和</w:t>
      </w:r>
      <w:r>
        <w:t>11</w:t>
      </w:r>
      <w:r w:rsidRPr="0098064C">
        <w:t>日举行的第</w:t>
      </w:r>
      <w:r>
        <w:t>4128</w:t>
      </w:r>
      <w:r w:rsidRPr="0098064C">
        <w:t>和</w:t>
      </w:r>
      <w:r>
        <w:t>4129</w:t>
      </w:r>
      <w:r w:rsidRPr="0098064C">
        <w:t>次会议</w:t>
      </w:r>
      <w:r w:rsidRPr="0098064C">
        <w:rPr>
          <w:vertAlign w:val="superscript"/>
        </w:rPr>
        <w:footnoteReference w:id="3"/>
      </w:r>
      <w:r w:rsidR="00BF4379">
        <w:t xml:space="preserve"> </w:t>
      </w:r>
      <w:r w:rsidRPr="0098064C">
        <w:t>上审议了苏里南的第四次定期报告，</w:t>
      </w:r>
      <w:r w:rsidRPr="0098064C">
        <w:rPr>
          <w:vertAlign w:val="superscript"/>
        </w:rPr>
        <w:footnoteReference w:id="4"/>
      </w:r>
      <w:r w:rsidR="00BF4379">
        <w:t xml:space="preserve"> </w:t>
      </w:r>
      <w:r w:rsidRPr="0098064C">
        <w:rPr>
          <w:rFonts w:hint="eastAsia"/>
        </w:rPr>
        <w:t>并</w:t>
      </w:r>
      <w:r w:rsidRPr="0098064C">
        <w:t>在</w:t>
      </w:r>
      <w:r>
        <w:t>2</w:t>
      </w:r>
      <w:r w:rsidRPr="0098064C">
        <w:t>0</w:t>
      </w:r>
      <w:r>
        <w:t>24</w:t>
      </w:r>
      <w:r w:rsidRPr="0098064C">
        <w:t>年</w:t>
      </w:r>
      <w:r>
        <w:t>7</w:t>
      </w:r>
      <w:r w:rsidRPr="0098064C">
        <w:t>月</w:t>
      </w:r>
      <w:r>
        <w:t>22</w:t>
      </w:r>
      <w:r w:rsidRPr="0098064C">
        <w:t>日举行的第</w:t>
      </w:r>
      <w:r>
        <w:t>4143</w:t>
      </w:r>
      <w:r w:rsidRPr="0098064C">
        <w:t>次会议上通过了本结论性意见。</w:t>
      </w:r>
    </w:p>
    <w:p w14:paraId="30142F2F" w14:textId="77777777" w:rsidR="000E7F04" w:rsidRPr="0098064C" w:rsidRDefault="000E7F04" w:rsidP="00A20DD6">
      <w:pPr>
        <w:pStyle w:val="H1GC"/>
      </w:pPr>
      <w:r w:rsidRPr="000E7F04">
        <w:tab/>
        <w:t>A</w:t>
      </w:r>
      <w:r w:rsidRPr="0098064C">
        <w:t>.</w:t>
      </w:r>
      <w:r w:rsidRPr="0098064C">
        <w:tab/>
      </w:r>
      <w:r w:rsidRPr="0098064C">
        <w:t>导言</w:t>
      </w:r>
    </w:p>
    <w:p w14:paraId="796424C1" w14:textId="4342E2AD" w:rsidR="0098064C" w:rsidRPr="0098064C" w:rsidRDefault="0098064C" w:rsidP="0098064C">
      <w:pPr>
        <w:pStyle w:val="SingleTxtGC"/>
      </w:pPr>
      <w:r>
        <w:t>2</w:t>
      </w:r>
      <w:r w:rsidRPr="0098064C">
        <w:t>.</w:t>
      </w:r>
      <w:r w:rsidRPr="0098064C">
        <w:tab/>
      </w:r>
      <w:r w:rsidRPr="0098064C">
        <w:t>委员会欢迎苏里南提交第四次定期报告和其中所载资料。委员会赞赏有机会再次与缔约国高级别代表团开展建设性对话，讨论缔约国在报告所述期间为执行</w:t>
      </w:r>
      <w:r w:rsidRPr="0098064C">
        <w:rPr>
          <w:spacing w:val="-2"/>
        </w:rPr>
        <w:t>《公约》规定而采取的措施。委员会还感谢缔约国对问题清单</w:t>
      </w:r>
      <w:r w:rsidRPr="0098064C">
        <w:rPr>
          <w:spacing w:val="-2"/>
          <w:vertAlign w:val="superscript"/>
        </w:rPr>
        <w:footnoteReference w:id="5"/>
      </w:r>
      <w:r w:rsidR="00BF4379" w:rsidRPr="00BF4379">
        <w:rPr>
          <w:spacing w:val="-2"/>
        </w:rPr>
        <w:t xml:space="preserve"> </w:t>
      </w:r>
      <w:r w:rsidRPr="0098064C">
        <w:rPr>
          <w:spacing w:val="-2"/>
        </w:rPr>
        <w:t>作出的书面答复</w:t>
      </w:r>
      <w:r w:rsidRPr="0098064C">
        <w:rPr>
          <w:spacing w:val="-2"/>
          <w:vertAlign w:val="superscript"/>
        </w:rPr>
        <w:footnoteReference w:id="6"/>
      </w:r>
      <w:r w:rsidR="00BF4379">
        <w:t xml:space="preserve"> </w:t>
      </w:r>
      <w:r w:rsidRPr="0098064C">
        <w:t>和代表团通过口头答复所作的补充，以及提交的书面补充资料。</w:t>
      </w:r>
    </w:p>
    <w:p w14:paraId="12F8A6CC" w14:textId="5979C363" w:rsidR="000E7F04" w:rsidRPr="0098064C" w:rsidRDefault="000E7F04" w:rsidP="000E7F04">
      <w:pPr>
        <w:pStyle w:val="H1GC"/>
      </w:pPr>
      <w:r w:rsidRPr="000E7F04">
        <w:rPr>
          <w:bCs/>
        </w:rPr>
        <w:tab/>
        <w:t>B</w:t>
      </w:r>
      <w:r w:rsidRPr="0098064C">
        <w:rPr>
          <w:bCs/>
        </w:rPr>
        <w:t>.</w:t>
      </w:r>
      <w:r w:rsidRPr="0098064C">
        <w:tab/>
      </w:r>
      <w:r w:rsidRPr="0098064C">
        <w:rPr>
          <w:bCs/>
        </w:rPr>
        <w:t>积极方面</w:t>
      </w:r>
    </w:p>
    <w:p w14:paraId="6CDB7D3D" w14:textId="77777777" w:rsidR="000E7F04" w:rsidRDefault="0098064C" w:rsidP="0098064C">
      <w:pPr>
        <w:pStyle w:val="SingleTxtGC"/>
      </w:pPr>
      <w:r>
        <w:t>3</w:t>
      </w:r>
      <w:r w:rsidRPr="0098064C">
        <w:t>.</w:t>
      </w:r>
      <w:r w:rsidRPr="0098064C">
        <w:tab/>
      </w:r>
      <w:r w:rsidRPr="0098064C">
        <w:t>委员会欢迎缔约国采取以下体制和政策措施：</w:t>
      </w:r>
    </w:p>
    <w:p w14:paraId="3F80BB54" w14:textId="77777777" w:rsidR="000E7F04" w:rsidRDefault="000E7F04" w:rsidP="0098064C">
      <w:pPr>
        <w:pStyle w:val="SingleTxtGC"/>
      </w:pPr>
      <w:r>
        <w:tab/>
        <w:t>(</w:t>
      </w:r>
      <w:r w:rsidR="0098064C">
        <w:t>a</w:t>
      </w:r>
      <w:r w:rsidR="0098064C" w:rsidRPr="0098064C">
        <w:t>)</w:t>
      </w:r>
      <w:r w:rsidR="0098064C" w:rsidRPr="0098064C">
        <w:tab/>
      </w:r>
      <w:r w:rsidR="0098064C" w:rsidRPr="0098064C">
        <w:t>成立反腐败委员会</w:t>
      </w:r>
      <w:r w:rsidR="0098064C" w:rsidRPr="0098064C">
        <w:rPr>
          <w:rFonts w:hint="eastAsia"/>
        </w:rPr>
        <w:t>，</w:t>
      </w:r>
      <w:r w:rsidR="0098064C">
        <w:t>2</w:t>
      </w:r>
      <w:r w:rsidR="0098064C" w:rsidRPr="0098064C">
        <w:t>0</w:t>
      </w:r>
      <w:r w:rsidR="0098064C">
        <w:t>23</w:t>
      </w:r>
      <w:r w:rsidR="0098064C" w:rsidRPr="0098064C">
        <w:t>年</w:t>
      </w:r>
      <w:r w:rsidR="0098064C">
        <w:t>5</w:t>
      </w:r>
      <w:r w:rsidR="0098064C" w:rsidRPr="0098064C">
        <w:t>月；</w:t>
      </w:r>
    </w:p>
    <w:p w14:paraId="1B717B66" w14:textId="77777777" w:rsidR="000E7F04" w:rsidRDefault="000E7F04" w:rsidP="0098064C">
      <w:pPr>
        <w:pStyle w:val="SingleTxtGC"/>
      </w:pPr>
      <w:r>
        <w:tab/>
        <w:t>(</w:t>
      </w:r>
      <w:r w:rsidR="0098064C">
        <w:t>b</w:t>
      </w:r>
      <w:r w:rsidR="0098064C" w:rsidRPr="0098064C">
        <w:t>)</w:t>
      </w:r>
      <w:r w:rsidR="0098064C" w:rsidRPr="0098064C">
        <w:tab/>
      </w:r>
      <w:r w:rsidR="0098064C" w:rsidRPr="0098064C">
        <w:t>通过《就业平等待遇法》</w:t>
      </w:r>
      <w:r w:rsidR="0098064C" w:rsidRPr="0098064C">
        <w:rPr>
          <w:rFonts w:hint="eastAsia"/>
        </w:rPr>
        <w:t>，</w:t>
      </w:r>
      <w:r w:rsidR="0098064C">
        <w:t>2</w:t>
      </w:r>
      <w:r w:rsidR="0098064C" w:rsidRPr="0098064C">
        <w:t>0</w:t>
      </w:r>
      <w:r w:rsidR="0098064C">
        <w:t>22</w:t>
      </w:r>
      <w:r w:rsidR="0098064C" w:rsidRPr="0098064C">
        <w:t>年</w:t>
      </w:r>
      <w:r w:rsidR="0098064C">
        <w:t>11</w:t>
      </w:r>
      <w:r w:rsidR="0098064C" w:rsidRPr="0098064C">
        <w:t>月；</w:t>
      </w:r>
    </w:p>
    <w:p w14:paraId="44C4AE4F" w14:textId="77777777" w:rsidR="000E7F04" w:rsidRDefault="000E7F04" w:rsidP="0098064C">
      <w:pPr>
        <w:pStyle w:val="SingleTxtGC"/>
      </w:pPr>
      <w:r>
        <w:tab/>
        <w:t>(</w:t>
      </w:r>
      <w:r w:rsidR="0098064C">
        <w:t>c</w:t>
      </w:r>
      <w:r w:rsidR="0098064C" w:rsidRPr="0098064C">
        <w:t>)</w:t>
      </w:r>
      <w:r w:rsidR="0098064C" w:rsidRPr="0098064C">
        <w:tab/>
      </w:r>
      <w:r w:rsidR="0098064C" w:rsidRPr="0098064C">
        <w:t>通过《暴力和性骚扰法》</w:t>
      </w:r>
      <w:r w:rsidR="0098064C" w:rsidRPr="0098064C">
        <w:rPr>
          <w:rFonts w:hint="eastAsia"/>
        </w:rPr>
        <w:t>，</w:t>
      </w:r>
      <w:r w:rsidR="0098064C">
        <w:t>2</w:t>
      </w:r>
      <w:r w:rsidR="0098064C" w:rsidRPr="0098064C">
        <w:t>0</w:t>
      </w:r>
      <w:r w:rsidR="0098064C">
        <w:t>22</w:t>
      </w:r>
      <w:r w:rsidR="0098064C" w:rsidRPr="0098064C">
        <w:t>年</w:t>
      </w:r>
      <w:r w:rsidR="0098064C">
        <w:t>1</w:t>
      </w:r>
      <w:r w:rsidR="0098064C" w:rsidRPr="0098064C">
        <w:t>0</w:t>
      </w:r>
      <w:r w:rsidR="0098064C" w:rsidRPr="0098064C">
        <w:t>月；</w:t>
      </w:r>
    </w:p>
    <w:p w14:paraId="2D375676" w14:textId="77777777" w:rsidR="000E7F04" w:rsidRDefault="000E7F04" w:rsidP="0098064C">
      <w:pPr>
        <w:pStyle w:val="SingleTxtGC"/>
      </w:pPr>
      <w:r>
        <w:tab/>
        <w:t>(</w:t>
      </w:r>
      <w:r w:rsidR="0098064C">
        <w:t>d</w:t>
      </w:r>
      <w:r w:rsidR="0098064C" w:rsidRPr="0098064C">
        <w:t>)</w:t>
      </w:r>
      <w:r w:rsidR="0098064C" w:rsidRPr="0098064C">
        <w:tab/>
      </w:r>
      <w:r w:rsidR="0098064C" w:rsidRPr="0098064C">
        <w:t>《军事刑法》废除死刑</w:t>
      </w:r>
      <w:r w:rsidR="0098064C" w:rsidRPr="0098064C">
        <w:rPr>
          <w:rFonts w:hint="eastAsia"/>
        </w:rPr>
        <w:t>，</w:t>
      </w:r>
      <w:r w:rsidR="0098064C">
        <w:t>2</w:t>
      </w:r>
      <w:r w:rsidR="0098064C" w:rsidRPr="0098064C">
        <w:t>0</w:t>
      </w:r>
      <w:r w:rsidR="0098064C">
        <w:t>21</w:t>
      </w:r>
      <w:r w:rsidR="0098064C" w:rsidRPr="0098064C">
        <w:t>年</w:t>
      </w:r>
      <w:r w:rsidR="0098064C">
        <w:t>8</w:t>
      </w:r>
      <w:r w:rsidR="0098064C" w:rsidRPr="0098064C">
        <w:t>月；</w:t>
      </w:r>
    </w:p>
    <w:p w14:paraId="02098F1D" w14:textId="77777777" w:rsidR="000E7F04" w:rsidRDefault="000E7F04" w:rsidP="0098064C">
      <w:pPr>
        <w:pStyle w:val="SingleTxtGC"/>
      </w:pPr>
      <w:r>
        <w:tab/>
        <w:t>(</w:t>
      </w:r>
      <w:r w:rsidR="0098064C">
        <w:t>e</w:t>
      </w:r>
      <w:r w:rsidR="0098064C" w:rsidRPr="0098064C">
        <w:t>)</w:t>
      </w:r>
      <w:r w:rsidR="0098064C" w:rsidRPr="0098064C">
        <w:tab/>
      </w:r>
      <w:r w:rsidR="0098064C" w:rsidRPr="0098064C">
        <w:rPr>
          <w:rFonts w:hint="eastAsia"/>
        </w:rPr>
        <w:t>成立</w:t>
      </w:r>
      <w:r w:rsidR="0098064C" w:rsidRPr="0098064C">
        <w:t>宪法法院</w:t>
      </w:r>
      <w:r w:rsidR="0098064C" w:rsidRPr="0098064C">
        <w:rPr>
          <w:rFonts w:hint="eastAsia"/>
        </w:rPr>
        <w:t>，</w:t>
      </w:r>
      <w:r w:rsidR="0098064C">
        <w:t>2</w:t>
      </w:r>
      <w:r w:rsidR="0098064C" w:rsidRPr="0098064C">
        <w:t>0</w:t>
      </w:r>
      <w:r w:rsidR="0098064C">
        <w:t>19</w:t>
      </w:r>
      <w:r w:rsidR="0098064C" w:rsidRPr="0098064C">
        <w:t>年；</w:t>
      </w:r>
    </w:p>
    <w:p w14:paraId="37FDBC96" w14:textId="43C3ECCE" w:rsidR="0098064C" w:rsidRPr="0098064C" w:rsidRDefault="000E7F04" w:rsidP="0098064C">
      <w:pPr>
        <w:pStyle w:val="SingleTxtGC"/>
      </w:pPr>
      <w:r>
        <w:tab/>
        <w:t>(</w:t>
      </w:r>
      <w:r w:rsidR="0098064C">
        <w:t>f</w:t>
      </w:r>
      <w:r w:rsidR="0098064C" w:rsidRPr="0098064C">
        <w:t>)</w:t>
      </w:r>
      <w:r w:rsidR="0098064C" w:rsidRPr="0098064C">
        <w:tab/>
      </w:r>
      <w:r w:rsidR="0098064C" w:rsidRPr="0098064C">
        <w:t>通过《反腐败法》</w:t>
      </w:r>
      <w:r w:rsidR="0098064C" w:rsidRPr="0098064C">
        <w:rPr>
          <w:rFonts w:hint="eastAsia"/>
        </w:rPr>
        <w:t>，</w:t>
      </w:r>
      <w:r w:rsidR="0098064C">
        <w:t>2</w:t>
      </w:r>
      <w:r w:rsidR="0098064C" w:rsidRPr="0098064C">
        <w:t>0</w:t>
      </w:r>
      <w:r w:rsidR="0098064C">
        <w:t>17</w:t>
      </w:r>
      <w:r w:rsidR="0098064C" w:rsidRPr="0098064C">
        <w:t>年。</w:t>
      </w:r>
    </w:p>
    <w:p w14:paraId="651C9EFB" w14:textId="77777777" w:rsidR="000E7F04" w:rsidRDefault="0098064C" w:rsidP="0098064C">
      <w:pPr>
        <w:pStyle w:val="SingleTxtGC"/>
      </w:pPr>
      <w:r>
        <w:t>4</w:t>
      </w:r>
      <w:r w:rsidRPr="0098064C">
        <w:t>.</w:t>
      </w:r>
      <w:r w:rsidRPr="0098064C">
        <w:tab/>
      </w:r>
      <w:r w:rsidRPr="0098064C">
        <w:t>委员会还欢迎缔约国批准或加入以下国际文书：</w:t>
      </w:r>
    </w:p>
    <w:p w14:paraId="2DA0D983" w14:textId="77777777" w:rsidR="000E7F04" w:rsidRDefault="000E7F04" w:rsidP="0098064C">
      <w:pPr>
        <w:pStyle w:val="SingleTxtGC"/>
      </w:pPr>
      <w:r>
        <w:lastRenderedPageBreak/>
        <w:tab/>
        <w:t>(</w:t>
      </w:r>
      <w:r w:rsidR="0098064C">
        <w:t>a</w:t>
      </w:r>
      <w:r w:rsidR="0098064C" w:rsidRPr="0098064C">
        <w:t>)</w:t>
      </w:r>
      <w:r w:rsidR="0098064C" w:rsidRPr="0098064C">
        <w:tab/>
      </w:r>
      <w:r w:rsidR="0098064C" w:rsidRPr="0098064C">
        <w:t>《禁止酷刑和其他残忍、不人道或有辱人格的待遇或处罚公约》</w:t>
      </w:r>
      <w:r w:rsidR="0098064C" w:rsidRPr="0098064C">
        <w:t xml:space="preserve"> </w:t>
      </w:r>
      <w:r w:rsidR="0098064C" w:rsidRPr="0098064C">
        <w:t>，</w:t>
      </w:r>
      <w:r w:rsidR="0098064C">
        <w:t>2</w:t>
      </w:r>
      <w:r w:rsidR="0098064C" w:rsidRPr="0098064C">
        <w:t>0</w:t>
      </w:r>
      <w:r w:rsidR="0098064C">
        <w:t>21</w:t>
      </w:r>
      <w:r w:rsidR="0098064C" w:rsidRPr="0098064C">
        <w:t>年</w:t>
      </w:r>
      <w:r w:rsidR="0098064C">
        <w:t>11</w:t>
      </w:r>
      <w:r w:rsidR="0098064C" w:rsidRPr="0098064C">
        <w:t>月</w:t>
      </w:r>
      <w:r w:rsidR="0098064C">
        <w:t>16</w:t>
      </w:r>
      <w:r w:rsidR="0098064C" w:rsidRPr="0098064C">
        <w:t>日；</w:t>
      </w:r>
    </w:p>
    <w:p w14:paraId="35E3ACCB" w14:textId="77777777" w:rsidR="000E7F04" w:rsidRDefault="000E7F04" w:rsidP="0098064C">
      <w:pPr>
        <w:pStyle w:val="SingleTxtGC"/>
      </w:pPr>
      <w:r>
        <w:tab/>
        <w:t>(</w:t>
      </w:r>
      <w:r w:rsidR="0098064C">
        <w:t>b</w:t>
      </w:r>
      <w:r w:rsidR="0098064C" w:rsidRPr="0098064C">
        <w:t>)</w:t>
      </w:r>
      <w:r w:rsidR="0098064C" w:rsidRPr="0098064C">
        <w:tab/>
      </w:r>
      <w:r w:rsidR="0098064C" w:rsidRPr="0098064C">
        <w:t>《儿童权利公约关于儿童卷入武装冲突问题的任择议定书》，</w:t>
      </w:r>
      <w:r w:rsidR="0098064C">
        <w:t>2</w:t>
      </w:r>
      <w:r w:rsidR="0098064C" w:rsidRPr="0098064C">
        <w:t>0</w:t>
      </w:r>
      <w:r w:rsidR="0098064C">
        <w:t>21</w:t>
      </w:r>
      <w:r w:rsidR="0098064C" w:rsidRPr="0098064C">
        <w:t>年</w:t>
      </w:r>
      <w:r w:rsidR="0098064C">
        <w:t>11</w:t>
      </w:r>
      <w:r w:rsidR="0098064C" w:rsidRPr="0098064C">
        <w:t>月</w:t>
      </w:r>
      <w:r w:rsidR="0098064C">
        <w:t>16</w:t>
      </w:r>
      <w:r w:rsidR="0098064C" w:rsidRPr="0098064C">
        <w:t>日；</w:t>
      </w:r>
    </w:p>
    <w:p w14:paraId="6EE5805F" w14:textId="7A68CAA6" w:rsidR="0098064C" w:rsidRPr="0098064C" w:rsidRDefault="000E7F04" w:rsidP="0098064C">
      <w:pPr>
        <w:pStyle w:val="SingleTxtGC"/>
      </w:pPr>
      <w:r>
        <w:tab/>
        <w:t>(</w:t>
      </w:r>
      <w:r w:rsidR="0098064C">
        <w:t>c</w:t>
      </w:r>
      <w:r w:rsidR="0098064C" w:rsidRPr="0098064C">
        <w:t>)</w:t>
      </w:r>
      <w:r w:rsidR="0098064C" w:rsidRPr="0098064C">
        <w:tab/>
      </w:r>
      <w:r w:rsidR="0098064C" w:rsidRPr="0098064C">
        <w:t>《残疾人权利公约》，</w:t>
      </w:r>
      <w:r w:rsidR="0098064C">
        <w:t>2</w:t>
      </w:r>
      <w:r w:rsidR="0098064C" w:rsidRPr="0098064C">
        <w:t>0</w:t>
      </w:r>
      <w:r w:rsidR="0098064C">
        <w:t>17</w:t>
      </w:r>
      <w:r w:rsidR="0098064C" w:rsidRPr="0098064C">
        <w:t>年</w:t>
      </w:r>
      <w:r w:rsidR="0098064C">
        <w:t>3</w:t>
      </w:r>
      <w:r w:rsidR="0098064C" w:rsidRPr="0098064C">
        <w:t>月</w:t>
      </w:r>
      <w:r w:rsidR="0098064C">
        <w:t>29</w:t>
      </w:r>
      <w:r w:rsidR="0098064C" w:rsidRPr="0098064C">
        <w:t>日。</w:t>
      </w:r>
    </w:p>
    <w:p w14:paraId="66B18345" w14:textId="691AE455" w:rsidR="000E7F04" w:rsidRPr="0098064C" w:rsidRDefault="000E7F04" w:rsidP="000E7F04">
      <w:pPr>
        <w:pStyle w:val="H1GC"/>
      </w:pPr>
      <w:r w:rsidRPr="000E7F04">
        <w:rPr>
          <w:bCs/>
        </w:rPr>
        <w:tab/>
        <w:t>C</w:t>
      </w:r>
      <w:r w:rsidRPr="0098064C">
        <w:rPr>
          <w:bCs/>
        </w:rPr>
        <w:t>.</w:t>
      </w:r>
      <w:r w:rsidRPr="0098064C">
        <w:tab/>
      </w:r>
      <w:r w:rsidRPr="0098064C">
        <w:rPr>
          <w:bCs/>
        </w:rPr>
        <w:t>关注的主要问题及建议</w:t>
      </w:r>
    </w:p>
    <w:p w14:paraId="5ACFFD68" w14:textId="4928113D" w:rsidR="000E7F04" w:rsidRPr="0098064C" w:rsidRDefault="000E7F04" w:rsidP="000E7F04">
      <w:pPr>
        <w:pStyle w:val="H23GC"/>
      </w:pPr>
      <w:r w:rsidRPr="0098064C">
        <w:tab/>
      </w:r>
      <w:r w:rsidRPr="0098064C">
        <w:tab/>
      </w:r>
      <w:r w:rsidRPr="0098064C">
        <w:rPr>
          <w:bCs/>
        </w:rPr>
        <w:t>国家人权机构</w:t>
      </w:r>
    </w:p>
    <w:p w14:paraId="726F70B6" w14:textId="783958D8" w:rsidR="0098064C" w:rsidRPr="0098064C" w:rsidRDefault="0098064C" w:rsidP="0098064C">
      <w:pPr>
        <w:pStyle w:val="SingleTxtGC"/>
      </w:pPr>
      <w:r>
        <w:t>5</w:t>
      </w:r>
      <w:r w:rsidRPr="0098064C">
        <w:t>.</w:t>
      </w:r>
      <w:r w:rsidRPr="0098064C">
        <w:tab/>
      </w:r>
      <w:r w:rsidRPr="0098064C">
        <w:rPr>
          <w:rFonts w:hint="eastAsia"/>
        </w:rPr>
        <w:t>缔约国</w:t>
      </w:r>
      <w:r w:rsidRPr="0098064C">
        <w:t>代表团表示，未来的国家人权机构，包括其独立性和任务规定，都将符合《关于促进和保护人权的国家机构地位的原则》</w:t>
      </w:r>
      <w:r w:rsidRPr="0098064C">
        <w:t>(</w:t>
      </w:r>
      <w:r w:rsidRPr="0098064C">
        <w:t>《巴黎原则》</w:t>
      </w:r>
      <w:r w:rsidRPr="0098064C">
        <w:t>)</w:t>
      </w:r>
      <w:r w:rsidRPr="0098064C">
        <w:t>，该机构将处理个人和民间社会组织提交的关于侵犯人权行为的申诉，其理事机构将体现出</w:t>
      </w:r>
      <w:r w:rsidRPr="0098064C">
        <w:rPr>
          <w:rFonts w:hint="eastAsia"/>
        </w:rPr>
        <w:t>苏里南</w:t>
      </w:r>
      <w:r w:rsidRPr="0098064C">
        <w:t>社会的多元性和性别平等，还将纳入一个确保与土著和部落人民进行有效协商的具体机制，委员会对此表示欢迎。然而，委员会感到关切的是，有报告显示，</w:t>
      </w:r>
      <w:r w:rsidRPr="0098064C">
        <w:rPr>
          <w:rFonts w:hint="eastAsia"/>
        </w:rPr>
        <w:t>关于</w:t>
      </w:r>
      <w:r w:rsidRPr="0098064C">
        <w:t>建立该机构的法律起草过程缺乏透明度，缺乏关于如何将民间社会组织纳入该机构运作的信息，以及在完成该机构的建立工作方面发生拖延</w:t>
      </w:r>
      <w:r w:rsidRPr="0098064C">
        <w:t>(</w:t>
      </w:r>
      <w:r w:rsidRPr="0098064C">
        <w:t>第二条</w:t>
      </w:r>
      <w:r w:rsidRPr="0098064C">
        <w:t>)</w:t>
      </w:r>
      <w:r w:rsidRPr="0098064C">
        <w:t>。</w:t>
      </w:r>
      <w:bookmarkStart w:id="0" w:name="_Hlk172099932"/>
      <w:bookmarkEnd w:id="0"/>
    </w:p>
    <w:p w14:paraId="31B029D4" w14:textId="77777777" w:rsidR="000E7F04" w:rsidRPr="0098064C" w:rsidRDefault="0098064C" w:rsidP="0098064C">
      <w:pPr>
        <w:pStyle w:val="SingleTxtGC"/>
        <w:rPr>
          <w:rFonts w:eastAsia="黑体"/>
          <w:bCs/>
        </w:rPr>
      </w:pPr>
      <w:r>
        <w:t>6</w:t>
      </w:r>
      <w:r w:rsidRPr="0098064C">
        <w:t>.</w:t>
      </w:r>
      <w:r w:rsidRPr="0098064C">
        <w:tab/>
      </w:r>
      <w:r w:rsidR="000E7F04" w:rsidRPr="0098064C">
        <w:rPr>
          <w:rFonts w:eastAsia="黑体"/>
          <w:bCs/>
        </w:rPr>
        <w:t>缔约国应</w:t>
      </w:r>
      <w:r w:rsidR="000E7F04" w:rsidRPr="0098064C">
        <w:rPr>
          <w:rFonts w:eastAsia="黑体" w:hint="eastAsia"/>
          <w:bCs/>
        </w:rPr>
        <w:t>根据</w:t>
      </w:r>
      <w:r w:rsidR="000E7F04" w:rsidRPr="0098064C">
        <w:rPr>
          <w:rFonts w:eastAsia="黑体"/>
          <w:bCs/>
        </w:rPr>
        <w:t>《巴黎原则》</w:t>
      </w:r>
      <w:r w:rsidR="000E7F04" w:rsidRPr="0098064C">
        <w:rPr>
          <w:rFonts w:eastAsia="黑体" w:hint="eastAsia"/>
          <w:bCs/>
        </w:rPr>
        <w:t>，</w:t>
      </w:r>
      <w:r w:rsidR="000E7F04" w:rsidRPr="0098064C">
        <w:rPr>
          <w:rFonts w:eastAsia="黑体"/>
          <w:bCs/>
        </w:rPr>
        <w:t>加快建立一个国家人权机构。缔约国应就法律草案开展公开、透明和有意义的磋商进程，确保包括民间社会组织和土著及部落人民在内的广泛利益攸关方的参与。</w:t>
      </w:r>
    </w:p>
    <w:p w14:paraId="045CFA8F" w14:textId="2DBF9778" w:rsidR="000E7F04" w:rsidRPr="0098064C" w:rsidRDefault="000E7F04" w:rsidP="000E7F04">
      <w:pPr>
        <w:pStyle w:val="H23GC"/>
      </w:pPr>
      <w:r w:rsidRPr="0098064C">
        <w:tab/>
      </w:r>
      <w:r w:rsidRPr="0098064C">
        <w:tab/>
      </w:r>
      <w:r w:rsidRPr="0098064C">
        <w:rPr>
          <w:bCs/>
        </w:rPr>
        <w:t>反腐败措施</w:t>
      </w:r>
    </w:p>
    <w:p w14:paraId="3CF5CD80" w14:textId="7E0505A1" w:rsidR="0098064C" w:rsidRPr="0098064C" w:rsidRDefault="0098064C" w:rsidP="0098064C">
      <w:pPr>
        <w:pStyle w:val="SingleTxtGC"/>
      </w:pPr>
      <w:r>
        <w:t>7</w:t>
      </w:r>
      <w:r w:rsidRPr="0098064C">
        <w:t>.</w:t>
      </w:r>
      <w:r w:rsidRPr="0098064C">
        <w:tab/>
      </w:r>
      <w:r w:rsidRPr="0098064C">
        <w:t>委员会欢迎缔约国采取措施打击腐败，包括</w:t>
      </w:r>
      <w:r>
        <w:t>2</w:t>
      </w:r>
      <w:r w:rsidRPr="0098064C">
        <w:t>0</w:t>
      </w:r>
      <w:r>
        <w:t>17</w:t>
      </w:r>
      <w:r w:rsidRPr="0098064C">
        <w:t>年通过《反腐败法》，</w:t>
      </w:r>
      <w:r>
        <w:t>2</w:t>
      </w:r>
      <w:r w:rsidRPr="0098064C">
        <w:t>0</w:t>
      </w:r>
      <w:r>
        <w:t>23</w:t>
      </w:r>
      <w:r w:rsidRPr="0098064C">
        <w:t>年</w:t>
      </w:r>
      <w:r>
        <w:t>5</w:t>
      </w:r>
      <w:r w:rsidRPr="0098064C">
        <w:t>月设立反腐败委员会，</w:t>
      </w:r>
      <w:r>
        <w:t>2</w:t>
      </w:r>
      <w:r w:rsidRPr="0098064C">
        <w:t>0</w:t>
      </w:r>
      <w:r>
        <w:t>23</w:t>
      </w:r>
      <w:r w:rsidRPr="0098064C">
        <w:t>年</w:t>
      </w:r>
      <w:r>
        <w:t>8</w:t>
      </w:r>
      <w:r w:rsidRPr="0098064C">
        <w:t>月颁布《收入和资产申报及收据登记令》。然而，委员会对反腐败框架的实施</w:t>
      </w:r>
      <w:r w:rsidRPr="0098064C">
        <w:rPr>
          <w:rFonts w:hint="eastAsia"/>
        </w:rPr>
        <w:t>有所</w:t>
      </w:r>
      <w:r w:rsidRPr="0098064C">
        <w:t>拖延表示关切，并注意到，有报告称，腐败现象仍然普遍存在。此外，委员会感到遗憾的是，缔约国没有提供详细资料，说明</w:t>
      </w:r>
      <w:r w:rsidRPr="0098064C">
        <w:rPr>
          <w:rFonts w:hint="eastAsia"/>
        </w:rPr>
        <w:t>已</w:t>
      </w:r>
      <w:r w:rsidRPr="0098064C">
        <w:t>完成</w:t>
      </w:r>
      <w:r w:rsidRPr="0098064C">
        <w:rPr>
          <w:rFonts w:hint="eastAsia"/>
        </w:rPr>
        <w:t>的</w:t>
      </w:r>
      <w:r w:rsidRPr="0098064C">
        <w:t>腐败指控调查</w:t>
      </w:r>
      <w:r w:rsidRPr="0098064C">
        <w:rPr>
          <w:rFonts w:hint="eastAsia"/>
        </w:rPr>
        <w:t>的</w:t>
      </w:r>
      <w:r w:rsidRPr="0098064C">
        <w:t>情况，包括对高级公职人员定罪的情况，</w:t>
      </w:r>
      <w:r w:rsidRPr="0098064C">
        <w:rPr>
          <w:rFonts w:hint="eastAsia"/>
        </w:rPr>
        <w:t>缔约国也</w:t>
      </w:r>
      <w:r w:rsidRPr="0098064C">
        <w:t>缺乏保护举报人的立法</w:t>
      </w:r>
      <w:r w:rsidRPr="0098064C">
        <w:t>(</w:t>
      </w:r>
      <w:r w:rsidRPr="0098064C">
        <w:t>第二条和第二十五条</w:t>
      </w:r>
      <w:r w:rsidRPr="0098064C">
        <w:t>)</w:t>
      </w:r>
      <w:r w:rsidRPr="0098064C">
        <w:t>。</w:t>
      </w:r>
    </w:p>
    <w:p w14:paraId="4532567E" w14:textId="77777777" w:rsidR="000E7F04" w:rsidRDefault="0098064C" w:rsidP="0098064C">
      <w:pPr>
        <w:pStyle w:val="SingleTxtGC"/>
        <w:rPr>
          <w:rFonts w:eastAsia="黑体"/>
          <w:bCs/>
        </w:rPr>
      </w:pPr>
      <w:r>
        <w:t>8</w:t>
      </w:r>
      <w:r w:rsidRPr="0098064C">
        <w:t>.</w:t>
      </w:r>
      <w:r w:rsidRPr="0098064C">
        <w:tab/>
      </w:r>
      <w:r w:rsidR="000E7F04" w:rsidRPr="0098064C">
        <w:rPr>
          <w:rFonts w:eastAsia="黑体"/>
          <w:bCs/>
        </w:rPr>
        <w:t>缔约国应：</w:t>
      </w:r>
    </w:p>
    <w:p w14:paraId="041744C2"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加快</w:t>
      </w:r>
      <w:r w:rsidRPr="000E7F04">
        <w:rPr>
          <w:rFonts w:eastAsia="黑体"/>
          <w:bCs/>
        </w:rPr>
        <w:t>2</w:t>
      </w:r>
      <w:r w:rsidRPr="0098064C">
        <w:rPr>
          <w:rFonts w:eastAsia="黑体"/>
          <w:bCs/>
        </w:rPr>
        <w:t>0</w:t>
      </w:r>
      <w:r w:rsidRPr="000E7F04">
        <w:rPr>
          <w:rFonts w:eastAsia="黑体"/>
          <w:bCs/>
        </w:rPr>
        <w:t>17</w:t>
      </w:r>
      <w:r w:rsidRPr="0098064C">
        <w:rPr>
          <w:rFonts w:eastAsia="黑体"/>
          <w:bCs/>
        </w:rPr>
        <w:t>年《反腐败法》的有效实施，确保《收入和资产申报及收据登记令》的有效执行；</w:t>
      </w:r>
    </w:p>
    <w:p w14:paraId="43667174"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采取一切必要步骤，迅速全面启动反腐败委员会，确保其独立性，包括为此迅速制定调查、登记和</w:t>
      </w:r>
      <w:r w:rsidRPr="0098064C">
        <w:rPr>
          <w:rFonts w:eastAsia="黑体" w:hint="eastAsia"/>
          <w:bCs/>
        </w:rPr>
        <w:t>监督</w:t>
      </w:r>
      <w:r w:rsidRPr="0098064C">
        <w:rPr>
          <w:rFonts w:eastAsia="黑体"/>
          <w:bCs/>
        </w:rPr>
        <w:t>资产</w:t>
      </w:r>
      <w:r w:rsidRPr="0098064C">
        <w:rPr>
          <w:rFonts w:eastAsia="黑体" w:hint="eastAsia"/>
          <w:bCs/>
        </w:rPr>
        <w:t>情况</w:t>
      </w:r>
      <w:r w:rsidRPr="0098064C">
        <w:rPr>
          <w:rFonts w:eastAsia="黑体"/>
          <w:bCs/>
        </w:rPr>
        <w:t>的程序，并为该委员会提供自主预算和充足资源；</w:t>
      </w:r>
    </w:p>
    <w:p w14:paraId="51C50BE5"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确保迅速、彻底和公正地调查所有关于腐败的指控，起诉贪腐者，如果认定有罪，对其进行适当惩罚；</w:t>
      </w:r>
    </w:p>
    <w:p w14:paraId="5BE656E0"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实施并有效执行立法，以确保透明度并防止利益冲突，特别是在政府和公共行政管理重要职位的任命方面；</w:t>
      </w:r>
    </w:p>
    <w:p w14:paraId="54CB4F9E" w14:textId="77777777" w:rsidR="000E7F04"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bCs/>
        </w:rPr>
        <w:t>加快通过《举报人保护法案》，确保其符合相关的国际标准；</w:t>
      </w:r>
    </w:p>
    <w:p w14:paraId="57A65473" w14:textId="77777777" w:rsidR="000E7F04" w:rsidRDefault="000E7F04" w:rsidP="0098064C">
      <w:pPr>
        <w:pStyle w:val="SingleTxtGC"/>
        <w:rPr>
          <w:rFonts w:eastAsia="黑体"/>
          <w:bCs/>
        </w:rPr>
      </w:pPr>
      <w:r>
        <w:rPr>
          <w:rFonts w:eastAsia="黑体"/>
          <w:bCs/>
        </w:rPr>
        <w:tab/>
        <w:t>(</w:t>
      </w:r>
      <w:r w:rsidR="0098064C">
        <w:t>f</w:t>
      </w:r>
      <w:r w:rsidR="0098064C" w:rsidRPr="0098064C">
        <w:t>)</w:t>
      </w:r>
      <w:r w:rsidR="0098064C" w:rsidRPr="0098064C">
        <w:tab/>
      </w:r>
      <w:r w:rsidRPr="0098064C">
        <w:rPr>
          <w:rFonts w:eastAsia="黑体"/>
          <w:bCs/>
        </w:rPr>
        <w:t>就侦查、调查和起诉腐败和相关罪行，向执法人员、检察官和法官提供有效培训；</w:t>
      </w:r>
    </w:p>
    <w:p w14:paraId="70B382CA" w14:textId="77777777" w:rsidR="000E7F04" w:rsidRDefault="000E7F04" w:rsidP="0098064C">
      <w:pPr>
        <w:pStyle w:val="SingleTxtGC"/>
        <w:rPr>
          <w:rFonts w:eastAsia="黑体"/>
          <w:bCs/>
        </w:rPr>
      </w:pPr>
      <w:r>
        <w:rPr>
          <w:rFonts w:eastAsia="黑体"/>
          <w:bCs/>
        </w:rPr>
        <w:lastRenderedPageBreak/>
        <w:tab/>
        <w:t>(</w:t>
      </w:r>
      <w:r w:rsidR="0098064C">
        <w:t>g</w:t>
      </w:r>
      <w:r w:rsidR="0098064C" w:rsidRPr="0098064C">
        <w:t>)</w:t>
      </w:r>
      <w:r w:rsidR="0098064C" w:rsidRPr="0098064C">
        <w:tab/>
      </w:r>
      <w:r w:rsidRPr="0098064C">
        <w:rPr>
          <w:rFonts w:eastAsia="黑体"/>
          <w:bCs/>
        </w:rPr>
        <w:t>开展培训和提高认识</w:t>
      </w:r>
      <w:r w:rsidRPr="0098064C">
        <w:rPr>
          <w:rFonts w:eastAsia="黑体" w:hint="eastAsia"/>
          <w:bCs/>
        </w:rPr>
        <w:t>宣传</w:t>
      </w:r>
      <w:r w:rsidRPr="0098064C">
        <w:rPr>
          <w:rFonts w:eastAsia="黑体"/>
          <w:bCs/>
        </w:rPr>
        <w:t>，使公职人员、政界人士、企业界和</w:t>
      </w:r>
      <w:r w:rsidRPr="0098064C">
        <w:rPr>
          <w:rFonts w:eastAsia="黑体" w:hint="eastAsia"/>
          <w:bCs/>
        </w:rPr>
        <w:t>广大</w:t>
      </w:r>
      <w:r w:rsidRPr="0098064C">
        <w:rPr>
          <w:rFonts w:eastAsia="黑体"/>
          <w:bCs/>
        </w:rPr>
        <w:t>公众了解腐败的经济和社会成本以及应对腐败的机制；</w:t>
      </w:r>
    </w:p>
    <w:p w14:paraId="3BC06E49" w14:textId="31AD7E63" w:rsidR="000E7F04" w:rsidRPr="0098064C" w:rsidRDefault="000E7F04" w:rsidP="0098064C">
      <w:pPr>
        <w:pStyle w:val="SingleTxtGC"/>
        <w:rPr>
          <w:rFonts w:eastAsia="黑体"/>
          <w:bCs/>
        </w:rPr>
      </w:pPr>
      <w:r>
        <w:rPr>
          <w:rFonts w:eastAsia="黑体"/>
          <w:bCs/>
        </w:rPr>
        <w:tab/>
        <w:t>(</w:t>
      </w:r>
      <w:r w:rsidR="0098064C">
        <w:t>h</w:t>
      </w:r>
      <w:r w:rsidR="0098064C" w:rsidRPr="0098064C">
        <w:t>)</w:t>
      </w:r>
      <w:r w:rsidR="0098064C" w:rsidRPr="0098064C">
        <w:tab/>
      </w:r>
      <w:r w:rsidRPr="0098064C">
        <w:rPr>
          <w:rFonts w:eastAsia="黑体"/>
          <w:bCs/>
        </w:rPr>
        <w:t>确保公布和广泛传播反腐败委员会的活动和报告。</w:t>
      </w:r>
    </w:p>
    <w:p w14:paraId="61AABD5E" w14:textId="1F22EA90" w:rsidR="000E7F04" w:rsidRPr="0098064C" w:rsidRDefault="000E7F04" w:rsidP="000E7F04">
      <w:pPr>
        <w:pStyle w:val="H23GC"/>
      </w:pPr>
      <w:r w:rsidRPr="0098064C">
        <w:tab/>
      </w:r>
      <w:r w:rsidRPr="0098064C">
        <w:tab/>
      </w:r>
      <w:r w:rsidRPr="0098064C">
        <w:rPr>
          <w:bCs/>
        </w:rPr>
        <w:t>紧急状态</w:t>
      </w:r>
    </w:p>
    <w:p w14:paraId="3EB0C3D4" w14:textId="6E2FAB7E" w:rsidR="0098064C" w:rsidRPr="0098064C" w:rsidRDefault="0098064C" w:rsidP="0098064C">
      <w:pPr>
        <w:pStyle w:val="SingleTxtGC"/>
      </w:pPr>
      <w:r>
        <w:t>9</w:t>
      </w:r>
      <w:r w:rsidRPr="0098064C">
        <w:t>.</w:t>
      </w:r>
      <w:r w:rsidRPr="0098064C">
        <w:tab/>
      </w:r>
      <w:r w:rsidRPr="0098064C">
        <w:t>委员会注意到，缔约国保证，在冠状病毒病</w:t>
      </w:r>
      <w:r>
        <w:t>(COVID</w:t>
      </w:r>
      <w:r w:rsidRPr="0098064C">
        <w:t>-</w:t>
      </w:r>
      <w:r>
        <w:t>19)</w:t>
      </w:r>
      <w:r w:rsidRPr="0098064C">
        <w:t>疫情期间实施的立法符合该国在《公约》之下的义务，但委员会感到遗憾的是，没有收到具体资料，说明疫情期间哪些《公约》权利受到克减或限制，以及缔约国如何确保这类措施的实施符合《公约》</w:t>
      </w:r>
      <w:r w:rsidRPr="0098064C">
        <w:t>(</w:t>
      </w:r>
      <w:r w:rsidRPr="0098064C">
        <w:t>第四条</w:t>
      </w:r>
      <w:r w:rsidRPr="0098064C">
        <w:t>)</w:t>
      </w:r>
      <w:r w:rsidRPr="0098064C">
        <w:t>。</w:t>
      </w:r>
    </w:p>
    <w:p w14:paraId="227827D6" w14:textId="2DA45010" w:rsidR="000E7F04" w:rsidRPr="0098064C" w:rsidRDefault="0098064C" w:rsidP="0098064C">
      <w:pPr>
        <w:pStyle w:val="SingleTxtGC"/>
        <w:rPr>
          <w:rFonts w:eastAsia="黑体"/>
          <w:bCs/>
        </w:rPr>
      </w:pPr>
      <w:r>
        <w:t>1</w:t>
      </w:r>
      <w:r w:rsidRPr="0098064C">
        <w:t>0.</w:t>
      </w:r>
      <w:r w:rsidRPr="0098064C">
        <w:tab/>
      </w:r>
      <w:r w:rsidR="000E7F04" w:rsidRPr="0098064C">
        <w:rPr>
          <w:rFonts w:eastAsia="黑体"/>
          <w:bCs/>
        </w:rPr>
        <w:t>缔约国应审查其关于紧急状态的法律框架，按照委员会关于紧急状态期间的《公约》条款克减问题的第</w:t>
      </w:r>
      <w:r w:rsidR="000E7F04" w:rsidRPr="000E7F04">
        <w:rPr>
          <w:rFonts w:eastAsia="黑体"/>
          <w:bCs/>
        </w:rPr>
        <w:t>29</w:t>
      </w:r>
      <w:r w:rsidR="000E7F04" w:rsidRPr="0098064C">
        <w:rPr>
          <w:rFonts w:eastAsia="黑体"/>
          <w:bCs/>
        </w:rPr>
        <w:t>号一般性意见</w:t>
      </w:r>
      <w:r w:rsidR="000E7F04" w:rsidRPr="0098064C">
        <w:rPr>
          <w:rFonts w:eastAsia="黑体"/>
          <w:bCs/>
        </w:rPr>
        <w:t>(</w:t>
      </w:r>
      <w:r w:rsidR="000E7F04" w:rsidRPr="000E7F04">
        <w:rPr>
          <w:rFonts w:eastAsia="黑体"/>
          <w:bCs/>
        </w:rPr>
        <w:t>2</w:t>
      </w:r>
      <w:r w:rsidR="000E7F04" w:rsidRPr="0098064C">
        <w:rPr>
          <w:rFonts w:eastAsia="黑体"/>
          <w:bCs/>
        </w:rPr>
        <w:t>00</w:t>
      </w:r>
      <w:r w:rsidR="000E7F04" w:rsidRPr="000E7F04">
        <w:rPr>
          <w:rFonts w:eastAsia="黑体"/>
          <w:bCs/>
        </w:rPr>
        <w:t>1</w:t>
      </w:r>
      <w:r w:rsidR="000E7F04" w:rsidRPr="0098064C">
        <w:rPr>
          <w:rFonts w:eastAsia="黑体"/>
          <w:bCs/>
        </w:rPr>
        <w:t>年</w:t>
      </w:r>
      <w:r w:rsidR="000E7F04" w:rsidRPr="0098064C">
        <w:rPr>
          <w:rFonts w:eastAsia="黑体"/>
          <w:bCs/>
        </w:rPr>
        <w:t>)</w:t>
      </w:r>
      <w:r w:rsidR="000E7F04" w:rsidRPr="0098064C">
        <w:rPr>
          <w:rFonts w:eastAsia="黑体"/>
          <w:bCs/>
        </w:rPr>
        <w:t>的解释，确保充分遵守《公约》第四条的要求。缔约国应保证在紧急状态下采取的任何措施都是临时的、适度的和绝对必要的，并应接受司法审查。</w:t>
      </w:r>
    </w:p>
    <w:p w14:paraId="0C969564" w14:textId="63D9A9F7" w:rsidR="000E7F04" w:rsidRPr="0098064C" w:rsidRDefault="000E7F04" w:rsidP="000E7F04">
      <w:pPr>
        <w:pStyle w:val="H23GC"/>
      </w:pPr>
      <w:r w:rsidRPr="0098064C">
        <w:tab/>
      </w:r>
      <w:r w:rsidRPr="0098064C">
        <w:tab/>
      </w:r>
      <w:r w:rsidRPr="0098064C">
        <w:rPr>
          <w:bCs/>
        </w:rPr>
        <w:t>打击有罪不罚现象和</w:t>
      </w:r>
      <w:r w:rsidRPr="0098064C">
        <w:rPr>
          <w:rFonts w:hint="eastAsia"/>
          <w:bCs/>
        </w:rPr>
        <w:t>过去</w:t>
      </w:r>
      <w:r w:rsidRPr="0098064C">
        <w:rPr>
          <w:bCs/>
        </w:rPr>
        <w:t>的侵犯人权</w:t>
      </w:r>
      <w:r w:rsidRPr="0098064C">
        <w:rPr>
          <w:rFonts w:hint="eastAsia"/>
          <w:bCs/>
        </w:rPr>
        <w:t>事件</w:t>
      </w:r>
    </w:p>
    <w:p w14:paraId="0A59977E" w14:textId="07EDCE09" w:rsidR="0098064C" w:rsidRPr="0098064C" w:rsidRDefault="0098064C" w:rsidP="0098064C">
      <w:pPr>
        <w:pStyle w:val="SingleTxtGC"/>
      </w:pPr>
      <w:r>
        <w:t>11</w:t>
      </w:r>
      <w:r w:rsidRPr="0098064C">
        <w:t>.</w:t>
      </w:r>
      <w:r w:rsidRPr="0098064C">
        <w:tab/>
      </w:r>
      <w:r w:rsidRPr="0098064C">
        <w:t>委员会欢迎宪法法院于</w:t>
      </w:r>
      <w:r>
        <w:t>2</w:t>
      </w:r>
      <w:r w:rsidRPr="0098064C">
        <w:t>0</w:t>
      </w:r>
      <w:r>
        <w:t>23</w:t>
      </w:r>
      <w:r w:rsidRPr="0098064C">
        <w:t>年</w:t>
      </w:r>
      <w:r>
        <w:t>8</w:t>
      </w:r>
      <w:r w:rsidRPr="0098064C">
        <w:t>月废除了</w:t>
      </w:r>
      <w:r>
        <w:t>1989</w:t>
      </w:r>
      <w:r w:rsidRPr="0098064C">
        <w:t>年《大赦法》及其</w:t>
      </w:r>
      <w:r>
        <w:t>2</w:t>
      </w:r>
      <w:r w:rsidRPr="0098064C">
        <w:t>0</w:t>
      </w:r>
      <w:r>
        <w:t>12</w:t>
      </w:r>
      <w:r w:rsidRPr="0098064C">
        <w:t>年修正法，欢迎高等法院于</w:t>
      </w:r>
      <w:r>
        <w:t>2</w:t>
      </w:r>
      <w:r w:rsidRPr="0098064C">
        <w:t>0</w:t>
      </w:r>
      <w:r>
        <w:t>23</w:t>
      </w:r>
      <w:r w:rsidRPr="0098064C">
        <w:t>年</w:t>
      </w:r>
      <w:r>
        <w:t>12</w:t>
      </w:r>
      <w:r w:rsidRPr="0098064C">
        <w:t>月确认对</w:t>
      </w:r>
      <w:r>
        <w:t>1982</w:t>
      </w:r>
      <w:r w:rsidRPr="0098064C">
        <w:t>年</w:t>
      </w:r>
      <w:r>
        <w:rPr>
          <w:rFonts w:hint="eastAsia"/>
        </w:rPr>
        <w:t>“</w:t>
      </w:r>
      <w:r>
        <w:t>12</w:t>
      </w:r>
      <w:r w:rsidRPr="0098064C">
        <w:t>月谋杀案</w:t>
      </w:r>
      <w:r>
        <w:rPr>
          <w:rFonts w:hint="eastAsia"/>
        </w:rPr>
        <w:t>”</w:t>
      </w:r>
      <w:r w:rsidRPr="0098064C">
        <w:t>犯罪者的定罪，以及为解决</w:t>
      </w:r>
      <w:r w:rsidRPr="0098064C">
        <w:rPr>
          <w:rFonts w:hint="eastAsia"/>
        </w:rPr>
        <w:t>莫伊瓦纳村庄</w:t>
      </w:r>
      <w:r w:rsidRPr="0098064C">
        <w:t>大屠杀犯罪者有罪不罚的问题而采取的步骤。然而，委员会感到关切的是，对</w:t>
      </w:r>
      <w:r>
        <w:t>1982</w:t>
      </w:r>
      <w:r w:rsidRPr="0098064C">
        <w:t>年</w:t>
      </w:r>
      <w:r>
        <w:rPr>
          <w:rFonts w:hint="eastAsia"/>
        </w:rPr>
        <w:t>“</w:t>
      </w:r>
      <w:r>
        <w:t>12</w:t>
      </w:r>
      <w:r w:rsidRPr="0098064C">
        <w:t>月谋杀案</w:t>
      </w:r>
      <w:r>
        <w:rPr>
          <w:rFonts w:hint="eastAsia"/>
        </w:rPr>
        <w:t>”</w:t>
      </w:r>
      <w:r w:rsidRPr="0098064C">
        <w:t>的两名潜逃罪犯，包括前总统德西雷</w:t>
      </w:r>
      <w:r w:rsidRPr="0098064C">
        <w:t>·</w:t>
      </w:r>
      <w:r w:rsidRPr="0098064C">
        <w:t>鲍特瑟，司法和执法机构未能执行对他们的判决。此外，委员会感到关切的是，事实上的军事政权</w:t>
      </w:r>
      <w:r w:rsidRPr="0098064C">
        <w:t>(</w:t>
      </w:r>
      <w:r>
        <w:t>198</w:t>
      </w:r>
      <w:r w:rsidRPr="0098064C">
        <w:t>0-</w:t>
      </w:r>
      <w:r>
        <w:t>1991</w:t>
      </w:r>
      <w:r w:rsidRPr="0098064C">
        <w:t>年</w:t>
      </w:r>
      <w:r w:rsidRPr="0098064C">
        <w:t>)</w:t>
      </w:r>
      <w:r w:rsidRPr="0098064C">
        <w:t>期间发生的其他严重侵犯人权行为仍然未受惩罚，受害者仍然</w:t>
      </w:r>
      <w:r w:rsidRPr="0098064C">
        <w:rPr>
          <w:rFonts w:hint="eastAsia"/>
        </w:rPr>
        <w:t>未得到</w:t>
      </w:r>
      <w:r w:rsidRPr="0098064C">
        <w:t>充分的补救，缔约国尚未实施全面和有效的证人保护框架</w:t>
      </w:r>
      <w:r w:rsidRPr="0098064C">
        <w:t>(</w:t>
      </w:r>
      <w:r w:rsidRPr="0098064C">
        <w:t>第二条、第六条、第七条和第十四条</w:t>
      </w:r>
      <w:r w:rsidRPr="0098064C">
        <w:t>)</w:t>
      </w:r>
      <w:r w:rsidRPr="0098064C">
        <w:t>。</w:t>
      </w:r>
      <w:bookmarkStart w:id="1" w:name="_Hlk172016673"/>
    </w:p>
    <w:p w14:paraId="28C5B945" w14:textId="77777777" w:rsidR="000E7F04" w:rsidRDefault="0098064C" w:rsidP="0098064C">
      <w:pPr>
        <w:pStyle w:val="SingleTxtGC"/>
        <w:rPr>
          <w:rFonts w:eastAsia="黑体"/>
          <w:bCs/>
        </w:rPr>
      </w:pPr>
      <w:r>
        <w:t>12</w:t>
      </w:r>
      <w:r w:rsidRPr="0098064C">
        <w:t>.</w:t>
      </w:r>
      <w:r w:rsidRPr="0098064C">
        <w:tab/>
      </w:r>
      <w:r w:rsidR="000E7F04" w:rsidRPr="0098064C">
        <w:rPr>
          <w:rFonts w:eastAsia="黑体"/>
          <w:bCs/>
        </w:rPr>
        <w:t>缔约国应：</w:t>
      </w:r>
      <w:bookmarkEnd w:id="1"/>
    </w:p>
    <w:p w14:paraId="12DDE3BE"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确保对事实上的军事政权</w:t>
      </w:r>
      <w:r w:rsidRPr="0098064C">
        <w:rPr>
          <w:rFonts w:eastAsia="黑体"/>
          <w:bCs/>
        </w:rPr>
        <w:t>(</w:t>
      </w:r>
      <w:r w:rsidRPr="000E7F04">
        <w:rPr>
          <w:rFonts w:eastAsia="黑体"/>
          <w:bCs/>
        </w:rPr>
        <w:t>198</w:t>
      </w:r>
      <w:r w:rsidRPr="0098064C">
        <w:rPr>
          <w:rFonts w:eastAsia="黑体"/>
          <w:bCs/>
        </w:rPr>
        <w:t>0-</w:t>
      </w:r>
      <w:r w:rsidRPr="000E7F04">
        <w:rPr>
          <w:rFonts w:eastAsia="黑体"/>
          <w:bCs/>
        </w:rPr>
        <w:t>1991</w:t>
      </w:r>
      <w:r w:rsidRPr="0098064C">
        <w:rPr>
          <w:rFonts w:eastAsia="黑体"/>
          <w:bCs/>
        </w:rPr>
        <w:t>年</w:t>
      </w:r>
      <w:r w:rsidRPr="0098064C">
        <w:rPr>
          <w:rFonts w:eastAsia="黑体"/>
          <w:bCs/>
        </w:rPr>
        <w:t>)</w:t>
      </w:r>
      <w:r w:rsidRPr="0098064C">
        <w:rPr>
          <w:rFonts w:eastAsia="黑体"/>
          <w:bCs/>
        </w:rPr>
        <w:t>期间发生的所有严重侵犯人权行为追究责任，包括彻底调查和起诉指控的罪行，确保犯罪者如被认定有罪，即受到与所犯罪行严重程度相应的惩罚，并采取一切必要措施，防止此类行为再次发生</w:t>
      </w:r>
      <w:bookmarkStart w:id="2" w:name="_Hlk172017287"/>
      <w:bookmarkEnd w:id="2"/>
      <w:r w:rsidRPr="0098064C">
        <w:rPr>
          <w:rFonts w:eastAsia="黑体"/>
          <w:bCs/>
        </w:rPr>
        <w:t>；</w:t>
      </w:r>
    </w:p>
    <w:p w14:paraId="5A35E1EB" w14:textId="77A3996B"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确保根据国际标准，特别是《酷刑和其他残忍、不人道或有辱人格的待遇或处罚的有效调查和文件记录手册》</w:t>
      </w:r>
      <w:r w:rsidRPr="000E7F04">
        <w:rPr>
          <w:rFonts w:eastAsia="黑体"/>
          <w:bCs/>
        </w:rPr>
        <w:t>(</w:t>
      </w:r>
      <w:r w:rsidRPr="0098064C">
        <w:rPr>
          <w:rFonts w:eastAsia="黑体"/>
          <w:bCs/>
        </w:rPr>
        <w:t>《伊斯坦布尔规程》</w:t>
      </w:r>
      <w:r w:rsidRPr="000E7F04">
        <w:rPr>
          <w:rFonts w:eastAsia="黑体"/>
          <w:bCs/>
        </w:rPr>
        <w:t>)</w:t>
      </w:r>
      <w:r w:rsidRPr="0098064C">
        <w:rPr>
          <w:rFonts w:eastAsia="黑体"/>
          <w:bCs/>
        </w:rPr>
        <w:t>和《关于调查潜在非法死亡的明尼苏达规程》，对过去的侵犯人权行为进行调查和起诉</w:t>
      </w:r>
      <w:r w:rsidR="0098064C" w:rsidRPr="0098064C">
        <w:t>；</w:t>
      </w:r>
    </w:p>
    <w:p w14:paraId="09B349F7"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采取一切必要措施，确保执行对</w:t>
      </w:r>
      <w:r w:rsidRPr="000E7F04">
        <w:rPr>
          <w:rFonts w:eastAsia="黑体"/>
          <w:bCs/>
        </w:rPr>
        <w:t>1982</w:t>
      </w:r>
      <w:r w:rsidRPr="0098064C">
        <w:rPr>
          <w:rFonts w:eastAsia="黑体"/>
          <w:bCs/>
        </w:rPr>
        <w:t>年</w:t>
      </w:r>
      <w:r w:rsidRPr="000E7F04">
        <w:rPr>
          <w:rFonts w:eastAsia="黑体" w:hint="eastAsia"/>
          <w:bCs/>
        </w:rPr>
        <w:t>“</w:t>
      </w:r>
      <w:r w:rsidRPr="000E7F04">
        <w:rPr>
          <w:rFonts w:eastAsia="黑体"/>
          <w:bCs/>
        </w:rPr>
        <w:t>12</w:t>
      </w:r>
      <w:r w:rsidRPr="0098064C">
        <w:rPr>
          <w:rFonts w:eastAsia="黑体"/>
          <w:bCs/>
        </w:rPr>
        <w:t>月谋杀案</w:t>
      </w:r>
      <w:r w:rsidRPr="000E7F04">
        <w:rPr>
          <w:rFonts w:eastAsia="黑体" w:hint="eastAsia"/>
          <w:bCs/>
        </w:rPr>
        <w:t>”</w:t>
      </w:r>
      <w:r w:rsidRPr="0098064C">
        <w:rPr>
          <w:rFonts w:eastAsia="黑体"/>
          <w:bCs/>
        </w:rPr>
        <w:t>的审判作出的所有判决；</w:t>
      </w:r>
    </w:p>
    <w:p w14:paraId="1E11A7E0"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确保过去侵犯人权行为的所有受害者及其家人获得充分赔偿，包括康复和适当补偿，并确保尊重他们了解真相和纪念的权利；</w:t>
      </w:r>
    </w:p>
    <w:p w14:paraId="105CC580" w14:textId="26620D60" w:rsidR="000E7F04" w:rsidRPr="0098064C"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bCs/>
        </w:rPr>
        <w:t>确保有效保护证人，包括建立一个全面的证人保护框架，调查所有涉嫌恐吓证人的案件，并确保犯罪人受到适当惩罚。</w:t>
      </w:r>
    </w:p>
    <w:p w14:paraId="32095836" w14:textId="7903DFC0" w:rsidR="000E7F04" w:rsidRPr="0098064C" w:rsidRDefault="000E7F04" w:rsidP="000E7F04">
      <w:pPr>
        <w:pStyle w:val="H23GC"/>
      </w:pPr>
      <w:r w:rsidRPr="0098064C">
        <w:tab/>
      </w:r>
      <w:r w:rsidRPr="0098064C">
        <w:tab/>
      </w:r>
      <w:r w:rsidRPr="0098064C">
        <w:rPr>
          <w:bCs/>
        </w:rPr>
        <w:t>不歧视</w:t>
      </w:r>
    </w:p>
    <w:p w14:paraId="70F53663" w14:textId="2B89D2C1" w:rsidR="0098064C" w:rsidRPr="0098064C" w:rsidRDefault="0098064C" w:rsidP="0098064C">
      <w:pPr>
        <w:pStyle w:val="SingleTxtGC"/>
      </w:pPr>
      <w:r>
        <w:t>13</w:t>
      </w:r>
      <w:r w:rsidRPr="0098064C">
        <w:t>.</w:t>
      </w:r>
      <w:r w:rsidRPr="0098064C">
        <w:tab/>
      </w:r>
      <w:r w:rsidRPr="0098064C">
        <w:t>委员会感到遗憾的是，缔约国没有提供资料，说明是否有计划通过一项全面的反歧视法；委员会对总体上没有关于歧视或仇恨犯罪的投诉表示关切，这可能</w:t>
      </w:r>
      <w:r w:rsidRPr="0098064C">
        <w:lastRenderedPageBreak/>
        <w:t>表明公众对现有的法律补救措施缺乏认识，对司法系统缺乏信任，以及害怕报复。委员会欢迎缔约国于</w:t>
      </w:r>
      <w:r>
        <w:t>2</w:t>
      </w:r>
      <w:r w:rsidRPr="0098064C">
        <w:t>0</w:t>
      </w:r>
      <w:r>
        <w:t>22</w:t>
      </w:r>
      <w:r w:rsidRPr="0098064C">
        <w:t>年通过《就业平等待遇法》，其中明确禁止基于残疾状况、性别、性取向和性别认同等原因的歧视，但委员会感到关切的是，缺乏关于该法执行情况的资料，包括关于确保歧视受害者获得有效补救情况的资料，而且该法不适用于公务员</w:t>
      </w:r>
      <w:r w:rsidRPr="0098064C">
        <w:t>(</w:t>
      </w:r>
      <w:r w:rsidRPr="0098064C">
        <w:t>第二条、第十九条、第二十条和第二十六条</w:t>
      </w:r>
      <w:r>
        <w:t>)</w:t>
      </w:r>
      <w:r w:rsidRPr="0098064C">
        <w:t>。</w:t>
      </w:r>
    </w:p>
    <w:p w14:paraId="34D2C9F6" w14:textId="784A020C" w:rsidR="000E7F04" w:rsidRDefault="0098064C" w:rsidP="0098064C">
      <w:pPr>
        <w:pStyle w:val="SingleTxtGC"/>
        <w:rPr>
          <w:rFonts w:eastAsia="黑体"/>
          <w:bCs/>
        </w:rPr>
      </w:pPr>
      <w:r>
        <w:t>14</w:t>
      </w:r>
      <w:r w:rsidRPr="0098064C">
        <w:t>.</w:t>
      </w:r>
      <w:r w:rsidRPr="0098064C">
        <w:tab/>
      </w:r>
      <w:r w:rsidR="000E7F04" w:rsidRPr="0098064C">
        <w:rPr>
          <w:rFonts w:eastAsia="黑体"/>
          <w:bCs/>
        </w:rPr>
        <w:t>缔约国应铭记消除种族歧视委员会的建议，</w:t>
      </w:r>
      <w:r w:rsidRPr="0098064C">
        <w:rPr>
          <w:vertAlign w:val="superscript"/>
        </w:rPr>
        <w:footnoteReference w:id="7"/>
      </w:r>
      <w:r w:rsidR="00BF4379">
        <w:rPr>
          <w:rFonts w:eastAsia="黑体"/>
          <w:bCs/>
        </w:rPr>
        <w:t xml:space="preserve"> </w:t>
      </w:r>
      <w:r w:rsidR="000E7F04" w:rsidRPr="0098064C">
        <w:rPr>
          <w:rFonts w:eastAsia="黑体"/>
          <w:bCs/>
        </w:rPr>
        <w:t>采取以下措施：</w:t>
      </w:r>
      <w:r w:rsidR="000E7F04" w:rsidRPr="0098064C">
        <w:rPr>
          <w:rFonts w:eastAsia="黑体"/>
          <w:bCs/>
        </w:rPr>
        <w:t xml:space="preserve"> </w:t>
      </w:r>
    </w:p>
    <w:p w14:paraId="1FBA12F7"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在明确的时间框架内、在民间社会组织和土著及部落人民的有效和有意义的参与下，优先起草和通过一项全面的反歧视法，并确保法律明确禁止公共和私人领域的直接和间接歧视；</w:t>
      </w:r>
    </w:p>
    <w:p w14:paraId="7BC638DE"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确保有效实施</w:t>
      </w:r>
      <w:r w:rsidRPr="000E7F04">
        <w:rPr>
          <w:rFonts w:eastAsia="黑体"/>
          <w:bCs/>
        </w:rPr>
        <w:t>2</w:t>
      </w:r>
      <w:r w:rsidRPr="0098064C">
        <w:rPr>
          <w:rFonts w:eastAsia="黑体"/>
          <w:bCs/>
        </w:rPr>
        <w:t>0</w:t>
      </w:r>
      <w:r w:rsidRPr="000E7F04">
        <w:rPr>
          <w:rFonts w:eastAsia="黑体"/>
          <w:bCs/>
        </w:rPr>
        <w:t>22</w:t>
      </w:r>
      <w:r w:rsidRPr="0098064C">
        <w:rPr>
          <w:rFonts w:eastAsia="黑体"/>
          <w:bCs/>
        </w:rPr>
        <w:t>年《就业平等待遇法》，并</w:t>
      </w:r>
      <w:r w:rsidR="0098064C" w:rsidRPr="0098064C">
        <w:t>扩大</w:t>
      </w:r>
      <w:r w:rsidRPr="0098064C">
        <w:rPr>
          <w:rFonts w:eastAsia="黑体"/>
          <w:bCs/>
        </w:rPr>
        <w:t>其适用范围，将公务员纳入其中；</w:t>
      </w:r>
    </w:p>
    <w:p w14:paraId="72C65973" w14:textId="7E80956E" w:rsidR="000E7F04" w:rsidRPr="0098064C"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采取适当措施，确保歧视受害者获得有效补救，包括开展有针对性的公共宣传</w:t>
      </w:r>
      <w:r w:rsidRPr="0098064C">
        <w:rPr>
          <w:rFonts w:eastAsia="黑体" w:hint="eastAsia"/>
          <w:bCs/>
        </w:rPr>
        <w:t>活动</w:t>
      </w:r>
      <w:r w:rsidRPr="0098064C">
        <w:rPr>
          <w:rFonts w:eastAsia="黑体"/>
          <w:bCs/>
        </w:rPr>
        <w:t>，提高对现有补救渠道的认识。</w:t>
      </w:r>
    </w:p>
    <w:p w14:paraId="5BD5E453" w14:textId="535D6C81" w:rsidR="000E7F04" w:rsidRPr="0098064C" w:rsidRDefault="000E7F04" w:rsidP="000E7F04">
      <w:pPr>
        <w:pStyle w:val="H23GC"/>
      </w:pPr>
      <w:r w:rsidRPr="0098064C">
        <w:tab/>
      </w:r>
      <w:r w:rsidRPr="0098064C">
        <w:tab/>
      </w:r>
      <w:r w:rsidRPr="0098064C">
        <w:rPr>
          <w:bCs/>
        </w:rPr>
        <w:t>基于性取向和性别认同的歧视和暴力行为</w:t>
      </w:r>
      <w:bookmarkStart w:id="3" w:name="_Hlk172019060"/>
    </w:p>
    <w:p w14:paraId="4CE551DE" w14:textId="37A52CE7" w:rsidR="0098064C" w:rsidRPr="0098064C" w:rsidRDefault="0098064C" w:rsidP="0098064C">
      <w:pPr>
        <w:pStyle w:val="SingleTxtGC"/>
      </w:pPr>
      <w:r>
        <w:t>15</w:t>
      </w:r>
      <w:r w:rsidRPr="0098064C">
        <w:t>.</w:t>
      </w:r>
      <w:r w:rsidRPr="0098064C">
        <w:tab/>
      </w:r>
      <w:r w:rsidRPr="0098064C">
        <w:t>委员会欢迎上诉法院</w:t>
      </w:r>
      <w:r>
        <w:t>2</w:t>
      </w:r>
      <w:r w:rsidRPr="0098064C">
        <w:t>0</w:t>
      </w:r>
      <w:r>
        <w:t>22</w:t>
      </w:r>
      <w:r w:rsidRPr="0098064C">
        <w:t>年</w:t>
      </w:r>
      <w:r>
        <w:t>1</w:t>
      </w:r>
      <w:r w:rsidRPr="0098064C">
        <w:t>月的裁决承认跨性别者改变性别有权得到法律承认，但感到关切的是，规定的要求限制过多、冗长且费用高昂，在实践中构成法律承认性别的障碍，国家法律没有明确将性别认同列入禁止歧视和仇恨言论的理由清单。委员会还感到关切的是，法律不承认同性伴侣，这导致同性伴侣面临歧视，特别是在获得社会保障和养老金计划方面。委员会注意到，缔约国表示没有收到任何关于男女同性恋、双性恋和跨性别者受到歧视、骚扰或暴力侵害的申诉，包括受到警察暴力侵害的申诉，但委员会感到关切的是，有可靠的报告表明，这类事件经常发生，暴力侵害跨性别者行为和获得医疗保健方面的歧视</w:t>
      </w:r>
      <w:r w:rsidRPr="0098064C">
        <w:rPr>
          <w:rFonts w:hint="eastAsia"/>
        </w:rPr>
        <w:t>尤其</w:t>
      </w:r>
      <w:r w:rsidRPr="0098064C">
        <w:t>令人关切</w:t>
      </w:r>
      <w:r w:rsidRPr="0098064C">
        <w:t>(</w:t>
      </w:r>
      <w:r w:rsidRPr="0098064C">
        <w:t>第二条和第二十六条</w:t>
      </w:r>
      <w:r w:rsidRPr="0098064C">
        <w:t>)</w:t>
      </w:r>
      <w:r w:rsidRPr="0098064C">
        <w:t>。</w:t>
      </w:r>
    </w:p>
    <w:bookmarkEnd w:id="3"/>
    <w:p w14:paraId="4007B2F0" w14:textId="77777777" w:rsidR="000E7F04" w:rsidRDefault="0098064C" w:rsidP="0098064C">
      <w:pPr>
        <w:pStyle w:val="SingleTxtGC"/>
        <w:rPr>
          <w:rFonts w:eastAsia="黑体"/>
          <w:bCs/>
        </w:rPr>
      </w:pPr>
      <w:r>
        <w:t>16</w:t>
      </w:r>
      <w:r w:rsidRPr="0098064C">
        <w:t>.</w:t>
      </w:r>
      <w:r w:rsidRPr="0098064C">
        <w:tab/>
      </w:r>
      <w:r w:rsidR="000E7F04" w:rsidRPr="0098064C">
        <w:rPr>
          <w:rFonts w:eastAsia="黑体"/>
          <w:bCs/>
        </w:rPr>
        <w:t>缔约国应：</w:t>
      </w:r>
    </w:p>
    <w:p w14:paraId="6789B34A"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制定适当的立法和政策，在法律和实践中保障跨性别者改变性别得到法律承认的权利，包括取消过多的医疗或程序要求和经济障碍；</w:t>
      </w:r>
    </w:p>
    <w:p w14:paraId="2AEEA205"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明确将性别认同列入禁止歧视和仇恨言论的理由清单，包括为此修订《刑法》；</w:t>
      </w:r>
    </w:p>
    <w:p w14:paraId="0AB1261D"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制定适当的立法和政策，保证在法律和实践中对同性伴侣予以法律承认，包括确保他们有效和不受歧视地获得社会保障和养老金计划；</w:t>
      </w:r>
    </w:p>
    <w:p w14:paraId="63B59ED1"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采取适当措施，鼓励报告对男女同性恋、双性恋和跨性别者的歧视、骚扰和暴力行为，包括受到警方暴力行为的投诉，确保彻底调查所有此类指控，起诉犯罪者，如果判定有罪，给予适当惩罚，并向受害者提供有效补救；</w:t>
      </w:r>
    </w:p>
    <w:p w14:paraId="33E449F5" w14:textId="499A9343" w:rsidR="000E7F04" w:rsidRPr="0098064C"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bCs/>
        </w:rPr>
        <w:t>打击对男女同性恋、双性恋和跨性别者的偏见和仇恨言论，包括向法官、检察官、执法人员和其他人员提供关于打击针对这些人士的歧视态度的适当培训，并开展针对公众的提高认识活动。</w:t>
      </w:r>
    </w:p>
    <w:p w14:paraId="5E167551" w14:textId="6AC42206" w:rsidR="000E7F04" w:rsidRPr="0098064C" w:rsidRDefault="000E7F04" w:rsidP="000E7F04">
      <w:pPr>
        <w:pStyle w:val="H23GC"/>
      </w:pPr>
      <w:r w:rsidRPr="0098064C">
        <w:lastRenderedPageBreak/>
        <w:tab/>
      </w:r>
      <w:r w:rsidRPr="0098064C">
        <w:tab/>
      </w:r>
      <w:r w:rsidRPr="0098064C">
        <w:rPr>
          <w:bCs/>
        </w:rPr>
        <w:t>性别平等</w:t>
      </w:r>
    </w:p>
    <w:p w14:paraId="12714535" w14:textId="1E9F9725" w:rsidR="0098064C" w:rsidRPr="0098064C" w:rsidRDefault="0098064C" w:rsidP="0098064C">
      <w:pPr>
        <w:pStyle w:val="SingleTxtGC"/>
      </w:pPr>
      <w:r>
        <w:t>17</w:t>
      </w:r>
      <w:r w:rsidRPr="0098064C">
        <w:t>.</w:t>
      </w:r>
      <w:r w:rsidRPr="0098064C">
        <w:tab/>
      </w:r>
      <w:r w:rsidRPr="0098064C">
        <w:t>委员会欢迎缔约国通过《</w:t>
      </w:r>
      <w:r>
        <w:t>2</w:t>
      </w:r>
      <w:r w:rsidRPr="0098064C">
        <w:t>0</w:t>
      </w:r>
      <w:r>
        <w:t>21</w:t>
      </w:r>
      <w:r w:rsidRPr="0098064C">
        <w:t>-</w:t>
      </w:r>
      <w:r>
        <w:t>2</w:t>
      </w:r>
      <w:r w:rsidRPr="0098064C">
        <w:t>0</w:t>
      </w:r>
      <w:r>
        <w:t>35</w:t>
      </w:r>
      <w:r w:rsidRPr="0098064C">
        <w:t>年性别平等愿景政策文件》，但感到关切的是，消极的性别成见持续存在，妇女在公共和政治生活中的代表性仍然很低，特别是在决策岗位上的代表性很低。委员会注意到，缔约国表示将很快通过关于新《民法》的法案，修订现行《民法》中的性别歧视条款，包括统一和提高最低结婚年龄，但委员会表示关切的是，通过新《民法》的工作自委员会上次于</w:t>
      </w:r>
      <w:r>
        <w:t>2</w:t>
      </w:r>
      <w:r w:rsidRPr="0098064C">
        <w:t>0</w:t>
      </w:r>
      <w:r>
        <w:t>15</w:t>
      </w:r>
      <w:r w:rsidRPr="0098064C">
        <w:t>年审议缔约国以来长期拖延，</w:t>
      </w:r>
      <w:r w:rsidRPr="0098064C">
        <w:rPr>
          <w:rFonts w:hint="eastAsia"/>
        </w:rPr>
        <w:t>至今仍在进行，</w:t>
      </w:r>
      <w:r w:rsidRPr="0098064C">
        <w:t>修订</w:t>
      </w:r>
      <w:r>
        <w:t>1962</w:t>
      </w:r>
      <w:r w:rsidRPr="0098064C">
        <w:t>年《人事法》中性别歧视条款的工作也长期拖延</w:t>
      </w:r>
      <w:r w:rsidRPr="0098064C">
        <w:t>(</w:t>
      </w:r>
      <w:r w:rsidRPr="0098064C">
        <w:t>第三条和第二十六条</w:t>
      </w:r>
      <w:r w:rsidRPr="0098064C">
        <w:t>)</w:t>
      </w:r>
      <w:r w:rsidRPr="0098064C">
        <w:t>。</w:t>
      </w:r>
    </w:p>
    <w:p w14:paraId="708AF993" w14:textId="77777777" w:rsidR="000E7F04" w:rsidRDefault="0098064C" w:rsidP="0098064C">
      <w:pPr>
        <w:pStyle w:val="SingleTxtGC"/>
        <w:rPr>
          <w:rFonts w:eastAsia="黑体"/>
          <w:bCs/>
        </w:rPr>
      </w:pPr>
      <w:r>
        <w:t>18</w:t>
      </w:r>
      <w:r w:rsidRPr="0098064C">
        <w:t>.</w:t>
      </w:r>
      <w:r w:rsidRPr="0098064C">
        <w:tab/>
      </w:r>
      <w:r w:rsidR="000E7F04" w:rsidRPr="0098064C">
        <w:rPr>
          <w:rFonts w:eastAsia="黑体"/>
          <w:bCs/>
        </w:rPr>
        <w:t>缔约国应：</w:t>
      </w:r>
    </w:p>
    <w:p w14:paraId="03B61197"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加</w:t>
      </w:r>
      <w:r w:rsidRPr="0098064C">
        <w:rPr>
          <w:rFonts w:eastAsia="黑体" w:hint="eastAsia"/>
          <w:bCs/>
        </w:rPr>
        <w:t>大</w:t>
      </w:r>
      <w:r w:rsidRPr="0098064C">
        <w:rPr>
          <w:rFonts w:eastAsia="黑体"/>
          <w:bCs/>
        </w:rPr>
        <w:t>努力，消除消极的性别成见，提高妇女在公共和政治生活中的代表性，特别是在决策职位上的代表性，包括为此加强性别事务局的财政和人力资源，以确保有效执行、监测和评价《</w:t>
      </w:r>
      <w:r w:rsidRPr="000E7F04">
        <w:rPr>
          <w:rFonts w:eastAsia="黑体"/>
          <w:bCs/>
        </w:rPr>
        <w:t>2</w:t>
      </w:r>
      <w:r w:rsidRPr="0098064C">
        <w:rPr>
          <w:rFonts w:eastAsia="黑体"/>
          <w:bCs/>
        </w:rPr>
        <w:t>0</w:t>
      </w:r>
      <w:r w:rsidRPr="000E7F04">
        <w:rPr>
          <w:rFonts w:eastAsia="黑体"/>
          <w:bCs/>
        </w:rPr>
        <w:t>21</w:t>
      </w:r>
      <w:r w:rsidRPr="0098064C">
        <w:rPr>
          <w:rFonts w:eastAsia="黑体"/>
          <w:bCs/>
        </w:rPr>
        <w:t>-</w:t>
      </w:r>
      <w:r w:rsidRPr="000E7F04">
        <w:rPr>
          <w:rFonts w:eastAsia="黑体"/>
          <w:bCs/>
        </w:rPr>
        <w:t>2</w:t>
      </w:r>
      <w:r w:rsidRPr="0098064C">
        <w:rPr>
          <w:rFonts w:eastAsia="黑体"/>
          <w:bCs/>
        </w:rPr>
        <w:t>0</w:t>
      </w:r>
      <w:r w:rsidRPr="000E7F04">
        <w:rPr>
          <w:rFonts w:eastAsia="黑体"/>
          <w:bCs/>
        </w:rPr>
        <w:t>35</w:t>
      </w:r>
      <w:r w:rsidRPr="0098064C">
        <w:rPr>
          <w:rFonts w:eastAsia="黑体"/>
          <w:bCs/>
        </w:rPr>
        <w:t>年性别平等愿景战略》；</w:t>
      </w:r>
    </w:p>
    <w:p w14:paraId="73A3C4A5"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作为优先事项，加快通过新的《民法》，确保删除现行《民法》中所有性别歧视条款，包括确保统一和提高最低结婚年龄；</w:t>
      </w:r>
    </w:p>
    <w:p w14:paraId="684F8031" w14:textId="6CBBDAE2" w:rsidR="000E7F04" w:rsidRPr="0098064C"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加快废除</w:t>
      </w:r>
      <w:r w:rsidRPr="000E7F04">
        <w:rPr>
          <w:rFonts w:eastAsia="黑体"/>
          <w:bCs/>
        </w:rPr>
        <w:t>1962</w:t>
      </w:r>
      <w:r w:rsidRPr="0098064C">
        <w:rPr>
          <w:rFonts w:eastAsia="黑体"/>
          <w:bCs/>
        </w:rPr>
        <w:t>年《人事法》中的性别歧视条款。</w:t>
      </w:r>
    </w:p>
    <w:p w14:paraId="418C8A53" w14:textId="0BAA454E" w:rsidR="000E7F04" w:rsidRPr="0098064C" w:rsidRDefault="000E7F04" w:rsidP="000E7F04">
      <w:pPr>
        <w:pStyle w:val="H23GC"/>
      </w:pPr>
      <w:r w:rsidRPr="0098064C">
        <w:tab/>
      </w:r>
      <w:r w:rsidRPr="0098064C">
        <w:tab/>
      </w:r>
      <w:r w:rsidRPr="0098064C">
        <w:rPr>
          <w:bCs/>
        </w:rPr>
        <w:t>暴力侵害妇女行为和家庭暴力</w:t>
      </w:r>
    </w:p>
    <w:p w14:paraId="27231EBB" w14:textId="47A367A5" w:rsidR="0098064C" w:rsidRPr="0098064C" w:rsidRDefault="0098064C" w:rsidP="0098064C">
      <w:pPr>
        <w:pStyle w:val="SingleTxtGC"/>
      </w:pPr>
      <w:r>
        <w:t>19</w:t>
      </w:r>
      <w:r w:rsidRPr="0098064C">
        <w:t>.</w:t>
      </w:r>
      <w:r w:rsidRPr="0098064C">
        <w:tab/>
      </w:r>
      <w:r w:rsidRPr="0098064C">
        <w:t>委员会欢迎缔约国于</w:t>
      </w:r>
      <w:r>
        <w:t>2</w:t>
      </w:r>
      <w:r w:rsidRPr="0098064C">
        <w:t>0</w:t>
      </w:r>
      <w:r>
        <w:t>22</w:t>
      </w:r>
      <w:r w:rsidRPr="0098064C">
        <w:t>年</w:t>
      </w:r>
      <w:r>
        <w:t>1</w:t>
      </w:r>
      <w:r w:rsidRPr="0098064C">
        <w:t>0</w:t>
      </w:r>
      <w:r w:rsidRPr="0098064C">
        <w:t>月通过《暴力和性骚扰法》，但对缔约国暴力侵害妇女行为，包括家庭暴力的发生率仍然很高感到关切；委员会对据报缔约国的立法框架，特别是</w:t>
      </w:r>
      <w:r>
        <w:t>2</w:t>
      </w:r>
      <w:r w:rsidRPr="0098064C">
        <w:t>00</w:t>
      </w:r>
      <w:r>
        <w:t>9</w:t>
      </w:r>
      <w:r w:rsidRPr="0098064C">
        <w:t>年《打击家庭暴力法》执行不力感到遗憾。委员会感到关切的是，目前只有两个由非政府组织经营的庇护所可为性别暴力受害者提供援助，它们的资金和人员配备不足，而且负责监测《打击家庭暴力法》执行情况的四个监督委员会的效力因人员配备问题而受到影响。委员会还感到关切的是，《暴力和性骚扰法》不适用于公务员，公务员的雇用受</w:t>
      </w:r>
      <w:r>
        <w:t>1962</w:t>
      </w:r>
      <w:r w:rsidRPr="0098064C">
        <w:t>年《人事法》的管制</w:t>
      </w:r>
      <w:r w:rsidRPr="0098064C">
        <w:t>(</w:t>
      </w:r>
      <w:r w:rsidRPr="0098064C">
        <w:t>第二条、第三条、第六条、第七条和第二十六条</w:t>
      </w:r>
      <w:r w:rsidRPr="0098064C">
        <w:t>)</w:t>
      </w:r>
      <w:r w:rsidRPr="0098064C">
        <w:t>。</w:t>
      </w:r>
    </w:p>
    <w:p w14:paraId="26244AD8" w14:textId="77777777" w:rsidR="000E7F04" w:rsidRDefault="0098064C" w:rsidP="0098064C">
      <w:pPr>
        <w:pStyle w:val="SingleTxtGC"/>
        <w:rPr>
          <w:rFonts w:eastAsia="黑体"/>
          <w:bCs/>
        </w:rPr>
      </w:pPr>
      <w:r>
        <w:t>2</w:t>
      </w:r>
      <w:r w:rsidRPr="0098064C">
        <w:t>0.</w:t>
      </w:r>
      <w:r w:rsidRPr="0098064C">
        <w:tab/>
      </w:r>
      <w:r w:rsidR="000E7F04" w:rsidRPr="0098064C">
        <w:rPr>
          <w:rFonts w:eastAsia="黑体"/>
          <w:bCs/>
        </w:rPr>
        <w:t>缔约国应：</w:t>
      </w:r>
    </w:p>
    <w:p w14:paraId="1C8BD723"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系统地开展迅速、公正和有效的调查，查明暴力侵害妇女行为的施害者，对其进行起诉，如果认定有罪，则予以与罪行严重程度相应的惩罚；</w:t>
      </w:r>
    </w:p>
    <w:p w14:paraId="0B5F6C90"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加强为性别暴力受害者提供</w:t>
      </w:r>
      <w:r w:rsidRPr="0098064C">
        <w:rPr>
          <w:rFonts w:eastAsia="黑体" w:hint="eastAsia"/>
          <w:bCs/>
        </w:rPr>
        <w:t>并帮助其获得</w:t>
      </w:r>
      <w:r w:rsidRPr="0098064C">
        <w:rPr>
          <w:rFonts w:eastAsia="黑体"/>
          <w:bCs/>
        </w:rPr>
        <w:t>法律、社会和心理援助，增加庇护所的数量，以确保缔约国全国各地的妇女能够有效地获得这些援助，并确保划拨充足的资金；</w:t>
      </w:r>
    </w:p>
    <w:p w14:paraId="0E592F73"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实施和有效执行《打击家庭暴力法》和《暴力和性骚扰法》，并将后者的适用范围扩大到公务员；</w:t>
      </w:r>
    </w:p>
    <w:p w14:paraId="0400CD02"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就查明和起诉暴力侵害妇女案件，继续并扩大对法官、检察官、律师和执法人员的培训，并确保在实践中采取以受害者为中心的做法；</w:t>
      </w:r>
    </w:p>
    <w:p w14:paraId="03B1A773" w14:textId="77777777" w:rsidR="000E7F04"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bCs/>
        </w:rPr>
        <w:t>与民间社会组织合作，为家庭暴力受害者设计和实施基于社区的支助和案件管理机制，特别是在国内缺乏报告家庭暴力正式机构的地区；</w:t>
      </w:r>
    </w:p>
    <w:p w14:paraId="78B3D7A0" w14:textId="51719874" w:rsidR="000E7F04" w:rsidRPr="0098064C" w:rsidRDefault="000E7F04" w:rsidP="0098064C">
      <w:pPr>
        <w:pStyle w:val="SingleTxtGC"/>
        <w:rPr>
          <w:rFonts w:eastAsia="黑体"/>
          <w:bCs/>
        </w:rPr>
      </w:pPr>
      <w:r>
        <w:rPr>
          <w:rFonts w:eastAsia="黑体"/>
          <w:bCs/>
        </w:rPr>
        <w:tab/>
        <w:t>(</w:t>
      </w:r>
      <w:r w:rsidR="0098064C">
        <w:t>f</w:t>
      </w:r>
      <w:r w:rsidR="0098064C" w:rsidRPr="0098064C">
        <w:t>)</w:t>
      </w:r>
      <w:r w:rsidR="0098064C" w:rsidRPr="0098064C">
        <w:tab/>
      </w:r>
      <w:r w:rsidRPr="0098064C">
        <w:rPr>
          <w:rFonts w:eastAsia="黑体"/>
          <w:bCs/>
        </w:rPr>
        <w:t>针对男子和妇女开展提高认识的宣传，以改变社会态度，消除导致暴力侵害妇女行为正常化的父权社会偏见。</w:t>
      </w:r>
    </w:p>
    <w:p w14:paraId="3D369402" w14:textId="086EA9CE" w:rsidR="000E7F04" w:rsidRPr="0098064C" w:rsidRDefault="000E7F04" w:rsidP="000E7F04">
      <w:pPr>
        <w:pStyle w:val="H23GC"/>
      </w:pPr>
      <w:r w:rsidRPr="0098064C">
        <w:lastRenderedPageBreak/>
        <w:tab/>
      </w:r>
      <w:r w:rsidRPr="0098064C">
        <w:tab/>
      </w:r>
      <w:r w:rsidRPr="0098064C">
        <w:rPr>
          <w:bCs/>
        </w:rPr>
        <w:t>禁止酷刑和其他残忍、不人道或有辱人格的待遇或处罚</w:t>
      </w:r>
    </w:p>
    <w:p w14:paraId="443BA7B6" w14:textId="71D8F654" w:rsidR="0098064C" w:rsidRPr="0098064C" w:rsidRDefault="0098064C" w:rsidP="0098064C">
      <w:pPr>
        <w:pStyle w:val="SingleTxtGC"/>
      </w:pPr>
      <w:r>
        <w:t>21</w:t>
      </w:r>
      <w:r w:rsidRPr="0098064C">
        <w:t>.</w:t>
      </w:r>
      <w:r w:rsidRPr="0098064C">
        <w:tab/>
      </w:r>
      <w:r w:rsidRPr="0098064C">
        <w:t>委员会欢迎缔约国于</w:t>
      </w:r>
      <w:r>
        <w:t>2</w:t>
      </w:r>
      <w:r w:rsidRPr="0098064C">
        <w:t>0</w:t>
      </w:r>
      <w:r>
        <w:t>21</w:t>
      </w:r>
      <w:r w:rsidRPr="0098064C">
        <w:t>年批准《禁止酷刑公约》，但感到关切的是，《刑法》缺乏与该公约和其他相关国际标准相一致的关于酷刑和虐待的全面定义。委员会注意到，</w:t>
      </w:r>
      <w:r w:rsidRPr="0098064C">
        <w:rPr>
          <w:rFonts w:hint="eastAsia"/>
        </w:rPr>
        <w:t>相关</w:t>
      </w:r>
      <w:r w:rsidRPr="0098064C">
        <w:t>投诉由警察不当行为部门调查，该部门向总检察长办公室报告，但委员会感到遗憾的是，缔约国尚未设立一个主管投诉的独立机构，负责调查关于执法人员实施酷刑和虐待，包括过度使用武力的指控。委员会还感到遗憾的是，缺乏关于这方面收到的申诉的全面数据，特别是关于监狱和拘留场所的数据，而且对警察的处罚显然很宽松。委员会还感到遗憾的是，缺乏关于向酷刑和虐待的受害者提供赔偿，包括关于康复和赔偿的数据</w:t>
      </w:r>
      <w:r w:rsidRPr="0098064C">
        <w:t>(</w:t>
      </w:r>
      <w:r w:rsidRPr="0098064C">
        <w:t>第七条</w:t>
      </w:r>
      <w:r w:rsidRPr="0098064C">
        <w:t>)</w:t>
      </w:r>
      <w:r w:rsidRPr="0098064C">
        <w:t>。</w:t>
      </w:r>
    </w:p>
    <w:p w14:paraId="2BCDB989" w14:textId="30B59B7B" w:rsidR="000E7F04" w:rsidRDefault="0098064C" w:rsidP="0098064C">
      <w:pPr>
        <w:pStyle w:val="SingleTxtGC"/>
        <w:rPr>
          <w:rFonts w:eastAsia="黑体"/>
          <w:bCs/>
        </w:rPr>
      </w:pPr>
      <w:r>
        <w:t>22</w:t>
      </w:r>
      <w:r w:rsidRPr="0098064C">
        <w:t>.</w:t>
      </w:r>
      <w:r w:rsidRPr="0098064C">
        <w:tab/>
      </w:r>
      <w:r w:rsidR="000E7F04" w:rsidRPr="0098064C">
        <w:rPr>
          <w:rFonts w:eastAsia="黑体"/>
          <w:bCs/>
        </w:rPr>
        <w:t>委员会回顾先前的结论性意见</w:t>
      </w:r>
      <w:r w:rsidRPr="0098064C">
        <w:rPr>
          <w:vertAlign w:val="superscript"/>
        </w:rPr>
        <w:footnoteReference w:id="8"/>
      </w:r>
      <w:r w:rsidR="007B2A30">
        <w:rPr>
          <w:rFonts w:eastAsia="黑体"/>
          <w:bCs/>
        </w:rPr>
        <w:t xml:space="preserve"> </w:t>
      </w:r>
      <w:r w:rsidR="000E7F04" w:rsidRPr="0098064C">
        <w:rPr>
          <w:rFonts w:eastAsia="黑体"/>
          <w:bCs/>
        </w:rPr>
        <w:t>第</w:t>
      </w:r>
      <w:r w:rsidR="000E7F04" w:rsidRPr="000E7F04">
        <w:rPr>
          <w:rFonts w:eastAsia="黑体"/>
          <w:bCs/>
        </w:rPr>
        <w:t>23</w:t>
      </w:r>
      <w:r w:rsidR="000E7F04" w:rsidRPr="0098064C">
        <w:rPr>
          <w:rFonts w:eastAsia="黑体"/>
          <w:bCs/>
        </w:rPr>
        <w:t>和</w:t>
      </w:r>
      <w:r w:rsidR="000E7F04" w:rsidRPr="000E7F04">
        <w:rPr>
          <w:rFonts w:eastAsia="黑体"/>
          <w:bCs/>
        </w:rPr>
        <w:t>24</w:t>
      </w:r>
      <w:r w:rsidR="000E7F04" w:rsidRPr="0098064C">
        <w:rPr>
          <w:rFonts w:eastAsia="黑体"/>
          <w:bCs/>
        </w:rPr>
        <w:t>段，呼吁缔约国：</w:t>
      </w:r>
    </w:p>
    <w:p w14:paraId="4067396D"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修订《刑法》，纳入完全符合《公约》第七条和其他国际标准的酷刑定义；</w:t>
      </w:r>
    </w:p>
    <w:p w14:paraId="37871428"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建立独立的投诉机制，授权该机制调查所报告的关于酷刑和虐待的所有指称；</w:t>
      </w:r>
    </w:p>
    <w:p w14:paraId="0C214222"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根据《伊斯坦布尔规程》，对所有酷刑和虐待指控进行迅速、彻底、有效、透明和公正的调查，确保起诉犯罪者，如判定有罪，则予以适当惩处，并确保受害者得到充分赔偿；</w:t>
      </w:r>
    </w:p>
    <w:p w14:paraId="2AC851CD"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建立一个防止酷刑和其他残忍、不人道或有辱人格的待遇或处罚的国家防范机制，并考虑批准《禁止酷刑公约任择议定书》；</w:t>
      </w:r>
    </w:p>
    <w:p w14:paraId="7FCC9D3E" w14:textId="61F6E9F5" w:rsidR="000E7F04" w:rsidRPr="0098064C"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bCs/>
        </w:rPr>
        <w:t>加强对法官、检察官和执法人员的人权培训，包括关于《为调查和收集信息进行有效面谈的原则》的培训</w:t>
      </w:r>
      <w:r w:rsidRPr="0098064C">
        <w:rPr>
          <w:rFonts w:eastAsia="黑体" w:hint="eastAsia"/>
          <w:bCs/>
        </w:rPr>
        <w:t>。</w:t>
      </w:r>
    </w:p>
    <w:p w14:paraId="75A83B4C" w14:textId="18644CF1" w:rsidR="000E7F04" w:rsidRPr="0098064C" w:rsidRDefault="000E7F04" w:rsidP="000E7F04">
      <w:pPr>
        <w:pStyle w:val="H23GC"/>
      </w:pPr>
      <w:r w:rsidRPr="0098064C">
        <w:tab/>
      </w:r>
      <w:r w:rsidRPr="0098064C">
        <w:tab/>
      </w:r>
      <w:r w:rsidRPr="0098064C">
        <w:rPr>
          <w:bCs/>
        </w:rPr>
        <w:t>人身自由和安</w:t>
      </w:r>
      <w:bookmarkStart w:id="4" w:name="_Hlk172538438"/>
      <w:r w:rsidRPr="0098064C">
        <w:rPr>
          <w:bCs/>
        </w:rPr>
        <w:t>全</w:t>
      </w:r>
      <w:bookmarkEnd w:id="4"/>
    </w:p>
    <w:p w14:paraId="06CF68F9" w14:textId="51F7DC1A" w:rsidR="0098064C" w:rsidRPr="0098064C" w:rsidRDefault="0098064C" w:rsidP="0098064C">
      <w:pPr>
        <w:pStyle w:val="SingleTxtGC"/>
      </w:pPr>
      <w:r>
        <w:t>23</w:t>
      </w:r>
      <w:r w:rsidRPr="0098064C">
        <w:t>.</w:t>
      </w:r>
      <w:r w:rsidRPr="0098064C">
        <w:tab/>
      </w:r>
      <w:r w:rsidRPr="0098064C">
        <w:t>委员会感到关切的是，因刑事指控而被逮捕或拘留的人没有在</w:t>
      </w:r>
      <w:r>
        <w:t>48</w:t>
      </w:r>
      <w:r w:rsidRPr="0098064C">
        <w:t>小时内被带见法官，以审查拘留的合法性；此外，他们没有被一致告知获得法律顾问的权利，也没有及时为他们提供这类顾问。委员会还感到关切的是，对某些类别的刑事犯罪，《刑事诉讼法》允许法官和检察官出于正在进行调查的原因，下令暂时禁止被拘留者与其</w:t>
      </w:r>
      <w:r w:rsidRPr="0098064C">
        <w:rPr>
          <w:rFonts w:hint="eastAsia"/>
        </w:rPr>
        <w:t>律师</w:t>
      </w:r>
      <w:r w:rsidRPr="0098064C">
        <w:t>联系，不对延长这种禁令的次数予以限制，还对嫌疑人和律师之间通信的保密性</w:t>
      </w:r>
      <w:r w:rsidRPr="0098064C">
        <w:rPr>
          <w:rFonts w:hint="eastAsia"/>
        </w:rPr>
        <w:t>施加</w:t>
      </w:r>
      <w:r w:rsidRPr="0098064C">
        <w:t>限制</w:t>
      </w:r>
      <w:r w:rsidRPr="0098064C">
        <w:t>(</w:t>
      </w:r>
      <w:r w:rsidRPr="0098064C">
        <w:t>第九条</w:t>
      </w:r>
      <w:r w:rsidRPr="0098064C">
        <w:t>)</w:t>
      </w:r>
      <w:r w:rsidRPr="0098064C">
        <w:t>。</w:t>
      </w:r>
    </w:p>
    <w:p w14:paraId="638D2FD8" w14:textId="77777777" w:rsidR="000E7F04" w:rsidRDefault="0098064C" w:rsidP="0098064C">
      <w:pPr>
        <w:pStyle w:val="SingleTxtGC"/>
        <w:rPr>
          <w:rFonts w:eastAsia="黑体"/>
          <w:bCs/>
        </w:rPr>
      </w:pPr>
      <w:r>
        <w:t>24</w:t>
      </w:r>
      <w:r w:rsidRPr="0098064C">
        <w:t>.</w:t>
      </w:r>
      <w:r w:rsidRPr="0098064C">
        <w:tab/>
      </w:r>
      <w:r w:rsidR="000E7F04" w:rsidRPr="0098064C">
        <w:rPr>
          <w:rFonts w:eastAsia="黑体"/>
          <w:bCs/>
        </w:rPr>
        <w:t>根据委员会关于人身自由和安全的第</w:t>
      </w:r>
      <w:r w:rsidR="000E7F04" w:rsidRPr="000E7F04">
        <w:rPr>
          <w:rFonts w:eastAsia="黑体"/>
          <w:bCs/>
        </w:rPr>
        <w:t>35</w:t>
      </w:r>
      <w:r w:rsidR="000E7F04" w:rsidRPr="0098064C">
        <w:rPr>
          <w:rFonts w:eastAsia="黑体"/>
          <w:bCs/>
        </w:rPr>
        <w:t>号一般性意见</w:t>
      </w:r>
      <w:r w:rsidR="000E7F04" w:rsidRPr="0098064C">
        <w:rPr>
          <w:rFonts w:eastAsia="黑体"/>
          <w:bCs/>
        </w:rPr>
        <w:t>(</w:t>
      </w:r>
      <w:r w:rsidR="000E7F04" w:rsidRPr="000E7F04">
        <w:rPr>
          <w:rFonts w:eastAsia="黑体"/>
          <w:bCs/>
        </w:rPr>
        <w:t>2</w:t>
      </w:r>
      <w:r w:rsidR="000E7F04" w:rsidRPr="0098064C">
        <w:rPr>
          <w:rFonts w:eastAsia="黑体"/>
          <w:bCs/>
        </w:rPr>
        <w:t>0</w:t>
      </w:r>
      <w:r w:rsidR="000E7F04" w:rsidRPr="000E7F04">
        <w:rPr>
          <w:rFonts w:eastAsia="黑体"/>
          <w:bCs/>
        </w:rPr>
        <w:t>14</w:t>
      </w:r>
      <w:r w:rsidR="000E7F04" w:rsidRPr="0098064C">
        <w:rPr>
          <w:rFonts w:eastAsia="黑体"/>
          <w:bCs/>
        </w:rPr>
        <w:t>年</w:t>
      </w:r>
      <w:r w:rsidR="000E7F04" w:rsidRPr="0098064C">
        <w:rPr>
          <w:rFonts w:eastAsia="黑体"/>
          <w:bCs/>
        </w:rPr>
        <w:t>)</w:t>
      </w:r>
      <w:r w:rsidR="000E7F04" w:rsidRPr="0098064C">
        <w:rPr>
          <w:rFonts w:eastAsia="黑体"/>
          <w:bCs/>
        </w:rPr>
        <w:t>，缔约国应：</w:t>
      </w:r>
    </w:p>
    <w:p w14:paraId="310C95BC"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确保因刑事指控被逮捕或拘留的人在</w:t>
      </w:r>
      <w:r w:rsidRPr="000E7F04">
        <w:rPr>
          <w:rFonts w:eastAsia="黑体"/>
          <w:bCs/>
        </w:rPr>
        <w:t>48</w:t>
      </w:r>
      <w:r w:rsidRPr="0098064C">
        <w:rPr>
          <w:rFonts w:eastAsia="黑体"/>
          <w:bCs/>
        </w:rPr>
        <w:t>小时内被迅速带见法官或其他经法律授权行使司法权力的官员，以便使其拘留得到司法控制；</w:t>
      </w:r>
    </w:p>
    <w:p w14:paraId="4531015B"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确保所有被剥夺自由者从被剥夺自由之时起就切实得到所有基本法律保障，包括告知他们有权获得法律顾问，并立即向他们提供</w:t>
      </w:r>
      <w:r w:rsidRPr="0098064C">
        <w:rPr>
          <w:rFonts w:eastAsia="黑体" w:hint="eastAsia"/>
          <w:bCs/>
        </w:rPr>
        <w:t>接触</w:t>
      </w:r>
      <w:r w:rsidRPr="0098064C">
        <w:rPr>
          <w:rFonts w:eastAsia="黑体"/>
          <w:bCs/>
        </w:rPr>
        <w:t>法律顾问的机会；</w:t>
      </w:r>
    </w:p>
    <w:p w14:paraId="7E3666E4" w14:textId="040DDB40" w:rsidR="000E7F04" w:rsidRPr="0098064C" w:rsidRDefault="000E7F04" w:rsidP="0098064C">
      <w:pPr>
        <w:pStyle w:val="SingleTxtGC"/>
        <w:rPr>
          <w:rFonts w:eastAsia="黑体"/>
          <w:bCs/>
        </w:rPr>
      </w:pPr>
      <w:r>
        <w:rPr>
          <w:rFonts w:eastAsia="黑体"/>
          <w:bCs/>
        </w:rPr>
        <w:lastRenderedPageBreak/>
        <w:tab/>
        <w:t>(</w:t>
      </w:r>
      <w:r w:rsidR="0098064C">
        <w:t>c</w:t>
      </w:r>
      <w:r w:rsidR="0098064C" w:rsidRPr="0098064C">
        <w:t>)</w:t>
      </w:r>
      <w:r w:rsidR="0098064C" w:rsidRPr="0098064C">
        <w:tab/>
      </w:r>
      <w:r w:rsidRPr="0098064C">
        <w:rPr>
          <w:rFonts w:eastAsia="黑体"/>
          <w:bCs/>
        </w:rPr>
        <w:t>审查并考虑废除《刑事诉讼法》中允许在某些类别的刑事犯罪案件中禁止嫌疑人与律师进行联系，以及在允许他们联系的情况下限制这种联系的保密性的条款，以确保这些条款符合《公约》保障的权利。</w:t>
      </w:r>
    </w:p>
    <w:p w14:paraId="6789A013" w14:textId="0816367D" w:rsidR="0098064C" w:rsidRPr="0098064C" w:rsidRDefault="0098064C" w:rsidP="0098064C">
      <w:pPr>
        <w:pStyle w:val="SingleTxtGC"/>
      </w:pPr>
      <w:r>
        <w:t>25</w:t>
      </w:r>
      <w:r w:rsidRPr="0098064C">
        <w:t>.</w:t>
      </w:r>
      <w:r w:rsidRPr="0098064C">
        <w:tab/>
      </w:r>
      <w:r w:rsidRPr="0098064C">
        <w:t>委员会感到关切的是，由于缺乏有效的保释制度等原因，</w:t>
      </w:r>
      <w:r w:rsidRPr="0098064C">
        <w:rPr>
          <w:rFonts w:hint="eastAsia"/>
        </w:rPr>
        <w:t>缔约国</w:t>
      </w:r>
      <w:r w:rsidRPr="0098064C">
        <w:t>使用审前拘留的频率很高；此外，审前拘留的时间往往过长，而且得不到充分的监督。委员会还感到遗憾的是，缔约国没有提供资料，说明采取了哪些保障措施，确保少年司法系统仅将拘留儿童作为最后手段使用，而且拘留时间尽可能短</w:t>
      </w:r>
      <w:r w:rsidRPr="0098064C">
        <w:t>(</w:t>
      </w:r>
      <w:r w:rsidRPr="0098064C">
        <w:t>第九条和第二十四条</w:t>
      </w:r>
      <w:r w:rsidRPr="0098064C">
        <w:t>)</w:t>
      </w:r>
      <w:r w:rsidRPr="0098064C">
        <w:t>。</w:t>
      </w:r>
    </w:p>
    <w:p w14:paraId="1020E27F" w14:textId="77777777" w:rsidR="000E7F04" w:rsidRDefault="0098064C" w:rsidP="0098064C">
      <w:pPr>
        <w:pStyle w:val="SingleTxtGC"/>
        <w:rPr>
          <w:rFonts w:eastAsia="黑体"/>
          <w:bCs/>
        </w:rPr>
      </w:pPr>
      <w:r>
        <w:t>26</w:t>
      </w:r>
      <w:r w:rsidRPr="0098064C">
        <w:t>.</w:t>
      </w:r>
      <w:r w:rsidRPr="0098064C">
        <w:tab/>
      </w:r>
      <w:r w:rsidR="000E7F04" w:rsidRPr="0098064C">
        <w:rPr>
          <w:rFonts w:eastAsia="黑体"/>
          <w:bCs/>
        </w:rPr>
        <w:t>缔约国应：</w:t>
      </w:r>
    </w:p>
    <w:p w14:paraId="61B84B40"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建立有效的保释制度，保障有权获得保释的人享有保释权，并确保仅将审前拘留作为一种例外措施，时间尽可能短；</w:t>
      </w:r>
    </w:p>
    <w:p w14:paraId="7C190695"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根据《联合国非拘禁措施最低限度标准规则》</w:t>
      </w:r>
      <w:r w:rsidRPr="0098064C">
        <w:rPr>
          <w:rFonts w:eastAsia="黑体"/>
          <w:bCs/>
        </w:rPr>
        <w:t>(</w:t>
      </w:r>
      <w:r w:rsidRPr="0098064C">
        <w:rPr>
          <w:rFonts w:eastAsia="黑体"/>
          <w:bCs/>
        </w:rPr>
        <w:t>《东京规则》</w:t>
      </w:r>
      <w:r w:rsidRPr="0098064C">
        <w:rPr>
          <w:rFonts w:eastAsia="黑体"/>
          <w:bCs/>
        </w:rPr>
        <w:t>)</w:t>
      </w:r>
      <w:r w:rsidRPr="0098064C">
        <w:rPr>
          <w:rFonts w:eastAsia="黑体"/>
          <w:bCs/>
        </w:rPr>
        <w:t>，提供更多并增加采用审前拘留的替代办法；</w:t>
      </w:r>
    </w:p>
    <w:p w14:paraId="73279B73"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对审前拘留期限进行系统性司法监督；</w:t>
      </w:r>
    </w:p>
    <w:p w14:paraId="6D27DFBF" w14:textId="518371F4" w:rsidR="000E7F04" w:rsidRPr="0098064C"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确保少年司法制度考虑违法儿童的具体需要，仅将拘留儿童作为最后手段，拘留时间尽可能短，并进行定期审查，以期释放儿童。</w:t>
      </w:r>
    </w:p>
    <w:p w14:paraId="18D329A7" w14:textId="64B5B51F" w:rsidR="000E7F04" w:rsidRPr="0098064C" w:rsidRDefault="000E7F04" w:rsidP="000E7F04">
      <w:pPr>
        <w:pStyle w:val="H23GC"/>
      </w:pPr>
      <w:r w:rsidRPr="0098064C">
        <w:tab/>
      </w:r>
      <w:r w:rsidRPr="0098064C">
        <w:tab/>
      </w:r>
      <w:r w:rsidRPr="0098064C">
        <w:rPr>
          <w:bCs/>
        </w:rPr>
        <w:t>被剥夺自由者的待遇</w:t>
      </w:r>
    </w:p>
    <w:p w14:paraId="746E5F73" w14:textId="77F1A223" w:rsidR="0098064C" w:rsidRPr="0098064C" w:rsidRDefault="0098064C" w:rsidP="0098064C">
      <w:pPr>
        <w:pStyle w:val="SingleTxtGC"/>
      </w:pPr>
      <w:r>
        <w:t>27</w:t>
      </w:r>
      <w:r w:rsidRPr="0098064C">
        <w:t>.</w:t>
      </w:r>
      <w:r w:rsidRPr="0098064C">
        <w:tab/>
      </w:r>
      <w:r w:rsidRPr="0098064C">
        <w:t>委员会感到关切的是，特别是警方拘留所的条件似乎不符合有关食物、水和卫生设施的质量和数量方面的国际标准。委员会还感到关切的是，据报告，监狱和拘留场所的暴力行为严重，特别是囚犯之间的暴力行为；此外，警察和狱警过度使用武力，有报告称，即便被关押在不同的牢房区，但被指控者经常与被定罪者关押在</w:t>
      </w:r>
      <w:r w:rsidRPr="0098064C">
        <w:rPr>
          <w:rFonts w:hint="eastAsia"/>
        </w:rPr>
        <w:t>一起</w:t>
      </w:r>
      <w:r w:rsidRPr="0098064C">
        <w:t>(</w:t>
      </w:r>
      <w:r w:rsidRPr="0098064C">
        <w:t>第十条</w:t>
      </w:r>
      <w:r w:rsidRPr="0098064C">
        <w:t>)</w:t>
      </w:r>
      <w:r w:rsidRPr="0098064C">
        <w:t>。</w:t>
      </w:r>
    </w:p>
    <w:p w14:paraId="2C21B357" w14:textId="77777777" w:rsidR="000E7F04" w:rsidRDefault="0098064C" w:rsidP="0098064C">
      <w:pPr>
        <w:pStyle w:val="SingleTxtGC"/>
        <w:rPr>
          <w:rFonts w:eastAsia="黑体"/>
          <w:bCs/>
        </w:rPr>
      </w:pPr>
      <w:r>
        <w:t>28</w:t>
      </w:r>
      <w:r w:rsidRPr="0098064C">
        <w:t>.</w:t>
      </w:r>
      <w:r w:rsidRPr="0098064C">
        <w:tab/>
      </w:r>
      <w:r w:rsidR="000E7F04" w:rsidRPr="0098064C">
        <w:rPr>
          <w:rFonts w:eastAsia="黑体"/>
          <w:bCs/>
        </w:rPr>
        <w:t>缔约国应加大努力，根据《公约》、《联合国囚犯待遇最低限度标准规则》</w:t>
      </w:r>
      <w:r w:rsidR="000E7F04" w:rsidRPr="0098064C">
        <w:rPr>
          <w:rFonts w:eastAsia="黑体"/>
          <w:bCs/>
        </w:rPr>
        <w:t>(</w:t>
      </w:r>
      <w:r w:rsidR="000E7F04" w:rsidRPr="0098064C">
        <w:rPr>
          <w:rFonts w:eastAsia="黑体"/>
          <w:bCs/>
        </w:rPr>
        <w:t>《纳尔逊</w:t>
      </w:r>
      <w:r w:rsidR="000E7F04" w:rsidRPr="0098064C">
        <w:rPr>
          <w:rFonts w:eastAsia="黑体"/>
          <w:bCs/>
        </w:rPr>
        <w:t>·</w:t>
      </w:r>
      <w:r w:rsidR="000E7F04" w:rsidRPr="0098064C">
        <w:rPr>
          <w:rFonts w:eastAsia="黑体"/>
          <w:bCs/>
        </w:rPr>
        <w:t>曼德拉规则》</w:t>
      </w:r>
      <w:r w:rsidR="000E7F04" w:rsidRPr="0098064C">
        <w:rPr>
          <w:rFonts w:eastAsia="黑体"/>
          <w:bCs/>
        </w:rPr>
        <w:t>)</w:t>
      </w:r>
      <w:r w:rsidR="000E7F04" w:rsidRPr="0098064C">
        <w:rPr>
          <w:rFonts w:eastAsia="黑体"/>
          <w:bCs/>
        </w:rPr>
        <w:t>和《联合国女性囚犯待遇和女性罪犯非监禁措施规则》</w:t>
      </w:r>
      <w:r w:rsidR="000E7F04" w:rsidRPr="0098064C">
        <w:rPr>
          <w:rFonts w:eastAsia="黑体"/>
          <w:bCs/>
        </w:rPr>
        <w:t>(</w:t>
      </w:r>
      <w:r w:rsidR="000E7F04" w:rsidRPr="0098064C">
        <w:rPr>
          <w:rFonts w:eastAsia="黑体"/>
          <w:bCs/>
        </w:rPr>
        <w:t>《曼谷规则》</w:t>
      </w:r>
      <w:r w:rsidR="000E7F04" w:rsidRPr="0098064C">
        <w:rPr>
          <w:rFonts w:eastAsia="黑体"/>
          <w:bCs/>
        </w:rPr>
        <w:t>)</w:t>
      </w:r>
      <w:r w:rsidR="000E7F04" w:rsidRPr="0098064C">
        <w:rPr>
          <w:rFonts w:eastAsia="黑体"/>
          <w:bCs/>
        </w:rPr>
        <w:t>，改善剥夺自由场所的条件；具体而言，缔约国应：</w:t>
      </w:r>
    </w:p>
    <w:p w14:paraId="31037FFF"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确保向所有被剥夺自由者提供数量充足和高质量的食物和水，以及适当的卫生设施；</w:t>
      </w:r>
    </w:p>
    <w:p w14:paraId="6727D0CD"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防止囚犯之间的暴力事件以及警察和狱警过度使用武力行为，包括向警察和狱警提供培训，</w:t>
      </w:r>
      <w:r w:rsidRPr="0098064C">
        <w:rPr>
          <w:rFonts w:eastAsia="黑体" w:hint="eastAsia"/>
          <w:bCs/>
        </w:rPr>
        <w:t>让他们</w:t>
      </w:r>
      <w:r w:rsidRPr="0098064C">
        <w:rPr>
          <w:rFonts w:eastAsia="黑体"/>
          <w:bCs/>
        </w:rPr>
        <w:t>学习缓和紧张局面的技巧以及如何识别容易受到囚犯之间虐待的人员，并确保在必要时使用符合相关国际标准的相称武力；</w:t>
      </w:r>
    </w:p>
    <w:p w14:paraId="7810EBF1"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提供保密的内部报告机制，确保对有关囚犯之间的暴力行为以及警察和狱警过度使用武力的报告进行彻底和公正的调查，确保责任人如被定罪，受到适当的处罚，并确保向受害者提供适当的补救；</w:t>
      </w:r>
    </w:p>
    <w:p w14:paraId="11F2D70C"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保证独立的监督和监察机制能够进入剥夺自由场所，确保国家人权机构一旦建立，能够对所有剥夺自由场所进行独立和有效的监督，包括进行定期和突击查访；</w:t>
      </w:r>
    </w:p>
    <w:p w14:paraId="7EF5D2F3" w14:textId="2C30A660" w:rsidR="000E7F04" w:rsidRPr="0098064C"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bCs/>
        </w:rPr>
        <w:t>确保将被指控者和被定罪者有效隔离。</w:t>
      </w:r>
    </w:p>
    <w:p w14:paraId="739BB981" w14:textId="37AAB741" w:rsidR="0098064C" w:rsidRPr="0098064C" w:rsidRDefault="0098064C" w:rsidP="0098064C">
      <w:pPr>
        <w:pStyle w:val="SingleTxtGC"/>
      </w:pPr>
      <w:r>
        <w:lastRenderedPageBreak/>
        <w:t>29</w:t>
      </w:r>
      <w:r w:rsidRPr="0098064C">
        <w:t>.</w:t>
      </w:r>
      <w:r w:rsidRPr="0098064C">
        <w:tab/>
      </w:r>
      <w:r w:rsidRPr="0098064C">
        <w:t>委员会注意到，缔约国保证向所有被剥夺自由的人免费提供医疗保健服务，并正在与国家医疗保险计划缔结协议，将这类服务正式化，但委员会感到关切的是，有报告称，所提供的医疗服务质量很差，在某些情况下，被剥夺自由者缺乏获得医疗服务的机会，提供的精神保健服务有限。委员会注意到，</w:t>
      </w:r>
      <w:r w:rsidRPr="0098064C">
        <w:rPr>
          <w:rFonts w:hint="eastAsia"/>
        </w:rPr>
        <w:t>虽然</w:t>
      </w:r>
      <w:r w:rsidRPr="0098064C">
        <w:t>缔约国保证说，已采取适当的公共卫生措施，解决</w:t>
      </w:r>
      <w:r>
        <w:t>COVID</w:t>
      </w:r>
      <w:r w:rsidRPr="0098064C">
        <w:t>-</w:t>
      </w:r>
      <w:r>
        <w:t>19</w:t>
      </w:r>
      <w:r w:rsidRPr="0098064C">
        <w:t>病毒在监狱和拘留场所的传播问题，但委员会感到关切的是，有报告表明，拘留场所过度拥挤和缺乏卫生设施，助长了病毒的传播；委员会感到遗憾的是，缔约国没有提供资料，说明采取了哪些措施，预防和为今后的卫生紧急情况做准备，包括确保建立有效的监督机制，对剥夺自由场所的条件进行监测</w:t>
      </w:r>
      <w:r w:rsidRPr="0098064C">
        <w:t>(</w:t>
      </w:r>
      <w:r w:rsidRPr="0098064C">
        <w:t>第十条</w:t>
      </w:r>
      <w:r w:rsidRPr="0098064C">
        <w:t>)</w:t>
      </w:r>
      <w:r w:rsidRPr="0098064C">
        <w:t>。</w:t>
      </w:r>
    </w:p>
    <w:p w14:paraId="34AA66EC" w14:textId="77777777" w:rsidR="000E7F04" w:rsidRPr="0098064C" w:rsidRDefault="0098064C" w:rsidP="0098064C">
      <w:pPr>
        <w:pStyle w:val="SingleTxtGC"/>
        <w:rPr>
          <w:rFonts w:eastAsia="黑体"/>
          <w:bCs/>
        </w:rPr>
      </w:pPr>
      <w:r>
        <w:t>3</w:t>
      </w:r>
      <w:r w:rsidRPr="0098064C">
        <w:t>0.</w:t>
      </w:r>
      <w:r w:rsidRPr="0098064C">
        <w:tab/>
      </w:r>
      <w:r w:rsidR="000E7F04" w:rsidRPr="0098064C">
        <w:rPr>
          <w:rFonts w:eastAsia="黑体"/>
          <w:bCs/>
        </w:rPr>
        <w:t>缔约国应确保所有被关押在剥夺自由场所的人都能充分获得医疗保健服务，包括精神卫生保健服务。缔约国还应制定剥夺自由场所的公共卫生紧急情况预防和准备计划，包括为警察和狱警提供适当培训，加强卫生设施的提供和有关规程，以及相关的应急计划，防止过度拥挤，并确保建立有效的监督机制。</w:t>
      </w:r>
    </w:p>
    <w:p w14:paraId="4DE7C618" w14:textId="176F44E7" w:rsidR="000E7F04" w:rsidRPr="0098064C" w:rsidRDefault="000E7F04" w:rsidP="000E7F04">
      <w:pPr>
        <w:pStyle w:val="H23GC"/>
      </w:pPr>
      <w:r w:rsidRPr="0098064C">
        <w:tab/>
      </w:r>
      <w:r w:rsidRPr="0098064C">
        <w:tab/>
      </w:r>
      <w:r w:rsidRPr="0098064C">
        <w:rPr>
          <w:bCs/>
        </w:rPr>
        <w:t>贩运人口</w:t>
      </w:r>
    </w:p>
    <w:p w14:paraId="6D1DB74B" w14:textId="4FA767C0" w:rsidR="0098064C" w:rsidRPr="0098064C" w:rsidRDefault="0098064C" w:rsidP="0098064C">
      <w:pPr>
        <w:pStyle w:val="SingleTxtGC"/>
      </w:pPr>
      <w:r>
        <w:t>31</w:t>
      </w:r>
      <w:r w:rsidRPr="0098064C">
        <w:t>.</w:t>
      </w:r>
      <w:r w:rsidRPr="0098064C">
        <w:tab/>
      </w:r>
      <w:r w:rsidRPr="0098064C">
        <w:t>委员会欢迎缔约国采取步骤，打击贩运人口行为，加强对受害者的援助，包括建立长期庇护所，并制定关于受害者的识别和转介的规程。然而，委员会感到关切的是，出于商业性剥削和劳动剥削目的贩运人口，包括贩运儿童的现象仍然普遍存在，缺乏可用于执行</w:t>
      </w:r>
      <w:r>
        <w:t>2</w:t>
      </w:r>
      <w:r w:rsidRPr="0098064C">
        <w:t>0</w:t>
      </w:r>
      <w:r>
        <w:t>23</w:t>
      </w:r>
      <w:r w:rsidRPr="0098064C">
        <w:t>-</w:t>
      </w:r>
      <w:r>
        <w:t>2</w:t>
      </w:r>
      <w:r w:rsidRPr="0098064C">
        <w:t>0</w:t>
      </w:r>
      <w:r>
        <w:t>24</w:t>
      </w:r>
      <w:r w:rsidRPr="0098064C">
        <w:t>年打击贩运人口国家行动计划的资源。委员会尤为关切的是，对贩运人口行为定罪的数量很少，缔约国没有提供详细资料，说明为受害者提供的补救措施，以及为执法、移民和司法人员提供培训的情况</w:t>
      </w:r>
      <w:r w:rsidRPr="0098064C">
        <w:t>(</w:t>
      </w:r>
      <w:r w:rsidRPr="0098064C">
        <w:t>第二条、第七条、第八条和第二十六条</w:t>
      </w:r>
      <w:r w:rsidRPr="0098064C">
        <w:t>)</w:t>
      </w:r>
      <w:r w:rsidRPr="0098064C">
        <w:t>。</w:t>
      </w:r>
    </w:p>
    <w:p w14:paraId="7453D00E" w14:textId="77777777" w:rsidR="000E7F04" w:rsidRDefault="0098064C" w:rsidP="0098064C">
      <w:pPr>
        <w:pStyle w:val="SingleTxtGC"/>
        <w:rPr>
          <w:rFonts w:eastAsia="黑体"/>
          <w:bCs/>
        </w:rPr>
      </w:pPr>
      <w:r>
        <w:t>32</w:t>
      </w:r>
      <w:r w:rsidRPr="0098064C">
        <w:t>.</w:t>
      </w:r>
      <w:r w:rsidRPr="0098064C">
        <w:tab/>
      </w:r>
      <w:r w:rsidR="000E7F04" w:rsidRPr="0098064C">
        <w:rPr>
          <w:rFonts w:eastAsia="黑体"/>
          <w:bCs/>
        </w:rPr>
        <w:t>缔约国应：</w:t>
      </w:r>
    </w:p>
    <w:p w14:paraId="190E7475"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确保为有效执行打击贩运人口国家行动计划划拨充足的资金；</w:t>
      </w:r>
    </w:p>
    <w:p w14:paraId="2ECAA09D"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通过开展对性别和年龄有敏感认识的调查活动，实施打击贩运人口的法律，确保犯罪者受到起诉，如果定罪，对其进行适当惩罚；</w:t>
      </w:r>
    </w:p>
    <w:p w14:paraId="54867AFC"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就及早发现贩运人口受害者和将他们转往相关援助与康复机构的标准，加强和扩大对执法人员、移民事务和司法人员的培训；</w:t>
      </w:r>
    </w:p>
    <w:p w14:paraId="559452BC"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向受害者提供有效补救，包括保护、康复和赔偿；</w:t>
      </w:r>
    </w:p>
    <w:p w14:paraId="35844A5B" w14:textId="3636E917" w:rsidR="000E7F04" w:rsidRPr="0098064C"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hint="eastAsia"/>
          <w:bCs/>
        </w:rPr>
        <w:t>增加</w:t>
      </w:r>
      <w:r w:rsidRPr="0098064C">
        <w:rPr>
          <w:rFonts w:eastAsia="黑体"/>
          <w:bCs/>
        </w:rPr>
        <w:t>庇护所的数量，在缔约国各地提供可有效利用庇护所的机会，确保在这些庇护所提供适当的法律、医疗和心理社会援助。</w:t>
      </w:r>
    </w:p>
    <w:p w14:paraId="23652840" w14:textId="0692F4F0" w:rsidR="000E7F04" w:rsidRPr="0098064C" w:rsidRDefault="000E7F04" w:rsidP="000E7F04">
      <w:pPr>
        <w:pStyle w:val="H23GC"/>
      </w:pPr>
      <w:r w:rsidRPr="0098064C">
        <w:tab/>
      </w:r>
      <w:r w:rsidRPr="0098064C">
        <w:tab/>
      </w:r>
      <w:r w:rsidRPr="0098064C">
        <w:rPr>
          <w:bCs/>
        </w:rPr>
        <w:t>移民、寻求庇护者和难民</w:t>
      </w:r>
    </w:p>
    <w:p w14:paraId="23BEF634" w14:textId="7AC5EF58" w:rsidR="0098064C" w:rsidRPr="0098064C" w:rsidRDefault="0098064C" w:rsidP="0098064C">
      <w:pPr>
        <w:pStyle w:val="SingleTxtGC"/>
      </w:pPr>
      <w:r>
        <w:t>33</w:t>
      </w:r>
      <w:r w:rsidRPr="0098064C">
        <w:t>.</w:t>
      </w:r>
      <w:r w:rsidRPr="0098064C">
        <w:tab/>
      </w:r>
      <w:r w:rsidRPr="0098064C">
        <w:t>委员会注意到，缔约国是《关于难民地位的公约》的缔约国，并与联合国难民事务高级专员公署合作处理庇护申请，登记的寻求庇护者和难民可获得居留许可和正式就业，但委员会表示关切的是，缔约国尚未通过立法和程序，确保庇护程序的有效利用，包括在入境点和拘留设施中为利用庇护程序提供便利。委员会还感到遗憾的是，缔约国没有提供资料，说明采取了哪些措施，确保始终将拘留移民作为最后手段，期限尽可能短，确保《外国人法》第</w:t>
      </w:r>
      <w:r>
        <w:t>28</w:t>
      </w:r>
      <w:r w:rsidRPr="0098064C">
        <w:t>条第</w:t>
      </w:r>
      <w:r>
        <w:t>2</w:t>
      </w:r>
      <w:r w:rsidRPr="0098064C">
        <w:t>款规定的</w:t>
      </w:r>
      <w:r>
        <w:t>3</w:t>
      </w:r>
      <w:r w:rsidRPr="0098064C">
        <w:t>0</w:t>
      </w:r>
      <w:r w:rsidRPr="0098064C">
        <w:t>天最长期限在实践中得到遵守，或确保被拘留的移民能够有效地就拘留提出上诉</w:t>
      </w:r>
      <w:r w:rsidRPr="0098064C">
        <w:t>(</w:t>
      </w:r>
      <w:r w:rsidRPr="0098064C">
        <w:t>第七条、第九条、第十二条和第十三条</w:t>
      </w:r>
      <w:r w:rsidRPr="0098064C">
        <w:t>)</w:t>
      </w:r>
      <w:r w:rsidRPr="0098064C">
        <w:t>。</w:t>
      </w:r>
    </w:p>
    <w:p w14:paraId="493C8CF2" w14:textId="77777777" w:rsidR="000E7F04" w:rsidRDefault="0098064C" w:rsidP="0098064C">
      <w:pPr>
        <w:pStyle w:val="SingleTxtGC"/>
        <w:rPr>
          <w:rFonts w:eastAsia="黑体"/>
          <w:bCs/>
        </w:rPr>
      </w:pPr>
      <w:r>
        <w:lastRenderedPageBreak/>
        <w:t>34</w:t>
      </w:r>
      <w:r w:rsidRPr="0098064C">
        <w:t>.</w:t>
      </w:r>
      <w:r w:rsidRPr="0098064C">
        <w:tab/>
      </w:r>
      <w:r w:rsidR="000E7F04" w:rsidRPr="0098064C">
        <w:rPr>
          <w:rFonts w:eastAsia="黑体"/>
          <w:bCs/>
        </w:rPr>
        <w:t>缔约国应：</w:t>
      </w:r>
    </w:p>
    <w:p w14:paraId="33503509"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根据《关于难民地位的公约》，加强立法框架，建立正式程序，以查明需要国际保护的人和确定难民地位；</w:t>
      </w:r>
    </w:p>
    <w:p w14:paraId="0F360CD2"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为所有打算在缔约国寻求庇护的人有效利用庇护程序提供便利，包括在入境点和拘留设施提供便利，充分尊重正当程序，包括上诉权；</w:t>
      </w:r>
    </w:p>
    <w:p w14:paraId="5DA07021" w14:textId="27968897" w:rsidR="000E7F04" w:rsidRPr="0098064C"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确保始终将拘留移民作为最后手段，期限尽可能短，在实践中遵守移民拘留期限的法定限制，并为被拘留的移民提供对其拘留提出上诉的有效途径。</w:t>
      </w:r>
    </w:p>
    <w:p w14:paraId="05A3D865" w14:textId="0F092E03" w:rsidR="000E7F04" w:rsidRPr="0098064C" w:rsidRDefault="000E7F04" w:rsidP="000E7F04">
      <w:pPr>
        <w:pStyle w:val="H23GC"/>
      </w:pPr>
      <w:r w:rsidRPr="0098064C">
        <w:tab/>
      </w:r>
      <w:r w:rsidRPr="0098064C">
        <w:tab/>
      </w:r>
      <w:r w:rsidRPr="0098064C">
        <w:rPr>
          <w:bCs/>
        </w:rPr>
        <w:t>出生登记和无国籍状态</w:t>
      </w:r>
    </w:p>
    <w:p w14:paraId="1980DEF8" w14:textId="79B15116" w:rsidR="0098064C" w:rsidRPr="0098064C" w:rsidRDefault="0098064C" w:rsidP="0098064C">
      <w:pPr>
        <w:pStyle w:val="SingleTxtGC"/>
      </w:pPr>
      <w:r>
        <w:t>35</w:t>
      </w:r>
      <w:r w:rsidRPr="0098064C">
        <w:t>.</w:t>
      </w:r>
      <w:r w:rsidRPr="0098064C">
        <w:tab/>
      </w:r>
      <w:r w:rsidRPr="0098064C">
        <w:t>委员会感到关切的是，在缔约国获得出生登记仍然存在障碍，包括该国偏远地区，特别是移民工人对这一程序缺乏认识，也没有可用的程序。委员会还表示关切的是，缔约国缺乏关于确定无国籍状态的法律和程序</w:t>
      </w:r>
      <w:r>
        <w:t>(</w:t>
      </w:r>
      <w:r w:rsidRPr="0098064C">
        <w:t>第二条、第二十四条和第二十六条</w:t>
      </w:r>
      <w:r>
        <w:t>)</w:t>
      </w:r>
      <w:r w:rsidRPr="0098064C">
        <w:t>。</w:t>
      </w:r>
    </w:p>
    <w:p w14:paraId="41905C50" w14:textId="77777777" w:rsidR="000E7F04" w:rsidRPr="0098064C" w:rsidRDefault="0098064C" w:rsidP="0098064C">
      <w:pPr>
        <w:pStyle w:val="SingleTxtGC"/>
        <w:rPr>
          <w:rFonts w:eastAsia="黑体"/>
          <w:bCs/>
        </w:rPr>
      </w:pPr>
      <w:r>
        <w:t>36</w:t>
      </w:r>
      <w:r w:rsidRPr="0098064C">
        <w:t>.</w:t>
      </w:r>
      <w:r w:rsidRPr="0098064C">
        <w:tab/>
      </w:r>
      <w:r w:rsidR="000E7F04" w:rsidRPr="0098064C">
        <w:rPr>
          <w:rFonts w:eastAsia="黑体"/>
          <w:bCs/>
        </w:rPr>
        <w:t>缔约国应采取适当措施，确保在其领土上出生的所有儿童都得到登记并获得正式的出生证，包括确保不会讲官方语言的人能够办理出生登记手续。缔约国还应开展宣传，特别是在该国偏远地区，以提高对出生登记程序的认识，以及对所有儿童，包括对正规和非正规移民工人的子女进行出生登记重要性的认识。缔约国应建立一个确定无国籍状态的程序，并考虑加入《关于无国籍人地位的公约》和《减少无国籍状态公约》。</w:t>
      </w:r>
    </w:p>
    <w:p w14:paraId="44C052C2" w14:textId="7AFBA2E8" w:rsidR="000E7F04" w:rsidRPr="0098064C" w:rsidRDefault="000E7F04" w:rsidP="000E7F04">
      <w:pPr>
        <w:pStyle w:val="H23GC"/>
      </w:pPr>
      <w:r w:rsidRPr="0098064C">
        <w:tab/>
      </w:r>
      <w:r w:rsidRPr="0098064C">
        <w:tab/>
      </w:r>
      <w:r w:rsidRPr="0098064C">
        <w:rPr>
          <w:bCs/>
        </w:rPr>
        <w:t>诉诸司法、司法独立和公正审判</w:t>
      </w:r>
    </w:p>
    <w:p w14:paraId="0FE3A105" w14:textId="0452B5C8" w:rsidR="0098064C" w:rsidRPr="0098064C" w:rsidRDefault="0098064C" w:rsidP="0098064C">
      <w:pPr>
        <w:pStyle w:val="SingleTxtGC"/>
      </w:pPr>
      <w:r>
        <w:t>37</w:t>
      </w:r>
      <w:r w:rsidRPr="0098064C">
        <w:t>.</w:t>
      </w:r>
      <w:r w:rsidRPr="0098064C">
        <w:tab/>
      </w:r>
      <w:r w:rsidRPr="0098064C">
        <w:t>关于其先前的结论性意见，</w:t>
      </w:r>
      <w:r w:rsidRPr="0098064C">
        <w:rPr>
          <w:vertAlign w:val="superscript"/>
        </w:rPr>
        <w:footnoteReference w:id="9"/>
      </w:r>
      <w:r w:rsidR="004C108C">
        <w:t xml:space="preserve"> </w:t>
      </w:r>
      <w:r w:rsidRPr="0098064C">
        <w:t>委员会欢迎缔约国采取步骤，加强司法系统，增加诉诸司法的机会，包括正在采取举措，为法官和检察官提供培训，下放司法系统的权力，以及计划在高等法院内设立一个拥有自己预算权力的单独实体，以加强司法独立性。然而，委员会感到关切的是，有报告表明，这方面仍然存在不足之处，特别是供资和资金迟付</w:t>
      </w:r>
      <w:r w:rsidRPr="0098064C">
        <w:rPr>
          <w:rFonts w:hint="eastAsia"/>
        </w:rPr>
        <w:t>问题</w:t>
      </w:r>
      <w:r w:rsidRPr="0098064C">
        <w:t>影响</w:t>
      </w:r>
      <w:r w:rsidRPr="0098064C">
        <w:rPr>
          <w:rFonts w:hint="eastAsia"/>
        </w:rPr>
        <w:t>到</w:t>
      </w:r>
      <w:r w:rsidRPr="0098064C">
        <w:t>法律援助系统，以及为某些案件提供所需的口译和笔译服务及其他专家服务。委员会还表示关切的是，土著和部落人民在诉诸司法方面遇到障碍，包括集体法人资格或集体权利得不到承认，以及地理、资金、语言和教育等方面的障碍。此外，委员会感到遗憾的是，缔约国没有提供详细资料，说明</w:t>
      </w:r>
      <w:r>
        <w:t>2</w:t>
      </w:r>
      <w:r w:rsidRPr="0098064C">
        <w:t>0</w:t>
      </w:r>
      <w:r>
        <w:t>15</w:t>
      </w:r>
      <w:r w:rsidRPr="0098064C">
        <w:t>年制定的《法官行为守则》的执行情况，包括关于司法不当行为的申诉及其结果的资料</w:t>
      </w:r>
      <w:r w:rsidRPr="0098064C">
        <w:t>(</w:t>
      </w:r>
      <w:r w:rsidRPr="0098064C">
        <w:t>第十四条</w:t>
      </w:r>
      <w:r w:rsidRPr="0098064C">
        <w:t>)</w:t>
      </w:r>
      <w:r w:rsidRPr="0098064C">
        <w:t>。</w:t>
      </w:r>
    </w:p>
    <w:p w14:paraId="6983668F" w14:textId="77777777" w:rsidR="000E7F04" w:rsidRDefault="000E7F04" w:rsidP="0098064C">
      <w:pPr>
        <w:pStyle w:val="SingleTxtGC"/>
        <w:rPr>
          <w:rFonts w:eastAsia="黑体"/>
          <w:bCs/>
        </w:rPr>
      </w:pPr>
      <w:r w:rsidRPr="000E7F04">
        <w:rPr>
          <w:rFonts w:eastAsia="黑体"/>
          <w:bCs/>
        </w:rPr>
        <w:t>38</w:t>
      </w:r>
      <w:r w:rsidRPr="0098064C">
        <w:rPr>
          <w:rFonts w:eastAsia="黑体"/>
          <w:bCs/>
        </w:rPr>
        <w:t>.</w:t>
      </w:r>
      <w:r w:rsidRPr="0098064C">
        <w:rPr>
          <w:rFonts w:eastAsia="黑体"/>
          <w:bCs/>
        </w:rPr>
        <w:tab/>
      </w:r>
      <w:r w:rsidRPr="0098064C">
        <w:rPr>
          <w:rFonts w:eastAsia="黑体"/>
          <w:bCs/>
        </w:rPr>
        <w:t>缔约国应继续采取并扩大措施，为司法系统提供适当的人力和资金资源，加强司法机构的独立性，并增加所有受其管辖的人诉诸司法的机会。具体而言，缔约国应：</w:t>
      </w:r>
    </w:p>
    <w:p w14:paraId="37087594" w14:textId="77777777" w:rsidR="000E7F04" w:rsidRDefault="000E7F04" w:rsidP="0098064C">
      <w:pPr>
        <w:pStyle w:val="SingleTxtGC"/>
        <w:rPr>
          <w:rFonts w:eastAsia="黑体"/>
          <w:bCs/>
        </w:rPr>
      </w:pPr>
      <w:r>
        <w:rPr>
          <w:rFonts w:eastAsia="黑体"/>
          <w:bCs/>
        </w:rPr>
        <w:tab/>
        <w:t>(</w:t>
      </w:r>
      <w:r w:rsidRPr="000E7F04">
        <w:rPr>
          <w:rFonts w:eastAsia="黑体"/>
          <w:bCs/>
        </w:rPr>
        <w:t>a</w:t>
      </w:r>
      <w:r w:rsidRPr="0098064C">
        <w:rPr>
          <w:rFonts w:eastAsia="黑体"/>
          <w:bCs/>
        </w:rPr>
        <w:t>)</w:t>
      </w:r>
      <w:r w:rsidRPr="0098064C">
        <w:rPr>
          <w:rFonts w:eastAsia="黑体"/>
          <w:bCs/>
        </w:rPr>
        <w:tab/>
      </w:r>
      <w:r w:rsidRPr="0098064C">
        <w:rPr>
          <w:rFonts w:eastAsia="黑体"/>
          <w:bCs/>
        </w:rPr>
        <w:t>实施和扩大正在进行的司法系统权力下放举措，包括为此设立法律援助局办事处，在苏里南偏远地区进行司法诉讼，特别强调解决土著和部落人民在诉诸司法方面面临的实际挑战；</w:t>
      </w:r>
    </w:p>
    <w:p w14:paraId="57FE06DF" w14:textId="77777777" w:rsidR="000E7F04" w:rsidRDefault="000E7F04" w:rsidP="0098064C">
      <w:pPr>
        <w:pStyle w:val="SingleTxtGC"/>
        <w:rPr>
          <w:rFonts w:eastAsia="黑体"/>
          <w:bCs/>
        </w:rPr>
      </w:pPr>
      <w:r>
        <w:rPr>
          <w:rFonts w:eastAsia="黑体"/>
          <w:bCs/>
        </w:rPr>
        <w:tab/>
        <w:t>(</w:t>
      </w:r>
      <w:r w:rsidRPr="000E7F04">
        <w:rPr>
          <w:rFonts w:eastAsia="黑体"/>
          <w:bCs/>
        </w:rPr>
        <w:t>b</w:t>
      </w:r>
      <w:r w:rsidRPr="0098064C">
        <w:rPr>
          <w:rFonts w:eastAsia="黑体"/>
          <w:bCs/>
        </w:rPr>
        <w:t>)</w:t>
      </w:r>
      <w:r w:rsidRPr="0098064C">
        <w:rPr>
          <w:rFonts w:eastAsia="黑体"/>
          <w:bCs/>
        </w:rPr>
        <w:tab/>
      </w:r>
      <w:r w:rsidRPr="0098064C">
        <w:rPr>
          <w:rFonts w:eastAsia="黑体"/>
          <w:bCs/>
        </w:rPr>
        <w:t>颁布关于土著和部落人民权利的立法，承认他们的法律人格和法律地位，包括承认集体法律人格和集体权利；</w:t>
      </w:r>
    </w:p>
    <w:p w14:paraId="6DCA7D7A" w14:textId="77777777" w:rsidR="000E7F04" w:rsidRDefault="000E7F04" w:rsidP="0098064C">
      <w:pPr>
        <w:pStyle w:val="SingleTxtGC"/>
        <w:rPr>
          <w:rFonts w:eastAsia="黑体"/>
          <w:bCs/>
        </w:rPr>
      </w:pPr>
      <w:r>
        <w:rPr>
          <w:rFonts w:eastAsia="黑体"/>
          <w:bCs/>
        </w:rPr>
        <w:lastRenderedPageBreak/>
        <w:tab/>
        <w:t>(</w:t>
      </w:r>
      <w:r w:rsidRPr="000E7F04">
        <w:rPr>
          <w:rFonts w:eastAsia="黑体"/>
          <w:bCs/>
        </w:rPr>
        <w:t>c</w:t>
      </w:r>
      <w:r w:rsidRPr="0098064C">
        <w:rPr>
          <w:rFonts w:eastAsia="黑体"/>
          <w:bCs/>
        </w:rPr>
        <w:t>)</w:t>
      </w:r>
      <w:r w:rsidRPr="0098064C">
        <w:rPr>
          <w:rFonts w:eastAsia="黑体"/>
          <w:bCs/>
        </w:rPr>
        <w:tab/>
      </w:r>
      <w:r w:rsidRPr="0098064C">
        <w:rPr>
          <w:rFonts w:eastAsia="黑体"/>
          <w:bCs/>
        </w:rPr>
        <w:t>确保为提供法律援助、口译和笔译服务及其他专家服务提供充足的资金和有效的支付制度；</w:t>
      </w:r>
    </w:p>
    <w:p w14:paraId="0678E4A3" w14:textId="0C3C961A" w:rsidR="000E7F04" w:rsidRPr="0098064C" w:rsidRDefault="000E7F04" w:rsidP="0098064C">
      <w:pPr>
        <w:pStyle w:val="SingleTxtGC"/>
        <w:rPr>
          <w:rFonts w:eastAsia="黑体"/>
          <w:bCs/>
        </w:rPr>
      </w:pPr>
      <w:r>
        <w:rPr>
          <w:rFonts w:eastAsia="黑体"/>
          <w:bCs/>
        </w:rPr>
        <w:tab/>
        <w:t>(</w:t>
      </w:r>
      <w:r w:rsidRPr="000E7F04">
        <w:rPr>
          <w:rFonts w:eastAsia="黑体"/>
          <w:bCs/>
        </w:rPr>
        <w:t>d</w:t>
      </w:r>
      <w:r w:rsidRPr="0098064C">
        <w:rPr>
          <w:rFonts w:eastAsia="黑体"/>
          <w:bCs/>
        </w:rPr>
        <w:t>)</w:t>
      </w:r>
      <w:r w:rsidRPr="0098064C">
        <w:rPr>
          <w:rFonts w:eastAsia="黑体"/>
          <w:bCs/>
        </w:rPr>
        <w:tab/>
      </w:r>
      <w:r w:rsidRPr="0098064C">
        <w:rPr>
          <w:rFonts w:eastAsia="黑体"/>
          <w:bCs/>
        </w:rPr>
        <w:t>确保有效执行《法官行为守则》，包括与司法行为有关的案件的申诉程序，确保公众了解案件结果。</w:t>
      </w:r>
      <w:bookmarkStart w:id="5" w:name="_Hlk172040271"/>
    </w:p>
    <w:p w14:paraId="42D61405" w14:textId="6BDCB7DD" w:rsidR="000E7F04" w:rsidRPr="0098064C" w:rsidRDefault="000E7F04" w:rsidP="000E7F04">
      <w:pPr>
        <w:pStyle w:val="H23GC"/>
      </w:pPr>
      <w:r w:rsidRPr="0098064C">
        <w:tab/>
      </w:r>
      <w:r w:rsidRPr="0098064C">
        <w:tab/>
      </w:r>
      <w:r w:rsidRPr="0098064C">
        <w:rPr>
          <w:bCs/>
        </w:rPr>
        <w:t>表达自</w:t>
      </w:r>
      <w:bookmarkStart w:id="6" w:name="_Hlk172538498"/>
      <w:bookmarkEnd w:id="6"/>
      <w:r w:rsidRPr="0098064C">
        <w:rPr>
          <w:bCs/>
        </w:rPr>
        <w:t>由</w:t>
      </w:r>
    </w:p>
    <w:p w14:paraId="2A0725D7" w14:textId="69C6777C" w:rsidR="0098064C" w:rsidRPr="0098064C" w:rsidRDefault="0098064C" w:rsidP="0098064C">
      <w:pPr>
        <w:pStyle w:val="SingleTxtGC"/>
      </w:pPr>
      <w:r>
        <w:t>39</w:t>
      </w:r>
      <w:r w:rsidRPr="0098064C">
        <w:t>.</w:t>
      </w:r>
      <w:r w:rsidRPr="0098064C">
        <w:tab/>
      </w:r>
      <w:r w:rsidRPr="0098064C">
        <w:t>委员会回顾其先前的结论性意见，</w:t>
      </w:r>
      <w:r w:rsidRPr="0098064C">
        <w:rPr>
          <w:vertAlign w:val="superscript"/>
        </w:rPr>
        <w:footnoteReference w:id="10"/>
      </w:r>
      <w:r w:rsidR="004B76FC">
        <w:t xml:space="preserve"> </w:t>
      </w:r>
      <w:r w:rsidRPr="0098064C">
        <w:t>仍然表示关切的是，有报告称，记者，特别是那些批评政府行政部门或调查高层腐败的记者遭到恐吓、骚扰和任意逮捕。委员会特别关切的是，诽谤仍被定为刑事犯罪，包括《刑法》中定义模糊的罪行，如</w:t>
      </w:r>
      <w:r>
        <w:rPr>
          <w:rFonts w:hint="eastAsia"/>
        </w:rPr>
        <w:t>“</w:t>
      </w:r>
      <w:r w:rsidRPr="0098064C">
        <w:t>侮辱国家元首</w:t>
      </w:r>
      <w:r>
        <w:rPr>
          <w:rFonts w:hint="eastAsia"/>
        </w:rPr>
        <w:t>”</w:t>
      </w:r>
      <w:r w:rsidRPr="0098064C">
        <w:rPr>
          <w:rFonts w:hint="eastAsia"/>
        </w:rPr>
        <w:t>罪</w:t>
      </w:r>
      <w:r w:rsidRPr="0098064C">
        <w:t>，被处以剥夺自由的惩罚，这可能会阻碍媒体就公众关心的事项发表批评信息。委员会注意到，缔约国表示正在讨论一项信息自由法草案，但感到遗憾的是，缺乏关于其内容和通过的时间框架的资料</w:t>
      </w:r>
      <w:r w:rsidRPr="0098064C">
        <w:t>(</w:t>
      </w:r>
      <w:r w:rsidRPr="0098064C">
        <w:t>第七条、第九条和第十九条</w:t>
      </w:r>
      <w:r w:rsidRPr="0098064C">
        <w:t>)</w:t>
      </w:r>
      <w:r w:rsidRPr="0098064C">
        <w:t>。</w:t>
      </w:r>
    </w:p>
    <w:p w14:paraId="28DD58F9" w14:textId="77777777" w:rsidR="000E7F04" w:rsidRDefault="0098064C" w:rsidP="0098064C">
      <w:pPr>
        <w:pStyle w:val="SingleTxtGC"/>
        <w:rPr>
          <w:rFonts w:eastAsia="黑体"/>
          <w:bCs/>
        </w:rPr>
      </w:pPr>
      <w:r>
        <w:t>4</w:t>
      </w:r>
      <w:r w:rsidRPr="0098064C">
        <w:t>0.</w:t>
      </w:r>
      <w:r w:rsidRPr="0098064C">
        <w:tab/>
      </w:r>
      <w:r w:rsidR="000E7F04" w:rsidRPr="0098064C">
        <w:rPr>
          <w:rFonts w:eastAsia="黑体"/>
          <w:bCs/>
        </w:rPr>
        <w:t>根据委员会关于意见和表达自由的第</w:t>
      </w:r>
      <w:r w:rsidR="000E7F04" w:rsidRPr="000E7F04">
        <w:rPr>
          <w:rFonts w:eastAsia="黑体"/>
          <w:bCs/>
        </w:rPr>
        <w:t>34</w:t>
      </w:r>
      <w:r w:rsidR="000E7F04" w:rsidRPr="0098064C">
        <w:rPr>
          <w:rFonts w:eastAsia="黑体"/>
          <w:bCs/>
        </w:rPr>
        <w:t>号一般性意见</w:t>
      </w:r>
      <w:r w:rsidR="000E7F04" w:rsidRPr="000E7F04">
        <w:rPr>
          <w:rFonts w:eastAsia="黑体"/>
          <w:bCs/>
        </w:rPr>
        <w:t>(2</w:t>
      </w:r>
      <w:r w:rsidR="000E7F04" w:rsidRPr="0098064C">
        <w:rPr>
          <w:rFonts w:eastAsia="黑体"/>
          <w:bCs/>
        </w:rPr>
        <w:t>0</w:t>
      </w:r>
      <w:r w:rsidR="000E7F04" w:rsidRPr="000E7F04">
        <w:rPr>
          <w:rFonts w:eastAsia="黑体"/>
          <w:bCs/>
        </w:rPr>
        <w:t>11</w:t>
      </w:r>
      <w:r w:rsidR="000E7F04" w:rsidRPr="0098064C">
        <w:rPr>
          <w:rFonts w:eastAsia="黑体"/>
          <w:bCs/>
        </w:rPr>
        <w:t>年</w:t>
      </w:r>
      <w:r w:rsidR="000E7F04" w:rsidRPr="000E7F04">
        <w:rPr>
          <w:rFonts w:eastAsia="黑体"/>
          <w:bCs/>
        </w:rPr>
        <w:t>)</w:t>
      </w:r>
      <w:r w:rsidR="000E7F04" w:rsidRPr="0098064C">
        <w:rPr>
          <w:rFonts w:eastAsia="黑体"/>
          <w:bCs/>
        </w:rPr>
        <w:t>，缔约国应采取适当措施，保护表达自由，具体而言：</w:t>
      </w:r>
    </w:p>
    <w:p w14:paraId="776BE5AB" w14:textId="77777777" w:rsidR="000E7F04" w:rsidRDefault="000E7F04" w:rsidP="0098064C">
      <w:pPr>
        <w:pStyle w:val="SingleTxtGC"/>
        <w:rPr>
          <w:rFonts w:eastAsia="黑体"/>
          <w:bCs/>
        </w:rPr>
      </w:pPr>
      <w:r>
        <w:rPr>
          <w:rFonts w:eastAsia="黑体"/>
          <w:bCs/>
        </w:rPr>
        <w:tab/>
        <w:t>(</w:t>
      </w:r>
      <w:r w:rsidRPr="000E7F04">
        <w:rPr>
          <w:rFonts w:eastAsia="黑体"/>
          <w:bCs/>
        </w:rPr>
        <w:t>a</w:t>
      </w:r>
      <w:r w:rsidRPr="0098064C">
        <w:rPr>
          <w:rFonts w:eastAsia="黑体"/>
          <w:bCs/>
        </w:rPr>
        <w:t>)</w:t>
      </w:r>
      <w:r w:rsidRPr="0098064C">
        <w:rPr>
          <w:rFonts w:eastAsia="黑体"/>
          <w:bCs/>
        </w:rPr>
        <w:tab/>
      </w:r>
      <w:r w:rsidRPr="0098064C">
        <w:rPr>
          <w:rFonts w:eastAsia="黑体"/>
          <w:bCs/>
        </w:rPr>
        <w:t>废除或修订《刑法》中对批评政府行政部门和公共当局的权利予以不适当限制的条款，包括与</w:t>
      </w:r>
      <w:r w:rsidRPr="000E7F04">
        <w:rPr>
          <w:rFonts w:eastAsia="黑体" w:hint="eastAsia"/>
          <w:bCs/>
        </w:rPr>
        <w:t>“</w:t>
      </w:r>
      <w:r w:rsidRPr="0098064C">
        <w:rPr>
          <w:rFonts w:eastAsia="黑体"/>
          <w:bCs/>
        </w:rPr>
        <w:t>侮辱国家元首</w:t>
      </w:r>
      <w:r w:rsidRPr="000E7F04">
        <w:rPr>
          <w:rFonts w:eastAsia="黑体" w:hint="eastAsia"/>
          <w:bCs/>
        </w:rPr>
        <w:t>”</w:t>
      </w:r>
      <w:r w:rsidRPr="0098064C">
        <w:rPr>
          <w:rFonts w:eastAsia="黑体"/>
          <w:bCs/>
        </w:rPr>
        <w:t>等定义模糊的罪行有关的条款；</w:t>
      </w:r>
    </w:p>
    <w:p w14:paraId="3DD49C9E" w14:textId="77777777" w:rsidR="000E7F04" w:rsidRDefault="000E7F04" w:rsidP="0098064C">
      <w:pPr>
        <w:pStyle w:val="SingleTxtGC"/>
        <w:rPr>
          <w:rFonts w:eastAsia="黑体"/>
          <w:bCs/>
        </w:rPr>
      </w:pPr>
      <w:r>
        <w:rPr>
          <w:rFonts w:eastAsia="黑体"/>
          <w:bCs/>
        </w:rPr>
        <w:tab/>
        <w:t>(</w:t>
      </w:r>
      <w:r w:rsidRPr="000E7F04">
        <w:rPr>
          <w:rFonts w:eastAsia="黑体"/>
          <w:bCs/>
        </w:rPr>
        <w:t>b</w:t>
      </w:r>
      <w:r w:rsidRPr="0098064C">
        <w:rPr>
          <w:rFonts w:eastAsia="黑体"/>
          <w:bCs/>
        </w:rPr>
        <w:t>)</w:t>
      </w:r>
      <w:r w:rsidRPr="0098064C">
        <w:rPr>
          <w:rFonts w:eastAsia="黑体"/>
          <w:bCs/>
        </w:rPr>
        <w:tab/>
      </w:r>
      <w:r w:rsidRPr="0098064C">
        <w:rPr>
          <w:rFonts w:eastAsia="黑体"/>
          <w:bCs/>
        </w:rPr>
        <w:t>考虑取消对于诽谤的刑事定罪，仅就最严重的诽谤案件适用刑法，同时铭记监禁绝不是惩罚诽谤的适当方式；</w:t>
      </w:r>
    </w:p>
    <w:p w14:paraId="064A57C5" w14:textId="77777777" w:rsidR="000E7F04" w:rsidRDefault="000E7F04" w:rsidP="0098064C">
      <w:pPr>
        <w:pStyle w:val="SingleTxtGC"/>
        <w:rPr>
          <w:rFonts w:eastAsia="黑体"/>
          <w:bCs/>
        </w:rPr>
      </w:pPr>
      <w:r>
        <w:rPr>
          <w:rFonts w:eastAsia="黑体"/>
          <w:bCs/>
        </w:rPr>
        <w:tab/>
        <w:t>(</w:t>
      </w:r>
      <w:r w:rsidRPr="000E7F04">
        <w:rPr>
          <w:rFonts w:eastAsia="黑体"/>
          <w:bCs/>
        </w:rPr>
        <w:t>c</w:t>
      </w:r>
      <w:r w:rsidRPr="0098064C">
        <w:rPr>
          <w:rFonts w:eastAsia="黑体"/>
          <w:bCs/>
        </w:rPr>
        <w:t>)</w:t>
      </w:r>
      <w:r w:rsidRPr="0098064C">
        <w:rPr>
          <w:rFonts w:eastAsia="黑体"/>
          <w:bCs/>
        </w:rPr>
        <w:tab/>
      </w:r>
      <w:r w:rsidRPr="0098064C">
        <w:rPr>
          <w:rFonts w:eastAsia="黑体"/>
          <w:bCs/>
        </w:rPr>
        <w:t>确保对记者和人权维护者，包括从事反腐败或其他公共利益问题工作的记者和人权维护者的恐吓、骚扰和任意拘留的所有指控得到及时和有效的调查，犯罪者受到起诉，如果被判有罪，受到适当的处罚，确保为受害者提供有效的补救；</w:t>
      </w:r>
    </w:p>
    <w:p w14:paraId="11047B33" w14:textId="6D15D6D0" w:rsidR="000E7F04" w:rsidRPr="0098064C" w:rsidRDefault="000E7F04" w:rsidP="0098064C">
      <w:pPr>
        <w:pStyle w:val="SingleTxtGC"/>
        <w:rPr>
          <w:rFonts w:eastAsia="黑体"/>
          <w:bCs/>
        </w:rPr>
      </w:pPr>
      <w:r>
        <w:rPr>
          <w:rFonts w:eastAsia="黑体"/>
          <w:bCs/>
        </w:rPr>
        <w:tab/>
        <w:t>(</w:t>
      </w:r>
      <w:r w:rsidRPr="000E7F04">
        <w:rPr>
          <w:rFonts w:eastAsia="黑体"/>
          <w:bCs/>
        </w:rPr>
        <w:t>d</w:t>
      </w:r>
      <w:r w:rsidRPr="0098064C">
        <w:rPr>
          <w:rFonts w:eastAsia="黑体"/>
          <w:bCs/>
        </w:rPr>
        <w:t>)</w:t>
      </w:r>
      <w:r w:rsidRPr="0098064C">
        <w:rPr>
          <w:rFonts w:eastAsia="黑体"/>
          <w:bCs/>
        </w:rPr>
        <w:tab/>
      </w:r>
      <w:r w:rsidRPr="0098064C">
        <w:rPr>
          <w:rFonts w:eastAsia="黑体"/>
          <w:bCs/>
        </w:rPr>
        <w:t>在与所有相关利益攸关方进行有意义的磋商后，着手通过一项符合相关国际标准的信息自由法，并确保其有效实施。</w:t>
      </w:r>
      <w:bookmarkEnd w:id="5"/>
    </w:p>
    <w:p w14:paraId="0D47DE04" w14:textId="388C4DAC" w:rsidR="000E7F04" w:rsidRPr="0098064C" w:rsidRDefault="000E7F04" w:rsidP="000E7F04">
      <w:pPr>
        <w:pStyle w:val="H23GC"/>
      </w:pPr>
      <w:r w:rsidRPr="0098064C">
        <w:tab/>
      </w:r>
      <w:r w:rsidRPr="0098064C">
        <w:tab/>
      </w:r>
      <w:r w:rsidRPr="0098064C">
        <w:rPr>
          <w:bCs/>
        </w:rPr>
        <w:t>和平集会权</w:t>
      </w:r>
    </w:p>
    <w:p w14:paraId="744BE044" w14:textId="3A054CEC" w:rsidR="0098064C" w:rsidRPr="0098064C" w:rsidRDefault="0098064C" w:rsidP="0098064C">
      <w:pPr>
        <w:pStyle w:val="SingleTxtGC"/>
      </w:pPr>
      <w:r>
        <w:t>41</w:t>
      </w:r>
      <w:r w:rsidRPr="0098064C">
        <w:t>.</w:t>
      </w:r>
      <w:r w:rsidRPr="0098064C">
        <w:tab/>
      </w:r>
      <w:r w:rsidRPr="0098064C">
        <w:t>委员会注意到，代表团声明，关于公共集会，政府必须保障抗议者的安全，但委员会感到关切的是，《警察刑法》第</w:t>
      </w:r>
      <w:r>
        <w:t>49</w:t>
      </w:r>
      <w:r w:rsidRPr="0098064C">
        <w:t>条</w:t>
      </w:r>
      <w:r w:rsidRPr="0098064C">
        <w:rPr>
          <w:rFonts w:hint="eastAsia"/>
        </w:rPr>
        <w:t>要求</w:t>
      </w:r>
      <w:r w:rsidRPr="0098064C">
        <w:t>所有公共集会必须事先获得批准，并规定了刑事处罚，包括对未经批准的集会者予以监禁</w:t>
      </w:r>
      <w:r w:rsidRPr="0098064C">
        <w:rPr>
          <w:rFonts w:hint="eastAsia"/>
        </w:rPr>
        <w:t>。</w:t>
      </w:r>
      <w:r w:rsidRPr="0098064C">
        <w:t>按照委员会关于和平集会权的第</w:t>
      </w:r>
      <w:r>
        <w:t>37</w:t>
      </w:r>
      <w:r w:rsidRPr="0098064C">
        <w:t>号一般性意见</w:t>
      </w:r>
      <w:r w:rsidRPr="0098064C">
        <w:t>(</w:t>
      </w:r>
      <w:r>
        <w:t>2</w:t>
      </w:r>
      <w:r w:rsidRPr="0098064C">
        <w:t>0</w:t>
      </w:r>
      <w:r>
        <w:t>2</w:t>
      </w:r>
      <w:r w:rsidRPr="0098064C">
        <w:t>0</w:t>
      </w:r>
      <w:r w:rsidRPr="0098064C">
        <w:t>年</w:t>
      </w:r>
      <w:r w:rsidRPr="0098064C">
        <w:t>)</w:t>
      </w:r>
      <w:r w:rsidRPr="0098064C">
        <w:t>第</w:t>
      </w:r>
      <w:r>
        <w:t>7</w:t>
      </w:r>
      <w:r w:rsidRPr="0098064C">
        <w:t>0</w:t>
      </w:r>
      <w:r w:rsidRPr="0098064C">
        <w:t>至</w:t>
      </w:r>
      <w:r>
        <w:t>73</w:t>
      </w:r>
      <w:r w:rsidRPr="0098064C">
        <w:t>段的解释，</w:t>
      </w:r>
      <w:r w:rsidRPr="0098064C">
        <w:rPr>
          <w:rFonts w:hint="eastAsia"/>
        </w:rPr>
        <w:t>该规定</w:t>
      </w:r>
      <w:r w:rsidRPr="0098064C">
        <w:t>违反《公约》第二十一条。委员会还感到关切的是，缔约国没有提供充分资料，说明对</w:t>
      </w:r>
      <w:r>
        <w:t>2</w:t>
      </w:r>
      <w:r w:rsidRPr="0098064C">
        <w:t>0</w:t>
      </w:r>
      <w:r>
        <w:t>23</w:t>
      </w:r>
      <w:r w:rsidRPr="0098064C">
        <w:t>年</w:t>
      </w:r>
      <w:r>
        <w:t>2</w:t>
      </w:r>
      <w:r w:rsidRPr="0098064C">
        <w:t>月</w:t>
      </w:r>
      <w:r>
        <w:t>17</w:t>
      </w:r>
      <w:r w:rsidRPr="0098064C">
        <w:t>日帕拉马里博抗议活动的组织者和参与者提起刑事诉讼的情况，特别是如何确保</w:t>
      </w:r>
      <w:r w:rsidRPr="0098064C">
        <w:rPr>
          <w:rFonts w:hint="eastAsia"/>
        </w:rPr>
        <w:t>不让</w:t>
      </w:r>
      <w:r w:rsidRPr="0098064C">
        <w:t>抗议活动的组织者和和平集会的参与者</w:t>
      </w:r>
      <w:r w:rsidRPr="0098064C">
        <w:rPr>
          <w:rFonts w:hint="eastAsia"/>
        </w:rPr>
        <w:t>始终</w:t>
      </w:r>
      <w:r w:rsidRPr="0098064C">
        <w:t>对集会的其他参与者造成的损害承担责任。</w:t>
      </w:r>
      <w:r w:rsidRPr="0098064C">
        <w:rPr>
          <w:vertAlign w:val="superscript"/>
        </w:rPr>
        <w:footnoteReference w:id="11"/>
      </w:r>
      <w:r w:rsidR="00356912">
        <w:t xml:space="preserve"> </w:t>
      </w:r>
      <w:r w:rsidRPr="0098064C">
        <w:t>委员会还感到关切的是，据报告，</w:t>
      </w:r>
      <w:r>
        <w:t>2</w:t>
      </w:r>
      <w:r w:rsidRPr="0098064C">
        <w:t>0</w:t>
      </w:r>
      <w:r>
        <w:t>23</w:t>
      </w:r>
      <w:r w:rsidRPr="0098064C">
        <w:t>年</w:t>
      </w:r>
      <w:r>
        <w:t>3</w:t>
      </w:r>
      <w:r w:rsidRPr="0098064C">
        <w:t>月</w:t>
      </w:r>
      <w:r>
        <w:t>24</w:t>
      </w:r>
      <w:r w:rsidRPr="0098064C">
        <w:t>日的后续抗议活动未获批准，造成了寒蝉效应和低参与</w:t>
      </w:r>
      <w:r w:rsidRPr="0098064C">
        <w:rPr>
          <w:rFonts w:hint="eastAsia"/>
        </w:rPr>
        <w:t>度</w:t>
      </w:r>
      <w:r w:rsidRPr="0098064C">
        <w:t>，潜在的参与者担心受到刑事起诉和监禁</w:t>
      </w:r>
      <w:r w:rsidRPr="0098064C">
        <w:t>(</w:t>
      </w:r>
      <w:r w:rsidRPr="0098064C">
        <w:t>第二十一条</w:t>
      </w:r>
      <w:r w:rsidRPr="0098064C">
        <w:t>)</w:t>
      </w:r>
      <w:r w:rsidRPr="0098064C">
        <w:t>。</w:t>
      </w:r>
    </w:p>
    <w:p w14:paraId="69B4509F" w14:textId="77777777" w:rsidR="000E7F04" w:rsidRPr="0098064C" w:rsidRDefault="0098064C" w:rsidP="0098064C">
      <w:pPr>
        <w:pStyle w:val="SingleTxtGC"/>
        <w:rPr>
          <w:rFonts w:eastAsia="黑体"/>
          <w:bCs/>
        </w:rPr>
      </w:pPr>
      <w:r>
        <w:lastRenderedPageBreak/>
        <w:t>42</w:t>
      </w:r>
      <w:r w:rsidRPr="0098064C">
        <w:t>.</w:t>
      </w:r>
      <w:r w:rsidRPr="0098064C">
        <w:tab/>
      </w:r>
      <w:r w:rsidR="000E7F04" w:rsidRPr="0098064C">
        <w:rPr>
          <w:rFonts w:eastAsia="黑体"/>
          <w:bCs/>
        </w:rPr>
        <w:t>考虑到委员会第</w:t>
      </w:r>
      <w:r w:rsidR="000E7F04" w:rsidRPr="000E7F04">
        <w:rPr>
          <w:rFonts w:eastAsia="黑体"/>
          <w:bCs/>
        </w:rPr>
        <w:t>37</w:t>
      </w:r>
      <w:r w:rsidR="000E7F04" w:rsidRPr="0098064C">
        <w:rPr>
          <w:rFonts w:eastAsia="黑体"/>
          <w:bCs/>
        </w:rPr>
        <w:t>号一般性意见</w:t>
      </w:r>
      <w:r w:rsidR="000E7F04" w:rsidRPr="0098064C">
        <w:rPr>
          <w:rFonts w:eastAsia="黑体"/>
          <w:bCs/>
        </w:rPr>
        <w:t>(</w:t>
      </w:r>
      <w:r w:rsidR="000E7F04" w:rsidRPr="000E7F04">
        <w:rPr>
          <w:rFonts w:eastAsia="黑体"/>
          <w:bCs/>
        </w:rPr>
        <w:t>2</w:t>
      </w:r>
      <w:r w:rsidR="000E7F04" w:rsidRPr="0098064C">
        <w:rPr>
          <w:rFonts w:eastAsia="黑体"/>
          <w:bCs/>
        </w:rPr>
        <w:t>0</w:t>
      </w:r>
      <w:r w:rsidR="000E7F04" w:rsidRPr="000E7F04">
        <w:rPr>
          <w:rFonts w:eastAsia="黑体"/>
          <w:bCs/>
        </w:rPr>
        <w:t>2</w:t>
      </w:r>
      <w:r w:rsidR="000E7F04" w:rsidRPr="0098064C">
        <w:rPr>
          <w:rFonts w:eastAsia="黑体"/>
          <w:bCs/>
        </w:rPr>
        <w:t>0</w:t>
      </w:r>
      <w:r w:rsidR="000E7F04" w:rsidRPr="0098064C">
        <w:rPr>
          <w:rFonts w:eastAsia="黑体"/>
          <w:bCs/>
        </w:rPr>
        <w:t>年</w:t>
      </w:r>
      <w:r w:rsidR="000E7F04" w:rsidRPr="0098064C">
        <w:rPr>
          <w:rFonts w:eastAsia="黑体"/>
          <w:bCs/>
        </w:rPr>
        <w:t>)</w:t>
      </w:r>
      <w:r w:rsidR="000E7F04" w:rsidRPr="0098064C">
        <w:rPr>
          <w:rFonts w:eastAsia="黑体"/>
          <w:bCs/>
        </w:rPr>
        <w:t>，缔约国应审查并考虑修改</w:t>
      </w:r>
      <w:r w:rsidR="000E7F04" w:rsidRPr="0098064C">
        <w:rPr>
          <w:rFonts w:eastAsia="黑体" w:hint="eastAsia"/>
          <w:bCs/>
        </w:rPr>
        <w:t>其</w:t>
      </w:r>
      <w:r w:rsidR="000E7F04" w:rsidRPr="0098064C">
        <w:rPr>
          <w:rFonts w:eastAsia="黑体"/>
          <w:bCs/>
        </w:rPr>
        <w:t>法律和实践，以确保个人充分享有和平集会权，并保证对这项权利的任何限制都符合《公约》第二十一条的严格要求。具体而言，缔约国不应要求和平集会权的行使必须获得事先批准，</w:t>
      </w:r>
      <w:r w:rsidR="000E7F04" w:rsidRPr="0098064C">
        <w:rPr>
          <w:rFonts w:eastAsia="黑体" w:hint="eastAsia"/>
          <w:bCs/>
        </w:rPr>
        <w:t>作为一项基本规则，</w:t>
      </w:r>
      <w:r w:rsidR="000E7F04" w:rsidRPr="0098064C">
        <w:rPr>
          <w:rFonts w:eastAsia="黑体"/>
          <w:bCs/>
        </w:rPr>
        <w:t>应确保抗议的组织者和集会的参与者不对集会其他参与者造成的损害负责。缔约国还应为公职人员和执法人员提供有关国际标准的适当培训。</w:t>
      </w:r>
    </w:p>
    <w:p w14:paraId="39D2E55B" w14:textId="16888A26" w:rsidR="000E7F04" w:rsidRPr="0098064C" w:rsidRDefault="000E7F04" w:rsidP="000E7F04">
      <w:pPr>
        <w:pStyle w:val="H23GC"/>
      </w:pPr>
      <w:r w:rsidRPr="0098064C">
        <w:tab/>
      </w:r>
      <w:r w:rsidRPr="0098064C">
        <w:tab/>
      </w:r>
      <w:r w:rsidRPr="0098064C">
        <w:rPr>
          <w:bCs/>
        </w:rPr>
        <w:t>儿童权利</w:t>
      </w:r>
    </w:p>
    <w:p w14:paraId="57DFA662" w14:textId="6AB5B64A" w:rsidR="0098064C" w:rsidRPr="0098064C" w:rsidRDefault="0098064C" w:rsidP="0098064C">
      <w:pPr>
        <w:pStyle w:val="SingleTxtGC"/>
      </w:pPr>
      <w:r>
        <w:t>43</w:t>
      </w:r>
      <w:r w:rsidRPr="0098064C">
        <w:t>.</w:t>
      </w:r>
      <w:r w:rsidRPr="0098064C">
        <w:tab/>
      </w:r>
      <w:r w:rsidRPr="0098064C">
        <w:t>委员会欢迎缔约国采取不同措施，特别是在《</w:t>
      </w:r>
      <w:r>
        <w:t>2</w:t>
      </w:r>
      <w:r w:rsidRPr="0098064C">
        <w:t>0</w:t>
      </w:r>
      <w:r>
        <w:t>19</w:t>
      </w:r>
      <w:r w:rsidRPr="0098064C">
        <w:t>-</w:t>
      </w:r>
      <w:r>
        <w:t>2</w:t>
      </w:r>
      <w:r w:rsidRPr="0098064C">
        <w:t>0</w:t>
      </w:r>
      <w:r>
        <w:t>21</w:t>
      </w:r>
      <w:r w:rsidRPr="0098064C">
        <w:t>年国家儿童问题行动计划》框架内，防止和解决虐待儿童问题，包括性虐待问题，例如在社会各阶层开展提高认识方案，设立儿童保护热线，起草寄养法案等。然而，委员会感到关切的是，有报告称，缔约国境内儿童遭受身心虐待的比率仍然很高</w:t>
      </w:r>
      <w:r w:rsidRPr="0098064C">
        <w:rPr>
          <w:rFonts w:hint="eastAsia"/>
        </w:rPr>
        <w:t>。</w:t>
      </w:r>
      <w:r w:rsidRPr="0098064C">
        <w:t>委员会感到遗憾的是，没有收到相关资料，说明缔约国采取了哪些措施，确保有效调查虐待儿童案件，起诉和惩处施暴者，并确保受害儿童获得充分的补救，包括专门照料。委员会注意到，缔约国表示，禁止父母在抚养子女过程中实施体罚和精神虐待的规定将纳入新的《民法》草案，但委员会感到遗憾的是，该国尚未禁止所有场合的体罚</w:t>
      </w:r>
      <w:r w:rsidRPr="0098064C">
        <w:t>(</w:t>
      </w:r>
      <w:r w:rsidRPr="0098064C">
        <w:t>第二十三条、第二十四条和第二十六条</w:t>
      </w:r>
      <w:r w:rsidRPr="0098064C">
        <w:t>)</w:t>
      </w:r>
      <w:r w:rsidRPr="0098064C">
        <w:t>。</w:t>
      </w:r>
    </w:p>
    <w:p w14:paraId="5FAFA570" w14:textId="77777777" w:rsidR="000E7F04" w:rsidRPr="0098064C" w:rsidRDefault="0098064C" w:rsidP="0098064C">
      <w:pPr>
        <w:pStyle w:val="SingleTxtGC"/>
        <w:rPr>
          <w:rFonts w:eastAsia="黑体"/>
          <w:bCs/>
        </w:rPr>
      </w:pPr>
      <w:r>
        <w:t>44</w:t>
      </w:r>
      <w:r w:rsidRPr="0098064C">
        <w:t>.</w:t>
      </w:r>
      <w:r w:rsidRPr="0098064C">
        <w:tab/>
      </w:r>
      <w:r w:rsidR="000E7F04" w:rsidRPr="0098064C">
        <w:rPr>
          <w:rFonts w:eastAsia="黑体"/>
          <w:bCs/>
        </w:rPr>
        <w:t>缔约国应采取有效措施，确保所有虐待儿童的案件得到有效调查，施暴者受到起诉，如果被判有罪，应根据罪行的严重</w:t>
      </w:r>
      <w:r w:rsidR="000E7F04" w:rsidRPr="0098064C">
        <w:rPr>
          <w:rFonts w:eastAsia="黑体" w:hint="eastAsia"/>
          <w:bCs/>
        </w:rPr>
        <w:t>程度</w:t>
      </w:r>
      <w:r w:rsidR="000E7F04" w:rsidRPr="0098064C">
        <w:rPr>
          <w:rFonts w:eastAsia="黑体"/>
          <w:bCs/>
        </w:rPr>
        <w:t>予以</w:t>
      </w:r>
      <w:r w:rsidR="000E7F04" w:rsidRPr="0098064C">
        <w:rPr>
          <w:rFonts w:eastAsia="黑体" w:hint="eastAsia"/>
          <w:bCs/>
        </w:rPr>
        <w:t>相应</w:t>
      </w:r>
      <w:r w:rsidR="000E7F04" w:rsidRPr="0098064C">
        <w:rPr>
          <w:rFonts w:eastAsia="黑体"/>
          <w:bCs/>
        </w:rPr>
        <w:t>惩罚，</w:t>
      </w:r>
      <w:r w:rsidR="000E7F04" w:rsidRPr="0098064C">
        <w:rPr>
          <w:rFonts w:eastAsia="黑体" w:hint="eastAsia"/>
          <w:bCs/>
        </w:rPr>
        <w:t>确保</w:t>
      </w:r>
      <w:r w:rsidR="000E7F04" w:rsidRPr="0098064C">
        <w:rPr>
          <w:rFonts w:eastAsia="黑体"/>
          <w:bCs/>
        </w:rPr>
        <w:t>受害儿童可获得充分的补救，包括专门照料。缔约国还应采取适当步骤，制止所有场合对儿童的体罚，包括在新的《民法》草案中禁止父母实施体罚。缔约国应鼓励非暴力的管教形式，作为替代体罚的方式，还应开展公众宣传</w:t>
      </w:r>
      <w:r w:rsidR="000E7F04" w:rsidRPr="0098064C">
        <w:rPr>
          <w:rFonts w:eastAsia="黑体" w:hint="eastAsia"/>
          <w:bCs/>
        </w:rPr>
        <w:t>活动</w:t>
      </w:r>
      <w:r w:rsidR="000E7F04" w:rsidRPr="0098064C">
        <w:rPr>
          <w:rFonts w:eastAsia="黑体"/>
          <w:bCs/>
        </w:rPr>
        <w:t>，以提高人们对体罚有害影响的认识。</w:t>
      </w:r>
    </w:p>
    <w:p w14:paraId="479C2DA1" w14:textId="2BD4E758" w:rsidR="000E7F04" w:rsidRPr="0098064C" w:rsidRDefault="000E7F04" w:rsidP="000E7F04">
      <w:pPr>
        <w:pStyle w:val="H23GC"/>
      </w:pPr>
      <w:r w:rsidRPr="0098064C">
        <w:tab/>
      </w:r>
      <w:r w:rsidRPr="0098064C">
        <w:tab/>
      </w:r>
      <w:r w:rsidRPr="0098064C">
        <w:rPr>
          <w:bCs/>
        </w:rPr>
        <w:t>参与公共事务</w:t>
      </w:r>
    </w:p>
    <w:p w14:paraId="6C0BFEA2" w14:textId="379CB645" w:rsidR="0098064C" w:rsidRPr="0098064C" w:rsidRDefault="0098064C" w:rsidP="0098064C">
      <w:pPr>
        <w:pStyle w:val="SingleTxtGC"/>
      </w:pPr>
      <w:r>
        <w:t>45</w:t>
      </w:r>
      <w:r w:rsidRPr="0098064C">
        <w:t>.</w:t>
      </w:r>
      <w:r w:rsidRPr="0098064C">
        <w:tab/>
      </w:r>
      <w:r w:rsidRPr="0098064C">
        <w:t>委员会感到关切的是，土著和部落人民没有充分参与公共事务，特别是政治决策</w:t>
      </w:r>
      <w:r w:rsidRPr="0098064C">
        <w:rPr>
          <w:rFonts w:hint="eastAsia"/>
        </w:rPr>
        <w:t>。在</w:t>
      </w:r>
      <w:r w:rsidRPr="0098064C">
        <w:t>宪法法院</w:t>
      </w:r>
      <w:r>
        <w:t>2</w:t>
      </w:r>
      <w:r w:rsidRPr="0098064C">
        <w:t>0</w:t>
      </w:r>
      <w:r>
        <w:t>22</w:t>
      </w:r>
      <w:r w:rsidRPr="0098064C">
        <w:t>年</w:t>
      </w:r>
      <w:r w:rsidRPr="0098064C">
        <w:rPr>
          <w:rFonts w:hint="eastAsia"/>
        </w:rPr>
        <w:t>作出</w:t>
      </w:r>
      <w:r w:rsidRPr="0098064C">
        <w:t>裁决后，</w:t>
      </w:r>
      <w:r>
        <w:t>2</w:t>
      </w:r>
      <w:r w:rsidRPr="0098064C">
        <w:t>0</w:t>
      </w:r>
      <w:r>
        <w:t>23</w:t>
      </w:r>
      <w:r w:rsidRPr="0098064C">
        <w:t>年对《宪法》和选举条例的修正案可能会进一步削弱土著和部落人民影响公共政策的能力。委员会还表示关切的是：</w:t>
      </w:r>
      <w:r w:rsidRPr="0098064C">
        <w:t>(</w:t>
      </w:r>
      <w:r>
        <w:t>a</w:t>
      </w:r>
      <w:r w:rsidRPr="0098064C">
        <w:t>)</w:t>
      </w:r>
      <w:r w:rsidR="004569BE">
        <w:t xml:space="preserve"> </w:t>
      </w:r>
      <w:r w:rsidRPr="0098064C">
        <w:t>缔约国没有提供资料，说明</w:t>
      </w:r>
      <w:r w:rsidRPr="0098064C">
        <w:rPr>
          <w:rFonts w:hint="eastAsia"/>
        </w:rPr>
        <w:t>已</w:t>
      </w:r>
      <w:r w:rsidRPr="0098064C">
        <w:t>采取或设想采取</w:t>
      </w:r>
      <w:r w:rsidRPr="0098064C">
        <w:rPr>
          <w:rFonts w:hint="eastAsia"/>
        </w:rPr>
        <w:t>哪些</w:t>
      </w:r>
      <w:r w:rsidRPr="0098064C">
        <w:t>措施</w:t>
      </w:r>
      <w:r w:rsidRPr="0098064C">
        <w:rPr>
          <w:rFonts w:hint="eastAsia"/>
        </w:rPr>
        <w:t>，</w:t>
      </w:r>
      <w:r w:rsidRPr="0098064C">
        <w:t>确保在定于</w:t>
      </w:r>
      <w:r>
        <w:t>2</w:t>
      </w:r>
      <w:r w:rsidRPr="0098064C">
        <w:t>0</w:t>
      </w:r>
      <w:r>
        <w:t>25</w:t>
      </w:r>
      <w:r w:rsidRPr="0098064C">
        <w:t>年</w:t>
      </w:r>
      <w:r>
        <w:t>5</w:t>
      </w:r>
      <w:r w:rsidRPr="0098064C">
        <w:t>月举行全国选举之前有效执行经修订的选举条例；</w:t>
      </w:r>
      <w:r w:rsidRPr="0098064C">
        <w:t>(</w:t>
      </w:r>
      <w:r>
        <w:t>b</w:t>
      </w:r>
      <w:r w:rsidRPr="0098064C">
        <w:t>)</w:t>
      </w:r>
      <w:r w:rsidR="004569BE">
        <w:t xml:space="preserve"> </w:t>
      </w:r>
      <w:r w:rsidRPr="0098064C">
        <w:t>要求登记参加选举的政党提交高额的保证金，这可能会阻碍较小的政党参加选举</w:t>
      </w:r>
      <w:r w:rsidRPr="0098064C">
        <w:t>(</w:t>
      </w:r>
      <w:r w:rsidRPr="0098064C">
        <w:t>第二十五条和第二十六条</w:t>
      </w:r>
      <w:r w:rsidRPr="0098064C">
        <w:t>)</w:t>
      </w:r>
      <w:r w:rsidRPr="0098064C">
        <w:t>。</w:t>
      </w:r>
    </w:p>
    <w:p w14:paraId="576CB9E7" w14:textId="77777777" w:rsidR="000E7F04" w:rsidRPr="0098064C" w:rsidRDefault="0098064C" w:rsidP="0098064C">
      <w:pPr>
        <w:pStyle w:val="SingleTxtGC"/>
        <w:rPr>
          <w:rFonts w:eastAsia="黑体"/>
          <w:bCs/>
        </w:rPr>
      </w:pPr>
      <w:r>
        <w:t>46</w:t>
      </w:r>
      <w:r w:rsidRPr="0098064C">
        <w:t>.</w:t>
      </w:r>
      <w:r w:rsidRPr="0098064C">
        <w:tab/>
      </w:r>
      <w:r w:rsidR="000E7F04" w:rsidRPr="0098064C">
        <w:rPr>
          <w:rFonts w:eastAsia="黑体"/>
          <w:bCs/>
        </w:rPr>
        <w:t>缔约国应承认土著和部落人民的传统权力机构，确保他们在地方和国家各级切实参与制定</w:t>
      </w:r>
      <w:r w:rsidRPr="0098064C">
        <w:t>政策</w:t>
      </w:r>
      <w:r w:rsidR="000E7F04" w:rsidRPr="0098064C">
        <w:rPr>
          <w:rFonts w:eastAsia="黑体"/>
          <w:bCs/>
        </w:rPr>
        <w:t>和政治决策，特别是</w:t>
      </w:r>
      <w:r w:rsidR="000E7F04" w:rsidRPr="0098064C">
        <w:rPr>
          <w:rFonts w:eastAsia="黑体" w:hint="eastAsia"/>
          <w:bCs/>
        </w:rPr>
        <w:t>在</w:t>
      </w:r>
      <w:r w:rsidR="000E7F04" w:rsidRPr="0098064C">
        <w:rPr>
          <w:rFonts w:eastAsia="黑体"/>
          <w:bCs/>
        </w:rPr>
        <w:t>涉及其利益的事项</w:t>
      </w:r>
      <w:r w:rsidR="000E7F04" w:rsidRPr="0098064C">
        <w:rPr>
          <w:rFonts w:eastAsia="黑体" w:hint="eastAsia"/>
          <w:bCs/>
        </w:rPr>
        <w:t>方面</w:t>
      </w:r>
      <w:r w:rsidR="000E7F04" w:rsidRPr="0098064C">
        <w:rPr>
          <w:rFonts w:eastAsia="黑体"/>
          <w:bCs/>
        </w:rPr>
        <w:t>。缔约国还应采取适当措施，确保在</w:t>
      </w:r>
      <w:r w:rsidR="000E7F04" w:rsidRPr="000E7F04">
        <w:rPr>
          <w:rFonts w:eastAsia="黑体"/>
          <w:bCs/>
        </w:rPr>
        <w:t>2</w:t>
      </w:r>
      <w:r w:rsidR="000E7F04" w:rsidRPr="0098064C">
        <w:rPr>
          <w:rFonts w:eastAsia="黑体"/>
          <w:bCs/>
        </w:rPr>
        <w:t>0</w:t>
      </w:r>
      <w:r w:rsidR="000E7F04" w:rsidRPr="000E7F04">
        <w:rPr>
          <w:rFonts w:eastAsia="黑体"/>
          <w:bCs/>
        </w:rPr>
        <w:t>25</w:t>
      </w:r>
      <w:r w:rsidR="000E7F04" w:rsidRPr="0098064C">
        <w:rPr>
          <w:rFonts w:eastAsia="黑体"/>
          <w:bCs/>
        </w:rPr>
        <w:t>年举行全国选举之前有效执行最近修订的选举条例，并确保登记</w:t>
      </w:r>
      <w:r w:rsidR="000E7F04" w:rsidRPr="0098064C">
        <w:rPr>
          <w:rFonts w:eastAsia="黑体" w:hint="eastAsia"/>
          <w:bCs/>
        </w:rPr>
        <w:t>参选的</w:t>
      </w:r>
      <w:r w:rsidR="000E7F04" w:rsidRPr="0098064C">
        <w:rPr>
          <w:rFonts w:eastAsia="黑体"/>
          <w:bCs/>
        </w:rPr>
        <w:t>保证金要求不会阻碍较小的政党参加选举。</w:t>
      </w:r>
    </w:p>
    <w:p w14:paraId="3D4A8C04" w14:textId="27E38965" w:rsidR="000E7F04" w:rsidRPr="0098064C" w:rsidRDefault="000E7F04" w:rsidP="000E7F04">
      <w:pPr>
        <w:pStyle w:val="H23GC"/>
      </w:pPr>
      <w:r w:rsidRPr="0098064C">
        <w:tab/>
      </w:r>
      <w:r w:rsidRPr="0098064C">
        <w:tab/>
      </w:r>
      <w:r w:rsidRPr="0098064C">
        <w:rPr>
          <w:bCs/>
        </w:rPr>
        <w:t>属于少数群体的人的权利</w:t>
      </w:r>
    </w:p>
    <w:p w14:paraId="3BA69F24" w14:textId="35C4AF9C" w:rsidR="0098064C" w:rsidRPr="0098064C" w:rsidRDefault="0098064C" w:rsidP="0098064C">
      <w:pPr>
        <w:pStyle w:val="SingleTxtGC"/>
      </w:pPr>
      <w:r>
        <w:t>47</w:t>
      </w:r>
      <w:r w:rsidRPr="0098064C">
        <w:t>.</w:t>
      </w:r>
      <w:r w:rsidRPr="0098064C">
        <w:tab/>
      </w:r>
      <w:r w:rsidRPr="0098064C">
        <w:t>委员会回顾其先前的结论性意见</w:t>
      </w:r>
      <w:r w:rsidRPr="0098064C">
        <w:rPr>
          <w:vertAlign w:val="superscript"/>
        </w:rPr>
        <w:footnoteReference w:id="12"/>
      </w:r>
      <w:r w:rsidR="00BF4379">
        <w:t xml:space="preserve"> </w:t>
      </w:r>
      <w:r w:rsidRPr="0098064C">
        <w:t>和消除种族歧视委员会</w:t>
      </w:r>
      <w:r>
        <w:t>2</w:t>
      </w:r>
      <w:r w:rsidRPr="0098064C">
        <w:t>0</w:t>
      </w:r>
      <w:r>
        <w:t>22</w:t>
      </w:r>
      <w:r w:rsidRPr="0098064C">
        <w:t>年通过的结论性意见，</w:t>
      </w:r>
      <w:r w:rsidRPr="0098064C">
        <w:rPr>
          <w:vertAlign w:val="superscript"/>
        </w:rPr>
        <w:footnoteReference w:id="13"/>
      </w:r>
      <w:r w:rsidR="00BF4379">
        <w:t xml:space="preserve"> </w:t>
      </w:r>
      <w:r w:rsidRPr="0098064C">
        <w:t>同时仍感关切的是，关于影响土著和部落人民权利的决定，没有</w:t>
      </w:r>
      <w:r w:rsidRPr="0098064C">
        <w:lastRenderedPageBreak/>
        <w:t>与他们进行充分协商，特别是</w:t>
      </w:r>
      <w:r w:rsidRPr="0098064C">
        <w:rPr>
          <w:rFonts w:hint="eastAsia"/>
        </w:rPr>
        <w:t>在</w:t>
      </w:r>
      <w:r w:rsidRPr="0098064C">
        <w:t>给予特许权、采掘许可证、其传统土地或附近</w:t>
      </w:r>
      <w:r w:rsidRPr="0098064C">
        <w:rPr>
          <w:rFonts w:hint="eastAsia"/>
        </w:rPr>
        <w:t>土地的</w:t>
      </w:r>
      <w:r w:rsidRPr="0098064C">
        <w:t>地役权，包括在开采矿产、森林和石油及天然气矿床</w:t>
      </w:r>
      <w:r w:rsidRPr="0098064C">
        <w:rPr>
          <w:rFonts w:hint="eastAsia"/>
        </w:rPr>
        <w:t>等事项</w:t>
      </w:r>
      <w:r w:rsidRPr="0098064C">
        <w:t>获得他们自由、事先和知情同意</w:t>
      </w:r>
      <w:r w:rsidRPr="0098064C">
        <w:rPr>
          <w:rFonts w:hint="eastAsia"/>
        </w:rPr>
        <w:t>方面，</w:t>
      </w:r>
      <w:r w:rsidRPr="0098064C">
        <w:t>没有与他们进行充分协商。委员会尤其关切的是，旨在保护土著和部落人民集体土地权的《土著和部落人民集体权利法》草案迟迟未能定稿和通过，有报告称，缔约国</w:t>
      </w:r>
      <w:r w:rsidRPr="0098064C">
        <w:rPr>
          <w:rFonts w:hint="eastAsia"/>
        </w:rPr>
        <w:t>因</w:t>
      </w:r>
      <w:r w:rsidRPr="0098064C">
        <w:t>该法未通过，将公共土地出售或出租给私人实体，引起了土著和部落人民所主张的公共土地可能受到影响的关切。委员会还表示关切的是，缔约国提供的资料称，美洲人权法院关于土著人民权利的判决，特别是</w:t>
      </w:r>
      <w:r w:rsidRPr="0098064C">
        <w:rPr>
          <w:rFonts w:eastAsia="楷体"/>
        </w:rPr>
        <w:t>莫伊瓦纳社区诉苏里南案</w:t>
      </w:r>
      <w:r w:rsidRPr="0098064C">
        <w:t>(</w:t>
      </w:r>
      <w:r>
        <w:t>2</w:t>
      </w:r>
      <w:r w:rsidRPr="0098064C">
        <w:t>00</w:t>
      </w:r>
      <w:r>
        <w:t>5</w:t>
      </w:r>
      <w:r w:rsidRPr="0098064C">
        <w:t>年</w:t>
      </w:r>
      <w:r w:rsidRPr="0098064C">
        <w:t>)</w:t>
      </w:r>
      <w:r w:rsidRPr="0098064C">
        <w:t>、</w:t>
      </w:r>
      <w:r w:rsidRPr="0098064C">
        <w:rPr>
          <w:rFonts w:eastAsia="楷体"/>
        </w:rPr>
        <w:t>萨拉马卡人诉苏里南案</w:t>
      </w:r>
      <w:r w:rsidRPr="0098064C">
        <w:t>(</w:t>
      </w:r>
      <w:r>
        <w:t>2</w:t>
      </w:r>
      <w:r w:rsidRPr="0098064C">
        <w:t>00</w:t>
      </w:r>
      <w:r>
        <w:t>7</w:t>
      </w:r>
      <w:r w:rsidRPr="0098064C">
        <w:t>年</w:t>
      </w:r>
      <w:r w:rsidRPr="0098064C">
        <w:t>)</w:t>
      </w:r>
      <w:r w:rsidRPr="0098064C">
        <w:t>以及</w:t>
      </w:r>
      <w:r w:rsidRPr="0098064C">
        <w:rPr>
          <w:rFonts w:eastAsia="楷体"/>
        </w:rPr>
        <w:t>卡利尼亚人和洛科诺人诉苏里南案</w:t>
      </w:r>
      <w:r w:rsidRPr="0098064C">
        <w:rPr>
          <w:rFonts w:eastAsia="楷体"/>
        </w:rPr>
        <w:t>(</w:t>
      </w:r>
      <w:r>
        <w:t>2</w:t>
      </w:r>
      <w:r w:rsidRPr="0098064C">
        <w:t>0</w:t>
      </w:r>
      <w:r>
        <w:t>15</w:t>
      </w:r>
      <w:r w:rsidRPr="0098064C">
        <w:t>年</w:t>
      </w:r>
      <w:r w:rsidRPr="0098064C">
        <w:t>)</w:t>
      </w:r>
      <w:r w:rsidRPr="0098064C">
        <w:t>的判决仅得到部分执行</w:t>
      </w:r>
      <w:r w:rsidRPr="0098064C">
        <w:t>(</w:t>
      </w:r>
      <w:r w:rsidRPr="0098064C">
        <w:t>第一条、第二条和第二十七条</w:t>
      </w:r>
      <w:r w:rsidRPr="0098064C">
        <w:t>)</w:t>
      </w:r>
      <w:r w:rsidRPr="0098064C">
        <w:t>。</w:t>
      </w:r>
    </w:p>
    <w:p w14:paraId="2E0DFED0" w14:textId="77777777" w:rsidR="000E7F04" w:rsidRDefault="0098064C" w:rsidP="0098064C">
      <w:pPr>
        <w:pStyle w:val="SingleTxtGC"/>
        <w:rPr>
          <w:rFonts w:eastAsia="黑体"/>
          <w:bCs/>
        </w:rPr>
      </w:pPr>
      <w:r>
        <w:t>48</w:t>
      </w:r>
      <w:r w:rsidRPr="0098064C">
        <w:t>.</w:t>
      </w:r>
      <w:r w:rsidRPr="0098064C">
        <w:tab/>
      </w:r>
      <w:r w:rsidR="000E7F04" w:rsidRPr="0098064C">
        <w:rPr>
          <w:rFonts w:eastAsia="黑体"/>
          <w:bCs/>
        </w:rPr>
        <w:t>委员会赞同消除种族歧视委员会通过的结论性意见，并回顾《联合国土著人民权利宣言》，呼吁缔约国：</w:t>
      </w:r>
    </w:p>
    <w:p w14:paraId="7C7E2B26" w14:textId="77777777" w:rsidR="000E7F04" w:rsidRDefault="000E7F04" w:rsidP="0098064C">
      <w:pPr>
        <w:pStyle w:val="SingleTxtGC"/>
        <w:rPr>
          <w:rFonts w:eastAsia="黑体"/>
          <w:bCs/>
        </w:rPr>
      </w:pPr>
      <w:r>
        <w:rPr>
          <w:rFonts w:eastAsia="黑体"/>
          <w:bCs/>
        </w:rPr>
        <w:tab/>
        <w:t>(</w:t>
      </w:r>
      <w:r w:rsidR="0098064C">
        <w:t>a</w:t>
      </w:r>
      <w:r w:rsidR="0098064C" w:rsidRPr="0098064C">
        <w:t>)</w:t>
      </w:r>
      <w:r w:rsidR="0098064C" w:rsidRPr="0098064C">
        <w:tab/>
      </w:r>
      <w:r w:rsidRPr="0098064C">
        <w:rPr>
          <w:rFonts w:eastAsia="黑体"/>
          <w:bCs/>
        </w:rPr>
        <w:t>在土著和部落人民有效和有意义的参与下，在明确的时限内，加快通过关于土著和部落人民集体权利及其土地、领地和资源划界的法律草案；</w:t>
      </w:r>
    </w:p>
    <w:p w14:paraId="6410B999" w14:textId="77777777" w:rsidR="000E7F04" w:rsidRDefault="000E7F04" w:rsidP="0098064C">
      <w:pPr>
        <w:pStyle w:val="SingleTxtGC"/>
        <w:rPr>
          <w:rFonts w:eastAsia="黑体"/>
          <w:bCs/>
        </w:rPr>
      </w:pPr>
      <w:r>
        <w:rPr>
          <w:rFonts w:eastAsia="黑体"/>
          <w:bCs/>
        </w:rPr>
        <w:tab/>
        <w:t>(</w:t>
      </w:r>
      <w:r w:rsidR="0098064C">
        <w:t>b</w:t>
      </w:r>
      <w:r w:rsidR="0098064C" w:rsidRPr="0098064C">
        <w:t>)</w:t>
      </w:r>
      <w:r w:rsidR="0098064C" w:rsidRPr="0098064C">
        <w:tab/>
      </w:r>
      <w:r w:rsidRPr="0098064C">
        <w:rPr>
          <w:rFonts w:eastAsia="黑体"/>
          <w:bCs/>
        </w:rPr>
        <w:t>确保在上述法律草案承认土著和部落人民的集体土地权之前，不将土著和部落人民所主张的国有土地出售或出租给私人实体；</w:t>
      </w:r>
    </w:p>
    <w:p w14:paraId="317DE983" w14:textId="77777777" w:rsidR="000E7F04" w:rsidRDefault="000E7F04" w:rsidP="0098064C">
      <w:pPr>
        <w:pStyle w:val="SingleTxtGC"/>
        <w:rPr>
          <w:rFonts w:eastAsia="黑体"/>
          <w:bCs/>
        </w:rPr>
      </w:pPr>
      <w:r>
        <w:rPr>
          <w:rFonts w:eastAsia="黑体"/>
          <w:bCs/>
        </w:rPr>
        <w:tab/>
        <w:t>(</w:t>
      </w:r>
      <w:r w:rsidR="0098064C">
        <w:t>c</w:t>
      </w:r>
      <w:r w:rsidR="0098064C" w:rsidRPr="0098064C">
        <w:t>)</w:t>
      </w:r>
      <w:r w:rsidR="0098064C" w:rsidRPr="0098064C">
        <w:tab/>
      </w:r>
      <w:r w:rsidRPr="0098064C">
        <w:rPr>
          <w:rFonts w:eastAsia="黑体"/>
          <w:bCs/>
        </w:rPr>
        <w:t>采取措施，确保就当前或今后可能影响土著人民土地、领地和资源的任何项目、立法措施或行政措施，与土著人民进行切实的协商，包括制定综合立法框架，以获得他们的自由、事先和知情同意；</w:t>
      </w:r>
    </w:p>
    <w:p w14:paraId="393D7249" w14:textId="77777777" w:rsidR="000E7F04" w:rsidRDefault="000E7F04" w:rsidP="0098064C">
      <w:pPr>
        <w:pStyle w:val="SingleTxtGC"/>
        <w:rPr>
          <w:rFonts w:eastAsia="黑体"/>
          <w:bCs/>
        </w:rPr>
      </w:pPr>
      <w:r>
        <w:rPr>
          <w:rFonts w:eastAsia="黑体"/>
          <w:bCs/>
        </w:rPr>
        <w:tab/>
        <w:t>(</w:t>
      </w:r>
      <w:r w:rsidR="0098064C">
        <w:t>d</w:t>
      </w:r>
      <w:r w:rsidR="0098064C" w:rsidRPr="0098064C">
        <w:t>)</w:t>
      </w:r>
      <w:r w:rsidR="0098064C" w:rsidRPr="0098064C">
        <w:tab/>
      </w:r>
      <w:r w:rsidRPr="0098064C">
        <w:rPr>
          <w:rFonts w:eastAsia="黑体"/>
          <w:bCs/>
        </w:rPr>
        <w:t>采取措施，确保归还未经土著和部落人民自由、事先和知情同意而被没收、占</w:t>
      </w:r>
      <w:r w:rsidRPr="0098064C">
        <w:rPr>
          <w:rFonts w:eastAsia="黑体" w:hint="eastAsia"/>
          <w:bCs/>
        </w:rPr>
        <w:t>有</w:t>
      </w:r>
      <w:r w:rsidRPr="0098064C">
        <w:rPr>
          <w:rFonts w:eastAsia="黑体"/>
          <w:bCs/>
        </w:rPr>
        <w:t>、使用或破坏的传统土地、领地和资源，只有在无法做到这一点的情况下，才向他们提供公正和公平的赔偿；</w:t>
      </w:r>
    </w:p>
    <w:p w14:paraId="7C413F7F" w14:textId="05562946" w:rsidR="000E7F04" w:rsidRPr="0098064C" w:rsidRDefault="000E7F04" w:rsidP="0098064C">
      <w:pPr>
        <w:pStyle w:val="SingleTxtGC"/>
        <w:rPr>
          <w:rFonts w:eastAsia="黑体"/>
          <w:bCs/>
        </w:rPr>
      </w:pPr>
      <w:r>
        <w:rPr>
          <w:rFonts w:eastAsia="黑体"/>
          <w:bCs/>
        </w:rPr>
        <w:tab/>
        <w:t>(</w:t>
      </w:r>
      <w:r w:rsidR="0098064C">
        <w:t>e</w:t>
      </w:r>
      <w:r w:rsidR="0098064C" w:rsidRPr="0098064C">
        <w:t>)</w:t>
      </w:r>
      <w:r w:rsidR="0098064C" w:rsidRPr="0098064C">
        <w:tab/>
      </w:r>
      <w:r w:rsidRPr="0098064C">
        <w:rPr>
          <w:rFonts w:eastAsia="黑体"/>
          <w:bCs/>
        </w:rPr>
        <w:t>确保充分执行美洲人权法院关于土著和部落人民权利的判决。</w:t>
      </w:r>
    </w:p>
    <w:p w14:paraId="42B35924" w14:textId="085554BF" w:rsidR="000E7F04" w:rsidRPr="0098064C" w:rsidRDefault="000E7F04" w:rsidP="000E7F04">
      <w:pPr>
        <w:pStyle w:val="H23GC"/>
      </w:pPr>
      <w:r w:rsidRPr="000E7F04">
        <w:rPr>
          <w:bCs/>
        </w:rPr>
        <w:tab/>
        <w:t>D</w:t>
      </w:r>
      <w:r w:rsidRPr="0098064C">
        <w:rPr>
          <w:bCs/>
        </w:rPr>
        <w:t>.</w:t>
      </w:r>
      <w:r w:rsidRPr="0098064C">
        <w:tab/>
      </w:r>
      <w:r w:rsidRPr="0098064C">
        <w:tab/>
      </w:r>
      <w:r w:rsidRPr="0098064C">
        <w:rPr>
          <w:bCs/>
        </w:rPr>
        <w:t>传播和后续行动</w:t>
      </w:r>
    </w:p>
    <w:p w14:paraId="25A29E0C" w14:textId="77777777" w:rsidR="000E7F04" w:rsidRPr="0098064C" w:rsidRDefault="0098064C" w:rsidP="0098064C">
      <w:pPr>
        <w:pStyle w:val="SingleTxtGC"/>
        <w:rPr>
          <w:rFonts w:eastAsia="黑体"/>
          <w:bCs/>
        </w:rPr>
      </w:pPr>
      <w:r>
        <w:t>49</w:t>
      </w:r>
      <w:r w:rsidRPr="0098064C">
        <w:t>.</w:t>
      </w:r>
      <w:r w:rsidRPr="0098064C">
        <w:tab/>
      </w:r>
      <w:r w:rsidR="000E7F04" w:rsidRPr="0098064C">
        <w:rPr>
          <w:rFonts w:eastAsia="黑体"/>
          <w:bCs/>
        </w:rPr>
        <w:t>缔约国应广泛传播《公约》及其第一项任择议定书、缔约国第四次</w:t>
      </w:r>
      <w:r w:rsidR="000E7F04" w:rsidRPr="0098064C">
        <w:rPr>
          <w:rFonts w:eastAsia="黑体" w:hint="eastAsia"/>
          <w:bCs/>
        </w:rPr>
        <w:t>定期</w:t>
      </w:r>
      <w:r w:rsidR="000E7F04" w:rsidRPr="0098064C">
        <w:rPr>
          <w:rFonts w:eastAsia="黑体"/>
          <w:bCs/>
        </w:rPr>
        <w:t>报告和本结论性意见，以提高司法、立法和行政部门以及在缔约国开展活动的民间社会团体和非政府组织及广大公众，包括土著和部落人民对《公约》所载权利的认识。缔约国应确保将定期报告和本结论性意见译成缔约国的官方语言</w:t>
      </w:r>
      <w:bookmarkStart w:id="7" w:name="_Hlk168404895"/>
      <w:bookmarkEnd w:id="7"/>
      <w:r w:rsidR="000E7F04" w:rsidRPr="0098064C">
        <w:rPr>
          <w:rFonts w:eastAsia="黑体"/>
          <w:bCs/>
        </w:rPr>
        <w:t>。</w:t>
      </w:r>
    </w:p>
    <w:p w14:paraId="198FD335" w14:textId="77777777" w:rsidR="000E7F04" w:rsidRPr="0098064C" w:rsidRDefault="0098064C" w:rsidP="0098064C">
      <w:pPr>
        <w:pStyle w:val="SingleTxtGC"/>
        <w:rPr>
          <w:rFonts w:eastAsia="黑体"/>
          <w:bCs/>
        </w:rPr>
      </w:pPr>
      <w:r>
        <w:t>5</w:t>
      </w:r>
      <w:r w:rsidRPr="0098064C">
        <w:t>0.</w:t>
      </w:r>
      <w:r w:rsidRPr="0098064C">
        <w:tab/>
      </w:r>
      <w:r w:rsidR="000E7F04" w:rsidRPr="0098064C">
        <w:rPr>
          <w:rFonts w:eastAsia="黑体"/>
          <w:bCs/>
        </w:rPr>
        <w:t>根据委员会议事规则第</w:t>
      </w:r>
      <w:r w:rsidR="000E7F04" w:rsidRPr="000E7F04">
        <w:rPr>
          <w:rFonts w:eastAsia="黑体"/>
          <w:bCs/>
        </w:rPr>
        <w:t>75</w:t>
      </w:r>
      <w:r w:rsidR="000E7F04" w:rsidRPr="0098064C">
        <w:rPr>
          <w:rFonts w:eastAsia="黑体"/>
          <w:bCs/>
        </w:rPr>
        <w:t>条第</w:t>
      </w:r>
      <w:r w:rsidR="000E7F04" w:rsidRPr="000E7F04">
        <w:rPr>
          <w:rFonts w:eastAsia="黑体" w:hint="eastAsia"/>
          <w:bCs/>
        </w:rPr>
        <w:t>(</w:t>
      </w:r>
      <w:r w:rsidR="000E7F04" w:rsidRPr="000E7F04">
        <w:rPr>
          <w:rFonts w:eastAsia="黑体"/>
          <w:bCs/>
        </w:rPr>
        <w:t>1</w:t>
      </w:r>
      <w:r w:rsidR="000E7F04" w:rsidRPr="000E7F04">
        <w:rPr>
          <w:rFonts w:eastAsia="黑体" w:hint="eastAsia"/>
          <w:bCs/>
        </w:rPr>
        <w:t>)</w:t>
      </w:r>
      <w:r w:rsidR="000E7F04" w:rsidRPr="0098064C">
        <w:rPr>
          <w:rFonts w:eastAsia="黑体"/>
          <w:bCs/>
        </w:rPr>
        <w:t>款，缔约国应在</w:t>
      </w:r>
      <w:r w:rsidR="000E7F04" w:rsidRPr="000E7F04">
        <w:rPr>
          <w:rFonts w:eastAsia="黑体"/>
          <w:bCs/>
        </w:rPr>
        <w:t>2</w:t>
      </w:r>
      <w:r w:rsidR="000E7F04" w:rsidRPr="0098064C">
        <w:rPr>
          <w:rFonts w:eastAsia="黑体"/>
          <w:bCs/>
        </w:rPr>
        <w:t>0</w:t>
      </w:r>
      <w:r w:rsidR="000E7F04" w:rsidRPr="000E7F04">
        <w:rPr>
          <w:rFonts w:eastAsia="黑体"/>
          <w:bCs/>
        </w:rPr>
        <w:t>27</w:t>
      </w:r>
      <w:r w:rsidR="000E7F04" w:rsidRPr="0098064C">
        <w:rPr>
          <w:rFonts w:eastAsia="黑体"/>
          <w:bCs/>
        </w:rPr>
        <w:t>年</w:t>
      </w:r>
      <w:r w:rsidR="000E7F04" w:rsidRPr="000E7F04">
        <w:rPr>
          <w:rFonts w:eastAsia="黑体"/>
          <w:bCs/>
        </w:rPr>
        <w:t>7</w:t>
      </w:r>
      <w:r w:rsidR="000E7F04" w:rsidRPr="0098064C">
        <w:rPr>
          <w:rFonts w:eastAsia="黑体"/>
          <w:bCs/>
        </w:rPr>
        <w:t>月</w:t>
      </w:r>
      <w:r w:rsidR="000E7F04" w:rsidRPr="000E7F04">
        <w:rPr>
          <w:rFonts w:eastAsia="黑体"/>
          <w:bCs/>
        </w:rPr>
        <w:t>23</w:t>
      </w:r>
      <w:r w:rsidR="000E7F04" w:rsidRPr="0098064C">
        <w:rPr>
          <w:rFonts w:eastAsia="黑体"/>
          <w:bCs/>
        </w:rPr>
        <w:t>日之前提供资料，说明委员会在上文第</w:t>
      </w:r>
      <w:r w:rsidR="000E7F04" w:rsidRPr="000E7F04">
        <w:rPr>
          <w:rFonts w:eastAsia="黑体"/>
          <w:bCs/>
        </w:rPr>
        <w:t>12</w:t>
      </w:r>
      <w:r w:rsidR="000E7F04" w:rsidRPr="0098064C">
        <w:rPr>
          <w:rFonts w:eastAsia="黑体"/>
          <w:bCs/>
        </w:rPr>
        <w:t>段</w:t>
      </w:r>
      <w:r w:rsidR="000E7F04" w:rsidRPr="0098064C">
        <w:rPr>
          <w:rFonts w:eastAsia="黑体"/>
          <w:bCs/>
        </w:rPr>
        <w:t>(</w:t>
      </w:r>
      <w:r w:rsidR="000E7F04" w:rsidRPr="0098064C">
        <w:rPr>
          <w:rFonts w:eastAsia="黑体"/>
          <w:bCs/>
        </w:rPr>
        <w:t>打击有罪不罚</w:t>
      </w:r>
      <w:r w:rsidR="000E7F04" w:rsidRPr="0098064C">
        <w:rPr>
          <w:rFonts w:eastAsia="黑体" w:hint="eastAsia"/>
          <w:bCs/>
        </w:rPr>
        <w:t>现象</w:t>
      </w:r>
      <w:r w:rsidR="000E7F04" w:rsidRPr="0098064C">
        <w:rPr>
          <w:rFonts w:eastAsia="黑体"/>
          <w:bCs/>
        </w:rPr>
        <w:t>和过去的侵犯人权事件</w:t>
      </w:r>
      <w:r w:rsidR="000E7F04" w:rsidRPr="0098064C">
        <w:rPr>
          <w:rFonts w:eastAsia="黑体"/>
          <w:bCs/>
        </w:rPr>
        <w:t>)</w:t>
      </w:r>
      <w:r w:rsidR="000E7F04" w:rsidRPr="0098064C">
        <w:rPr>
          <w:rFonts w:eastAsia="黑体"/>
          <w:bCs/>
        </w:rPr>
        <w:t>、第</w:t>
      </w:r>
      <w:r w:rsidR="000E7F04" w:rsidRPr="000E7F04">
        <w:rPr>
          <w:rFonts w:eastAsia="黑体"/>
          <w:bCs/>
        </w:rPr>
        <w:t>26</w:t>
      </w:r>
      <w:r w:rsidR="000E7F04" w:rsidRPr="0098064C">
        <w:rPr>
          <w:rFonts w:eastAsia="黑体"/>
          <w:bCs/>
        </w:rPr>
        <w:t>段</w:t>
      </w:r>
      <w:r w:rsidR="000E7F04" w:rsidRPr="0098064C">
        <w:rPr>
          <w:rFonts w:eastAsia="黑体"/>
          <w:bCs/>
        </w:rPr>
        <w:t>(</w:t>
      </w:r>
      <w:r w:rsidR="000E7F04" w:rsidRPr="0098064C">
        <w:rPr>
          <w:rFonts w:eastAsia="黑体"/>
          <w:bCs/>
        </w:rPr>
        <w:t>人身自由和安全</w:t>
      </w:r>
      <w:r w:rsidR="000E7F04" w:rsidRPr="0098064C">
        <w:rPr>
          <w:rFonts w:eastAsia="黑体"/>
          <w:bCs/>
        </w:rPr>
        <w:t>)</w:t>
      </w:r>
      <w:r w:rsidR="000E7F04" w:rsidRPr="0098064C">
        <w:rPr>
          <w:rFonts w:eastAsia="黑体"/>
          <w:bCs/>
        </w:rPr>
        <w:t>和第</w:t>
      </w:r>
      <w:r w:rsidR="000E7F04" w:rsidRPr="000E7F04">
        <w:rPr>
          <w:rFonts w:eastAsia="黑体"/>
          <w:bCs/>
        </w:rPr>
        <w:t>48</w:t>
      </w:r>
      <w:r w:rsidR="000E7F04" w:rsidRPr="0098064C">
        <w:rPr>
          <w:rFonts w:eastAsia="黑体"/>
          <w:bCs/>
        </w:rPr>
        <w:t>段</w:t>
      </w:r>
      <w:r w:rsidR="000E7F04" w:rsidRPr="0098064C">
        <w:rPr>
          <w:rFonts w:eastAsia="黑体"/>
          <w:bCs/>
        </w:rPr>
        <w:t>(</w:t>
      </w:r>
      <w:r w:rsidR="000E7F04" w:rsidRPr="0098064C">
        <w:rPr>
          <w:rFonts w:eastAsia="黑体"/>
          <w:bCs/>
        </w:rPr>
        <w:t>属于少数群体的人的权利</w:t>
      </w:r>
      <w:r w:rsidR="000E7F04" w:rsidRPr="0098064C">
        <w:rPr>
          <w:rFonts w:eastAsia="黑体"/>
          <w:bCs/>
        </w:rPr>
        <w:t>)</w:t>
      </w:r>
      <w:r w:rsidR="000E7F04" w:rsidRPr="0098064C">
        <w:rPr>
          <w:rFonts w:eastAsia="黑体"/>
          <w:bCs/>
        </w:rPr>
        <w:t>所提建议的落实情况。</w:t>
      </w:r>
    </w:p>
    <w:p w14:paraId="7979BEC3" w14:textId="77777777" w:rsidR="000E7F04" w:rsidRPr="0098064C" w:rsidRDefault="0098064C" w:rsidP="0098064C">
      <w:pPr>
        <w:pStyle w:val="SingleTxtGC"/>
        <w:rPr>
          <w:rFonts w:eastAsia="黑体"/>
          <w:bCs/>
        </w:rPr>
      </w:pPr>
      <w:r>
        <w:t>51</w:t>
      </w:r>
      <w:r w:rsidRPr="0098064C">
        <w:t>.</w:t>
      </w:r>
      <w:r w:rsidRPr="0098064C">
        <w:tab/>
      </w:r>
      <w:r w:rsidR="000E7F04" w:rsidRPr="0098064C">
        <w:rPr>
          <w:rFonts w:eastAsia="黑体"/>
          <w:bCs/>
        </w:rPr>
        <w:t>根据委员会可预测的审议周期，缔约国将在</w:t>
      </w:r>
      <w:r w:rsidR="000E7F04" w:rsidRPr="000E7F04">
        <w:rPr>
          <w:rFonts w:eastAsia="黑体"/>
          <w:bCs/>
        </w:rPr>
        <w:t>2</w:t>
      </w:r>
      <w:r w:rsidR="000E7F04" w:rsidRPr="0098064C">
        <w:rPr>
          <w:rFonts w:eastAsia="黑体"/>
          <w:bCs/>
        </w:rPr>
        <w:t>0</w:t>
      </w:r>
      <w:r w:rsidR="000E7F04" w:rsidRPr="000E7F04">
        <w:rPr>
          <w:rFonts w:eastAsia="黑体"/>
          <w:bCs/>
        </w:rPr>
        <w:t>3</w:t>
      </w:r>
      <w:r w:rsidR="000E7F04" w:rsidRPr="0098064C">
        <w:rPr>
          <w:rFonts w:eastAsia="黑体"/>
          <w:bCs/>
        </w:rPr>
        <w:t>0</w:t>
      </w:r>
      <w:r w:rsidR="000E7F04" w:rsidRPr="0098064C">
        <w:rPr>
          <w:rFonts w:eastAsia="黑体"/>
          <w:bCs/>
        </w:rPr>
        <w:t>年收到委员会发送的报告前问题清单，并应在一年内提交答复，该答复将构成缔约国的第五次定期报告。委员会还请缔约国在编写报告时广泛征求在缔约国开展活动的民间社会团体和非政府组织的意见。按照大会第</w:t>
      </w:r>
      <w:r w:rsidR="000E7F04" w:rsidRPr="000E7F04">
        <w:rPr>
          <w:rFonts w:eastAsia="黑体"/>
          <w:bCs/>
        </w:rPr>
        <w:t>68</w:t>
      </w:r>
      <w:r w:rsidR="000E7F04" w:rsidRPr="0098064C">
        <w:rPr>
          <w:rFonts w:eastAsia="黑体"/>
          <w:bCs/>
        </w:rPr>
        <w:t>/</w:t>
      </w:r>
      <w:r w:rsidR="000E7F04" w:rsidRPr="000E7F04">
        <w:rPr>
          <w:rFonts w:eastAsia="黑体"/>
          <w:bCs/>
        </w:rPr>
        <w:t>268</w:t>
      </w:r>
      <w:r w:rsidR="000E7F04" w:rsidRPr="0098064C">
        <w:rPr>
          <w:rFonts w:eastAsia="黑体"/>
          <w:bCs/>
        </w:rPr>
        <w:t>号决议，报告字数应限制在</w:t>
      </w:r>
      <w:r w:rsidR="000E7F04" w:rsidRPr="000E7F04">
        <w:rPr>
          <w:rFonts w:eastAsia="黑体"/>
          <w:bCs/>
        </w:rPr>
        <w:t>21,2</w:t>
      </w:r>
      <w:r w:rsidR="000E7F04" w:rsidRPr="0098064C">
        <w:rPr>
          <w:rFonts w:eastAsia="黑体"/>
          <w:bCs/>
        </w:rPr>
        <w:t>00</w:t>
      </w:r>
      <w:r w:rsidR="000E7F04" w:rsidRPr="0098064C">
        <w:rPr>
          <w:rFonts w:eastAsia="黑体"/>
          <w:bCs/>
        </w:rPr>
        <w:t>字以内。与缔约国的下一次建设性对话将于</w:t>
      </w:r>
      <w:r w:rsidR="000E7F04" w:rsidRPr="000E7F04">
        <w:rPr>
          <w:rFonts w:eastAsia="黑体"/>
          <w:bCs/>
        </w:rPr>
        <w:t>2</w:t>
      </w:r>
      <w:r w:rsidR="000E7F04" w:rsidRPr="0098064C">
        <w:rPr>
          <w:rFonts w:eastAsia="黑体"/>
          <w:bCs/>
        </w:rPr>
        <w:t>0</w:t>
      </w:r>
      <w:r w:rsidR="000E7F04" w:rsidRPr="000E7F04">
        <w:rPr>
          <w:rFonts w:eastAsia="黑体"/>
          <w:bCs/>
        </w:rPr>
        <w:t>32</w:t>
      </w:r>
      <w:r w:rsidR="000E7F04" w:rsidRPr="0098064C">
        <w:rPr>
          <w:rFonts w:eastAsia="黑体"/>
          <w:bCs/>
        </w:rPr>
        <w:t>年在日内瓦举行。</w:t>
      </w:r>
    </w:p>
    <w:p w14:paraId="1657BF7E" w14:textId="50A8C911" w:rsidR="00A20DD6" w:rsidRPr="0098064C" w:rsidRDefault="00A20DD6" w:rsidP="00E267D6">
      <w:pPr>
        <w:spacing w:before="240"/>
        <w:jc w:val="center"/>
      </w:pPr>
      <w:r>
        <w:rPr>
          <w:rFonts w:hint="eastAsia"/>
          <w:u w:val="single"/>
        </w:rPr>
        <w:tab/>
      </w:r>
      <w:r>
        <w:rPr>
          <w:rFonts w:hint="eastAsia"/>
          <w:u w:val="single"/>
        </w:rPr>
        <w:tab/>
      </w:r>
      <w:r>
        <w:rPr>
          <w:rFonts w:hint="eastAsia"/>
          <w:u w:val="single"/>
        </w:rPr>
        <w:tab/>
      </w:r>
      <w:r>
        <w:rPr>
          <w:u w:val="single"/>
        </w:rPr>
        <w:tab/>
      </w:r>
    </w:p>
    <w:sectPr w:rsidR="00A20DD6" w:rsidRPr="0098064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0A3BB" w14:textId="77777777" w:rsidR="00555A6A" w:rsidRPr="000D319F" w:rsidRDefault="00555A6A" w:rsidP="000D319F">
      <w:pPr>
        <w:pStyle w:val="af0"/>
        <w:spacing w:after="240"/>
        <w:ind w:left="907"/>
        <w:rPr>
          <w:rFonts w:asciiTheme="majorBidi" w:eastAsia="宋体" w:hAnsiTheme="majorBidi" w:cstheme="majorBidi"/>
          <w:sz w:val="21"/>
          <w:szCs w:val="21"/>
          <w:lang w:val="en-US"/>
        </w:rPr>
      </w:pPr>
    </w:p>
    <w:p w14:paraId="1725FB80" w14:textId="77777777" w:rsidR="00555A6A" w:rsidRPr="000D319F" w:rsidRDefault="00555A6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1280C22" w14:textId="77777777" w:rsidR="00555A6A" w:rsidRPr="000D319F" w:rsidRDefault="00555A6A" w:rsidP="000D319F">
      <w:pPr>
        <w:pStyle w:val="af0"/>
      </w:pPr>
    </w:p>
  </w:endnote>
  <w:endnote w:type="continuationNotice" w:id="1">
    <w:p w14:paraId="38A45608" w14:textId="77777777" w:rsidR="00555A6A" w:rsidRDefault="00555A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E05D0" w14:textId="77777777" w:rsidR="00117CCB" w:rsidRPr="00552F50" w:rsidRDefault="00552F50" w:rsidP="00552F5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52F50">
      <w:rPr>
        <w:rStyle w:val="af2"/>
        <w:b w:val="0"/>
        <w:snapToGrid w:val="0"/>
        <w:sz w:val="16"/>
      </w:rPr>
      <w:t>GE.24</w:t>
    </w:r>
    <w:proofErr w:type="spellEnd"/>
    <w:r w:rsidRPr="00552F50">
      <w:rPr>
        <w:rStyle w:val="af2"/>
        <w:b w:val="0"/>
        <w:snapToGrid w:val="0"/>
        <w:sz w:val="16"/>
      </w:rPr>
      <w:t>-14145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E94F" w14:textId="77777777" w:rsidR="00117CCB" w:rsidRPr="00552F50" w:rsidRDefault="00552F50" w:rsidP="00552F50">
    <w:pPr>
      <w:pStyle w:val="af0"/>
      <w:tabs>
        <w:tab w:val="clear" w:pos="431"/>
        <w:tab w:val="right" w:pos="9638"/>
      </w:tabs>
      <w:rPr>
        <w:rStyle w:val="af2"/>
      </w:rPr>
    </w:pPr>
    <w:proofErr w:type="spellStart"/>
    <w:r>
      <w:t>GE.24</w:t>
    </w:r>
    <w:proofErr w:type="spellEnd"/>
    <w:r>
      <w:t>-14145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20377" w14:textId="5A029CBF" w:rsidR="00117CCB" w:rsidRPr="00487939" w:rsidRDefault="00552F5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75E0740" wp14:editId="4D49133E">
          <wp:simplePos x="0" y="0"/>
          <wp:positionH relativeFrom="column">
            <wp:align>right</wp:align>
          </wp:positionH>
          <wp:positionV relativeFrom="paragraph">
            <wp:posOffset>-69850</wp:posOffset>
          </wp:positionV>
          <wp:extent cx="571500" cy="571500"/>
          <wp:effectExtent l="0" t="0" r="0" b="0"/>
          <wp:wrapNone/>
          <wp:docPr id="10228221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-14145</w:t>
    </w:r>
    <w:r w:rsidR="00731A42" w:rsidRPr="00EE277A">
      <w:rPr>
        <w:sz w:val="20"/>
        <w:lang w:eastAsia="zh-CN"/>
      </w:rPr>
      <w:t xml:space="preserve"> (C)</w:t>
    </w:r>
    <w:r w:rsidR="00EA7E67">
      <w:rPr>
        <w:sz w:val="20"/>
        <w:lang w:eastAsia="zh-CN"/>
      </w:rPr>
      <w:tab/>
    </w:r>
    <w:r w:rsidR="00551078">
      <w:rPr>
        <w:sz w:val="20"/>
        <w:lang w:eastAsia="zh-CN"/>
      </w:rPr>
      <w:t>1809</w:t>
    </w:r>
    <w:r w:rsidR="0060122D">
      <w:rPr>
        <w:sz w:val="20"/>
        <w:lang w:eastAsia="zh-CN"/>
      </w:rPr>
      <w:t>2</w:t>
    </w:r>
    <w:r w:rsidR="00912990">
      <w:rPr>
        <w:sz w:val="20"/>
        <w:lang w:eastAsia="zh-CN"/>
      </w:rPr>
      <w:t>4</w:t>
    </w:r>
    <w:r w:rsidR="00731A42">
      <w:rPr>
        <w:sz w:val="20"/>
        <w:lang w:eastAsia="zh-CN"/>
      </w:rPr>
      <w:tab/>
    </w:r>
    <w:r w:rsidR="007A5E78">
      <w:rPr>
        <w:sz w:val="20"/>
        <w:lang w:eastAsia="zh-CN"/>
      </w:rPr>
      <w:t>100</w:t>
    </w:r>
    <w:r w:rsidR="00551078">
      <w:rPr>
        <w:sz w:val="20"/>
        <w:lang w:eastAsia="zh-CN"/>
      </w:rPr>
      <w:t>8</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07740812" wp14:editId="0966462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E44C9" w14:textId="77777777" w:rsidR="00555A6A" w:rsidRPr="000157B1" w:rsidRDefault="00555A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6290768" w14:textId="77777777" w:rsidR="00555A6A" w:rsidRPr="000157B1" w:rsidRDefault="00555A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3691910" w14:textId="77777777" w:rsidR="00555A6A" w:rsidRDefault="00555A6A"/>
  </w:footnote>
  <w:footnote w:id="2">
    <w:p w14:paraId="0EF9E3E5" w14:textId="60E0E013" w:rsidR="0098064C" w:rsidRPr="004569BE" w:rsidRDefault="0098064C" w:rsidP="0098064C">
      <w:pPr>
        <w:pStyle w:val="a6"/>
      </w:pPr>
      <w:r w:rsidRPr="004569BE">
        <w:rPr>
          <w:sz w:val="21"/>
          <w:szCs w:val="21"/>
          <w:lang w:val="zh-CN"/>
        </w:rPr>
        <w:tab/>
        <w:t>*</w:t>
      </w:r>
      <w:r w:rsidR="002712FB" w:rsidRPr="004569BE">
        <w:rPr>
          <w:sz w:val="21"/>
          <w:szCs w:val="21"/>
        </w:rPr>
        <w:tab/>
      </w:r>
      <w:r w:rsidRPr="004569BE">
        <w:rPr>
          <w:lang w:val="zh-CN"/>
        </w:rPr>
        <w:t>委员会第一</w:t>
      </w:r>
      <w:r w:rsidRPr="004569BE">
        <w:rPr>
          <w:rFonts w:hint="eastAsia"/>
          <w:lang w:val="zh-CN"/>
        </w:rPr>
        <w:t>百</w:t>
      </w:r>
      <w:r w:rsidRPr="004569BE">
        <w:rPr>
          <w:lang w:val="zh-CN"/>
        </w:rPr>
        <w:t>四</w:t>
      </w:r>
      <w:r w:rsidRPr="004569BE">
        <w:rPr>
          <w:rFonts w:hint="eastAsia"/>
          <w:lang w:val="zh-CN"/>
        </w:rPr>
        <w:t>十</w:t>
      </w:r>
      <w:r w:rsidRPr="004569BE">
        <w:rPr>
          <w:lang w:val="zh-CN"/>
        </w:rPr>
        <w:t>一届会议</w:t>
      </w:r>
      <w:r w:rsidRPr="004569BE">
        <w:rPr>
          <w:lang w:val="zh-CN"/>
        </w:rPr>
        <w:t>(2024</w:t>
      </w:r>
      <w:r w:rsidRPr="004569BE">
        <w:rPr>
          <w:lang w:val="zh-CN"/>
        </w:rPr>
        <w:t>年</w:t>
      </w:r>
      <w:r w:rsidRPr="004569BE">
        <w:rPr>
          <w:lang w:val="zh-CN"/>
        </w:rPr>
        <w:t>7</w:t>
      </w:r>
      <w:r w:rsidRPr="004569BE">
        <w:rPr>
          <w:lang w:val="zh-CN"/>
        </w:rPr>
        <w:t>月</w:t>
      </w:r>
      <w:r w:rsidRPr="004569BE">
        <w:rPr>
          <w:lang w:val="zh-CN"/>
        </w:rPr>
        <w:t>1</w:t>
      </w:r>
      <w:r w:rsidRPr="004569BE">
        <w:rPr>
          <w:lang w:val="zh-CN"/>
        </w:rPr>
        <w:t>日至</w:t>
      </w:r>
      <w:r w:rsidRPr="004569BE">
        <w:rPr>
          <w:lang w:val="zh-CN"/>
        </w:rPr>
        <w:t>23</w:t>
      </w:r>
      <w:r w:rsidRPr="004569BE">
        <w:rPr>
          <w:lang w:val="zh-CN"/>
        </w:rPr>
        <w:t>日</w:t>
      </w:r>
      <w:r w:rsidRPr="004569BE">
        <w:rPr>
          <w:lang w:val="zh-CN"/>
        </w:rPr>
        <w:t>)</w:t>
      </w:r>
      <w:r w:rsidRPr="004569BE">
        <w:rPr>
          <w:lang w:val="zh-CN"/>
        </w:rPr>
        <w:t>通过。</w:t>
      </w:r>
    </w:p>
  </w:footnote>
  <w:footnote w:id="3">
    <w:p w14:paraId="23A88410" w14:textId="756EA423" w:rsidR="0098064C" w:rsidRPr="004569BE" w:rsidRDefault="0098064C" w:rsidP="0098064C">
      <w:pPr>
        <w:pStyle w:val="a6"/>
      </w:pPr>
      <w:r w:rsidRPr="004569BE">
        <w:rPr>
          <w:lang w:val="zh-CN"/>
        </w:rPr>
        <w:tab/>
      </w:r>
      <w:r w:rsidRPr="004569BE">
        <w:rPr>
          <w:rStyle w:val="a8"/>
          <w:rFonts w:eastAsia="宋体"/>
          <w:lang w:val="zh-CN"/>
        </w:rPr>
        <w:footnoteRef/>
      </w:r>
      <w:r w:rsidRPr="004569BE">
        <w:rPr>
          <w:lang w:val="zh-CN"/>
        </w:rPr>
        <w:tab/>
      </w:r>
      <w:r w:rsidRPr="004569BE">
        <w:rPr>
          <w:lang w:val="zh-CN"/>
        </w:rPr>
        <w:t>见</w:t>
      </w:r>
      <w:r w:rsidRPr="004569BE">
        <w:rPr>
          <w:lang w:val="zh-CN"/>
        </w:rPr>
        <w:t>CCPR/C/SR.4128</w:t>
      </w:r>
      <w:r w:rsidRPr="004569BE">
        <w:rPr>
          <w:lang w:val="zh-CN"/>
        </w:rPr>
        <w:t>和</w:t>
      </w:r>
      <w:r w:rsidRPr="004569BE">
        <w:rPr>
          <w:lang w:val="zh-CN"/>
        </w:rPr>
        <w:t>CCPR/C/SR.4129</w:t>
      </w:r>
      <w:r w:rsidRPr="004569BE">
        <w:rPr>
          <w:lang w:val="zh-CN"/>
        </w:rPr>
        <w:t>。</w:t>
      </w:r>
    </w:p>
  </w:footnote>
  <w:footnote w:id="4">
    <w:p w14:paraId="12DF1250" w14:textId="28BF3F8A" w:rsidR="0098064C" w:rsidRPr="004569BE" w:rsidRDefault="0098064C" w:rsidP="0098064C">
      <w:pPr>
        <w:pStyle w:val="a6"/>
      </w:pPr>
      <w:r w:rsidRPr="004569BE">
        <w:rPr>
          <w:lang w:val="zh-CN"/>
        </w:rPr>
        <w:tab/>
      </w:r>
      <w:r w:rsidRPr="004569BE">
        <w:rPr>
          <w:rStyle w:val="a8"/>
          <w:rFonts w:eastAsia="宋体"/>
          <w:lang w:val="zh-CN"/>
        </w:rPr>
        <w:footnoteRef/>
      </w:r>
      <w:r w:rsidRPr="004569BE">
        <w:rPr>
          <w:lang w:val="zh-CN"/>
        </w:rPr>
        <w:tab/>
      </w:r>
      <w:r w:rsidRPr="004569BE">
        <w:rPr>
          <w:lang w:val="zh-CN"/>
        </w:rPr>
        <w:t>CCPR/C/SUR/4.</w:t>
      </w:r>
    </w:p>
  </w:footnote>
  <w:footnote w:id="5">
    <w:p w14:paraId="12CE38E5" w14:textId="1BAE60A6" w:rsidR="0098064C" w:rsidRPr="004569BE" w:rsidRDefault="0098064C" w:rsidP="0098064C">
      <w:pPr>
        <w:pStyle w:val="a6"/>
      </w:pPr>
      <w:r w:rsidRPr="004569BE">
        <w:rPr>
          <w:lang w:val="zh-CN"/>
        </w:rPr>
        <w:tab/>
      </w:r>
      <w:r w:rsidRPr="004569BE">
        <w:rPr>
          <w:rStyle w:val="a8"/>
          <w:rFonts w:eastAsia="宋体"/>
          <w:lang w:val="zh-CN"/>
        </w:rPr>
        <w:footnoteRef/>
      </w:r>
      <w:r w:rsidRPr="004569BE">
        <w:rPr>
          <w:lang w:val="zh-CN"/>
        </w:rPr>
        <w:tab/>
      </w:r>
      <w:r w:rsidRPr="004569BE">
        <w:rPr>
          <w:lang w:val="zh-CN"/>
        </w:rPr>
        <w:t>CCPR/C/SUR/Q/4.</w:t>
      </w:r>
    </w:p>
  </w:footnote>
  <w:footnote w:id="6">
    <w:p w14:paraId="0C6954A7" w14:textId="3EE32AEE" w:rsidR="0098064C" w:rsidRPr="004569BE" w:rsidRDefault="0098064C" w:rsidP="0098064C">
      <w:pPr>
        <w:pStyle w:val="a6"/>
      </w:pPr>
      <w:r w:rsidRPr="004569BE">
        <w:rPr>
          <w:lang w:val="zh-CN"/>
        </w:rPr>
        <w:tab/>
      </w:r>
      <w:r w:rsidRPr="004569BE">
        <w:rPr>
          <w:rStyle w:val="a8"/>
          <w:rFonts w:eastAsia="宋体"/>
          <w:lang w:val="zh-CN"/>
        </w:rPr>
        <w:footnoteRef/>
      </w:r>
      <w:r w:rsidRPr="004569BE">
        <w:rPr>
          <w:lang w:val="zh-CN"/>
        </w:rPr>
        <w:tab/>
      </w:r>
      <w:r w:rsidRPr="004569BE">
        <w:rPr>
          <w:lang w:val="zh-CN"/>
        </w:rPr>
        <w:t>CCPR/C/SUR/RQ/4.</w:t>
      </w:r>
    </w:p>
  </w:footnote>
  <w:footnote w:id="7">
    <w:p w14:paraId="3FE14BA2" w14:textId="0D79CC4E" w:rsidR="0098064C" w:rsidRPr="004569BE" w:rsidRDefault="0098064C" w:rsidP="0098064C">
      <w:pPr>
        <w:pStyle w:val="a6"/>
        <w:rPr>
          <w:lang w:val="fr-FR"/>
        </w:rPr>
      </w:pPr>
      <w:r w:rsidRPr="004569BE">
        <w:rPr>
          <w:lang w:val="zh-CN"/>
        </w:rPr>
        <w:tab/>
      </w:r>
      <w:r w:rsidRPr="004569BE">
        <w:rPr>
          <w:rStyle w:val="a8"/>
          <w:rFonts w:eastAsia="宋体"/>
          <w:lang w:val="zh-CN"/>
        </w:rPr>
        <w:footnoteRef/>
      </w:r>
      <w:r w:rsidRPr="004569BE">
        <w:rPr>
          <w:lang w:val="fr-FR"/>
        </w:rPr>
        <w:tab/>
      </w:r>
      <w:hyperlink r:id="rId1" w:history="1">
        <w:proofErr w:type="spellStart"/>
        <w:r w:rsidRPr="004569BE">
          <w:rPr>
            <w:rStyle w:val="af6"/>
            <w:u w:val="none"/>
            <w:lang w:val="fr-FR"/>
          </w:rPr>
          <w:t>CERD</w:t>
        </w:r>
        <w:proofErr w:type="spellEnd"/>
        <w:r w:rsidRPr="004569BE">
          <w:rPr>
            <w:rStyle w:val="af6"/>
            <w:u w:val="none"/>
            <w:lang w:val="fr-FR"/>
          </w:rPr>
          <w:t>/C/SUR/CO/16-18</w:t>
        </w:r>
      </w:hyperlink>
      <w:r w:rsidRPr="004569BE">
        <w:rPr>
          <w:lang w:val="fr-FR"/>
        </w:rPr>
        <w:t>，</w:t>
      </w:r>
      <w:r w:rsidRPr="004569BE">
        <w:rPr>
          <w:lang w:val="zh-CN"/>
        </w:rPr>
        <w:t>第</w:t>
      </w:r>
      <w:r w:rsidRPr="004569BE">
        <w:rPr>
          <w:lang w:val="fr-FR"/>
        </w:rPr>
        <w:t>10</w:t>
      </w:r>
      <w:r w:rsidRPr="004569BE">
        <w:rPr>
          <w:lang w:val="zh-CN"/>
        </w:rPr>
        <w:t>段。</w:t>
      </w:r>
    </w:p>
  </w:footnote>
  <w:footnote w:id="8">
    <w:p w14:paraId="411F4BD6" w14:textId="0BD9E543" w:rsidR="0098064C" w:rsidRPr="004569BE" w:rsidRDefault="0098064C" w:rsidP="0098064C">
      <w:pPr>
        <w:pStyle w:val="a6"/>
        <w:rPr>
          <w:lang w:val="fr-FR"/>
        </w:rPr>
      </w:pPr>
      <w:r w:rsidRPr="004569BE">
        <w:rPr>
          <w:lang w:val="fr-FR"/>
        </w:rPr>
        <w:tab/>
      </w:r>
      <w:r w:rsidRPr="004569BE">
        <w:rPr>
          <w:rStyle w:val="a8"/>
          <w:rFonts w:eastAsia="宋体"/>
          <w:lang w:val="zh-CN"/>
        </w:rPr>
        <w:footnoteRef/>
      </w:r>
      <w:r w:rsidRPr="004569BE">
        <w:rPr>
          <w:lang w:val="fr-FR"/>
        </w:rPr>
        <w:tab/>
      </w:r>
      <w:hyperlink r:id="rId2" w:history="1">
        <w:proofErr w:type="spellStart"/>
        <w:r w:rsidRPr="004569BE">
          <w:rPr>
            <w:rStyle w:val="af6"/>
            <w:u w:val="none"/>
            <w:lang w:val="fr-FR"/>
          </w:rPr>
          <w:t>CCPR</w:t>
        </w:r>
        <w:proofErr w:type="spellEnd"/>
        <w:r w:rsidRPr="004569BE">
          <w:rPr>
            <w:rStyle w:val="af6"/>
            <w:u w:val="none"/>
            <w:lang w:val="fr-FR"/>
          </w:rPr>
          <w:t>/C/SUR/CO/3</w:t>
        </w:r>
      </w:hyperlink>
      <w:r w:rsidRPr="004569BE">
        <w:rPr>
          <w:lang w:val="fr-FR"/>
        </w:rPr>
        <w:t>.</w:t>
      </w:r>
    </w:p>
  </w:footnote>
  <w:footnote w:id="9">
    <w:p w14:paraId="68AD1D3E" w14:textId="77777777" w:rsidR="0098064C" w:rsidRPr="004569BE" w:rsidRDefault="0098064C" w:rsidP="0098064C">
      <w:pPr>
        <w:pStyle w:val="a6"/>
        <w:rPr>
          <w:lang w:val="fr-FR"/>
        </w:rPr>
      </w:pPr>
      <w:r w:rsidRPr="004569BE">
        <w:rPr>
          <w:lang w:val="fr-FR"/>
        </w:rPr>
        <w:tab/>
      </w:r>
      <w:r w:rsidRPr="004569BE">
        <w:rPr>
          <w:rStyle w:val="a8"/>
          <w:rFonts w:eastAsia="宋体"/>
          <w:lang w:val="zh-CN"/>
        </w:rPr>
        <w:footnoteRef/>
      </w:r>
      <w:r w:rsidRPr="004569BE">
        <w:rPr>
          <w:lang w:val="fr-FR"/>
        </w:rPr>
        <w:tab/>
      </w:r>
      <w:r w:rsidRPr="004569BE">
        <w:rPr>
          <w:lang w:val="zh-CN"/>
        </w:rPr>
        <w:t>同上</w:t>
      </w:r>
      <w:r w:rsidRPr="004569BE">
        <w:rPr>
          <w:lang w:val="fr-FR"/>
        </w:rPr>
        <w:t>，</w:t>
      </w:r>
      <w:r w:rsidRPr="004569BE">
        <w:rPr>
          <w:lang w:val="zh-CN"/>
        </w:rPr>
        <w:t>第</w:t>
      </w:r>
      <w:r w:rsidRPr="004569BE">
        <w:rPr>
          <w:lang w:val="fr-FR"/>
        </w:rPr>
        <w:t>33</w:t>
      </w:r>
      <w:r w:rsidRPr="004569BE">
        <w:rPr>
          <w:lang w:val="zh-CN"/>
        </w:rPr>
        <w:t>、</w:t>
      </w:r>
      <w:r w:rsidRPr="004569BE">
        <w:rPr>
          <w:lang w:val="fr-FR"/>
        </w:rPr>
        <w:t>34</w:t>
      </w:r>
      <w:r w:rsidRPr="004569BE">
        <w:rPr>
          <w:lang w:val="zh-CN"/>
        </w:rPr>
        <w:t>、</w:t>
      </w:r>
      <w:r w:rsidRPr="004569BE">
        <w:rPr>
          <w:lang w:val="fr-FR"/>
        </w:rPr>
        <w:t>39</w:t>
      </w:r>
      <w:r w:rsidRPr="004569BE">
        <w:rPr>
          <w:lang w:val="zh-CN"/>
        </w:rPr>
        <w:t>和</w:t>
      </w:r>
      <w:r w:rsidRPr="004569BE">
        <w:rPr>
          <w:lang w:val="fr-FR"/>
        </w:rPr>
        <w:t>40</w:t>
      </w:r>
      <w:r w:rsidRPr="004569BE">
        <w:rPr>
          <w:lang w:val="zh-CN"/>
        </w:rPr>
        <w:t>段。</w:t>
      </w:r>
    </w:p>
  </w:footnote>
  <w:footnote w:id="10">
    <w:p w14:paraId="5447BED2" w14:textId="77777777" w:rsidR="0098064C" w:rsidRPr="004569BE" w:rsidRDefault="0098064C" w:rsidP="0098064C">
      <w:pPr>
        <w:pStyle w:val="a6"/>
        <w:rPr>
          <w:lang w:val="fr-FR"/>
        </w:rPr>
      </w:pPr>
      <w:r w:rsidRPr="004569BE">
        <w:rPr>
          <w:lang w:val="fr-FR"/>
        </w:rPr>
        <w:tab/>
      </w:r>
      <w:r w:rsidRPr="004569BE">
        <w:rPr>
          <w:rStyle w:val="a8"/>
          <w:rFonts w:eastAsia="宋体"/>
          <w:lang w:val="zh-CN"/>
        </w:rPr>
        <w:footnoteRef/>
      </w:r>
      <w:r w:rsidRPr="004569BE">
        <w:rPr>
          <w:lang w:val="fr-FR"/>
        </w:rPr>
        <w:tab/>
      </w:r>
      <w:r w:rsidRPr="004569BE">
        <w:rPr>
          <w:lang w:val="zh-CN"/>
        </w:rPr>
        <w:t>同上</w:t>
      </w:r>
      <w:r w:rsidRPr="004569BE">
        <w:rPr>
          <w:lang w:val="fr-FR"/>
        </w:rPr>
        <w:t>，</w:t>
      </w:r>
      <w:r w:rsidRPr="004569BE">
        <w:rPr>
          <w:lang w:val="zh-CN"/>
        </w:rPr>
        <w:t>第</w:t>
      </w:r>
      <w:r w:rsidRPr="004569BE">
        <w:rPr>
          <w:lang w:val="fr-FR"/>
        </w:rPr>
        <w:t>41</w:t>
      </w:r>
      <w:r w:rsidRPr="004569BE">
        <w:rPr>
          <w:lang w:val="zh-CN"/>
        </w:rPr>
        <w:t>和</w:t>
      </w:r>
      <w:r w:rsidRPr="004569BE">
        <w:rPr>
          <w:lang w:val="fr-FR"/>
        </w:rPr>
        <w:t>42</w:t>
      </w:r>
      <w:r w:rsidRPr="004569BE">
        <w:rPr>
          <w:lang w:val="zh-CN"/>
        </w:rPr>
        <w:t>段。</w:t>
      </w:r>
    </w:p>
  </w:footnote>
  <w:footnote w:id="11">
    <w:p w14:paraId="5F705C53" w14:textId="1DED4385" w:rsidR="0098064C" w:rsidRPr="004569BE" w:rsidRDefault="0098064C" w:rsidP="0098064C">
      <w:pPr>
        <w:pStyle w:val="a6"/>
      </w:pPr>
      <w:r w:rsidRPr="004569BE">
        <w:rPr>
          <w:lang w:val="fr-FR"/>
        </w:rPr>
        <w:tab/>
      </w:r>
      <w:r w:rsidRPr="004569BE">
        <w:rPr>
          <w:rStyle w:val="a8"/>
          <w:rFonts w:eastAsia="宋体"/>
          <w:lang w:val="zh-CN"/>
        </w:rPr>
        <w:footnoteRef/>
      </w:r>
      <w:r w:rsidRPr="004569BE">
        <w:rPr>
          <w:lang w:val="zh-CN"/>
        </w:rPr>
        <w:tab/>
      </w:r>
      <w:r w:rsidRPr="004569BE">
        <w:rPr>
          <w:lang w:val="zh-CN"/>
        </w:rPr>
        <w:t>第</w:t>
      </w:r>
      <w:r w:rsidRPr="004569BE">
        <w:rPr>
          <w:lang w:val="zh-CN"/>
        </w:rPr>
        <w:t>37</w:t>
      </w:r>
      <w:r w:rsidRPr="004569BE">
        <w:rPr>
          <w:lang w:val="zh-CN"/>
        </w:rPr>
        <w:t>号一般性意见</w:t>
      </w:r>
      <w:r w:rsidR="00356912" w:rsidRPr="004569BE">
        <w:t>(</w:t>
      </w:r>
      <w:r w:rsidRPr="004569BE">
        <w:rPr>
          <w:lang w:val="zh-CN"/>
        </w:rPr>
        <w:t>2020</w:t>
      </w:r>
      <w:r w:rsidRPr="004569BE">
        <w:rPr>
          <w:lang w:val="zh-CN"/>
        </w:rPr>
        <w:t>年</w:t>
      </w:r>
      <w:r w:rsidR="00356912" w:rsidRPr="004569BE">
        <w:t>)</w:t>
      </w:r>
      <w:r w:rsidRPr="004569BE">
        <w:rPr>
          <w:lang w:val="zh-CN"/>
        </w:rPr>
        <w:t>，第</w:t>
      </w:r>
      <w:r w:rsidRPr="004569BE">
        <w:rPr>
          <w:lang w:val="zh-CN"/>
        </w:rPr>
        <w:t>65</w:t>
      </w:r>
      <w:r w:rsidRPr="004569BE">
        <w:rPr>
          <w:lang w:val="zh-CN"/>
        </w:rPr>
        <w:t>段。</w:t>
      </w:r>
    </w:p>
  </w:footnote>
  <w:footnote w:id="12">
    <w:p w14:paraId="7492B46A" w14:textId="77777777" w:rsidR="0098064C" w:rsidRPr="004569BE" w:rsidRDefault="0098064C" w:rsidP="0098064C">
      <w:pPr>
        <w:pStyle w:val="a6"/>
      </w:pPr>
      <w:r w:rsidRPr="004569BE">
        <w:rPr>
          <w:lang w:val="zh-CN"/>
        </w:rPr>
        <w:tab/>
      </w:r>
      <w:r w:rsidRPr="004569BE">
        <w:rPr>
          <w:rStyle w:val="a8"/>
          <w:rFonts w:eastAsia="宋体"/>
          <w:lang w:val="zh-CN"/>
        </w:rPr>
        <w:footnoteRef/>
      </w:r>
      <w:r w:rsidRPr="004569BE">
        <w:rPr>
          <w:lang w:val="zh-CN"/>
        </w:rPr>
        <w:tab/>
      </w:r>
      <w:r w:rsidRPr="004569BE">
        <w:rPr>
          <w:lang w:val="zh-CN"/>
        </w:rPr>
        <w:t>同上，第</w:t>
      </w:r>
      <w:r w:rsidRPr="004569BE">
        <w:rPr>
          <w:lang w:val="zh-CN"/>
        </w:rPr>
        <w:t>47</w:t>
      </w:r>
      <w:r w:rsidRPr="004569BE">
        <w:rPr>
          <w:lang w:val="zh-CN"/>
        </w:rPr>
        <w:t>和</w:t>
      </w:r>
      <w:r w:rsidRPr="004569BE">
        <w:rPr>
          <w:lang w:val="zh-CN"/>
        </w:rPr>
        <w:t>78</w:t>
      </w:r>
      <w:r w:rsidRPr="004569BE">
        <w:rPr>
          <w:lang w:val="zh-CN"/>
        </w:rPr>
        <w:t>段。</w:t>
      </w:r>
    </w:p>
  </w:footnote>
  <w:footnote w:id="13">
    <w:p w14:paraId="3B2045A9" w14:textId="55504334" w:rsidR="0098064C" w:rsidRPr="004569BE" w:rsidRDefault="0098064C" w:rsidP="0098064C">
      <w:pPr>
        <w:pStyle w:val="a6"/>
      </w:pPr>
      <w:r w:rsidRPr="004569BE">
        <w:rPr>
          <w:lang w:val="zh-CN"/>
        </w:rPr>
        <w:tab/>
      </w:r>
      <w:r w:rsidRPr="004569BE">
        <w:rPr>
          <w:rStyle w:val="a8"/>
          <w:rFonts w:eastAsia="宋体"/>
          <w:lang w:val="zh-CN"/>
        </w:rPr>
        <w:footnoteRef/>
      </w:r>
      <w:r w:rsidRPr="004569BE">
        <w:rPr>
          <w:lang w:val="zh-CN"/>
        </w:rPr>
        <w:tab/>
      </w:r>
      <w:hyperlink r:id="rId3" w:history="1">
        <w:r w:rsidRPr="004569BE">
          <w:rPr>
            <w:rStyle w:val="af6"/>
            <w:u w:val="none"/>
            <w:lang w:val="zh-CN"/>
          </w:rPr>
          <w:t>CERD/C/SUR/CO/16-18</w:t>
        </w:r>
      </w:hyperlink>
      <w:r w:rsidRPr="004569BE">
        <w:rPr>
          <w:lang w:val="zh-CN"/>
        </w:rPr>
        <w:t>，第</w:t>
      </w:r>
      <w:r w:rsidRPr="004569BE">
        <w:rPr>
          <w:lang w:val="zh-CN"/>
        </w:rPr>
        <w:t>19-24</w:t>
      </w:r>
      <w:r w:rsidRPr="004569BE">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8E95B" w14:textId="77777777" w:rsidR="00117CCB" w:rsidRDefault="00552F50" w:rsidP="00552F50">
    <w:pPr>
      <w:pStyle w:val="af3"/>
    </w:pPr>
    <w:proofErr w:type="spellStart"/>
    <w:r>
      <w:t>CCPR</w:t>
    </w:r>
    <w:proofErr w:type="spellEnd"/>
    <w:r>
      <w:t>/C/SUR/CO/4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6889" w14:textId="77777777" w:rsidR="00117CCB" w:rsidRPr="00202A30" w:rsidRDefault="00552F50" w:rsidP="00552F50">
    <w:pPr>
      <w:pStyle w:val="af3"/>
      <w:jc w:val="right"/>
    </w:pPr>
    <w:proofErr w:type="spellStart"/>
    <w:r>
      <w:t>CCPR</w:t>
    </w:r>
    <w:proofErr w:type="spellEnd"/>
    <w:r>
      <w:t>/C/SUR/CO/4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A6A"/>
    <w:rsid w:val="00011483"/>
    <w:rsid w:val="0004554F"/>
    <w:rsid w:val="000B5AD4"/>
    <w:rsid w:val="000D319F"/>
    <w:rsid w:val="000E4D0E"/>
    <w:rsid w:val="000E7F04"/>
    <w:rsid w:val="000F5EB8"/>
    <w:rsid w:val="00117CCB"/>
    <w:rsid w:val="00126EB7"/>
    <w:rsid w:val="00144B69"/>
    <w:rsid w:val="00153E86"/>
    <w:rsid w:val="00172E04"/>
    <w:rsid w:val="001B1BD1"/>
    <w:rsid w:val="001C3EF2"/>
    <w:rsid w:val="001D17F6"/>
    <w:rsid w:val="001E273E"/>
    <w:rsid w:val="001F5556"/>
    <w:rsid w:val="00204B42"/>
    <w:rsid w:val="0021265F"/>
    <w:rsid w:val="002231C3"/>
    <w:rsid w:val="0024417F"/>
    <w:rsid w:val="00250F8D"/>
    <w:rsid w:val="0025482B"/>
    <w:rsid w:val="002712FB"/>
    <w:rsid w:val="002B5450"/>
    <w:rsid w:val="002E1C97"/>
    <w:rsid w:val="002F5834"/>
    <w:rsid w:val="003006AB"/>
    <w:rsid w:val="00326EBF"/>
    <w:rsid w:val="00327FE4"/>
    <w:rsid w:val="003333CC"/>
    <w:rsid w:val="0035453A"/>
    <w:rsid w:val="00356912"/>
    <w:rsid w:val="00385347"/>
    <w:rsid w:val="00427F63"/>
    <w:rsid w:val="00434D38"/>
    <w:rsid w:val="004569BE"/>
    <w:rsid w:val="00494EB8"/>
    <w:rsid w:val="004B76FC"/>
    <w:rsid w:val="004C108C"/>
    <w:rsid w:val="004C4A0A"/>
    <w:rsid w:val="004D0A00"/>
    <w:rsid w:val="004E473D"/>
    <w:rsid w:val="004F348E"/>
    <w:rsid w:val="00501220"/>
    <w:rsid w:val="00551078"/>
    <w:rsid w:val="00552F50"/>
    <w:rsid w:val="00555A6A"/>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7A5E78"/>
    <w:rsid w:val="007B2A30"/>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064C"/>
    <w:rsid w:val="00986624"/>
    <w:rsid w:val="009B09D7"/>
    <w:rsid w:val="009C7ECF"/>
    <w:rsid w:val="009D35ED"/>
    <w:rsid w:val="009E4D61"/>
    <w:rsid w:val="00A03CB6"/>
    <w:rsid w:val="00A1364C"/>
    <w:rsid w:val="00A20DD6"/>
    <w:rsid w:val="00A21076"/>
    <w:rsid w:val="00A31BA8"/>
    <w:rsid w:val="00A3739A"/>
    <w:rsid w:val="00A52DAF"/>
    <w:rsid w:val="00A84072"/>
    <w:rsid w:val="00B16570"/>
    <w:rsid w:val="00B23B03"/>
    <w:rsid w:val="00B43EB7"/>
    <w:rsid w:val="00B53320"/>
    <w:rsid w:val="00B614C4"/>
    <w:rsid w:val="00B712F3"/>
    <w:rsid w:val="00BC6522"/>
    <w:rsid w:val="00BE1FFE"/>
    <w:rsid w:val="00BF4379"/>
    <w:rsid w:val="00C121D5"/>
    <w:rsid w:val="00C13AFF"/>
    <w:rsid w:val="00C17349"/>
    <w:rsid w:val="00C323A4"/>
    <w:rsid w:val="00C351AA"/>
    <w:rsid w:val="00C43CF0"/>
    <w:rsid w:val="00C70852"/>
    <w:rsid w:val="00C7253F"/>
    <w:rsid w:val="00C829C3"/>
    <w:rsid w:val="00C90707"/>
    <w:rsid w:val="00CE1D1C"/>
    <w:rsid w:val="00CF4A2B"/>
    <w:rsid w:val="00D26A05"/>
    <w:rsid w:val="00D9309B"/>
    <w:rsid w:val="00D97B98"/>
    <w:rsid w:val="00DB0D94"/>
    <w:rsid w:val="00DC671F"/>
    <w:rsid w:val="00DE4DA7"/>
    <w:rsid w:val="00E02C13"/>
    <w:rsid w:val="00E267D6"/>
    <w:rsid w:val="00E33B38"/>
    <w:rsid w:val="00E442A1"/>
    <w:rsid w:val="00E47FE5"/>
    <w:rsid w:val="00E574AF"/>
    <w:rsid w:val="00E73B33"/>
    <w:rsid w:val="00EA7E67"/>
    <w:rsid w:val="00F24E6D"/>
    <w:rsid w:val="00F379B8"/>
    <w:rsid w:val="00F40CA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54638"/>
  <w15:docId w15:val="{5873BEB8-36FA-4744-B101-9FE8EF459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7A5E78"/>
    <w:rPr>
      <w:color w:val="0000FF"/>
      <w:u w:val="single"/>
    </w:rPr>
  </w:style>
  <w:style w:type="character" w:styleId="af7">
    <w:name w:val="FollowedHyperlink"/>
    <w:basedOn w:val="a0"/>
    <w:uiPriority w:val="99"/>
    <w:semiHidden/>
    <w:unhideWhenUsed/>
    <w:rsid w:val="007A5E78"/>
    <w:rPr>
      <w:color w:val="0000FF"/>
      <w:u w:val="single"/>
    </w:rPr>
  </w:style>
  <w:style w:type="character" w:styleId="af8">
    <w:name w:val="Unresolved Mention"/>
    <w:basedOn w:val="a0"/>
    <w:uiPriority w:val="99"/>
    <w:semiHidden/>
    <w:unhideWhenUsed/>
    <w:rsid w:val="007A5E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RD/C/SUR/CO/16-18" TargetMode="External"/><Relationship Id="rId2" Type="http://schemas.openxmlformats.org/officeDocument/2006/relationships/hyperlink" Target="http://undocs.org/ch/CCPR/C/SUR/CO/3" TargetMode="External"/><Relationship Id="rId1" Type="http://schemas.openxmlformats.org/officeDocument/2006/relationships/hyperlink" Target="http://undocs.org/ch/CERD/C/SUR/CO/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11629</Words>
  <Characters>12234</Characters>
  <Application>Microsoft Office Word</Application>
  <DocSecurity>0</DocSecurity>
  <Lines>436</Lines>
  <Paragraphs>161</Paragraphs>
  <ScaleCrop>false</ScaleCrop>
  <Company>DCM</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CCPR/C/SUR/CO/4</dc:title>
  <dc:subject>2414145</dc:subject>
  <dc:creator>JI</dc:creator>
  <cp:keywords/>
  <dc:description/>
  <cp:lastModifiedBy>Xiangli Ferschin-Ji</cp:lastModifiedBy>
  <cp:revision>2</cp:revision>
  <cp:lastPrinted>2014-05-09T11:28:00Z</cp:lastPrinted>
  <dcterms:created xsi:type="dcterms:W3CDTF">2024-10-07T12:49:00Z</dcterms:created>
  <dcterms:modified xsi:type="dcterms:W3CDTF">2024-10-07T12:49:00Z</dcterms:modified>
</cp:coreProperties>
</file>