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627ª sesión</w:t>
      </w:r>
    </w:p>
    <w:p w:rsidR="00000000" w:rsidRDefault="00000000">
      <w:r>
        <w:t>Celebrada en la Sede, Nueva York, el martes 15 de julio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en virtud </w:t>
      </w:r>
      <w:r>
        <w:br/>
        <w:t>del artículo 18 de la Convención (</w:t>
      </w:r>
      <w:r>
        <w:rPr>
          <w:i/>
        </w:rPr>
        <w:t>continuación</w:t>
      </w:r>
      <w:r>
        <w:t>)</w:t>
      </w:r>
    </w:p>
    <w:p w:rsidR="00000000" w:rsidRDefault="00000000">
      <w:pPr>
        <w:pStyle w:val="SingleTxt"/>
        <w:suppressAutoHyphens/>
        <w:jc w:val="left"/>
      </w:pPr>
      <w:r>
        <w:rPr>
          <w:i/>
        </w:rPr>
        <w:tab/>
        <w:t>Segundo informe periódico de Marruecos</w:t>
      </w:r>
      <w:r>
        <w:t xml:space="preserve"> (</w:t>
      </w:r>
      <w:r>
        <w:rPr>
          <w:i/>
        </w:rPr>
        <w:t>continuación</w:t>
      </w:r>
      <w:r>
        <w:t>)</w:t>
      </w: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w:t>
      </w:r>
      <w:r>
        <w:br/>
        <w:t xml:space="preserve">Estados partes en virtud del artículo 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Segundo informe periódico de Marruecos </w:t>
      </w:r>
      <w:r>
        <w:rPr>
          <w:i w:val="0"/>
        </w:rPr>
        <w:t>(</w:t>
      </w:r>
      <w:r>
        <w:t>continuación</w:t>
      </w:r>
      <w:r>
        <w:rPr>
          <w:i w:val="0"/>
        </w:rPr>
        <w:t>) (CEDAW/C/MOR/2 y CEDAW/PSWG/2003/II/CRP.2/Add.3)</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los miembros de la delegación de Marruecos toman asiento a la mesa del Comité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Artículos 10 a 14 de la Convención</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invita a los miembros del Comité a plantear preguntas sobre los artículos 10 a 14 de la Convención.</w:t>
      </w:r>
    </w:p>
    <w:p w:rsidR="00000000" w:rsidRDefault="00000000">
      <w:pPr>
        <w:pStyle w:val="DualTxt"/>
        <w:numPr>
          <w:ilvl w:val="0"/>
          <w:numId w:val="1"/>
        </w:numPr>
      </w:pPr>
      <w:r>
        <w:rPr>
          <w:b/>
        </w:rPr>
        <w:t xml:space="preserve">La Sra. Khan </w:t>
      </w:r>
      <w:r>
        <w:t>dice que el informe expone que el sistema de contratación está basado en el principio de que no se debe discriminar entre trabajadores hombres y mujeres, si todos los demás factores son iguales. Sin embargo, en virtud de la Convención, igual trabajo por igual valor se considera un derecho. Sería útil saber si el nuevo Código de Trabajo contiene disposiciones que prohíben la discriminación contra las mujeres en el empleo. La oradora se pregunta si los contratos se re</w:t>
      </w:r>
      <w:r>
        <w:t>a</w:t>
      </w:r>
      <w:r>
        <w:t>lizan para todo tipo de empleos, incluidos los empleos a tiempo parcial, en el sector informal y en el sector agrícola. A este respecto, señala que la introducción del sistema del salario mínimo en el sector agrícola es un logro impo</w:t>
      </w:r>
      <w:r>
        <w:t>r</w:t>
      </w:r>
      <w:r>
        <w:t>tante.</w:t>
      </w:r>
    </w:p>
    <w:p w:rsidR="00000000" w:rsidRDefault="00000000">
      <w:pPr>
        <w:pStyle w:val="DualTxt"/>
        <w:numPr>
          <w:ilvl w:val="0"/>
          <w:numId w:val="1"/>
        </w:numPr>
      </w:pPr>
      <w:r>
        <w:rPr>
          <w:b/>
        </w:rPr>
        <w:t xml:space="preserve">La Sra. Tavares da Silva </w:t>
      </w:r>
      <w:r>
        <w:t>pregunta si la educ</w:t>
      </w:r>
      <w:r>
        <w:t>a</w:t>
      </w:r>
      <w:r>
        <w:t>ción es gratuita para las niñas en todos los niveles. También le gustaría saber por qué la tasa de deserción escolar ha aumentado, si se han tomado medidas para frenar esa tendencia y si se ha logrado la meta de a</w:t>
      </w:r>
      <w:r>
        <w:t>u</w:t>
      </w:r>
      <w:r>
        <w:t>mentar la tasa de matriculación al 80%.</w:t>
      </w:r>
    </w:p>
    <w:p w:rsidR="00000000" w:rsidRDefault="00000000">
      <w:pPr>
        <w:pStyle w:val="DualTxt"/>
        <w:numPr>
          <w:ilvl w:val="0"/>
          <w:numId w:val="1"/>
        </w:numPr>
      </w:pPr>
      <w:r>
        <w:t>Además, se pregunta si se han tomado medidas para mejorar la situación de las empleadas en el serv</w:t>
      </w:r>
      <w:r>
        <w:t>i</w:t>
      </w:r>
      <w:r>
        <w:t>cio doméstico y si se ha promulgado legislación sobre el acoso sexual. Por último, pregunta si el Código del Trabajo está todavía en forma de proyecto o ha sido aprobado.</w:t>
      </w:r>
    </w:p>
    <w:p w:rsidR="00000000" w:rsidRDefault="00000000">
      <w:pPr>
        <w:pStyle w:val="DualTxt"/>
        <w:numPr>
          <w:ilvl w:val="0"/>
          <w:numId w:val="1"/>
        </w:numPr>
      </w:pPr>
      <w:r>
        <w:rPr>
          <w:b/>
        </w:rPr>
        <w:t xml:space="preserve">La Sra. Gabr </w:t>
      </w:r>
      <w:r>
        <w:t>dice que apoya el énfasis puesto en la educación con miras a promover la condición juríd</w:t>
      </w:r>
      <w:r>
        <w:t>i</w:t>
      </w:r>
      <w:r>
        <w:t>ca y social de la mujer. Le gustaría tener más inform</w:t>
      </w:r>
      <w:r>
        <w:t>a</w:t>
      </w:r>
      <w:r>
        <w:t>ción sobre las iniciativas para mejorar la educación de la mujer, especialmente en las áreas rurales.</w:t>
      </w:r>
    </w:p>
    <w:p w:rsidR="00000000" w:rsidRDefault="00000000">
      <w:pPr>
        <w:pStyle w:val="DualTxt"/>
        <w:numPr>
          <w:ilvl w:val="0"/>
          <w:numId w:val="1"/>
        </w:numPr>
      </w:pPr>
      <w:r>
        <w:t>La oradora felicita al Gobierno por su adhesión a los convenios de la Organización Internacional del Trabajo y espera que esos compromisos se vean pronto reflejados en una política laboral. Le gustaría recibir también más información sobre la formación en cue</w:t>
      </w:r>
      <w:r>
        <w:t>s</w:t>
      </w:r>
      <w:r>
        <w:t>tiones de igualdad entre los géneros, así como sobre las medidas para lograr mejores condiciones para las m</w:t>
      </w:r>
      <w:r>
        <w:t>u</w:t>
      </w:r>
      <w:r>
        <w:t>jeres trabajadoras.</w:t>
      </w:r>
    </w:p>
    <w:p w:rsidR="00000000" w:rsidRDefault="00000000">
      <w:pPr>
        <w:pStyle w:val="DualTxt"/>
        <w:numPr>
          <w:ilvl w:val="0"/>
          <w:numId w:val="1"/>
        </w:numPr>
      </w:pPr>
      <w:r>
        <w:rPr>
          <w:b/>
        </w:rPr>
        <w:t>La Sra. Patten</w:t>
      </w:r>
      <w:r>
        <w:t xml:space="preserve"> pregunta qué medidas se prevén para mejorar la situación de la mujer rural, incluidos concretamente los programas de crédito, así como para reducir la di</w:t>
      </w:r>
      <w:r>
        <w:t>s</w:t>
      </w:r>
      <w:r>
        <w:t>criminación de género en el empleo.</w:t>
      </w:r>
    </w:p>
    <w:p w:rsidR="00000000" w:rsidRDefault="00000000">
      <w:pPr>
        <w:pStyle w:val="DualTxt"/>
        <w:numPr>
          <w:ilvl w:val="0"/>
          <w:numId w:val="1"/>
        </w:numPr>
      </w:pPr>
      <w:r>
        <w:rPr>
          <w:b/>
        </w:rPr>
        <w:t>La Sra. Achmad</w:t>
      </w:r>
      <w:r>
        <w:t xml:space="preserve"> pregunta si en Marruecos los derechos de la mujer se consideran derechos humanos, en particular en el desarrollo de una cultura de los d</w:t>
      </w:r>
      <w:r>
        <w:t>e</w:t>
      </w:r>
      <w:r>
        <w:t>rechos humanos. Se pregunta asimismo si las guías p</w:t>
      </w:r>
      <w:r>
        <w:t>a</w:t>
      </w:r>
      <w:r>
        <w:t>ra maestros de idioma, historia, geografía, ciencias s</w:t>
      </w:r>
      <w:r>
        <w:t>o</w:t>
      </w:r>
      <w:r>
        <w:t>ciales e Islam hacen hincapié en cuestiones de género y destaca que la introducción de la perspectiva de género en el Islam será un gran desafío. La oradora pregunta si las medidas para eliminar estereotipos discriminatorios se han basado en el principio de que los derechos de la mujer son derechos humanos y si los programas de d</w:t>
      </w:r>
      <w:r>
        <w:t>e</w:t>
      </w:r>
      <w:r>
        <w:t>rechos humanos reflejan imágenes positivas de much</w:t>
      </w:r>
      <w:r>
        <w:t>a</w:t>
      </w:r>
      <w:r>
        <w:t>chas y mujeres. Por último, se pregunta qué proporción de las personas que se benefician de programas contra el analfabetismo son mujeres y si los programas de erradicación del analfabetismo están centrados en los derechos de la mujer en tanto que derechos hum</w:t>
      </w:r>
      <w:r>
        <w:t>a</w:t>
      </w:r>
      <w:r>
        <w:t>nos.</w:t>
      </w:r>
    </w:p>
    <w:p w:rsidR="00000000" w:rsidRDefault="00000000">
      <w:pPr>
        <w:pStyle w:val="DualTxt"/>
        <w:numPr>
          <w:ilvl w:val="0"/>
          <w:numId w:val="1"/>
        </w:numPr>
      </w:pPr>
      <w:r>
        <w:rPr>
          <w:b/>
        </w:rPr>
        <w:t>La Sra. Kwaku</w:t>
      </w:r>
      <w:r>
        <w:t xml:space="preserve"> sugiere que el Gobierno conte</w:t>
      </w:r>
      <w:r>
        <w:t>m</w:t>
      </w:r>
      <w:r>
        <w:t>ple adoptar un programa mediante el cual los médicos trabajen en zonas rurales con un sistema de turnos para compensar la gran disparidad entre las zonas rurales y urbanas en lo que se refiere a la disponibilidad de médicos.</w:t>
      </w:r>
    </w:p>
    <w:p w:rsidR="00000000" w:rsidRDefault="00000000">
      <w:pPr>
        <w:pStyle w:val="DualTxt"/>
        <w:numPr>
          <w:ilvl w:val="0"/>
          <w:numId w:val="1"/>
        </w:numPr>
      </w:pPr>
      <w:r>
        <w:t>La oradora felicita a Marruecos por haber elim</w:t>
      </w:r>
      <w:r>
        <w:t>i</w:t>
      </w:r>
      <w:r>
        <w:t>nado la m</w:t>
      </w:r>
      <w:r>
        <w:t>u</w:t>
      </w:r>
      <w:r>
        <w:t>tilación genital femenina.</w:t>
      </w:r>
    </w:p>
    <w:p w:rsidR="00000000" w:rsidRDefault="00000000">
      <w:pPr>
        <w:pStyle w:val="DualTxt"/>
        <w:numPr>
          <w:ilvl w:val="0"/>
          <w:numId w:val="1"/>
        </w:numPr>
      </w:pPr>
      <w:r>
        <w:rPr>
          <w:b/>
          <w:spacing w:val="2"/>
        </w:rPr>
        <w:t>El Sr. Loulichki</w:t>
      </w:r>
      <w:r>
        <w:rPr>
          <w:spacing w:val="2"/>
        </w:rPr>
        <w:t xml:space="preserve"> (Marruecos) dice que el nuevo Código del Trabajo ha sido adoptado recientemente tras un largo proceso en el que participaron numerosas pe</w:t>
      </w:r>
      <w:r>
        <w:rPr>
          <w:spacing w:val="2"/>
        </w:rPr>
        <w:t>r</w:t>
      </w:r>
      <w:r>
        <w:rPr>
          <w:spacing w:val="2"/>
        </w:rPr>
        <w:t>sonas. Considera que el instrumento resultante está bien diseñado y que contribuirá a desarrollar los derechos humanos y, en particular, los derechos de la mujer. Au</w:t>
      </w:r>
      <w:r>
        <w:rPr>
          <w:spacing w:val="2"/>
        </w:rPr>
        <w:t>n</w:t>
      </w:r>
      <w:r>
        <w:rPr>
          <w:spacing w:val="2"/>
        </w:rPr>
        <w:t>que la matriculación en la escuela es de hecho gratuita, hay muchos costos adicionales para asistir a la escuela como la ropa, los materiales y el transporte. Los gobie</w:t>
      </w:r>
      <w:r>
        <w:rPr>
          <w:spacing w:val="2"/>
        </w:rPr>
        <w:t>r</w:t>
      </w:r>
      <w:r>
        <w:rPr>
          <w:spacing w:val="2"/>
        </w:rPr>
        <w:t xml:space="preserve">nos locales en las áreas remotas ofrecen comidas y hay patrocinadores y organizaciones no gubernamentales </w:t>
      </w:r>
      <w:r>
        <w:t>internacionales y nacionales que participan en iniciat</w:t>
      </w:r>
      <w:r>
        <w:t>i</w:t>
      </w:r>
      <w:r>
        <w:t>vas para reducir el alto costo de la asistencia a la e</w:t>
      </w:r>
      <w:r>
        <w:t>s</w:t>
      </w:r>
      <w:r>
        <w:t>cuela para estudiantes desfavorecidos.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Idrissi</w:t>
      </w:r>
      <w:r>
        <w:t xml:space="preserve"> (Marruecos) dice que, si bien la Constitución de Marruecos reconoce el derecho al tr</w:t>
      </w:r>
      <w:r>
        <w:t>a</w:t>
      </w:r>
      <w:r>
        <w:t>bajo, su aplicación ha resultado difícil por la falta de niveles económicos más altos y de una democracia s</w:t>
      </w:r>
      <w:r>
        <w:t>o</w:t>
      </w:r>
      <w:r>
        <w:t>cial de facto. El Código del Estatuto Personal dispone remuneraciones iguales para hombres y mujeres, por lo que no hay discriminación en ese ámbito. Es imposible estimar el número de personas que trabaja en el sector informal o determinar sus niveles de remuneración. En el sector privado, los salarios se determinan por co</w:t>
      </w:r>
      <w:r>
        <w:t>n</w:t>
      </w:r>
      <w:r>
        <w:t>trato entre el empleador y el empleado, y en las gra</w:t>
      </w:r>
      <w:r>
        <w:t>n</w:t>
      </w:r>
      <w:r>
        <w:t>des empresas, la igualdad se puede lograr. En las e</w:t>
      </w:r>
      <w:r>
        <w:t>m</w:t>
      </w:r>
      <w:r>
        <w:t>presas más pequeñas, esto no es tan seguro. Se están haciendo esfuerzos para que se tome conciencia de esta cuestión, ya que, en general, las mujeres no tienen m</w:t>
      </w:r>
      <w:r>
        <w:t>e</w:t>
      </w:r>
      <w:r>
        <w:t>dios para emprender negociaciones contra</w:t>
      </w:r>
      <w:r>
        <w:t>c</w:t>
      </w:r>
      <w:r>
        <w:t>tuales.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artículo 9 del nuevo Código del Trabajo proh</w:t>
      </w:r>
      <w:r>
        <w:t>í</w:t>
      </w:r>
      <w:r>
        <w:t>be la discriminación por motivos de raza, religión, s</w:t>
      </w:r>
      <w:r>
        <w:t>e</w:t>
      </w:r>
      <w:r>
        <w:t>xo, estado civil o afiliación a partidos o sindicatos, e</w:t>
      </w:r>
      <w:r>
        <w:t>n</w:t>
      </w:r>
      <w:r>
        <w:t>tre otros. Los que violan este artículo son sancion</w:t>
      </w:r>
      <w:r>
        <w:t>a</w:t>
      </w:r>
      <w:r>
        <w:t>dos con multas que oscilan entre 15.000 y 25.000 d</w:t>
      </w:r>
      <w:r>
        <w:t>i</w:t>
      </w:r>
      <w:r>
        <w:t>rhams, y el doble de esas cantidades por una segunda falta. El Gobierno ha establecido programas de form</w:t>
      </w:r>
      <w:r>
        <w:t>a</w:t>
      </w:r>
      <w:r>
        <w:t>ción y de toma de conciencia para personas encargadas de supervisar la aplicación de la legislación laboral, en especial los inspectores de trabajo entre cuyas tareas se incluye proteger los derechos humanos, con una ate</w:t>
      </w:r>
      <w:r>
        <w:t>n</w:t>
      </w:r>
      <w:r>
        <w:t>ción especial a la perspectiva de género. Además, existen mecanismos de coordinación en distintos d</w:t>
      </w:r>
      <w:r>
        <w:t>e</w:t>
      </w:r>
      <w:r>
        <w:t xml:space="preserve">partamentos ministeriales financiados, entre otros, por el Fondo de Desarrollo de las Naciones Unidas para la Mujer (UNIFEM). </w:t>
      </w:r>
      <w:r>
        <w:rPr>
          <w:spacing w:val="2"/>
        </w:rPr>
        <w:t>Queda todavía mucho trabajo por hacer en los sectores informal, privado y rural, aunque el papel fundamental de la mujer rural en el desarrollo es ampliamente rec</w:t>
      </w:r>
      <w:r>
        <w:rPr>
          <w:spacing w:val="2"/>
        </w:rPr>
        <w:t>o</w:t>
      </w:r>
      <w:r>
        <w:rPr>
          <w:spacing w:val="2"/>
        </w:rPr>
        <w:t>nocido</w:t>
      </w:r>
      <w:r>
        <w:t>.</w:t>
      </w:r>
    </w:p>
    <w:p w:rsidR="00000000" w:rsidRDefault="00000000">
      <w:pPr>
        <w:pStyle w:val="DualTxt"/>
        <w:numPr>
          <w:ilvl w:val="0"/>
          <w:numId w:val="3"/>
        </w:numPr>
      </w:pPr>
      <w:r>
        <w:t>El artículo 4 del Código del Trabajo trata de la importante categoría del empleo doméstico, aunque las medidas para aplicar esas disposiciones no han sido d</w:t>
      </w:r>
      <w:r>
        <w:t>e</w:t>
      </w:r>
      <w:r>
        <w:t>finidas claramente. Se ha alargado la licencia de m</w:t>
      </w:r>
      <w:r>
        <w:t>a</w:t>
      </w:r>
      <w:r>
        <w:t>ternidad de 12 a 14 semanas para las madres trabajad</w:t>
      </w:r>
      <w:r>
        <w:t>o</w:t>
      </w:r>
      <w:r>
        <w:t>ras, y durante un año después del nacimiento se gara</w:t>
      </w:r>
      <w:r>
        <w:t>n</w:t>
      </w:r>
      <w:r>
        <w:t>tiza a las madres una hora diaria de descanso para al</w:t>
      </w:r>
      <w:r>
        <w:t>i</w:t>
      </w:r>
      <w:r>
        <w:t>mentar a sus hijos. A los negocios que emplean un 50% o más de mujeres, se les ha solicitado que asignen un espacio adecuado donde las mujeres puedan descansar y alimentar a sus hijos, así como que provean asientos cómodos para las mujeres embarazadas.</w:t>
      </w:r>
    </w:p>
    <w:p w:rsidR="00000000" w:rsidRDefault="00000000">
      <w:pPr>
        <w:pStyle w:val="DualTxt"/>
        <w:numPr>
          <w:ilvl w:val="0"/>
          <w:numId w:val="3"/>
        </w:numPr>
      </w:pPr>
      <w:r>
        <w:rPr>
          <w:b/>
        </w:rPr>
        <w:t xml:space="preserve">El Sr. Azizi </w:t>
      </w:r>
      <w:r>
        <w:t>(Marruecos) dice que el Ministerio de Agricultura y otras agencias e instituciones han ll</w:t>
      </w:r>
      <w:r>
        <w:t>e</w:t>
      </w:r>
      <w:r>
        <w:t>vado a cabo programas para la promoción del empleo de la mujer rural, así como programas piloto para la r</w:t>
      </w:r>
      <w:r>
        <w:t>e</w:t>
      </w:r>
      <w:r>
        <w:t>ducción de la pobreza y la exclusión. Dichos progr</w:t>
      </w:r>
      <w:r>
        <w:t>a</w:t>
      </w:r>
      <w:r>
        <w:t>mas, que incluían formación, la diseminación de i</w:t>
      </w:r>
      <w:r>
        <w:t>n</w:t>
      </w:r>
      <w:r>
        <w:t>formación, acceso especial a créditos para las mujeres y la creación de negocios de mujeres, han tenido un gran impacto en la vida de las mujeres marr</w:t>
      </w:r>
      <w:r>
        <w:t>o</w:t>
      </w:r>
      <w:r>
        <w:t xml:space="preserve">quíes. </w:t>
      </w:r>
    </w:p>
    <w:p w:rsidR="00000000" w:rsidRDefault="00000000">
      <w:pPr>
        <w:pStyle w:val="DualTxt"/>
        <w:numPr>
          <w:ilvl w:val="0"/>
          <w:numId w:val="3"/>
        </w:numPr>
      </w:pPr>
      <w:r>
        <w:rPr>
          <w:b/>
        </w:rPr>
        <w:t xml:space="preserve">La Sra. Chakir </w:t>
      </w:r>
      <w:r>
        <w:t>dice que su Gobierno ha tomado medidas para reducir la deserción escolar y para g</w:t>
      </w:r>
      <w:r>
        <w:t>a</w:t>
      </w:r>
      <w:r>
        <w:t>rantizar el derecho a la educación. Entre 2000 y 2003, aproximadamente el 92% de los niños entre 6 y 11 años estaban matriculados en la escuela; espera que el pr</w:t>
      </w:r>
      <w:r>
        <w:t>ó</w:t>
      </w:r>
      <w:r>
        <w:t>ximo año académico esa tasa aumente hasta el 94%. En ese mismo período, el 66,5% de los niños entre 12 y 14 años y el 41% de los niños entre 15 y 17 años est</w:t>
      </w:r>
      <w:r>
        <w:t>a</w:t>
      </w:r>
      <w:r>
        <w:t>ban matric</w:t>
      </w:r>
      <w:r>
        <w:t>u</w:t>
      </w:r>
      <w:r>
        <w:t>lados.</w:t>
      </w:r>
    </w:p>
    <w:p w:rsidR="00000000" w:rsidRDefault="00000000">
      <w:pPr>
        <w:pStyle w:val="DualTxt"/>
        <w:numPr>
          <w:ilvl w:val="0"/>
          <w:numId w:val="3"/>
        </w:numPr>
      </w:pPr>
      <w:r>
        <w:rPr>
          <w:spacing w:val="2"/>
        </w:rPr>
        <w:t xml:space="preserve">Desde el año 2000, 95.000 niñas se han </w:t>
      </w:r>
      <w:r>
        <w:rPr>
          <w:spacing w:val="0"/>
        </w:rPr>
        <w:t>benefici</w:t>
      </w:r>
      <w:r>
        <w:rPr>
          <w:spacing w:val="0"/>
        </w:rPr>
        <w:t>a</w:t>
      </w:r>
      <w:r>
        <w:rPr>
          <w:spacing w:val="0"/>
        </w:rPr>
        <w:t>do de los programas del Estado que suministran alime</w:t>
      </w:r>
      <w:r>
        <w:rPr>
          <w:spacing w:val="0"/>
        </w:rPr>
        <w:t>n</w:t>
      </w:r>
      <w:r>
        <w:rPr>
          <w:spacing w:val="0"/>
        </w:rPr>
        <w:t>tos, estipendios, alojamiento y comidas para estudiantes, especialmente para las muchachas de las zonas rurales,</w:t>
      </w:r>
      <w:r>
        <w:rPr>
          <w:spacing w:val="2"/>
        </w:rPr>
        <w:t xml:space="preserve"> en un esfuerzo por integrarlas en el sistema e</w:t>
      </w:r>
      <w:r>
        <w:rPr>
          <w:spacing w:val="2"/>
        </w:rPr>
        <w:t>s</w:t>
      </w:r>
      <w:r>
        <w:rPr>
          <w:spacing w:val="2"/>
        </w:rPr>
        <w:t>colar</w:t>
      </w:r>
      <w:r>
        <w:t>.</w:t>
      </w:r>
    </w:p>
    <w:p w:rsidR="00000000" w:rsidRDefault="00000000">
      <w:pPr>
        <w:pStyle w:val="DualTxt"/>
        <w:numPr>
          <w:ilvl w:val="0"/>
          <w:numId w:val="3"/>
        </w:numPr>
        <w:rPr>
          <w:spacing w:val="2"/>
        </w:rPr>
      </w:pPr>
      <w:r>
        <w:rPr>
          <w:spacing w:val="2"/>
        </w:rPr>
        <w:t>Los programas nacionales de educación de M</w:t>
      </w:r>
      <w:r>
        <w:rPr>
          <w:spacing w:val="2"/>
        </w:rPr>
        <w:t>a</w:t>
      </w:r>
      <w:r>
        <w:rPr>
          <w:spacing w:val="2"/>
        </w:rPr>
        <w:t>rruecos están basados en cuatro pilares: tolerancia rel</w:t>
      </w:r>
      <w:r>
        <w:rPr>
          <w:spacing w:val="2"/>
        </w:rPr>
        <w:t>i</w:t>
      </w:r>
      <w:r>
        <w:rPr>
          <w:spacing w:val="2"/>
        </w:rPr>
        <w:t>giosa, respeto a todas las civilizaciones, derechos hum</w:t>
      </w:r>
      <w:r>
        <w:rPr>
          <w:spacing w:val="2"/>
        </w:rPr>
        <w:t>a</w:t>
      </w:r>
      <w:r>
        <w:rPr>
          <w:spacing w:val="2"/>
        </w:rPr>
        <w:t>nos y responsabilidad cívica. Su Gobierno ha lanzado una campaña de alfabetización dirigida especialmente a las mujeres, el 62% de las cuales son analf</w:t>
      </w:r>
      <w:r>
        <w:rPr>
          <w:spacing w:val="2"/>
        </w:rPr>
        <w:t>a</w:t>
      </w:r>
      <w:r>
        <w:rPr>
          <w:spacing w:val="2"/>
        </w:rPr>
        <w:t>betas.</w:t>
      </w:r>
    </w:p>
    <w:p w:rsidR="00000000" w:rsidRDefault="00000000">
      <w:pPr>
        <w:pStyle w:val="DualTxt"/>
        <w:numPr>
          <w:ilvl w:val="0"/>
          <w:numId w:val="3"/>
        </w:numPr>
      </w:pPr>
      <w:r>
        <w:rPr>
          <w:b/>
        </w:rPr>
        <w:t>La Sra. Bakkar</w:t>
      </w:r>
      <w:r>
        <w:t xml:space="preserve"> dice que su Gobierno y las c</w:t>
      </w:r>
      <w:r>
        <w:t>o</w:t>
      </w:r>
      <w:r>
        <w:t>munidades locales han estado haciendo esfuerzos co</w:t>
      </w:r>
      <w:r>
        <w:t>n</w:t>
      </w:r>
      <w:r>
        <w:t>certados para mejorar el acceso a la atención de la s</w:t>
      </w:r>
      <w:r>
        <w:t>a</w:t>
      </w:r>
      <w:r>
        <w:t>lud para personas en zonas sin acceso al mar, que i</w:t>
      </w:r>
      <w:r>
        <w:t>n</w:t>
      </w:r>
      <w:r>
        <w:t>cluyen el establecimiento de centros de salud comun</w:t>
      </w:r>
      <w:r>
        <w:t>i</w:t>
      </w:r>
      <w:r>
        <w:t>tarios y hospitales regionales. Su Gobierno alienta a los médicos a trabajar durante tres años en las zonas rur</w:t>
      </w:r>
      <w:r>
        <w:t>a</w:t>
      </w:r>
      <w:r>
        <w:t>les que el Ministerio de Salud ha designado como z</w:t>
      </w:r>
      <w:r>
        <w:t>o</w:t>
      </w:r>
      <w:r>
        <w:t>nas prioritarias, eximiéndoles de los exámenes comp</w:t>
      </w:r>
      <w:r>
        <w:t>e</w:t>
      </w:r>
      <w:r>
        <w:t>titivos de la administración pública. En los últimos años se ha reclutado a más de 300 médicos.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Artículos 15 y 16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La Sra. Gnacadja</w:t>
      </w:r>
      <w:r>
        <w:t xml:space="preserve"> expresa su preocupación por el Código del Estatuto Personal de Marruecos que “ti</w:t>
      </w:r>
      <w:r>
        <w:t>e</w:t>
      </w:r>
      <w:r>
        <w:t>ne sus raíces en la Ley Islámica, especialmente en el rito Malikí ...” (CEDAW/PSWG/2003/II/CRP.2/Add.3, párr. 38) y dice que algunas interpretaciones del Islam dificultan la reforma de la legislación sobre la familia. Marruecos debería aclarar los aspectos del Código del Estatuto Personal que no están basados en el rito Mal</w:t>
      </w:r>
      <w:r>
        <w:t>i</w:t>
      </w:r>
      <w:r>
        <w:t xml:space="preserve">kí o la </w:t>
      </w:r>
      <w:r>
        <w:rPr>
          <w:i/>
        </w:rPr>
        <w:t xml:space="preserve">Shariah </w:t>
      </w:r>
      <w:r>
        <w:t>y las posibilidades de abrogar o enme</w:t>
      </w:r>
      <w:r>
        <w:t>n</w:t>
      </w:r>
      <w:r>
        <w:t>dar leyes derivadas del Islam. Un 13% de las niñas e</w:t>
      </w:r>
      <w:r>
        <w:t>n</w:t>
      </w:r>
      <w:r>
        <w:t>tre 15 y 19 años están ya casadas y, por tanto, expue</w:t>
      </w:r>
      <w:r>
        <w:t>s</w:t>
      </w:r>
      <w:r>
        <w:t>tas a la violencia conyugal a una edad temprana. Se debería ofrecer más información sobre el derecho de la mujer al divorcio, así como otras leyes y prácticas di</w:t>
      </w:r>
      <w:r>
        <w:t>s</w:t>
      </w:r>
      <w:r>
        <w:t>criminatorias, incluido, por ejemplo, el artículo 12 del Código del Estatuto Personal, que estipula que sólo las mujeres de más de 21 años cuyo padre haya fallecido pueden casarse sin ser representadas por un tutor.</w:t>
      </w:r>
    </w:p>
    <w:p w:rsidR="00000000" w:rsidRDefault="00000000">
      <w:pPr>
        <w:pStyle w:val="DualTxt"/>
        <w:numPr>
          <w:ilvl w:val="0"/>
          <w:numId w:val="3"/>
        </w:numPr>
      </w:pPr>
      <w:r>
        <w:rPr>
          <w:b/>
          <w:spacing w:val="5"/>
        </w:rPr>
        <w:t>La Sra. Belmihoub-Zerdani</w:t>
      </w:r>
      <w:r>
        <w:rPr>
          <w:spacing w:val="5"/>
        </w:rPr>
        <w:t xml:space="preserve"> dice que la deleg</w:t>
      </w:r>
      <w:r>
        <w:rPr>
          <w:spacing w:val="5"/>
        </w:rPr>
        <w:t>a</w:t>
      </w:r>
      <w:r>
        <w:rPr>
          <w:spacing w:val="5"/>
        </w:rPr>
        <w:t>ción no ha conseguido abordar adecuadamente los a</w:t>
      </w:r>
      <w:r>
        <w:rPr>
          <w:spacing w:val="5"/>
        </w:rPr>
        <w:t>r</w:t>
      </w:r>
      <w:r>
        <w:rPr>
          <w:spacing w:val="5"/>
        </w:rPr>
        <w:t xml:space="preserve">tículos 15 y 16 </w:t>
      </w:r>
      <w:r>
        <w:t>en su informe y se pregunta si tal vez se deba a que tienen reservas sobre ellos. La disposición del Código del Estatuto Personal relativa al tutor m</w:t>
      </w:r>
      <w:r>
        <w:t>a</w:t>
      </w:r>
      <w:r>
        <w:t xml:space="preserve">trimonial, o </w:t>
      </w:r>
      <w:r>
        <w:rPr>
          <w:i/>
        </w:rPr>
        <w:t>wali</w:t>
      </w:r>
      <w:r>
        <w:t>, no está basada en el Corán. Cualquier matrimonio contraído sin el consentimiento de ambas partes es una violación tanto del derecho islámico c</w:t>
      </w:r>
      <w:r>
        <w:t>o</w:t>
      </w:r>
      <w:r>
        <w:t>mo del derecho civil moderno. A falta de un contrato prenupcial, la mujer padece las leyes injustas actuales en cuestiones relativas a la herencia y la propiedad, en casos de divorcio y fallecimiento del esposo. Nada en las aleyas coránicas dedicadas a la mujer debería, sin embargo, impedir que los legisladores promovieran la repartición de los bienes gananciales y promulgaran l</w:t>
      </w:r>
      <w:r>
        <w:t>e</w:t>
      </w:r>
      <w:r>
        <w:t>yes sustantivas p</w:t>
      </w:r>
      <w:r>
        <w:t>a</w:t>
      </w:r>
      <w:r>
        <w:t>ra evitar esa injusticia.</w:t>
      </w:r>
    </w:p>
    <w:p w:rsidR="00000000" w:rsidRDefault="00000000">
      <w:pPr>
        <w:pStyle w:val="DualTxt"/>
        <w:numPr>
          <w:ilvl w:val="0"/>
          <w:numId w:val="3"/>
        </w:numPr>
      </w:pPr>
      <w:r>
        <w:rPr>
          <w:b/>
        </w:rPr>
        <w:t>La Sra. Šimonović</w:t>
      </w:r>
      <w:r>
        <w:t>, señalando que la Constit</w:t>
      </w:r>
      <w:r>
        <w:t>u</w:t>
      </w:r>
      <w:r>
        <w:t>ción de Marruecos garantiza la igualdad ante la ley de hombres y mujeres, pregunta qué medidas se han t</w:t>
      </w:r>
      <w:r>
        <w:t>o</w:t>
      </w:r>
      <w:r>
        <w:t>mado para garantizar la igualdad de derechos civiles, económicos, culturales y sociales. Señala asimismo que ha habido casos de madres solteras que han abandon</w:t>
      </w:r>
      <w:r>
        <w:t>a</w:t>
      </w:r>
      <w:r>
        <w:t>do o matado a sus hijos después de nacer, y que los p</w:t>
      </w:r>
      <w:r>
        <w:t>a</w:t>
      </w:r>
      <w:r>
        <w:t>dres se arriesgan a ser encarcelados si reconocen la paternidad de un hijo de una madre soltera. Sería de gran utilidad disponer de más información relacionada con las iniciativas para modificar las disposiciones del Código del Estatuto Personal que afectan a las madres solteras.</w:t>
      </w:r>
    </w:p>
    <w:p w:rsidR="00000000" w:rsidRDefault="00000000">
      <w:pPr>
        <w:pStyle w:val="DualTxt"/>
        <w:numPr>
          <w:ilvl w:val="0"/>
          <w:numId w:val="3"/>
        </w:numPr>
      </w:pPr>
      <w:r>
        <w:rPr>
          <w:b/>
        </w:rPr>
        <w:t>La Sra. Gaspard</w:t>
      </w:r>
      <w:r>
        <w:t xml:space="preserve"> dice que la desigualdad en el matrimonio afecta negativamente a la imagen que la mujer tiene de sí misma y socava su autonomía. Le gustaría recibir más información sobre las medidas adoptadas por el Gobierno para reformar el Código del Estatuto Personal, o </w:t>
      </w:r>
      <w:r>
        <w:rPr>
          <w:i/>
        </w:rPr>
        <w:t>mudawana</w:t>
      </w:r>
      <w:r>
        <w:t>, que son necesarias para mejorar la condición jurídica y social de la mujer y promover así el d</w:t>
      </w:r>
      <w:r>
        <w:t>e</w:t>
      </w:r>
      <w:r>
        <w:t>sarrollo de Marruecos.</w:t>
      </w:r>
    </w:p>
    <w:p w:rsidR="00000000" w:rsidRDefault="00000000">
      <w:pPr>
        <w:pStyle w:val="DualTxt"/>
        <w:numPr>
          <w:ilvl w:val="0"/>
          <w:numId w:val="3"/>
        </w:numPr>
      </w:pPr>
      <w:r>
        <w:rPr>
          <w:b/>
        </w:rPr>
        <w:t xml:space="preserve">La Sra. Morvai </w:t>
      </w:r>
      <w:r>
        <w:t>pregunta si el Gobierno de M</w:t>
      </w:r>
      <w:r>
        <w:t>a</w:t>
      </w:r>
      <w:r>
        <w:t>rruecos ha tomado medidas para coordinar la legisl</w:t>
      </w:r>
      <w:r>
        <w:t>a</w:t>
      </w:r>
      <w:r>
        <w:t>ción de los derechos de la mujer entre los distintos m</w:t>
      </w:r>
      <w:r>
        <w:t>i</w:t>
      </w:r>
      <w:r>
        <w:t>nisterios y sugiere el establecimiento de una comisión especial formada por grupos de profesionales, víctimas de la violencia sexual, incluida la trata, así como org</w:t>
      </w:r>
      <w:r>
        <w:t>a</w:t>
      </w:r>
      <w:r>
        <w:t>nizaciones no gubernamentales para presentar un plan de acción coherente para combatir la violencia contra la mujer.</w:t>
      </w:r>
    </w:p>
    <w:p w:rsidR="00000000" w:rsidRDefault="00000000">
      <w:pPr>
        <w:pStyle w:val="DualTxt"/>
        <w:numPr>
          <w:ilvl w:val="0"/>
          <w:numId w:val="3"/>
        </w:numPr>
      </w:pPr>
      <w:r>
        <w:rPr>
          <w:b/>
        </w:rPr>
        <w:t xml:space="preserve">La Sra. González </w:t>
      </w:r>
      <w:r>
        <w:t>dice que, seis años después del examen del informe inicial de Marruecos, sigue h</w:t>
      </w:r>
      <w:r>
        <w:t>a</w:t>
      </w:r>
      <w:r>
        <w:t>biendo signos desalentadores de discriminación contra la mujer en asuntos como el matrimonio, el divorcio y la custodia de los hijos, y que los hombres siguen sie</w:t>
      </w:r>
      <w:r>
        <w:t>n</w:t>
      </w:r>
      <w:r>
        <w:t>do los únicos cabeza de familia reconocidos. La orad</w:t>
      </w:r>
      <w:r>
        <w:t>o</w:t>
      </w:r>
      <w:r>
        <w:t>ra apunta que las costumbres culturales no deben ser utilizadas para justificar la violación de derechos h</w:t>
      </w:r>
      <w:r>
        <w:t>u</w:t>
      </w:r>
      <w:r>
        <w:t>manos inalien</w:t>
      </w:r>
      <w:r>
        <w:t>a</w:t>
      </w:r>
      <w:r>
        <w:t>bles.</w:t>
      </w:r>
    </w:p>
    <w:p w:rsidR="00000000" w:rsidRDefault="00000000">
      <w:pPr>
        <w:pStyle w:val="DualTxt"/>
        <w:numPr>
          <w:ilvl w:val="0"/>
          <w:numId w:val="3"/>
        </w:numPr>
      </w:pPr>
      <w:r>
        <w:rPr>
          <w:b/>
        </w:rPr>
        <w:t>El Sr. Loulichki</w:t>
      </w:r>
      <w:r>
        <w:t xml:space="preserve"> (Marruecos) elogia al Comité por proporcionar un foro útil para reflexionar a fondo sobre las diferentes culturas, religiones y sistemas p</w:t>
      </w:r>
      <w:r>
        <w:t>o</w:t>
      </w:r>
      <w:r>
        <w:t>líticos del mundo y superar malentendidos. Al come</w:t>
      </w:r>
      <w:r>
        <w:t>n</w:t>
      </w:r>
      <w:r>
        <w:t>tar la posibilidad de enmendar leyes basadas en el I</w:t>
      </w:r>
      <w:r>
        <w:t>s</w:t>
      </w:r>
      <w:r>
        <w:t>lam, señala que la discriminación no tiene nada que ver con la religión, que se basa en la igualdad de todas las personas, independientemente del sexo o la raza. Todos los esfuerzos deben ir encaminados a adaptar las leyes a los tiempos actuales y promover la igualdad entre los géneros. Las medidas recientemente adoptadas por su Gobierno y la sociedad civil para combatir la violencia contra la mujer requieren una mayor coordinación e</w:t>
      </w:r>
      <w:r>
        <w:t>n</w:t>
      </w:r>
      <w:r>
        <w:t>tre diversos mecani</w:t>
      </w:r>
      <w:r>
        <w:t>s</w:t>
      </w:r>
      <w:r>
        <w:t>mos e instituciones.</w:t>
      </w:r>
    </w:p>
    <w:p w:rsidR="00000000" w:rsidRDefault="00000000">
      <w:pPr>
        <w:pStyle w:val="DualTxt"/>
        <w:numPr>
          <w:ilvl w:val="0"/>
          <w:numId w:val="3"/>
        </w:numPr>
      </w:pPr>
      <w:r>
        <w:rPr>
          <w:b/>
        </w:rPr>
        <w:t>La Sra. Idrissi</w:t>
      </w:r>
      <w:r>
        <w:t xml:space="preserve"> (Marruecos) hace hincapié en que el Islam es una religión de tolerancia y que la </w:t>
      </w:r>
      <w:r>
        <w:rPr>
          <w:i/>
        </w:rPr>
        <w:t xml:space="preserve">Shariah </w:t>
      </w:r>
      <w:r>
        <w:t>es perfectamente compatible con los derechos hum</w:t>
      </w:r>
      <w:r>
        <w:t>a</w:t>
      </w:r>
      <w:r>
        <w:t>nos. Es cierto que hay problemas en lo que se refiere a la aplicación de la Convención, pero su Gobierno es totalmente consciente de esos problemas y está decid</w:t>
      </w:r>
      <w:r>
        <w:t>i</w:t>
      </w:r>
      <w:r>
        <w:t>do a remediarlos. Los problemas se refieren fund</w:t>
      </w:r>
      <w:r>
        <w:t>a</w:t>
      </w:r>
      <w:r>
        <w:t>mentalmente a los derechos de familia y matrimoni</w:t>
      </w:r>
      <w:r>
        <w:t>a</w:t>
      </w:r>
      <w:r>
        <w:t>les, incluidos el divorcio y la custodia de los hijos. La oradora señala que el Código del Estatuto Personal de 1957-1958 tenía como fin promover las garantías isl</w:t>
      </w:r>
      <w:r>
        <w:t>á</w:t>
      </w:r>
      <w:r>
        <w:t xml:space="preserve">micas de tolerancia y solidaridad social. El Código </w:t>
      </w:r>
      <w:r>
        <w:rPr>
          <w:spacing w:val="2"/>
        </w:rPr>
        <w:t xml:space="preserve">fue posteriormente reformado en 1965, 1981, 1983 y 1993. El Comité Consultivo para la revisión del Código </w:t>
      </w:r>
      <w:r>
        <w:t>del Estatuto Personal, que incluye a representantes de gr</w:t>
      </w:r>
      <w:r>
        <w:t>u</w:t>
      </w:r>
      <w:r>
        <w:t>pos religiosos, profesionales, legales, de la sociedad civil</w:t>
      </w:r>
      <w:r>
        <w:rPr>
          <w:spacing w:val="2"/>
        </w:rPr>
        <w:t xml:space="preserve"> y de grupos de mujeres, alcanzará un consenso n</w:t>
      </w:r>
      <w:r>
        <w:rPr>
          <w:spacing w:val="2"/>
        </w:rPr>
        <w:t>a</w:t>
      </w:r>
      <w:r>
        <w:rPr>
          <w:spacing w:val="2"/>
        </w:rPr>
        <w:t>cional. Sobre esa base, hará nuevas recomendaciones p</w:t>
      </w:r>
      <w:r>
        <w:rPr>
          <w:spacing w:val="2"/>
        </w:rPr>
        <w:t>a</w:t>
      </w:r>
      <w:r>
        <w:rPr>
          <w:spacing w:val="2"/>
        </w:rPr>
        <w:t xml:space="preserve">ra proteger los derechos de la mujer como componente esencial de la promoción </w:t>
      </w:r>
      <w:r>
        <w:t>de los derechos hum</w:t>
      </w:r>
      <w:r>
        <w:t>a</w:t>
      </w:r>
      <w:r>
        <w:t>nos.</w:t>
      </w:r>
    </w:p>
    <w:p w:rsidR="00000000" w:rsidRDefault="00000000">
      <w:pPr>
        <w:pStyle w:val="DualTxt"/>
        <w:numPr>
          <w:ilvl w:val="0"/>
          <w:numId w:val="3"/>
        </w:numPr>
      </w:pPr>
      <w:r>
        <w:t>Ha habido progresos con respecto a los derechos de familia y matrimoniales de la mujer. Un hombre ya no puede simplemente repudiar a su mujer sin aportar razón alguna. Este proceso ha sido legalizado. Primero se debe intentar llegar a una reconciliación y la mujer tiene el derecho de estar presente durante las actuaci</w:t>
      </w:r>
      <w:r>
        <w:t>o</w:t>
      </w:r>
      <w:r>
        <w:t>nes judiciales. Más aún, todos los matrimonios, divo</w:t>
      </w:r>
      <w:r>
        <w:t>r</w:t>
      </w:r>
      <w:r>
        <w:t>cios y relaciones conyugales deben ahora ser registr</w:t>
      </w:r>
      <w:r>
        <w:t>a</w:t>
      </w:r>
      <w:r>
        <w:t>dos en el Registro Civil. En asuntos que afectan a la custodia de los niños, se ha tenido plenamente en cuenta la necesidad de proteger de la mejor manera p</w:t>
      </w:r>
      <w:r>
        <w:t>o</w:t>
      </w:r>
      <w:r>
        <w:t>sible los intereses del niño, tal y como consta en el a</w:t>
      </w:r>
      <w:r>
        <w:t>r</w:t>
      </w:r>
      <w:r>
        <w:t>tículo 3 de la Convención sobre los Derechos del Niño. De esta manera, incluso si una mujer se vuelve a casar, tiene derecho a mantener la custodia de un niño de un matrimonio anterior. Además, es el padre la familia y no de la madre quien tiene la segunda prioridad para la cu</w:t>
      </w:r>
      <w:r>
        <w:t>s</w:t>
      </w:r>
      <w:r>
        <w:t>todia de los hijos.</w:t>
      </w:r>
    </w:p>
    <w:p w:rsidR="00000000" w:rsidRDefault="00000000">
      <w:pPr>
        <w:pStyle w:val="DualTxt"/>
        <w:numPr>
          <w:ilvl w:val="0"/>
          <w:numId w:val="3"/>
        </w:numPr>
        <w:tabs>
          <w:tab w:val="clear" w:pos="960"/>
          <w:tab w:val="left" w:pos="965"/>
        </w:tabs>
      </w:pPr>
      <w:r>
        <w:t>Su Majestad el Rey Mohammed VI y el Gobierno continúan comprometidos con la causa de promover los derechos de la mujer y, guiados por el asesoramiento del comité consultivo, continuarán trabajando para promover una mayor toma de conciencia sobre las cuestiones de género.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Kerrich</w:t>
      </w:r>
      <w:r>
        <w:t xml:space="preserve"> (Marruecos) dice que la primera campaña para eliminar la violencia contra la mujer fue lanzada en 1999 y que refleja la voluntad del Gobierno de romper el muro de silencio que rodea este tema. Las iniciativas nacionales para combatir la violencia contra la mujer se han centrado en torno a la definición de una política clara, la organización y coordinación de activ</w:t>
      </w:r>
      <w:r>
        <w:t>i</w:t>
      </w:r>
      <w:r>
        <w:t>dades que respondan a las necesidades de las mujeres afectadas por la violencia, el fomento de la capacidad, la compilación de estadísticas y el desarrollo de ind</w:t>
      </w:r>
      <w:r>
        <w:t>i</w:t>
      </w:r>
      <w:r>
        <w:t>cadores para evaluar los resultados. Por ejemplo, se ha realizado una encuesta sobre la situación en la ciudad de Casablanca, se han creado mecanismos de coordin</w:t>
      </w:r>
      <w:r>
        <w:t>a</w:t>
      </w:r>
      <w:r>
        <w:t>ción para los casos de violencia doméstica en comis</w:t>
      </w:r>
      <w:r>
        <w:t>a</w:t>
      </w:r>
      <w:r>
        <w:t>rías, y la policía recopila estadísticas mensuales sobre la violencia contra la mujer. Se ha proporcionado e</w:t>
      </w:r>
      <w:r>
        <w:t>n</w:t>
      </w:r>
      <w:r>
        <w:t xml:space="preserve">trenamiento a policías, jueces y otros grupos que se ocupan de la violencia contra la mujer, con este fin, se ha preparado </w:t>
      </w:r>
      <w:r>
        <w:rPr>
          <w:spacing w:val="2"/>
        </w:rPr>
        <w:t>un manual que se ha distribuido a peri</w:t>
      </w:r>
      <w:r>
        <w:rPr>
          <w:spacing w:val="2"/>
        </w:rPr>
        <w:t>o</w:t>
      </w:r>
      <w:r>
        <w:rPr>
          <w:spacing w:val="2"/>
        </w:rPr>
        <w:t xml:space="preserve">distas, y los </w:t>
      </w:r>
      <w:r>
        <w:t>hospitales han reservado áreas de rece</w:t>
      </w:r>
      <w:r>
        <w:t>p</w:t>
      </w:r>
      <w:r>
        <w:t>ción especial para las mujeres víctimas de la violencia.</w:t>
      </w:r>
    </w:p>
    <w:p w:rsidR="00000000" w:rsidRDefault="00000000">
      <w:pPr>
        <w:pStyle w:val="DualTxt"/>
        <w:numPr>
          <w:ilvl w:val="0"/>
          <w:numId w:val="4"/>
        </w:numPr>
      </w:pPr>
      <w:r>
        <w:rPr>
          <w:b/>
        </w:rPr>
        <w:t>La Sra. Idrissi</w:t>
      </w:r>
      <w:r>
        <w:t xml:space="preserve"> (Marruecos) dice que el objetivo principal de la reforma del Código del Estatuto Pers</w:t>
      </w:r>
      <w:r>
        <w:t>o</w:t>
      </w:r>
      <w:r>
        <w:t>nal es reemplazarlo con un Código de Familia. Con respecto a la poligamia, señala que no es tolerada por el Corán ni por el Código del Estatuto Personal. El I</w:t>
      </w:r>
      <w:r>
        <w:t>s</w:t>
      </w:r>
      <w:r>
        <w:t>lam considera el matrimonio como una relación co</w:t>
      </w:r>
      <w:r>
        <w:t>n</w:t>
      </w:r>
      <w:r>
        <w:t>tractual entre un hombre y una mujer y es posible i</w:t>
      </w:r>
      <w:r>
        <w:t>n</w:t>
      </w:r>
      <w:r>
        <w:t>sertar una cláusula de monogamia en el contrato de matrimonio.</w:t>
      </w:r>
    </w:p>
    <w:p w:rsidR="00000000" w:rsidRDefault="00000000">
      <w:pPr>
        <w:pStyle w:val="DualTxt"/>
        <w:numPr>
          <w:ilvl w:val="0"/>
          <w:numId w:val="4"/>
        </w:numPr>
      </w:pPr>
      <w:r>
        <w:t>De hecho, la poligamia se practica sólo en zonas rurales y montañosas aisladas donde la administración civil es débil y resulta difícil aplicar la ley. No obsta</w:t>
      </w:r>
      <w:r>
        <w:t>n</w:t>
      </w:r>
      <w:r>
        <w:t>te, nuevas normativas exigen que algunos datos pers</w:t>
      </w:r>
      <w:r>
        <w:t>o</w:t>
      </w:r>
      <w:r>
        <w:t>nales, como los nacimientos, se registren en un plazo de treinta días. Su Gobierno se propone elevar la edad mínima para el matrimonio de 15 a 18 años, de co</w:t>
      </w:r>
      <w:r>
        <w:t>n</w:t>
      </w:r>
      <w:r>
        <w:t>formidad con el artículo 1 de la Convención sobre los Derechos del Niño. En lo que se refiere al divorcio, d</w:t>
      </w:r>
      <w:r>
        <w:t>i</w:t>
      </w:r>
      <w:r>
        <w:t>ce que la mujer sólo puede solicitar la disolución del matrimonio ante un tribunal</w:t>
      </w:r>
      <w:r>
        <w:rPr>
          <w:spacing w:val="2"/>
        </w:rPr>
        <w:t>. El Código del Estatuto Personal de 1957-1958 ya permitía que el hombre incl</w:t>
      </w:r>
      <w:r>
        <w:rPr>
          <w:spacing w:val="2"/>
        </w:rPr>
        <w:t>u</w:t>
      </w:r>
      <w:r>
        <w:rPr>
          <w:spacing w:val="2"/>
        </w:rPr>
        <w:t>yera en el contrato de matrimonio una cláusula por la cual la mujer podría, si así lo deseaba, solicitar la dis</w:t>
      </w:r>
      <w:r>
        <w:rPr>
          <w:spacing w:val="2"/>
        </w:rPr>
        <w:t>o</w:t>
      </w:r>
      <w:r>
        <w:rPr>
          <w:spacing w:val="2"/>
        </w:rPr>
        <w:t xml:space="preserve">lución del </w:t>
      </w:r>
      <w:r>
        <w:t>matrimonio en caso de violación de ese co</w:t>
      </w:r>
      <w:r>
        <w:t>n</w:t>
      </w:r>
      <w:r>
        <w:t>trato. Sin embargo, esa disposición nunca se aplicaba en la práctica. Las reformas del sistema de justicia, t</w:t>
      </w:r>
      <w:r>
        <w:t>a</w:t>
      </w:r>
      <w:r>
        <w:t>les como la designación de jueces para la aplicación de las sentencias y la asignación de jueces a casos de d</w:t>
      </w:r>
      <w:r>
        <w:t>e</w:t>
      </w:r>
      <w:r>
        <w:t>recho de familia, debería mejorar la situación.</w:t>
      </w:r>
    </w:p>
    <w:p w:rsidR="00000000" w:rsidRDefault="00000000">
      <w:pPr>
        <w:pStyle w:val="DualTxt"/>
        <w:numPr>
          <w:ilvl w:val="0"/>
          <w:numId w:val="4"/>
        </w:numPr>
      </w:pPr>
      <w:r>
        <w:rPr>
          <w:b/>
        </w:rPr>
        <w:t xml:space="preserve">La Sra. Gnacadja </w:t>
      </w:r>
      <w:r>
        <w:t>insiste en que, en su interve</w:t>
      </w:r>
      <w:r>
        <w:t>n</w:t>
      </w:r>
      <w:r>
        <w:t>ción anterior, no tuvo para nada la intención de sugerir que el Islam puede ser incompatible con la protección de los derechos de la mujer. Simplemente solicitaba una explicación de la protección de los derechos h</w:t>
      </w:r>
      <w:r>
        <w:t>u</w:t>
      </w:r>
      <w:r>
        <w:t>manos en un sistema islámico.</w:t>
      </w:r>
    </w:p>
    <w:p w:rsidR="00000000" w:rsidRDefault="00000000">
      <w:pPr>
        <w:pStyle w:val="DualTxt"/>
        <w:numPr>
          <w:ilvl w:val="0"/>
          <w:numId w:val="4"/>
        </w:numPr>
      </w:pPr>
      <w:r>
        <w:rPr>
          <w:b/>
          <w:spacing w:val="2"/>
        </w:rPr>
        <w:t>La Sra. Idrissi</w:t>
      </w:r>
      <w:r>
        <w:rPr>
          <w:spacing w:val="2"/>
        </w:rPr>
        <w:t xml:space="preserve"> (Marruecos) asegura a la Sra. Gn</w:t>
      </w:r>
      <w:r>
        <w:rPr>
          <w:spacing w:val="2"/>
        </w:rPr>
        <w:t>a</w:t>
      </w:r>
      <w:r>
        <w:rPr>
          <w:spacing w:val="2"/>
        </w:rPr>
        <w:t>cadja que las preguntas del Comité han sido bien recib</w:t>
      </w:r>
      <w:r>
        <w:rPr>
          <w:spacing w:val="2"/>
        </w:rPr>
        <w:t>i</w:t>
      </w:r>
      <w:r>
        <w:rPr>
          <w:spacing w:val="2"/>
        </w:rPr>
        <w:t>das</w:t>
      </w:r>
      <w:r>
        <w:t xml:space="preserve"> como parte de un diálogo franco y abierto entre su delegación y los miembros del Comité en el contexto de su compromiso compartido de promover los der</w:t>
      </w:r>
      <w:r>
        <w:t>e</w:t>
      </w:r>
      <w:r>
        <w:t>chos de la mujer.</w:t>
      </w:r>
    </w:p>
    <w:p w:rsidR="00000000" w:rsidRDefault="00000000">
      <w:pPr>
        <w:pStyle w:val="DualTxt"/>
        <w:numPr>
          <w:ilvl w:val="0"/>
          <w:numId w:val="4"/>
        </w:numPr>
      </w:pPr>
      <w:r>
        <w:rPr>
          <w:b/>
        </w:rPr>
        <w:t>La Presidenta</w:t>
      </w:r>
      <w:r>
        <w:t xml:space="preserve"> agradece a la delegación su diál</w:t>
      </w:r>
      <w:r>
        <w:t>o</w:t>
      </w:r>
      <w:r>
        <w:t>go con el Comité. No obstante, se manifiesta preoc</w:t>
      </w:r>
      <w:r>
        <w:t>u</w:t>
      </w:r>
      <w:r>
        <w:t>pada por el ritmo lento de la reforma de la condición social y jurídica de la mujer y señala que el Estado parte debe actuar urgentemente para garantizar de jure y de facto la aplicación de la Convención. Se debe r</w:t>
      </w:r>
      <w:r>
        <w:t>e</w:t>
      </w:r>
      <w:r>
        <w:t>forzar la maquinaria nacional para la defensa de los d</w:t>
      </w:r>
      <w:r>
        <w:t>e</w:t>
      </w:r>
      <w:r>
        <w:t>rechos de la mujer, y reconocer y combatir la violencia contra la mujer de conformidad con la Convención y la recomendación general 19 del Comité en colaboración con organizaciones no gubernamentales, castigar a los culpables, y proporcionar protección y servicios de rehabilitación para las víctimas. Los estereotipos sobre el papel de los géneros, que son la causa básica de las actitudes y prácticas discriminatorias, deben ser elim</w:t>
      </w:r>
      <w:r>
        <w:t>i</w:t>
      </w:r>
      <w:r>
        <w:t>nados. Aunque acoge con beneplácito las iniciativas para combatir el analfabetismo, los resultados, esp</w:t>
      </w:r>
      <w:r>
        <w:t>e</w:t>
      </w:r>
      <w:r>
        <w:t>cialmente en lo que se refiere a la mujer, son decepci</w:t>
      </w:r>
      <w:r>
        <w:t>o</w:t>
      </w:r>
      <w:r>
        <w:t>nantes. Se deberían proporcionar datos desglosados por género y aplicar medidas no sólo para enseñar cuesti</w:t>
      </w:r>
      <w:r>
        <w:t>o</w:t>
      </w:r>
      <w:r>
        <w:t>nes de género en el sistema educativo, sino también p</w:t>
      </w:r>
      <w:r>
        <w:t>a</w:t>
      </w:r>
      <w:r>
        <w:t>ra impartir capacitación relacionada con cuestiones de género a los maestros y velar por que los materiales docentes reflejen una perspectiva de género.</w:t>
      </w:r>
    </w:p>
    <w:p w:rsidR="00000000" w:rsidRDefault="00000000">
      <w:pPr>
        <w:pStyle w:val="DualTxt"/>
        <w:numPr>
          <w:ilvl w:val="0"/>
          <w:numId w:val="4"/>
        </w:numPr>
      </w:pPr>
      <w:r>
        <w:t>La Presidenta celebra las iniciativas para aume</w:t>
      </w:r>
      <w:r>
        <w:t>n</w:t>
      </w:r>
      <w:r>
        <w:t>tar la representación de la mujer en los niveles de adopción de decisiones políticas e insiste en que, au</w:t>
      </w:r>
      <w:r>
        <w:t>n</w:t>
      </w:r>
      <w:r>
        <w:t>que a menudo haya resistencia a las cuotas, el Estado parte debe perseverar en sus esfuerzos por garantizar que las mujeres estén equitativamente representadas en la vida política. A pesar de los progresos logrados, se necesitan nuevas iniciativas para aumentar la particip</w:t>
      </w:r>
      <w:r>
        <w:t>a</w:t>
      </w:r>
      <w:r>
        <w:t>ción de la mujer en la economía, el sistema judicial y el cuerpo diplomático, particularmente en los niveles de adopción de decisiones. La promulgación de una nueva legislación laboral es alentadora, como lo fue la ratificación de importantes convenios de la Organiz</w:t>
      </w:r>
      <w:r>
        <w:t>a</w:t>
      </w:r>
      <w:r>
        <w:t>ción Internacional del Trabajo, pero se debe hacer más por aumentar las oportunidades de empleo para las mujeres rurales, así como para satisfacer las necesid</w:t>
      </w:r>
      <w:r>
        <w:t>a</w:t>
      </w:r>
      <w:r>
        <w:t>des de las mujeres trabajadoras del sector informal y de las trabajadoras domé</w:t>
      </w:r>
      <w:r>
        <w:t>s</w:t>
      </w:r>
      <w:r>
        <w:t>ticas.</w:t>
      </w:r>
    </w:p>
    <w:p w:rsidR="00000000" w:rsidRDefault="00000000">
      <w:pPr>
        <w:pStyle w:val="DualTxt"/>
        <w:numPr>
          <w:ilvl w:val="0"/>
          <w:numId w:val="4"/>
        </w:numPr>
      </w:pPr>
      <w:r>
        <w:t>La situación de la mujer con respecto al matrim</w:t>
      </w:r>
      <w:r>
        <w:t>o</w:t>
      </w:r>
      <w:r>
        <w:t>nio, el divorcio y los derechos de custodia sigue siendo preocupante. El Código del Estatuto Personal debe ser acorde con las normas universales en el ámbito de los derechos de la mujer, que son perfectamente compat</w:t>
      </w:r>
      <w:r>
        <w:t>i</w:t>
      </w:r>
      <w:r>
        <w:t>bles con los principios del Islam. La reforma política y legislativa actual debería resultar en la eliminación de facto de la discriminación contra la mujer. La Pres</w:t>
      </w:r>
      <w:r>
        <w:t>i</w:t>
      </w:r>
      <w:r>
        <w:t>denta acoge con beneplácito la retirada por el Estado parte de su reserva al artículo 16 y lo alienta a retirar también su reserva al artículo 9 de la Convención. Esas medidas, así como la adopción del Protocolo Opcional de la Convención y el respaldo para la enmienda del párrafo 1 del artículo 20 de la Convención, serían una poderosa demostración de la voluntad política del E</w:t>
      </w:r>
      <w:r>
        <w:t>s</w:t>
      </w:r>
      <w:r>
        <w:t>tado parte de garantizar la igualdad entre hombres y muj</w:t>
      </w:r>
      <w:r>
        <w:t>e</w:t>
      </w:r>
      <w:r>
        <w:t>res.</w:t>
      </w:r>
    </w:p>
    <w:p w:rsidR="00000000" w:rsidRDefault="00000000">
      <w:pPr>
        <w:pStyle w:val="DualTxt"/>
        <w:numPr>
          <w:ilvl w:val="0"/>
          <w:numId w:val="4"/>
        </w:numPr>
      </w:pPr>
      <w:r>
        <w:rPr>
          <w:b/>
        </w:rPr>
        <w:t>El Sr. Loulichki</w:t>
      </w:r>
      <w:r>
        <w:t xml:space="preserve"> (Marruecos) agradece al Comité su compromiso de asegurar los derechos de la mujer en Marruecos. Reconoce que, a pesar de los avances, qu</w:t>
      </w:r>
      <w:r>
        <w:t>e</w:t>
      </w:r>
      <w:r>
        <w:t>da mucho por hacer y dice que las observaciones del Comité serán transmitidas a su Gobierno. Las iniciat</w:t>
      </w:r>
      <w:r>
        <w:t>i</w:t>
      </w:r>
      <w:r>
        <w:t>vas para aumentar la conciencia en cuestiones de gén</w:t>
      </w:r>
      <w:r>
        <w:t>e</w:t>
      </w:r>
      <w:r>
        <w:t>ro y la adopción y aplicación eficaz de reformas va a continuar para garantizar a la mujer el desempeño del papel que le corresponde en la sociedad. Su delegación recomienda la ratificación del Protocolo Opcional de la Convención, así como la adopción de la enmienda del párrafo 1 del artículo 20, y espera continuar el diálogo con el Comité.</w:t>
      </w:r>
    </w:p>
    <w:p w:rsidR="00000000" w:rsidRDefault="00000000">
      <w:pPr>
        <w:pStyle w:val="DualTxt"/>
        <w:rPr>
          <w:i/>
        </w:rPr>
      </w:pPr>
      <w:r>
        <w:rPr>
          <w:i/>
        </w:rPr>
        <w:t>Se levanta la sesión a las 16.55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NO&gt;&gt;N0343024S&lt;&lt;ODS JOB NO&gt;&gt;</w:t>
      </w:r>
    </w:p>
    <w:p w:rsidR="00000000" w:rsidRDefault="00000000">
      <w:pPr>
        <w:pStyle w:val="CommentText"/>
      </w:pPr>
      <w:r>
        <w:t>&lt;&lt;ODS DOC SYMBOL1&gt;&gt;CEDAW/C/SR.627&lt;&lt;ODS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0343024s.doc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0343024s.doc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03-43024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*0343024*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C6F9E"/>
    <w:multiLevelType w:val="singleLevel"/>
    <w:tmpl w:val="A7A6021A"/>
    <w:lvl w:ilvl="0">
      <w:start w:val="1"/>
      <w:numFmt w:val="decimal"/>
      <w:lvlRestart w:val="0"/>
      <w:lvlText w:val="%1."/>
      <w:lvlJc w:val="left"/>
      <w:pPr>
        <w:tabs>
          <w:tab w:val="num" w:pos="475"/>
        </w:tabs>
        <w:ind w:left="0" w:firstLine="0"/>
      </w:pPr>
      <w:rPr>
        <w:spacing w:val="0"/>
        <w:w w:val="100"/>
      </w:rPr>
    </w:lvl>
  </w:abstractNum>
  <w:abstractNum w:abstractNumId="1">
    <w:nsid w:val="4A601BB6"/>
    <w:multiLevelType w:val="singleLevel"/>
    <w:tmpl w:val="9D10D5E2"/>
    <w:lvl w:ilvl="0">
      <w:start w:val="1"/>
      <w:numFmt w:val="decimal"/>
      <w:lvlText w:val="%1."/>
      <w:lvlJc w:val="left"/>
      <w:pPr>
        <w:tabs>
          <w:tab w:val="num" w:pos="360"/>
        </w:tabs>
        <w:ind w:left="360" w:hanging="360"/>
      </w:pPr>
      <w:rPr>
        <w:rFonts w:hint="default"/>
      </w:rPr>
    </w:lvl>
  </w:abstractNum>
  <w:num w:numId="1">
    <w:abstractNumId w:val="0"/>
  </w:num>
  <w:num w:numId="2">
    <w:abstractNumId w:val="1"/>
  </w:num>
  <w:num w:numId="3">
    <w:abstractNumId w:val="0"/>
    <w:lvlOverride w:ilvl="0">
      <w:lvl w:ilvl="0">
        <w:start w:val="1"/>
        <w:numFmt w:val="decimal"/>
        <w:lvlRestart w:val="0"/>
        <w:lvlText w:val="%1."/>
        <w:lvlJc w:val="left"/>
        <w:pPr>
          <w:tabs>
            <w:tab w:val="num" w:pos="475"/>
          </w:tabs>
          <w:ind w:left="0" w:firstLine="0"/>
        </w:pPr>
        <w:rPr>
          <w:spacing w:val="0"/>
          <w:w w:val="100"/>
        </w:rPr>
      </w:lvl>
    </w:lvlOverride>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6 13:34:42"/>
    <w:docVar w:name="DocCategory" w:val="SROthers"/>
    <w:docVar w:name="DocType" w:val="Final"/>
    <w:docVar w:name="JobNo" w:val="0343024S"/>
    <w:docVar w:name="OandT" w:val="Claudia"/>
    <w:docVar w:name="Symbol1" w:val="CEDAW/C/SR.62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4</Pages>
  <Words>3379</Words>
  <Characters>19265</Characters>
  <Application>Microsoft Office Word</Application>
  <DocSecurity>4</DocSecurity>
  <Lines>160</Lines>
  <Paragraphs>38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23658</CharactersWithSpaces>
  <SharedDoc>false</SharedDoc>
  <HLinks>
    <vt:vector size="6" baseType="variant">
      <vt:variant>
        <vt:i4>4522087</vt:i4>
      </vt:variant>
      <vt:variant>
        <vt:i4>24847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Pastor, Claudia</dc:creator>
  <cp:keywords/>
  <dc:description/>
  <cp:lastModifiedBy>Avion, Sabela</cp:lastModifiedBy>
  <cp:revision>265</cp:revision>
  <cp:lastPrinted>2006-02-11T14:53:00Z</cp:lastPrinted>
  <dcterms:created xsi:type="dcterms:W3CDTF">2006-02-11T11:34:00Z</dcterms:created>
  <dcterms:modified xsi:type="dcterms:W3CDTF">2006-02-11T15:05:00Z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0343024</vt:lpwstr>
  </property>
  <property fmtid="{D5CDD505-2E9C-101B-9397-08002B2CF9AE}" pid="3" name="Symbol1">
    <vt:lpwstr>CEDAW/C/SR.627</vt:lpwstr>
  </property>
  <property fmtid="{D5CDD505-2E9C-101B-9397-08002B2CF9AE}" pid="4" name="Symbol2">
    <vt:lpwstr/>
  </property>
  <property fmtid="{D5CDD505-2E9C-101B-9397-08002B2CF9AE}" pid="5" name="Translator">
    <vt:lpwstr/>
  </property>
  <property fmtid="{D5CDD505-2E9C-101B-9397-08002B2CF9AE}" pid="6" name="Comment">
    <vt:lpwstr>Leído con BBR.</vt:lpwstr>
  </property>
  <property fmtid="{D5CDD505-2E9C-101B-9397-08002B2CF9AE}" pid="7" name="DraftPages">
    <vt:lpwstr>6</vt:lpwstr>
  </property>
  <property fmtid="{D5CDD505-2E9C-101B-9397-08002B2CF9AE}" pid="8" name="Operator">
    <vt:lpwstr>Claudia/Dag</vt:lpwstr>
  </property>
</Properties>
</file>