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color w:val="000000"/>
        </w:rPr>
      </w:pPr>
      <w:r>
        <w:rPr>
          <w:rFonts w:hint="eastAsia"/>
          <w:color w:val="000000"/>
        </w:rPr>
        <w:t>人权事务委员会</w:t>
      </w:r>
    </w:p>
    <w:p w:rsidR="00000000" w:rsidRDefault="00000000">
      <w:pPr>
        <w:rPr>
          <w:rFonts w:hint="eastAsia"/>
          <w:color w:val="000000"/>
        </w:rPr>
      </w:pPr>
      <w:r>
        <w:rPr>
          <w:rFonts w:hint="eastAsia"/>
          <w:color w:val="000000"/>
        </w:rPr>
        <w:t>第八十九届会议</w:t>
      </w:r>
    </w:p>
    <w:p w:rsidR="00000000" w:rsidRDefault="00000000">
      <w:pPr>
        <w:spacing w:after="320"/>
        <w:rPr>
          <w:color w:val="000000"/>
        </w:rPr>
      </w:pPr>
      <w:r>
        <w:rPr>
          <w:rFonts w:hint="eastAsia"/>
          <w:color w:val="000000"/>
        </w:rPr>
        <w:t>2007</w:t>
      </w:r>
      <w:r>
        <w:rPr>
          <w:rFonts w:hint="eastAsia"/>
          <w:color w:val="000000"/>
        </w:rPr>
        <w:t>年</w:t>
      </w:r>
      <w:r>
        <w:rPr>
          <w:rFonts w:hint="eastAsia"/>
          <w:color w:val="000000"/>
        </w:rPr>
        <w:t>3</w:t>
      </w:r>
      <w:r>
        <w:rPr>
          <w:rFonts w:hint="eastAsia"/>
          <w:color w:val="000000"/>
        </w:rPr>
        <w:t>月</w:t>
      </w:r>
      <w:r>
        <w:rPr>
          <w:rFonts w:hint="eastAsia"/>
          <w:color w:val="000000"/>
        </w:rPr>
        <w:t>12</w:t>
      </w:r>
      <w:r>
        <w:rPr>
          <w:rFonts w:hint="eastAsia"/>
          <w:color w:val="000000"/>
        </w:rPr>
        <w:t>日至</w:t>
      </w:r>
      <w:r>
        <w:rPr>
          <w:rFonts w:hint="eastAsia"/>
          <w:color w:val="000000"/>
        </w:rPr>
        <w:t>30</w:t>
      </w:r>
      <w:r>
        <w:rPr>
          <w:rFonts w:hint="eastAsia"/>
          <w:color w:val="000000"/>
        </w:rPr>
        <w:t>日</w:t>
      </w:r>
    </w:p>
    <w:p w:rsidR="00000000" w:rsidRDefault="00000000">
      <w:pPr>
        <w:pStyle w:val="Heading2"/>
        <w:rPr>
          <w:rFonts w:hint="eastAsia"/>
        </w:rPr>
      </w:pPr>
      <w:r>
        <w:rPr>
          <w:rFonts w:hint="eastAsia"/>
        </w:rPr>
        <w:t>审议缔约国根据《公约》第四十条提交的报告</w:t>
      </w:r>
    </w:p>
    <w:p w:rsidR="00000000" w:rsidRDefault="00000000">
      <w:pPr>
        <w:pStyle w:val="Heading3"/>
        <w:rPr>
          <w:rFonts w:hint="eastAsia"/>
        </w:rPr>
      </w:pPr>
      <w:r>
        <w:rPr>
          <w:rFonts w:hint="eastAsia"/>
        </w:rPr>
        <w:t>人权事务委员会的结论性意见</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智</w:t>
      </w:r>
      <w:r>
        <w:rPr>
          <w:rFonts w:ascii="Time New Roman" w:eastAsia="SimHei" w:hAnsi="Time New Roman" w:hint="eastAsia"/>
          <w:snapToGrid w:val="0"/>
          <w:u w:val="none"/>
        </w:rPr>
        <w:t xml:space="preserve"> </w:t>
      </w:r>
      <w:r>
        <w:rPr>
          <w:rFonts w:ascii="Time New Roman" w:eastAsia="SimHei" w:hAnsi="Time New Roman" w:hint="eastAsia"/>
          <w:u w:val="none"/>
        </w:rPr>
        <w:t xml:space="preserve"> </w:t>
      </w:r>
      <w:r>
        <w:rPr>
          <w:rFonts w:ascii="Time New Roman" w:eastAsia="SimHei" w:hAnsi="Time New Roman" w:hint="eastAsia"/>
          <w:u w:val="none"/>
        </w:rPr>
        <w:t>利</w:t>
      </w:r>
    </w:p>
    <w:p w:rsidR="00000000" w:rsidRDefault="00000000">
      <w:pPr>
        <w:spacing w:after="320"/>
        <w:rPr>
          <w:rFonts w:hint="eastAsia"/>
          <w:color w:val="000000"/>
        </w:rPr>
      </w:pPr>
      <w:r>
        <w:rPr>
          <w:rFonts w:hint="eastAsia"/>
          <w:color w:val="000000"/>
        </w:rPr>
        <w:tab/>
        <w:t xml:space="preserve">1.  </w:t>
      </w:r>
      <w:r>
        <w:rPr>
          <w:rFonts w:hint="eastAsia"/>
          <w:color w:val="000000"/>
        </w:rPr>
        <w:t>委员会在</w:t>
      </w:r>
      <w:r>
        <w:rPr>
          <w:rFonts w:hint="eastAsia"/>
          <w:color w:val="000000"/>
        </w:rPr>
        <w:t>2007</w:t>
      </w:r>
      <w:r>
        <w:rPr>
          <w:rFonts w:hint="eastAsia"/>
          <w:color w:val="000000"/>
        </w:rPr>
        <w:t>年</w:t>
      </w:r>
      <w:r>
        <w:rPr>
          <w:rFonts w:hint="eastAsia"/>
          <w:color w:val="000000"/>
        </w:rPr>
        <w:t>3</w:t>
      </w:r>
      <w:r>
        <w:rPr>
          <w:rFonts w:hint="eastAsia"/>
          <w:color w:val="000000"/>
        </w:rPr>
        <w:t>月</w:t>
      </w:r>
      <w:r>
        <w:rPr>
          <w:rFonts w:hint="eastAsia"/>
          <w:color w:val="000000"/>
        </w:rPr>
        <w:t>14</w:t>
      </w:r>
      <w:r>
        <w:rPr>
          <w:rFonts w:hint="eastAsia"/>
          <w:color w:val="000000"/>
        </w:rPr>
        <w:t>日和</w:t>
      </w:r>
      <w:r>
        <w:rPr>
          <w:rFonts w:hint="eastAsia"/>
          <w:color w:val="000000"/>
        </w:rPr>
        <w:t>15</w:t>
      </w:r>
      <w:r>
        <w:rPr>
          <w:rFonts w:hint="eastAsia"/>
          <w:color w:val="000000"/>
        </w:rPr>
        <w:t>日举行的第</w:t>
      </w:r>
      <w:r>
        <w:rPr>
          <w:rFonts w:hint="eastAsia"/>
          <w:color w:val="000000"/>
        </w:rPr>
        <w:t>2429</w:t>
      </w:r>
      <w:r>
        <w:rPr>
          <w:rFonts w:hint="eastAsia"/>
          <w:color w:val="000000"/>
        </w:rPr>
        <w:t>和</w:t>
      </w:r>
      <w:r>
        <w:rPr>
          <w:rFonts w:hint="eastAsia"/>
          <w:color w:val="000000"/>
        </w:rPr>
        <w:t>2430</w:t>
      </w:r>
      <w:r>
        <w:rPr>
          <w:rFonts w:hint="eastAsia"/>
          <w:color w:val="000000"/>
        </w:rPr>
        <w:t>次会议</w:t>
      </w:r>
      <w:r>
        <w:rPr>
          <w:rFonts w:hint="eastAsia"/>
          <w:color w:val="000000"/>
        </w:rPr>
        <w:t>(CCPR/C/SR.2429</w:t>
      </w:r>
      <w:r>
        <w:rPr>
          <w:rFonts w:hint="eastAsia"/>
          <w:color w:val="000000"/>
        </w:rPr>
        <w:t>和</w:t>
      </w:r>
      <w:r>
        <w:rPr>
          <w:color w:val="000000"/>
        </w:rPr>
        <w:t>SR.2430</w:t>
      </w:r>
      <w:r>
        <w:rPr>
          <w:rFonts w:hint="eastAsia"/>
          <w:color w:val="000000"/>
        </w:rPr>
        <w:t>)</w:t>
      </w:r>
      <w:r>
        <w:rPr>
          <w:rFonts w:hint="eastAsia"/>
          <w:color w:val="000000"/>
        </w:rPr>
        <w:t>上审议了智利的第五次定期报告</w:t>
      </w:r>
      <w:r>
        <w:rPr>
          <w:rFonts w:hint="eastAsia"/>
          <w:color w:val="000000"/>
        </w:rPr>
        <w:t>(CCPR/C/CHL/5)</w:t>
      </w:r>
      <w:r>
        <w:rPr>
          <w:rFonts w:hint="eastAsia"/>
          <w:color w:val="000000"/>
        </w:rPr>
        <w:t>，并于</w:t>
      </w:r>
      <w:r>
        <w:rPr>
          <w:rFonts w:hint="eastAsia"/>
          <w:color w:val="000000"/>
        </w:rPr>
        <w:t>2007</w:t>
      </w:r>
      <w:r>
        <w:rPr>
          <w:rFonts w:hint="eastAsia"/>
          <w:color w:val="000000"/>
        </w:rPr>
        <w:t>年</w:t>
      </w:r>
      <w:r>
        <w:rPr>
          <w:rFonts w:hint="eastAsia"/>
          <w:color w:val="000000"/>
        </w:rPr>
        <w:t>3</w:t>
      </w:r>
      <w:r>
        <w:rPr>
          <w:rFonts w:hint="eastAsia"/>
          <w:color w:val="000000"/>
        </w:rPr>
        <w:t>月</w:t>
      </w:r>
      <w:r>
        <w:rPr>
          <w:rFonts w:hint="eastAsia"/>
          <w:color w:val="000000"/>
        </w:rPr>
        <w:t>26</w:t>
      </w:r>
      <w:r>
        <w:rPr>
          <w:rFonts w:hint="eastAsia"/>
          <w:color w:val="000000"/>
        </w:rPr>
        <w:t>日举行的第</w:t>
      </w:r>
      <w:r>
        <w:rPr>
          <w:rFonts w:hint="eastAsia"/>
          <w:color w:val="000000"/>
        </w:rPr>
        <w:t>2445</w:t>
      </w:r>
      <w:r>
        <w:rPr>
          <w:rFonts w:hint="eastAsia"/>
          <w:color w:val="000000"/>
        </w:rPr>
        <w:t>次会议</w:t>
      </w:r>
      <w:r>
        <w:rPr>
          <w:rFonts w:hint="eastAsia"/>
          <w:color w:val="000000"/>
        </w:rPr>
        <w:t>(CCPR/C/SR.2445)</w:t>
      </w:r>
      <w:r>
        <w:rPr>
          <w:rFonts w:hint="eastAsia"/>
          <w:color w:val="000000"/>
        </w:rPr>
        <w:t>上通过了下述结论性意见。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color w:val="000000"/>
        </w:rPr>
      </w:pPr>
      <w:r>
        <w:rPr>
          <w:rFonts w:hint="eastAsia"/>
          <w:color w:val="000000"/>
        </w:rPr>
        <w:tab/>
        <w:t xml:space="preserve">2.  </w:t>
      </w:r>
      <w:r>
        <w:rPr>
          <w:rFonts w:hint="eastAsia"/>
          <w:color w:val="000000"/>
        </w:rPr>
        <w:t>委员会欢迎智利提交的第五次定期报告，虽说提交时间推迟了</w:t>
      </w:r>
      <w:r>
        <w:rPr>
          <w:rFonts w:hint="eastAsia"/>
          <w:color w:val="000000"/>
        </w:rPr>
        <w:t>4</w:t>
      </w:r>
      <w:r>
        <w:rPr>
          <w:rFonts w:hint="eastAsia"/>
          <w:color w:val="000000"/>
        </w:rPr>
        <w:t>年。委员会赞赏关于缔约国立法和立法草案的详情资料，但遗憾地感到，报告未提供充分资料，阐明对《公约》的切实执行情况。委员会对及早提前提交了书面答复表示赞赏，这使这些答复可及时翻译成委员会的其他工作语文。委员会还欢迎缔约国代表团所作的高质量答复，因为这便于就智利境内的各类现存问题开展坦诚、公开和建设性的对话。</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color w:val="000000"/>
        </w:rPr>
      </w:pPr>
      <w:r>
        <w:rPr>
          <w:rFonts w:hint="eastAsia"/>
          <w:color w:val="000000"/>
        </w:rPr>
        <w:tab/>
        <w:t xml:space="preserve">3.  </w:t>
      </w:r>
      <w:r>
        <w:rPr>
          <w:rFonts w:hint="eastAsia"/>
          <w:color w:val="000000"/>
        </w:rPr>
        <w:t>委员会欢迎缔约国依照委员会</w:t>
      </w:r>
      <w:r>
        <w:rPr>
          <w:rFonts w:hint="eastAsia"/>
          <w:color w:val="000000"/>
        </w:rPr>
        <w:t>1999</w:t>
      </w:r>
      <w:r>
        <w:rPr>
          <w:rFonts w:hint="eastAsia"/>
          <w:color w:val="000000"/>
        </w:rPr>
        <w:t>年提出的建议，为巩固法治而推行的重大立法</w:t>
      </w:r>
      <w:r>
        <w:rPr>
          <w:rFonts w:hint="eastAsia"/>
          <w:color w:val="000000"/>
        </w:rPr>
        <w:t>(2005</w:t>
      </w:r>
      <w:r>
        <w:rPr>
          <w:rFonts w:hint="eastAsia"/>
          <w:color w:val="000000"/>
        </w:rPr>
        <w:t>年</w:t>
      </w:r>
      <w:r>
        <w:rPr>
          <w:rFonts w:hint="eastAsia"/>
          <w:color w:val="000000"/>
        </w:rPr>
        <w:t>)</w:t>
      </w:r>
      <w:r>
        <w:rPr>
          <w:rFonts w:hint="eastAsia"/>
          <w:color w:val="000000"/>
        </w:rPr>
        <w:t>和体制变革。这些变革包括：</w:t>
      </w:r>
    </w:p>
    <w:p w:rsidR="00000000" w:rsidRDefault="00000000">
      <w:pPr>
        <w:numPr>
          <w:ilvl w:val="0"/>
          <w:numId w:val="31"/>
        </w:numPr>
        <w:rPr>
          <w:color w:val="000000"/>
        </w:rPr>
      </w:pPr>
      <w:r>
        <w:rPr>
          <w:rFonts w:hint="eastAsia"/>
          <w:color w:val="000000"/>
        </w:rPr>
        <w:t>宪法改革，结束了任命参议员和终身参议员制度，并废除了共和国总统不得撤除武装部队指挥官职务的条款，并推行了有关国家安全理事会的改革；</w:t>
      </w:r>
    </w:p>
    <w:p w:rsidR="00000000" w:rsidRDefault="00000000">
      <w:pPr>
        <w:numPr>
          <w:ilvl w:val="0"/>
          <w:numId w:val="31"/>
        </w:numPr>
        <w:rPr>
          <w:color w:val="000000"/>
        </w:rPr>
      </w:pPr>
      <w:r>
        <w:rPr>
          <w:rFonts w:hint="eastAsia"/>
          <w:color w:val="000000"/>
        </w:rPr>
        <w:t>宪法改革，建立了男女之间的法律平等；</w:t>
      </w:r>
    </w:p>
    <w:p w:rsidR="00000000" w:rsidRDefault="00000000">
      <w:pPr>
        <w:numPr>
          <w:ilvl w:val="0"/>
          <w:numId w:val="31"/>
        </w:numPr>
        <w:rPr>
          <w:rFonts w:hint="eastAsia"/>
          <w:color w:val="000000"/>
        </w:rPr>
      </w:pPr>
      <w:r>
        <w:rPr>
          <w:rFonts w:hint="eastAsia"/>
          <w:color w:val="000000"/>
        </w:rPr>
        <w:t>《刑事诉讼法》改革，实现了检察主管当局，与司法审判主管当局之间的职能分家；</w:t>
      </w:r>
    </w:p>
    <w:p w:rsidR="00000000" w:rsidRDefault="00000000">
      <w:pPr>
        <w:numPr>
          <w:ilvl w:val="0"/>
          <w:numId w:val="31"/>
        </w:numPr>
        <w:rPr>
          <w:rFonts w:hint="eastAsia"/>
          <w:color w:val="000000"/>
        </w:rPr>
      </w:pPr>
      <w:r>
        <w:rPr>
          <w:rFonts w:hint="eastAsia"/>
          <w:color w:val="000000"/>
        </w:rPr>
        <w:t>推出改善监狱制度的政策；</w:t>
      </w:r>
    </w:p>
    <w:p w:rsidR="00000000" w:rsidRDefault="00000000">
      <w:pPr>
        <w:numPr>
          <w:ilvl w:val="0"/>
          <w:numId w:val="31"/>
        </w:numPr>
        <w:rPr>
          <w:rFonts w:hint="eastAsia"/>
          <w:color w:val="000000"/>
        </w:rPr>
      </w:pPr>
      <w:r>
        <w:rPr>
          <w:rFonts w:hint="eastAsia"/>
          <w:color w:val="000000"/>
        </w:rPr>
        <w:t>新《婚姻法》条款允许离婚的规定，并将性骚扰和家庭暴力列为刑事罪。</w:t>
      </w:r>
    </w:p>
    <w:p w:rsidR="00000000" w:rsidRDefault="00000000">
      <w:pPr>
        <w:spacing w:after="320"/>
        <w:rPr>
          <w:rFonts w:hint="eastAsia"/>
          <w:color w:val="000000"/>
        </w:rPr>
      </w:pPr>
      <w:r>
        <w:rPr>
          <w:rFonts w:hint="eastAsia"/>
          <w:color w:val="000000"/>
        </w:rPr>
        <w:tab/>
        <w:t xml:space="preserve">4.  </w:t>
      </w:r>
      <w:r>
        <w:rPr>
          <w:rFonts w:hint="eastAsia"/>
          <w:color w:val="000000"/>
        </w:rPr>
        <w:t>委员会欢迎</w:t>
      </w:r>
      <w:r>
        <w:rPr>
          <w:rFonts w:hint="eastAsia"/>
          <w:color w:val="000000"/>
        </w:rPr>
        <w:t>2001</w:t>
      </w:r>
      <w:r>
        <w:rPr>
          <w:rFonts w:hint="eastAsia"/>
          <w:color w:val="000000"/>
        </w:rPr>
        <w:t>年废除了死刑。</w:t>
      </w:r>
    </w:p>
    <w:p w:rsidR="00000000" w:rsidRDefault="00000000">
      <w:pPr>
        <w:pStyle w:val="Heading3"/>
        <w:rPr>
          <w:rFonts w:hint="eastAsia"/>
        </w:rPr>
      </w:pPr>
      <w:r>
        <w:rPr>
          <w:rFonts w:hint="eastAsia"/>
          <w:u w:val="none"/>
        </w:rPr>
        <w:t xml:space="preserve">C.  </w:t>
      </w:r>
      <w:r>
        <w:rPr>
          <w:rFonts w:hint="eastAsia"/>
        </w:rPr>
        <w:t>主要关注领域和建议</w:t>
      </w:r>
    </w:p>
    <w:p w:rsidR="00000000" w:rsidRDefault="00000000">
      <w:pPr>
        <w:rPr>
          <w:rFonts w:hint="eastAsia"/>
          <w:color w:val="000000"/>
        </w:rPr>
      </w:pPr>
      <w:r>
        <w:rPr>
          <w:rFonts w:hint="eastAsia"/>
          <w:color w:val="000000"/>
        </w:rPr>
        <w:tab/>
        <w:t xml:space="preserve">5.  </w:t>
      </w:r>
      <w:r>
        <w:rPr>
          <w:rFonts w:hint="eastAsia"/>
          <w:color w:val="000000"/>
        </w:rPr>
        <w:t>委员会重申对</w:t>
      </w:r>
      <w:r>
        <w:rPr>
          <w:rFonts w:hint="eastAsia"/>
          <w:color w:val="000000"/>
        </w:rPr>
        <w:t>1978</w:t>
      </w:r>
      <w:r>
        <w:rPr>
          <w:rFonts w:hint="eastAsia"/>
          <w:color w:val="000000"/>
        </w:rPr>
        <w:t>年《大赦法令法》第</w:t>
      </w:r>
      <w:r>
        <w:rPr>
          <w:rFonts w:hint="eastAsia"/>
          <w:color w:val="000000"/>
        </w:rPr>
        <w:t>2.191</w:t>
      </w:r>
      <w:r>
        <w:rPr>
          <w:rFonts w:hint="eastAsia"/>
          <w:color w:val="000000"/>
        </w:rPr>
        <w:t>号的关注。委员会注意到，据缔约国称法院已不再适用这项法令，与此同时，委员会认为，《大赦法令法》仍然有效。这就敞开了可能适用的可能性。委员会提请注意其关于禁止酷刑和其他残忍、不人道或有辱人格的待遇或处罚问题的一般性评论第</w:t>
      </w:r>
      <w:r>
        <w:rPr>
          <w:rFonts w:hint="eastAsia"/>
          <w:color w:val="000000"/>
        </w:rPr>
        <w:t>20</w:t>
      </w:r>
      <w:r>
        <w:rPr>
          <w:rFonts w:hint="eastAsia"/>
          <w:color w:val="000000"/>
        </w:rPr>
        <w:t>号，其中指出，赦免侵犯人权行为，通常不符合缔约国应调查此类侵权行为、保证在其司法管辖范围内无这类侵权行为、和确保今后不再发生类似侵权行为的义务</w:t>
      </w:r>
      <w:r>
        <w:rPr>
          <w:rFonts w:hint="eastAsia"/>
          <w:color w:val="000000"/>
        </w:rPr>
        <w:t>(</w:t>
      </w:r>
      <w:r>
        <w:rPr>
          <w:rFonts w:hint="eastAsia"/>
          <w:color w:val="000000"/>
        </w:rPr>
        <w:t>《公约》第二条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缔约国应加紧努力，将最高法院就</w:t>
      </w:r>
      <w:r>
        <w:rPr>
          <w:rFonts w:ascii="Time New Roman" w:eastAsia="SimHei" w:hAnsi="Time New Roman" w:hint="eastAsia"/>
          <w:bCs/>
          <w:color w:val="000000"/>
        </w:rPr>
        <w:t>1978</w:t>
      </w:r>
      <w:r>
        <w:rPr>
          <w:rFonts w:ascii="Time New Roman" w:eastAsia="SimHei" w:hAnsi="Time New Roman" w:hint="eastAsia"/>
          <w:color w:val="000000"/>
        </w:rPr>
        <w:t>年《大赦法令法》第</w:t>
      </w:r>
      <w:r>
        <w:rPr>
          <w:rFonts w:ascii="Time New Roman" w:eastAsia="SimHei" w:hAnsi="Time New Roman" w:hint="eastAsia"/>
          <w:bCs/>
          <w:color w:val="000000"/>
        </w:rPr>
        <w:t>2.191</w:t>
      </w:r>
      <w:r>
        <w:rPr>
          <w:rFonts w:ascii="Time New Roman" w:eastAsia="SimHei" w:hAnsi="Time New Roman" w:hint="eastAsia"/>
          <w:color w:val="000000"/>
        </w:rPr>
        <w:t>号确立的司法判例，尽早融入国内成文法，以确保严重侵犯人权的行为会</w:t>
      </w:r>
      <w:r>
        <w:rPr>
          <w:rFonts w:eastAsia="SimHei" w:hint="eastAsia"/>
          <w:color w:val="000000"/>
        </w:rPr>
        <w:t>逍遥</w:t>
      </w:r>
      <w:r>
        <w:rPr>
          <w:rFonts w:ascii="Time New Roman" w:eastAsia="SimHei" w:hAnsi="Time New Roman" w:hint="eastAsia"/>
          <w:color w:val="000000"/>
        </w:rPr>
        <w:t>法外。</w:t>
      </w:r>
    </w:p>
    <w:p w:rsidR="00000000" w:rsidRDefault="00000000">
      <w:pPr>
        <w:rPr>
          <w:rFonts w:hint="eastAsia"/>
        </w:rPr>
      </w:pPr>
      <w:r>
        <w:rPr>
          <w:rFonts w:hint="eastAsia"/>
        </w:rPr>
        <w:tab/>
        <w:t xml:space="preserve">6.  </w:t>
      </w:r>
      <w:r>
        <w:rPr>
          <w:rFonts w:hint="eastAsia"/>
        </w:rPr>
        <w:t>委员会确认缔约国在这方面作出了努力，同时关切地注意到，智利仍尚未建立全国人权机构</w:t>
      </w:r>
      <w:r>
        <w:rPr>
          <w:rFonts w:hint="eastAsia"/>
        </w:rPr>
        <w:t>(</w:t>
      </w:r>
      <w:r>
        <w:rPr>
          <w:rFonts w:hint="eastAsia"/>
        </w:rPr>
        <w:t>《公约》第二条</w:t>
      </w:r>
      <w:r>
        <w:rPr>
          <w:rFonts w:hint="eastAsia"/>
        </w:rPr>
        <w:t>)</w:t>
      </w:r>
      <w:r>
        <w:rPr>
          <w:rFonts w:hint="eastAsia"/>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缔约国应尽快全面按照大会第</w:t>
      </w:r>
      <w:r>
        <w:rPr>
          <w:rFonts w:ascii="Time New Roman" w:eastAsia="SimHei" w:hAnsi="Time New Roman" w:hint="eastAsia"/>
          <w:bCs/>
          <w:color w:val="000000"/>
        </w:rPr>
        <w:t>48/134</w:t>
      </w:r>
      <w:r>
        <w:rPr>
          <w:rFonts w:ascii="Time New Roman" w:eastAsia="SimHei" w:hAnsi="Time New Roman" w:hint="eastAsia"/>
          <w:color w:val="000000"/>
        </w:rPr>
        <w:t>号决议附件所载的“有关促进和保护人权国家机构地位的原则”</w:t>
      </w:r>
      <w:r>
        <w:rPr>
          <w:rFonts w:ascii="Time New Roman" w:eastAsia="SimHei" w:hAnsi="Time New Roman" w:hint="eastAsia"/>
          <w:color w:val="000000"/>
        </w:rPr>
        <w:t>(</w:t>
      </w:r>
      <w:r>
        <w:rPr>
          <w:rFonts w:ascii="Time New Roman" w:eastAsia="SimHei" w:hAnsi="Time New Roman" w:hint="eastAsia"/>
          <w:color w:val="000000"/>
        </w:rPr>
        <w:t>《巴黎原则》</w:t>
      </w:r>
      <w:r>
        <w:rPr>
          <w:rFonts w:ascii="Time New Roman" w:eastAsia="SimHei" w:hAnsi="Time New Roman" w:hint="eastAsia"/>
          <w:color w:val="000000"/>
        </w:rPr>
        <w:t>)</w:t>
      </w:r>
      <w:r>
        <w:rPr>
          <w:rFonts w:ascii="Time New Roman" w:eastAsia="SimHei" w:hAnsi="Time New Roman" w:hint="eastAsia"/>
          <w:color w:val="000000"/>
        </w:rPr>
        <w:t>，建立起全国人权机构。为此，缔约国应与民间社会展开磋商。</w:t>
      </w:r>
    </w:p>
    <w:p w:rsidR="00000000" w:rsidRDefault="00000000">
      <w:pPr>
        <w:rPr>
          <w:rFonts w:hint="eastAsia"/>
          <w:color w:val="000000"/>
        </w:rPr>
      </w:pPr>
      <w:r>
        <w:rPr>
          <w:rFonts w:hint="eastAsia"/>
          <w:color w:val="000000"/>
        </w:rPr>
        <w:tab/>
        <w:t xml:space="preserve">7.  </w:t>
      </w:r>
      <w:r>
        <w:rPr>
          <w:rFonts w:hint="eastAsia"/>
          <w:color w:val="000000"/>
        </w:rPr>
        <w:t>委员会对于《反恐法》第</w:t>
      </w:r>
      <w:r>
        <w:rPr>
          <w:rFonts w:hint="eastAsia"/>
          <w:color w:val="000000"/>
        </w:rPr>
        <w:t>18.314</w:t>
      </w:r>
      <w:r>
        <w:rPr>
          <w:rFonts w:hint="eastAsia"/>
          <w:color w:val="000000"/>
        </w:rPr>
        <w:t>号所列的恐怖主义定义范围可能过于宽泛表示关切。对于按这项定义可对为保护土地权举行抗议或提出诉求的马普切社区成员提出恐怖主义指控，委员会也表示关切。委员会还注意到，由于适用《反恐法》限制了《公约》第十四条确立的程序保障</w:t>
      </w:r>
      <w:r>
        <w:rPr>
          <w:rFonts w:hint="eastAsia"/>
          <w:color w:val="000000"/>
        </w:rPr>
        <w:t>(</w:t>
      </w:r>
      <w:r>
        <w:rPr>
          <w:rFonts w:hint="eastAsia"/>
          <w:color w:val="000000"/>
        </w:rPr>
        <w:t>《公约》第二、十四和二十七条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确立一项恐怖主义罪较狭义的定义，从而确保不致出于政治、宗教或意识形态的原因而适用于个人。这项定义应仅限适用于有理由可等同于恐怖主义及其严重后果的罪行，且必须确保《公约》确立的程序保障得到坚持。</w:t>
      </w:r>
    </w:p>
    <w:p w:rsidR="00000000" w:rsidRDefault="00000000">
      <w:pPr>
        <w:rPr>
          <w:rFonts w:hint="eastAsia"/>
          <w:color w:val="000000"/>
        </w:rPr>
      </w:pPr>
      <w:r>
        <w:rPr>
          <w:rFonts w:hint="eastAsia"/>
          <w:color w:val="000000"/>
        </w:rPr>
        <w:tab/>
        <w:t xml:space="preserve">8.  </w:t>
      </w:r>
      <w:r>
        <w:rPr>
          <w:rFonts w:hint="eastAsia"/>
          <w:color w:val="000000"/>
        </w:rPr>
        <w:t>委员会对智利的堕胎法过分地限制性再次表示关切，尤其是当母亲的生命处于危险的情况。委员会遗憾地感到，智利政府没有制定这方面立法的计划</w:t>
      </w:r>
      <w:r>
        <w:rPr>
          <w:rFonts w:hint="eastAsia"/>
          <w:color w:val="000000"/>
        </w:rPr>
        <w:t>(</w:t>
      </w:r>
      <w:r>
        <w:rPr>
          <w:rFonts w:hint="eastAsia"/>
          <w:color w:val="000000"/>
        </w:rPr>
        <w:t>《公约》第六条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缔约国应修订其堕胎法，协助妇女避免意外怀孕，从而使妇女可不必诉诸具有生命风险的非法堕胎。缔约国还应按《公约》调整堕胎法。</w:t>
      </w:r>
    </w:p>
    <w:p w:rsidR="00000000" w:rsidRDefault="00000000">
      <w:pPr>
        <w:rPr>
          <w:rFonts w:hint="eastAsia"/>
          <w:color w:val="000000"/>
        </w:rPr>
      </w:pPr>
      <w:r>
        <w:rPr>
          <w:rFonts w:hint="eastAsia"/>
          <w:color w:val="000000"/>
        </w:rPr>
        <w:tab/>
        <w:t xml:space="preserve">9.  </w:t>
      </w:r>
      <w:r>
        <w:rPr>
          <w:rFonts w:hint="eastAsia"/>
          <w:color w:val="000000"/>
        </w:rPr>
        <w:t>委员会欢迎该缔约国采取了步骤，诸如于</w:t>
      </w:r>
      <w:r>
        <w:rPr>
          <w:rFonts w:hint="eastAsia"/>
          <w:color w:val="000000"/>
        </w:rPr>
        <w:t>2003</w:t>
      </w:r>
      <w:r>
        <w:rPr>
          <w:rFonts w:hint="eastAsia"/>
          <w:color w:val="000000"/>
        </w:rPr>
        <w:t>年设立起了全国政治犯与酷刑问题委员会</w:t>
      </w:r>
      <w:r>
        <w:rPr>
          <w:rFonts w:hint="eastAsia"/>
          <w:color w:val="000000"/>
        </w:rPr>
        <w:t>(CNPPT)</w:t>
      </w:r>
      <w:r>
        <w:rPr>
          <w:rFonts w:hint="eastAsia"/>
          <w:color w:val="000000"/>
        </w:rPr>
        <w:t>，以确保在智利军事独裁期间，遭受侵犯人权行为之害的人们获得赔偿，但是，委员会对未展开正式调查以确定在军事独裁期间犯下的严重侵犯人权行为的直接责任者一事表示关切</w:t>
      </w:r>
      <w:r>
        <w:rPr>
          <w:rFonts w:hint="eastAsia"/>
          <w:color w:val="000000"/>
        </w:rPr>
        <w:t>(</w:t>
      </w:r>
      <w:r>
        <w:rPr>
          <w:rFonts w:hint="eastAsia"/>
          <w:color w:val="000000"/>
        </w:rPr>
        <w:t>《公约》第二、六和七条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确保在独裁政权期间犯下的严重侵犯人权行为不会逍遥法外。具体地说，缔约国应确保，那些对此类行为负责的犯罪嫌疑人确实被绳之以法。政府还应采取进一步的步骤，确定个人责任。对于那些曾经因这类行为而服刑的人是否适合担任公职，应当加以严格审查。缔约国应公布全国政治犯与酷刑问题委员会收集的所有文件资料，从而可协助查明那些犯有法外处决、强迫失踪和酷刑行为的责任者。</w:t>
      </w:r>
    </w:p>
    <w:p w:rsidR="00000000" w:rsidRDefault="00000000">
      <w:pPr>
        <w:rPr>
          <w:rFonts w:hint="eastAsia"/>
          <w:color w:val="000000"/>
        </w:rPr>
      </w:pPr>
      <w:r>
        <w:rPr>
          <w:rFonts w:hint="eastAsia"/>
          <w:color w:val="000000"/>
        </w:rPr>
        <w:tab/>
        <w:t xml:space="preserve">10.  </w:t>
      </w:r>
      <w:r>
        <w:rPr>
          <w:rFonts w:hint="eastAsia"/>
          <w:color w:val="000000"/>
        </w:rPr>
        <w:t>委员会关切地注意到，继续存在一些安全部队首先在实施逮捕和对待包括贫困者在内的最弱势者方面进行虐待的案例</w:t>
      </w:r>
      <w:r>
        <w:rPr>
          <w:rFonts w:hint="eastAsia"/>
          <w:color w:val="000000"/>
        </w:rPr>
        <w:t>(</w:t>
      </w:r>
      <w:r>
        <w:rPr>
          <w:rFonts w:hint="eastAsia"/>
          <w:color w:val="000000"/>
        </w:rPr>
        <w:t>《公约》第七和二十六条</w:t>
      </w:r>
      <w:r>
        <w:rPr>
          <w:rFonts w:hint="eastAsia"/>
          <w:color w:val="000000"/>
        </w:rPr>
        <w:t>)</w:t>
      </w:r>
      <w:r>
        <w:rPr>
          <w:rFonts w:hint="eastAsia"/>
          <w:color w:val="000000"/>
        </w:rPr>
        <w:t>。</w:t>
      </w:r>
    </w:p>
    <w:p w:rsidR="00000000" w:rsidRDefault="00000000">
      <w:pPr>
        <w:ind w:left="1040"/>
        <w:rPr>
          <w:rFonts w:hint="eastAsia"/>
          <w:color w:val="000000"/>
        </w:rPr>
      </w:pPr>
      <w:r>
        <w:rPr>
          <w:rFonts w:ascii="Time New Roman" w:eastAsia="SimHei" w:hAnsi="Time New Roman"/>
          <w:color w:val="000000"/>
        </w:rPr>
        <w:tab/>
      </w:r>
      <w:r>
        <w:rPr>
          <w:rFonts w:ascii="Time New Roman" w:eastAsia="SimHei" w:hAnsi="Time New Roman" w:hint="eastAsia"/>
          <w:color w:val="000000"/>
        </w:rPr>
        <w:t>缔约国应立即采取有效行动结束此类虐待行为，并应监督、调查和在适当时审判和惩治虐待弱势群体的警官。缔约国应对治安部队全体成员开展人权培训。</w:t>
      </w:r>
    </w:p>
    <w:p w:rsidR="00000000" w:rsidRDefault="00000000">
      <w:pPr>
        <w:rPr>
          <w:rFonts w:hint="eastAsia"/>
          <w:color w:val="000000"/>
        </w:rPr>
      </w:pPr>
      <w:r>
        <w:rPr>
          <w:rFonts w:hint="eastAsia"/>
          <w:color w:val="000000"/>
        </w:rPr>
        <w:tab/>
        <w:t xml:space="preserve">11.  </w:t>
      </w:r>
      <w:r>
        <w:rPr>
          <w:rFonts w:hint="eastAsia"/>
          <w:color w:val="000000"/>
        </w:rPr>
        <w:t>委员会重申对法律授权可长达</w:t>
      </w:r>
      <w:r>
        <w:rPr>
          <w:rFonts w:hint="eastAsia"/>
          <w:color w:val="000000"/>
        </w:rPr>
        <w:t>10</w:t>
      </w:r>
      <w:r>
        <w:rPr>
          <w:rFonts w:hint="eastAsia"/>
          <w:color w:val="000000"/>
        </w:rPr>
        <w:t>天的单独监禁制度的关切</w:t>
      </w:r>
      <w:r>
        <w:rPr>
          <w:rFonts w:hint="eastAsia"/>
          <w:color w:val="000000"/>
        </w:rPr>
        <w:t>(</w:t>
      </w:r>
      <w:r>
        <w:rPr>
          <w:rFonts w:hint="eastAsia"/>
          <w:color w:val="000000"/>
        </w:rPr>
        <w:t>《公约》第七、八、九和十条</w:t>
      </w:r>
      <w:r>
        <w:rPr>
          <w:rFonts w:hint="eastAsia"/>
          <w:color w:val="000000"/>
        </w:rPr>
        <w:t>)</w:t>
      </w:r>
      <w:r>
        <w:rPr>
          <w:rFonts w:hint="eastAsia"/>
          <w:color w:val="000000"/>
        </w:rPr>
        <w:t>。</w:t>
      </w:r>
    </w:p>
    <w:p w:rsidR="00000000" w:rsidRDefault="00000000">
      <w:pPr>
        <w:ind w:left="1040"/>
        <w:rPr>
          <w:rFonts w:hint="eastAsia"/>
          <w:color w:val="000000"/>
        </w:rPr>
      </w:pPr>
      <w:r>
        <w:rPr>
          <w:rFonts w:ascii="Time New Roman" w:eastAsia="SimHei" w:hAnsi="Time New Roman" w:hint="eastAsia"/>
          <w:color w:val="000000"/>
        </w:rPr>
        <w:tab/>
      </w:r>
      <w:r>
        <w:rPr>
          <w:rFonts w:ascii="Time New Roman" w:eastAsia="SimHei" w:hAnsi="Time New Roman" w:hint="eastAsia"/>
          <w:color w:val="000000"/>
        </w:rPr>
        <w:t>委员会再次建议，应采取必要的立法措施，以废除长时间的单独监禁。</w:t>
      </w:r>
    </w:p>
    <w:p w:rsidR="00000000" w:rsidRDefault="00000000">
      <w:pPr>
        <w:rPr>
          <w:rFonts w:hint="eastAsia"/>
          <w:color w:val="000000"/>
        </w:rPr>
      </w:pPr>
      <w:r>
        <w:rPr>
          <w:rFonts w:hint="eastAsia"/>
          <w:color w:val="000000"/>
        </w:rPr>
        <w:tab/>
        <w:t xml:space="preserve">12.  </w:t>
      </w:r>
      <w:r>
        <w:rPr>
          <w:rFonts w:hint="eastAsia"/>
          <w:color w:val="000000"/>
        </w:rPr>
        <w:t>委员会关切地注意到，智利军事法庭仍然拥有审理民事事务的司法管辖权，这种状况不符合《公约》第十四条。委员会还对《军事司法法》第</w:t>
      </w:r>
      <w:r>
        <w:rPr>
          <w:rFonts w:hint="eastAsia"/>
          <w:color w:val="000000"/>
        </w:rPr>
        <w:t>330</w:t>
      </w:r>
      <w:r>
        <w:rPr>
          <w:rFonts w:hint="eastAsia"/>
          <w:color w:val="000000"/>
        </w:rPr>
        <w:t>条的措词可被解释为允许采用“不必要的暴力”表示关切</w:t>
      </w:r>
      <w:r>
        <w:rPr>
          <w:rFonts w:hint="eastAsia"/>
          <w:color w:val="000000"/>
        </w:rPr>
        <w:t>(</w:t>
      </w:r>
      <w:r>
        <w:rPr>
          <w:rFonts w:hint="eastAsia"/>
          <w:color w:val="000000"/>
        </w:rPr>
        <w:t>《公约》第七和十四条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缔约国应加速通过修订《军事司法法》的法律，规定军事法庭的司法管辖权只限于被控只犯有军事罪的军事人员，并确保新法律不得包含任何可允许侵犯《公约》所列权利的条款。</w:t>
      </w:r>
    </w:p>
    <w:p w:rsidR="00000000" w:rsidRDefault="00000000">
      <w:pPr>
        <w:rPr>
          <w:rFonts w:hint="eastAsia"/>
          <w:color w:val="000000"/>
        </w:rPr>
      </w:pPr>
      <w:r>
        <w:rPr>
          <w:rFonts w:hint="eastAsia"/>
          <w:color w:val="000000"/>
        </w:rPr>
        <w:tab/>
        <w:t xml:space="preserve">13.  </w:t>
      </w:r>
      <w:r>
        <w:rPr>
          <w:rFonts w:hint="eastAsia"/>
          <w:color w:val="000000"/>
        </w:rPr>
        <w:t>委员会注意到</w:t>
      </w:r>
      <w:r>
        <w:rPr>
          <w:color w:val="000000"/>
        </w:rPr>
        <w:t>，</w:t>
      </w:r>
      <w:r>
        <w:rPr>
          <w:rFonts w:hint="eastAsia"/>
          <w:color w:val="000000"/>
        </w:rPr>
        <w:t>该缔约国打算通过一项承认良心上拒服兵役的权利的法律，但继续关切此项权利尚未得到承认</w:t>
      </w:r>
      <w:r>
        <w:rPr>
          <w:rFonts w:hint="eastAsia"/>
          <w:color w:val="000000"/>
        </w:rPr>
        <w:t>(</w:t>
      </w:r>
      <w:r>
        <w:rPr>
          <w:rFonts w:hint="eastAsia"/>
          <w:color w:val="000000"/>
        </w:rPr>
        <w:t>《公约》第十八条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缔约国应加快通过立法，承认良心上拒绝服兵役的权利，确保出于良心拒绝服兵役者不受歧视或惩罚，并承认可在任何时候，甚至在所涉个人已开始服役时出于良心拒绝服役。</w:t>
      </w:r>
    </w:p>
    <w:p w:rsidR="00000000" w:rsidRDefault="00000000">
      <w:pPr>
        <w:rPr>
          <w:rFonts w:hint="eastAsia"/>
          <w:color w:val="000000"/>
        </w:rPr>
      </w:pPr>
      <w:r>
        <w:rPr>
          <w:rFonts w:hint="eastAsia"/>
          <w:color w:val="000000"/>
        </w:rPr>
        <w:tab/>
        <w:t xml:space="preserve">14.  </w:t>
      </w:r>
      <w:r>
        <w:rPr>
          <w:rFonts w:hint="eastAsia"/>
          <w:color w:val="000000"/>
        </w:rPr>
        <w:t>委员会虽了解</w:t>
      </w:r>
      <w:r>
        <w:rPr>
          <w:rFonts w:hint="eastAsia"/>
          <w:color w:val="000000"/>
        </w:rPr>
        <w:t>2005</w:t>
      </w:r>
      <w:r>
        <w:rPr>
          <w:rFonts w:hint="eastAsia"/>
          <w:color w:val="000000"/>
        </w:rPr>
        <w:t>年已实施了劳工法改革，委员会仍对智利继续限制工会权利，以及有报导称，实际上存在着单方面更改工作日、顶替罢工工人和威胁解雇以防止组成工会的做法，表示关切。在许多情况下，工人们实际上无法提出投诉，因为审理过程过度冗长而且费用极高</w:t>
      </w:r>
      <w:r>
        <w:rPr>
          <w:rFonts w:hint="eastAsia"/>
          <w:color w:val="000000"/>
        </w:rPr>
        <w:t>(</w:t>
      </w:r>
      <w:r>
        <w:rPr>
          <w:rFonts w:hint="eastAsia"/>
          <w:color w:val="000000"/>
        </w:rPr>
        <w:t>《公约》第二十二条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缔约国应消除一切立法和其他障碍，以充分实施《公约》第二十二条确立的各项权利。缔约国应简化就业手序，并为工人提供法律援助，以使他们的投诉切实得到受理。</w:t>
      </w:r>
    </w:p>
    <w:p w:rsidR="00000000" w:rsidRDefault="00000000">
      <w:pPr>
        <w:rPr>
          <w:rFonts w:hint="eastAsia"/>
          <w:color w:val="000000"/>
        </w:rPr>
      </w:pPr>
      <w:r>
        <w:rPr>
          <w:rFonts w:hint="eastAsia"/>
          <w:color w:val="000000"/>
        </w:rPr>
        <w:tab/>
        <w:t xml:space="preserve">15.  </w:t>
      </w:r>
      <w:r>
        <w:rPr>
          <w:rFonts w:hint="eastAsia"/>
          <w:color w:val="000000"/>
        </w:rPr>
        <w:t>委员会注意到宪法中已删除了双名制度，但关切地注意到，正如该缔约国所述，智利目前采用的选举制度可阻碍所有个人在议会中的有效代表性</w:t>
      </w:r>
      <w:r>
        <w:rPr>
          <w:rFonts w:hint="eastAsia"/>
          <w:color w:val="000000"/>
        </w:rPr>
        <w:t>(</w:t>
      </w:r>
      <w:r>
        <w:rPr>
          <w:rFonts w:hint="eastAsia"/>
          <w:color w:val="000000"/>
        </w:rPr>
        <w:t>《公约》第三和二十五条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缔约国应加强努力，克服政治障碍，修订《关于民众投票和票数计算问题的宪法法案》以保障《公约》第二十五条规定的平等普选权。</w:t>
      </w:r>
    </w:p>
    <w:p w:rsidR="00000000" w:rsidRDefault="00000000">
      <w:pPr>
        <w:rPr>
          <w:rFonts w:hint="eastAsia"/>
          <w:color w:val="000000"/>
        </w:rPr>
      </w:pPr>
      <w:r>
        <w:rPr>
          <w:rFonts w:hint="eastAsia"/>
          <w:color w:val="000000"/>
        </w:rPr>
        <w:tab/>
        <w:t xml:space="preserve">16.  </w:t>
      </w:r>
      <w:r>
        <w:rPr>
          <w:rFonts w:hint="eastAsia"/>
          <w:color w:val="000000"/>
        </w:rPr>
        <w:t>委员会满意地注意到，已废除了将成年人之间两相情愿的同性恋关系列为犯罪的法律，但是，委员会仍对有些人由于其性取向仍受到歧视</w:t>
      </w:r>
      <w:r>
        <w:rPr>
          <w:rFonts w:hint="eastAsia"/>
          <w:color w:val="000000"/>
          <w:spacing w:val="-50"/>
        </w:rPr>
        <w:t>―</w:t>
      </w:r>
      <w:r>
        <w:rPr>
          <w:rFonts w:hint="eastAsia"/>
          <w:color w:val="000000"/>
        </w:rPr>
        <w:t>―如在法庭上和获得医保方面</w:t>
      </w:r>
      <w:r>
        <w:rPr>
          <w:rFonts w:hint="eastAsia"/>
          <w:color w:val="000000"/>
          <w:spacing w:val="-50"/>
        </w:rPr>
        <w:t>―</w:t>
      </w:r>
      <w:r>
        <w:rPr>
          <w:rFonts w:hint="eastAsia"/>
          <w:color w:val="000000"/>
        </w:rPr>
        <w:t>―表示关切</w:t>
      </w:r>
      <w:r>
        <w:rPr>
          <w:rFonts w:hint="eastAsia"/>
          <w:color w:val="000000"/>
        </w:rPr>
        <w:t>(</w:t>
      </w:r>
      <w:r>
        <w:rPr>
          <w:rFonts w:hint="eastAsia"/>
          <w:color w:val="000000"/>
        </w:rPr>
        <w:t>《公约》第二和二十六条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缔约国应保障所有个人，不论其性取向如何，都享有《公约》确立的平等权利，包括在法律面前和获得医保方面的平等权利。缔约国还应发动宣传方案，以克服社会偏见。</w:t>
      </w:r>
    </w:p>
    <w:p w:rsidR="00000000" w:rsidRDefault="00000000">
      <w:pPr>
        <w:rPr>
          <w:rFonts w:hint="eastAsia"/>
          <w:color w:val="000000"/>
        </w:rPr>
      </w:pPr>
      <w:r>
        <w:rPr>
          <w:rFonts w:hint="eastAsia"/>
          <w:color w:val="000000"/>
        </w:rPr>
        <w:tab/>
        <w:t xml:space="preserve">17.  </w:t>
      </w:r>
      <w:r>
        <w:rPr>
          <w:rFonts w:hint="eastAsia"/>
          <w:color w:val="000000"/>
        </w:rPr>
        <w:t>委员会注意到在法律领域消除性别歧视取得了进展，但仍对歧视妇女作为家庭资产管理人的家庭法继续生效表示关切</w:t>
      </w:r>
      <w:r>
        <w:rPr>
          <w:rFonts w:hint="eastAsia"/>
          <w:color w:val="000000"/>
        </w:rPr>
        <w:t>(</w:t>
      </w:r>
      <w:r>
        <w:rPr>
          <w:rFonts w:hint="eastAsia"/>
          <w:color w:val="000000"/>
        </w:rPr>
        <w:t>《公约》第三和二十六条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缔约国应加快参议院通过废除联合财产婚姻制度的法律，以共有财产制度取而代之。</w:t>
      </w:r>
    </w:p>
    <w:p w:rsidR="00000000" w:rsidRDefault="00000000">
      <w:pPr>
        <w:rPr>
          <w:rFonts w:hint="eastAsia"/>
          <w:color w:val="000000"/>
        </w:rPr>
      </w:pPr>
      <w:r>
        <w:rPr>
          <w:rFonts w:hint="eastAsia"/>
          <w:color w:val="000000"/>
        </w:rPr>
        <w:tab/>
        <w:t xml:space="preserve">18.  </w:t>
      </w:r>
      <w:r>
        <w:rPr>
          <w:rFonts w:hint="eastAsia"/>
          <w:color w:val="000000"/>
        </w:rPr>
        <w:t>委员会注意到，已制定了公共部门《行为守则》，但对在工人中，尤其是私营部门中仍对工作妇女存在着歧视</w:t>
      </w:r>
      <w:r>
        <w:rPr>
          <w:rFonts w:hint="eastAsia"/>
          <w:color w:val="000000"/>
        </w:rPr>
        <w:t>(</w:t>
      </w:r>
      <w:r>
        <w:rPr>
          <w:rFonts w:hint="eastAsia"/>
          <w:color w:val="000000"/>
        </w:rPr>
        <w:t>《公约》第三和二十六条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color w:val="000000"/>
        </w:rPr>
        <w:tab/>
      </w:r>
      <w:r>
        <w:rPr>
          <w:rFonts w:ascii="Time New Roman" w:eastAsia="SimHei" w:hAnsi="Time New Roman" w:hint="eastAsia"/>
          <w:color w:val="000000"/>
        </w:rPr>
        <w:t>缔约国应加倍努力，通过撤消歧视案的举证责任等有利于女性雇员的措施，打击就业方面对女性的歧视，以使雇主必须解释为何女性的职位级别低，承担的责任少，以及获得较低报酬的原因。</w:t>
      </w:r>
    </w:p>
    <w:p w:rsidR="00000000" w:rsidRDefault="00000000">
      <w:pPr>
        <w:rPr>
          <w:rFonts w:hint="eastAsia"/>
          <w:color w:val="000000"/>
        </w:rPr>
      </w:pPr>
      <w:r>
        <w:rPr>
          <w:rFonts w:hint="eastAsia"/>
          <w:color w:val="000000"/>
        </w:rPr>
        <w:tab/>
        <w:t xml:space="preserve">19.  </w:t>
      </w:r>
      <w:r>
        <w:rPr>
          <w:rFonts w:hint="eastAsia"/>
          <w:color w:val="000000"/>
        </w:rPr>
        <w:t>委员会注意到，该缔约国表示打算在宪法上承认土著人民，但对以下情况表示关切：各类报导不断揭露土著人民，尤其是马普切人的一些索赔要求未得到满足，以及在划定土著人土地方面进展缓慢，造成了一些社会紧张。委员会失望地得悉，“祖传土地”仍然遭到扩大森林以及建筑和能源方面超大项目的威胁</w:t>
      </w:r>
      <w:r>
        <w:rPr>
          <w:rFonts w:hint="eastAsia"/>
          <w:color w:val="000000"/>
        </w:rPr>
        <w:t>(</w:t>
      </w:r>
      <w:r>
        <w:rPr>
          <w:rFonts w:hint="eastAsia"/>
          <w:color w:val="000000"/>
        </w:rPr>
        <w:t>《公约》第一和二十七条</w:t>
      </w:r>
      <w:r>
        <w:rPr>
          <w:rFonts w:hint="eastAsia"/>
          <w:color w:val="000000"/>
        </w:rPr>
        <w:t>)</w:t>
      </w:r>
      <w:r>
        <w:rPr>
          <w:rFonts w:hint="eastAsia"/>
          <w:color w:val="000000"/>
        </w:rPr>
        <w:t>。</w:t>
      </w:r>
    </w:p>
    <w:p w:rsidR="00000000" w:rsidRDefault="00000000">
      <w:pPr>
        <w:ind w:left="1040"/>
        <w:rPr>
          <w:rFonts w:ascii="Time New Roman" w:eastAsia="SimHei" w:hAnsi="Time New Roman" w:hint="eastAsia"/>
          <w:color w:val="000000"/>
        </w:rPr>
      </w:pPr>
      <w:r>
        <w:rPr>
          <w:rFonts w:ascii="Time New Roman" w:eastAsia="SimHei" w:hAnsi="Time New Roman" w:hint="eastAsia"/>
          <w:color w:val="000000"/>
        </w:rPr>
        <w:tab/>
      </w:r>
      <w:r>
        <w:rPr>
          <w:rFonts w:ascii="Time New Roman" w:eastAsia="SimHei" w:hAnsi="Time New Roman" w:hint="eastAsia"/>
          <w:color w:val="000000"/>
        </w:rPr>
        <w:t>缔约国应：</w:t>
      </w:r>
    </w:p>
    <w:p w:rsidR="00000000" w:rsidRDefault="00000000">
      <w:pPr>
        <w:numPr>
          <w:ilvl w:val="0"/>
          <w:numId w:val="32"/>
        </w:numPr>
        <w:tabs>
          <w:tab w:val="clear" w:pos="1531"/>
          <w:tab w:val="num" w:pos="2051"/>
        </w:tabs>
        <w:ind w:left="2051"/>
        <w:rPr>
          <w:rFonts w:ascii="Time New Roman" w:eastAsia="SimHei" w:hAnsi="Time New Roman" w:hint="eastAsia"/>
        </w:rPr>
      </w:pPr>
      <w:r>
        <w:rPr>
          <w:rFonts w:ascii="Time New Roman" w:eastAsia="SimHei" w:hAnsi="Time New Roman" w:hint="eastAsia"/>
        </w:rPr>
        <w:t>竭尽全力确保与各土著社区的谈判，达成一种按照《公约》第一条第</w:t>
      </w:r>
      <w:r>
        <w:rPr>
          <w:rFonts w:ascii="Time New Roman" w:eastAsia="SimHei" w:hAnsi="Time New Roman" w:hint="eastAsia"/>
          <w:bCs/>
        </w:rPr>
        <w:t>2</w:t>
      </w:r>
      <w:r>
        <w:rPr>
          <w:rFonts w:ascii="Time New Roman" w:eastAsia="SimHei" w:hAnsi="Time New Roman" w:hint="eastAsia"/>
        </w:rPr>
        <w:t>款和第二十七条的规定，尊重各土著社区土地权的解决办法。缔约国应加快程序，承认土著人的这种祖传土地；</w:t>
      </w:r>
    </w:p>
    <w:p w:rsidR="00000000" w:rsidRDefault="00000000">
      <w:pPr>
        <w:numPr>
          <w:ilvl w:val="0"/>
          <w:numId w:val="32"/>
        </w:numPr>
        <w:tabs>
          <w:tab w:val="clear" w:pos="1531"/>
          <w:tab w:val="num" w:pos="2051"/>
        </w:tabs>
        <w:ind w:left="2051"/>
        <w:rPr>
          <w:rFonts w:ascii="Time New Roman" w:eastAsia="SimHei" w:hAnsi="Time New Roman" w:hint="eastAsia"/>
        </w:rPr>
      </w:pPr>
      <w:r>
        <w:rPr>
          <w:rFonts w:ascii="Time New Roman" w:eastAsia="SimHei" w:hAnsi="Time New Roman" w:hint="eastAsia"/>
        </w:rPr>
        <w:t>修订第</w:t>
      </w:r>
      <w:r>
        <w:rPr>
          <w:rFonts w:ascii="Time New Roman" w:eastAsia="SimHei" w:hAnsi="Time New Roman" w:hint="eastAsia"/>
          <w:bCs/>
        </w:rPr>
        <w:t>18.314</w:t>
      </w:r>
      <w:r>
        <w:rPr>
          <w:rFonts w:ascii="Time New Roman" w:eastAsia="SimHei" w:hAnsi="Time New Roman" w:hint="eastAsia"/>
        </w:rPr>
        <w:t>号法案，使之符合《公约》第二十七条的规定，并修改任何可能与《公约》所述权利相冲突的部门法律；</w:t>
      </w:r>
    </w:p>
    <w:p w:rsidR="00000000" w:rsidRDefault="00000000">
      <w:pPr>
        <w:numPr>
          <w:ilvl w:val="0"/>
          <w:numId w:val="32"/>
        </w:numPr>
        <w:tabs>
          <w:tab w:val="clear" w:pos="1531"/>
          <w:tab w:val="num" w:pos="2051"/>
        </w:tabs>
        <w:ind w:left="2051"/>
        <w:rPr>
          <w:rFonts w:ascii="Time New Roman" w:eastAsia="SimHei" w:hAnsi="Time New Roman" w:hint="eastAsia"/>
        </w:rPr>
      </w:pPr>
      <w:r>
        <w:rPr>
          <w:rFonts w:ascii="Time New Roman" w:eastAsia="SimHei" w:hAnsi="Time New Roman" w:hint="eastAsia"/>
        </w:rPr>
        <w:t>在就有争议的土地颁发经济开发许可证之前，征求各土著社区的意见，并保证在任何情况下都决不发生违反《公约》所确认权利的情况。</w:t>
      </w:r>
    </w:p>
    <w:p w:rsidR="00000000" w:rsidRDefault="00000000">
      <w:pPr>
        <w:rPr>
          <w:rFonts w:hint="eastAsia"/>
          <w:color w:val="000000"/>
        </w:rPr>
      </w:pPr>
      <w:r>
        <w:rPr>
          <w:rFonts w:hint="eastAsia"/>
          <w:color w:val="000000"/>
        </w:rPr>
        <w:tab/>
        <w:t xml:space="preserve">20.  </w:t>
      </w:r>
      <w:r>
        <w:rPr>
          <w:rFonts w:hint="eastAsia"/>
          <w:color w:val="000000"/>
        </w:rPr>
        <w:t>委员会要求以该缔约国官方文字发表和广为散发该缔约国的初次报告及本结论性意见。</w:t>
      </w:r>
    </w:p>
    <w:p w:rsidR="00000000" w:rsidRDefault="00000000">
      <w:pPr>
        <w:rPr>
          <w:rFonts w:hint="eastAsia"/>
          <w:color w:val="000000"/>
        </w:rPr>
      </w:pPr>
      <w:r>
        <w:rPr>
          <w:rFonts w:hint="eastAsia"/>
          <w:color w:val="000000"/>
        </w:rPr>
        <w:tab/>
        <w:t xml:space="preserve">21.  </w:t>
      </w:r>
      <w:r>
        <w:rPr>
          <w:rFonts w:hint="eastAsia"/>
          <w:color w:val="000000"/>
        </w:rPr>
        <w:t>根据委员会议事规则第</w:t>
      </w:r>
      <w:r>
        <w:rPr>
          <w:rFonts w:hint="eastAsia"/>
          <w:color w:val="000000"/>
        </w:rPr>
        <w:t>71</w:t>
      </w:r>
      <w:r>
        <w:rPr>
          <w:rFonts w:hint="eastAsia"/>
          <w:color w:val="000000"/>
        </w:rPr>
        <w:t>条第</w:t>
      </w:r>
      <w:r>
        <w:rPr>
          <w:rFonts w:hint="eastAsia"/>
          <w:color w:val="000000"/>
        </w:rPr>
        <w:t>5</w:t>
      </w:r>
      <w:r>
        <w:rPr>
          <w:rFonts w:hint="eastAsia"/>
          <w:color w:val="000000"/>
        </w:rPr>
        <w:t>款，缔约国应在一年之内提交资料阐明对情况的评估以及对委员会上述结论性意见第</w:t>
      </w:r>
      <w:r>
        <w:rPr>
          <w:rFonts w:hint="eastAsia"/>
          <w:color w:val="000000"/>
        </w:rPr>
        <w:t>9</w:t>
      </w:r>
      <w:r>
        <w:rPr>
          <w:rFonts w:hint="eastAsia"/>
          <w:color w:val="000000"/>
        </w:rPr>
        <w:t>和</w:t>
      </w:r>
      <w:r>
        <w:rPr>
          <w:rFonts w:hint="eastAsia"/>
          <w:color w:val="000000"/>
        </w:rPr>
        <w:t>19</w:t>
      </w:r>
      <w:r>
        <w:rPr>
          <w:rFonts w:hint="eastAsia"/>
          <w:color w:val="000000"/>
        </w:rPr>
        <w:t>段中提出的建议所采取的后续行动。</w:t>
      </w:r>
    </w:p>
    <w:p w:rsidR="00000000" w:rsidRDefault="00000000">
      <w:pPr>
        <w:rPr>
          <w:rFonts w:hint="eastAsia"/>
          <w:color w:val="000000"/>
        </w:rPr>
      </w:pPr>
      <w:r>
        <w:rPr>
          <w:rFonts w:hint="eastAsia"/>
          <w:color w:val="000000"/>
        </w:rPr>
        <w:tab/>
        <w:t xml:space="preserve">22.  </w:t>
      </w:r>
      <w:r>
        <w:rPr>
          <w:rFonts w:hint="eastAsia"/>
          <w:color w:val="000000"/>
        </w:rPr>
        <w:t>委员会请该缔约国在其应于</w:t>
      </w:r>
      <w:r>
        <w:rPr>
          <w:rFonts w:hint="eastAsia"/>
          <w:color w:val="000000"/>
        </w:rPr>
        <w:t>2012</w:t>
      </w:r>
      <w:r>
        <w:rPr>
          <w:rFonts w:hint="eastAsia"/>
          <w:color w:val="000000"/>
        </w:rPr>
        <w:t>年</w:t>
      </w:r>
      <w:r>
        <w:rPr>
          <w:rFonts w:hint="eastAsia"/>
          <w:color w:val="000000"/>
        </w:rPr>
        <w:t>4</w:t>
      </w:r>
      <w:r>
        <w:rPr>
          <w:rFonts w:hint="eastAsia"/>
          <w:color w:val="000000"/>
        </w:rPr>
        <w:t>月</w:t>
      </w:r>
      <w:r>
        <w:rPr>
          <w:rFonts w:hint="eastAsia"/>
          <w:color w:val="000000"/>
        </w:rPr>
        <w:t>1</w:t>
      </w:r>
      <w:r>
        <w:rPr>
          <w:rFonts w:hint="eastAsia"/>
          <w:color w:val="000000"/>
        </w:rPr>
        <w:t>日之前提交的下次定期报告中列入资料，阐明对其余各项建议以及对整个《公约》的执行情况。</w:t>
      </w:r>
    </w:p>
    <w:p w:rsidR="00000000" w:rsidRDefault="00000000">
      <w:pPr>
        <w:rPr>
          <w:color w:val="000000"/>
        </w:rPr>
      </w:pPr>
    </w:p>
    <w:p w:rsidR="00000000" w:rsidRDefault="00000000">
      <w:pPr>
        <w:rPr>
          <w:color w:val="000000"/>
        </w:rPr>
      </w:pPr>
    </w:p>
    <w:p w:rsidR="00000000" w:rsidRDefault="00000000">
      <w:pPr>
        <w:jc w:val="center"/>
        <w:rPr>
          <w:rFonts w:hint="eastAsia"/>
          <w:color w:val="000000"/>
        </w:rPr>
      </w:pPr>
      <w:r>
        <w:rPr>
          <w:color w:val="000000"/>
        </w:rPr>
        <w:t>--  --  --  --  --</w:t>
      </w:r>
    </w:p>
    <w:p w:rsidR="00000000" w:rsidRDefault="00000000">
      <w:pPr>
        <w:rPr>
          <w:rFonts w:hint="eastAsia"/>
          <w:color w:val="000000"/>
        </w:rPr>
      </w:pP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07-41996 (C)</w:t>
          </w:r>
        </w:p>
      </w:tc>
      <w:tc>
        <w:tcPr>
          <w:tcW w:w="1050" w:type="dxa"/>
        </w:tcPr>
        <w:p w:rsidR="00000000" w:rsidRDefault="00000000">
          <w:pPr>
            <w:pStyle w:val="Footer"/>
          </w:pPr>
          <w:r>
            <w:t>180607</w:t>
          </w:r>
        </w:p>
      </w:tc>
      <w:tc>
        <w:tcPr>
          <w:tcW w:w="6061" w:type="dxa"/>
        </w:tcPr>
        <w:p w:rsidR="00000000" w:rsidRDefault="00000000">
          <w:pPr>
            <w:pStyle w:val="Footer"/>
          </w:pPr>
          <w:r>
            <w:t>210607</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pPr>
    <w:r>
      <w:t>CCPR/C/CHL/CO/5</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pPr>
    <w:r>
      <w:tab/>
    </w:r>
    <w:r>
      <w:tab/>
    </w:r>
    <w:r>
      <w:tab/>
    </w:r>
    <w:r>
      <w:tab/>
      <w:t>CCPR/C/CHL/CO/5</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spacing w:after="160"/>
    </w:pPr>
    <w:r>
      <w:fldChar w:fldCharType="begin"/>
    </w:r>
    <w:r>
      <w:instrText xml:space="preserve">PRIVATE </w:instrText>
    </w:r>
    <w:r>
      <w:fldChar w:fldCharType="end"/>
    </w:r>
  </w:p>
  <w:tbl>
    <w:tblPr>
      <w:tblpPr w:leftFromText="180" w:rightFromText="180" w:vertAnchor="page" w:horzAnchor="margin" w:tblpY="99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4536"/>
      <w:gridCol w:w="3260"/>
    </w:tblGrid>
    <w:tr w:rsidR="00000000">
      <w:tblPrEx>
        <w:tblCellMar>
          <w:top w:w="0" w:type="dxa"/>
          <w:bottom w:w="0" w:type="dxa"/>
        </w:tblCellMar>
      </w:tblPrEx>
      <w:tc>
        <w:tcPr>
          <w:tcW w:w="1668" w:type="dxa"/>
          <w:tcBorders>
            <w:top w:val="nil"/>
            <w:left w:val="nil"/>
            <w:bottom w:val="single" w:sz="8" w:space="0" w:color="auto"/>
            <w:right w:val="nil"/>
          </w:tcBorders>
          <w:vAlign w:val="center"/>
        </w:tcPr>
        <w:p w:rsidR="00000000" w:rsidRDefault="00000000">
          <w:pPr>
            <w:pStyle w:val="1L"/>
            <w:framePr w:w="0" w:hRule="auto" w:hSpace="0" w:wrap="auto" w:vAnchor="margin" w:hAnchor="text" w:xAlign="left" w:yAlign="inline"/>
            <w:rPr>
              <w:rFonts w:ascii="Time New Roman" w:hAnsi="Time New Roman"/>
              <w:b/>
            </w:rPr>
          </w:pPr>
          <w:r>
            <w:rPr>
              <w:rFonts w:hint="eastAsia"/>
            </w:rPr>
            <w:t>联合国</w:t>
          </w:r>
        </w:p>
      </w:tc>
      <w:tc>
        <w:tcPr>
          <w:tcW w:w="4536" w:type="dxa"/>
          <w:tcBorders>
            <w:top w:val="nil"/>
            <w:left w:val="nil"/>
            <w:bottom w:val="single" w:sz="8" w:space="0" w:color="auto"/>
            <w:right w:val="nil"/>
          </w:tcBorders>
        </w:tcPr>
        <w:p w:rsidR="00000000" w:rsidRDefault="00000000">
          <w:pPr>
            <w:pStyle w:val="1L"/>
            <w:framePr w:w="0" w:hRule="auto" w:hSpace="0" w:wrap="auto" w:vAnchor="margin" w:hAnchor="text" w:xAlign="left" w:yAlign="inline"/>
          </w:pPr>
        </w:p>
      </w:tc>
      <w:tc>
        <w:tcPr>
          <w:tcW w:w="3260" w:type="dxa"/>
          <w:tcBorders>
            <w:top w:val="nil"/>
            <w:left w:val="nil"/>
            <w:bottom w:val="single" w:sz="8" w:space="0" w:color="auto"/>
            <w:right w:val="nil"/>
          </w:tcBorders>
          <w:vAlign w:val="bottom"/>
        </w:tcPr>
        <w:p w:rsidR="00000000" w:rsidRDefault="00000000">
          <w:pPr>
            <w:pStyle w:val="1R1"/>
            <w:jc w:val="right"/>
            <w:rPr>
              <w:rFonts w:ascii="Univers" w:hAnsi="Univers"/>
              <w:b w:val="0"/>
              <w:sz w:val="72"/>
            </w:rPr>
          </w:pPr>
          <w:r>
            <w:t>CCPR</w:t>
          </w:r>
        </w:p>
      </w:tc>
    </w:tr>
    <w:bookmarkStart w:id="0" w:name="_MON_992683020"/>
    <w:bookmarkStart w:id="1" w:name="_MON_1114339969"/>
    <w:bookmarkEnd w:id="0"/>
    <w:bookmarkEnd w:id="1"/>
    <w:tr w:rsidR="00000000">
      <w:tblPrEx>
        <w:tblCellMar>
          <w:top w:w="0" w:type="dxa"/>
          <w:bottom w:w="0" w:type="dxa"/>
        </w:tblCellMar>
      </w:tblPrEx>
      <w:tc>
        <w:tcPr>
          <w:tcW w:w="1668" w:type="dxa"/>
          <w:tcBorders>
            <w:top w:val="single" w:sz="8" w:space="0" w:color="auto"/>
            <w:left w:val="nil"/>
            <w:bottom w:val="single" w:sz="24"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31994" r:id="rId2"/>
            </w:object>
          </w:r>
        </w:p>
      </w:tc>
      <w:tc>
        <w:tcPr>
          <w:tcW w:w="4536" w:type="dxa"/>
          <w:tcBorders>
            <w:top w:val="single" w:sz="8" w:space="0" w:color="auto"/>
            <w:left w:val="nil"/>
            <w:bottom w:val="single" w:sz="24" w:space="0" w:color="auto"/>
            <w:right w:val="nil"/>
          </w:tcBorders>
        </w:tcPr>
        <w:p w:rsidR="00000000" w:rsidRDefault="00000000">
          <w:pPr>
            <w:pStyle w:val="1m1"/>
            <w:rPr>
              <w:spacing w:val="30"/>
              <w:sz w:val="20"/>
            </w:rPr>
          </w:pPr>
        </w:p>
        <w:p w:rsidR="00000000" w:rsidRDefault="00000000">
          <w:pPr>
            <w:pStyle w:val="1m1"/>
            <w:spacing w:line="240" w:lineRule="auto"/>
            <w:rPr>
              <w:spacing w:val="20"/>
            </w:rPr>
          </w:pPr>
          <w:r>
            <w:rPr>
              <w:rFonts w:hint="eastAsia"/>
              <w:spacing w:val="20"/>
            </w:rPr>
            <w:t>公民权利和政治权利</w:t>
          </w:r>
        </w:p>
        <w:p w:rsidR="00000000" w:rsidRDefault="00000000">
          <w:pPr>
            <w:pStyle w:val="1m1"/>
            <w:spacing w:line="240" w:lineRule="auto"/>
            <w:rPr>
              <w:spacing w:val="20"/>
            </w:rPr>
          </w:pPr>
          <w:r>
            <w:rPr>
              <w:rFonts w:hint="eastAsia"/>
              <w:spacing w:val="20"/>
            </w:rPr>
            <w:t>国际公约</w:t>
          </w:r>
        </w:p>
        <w:p w:rsidR="00000000" w:rsidRDefault="00000000">
          <w:pPr>
            <w:pStyle w:val="1m1"/>
            <w:spacing w:before="480"/>
          </w:pPr>
        </w:p>
      </w:tc>
      <w:tc>
        <w:tcPr>
          <w:tcW w:w="3260" w:type="dxa"/>
          <w:tcBorders>
            <w:top w:val="single" w:sz="8" w:space="0" w:color="auto"/>
            <w:left w:val="nil"/>
            <w:bottom w:val="single" w:sz="24" w:space="0" w:color="auto"/>
            <w:right w:val="nil"/>
          </w:tcBorders>
        </w:tcPr>
        <w:p w:rsidR="00000000" w:rsidRDefault="00000000">
          <w:pPr>
            <w:pStyle w:val="Header"/>
            <w:rPr>
              <w:lang w:eastAsia="zh-CN"/>
            </w:rPr>
          </w:pPr>
        </w:p>
        <w:p w:rsidR="00000000" w:rsidRDefault="00000000">
          <w:pPr>
            <w:pStyle w:val="Header"/>
          </w:pPr>
          <w:r>
            <w:t>Distr.</w:t>
          </w:r>
        </w:p>
        <w:p w:rsidR="00000000" w:rsidRDefault="00000000">
          <w:pPr>
            <w:pStyle w:val="Header"/>
            <w:jc w:val="both"/>
          </w:pPr>
          <w:r>
            <w:t>GENERAL</w:t>
          </w:r>
        </w:p>
        <w:p w:rsidR="00000000" w:rsidRDefault="00000000">
          <w:pPr>
            <w:pStyle w:val="Header"/>
          </w:pPr>
        </w:p>
        <w:p w:rsidR="00000000" w:rsidRDefault="00000000">
          <w:pPr>
            <w:pStyle w:val="Header"/>
            <w:jc w:val="both"/>
          </w:pPr>
          <w:r>
            <w:t>CCPR/C/CHL/CO/5</w:t>
          </w:r>
        </w:p>
        <w:p w:rsidR="00000000" w:rsidRDefault="00000000">
          <w:pPr>
            <w:pStyle w:val="Header"/>
          </w:pPr>
          <w:r>
            <w:t>18 May 2007</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SPANISH</w:t>
          </w:r>
        </w:p>
        <w:p w:rsidR="00000000" w:rsidRDefault="00000000">
          <w:pPr>
            <w:pStyle w:val="Header"/>
          </w:pPr>
        </w:p>
      </w:tc>
    </w:tr>
    <w:tr w:rsidR="00000000">
      <w:tblPrEx>
        <w:tblCellMar>
          <w:top w:w="0" w:type="dxa"/>
          <w:bottom w:w="0" w:type="dxa"/>
        </w:tblCellMar>
      </w:tblPrEx>
      <w:trPr>
        <w:cantSplit/>
        <w:trHeight w:val="293"/>
      </w:trPr>
      <w:tc>
        <w:tcPr>
          <w:tcW w:w="1668" w:type="dxa"/>
          <w:tcBorders>
            <w:top w:val="single" w:sz="24" w:space="0" w:color="auto"/>
            <w:left w:val="nil"/>
            <w:bottom w:val="nil"/>
            <w:right w:val="nil"/>
          </w:tcBorders>
          <w:noWrap/>
        </w:tcPr>
        <w:p w:rsidR="00000000" w:rsidRDefault="00000000">
          <w:pPr>
            <w:rPr>
              <w:sz w:val="16"/>
            </w:rPr>
          </w:pPr>
        </w:p>
      </w:tc>
      <w:tc>
        <w:tcPr>
          <w:tcW w:w="4536" w:type="dxa"/>
          <w:tcBorders>
            <w:top w:val="single" w:sz="24" w:space="0" w:color="auto"/>
            <w:left w:val="nil"/>
            <w:bottom w:val="nil"/>
            <w:right w:val="nil"/>
          </w:tcBorders>
          <w:noWrap/>
        </w:tcPr>
        <w:p w:rsidR="00000000" w:rsidRDefault="00000000">
          <w:pPr>
            <w:pStyle w:val="1m1"/>
            <w:spacing w:line="240" w:lineRule="auto"/>
            <w:rPr>
              <w:rFonts w:hint="eastAsia"/>
              <w:sz w:val="16"/>
            </w:rPr>
          </w:pPr>
        </w:p>
      </w:tc>
      <w:tc>
        <w:tcPr>
          <w:tcW w:w="3260" w:type="dxa"/>
          <w:tcBorders>
            <w:top w:val="single" w:sz="24" w:space="0" w:color="auto"/>
            <w:left w:val="nil"/>
            <w:bottom w:val="nil"/>
            <w:right w:val="nil"/>
          </w:tcBorders>
          <w:noWrap/>
        </w:tcPr>
        <w:p w:rsidR="00000000" w:rsidRDefault="00000000">
          <w:pPr>
            <w:rPr>
              <w:sz w:val="16"/>
            </w:rPr>
          </w:pPr>
        </w:p>
      </w:tc>
    </w:tr>
  </w:tbl>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14C0BE5"/>
    <w:multiLevelType w:val="hybridMultilevel"/>
    <w:tmpl w:val="F2B002EA"/>
    <w:lvl w:ilvl="0" w:tplc="963A9E92">
      <w:start w:val="1"/>
      <w:numFmt w:val="lowerLetter"/>
      <w:lvlText w:val="（%1）"/>
      <w:lvlJc w:val="left"/>
      <w:pPr>
        <w:tabs>
          <w:tab w:val="num" w:pos="720"/>
        </w:tabs>
        <w:ind w:left="720" w:hanging="720"/>
      </w:pPr>
      <w:rPr>
        <w:rFonts w:ascii="Times New Roman" w:hAnsi="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4">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5">
    <w:nsid w:val="374513D2"/>
    <w:multiLevelType w:val="hybridMultilevel"/>
    <w:tmpl w:val="AE98A7EA"/>
    <w:lvl w:ilvl="0" w:tplc="151089A2">
      <w:start w:val="1"/>
      <w:numFmt w:val="lowerLetter"/>
      <w:lvlText w:val="(%1)"/>
      <w:lvlJc w:val="left"/>
      <w:pPr>
        <w:tabs>
          <w:tab w:val="num" w:pos="870"/>
        </w:tabs>
        <w:ind w:left="870" w:hanging="360"/>
      </w:pPr>
      <w:rPr>
        <w:rFonts w:hint="default"/>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
    <w:nsid w:val="399A066D"/>
    <w:multiLevelType w:val="hybridMultilevel"/>
    <w:tmpl w:val="6DD2AED6"/>
    <w:lvl w:ilvl="0" w:tplc="4EC40B0E">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8">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9">
    <w:nsid w:val="590C5F66"/>
    <w:multiLevelType w:val="hybridMultilevel"/>
    <w:tmpl w:val="3F0ABBFE"/>
    <w:lvl w:ilvl="0" w:tplc="4EC40B0E">
      <w:start w:val="1"/>
      <w:numFmt w:val="lowerLetter"/>
      <w:lvlRestart w:val="0"/>
      <w:lvlText w:val="(%1)"/>
      <w:lvlJc w:val="right"/>
      <w:pPr>
        <w:tabs>
          <w:tab w:val="num" w:pos="1531"/>
        </w:tabs>
        <w:ind w:left="1531"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8"/>
  </w:num>
  <w:num w:numId="3">
    <w:abstractNumId w:val="7"/>
  </w:num>
  <w:num w:numId="4">
    <w:abstractNumId w:val="3"/>
  </w:num>
  <w:num w:numId="5">
    <w:abstractNumId w:val="4"/>
  </w:num>
  <w:num w:numId="6">
    <w:abstractNumId w:val="8"/>
  </w:num>
  <w:num w:numId="7">
    <w:abstractNumId w:val="7"/>
  </w:num>
  <w:num w:numId="8">
    <w:abstractNumId w:val="3"/>
  </w:num>
  <w:num w:numId="9">
    <w:abstractNumId w:val="4"/>
  </w:num>
  <w:num w:numId="10">
    <w:abstractNumId w:val="8"/>
  </w:num>
  <w:num w:numId="11">
    <w:abstractNumId w:val="7"/>
  </w:num>
  <w:num w:numId="12">
    <w:abstractNumId w:val="3"/>
  </w:num>
  <w:num w:numId="13">
    <w:abstractNumId w:val="4"/>
  </w:num>
  <w:num w:numId="14">
    <w:abstractNumId w:val="8"/>
  </w:num>
  <w:num w:numId="15">
    <w:abstractNumId w:val="7"/>
  </w:num>
  <w:num w:numId="16">
    <w:abstractNumId w:val="3"/>
  </w:num>
  <w:num w:numId="17">
    <w:abstractNumId w:val="4"/>
  </w:num>
  <w:num w:numId="18">
    <w:abstractNumId w:val="8"/>
  </w:num>
  <w:num w:numId="19">
    <w:abstractNumId w:val="7"/>
  </w:num>
  <w:num w:numId="20">
    <w:abstractNumId w:val="0"/>
  </w:num>
  <w:num w:numId="21">
    <w:abstractNumId w:val="8"/>
  </w:num>
  <w:num w:numId="22">
    <w:abstractNumId w:val="7"/>
  </w:num>
  <w:num w:numId="23">
    <w:abstractNumId w:val="10"/>
  </w:num>
  <w:num w:numId="24">
    <w:abstractNumId w:val="2"/>
  </w:num>
  <w:num w:numId="25">
    <w:abstractNumId w:val="2"/>
  </w:num>
  <w:num w:numId="26">
    <w:abstractNumId w:val="2"/>
  </w:num>
  <w:num w:numId="27">
    <w:abstractNumId w:val="8"/>
  </w:num>
  <w:num w:numId="28">
    <w:abstractNumId w:val="7"/>
  </w:num>
  <w:num w:numId="29">
    <w:abstractNumId w:val="5"/>
  </w:num>
  <w:num w:numId="30">
    <w:abstractNumId w:val="1"/>
  </w:num>
  <w:num w:numId="31">
    <w:abstractNumId w:val="9"/>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customStyle="1" w:styleId="ac">
    <w:name w:val="正文缩进"/>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styleId="BodyTextIndent">
    <w:name w:val="Body Text Indent"/>
    <w:basedOn w:val="Normal"/>
    <w:semiHidden/>
    <w:pPr>
      <w:widowControl w:val="0"/>
      <w:spacing w:line="360" w:lineRule="auto"/>
      <w:ind w:left="510"/>
      <w:textAlignment w:val="baseline"/>
    </w:pPr>
    <w:rPr>
      <w:rFonts w:ascii="Time New Roman" w:eastAsia="SimHei" w:hAnsi="Time New Roman"/>
      <w:snapToGrid/>
      <w:kern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6</Pages>
  <Words>547</Words>
  <Characters>3121</Characters>
  <Application>Microsoft Office Word</Application>
  <DocSecurity>4</DocSecurity>
  <Lines>26</Lines>
  <Paragraphs>6</Paragraphs>
  <ScaleCrop>false</ScaleCrop>
  <HeadingPairs>
    <vt:vector size="2" baseType="variant">
      <vt:variant>
        <vt:lpstr>题目</vt:lpstr>
      </vt:variant>
      <vt:variant>
        <vt:i4>1</vt:i4>
      </vt:variant>
    </vt:vector>
  </HeadingPairs>
  <TitlesOfParts>
    <vt:vector size="1" baseType="lpstr">
      <vt:lpstr>人权事务委员会</vt:lpstr>
    </vt:vector>
  </TitlesOfParts>
  <Company>Chinese Unit - GE</Company>
  <LinksUpToDate>false</LinksUpToDate>
  <CharactersWithSpaces>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JI</dc:creator>
  <cp:keywords/>
  <dc:description/>
  <cp:lastModifiedBy>TIAN</cp:lastModifiedBy>
  <cp:revision>2</cp:revision>
  <cp:lastPrinted>2007-06-21T09:08:00Z</cp:lastPrinted>
  <dcterms:created xsi:type="dcterms:W3CDTF">2007-06-21T09:09:00Z</dcterms:created>
  <dcterms:modified xsi:type="dcterms:W3CDTF">2007-06-21T09:09:00Z</dcterms:modified>
  <cp:category>CCPR意见.dot</cp:category>
</cp:coreProperties>
</file>