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69154A" w14:textId="77777777" w:rsidR="00552B57" w:rsidRPr="00CF4349" w:rsidRDefault="00552B57" w:rsidP="00552B57">
      <w:pPr>
        <w:spacing w:line="240" w:lineRule="auto"/>
        <w:rPr>
          <w:sz w:val="2"/>
        </w:rPr>
        <w:sectPr w:rsidR="00552B57" w:rsidRPr="00CF4349" w:rsidSect="00B235E2">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CF4349">
        <w:rPr>
          <w:rStyle w:val="CommentReference"/>
          <w:szCs w:val="20"/>
        </w:rPr>
        <w:commentReference w:id="0"/>
      </w:r>
    </w:p>
    <w:p w14:paraId="60F3E563" w14:textId="77777777" w:rsidR="00B235E2" w:rsidRPr="00CF4349" w:rsidRDefault="00B235E2" w:rsidP="00B235E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990"/>
      </w:pPr>
      <w:r w:rsidRPr="00CF4349">
        <w:t>Comité para la Eliminación de la Discriminación contra la Mujer</w:t>
      </w:r>
    </w:p>
    <w:p w14:paraId="07B3F51D" w14:textId="77777777" w:rsidR="00B235E2" w:rsidRPr="00CF4349" w:rsidRDefault="00B235E2" w:rsidP="00B235E2">
      <w:pPr>
        <w:pStyle w:val="Session"/>
      </w:pPr>
      <w:r w:rsidRPr="00CF4349">
        <w:t>85º período de sesiones</w:t>
      </w:r>
    </w:p>
    <w:p w14:paraId="1DCF0D76" w14:textId="77777777" w:rsidR="00B235E2" w:rsidRPr="00CF4349" w:rsidRDefault="00B235E2" w:rsidP="00B235E2">
      <w:r w:rsidRPr="00CF4349">
        <w:t>8 a 26 de mayo de 2023</w:t>
      </w:r>
    </w:p>
    <w:p w14:paraId="2B443CFD" w14:textId="77777777" w:rsidR="00B235E2" w:rsidRPr="00CF4349" w:rsidRDefault="00B235E2" w:rsidP="00B235E2">
      <w:pPr>
        <w:pStyle w:val="AgendaItemNormal"/>
      </w:pPr>
      <w:r w:rsidRPr="00CF4349">
        <w:t>Tema 2 del programa provisional</w:t>
      </w:r>
    </w:p>
    <w:p w14:paraId="73E47692" w14:textId="77777777" w:rsidR="00B235E2" w:rsidRPr="00CF4349" w:rsidRDefault="00B235E2" w:rsidP="00B235E2">
      <w:pPr>
        <w:pStyle w:val="AgendaTitleH2"/>
        <w:ind w:left="1267" w:right="1260" w:hanging="1267"/>
      </w:pPr>
      <w:r w:rsidRPr="00CF4349">
        <w:t>Aprobación del programa y organización de los trabaj</w:t>
      </w:r>
      <w:bookmarkStart w:id="1" w:name="TmpSave"/>
      <w:bookmarkEnd w:id="1"/>
      <w:r w:rsidRPr="00CF4349">
        <w:t>os</w:t>
      </w:r>
    </w:p>
    <w:p w14:paraId="1EA5B5E1" w14:textId="2C92BF3D" w:rsidR="00B235E2" w:rsidRPr="00CF4349" w:rsidRDefault="00B235E2" w:rsidP="00B235E2">
      <w:pPr>
        <w:pStyle w:val="SingleTxt"/>
        <w:spacing w:after="0" w:line="120" w:lineRule="exact"/>
        <w:rPr>
          <w:sz w:val="10"/>
        </w:rPr>
      </w:pPr>
    </w:p>
    <w:p w14:paraId="14BF46B4" w14:textId="09081C12" w:rsidR="00B235E2" w:rsidRPr="00CF4349" w:rsidRDefault="00B235E2" w:rsidP="00B235E2">
      <w:pPr>
        <w:pStyle w:val="SingleTxt"/>
        <w:spacing w:after="0" w:line="120" w:lineRule="exact"/>
        <w:rPr>
          <w:sz w:val="10"/>
        </w:rPr>
      </w:pPr>
    </w:p>
    <w:p w14:paraId="17298641" w14:textId="2F10296E" w:rsidR="00B235E2" w:rsidRPr="00CF4349" w:rsidRDefault="00B235E2" w:rsidP="00B235E2">
      <w:pPr>
        <w:pStyle w:val="SingleTxt"/>
        <w:spacing w:after="0" w:line="120" w:lineRule="exact"/>
        <w:rPr>
          <w:sz w:val="10"/>
        </w:rPr>
      </w:pPr>
    </w:p>
    <w:p w14:paraId="3536123F" w14:textId="77777777" w:rsidR="00B235E2" w:rsidRPr="00CF4349" w:rsidRDefault="00B235E2" w:rsidP="00B235E2">
      <w:pPr>
        <w:pStyle w:val="TitleHCH"/>
      </w:pPr>
      <w:r w:rsidRPr="00CF4349">
        <w:tab/>
      </w:r>
      <w:r w:rsidRPr="00CF4349">
        <w:tab/>
        <w:t>Programa provisional anotado</w:t>
      </w:r>
    </w:p>
    <w:p w14:paraId="7666D998" w14:textId="478F05D8" w:rsidR="00B235E2" w:rsidRPr="00CF4349" w:rsidRDefault="00B235E2" w:rsidP="00B235E2">
      <w:pPr>
        <w:pStyle w:val="SingleTxt"/>
        <w:spacing w:after="0" w:line="120" w:lineRule="exact"/>
        <w:rPr>
          <w:sz w:val="10"/>
        </w:rPr>
      </w:pPr>
    </w:p>
    <w:p w14:paraId="54E00B08" w14:textId="32140A66" w:rsidR="00B235E2" w:rsidRPr="00CF4349" w:rsidRDefault="00B235E2" w:rsidP="00B235E2">
      <w:pPr>
        <w:pStyle w:val="SingleTxt"/>
        <w:spacing w:after="0" w:line="120" w:lineRule="exact"/>
        <w:rPr>
          <w:sz w:val="10"/>
        </w:rPr>
      </w:pPr>
    </w:p>
    <w:p w14:paraId="1045C7E2" w14:textId="77777777" w:rsidR="00B235E2" w:rsidRPr="00CF4349" w:rsidRDefault="00B235E2" w:rsidP="00B235E2">
      <w:pPr>
        <w:pStyle w:val="TitleH1"/>
      </w:pPr>
      <w:r w:rsidRPr="00CF4349">
        <w:tab/>
      </w:r>
      <w:r w:rsidRPr="00CF4349">
        <w:tab/>
        <w:t>Programa provisional</w:t>
      </w:r>
    </w:p>
    <w:p w14:paraId="6011F048" w14:textId="31CB56CF" w:rsidR="00B235E2" w:rsidRPr="00CF4349" w:rsidRDefault="00B235E2" w:rsidP="00B235E2">
      <w:pPr>
        <w:pStyle w:val="SingleTxt"/>
        <w:spacing w:after="0" w:line="120" w:lineRule="exact"/>
        <w:rPr>
          <w:sz w:val="10"/>
        </w:rPr>
      </w:pPr>
    </w:p>
    <w:p w14:paraId="60CE0AAE" w14:textId="5B7C99FD" w:rsidR="00B235E2" w:rsidRPr="00CF4349" w:rsidRDefault="00B235E2" w:rsidP="00B235E2">
      <w:pPr>
        <w:pStyle w:val="SingleTxt"/>
        <w:spacing w:after="0" w:line="120" w:lineRule="exact"/>
        <w:rPr>
          <w:sz w:val="10"/>
        </w:rPr>
      </w:pPr>
    </w:p>
    <w:p w14:paraId="3476CA53" w14:textId="77777777" w:rsidR="00B235E2" w:rsidRPr="00B235E2" w:rsidRDefault="00B235E2" w:rsidP="00B235E2">
      <w:pPr>
        <w:pStyle w:val="SingleTxt"/>
        <w:ind w:left="1742" w:hanging="475"/>
        <w:jc w:val="left"/>
      </w:pPr>
      <w:bookmarkStart w:id="2" w:name="_Hlk121746784"/>
      <w:r w:rsidRPr="00B235E2">
        <w:t>1.</w:t>
      </w:r>
      <w:r w:rsidRPr="00B235E2">
        <w:tab/>
        <w:t>Apertura del período de sesiones.</w:t>
      </w:r>
    </w:p>
    <w:p w14:paraId="4C3C8FD1" w14:textId="77777777" w:rsidR="00B235E2" w:rsidRPr="00B235E2" w:rsidRDefault="00B235E2" w:rsidP="00B235E2">
      <w:pPr>
        <w:pStyle w:val="SingleTxt"/>
        <w:ind w:left="1742" w:hanging="475"/>
        <w:jc w:val="left"/>
      </w:pPr>
      <w:r w:rsidRPr="00B235E2">
        <w:t>2.</w:t>
      </w:r>
      <w:r w:rsidRPr="00B235E2">
        <w:tab/>
        <w:t>Aprobación del programa y organización de los trabajos.</w:t>
      </w:r>
    </w:p>
    <w:p w14:paraId="4A663192" w14:textId="77777777" w:rsidR="00B235E2" w:rsidRPr="00B235E2" w:rsidRDefault="00B235E2" w:rsidP="00B235E2">
      <w:pPr>
        <w:pStyle w:val="SingleTxt"/>
        <w:ind w:left="1742" w:hanging="475"/>
        <w:jc w:val="left"/>
      </w:pPr>
      <w:r w:rsidRPr="00B235E2">
        <w:t>3.</w:t>
      </w:r>
      <w:r w:rsidRPr="00B235E2">
        <w:tab/>
        <w:t>Informe de la Presidencia sobre las actividades realizadas entre los períodos de sesiones 84º y 85º del Comité.</w:t>
      </w:r>
    </w:p>
    <w:p w14:paraId="4D88966A" w14:textId="77777777" w:rsidR="00B235E2" w:rsidRPr="00B235E2" w:rsidRDefault="00B235E2" w:rsidP="00B235E2">
      <w:pPr>
        <w:pStyle w:val="SingleTxt"/>
        <w:ind w:left="1742" w:hanging="475"/>
        <w:jc w:val="left"/>
      </w:pPr>
      <w:r w:rsidRPr="00B235E2">
        <w:t>4.</w:t>
      </w:r>
      <w:r w:rsidRPr="00B235E2">
        <w:tab/>
        <w:t>Examen de los informes presentados por los Estados partes en virtud del artículo 18 de la Convención sobre la Eliminación de Todas las Formas de Discriminación contra la Mujer.</w:t>
      </w:r>
    </w:p>
    <w:p w14:paraId="0BFF3B53" w14:textId="77777777" w:rsidR="00B235E2" w:rsidRPr="00B235E2" w:rsidRDefault="00B235E2" w:rsidP="00B235E2">
      <w:pPr>
        <w:pStyle w:val="SingleTxt"/>
        <w:ind w:left="1742" w:hanging="475"/>
        <w:jc w:val="left"/>
      </w:pPr>
      <w:r w:rsidRPr="00B235E2">
        <w:t>5.</w:t>
      </w:r>
      <w:r w:rsidRPr="00B235E2">
        <w:tab/>
        <w:t>Seguimiento del examen de los informes presentados por los Estados partes en virtud del artículo 18 de la Convención.</w:t>
      </w:r>
    </w:p>
    <w:p w14:paraId="59939852" w14:textId="77777777" w:rsidR="00B235E2" w:rsidRPr="00B235E2" w:rsidRDefault="00B235E2" w:rsidP="00B235E2">
      <w:pPr>
        <w:pStyle w:val="SingleTxt"/>
        <w:ind w:left="1742" w:hanging="475"/>
        <w:jc w:val="left"/>
      </w:pPr>
      <w:r w:rsidRPr="00B235E2">
        <w:t>6.</w:t>
      </w:r>
      <w:r w:rsidRPr="00B235E2">
        <w:tab/>
        <w:t>Aplicación de los artículos 21 y 22 de la Convención.</w:t>
      </w:r>
    </w:p>
    <w:p w14:paraId="0E477256" w14:textId="77777777" w:rsidR="00B235E2" w:rsidRPr="00B235E2" w:rsidRDefault="00B235E2" w:rsidP="00B235E2">
      <w:pPr>
        <w:pStyle w:val="SingleTxt"/>
        <w:ind w:left="1742" w:hanging="475"/>
        <w:jc w:val="left"/>
      </w:pPr>
      <w:r w:rsidRPr="00B235E2">
        <w:t>7.</w:t>
      </w:r>
      <w:r w:rsidRPr="00B235E2">
        <w:tab/>
        <w:t>Medios de agilizar los trabajos del Comité.</w:t>
      </w:r>
    </w:p>
    <w:p w14:paraId="65F9F9F9" w14:textId="77777777" w:rsidR="00B235E2" w:rsidRPr="00B235E2" w:rsidRDefault="00B235E2" w:rsidP="00B235E2">
      <w:pPr>
        <w:pStyle w:val="SingleTxt"/>
        <w:ind w:left="1742" w:hanging="475"/>
        <w:jc w:val="left"/>
      </w:pPr>
      <w:r w:rsidRPr="00B235E2">
        <w:t>8.</w:t>
      </w:r>
      <w:r w:rsidRPr="00B235E2">
        <w:tab/>
        <w:t>Actividades del Comité en relación con el Protocolo Facultativo de la Convención.</w:t>
      </w:r>
    </w:p>
    <w:p w14:paraId="41F7B028" w14:textId="77777777" w:rsidR="00B235E2" w:rsidRPr="00B235E2" w:rsidRDefault="00B235E2" w:rsidP="00B235E2">
      <w:pPr>
        <w:pStyle w:val="SingleTxt"/>
        <w:ind w:left="1742" w:hanging="475"/>
        <w:jc w:val="left"/>
      </w:pPr>
      <w:r w:rsidRPr="00B235E2">
        <w:t>9.</w:t>
      </w:r>
      <w:r w:rsidRPr="00B235E2">
        <w:tab/>
        <w:t>Programa provisional del 86º período de sesiones del Comité.</w:t>
      </w:r>
    </w:p>
    <w:p w14:paraId="562DBB2F" w14:textId="77777777" w:rsidR="00B235E2" w:rsidRPr="00B235E2" w:rsidRDefault="00B235E2" w:rsidP="00B235E2">
      <w:pPr>
        <w:pStyle w:val="SingleTxt"/>
        <w:ind w:left="1742" w:hanging="475"/>
        <w:jc w:val="left"/>
      </w:pPr>
      <w:r w:rsidRPr="00B235E2">
        <w:t>10.</w:t>
      </w:r>
      <w:r w:rsidRPr="00B235E2">
        <w:tab/>
        <w:t>Aprobación del informe del Comité sobre su 85º período de sesiones.</w:t>
      </w:r>
    </w:p>
    <w:bookmarkEnd w:id="2"/>
    <w:p w14:paraId="3372CCF2" w14:textId="0018DB1F" w:rsidR="00B235E2" w:rsidRPr="00CF4349" w:rsidRDefault="00B235E2" w:rsidP="00B235E2">
      <w:pPr>
        <w:pStyle w:val="SingleTxt"/>
        <w:spacing w:after="0" w:line="120" w:lineRule="exact"/>
        <w:rPr>
          <w:sz w:val="10"/>
        </w:rPr>
      </w:pPr>
    </w:p>
    <w:p w14:paraId="549AEC75" w14:textId="30D94F88" w:rsidR="00B235E2" w:rsidRPr="00CF4349" w:rsidRDefault="00B235E2" w:rsidP="00B235E2">
      <w:pPr>
        <w:pStyle w:val="SingleTxt"/>
        <w:spacing w:after="0" w:line="120" w:lineRule="exact"/>
        <w:rPr>
          <w:sz w:val="10"/>
        </w:rPr>
      </w:pPr>
    </w:p>
    <w:p w14:paraId="1F7239C5" w14:textId="77777777" w:rsidR="00B235E2" w:rsidRPr="00CF4349" w:rsidRDefault="00B235E2" w:rsidP="00B235E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4349">
        <w:tab/>
      </w:r>
      <w:r w:rsidRPr="00CF4349">
        <w:tab/>
        <w:t>Anotaciones</w:t>
      </w:r>
    </w:p>
    <w:p w14:paraId="7C1F0C4F" w14:textId="67DC1C6A" w:rsidR="00B235E2" w:rsidRPr="00CF4349" w:rsidRDefault="00B235E2" w:rsidP="00B235E2">
      <w:pPr>
        <w:pStyle w:val="SingleTxt"/>
        <w:spacing w:after="0" w:line="120" w:lineRule="exact"/>
        <w:rPr>
          <w:sz w:val="10"/>
        </w:rPr>
      </w:pPr>
    </w:p>
    <w:p w14:paraId="023B0FB0" w14:textId="2ED58C1C" w:rsidR="00B235E2" w:rsidRPr="00CF4349" w:rsidRDefault="00B235E2" w:rsidP="00B235E2">
      <w:pPr>
        <w:pStyle w:val="SingleTxt"/>
        <w:spacing w:after="0" w:line="120" w:lineRule="exact"/>
        <w:rPr>
          <w:sz w:val="10"/>
        </w:rPr>
      </w:pPr>
    </w:p>
    <w:p w14:paraId="782FAE7C" w14:textId="3E8E0CE5" w:rsidR="00B235E2" w:rsidRPr="00CF4349" w:rsidRDefault="00B235E2" w:rsidP="00B235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4349">
        <w:tab/>
        <w:t>1.</w:t>
      </w:r>
      <w:r w:rsidRPr="00CF4349">
        <w:tab/>
        <w:t>Apertura del período de sesiones</w:t>
      </w:r>
    </w:p>
    <w:p w14:paraId="5845CB79" w14:textId="6A917A5E" w:rsidR="00B235E2" w:rsidRPr="00CF4349" w:rsidRDefault="00B235E2" w:rsidP="00B235E2">
      <w:pPr>
        <w:pStyle w:val="SingleTxt"/>
        <w:spacing w:after="0" w:line="120" w:lineRule="exact"/>
        <w:rPr>
          <w:sz w:val="10"/>
        </w:rPr>
      </w:pPr>
    </w:p>
    <w:p w14:paraId="089BC7B0" w14:textId="77777777" w:rsidR="00B235E2" w:rsidRPr="00B235E2" w:rsidRDefault="00B235E2" w:rsidP="00B235E2">
      <w:pPr>
        <w:pStyle w:val="SingleTxt"/>
      </w:pPr>
      <w:r w:rsidRPr="00B235E2">
        <w:t>El 85º período de sesiones del Comité para la Eliminación de la Discriminación contra la Mujer será inaugurado por la Presidencia del Comité el 8 de mayo de 2023.</w:t>
      </w:r>
    </w:p>
    <w:p w14:paraId="5B485F89" w14:textId="6363807F" w:rsidR="00B235E2" w:rsidRPr="00214FB0" w:rsidRDefault="00B235E2" w:rsidP="00214FB0">
      <w:pPr>
        <w:pStyle w:val="SingleTxt"/>
        <w:spacing w:after="0" w:line="120" w:lineRule="exact"/>
        <w:rPr>
          <w:sz w:val="10"/>
        </w:rPr>
      </w:pPr>
    </w:p>
    <w:p w14:paraId="0285F83E" w14:textId="0B7DF2FA" w:rsidR="00B235E2" w:rsidRPr="00CF4349" w:rsidRDefault="00B235E2" w:rsidP="00B235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4349">
        <w:lastRenderedPageBreak/>
        <w:tab/>
        <w:t>2.</w:t>
      </w:r>
      <w:r w:rsidRPr="00CF4349">
        <w:tab/>
        <w:t>Aprobación del programa y organización de los trabajos</w:t>
      </w:r>
    </w:p>
    <w:p w14:paraId="68912475" w14:textId="79DF083B" w:rsidR="00B235E2" w:rsidRPr="00CF4349" w:rsidRDefault="00B235E2" w:rsidP="00B235E2">
      <w:pPr>
        <w:pStyle w:val="SingleTxt"/>
        <w:spacing w:after="0" w:line="120" w:lineRule="exact"/>
        <w:rPr>
          <w:sz w:val="10"/>
        </w:rPr>
      </w:pPr>
    </w:p>
    <w:p w14:paraId="233096B7" w14:textId="77777777" w:rsidR="00B235E2" w:rsidRPr="00B235E2" w:rsidRDefault="00B235E2" w:rsidP="00B235E2">
      <w:pPr>
        <w:pStyle w:val="SingleTxt"/>
      </w:pPr>
      <w:r w:rsidRPr="00B235E2">
        <w:t>El artículo 9 del Reglamento dispone que el primer tema sustantivo del programa provisional de cada período de sesiones será la aprobación del programa. En el artículo 7 se establece que el Secretario General, en consulta con la Presidencia, preparará el programa provisional de cada período de sesiones, de conformidad con las disposiciones pertinentes de los artículos 17 a 22 de la Convención.</w:t>
      </w:r>
    </w:p>
    <w:p w14:paraId="1A12BEC7" w14:textId="77777777" w:rsidR="00B235E2" w:rsidRPr="00B235E2" w:rsidRDefault="00B235E2" w:rsidP="00B235E2">
      <w:pPr>
        <w:pStyle w:val="SingleTxt"/>
      </w:pPr>
      <w:r w:rsidRPr="00B235E2">
        <w:t>En su 84º período de sesiones, el Comité aprobó el programa provisional de su 85º período de sesiones.</w:t>
      </w:r>
    </w:p>
    <w:p w14:paraId="5C2D9908" w14:textId="7E630038" w:rsidR="00B235E2" w:rsidRPr="00CF4349" w:rsidRDefault="00B235E2" w:rsidP="00B235E2">
      <w:pPr>
        <w:pStyle w:val="SingleTxt"/>
        <w:spacing w:after="0" w:line="120" w:lineRule="exact"/>
        <w:rPr>
          <w:sz w:val="10"/>
        </w:rPr>
      </w:pPr>
    </w:p>
    <w:p w14:paraId="5C549F59" w14:textId="14D12F38" w:rsidR="00B235E2" w:rsidRPr="00CF4349" w:rsidRDefault="00B235E2" w:rsidP="008C5D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640" w:hanging="1267"/>
      </w:pPr>
      <w:r w:rsidRPr="00CF4349">
        <w:tab/>
        <w:t>3.</w:t>
      </w:r>
      <w:r w:rsidRPr="00CF4349">
        <w:tab/>
        <w:t>Informe de la Presidencia sobre las actividades realizadas entre los períodos de sesiones 84º y 85º del Comité</w:t>
      </w:r>
    </w:p>
    <w:p w14:paraId="3571F233" w14:textId="1C34754C" w:rsidR="00B235E2" w:rsidRPr="00CF4349" w:rsidRDefault="00B235E2" w:rsidP="00B235E2">
      <w:pPr>
        <w:pStyle w:val="SingleTxt"/>
        <w:spacing w:after="0" w:line="120" w:lineRule="exact"/>
        <w:rPr>
          <w:sz w:val="10"/>
        </w:rPr>
      </w:pPr>
    </w:p>
    <w:p w14:paraId="6F655256" w14:textId="77777777" w:rsidR="00B235E2" w:rsidRPr="00B235E2" w:rsidRDefault="00B235E2" w:rsidP="00B235E2">
      <w:pPr>
        <w:pStyle w:val="SingleTxt"/>
      </w:pPr>
      <w:r w:rsidRPr="00B235E2">
        <w:t>La Presidencia informará al Comité sobre las actividades y los acontecimientos relacionados con la labor del Comité que hayan ocurrido desde el período de sesiones anterior.</w:t>
      </w:r>
    </w:p>
    <w:p w14:paraId="1D1495D8" w14:textId="34604C69" w:rsidR="00B235E2" w:rsidRPr="00CF4349" w:rsidRDefault="00B235E2" w:rsidP="00B235E2">
      <w:pPr>
        <w:pStyle w:val="SingleTxt"/>
        <w:spacing w:after="0" w:line="120" w:lineRule="exact"/>
        <w:rPr>
          <w:sz w:val="10"/>
        </w:rPr>
      </w:pPr>
    </w:p>
    <w:p w14:paraId="39C548D3" w14:textId="77777777" w:rsidR="00B235E2" w:rsidRPr="00CF4349" w:rsidRDefault="00B235E2" w:rsidP="00B235E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4349">
        <w:tab/>
      </w:r>
      <w:r w:rsidRPr="00CF4349">
        <w:tab/>
        <w:t>Documentación</w:t>
      </w:r>
    </w:p>
    <w:p w14:paraId="608799D2" w14:textId="72D85DF9" w:rsidR="00B235E2" w:rsidRPr="00CF4349" w:rsidRDefault="00B235E2" w:rsidP="00B235E2">
      <w:pPr>
        <w:pStyle w:val="SingleTxt"/>
        <w:spacing w:after="0" w:line="120" w:lineRule="exact"/>
        <w:rPr>
          <w:sz w:val="10"/>
        </w:rPr>
      </w:pPr>
    </w:p>
    <w:p w14:paraId="4D24FEF4" w14:textId="18B4AB69" w:rsidR="00B235E2" w:rsidRPr="00B235E2" w:rsidRDefault="00B235E2" w:rsidP="00B235E2">
      <w:pPr>
        <w:pStyle w:val="SingleTxt"/>
      </w:pPr>
      <w:r w:rsidRPr="00B235E2">
        <w:t>Programa provisional anotado (</w:t>
      </w:r>
      <w:hyperlink r:id="rId17" w:history="1">
        <w:r w:rsidRPr="00B235E2">
          <w:rPr>
            <w:rStyle w:val="Hyperlink"/>
          </w:rPr>
          <w:t>CEDAW/C/85/1</w:t>
        </w:r>
      </w:hyperlink>
      <w:r w:rsidRPr="00B235E2">
        <w:t>)</w:t>
      </w:r>
    </w:p>
    <w:p w14:paraId="1F55C589" w14:textId="3C56627E" w:rsidR="00B235E2" w:rsidRPr="00CF4349" w:rsidRDefault="00B235E2" w:rsidP="00B235E2">
      <w:pPr>
        <w:pStyle w:val="SingleTxt"/>
        <w:spacing w:after="0" w:line="120" w:lineRule="exact"/>
        <w:rPr>
          <w:sz w:val="10"/>
        </w:rPr>
      </w:pPr>
    </w:p>
    <w:p w14:paraId="3887EC04" w14:textId="4E9E4913" w:rsidR="00B235E2" w:rsidRPr="00CF4349" w:rsidRDefault="00B235E2" w:rsidP="008C5D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00" w:hanging="1267"/>
      </w:pPr>
      <w:r w:rsidRPr="00CF4349">
        <w:tab/>
        <w:t>4.</w:t>
      </w:r>
      <w:r w:rsidRPr="00CF4349">
        <w:tab/>
        <w:t>Examen de los informes presentados por los Estados partes en virtud del artículo 18 de la Convención sobre la Eliminación de Todas las Formas de Discriminación contra la Mujer</w:t>
      </w:r>
    </w:p>
    <w:p w14:paraId="517627B9" w14:textId="29663EF0" w:rsidR="00B235E2" w:rsidRPr="00CF4349" w:rsidRDefault="00B235E2" w:rsidP="00B235E2">
      <w:pPr>
        <w:pStyle w:val="SingleTxt"/>
        <w:spacing w:after="0" w:line="120" w:lineRule="exact"/>
        <w:rPr>
          <w:sz w:val="10"/>
        </w:rPr>
      </w:pPr>
    </w:p>
    <w:p w14:paraId="3CDECEFB" w14:textId="77777777" w:rsidR="00B235E2" w:rsidRPr="00B235E2" w:rsidRDefault="00B235E2" w:rsidP="00B235E2">
      <w:pPr>
        <w:pStyle w:val="SingleTxt"/>
      </w:pPr>
      <w:r w:rsidRPr="00B235E2">
        <w:t>El artículo 18 de la Convención dispone que los Estados partes en la Convención deberán someter al Secretario General, para que lo examine el Comité, un informe sobre las medidas legislativas, judiciales, administrativas o de otra índole que hayan adoptado para hacer efectivas las disposiciones de la Convención y sobre los progresos realizados en ese sentido. Los informes deberán presentarse en el plazo de un año a partir de la entrada en vigor de la Convención para el Estado de que se trate y, en lo sucesivo, por lo menos cada cuatro años y, además, cuando el Comité lo solicite.</w:t>
      </w:r>
    </w:p>
    <w:p w14:paraId="4AB746CE" w14:textId="08E533E8" w:rsidR="00B235E2" w:rsidRPr="00B235E2" w:rsidRDefault="00B235E2" w:rsidP="00B235E2">
      <w:pPr>
        <w:pStyle w:val="SingleTxt"/>
      </w:pPr>
      <w:r w:rsidRPr="00B235E2">
        <w:t xml:space="preserve">Está previsto que en el 85º período de sesiones del Comité se examinen los informes de los siguientes Estados partes: </w:t>
      </w:r>
      <w:r w:rsidR="00214FB0" w:rsidRPr="00B235E2">
        <w:rPr>
          <w:lang w:val="es-ES_tradnl"/>
        </w:rPr>
        <w:t>Alemania</w:t>
      </w:r>
      <w:r w:rsidR="00214FB0">
        <w:rPr>
          <w:lang w:val="es-ES_tradnl"/>
        </w:rPr>
        <w:t xml:space="preserve">; </w:t>
      </w:r>
      <w:r w:rsidR="00214FB0" w:rsidRPr="00B235E2">
        <w:rPr>
          <w:lang w:val="es-ES_tradnl"/>
        </w:rPr>
        <w:t>China</w:t>
      </w:r>
      <w:r w:rsidR="00214FB0">
        <w:rPr>
          <w:lang w:val="es-ES_tradnl"/>
        </w:rPr>
        <w:t xml:space="preserve">; </w:t>
      </w:r>
      <w:r w:rsidR="00214FB0" w:rsidRPr="00B235E2">
        <w:rPr>
          <w:lang w:val="es-ES_tradnl"/>
        </w:rPr>
        <w:t>Eslovaquia</w:t>
      </w:r>
      <w:r w:rsidR="00214FB0">
        <w:rPr>
          <w:lang w:val="es-ES_tradnl"/>
        </w:rPr>
        <w:t xml:space="preserve">; </w:t>
      </w:r>
      <w:r w:rsidR="00214FB0" w:rsidRPr="00B235E2">
        <w:rPr>
          <w:lang w:val="es-ES_tradnl"/>
        </w:rPr>
        <w:t>España</w:t>
      </w:r>
      <w:r w:rsidR="00214FB0">
        <w:rPr>
          <w:lang w:val="es-ES_tradnl"/>
        </w:rPr>
        <w:t xml:space="preserve">; </w:t>
      </w:r>
      <w:r w:rsidR="00214FB0" w:rsidRPr="00B235E2">
        <w:rPr>
          <w:lang w:val="es-ES_tradnl"/>
        </w:rPr>
        <w:t>Hong Kong (China)</w:t>
      </w:r>
      <w:r w:rsidR="00214FB0">
        <w:rPr>
          <w:lang w:val="es-ES_tradnl"/>
        </w:rPr>
        <w:t xml:space="preserve">; </w:t>
      </w:r>
      <w:r w:rsidR="00214FB0" w:rsidRPr="00B235E2">
        <w:rPr>
          <w:lang w:val="es-ES_tradnl"/>
        </w:rPr>
        <w:t>Islandia</w:t>
      </w:r>
      <w:r w:rsidR="00214FB0">
        <w:rPr>
          <w:lang w:val="es-ES_tradnl"/>
        </w:rPr>
        <w:t xml:space="preserve">; </w:t>
      </w:r>
      <w:r w:rsidR="00214FB0" w:rsidRPr="00B235E2">
        <w:rPr>
          <w:lang w:val="es-ES_tradnl"/>
        </w:rPr>
        <w:t>Macao (China)</w:t>
      </w:r>
      <w:r w:rsidR="00214FB0">
        <w:rPr>
          <w:lang w:val="es-ES_tradnl"/>
        </w:rPr>
        <w:t xml:space="preserve">; </w:t>
      </w:r>
      <w:r w:rsidR="00214FB0" w:rsidRPr="00B235E2">
        <w:rPr>
          <w:lang w:val="es-ES_tradnl"/>
        </w:rPr>
        <w:t>Santo Tomé y Príncipe</w:t>
      </w:r>
      <w:r w:rsidR="00214FB0">
        <w:rPr>
          <w:lang w:val="es-ES_tradnl"/>
        </w:rPr>
        <w:t xml:space="preserve">; </w:t>
      </w:r>
      <w:r w:rsidR="00214FB0" w:rsidRPr="00B235E2">
        <w:rPr>
          <w:lang w:val="es-ES_tradnl"/>
        </w:rPr>
        <w:t>Timor-Leste</w:t>
      </w:r>
      <w:r w:rsidR="00214FB0">
        <w:t xml:space="preserve">; </w:t>
      </w:r>
      <w:r w:rsidRPr="00B235E2">
        <w:t>Venezuela (República Bolivariana de).</w:t>
      </w:r>
    </w:p>
    <w:p w14:paraId="74241B95" w14:textId="77777777" w:rsidR="00B235E2" w:rsidRPr="00B235E2" w:rsidRDefault="00B235E2" w:rsidP="00B235E2">
      <w:pPr>
        <w:pStyle w:val="SingleTxt"/>
      </w:pPr>
      <w:r w:rsidRPr="00B235E2">
        <w:t>El artículo 51 del Reglamento dispone que las delegaciones de los Estados partes podrán asistir a las sesiones del Comité en las que se vayan a examinar sus respectivos informes para participar en las deliberaciones y responder a las preguntas relativas a dichos informes.</w:t>
      </w:r>
    </w:p>
    <w:p w14:paraId="28431FA9" w14:textId="77777777" w:rsidR="00B235E2" w:rsidRPr="00B235E2" w:rsidRDefault="00B235E2" w:rsidP="00B235E2">
      <w:pPr>
        <w:pStyle w:val="SingleTxt"/>
      </w:pPr>
      <w:r w:rsidRPr="00B235E2">
        <w:t>El artículo 49 del Reglamento dispone que, en cada período de sesiones, el Secretario General notificará al Comité los casos en que no se haya recibido el informe solicitado a un Estado parte en virtud del artículo 18 de la Convención. El Secretario General facilitará también periódicamente al Comité una lista de los informes presentados por los Estados partes en la Convención, así como una lista de los informes que todavía no hayan sido examinados por el Comité.</w:t>
      </w:r>
    </w:p>
    <w:p w14:paraId="32226C0A" w14:textId="0E678942" w:rsidR="00B235E2" w:rsidRPr="00B235E2" w:rsidRDefault="00B235E2" w:rsidP="00B235E2">
      <w:pPr>
        <w:pStyle w:val="SingleTxt"/>
      </w:pPr>
      <w:r w:rsidRPr="00B235E2">
        <w:t>Antes de cada período de sesiones se reúne un grupo de trabajo del Comité con el fin de preparar listas de las cuestiones y preguntas relativas a los informes que hay que transmitir a los Estados partes antes de las sesiones en las que se vayan a examinar sus informes. La reunión del grupo de trabajo anterior al 85º período de sesiones se celebró del 31 de octubre al 4 de noviembre de 2022. El Comité tendrá ante sí el informe del grupo de trabajo anterior al período de sesiones (</w:t>
      </w:r>
      <w:hyperlink r:id="rId18" w:history="1">
        <w:r w:rsidRPr="00B235E2">
          <w:rPr>
            <w:rStyle w:val="Hyperlink"/>
          </w:rPr>
          <w:t>CEDAW/C/PSWG/85/1</w:t>
        </w:r>
      </w:hyperlink>
      <w:r w:rsidRPr="00B235E2">
        <w:t>).</w:t>
      </w:r>
    </w:p>
    <w:p w14:paraId="6917CE1B" w14:textId="77777777" w:rsidR="00B235E2" w:rsidRPr="00CF4349" w:rsidRDefault="00B235E2" w:rsidP="00B235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4349">
        <w:lastRenderedPageBreak/>
        <w:tab/>
      </w:r>
      <w:r w:rsidRPr="00CF4349">
        <w:tab/>
        <w:t>Documentación</w:t>
      </w:r>
    </w:p>
    <w:p w14:paraId="514AC17E" w14:textId="22F10632" w:rsidR="00B235E2" w:rsidRPr="00CF4349" w:rsidRDefault="00B235E2" w:rsidP="00B235E2">
      <w:pPr>
        <w:pStyle w:val="SingleTxt"/>
        <w:spacing w:after="0" w:line="120" w:lineRule="exact"/>
        <w:rPr>
          <w:sz w:val="10"/>
        </w:rPr>
      </w:pPr>
    </w:p>
    <w:p w14:paraId="3BEDD6E4" w14:textId="77777777" w:rsidR="00B235E2" w:rsidRPr="00CF4349" w:rsidRDefault="00B235E2" w:rsidP="00B235E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4349">
        <w:tab/>
      </w:r>
      <w:r w:rsidRPr="00CF4349">
        <w:tab/>
        <w:t>Informes</w:t>
      </w:r>
    </w:p>
    <w:p w14:paraId="2E59B3AF" w14:textId="2D023528" w:rsidR="00B235E2" w:rsidRPr="00CF4349" w:rsidRDefault="00B235E2" w:rsidP="00B235E2">
      <w:pPr>
        <w:pStyle w:val="SingleTxt"/>
        <w:spacing w:after="0" w:line="120" w:lineRule="exact"/>
        <w:rPr>
          <w:sz w:val="10"/>
        </w:rPr>
      </w:pPr>
    </w:p>
    <w:p w14:paraId="424F05A9" w14:textId="44F2CB61" w:rsidR="00B235E2" w:rsidRPr="00B235E2" w:rsidRDefault="00B235E2" w:rsidP="00B235E2">
      <w:pPr>
        <w:pStyle w:val="SingleTxt"/>
        <w:jc w:val="left"/>
      </w:pPr>
      <w:r w:rsidRPr="00B235E2">
        <w:t>Noveno informe periódico de China (</w:t>
      </w:r>
      <w:hyperlink r:id="rId19" w:history="1">
        <w:r w:rsidRPr="00B235E2">
          <w:rPr>
            <w:rStyle w:val="Hyperlink"/>
          </w:rPr>
          <w:t>CEDAW/C/CHN/9</w:t>
        </w:r>
      </w:hyperlink>
      <w:r w:rsidRPr="00B235E2">
        <w:t>)</w:t>
      </w:r>
    </w:p>
    <w:p w14:paraId="6C98EA00" w14:textId="5C4C29E7" w:rsidR="00B235E2" w:rsidRPr="00B235E2" w:rsidRDefault="00B235E2" w:rsidP="00B235E2">
      <w:pPr>
        <w:pStyle w:val="SingleTxt"/>
        <w:jc w:val="left"/>
      </w:pPr>
      <w:r w:rsidRPr="00B235E2">
        <w:t>Noveno informe periódico de Hong Kong (China) (</w:t>
      </w:r>
      <w:hyperlink r:id="rId20" w:history="1">
        <w:r w:rsidRPr="00B235E2">
          <w:rPr>
            <w:rStyle w:val="Hyperlink"/>
          </w:rPr>
          <w:t>CEDAW/C/CHN-HKG/9</w:t>
        </w:r>
      </w:hyperlink>
      <w:r w:rsidRPr="00B235E2">
        <w:t>)</w:t>
      </w:r>
    </w:p>
    <w:p w14:paraId="4155F863" w14:textId="50E1079D" w:rsidR="00B235E2" w:rsidRPr="00B235E2" w:rsidRDefault="00B235E2" w:rsidP="00B235E2">
      <w:pPr>
        <w:pStyle w:val="SingleTxt"/>
        <w:jc w:val="left"/>
      </w:pPr>
      <w:r w:rsidRPr="00B235E2">
        <w:t>Noveno informe periódico de Macao (China) (</w:t>
      </w:r>
      <w:hyperlink r:id="rId21" w:history="1">
        <w:r w:rsidRPr="00B235E2">
          <w:rPr>
            <w:rStyle w:val="Hyperlink"/>
          </w:rPr>
          <w:t>CEDAW/C/CHN-MAC/9</w:t>
        </w:r>
      </w:hyperlink>
      <w:r w:rsidRPr="00B235E2">
        <w:t>)</w:t>
      </w:r>
    </w:p>
    <w:p w14:paraId="1A26C782" w14:textId="38E948C6" w:rsidR="00B235E2" w:rsidRPr="00B235E2" w:rsidRDefault="00B235E2" w:rsidP="00B235E2">
      <w:pPr>
        <w:pStyle w:val="SingleTxt"/>
        <w:jc w:val="left"/>
      </w:pPr>
      <w:r w:rsidRPr="00B235E2">
        <w:t>Noveno informe periódico de Alemania, presentado conforme al procedimiento simplificado (</w:t>
      </w:r>
      <w:hyperlink r:id="rId22" w:history="1">
        <w:r w:rsidRPr="00B235E2">
          <w:rPr>
            <w:rStyle w:val="Hyperlink"/>
          </w:rPr>
          <w:t>CEDAW/C/DEU/9</w:t>
        </w:r>
      </w:hyperlink>
      <w:r w:rsidRPr="00B235E2">
        <w:t>)</w:t>
      </w:r>
    </w:p>
    <w:p w14:paraId="5CC07C06" w14:textId="68398C6E" w:rsidR="00B235E2" w:rsidRPr="00B235E2" w:rsidRDefault="00B235E2" w:rsidP="00B235E2">
      <w:pPr>
        <w:pStyle w:val="SingleTxt"/>
        <w:jc w:val="left"/>
      </w:pPr>
      <w:r w:rsidRPr="00B235E2">
        <w:t>Noveno informe periódico de Islandia (</w:t>
      </w:r>
      <w:hyperlink r:id="rId23" w:history="1">
        <w:r w:rsidRPr="00B235E2">
          <w:rPr>
            <w:rStyle w:val="Hyperlink"/>
          </w:rPr>
          <w:t>CEDAW/C/ISL/9</w:t>
        </w:r>
      </w:hyperlink>
      <w:r w:rsidRPr="00B235E2">
        <w:t>)</w:t>
      </w:r>
    </w:p>
    <w:p w14:paraId="5F62DC0D" w14:textId="17523C3F" w:rsidR="00B235E2" w:rsidRPr="00B235E2" w:rsidRDefault="00B235E2" w:rsidP="00B235E2">
      <w:pPr>
        <w:pStyle w:val="SingleTxt"/>
        <w:jc w:val="left"/>
      </w:pPr>
      <w:r w:rsidRPr="00B235E2">
        <w:t>Informe inicial e informes periódicos segundo a quinto combinados de Santo Tomé y Príncipe (</w:t>
      </w:r>
      <w:hyperlink r:id="rId24" w:history="1">
        <w:r w:rsidRPr="00B235E2">
          <w:rPr>
            <w:rStyle w:val="Hyperlink"/>
          </w:rPr>
          <w:t>CEDAW/C/STP/1-5</w:t>
        </w:r>
      </w:hyperlink>
      <w:r w:rsidRPr="00B235E2">
        <w:t>)</w:t>
      </w:r>
    </w:p>
    <w:p w14:paraId="6EA0D1CF" w14:textId="090F9DC9" w:rsidR="00B235E2" w:rsidRPr="00B235E2" w:rsidRDefault="00B235E2" w:rsidP="00B235E2">
      <w:pPr>
        <w:pStyle w:val="SingleTxt"/>
        <w:jc w:val="left"/>
      </w:pPr>
      <w:r w:rsidRPr="00B235E2">
        <w:t>Séptimo informe periódico de Eslovaquia, presentado conforme al procedimiento simplificado (</w:t>
      </w:r>
      <w:hyperlink r:id="rId25" w:history="1">
        <w:r w:rsidRPr="00B235E2">
          <w:rPr>
            <w:rStyle w:val="Hyperlink"/>
          </w:rPr>
          <w:t>CEDAW/C/SVK/7</w:t>
        </w:r>
      </w:hyperlink>
      <w:r w:rsidRPr="00B235E2">
        <w:t>)</w:t>
      </w:r>
    </w:p>
    <w:p w14:paraId="2A9DF267" w14:textId="1DC2F4C4" w:rsidR="00B235E2" w:rsidRPr="00B235E2" w:rsidRDefault="00B235E2" w:rsidP="00B235E2">
      <w:pPr>
        <w:pStyle w:val="SingleTxt"/>
        <w:jc w:val="left"/>
      </w:pPr>
      <w:r w:rsidRPr="00B235E2">
        <w:t>Noveno informe periódico de España, presentado conforme al procedimiento simplificado (</w:t>
      </w:r>
      <w:hyperlink r:id="rId26" w:history="1">
        <w:r w:rsidRPr="00B235E2">
          <w:rPr>
            <w:rStyle w:val="Hyperlink"/>
          </w:rPr>
          <w:t>CEDAW/C/ESP/9</w:t>
        </w:r>
      </w:hyperlink>
      <w:r w:rsidRPr="00B235E2">
        <w:t>)</w:t>
      </w:r>
    </w:p>
    <w:p w14:paraId="08692B2B" w14:textId="12424C83" w:rsidR="00B235E2" w:rsidRPr="00B235E2" w:rsidRDefault="00B235E2" w:rsidP="00B235E2">
      <w:pPr>
        <w:pStyle w:val="SingleTxt"/>
        <w:jc w:val="left"/>
      </w:pPr>
      <w:r w:rsidRPr="00B235E2">
        <w:t>Cuarto informe periódico de Timor-Leste (</w:t>
      </w:r>
      <w:hyperlink r:id="rId27" w:history="1">
        <w:r w:rsidRPr="00B235E2">
          <w:rPr>
            <w:rStyle w:val="Hyperlink"/>
          </w:rPr>
          <w:t>CEDAW/C/TLS/4</w:t>
        </w:r>
      </w:hyperlink>
      <w:r w:rsidRPr="00B235E2">
        <w:t>)</w:t>
      </w:r>
    </w:p>
    <w:p w14:paraId="45A9CA9E" w14:textId="40E8F014" w:rsidR="00B235E2" w:rsidRPr="00B235E2" w:rsidRDefault="00B235E2" w:rsidP="00B235E2">
      <w:pPr>
        <w:pStyle w:val="SingleTxt"/>
        <w:jc w:val="left"/>
      </w:pPr>
      <w:r w:rsidRPr="00B235E2">
        <w:t>Noveno informe periódico de Venezuela (República Bolivariana de) (</w:t>
      </w:r>
      <w:hyperlink r:id="rId28" w:history="1">
        <w:r w:rsidRPr="00B235E2">
          <w:rPr>
            <w:rStyle w:val="Hyperlink"/>
          </w:rPr>
          <w:t>CEDAW/C/VEN/9</w:t>
        </w:r>
      </w:hyperlink>
      <w:r w:rsidRPr="00B235E2">
        <w:t>)</w:t>
      </w:r>
    </w:p>
    <w:p w14:paraId="1DCED981" w14:textId="3D5C4027" w:rsidR="00B235E2" w:rsidRPr="00CF4349" w:rsidRDefault="00B235E2" w:rsidP="00B235E2">
      <w:pPr>
        <w:pStyle w:val="SingleTxt"/>
        <w:spacing w:after="0" w:line="120" w:lineRule="exact"/>
        <w:rPr>
          <w:sz w:val="10"/>
        </w:rPr>
      </w:pPr>
    </w:p>
    <w:p w14:paraId="237AF5FE" w14:textId="77777777" w:rsidR="00B235E2" w:rsidRPr="00CF4349" w:rsidRDefault="00B235E2" w:rsidP="00B235E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4349">
        <w:tab/>
      </w:r>
      <w:r w:rsidRPr="00CF4349">
        <w:tab/>
        <w:t xml:space="preserve">Listas de cuestiones y </w:t>
      </w:r>
      <w:r w:rsidRPr="00684117">
        <w:t>preguntas</w:t>
      </w:r>
    </w:p>
    <w:p w14:paraId="3F3BD9BB" w14:textId="4192AE66" w:rsidR="00B235E2" w:rsidRPr="00CF4349" w:rsidRDefault="00B235E2" w:rsidP="00B235E2">
      <w:pPr>
        <w:pStyle w:val="SingleTxt"/>
        <w:spacing w:after="0" w:line="120" w:lineRule="exact"/>
        <w:rPr>
          <w:sz w:val="10"/>
        </w:rPr>
      </w:pPr>
    </w:p>
    <w:p w14:paraId="4FEB1693" w14:textId="48B012E8" w:rsidR="00214FB0" w:rsidRPr="00B235E2" w:rsidRDefault="00214FB0" w:rsidP="00B235E2">
      <w:pPr>
        <w:pStyle w:val="SingleTxt"/>
        <w:jc w:val="left"/>
      </w:pPr>
      <w:r w:rsidRPr="00B235E2">
        <w:t>Alemania (</w:t>
      </w:r>
      <w:hyperlink r:id="rId29" w:history="1">
        <w:r w:rsidRPr="00B235E2">
          <w:rPr>
            <w:rStyle w:val="Hyperlink"/>
          </w:rPr>
          <w:t>CEDAW/C/DEU/QPR/9</w:t>
        </w:r>
      </w:hyperlink>
      <w:r w:rsidRPr="00B235E2">
        <w:t>)</w:t>
      </w:r>
    </w:p>
    <w:p w14:paraId="08CDF4C0" w14:textId="083AB761" w:rsidR="00214FB0" w:rsidRPr="00B235E2" w:rsidRDefault="00214FB0" w:rsidP="00B235E2">
      <w:pPr>
        <w:pStyle w:val="SingleTxt"/>
        <w:jc w:val="left"/>
      </w:pPr>
      <w:r w:rsidRPr="00B235E2">
        <w:t>China (con inclusión de Hong Kong (China), y Macao (China) (</w:t>
      </w:r>
      <w:hyperlink r:id="rId30" w:history="1">
        <w:r w:rsidRPr="00B235E2">
          <w:rPr>
            <w:rStyle w:val="Hyperlink"/>
          </w:rPr>
          <w:t>CEDAW/C/CHN/Q/9</w:t>
        </w:r>
      </w:hyperlink>
      <w:r w:rsidRPr="00B235E2">
        <w:t>)</w:t>
      </w:r>
    </w:p>
    <w:p w14:paraId="60331A14" w14:textId="58D605E2" w:rsidR="00214FB0" w:rsidRPr="00B235E2" w:rsidRDefault="00214FB0" w:rsidP="00B235E2">
      <w:pPr>
        <w:pStyle w:val="SingleTxt"/>
        <w:jc w:val="left"/>
      </w:pPr>
      <w:r w:rsidRPr="00B235E2">
        <w:t>Eslovaquia (</w:t>
      </w:r>
      <w:hyperlink r:id="rId31" w:history="1">
        <w:r w:rsidRPr="00B235E2">
          <w:rPr>
            <w:rStyle w:val="Hyperlink"/>
          </w:rPr>
          <w:t>CEDAW/C/SVK/QPR/7</w:t>
        </w:r>
      </w:hyperlink>
      <w:r w:rsidRPr="00B235E2">
        <w:t>)</w:t>
      </w:r>
    </w:p>
    <w:p w14:paraId="237C512D" w14:textId="66F47862" w:rsidR="00214FB0" w:rsidRPr="00B235E2" w:rsidRDefault="00214FB0" w:rsidP="00B235E2">
      <w:pPr>
        <w:pStyle w:val="SingleTxt"/>
        <w:jc w:val="left"/>
      </w:pPr>
      <w:r w:rsidRPr="00B235E2">
        <w:t>España (</w:t>
      </w:r>
      <w:hyperlink r:id="rId32" w:history="1">
        <w:r w:rsidRPr="00B235E2">
          <w:rPr>
            <w:rStyle w:val="Hyperlink"/>
          </w:rPr>
          <w:t>CEDAW/C/ESP/QPR/9</w:t>
        </w:r>
      </w:hyperlink>
      <w:r w:rsidRPr="00B235E2">
        <w:t>)</w:t>
      </w:r>
    </w:p>
    <w:p w14:paraId="7342F201" w14:textId="6A7C5E7B" w:rsidR="00214FB0" w:rsidRPr="00B235E2" w:rsidRDefault="00214FB0" w:rsidP="00B235E2">
      <w:pPr>
        <w:pStyle w:val="SingleTxt"/>
        <w:jc w:val="left"/>
      </w:pPr>
      <w:r w:rsidRPr="00B235E2">
        <w:t>Islandia (</w:t>
      </w:r>
      <w:hyperlink r:id="rId33" w:history="1">
        <w:r w:rsidRPr="00B235E2">
          <w:rPr>
            <w:rStyle w:val="Hyperlink"/>
          </w:rPr>
          <w:t>CEDAW/C/ISL/Q/9</w:t>
        </w:r>
      </w:hyperlink>
      <w:r w:rsidRPr="00B235E2">
        <w:t>)</w:t>
      </w:r>
    </w:p>
    <w:p w14:paraId="6A4AF537" w14:textId="2BDD5DF6" w:rsidR="00214FB0" w:rsidRPr="00B235E2" w:rsidRDefault="00214FB0" w:rsidP="00B235E2">
      <w:pPr>
        <w:pStyle w:val="SingleTxt"/>
        <w:jc w:val="left"/>
      </w:pPr>
      <w:r w:rsidRPr="00B235E2">
        <w:t>Santo Tomé y Príncipe (</w:t>
      </w:r>
      <w:hyperlink r:id="rId34" w:history="1">
        <w:r w:rsidRPr="00B235E2">
          <w:rPr>
            <w:rStyle w:val="Hyperlink"/>
          </w:rPr>
          <w:t>CEDAW/C/STP/Q/1-5</w:t>
        </w:r>
      </w:hyperlink>
      <w:r w:rsidRPr="00B235E2">
        <w:t>)</w:t>
      </w:r>
    </w:p>
    <w:p w14:paraId="58AE2BB3" w14:textId="1D4CB3DF" w:rsidR="00214FB0" w:rsidRPr="00B235E2" w:rsidRDefault="00214FB0" w:rsidP="00B235E2">
      <w:pPr>
        <w:pStyle w:val="SingleTxt"/>
        <w:jc w:val="left"/>
      </w:pPr>
      <w:r w:rsidRPr="00B235E2">
        <w:t>Timor-Leste (</w:t>
      </w:r>
      <w:hyperlink r:id="rId35" w:history="1">
        <w:r w:rsidRPr="00B235E2">
          <w:rPr>
            <w:rStyle w:val="Hyperlink"/>
          </w:rPr>
          <w:t>CEDAW/C/TLS/QPR/4</w:t>
        </w:r>
      </w:hyperlink>
      <w:r w:rsidRPr="00B235E2">
        <w:t>)</w:t>
      </w:r>
    </w:p>
    <w:p w14:paraId="35651B79" w14:textId="020D1A14" w:rsidR="00B235E2" w:rsidRPr="00B235E2" w:rsidRDefault="00B235E2" w:rsidP="00B235E2">
      <w:pPr>
        <w:pStyle w:val="SingleTxt"/>
        <w:jc w:val="left"/>
      </w:pPr>
      <w:bookmarkStart w:id="3" w:name="BeginPage"/>
      <w:bookmarkEnd w:id="3"/>
      <w:r w:rsidRPr="00B235E2">
        <w:t>Venezuela (República Bolivariana de) (</w:t>
      </w:r>
      <w:hyperlink r:id="rId36" w:history="1">
        <w:r w:rsidRPr="00B235E2">
          <w:rPr>
            <w:rStyle w:val="Hyperlink"/>
          </w:rPr>
          <w:t>CEDAW/C/VEN/Q/9</w:t>
        </w:r>
      </w:hyperlink>
      <w:r w:rsidRPr="00B235E2">
        <w:t>)</w:t>
      </w:r>
    </w:p>
    <w:p w14:paraId="02DBCBB3" w14:textId="0DDA9E4B" w:rsidR="00B235E2" w:rsidRPr="00CF4349" w:rsidRDefault="00B235E2" w:rsidP="00B235E2">
      <w:pPr>
        <w:pStyle w:val="SingleTxt"/>
        <w:spacing w:after="0" w:line="120" w:lineRule="exact"/>
        <w:rPr>
          <w:sz w:val="10"/>
        </w:rPr>
      </w:pPr>
    </w:p>
    <w:p w14:paraId="4522443B" w14:textId="77777777" w:rsidR="00B235E2" w:rsidRPr="00CF4349" w:rsidRDefault="00B235E2" w:rsidP="00B235E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4349">
        <w:tab/>
      </w:r>
      <w:r w:rsidRPr="00CF4349">
        <w:tab/>
        <w:t>Respuestas a las listas de cuestiones y preguntas</w:t>
      </w:r>
    </w:p>
    <w:p w14:paraId="4EA059BC" w14:textId="151BF326" w:rsidR="00B235E2" w:rsidRPr="00CF4349" w:rsidRDefault="00B235E2" w:rsidP="00B235E2">
      <w:pPr>
        <w:pStyle w:val="SingleTxt"/>
        <w:spacing w:after="0" w:line="120" w:lineRule="exact"/>
        <w:rPr>
          <w:sz w:val="10"/>
        </w:rPr>
      </w:pPr>
    </w:p>
    <w:p w14:paraId="789F6B04" w14:textId="70CD5554" w:rsidR="00B235E2" w:rsidRPr="00B235E2" w:rsidRDefault="00B235E2" w:rsidP="00B235E2">
      <w:pPr>
        <w:pStyle w:val="SingleTxt"/>
        <w:jc w:val="left"/>
      </w:pPr>
      <w:r w:rsidRPr="00B235E2">
        <w:t>China (</w:t>
      </w:r>
      <w:hyperlink r:id="rId37" w:history="1">
        <w:r w:rsidRPr="00B235E2">
          <w:rPr>
            <w:rStyle w:val="Hyperlink"/>
          </w:rPr>
          <w:t>CEDAW/C/CHN/RQ/9</w:t>
        </w:r>
      </w:hyperlink>
      <w:r w:rsidRPr="00B235E2">
        <w:t>)</w:t>
      </w:r>
    </w:p>
    <w:p w14:paraId="16D983F9" w14:textId="502A0833" w:rsidR="00B235E2" w:rsidRPr="00B235E2" w:rsidRDefault="00B235E2" w:rsidP="00B235E2">
      <w:pPr>
        <w:pStyle w:val="SingleTxt"/>
        <w:jc w:val="left"/>
      </w:pPr>
      <w:r w:rsidRPr="00B235E2">
        <w:t>Islandia (</w:t>
      </w:r>
      <w:hyperlink r:id="rId38" w:history="1">
        <w:r w:rsidRPr="00B235E2">
          <w:rPr>
            <w:rStyle w:val="Hyperlink"/>
          </w:rPr>
          <w:t>CEDAW/C/ISL/RQ/9</w:t>
        </w:r>
      </w:hyperlink>
      <w:r w:rsidRPr="00B235E2">
        <w:t>)</w:t>
      </w:r>
    </w:p>
    <w:p w14:paraId="31A8A353" w14:textId="6C965C6A" w:rsidR="00B235E2" w:rsidRPr="00B235E2" w:rsidRDefault="00B235E2" w:rsidP="00B235E2">
      <w:pPr>
        <w:pStyle w:val="SingleTxt"/>
        <w:jc w:val="left"/>
      </w:pPr>
      <w:r w:rsidRPr="00B235E2">
        <w:t>Santo Tomé y Príncipe (</w:t>
      </w:r>
      <w:hyperlink r:id="rId39" w:history="1">
        <w:r w:rsidRPr="00B235E2">
          <w:rPr>
            <w:rStyle w:val="Hyperlink"/>
          </w:rPr>
          <w:t>CEDAW/C/STP/RQ/1-5</w:t>
        </w:r>
      </w:hyperlink>
      <w:r w:rsidRPr="00B235E2">
        <w:t>)</w:t>
      </w:r>
    </w:p>
    <w:p w14:paraId="2D8E8603" w14:textId="231E910B" w:rsidR="00B235E2" w:rsidRPr="00B235E2" w:rsidRDefault="00B235E2" w:rsidP="00B235E2">
      <w:pPr>
        <w:pStyle w:val="SingleTxt"/>
        <w:jc w:val="left"/>
      </w:pPr>
      <w:r w:rsidRPr="00B235E2">
        <w:t>Timor-Leste (</w:t>
      </w:r>
      <w:hyperlink r:id="rId40" w:history="1">
        <w:r w:rsidRPr="00B235E2">
          <w:rPr>
            <w:rStyle w:val="Hyperlink"/>
          </w:rPr>
          <w:t>CEDAW/C/TLS/RQ/4</w:t>
        </w:r>
      </w:hyperlink>
      <w:r w:rsidRPr="00B235E2">
        <w:t>)</w:t>
      </w:r>
    </w:p>
    <w:p w14:paraId="4FB7F948" w14:textId="65D427E4" w:rsidR="00B235E2" w:rsidRPr="00B235E2" w:rsidRDefault="00B235E2" w:rsidP="00B235E2">
      <w:pPr>
        <w:pStyle w:val="SingleTxt"/>
        <w:jc w:val="left"/>
      </w:pPr>
      <w:r w:rsidRPr="00B235E2">
        <w:t>Venezuela (República Bolivariana de) (</w:t>
      </w:r>
      <w:hyperlink r:id="rId41" w:history="1">
        <w:r w:rsidRPr="00B235E2">
          <w:rPr>
            <w:rStyle w:val="Hyperlink"/>
          </w:rPr>
          <w:t>CEDAW/C/VEN/RQ/9</w:t>
        </w:r>
      </w:hyperlink>
      <w:r w:rsidRPr="00B235E2">
        <w:t>)</w:t>
      </w:r>
    </w:p>
    <w:p w14:paraId="5FE310FA" w14:textId="155F2448" w:rsidR="00B235E2" w:rsidRPr="00CF4349" w:rsidRDefault="00B235E2" w:rsidP="00CF4349">
      <w:pPr>
        <w:pStyle w:val="SingleTxt"/>
        <w:spacing w:after="0" w:line="120" w:lineRule="exact"/>
        <w:rPr>
          <w:sz w:val="10"/>
        </w:rPr>
      </w:pPr>
    </w:p>
    <w:p w14:paraId="250F2E26" w14:textId="06B36779" w:rsidR="00B235E2" w:rsidRPr="00CF4349" w:rsidRDefault="00CF4349" w:rsidP="00CF43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4349">
        <w:tab/>
      </w:r>
      <w:r w:rsidR="00B235E2" w:rsidRPr="00CF4349">
        <w:t>5.</w:t>
      </w:r>
      <w:r w:rsidR="00B235E2" w:rsidRPr="00CF4349">
        <w:tab/>
        <w:t>Seguimiento del examen de los informes presentados por los Estados partes en virtud del artículo 18 de la Convención</w:t>
      </w:r>
    </w:p>
    <w:p w14:paraId="526A2DC9" w14:textId="2B954C33" w:rsidR="00B235E2" w:rsidRPr="00CF4349" w:rsidRDefault="00B235E2" w:rsidP="00CF4349">
      <w:pPr>
        <w:pStyle w:val="SingleTxt"/>
        <w:spacing w:after="0" w:line="120" w:lineRule="exact"/>
        <w:rPr>
          <w:sz w:val="10"/>
        </w:rPr>
      </w:pPr>
    </w:p>
    <w:p w14:paraId="4E6B6AE2" w14:textId="77777777" w:rsidR="00B235E2" w:rsidRPr="00B235E2" w:rsidRDefault="00B235E2" w:rsidP="00B235E2">
      <w:pPr>
        <w:pStyle w:val="SingleTxt"/>
      </w:pPr>
      <w:r w:rsidRPr="00B235E2">
        <w:t>El Comité examinará cuestiones relacionadas con el seguimiento de las observaciones finales.</w:t>
      </w:r>
    </w:p>
    <w:p w14:paraId="09F04B67" w14:textId="1D9607DD" w:rsidR="00B235E2" w:rsidRPr="00CF4349" w:rsidRDefault="00B235E2" w:rsidP="00CF4349">
      <w:pPr>
        <w:pStyle w:val="SingleTxt"/>
        <w:spacing w:after="0" w:line="120" w:lineRule="exact"/>
        <w:rPr>
          <w:sz w:val="10"/>
        </w:rPr>
      </w:pPr>
    </w:p>
    <w:p w14:paraId="62896617" w14:textId="51AE5C71" w:rsidR="00B235E2" w:rsidRPr="00CF4349" w:rsidRDefault="00CF4349" w:rsidP="00CF43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4349">
        <w:lastRenderedPageBreak/>
        <w:tab/>
      </w:r>
      <w:r w:rsidR="00B235E2" w:rsidRPr="00CF4349">
        <w:t>6.</w:t>
      </w:r>
      <w:r w:rsidR="00B235E2" w:rsidRPr="00CF4349">
        <w:tab/>
        <w:t>Aplicación de los artículos 21 y 22 de la Convención</w:t>
      </w:r>
    </w:p>
    <w:p w14:paraId="4C1E589F" w14:textId="291D34D1" w:rsidR="00B235E2" w:rsidRPr="00CF4349" w:rsidRDefault="00B235E2" w:rsidP="00CF4349">
      <w:pPr>
        <w:pStyle w:val="SingleTxt"/>
        <w:spacing w:after="0" w:line="120" w:lineRule="exact"/>
        <w:rPr>
          <w:sz w:val="10"/>
        </w:rPr>
      </w:pPr>
    </w:p>
    <w:p w14:paraId="433AA48D" w14:textId="77777777" w:rsidR="00B235E2" w:rsidRPr="00B235E2" w:rsidRDefault="00B235E2" w:rsidP="00B235E2">
      <w:pPr>
        <w:pStyle w:val="SingleTxt"/>
      </w:pPr>
      <w:r w:rsidRPr="00B235E2">
        <w:t>El artículo 21 de la Convención dispone que el Comité podrá hacer sugerencias y recomendaciones de carácter general basadas en el examen de los informes y de los datos transmitidos por los Estados partes. Dispone también que esas sugerencias y recomendaciones de carácter general se incluirán en el informe del Comité a la Asamblea General junto con las observaciones, si las hubiere, de los Estados partes.</w:t>
      </w:r>
    </w:p>
    <w:p w14:paraId="3BC7986E" w14:textId="77777777" w:rsidR="00B235E2" w:rsidRPr="00B235E2" w:rsidRDefault="00B235E2" w:rsidP="00B235E2">
      <w:pPr>
        <w:pStyle w:val="SingleTxt"/>
      </w:pPr>
      <w:r w:rsidRPr="00B235E2">
        <w:t>El artículo 22 de la Convención dispone que los organismos especializados tendrán derecho a estar representados en el examen de la aplicación de las disposiciones de la Convención que correspondan a la esfera de sus actividades, y que el Comité podrá invitarlos a que presenten informes sobre la aplicación de la Convención en esas esferas.</w:t>
      </w:r>
    </w:p>
    <w:p w14:paraId="732F7A51" w14:textId="29A4FE00" w:rsidR="00B235E2" w:rsidRPr="00CF4349" w:rsidRDefault="00B235E2" w:rsidP="00CF4349">
      <w:pPr>
        <w:pStyle w:val="SingleTxt"/>
        <w:spacing w:after="0" w:line="120" w:lineRule="exact"/>
        <w:rPr>
          <w:sz w:val="10"/>
        </w:rPr>
      </w:pPr>
    </w:p>
    <w:p w14:paraId="7F7464C4" w14:textId="77777777" w:rsidR="00B235E2" w:rsidRPr="00CF4349" w:rsidRDefault="00B235E2" w:rsidP="00CF434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4349">
        <w:tab/>
      </w:r>
      <w:r w:rsidRPr="00CF4349">
        <w:tab/>
        <w:t>Documentación</w:t>
      </w:r>
    </w:p>
    <w:p w14:paraId="2F4AB069" w14:textId="37DB7363" w:rsidR="00B235E2" w:rsidRPr="00CF4349" w:rsidRDefault="00B235E2" w:rsidP="00CF4349">
      <w:pPr>
        <w:pStyle w:val="SingleTxt"/>
        <w:spacing w:after="0" w:line="120" w:lineRule="exact"/>
        <w:rPr>
          <w:sz w:val="10"/>
        </w:rPr>
      </w:pPr>
    </w:p>
    <w:p w14:paraId="5F5E73B3" w14:textId="77777777" w:rsidR="00B235E2" w:rsidRPr="00B235E2" w:rsidRDefault="00B235E2" w:rsidP="00B235E2">
      <w:pPr>
        <w:pStyle w:val="SingleTxt"/>
      </w:pPr>
      <w:r w:rsidRPr="00B235E2">
        <w:t>Informes presentados por los organismos especializados del sistema de las Naciones Unidas sobre la aplicación de la Convención en la esfera de sus actividades</w:t>
      </w:r>
    </w:p>
    <w:p w14:paraId="458985C6" w14:textId="39801001" w:rsidR="00B235E2" w:rsidRPr="00CF4349" w:rsidRDefault="00B235E2" w:rsidP="00CF4349">
      <w:pPr>
        <w:pStyle w:val="SingleTxt"/>
        <w:spacing w:after="0" w:line="120" w:lineRule="exact"/>
        <w:rPr>
          <w:sz w:val="10"/>
        </w:rPr>
      </w:pPr>
    </w:p>
    <w:p w14:paraId="47DDDE69" w14:textId="3F2BC86F" w:rsidR="00B235E2" w:rsidRPr="00CF4349" w:rsidRDefault="00CF4349" w:rsidP="00CF43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4349">
        <w:tab/>
      </w:r>
      <w:r w:rsidR="00B235E2" w:rsidRPr="00CF4349">
        <w:t>7.</w:t>
      </w:r>
      <w:r w:rsidR="00B235E2" w:rsidRPr="00CF4349">
        <w:tab/>
        <w:t>Medios de agilizar los trabajos del Comité</w:t>
      </w:r>
    </w:p>
    <w:p w14:paraId="25AA480D" w14:textId="0DB52824" w:rsidR="00B235E2" w:rsidRPr="00CF4349" w:rsidRDefault="00B235E2" w:rsidP="00CF4349">
      <w:pPr>
        <w:pStyle w:val="SingleTxt"/>
        <w:spacing w:after="0" w:line="120" w:lineRule="exact"/>
        <w:rPr>
          <w:sz w:val="10"/>
        </w:rPr>
      </w:pPr>
    </w:p>
    <w:p w14:paraId="109ACF67" w14:textId="77777777" w:rsidR="00B235E2" w:rsidRPr="00B235E2" w:rsidRDefault="00B235E2" w:rsidP="00B235E2">
      <w:pPr>
        <w:pStyle w:val="SingleTxt"/>
      </w:pPr>
      <w:r w:rsidRPr="00B235E2">
        <w:t>El Comité examinará cuestiones relacionadas con sus métodos de trabajo.</w:t>
      </w:r>
    </w:p>
    <w:p w14:paraId="1E134A22" w14:textId="7A1D5859" w:rsidR="00B235E2" w:rsidRPr="00CF4349" w:rsidRDefault="00B235E2" w:rsidP="00CF4349">
      <w:pPr>
        <w:pStyle w:val="SingleTxt"/>
        <w:spacing w:after="0" w:line="120" w:lineRule="exact"/>
        <w:rPr>
          <w:sz w:val="10"/>
        </w:rPr>
      </w:pPr>
    </w:p>
    <w:p w14:paraId="650FB82A" w14:textId="2BDCFA1F" w:rsidR="00B235E2" w:rsidRPr="00CF4349" w:rsidRDefault="00CF4349" w:rsidP="00CF43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4349">
        <w:tab/>
      </w:r>
      <w:r w:rsidR="00B235E2" w:rsidRPr="00CF4349">
        <w:t>8.</w:t>
      </w:r>
      <w:r w:rsidR="00B235E2" w:rsidRPr="00CF4349">
        <w:tab/>
        <w:t>Actividades del Comité en relación con el Protocolo Facultativo de la Convención</w:t>
      </w:r>
    </w:p>
    <w:p w14:paraId="27191DD8" w14:textId="57744EB4" w:rsidR="00B235E2" w:rsidRPr="00CF4349" w:rsidRDefault="00B235E2" w:rsidP="00CF4349">
      <w:pPr>
        <w:pStyle w:val="SingleTxt"/>
        <w:spacing w:after="0" w:line="120" w:lineRule="exact"/>
        <w:rPr>
          <w:sz w:val="10"/>
        </w:rPr>
      </w:pPr>
    </w:p>
    <w:p w14:paraId="099AA13E" w14:textId="77777777" w:rsidR="00B235E2" w:rsidRPr="00B235E2" w:rsidRDefault="00B235E2" w:rsidP="00B235E2">
      <w:pPr>
        <w:pStyle w:val="SingleTxt"/>
      </w:pPr>
      <w:r w:rsidRPr="00B235E2">
        <w:t>El 56º período de sesiones del Grupo de Trabajo sobre las Comunicaciones presentadas en virtud del Protocolo Facultativo se celebrará del 3 al 5 de mayo de 2023 en Ginebra.</w:t>
      </w:r>
    </w:p>
    <w:p w14:paraId="0C287CBA" w14:textId="77777777" w:rsidR="00B235E2" w:rsidRPr="00B235E2" w:rsidRDefault="00B235E2" w:rsidP="00B235E2">
      <w:pPr>
        <w:pStyle w:val="SingleTxt"/>
      </w:pPr>
      <w:r w:rsidRPr="00B235E2">
        <w:t>El 25º período de sesiones del Grupo de Trabajo sobre Investigaciones con arreglo al Protocolo Facultativo se celebrará los días 4 y 5 de mayo de 2023 en Ginebra.</w:t>
      </w:r>
    </w:p>
    <w:p w14:paraId="08459DB3" w14:textId="77777777" w:rsidR="00B235E2" w:rsidRPr="00B235E2" w:rsidRDefault="00B235E2" w:rsidP="00B235E2">
      <w:pPr>
        <w:pStyle w:val="SingleTxt"/>
      </w:pPr>
      <w:r w:rsidRPr="00B235E2">
        <w:t>En su 85º período de sesiones, el Comité continuará cumpliendo su mandato en virtud de los artículos 2 y 8 del Protocolo Facultativo de la Convención.</w:t>
      </w:r>
    </w:p>
    <w:p w14:paraId="71BFA35B" w14:textId="1BA12FCA" w:rsidR="00B235E2" w:rsidRPr="00CF4349" w:rsidRDefault="00B235E2" w:rsidP="00CF4349">
      <w:pPr>
        <w:pStyle w:val="SingleTxt"/>
        <w:spacing w:after="0" w:line="120" w:lineRule="exact"/>
        <w:rPr>
          <w:sz w:val="10"/>
        </w:rPr>
      </w:pPr>
    </w:p>
    <w:p w14:paraId="5FEAD743" w14:textId="1454708E" w:rsidR="00B235E2" w:rsidRPr="00CF4349" w:rsidRDefault="00CF4349" w:rsidP="00CF43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4349">
        <w:tab/>
      </w:r>
      <w:r w:rsidR="00B235E2" w:rsidRPr="00CF4349">
        <w:t>9.</w:t>
      </w:r>
      <w:r w:rsidR="00B235E2" w:rsidRPr="00CF4349">
        <w:tab/>
        <w:t>Programa provisional del 86º período de sesiones del Comité</w:t>
      </w:r>
    </w:p>
    <w:p w14:paraId="4F511342" w14:textId="066EC07F" w:rsidR="00B235E2" w:rsidRPr="00CF4349" w:rsidRDefault="00B235E2" w:rsidP="00CF4349">
      <w:pPr>
        <w:pStyle w:val="SingleTxt"/>
        <w:spacing w:after="0" w:line="120" w:lineRule="exact"/>
        <w:rPr>
          <w:sz w:val="10"/>
        </w:rPr>
      </w:pPr>
    </w:p>
    <w:p w14:paraId="745CB6B8" w14:textId="77777777" w:rsidR="00B235E2" w:rsidRPr="00CF4349" w:rsidRDefault="00B235E2" w:rsidP="00CF434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4349">
        <w:tab/>
      </w:r>
      <w:r w:rsidRPr="00CF4349">
        <w:tab/>
        <w:t>Documentación</w:t>
      </w:r>
    </w:p>
    <w:p w14:paraId="23DAB8B1" w14:textId="691F1CC7" w:rsidR="00B235E2" w:rsidRPr="00CF4349" w:rsidRDefault="00B235E2" w:rsidP="00CF4349">
      <w:pPr>
        <w:pStyle w:val="SingleTxt"/>
        <w:spacing w:after="0" w:line="120" w:lineRule="exact"/>
        <w:rPr>
          <w:sz w:val="10"/>
        </w:rPr>
      </w:pPr>
    </w:p>
    <w:p w14:paraId="18EC1DEB" w14:textId="26B43C51" w:rsidR="00B235E2" w:rsidRPr="00B235E2" w:rsidRDefault="00B235E2" w:rsidP="00B235E2">
      <w:pPr>
        <w:pStyle w:val="SingleTxt"/>
      </w:pPr>
      <w:r w:rsidRPr="00B235E2">
        <w:t>Programa provisional anotado del 86º período de sesiones (</w:t>
      </w:r>
      <w:hyperlink r:id="rId42" w:history="1">
        <w:r w:rsidRPr="00B235E2">
          <w:rPr>
            <w:rStyle w:val="Hyperlink"/>
          </w:rPr>
          <w:t>CEDAW/C/86/1</w:t>
        </w:r>
      </w:hyperlink>
      <w:r w:rsidRPr="00B235E2">
        <w:t>)</w:t>
      </w:r>
    </w:p>
    <w:p w14:paraId="35447C04" w14:textId="389A2F54" w:rsidR="00B235E2" w:rsidRPr="00CF4349" w:rsidRDefault="00B235E2" w:rsidP="00CF4349">
      <w:pPr>
        <w:pStyle w:val="SingleTxt"/>
        <w:spacing w:after="0" w:line="120" w:lineRule="exact"/>
        <w:rPr>
          <w:sz w:val="10"/>
        </w:rPr>
      </w:pPr>
    </w:p>
    <w:p w14:paraId="1F566F69" w14:textId="0BB18694" w:rsidR="00B235E2" w:rsidRPr="00CF4349" w:rsidRDefault="00CF4349" w:rsidP="00CF43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4349">
        <w:tab/>
      </w:r>
      <w:r w:rsidR="00B235E2" w:rsidRPr="00CF4349">
        <w:t>10.</w:t>
      </w:r>
      <w:r w:rsidR="00B235E2" w:rsidRPr="00CF4349">
        <w:tab/>
        <w:t>Aprobación del informe del Comité sobre su 85º período de sesiones</w:t>
      </w:r>
    </w:p>
    <w:p w14:paraId="51FCCD56" w14:textId="5C1093DA" w:rsidR="00B235E2" w:rsidRPr="00B235E2" w:rsidRDefault="00CF4349" w:rsidP="00B235E2">
      <w:pPr>
        <w:pStyle w:val="SingleTxt"/>
      </w:pPr>
      <w:r w:rsidRPr="00CF4349">
        <w:rPr>
          <w:noProof/>
          <w:w w:val="100"/>
        </w:rPr>
        <mc:AlternateContent>
          <mc:Choice Requires="wps">
            <w:drawing>
              <wp:anchor distT="0" distB="0" distL="114300" distR="114300" simplePos="0" relativeHeight="251659264" behindDoc="0" locked="0" layoutInCell="1" allowOverlap="1" wp14:anchorId="0304E67E" wp14:editId="54089B1E">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680FE21"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B235E2" w:rsidRPr="00B235E2" w:rsidSect="00B235E2">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3-20T16:29:00Z" w:initials="Start">
    <w:p w14:paraId="0FE8B878" w14:textId="77777777" w:rsidR="00552B57" w:rsidRPr="00B235E2" w:rsidRDefault="00552B57">
      <w:pPr>
        <w:pStyle w:val="CommentText"/>
        <w:rPr>
          <w:lang w:val="en-US"/>
        </w:rPr>
      </w:pPr>
      <w:r>
        <w:rPr>
          <w:rStyle w:val="CommentReference"/>
        </w:rPr>
        <w:annotationRef/>
      </w:r>
      <w:r w:rsidRPr="00B235E2">
        <w:rPr>
          <w:lang w:val="en-US"/>
        </w:rPr>
        <w:t>&lt;&lt;ODS JOB NO&gt;&gt;N2306254S&lt;&lt;ODS JOB NO&gt;&gt;</w:t>
      </w:r>
    </w:p>
    <w:p w14:paraId="1838754B" w14:textId="77777777" w:rsidR="00552B57" w:rsidRDefault="00552B57">
      <w:pPr>
        <w:pStyle w:val="CommentText"/>
      </w:pPr>
      <w:r>
        <w:t>&lt;&lt;ODS DOC SYMBOL1&gt;&gt;CEDAW/C/85/1&lt;&lt;ODS DOC SYMBOL1&gt;&gt;</w:t>
      </w:r>
    </w:p>
    <w:p w14:paraId="43014DAB" w14:textId="48F87338" w:rsidR="00552B57" w:rsidRDefault="00552B5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3014DA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C30874" w16cex:dateUtc="2023-03-20T20:2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3014DAB" w16cid:durableId="27C3087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8D6AA1" w14:textId="77777777" w:rsidR="00B30C78" w:rsidRDefault="00B30C78" w:rsidP="00101B18">
      <w:r>
        <w:separator/>
      </w:r>
    </w:p>
  </w:endnote>
  <w:endnote w:type="continuationSeparator" w:id="0">
    <w:p w14:paraId="5CC3AD25" w14:textId="77777777" w:rsidR="00B30C78" w:rsidRDefault="00B30C78"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552B57" w14:paraId="76DDF2EC" w14:textId="77777777" w:rsidTr="00552B57">
      <w:tc>
        <w:tcPr>
          <w:tcW w:w="4920" w:type="dxa"/>
          <w:shd w:val="clear" w:color="auto" w:fill="auto"/>
          <w:vAlign w:val="bottom"/>
        </w:tcPr>
        <w:p w14:paraId="054EF88C" w14:textId="77777777" w:rsidR="00552B57" w:rsidRPr="00552B57" w:rsidRDefault="00552B57" w:rsidP="00552B57">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41A1CA62" w14:textId="4207B85A" w:rsidR="00552B57" w:rsidRPr="00552B57" w:rsidRDefault="00552B57" w:rsidP="00552B57">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5A451E">
            <w:rPr>
              <w:b w:val="0"/>
              <w:color w:val="000000"/>
              <w:sz w:val="14"/>
            </w:rPr>
            <w:t>23-03733</w:t>
          </w:r>
          <w:r>
            <w:rPr>
              <w:b w:val="0"/>
              <w:color w:val="000000"/>
              <w:sz w:val="14"/>
            </w:rPr>
            <w:fldChar w:fldCharType="end"/>
          </w:r>
        </w:p>
      </w:tc>
    </w:tr>
  </w:tbl>
  <w:p w14:paraId="3BBD36C7" w14:textId="77777777" w:rsidR="00552B57" w:rsidRPr="00552B57" w:rsidRDefault="00552B57" w:rsidP="00552B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552B57" w14:paraId="1C85928B" w14:textId="77777777" w:rsidTr="00552B57">
      <w:tc>
        <w:tcPr>
          <w:tcW w:w="4920" w:type="dxa"/>
          <w:shd w:val="clear" w:color="auto" w:fill="auto"/>
          <w:vAlign w:val="bottom"/>
        </w:tcPr>
        <w:p w14:paraId="32A73F18" w14:textId="2CA94E9C" w:rsidR="00552B57" w:rsidRPr="00552B57" w:rsidRDefault="00552B57" w:rsidP="00552B57">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5A451E">
            <w:rPr>
              <w:b w:val="0"/>
              <w:color w:val="000000"/>
              <w:sz w:val="14"/>
            </w:rPr>
            <w:t>23-03733</w:t>
          </w:r>
          <w:r>
            <w:rPr>
              <w:b w:val="0"/>
              <w:color w:val="000000"/>
              <w:sz w:val="14"/>
            </w:rPr>
            <w:fldChar w:fldCharType="end"/>
          </w:r>
        </w:p>
      </w:tc>
      <w:tc>
        <w:tcPr>
          <w:tcW w:w="4920" w:type="dxa"/>
          <w:shd w:val="clear" w:color="auto" w:fill="auto"/>
          <w:vAlign w:val="bottom"/>
        </w:tcPr>
        <w:p w14:paraId="552C38A2" w14:textId="77777777" w:rsidR="00552B57" w:rsidRPr="00552B57" w:rsidRDefault="00552B57" w:rsidP="00552B57">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4B53A35B" w14:textId="77777777" w:rsidR="00552B57" w:rsidRPr="00552B57" w:rsidRDefault="00552B57" w:rsidP="00552B5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34E63E" w14:textId="77777777" w:rsidR="00552B57" w:rsidRPr="00552B57" w:rsidRDefault="00552B57" w:rsidP="00552B57">
    <w:pPr>
      <w:pStyle w:val="Footer"/>
      <w:spacing w:line="120" w:lineRule="exact"/>
      <w:rPr>
        <w:b w:val="0"/>
        <w:sz w:val="10"/>
      </w:rPr>
    </w:pPr>
    <w:r>
      <w:rPr>
        <w:b w:val="0"/>
        <w:sz w:val="10"/>
      </w:rPr>
      <w:drawing>
        <wp:anchor distT="0" distB="0" distL="114300" distR="114300" simplePos="0" relativeHeight="251658240" behindDoc="0" locked="0" layoutInCell="1" allowOverlap="1" wp14:anchorId="5E09B000" wp14:editId="34B1D2FB">
          <wp:simplePos x="0" y="0"/>
          <wp:positionH relativeFrom="column">
            <wp:posOffset>5568315</wp:posOffset>
          </wp:positionH>
          <wp:positionV relativeFrom="paragraph">
            <wp:posOffset>-283210</wp:posOffset>
          </wp:positionV>
          <wp:extent cx="694690" cy="69469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552B57" w14:paraId="27687E21" w14:textId="77777777" w:rsidTr="00552B57">
      <w:tc>
        <w:tcPr>
          <w:tcW w:w="3830" w:type="dxa"/>
          <w:shd w:val="clear" w:color="auto" w:fill="auto"/>
        </w:tcPr>
        <w:p w14:paraId="27719A3D" w14:textId="7B766CA9" w:rsidR="00552B57" w:rsidRDefault="00552B57" w:rsidP="00552B57">
          <w:pPr>
            <w:pStyle w:val="ReleaseDate0"/>
          </w:pPr>
          <w:r>
            <w:t xml:space="preserve">23-03733 (S)    </w:t>
          </w:r>
          <w:r w:rsidR="002C6D15">
            <w:t>08</w:t>
          </w:r>
          <w:r>
            <w:t>0323    2</w:t>
          </w:r>
          <w:r w:rsidR="002C6D15">
            <w:t>7</w:t>
          </w:r>
          <w:r>
            <w:t>0323</w:t>
          </w:r>
        </w:p>
        <w:p w14:paraId="4C36D519" w14:textId="77777777" w:rsidR="00552B57" w:rsidRPr="00552B57" w:rsidRDefault="00552B57" w:rsidP="00552B57">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*2303733*</w:t>
          </w:r>
        </w:p>
      </w:tc>
      <w:tc>
        <w:tcPr>
          <w:tcW w:w="4920" w:type="dxa"/>
          <w:shd w:val="clear" w:color="auto" w:fill="auto"/>
        </w:tcPr>
        <w:p w14:paraId="6E9A1019" w14:textId="77777777" w:rsidR="00552B57" w:rsidRDefault="00552B57" w:rsidP="00552B57">
          <w:pPr>
            <w:pStyle w:val="Footer"/>
            <w:jc w:val="right"/>
            <w:rPr>
              <w:b w:val="0"/>
              <w:sz w:val="20"/>
            </w:rPr>
          </w:pPr>
          <w:r>
            <w:rPr>
              <w:b w:val="0"/>
              <w:sz w:val="20"/>
            </w:rPr>
            <w:drawing>
              <wp:inline distT="0" distB="0" distL="0" distR="0" wp14:anchorId="24F7BF00" wp14:editId="4F673858">
                <wp:extent cx="1082042" cy="231648"/>
                <wp:effectExtent l="0" t="0" r="3810" b="0"/>
                <wp:docPr id="7" name="Picture 7"/>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6EBB72F4" w14:textId="77777777" w:rsidR="00552B57" w:rsidRPr="00552B57" w:rsidRDefault="00552B57" w:rsidP="00552B57">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8A994A" w14:textId="77777777" w:rsidR="00B30C78" w:rsidRDefault="00B30C78" w:rsidP="00101B18">
      <w:r>
        <w:separator/>
      </w:r>
    </w:p>
  </w:footnote>
  <w:footnote w:type="continuationSeparator" w:id="0">
    <w:p w14:paraId="29A1BCAC" w14:textId="77777777" w:rsidR="00B30C78" w:rsidRDefault="00B30C78" w:rsidP="00101B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52B57" w14:paraId="3D256B66" w14:textId="77777777" w:rsidTr="00552B57">
      <w:trPr>
        <w:trHeight w:hRule="exact" w:val="864"/>
      </w:trPr>
      <w:tc>
        <w:tcPr>
          <w:tcW w:w="4920" w:type="dxa"/>
          <w:shd w:val="clear" w:color="auto" w:fill="auto"/>
          <w:vAlign w:val="bottom"/>
        </w:tcPr>
        <w:p w14:paraId="4A78BC2E" w14:textId="5F9DB315" w:rsidR="00552B57" w:rsidRPr="00552B57" w:rsidRDefault="00552B57" w:rsidP="00552B57">
          <w:pPr>
            <w:pStyle w:val="Header"/>
            <w:spacing w:after="80"/>
            <w:rPr>
              <w:b/>
            </w:rPr>
          </w:pPr>
          <w:r>
            <w:rPr>
              <w:b/>
            </w:rPr>
            <w:fldChar w:fldCharType="begin"/>
          </w:r>
          <w:r>
            <w:rPr>
              <w:b/>
            </w:rPr>
            <w:instrText xml:space="preserve"> DOCVARIABLE "sss1" \* MERGEFORMAT </w:instrText>
          </w:r>
          <w:r>
            <w:rPr>
              <w:b/>
            </w:rPr>
            <w:fldChar w:fldCharType="separate"/>
          </w:r>
          <w:r w:rsidR="005A451E">
            <w:rPr>
              <w:b/>
            </w:rPr>
            <w:t>CEDAW/C/85/1</w:t>
          </w:r>
          <w:r>
            <w:rPr>
              <w:b/>
            </w:rPr>
            <w:fldChar w:fldCharType="end"/>
          </w:r>
        </w:p>
      </w:tc>
      <w:tc>
        <w:tcPr>
          <w:tcW w:w="4920" w:type="dxa"/>
          <w:shd w:val="clear" w:color="auto" w:fill="auto"/>
          <w:vAlign w:val="bottom"/>
        </w:tcPr>
        <w:p w14:paraId="14D7FD84" w14:textId="77777777" w:rsidR="00552B57" w:rsidRDefault="00552B57" w:rsidP="00552B57">
          <w:pPr>
            <w:pStyle w:val="Header"/>
          </w:pPr>
        </w:p>
      </w:tc>
    </w:tr>
  </w:tbl>
  <w:p w14:paraId="5F95F59B" w14:textId="77777777" w:rsidR="00552B57" w:rsidRPr="00552B57" w:rsidRDefault="00552B57" w:rsidP="00552B5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52B57" w14:paraId="6CA50523" w14:textId="77777777" w:rsidTr="00552B57">
      <w:trPr>
        <w:trHeight w:hRule="exact" w:val="864"/>
      </w:trPr>
      <w:tc>
        <w:tcPr>
          <w:tcW w:w="4920" w:type="dxa"/>
          <w:shd w:val="clear" w:color="auto" w:fill="auto"/>
          <w:vAlign w:val="bottom"/>
        </w:tcPr>
        <w:p w14:paraId="5FC1449B" w14:textId="77777777" w:rsidR="00552B57" w:rsidRDefault="00552B57" w:rsidP="00552B57">
          <w:pPr>
            <w:pStyle w:val="Header"/>
          </w:pPr>
        </w:p>
      </w:tc>
      <w:tc>
        <w:tcPr>
          <w:tcW w:w="4920" w:type="dxa"/>
          <w:shd w:val="clear" w:color="auto" w:fill="auto"/>
          <w:vAlign w:val="bottom"/>
        </w:tcPr>
        <w:p w14:paraId="1471CBD2" w14:textId="5F367EF1" w:rsidR="00552B57" w:rsidRPr="00552B57" w:rsidRDefault="00552B57" w:rsidP="00552B57">
          <w:pPr>
            <w:pStyle w:val="Header"/>
            <w:spacing w:after="80"/>
            <w:jc w:val="right"/>
            <w:rPr>
              <w:b/>
            </w:rPr>
          </w:pPr>
          <w:r>
            <w:rPr>
              <w:b/>
            </w:rPr>
            <w:fldChar w:fldCharType="begin"/>
          </w:r>
          <w:r>
            <w:rPr>
              <w:b/>
            </w:rPr>
            <w:instrText xml:space="preserve"> DOCVARIABLE "sss1" \* MERGEFORMAT </w:instrText>
          </w:r>
          <w:r>
            <w:rPr>
              <w:b/>
            </w:rPr>
            <w:fldChar w:fldCharType="separate"/>
          </w:r>
          <w:r w:rsidR="005A451E">
            <w:rPr>
              <w:b/>
            </w:rPr>
            <w:t>CEDAW/C/85/1</w:t>
          </w:r>
          <w:r>
            <w:rPr>
              <w:b/>
            </w:rPr>
            <w:fldChar w:fldCharType="end"/>
          </w:r>
        </w:p>
      </w:tc>
    </w:tr>
  </w:tbl>
  <w:p w14:paraId="11C3055B" w14:textId="77777777" w:rsidR="00552B57" w:rsidRPr="00552B57" w:rsidRDefault="00552B57" w:rsidP="00552B5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552B57" w14:paraId="3AC1BD66" w14:textId="77777777" w:rsidTr="00552B57">
      <w:trPr>
        <w:gridAfter w:val="1"/>
        <w:wAfter w:w="15" w:type="dxa"/>
        <w:trHeight w:hRule="exact" w:val="864"/>
      </w:trPr>
      <w:tc>
        <w:tcPr>
          <w:tcW w:w="1267" w:type="dxa"/>
          <w:tcBorders>
            <w:bottom w:val="single" w:sz="4" w:space="0" w:color="auto"/>
          </w:tcBorders>
          <w:shd w:val="clear" w:color="auto" w:fill="auto"/>
          <w:vAlign w:val="bottom"/>
        </w:tcPr>
        <w:p w14:paraId="62CDF503" w14:textId="77777777" w:rsidR="00552B57" w:rsidRDefault="00552B57" w:rsidP="00552B57">
          <w:pPr>
            <w:pStyle w:val="Header"/>
            <w:spacing w:after="120"/>
          </w:pPr>
        </w:p>
      </w:tc>
      <w:tc>
        <w:tcPr>
          <w:tcW w:w="2059" w:type="dxa"/>
          <w:tcBorders>
            <w:bottom w:val="single" w:sz="4" w:space="0" w:color="auto"/>
          </w:tcBorders>
          <w:shd w:val="clear" w:color="auto" w:fill="auto"/>
          <w:vAlign w:val="bottom"/>
        </w:tcPr>
        <w:p w14:paraId="123D4C82" w14:textId="77777777" w:rsidR="00552B57" w:rsidRPr="00552B57" w:rsidRDefault="00552B57" w:rsidP="00552B57">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54ACD797" w14:textId="77777777" w:rsidR="00552B57" w:rsidRDefault="00552B57" w:rsidP="00552B57">
          <w:pPr>
            <w:pStyle w:val="Header"/>
            <w:spacing w:after="120"/>
          </w:pPr>
        </w:p>
      </w:tc>
      <w:tc>
        <w:tcPr>
          <w:tcW w:w="6480" w:type="dxa"/>
          <w:gridSpan w:val="3"/>
          <w:tcBorders>
            <w:bottom w:val="single" w:sz="4" w:space="0" w:color="auto"/>
          </w:tcBorders>
          <w:shd w:val="clear" w:color="auto" w:fill="auto"/>
          <w:vAlign w:val="bottom"/>
        </w:tcPr>
        <w:p w14:paraId="05D796D3" w14:textId="77777777" w:rsidR="00552B57" w:rsidRPr="00552B57" w:rsidRDefault="00552B57" w:rsidP="00552B57">
          <w:pPr>
            <w:spacing w:after="80" w:line="240" w:lineRule="auto"/>
            <w:jc w:val="right"/>
            <w:rPr>
              <w:position w:val="-4"/>
            </w:rPr>
          </w:pPr>
          <w:r>
            <w:rPr>
              <w:position w:val="-4"/>
              <w:sz w:val="40"/>
            </w:rPr>
            <w:t>CEDAW</w:t>
          </w:r>
          <w:r>
            <w:rPr>
              <w:position w:val="-4"/>
            </w:rPr>
            <w:t>/C/85/1</w:t>
          </w:r>
        </w:p>
      </w:tc>
    </w:tr>
    <w:tr w:rsidR="00552B57" w:rsidRPr="00552B57" w14:paraId="50D9DDF0" w14:textId="77777777" w:rsidTr="00552B57">
      <w:trPr>
        <w:trHeight w:hRule="exact" w:val="2880"/>
      </w:trPr>
      <w:tc>
        <w:tcPr>
          <w:tcW w:w="1267" w:type="dxa"/>
          <w:tcBorders>
            <w:top w:val="single" w:sz="4" w:space="0" w:color="auto"/>
            <w:bottom w:val="single" w:sz="12" w:space="0" w:color="auto"/>
          </w:tcBorders>
          <w:shd w:val="clear" w:color="auto" w:fill="auto"/>
        </w:tcPr>
        <w:p w14:paraId="358BB3FE" w14:textId="77777777" w:rsidR="00552B57" w:rsidRPr="00552B57" w:rsidRDefault="00552B57" w:rsidP="00552B57">
          <w:pPr>
            <w:pStyle w:val="Header"/>
            <w:spacing w:before="120"/>
            <w:jc w:val="center"/>
          </w:pPr>
          <w:r>
            <w:t xml:space="preserve"> </w:t>
          </w:r>
          <w:r>
            <w:drawing>
              <wp:inline distT="0" distB="0" distL="0" distR="0" wp14:anchorId="1A139D9A" wp14:editId="7D91D0F1">
                <wp:extent cx="713232" cy="597103"/>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B84EB1E" w14:textId="77777777" w:rsidR="00552B57" w:rsidRPr="00552B57" w:rsidRDefault="00552B57" w:rsidP="00552B57">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453CC18E" w14:textId="77777777" w:rsidR="00552B57" w:rsidRPr="00B235E2" w:rsidRDefault="00552B57" w:rsidP="00552B57">
          <w:pPr>
            <w:pStyle w:val="Header"/>
            <w:spacing w:before="109"/>
            <w:rPr>
              <w:lang w:val="es-ES_tradnl"/>
            </w:rPr>
          </w:pPr>
        </w:p>
      </w:tc>
      <w:tc>
        <w:tcPr>
          <w:tcW w:w="3140" w:type="dxa"/>
          <w:gridSpan w:val="2"/>
          <w:tcBorders>
            <w:top w:val="single" w:sz="4" w:space="0" w:color="auto"/>
            <w:bottom w:val="single" w:sz="12" w:space="0" w:color="auto"/>
          </w:tcBorders>
          <w:shd w:val="clear" w:color="auto" w:fill="auto"/>
        </w:tcPr>
        <w:p w14:paraId="46DA2E64" w14:textId="77777777" w:rsidR="00552B57" w:rsidRDefault="00552B57" w:rsidP="00552B57">
          <w:pPr>
            <w:pStyle w:val="Distribution"/>
            <w:spacing w:before="240"/>
          </w:pPr>
          <w:proofErr w:type="spellStart"/>
          <w:r>
            <w:t>Distr</w:t>
          </w:r>
          <w:proofErr w:type="spellEnd"/>
          <w:r>
            <w:t>. general</w:t>
          </w:r>
        </w:p>
        <w:p w14:paraId="3B3288F2" w14:textId="77777777" w:rsidR="00552B57" w:rsidRDefault="00552B57" w:rsidP="00552B57">
          <w:pPr>
            <w:pStyle w:val="Publication"/>
          </w:pPr>
          <w:r>
            <w:t>1 de marzo de 2023</w:t>
          </w:r>
        </w:p>
        <w:p w14:paraId="1CBC84DB" w14:textId="77777777" w:rsidR="00552B57" w:rsidRDefault="00552B57" w:rsidP="00552B57">
          <w:r>
            <w:t>Español</w:t>
          </w:r>
        </w:p>
        <w:p w14:paraId="07419057" w14:textId="77777777" w:rsidR="00552B57" w:rsidRDefault="00552B57" w:rsidP="00552B57">
          <w:pPr>
            <w:pStyle w:val="Original"/>
          </w:pPr>
          <w:r>
            <w:t>Original: inglés</w:t>
          </w:r>
        </w:p>
        <w:p w14:paraId="794B17B8" w14:textId="03AA1FC8" w:rsidR="00552B57" w:rsidRPr="00552B57" w:rsidRDefault="006E04D6" w:rsidP="00552B57">
          <w:r>
            <w:t>Español, francés e inglés únicamente</w:t>
          </w:r>
        </w:p>
      </w:tc>
    </w:tr>
  </w:tbl>
  <w:p w14:paraId="51240FD6" w14:textId="77777777" w:rsidR="00552B57" w:rsidRPr="008C5DF8" w:rsidRDefault="00552B57" w:rsidP="00552B57">
    <w:pPr>
      <w:pStyle w:val="Header"/>
      <w:rPr>
        <w:sz w:val="2"/>
        <w:lang w:val="es-ES_tradn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2"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296881123">
    <w:abstractNumId w:val="4"/>
  </w:num>
  <w:num w:numId="2" w16cid:durableId="879709539">
    <w:abstractNumId w:val="0"/>
  </w:num>
  <w:num w:numId="3" w16cid:durableId="482545620">
    <w:abstractNumId w:val="3"/>
  </w:num>
  <w:num w:numId="4" w16cid:durableId="1607883340">
    <w:abstractNumId w:val="2"/>
  </w:num>
  <w:num w:numId="5" w16cid:durableId="1771242925">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475"/>
  <w:autoHyphenation/>
  <w:hyphenationZone w:val="42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Aprobación del programa y organización de los trabajos_x000d_"/>
    <w:docVar w:name="Agenda1" w:val="Tema 2 del programa provisional_x000d_"/>
    <w:docVar w:name="Barcode" w:val="*2303733*"/>
    <w:docVar w:name="CreationDt" w:val="20/03/2023 4:29: PM"/>
    <w:docVar w:name="DocCategory" w:val="Doc"/>
    <w:docVar w:name="DocType" w:val="Final"/>
    <w:docVar w:name="DutyStation" w:val="New York"/>
    <w:docVar w:name="FooterJN" w:val="23-03733"/>
    <w:docVar w:name="jobn" w:val="23-03733 (S)"/>
    <w:docVar w:name="jobnDT" w:val="23-03733 (S)   200323"/>
    <w:docVar w:name="jobnDTDT" w:val="23-03733 (S)   200323   200323"/>
    <w:docVar w:name="JobNo" w:val="2303733S"/>
    <w:docVar w:name="JobNo2" w:val="23062544:29: PM"/>
    <w:docVar w:name="LocalDrive" w:val="-1"/>
    <w:docVar w:name="OandT" w:val="JMártin/Jordina"/>
    <w:docVar w:name="Session1" w:val="85º período de sesiones_x000d_"/>
    <w:docVar w:name="sss1" w:val="CEDAW/C/85/1"/>
    <w:docVar w:name="sss2" w:val="-"/>
    <w:docVar w:name="Symbol1" w:val="CEDAW/C/85/1"/>
    <w:docVar w:name="Symbol2" w:val="-"/>
    <w:docVar w:name="Title1" w:val="_x0009__x0009_Programa provisional anotado_x000d_"/>
    <w:docVar w:name="Title2" w:val="_x0009__x0009_Programa provisional_x000d_"/>
  </w:docVars>
  <w:rsids>
    <w:rsidRoot w:val="001F1542"/>
    <w:rsid w:val="00002584"/>
    <w:rsid w:val="00015B44"/>
    <w:rsid w:val="0006491F"/>
    <w:rsid w:val="00067B89"/>
    <w:rsid w:val="00071D43"/>
    <w:rsid w:val="00082144"/>
    <w:rsid w:val="000F1F99"/>
    <w:rsid w:val="00101B18"/>
    <w:rsid w:val="00117EA0"/>
    <w:rsid w:val="00122A56"/>
    <w:rsid w:val="00134FEE"/>
    <w:rsid w:val="00146C6A"/>
    <w:rsid w:val="00147570"/>
    <w:rsid w:val="00151388"/>
    <w:rsid w:val="00166A0D"/>
    <w:rsid w:val="001C462A"/>
    <w:rsid w:val="001D5969"/>
    <w:rsid w:val="001E4B50"/>
    <w:rsid w:val="001F1542"/>
    <w:rsid w:val="00214FB0"/>
    <w:rsid w:val="00235195"/>
    <w:rsid w:val="00241B93"/>
    <w:rsid w:val="002478A0"/>
    <w:rsid w:val="00273481"/>
    <w:rsid w:val="002A5E20"/>
    <w:rsid w:val="002C6D15"/>
    <w:rsid w:val="002D1584"/>
    <w:rsid w:val="00304428"/>
    <w:rsid w:val="00356DCA"/>
    <w:rsid w:val="00366D21"/>
    <w:rsid w:val="0039127C"/>
    <w:rsid w:val="003A675A"/>
    <w:rsid w:val="003B24AA"/>
    <w:rsid w:val="003D096D"/>
    <w:rsid w:val="003F61E1"/>
    <w:rsid w:val="00415E1D"/>
    <w:rsid w:val="00431E47"/>
    <w:rsid w:val="00440C93"/>
    <w:rsid w:val="00480B84"/>
    <w:rsid w:val="004B64F9"/>
    <w:rsid w:val="004C1A25"/>
    <w:rsid w:val="004F5406"/>
    <w:rsid w:val="00515991"/>
    <w:rsid w:val="005225EC"/>
    <w:rsid w:val="00525097"/>
    <w:rsid w:val="00537CFE"/>
    <w:rsid w:val="005509B6"/>
    <w:rsid w:val="00552B57"/>
    <w:rsid w:val="00557E90"/>
    <w:rsid w:val="00581391"/>
    <w:rsid w:val="00587A16"/>
    <w:rsid w:val="005A451E"/>
    <w:rsid w:val="005F1F5F"/>
    <w:rsid w:val="00622288"/>
    <w:rsid w:val="00632C10"/>
    <w:rsid w:val="00657C5A"/>
    <w:rsid w:val="00661706"/>
    <w:rsid w:val="00684117"/>
    <w:rsid w:val="00690698"/>
    <w:rsid w:val="006A21D9"/>
    <w:rsid w:val="006E04D6"/>
    <w:rsid w:val="006E4A4B"/>
    <w:rsid w:val="00703106"/>
    <w:rsid w:val="00745648"/>
    <w:rsid w:val="007459AE"/>
    <w:rsid w:val="007526FF"/>
    <w:rsid w:val="007531A5"/>
    <w:rsid w:val="00753D8A"/>
    <w:rsid w:val="00771C9E"/>
    <w:rsid w:val="00783685"/>
    <w:rsid w:val="007D5A8D"/>
    <w:rsid w:val="00807B29"/>
    <w:rsid w:val="0082045E"/>
    <w:rsid w:val="008222A3"/>
    <w:rsid w:val="00840664"/>
    <w:rsid w:val="00844CC1"/>
    <w:rsid w:val="00887452"/>
    <w:rsid w:val="00896C57"/>
    <w:rsid w:val="008B3FC7"/>
    <w:rsid w:val="008C5DF8"/>
    <w:rsid w:val="008F3462"/>
    <w:rsid w:val="00935932"/>
    <w:rsid w:val="009559A6"/>
    <w:rsid w:val="00993CB7"/>
    <w:rsid w:val="009D0EE3"/>
    <w:rsid w:val="00A1038C"/>
    <w:rsid w:val="00A202F4"/>
    <w:rsid w:val="00A2494D"/>
    <w:rsid w:val="00A3079E"/>
    <w:rsid w:val="00A31C1D"/>
    <w:rsid w:val="00A4579B"/>
    <w:rsid w:val="00A536A1"/>
    <w:rsid w:val="00AB0B7D"/>
    <w:rsid w:val="00AD5F2F"/>
    <w:rsid w:val="00AF4336"/>
    <w:rsid w:val="00B114E4"/>
    <w:rsid w:val="00B235E2"/>
    <w:rsid w:val="00B30C78"/>
    <w:rsid w:val="00B858D5"/>
    <w:rsid w:val="00BA20CA"/>
    <w:rsid w:val="00BB462D"/>
    <w:rsid w:val="00BD113B"/>
    <w:rsid w:val="00C026EE"/>
    <w:rsid w:val="00C07FF6"/>
    <w:rsid w:val="00C17811"/>
    <w:rsid w:val="00C27DF9"/>
    <w:rsid w:val="00C32BC2"/>
    <w:rsid w:val="00C43505"/>
    <w:rsid w:val="00C4488E"/>
    <w:rsid w:val="00C5036A"/>
    <w:rsid w:val="00C73A1D"/>
    <w:rsid w:val="00CB06FB"/>
    <w:rsid w:val="00CB63C5"/>
    <w:rsid w:val="00CD1AC2"/>
    <w:rsid w:val="00CD5199"/>
    <w:rsid w:val="00CF4349"/>
    <w:rsid w:val="00D0035F"/>
    <w:rsid w:val="00D3073B"/>
    <w:rsid w:val="00D30EED"/>
    <w:rsid w:val="00D73A2D"/>
    <w:rsid w:val="00DB32F0"/>
    <w:rsid w:val="00DB66DE"/>
    <w:rsid w:val="00DC7881"/>
    <w:rsid w:val="00DD5701"/>
    <w:rsid w:val="00DD5A2E"/>
    <w:rsid w:val="00E06CE9"/>
    <w:rsid w:val="00E117BC"/>
    <w:rsid w:val="00E16F01"/>
    <w:rsid w:val="00E206F7"/>
    <w:rsid w:val="00E343A6"/>
    <w:rsid w:val="00E35D5C"/>
    <w:rsid w:val="00E443AC"/>
    <w:rsid w:val="00E47A1E"/>
    <w:rsid w:val="00E517AD"/>
    <w:rsid w:val="00E7105F"/>
    <w:rsid w:val="00E75C69"/>
    <w:rsid w:val="00E818DE"/>
    <w:rsid w:val="00E861DD"/>
    <w:rsid w:val="00ED471D"/>
    <w:rsid w:val="00EE37EC"/>
    <w:rsid w:val="00EF2DFA"/>
    <w:rsid w:val="00EF2F5B"/>
    <w:rsid w:val="00F0704E"/>
    <w:rsid w:val="00F272D7"/>
    <w:rsid w:val="00F313F6"/>
    <w:rsid w:val="00F5012D"/>
    <w:rsid w:val="00F73093"/>
    <w:rsid w:val="00F82A8E"/>
    <w:rsid w:val="00F873D4"/>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1FF6FCF"/>
  <w15:chartTrackingRefBased/>
  <w15:docId w15:val="{25A8F6D4-0CFB-4684-90EF-40EDBCC8E4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5199"/>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CD5199"/>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D5199"/>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D5199"/>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D5199"/>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D5199"/>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D5199"/>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D5199"/>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D5199"/>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D5199"/>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CD5199"/>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CD5199"/>
    <w:pPr>
      <w:spacing w:line="360" w:lineRule="exact"/>
    </w:pPr>
    <w:rPr>
      <w:spacing w:val="-3"/>
      <w:w w:val="99"/>
      <w:sz w:val="34"/>
    </w:rPr>
  </w:style>
  <w:style w:type="paragraph" w:customStyle="1" w:styleId="H23">
    <w:name w:val="_ H_2/3"/>
    <w:basedOn w:val="H1"/>
    <w:next w:val="SingleTxt"/>
    <w:qFormat/>
    <w:rsid w:val="00CD5199"/>
    <w:pPr>
      <w:spacing w:line="240" w:lineRule="exact"/>
      <w:outlineLvl w:val="1"/>
    </w:pPr>
    <w:rPr>
      <w:spacing w:val="2"/>
      <w:sz w:val="20"/>
    </w:rPr>
  </w:style>
  <w:style w:type="paragraph" w:customStyle="1" w:styleId="H4">
    <w:name w:val="_ H_4"/>
    <w:basedOn w:val="Normal"/>
    <w:next w:val="SingleTxt"/>
    <w:qFormat/>
    <w:rsid w:val="00CD5199"/>
    <w:pPr>
      <w:keepNext/>
      <w:keepLines/>
      <w:tabs>
        <w:tab w:val="right" w:pos="360"/>
      </w:tabs>
      <w:outlineLvl w:val="3"/>
    </w:pPr>
    <w:rPr>
      <w:i/>
      <w:spacing w:val="3"/>
      <w:kern w:val="14"/>
    </w:rPr>
  </w:style>
  <w:style w:type="paragraph" w:customStyle="1" w:styleId="H56">
    <w:name w:val="_ H_5/6"/>
    <w:basedOn w:val="Normal"/>
    <w:next w:val="Normal"/>
    <w:qFormat/>
    <w:rsid w:val="00CD5199"/>
    <w:pPr>
      <w:keepNext/>
      <w:keepLines/>
      <w:tabs>
        <w:tab w:val="right" w:pos="360"/>
      </w:tabs>
      <w:outlineLvl w:val="4"/>
    </w:pPr>
    <w:rPr>
      <w:kern w:val="14"/>
    </w:rPr>
  </w:style>
  <w:style w:type="paragraph" w:customStyle="1" w:styleId="DualTxt">
    <w:name w:val="__Dual Txt"/>
    <w:basedOn w:val="Normal"/>
    <w:qFormat/>
    <w:rsid w:val="00CD5199"/>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D5199"/>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D5199"/>
    <w:pPr>
      <w:spacing w:line="540" w:lineRule="exact"/>
    </w:pPr>
    <w:rPr>
      <w:spacing w:val="-8"/>
      <w:w w:val="96"/>
      <w:sz w:val="57"/>
    </w:rPr>
  </w:style>
  <w:style w:type="paragraph" w:customStyle="1" w:styleId="SS">
    <w:name w:val="__S_S"/>
    <w:basedOn w:val="HCh0"/>
    <w:next w:val="Normal"/>
    <w:qFormat/>
    <w:rsid w:val="00CD5199"/>
    <w:pPr>
      <w:ind w:left="1267" w:right="1267"/>
    </w:pPr>
  </w:style>
  <w:style w:type="paragraph" w:customStyle="1" w:styleId="SingleTxt">
    <w:name w:val="__Single Txt"/>
    <w:basedOn w:val="Normal"/>
    <w:link w:val="SingleTxtChar"/>
    <w:qFormat/>
    <w:rsid w:val="00CD519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D5199"/>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D5199"/>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qFormat/>
    <w:rsid w:val="00CD5199"/>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CD5199"/>
    <w:rPr>
      <w:rFonts w:ascii="Tahoma" w:hAnsi="Tahoma" w:cs="Tahoma"/>
      <w:sz w:val="16"/>
      <w:szCs w:val="16"/>
    </w:rPr>
  </w:style>
  <w:style w:type="character" w:customStyle="1" w:styleId="BalloonTextChar">
    <w:name w:val="Balloon Text Char"/>
    <w:basedOn w:val="DefaultParagraphFont"/>
    <w:link w:val="BalloonText"/>
    <w:semiHidden/>
    <w:rsid w:val="00CD5199"/>
    <w:rPr>
      <w:rFonts w:ascii="Tahoma" w:eastAsiaTheme="minorHAnsi" w:hAnsi="Tahoma" w:cs="Tahoma"/>
      <w:spacing w:val="4"/>
      <w:w w:val="103"/>
      <w:sz w:val="16"/>
      <w:szCs w:val="16"/>
      <w:lang w:val="es-ES" w:eastAsia="en-US"/>
    </w:rPr>
  </w:style>
  <w:style w:type="paragraph" w:customStyle="1" w:styleId="Bullet1">
    <w:name w:val="Bullet 1"/>
    <w:basedOn w:val="Normal"/>
    <w:qFormat/>
    <w:rsid w:val="00CD5199"/>
    <w:pPr>
      <w:numPr>
        <w:numId w:val="1"/>
      </w:numPr>
      <w:spacing w:after="120"/>
      <w:ind w:right="1264"/>
      <w:jc w:val="both"/>
    </w:pPr>
  </w:style>
  <w:style w:type="paragraph" w:customStyle="1" w:styleId="Bullet2">
    <w:name w:val="Bullet 2"/>
    <w:basedOn w:val="Normal"/>
    <w:qFormat/>
    <w:rsid w:val="00CD5199"/>
    <w:pPr>
      <w:numPr>
        <w:numId w:val="2"/>
      </w:numPr>
      <w:spacing w:after="120"/>
      <w:ind w:right="1264"/>
      <w:jc w:val="both"/>
    </w:pPr>
  </w:style>
  <w:style w:type="paragraph" w:customStyle="1" w:styleId="Bullet3">
    <w:name w:val="Bullet 3"/>
    <w:basedOn w:val="SingleTxt"/>
    <w:qFormat/>
    <w:rsid w:val="00CD5199"/>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D5199"/>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D519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CD5199"/>
    <w:pPr>
      <w:spacing w:after="80"/>
    </w:pPr>
  </w:style>
  <w:style w:type="character" w:customStyle="1" w:styleId="EndnoteTextChar">
    <w:name w:val="Endnote Text Char"/>
    <w:basedOn w:val="DefaultParagraphFont"/>
    <w:link w:val="EndnoteText"/>
    <w:semiHidden/>
    <w:rsid w:val="00CD5199"/>
    <w:rPr>
      <w:rFonts w:ascii="Times New Roman" w:eastAsiaTheme="minorHAnsi" w:hAnsi="Times New Roman" w:cs="Times New Roman"/>
      <w:spacing w:val="5"/>
      <w:w w:val="104"/>
      <w:sz w:val="17"/>
      <w:lang w:val="es-ES" w:eastAsia="en-US"/>
    </w:rPr>
  </w:style>
  <w:style w:type="paragraph" w:styleId="Footer">
    <w:name w:val="footer"/>
    <w:link w:val="FooterChar"/>
    <w:qFormat/>
    <w:rsid w:val="00CD5199"/>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CD5199"/>
    <w:rPr>
      <w:rFonts w:ascii="Times New Roman" w:eastAsiaTheme="minorHAnsi" w:hAnsi="Times New Roman" w:cs="Times New Roman"/>
      <w:b/>
      <w:noProof/>
      <w:sz w:val="17"/>
      <w:lang w:val="en-US" w:eastAsia="en-US"/>
    </w:rPr>
  </w:style>
  <w:style w:type="character" w:styleId="FootnoteReference">
    <w:name w:val="footnote reference"/>
    <w:semiHidden/>
    <w:rsid w:val="00CD519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CD5199"/>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D5199"/>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CD5199"/>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uiPriority w:val="99"/>
    <w:rsid w:val="00CD5199"/>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CD5199"/>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D5199"/>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D5199"/>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CD5199"/>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D5199"/>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D5199"/>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D5199"/>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D5199"/>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D5199"/>
    <w:rPr>
      <w:rFonts w:ascii="Cambria" w:eastAsia="Times New Roman" w:hAnsi="Cambria" w:cs="Times New Roman"/>
      <w:i/>
      <w:iCs/>
      <w:spacing w:val="5"/>
      <w:w w:val="103"/>
      <w:sz w:val="20"/>
      <w:szCs w:val="20"/>
      <w:lang w:val="es-ES" w:eastAsia="en-US"/>
    </w:rPr>
  </w:style>
  <w:style w:type="character" w:styleId="LineNumber">
    <w:name w:val="line number"/>
    <w:qFormat/>
    <w:rsid w:val="00CD5199"/>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CD5199"/>
    <w:pPr>
      <w:spacing w:line="240" w:lineRule="auto"/>
    </w:pPr>
  </w:style>
  <w:style w:type="paragraph" w:customStyle="1" w:styleId="Original">
    <w:name w:val="Original"/>
    <w:next w:val="Normal"/>
    <w:autoRedefine/>
    <w:qFormat/>
    <w:rsid w:val="00CD5199"/>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D5199"/>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CD5199"/>
    <w:pPr>
      <w:tabs>
        <w:tab w:val="right" w:pos="9965"/>
      </w:tabs>
      <w:spacing w:line="210" w:lineRule="exact"/>
    </w:pPr>
    <w:rPr>
      <w:spacing w:val="5"/>
      <w:w w:val="104"/>
      <w:kern w:val="14"/>
      <w:sz w:val="17"/>
    </w:rPr>
  </w:style>
  <w:style w:type="paragraph" w:customStyle="1" w:styleId="SmallX">
    <w:name w:val="SmallX"/>
    <w:basedOn w:val="Small"/>
    <w:next w:val="Normal"/>
    <w:qFormat/>
    <w:rsid w:val="00CD5199"/>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CD519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D519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D5199"/>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CD5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CD5199"/>
    <w:pPr>
      <w:spacing w:line="300" w:lineRule="exact"/>
    </w:pPr>
    <w:rPr>
      <w:spacing w:val="-2"/>
      <w:sz w:val="28"/>
    </w:rPr>
  </w:style>
  <w:style w:type="paragraph" w:styleId="Caption">
    <w:name w:val="caption"/>
    <w:basedOn w:val="Normal"/>
    <w:next w:val="Normal"/>
    <w:uiPriority w:val="35"/>
    <w:semiHidden/>
    <w:unhideWhenUsed/>
    <w:rsid w:val="00CD5199"/>
    <w:pPr>
      <w:spacing w:line="240" w:lineRule="auto"/>
    </w:pPr>
    <w:rPr>
      <w:b/>
      <w:bCs/>
      <w:color w:val="4F81BD"/>
      <w:sz w:val="18"/>
      <w:szCs w:val="18"/>
    </w:rPr>
  </w:style>
  <w:style w:type="character" w:styleId="CommentReference">
    <w:name w:val="annotation reference"/>
    <w:semiHidden/>
    <w:rsid w:val="00CD5199"/>
    <w:rPr>
      <w:sz w:val="6"/>
    </w:rPr>
  </w:style>
  <w:style w:type="paragraph" w:customStyle="1" w:styleId="HdBanner">
    <w:name w:val="Hd Banner"/>
    <w:basedOn w:val="Normal"/>
    <w:next w:val="Normal"/>
    <w:qFormat/>
    <w:rsid w:val="00CD5199"/>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D519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D5199"/>
    <w:pPr>
      <w:spacing w:before="240"/>
    </w:pPr>
    <w:rPr>
      <w:b/>
      <w:spacing w:val="-2"/>
      <w:w w:val="100"/>
    </w:rPr>
  </w:style>
  <w:style w:type="paragraph" w:customStyle="1" w:styleId="HdChapterBdLg">
    <w:name w:val="Hd Chapter Bd Lg"/>
    <w:basedOn w:val="HdChapterBD"/>
    <w:next w:val="Normal"/>
    <w:qFormat/>
    <w:rsid w:val="00CD5199"/>
    <w:rPr>
      <w:spacing w:val="-3"/>
      <w:w w:val="99"/>
      <w:kern w:val="14"/>
      <w:sz w:val="34"/>
      <w:szCs w:val="34"/>
    </w:rPr>
  </w:style>
  <w:style w:type="paragraph" w:customStyle="1" w:styleId="JournalHeading1">
    <w:name w:val="Journal_Heading1"/>
    <w:basedOn w:val="Normal"/>
    <w:next w:val="Normal"/>
    <w:qFormat/>
    <w:rsid w:val="00CD5199"/>
    <w:pPr>
      <w:keepNext/>
      <w:spacing w:before="190" w:line="270" w:lineRule="exact"/>
    </w:pPr>
    <w:rPr>
      <w:b/>
      <w:kern w:val="14"/>
      <w:sz w:val="24"/>
    </w:rPr>
  </w:style>
  <w:style w:type="paragraph" w:customStyle="1" w:styleId="JournalHeading2">
    <w:name w:val="Journal_Heading2"/>
    <w:basedOn w:val="Normal"/>
    <w:next w:val="Normal"/>
    <w:qFormat/>
    <w:rsid w:val="00CD5199"/>
    <w:pPr>
      <w:keepNext/>
      <w:keepLines/>
      <w:spacing w:before="240"/>
      <w:outlineLvl w:val="1"/>
    </w:pPr>
    <w:rPr>
      <w:b/>
      <w:spacing w:val="2"/>
      <w:kern w:val="14"/>
    </w:rPr>
  </w:style>
  <w:style w:type="paragraph" w:customStyle="1" w:styleId="JournalHeading4">
    <w:name w:val="Journal_Heading4"/>
    <w:basedOn w:val="Normal"/>
    <w:next w:val="Normal"/>
    <w:qFormat/>
    <w:rsid w:val="00CD5199"/>
    <w:pPr>
      <w:keepNext/>
      <w:keepLines/>
      <w:spacing w:before="240"/>
      <w:outlineLvl w:val="3"/>
    </w:pPr>
    <w:rPr>
      <w:i/>
      <w:kern w:val="14"/>
    </w:rPr>
  </w:style>
  <w:style w:type="paragraph" w:customStyle="1" w:styleId="NormalBullet">
    <w:name w:val="Normal Bullet"/>
    <w:basedOn w:val="Normal"/>
    <w:next w:val="Normal"/>
    <w:qFormat/>
    <w:rsid w:val="00CD5199"/>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CD5199"/>
    <w:pPr>
      <w:tabs>
        <w:tab w:val="left" w:leader="dot" w:pos="2218"/>
        <w:tab w:val="left" w:pos="2707"/>
        <w:tab w:val="right" w:leader="dot" w:pos="9835"/>
      </w:tabs>
    </w:pPr>
    <w:rPr>
      <w:kern w:val="14"/>
    </w:rPr>
  </w:style>
  <w:style w:type="paragraph" w:customStyle="1" w:styleId="ReleaseDate0">
    <w:name w:val="ReleaseDate"/>
    <w:next w:val="Footer"/>
    <w:autoRedefine/>
    <w:qFormat/>
    <w:rsid w:val="00CD5199"/>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CD5199"/>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CD5199"/>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552B57"/>
    <w:pPr>
      <w:spacing w:line="240" w:lineRule="auto"/>
    </w:pPr>
    <w:rPr>
      <w:szCs w:val="20"/>
    </w:rPr>
  </w:style>
  <w:style w:type="character" w:customStyle="1" w:styleId="CommentTextChar">
    <w:name w:val="Comment Text Char"/>
    <w:basedOn w:val="DefaultParagraphFont"/>
    <w:link w:val="CommentText"/>
    <w:uiPriority w:val="99"/>
    <w:semiHidden/>
    <w:rsid w:val="00552B57"/>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552B57"/>
    <w:rPr>
      <w:b/>
      <w:bCs/>
    </w:rPr>
  </w:style>
  <w:style w:type="character" w:customStyle="1" w:styleId="CommentSubjectChar">
    <w:name w:val="Comment Subject Char"/>
    <w:basedOn w:val="CommentTextChar"/>
    <w:link w:val="CommentSubject"/>
    <w:uiPriority w:val="99"/>
    <w:semiHidden/>
    <w:rsid w:val="00552B57"/>
    <w:rPr>
      <w:rFonts w:ascii="Times New Roman" w:eastAsiaTheme="minorHAnsi"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CF4349"/>
    <w:rPr>
      <w:color w:val="605E5C"/>
      <w:shd w:val="clear" w:color="auto" w:fill="E1DFDD"/>
    </w:rPr>
  </w:style>
  <w:style w:type="paragraph" w:styleId="Revision">
    <w:name w:val="Revision"/>
    <w:hidden/>
    <w:uiPriority w:val="99"/>
    <w:semiHidden/>
    <w:rsid w:val="00214FB0"/>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CEDAW/C/PSWG/85/1" TargetMode="External"/><Relationship Id="rId26" Type="http://schemas.openxmlformats.org/officeDocument/2006/relationships/hyperlink" Target="https://undocs.org/es/CEDAW/C/ESP/9" TargetMode="External"/><Relationship Id="rId39" Type="http://schemas.openxmlformats.org/officeDocument/2006/relationships/hyperlink" Target="https://undocs.org/es/CEDAW/C/STP/RQ/1-5" TargetMode="External"/><Relationship Id="rId3" Type="http://schemas.openxmlformats.org/officeDocument/2006/relationships/settings" Target="settings.xml"/><Relationship Id="rId21" Type="http://schemas.openxmlformats.org/officeDocument/2006/relationships/hyperlink" Target="https://undocs.org/es/CEDAW/C/CHN-MAC/9" TargetMode="External"/><Relationship Id="rId34" Type="http://schemas.openxmlformats.org/officeDocument/2006/relationships/hyperlink" Target="https://undocs.org/es/CEDAW/C/STP/Q/1-5" TargetMode="External"/><Relationship Id="rId42" Type="http://schemas.openxmlformats.org/officeDocument/2006/relationships/hyperlink" Target="https://undocs.org/es/CEDAW/C/86/1"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85/1" TargetMode="External"/><Relationship Id="rId25" Type="http://schemas.openxmlformats.org/officeDocument/2006/relationships/hyperlink" Target="https://undocs.org/es/CEDAW/C/SVK/7" TargetMode="External"/><Relationship Id="rId33" Type="http://schemas.openxmlformats.org/officeDocument/2006/relationships/hyperlink" Target="https://undocs.org/es/CEDAW/C/ISL/Q/9" TargetMode="External"/><Relationship Id="rId38" Type="http://schemas.openxmlformats.org/officeDocument/2006/relationships/hyperlink" Target="https://undocs.org/es/CEDAW/C/ISL/RQ/9"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s/CEDAW/C/CHN-HKG/9" TargetMode="External"/><Relationship Id="rId29" Type="http://schemas.openxmlformats.org/officeDocument/2006/relationships/hyperlink" Target="https://undocs.org/es/CEDAW/C/DEU/QPR/9" TargetMode="External"/><Relationship Id="rId41" Type="http://schemas.openxmlformats.org/officeDocument/2006/relationships/hyperlink" Target="https://undocs.org/es/CEDAW/C/VEN/RQ/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s/CEDAW/C/STP/1-5" TargetMode="External"/><Relationship Id="rId32" Type="http://schemas.openxmlformats.org/officeDocument/2006/relationships/hyperlink" Target="https://undocs.org/es/CEDAW/C/ESP/QPR/9" TargetMode="External"/><Relationship Id="rId37" Type="http://schemas.openxmlformats.org/officeDocument/2006/relationships/hyperlink" Target="https://undocs.org/es/CEDAW/C/CHN/RQ/9" TargetMode="External"/><Relationship Id="rId40" Type="http://schemas.openxmlformats.org/officeDocument/2006/relationships/hyperlink" Target="https://undocs.org/es/CEDAW/C/TLS/RQ/4"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s/CEDAW/C/ISL/9" TargetMode="External"/><Relationship Id="rId28" Type="http://schemas.openxmlformats.org/officeDocument/2006/relationships/hyperlink" Target="https://undocs.org/es/CEDAW/C/VEN/9" TargetMode="External"/><Relationship Id="rId36" Type="http://schemas.openxmlformats.org/officeDocument/2006/relationships/hyperlink" Target="https://undocs.org/es/CEDAW/C/VEN/Q/9" TargetMode="External"/><Relationship Id="rId10" Type="http://schemas.openxmlformats.org/officeDocument/2006/relationships/footer" Target="footer2.xml"/><Relationship Id="rId19" Type="http://schemas.openxmlformats.org/officeDocument/2006/relationships/hyperlink" Target="https://undocs.org/es/CEDAW/C/CHN/9" TargetMode="External"/><Relationship Id="rId31" Type="http://schemas.openxmlformats.org/officeDocument/2006/relationships/hyperlink" Target="https://undocs.org/es/CEDAW/C/SVK/QPR/7"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s/CEDAW/C/DEU/9" TargetMode="External"/><Relationship Id="rId27" Type="http://schemas.openxmlformats.org/officeDocument/2006/relationships/hyperlink" Target="https://undocs.org/es/CEDAW/C/TLS/4" TargetMode="External"/><Relationship Id="rId30" Type="http://schemas.openxmlformats.org/officeDocument/2006/relationships/hyperlink" Target="https://undocs.org/es/CEDAW/C/CHN/Q/9" TargetMode="External"/><Relationship Id="rId35" Type="http://schemas.openxmlformats.org/officeDocument/2006/relationships/hyperlink" Target="https://undocs.org/es/CEDAW/C/TLS/QPR/4" TargetMode="External"/><Relationship Id="rId43"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1408</Words>
  <Characters>8030</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Martin Bejarano</dc:creator>
  <cp:keywords/>
  <dc:description/>
  <cp:lastModifiedBy>Spanish Text Processing</cp:lastModifiedBy>
  <cp:revision>5</cp:revision>
  <cp:lastPrinted>2023-03-27T17:51:00Z</cp:lastPrinted>
  <dcterms:created xsi:type="dcterms:W3CDTF">2023-03-27T17:50:00Z</dcterms:created>
  <dcterms:modified xsi:type="dcterms:W3CDTF">2023-03-27T17:51:00Z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2303733</vt:lpwstr>
  </property>
  <property fmtid="{D5CDD505-2E9C-101B-9397-08002B2CF9AE}" pid="3" name="ODSRefJobNo">
    <vt:lpwstr>2306254</vt:lpwstr>
  </property>
  <property fmtid="{D5CDD505-2E9C-101B-9397-08002B2CF9AE}" pid="4" name="Symbol1">
    <vt:lpwstr>CEDAW/C/85/1</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from 2303733S_SelfRevision_JGU COMP OK</vt:lpwstr>
  </property>
  <property fmtid="{D5CDD505-2E9C-101B-9397-08002B2CF9AE}" pid="9" name="DraftPages">
    <vt:lpwstr>4</vt:lpwstr>
  </property>
  <property fmtid="{D5CDD505-2E9C-101B-9397-08002B2CF9AE}" pid="10" name="Operator">
    <vt:lpwstr>JMártin</vt:lpwstr>
  </property>
  <property fmtid="{D5CDD505-2E9C-101B-9397-08002B2CF9AE}" pid="11" name="Translator">
    <vt:lpwstr>Jordina</vt:lpwstr>
  </property>
  <property fmtid="{D5CDD505-2E9C-101B-9397-08002B2CF9AE}" pid="12" name="Session1">
    <vt:lpwstr>85º período de sesiones_x000d_</vt:lpwstr>
  </property>
  <property fmtid="{D5CDD505-2E9C-101B-9397-08002B2CF9AE}" pid="13" name="Agenda1">
    <vt:lpwstr>Tema 2 del programa provisional_x000d_</vt:lpwstr>
  </property>
  <property fmtid="{D5CDD505-2E9C-101B-9397-08002B2CF9AE}" pid="14" name="Agenda Title1">
    <vt:lpwstr>Aprobación del programa y organización de los trabajos_x000d_</vt:lpwstr>
  </property>
  <property fmtid="{D5CDD505-2E9C-101B-9397-08002B2CF9AE}" pid="15" name="Title1">
    <vt:lpwstr>		Programa provisional anotado_x000d_</vt:lpwstr>
  </property>
  <property fmtid="{D5CDD505-2E9C-101B-9397-08002B2CF9AE}" pid="16" name="Title2">
    <vt:lpwstr>		Programa provisional_x000d_</vt:lpwstr>
  </property>
</Properties>
</file>