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21FD742" w14:textId="77777777" w:rsidTr="00FC1527">
        <w:trPr>
          <w:cantSplit/>
          <w:trHeight w:hRule="exact" w:val="851"/>
        </w:trPr>
        <w:tc>
          <w:tcPr>
            <w:tcW w:w="1276" w:type="dxa"/>
            <w:tcBorders>
              <w:bottom w:val="single" w:sz="4" w:space="0" w:color="auto"/>
            </w:tcBorders>
            <w:vAlign w:val="bottom"/>
          </w:tcPr>
          <w:p w14:paraId="27A6E8A8" w14:textId="77777777" w:rsidR="00A43F01" w:rsidRDefault="00A43F01" w:rsidP="00FC1527">
            <w:pPr>
              <w:spacing w:after="80"/>
            </w:pPr>
          </w:p>
        </w:tc>
        <w:tc>
          <w:tcPr>
            <w:tcW w:w="2268" w:type="dxa"/>
            <w:tcBorders>
              <w:bottom w:val="single" w:sz="4" w:space="0" w:color="auto"/>
            </w:tcBorders>
            <w:vAlign w:val="bottom"/>
          </w:tcPr>
          <w:p w14:paraId="49382C6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B0C4E2D" w14:textId="77777777" w:rsidR="00A43F01" w:rsidRPr="006E4EE9" w:rsidRDefault="00636A1E" w:rsidP="00636A1E">
            <w:pPr>
              <w:suppressAutoHyphens w:val="0"/>
              <w:spacing w:after="20"/>
              <w:jc w:val="right"/>
            </w:pPr>
            <w:r w:rsidRPr="00636A1E">
              <w:rPr>
                <w:sz w:val="40"/>
              </w:rPr>
              <w:t>CAT</w:t>
            </w:r>
            <w:r>
              <w:t>/C/SWE/QPR/9</w:t>
            </w:r>
          </w:p>
        </w:tc>
      </w:tr>
      <w:tr w:rsidR="00A43F01" w14:paraId="2052D4E1" w14:textId="77777777" w:rsidTr="00FC1527">
        <w:trPr>
          <w:cantSplit/>
          <w:trHeight w:hRule="exact" w:val="2835"/>
        </w:trPr>
        <w:tc>
          <w:tcPr>
            <w:tcW w:w="1276" w:type="dxa"/>
            <w:tcBorders>
              <w:top w:val="single" w:sz="4" w:space="0" w:color="auto"/>
              <w:bottom w:val="single" w:sz="12" w:space="0" w:color="auto"/>
            </w:tcBorders>
          </w:tcPr>
          <w:p w14:paraId="4A91E0AF" w14:textId="77777777" w:rsidR="00A43F01" w:rsidRDefault="00A43F01" w:rsidP="00FC1527">
            <w:pPr>
              <w:spacing w:before="120"/>
              <w:jc w:val="center"/>
            </w:pPr>
            <w:r>
              <w:rPr>
                <w:noProof/>
                <w:lang w:val="fr-CH" w:eastAsia="fr-CH"/>
              </w:rPr>
              <w:drawing>
                <wp:inline distT="0" distB="0" distL="0" distR="0" wp14:anchorId="0D2E7D28" wp14:editId="4B841D1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656E0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33A847E" w14:textId="77777777" w:rsidR="00A43F01" w:rsidRDefault="00636A1E" w:rsidP="00636A1E">
            <w:pPr>
              <w:suppressAutoHyphens w:val="0"/>
              <w:spacing w:before="240"/>
            </w:pPr>
            <w:r>
              <w:t>Distr.: General</w:t>
            </w:r>
          </w:p>
          <w:p w14:paraId="16F9A4FA" w14:textId="77777777" w:rsidR="00636A1E" w:rsidRDefault="00636A1E" w:rsidP="00636A1E">
            <w:pPr>
              <w:suppressAutoHyphens w:val="0"/>
            </w:pPr>
            <w:r>
              <w:t>12 December 2024</w:t>
            </w:r>
          </w:p>
          <w:p w14:paraId="023ABE13" w14:textId="77777777" w:rsidR="00636A1E" w:rsidRDefault="00636A1E" w:rsidP="00636A1E">
            <w:pPr>
              <w:suppressAutoHyphens w:val="0"/>
            </w:pPr>
          </w:p>
          <w:p w14:paraId="501823E1" w14:textId="77777777" w:rsidR="00636A1E" w:rsidRDefault="00636A1E" w:rsidP="00636A1E">
            <w:pPr>
              <w:suppressAutoHyphens w:val="0"/>
            </w:pPr>
            <w:r>
              <w:t>Original: English</w:t>
            </w:r>
          </w:p>
          <w:p w14:paraId="229A9BAC" w14:textId="49253BEA" w:rsidR="00636A1E" w:rsidRDefault="00636A1E" w:rsidP="00636A1E">
            <w:pPr>
              <w:suppressAutoHyphens w:val="0"/>
            </w:pPr>
            <w:r w:rsidRPr="00617111">
              <w:t>English, French and Spanish only</w:t>
            </w:r>
          </w:p>
        </w:tc>
      </w:tr>
    </w:tbl>
    <w:p w14:paraId="02265CD5" w14:textId="77777777" w:rsidR="00636A1E" w:rsidRPr="00447B2B" w:rsidRDefault="00636A1E">
      <w:pPr>
        <w:spacing w:before="120"/>
        <w:rPr>
          <w:b/>
          <w:sz w:val="24"/>
          <w:szCs w:val="24"/>
        </w:rPr>
      </w:pPr>
      <w:r w:rsidRPr="00447B2B">
        <w:rPr>
          <w:b/>
          <w:sz w:val="24"/>
          <w:szCs w:val="24"/>
        </w:rPr>
        <w:t>Committee against Torture</w:t>
      </w:r>
    </w:p>
    <w:p w14:paraId="26FC5790" w14:textId="77777777" w:rsidR="004009A2" w:rsidRPr="00447B2B" w:rsidRDefault="004009A2" w:rsidP="004009A2">
      <w:pPr>
        <w:pStyle w:val="HChG"/>
      </w:pPr>
      <w:r w:rsidRPr="00447B2B">
        <w:tab/>
      </w:r>
      <w:r w:rsidRPr="00447B2B">
        <w:tab/>
        <w:t>List of issues prior to submission of the ninth periodic report of Sweden</w:t>
      </w:r>
      <w:r w:rsidRPr="00447B2B">
        <w:rPr>
          <w:b w:val="0"/>
          <w:bCs/>
          <w:sz w:val="20"/>
        </w:rPr>
        <w:footnoteReference w:customMarkFollows="1" w:id="1"/>
        <w:t>*</w:t>
      </w:r>
    </w:p>
    <w:p w14:paraId="39B7E8C9" w14:textId="10D1772F" w:rsidR="004009A2" w:rsidRPr="00447B2B" w:rsidRDefault="004009A2" w:rsidP="00593B35">
      <w:pPr>
        <w:pStyle w:val="H1G"/>
      </w:pPr>
      <w:r w:rsidRPr="00447B2B">
        <w:tab/>
      </w:r>
      <w:r w:rsidRPr="00447B2B">
        <w:tab/>
        <w:t>Specific information on the implementation of articles 1–16 of the Convention, including with regard to the Committee</w:t>
      </w:r>
      <w:r w:rsidR="00BD7E40">
        <w:t>’</w:t>
      </w:r>
      <w:r w:rsidRPr="00447B2B">
        <w:t>s previous recommendations</w:t>
      </w:r>
    </w:p>
    <w:p w14:paraId="5F6A26B5" w14:textId="56B892E4" w:rsidR="004009A2" w:rsidRPr="00447B2B" w:rsidRDefault="004009A2" w:rsidP="004009A2">
      <w:pPr>
        <w:pStyle w:val="SingleTxtG"/>
      </w:pPr>
      <w:r w:rsidRPr="00447B2B">
        <w:t>1.</w:t>
      </w:r>
      <w:r w:rsidRPr="00447B2B">
        <w:tab/>
        <w:t>In its previous concluding observations,</w:t>
      </w:r>
      <w:r w:rsidRPr="00447B2B">
        <w:rPr>
          <w:rStyle w:val="FootnoteReference"/>
        </w:rPr>
        <w:footnoteReference w:id="2"/>
      </w:r>
      <w:r w:rsidRPr="00447B2B">
        <w:t xml:space="preserve"> the Committee requested the State party to provide information on the follow-up to its recommendations on the definition and criminalization of torture, on the imposition of restrictions, including solitary confinement, and on ensuring identification of torture victims in deportation proceedings, individual review of deportation decisions, and non-refoulement (paras. 10, 16 and 22, respectively). Noting that a reply concerning the information sought by the Committee was provided on 2</w:t>
      </w:r>
      <w:r w:rsidR="007457BF">
        <w:t> </w:t>
      </w:r>
      <w:r w:rsidRPr="00447B2B">
        <w:t>December 2022,</w:t>
      </w:r>
      <w:r w:rsidRPr="00447B2B">
        <w:rPr>
          <w:rStyle w:val="FootnoteReference"/>
        </w:rPr>
        <w:footnoteReference w:id="3"/>
      </w:r>
      <w:r w:rsidRPr="00447B2B">
        <w:t xml:space="preserve"> and with reference to the letter dated 26 April 2023 from the Committee</w:t>
      </w:r>
      <w:r w:rsidR="00BD7E40">
        <w:t>’</w:t>
      </w:r>
      <w:r w:rsidRPr="00447B2B">
        <w:t>s Rapporteur for follow-up to concluding observations,</w:t>
      </w:r>
      <w:r w:rsidRPr="00447B2B">
        <w:rPr>
          <w:rStyle w:val="FootnoteReference"/>
        </w:rPr>
        <w:footnoteReference w:id="4"/>
      </w:r>
      <w:r w:rsidRPr="00447B2B">
        <w:t xml:space="preserve"> the Committee considers that the recommendations included in paragraphs 10 and 22 have been partially implemented. The Committee regrets not having received sufficient information on the measures taken to implement the recommendations contained in paragraph 16 to assess implementation. These points are covered in paragraphs 2, 7, 8, 15, 17 and 18 of the present document. </w:t>
      </w:r>
    </w:p>
    <w:p w14:paraId="065BD6BB" w14:textId="77777777" w:rsidR="004009A2" w:rsidRPr="00447B2B" w:rsidRDefault="004009A2" w:rsidP="00447B2B">
      <w:pPr>
        <w:pStyle w:val="H23G"/>
      </w:pPr>
      <w:r w:rsidRPr="00447B2B">
        <w:tab/>
      </w:r>
      <w:r w:rsidRPr="00447B2B">
        <w:tab/>
        <w:t>Articles 1 and 4</w:t>
      </w:r>
    </w:p>
    <w:p w14:paraId="0C4989C5" w14:textId="59FD3224" w:rsidR="004009A2" w:rsidRPr="00447B2B" w:rsidRDefault="004009A2" w:rsidP="004009A2">
      <w:pPr>
        <w:pStyle w:val="SingleTxtG"/>
      </w:pPr>
      <w:r w:rsidRPr="00447B2B">
        <w:t>2.</w:t>
      </w:r>
      <w:r w:rsidRPr="00447B2B">
        <w:tab/>
        <w:t>Please provide information regarding any steps that have been taken by the State party to define and criminalize torture in its domestic law, in full compliance with articles 1 and 4 of the Convention, in line with the Committee</w:t>
      </w:r>
      <w:r w:rsidR="00BD7E40">
        <w:t>’</w:t>
      </w:r>
      <w:r w:rsidRPr="00447B2B">
        <w:t>s previous recommendation.</w:t>
      </w:r>
      <w:r w:rsidRPr="00447B2B">
        <w:rPr>
          <w:rStyle w:val="FootnoteReference"/>
        </w:rPr>
        <w:footnoteReference w:id="5"/>
      </w:r>
      <w:r w:rsidRPr="00447B2B">
        <w:t xml:space="preserve"> In this regard, please provide updated information regarding the status of discussions relating to the ministerial memorandum entitled “A specific provision on torture?”, which was presented in September 2015 and in which the explicit criminalization of torture was proposed.</w:t>
      </w:r>
      <w:r w:rsidRPr="00447B2B">
        <w:rPr>
          <w:rStyle w:val="FootnoteReference"/>
        </w:rPr>
        <w:footnoteReference w:id="6"/>
      </w:r>
      <w:r w:rsidRPr="00447B2B">
        <w:t xml:space="preserve"> In view of the dualist system in place in the State party,</w:t>
      </w:r>
      <w:r w:rsidRPr="00447B2B">
        <w:rPr>
          <w:rStyle w:val="FootnoteReference"/>
        </w:rPr>
        <w:footnoteReference w:id="7"/>
      </w:r>
      <w:r w:rsidRPr="00447B2B">
        <w:t xml:space="preserve"> please provide information on any cases in which the provisions of the Convention, or the decisions of the Committee, have been referred to in the decisions of domestic courts. In view also of the State party</w:t>
      </w:r>
      <w:r w:rsidR="00BD7E40">
        <w:t>’</w:t>
      </w:r>
      <w:r w:rsidRPr="00447B2B">
        <w:t>s assertion that the requirements of the Convention are fully met by its domestic laws and regulations,</w:t>
      </w:r>
      <w:r w:rsidRPr="00447B2B">
        <w:rPr>
          <w:rStyle w:val="FootnoteReference"/>
        </w:rPr>
        <w:footnoteReference w:id="8"/>
      </w:r>
      <w:r w:rsidRPr="00447B2B">
        <w:t xml:space="preserve"> and that torture can be defined under several categories under its domestic law, including assault, </w:t>
      </w:r>
      <w:r w:rsidRPr="00447B2B">
        <w:lastRenderedPageBreak/>
        <w:t>rape, kidnapping or crimes against humanity or war crimes,</w:t>
      </w:r>
      <w:r w:rsidRPr="00447B2B">
        <w:rPr>
          <w:rStyle w:val="FootnoteReference"/>
        </w:rPr>
        <w:footnoteReference w:id="9"/>
      </w:r>
      <w:r w:rsidRPr="00447B2B">
        <w:t xml:space="preserve"> and in the light of the Act on Criminal Responsibility for Genocide, Crimes against Humanity and War Crimes (2014:406), please update the Committee on any steps taken by the State party during the period under review to ensure that acts amounting to torture are not subject to any statute of limitations. </w:t>
      </w:r>
    </w:p>
    <w:p w14:paraId="7C370921" w14:textId="77777777" w:rsidR="004009A2" w:rsidRPr="00447B2B" w:rsidRDefault="004009A2" w:rsidP="00447B2B">
      <w:pPr>
        <w:pStyle w:val="H23G"/>
      </w:pPr>
      <w:r w:rsidRPr="00447B2B">
        <w:tab/>
      </w:r>
      <w:r w:rsidRPr="00447B2B">
        <w:tab/>
        <w:t>Article 2</w:t>
      </w:r>
      <w:r w:rsidRPr="00447B2B">
        <w:rPr>
          <w:rStyle w:val="FootnoteReference"/>
          <w:b w:val="0"/>
          <w:bCs/>
        </w:rPr>
        <w:footnoteReference w:id="10"/>
      </w:r>
    </w:p>
    <w:p w14:paraId="66662A87" w14:textId="77777777" w:rsidR="004009A2" w:rsidRPr="00447B2B" w:rsidRDefault="004009A2" w:rsidP="004009A2">
      <w:pPr>
        <w:pStyle w:val="SingleTxtG"/>
      </w:pPr>
      <w:r w:rsidRPr="00447B2B">
        <w:t>3.</w:t>
      </w:r>
      <w:r w:rsidRPr="00447B2B">
        <w:tab/>
        <w:t>Please provide updated information on measures taken by the State party and on the procedures in place to ensure that all detained persons are afforded, in law and in practice, all fundamental legal safeguards against torture and ill-treatment from the outset of their deprivation of liberty, in particular the rights to have access to a lawyer of their choice or, if necessary, to free legal aid, to request and receive a prompt examination by an independent medical doctor free of charge, or by a medical doctor of their choice, to be informed of their rights and the charges against them, both orally and in writing, to have their detention recorded in a registry, to be brought promptly before a judge, regardless of the reasons for their arrest, and to notify a relative or any other person of their choice of their arrest. In relation to the notification of custody, and taking into account the concerns raised by the Committee in its previous concluding observations,</w:t>
      </w:r>
      <w:r w:rsidRPr="00447B2B">
        <w:rPr>
          <w:rStyle w:val="FootnoteReference"/>
        </w:rPr>
        <w:footnoteReference w:id="11"/>
      </w:r>
      <w:r w:rsidRPr="00447B2B">
        <w:t xml:space="preserve"> please provide detailed information on the legislative grounds for denying persons deprived of their liberty this right. </w:t>
      </w:r>
    </w:p>
    <w:p w14:paraId="787A5A7A" w14:textId="77777777" w:rsidR="004009A2" w:rsidRPr="00447B2B" w:rsidRDefault="004009A2" w:rsidP="004009A2">
      <w:pPr>
        <w:pStyle w:val="SingleTxtG"/>
      </w:pPr>
      <w:r w:rsidRPr="00447B2B">
        <w:t>4.</w:t>
      </w:r>
      <w:r w:rsidRPr="00447B2B">
        <w:tab/>
        <w:t>The Committee welcomes the establishment of the Swedish Institute for Human Rights, which commenced its activities on 1 January 2022. The Committee similarly welcomes information received indicating that the Institute will seek accreditation from the Subcommittee on Accreditation of the Global Alliance of National Human Rights Institutions. In this regard, and taking into account concerns raised by the Committee on Economic, Social and Cultural Rights,</w:t>
      </w:r>
      <w:r w:rsidRPr="00447B2B">
        <w:rPr>
          <w:rStyle w:val="FootnoteReference"/>
        </w:rPr>
        <w:footnoteReference w:id="12"/>
      </w:r>
      <w:r w:rsidRPr="00447B2B">
        <w:t xml:space="preserve"> please provide information regarding the technical, human and financial resources of the Institute, indicating whether the Institute has an independent budget and whether its budget allocation is established in legislation. </w:t>
      </w:r>
    </w:p>
    <w:p w14:paraId="08EDE792" w14:textId="0C4473D2" w:rsidR="004009A2" w:rsidRPr="00447B2B" w:rsidRDefault="004009A2" w:rsidP="004009A2">
      <w:pPr>
        <w:pStyle w:val="SingleTxtG"/>
      </w:pPr>
      <w:r w:rsidRPr="00447B2B">
        <w:t>5.</w:t>
      </w:r>
      <w:r w:rsidRPr="00447B2B">
        <w:tab/>
        <w:t>Please provide information on the legislative, administrative and other measures taken to eliminate all forms of violence against women, including domestic and sexual violence. In this regard, please provide information regarding the implementation to date of the 10-year national strategy to prevent and counter violence by men against women, adopted in 2016, along with any methodology in place to monitor the strategy</w:t>
      </w:r>
      <w:r w:rsidR="00BD7E40">
        <w:t>’</w:t>
      </w:r>
      <w:r w:rsidRPr="00447B2B">
        <w:t>s effectiveness. Please also include statistical data on the number of complaints of gender-based violence and investigations, prosecutions, convictions and sanctions resulting from those complaints during the period under review. With regard to the protection of victims of gender-based violence, please inform the Committee about the protection and support services available to victims of gender-based violence in the State party, including the number of shelters available, their occupancy rates and means of accessing them. Please similarly provide the Committee with information regarding the process of obtaining a “contact ban” under the Restraining Orders Act (1988:688), along with detailed and disaggregated data regarding the number of contact bans issued during the period under review, the procedure for their renewal and review, and their average duration. Taking into account the concerns raised and recommendations issued by the Committee on the Elimination of Discrimination against Women,</w:t>
      </w:r>
      <w:r w:rsidRPr="00447B2B">
        <w:rPr>
          <w:rStyle w:val="FootnoteReference"/>
        </w:rPr>
        <w:footnoteReference w:id="13"/>
      </w:r>
      <w:r w:rsidRPr="00447B2B">
        <w:t xml:space="preserve"> please provide information regarding the steps taken to improve the collection and analysis of data, disaggregated by the age, nationality, country of origin and disability of the </w:t>
      </w:r>
      <w:r w:rsidRPr="00447B2B">
        <w:lastRenderedPageBreak/>
        <w:t>victim and the relationship between the victim and the perpetrator, on gender-based violence against women and girls.</w:t>
      </w:r>
    </w:p>
    <w:p w14:paraId="29D97939" w14:textId="28CFBB7F" w:rsidR="004009A2" w:rsidRPr="00447B2B" w:rsidRDefault="004009A2" w:rsidP="004009A2">
      <w:pPr>
        <w:pStyle w:val="SingleTxtG"/>
      </w:pPr>
      <w:r w:rsidRPr="00447B2B">
        <w:t>6.</w:t>
      </w:r>
      <w:r w:rsidRPr="00447B2B">
        <w:tab/>
        <w:t>With regard to the Committee</w:t>
      </w:r>
      <w:r w:rsidR="00BD7E40">
        <w:t>’</w:t>
      </w:r>
      <w:r w:rsidRPr="00447B2B">
        <w:t>s previous concluding observations,</w:t>
      </w:r>
      <w:r w:rsidRPr="00447B2B">
        <w:rPr>
          <w:rStyle w:val="FootnoteReference"/>
        </w:rPr>
        <w:footnoteReference w:id="14"/>
      </w:r>
      <w:r w:rsidRPr="00447B2B">
        <w:t xml:space="preserve"> please provide updated information, disaggregated by the age, gender and ethnicity or nationality of the alleged victims, on the number of complaints, investigations, prosecutions, convictions and sentences in cases of trafficking in persons since the consideration of the State party</w:t>
      </w:r>
      <w:r w:rsidR="00BD7E40">
        <w:t>’</w:t>
      </w:r>
      <w:r w:rsidRPr="00447B2B">
        <w:t>s previous periodic report. Please provide updated information on any judicial decisions pertaining to cases of trafficking or related offences. Please also provide information on:</w:t>
      </w:r>
    </w:p>
    <w:p w14:paraId="170C477E" w14:textId="77777777" w:rsidR="004009A2" w:rsidRPr="00447B2B" w:rsidRDefault="004009A2" w:rsidP="004009A2">
      <w:pPr>
        <w:pStyle w:val="SingleTxtG"/>
      </w:pPr>
      <w:r w:rsidRPr="00447B2B">
        <w:tab/>
        <w:t>(a)</w:t>
      </w:r>
      <w:r w:rsidRPr="00447B2B">
        <w:tab/>
        <w:t>Any new legislation or measures that have been adopted to prevent, combat or criminalize trafficking in persons;</w:t>
      </w:r>
    </w:p>
    <w:p w14:paraId="4D1F60B3" w14:textId="77777777" w:rsidR="004009A2" w:rsidRPr="00447B2B" w:rsidRDefault="004009A2" w:rsidP="004009A2">
      <w:pPr>
        <w:pStyle w:val="SingleTxtG"/>
      </w:pPr>
      <w:r w:rsidRPr="00447B2B">
        <w:tab/>
        <w:t>(b)</w:t>
      </w:r>
      <w:r w:rsidRPr="00447B2B">
        <w:tab/>
        <w:t>The outcomes, to date, of the national action plan to combat prostitution and trafficking in persons, adopted in 2018, along with information on strategies to monitor the effectiveness of the action plan;</w:t>
      </w:r>
    </w:p>
    <w:p w14:paraId="47CD8825" w14:textId="77777777" w:rsidR="004009A2" w:rsidRPr="00447B2B" w:rsidRDefault="004009A2" w:rsidP="004009A2">
      <w:pPr>
        <w:pStyle w:val="SingleTxtG"/>
      </w:pPr>
      <w:r w:rsidRPr="00447B2B">
        <w:tab/>
        <w:t>(c)</w:t>
      </w:r>
      <w:r w:rsidRPr="00447B2B">
        <w:tab/>
        <w:t>Efforts made to ensure that free legal assistance by lawyers specialized in cases of trafficking in persons is provided as soon as there are reasonable grounds to believe that a person is a victim of trafficking in persons;</w:t>
      </w:r>
    </w:p>
    <w:p w14:paraId="32ECDA78" w14:textId="77777777" w:rsidR="004009A2" w:rsidRPr="00447B2B" w:rsidRDefault="004009A2" w:rsidP="004009A2">
      <w:pPr>
        <w:pStyle w:val="SingleTxtG"/>
      </w:pPr>
      <w:r w:rsidRPr="00447B2B">
        <w:tab/>
        <w:t>(d)</w:t>
      </w:r>
      <w:r w:rsidRPr="00447B2B">
        <w:tab/>
        <w:t>Measures adopted to ensure that victims of trafficking in persons have access to effective remedies and reparation, including through the effective implementation of compensation awards;</w:t>
      </w:r>
    </w:p>
    <w:p w14:paraId="4385FE11" w14:textId="1AE37733" w:rsidR="004009A2" w:rsidRPr="00447B2B" w:rsidRDefault="004009A2" w:rsidP="004009A2">
      <w:pPr>
        <w:pStyle w:val="SingleTxtG"/>
      </w:pPr>
      <w:r w:rsidRPr="00447B2B">
        <w:tab/>
        <w:t>(e)</w:t>
      </w:r>
      <w:r w:rsidRPr="00447B2B">
        <w:tab/>
        <w:t>Steps taken towards the establishment in law of an explicit non-punishment provision for all offences that victims of trafficking are compelled to commit, along with information on the training of law enforcement officials, prosecutors and judges on the identification and protection of victims of trafficking in persons, and on the Prosecutor General</w:t>
      </w:r>
      <w:r w:rsidR="00BD7E40">
        <w:t>’</w:t>
      </w:r>
      <w:r w:rsidRPr="00447B2B">
        <w:t>s guidelines on the non-punishment of victims of trafficking, issued in 2021;</w:t>
      </w:r>
    </w:p>
    <w:p w14:paraId="0670AF2A" w14:textId="77777777" w:rsidR="004009A2" w:rsidRPr="00447B2B" w:rsidRDefault="004009A2" w:rsidP="004009A2">
      <w:pPr>
        <w:pStyle w:val="SingleTxtG"/>
      </w:pPr>
      <w:r w:rsidRPr="00447B2B">
        <w:tab/>
        <w:t>(f)</w:t>
      </w:r>
      <w:r w:rsidRPr="00447B2B">
        <w:tab/>
        <w:t>Access to residence permits for victims of trafficking in persons and steps taken to ensure that trafficked persons are not returned to their countries of origin where there are substantial grounds for believing that they would be in danger of torture or ill-treatment.</w:t>
      </w:r>
    </w:p>
    <w:p w14:paraId="2BFCA1B2" w14:textId="77777777" w:rsidR="004009A2" w:rsidRPr="00447B2B" w:rsidRDefault="004009A2" w:rsidP="00447B2B">
      <w:pPr>
        <w:pStyle w:val="H23G"/>
      </w:pPr>
      <w:r w:rsidRPr="00447B2B">
        <w:tab/>
      </w:r>
      <w:r w:rsidRPr="00447B2B">
        <w:tab/>
        <w:t>Article 3</w:t>
      </w:r>
    </w:p>
    <w:p w14:paraId="15D3EF6D" w14:textId="77777777" w:rsidR="004009A2" w:rsidRPr="00447B2B" w:rsidRDefault="004009A2" w:rsidP="004009A2">
      <w:pPr>
        <w:pStyle w:val="SingleTxtG"/>
      </w:pPr>
      <w:r w:rsidRPr="00447B2B">
        <w:t>7.</w:t>
      </w:r>
      <w:r w:rsidRPr="00447B2B">
        <w:tab/>
        <w:t>Please describe the measures taken during the period under review to ensure that no person is returned to a country where he or she would be in danger of torture. Please provide data, disaggregated by gender, age and country of origin, on the number of persons who have been returned, extradited or expelled during the period under review. Please provide details of the grounds on which they were sent back and the list of countries to which they were returned. Please provide updated information on the types of appeal mechanisms that may exist, any appeals that have been made and the outcome of those appeals. In the light of the information provided by the State party in its follow-up report,</w:t>
      </w:r>
      <w:r w:rsidRPr="00447B2B">
        <w:rPr>
          <w:rStyle w:val="FootnoteReference"/>
        </w:rPr>
        <w:footnoteReference w:id="15"/>
      </w:r>
      <w:r w:rsidRPr="00447B2B">
        <w:t xml:space="preserve"> along with the information provided by the State party in its letter of 11 September 2023</w:t>
      </w:r>
      <w:r w:rsidRPr="00447B2B">
        <w:rPr>
          <w:rStyle w:val="FootnoteReference"/>
        </w:rPr>
        <w:footnoteReference w:id="16"/>
      </w:r>
      <w:r w:rsidRPr="00447B2B">
        <w:t xml:space="preserve"> in response to the request of certain special procedure mandate holders for additional information,</w:t>
      </w:r>
      <w:r w:rsidRPr="00447B2B">
        <w:rPr>
          <w:rStyle w:val="FootnoteReference"/>
        </w:rPr>
        <w:footnoteReference w:id="17"/>
      </w:r>
      <w:r w:rsidRPr="00447B2B">
        <w:t xml:space="preserve"> please provide information regarding the circumstances under which appeals against negative decisions of the Migration Agency to a migration court and, thereafter, to the Migration Court of Appeal, do not have a suspensive effect. Please provide information on steps taken by the State party to ensure the application of an approach during the refugee status determination procedure that allows for the identification of victims of torture among asylum-seekers, and provide updated statistical data, disaggregated by the gender, country of origin and age group of persons seeking asylum, on: (a) the number of asylum applications registered; and (b) the number of successful applications for asylum or other forms of humanitarian protection, specifying, where appropriate, the number of persons whose applications were accepted because they had been tortured or might be tortured if returned to their country of origin.</w:t>
      </w:r>
    </w:p>
    <w:p w14:paraId="7E94E031" w14:textId="34E17034" w:rsidR="004009A2" w:rsidRPr="00447B2B" w:rsidRDefault="004009A2" w:rsidP="004009A2">
      <w:pPr>
        <w:pStyle w:val="SingleTxtG"/>
      </w:pPr>
      <w:r w:rsidRPr="00447B2B">
        <w:lastRenderedPageBreak/>
        <w:t>8.</w:t>
      </w:r>
      <w:r w:rsidRPr="00447B2B">
        <w:tab/>
        <w:t>Please inform the Committee whether the State party has accepted diplomatic assurances from other States parties regarding safe return during the reporting period. If so, please indicate the number of refoulements, extraditions and expulsions carried out by the State party during the reporting period on the basis of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have been taken in such cases with regard to subsequent monitoring?</w:t>
      </w:r>
    </w:p>
    <w:p w14:paraId="3069AF76" w14:textId="479A4F1C" w:rsidR="004009A2" w:rsidRPr="00447B2B" w:rsidRDefault="004009A2" w:rsidP="00447B2B">
      <w:pPr>
        <w:pStyle w:val="H23G"/>
      </w:pPr>
      <w:r w:rsidRPr="00447B2B">
        <w:tab/>
      </w:r>
      <w:r w:rsidRPr="00447B2B">
        <w:tab/>
        <w:t>Articles 5–9</w:t>
      </w:r>
    </w:p>
    <w:p w14:paraId="617D1EDA" w14:textId="77777777" w:rsidR="004009A2" w:rsidRPr="00447B2B" w:rsidRDefault="004009A2" w:rsidP="004009A2">
      <w:pPr>
        <w:pStyle w:val="SingleTxtG"/>
      </w:pPr>
      <w:r w:rsidRPr="00447B2B">
        <w:t>9.</w:t>
      </w:r>
      <w:r w:rsidRPr="00447B2B">
        <w:tab/>
        <w:t>The Committee welcomes the information provided by the State party regarding the new legal amendment, which entered into force on 1 January 2022, stating that Swedish courts have full jurisdiction with respect to acts covered by the term “torture” under article 1 of the Convention, even if the crime has been committed outside Sweden.</w:t>
      </w:r>
      <w:r w:rsidRPr="00447B2B">
        <w:rPr>
          <w:rStyle w:val="FootnoteReference"/>
        </w:rPr>
        <w:footnoteReference w:id="18"/>
      </w:r>
      <w:r w:rsidRPr="00447B2B">
        <w:t xml:space="preserve"> In that connection, please provide </w:t>
      </w:r>
      <w:bookmarkStart w:id="0" w:name="_Hlk184138125"/>
      <w:r w:rsidRPr="00447B2B">
        <w:t>information</w:t>
      </w:r>
      <w:bookmarkEnd w:id="0"/>
      <w:r w:rsidRPr="00447B2B">
        <w:t xml:space="preserve">, including information relating to judicial decisions, on any cases in which the State party has taken the measures necessary to establish its jurisdiction over the offences referred to in article 4 of the Convention where the alleged offender is present in a territory under its jurisdiction and it has not taken steps to extradite him or her. </w:t>
      </w:r>
    </w:p>
    <w:p w14:paraId="18157AFF" w14:textId="77777777" w:rsidR="004009A2" w:rsidRPr="00447B2B" w:rsidRDefault="004009A2" w:rsidP="004009A2">
      <w:pPr>
        <w:pStyle w:val="SingleTxtG"/>
      </w:pPr>
      <w:r w:rsidRPr="00447B2B">
        <w:t>10.</w:t>
      </w:r>
      <w:r w:rsidRPr="00447B2B">
        <w:tab/>
        <w:t>Please provide updated information on any extradition treaties concluded with other States parties and indicate whether the offences referred to in article 4 of the Convention are included as extraditable offences in such treaties. Please clarify the mutual legal assistance treaties or agreements and other cooperative arrangements that the State party has entered into with other entities, such as States, international tribunals or international institutions, and whether such treaties or agreements have led in practice to the transfer of any evidence in connection with prosecutions concerning torture or ill-treatment. Please provide examples.</w:t>
      </w:r>
    </w:p>
    <w:p w14:paraId="0B1C4E66" w14:textId="7ACC87F0" w:rsidR="004009A2" w:rsidRPr="00447B2B" w:rsidRDefault="004009A2" w:rsidP="004009A2">
      <w:pPr>
        <w:pStyle w:val="SingleTxtG"/>
      </w:pPr>
      <w:r w:rsidRPr="00447B2B">
        <w:t>11.</w:t>
      </w:r>
      <w:r w:rsidRPr="00447B2B">
        <w:tab/>
        <w:t>Taking into account the letter from certain special procedure mandate holders sent on 1 February 2022,</w:t>
      </w:r>
      <w:r w:rsidRPr="00447B2B">
        <w:rPr>
          <w:rStyle w:val="FootnoteReference"/>
        </w:rPr>
        <w:footnoteReference w:id="19"/>
      </w:r>
      <w:r w:rsidRPr="00447B2B">
        <w:t xml:space="preserve"> and the State party</w:t>
      </w:r>
      <w:r w:rsidR="00BD7E40">
        <w:t>’</w:t>
      </w:r>
      <w:r w:rsidRPr="00447B2B">
        <w:t>s response dated 1 April 2022,</w:t>
      </w:r>
      <w:r w:rsidRPr="00447B2B">
        <w:rPr>
          <w:rStyle w:val="FootnoteReference"/>
        </w:rPr>
        <w:footnoteReference w:id="20"/>
      </w:r>
      <w:r w:rsidRPr="00447B2B">
        <w:t xml:space="preserve"> please indicate the measures taken to facilitate the repatriation of all nationals of the State party detained in camps in the north-east of the Syrian Arab Republic in inhuman and degrading conditions and without access to legal safeguards, an effective remedy or a fair trial, regardless of their age, gender or degree of alleged involvement in the armed conflict, along with steps taken to ensure that such victims receive the necessary assistance, rehabilitation and reintegration services, including psychosocial support and legal aid. Please comment on information before the Committee indicating that these detainees are guarded by the region</w:t>
      </w:r>
      <w:r w:rsidR="00BD7E40">
        <w:t>’</w:t>
      </w:r>
      <w:r w:rsidRPr="00447B2B">
        <w:t>s main militia, the Syrian Democratic Forces, which is backed by the international coalition to counter Da</w:t>
      </w:r>
      <w:r w:rsidR="00BD7E40">
        <w:t>’</w:t>
      </w:r>
      <w:r w:rsidRPr="00447B2B">
        <w:t>esh, led by the United States of America and of which Sweden is a member.</w:t>
      </w:r>
    </w:p>
    <w:p w14:paraId="57F856A6" w14:textId="77777777" w:rsidR="004009A2" w:rsidRPr="00447B2B" w:rsidRDefault="004009A2" w:rsidP="00447B2B">
      <w:pPr>
        <w:pStyle w:val="H23G"/>
      </w:pPr>
      <w:r w:rsidRPr="00447B2B">
        <w:tab/>
      </w:r>
      <w:r w:rsidRPr="00447B2B">
        <w:tab/>
        <w:t xml:space="preserve">Article 10 </w:t>
      </w:r>
    </w:p>
    <w:p w14:paraId="6D2115F6" w14:textId="77777777" w:rsidR="004009A2" w:rsidRPr="00447B2B" w:rsidRDefault="004009A2" w:rsidP="004009A2">
      <w:pPr>
        <w:pStyle w:val="SingleTxtG"/>
      </w:pPr>
      <w:r w:rsidRPr="00447B2B">
        <w:t>12.</w:t>
      </w:r>
      <w:r w:rsidRPr="00447B2B">
        <w:tab/>
        <w:t xml:space="preserve">Please provide up-to-date information on the training and educational programmes developed by the State party to ensure that all public officials involved in the custody, interrogation or treatment of persons deprived of their liberty, including law enforcement officials, prison staff, border guards and members of the military, are fully aware of the provisions of the Convention and know that breaches will not be tolerated and will be investigated and that any offenders will be prosecuted. Please indicate whether the State party has developed a methodology to assess the effectiveness and impact of training and educational programmes in reducing the number of cases of torture, ill-treatment and excessive use of force and, if so, please provide information on the methodology. Please also provide detailed information on the existence of any training programmes for judges, prosecutors, forensic doctors and medical personnel dealing with detained persons on detecting and documenting the physical and psychological sequelae of torture. Do these programmes include specific training on the Manual on the Effective Investigation and </w:t>
      </w:r>
      <w:r w:rsidRPr="00447B2B">
        <w:lastRenderedPageBreak/>
        <w:t>Documentation of Torture and Other Cruel, Inhuman or Degrading Treatment or Punishment (Istanbul Protocol), as revised?</w:t>
      </w:r>
    </w:p>
    <w:p w14:paraId="295481A5" w14:textId="62593AFB" w:rsidR="004009A2" w:rsidRPr="00447B2B" w:rsidRDefault="004009A2" w:rsidP="004009A2">
      <w:pPr>
        <w:pStyle w:val="SingleTxtG"/>
      </w:pPr>
      <w:r w:rsidRPr="00447B2B">
        <w:t>13.</w:t>
      </w:r>
      <w:r w:rsidRPr="00447B2B">
        <w:tab/>
        <w:t>Please indicate the measures taken to give effect to the provisions of article 10 (2) of the Convention. Please explain whether clear instructions concerning the prohibition of torture and ill-treatment are included in the relevant regulations, in particular those intended for officials in contact with persons deprived of their liberty. Following the State party</w:t>
      </w:r>
      <w:r w:rsidR="00BD7E40">
        <w:t>’</w:t>
      </w:r>
      <w:r w:rsidRPr="00447B2B">
        <w:t>s efforts to implement the Principles on Effective Interviewing for Investigations and Information-Gathering (the Méndez Principles), please indicate whether the Méndez Principles form part of the training of public officials involved in the custody, interrogation or treatment of persons deprived of their liberty.</w:t>
      </w:r>
    </w:p>
    <w:p w14:paraId="29FE5369" w14:textId="77777777" w:rsidR="004009A2" w:rsidRPr="00447B2B" w:rsidRDefault="004009A2" w:rsidP="00447B2B">
      <w:pPr>
        <w:pStyle w:val="H23G"/>
      </w:pPr>
      <w:r w:rsidRPr="00447B2B">
        <w:tab/>
      </w:r>
      <w:r w:rsidRPr="00447B2B">
        <w:tab/>
        <w:t xml:space="preserve">Article 11 </w:t>
      </w:r>
    </w:p>
    <w:p w14:paraId="1CD2AD07" w14:textId="5C402B0F" w:rsidR="004009A2" w:rsidRPr="00447B2B" w:rsidRDefault="004009A2" w:rsidP="004009A2">
      <w:pPr>
        <w:pStyle w:val="SingleTxtG"/>
      </w:pPr>
      <w:r w:rsidRPr="00447B2B">
        <w:t>14.</w:t>
      </w:r>
      <w:r w:rsidRPr="00447B2B">
        <w:tab/>
        <w:t>Please describe the procedures in place for ensuring compliance with article 11 of the Convention. Please provide information on any interrogation rules, instructions, methods and practices, and arrangements for custody, and indicate the frequency with which they are reviewed. Please provide updated information on the outcomes, to date, of efforts to integrate, as governing principles, the Méndez Principles into interrogation rules, instructions, methods and practices, as well as arrangements for the custody and treatment of persons subjected to any form of arrest, detention or imprisonment, with a view to preventing any cases of torture, as mentioned by the Committee in its previous concluding observations.</w:t>
      </w:r>
      <w:r w:rsidRPr="00447B2B">
        <w:rPr>
          <w:rStyle w:val="FootnoteReference"/>
        </w:rPr>
        <w:footnoteReference w:id="21"/>
      </w:r>
      <w:r w:rsidRPr="00447B2B">
        <w:t xml:space="preserve"> The Committee also notes information brought to its attention regarding the State party</w:t>
      </w:r>
      <w:r w:rsidR="00BD7E40">
        <w:t>’</w:t>
      </w:r>
      <w:r w:rsidRPr="00447B2B">
        <w:t>s consideration of initiatives to combat overcrowding in places of deprivation of liberty through the use of extraterritorial detention. In this regard, please provide the Committee with information on any plans or discussions in the State party to this effect. If such initiatives are under consideration, please inform the Committee of any measures that are in place, or will be put in place, to ensure that transferred detainees are treated in accordance with the Convention, including measures regarding access to fundamental legal safeguards, both in law and in practice, such as the right to unhindered contact with a lawyer and, if necessary, legal aid, the right to medical care and the right to family life, especially for those with young children. Please also provide information regarding the types of detainees that may be transferred under such plans, including elements that may be taken into consideration in their selection, along with information regarding their right to return to the State party upon their release.</w:t>
      </w:r>
    </w:p>
    <w:p w14:paraId="59449CC4" w14:textId="140B36C9" w:rsidR="004009A2" w:rsidRPr="00447B2B" w:rsidRDefault="004009A2" w:rsidP="004009A2">
      <w:pPr>
        <w:pStyle w:val="SingleTxtG"/>
      </w:pPr>
      <w:r w:rsidRPr="00447B2B">
        <w:t>15.</w:t>
      </w:r>
      <w:r w:rsidRPr="00447B2B">
        <w:tab/>
        <w:t>Please provide updated statistical data, disaggregated by the place of detention, gender, age group (minor/adult) and ethnicity or nationality of detainees, on the capacity and occupancy rate of all places of detention, the number of pretrial detainees and the number of convicted prisoners. In this regard, please provide updated data on the number of individuals in pretrial detention, along with information on the average length of pretrial detention and the existence and prevalence of alternative, non-custodial measures in the State party. Please provide updated information on the measures taken to ensure that men are separated from women, pretrial detainees from convicted prisoners, and adults from minors in all places of detention. Please also provide information regarding steps taken to ensure that limits on the contact of pretrial detainees with the outside world are subject to the principles of legality, necessity and proportionality, entail an individualized determination of the risk posed in each individual case, and are used only for the shortest duration necessary to accomplish the objective pursued. In this regard, please inform the Committee of any reduction in the use of restrictions on contact that has resulted from the legislative amendments of 1 July 2021 and 1 January 2022, as mentioned in the State party</w:t>
      </w:r>
      <w:r w:rsidR="00BD7E40">
        <w:t>’</w:t>
      </w:r>
      <w:r w:rsidRPr="00447B2B">
        <w:t>s follow-up report.</w:t>
      </w:r>
      <w:r w:rsidRPr="00447B2B">
        <w:rPr>
          <w:rStyle w:val="FootnoteReference"/>
        </w:rPr>
        <w:footnoteReference w:id="22"/>
      </w:r>
    </w:p>
    <w:p w14:paraId="383EE006" w14:textId="2431D68B" w:rsidR="004009A2" w:rsidRPr="00447B2B" w:rsidRDefault="004009A2" w:rsidP="004009A2">
      <w:pPr>
        <w:pStyle w:val="SingleTxtG"/>
      </w:pPr>
      <w:r w:rsidRPr="00447B2B">
        <w:t>16.</w:t>
      </w:r>
      <w:r w:rsidRPr="00447B2B">
        <w:tab/>
        <w:t>Please provide information on efforts taken to ensure that children are detained only as a last resort, when determined to be strictly necessary and proportionate in the light of the child</w:t>
      </w:r>
      <w:r w:rsidR="00BD7E40">
        <w:t>’</w:t>
      </w:r>
      <w:r w:rsidRPr="00447B2B">
        <w:t xml:space="preserve">s circumstances, and for the shortest duration possible. In this regard, please provide updated information regarding the number of detention facilities for children in conflict with the law, the number of places available in such facilities, and their current occupancy rates, along with data disaggregated by, inter alia, age, gender and grounds for detention, on all children in conflict with the law currently deprived of their liberty. Please provide </w:t>
      </w:r>
      <w:r w:rsidRPr="00447B2B">
        <w:lastRenderedPageBreak/>
        <w:t xml:space="preserve">information regarding the recreational, educational and vocational activities available to children in detention, along with information on other measures that take into account the specific needs of children and the principle of the best interests of the child, including, for example, access to healthcare, reintegration and family contact. More broadly, please provide information regarding steps taken to ensure that places of deprivation of liberty, including applicable detention regimes, are adapted to respond to the specific needs of other groups, such as women, including pregnant women and women with young children, persons with disabilities and persons with chronic health conditions, including individuals with mental health conditions. </w:t>
      </w:r>
    </w:p>
    <w:p w14:paraId="5F251155" w14:textId="506F544B" w:rsidR="004009A2" w:rsidRPr="00447B2B" w:rsidRDefault="004009A2" w:rsidP="004009A2">
      <w:pPr>
        <w:pStyle w:val="SingleTxtG"/>
      </w:pPr>
      <w:r w:rsidRPr="00447B2B">
        <w:t>17.</w:t>
      </w:r>
      <w:r w:rsidRPr="00447B2B">
        <w:tab/>
        <w:t>Please provide updated information regarding access to healthcare in detention, including the number of medical staff and their training. Please also provide information regarding deaths in custody, including data disaggregated by age, gender and cause of death. Please provide information on the manner in which those deaths were investigated, the results of those investigations and the measures taken to prevent similar cases from occurring in the future. Please indicate whether relatives of the deceased received compensation in any of the cases. If no deaths in custody have occurred during the reporting period, please describe the procedures in place should such deaths occur. In view of the information provided by the State party in its follow-up report,</w:t>
      </w:r>
      <w:r w:rsidRPr="00447B2B">
        <w:rPr>
          <w:rStyle w:val="FootnoteReference"/>
        </w:rPr>
        <w:footnoteReference w:id="23"/>
      </w:r>
      <w:r w:rsidRPr="00447B2B">
        <w:t xml:space="preserve"> please inform the Committee whether forensic examinations in cases of deaths in custody are carried out by an independent body, and please provide information regarding any steps taken to incorporate the Minnesota Protocol on the Investigation of Potentially Unlawful Death into the State party</w:t>
      </w:r>
      <w:r w:rsidR="00BD7E40">
        <w:t>’</w:t>
      </w:r>
      <w:r w:rsidRPr="00447B2B">
        <w:t>s investigatory procedures. Please also inform the Committee whether, in cases of suicide, or attempted suicide, independent investigations into the causes are carried out that examine, inter alia, the causal links that may exist between the application of restraints and/or solitary confinement and the suicide or attempted suicide</w:t>
      </w:r>
      <w:r w:rsidRPr="00447B2B" w:rsidDel="00B8426E">
        <w:t xml:space="preserve"> </w:t>
      </w:r>
      <w:r w:rsidRPr="00447B2B">
        <w:t xml:space="preserve">under investigation. </w:t>
      </w:r>
    </w:p>
    <w:p w14:paraId="2C16CAD6" w14:textId="0A654FA4" w:rsidR="004009A2" w:rsidRPr="00447B2B" w:rsidRDefault="004009A2" w:rsidP="004009A2">
      <w:pPr>
        <w:pStyle w:val="SingleTxtG"/>
      </w:pPr>
      <w:r w:rsidRPr="00447B2B">
        <w:t>18.</w:t>
      </w:r>
      <w:r w:rsidRPr="00447B2B">
        <w:tab/>
        <w:t>Please provide updated information on the disciplinary system in places of detention, including migration detention, and indicate whether there is a procedure that guarantees due process and an independent body that reviews the disciplinary measures taken. In view of the fact that the State party does not include solitary confinement among its disciplinary measures, and of the information provided in the State party</w:t>
      </w:r>
      <w:r w:rsidR="00BD7E40">
        <w:t>’</w:t>
      </w:r>
      <w:r w:rsidRPr="00447B2B">
        <w:t>s follow-up report,</w:t>
      </w:r>
      <w:r w:rsidRPr="00447B2B">
        <w:rPr>
          <w:rStyle w:val="FootnoteReference"/>
        </w:rPr>
        <w:footnoteReference w:id="24"/>
      </w:r>
      <w:r w:rsidRPr="00447B2B">
        <w:t xml:space="preserve"> please provide updated information on the specific steps taken to limit de facto solitary confinement measures in pretrial detention, to abolish the use of de facto solitary confinement for minors and to adopt legislation to guarantee the right of adult detainees to associate with others, in alignment with the legislation recently adopted benefiting minors. With regard to the use of force against persons deprived of their liberty, please provide information on the applicable legislation and regulations governing such uses of force, including the legislation and regulations governing the use of physical and chemical restraints in detention settings, and methods of documentation. </w:t>
      </w:r>
    </w:p>
    <w:p w14:paraId="01704F3C" w14:textId="68A53E5D" w:rsidR="004009A2" w:rsidRPr="00447B2B" w:rsidRDefault="004009A2" w:rsidP="004009A2">
      <w:pPr>
        <w:pStyle w:val="SingleTxtG"/>
      </w:pPr>
      <w:r w:rsidRPr="00447B2B">
        <w:t>19.</w:t>
      </w:r>
      <w:r w:rsidRPr="00447B2B">
        <w:tab/>
        <w:t>In view of the recommendations formulated by the International Independent Expert Mechanism to Advance Racial Justice and Equality in Law Enforcement following its visit to the State party from 31 October to 4 November 2022,</w:t>
      </w:r>
      <w:r w:rsidRPr="00447B2B">
        <w:rPr>
          <w:rStyle w:val="FootnoteReference"/>
        </w:rPr>
        <w:footnoteReference w:id="25"/>
      </w:r>
      <w:r w:rsidRPr="00447B2B">
        <w:t xml:space="preserve"> along with the concerns and recommendations of the Committee on the Rights of Persons with Disabilities,</w:t>
      </w:r>
      <w:r w:rsidRPr="00447B2B">
        <w:rPr>
          <w:rStyle w:val="FootnoteReference"/>
        </w:rPr>
        <w:footnoteReference w:id="26"/>
      </w:r>
      <w:r w:rsidRPr="00447B2B">
        <w:t xml:space="preserve"> please provide information regarding the steps taken to amend the Police Act (1984:387), as well as the Government</w:t>
      </w:r>
      <w:r w:rsidR="00BD7E40">
        <w:t>’</w:t>
      </w:r>
      <w:r w:rsidRPr="00447B2B">
        <w:t xml:space="preserve">s 1969 decree on the use of firearms in the police service, to align them with international standards governing the use of force by, inter alia, incorporating the principles of precaution and proportionality. More broadly, please provide information on any legislative, judicial or administrative efforts aimed at reducing recourse to the use of force by law enforcement officials, along with information regarding any training programmes that have taken place in this regard. </w:t>
      </w:r>
    </w:p>
    <w:p w14:paraId="4C9C5BF5" w14:textId="77777777" w:rsidR="004009A2" w:rsidRPr="00447B2B" w:rsidRDefault="004009A2" w:rsidP="004009A2">
      <w:pPr>
        <w:pStyle w:val="SingleTxtG"/>
      </w:pPr>
      <w:r w:rsidRPr="00447B2B">
        <w:lastRenderedPageBreak/>
        <w:t>20.</w:t>
      </w:r>
      <w:r w:rsidRPr="00447B2B">
        <w:tab/>
        <w:t>Please provide updated information regarding procedures relating to involuntary hospitalization in the State party, along with procedures for the review and appeal of decisions in this regard. Taking into account the recommendations of the Committee on the Rights of Persons with Disabilities,</w:t>
      </w:r>
      <w:r w:rsidRPr="00447B2B">
        <w:rPr>
          <w:rStyle w:val="FootnoteReference"/>
        </w:rPr>
        <w:footnoteReference w:id="27"/>
      </w:r>
      <w:r w:rsidRPr="00447B2B">
        <w:t xml:space="preserve"> please provide information regarding the steps taken to improve access to community housing and support and to use such services in lieu of involuntary hospitalization or other forms of institutionalization, such as mandatory placement in social care homes, and to amend and/or repeal legislation that restricts the legal capacity of persons with disabilities and provides for harsher measures against persons with disabilities found to have perpetrated criminal acts than for others convicted of the same crimes, such as indeterminate detention. Please provide updated information on any legislation relating to the use of physical and chemical restraints in institutional settings, along with information on steps taken to prohibit the use of coercion and restrictive practices and the application of electroconvulsive therapy and medical treatments without consent for children and adults with disabilities and in psychiatric settings. With regard to children in social care homes, please provide information regarding efforts to ensure that staff are adequately trained in methods of non-violent and non-coercive care, along with data regarding complaints, investigations and prosecutions where staff are alleged to have committed physical, sexual or psychological abuse.</w:t>
      </w:r>
    </w:p>
    <w:p w14:paraId="25809176" w14:textId="7426D73F" w:rsidR="004009A2" w:rsidRPr="00447B2B" w:rsidRDefault="004009A2" w:rsidP="004009A2">
      <w:pPr>
        <w:pStyle w:val="SingleTxtG"/>
      </w:pPr>
      <w:r w:rsidRPr="00447B2B">
        <w:t>21.</w:t>
      </w:r>
      <w:r w:rsidRPr="00447B2B">
        <w:tab/>
        <w:t xml:space="preserve">Please indicate the measures taken by the State party during the reporting period to ensure that the detention of asylum-seekers and undocumented migrants is used only as a last resort, where necessary and for as short a period as possible, and to further implement alternatives to detention in practice. Please provide up-to-date information on the number of asylum-seekers and undocumented migrants apprehended and detained during the reporting period, along with information on the average period of detention, the reasons for their apprehension, and the outcomes of their cases. Please provide information on steps taken to ensure that asylum-seekers and undocumented migrants detained because of their immigration status have access to an independent and effective mechanism for addressing complaints. </w:t>
      </w:r>
    </w:p>
    <w:p w14:paraId="5059176F" w14:textId="77777777" w:rsidR="004009A2" w:rsidRPr="00447B2B" w:rsidRDefault="004009A2" w:rsidP="004009A2">
      <w:pPr>
        <w:pStyle w:val="SingleTxtG"/>
      </w:pPr>
      <w:r w:rsidRPr="00447B2B">
        <w:t>22.</w:t>
      </w:r>
      <w:r w:rsidRPr="00447B2B">
        <w:tab/>
        <w:t>Please provide updated information regarding the existence of detention monitoring mechanisms in the State party, along with specific information regarding their independence, the frequency and methodology of their visits, and their mandate, including with regard to their powers to make recommendations, public reporting, and access to places of deprivation of liberty.</w:t>
      </w:r>
    </w:p>
    <w:p w14:paraId="04E4E6AD" w14:textId="77777777" w:rsidR="004009A2" w:rsidRPr="00447B2B" w:rsidRDefault="004009A2" w:rsidP="00447B2B">
      <w:pPr>
        <w:pStyle w:val="H23G"/>
      </w:pPr>
      <w:r w:rsidRPr="00447B2B">
        <w:tab/>
      </w:r>
      <w:r w:rsidRPr="00447B2B">
        <w:tab/>
        <w:t>Articles 12 and 13</w:t>
      </w:r>
    </w:p>
    <w:p w14:paraId="5C723D28" w14:textId="77777777" w:rsidR="004009A2" w:rsidRPr="00447B2B" w:rsidRDefault="004009A2" w:rsidP="004009A2">
      <w:pPr>
        <w:pStyle w:val="SingleTxtG"/>
      </w:pPr>
      <w:r w:rsidRPr="00447B2B">
        <w:t>23.</w:t>
      </w:r>
      <w:r w:rsidRPr="00447B2B">
        <w:tab/>
        <w:t>Please provide updated, disaggregated information on the number of complaints, investigations, prosecutions and convictions relating to acts of torture or ill-treatment in the period under review, along with information on the sentences handed down in cases where alleged perpetrators were found guilty. Please also provide information regarding the measures taken to ensure that any individuals who allege that they have been subjected to torture or cruel, inhuman or degrading treatment or punishment have the right to complain and to have their case promptly and impartially investigated. In this regard, and in the light of the information provided by the State party in its follow-up report,</w:t>
      </w:r>
      <w:r w:rsidRPr="00447B2B">
        <w:rPr>
          <w:rStyle w:val="FootnoteReference"/>
        </w:rPr>
        <w:footnoteReference w:id="28"/>
      </w:r>
      <w:r w:rsidRPr="00447B2B">
        <w:t xml:space="preserve"> please provide information on any plans to fully separate the Department of Special Investigations from the police authority in order to strengthen its independence, including in the perception of the general public.</w:t>
      </w:r>
    </w:p>
    <w:p w14:paraId="25A11E38" w14:textId="77777777" w:rsidR="004009A2" w:rsidRPr="00447B2B" w:rsidRDefault="004009A2" w:rsidP="00447B2B">
      <w:pPr>
        <w:pStyle w:val="H23G"/>
      </w:pPr>
      <w:r w:rsidRPr="00447B2B">
        <w:tab/>
      </w:r>
      <w:r w:rsidRPr="00447B2B">
        <w:tab/>
        <w:t xml:space="preserve">Article 14 </w:t>
      </w:r>
    </w:p>
    <w:p w14:paraId="31111965" w14:textId="77777777" w:rsidR="004009A2" w:rsidRPr="00447B2B" w:rsidRDefault="004009A2" w:rsidP="004009A2">
      <w:pPr>
        <w:pStyle w:val="SingleTxtG"/>
      </w:pPr>
      <w:r w:rsidRPr="00447B2B">
        <w:t>24.</w:t>
      </w:r>
      <w:r w:rsidRPr="00447B2B">
        <w:tab/>
        <w:t xml:space="preserve">Please provide information on redress and compensation measures, including means of rehabilitation, ordered by the courts or other State bodies and actually provided to victims of torture or their families during the period under review. Please include the number of requests for compensation that have been made, the number granted and the amounts ordered and actually provided in each case. Please also provide updated information on any ongoing reparation programmes, including the treatment of trauma and other forms of rehabilitation, </w:t>
      </w:r>
      <w:r w:rsidRPr="00447B2B">
        <w:lastRenderedPageBreak/>
        <w:t xml:space="preserve">provided to victims of torture and ill-treatment, and on the material, human and budgetary resources allocated for their effective functioning. </w:t>
      </w:r>
    </w:p>
    <w:p w14:paraId="7808035E" w14:textId="77777777" w:rsidR="004009A2" w:rsidRPr="00447B2B" w:rsidRDefault="004009A2" w:rsidP="00447B2B">
      <w:pPr>
        <w:pStyle w:val="H23G"/>
      </w:pPr>
      <w:r w:rsidRPr="00447B2B">
        <w:tab/>
      </w:r>
      <w:r w:rsidRPr="00447B2B">
        <w:tab/>
        <w:t>Article 15</w:t>
      </w:r>
    </w:p>
    <w:p w14:paraId="66761885" w14:textId="5200E0FA" w:rsidR="004009A2" w:rsidRPr="00447B2B" w:rsidRDefault="004009A2" w:rsidP="004009A2">
      <w:pPr>
        <w:pStyle w:val="SingleTxtG"/>
      </w:pPr>
      <w:r w:rsidRPr="00447B2B">
        <w:t>25.</w:t>
      </w:r>
      <w:r w:rsidRPr="00447B2B">
        <w:tab/>
        <w:t>Please provide updated information on the specific measures that have been adopted to ensure that the principle of the inadmissibility of evidence obtained through torture or ill</w:t>
      </w:r>
      <w:r w:rsidR="00BD7E40">
        <w:noBreakHyphen/>
      </w:r>
      <w:r w:rsidRPr="00447B2B">
        <w:t xml:space="preserve">treatment is observed in law and in practice. Please provide examples of any recent cases that have been dismissed by the courts owing to the introduction of evidence or testimony obtained through torture or ill-treatment. </w:t>
      </w:r>
    </w:p>
    <w:p w14:paraId="5B978B65" w14:textId="77777777" w:rsidR="004009A2" w:rsidRPr="00447B2B" w:rsidRDefault="004009A2" w:rsidP="00447B2B">
      <w:pPr>
        <w:pStyle w:val="H23G"/>
      </w:pPr>
      <w:r w:rsidRPr="00447B2B">
        <w:tab/>
      </w:r>
      <w:r w:rsidRPr="00447B2B">
        <w:tab/>
        <w:t>Article 16</w:t>
      </w:r>
    </w:p>
    <w:p w14:paraId="5FCB7CCD" w14:textId="77777777" w:rsidR="004009A2" w:rsidRPr="00447B2B" w:rsidRDefault="004009A2" w:rsidP="004009A2">
      <w:pPr>
        <w:pStyle w:val="SingleTxtG"/>
      </w:pPr>
      <w:r w:rsidRPr="00447B2B">
        <w:t>26.</w:t>
      </w:r>
      <w:r w:rsidRPr="00447B2B">
        <w:tab/>
        <w:t>Taking into account the recommendations formulated by the Special Rapporteur on freedom of religion or belief following her visit to the State party from 11 to 20 October 2023,</w:t>
      </w:r>
      <w:r w:rsidRPr="00447B2B">
        <w:rPr>
          <w:rStyle w:val="FootnoteReference"/>
        </w:rPr>
        <w:footnoteReference w:id="29"/>
      </w:r>
      <w:r w:rsidRPr="00447B2B">
        <w:t xml:space="preserve"> along with the recommendations of the International Independent Expert Mechanism to Advance Racial Justice and Equality in Law Enforcement,</w:t>
      </w:r>
      <w:r w:rsidRPr="00447B2B">
        <w:rPr>
          <w:rStyle w:val="FootnoteReference"/>
        </w:rPr>
        <w:footnoteReference w:id="30"/>
      </w:r>
      <w:r w:rsidRPr="00447B2B">
        <w:t xml:space="preserve"> please provide information regarding the number of complaints, investigations, prosecutions and, in cases where the alleged perpetrator has been found guilty, the sentences handed down in relation to hate crimes in the State party, along with the administrative and judicial measures taken to investigate and prosecute such crimes. Please also provide updated information on:</w:t>
      </w:r>
    </w:p>
    <w:p w14:paraId="1C7FBFE2" w14:textId="77777777" w:rsidR="004009A2" w:rsidRPr="00447B2B" w:rsidRDefault="004009A2" w:rsidP="004009A2">
      <w:pPr>
        <w:pStyle w:val="SingleTxtG"/>
      </w:pPr>
      <w:r w:rsidRPr="00447B2B">
        <w:tab/>
        <w:t>(a)</w:t>
      </w:r>
      <w:r w:rsidRPr="00447B2B">
        <w:tab/>
        <w:t>Steps taken to amend the Discrimination Act (2008:567) so that it fully applies to the conduct of State agents, including law enforcement and other officials in the criminal justice system;</w:t>
      </w:r>
    </w:p>
    <w:p w14:paraId="6BF0FACB" w14:textId="77777777" w:rsidR="004009A2" w:rsidRPr="00447B2B" w:rsidRDefault="004009A2" w:rsidP="004009A2">
      <w:pPr>
        <w:pStyle w:val="SingleTxtG"/>
      </w:pPr>
      <w:r w:rsidRPr="00447B2B">
        <w:tab/>
        <w:t>(b)</w:t>
      </w:r>
      <w:r w:rsidRPr="00447B2B">
        <w:tab/>
        <w:t>Efforts made to enhance the collection of disaggregated data regarding hate crime allegations, including the results of investigations and prosecutions;</w:t>
      </w:r>
    </w:p>
    <w:p w14:paraId="16D238B5" w14:textId="77777777" w:rsidR="004009A2" w:rsidRPr="00447B2B" w:rsidRDefault="004009A2" w:rsidP="004009A2">
      <w:pPr>
        <w:pStyle w:val="SingleTxtG"/>
      </w:pPr>
      <w:r w:rsidRPr="00447B2B">
        <w:tab/>
        <w:t>(c)</w:t>
      </w:r>
      <w:r w:rsidRPr="00447B2B">
        <w:tab/>
        <w:t xml:space="preserve">Efforts made to counter harmful narratives affecting minority groups in the State party, including efforts made to combat Islamophobia, antisemitism, antigypsyism and hateful rhetoric directed towards migrant populations. </w:t>
      </w:r>
    </w:p>
    <w:p w14:paraId="19D62E14" w14:textId="77777777" w:rsidR="004009A2" w:rsidRPr="00447B2B" w:rsidRDefault="004009A2" w:rsidP="004009A2">
      <w:pPr>
        <w:pStyle w:val="SingleTxtG"/>
      </w:pPr>
      <w:r w:rsidRPr="00447B2B">
        <w:t>27.</w:t>
      </w:r>
      <w:r w:rsidRPr="00447B2B">
        <w:tab/>
      </w:r>
      <w:bookmarkStart w:id="1" w:name="_Hlk175588627"/>
      <w:r w:rsidRPr="00447B2B">
        <w:t>Please provide information on any steps taken to explicitly prohibit the performance of non-urgent and non-essential medical or surgical treatment on intersex children before they are of sufficient age or maturity to make their own decisions and provide their free, prior and informed consent. Please also inform the Committee of the existence of any independent oversight of decision-making to ensure that medical treatments for children with intersex traits who are unable to consent are necessary and urgent and are the least invasive option. Please further indicate whether victims of non-urgent and non-essential treatment have received redress, including appropriate compensation and rehabilitation, and provide the Committee with information on the number of cases in which redress has been provided, including the types of redress provided and amounts of compensation awarded, if any. Please provide information regarding the availability of professional counselling services and psychological and social support for intersex children and their families.</w:t>
      </w:r>
      <w:bookmarkEnd w:id="1"/>
    </w:p>
    <w:p w14:paraId="48B28331" w14:textId="77777777" w:rsidR="004009A2" w:rsidRPr="00447B2B" w:rsidRDefault="004009A2" w:rsidP="00447B2B">
      <w:pPr>
        <w:pStyle w:val="H1G"/>
      </w:pPr>
      <w:r w:rsidRPr="00447B2B">
        <w:tab/>
      </w:r>
      <w:r w:rsidRPr="00447B2B">
        <w:tab/>
        <w:t>Other issues</w:t>
      </w:r>
    </w:p>
    <w:p w14:paraId="035FC50C" w14:textId="3CC20CBF" w:rsidR="004009A2" w:rsidRPr="00447B2B" w:rsidRDefault="004009A2" w:rsidP="004009A2">
      <w:pPr>
        <w:pStyle w:val="SingleTxtG"/>
      </w:pPr>
      <w:r w:rsidRPr="00447B2B">
        <w:t>28.</w:t>
      </w:r>
      <w:r w:rsidRPr="00447B2B">
        <w:tab/>
        <w:t>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w:t>
      </w:r>
      <w:r w:rsidR="00BD7E40">
        <w:noBreakHyphen/>
      </w:r>
      <w:r w:rsidRPr="00447B2B">
        <w:t xml:space="preserve">terrorism measures; and whether there have been complaints of the non-observance </w:t>
      </w:r>
      <w:r w:rsidRPr="00447B2B">
        <w:lastRenderedPageBreak/>
        <w:t>of international standards in applying measures to combat terrorism and, if so, what the outcome was.</w:t>
      </w:r>
    </w:p>
    <w:p w14:paraId="0C171376" w14:textId="77777777" w:rsidR="004009A2" w:rsidRPr="00447B2B" w:rsidRDefault="004009A2" w:rsidP="004009A2">
      <w:pPr>
        <w:pStyle w:val="SingleTxtG"/>
      </w:pPr>
      <w:r w:rsidRPr="00447B2B">
        <w:t>29.</w:t>
      </w:r>
      <w:r w:rsidRPr="00447B2B">
        <w:tab/>
        <w:t>Please provide information regarding any considerations or discussions ongoing in the State party regarding the ratification of the International Convention for the Protection of All Persons from Enforced Disappearance, which was signed by the State party on 6 February 2007.</w:t>
      </w:r>
    </w:p>
    <w:p w14:paraId="6C524EE3" w14:textId="77777777" w:rsidR="004009A2" w:rsidRPr="00447B2B" w:rsidRDefault="004009A2" w:rsidP="00447B2B">
      <w:pPr>
        <w:pStyle w:val="H1G"/>
      </w:pPr>
      <w:r w:rsidRPr="00447B2B">
        <w:tab/>
      </w:r>
      <w:r w:rsidRPr="00447B2B">
        <w:tab/>
        <w:t>General information on other measures and developments relating to the implementation of the Convention in the State party</w:t>
      </w:r>
    </w:p>
    <w:p w14:paraId="0EEF4B75" w14:textId="5C838D65" w:rsidR="00E67FFB" w:rsidRPr="00447B2B" w:rsidRDefault="004009A2" w:rsidP="00447B2B">
      <w:pPr>
        <w:pStyle w:val="SingleTxtG"/>
      </w:pPr>
      <w:r w:rsidRPr="00447B2B">
        <w:t>30.</w:t>
      </w:r>
      <w:r w:rsidRPr="00447B2B">
        <w:tab/>
        <w:t>Please provide detailed information on any other relevant legislative, administrative, judicial or other measures taken to implement the provisions of the Convention or the Committee</w:t>
      </w:r>
      <w:r w:rsidR="00BD7E40">
        <w:t>’</w:t>
      </w:r>
      <w:r w:rsidRPr="00447B2B">
        <w:t>s recommendations. Such measures may include institutional developments, plans or programmes. Please indicate the resources allocated and provide statistical data. Please also provide any other information that the State party considers relevant.</w:t>
      </w:r>
    </w:p>
    <w:p w14:paraId="2B67571A" w14:textId="7D871BE4" w:rsidR="00447B2B" w:rsidRPr="00447B2B" w:rsidRDefault="00447B2B" w:rsidP="00447B2B">
      <w:pPr>
        <w:spacing w:before="240"/>
        <w:jc w:val="center"/>
        <w:rPr>
          <w:rFonts w:eastAsiaTheme="minorEastAsia"/>
        </w:rPr>
      </w:pPr>
      <w:r w:rsidRPr="00447B2B">
        <w:rPr>
          <w:u w:val="single"/>
        </w:rPr>
        <w:tab/>
      </w:r>
      <w:r w:rsidRPr="00447B2B">
        <w:rPr>
          <w:u w:val="single"/>
        </w:rPr>
        <w:tab/>
      </w:r>
      <w:r w:rsidRPr="00447B2B">
        <w:rPr>
          <w:u w:val="single"/>
        </w:rPr>
        <w:tab/>
      </w:r>
    </w:p>
    <w:sectPr w:rsidR="00447B2B" w:rsidRPr="00447B2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53FD6" w14:textId="77777777" w:rsidR="00195C40" w:rsidRPr="008779DC" w:rsidRDefault="00195C40" w:rsidP="008779DC">
      <w:pPr>
        <w:pStyle w:val="Footer"/>
      </w:pPr>
    </w:p>
  </w:endnote>
  <w:endnote w:type="continuationSeparator" w:id="0">
    <w:p w14:paraId="53B6D162" w14:textId="77777777" w:rsidR="00195C40" w:rsidRPr="008779DC" w:rsidRDefault="00195C4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CA967" w14:textId="77777777" w:rsidR="00636A1E" w:rsidRDefault="00636A1E" w:rsidP="00636A1E">
    <w:pPr>
      <w:pStyle w:val="Footer"/>
      <w:tabs>
        <w:tab w:val="right" w:pos="9638"/>
      </w:tabs>
    </w:pPr>
    <w:r w:rsidRPr="00636A1E">
      <w:rPr>
        <w:b/>
        <w:bCs/>
        <w:sz w:val="18"/>
      </w:rPr>
      <w:fldChar w:fldCharType="begin"/>
    </w:r>
    <w:r w:rsidRPr="00636A1E">
      <w:rPr>
        <w:b/>
        <w:bCs/>
        <w:sz w:val="18"/>
      </w:rPr>
      <w:instrText xml:space="preserve"> PAGE  \* MERGEFORMAT </w:instrText>
    </w:r>
    <w:r w:rsidRPr="00636A1E">
      <w:rPr>
        <w:b/>
        <w:bCs/>
        <w:sz w:val="18"/>
      </w:rPr>
      <w:fldChar w:fldCharType="separate"/>
    </w:r>
    <w:r w:rsidRPr="00636A1E">
      <w:rPr>
        <w:b/>
        <w:bCs/>
        <w:noProof/>
        <w:sz w:val="18"/>
      </w:rPr>
      <w:t>2</w:t>
    </w:r>
    <w:r w:rsidRPr="00636A1E">
      <w:rPr>
        <w:b/>
        <w:bCs/>
        <w:sz w:val="18"/>
      </w:rPr>
      <w:fldChar w:fldCharType="end"/>
    </w:r>
    <w:r>
      <w:tab/>
      <w:t>GE.24-22270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6A772" w14:textId="77777777" w:rsidR="00636A1E" w:rsidRDefault="00636A1E" w:rsidP="00636A1E">
    <w:pPr>
      <w:pStyle w:val="Footer"/>
      <w:tabs>
        <w:tab w:val="right" w:pos="9638"/>
      </w:tabs>
    </w:pPr>
    <w:r>
      <w:t>GE.24-22270</w:t>
    </w:r>
    <w:r>
      <w:tab/>
    </w:r>
    <w:r w:rsidRPr="00636A1E">
      <w:rPr>
        <w:b/>
        <w:bCs/>
        <w:sz w:val="18"/>
      </w:rPr>
      <w:fldChar w:fldCharType="begin"/>
    </w:r>
    <w:r w:rsidRPr="00636A1E">
      <w:rPr>
        <w:b/>
        <w:bCs/>
        <w:sz w:val="18"/>
      </w:rPr>
      <w:instrText xml:space="preserve"> PAGE  \* MERGEFORMAT </w:instrText>
    </w:r>
    <w:r w:rsidRPr="00636A1E">
      <w:rPr>
        <w:b/>
        <w:bCs/>
        <w:sz w:val="18"/>
      </w:rPr>
      <w:fldChar w:fldCharType="separate"/>
    </w:r>
    <w:r w:rsidRPr="00636A1E">
      <w:rPr>
        <w:b/>
        <w:bCs/>
        <w:noProof/>
        <w:sz w:val="18"/>
      </w:rPr>
      <w:t>3</w:t>
    </w:r>
    <w:r w:rsidRPr="00636A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D07D8" w14:textId="77777777" w:rsidR="007B0CE3" w:rsidRDefault="00636A1E" w:rsidP="003B42AF">
    <w:pPr>
      <w:pStyle w:val="Footer"/>
      <w:tabs>
        <w:tab w:val="right" w:pos="2835"/>
      </w:tabs>
      <w:ind w:right="79"/>
      <w:jc w:val="right"/>
      <w:rPr>
        <w:sz w:val="20"/>
        <w:lang w:val="fr-CH"/>
      </w:rPr>
    </w:pPr>
    <w:r w:rsidRPr="00636A1E">
      <w:rPr>
        <w:noProof/>
        <w:lang w:val="en-US"/>
      </w:rPr>
      <w:drawing>
        <wp:anchor distT="0" distB="0" distL="114300" distR="114300" simplePos="0" relativeHeight="251659264" behindDoc="0" locked="1" layoutInCell="1" allowOverlap="1" wp14:anchorId="18396CA0" wp14:editId="6E08F46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62BA9E" w14:textId="46E81078" w:rsidR="00636A1E" w:rsidRPr="00636A1E" w:rsidRDefault="00636A1E" w:rsidP="00636A1E">
    <w:pPr>
      <w:pStyle w:val="Footer"/>
      <w:tabs>
        <w:tab w:val="right" w:pos="7370"/>
      </w:tabs>
      <w:rPr>
        <w:sz w:val="20"/>
        <w:lang w:val="fr-CH"/>
      </w:rPr>
    </w:pPr>
    <w:r>
      <w:rPr>
        <w:sz w:val="20"/>
        <w:lang w:val="fr-CH"/>
      </w:rPr>
      <w:t>GE.24-22270  (E)</w:t>
    </w:r>
    <w:r>
      <w:rPr>
        <w:noProof/>
        <w:sz w:val="20"/>
        <w:lang w:val="fr-CH"/>
      </w:rPr>
      <w:drawing>
        <wp:anchor distT="0" distB="0" distL="114300" distR="114300" simplePos="0" relativeHeight="251660288" behindDoc="0" locked="0" layoutInCell="1" allowOverlap="1" wp14:anchorId="689477FE" wp14:editId="22CC3932">
          <wp:simplePos x="0" y="0"/>
          <wp:positionH relativeFrom="margin">
            <wp:posOffset>5583555</wp:posOffset>
          </wp:positionH>
          <wp:positionV relativeFrom="margin">
            <wp:posOffset>8981440</wp:posOffset>
          </wp:positionV>
          <wp:extent cx="571500" cy="571500"/>
          <wp:effectExtent l="0" t="0" r="0" b="0"/>
          <wp:wrapNone/>
          <wp:docPr id="238983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47B2B">
      <w:rPr>
        <w:sz w:val="20"/>
        <w:lang w:val="fr-CH"/>
      </w:rPr>
      <w:t xml:space="preserve">    121224    </w:t>
    </w:r>
    <w:r w:rsidR="006D6FAD">
      <w:rPr>
        <w:sz w:val="20"/>
        <w:lang w:val="fr-CH"/>
      </w:rPr>
      <w:t>12</w:t>
    </w:r>
    <w:r w:rsidR="00447B2B">
      <w:rPr>
        <w:sz w:val="20"/>
        <w:lang w:val="fr-CH"/>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70D8D" w14:textId="77777777" w:rsidR="00195C40" w:rsidRPr="008779DC" w:rsidRDefault="00195C40" w:rsidP="008779DC">
      <w:pPr>
        <w:tabs>
          <w:tab w:val="right" w:pos="2155"/>
        </w:tabs>
        <w:spacing w:after="80" w:line="240" w:lineRule="auto"/>
        <w:ind w:left="680"/>
      </w:pPr>
      <w:r>
        <w:rPr>
          <w:u w:val="single"/>
        </w:rPr>
        <w:tab/>
      </w:r>
    </w:p>
  </w:footnote>
  <w:footnote w:type="continuationSeparator" w:id="0">
    <w:p w14:paraId="39DF445A" w14:textId="77777777" w:rsidR="00195C40" w:rsidRPr="008779DC" w:rsidRDefault="00195C40" w:rsidP="008779DC">
      <w:pPr>
        <w:tabs>
          <w:tab w:val="right" w:pos="2155"/>
        </w:tabs>
        <w:spacing w:after="80" w:line="240" w:lineRule="auto"/>
        <w:ind w:left="680"/>
      </w:pPr>
      <w:r>
        <w:rPr>
          <w:u w:val="single"/>
        </w:rPr>
        <w:tab/>
      </w:r>
    </w:p>
  </w:footnote>
  <w:footnote w:id="1">
    <w:p w14:paraId="2C82D900" w14:textId="77777777" w:rsidR="004009A2" w:rsidRPr="00F7561E" w:rsidRDefault="004009A2" w:rsidP="004009A2">
      <w:pPr>
        <w:pStyle w:val="FootnoteText"/>
      </w:pPr>
      <w:r>
        <w:tab/>
      </w:r>
      <w:r w:rsidRPr="003D5B13">
        <w:rPr>
          <w:sz w:val="20"/>
        </w:rPr>
        <w:t>*</w:t>
      </w:r>
      <w:r>
        <w:rPr>
          <w:sz w:val="20"/>
        </w:rPr>
        <w:tab/>
      </w:r>
      <w:r>
        <w:rPr>
          <w:lang w:eastAsia="en-GB"/>
        </w:rPr>
        <w:t>Adopted by the Committee at its eighty-first session (28 October–22 November 2024)</w:t>
      </w:r>
      <w:r>
        <w:t>.</w:t>
      </w:r>
    </w:p>
  </w:footnote>
  <w:footnote w:id="2">
    <w:p w14:paraId="32CB924B" w14:textId="00C37A43" w:rsidR="004009A2" w:rsidRPr="00735BC2" w:rsidRDefault="004009A2" w:rsidP="004009A2">
      <w:pPr>
        <w:pStyle w:val="FootnoteText"/>
      </w:pPr>
      <w:r>
        <w:tab/>
      </w:r>
      <w:r w:rsidRPr="00447B2B">
        <w:rPr>
          <w:rStyle w:val="FootnoteReference"/>
        </w:rPr>
        <w:footnoteRef/>
      </w:r>
      <w:r>
        <w:t xml:space="preserve"> </w:t>
      </w:r>
      <w:r>
        <w:tab/>
      </w:r>
      <w:hyperlink r:id="rId1" w:history="1">
        <w:r w:rsidRPr="00447B2B">
          <w:rPr>
            <w:rStyle w:val="Hyperlink"/>
            <w:szCs w:val="18"/>
          </w:rPr>
          <w:t>CAT/C/SWE/CO/8</w:t>
        </w:r>
      </w:hyperlink>
      <w:r>
        <w:rPr>
          <w:szCs w:val="18"/>
        </w:rPr>
        <w:t xml:space="preserve">, para. </w:t>
      </w:r>
      <w:r w:rsidRPr="00735BC2">
        <w:rPr>
          <w:szCs w:val="18"/>
        </w:rPr>
        <w:t>45.</w:t>
      </w:r>
    </w:p>
  </w:footnote>
  <w:footnote w:id="3">
    <w:p w14:paraId="46B8110D" w14:textId="607AFA5E" w:rsidR="004009A2" w:rsidRPr="00735BC2" w:rsidRDefault="004009A2" w:rsidP="004009A2">
      <w:pPr>
        <w:pStyle w:val="FootnoteText"/>
      </w:pPr>
      <w:r>
        <w:tab/>
      </w:r>
      <w:r w:rsidRPr="00447B2B">
        <w:rPr>
          <w:rStyle w:val="FootnoteReference"/>
        </w:rPr>
        <w:footnoteRef/>
      </w:r>
      <w:r>
        <w:t xml:space="preserve"> </w:t>
      </w:r>
      <w:r>
        <w:tab/>
      </w:r>
      <w:hyperlink r:id="rId2" w:history="1">
        <w:r w:rsidRPr="00447B2B">
          <w:rPr>
            <w:rStyle w:val="Hyperlink"/>
          </w:rPr>
          <w:t>CAT/C/SWE/FCO/8</w:t>
        </w:r>
      </w:hyperlink>
      <w:r w:rsidRPr="00735BC2">
        <w:t>.</w:t>
      </w:r>
    </w:p>
  </w:footnote>
  <w:footnote w:id="4">
    <w:p w14:paraId="1E72F658" w14:textId="77777777" w:rsidR="004009A2" w:rsidRPr="00EA631D" w:rsidRDefault="004009A2" w:rsidP="004009A2">
      <w:pPr>
        <w:pStyle w:val="FootnoteText"/>
      </w:pPr>
      <w:r>
        <w:tab/>
      </w:r>
      <w:r w:rsidRPr="00447B2B">
        <w:rPr>
          <w:rStyle w:val="FootnoteReference"/>
        </w:rPr>
        <w:footnoteRef/>
      </w:r>
      <w:r>
        <w:t xml:space="preserve"> </w:t>
      </w:r>
      <w:r>
        <w:tab/>
        <w:t xml:space="preserve">See </w:t>
      </w:r>
      <w:r w:rsidRPr="00EA631D">
        <w:t>https://tbinternet.ohchr.org/_layouts/15/treatybodyexternal/Download.aspx?symbolno=INT%2FCAT%2FFUL%2FSWE%2F52556&amp;Lang=en</w:t>
      </w:r>
      <w:r>
        <w:t>.</w:t>
      </w:r>
    </w:p>
  </w:footnote>
  <w:footnote w:id="5">
    <w:p w14:paraId="3B61408C" w14:textId="5632BCAD" w:rsidR="004009A2" w:rsidRPr="00FF53F1" w:rsidRDefault="004009A2" w:rsidP="004009A2">
      <w:pPr>
        <w:pStyle w:val="FootnoteText"/>
      </w:pPr>
      <w:r w:rsidRPr="00EA631D">
        <w:tab/>
      </w:r>
      <w:r w:rsidRPr="00447B2B">
        <w:rPr>
          <w:rStyle w:val="FootnoteReference"/>
        </w:rPr>
        <w:footnoteRef/>
      </w:r>
      <w:r w:rsidRPr="00EA631D">
        <w:t xml:space="preserve"> </w:t>
      </w:r>
      <w:r w:rsidRPr="00EA631D">
        <w:tab/>
      </w:r>
      <w:hyperlink r:id="rId3" w:history="1">
        <w:r w:rsidRPr="00447B2B">
          <w:rPr>
            <w:rStyle w:val="Hyperlink"/>
            <w:szCs w:val="18"/>
          </w:rPr>
          <w:t>CAT/C/SWE/CO/8</w:t>
        </w:r>
      </w:hyperlink>
      <w:r w:rsidRPr="00EA631D">
        <w:rPr>
          <w:szCs w:val="18"/>
        </w:rPr>
        <w:t xml:space="preserve">, para. </w:t>
      </w:r>
      <w:r w:rsidRPr="00FF53F1">
        <w:rPr>
          <w:szCs w:val="18"/>
        </w:rPr>
        <w:t>10.</w:t>
      </w:r>
    </w:p>
  </w:footnote>
  <w:footnote w:id="6">
    <w:p w14:paraId="1CF605A4" w14:textId="36AD1C7D" w:rsidR="004009A2" w:rsidRPr="006913AC" w:rsidRDefault="004009A2" w:rsidP="004009A2">
      <w:pPr>
        <w:pStyle w:val="FootnoteText"/>
        <w:rPr>
          <w:lang w:val="es-ES"/>
        </w:rPr>
      </w:pPr>
      <w:r>
        <w:tab/>
      </w:r>
      <w:r w:rsidRPr="00447B2B">
        <w:rPr>
          <w:rStyle w:val="FootnoteReference"/>
        </w:rPr>
        <w:footnoteRef/>
      </w:r>
      <w:r>
        <w:t xml:space="preserve"> </w:t>
      </w:r>
      <w:r>
        <w:tab/>
      </w:r>
      <w:hyperlink r:id="rId4" w:history="1">
        <w:r w:rsidRPr="00447B2B">
          <w:rPr>
            <w:rStyle w:val="Hyperlink"/>
            <w:szCs w:val="18"/>
          </w:rPr>
          <w:t>CAT/C/SWE/8</w:t>
        </w:r>
      </w:hyperlink>
      <w:r w:rsidRPr="00FF53F1">
        <w:rPr>
          <w:szCs w:val="18"/>
        </w:rPr>
        <w:t>, p</w:t>
      </w:r>
      <w:r>
        <w:rPr>
          <w:szCs w:val="18"/>
        </w:rPr>
        <w:t xml:space="preserve">ara. 4. </w:t>
      </w:r>
      <w:r>
        <w:t xml:space="preserve">See also </w:t>
      </w:r>
      <w:hyperlink r:id="rId5" w:history="1">
        <w:r w:rsidRPr="00447B2B">
          <w:rPr>
            <w:rStyle w:val="Hyperlink"/>
          </w:rPr>
          <w:t>CAT</w:t>
        </w:r>
        <w:r w:rsidRPr="00447B2B">
          <w:rPr>
            <w:rStyle w:val="Hyperlink"/>
            <w:szCs w:val="18"/>
          </w:rPr>
          <w:t>/C/SWE/CO/8</w:t>
        </w:r>
      </w:hyperlink>
      <w:r w:rsidRPr="00EA631D">
        <w:rPr>
          <w:szCs w:val="18"/>
        </w:rPr>
        <w:t>, para.</w:t>
      </w:r>
      <w:r>
        <w:rPr>
          <w:szCs w:val="18"/>
        </w:rPr>
        <w:t xml:space="preserve"> </w:t>
      </w:r>
      <w:r w:rsidRPr="00593B35">
        <w:rPr>
          <w:szCs w:val="18"/>
          <w:lang w:val="es-ES"/>
        </w:rPr>
        <w:t xml:space="preserve">9; and </w:t>
      </w:r>
      <w:hyperlink r:id="rId6" w:history="1">
        <w:r w:rsidRPr="00593B35">
          <w:rPr>
            <w:rStyle w:val="Hyperlink"/>
            <w:szCs w:val="18"/>
            <w:lang w:val="es-ES"/>
          </w:rPr>
          <w:t>CAT/C/SR.1842</w:t>
        </w:r>
      </w:hyperlink>
      <w:r w:rsidRPr="00593B35">
        <w:rPr>
          <w:szCs w:val="18"/>
          <w:lang w:val="es-ES"/>
        </w:rPr>
        <w:t xml:space="preserve">, para. </w:t>
      </w:r>
      <w:r w:rsidRPr="006913AC">
        <w:rPr>
          <w:szCs w:val="18"/>
          <w:lang w:val="es-ES"/>
        </w:rPr>
        <w:t>29.</w:t>
      </w:r>
    </w:p>
  </w:footnote>
  <w:footnote w:id="7">
    <w:p w14:paraId="254322B2" w14:textId="66F301D4" w:rsidR="004009A2" w:rsidRPr="006913AC" w:rsidRDefault="004009A2" w:rsidP="004009A2">
      <w:pPr>
        <w:pStyle w:val="FootnoteText"/>
        <w:rPr>
          <w:lang w:val="es-ES"/>
        </w:rPr>
      </w:pPr>
      <w:r w:rsidRPr="006913AC">
        <w:rPr>
          <w:lang w:val="es-ES"/>
        </w:rPr>
        <w:tab/>
      </w:r>
      <w:r w:rsidRPr="00447B2B">
        <w:rPr>
          <w:rStyle w:val="FootnoteReference"/>
        </w:rPr>
        <w:footnoteRef/>
      </w:r>
      <w:r w:rsidRPr="006913AC">
        <w:rPr>
          <w:lang w:val="es-ES"/>
        </w:rPr>
        <w:t xml:space="preserve"> </w:t>
      </w:r>
      <w:r w:rsidRPr="006913AC">
        <w:rPr>
          <w:lang w:val="es-ES"/>
        </w:rPr>
        <w:tab/>
      </w:r>
      <w:hyperlink r:id="rId7" w:history="1">
        <w:r w:rsidRPr="00447B2B">
          <w:rPr>
            <w:rStyle w:val="Hyperlink"/>
            <w:lang w:val="es-ES"/>
          </w:rPr>
          <w:t>HRI/CORE/SWE/2024</w:t>
        </w:r>
      </w:hyperlink>
      <w:r w:rsidRPr="006C0EA2">
        <w:rPr>
          <w:lang w:val="es-ES"/>
        </w:rPr>
        <w:t>, para. 76</w:t>
      </w:r>
      <w:r w:rsidRPr="006913AC">
        <w:rPr>
          <w:lang w:val="es-ES"/>
        </w:rPr>
        <w:t>.</w:t>
      </w:r>
    </w:p>
  </w:footnote>
  <w:footnote w:id="8">
    <w:p w14:paraId="1B96D065" w14:textId="7C74B160" w:rsidR="004009A2" w:rsidRPr="006913AC" w:rsidRDefault="004009A2" w:rsidP="004009A2">
      <w:pPr>
        <w:pStyle w:val="FootnoteText"/>
        <w:rPr>
          <w:lang w:val="es-ES"/>
        </w:rPr>
      </w:pPr>
      <w:r w:rsidRPr="006913AC">
        <w:rPr>
          <w:lang w:val="es-ES"/>
        </w:rPr>
        <w:tab/>
      </w:r>
      <w:r w:rsidRPr="00447B2B">
        <w:rPr>
          <w:rStyle w:val="FootnoteReference"/>
        </w:rPr>
        <w:footnoteRef/>
      </w:r>
      <w:r w:rsidRPr="006913AC">
        <w:rPr>
          <w:lang w:val="es-ES"/>
        </w:rPr>
        <w:t xml:space="preserve"> </w:t>
      </w:r>
      <w:r w:rsidRPr="006913AC">
        <w:rPr>
          <w:lang w:val="es-ES"/>
        </w:rPr>
        <w:tab/>
      </w:r>
      <w:hyperlink r:id="rId8" w:history="1">
        <w:r w:rsidRPr="00447B2B">
          <w:rPr>
            <w:rStyle w:val="Hyperlink"/>
            <w:lang w:val="es-ES"/>
          </w:rPr>
          <w:t>CAT/C/SWE/FCO/8</w:t>
        </w:r>
      </w:hyperlink>
      <w:r w:rsidRPr="006913AC">
        <w:rPr>
          <w:lang w:val="es-ES"/>
        </w:rPr>
        <w:t>, para. 5.</w:t>
      </w:r>
    </w:p>
  </w:footnote>
  <w:footnote w:id="9">
    <w:p w14:paraId="03C58258" w14:textId="16C7B78C" w:rsidR="004009A2" w:rsidRPr="00C4203C" w:rsidRDefault="004009A2" w:rsidP="004009A2">
      <w:pPr>
        <w:pStyle w:val="FootnoteText"/>
        <w:rPr>
          <w:lang w:val="en-US"/>
        </w:rPr>
      </w:pPr>
      <w:r w:rsidRPr="006913AC">
        <w:rPr>
          <w:lang w:val="es-ES"/>
        </w:rPr>
        <w:tab/>
      </w:r>
      <w:r w:rsidRPr="00447B2B">
        <w:rPr>
          <w:rStyle w:val="FootnoteReference"/>
        </w:rPr>
        <w:footnoteRef/>
      </w:r>
      <w:r w:rsidRPr="006913AC">
        <w:rPr>
          <w:lang w:val="es-ES"/>
        </w:rPr>
        <w:tab/>
        <w:t xml:space="preserve">Ibid. </w:t>
      </w:r>
      <w:r>
        <w:t xml:space="preserve">See also </w:t>
      </w:r>
      <w:hyperlink r:id="rId9" w:history="1">
        <w:r w:rsidRPr="00447B2B">
          <w:rPr>
            <w:rStyle w:val="Hyperlink"/>
          </w:rPr>
          <w:t>CAT/C/5/Add.1</w:t>
        </w:r>
      </w:hyperlink>
      <w:r>
        <w:t>, paras. 4–7.</w:t>
      </w:r>
    </w:p>
  </w:footnote>
  <w:footnote w:id="10">
    <w:p w14:paraId="4B2620AB" w14:textId="05150265" w:rsidR="004009A2" w:rsidRPr="001B3123" w:rsidRDefault="004009A2" w:rsidP="004009A2">
      <w:pPr>
        <w:pStyle w:val="FootnoteText"/>
      </w:pPr>
      <w:r w:rsidRPr="00C4203C">
        <w:tab/>
      </w:r>
      <w:r w:rsidRPr="00447B2B">
        <w:rPr>
          <w:rStyle w:val="FootnoteReference"/>
        </w:rPr>
        <w:footnoteRef/>
      </w:r>
      <w:r w:rsidRPr="00FB6100">
        <w:tab/>
        <w:t xml:space="preserve">The issues raised under article 2 could also </w:t>
      </w:r>
      <w:r w:rsidRPr="0002741D">
        <w:t xml:space="preserve">touch on issues raised </w:t>
      </w:r>
      <w:r w:rsidRPr="00FB6100">
        <w:t>under other articles of the Convention, including article 16. As stated in paragraph 3 of the Committee</w:t>
      </w:r>
      <w:r w:rsidR="00BD7E40">
        <w:t>’</w:t>
      </w:r>
      <w:r w:rsidRPr="00FB6100">
        <w:t xml:space="preserve">s general comment No. 2 (2007) on the implementation of article 2, the obligation to prevent torture in article 2 is wide-ranging. The obligations to </w:t>
      </w:r>
      <w:r w:rsidRPr="001E482A">
        <w:t xml:space="preserve">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w:t>
      </w:r>
      <w:r>
        <w:t>section</w:t>
      </w:r>
      <w:r w:rsidRPr="001E482A">
        <w:t xml:space="preserve"> V of the same general comment.</w:t>
      </w:r>
    </w:p>
  </w:footnote>
  <w:footnote w:id="11">
    <w:p w14:paraId="10C00A87" w14:textId="18C8E725" w:rsidR="004009A2" w:rsidRPr="00C75411" w:rsidRDefault="004009A2" w:rsidP="004009A2">
      <w:pPr>
        <w:pStyle w:val="FootnoteText"/>
        <w:rPr>
          <w:lang w:val="es-ES"/>
        </w:rPr>
      </w:pPr>
      <w:r>
        <w:tab/>
      </w:r>
      <w:r w:rsidRPr="00447B2B">
        <w:rPr>
          <w:rStyle w:val="FootnoteReference"/>
        </w:rPr>
        <w:footnoteRef/>
      </w:r>
      <w:r>
        <w:t xml:space="preserve"> </w:t>
      </w:r>
      <w:r>
        <w:tab/>
      </w:r>
      <w:hyperlink r:id="rId10" w:history="1">
        <w:r w:rsidRPr="00447B2B">
          <w:rPr>
            <w:rStyle w:val="Hyperlink"/>
            <w:szCs w:val="18"/>
          </w:rPr>
          <w:t>CAT/C/SWE/CO/8</w:t>
        </w:r>
      </w:hyperlink>
      <w:r w:rsidRPr="00C4203C">
        <w:rPr>
          <w:szCs w:val="18"/>
        </w:rPr>
        <w:t xml:space="preserve">, para. </w:t>
      </w:r>
      <w:r w:rsidRPr="00C75411">
        <w:rPr>
          <w:szCs w:val="18"/>
          <w:lang w:val="es-ES"/>
        </w:rPr>
        <w:t>11.</w:t>
      </w:r>
    </w:p>
  </w:footnote>
  <w:footnote w:id="12">
    <w:p w14:paraId="32609EAE" w14:textId="7035AD47" w:rsidR="004009A2" w:rsidRPr="00593B35" w:rsidRDefault="004009A2" w:rsidP="004009A2">
      <w:pPr>
        <w:pStyle w:val="FootnoteText"/>
        <w:rPr>
          <w:lang w:val="es-ES"/>
        </w:rPr>
      </w:pPr>
      <w:r>
        <w:rPr>
          <w:lang w:val="es-ES"/>
        </w:rPr>
        <w:tab/>
      </w:r>
      <w:r w:rsidRPr="00447B2B">
        <w:rPr>
          <w:rStyle w:val="FootnoteReference"/>
        </w:rPr>
        <w:footnoteRef/>
      </w:r>
      <w:r>
        <w:rPr>
          <w:lang w:val="es-ES"/>
        </w:rPr>
        <w:t xml:space="preserve"> </w:t>
      </w:r>
      <w:r>
        <w:rPr>
          <w:lang w:val="es-ES"/>
        </w:rPr>
        <w:tab/>
      </w:r>
      <w:hyperlink r:id="rId11" w:history="1">
        <w:r w:rsidRPr="00447B2B">
          <w:rPr>
            <w:rStyle w:val="Hyperlink"/>
            <w:lang w:val="es-ES"/>
          </w:rPr>
          <w:t>E/C.12/SWE/CO/7</w:t>
        </w:r>
      </w:hyperlink>
      <w:r w:rsidRPr="00C75411">
        <w:rPr>
          <w:lang w:val="es-ES"/>
        </w:rPr>
        <w:t>, par</w:t>
      </w:r>
      <w:r>
        <w:rPr>
          <w:lang w:val="es-ES"/>
        </w:rPr>
        <w:t xml:space="preserve">a. </w:t>
      </w:r>
      <w:r w:rsidRPr="00593B35">
        <w:rPr>
          <w:lang w:val="es-ES"/>
        </w:rPr>
        <w:t>6.</w:t>
      </w:r>
    </w:p>
  </w:footnote>
  <w:footnote w:id="13">
    <w:p w14:paraId="3FB4578C" w14:textId="2B6868CD" w:rsidR="004009A2" w:rsidRPr="004353ED" w:rsidRDefault="004009A2" w:rsidP="004009A2">
      <w:pPr>
        <w:pStyle w:val="FootnoteText"/>
      </w:pPr>
      <w:r w:rsidRPr="00593B35">
        <w:rPr>
          <w:lang w:val="es-ES"/>
        </w:rPr>
        <w:tab/>
      </w:r>
      <w:r w:rsidRPr="00447B2B">
        <w:rPr>
          <w:rStyle w:val="FootnoteReference"/>
        </w:rPr>
        <w:footnoteRef/>
      </w:r>
      <w:r w:rsidRPr="00593B35">
        <w:rPr>
          <w:lang w:val="es-ES"/>
        </w:rPr>
        <w:tab/>
      </w:r>
      <w:hyperlink r:id="rId12" w:history="1">
        <w:r w:rsidRPr="00593B35">
          <w:rPr>
            <w:rStyle w:val="Hyperlink"/>
            <w:lang w:val="es-ES"/>
          </w:rPr>
          <w:t>CEDAW/C/SWE/CO/10</w:t>
        </w:r>
      </w:hyperlink>
      <w:r w:rsidRPr="00593B35">
        <w:rPr>
          <w:lang w:val="es-ES"/>
        </w:rPr>
        <w:t xml:space="preserve">, paras. </w:t>
      </w:r>
      <w:r>
        <w:t>23 and 24.</w:t>
      </w:r>
    </w:p>
  </w:footnote>
  <w:footnote w:id="14">
    <w:p w14:paraId="048F63A4" w14:textId="3F81FE1A" w:rsidR="004009A2" w:rsidRPr="006913AC" w:rsidRDefault="004009A2" w:rsidP="004009A2">
      <w:pPr>
        <w:pStyle w:val="FootnoteText"/>
        <w:rPr>
          <w:lang w:val="en-US"/>
        </w:rPr>
      </w:pPr>
      <w:r>
        <w:tab/>
      </w:r>
      <w:r w:rsidRPr="00447B2B">
        <w:rPr>
          <w:rStyle w:val="FootnoteReference"/>
        </w:rPr>
        <w:footnoteRef/>
      </w:r>
      <w:r>
        <w:t xml:space="preserve"> </w:t>
      </w:r>
      <w:r>
        <w:tab/>
      </w:r>
      <w:hyperlink r:id="rId13" w:history="1">
        <w:r w:rsidRPr="00447B2B">
          <w:rPr>
            <w:rStyle w:val="Hyperlink"/>
            <w:szCs w:val="18"/>
          </w:rPr>
          <w:t>CAT/C/SWE/CO/8</w:t>
        </w:r>
      </w:hyperlink>
      <w:r w:rsidRPr="00C4203C">
        <w:rPr>
          <w:szCs w:val="18"/>
        </w:rPr>
        <w:t>, para</w:t>
      </w:r>
      <w:r>
        <w:rPr>
          <w:szCs w:val="18"/>
        </w:rPr>
        <w:t>s</w:t>
      </w:r>
      <w:r w:rsidRPr="00C4203C">
        <w:rPr>
          <w:szCs w:val="18"/>
        </w:rPr>
        <w:t xml:space="preserve">. </w:t>
      </w:r>
      <w:r>
        <w:rPr>
          <w:szCs w:val="18"/>
        </w:rPr>
        <w:t xml:space="preserve">36 and </w:t>
      </w:r>
      <w:r w:rsidRPr="006913AC">
        <w:rPr>
          <w:szCs w:val="18"/>
          <w:lang w:val="en-US"/>
        </w:rPr>
        <w:t>37.</w:t>
      </w:r>
    </w:p>
  </w:footnote>
  <w:footnote w:id="15">
    <w:p w14:paraId="0BEE2C86" w14:textId="531059F3" w:rsidR="004009A2" w:rsidRPr="006913AC" w:rsidRDefault="004009A2" w:rsidP="004009A2">
      <w:pPr>
        <w:pStyle w:val="FootnoteText"/>
        <w:rPr>
          <w:lang w:val="en-US"/>
        </w:rPr>
      </w:pPr>
      <w:r w:rsidRPr="006913AC">
        <w:rPr>
          <w:lang w:val="en-US"/>
        </w:rPr>
        <w:tab/>
      </w:r>
      <w:r w:rsidRPr="00447B2B">
        <w:rPr>
          <w:rStyle w:val="FootnoteReference"/>
        </w:rPr>
        <w:footnoteRef/>
      </w:r>
      <w:r w:rsidRPr="006913AC">
        <w:rPr>
          <w:lang w:val="en-US"/>
        </w:rPr>
        <w:t xml:space="preserve"> </w:t>
      </w:r>
      <w:r w:rsidRPr="006913AC">
        <w:rPr>
          <w:lang w:val="en-US"/>
        </w:rPr>
        <w:tab/>
      </w:r>
      <w:hyperlink r:id="rId14" w:history="1">
        <w:r w:rsidRPr="00447B2B">
          <w:rPr>
            <w:rStyle w:val="Hyperlink"/>
            <w:lang w:val="en-US"/>
          </w:rPr>
          <w:t>CAT/C/SWE/FCO/8</w:t>
        </w:r>
      </w:hyperlink>
      <w:r w:rsidRPr="006913AC">
        <w:rPr>
          <w:lang w:val="en-US"/>
        </w:rPr>
        <w:t>, para. 25.</w:t>
      </w:r>
    </w:p>
  </w:footnote>
  <w:footnote w:id="16">
    <w:p w14:paraId="4B2ECF05" w14:textId="2C79E3BC" w:rsidR="004009A2" w:rsidRPr="006913AC" w:rsidRDefault="004009A2" w:rsidP="004009A2">
      <w:pPr>
        <w:pStyle w:val="FootnoteText"/>
        <w:rPr>
          <w:lang w:val="en-US"/>
        </w:rPr>
      </w:pPr>
      <w:r w:rsidRPr="006913AC">
        <w:rPr>
          <w:lang w:val="en-US"/>
        </w:rPr>
        <w:tab/>
      </w:r>
      <w:r w:rsidRPr="00447B2B">
        <w:rPr>
          <w:rStyle w:val="FootnoteReference"/>
        </w:rPr>
        <w:footnoteRef/>
      </w:r>
      <w:r w:rsidRPr="006913AC">
        <w:rPr>
          <w:lang w:val="en-US"/>
        </w:rPr>
        <w:t xml:space="preserve"> </w:t>
      </w:r>
      <w:r w:rsidRPr="006913AC">
        <w:rPr>
          <w:lang w:val="en-US"/>
        </w:rPr>
        <w:tab/>
        <w:t xml:space="preserve">See </w:t>
      </w:r>
      <w:hyperlink r:id="rId15" w:history="1">
        <w:r w:rsidRPr="00447B2B">
          <w:rPr>
            <w:rStyle w:val="Hyperlink"/>
            <w:lang w:val="en-US"/>
          </w:rPr>
          <w:t>https://spcommreports.ohchr.org/TMResultsBase/DownLoadFile?gId=37706</w:t>
        </w:r>
      </w:hyperlink>
      <w:r w:rsidRPr="006913AC">
        <w:rPr>
          <w:lang w:val="en-US"/>
        </w:rPr>
        <w:t xml:space="preserve"> </w:t>
      </w:r>
      <w:r>
        <w:rPr>
          <w:lang w:val="en-US"/>
        </w:rPr>
        <w:t>(</w:t>
      </w:r>
      <w:r w:rsidRPr="006913AC">
        <w:rPr>
          <w:lang w:val="en-US"/>
        </w:rPr>
        <w:t>para</w:t>
      </w:r>
      <w:r>
        <w:rPr>
          <w:lang w:val="en-US"/>
        </w:rPr>
        <w:t>.</w:t>
      </w:r>
      <w:r w:rsidRPr="006913AC">
        <w:rPr>
          <w:lang w:val="en-US"/>
        </w:rPr>
        <w:t xml:space="preserve"> 8</w:t>
      </w:r>
      <w:r>
        <w:rPr>
          <w:lang w:val="en-US"/>
        </w:rPr>
        <w:t>)</w:t>
      </w:r>
      <w:r w:rsidRPr="006913AC">
        <w:rPr>
          <w:lang w:val="en-US"/>
        </w:rPr>
        <w:t>.</w:t>
      </w:r>
    </w:p>
  </w:footnote>
  <w:footnote w:id="17">
    <w:p w14:paraId="5DC8D173" w14:textId="06491B06" w:rsidR="004009A2" w:rsidRPr="006913AC" w:rsidRDefault="004009A2" w:rsidP="004009A2">
      <w:pPr>
        <w:pStyle w:val="FootnoteText"/>
        <w:rPr>
          <w:lang w:val="en-US"/>
        </w:rPr>
      </w:pPr>
      <w:r w:rsidRPr="006913AC">
        <w:rPr>
          <w:lang w:val="en-US"/>
        </w:rPr>
        <w:tab/>
      </w:r>
      <w:r w:rsidRPr="00447B2B">
        <w:rPr>
          <w:rStyle w:val="FootnoteReference"/>
        </w:rPr>
        <w:footnoteRef/>
      </w:r>
      <w:r w:rsidRPr="006913AC">
        <w:rPr>
          <w:lang w:val="en-US"/>
        </w:rPr>
        <w:t xml:space="preserve"> </w:t>
      </w:r>
      <w:r w:rsidRPr="006913AC">
        <w:rPr>
          <w:lang w:val="en-US"/>
        </w:rPr>
        <w:tab/>
        <w:t xml:space="preserve">See communication </w:t>
      </w:r>
      <w:hyperlink r:id="rId16" w:history="1">
        <w:r w:rsidRPr="00447B2B">
          <w:rPr>
            <w:rStyle w:val="Hyperlink"/>
            <w:lang w:val="en-US"/>
          </w:rPr>
          <w:t>SWE 1/2023</w:t>
        </w:r>
      </w:hyperlink>
      <w:r w:rsidRPr="006913AC">
        <w:rPr>
          <w:rStyle w:val="Hyperlink"/>
          <w:lang w:val="en-US"/>
        </w:rPr>
        <w:t xml:space="preserve">, </w:t>
      </w:r>
      <w:r w:rsidRPr="001F2B95">
        <w:rPr>
          <w:lang w:val="en-US"/>
        </w:rPr>
        <w:t xml:space="preserve">available </w:t>
      </w:r>
      <w:r>
        <w:rPr>
          <w:lang w:val="en-US"/>
        </w:rPr>
        <w:t xml:space="preserve">at </w:t>
      </w:r>
      <w:r w:rsidRPr="00012E14">
        <w:rPr>
          <w:lang w:val="en-US"/>
        </w:rPr>
        <w:t>https://spcommreports.ohchr.org/TMResultsBase/DownLoadPublicCommunicationFile?gId=28175</w:t>
      </w:r>
      <w:r w:rsidRPr="006913AC">
        <w:rPr>
          <w:lang w:val="en-US"/>
        </w:rPr>
        <w:t>.</w:t>
      </w:r>
    </w:p>
  </w:footnote>
  <w:footnote w:id="18">
    <w:p w14:paraId="7C18126C" w14:textId="0B0E2868" w:rsidR="004009A2" w:rsidRPr="006913AC" w:rsidRDefault="004009A2" w:rsidP="004009A2">
      <w:pPr>
        <w:pStyle w:val="FootnoteText"/>
        <w:rPr>
          <w:lang w:val="en-US"/>
        </w:rPr>
      </w:pPr>
      <w:r w:rsidRPr="006913AC">
        <w:rPr>
          <w:lang w:val="en-US"/>
        </w:rPr>
        <w:tab/>
      </w:r>
      <w:r w:rsidRPr="00447B2B">
        <w:rPr>
          <w:rStyle w:val="FootnoteReference"/>
        </w:rPr>
        <w:footnoteRef/>
      </w:r>
      <w:r w:rsidRPr="00FF53F1">
        <w:rPr>
          <w:lang w:val="es-ES"/>
        </w:rPr>
        <w:t xml:space="preserve"> </w:t>
      </w:r>
      <w:r>
        <w:rPr>
          <w:lang w:val="es-ES"/>
        </w:rPr>
        <w:tab/>
      </w:r>
      <w:hyperlink r:id="rId17" w:history="1">
        <w:r w:rsidRPr="00447B2B">
          <w:rPr>
            <w:rStyle w:val="Hyperlink"/>
            <w:lang w:val="es-ES"/>
          </w:rPr>
          <w:t>CAT/C/SWE/FCO/8</w:t>
        </w:r>
      </w:hyperlink>
      <w:r w:rsidRPr="007A091E">
        <w:rPr>
          <w:lang w:val="es-ES"/>
        </w:rPr>
        <w:t>, para</w:t>
      </w:r>
      <w:r>
        <w:rPr>
          <w:lang w:val="es-ES"/>
        </w:rPr>
        <w:t xml:space="preserve">. </w:t>
      </w:r>
      <w:r w:rsidRPr="006913AC">
        <w:rPr>
          <w:lang w:val="en-US"/>
        </w:rPr>
        <w:t>8.</w:t>
      </w:r>
    </w:p>
  </w:footnote>
  <w:footnote w:id="19">
    <w:p w14:paraId="4287BDC8" w14:textId="0A092549" w:rsidR="004009A2" w:rsidRPr="006913AC" w:rsidRDefault="004009A2" w:rsidP="004009A2">
      <w:pPr>
        <w:pStyle w:val="FootnoteText"/>
        <w:rPr>
          <w:lang w:val="en-US"/>
        </w:rPr>
      </w:pPr>
      <w:r w:rsidRPr="006913AC">
        <w:rPr>
          <w:lang w:val="en-US"/>
        </w:rPr>
        <w:tab/>
      </w:r>
      <w:r w:rsidRPr="00447B2B">
        <w:rPr>
          <w:rStyle w:val="FootnoteReference"/>
        </w:rPr>
        <w:footnoteRef/>
      </w:r>
      <w:r w:rsidRPr="006913AC">
        <w:rPr>
          <w:lang w:val="en-US"/>
        </w:rPr>
        <w:t xml:space="preserve"> </w:t>
      </w:r>
      <w:r w:rsidRPr="006913AC">
        <w:rPr>
          <w:lang w:val="en-US"/>
        </w:rPr>
        <w:tab/>
        <w:t xml:space="preserve">See communication </w:t>
      </w:r>
      <w:hyperlink r:id="rId18" w:history="1">
        <w:r w:rsidRPr="00447B2B">
          <w:rPr>
            <w:rStyle w:val="Hyperlink"/>
            <w:lang w:val="en-US"/>
          </w:rPr>
          <w:t>SWE 1/2022</w:t>
        </w:r>
      </w:hyperlink>
      <w:r w:rsidRPr="002E6AFF">
        <w:rPr>
          <w:rStyle w:val="Hyperlink"/>
          <w:lang w:val="en-US"/>
        </w:rPr>
        <w:t xml:space="preserve">, </w:t>
      </w:r>
      <w:r w:rsidRPr="001F2B95">
        <w:rPr>
          <w:lang w:val="en-US"/>
        </w:rPr>
        <w:t xml:space="preserve">available </w:t>
      </w:r>
      <w:r>
        <w:rPr>
          <w:lang w:val="en-US"/>
        </w:rPr>
        <w:t xml:space="preserve">at </w:t>
      </w:r>
      <w:r w:rsidRPr="00F3351C">
        <w:rPr>
          <w:lang w:val="en-US"/>
        </w:rPr>
        <w:t>https://spcommreports.ohchr.org/TMResultsBase/DownLoadPublicCommunicationFile?gId=27040</w:t>
      </w:r>
      <w:r w:rsidRPr="006913AC">
        <w:rPr>
          <w:lang w:val="en-US"/>
        </w:rPr>
        <w:t>.</w:t>
      </w:r>
    </w:p>
  </w:footnote>
  <w:footnote w:id="20">
    <w:p w14:paraId="6C8887EE" w14:textId="71902A5F" w:rsidR="004009A2" w:rsidRPr="006913AC" w:rsidRDefault="004009A2" w:rsidP="004009A2">
      <w:pPr>
        <w:pStyle w:val="FootnoteText"/>
        <w:rPr>
          <w:lang w:val="en-US"/>
        </w:rPr>
      </w:pPr>
      <w:r w:rsidRPr="006913AC">
        <w:rPr>
          <w:lang w:val="en-US"/>
        </w:rPr>
        <w:tab/>
      </w:r>
      <w:r w:rsidRPr="00447B2B">
        <w:rPr>
          <w:rStyle w:val="FootnoteReference"/>
        </w:rPr>
        <w:footnoteRef/>
      </w:r>
      <w:r w:rsidRPr="006913AC">
        <w:rPr>
          <w:lang w:val="en-US"/>
        </w:rPr>
        <w:t xml:space="preserve"> </w:t>
      </w:r>
      <w:r w:rsidRPr="006913AC">
        <w:rPr>
          <w:lang w:val="en-US"/>
        </w:rPr>
        <w:tab/>
        <w:t xml:space="preserve">See </w:t>
      </w:r>
      <w:hyperlink r:id="rId19" w:history="1">
        <w:r w:rsidRPr="00447B2B">
          <w:rPr>
            <w:rStyle w:val="Hyperlink"/>
            <w:lang w:val="en-US"/>
          </w:rPr>
          <w:t>https://spcommreports.ohchr.org/TMResultsBase/DownLoadFile?gId=36875</w:t>
        </w:r>
      </w:hyperlink>
      <w:r w:rsidRPr="006913AC">
        <w:rPr>
          <w:lang w:val="en-US"/>
        </w:rPr>
        <w:t>.</w:t>
      </w:r>
    </w:p>
  </w:footnote>
  <w:footnote w:id="21">
    <w:p w14:paraId="4CD3B357" w14:textId="52C99F67" w:rsidR="004009A2" w:rsidRPr="00FF53F1" w:rsidRDefault="004009A2" w:rsidP="004009A2">
      <w:pPr>
        <w:pStyle w:val="FootnoteText"/>
        <w:rPr>
          <w:lang w:val="es-ES"/>
        </w:rPr>
      </w:pPr>
      <w:r w:rsidRPr="006913AC">
        <w:rPr>
          <w:lang w:val="en-US"/>
        </w:rPr>
        <w:tab/>
      </w:r>
      <w:r w:rsidRPr="00447B2B">
        <w:rPr>
          <w:rStyle w:val="FootnoteReference"/>
        </w:rPr>
        <w:footnoteRef/>
      </w:r>
      <w:r>
        <w:t xml:space="preserve"> </w:t>
      </w:r>
      <w:r>
        <w:tab/>
      </w:r>
      <w:hyperlink r:id="rId20" w:history="1">
        <w:r w:rsidRPr="00447B2B">
          <w:rPr>
            <w:rStyle w:val="Hyperlink"/>
          </w:rPr>
          <w:t>CAT/C/SWE/CO/8</w:t>
        </w:r>
      </w:hyperlink>
      <w:r>
        <w:t xml:space="preserve">, para. </w:t>
      </w:r>
      <w:r w:rsidRPr="00FF53F1">
        <w:rPr>
          <w:lang w:val="es-ES"/>
        </w:rPr>
        <w:t>5.</w:t>
      </w:r>
    </w:p>
  </w:footnote>
  <w:footnote w:id="22">
    <w:p w14:paraId="7093F070" w14:textId="323EE105" w:rsidR="004009A2" w:rsidRPr="00593B35" w:rsidRDefault="004009A2" w:rsidP="004009A2">
      <w:pPr>
        <w:pStyle w:val="FootnoteText"/>
        <w:rPr>
          <w:lang w:val="es-ES"/>
        </w:rPr>
      </w:pPr>
      <w:r w:rsidRPr="00FF53F1">
        <w:rPr>
          <w:lang w:val="es-ES"/>
        </w:rPr>
        <w:tab/>
      </w:r>
      <w:r w:rsidRPr="00447B2B">
        <w:rPr>
          <w:rStyle w:val="FootnoteReference"/>
        </w:rPr>
        <w:footnoteRef/>
      </w:r>
      <w:r w:rsidRPr="007A091E">
        <w:rPr>
          <w:lang w:val="es-ES"/>
        </w:rPr>
        <w:t xml:space="preserve"> </w:t>
      </w:r>
      <w:r>
        <w:rPr>
          <w:lang w:val="es-ES"/>
        </w:rPr>
        <w:tab/>
      </w:r>
      <w:hyperlink r:id="rId21" w:history="1">
        <w:r w:rsidRPr="00447B2B">
          <w:rPr>
            <w:rStyle w:val="Hyperlink"/>
            <w:lang w:val="es-ES"/>
          </w:rPr>
          <w:t>CAT/C/SWE/FCO/8</w:t>
        </w:r>
      </w:hyperlink>
      <w:r w:rsidRPr="007A091E">
        <w:rPr>
          <w:lang w:val="es-ES"/>
        </w:rPr>
        <w:t>, para</w:t>
      </w:r>
      <w:r>
        <w:rPr>
          <w:lang w:val="es-ES"/>
        </w:rPr>
        <w:t xml:space="preserve">s. </w:t>
      </w:r>
      <w:r w:rsidRPr="00593B35">
        <w:rPr>
          <w:lang w:val="es-ES"/>
        </w:rPr>
        <w:t>10 and 11.</w:t>
      </w:r>
    </w:p>
  </w:footnote>
  <w:footnote w:id="23">
    <w:p w14:paraId="767BDEBD" w14:textId="77777777" w:rsidR="004009A2" w:rsidRPr="00593B35" w:rsidRDefault="004009A2" w:rsidP="004009A2">
      <w:pPr>
        <w:pStyle w:val="FootnoteText"/>
        <w:rPr>
          <w:lang w:val="es-ES"/>
        </w:rPr>
      </w:pPr>
      <w:r w:rsidRPr="00593B35">
        <w:rPr>
          <w:lang w:val="es-ES"/>
        </w:rPr>
        <w:tab/>
      </w:r>
      <w:r w:rsidRPr="00447B2B">
        <w:rPr>
          <w:rStyle w:val="FootnoteReference"/>
        </w:rPr>
        <w:footnoteRef/>
      </w:r>
      <w:r w:rsidRPr="00593B35">
        <w:rPr>
          <w:lang w:val="es-ES"/>
        </w:rPr>
        <w:t xml:space="preserve"> </w:t>
      </w:r>
      <w:r w:rsidRPr="00593B35">
        <w:rPr>
          <w:lang w:val="es-ES"/>
        </w:rPr>
        <w:tab/>
        <w:t>Ibid., para. 16.</w:t>
      </w:r>
    </w:p>
  </w:footnote>
  <w:footnote w:id="24">
    <w:p w14:paraId="091CE1CA" w14:textId="77777777" w:rsidR="004009A2" w:rsidRPr="00890C55" w:rsidRDefault="004009A2" w:rsidP="004009A2">
      <w:pPr>
        <w:pStyle w:val="FootnoteText"/>
      </w:pPr>
      <w:r w:rsidRPr="00593B35">
        <w:rPr>
          <w:lang w:val="es-ES"/>
        </w:rPr>
        <w:tab/>
      </w:r>
      <w:r w:rsidRPr="00447B2B">
        <w:rPr>
          <w:rStyle w:val="FootnoteReference"/>
        </w:rPr>
        <w:footnoteRef/>
      </w:r>
      <w:r w:rsidRPr="00593B35">
        <w:rPr>
          <w:lang w:val="es-ES"/>
        </w:rPr>
        <w:t xml:space="preserve"> </w:t>
      </w:r>
      <w:r w:rsidRPr="00593B35">
        <w:rPr>
          <w:lang w:val="es-ES"/>
        </w:rPr>
        <w:tab/>
        <w:t xml:space="preserve">Ibid., paras. </w:t>
      </w:r>
      <w:r>
        <w:t>12–</w:t>
      </w:r>
      <w:r w:rsidRPr="00890C55">
        <w:t>14.</w:t>
      </w:r>
    </w:p>
  </w:footnote>
  <w:footnote w:id="25">
    <w:p w14:paraId="340EAFDE" w14:textId="77777777" w:rsidR="004009A2" w:rsidRPr="00890C55" w:rsidRDefault="004009A2" w:rsidP="004009A2">
      <w:pPr>
        <w:pStyle w:val="FootnoteText"/>
      </w:pPr>
      <w:r w:rsidRPr="00890C55">
        <w:tab/>
      </w:r>
      <w:r w:rsidRPr="00447B2B">
        <w:rPr>
          <w:rStyle w:val="FootnoteReference"/>
        </w:rPr>
        <w:footnoteRef/>
      </w:r>
      <w:r w:rsidRPr="00890C55">
        <w:t xml:space="preserve"> </w:t>
      </w:r>
      <w:r w:rsidRPr="00890C55">
        <w:tab/>
      </w:r>
      <w:r w:rsidRPr="00890C55">
        <w:rPr>
          <w:lang w:val="en-US"/>
        </w:rPr>
        <w:t>See the conference room paper of the International Independent Expert Mechanism to Advance Racial Justice and Equality in Law Enforcement on its visit to Sweden,</w:t>
      </w:r>
      <w:r w:rsidRPr="00890C55">
        <w:t xml:space="preserve"> paras. 51</w:t>
      </w:r>
      <w:r>
        <w:t xml:space="preserve"> and 52, </w:t>
      </w:r>
      <w:r w:rsidRPr="00890C55">
        <w:rPr>
          <w:lang w:val="en-US"/>
        </w:rPr>
        <w:t>available at https://www.ohchr.org/en/documents/country-reports/ahrc54crp1-international-independent-expert-mechanism-advance-racial</w:t>
      </w:r>
      <w:r w:rsidRPr="00890C55">
        <w:t>.</w:t>
      </w:r>
    </w:p>
  </w:footnote>
  <w:footnote w:id="26">
    <w:p w14:paraId="327D94F1" w14:textId="41E20A3D" w:rsidR="004009A2" w:rsidRPr="00890C55" w:rsidRDefault="004009A2" w:rsidP="004009A2">
      <w:pPr>
        <w:pStyle w:val="FootnoteText"/>
        <w:rPr>
          <w:lang w:val="en-US"/>
        </w:rPr>
      </w:pPr>
      <w:r w:rsidRPr="00890C55">
        <w:tab/>
      </w:r>
      <w:r w:rsidRPr="00447B2B">
        <w:rPr>
          <w:rStyle w:val="FootnoteReference"/>
        </w:rPr>
        <w:footnoteRef/>
      </w:r>
      <w:r w:rsidRPr="00890C55">
        <w:t xml:space="preserve"> </w:t>
      </w:r>
      <w:r w:rsidRPr="00890C55">
        <w:tab/>
      </w:r>
      <w:hyperlink r:id="rId22" w:history="1">
        <w:r w:rsidRPr="00447B2B">
          <w:rPr>
            <w:rStyle w:val="Hyperlink"/>
          </w:rPr>
          <w:t>CRPD/C/SWE/CO/2-3</w:t>
        </w:r>
      </w:hyperlink>
      <w:r w:rsidRPr="00890C55">
        <w:t>, paras. 23 and 24</w:t>
      </w:r>
      <w:r w:rsidR="00C11A08">
        <w:t>.</w:t>
      </w:r>
    </w:p>
  </w:footnote>
  <w:footnote w:id="27">
    <w:p w14:paraId="16C7AB5C" w14:textId="77777777" w:rsidR="004009A2" w:rsidRPr="00344539" w:rsidRDefault="004009A2" w:rsidP="004009A2">
      <w:pPr>
        <w:pStyle w:val="FootnoteText"/>
        <w:rPr>
          <w:lang w:val="en-US"/>
        </w:rPr>
      </w:pPr>
      <w:r w:rsidRPr="00890C55">
        <w:tab/>
      </w:r>
      <w:r w:rsidRPr="00447B2B">
        <w:rPr>
          <w:rStyle w:val="FootnoteReference"/>
        </w:rPr>
        <w:footnoteRef/>
      </w:r>
      <w:r w:rsidRPr="00890C55">
        <w:t xml:space="preserve"> </w:t>
      </w:r>
      <w:r w:rsidRPr="00890C55">
        <w:tab/>
        <w:t>Ibid., paras. 32 and 34.</w:t>
      </w:r>
    </w:p>
  </w:footnote>
  <w:footnote w:id="28">
    <w:p w14:paraId="050598AE" w14:textId="31618664" w:rsidR="004009A2" w:rsidRPr="00A72D71" w:rsidRDefault="004009A2" w:rsidP="004009A2">
      <w:pPr>
        <w:pStyle w:val="FootnoteText"/>
      </w:pPr>
      <w:r w:rsidRPr="007A091E">
        <w:tab/>
      </w:r>
      <w:r w:rsidRPr="00447B2B">
        <w:rPr>
          <w:rStyle w:val="FootnoteReference"/>
        </w:rPr>
        <w:footnoteRef/>
      </w:r>
      <w:r w:rsidRPr="00FF53F1">
        <w:t xml:space="preserve"> </w:t>
      </w:r>
      <w:r>
        <w:tab/>
      </w:r>
      <w:hyperlink r:id="rId23" w:history="1">
        <w:r w:rsidRPr="00447B2B">
          <w:rPr>
            <w:rStyle w:val="Hyperlink"/>
          </w:rPr>
          <w:t>CAT/C/SWE/FCO/8</w:t>
        </w:r>
      </w:hyperlink>
      <w:r w:rsidRPr="00FF53F1">
        <w:t xml:space="preserve">, paras. </w:t>
      </w:r>
      <w:r>
        <w:t>27</w:t>
      </w:r>
      <w:r w:rsidRPr="00A72D71">
        <w:t xml:space="preserve"> and </w:t>
      </w:r>
      <w:r>
        <w:t>28.</w:t>
      </w:r>
    </w:p>
  </w:footnote>
  <w:footnote w:id="29">
    <w:p w14:paraId="42BEFDCA" w14:textId="709A6D7B" w:rsidR="004009A2" w:rsidRPr="006913AC" w:rsidRDefault="004009A2" w:rsidP="004009A2">
      <w:pPr>
        <w:pStyle w:val="FootnoteText"/>
        <w:rPr>
          <w:lang w:val="en-US"/>
        </w:rPr>
      </w:pPr>
      <w:r>
        <w:tab/>
      </w:r>
      <w:r w:rsidRPr="00447B2B">
        <w:rPr>
          <w:rStyle w:val="FootnoteReference"/>
        </w:rPr>
        <w:footnoteRef/>
      </w:r>
      <w:r w:rsidRPr="006913AC">
        <w:rPr>
          <w:lang w:val="en-US"/>
        </w:rPr>
        <w:t xml:space="preserve"> </w:t>
      </w:r>
      <w:r w:rsidRPr="006913AC">
        <w:rPr>
          <w:lang w:val="en-US"/>
        </w:rPr>
        <w:tab/>
      </w:r>
      <w:hyperlink r:id="rId24" w:history="1">
        <w:r w:rsidRPr="00447B2B">
          <w:rPr>
            <w:rStyle w:val="Hyperlink"/>
            <w:lang w:val="en-US"/>
          </w:rPr>
          <w:t>A/HRC/55/47/Add.2</w:t>
        </w:r>
      </w:hyperlink>
      <w:r w:rsidRPr="006913AC">
        <w:rPr>
          <w:lang w:val="en-US"/>
        </w:rPr>
        <w:t>, para. 98.</w:t>
      </w:r>
    </w:p>
  </w:footnote>
  <w:footnote w:id="30">
    <w:p w14:paraId="341AF92A" w14:textId="77777777" w:rsidR="004009A2" w:rsidRPr="007A091E" w:rsidRDefault="004009A2" w:rsidP="004009A2">
      <w:pPr>
        <w:pStyle w:val="FootnoteText"/>
      </w:pPr>
      <w:r w:rsidRPr="006913AC">
        <w:rPr>
          <w:lang w:val="en-US"/>
        </w:rPr>
        <w:tab/>
      </w:r>
      <w:r w:rsidRPr="00447B2B">
        <w:rPr>
          <w:rStyle w:val="FootnoteReference"/>
        </w:rPr>
        <w:footnoteRef/>
      </w:r>
      <w:r w:rsidRPr="006913AC">
        <w:rPr>
          <w:lang w:val="en-US"/>
        </w:rPr>
        <w:t xml:space="preserve"> </w:t>
      </w:r>
      <w:r w:rsidRPr="006913AC">
        <w:rPr>
          <w:lang w:val="en-US"/>
        </w:rPr>
        <w:tab/>
      </w:r>
      <w:r w:rsidRPr="00EF7002">
        <w:rPr>
          <w:lang w:val="en-US"/>
        </w:rPr>
        <w:t>See the conference room paper of</w:t>
      </w:r>
      <w:r>
        <w:rPr>
          <w:lang w:val="en-US"/>
        </w:rPr>
        <w:t xml:space="preserve"> the</w:t>
      </w:r>
      <w:r w:rsidRPr="00EF7002">
        <w:rPr>
          <w:lang w:val="en-US"/>
        </w:rPr>
        <w:t xml:space="preserve"> </w:t>
      </w:r>
      <w:r w:rsidRPr="00E4711C">
        <w:rPr>
          <w:lang w:val="en-US"/>
        </w:rPr>
        <w:t>International Independent Expert Mechanism to Advance Racial Justice and Equality in Law Enforcement</w:t>
      </w:r>
      <w:r>
        <w:rPr>
          <w:lang w:val="en-US"/>
        </w:rPr>
        <w:t xml:space="preserve"> on its visit to Sweden</w:t>
      </w:r>
      <w:r w:rsidRPr="006913AC">
        <w:rPr>
          <w:lang w:val="en-US"/>
        </w:rPr>
        <w:t xml:space="preserve">, paras. </w:t>
      </w:r>
      <w:r w:rsidRPr="007A091E">
        <w:t>51 and</w:t>
      </w:r>
      <w:r>
        <w:t xml:space="preserve">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16F05" w14:textId="77777777" w:rsidR="00636A1E" w:rsidRDefault="00636A1E" w:rsidP="00636A1E">
    <w:pPr>
      <w:pStyle w:val="Header"/>
    </w:pPr>
    <w:r>
      <w:t>CAT/C/SWE/QPR/9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25A42" w14:textId="77777777" w:rsidR="00636A1E" w:rsidRDefault="00636A1E" w:rsidP="00636A1E">
    <w:pPr>
      <w:pStyle w:val="Header"/>
      <w:jc w:val="right"/>
    </w:pPr>
    <w:r>
      <w:t>CAT/C/SWE/QPR/9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5999572">
    <w:abstractNumId w:val="3"/>
  </w:num>
  <w:num w:numId="2" w16cid:durableId="493451788">
    <w:abstractNumId w:val="2"/>
  </w:num>
  <w:num w:numId="3" w16cid:durableId="1114711058">
    <w:abstractNumId w:val="0"/>
  </w:num>
  <w:num w:numId="4" w16cid:durableId="369576345">
    <w:abstractNumId w:val="4"/>
  </w:num>
  <w:num w:numId="5" w16cid:durableId="1071464863">
    <w:abstractNumId w:val="5"/>
  </w:num>
  <w:num w:numId="6" w16cid:durableId="1216623314">
    <w:abstractNumId w:val="6"/>
  </w:num>
  <w:num w:numId="7" w16cid:durableId="1869640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195C40"/>
    <w:rsid w:val="000004EF"/>
    <w:rsid w:val="00046E92"/>
    <w:rsid w:val="00062024"/>
    <w:rsid w:val="00091ABF"/>
    <w:rsid w:val="0011190E"/>
    <w:rsid w:val="00113E7B"/>
    <w:rsid w:val="00174FE0"/>
    <w:rsid w:val="0017535D"/>
    <w:rsid w:val="00195C4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009A2"/>
    <w:rsid w:val="004227FF"/>
    <w:rsid w:val="00436EB9"/>
    <w:rsid w:val="00444C14"/>
    <w:rsid w:val="00447B2B"/>
    <w:rsid w:val="00461253"/>
    <w:rsid w:val="004A635B"/>
    <w:rsid w:val="004A6B08"/>
    <w:rsid w:val="004F256F"/>
    <w:rsid w:val="005042C2"/>
    <w:rsid w:val="005150EB"/>
    <w:rsid w:val="00515592"/>
    <w:rsid w:val="00535834"/>
    <w:rsid w:val="0054620A"/>
    <w:rsid w:val="005869C8"/>
    <w:rsid w:val="00593B35"/>
    <w:rsid w:val="006365DF"/>
    <w:rsid w:val="00636A1E"/>
    <w:rsid w:val="00671529"/>
    <w:rsid w:val="006A7265"/>
    <w:rsid w:val="006D6FAD"/>
    <w:rsid w:val="006E1B45"/>
    <w:rsid w:val="007237F2"/>
    <w:rsid w:val="007268F9"/>
    <w:rsid w:val="007309C0"/>
    <w:rsid w:val="007457BF"/>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BD7E40"/>
    <w:rsid w:val="00C11A08"/>
    <w:rsid w:val="00C27CE2"/>
    <w:rsid w:val="00C30068"/>
    <w:rsid w:val="00C35A27"/>
    <w:rsid w:val="00C77619"/>
    <w:rsid w:val="00C9269A"/>
    <w:rsid w:val="00D21609"/>
    <w:rsid w:val="00D645E0"/>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39381"/>
  <w15:docId w15:val="{1DE9D7DC-7715-4B7B-B578-113BA888E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4009A2"/>
    <w:rPr>
      <w:color w:val="0000FF"/>
      <w:u w:val="none"/>
    </w:rPr>
  </w:style>
  <w:style w:type="character" w:styleId="FollowedHyperlink">
    <w:name w:val="FollowedHyperlink"/>
    <w:basedOn w:val="DefaultParagraphFont"/>
    <w:uiPriority w:val="99"/>
    <w:semiHidden/>
    <w:unhideWhenUsed/>
    <w:rsid w:val="00447B2B"/>
    <w:rPr>
      <w:color w:val="0000FF"/>
      <w:u w:val="single"/>
    </w:rPr>
  </w:style>
  <w:style w:type="character" w:styleId="UnresolvedMention">
    <w:name w:val="Unresolved Mention"/>
    <w:basedOn w:val="DefaultParagraphFont"/>
    <w:uiPriority w:val="99"/>
    <w:semiHidden/>
    <w:unhideWhenUsed/>
    <w:rsid w:val="00447B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SWE/FCO/8" TargetMode="External"/><Relationship Id="rId13" Type="http://schemas.openxmlformats.org/officeDocument/2006/relationships/hyperlink" Target="http://undocs.org/en/CAT/C/SWE/CO/8" TargetMode="External"/><Relationship Id="rId18" Type="http://schemas.openxmlformats.org/officeDocument/2006/relationships/hyperlink" Target="https://spcommreports.ohchr.org/TMResultsBase/DownLoadPublicCommunicationFile?gId=27040" TargetMode="External"/><Relationship Id="rId3" Type="http://schemas.openxmlformats.org/officeDocument/2006/relationships/hyperlink" Target="http://undocs.org/en/CAT/C/SWE/CO/8" TargetMode="External"/><Relationship Id="rId21" Type="http://schemas.openxmlformats.org/officeDocument/2006/relationships/hyperlink" Target="http://undocs.org/en/CAT/C/SWE/FCO/8" TargetMode="External"/><Relationship Id="rId7" Type="http://schemas.openxmlformats.org/officeDocument/2006/relationships/hyperlink" Target="http://undocs.org/en/HRI/CORE/SWE/2024" TargetMode="External"/><Relationship Id="rId12" Type="http://schemas.openxmlformats.org/officeDocument/2006/relationships/hyperlink" Target="http://undocs.org/en/CEDAW/C/SWE/CO/10" TargetMode="External"/><Relationship Id="rId17" Type="http://schemas.openxmlformats.org/officeDocument/2006/relationships/hyperlink" Target="http://undocs.org/en/CAT/C/SWE/FCO/8" TargetMode="External"/><Relationship Id="rId2" Type="http://schemas.openxmlformats.org/officeDocument/2006/relationships/hyperlink" Target="http://undocs.org/en/CAT/C/SWE/FCO/8" TargetMode="External"/><Relationship Id="rId16" Type="http://schemas.openxmlformats.org/officeDocument/2006/relationships/hyperlink" Target="https://spcommreports.ohchr.org/TMResultsBase/DownLoadPublicCommunicationFile?gId=28175" TargetMode="External"/><Relationship Id="rId20" Type="http://schemas.openxmlformats.org/officeDocument/2006/relationships/hyperlink" Target="http://undocs.org/en/CAT/C/SWE/CO/8" TargetMode="External"/><Relationship Id="rId1" Type="http://schemas.openxmlformats.org/officeDocument/2006/relationships/hyperlink" Target="http://undocs.org/en/CAT/C/SWE/CO/8" TargetMode="External"/><Relationship Id="rId6" Type="http://schemas.openxmlformats.org/officeDocument/2006/relationships/hyperlink" Target="http://undocs.org/en/CAT/C/SR.1842" TargetMode="External"/><Relationship Id="rId11" Type="http://schemas.openxmlformats.org/officeDocument/2006/relationships/hyperlink" Target="http://undocs.org/en/E/C.12/SWE/CO/7" TargetMode="External"/><Relationship Id="rId24" Type="http://schemas.openxmlformats.org/officeDocument/2006/relationships/hyperlink" Target="http://undocs.org/en/A/HRC/55/47/Add.2" TargetMode="External"/><Relationship Id="rId5" Type="http://schemas.openxmlformats.org/officeDocument/2006/relationships/hyperlink" Target="http://undocs.org/en/CAT/C/SWE/CO/8" TargetMode="External"/><Relationship Id="rId15" Type="http://schemas.openxmlformats.org/officeDocument/2006/relationships/hyperlink" Target="https://spcommreports.ohchr.org/TMResultsBase/DownLoadFile?gId=37706" TargetMode="External"/><Relationship Id="rId23" Type="http://schemas.openxmlformats.org/officeDocument/2006/relationships/hyperlink" Target="http://undocs.org/en/CAT/C/SWE/FCO/8" TargetMode="External"/><Relationship Id="rId10" Type="http://schemas.openxmlformats.org/officeDocument/2006/relationships/hyperlink" Target="http://undocs.org/en/CAT/C/SWE/CO/8" TargetMode="External"/><Relationship Id="rId19" Type="http://schemas.openxmlformats.org/officeDocument/2006/relationships/hyperlink" Target="https://spcommreports.ohchr.org/TMResultsBase/DownLoadFile?gId=36875" TargetMode="External"/><Relationship Id="rId4" Type="http://schemas.openxmlformats.org/officeDocument/2006/relationships/hyperlink" Target="http://undocs.org/en/CAT/C/SWE/8" TargetMode="External"/><Relationship Id="rId9" Type="http://schemas.openxmlformats.org/officeDocument/2006/relationships/hyperlink" Target="http://undocs.org/en/CAT/C/5/Add.1" TargetMode="External"/><Relationship Id="rId14" Type="http://schemas.openxmlformats.org/officeDocument/2006/relationships/hyperlink" Target="http://undocs.org/en/CAT/C/SWE/FCO/8" TargetMode="External"/><Relationship Id="rId22" Type="http://schemas.openxmlformats.org/officeDocument/2006/relationships/hyperlink" Target="http://undocs.org/en/CRPD/C/SWE/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4823</Words>
  <Characters>27468</Characters>
  <Application>Microsoft Office Word</Application>
  <DocSecurity>0</DocSecurity>
  <Lines>398</Lines>
  <Paragraphs>61</Paragraphs>
  <ScaleCrop>false</ScaleCrop>
  <HeadingPairs>
    <vt:vector size="2" baseType="variant">
      <vt:variant>
        <vt:lpstr>Title</vt:lpstr>
      </vt:variant>
      <vt:variant>
        <vt:i4>1</vt:i4>
      </vt:variant>
    </vt:vector>
  </HeadingPairs>
  <TitlesOfParts>
    <vt:vector size="1" baseType="lpstr">
      <vt:lpstr>CAT/C/SWE/QPR/9</vt:lpstr>
    </vt:vector>
  </TitlesOfParts>
  <Company>DCM</Company>
  <LinksUpToDate>false</LinksUpToDate>
  <CharactersWithSpaces>32284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CAT/C/SWE/QPR/9</dc:title>
  <dc:subject>2422270</dc:subject>
  <dc:creator>Giltsoff</dc:creator>
  <cp:keywords/>
  <dc:description/>
  <cp:lastModifiedBy>Ma. Cristina Brigoli</cp:lastModifiedBy>
  <cp:revision>2</cp:revision>
  <dcterms:created xsi:type="dcterms:W3CDTF">2024-12-12T13:55:00Z</dcterms:created>
  <dcterms:modified xsi:type="dcterms:W3CDTF">2024-12-12T13:55:00Z</dcterms:modified>
</cp:coreProperties>
</file>