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B9949C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1CBCA3" w14:textId="77777777" w:rsidR="002D5AAC" w:rsidRDefault="002D5AAC" w:rsidP="00DA2D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7D7DD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151D65B" w14:textId="26AB97C7" w:rsidR="002D5AAC" w:rsidRDefault="00DA2D99" w:rsidP="00DA2D99">
            <w:pPr>
              <w:jc w:val="right"/>
            </w:pPr>
            <w:r w:rsidRPr="00DA2D99">
              <w:rPr>
                <w:sz w:val="40"/>
              </w:rPr>
              <w:t>A</w:t>
            </w:r>
            <w:r>
              <w:t>/HRC/57/L.12</w:t>
            </w:r>
          </w:p>
        </w:tc>
      </w:tr>
      <w:tr w:rsidR="002D5AAC" w14:paraId="05E758F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B1617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C2AB82C" wp14:editId="0DE8583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F5E9B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D546C1" w14:textId="77777777" w:rsidR="002D5AAC" w:rsidRDefault="00DA2D9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1F7FBA68" w14:textId="77777777" w:rsidR="00DA2D99" w:rsidRDefault="00DA2D99" w:rsidP="00DA2D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October 2024</w:t>
            </w:r>
          </w:p>
          <w:p w14:paraId="76CD737E" w14:textId="77777777" w:rsidR="00DA2D99" w:rsidRDefault="00DA2D99" w:rsidP="00DA2D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A136A71" w14:textId="73914E7F" w:rsidR="00DA2D99" w:rsidRPr="00E71476" w:rsidRDefault="00DA2D99" w:rsidP="00DA2D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74D463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08F4CBA" w14:textId="77777777" w:rsidR="00DA2D99" w:rsidRPr="002F733D" w:rsidRDefault="00DA2D99" w:rsidP="00DA2D99">
      <w:pPr>
        <w:rPr>
          <w:b/>
          <w:bCs/>
          <w:color w:val="000000"/>
        </w:rPr>
      </w:pPr>
      <w:r>
        <w:rPr>
          <w:b/>
          <w:bCs/>
        </w:rPr>
        <w:t>Пятьдесят седьмая сессия</w:t>
      </w:r>
    </w:p>
    <w:p w14:paraId="447F7448" w14:textId="77777777" w:rsidR="00DA2D99" w:rsidRPr="002F733D" w:rsidRDefault="00DA2D99" w:rsidP="00DA2D99">
      <w:pPr>
        <w:rPr>
          <w:color w:val="000000"/>
        </w:rPr>
      </w:pPr>
      <w:r>
        <w:t>9 сентября — 11 октября 2024 года</w:t>
      </w:r>
    </w:p>
    <w:p w14:paraId="689CB99B" w14:textId="77777777" w:rsidR="00DA2D99" w:rsidRPr="002F733D" w:rsidRDefault="00DA2D99" w:rsidP="00DA2D99">
      <w:r>
        <w:t>Пункт 4 повестки дня</w:t>
      </w:r>
    </w:p>
    <w:p w14:paraId="5F896C23" w14:textId="3291C364" w:rsidR="00DA2D99" w:rsidRPr="002F733D" w:rsidRDefault="00DA2D99" w:rsidP="00DA2D99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  <w:lang w:val="en-US"/>
        </w:rPr>
        <w:br/>
      </w:r>
      <w:r>
        <w:rPr>
          <w:b/>
          <w:bCs/>
        </w:rPr>
        <w:t>требующие внимания со стороны Совета</w:t>
      </w:r>
    </w:p>
    <w:p w14:paraId="36066C15" w14:textId="05CA77E7" w:rsidR="00DA2D99" w:rsidRPr="002F733D" w:rsidRDefault="00DA2D99" w:rsidP="00DA2D9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Австрия</w:t>
      </w:r>
      <w:r w:rsidRPr="00DA2D99">
        <w:t>*</w:t>
      </w:r>
      <w:r>
        <w:rPr>
          <w:b/>
          <w:bCs/>
        </w:rPr>
        <w:t>, Андорра</w:t>
      </w:r>
      <w:r w:rsidRPr="00DA2D99">
        <w:rPr>
          <w:rStyle w:val="aa"/>
          <w:bCs/>
          <w:sz w:val="20"/>
          <w:szCs w:val="20"/>
          <w:vertAlign w:val="baseline"/>
        </w:rPr>
        <w:footnoteReference w:customMarkFollows="1" w:id="1"/>
        <w:t>*</w:t>
      </w:r>
      <w:r>
        <w:t xml:space="preserve">, </w:t>
      </w:r>
      <w:r>
        <w:rPr>
          <w:b/>
          <w:bCs/>
        </w:rPr>
        <w:t>Албания, Бельгия, Болгария, Венгрия</w:t>
      </w:r>
      <w:r w:rsidRPr="00DA2D99">
        <w:t>*</w:t>
      </w:r>
      <w:r>
        <w:rPr>
          <w:b/>
          <w:bCs/>
        </w:rPr>
        <w:t>, Германия, Греция</w:t>
      </w:r>
      <w:r w:rsidRPr="00DA2D99">
        <w:t>*</w:t>
      </w:r>
      <w:r>
        <w:rPr>
          <w:b/>
          <w:bCs/>
        </w:rPr>
        <w:t>, Дания</w:t>
      </w:r>
      <w:r w:rsidRPr="00DA2D99">
        <w:t>*</w:t>
      </w:r>
      <w:r>
        <w:rPr>
          <w:b/>
          <w:bCs/>
        </w:rPr>
        <w:t>, Ирландия</w:t>
      </w:r>
      <w:r w:rsidRPr="00DA2D99">
        <w:t>*</w:t>
      </w:r>
      <w:r>
        <w:rPr>
          <w:b/>
          <w:bCs/>
        </w:rPr>
        <w:t>, Исландия</w:t>
      </w:r>
      <w:r w:rsidRPr="00DA2D99">
        <w:t>*</w:t>
      </w:r>
      <w:r>
        <w:rPr>
          <w:b/>
          <w:bCs/>
        </w:rPr>
        <w:t>, Испания</w:t>
      </w:r>
      <w:r w:rsidRPr="00DA2D99">
        <w:t>*</w:t>
      </w:r>
      <w:r>
        <w:rPr>
          <w:b/>
          <w:bCs/>
        </w:rPr>
        <w:t>, Италия</w:t>
      </w:r>
      <w:r w:rsidRPr="00DA2D99">
        <w:t>*</w:t>
      </w:r>
      <w:r>
        <w:rPr>
          <w:b/>
          <w:bCs/>
        </w:rPr>
        <w:t>, Кипр</w:t>
      </w:r>
      <w:r w:rsidRPr="00DA2D99">
        <w:t>*</w:t>
      </w:r>
      <w:r>
        <w:rPr>
          <w:b/>
          <w:bCs/>
        </w:rPr>
        <w:t>, Коста-Рика, Латвия</w:t>
      </w:r>
      <w:r w:rsidRPr="00DA2D99">
        <w:t>*</w:t>
      </w:r>
      <w:r>
        <w:rPr>
          <w:b/>
          <w:bCs/>
        </w:rPr>
        <w:t>, Литва, Лихтенштейн</w:t>
      </w:r>
      <w:r w:rsidRPr="00DA2D99">
        <w:t>*</w:t>
      </w:r>
      <w:r>
        <w:rPr>
          <w:b/>
          <w:bCs/>
        </w:rPr>
        <w:t>, Люксембург, Мальта</w:t>
      </w:r>
      <w:r w:rsidRPr="00DA2D99">
        <w:t>*</w:t>
      </w:r>
      <w:r>
        <w:rPr>
          <w:b/>
          <w:bCs/>
        </w:rPr>
        <w:t>, Монако</w:t>
      </w:r>
      <w:r w:rsidRPr="00DA2D99">
        <w:t>*</w:t>
      </w:r>
      <w:r>
        <w:rPr>
          <w:b/>
          <w:bCs/>
        </w:rPr>
        <w:t>, Нидерланды (Королевство), Норвегия</w:t>
      </w:r>
      <w:r w:rsidRPr="00DA2D99">
        <w:t>*</w:t>
      </w:r>
      <w:r>
        <w:rPr>
          <w:b/>
          <w:bCs/>
        </w:rPr>
        <w:t>, Польша</w:t>
      </w:r>
      <w:r w:rsidRPr="00DA2D99">
        <w:t>*</w:t>
      </w:r>
      <w:r>
        <w:rPr>
          <w:b/>
          <w:bCs/>
        </w:rPr>
        <w:t>, Португалия</w:t>
      </w:r>
      <w:r w:rsidRPr="00DA2D99">
        <w:t>*</w:t>
      </w:r>
      <w:r>
        <w:rPr>
          <w:b/>
          <w:bCs/>
        </w:rPr>
        <w:t>, Румыния, Словакия</w:t>
      </w:r>
      <w:r w:rsidRPr="00DA2D99">
        <w:t>*</w:t>
      </w:r>
      <w:r>
        <w:rPr>
          <w:b/>
          <w:bCs/>
        </w:rPr>
        <w:t>, Словения</w:t>
      </w:r>
      <w:r w:rsidRPr="00DA2D99">
        <w:t>*</w:t>
      </w:r>
      <w:r>
        <w:rPr>
          <w:b/>
          <w:bCs/>
        </w:rPr>
        <w:t>, Северная Македония</w:t>
      </w:r>
      <w:r w:rsidRPr="00DA2D99">
        <w:t>*</w:t>
      </w:r>
      <w:r>
        <w:rPr>
          <w:b/>
          <w:bCs/>
        </w:rPr>
        <w:t>, Соединенное Королевство Великобритании и Северной Ирландии</w:t>
      </w:r>
      <w:r w:rsidRPr="00DA2D99">
        <w:t>*</w:t>
      </w:r>
      <w:r>
        <w:rPr>
          <w:b/>
          <w:bCs/>
        </w:rPr>
        <w:t>, Украина</w:t>
      </w:r>
      <w:r w:rsidRPr="00DA2D99">
        <w:t>*</w:t>
      </w:r>
      <w:r>
        <w:rPr>
          <w:b/>
          <w:bCs/>
        </w:rPr>
        <w:t>, Финляндия, Франция, Хорватия</w:t>
      </w:r>
      <w:r w:rsidRPr="00DA2D99">
        <w:t>*</w:t>
      </w:r>
      <w:r>
        <w:rPr>
          <w:b/>
          <w:bCs/>
        </w:rPr>
        <w:t>, Черногория, Чехия</w:t>
      </w:r>
      <w:r w:rsidRPr="00DA2D99">
        <w:t>*</w:t>
      </w:r>
      <w:r>
        <w:rPr>
          <w:b/>
          <w:bCs/>
        </w:rPr>
        <w:t>, Швеция</w:t>
      </w:r>
      <w:r w:rsidRPr="00DA2D99">
        <w:t>*</w:t>
      </w:r>
      <w:r>
        <w:rPr>
          <w:b/>
          <w:bCs/>
        </w:rPr>
        <w:t xml:space="preserve"> и Эстония</w:t>
      </w:r>
      <w:r w:rsidRPr="00DA2D99">
        <w:t>*</w:t>
      </w:r>
      <w:r>
        <w:rPr>
          <w:b/>
          <w:bCs/>
        </w:rPr>
        <w:t>: проект резолюции</w:t>
      </w:r>
    </w:p>
    <w:p w14:paraId="2F6D34A7" w14:textId="09AB1B1E" w:rsidR="00DA2D99" w:rsidRPr="002F733D" w:rsidRDefault="00DA2D99" w:rsidP="00F03E83">
      <w:pPr>
        <w:pStyle w:val="H1G"/>
        <w:tabs>
          <w:tab w:val="left" w:pos="1985"/>
        </w:tabs>
      </w:pPr>
      <w:r w:rsidRPr="00DA2D99">
        <w:tab/>
      </w:r>
      <w:r w:rsidRPr="00DA2D99">
        <w:tab/>
      </w:r>
      <w:r>
        <w:t>57/…</w:t>
      </w:r>
      <w:r>
        <w:tab/>
        <w:t>Положение в области прав человека в Бурунди</w:t>
      </w:r>
    </w:p>
    <w:p w14:paraId="0B89A80A" w14:textId="77777777" w:rsidR="00DA2D99" w:rsidRPr="002F733D" w:rsidRDefault="00DA2D99" w:rsidP="00DA2D99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3B00320B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 w:rsidRPr="004030C9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другими соответствующими международными договорами по правам человека,</w:t>
      </w:r>
    </w:p>
    <w:p w14:paraId="118CA27F" w14:textId="47FAEE98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4030C9">
        <w:rPr>
          <w:i/>
          <w:iCs/>
        </w:rPr>
        <w:t>ссылаясь на</w:t>
      </w:r>
      <w:r>
        <w:t xml:space="preserve"> резолюции Совета по правам человека 30/27 от 2 октября 2015 года, S-24/1 от 17 декабря 2015 года, 33/24 от 30 сентября 2016 года, 36/2 от 28 сентября 2017 года, 36/19 от 29 сентября 2017 года, 39/14 от 28 сентября 2018 года, 42/26 от 27</w:t>
      </w:r>
      <w:r>
        <w:rPr>
          <w:lang w:val="en-US"/>
        </w:rPr>
        <w:t> </w:t>
      </w:r>
      <w:r>
        <w:t xml:space="preserve">сентября 2019 года, 45/19 от 6 октября 2020 года, 48/16 от 8 октября 2021 года, </w:t>
      </w:r>
      <w:r>
        <w:rPr>
          <w:lang w:val="en-US"/>
        </w:rPr>
        <w:br/>
      </w:r>
      <w:r>
        <w:t>51/28 от 7 октября 2022 года и 54/20 от 12 октября 2023 года, а также на все соответствующие резолюции Генеральной Ассамблеи и Совета Безопасности,</w:t>
      </w:r>
    </w:p>
    <w:p w14:paraId="5B429516" w14:textId="0F3298D9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264A52">
        <w:rPr>
          <w:i/>
          <w:iCs/>
        </w:rPr>
        <w:t>ссылаясь также на</w:t>
      </w:r>
      <w:r>
        <w:t xml:space="preserve"> Арушское соглашение о мире и примирении в Бурунди, которое опирается на принципы прав человека и правосудия переходного периода и закладывает основу для прочного мира, справедливости, национального примирения, безопасности и стабильности в Бурунди,</w:t>
      </w:r>
    </w:p>
    <w:p w14:paraId="245E5A9D" w14:textId="231E825E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264A52">
        <w:rPr>
          <w:i/>
          <w:iCs/>
        </w:rPr>
        <w:t>вновь подтверждая</w:t>
      </w:r>
      <w:r>
        <w:t xml:space="preserve"> полное уважение суверенитета, политической независимости, территориальной целостности и национального единства Бурунди,</w:t>
      </w:r>
    </w:p>
    <w:p w14:paraId="52C708E8" w14:textId="647C1934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264A52">
        <w:rPr>
          <w:i/>
          <w:iCs/>
        </w:rPr>
        <w:t>вновь подтверждая также</w:t>
      </w:r>
      <w:r>
        <w:t>, что государства обязаны уважать, защищать и осуществлять все права человека и основные свободы,</w:t>
      </w:r>
    </w:p>
    <w:p w14:paraId="38AD9E3F" w14:textId="07DFBD8E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264A52">
        <w:rPr>
          <w:i/>
          <w:iCs/>
        </w:rPr>
        <w:t>подчеркивая</w:t>
      </w:r>
      <w:r>
        <w:t>, что правительство Бурунди несет главную ответственность за обеспечение безопасности на территории своей страны и защиту своего населения при соблюдении международного права прав человека и международного гуманитарного права, в зависимости от конкретного случая,</w:t>
      </w:r>
    </w:p>
    <w:p w14:paraId="779CBB4A" w14:textId="4C97BBC2" w:rsidR="00DA2D99" w:rsidRPr="002F733D" w:rsidRDefault="00DA2D99" w:rsidP="00DA2D99">
      <w:pPr>
        <w:pStyle w:val="SingleTxtG"/>
        <w:rPr>
          <w:rFonts w:eastAsia="SimSun"/>
          <w:i/>
        </w:rPr>
      </w:pPr>
      <w:r>
        <w:lastRenderedPageBreak/>
        <w:tab/>
      </w:r>
      <w:r w:rsidRPr="00B77536">
        <w:rPr>
          <w:i/>
          <w:iCs/>
        </w:rPr>
        <w:t>ссылаясь на</w:t>
      </w:r>
      <w:r>
        <w:t xml:space="preserve"> то, что государства — члены Совета по правам человека должны демонстрировать самые высокие стандарты в области поощрения и защиты прав человека и в полной мере сотрудничать с Советом,</w:t>
      </w:r>
    </w:p>
    <w:p w14:paraId="52C9EF02" w14:textId="740ADA90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B77536">
        <w:rPr>
          <w:i/>
          <w:iCs/>
        </w:rPr>
        <w:t>учитывая</w:t>
      </w:r>
      <w:r>
        <w:t>, что международное сообщество и система Организации Объединенных Наций, включая Совет по правам человека и его механизмы, могут играть важнейшую роль в укреплении защиты прав человека, предотвращении нарушений и ущемлений прав человека и уменьшении опасности эскалации конфликтов и ухудшения положения в гуманитарной сфере,</w:t>
      </w:r>
    </w:p>
    <w:p w14:paraId="27E2F393" w14:textId="5F6FC564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 w:rsidRPr="00B77536">
        <w:rPr>
          <w:i/>
          <w:iCs/>
        </w:rPr>
        <w:t>приветствуя</w:t>
      </w:r>
      <w:r>
        <w:t xml:space="preserve"> доклад Специального докладчика по вопросу о положении в области прав человека в Бурунди, представленный Совету по правам человека на его нынешней сессии</w:t>
      </w:r>
      <w:r w:rsidRPr="00B72164">
        <w:rPr>
          <w:rFonts w:eastAsia="SimSun"/>
          <w:sz w:val="18"/>
          <w:szCs w:val="18"/>
          <w:vertAlign w:val="superscript"/>
          <w:lang w:eastAsia="hi-IN" w:bidi="hi-IN"/>
        </w:rPr>
        <w:footnoteReference w:id="2"/>
      </w:r>
      <w:r>
        <w:t>,</w:t>
      </w:r>
    </w:p>
    <w:p w14:paraId="48A70BB2" w14:textId="5DF46990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>
        <w:rPr>
          <w:i/>
          <w:iCs/>
        </w:rPr>
        <w:t>с удовлетворением отмечая</w:t>
      </w:r>
      <w:r>
        <w:t xml:space="preserve"> прогресс, достигнутый в отношении регионального и международного участия, борьбы с торговлей людьми и репатриации бурундийских беженцев, подчеркивая важность обеспечения безопасности и социальной интеграции репатриантов, о чем упоминает Специальный докладчик в своем предыдущем докладе</w:t>
      </w:r>
      <w:r>
        <w:rPr>
          <w:rStyle w:val="aa"/>
          <w:rFonts w:eastAsia="SimSun"/>
          <w:lang w:eastAsia="hi-IN" w:bidi="hi-IN"/>
        </w:rPr>
        <w:footnoteReference w:id="3"/>
      </w:r>
      <w:r>
        <w:t>, а также отмечая обязательства по обеспечению дальнейшего улучшения положения в области прав человека, благого управления и верховенства права,</w:t>
      </w:r>
    </w:p>
    <w:p w14:paraId="4B787578" w14:textId="0482AA29" w:rsidR="00DA2D99" w:rsidRPr="002F733D" w:rsidRDefault="00DA2D99" w:rsidP="00DA2D99">
      <w:pPr>
        <w:pStyle w:val="SingleTxtG"/>
        <w:rPr>
          <w:rFonts w:eastAsia="SimSun"/>
        </w:rPr>
      </w:pPr>
      <w:r>
        <w:tab/>
      </w:r>
      <w:r>
        <w:rPr>
          <w:i/>
          <w:iCs/>
        </w:rPr>
        <w:t>выражая глубокую обеспокоенность</w:t>
      </w:r>
      <w:r>
        <w:t xml:space="preserve"> нарушениями и ущемлениями прав человека в Бурунди и сожалея, что правительство Бурунди не сотрудничает с Советом по правам человека и его механизмами, включая Специального докладчика, при этом выражая также сожаление по поводу отсутствия конструктивного сотрудничества с Управлением Верховного комиссара Организации Объединенных Наций по правам человека, в том числе отсутствия прогресса в деле возобновления работы его странового отделения,</w:t>
      </w:r>
    </w:p>
    <w:p w14:paraId="673F5335" w14:textId="23C68924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1.</w:t>
      </w:r>
      <w:r>
        <w:tab/>
      </w:r>
      <w:r>
        <w:rPr>
          <w:i/>
          <w:iCs/>
        </w:rPr>
        <w:t xml:space="preserve">решительным образом осуждает </w:t>
      </w:r>
      <w:r>
        <w:t>все нарушения и ущемления прав человека, совершенные в Бурунди, включая внесудебные казни, насильственные исчезновения, произвольные аресты и задержания, пытки и другие жестокие, бесчеловечные или унижающие достоинство виды обращения и наказания и сексуальное и гендерное насилие, и призывает немедленно положить конец этим нарушениям и ущемлениям и обеспечить полное уважение всех прав человека и основных свобод;</w:t>
      </w:r>
    </w:p>
    <w:p w14:paraId="03681790" w14:textId="1287DDEE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2.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Бурунди гарантировать права на свободу мнений, их свободное выражение, мирные собрания и ассоциации, выражает сожаление по поводу сужения пространства для функционирования гражданского общества, проявления гражданской активности, участия в политической жизни и функционирования свободной и справедливой судебной системы, рекомендует правительству закрепить прогресс, достигнутый в области средств массовой информации, и подчеркивает необходимость создания правительством безопасных и благоприятных условий для гражданского общества, правозащитников, журналистов, блогеров и других работников средств массовой информации, включая женщин, работающих в этих профессиях, чтобы они могли выполнять свою работу независимо, без запугивания или необоснованного вмешательства, а также освобождения всех, кто все еще находится под стражей за свою деятельность в защиту прав человека;</w:t>
      </w:r>
    </w:p>
    <w:p w14:paraId="4B5C93BA" w14:textId="0159C19E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3.</w:t>
      </w:r>
      <w:r>
        <w:tab/>
      </w:r>
      <w:r>
        <w:rPr>
          <w:i/>
          <w:iCs/>
        </w:rPr>
        <w:t xml:space="preserve">осуждает </w:t>
      </w:r>
      <w:r>
        <w:t xml:space="preserve">широко распространенную безнаказанность за все нарушения и ущемления прав человека и настоятельно призывает правительство Бурунди привлекать всех виновных к ответственности за их действия, независимо от их принадлежности или статуса, включая военнослужащих и сотрудников органов безопасности и членов созданной при правящей партии молодежной лиги «Имбонеракуре», и обеспечивать жертвам возможность добиваться справедливости и доступа к средствам правовой защиты, а также рекомендует правительству </w:t>
      </w:r>
      <w:r>
        <w:lastRenderedPageBreak/>
        <w:t>пересмотреть свое решение о выходе из Римского статута Международного уголовного суда и выполнить свое правовое обязательство в полной мере сотрудничать с Судом в связи с проводимым им расследованием;</w:t>
      </w:r>
    </w:p>
    <w:p w14:paraId="399C2B0D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>
        <w:t>4.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создать условия, необходимые для проведения инклюзивных, прозрачных и заслуживающих доверия парламентских выборов в 2025 году в соответствии с его международными обязательствами и обязанностями;</w:t>
      </w:r>
    </w:p>
    <w:p w14:paraId="372C5B74" w14:textId="6B6568D1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5.</w:t>
      </w:r>
      <w:r>
        <w:tab/>
      </w:r>
      <w:r>
        <w:rPr>
          <w:i/>
          <w:iCs/>
        </w:rPr>
        <w:t xml:space="preserve">призывает также </w:t>
      </w:r>
      <w:r>
        <w:t>правительство Бурунди гарантировать полную независимость судебной системы;</w:t>
      </w:r>
    </w:p>
    <w:p w14:paraId="3BBD40CA" w14:textId="2C731064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6.</w:t>
      </w:r>
      <w:r>
        <w:tab/>
      </w:r>
      <w:r>
        <w:rPr>
          <w:i/>
          <w:iCs/>
        </w:rPr>
        <w:t xml:space="preserve">призывает далее </w:t>
      </w:r>
      <w:r>
        <w:t>правительство Бурунди предоставить Независимой национальной комиссии по правам человека все средства, необходимые для выполнения ее функций по поощрению и защите прав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и обеспечить ее независимость;</w:t>
      </w:r>
    </w:p>
    <w:p w14:paraId="666B6271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>
        <w:t>7.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полностью выполнить рекомендации Специального докладчика по вопросу о положении в области прав человека в Бурунди и Комиссии по расследованию событий в Бурунди, содержащиеся в их докладах, а также рекомендации, принятые к исполнению по итогам универсального периодического обзора, и в полной мере сотрудничать со специальными процедурами Совета по правам человека и соответствующими договорными органами;</w:t>
      </w:r>
    </w:p>
    <w:p w14:paraId="40AC79D1" w14:textId="55489216" w:rsidR="00DA2D99" w:rsidRPr="002F733D" w:rsidDel="002E46F5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8.</w:t>
      </w:r>
      <w:r>
        <w:tab/>
      </w:r>
      <w:r>
        <w:rPr>
          <w:i/>
          <w:iCs/>
        </w:rPr>
        <w:t>призывает также</w:t>
      </w:r>
      <w:r>
        <w:t xml:space="preserve"> правительство Бурунди воздерживаться от любых актов запугивания или репрессий в отношении правозащитников, в том числе тех, кто сотрудничает с международными правозащитными механизмами и Советом по правам человека;</w:t>
      </w:r>
    </w:p>
    <w:p w14:paraId="33CA2EED" w14:textId="5C1933F3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9.</w:t>
      </w:r>
      <w:r>
        <w:tab/>
      </w:r>
      <w:r>
        <w:rPr>
          <w:i/>
          <w:iCs/>
        </w:rPr>
        <w:t xml:space="preserve">рекомендует </w:t>
      </w:r>
      <w:r>
        <w:t>правительству Бурунди взаимодействовать в духе подлинной инклюзивности со всеми бурундийскими заинтересованными сторонами, действующими как внутри страны, так и за ее пределами, для эффективного решения многочисленных глубоко укоренившихся проблем, с которыми сталкивается Бурунди, и для реинтеграции репатриантов в бурундийское общество на устойчивой основе;</w:t>
      </w:r>
    </w:p>
    <w:p w14:paraId="6E77186E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>
        <w:t>10.</w:t>
      </w:r>
      <w:r>
        <w:tab/>
      </w:r>
      <w:r>
        <w:rPr>
          <w:i/>
          <w:iCs/>
        </w:rPr>
        <w:t xml:space="preserve">призывает </w:t>
      </w:r>
      <w:r>
        <w:t>правительство Бурунди предпринять значимые шаги по борьбе с дискриминацией во всех ее формах и обеспечить всем лицам на своей территории полное и равное использование прав человека и основных свобод в соответствии с международным правом прав человека;</w:t>
      </w:r>
    </w:p>
    <w:p w14:paraId="69F12819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>
        <w:t>11.</w:t>
      </w:r>
      <w:r>
        <w:tab/>
      </w:r>
      <w:r>
        <w:rPr>
          <w:i/>
          <w:iCs/>
        </w:rPr>
        <w:t xml:space="preserve">постановляет </w:t>
      </w:r>
      <w:r>
        <w:t>продлить мандат Специального докладчика по вопросу о положении в области прав человека в Бурунди еще на один год и просит Специального докладчика представить Совету по правам человека на его пятьдесят девятой сессии устную обновленную информацию о положении в области прав человека в Бурунди, а также представить Совету на его шестидесятой сессии и Генеральной Ассамблее на ее восьмидесятой сессии всеобъемлющий доклад;</w:t>
      </w:r>
    </w:p>
    <w:p w14:paraId="639C35E6" w14:textId="4DEAE8F0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12.</w:t>
      </w:r>
      <w:r>
        <w:tab/>
      </w:r>
      <w:r>
        <w:rPr>
          <w:i/>
          <w:iCs/>
        </w:rPr>
        <w:t xml:space="preserve">настоятельно призывает </w:t>
      </w:r>
      <w:r>
        <w:t>правительство Бурунди в полной мере сотрудничать со Специальным докладчиком, в том числе разрешив ему беспрепятственный доступ в страну, предоставив всю информацию, необходимую для надлежащего выполнения мандата, и содействуя обеспечению совместных обменов и синергии с Независимой национальной комиссией по правам человека в соответствии с публичными обязательствами нынешней администрации по продвижению прав человека и восстановлению взаимодействия с международным сообществом;</w:t>
      </w:r>
    </w:p>
    <w:p w14:paraId="7ACCAB31" w14:textId="47F71C19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13.</w:t>
      </w:r>
      <w:r>
        <w:tab/>
      </w:r>
      <w:r>
        <w:rPr>
          <w:i/>
          <w:iCs/>
        </w:rPr>
        <w:t xml:space="preserve">настоятельно призывает также </w:t>
      </w:r>
      <w:r>
        <w:t>правительство Бурунди конструктивно сотрудничать с Управлением Верховного комиссара Организации Объединенных Наций по правам человека, в частности с его региональным отделением для Центральной Африки, представить график возобновления работы странового отделения Управления Верховного комиссара в Бурунди и продолжать сотрудничать со страновой группой Организации Объединенных Наций в Бурунди;</w:t>
      </w:r>
    </w:p>
    <w:p w14:paraId="18D0738F" w14:textId="77777777" w:rsidR="00DA2D99" w:rsidRPr="002F733D" w:rsidRDefault="00DA2D99" w:rsidP="00DA2D99">
      <w:pPr>
        <w:pStyle w:val="SingleTxtG"/>
        <w:ind w:firstLine="567"/>
        <w:rPr>
          <w:rFonts w:eastAsia="SimSun"/>
        </w:rPr>
      </w:pPr>
      <w:r>
        <w:lastRenderedPageBreak/>
        <w:t>14.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предоставить Специальному докладчику помощь и все ресурсы, необходимые для выполнения мандата со всеми его функциями, как указано Советом по правам человека в его резолюции 48/16;</w:t>
      </w:r>
    </w:p>
    <w:p w14:paraId="0FEDF910" w14:textId="555ACDE1" w:rsidR="00DA2D99" w:rsidRPr="002F733D" w:rsidRDefault="00DA2D99" w:rsidP="00DA2D99">
      <w:pPr>
        <w:pStyle w:val="SingleTxtG"/>
        <w:rPr>
          <w:rFonts w:eastAsia="SimSun"/>
        </w:rPr>
      </w:pPr>
      <w:r>
        <w:rPr>
          <w:lang w:val="en-US"/>
        </w:rPr>
        <w:tab/>
      </w:r>
      <w:r>
        <w:t>15.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3778928F" w14:textId="77777777" w:rsidR="00DA2D99" w:rsidRPr="002F733D" w:rsidRDefault="00DA2D99" w:rsidP="00DA2D99">
      <w:pPr>
        <w:pStyle w:val="SingleTxtG"/>
        <w:spacing w:before="240" w:after="0"/>
        <w:ind w:left="0" w:right="0"/>
        <w:jc w:val="center"/>
        <w:rPr>
          <w:rFonts w:eastAsia="SimSun"/>
          <w:u w:val="single"/>
          <w:lang w:eastAsia="hi-IN" w:bidi="hi-IN"/>
        </w:rPr>
      </w:pPr>
      <w:r w:rsidRPr="002F733D">
        <w:rPr>
          <w:rFonts w:eastAsia="SimSun"/>
          <w:u w:val="single"/>
          <w:lang w:eastAsia="hi-IN" w:bidi="hi-IN"/>
        </w:rPr>
        <w:tab/>
      </w:r>
      <w:r w:rsidRPr="002F733D">
        <w:rPr>
          <w:rFonts w:eastAsia="SimSun"/>
          <w:u w:val="single"/>
          <w:lang w:eastAsia="hi-IN" w:bidi="hi-IN"/>
        </w:rPr>
        <w:tab/>
      </w:r>
      <w:r w:rsidRPr="002F733D">
        <w:rPr>
          <w:rFonts w:eastAsia="SimSun"/>
          <w:u w:val="single"/>
          <w:lang w:eastAsia="hi-IN" w:bidi="hi-IN"/>
        </w:rPr>
        <w:tab/>
      </w:r>
    </w:p>
    <w:p w14:paraId="79A31C6F" w14:textId="77777777" w:rsidR="00CB0692" w:rsidRPr="00DA2D99" w:rsidRDefault="00CB0692" w:rsidP="002E5067"/>
    <w:sectPr w:rsidR="00CB0692" w:rsidRPr="00DA2D99" w:rsidSect="00DA2D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C46BF" w14:textId="77777777" w:rsidR="00C72570" w:rsidRPr="00A312BC" w:rsidRDefault="00C72570" w:rsidP="00A312BC"/>
  </w:endnote>
  <w:endnote w:type="continuationSeparator" w:id="0">
    <w:p w14:paraId="281CCA1B" w14:textId="77777777" w:rsidR="00C72570" w:rsidRPr="00A312BC" w:rsidRDefault="00C7257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2B642" w14:textId="077E73CE" w:rsidR="00DA2D99" w:rsidRPr="00DA2D99" w:rsidRDefault="00DA2D99">
    <w:pPr>
      <w:pStyle w:val="a8"/>
    </w:pPr>
    <w:r w:rsidRPr="00DA2D99">
      <w:rPr>
        <w:b/>
        <w:sz w:val="18"/>
      </w:rPr>
      <w:fldChar w:fldCharType="begin"/>
    </w:r>
    <w:r w:rsidRPr="00DA2D99">
      <w:rPr>
        <w:b/>
        <w:sz w:val="18"/>
      </w:rPr>
      <w:instrText xml:space="preserve"> PAGE  \* MERGEFORMAT </w:instrText>
    </w:r>
    <w:r w:rsidRPr="00DA2D99">
      <w:rPr>
        <w:b/>
        <w:sz w:val="18"/>
      </w:rPr>
      <w:fldChar w:fldCharType="separate"/>
    </w:r>
    <w:r w:rsidRPr="00DA2D99">
      <w:rPr>
        <w:b/>
        <w:noProof/>
        <w:sz w:val="18"/>
      </w:rPr>
      <w:t>2</w:t>
    </w:r>
    <w:r w:rsidRPr="00DA2D99">
      <w:rPr>
        <w:b/>
        <w:sz w:val="18"/>
      </w:rPr>
      <w:fldChar w:fldCharType="end"/>
    </w:r>
    <w:r>
      <w:rPr>
        <w:b/>
        <w:sz w:val="18"/>
      </w:rPr>
      <w:tab/>
    </w:r>
    <w:r>
      <w:t>GE.24-17900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DFF56" w14:textId="03851259" w:rsidR="00DA2D99" w:rsidRPr="00DA2D99" w:rsidRDefault="00DA2D99" w:rsidP="00DA2D99">
    <w:pPr>
      <w:pStyle w:val="a8"/>
      <w:tabs>
        <w:tab w:val="clear" w:pos="9639"/>
        <w:tab w:val="right" w:pos="9638"/>
      </w:tabs>
      <w:rPr>
        <w:b/>
        <w:sz w:val="18"/>
      </w:rPr>
    </w:pPr>
    <w:r>
      <w:t>GE.24-17900</w:t>
    </w:r>
    <w:r>
      <w:tab/>
    </w:r>
    <w:r w:rsidRPr="00DA2D99">
      <w:rPr>
        <w:b/>
        <w:sz w:val="18"/>
      </w:rPr>
      <w:fldChar w:fldCharType="begin"/>
    </w:r>
    <w:r w:rsidRPr="00DA2D99">
      <w:rPr>
        <w:b/>
        <w:sz w:val="18"/>
      </w:rPr>
      <w:instrText xml:space="preserve"> PAGE  \* MERGEFORMAT </w:instrText>
    </w:r>
    <w:r w:rsidRPr="00DA2D99">
      <w:rPr>
        <w:b/>
        <w:sz w:val="18"/>
      </w:rPr>
      <w:fldChar w:fldCharType="separate"/>
    </w:r>
    <w:r w:rsidRPr="00DA2D99">
      <w:rPr>
        <w:b/>
        <w:noProof/>
        <w:sz w:val="18"/>
      </w:rPr>
      <w:t>3</w:t>
    </w:r>
    <w:r w:rsidRPr="00DA2D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6E9C7" w14:textId="3E8C9736" w:rsidR="00042B72" w:rsidRPr="00DA2D99" w:rsidRDefault="00DA2D99" w:rsidP="00DA2D9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57B796" wp14:editId="7CB5408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24-17900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56D3A6F" wp14:editId="48A66CF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031024  031024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CDC92" w14:textId="77777777" w:rsidR="00C72570" w:rsidRPr="001075E9" w:rsidRDefault="00C7257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CF158B" w14:textId="77777777" w:rsidR="00C72570" w:rsidRDefault="00C7257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9B572F" w14:textId="77777777" w:rsidR="00DA2D99" w:rsidRPr="002F733D" w:rsidRDefault="00DA2D99" w:rsidP="00DA2D99">
      <w:pPr>
        <w:pStyle w:val="ad"/>
      </w:pPr>
      <w:r>
        <w:tab/>
      </w:r>
      <w:r w:rsidRPr="00DA2D99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0D6C7ABF" w14:textId="77777777" w:rsidR="00DA2D99" w:rsidRDefault="00DA2D99" w:rsidP="00DA2D99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A/HRC/57/58.</w:t>
      </w:r>
    </w:p>
  </w:footnote>
  <w:footnote w:id="3">
    <w:p w14:paraId="15ADAE9B" w14:textId="77777777" w:rsidR="00DA2D99" w:rsidRPr="00B72164" w:rsidRDefault="00DA2D99" w:rsidP="00DA2D99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A/HRC/54/56.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C59F9" w14:textId="4BBAE03B" w:rsidR="00DA2D99" w:rsidRPr="00DA2D99" w:rsidRDefault="00DA2D99">
    <w:pPr>
      <w:pStyle w:val="a5"/>
    </w:pPr>
    <w:fldSimple w:instr=" TITLE  \* MERGEFORMAT ">
      <w:r w:rsidR="00E752B8">
        <w:t>A/HRC/57/L.12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6A396" w14:textId="3AAE35B1" w:rsidR="00DA2D99" w:rsidRPr="00DA2D99" w:rsidRDefault="00DA2D99" w:rsidP="00DA2D99">
    <w:pPr>
      <w:pStyle w:val="a5"/>
      <w:jc w:val="right"/>
    </w:pPr>
    <w:fldSimple w:instr=" TITLE  \* MERGEFORMAT ">
      <w:r w:rsidR="00E752B8">
        <w:t>A/HRC/57/L.12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472452772">
    <w:abstractNumId w:val="16"/>
  </w:num>
  <w:num w:numId="2" w16cid:durableId="455759779">
    <w:abstractNumId w:val="11"/>
  </w:num>
  <w:num w:numId="3" w16cid:durableId="1065419721">
    <w:abstractNumId w:val="10"/>
  </w:num>
  <w:num w:numId="4" w16cid:durableId="1065832553">
    <w:abstractNumId w:val="17"/>
  </w:num>
  <w:num w:numId="5" w16cid:durableId="1492216042">
    <w:abstractNumId w:val="13"/>
  </w:num>
  <w:num w:numId="6" w16cid:durableId="1504858005">
    <w:abstractNumId w:val="8"/>
  </w:num>
  <w:num w:numId="7" w16cid:durableId="1459107201">
    <w:abstractNumId w:val="3"/>
  </w:num>
  <w:num w:numId="8" w16cid:durableId="703791451">
    <w:abstractNumId w:val="2"/>
  </w:num>
  <w:num w:numId="9" w16cid:durableId="1478455328">
    <w:abstractNumId w:val="1"/>
  </w:num>
  <w:num w:numId="10" w16cid:durableId="2103989096">
    <w:abstractNumId w:val="0"/>
  </w:num>
  <w:num w:numId="11" w16cid:durableId="391585142">
    <w:abstractNumId w:val="9"/>
  </w:num>
  <w:num w:numId="12" w16cid:durableId="1066148527">
    <w:abstractNumId w:val="7"/>
  </w:num>
  <w:num w:numId="13" w16cid:durableId="1263107474">
    <w:abstractNumId w:val="6"/>
  </w:num>
  <w:num w:numId="14" w16cid:durableId="1600285883">
    <w:abstractNumId w:val="5"/>
  </w:num>
  <w:num w:numId="15" w16cid:durableId="1560050138">
    <w:abstractNumId w:val="4"/>
  </w:num>
  <w:num w:numId="16" w16cid:durableId="927544619">
    <w:abstractNumId w:val="15"/>
  </w:num>
  <w:num w:numId="17" w16cid:durableId="1889341679">
    <w:abstractNumId w:val="12"/>
  </w:num>
  <w:num w:numId="18" w16cid:durableId="338629030">
    <w:abstractNumId w:val="14"/>
  </w:num>
  <w:num w:numId="19" w16cid:durableId="329139105">
    <w:abstractNumId w:val="15"/>
  </w:num>
  <w:num w:numId="20" w16cid:durableId="443498321">
    <w:abstractNumId w:val="12"/>
  </w:num>
  <w:num w:numId="21" w16cid:durableId="132882515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7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1578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F014E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72570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2D99"/>
    <w:rsid w:val="00DC2121"/>
    <w:rsid w:val="00DD78D1"/>
    <w:rsid w:val="00DF71B9"/>
    <w:rsid w:val="00E71476"/>
    <w:rsid w:val="00E73F76"/>
    <w:rsid w:val="00E752B8"/>
    <w:rsid w:val="00EA2AAD"/>
    <w:rsid w:val="00EA2C9F"/>
    <w:rsid w:val="00EA420E"/>
    <w:rsid w:val="00EC27E8"/>
    <w:rsid w:val="00EC3F0F"/>
    <w:rsid w:val="00ED0BDA"/>
    <w:rsid w:val="00EF1360"/>
    <w:rsid w:val="00EF3220"/>
    <w:rsid w:val="00F03E83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9156F"/>
  <w15:docId w15:val="{206CED2B-0309-4577-AE52-67270E3F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1238</Words>
  <Characters>8529</Characters>
  <Application>Microsoft Office Word</Application>
  <DocSecurity>0</DocSecurity>
  <Lines>156</Lines>
  <Paragraphs>41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A/HRC/57/L.12</vt:lpstr>
      <vt:lpstr>A/</vt:lpstr>
      <vt:lpstr>A/</vt:lpstr>
      <vt:lpstr>A/</vt:lpstr>
    </vt:vector>
  </TitlesOfParts>
  <Company>DCM</Company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A/HRC/57/L.12</dc:title>
  <dc:subject/>
  <dc:creator>Sharkina</dc:creator>
  <cp:keywords/>
  <cp:lastModifiedBy>Sharkina</cp:lastModifiedBy>
  <cp:revision>3</cp:revision>
  <cp:lastPrinted>2024-10-03T08:14:00Z</cp:lastPrinted>
  <dcterms:created xsi:type="dcterms:W3CDTF">2024-10-03T08:14:00Z</dcterms:created>
  <dcterms:modified xsi:type="dcterms:W3CDTF">2024-10-03T08:15:00Z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