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00000" w:rsidRDefault="00000000">
      <w:pPr>
        <w:rPr>
          <w:sz w:val="2"/>
        </w:rPr>
      </w:pPr>
      <w:r>
        <w:rPr>
          <w:noProof/>
          <w:sz w:val="2"/>
          <w:lang w:val="en-US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7" type="#_x0000_t202" style="position:absolute;margin-left:0;margin-top:722.65pt;width:3in;height:18pt;z-index:1;mso-position-horizontal-relative:margin" filled="f" stroked="f">
            <v:textbox inset="0,0,0,0">
              <w:txbxContent>
                <w:p w:rsidR="00000000" w:rsidRDefault="00000000">
                  <w:r>
                    <w:rPr>
                      <w:lang w:val="en-US"/>
                    </w:rPr>
                    <w:t>GE.07-</w:t>
                  </w:r>
                  <w:r>
                    <w:rPr>
                      <w:lang w:val="en-US"/>
                    </w:rPr>
                    <w:fldChar w:fldCharType="begin"/>
                  </w:r>
                  <w:r>
                    <w:rPr>
                      <w:lang w:val="en-US"/>
                    </w:rPr>
                    <w:instrText xml:space="preserve"> FILLIN  "Введите номер документа" \* MERGEFORMAT </w:instrText>
                  </w:r>
                  <w:r>
                    <w:rPr>
                      <w:lang w:val="en-US"/>
                    </w:rPr>
                    <w:fldChar w:fldCharType="separate"/>
                  </w:r>
                  <w:r>
                    <w:rPr>
                      <w:lang w:val="en-US"/>
                    </w:rPr>
                    <w:t>40310</w:t>
                  </w:r>
                  <w:r>
                    <w:rPr>
                      <w:lang w:val="en-US"/>
                    </w:rPr>
                    <w:fldChar w:fldCharType="end"/>
                  </w:r>
                  <w:r>
                    <w:rPr>
                      <w:lang w:val="en-US"/>
                    </w:rPr>
                    <w:t xml:space="preserve">   (R)</w:t>
                  </w:r>
                  <w:r>
                    <w:t xml:space="preserve">     130207      140207</w:t>
                  </w:r>
                </w:p>
              </w:txbxContent>
            </v:textbox>
            <w10:wrap anchorx="margin"/>
            <w10:anchorlock/>
          </v:shape>
        </w:pict>
      </w:r>
    </w:p>
    <w:tbl>
      <w:tblPr>
        <w:tblW w:w="9639" w:type="dxa"/>
        <w:tblInd w:w="8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181"/>
        <w:gridCol w:w="4458"/>
      </w:tblGrid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5181" w:type="dxa"/>
            <w:tcBorders>
              <w:bottom w:val="single" w:sz="18" w:space="0" w:color="auto"/>
            </w:tcBorders>
          </w:tcPr>
          <w:p w:rsidR="00000000" w:rsidRDefault="00000000">
            <w:pPr>
              <w:tabs>
                <w:tab w:val="left" w:pos="0"/>
              </w:tabs>
              <w:suppressAutoHyphens/>
              <w:spacing w:line="216" w:lineRule="auto"/>
              <w:rPr>
                <w:b/>
                <w:sz w:val="30"/>
              </w:rPr>
            </w:pPr>
            <w:r>
              <w:rPr>
                <w:b/>
                <w:sz w:val="30"/>
              </w:rPr>
              <w:t>ОРГАНИЗАЦИЯ</w:t>
            </w:r>
            <w:r>
              <w:rPr>
                <w:b/>
                <w:sz w:val="30"/>
                <w:lang w:val="en-US"/>
              </w:rPr>
              <w:t xml:space="preserve"> </w:t>
            </w:r>
            <w:r>
              <w:rPr>
                <w:b/>
                <w:sz w:val="30"/>
                <w:lang w:val="en-US"/>
              </w:rPr>
              <w:br/>
            </w:r>
            <w:r>
              <w:rPr>
                <w:b/>
                <w:sz w:val="30"/>
              </w:rPr>
              <w:t>ОБЪЕДИНЕННЫХ НАЦИЙ</w:t>
            </w:r>
          </w:p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rPr>
                <w:b/>
              </w:rPr>
            </w:pPr>
          </w:p>
        </w:tc>
        <w:tc>
          <w:tcPr>
            <w:tcW w:w="4458" w:type="dxa"/>
            <w:tcBorders>
              <w:bottom w:val="single" w:sz="18" w:space="0" w:color="auto"/>
            </w:tcBorders>
          </w:tcPr>
          <w:p w:rsidR="00000000" w:rsidRDefault="00000000">
            <w:pPr>
              <w:pStyle w:val="Heading7"/>
            </w:pPr>
            <w:r>
              <w:t>CAT</w:t>
            </w:r>
          </w:p>
        </w:tc>
      </w:tr>
    </w:tbl>
    <w:p w:rsidR="00000000" w:rsidRDefault="00000000">
      <w:pPr>
        <w:tabs>
          <w:tab w:val="left" w:pos="0"/>
          <w:tab w:val="left" w:pos="7086"/>
        </w:tabs>
        <w:suppressAutoHyphens/>
        <w:spacing w:line="216" w:lineRule="auto"/>
      </w:pPr>
    </w:p>
    <w:tbl>
      <w:tblPr>
        <w:tblW w:w="0" w:type="auto"/>
        <w:tblInd w:w="8" w:type="dxa"/>
        <w:tblBorders>
          <w:bottom w:val="single" w:sz="36" w:space="0" w:color="auto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418"/>
        <w:gridCol w:w="5386"/>
        <w:gridCol w:w="2835"/>
      </w:tblGrid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hRule="exact" w:val="2268"/>
        </w:trPr>
        <w:tc>
          <w:tcPr>
            <w:tcW w:w="1418" w:type="dxa"/>
          </w:tcPr>
          <w:bookmarkStart w:id="0" w:name="_MON_1115032092"/>
          <w:bookmarkEnd w:id="0"/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ind w:left="30" w:right="270"/>
              <w:rPr>
                <w:sz w:val="2"/>
              </w:rPr>
            </w:pPr>
            <w:r>
              <w:object w:dxaOrig="1206" w:dyaOrig="989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60pt;height:49.5pt" o:ole="" fillcolor="window">
                  <v:imagedata r:id="rId7" o:title=""/>
                </v:shape>
                <o:OLEObject Type="Embed" ProgID="Word.Picture.8" ShapeID="_x0000_i1025" DrawAspect="Content" ObjectID="_1396018031" r:id="rId8"/>
              </w:object>
            </w:r>
          </w:p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1" w:lineRule="exact"/>
              <w:ind w:left="30" w:right="270"/>
              <w:rPr>
                <w:vanish/>
                <w:sz w:val="20"/>
              </w:rPr>
            </w:pPr>
            <w:r>
              <w:rPr>
                <w:vanish/>
                <w:sz w:val="20"/>
              </w:rPr>
              <w:fldChar w:fldCharType="begin"/>
            </w:r>
            <w:r>
              <w:rPr>
                <w:vanish/>
                <w:sz w:val="20"/>
              </w:rPr>
              <w:instrText>SEQ _endnote  \* ARABIC</w:instrText>
            </w:r>
            <w:r>
              <w:rPr>
                <w:vanish/>
                <w:sz w:val="20"/>
              </w:rPr>
              <w:fldChar w:fldCharType="separate"/>
            </w:r>
            <w:r>
              <w:rPr>
                <w:noProof/>
                <w:vanish/>
                <w:sz w:val="20"/>
              </w:rPr>
              <w:t>1</w:t>
            </w:r>
            <w:r>
              <w:rPr>
                <w:vanish/>
                <w:sz w:val="20"/>
              </w:rPr>
              <w:fldChar w:fldCharType="end"/>
            </w:r>
          </w:p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</w:pPr>
          </w:p>
        </w:tc>
        <w:tc>
          <w:tcPr>
            <w:tcW w:w="5386" w:type="dxa"/>
          </w:tcPr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240" w:lineRule="auto"/>
              <w:ind w:right="29"/>
            </w:pPr>
            <w:r>
              <w:rPr>
                <w:b/>
                <w:sz w:val="30"/>
              </w:rPr>
              <w:t xml:space="preserve">Конвенция против пыток </w:t>
            </w:r>
            <w:r>
              <w:rPr>
                <w:b/>
                <w:sz w:val="30"/>
              </w:rPr>
              <w:br/>
              <w:t xml:space="preserve">и других жестоких, бесчеловечных </w:t>
            </w:r>
            <w:r>
              <w:rPr>
                <w:b/>
                <w:sz w:val="30"/>
              </w:rPr>
              <w:br/>
              <w:t xml:space="preserve">или унижающих достоинство видов </w:t>
            </w:r>
            <w:r>
              <w:rPr>
                <w:b/>
                <w:sz w:val="30"/>
              </w:rPr>
              <w:br/>
              <w:t>обращения и наказания</w:t>
            </w:r>
          </w:p>
        </w:tc>
        <w:tc>
          <w:tcPr>
            <w:tcW w:w="2835" w:type="dxa"/>
          </w:tcPr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rPr>
                <w:sz w:val="22"/>
              </w:rPr>
            </w:pPr>
            <w:proofErr w:type="spellStart"/>
            <w:r>
              <w:rPr>
                <w:sz w:val="22"/>
              </w:rPr>
              <w:t>Distr</w:t>
            </w:r>
            <w:proofErr w:type="spellEnd"/>
            <w:r>
              <w:rPr>
                <w:sz w:val="22"/>
              </w:rPr>
              <w:t>.</w:t>
            </w:r>
          </w:p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rPr>
                <w:sz w:val="22"/>
              </w:rPr>
            </w:pPr>
            <w:r>
              <w:rPr>
                <w:sz w:val="22"/>
              </w:rPr>
              <w:fldChar w:fldCharType="begin">
                <w:ffData>
                  <w:name w:val="ПолеСоСписком1"/>
                  <w:enabled/>
                  <w:calcOnExit w:val="0"/>
                  <w:ddList>
                    <w:listEntry w:val="GENERAL"/>
                    <w:listEntry w:val="LIMITED"/>
                    <w:listEntry w:val="RESTRICTED"/>
                  </w:ddList>
                </w:ffData>
              </w:fldChar>
            </w:r>
            <w:bookmarkStart w:id="1" w:name="ПолеСоСписком1"/>
            <w:r>
              <w:rPr>
                <w:sz w:val="22"/>
              </w:rPr>
              <w:instrText xml:space="preserve"> FORMDROPDOWN </w:instrText>
            </w:r>
            <w:r>
              <w:rPr>
                <w:sz w:val="22"/>
              </w:rPr>
            </w:r>
            <w:r>
              <w:rPr>
                <w:sz w:val="22"/>
              </w:rPr>
              <w:fldChar w:fldCharType="end"/>
            </w:r>
            <w:bookmarkEnd w:id="1"/>
          </w:p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rPr>
                <w:sz w:val="22"/>
              </w:rPr>
            </w:pPr>
          </w:p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rPr>
                <w:sz w:val="22"/>
                <w:lang w:val="en-US"/>
              </w:rPr>
            </w:pPr>
            <w:r>
              <w:rPr>
                <w:sz w:val="22"/>
              </w:rPr>
              <w:fldChar w:fldCharType="begin"/>
            </w:r>
            <w:r>
              <w:rPr>
                <w:sz w:val="22"/>
                <w:lang w:val="en-US"/>
              </w:rPr>
              <w:instrText xml:space="preserve"> FILLIN "</w:instrText>
            </w:r>
            <w:r>
              <w:rPr>
                <w:sz w:val="22"/>
              </w:rPr>
              <w:instrText>Символ</w:instrText>
            </w:r>
            <w:r>
              <w:rPr>
                <w:sz w:val="22"/>
                <w:lang w:val="en-US"/>
              </w:rPr>
              <w:instrText xml:space="preserve"> </w:instrText>
            </w:r>
            <w:r>
              <w:rPr>
                <w:sz w:val="22"/>
              </w:rPr>
              <w:instrText>документа</w:instrText>
            </w:r>
            <w:r>
              <w:rPr>
                <w:sz w:val="22"/>
                <w:lang w:val="en-US"/>
              </w:rPr>
              <w:instrText xml:space="preserve">" \* MERGEFORMAT </w:instrText>
            </w:r>
            <w:r>
              <w:rPr>
                <w:sz w:val="22"/>
              </w:rPr>
              <w:fldChar w:fldCharType="separate"/>
            </w:r>
            <w:r>
              <w:rPr>
                <w:sz w:val="22"/>
                <w:lang w:val="en-US"/>
              </w:rPr>
              <w:t>CAT/C/</w:t>
            </w:r>
            <w:proofErr w:type="spellStart"/>
            <w:r>
              <w:rPr>
                <w:sz w:val="22"/>
                <w:lang w:val="en-US"/>
              </w:rPr>
              <w:t>TJK</w:t>
            </w:r>
            <w:proofErr w:type="spellEnd"/>
            <w:r>
              <w:rPr>
                <w:sz w:val="22"/>
                <w:lang w:val="en-US"/>
              </w:rPr>
              <w:t>/CO/1</w:t>
            </w:r>
            <w:r>
              <w:rPr>
                <w:sz w:val="22"/>
              </w:rPr>
              <w:fldChar w:fldCharType="end"/>
            </w:r>
          </w:p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rPr>
                <w:sz w:val="22"/>
              </w:rPr>
            </w:pPr>
            <w:r>
              <w:rPr>
                <w:sz w:val="22"/>
              </w:rPr>
              <w:fldChar w:fldCharType="begin"/>
            </w:r>
            <w:r>
              <w:rPr>
                <w:sz w:val="22"/>
              </w:rPr>
              <w:instrText xml:space="preserve"> FILLIN "Дата документа" \* MERGEFORMAT </w:instrText>
            </w:r>
            <w:r>
              <w:rPr>
                <w:sz w:val="22"/>
              </w:rPr>
              <w:fldChar w:fldCharType="separate"/>
            </w:r>
            <w:r>
              <w:rPr>
                <w:sz w:val="22"/>
              </w:rPr>
              <w:t xml:space="preserve">7 </w:t>
            </w:r>
            <w:proofErr w:type="spellStart"/>
            <w:r>
              <w:rPr>
                <w:sz w:val="22"/>
              </w:rPr>
              <w:t>December</w:t>
            </w:r>
            <w:proofErr w:type="spellEnd"/>
            <w:r>
              <w:rPr>
                <w:sz w:val="22"/>
              </w:rPr>
              <w:t xml:space="preserve"> 2006</w:t>
            </w:r>
            <w:r>
              <w:rPr>
                <w:sz w:val="22"/>
              </w:rPr>
              <w:fldChar w:fldCharType="end"/>
            </w:r>
          </w:p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rPr>
                <w:sz w:val="22"/>
              </w:rPr>
            </w:pPr>
          </w:p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rPr>
                <w:sz w:val="22"/>
              </w:rPr>
            </w:pPr>
            <w:proofErr w:type="spellStart"/>
            <w:r>
              <w:rPr>
                <w:sz w:val="22"/>
              </w:rPr>
              <w:t>RUSSIAN</w:t>
            </w:r>
            <w:proofErr w:type="spellEnd"/>
          </w:p>
          <w:p w:rsidR="00000000" w:rsidRDefault="00000000">
            <w:pPr>
              <w:spacing w:line="216" w:lineRule="auto"/>
              <w:rPr>
                <w:sz w:val="22"/>
              </w:rPr>
            </w:pPr>
            <w:proofErr w:type="spellStart"/>
            <w:r>
              <w:rPr>
                <w:sz w:val="22"/>
              </w:rPr>
              <w:t>Original</w:t>
            </w:r>
            <w:proofErr w:type="spellEnd"/>
            <w:r>
              <w:rPr>
                <w:sz w:val="22"/>
              </w:rPr>
              <w:t xml:space="preserve">:  </w:t>
            </w:r>
            <w:r>
              <w:rPr>
                <w:sz w:val="22"/>
              </w:rPr>
              <w:fldChar w:fldCharType="begin">
                <w:ffData>
                  <w:name w:val="ПолеСоСписком3"/>
                  <w:enabled/>
                  <w:calcOnExit w:val="0"/>
                  <w:ddList>
                    <w:listEntry w:val="ENGLISH"/>
                    <w:listEntry w:val="FRENCH"/>
                    <w:listEntry w:val="SPANISH"/>
                    <w:listEntry w:val="ARABIC"/>
                    <w:listEntry w:val="CHINESE"/>
                    <w:listEntry w:val="ENGLISH/FRENCH"/>
                  </w:ddList>
                </w:ffData>
              </w:fldChar>
            </w:r>
            <w:bookmarkStart w:id="2" w:name="ПолеСоСписком3"/>
            <w:r>
              <w:rPr>
                <w:sz w:val="22"/>
              </w:rPr>
              <w:instrText xml:space="preserve"> FORMDROPDOWN </w:instrText>
            </w:r>
            <w:r>
              <w:rPr>
                <w:sz w:val="22"/>
              </w:rPr>
            </w:r>
            <w:r>
              <w:rPr>
                <w:sz w:val="22"/>
              </w:rPr>
              <w:fldChar w:fldCharType="end"/>
            </w:r>
            <w:bookmarkEnd w:id="2"/>
          </w:p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ind w:left="29"/>
              <w:rPr>
                <w:sz w:val="22"/>
              </w:rPr>
            </w:pPr>
          </w:p>
        </w:tc>
      </w:tr>
    </w:tbl>
    <w:p w:rsidR="00000000" w:rsidRDefault="00000000">
      <w:pPr>
        <w:tabs>
          <w:tab w:val="left" w:pos="0"/>
          <w:tab w:val="left" w:pos="7086"/>
        </w:tabs>
        <w:suppressAutoHyphens/>
      </w:pPr>
    </w:p>
    <w:p w:rsidR="00000000" w:rsidRDefault="00000000">
      <w:r>
        <w:t>КОМИТЕТ ПРОТИВ ПЫТОК</w:t>
      </w:r>
    </w:p>
    <w:p w:rsidR="00000000" w:rsidRDefault="00000000">
      <w:r>
        <w:t>Тридцать седьмая сессия</w:t>
      </w:r>
    </w:p>
    <w:p w:rsidR="00000000" w:rsidRDefault="00000000">
      <w:r>
        <w:t>Женева, 6-24 ноября 2006 года</w:t>
      </w:r>
    </w:p>
    <w:p w:rsidR="00000000" w:rsidRDefault="00000000">
      <w:pPr>
        <w:rPr>
          <w:lang w:val="en-US"/>
        </w:rPr>
      </w:pPr>
    </w:p>
    <w:p w:rsidR="00000000" w:rsidRDefault="00000000"/>
    <w:p w:rsidR="00000000" w:rsidRDefault="00000000"/>
    <w:p w:rsidR="00000000" w:rsidRDefault="00000000">
      <w:pPr>
        <w:jc w:val="center"/>
        <w:rPr>
          <w:b/>
          <w:bCs/>
        </w:rPr>
      </w:pPr>
      <w:r>
        <w:rPr>
          <w:b/>
          <w:bCs/>
        </w:rPr>
        <w:t>РАССМОТРЕНИЕ ДОКЛАДОВ, ПРЕДСТАВЛЯЕМЫХ ГОСУДАРСТВАМИ-УЧАСТНИКАМИ В СООТВЕТСТВИИ СО СТАТЬЕЙ 19 КОНВЕНЦИИ</w:t>
      </w:r>
    </w:p>
    <w:p w:rsidR="00000000" w:rsidRDefault="00000000">
      <w:pPr>
        <w:jc w:val="center"/>
        <w:rPr>
          <w:b/>
          <w:bCs/>
        </w:rPr>
      </w:pPr>
    </w:p>
    <w:p w:rsidR="00000000" w:rsidRDefault="00000000">
      <w:pPr>
        <w:jc w:val="center"/>
        <w:rPr>
          <w:b/>
          <w:bCs/>
        </w:rPr>
      </w:pPr>
      <w:r>
        <w:rPr>
          <w:b/>
          <w:bCs/>
        </w:rPr>
        <w:t>Выводы и рекомендации Комитета против пыток</w:t>
      </w:r>
    </w:p>
    <w:p w:rsidR="00000000" w:rsidRDefault="00000000">
      <w:pPr>
        <w:jc w:val="center"/>
        <w:rPr>
          <w:b/>
          <w:bCs/>
        </w:rPr>
      </w:pPr>
    </w:p>
    <w:p w:rsidR="00000000" w:rsidRDefault="00000000">
      <w:pPr>
        <w:jc w:val="center"/>
      </w:pPr>
      <w:r>
        <w:rPr>
          <w:b/>
          <w:bCs/>
        </w:rPr>
        <w:t>ТАДЖИКИСТАН</w:t>
      </w:r>
    </w:p>
    <w:p w:rsidR="00000000" w:rsidRDefault="00000000">
      <w:pPr>
        <w:jc w:val="center"/>
      </w:pPr>
    </w:p>
    <w:p w:rsidR="00000000" w:rsidRDefault="00000000">
      <w:r>
        <w:t>1.</w:t>
      </w:r>
      <w:r>
        <w:tab/>
        <w:t>Комитет рассмотрел первоначальный доклад Таджикистана (</w:t>
      </w:r>
      <w:r>
        <w:rPr>
          <w:lang w:val="en-US"/>
        </w:rPr>
        <w:t>CAT</w:t>
      </w:r>
      <w:r>
        <w:t>/</w:t>
      </w:r>
      <w:r>
        <w:rPr>
          <w:lang w:val="en-US"/>
        </w:rPr>
        <w:t>C</w:t>
      </w:r>
      <w:r>
        <w:t>/</w:t>
      </w:r>
      <w:proofErr w:type="spellStart"/>
      <w:r>
        <w:rPr>
          <w:lang w:val="en-US"/>
        </w:rPr>
        <w:t>TJK</w:t>
      </w:r>
      <w:proofErr w:type="spellEnd"/>
      <w:r>
        <w:t>/1) на своих 726-м и 729-м заседаниях (</w:t>
      </w:r>
      <w:r>
        <w:rPr>
          <w:lang w:val="en-US"/>
        </w:rPr>
        <w:t>CAT</w:t>
      </w:r>
      <w:r>
        <w:t>/</w:t>
      </w:r>
      <w:r>
        <w:rPr>
          <w:lang w:val="en-US"/>
        </w:rPr>
        <w:t>C</w:t>
      </w:r>
      <w:r>
        <w:t>/</w:t>
      </w:r>
      <w:r>
        <w:rPr>
          <w:lang w:val="en-US"/>
        </w:rPr>
        <w:t>SR</w:t>
      </w:r>
      <w:r>
        <w:t>.726 и 729), состоявшихся 7 и 8 ноября 2006 года, и на своем 744-м заседании, состоявшемся 20 ноября 2006 года (</w:t>
      </w:r>
      <w:r>
        <w:rPr>
          <w:lang w:val="en-US"/>
        </w:rPr>
        <w:t>CAT</w:t>
      </w:r>
      <w:r>
        <w:t>/</w:t>
      </w:r>
      <w:r>
        <w:rPr>
          <w:lang w:val="en-US"/>
        </w:rPr>
        <w:t>C</w:t>
      </w:r>
      <w:r>
        <w:t>/</w:t>
      </w:r>
      <w:r>
        <w:rPr>
          <w:lang w:val="en-US"/>
        </w:rPr>
        <w:t>SR</w:t>
      </w:r>
      <w:r>
        <w:t>.744), принял следующие выводы и рекомендации.</w:t>
      </w:r>
    </w:p>
    <w:p w:rsidR="00000000" w:rsidRDefault="00000000"/>
    <w:p w:rsidR="00000000" w:rsidRDefault="00000000">
      <w:pPr>
        <w:jc w:val="center"/>
      </w:pPr>
      <w:r>
        <w:rPr>
          <w:b/>
          <w:bCs/>
        </w:rPr>
        <w:t>А.</w:t>
      </w:r>
      <w:r>
        <w:rPr>
          <w:b/>
          <w:bCs/>
        </w:rPr>
        <w:tab/>
        <w:t>Введение</w:t>
      </w:r>
    </w:p>
    <w:p w:rsidR="00000000" w:rsidRDefault="00000000">
      <w:pPr>
        <w:jc w:val="center"/>
      </w:pPr>
    </w:p>
    <w:p w:rsidR="00000000" w:rsidRDefault="00000000">
      <w:r>
        <w:t>2.</w:t>
      </w:r>
      <w:r>
        <w:tab/>
        <w:t>Комитет приветствует первоначальный доклад Таджикистана и ту ценную информацию, которая в нем содержится, хотя и отмечает, что доклад представлен с 10</w:t>
      </w:r>
      <w:r>
        <w:noBreakHyphen/>
        <w:t>летним опозданием.  Кроме того, данный доклад должен охватывать весь период 1995</w:t>
      </w:r>
      <w:r>
        <w:noBreakHyphen/>
        <w:t>2004 годов, а не только 2000-2004 годы.</w:t>
      </w:r>
    </w:p>
    <w:p w:rsidR="00000000" w:rsidRDefault="00000000"/>
    <w:p w:rsidR="00000000" w:rsidRDefault="00000000">
      <w:r>
        <w:t>3.</w:t>
      </w:r>
      <w:r>
        <w:tab/>
        <w:t>Комитет приветствует дополнительную информацию, представленную делегацией высокого уровня в ее вступительных замечаниях, и ее готовность ответить на заданные вопросы.  Вместе с тем Комитет отмечает, что из-за нехватки времени многие вопросы, заданные членами Комитета в ходе рассмотрения первоначального доклада, остались без ответа.</w:t>
      </w:r>
    </w:p>
    <w:p w:rsidR="00000000" w:rsidRDefault="00000000"/>
    <w:p w:rsidR="00000000" w:rsidRDefault="00000000">
      <w:pPr>
        <w:keepNext/>
        <w:jc w:val="center"/>
      </w:pPr>
      <w:r>
        <w:rPr>
          <w:b/>
          <w:bCs/>
        </w:rPr>
        <w:t>В.</w:t>
      </w:r>
      <w:r>
        <w:rPr>
          <w:b/>
          <w:bCs/>
        </w:rPr>
        <w:tab/>
        <w:t>Позитивные аспекты</w:t>
      </w:r>
    </w:p>
    <w:p w:rsidR="00000000" w:rsidRDefault="00000000">
      <w:pPr>
        <w:keepNext/>
        <w:jc w:val="center"/>
      </w:pPr>
    </w:p>
    <w:p w:rsidR="00000000" w:rsidRDefault="00000000">
      <w:pPr>
        <w:keepNext/>
      </w:pPr>
      <w:r>
        <w:t>4.</w:t>
      </w:r>
      <w:r>
        <w:tab/>
        <w:t>Комитет отмечает принятие следующих позитивных мер:</w:t>
      </w:r>
    </w:p>
    <w:p w:rsidR="00000000" w:rsidRDefault="00000000">
      <w:pPr>
        <w:keepNext/>
      </w:pPr>
    </w:p>
    <w:p w:rsidR="00000000" w:rsidRDefault="00000000">
      <w:r>
        <w:tab/>
        <w:t>а)</w:t>
      </w:r>
      <w:r>
        <w:rPr>
          <w:b/>
          <w:bCs/>
        </w:rPr>
        <w:tab/>
      </w:r>
      <w:r>
        <w:t>ратификацию государством-участником основных международных договоров по правам человека, включая Конвенцию против пыток и других жестоких, бесчеловечных или унижающих достоинство видов обращения и наказания, Международный пакт об экономических, социальных и культурных правах, Международный пакт о гражданских и политических правах, Международную конвенцию о ликвидации всех форм расовой дискриминации, Конвенцию о ликвидации всех форм дискриминации в отношении женщин, Конвенцию о правах ребенка и Международную конвенцию о защите прав всех трудящихся-мигрантов и членов их семей;</w:t>
      </w:r>
    </w:p>
    <w:p w:rsidR="00000000" w:rsidRDefault="00000000"/>
    <w:p w:rsidR="00000000" w:rsidRDefault="00000000">
      <w:r>
        <w:tab/>
      </w:r>
      <w:r>
        <w:rPr>
          <w:lang w:val="en-US"/>
        </w:rPr>
        <w:t>b</w:t>
      </w:r>
      <w:r>
        <w:t>)</w:t>
      </w:r>
      <w:r>
        <w:tab/>
        <w:t>ратификацию других важных договоров, способствующих защите прав человека, таких, как Римский статут Международного уголовного суда и Конвенция Организации Объединенных Наций против коррупции;</w:t>
      </w:r>
    </w:p>
    <w:p w:rsidR="00000000" w:rsidRDefault="00000000"/>
    <w:p w:rsidR="00000000" w:rsidRDefault="00000000">
      <w:r>
        <w:tab/>
        <w:t>с)</w:t>
      </w:r>
      <w:r>
        <w:tab/>
        <w:t>учреждение правительственной комиссии по обеспечению выполнения международных обязательств в области прав человека и Управления по конституционным гарантиям прав граждан;</w:t>
      </w:r>
    </w:p>
    <w:p w:rsidR="00000000" w:rsidRDefault="00000000"/>
    <w:p w:rsidR="00000000" w:rsidRDefault="00000000">
      <w:r>
        <w:tab/>
      </w:r>
      <w:r>
        <w:rPr>
          <w:lang w:val="en-US"/>
        </w:rPr>
        <w:t>d</w:t>
      </w:r>
      <w:r>
        <w:t>)</w:t>
      </w:r>
      <w:r>
        <w:tab/>
        <w:t>передачу полномочий по управлению пенитенциарной системой, которая находилась в ведении министерства внутренних дел, министерству юстиции;</w:t>
      </w:r>
    </w:p>
    <w:p w:rsidR="00000000" w:rsidRDefault="00000000"/>
    <w:p w:rsidR="00000000" w:rsidRDefault="00000000">
      <w:r>
        <w:tab/>
      </w:r>
      <w:proofErr w:type="spellStart"/>
      <w:r>
        <w:t>е</w:t>
      </w:r>
      <w:proofErr w:type="spellEnd"/>
      <w:r>
        <w:t>)</w:t>
      </w:r>
      <w:r>
        <w:tab/>
        <w:t>инициацию международной проверки, о чем свидетельствует разрешение государства-участника на посещение страны в 2005 году Специальным докладчиком по вопросу о независимости судей и адвокатов;</w:t>
      </w:r>
    </w:p>
    <w:p w:rsidR="00000000" w:rsidRDefault="00000000"/>
    <w:p w:rsidR="00000000" w:rsidRDefault="00000000">
      <w:r>
        <w:tab/>
      </w:r>
      <w:r>
        <w:rPr>
          <w:lang w:val="en-US"/>
        </w:rPr>
        <w:t>f</w:t>
      </w:r>
      <w:r>
        <w:t>)</w:t>
      </w:r>
      <w:r>
        <w:tab/>
        <w:t>заверения представителя государства-участника о том, что надлежащее внимание будет уделено вопросу о включении в проект уголовного кодекса положения об ордерах на арест;</w:t>
      </w:r>
    </w:p>
    <w:p w:rsidR="00000000" w:rsidRDefault="00000000"/>
    <w:p w:rsidR="00000000" w:rsidRDefault="00000000">
      <w:r>
        <w:tab/>
      </w:r>
      <w:r>
        <w:rPr>
          <w:lang w:val="en-US"/>
        </w:rPr>
        <w:t>g</w:t>
      </w:r>
      <w:r>
        <w:t>)</w:t>
      </w:r>
      <w:r>
        <w:tab/>
        <w:t>проводимая государством-участником политика по смягчению всех вынесенных смертных приговоров;</w:t>
      </w:r>
    </w:p>
    <w:p w:rsidR="00000000" w:rsidRDefault="00000000"/>
    <w:p w:rsidR="00000000" w:rsidRDefault="00000000">
      <w:r>
        <w:tab/>
      </w:r>
      <w:r>
        <w:rPr>
          <w:lang w:val="en-US"/>
        </w:rPr>
        <w:t>h</w:t>
      </w:r>
      <w:r>
        <w:t>)</w:t>
      </w:r>
      <w:r>
        <w:tab/>
        <w:t>принятие статьи 130 Уголовного кодекса, квалифицирующей торговлю людьми в качестве уголовного преступления.</w:t>
      </w:r>
    </w:p>
    <w:p w:rsidR="00000000" w:rsidRDefault="00000000">
      <w:pPr>
        <w:jc w:val="center"/>
      </w:pPr>
      <w:r>
        <w:rPr>
          <w:b/>
          <w:bCs/>
        </w:rPr>
        <w:br w:type="page"/>
        <w:t>С.</w:t>
      </w:r>
      <w:r>
        <w:rPr>
          <w:b/>
          <w:bCs/>
        </w:rPr>
        <w:tab/>
        <w:t>Проблемы, вызывающие озабоченность, и рекомендации</w:t>
      </w:r>
    </w:p>
    <w:p w:rsidR="00000000" w:rsidRDefault="00000000">
      <w:pPr>
        <w:jc w:val="center"/>
      </w:pPr>
    </w:p>
    <w:p w:rsidR="00000000" w:rsidRDefault="00000000">
      <w:r>
        <w:rPr>
          <w:b/>
          <w:bCs/>
        </w:rPr>
        <w:t>Определение</w:t>
      </w:r>
    </w:p>
    <w:p w:rsidR="00000000" w:rsidRDefault="00000000"/>
    <w:p w:rsidR="00000000" w:rsidRDefault="00000000">
      <w:r>
        <w:t>5.</w:t>
      </w:r>
      <w:r>
        <w:tab/>
        <w:t>Определение пытки, содержащееся в национальном законодательстве (статьи 117, 316 и 356 Уголовного кодекса 1998 года) не в полной мере соответствует определению, содержащемуся в статье 1 Конвенции, особенно в том, что касается целей применения пытки и ее распространения на всех государственных должностных лиц и других лиц, действующих в официальном качестве.</w:t>
      </w:r>
    </w:p>
    <w:p w:rsidR="00000000" w:rsidRDefault="00000000"/>
    <w:p w:rsidR="00000000" w:rsidRDefault="00000000">
      <w:pPr>
        <w:ind w:left="567"/>
      </w:pPr>
      <w:r>
        <w:rPr>
          <w:b/>
          <w:bCs/>
        </w:rPr>
        <w:t>Государству-участнику следует привести свое национальное законодательство в соответствие со статьей 1 Конвенции, в котором закреплялись бы все изложенные в ней цели, а также обеспечить, чтобы акты пыток, совершенные агентами государства, включая покушение на совершение пыток или соучастие в их совершении, приказы о применении пыток или участие в них, квалифицировались в качестве уголовных преступлений, наказуемых в порядке, пропорциональном тяжести совершенных деяний.</w:t>
      </w:r>
    </w:p>
    <w:p w:rsidR="00000000" w:rsidRDefault="00000000">
      <w:pPr>
        <w:ind w:left="567"/>
      </w:pPr>
    </w:p>
    <w:p w:rsidR="00000000" w:rsidRDefault="00000000">
      <w:pPr>
        <w:rPr>
          <w:b/>
          <w:bCs/>
        </w:rPr>
      </w:pPr>
      <w:r>
        <w:rPr>
          <w:b/>
          <w:bCs/>
        </w:rPr>
        <w:t>Пытки</w:t>
      </w:r>
    </w:p>
    <w:p w:rsidR="00000000" w:rsidRDefault="00000000">
      <w:pPr>
        <w:rPr>
          <w:b/>
          <w:bCs/>
        </w:rPr>
      </w:pPr>
    </w:p>
    <w:p w:rsidR="00000000" w:rsidRDefault="00000000">
      <w:r>
        <w:t>6.</w:t>
      </w:r>
      <w:r>
        <w:tab/>
        <w:t>Существуют многочисленные утверждения о широком распространении практики пыток и жестокого обращения со стороны персонала правоприменительных и следственных органов, в частности для получения признаний для использования в ходе уголовного судопроизводства.  Кроме того, не принимаются профилактические меры для обеспечения эффективной защиты всех членов общества от пыток и жестокого обращения.</w:t>
      </w:r>
    </w:p>
    <w:p w:rsidR="00000000" w:rsidRDefault="00000000"/>
    <w:p w:rsidR="00000000" w:rsidRDefault="00000000">
      <w:pPr>
        <w:ind w:left="567"/>
        <w:rPr>
          <w:b/>
          <w:bCs/>
        </w:rPr>
      </w:pPr>
      <w:r>
        <w:rPr>
          <w:b/>
          <w:bCs/>
        </w:rPr>
        <w:t>Государству-участнику следует публично осудить практику пыток и принять незамедлительные и эффективные меры для предупреждения всех актов пыток, совершаемых в стране, уделяя особое внимание предупреждению любых таких актов, совершаемых сотрудниками правоприменительных органов и органов уголовной юстиции.</w:t>
      </w:r>
    </w:p>
    <w:p w:rsidR="00000000" w:rsidRDefault="00000000">
      <w:pPr>
        <w:ind w:left="567"/>
        <w:rPr>
          <w:b/>
          <w:bCs/>
        </w:rPr>
      </w:pPr>
    </w:p>
    <w:p w:rsidR="00000000" w:rsidRDefault="00000000">
      <w:pPr>
        <w:rPr>
          <w:b/>
          <w:bCs/>
        </w:rPr>
      </w:pPr>
      <w:r>
        <w:rPr>
          <w:b/>
          <w:bCs/>
        </w:rPr>
        <w:t>Содержание под стражей</w:t>
      </w:r>
    </w:p>
    <w:p w:rsidR="00000000" w:rsidRDefault="00000000">
      <w:pPr>
        <w:rPr>
          <w:b/>
          <w:bCs/>
        </w:rPr>
      </w:pPr>
    </w:p>
    <w:p w:rsidR="00000000" w:rsidRDefault="00000000">
      <w:r>
        <w:t>7.</w:t>
      </w:r>
      <w:r>
        <w:tab/>
        <w:t>Комитет также обеспокоен следующим:</w:t>
      </w:r>
    </w:p>
    <w:p w:rsidR="00000000" w:rsidRDefault="00000000"/>
    <w:p w:rsidR="00000000" w:rsidRDefault="00000000">
      <w:r>
        <w:br w:type="page"/>
      </w:r>
      <w:r>
        <w:tab/>
        <w:t>а)</w:t>
      </w:r>
      <w:r>
        <w:tab/>
        <w:t>отсутствием установленного в законе обязательства регистрировать задержанных сразу же после лишения их свободы, в том числе до официального ареста и предъявления обвинения, отсутствием надлежащих протоколов, касающихся ареста и задержания лиц, и непроведением регулярных и независимых медицинских осмотров;</w:t>
      </w:r>
    </w:p>
    <w:p w:rsidR="00000000" w:rsidRDefault="00000000"/>
    <w:p w:rsidR="00000000" w:rsidRDefault="00000000">
      <w:r>
        <w:tab/>
      </w:r>
      <w:proofErr w:type="spellStart"/>
      <w:r>
        <w:t>b</w:t>
      </w:r>
      <w:proofErr w:type="spellEnd"/>
      <w:r>
        <w:t>)</w:t>
      </w:r>
      <w:r>
        <w:tab/>
        <w:t>многочисленными и постоянно поступающими сообщениями о создании препятствий в деле получения доступа к адвокату, проведения независимой медицинской экспертизы и установления контактов с родственниками сразу же после ареста, что обусловлено существованием законодательства и практики, которые допускают отсрочку вышеуказанных контактов до регистрации факта ареста, а сам доступ предоставляется только по разрешению/просьбе должностных лиц;</w:t>
      </w:r>
    </w:p>
    <w:p w:rsidR="00000000" w:rsidRDefault="00000000"/>
    <w:p w:rsidR="00000000" w:rsidRDefault="00000000">
      <w:r>
        <w:tab/>
        <w:t>с)</w:t>
      </w:r>
      <w:r>
        <w:tab/>
        <w:t>сообщениями о том, что незаконные ограничения возможности доступа к адвокатам, врачам и членам семьи, устанавливаемые агентами государства, не расследуются и не наказываются;</w:t>
      </w:r>
    </w:p>
    <w:p w:rsidR="00000000" w:rsidRDefault="00000000"/>
    <w:p w:rsidR="00000000" w:rsidRDefault="00000000">
      <w:r>
        <w:tab/>
      </w:r>
      <w:proofErr w:type="spellStart"/>
      <w:r>
        <w:t>d</w:t>
      </w:r>
      <w:proofErr w:type="spellEnd"/>
      <w:r>
        <w:t>)</w:t>
      </w:r>
      <w:r>
        <w:tab/>
        <w:t>отсутствием основополагающих гарантий обеспечения судебного надзора над задержаниями, поскольку прокуратура также уполномочена осуществлять такой надзор;</w:t>
      </w:r>
    </w:p>
    <w:p w:rsidR="00000000" w:rsidRDefault="00000000"/>
    <w:p w:rsidR="00000000" w:rsidRDefault="00000000">
      <w:r>
        <w:tab/>
      </w:r>
      <w:proofErr w:type="spellStart"/>
      <w:r>
        <w:t>е</w:t>
      </w:r>
      <w:proofErr w:type="spellEnd"/>
      <w:r>
        <w:t>)</w:t>
      </w:r>
      <w:r>
        <w:tab/>
        <w:t>широким применением практики досудебного содержания под стражей, продолжительность которого может достигать 15 месяцев;  и</w:t>
      </w:r>
    </w:p>
    <w:p w:rsidR="00000000" w:rsidRDefault="00000000"/>
    <w:p w:rsidR="00000000" w:rsidRDefault="00000000">
      <w:r>
        <w:tab/>
      </w:r>
      <w:proofErr w:type="spellStart"/>
      <w:r>
        <w:t>f</w:t>
      </w:r>
      <w:proofErr w:type="spellEnd"/>
      <w:r>
        <w:t>)</w:t>
      </w:r>
      <w:r>
        <w:tab/>
        <w:t>высоким количеством лиц, умерших в период содержания под стражей.</w:t>
      </w:r>
    </w:p>
    <w:p w:rsidR="00000000" w:rsidRDefault="00000000"/>
    <w:p w:rsidR="00000000" w:rsidRDefault="00000000">
      <w:pPr>
        <w:rPr>
          <w:b/>
          <w:bCs/>
        </w:rPr>
      </w:pPr>
      <w:r>
        <w:tab/>
      </w:r>
      <w:r>
        <w:rPr>
          <w:b/>
          <w:bCs/>
        </w:rPr>
        <w:t>Государству участнику следует:</w:t>
      </w:r>
    </w:p>
    <w:p w:rsidR="00000000" w:rsidRDefault="00000000">
      <w:pPr>
        <w:rPr>
          <w:b/>
          <w:bCs/>
        </w:rPr>
      </w:pPr>
    </w:p>
    <w:p w:rsidR="00000000" w:rsidRDefault="00000000">
      <w:pPr>
        <w:ind w:left="1134" w:hanging="1134"/>
        <w:rPr>
          <w:b/>
          <w:bCs/>
        </w:rPr>
      </w:pPr>
      <w:r>
        <w:rPr>
          <w:b/>
          <w:bCs/>
        </w:rPr>
        <w:tab/>
        <w:t>а)</w:t>
      </w:r>
      <w:r>
        <w:rPr>
          <w:b/>
          <w:bCs/>
        </w:rPr>
        <w:tab/>
        <w:t>принять меры для обеспечения того, чтобы задержанные получали незамедлительный доступ к адвокату, врачу и членам семьи с момента взятия под стражу, и обеспечить, чтобы правовая помощь и независимая медицинская экспертиза обеспечивались по просьбе задержанных лиц, а не только по разрешению должностных лиц;</w:t>
      </w:r>
    </w:p>
    <w:p w:rsidR="00000000" w:rsidRDefault="00000000">
      <w:pPr>
        <w:rPr>
          <w:b/>
          <w:bCs/>
        </w:rPr>
      </w:pPr>
    </w:p>
    <w:p w:rsidR="00000000" w:rsidRDefault="00000000">
      <w:pPr>
        <w:ind w:left="1134" w:hanging="1134"/>
        <w:rPr>
          <w:b/>
          <w:bCs/>
        </w:rPr>
      </w:pPr>
      <w:r>
        <w:rPr>
          <w:b/>
          <w:bCs/>
        </w:rPr>
        <w:tab/>
      </w:r>
      <w:proofErr w:type="spellStart"/>
      <w:r>
        <w:rPr>
          <w:b/>
          <w:bCs/>
        </w:rPr>
        <w:t>b</w:t>
      </w:r>
      <w:proofErr w:type="spellEnd"/>
      <w:r>
        <w:rPr>
          <w:b/>
          <w:bCs/>
        </w:rPr>
        <w:t>)</w:t>
      </w:r>
      <w:r>
        <w:rPr>
          <w:b/>
          <w:bCs/>
        </w:rPr>
        <w:tab/>
        <w:t>принять меры для создания списков задержанных в каждом месте содержания под стражей с указанием фамилии каждого задержанного лица, времени и даты уведомления адвокатов, врачей и членов семьи и результатов независимого медицинского обследования.  Эти данные должны быть доступны как минимум самому задержанному и его/ее адвокатам;</w:t>
      </w:r>
    </w:p>
    <w:p w:rsidR="00000000" w:rsidRDefault="00000000">
      <w:pPr>
        <w:rPr>
          <w:b/>
          <w:bCs/>
        </w:rPr>
      </w:pPr>
    </w:p>
    <w:p w:rsidR="00000000" w:rsidRDefault="00000000">
      <w:pPr>
        <w:ind w:left="1134" w:hanging="1134"/>
        <w:rPr>
          <w:b/>
          <w:bCs/>
        </w:rPr>
      </w:pPr>
      <w:r>
        <w:rPr>
          <w:b/>
          <w:bCs/>
        </w:rPr>
        <w:tab/>
        <w:t>с)</w:t>
      </w:r>
      <w:r>
        <w:rPr>
          <w:b/>
          <w:bCs/>
        </w:rPr>
        <w:tab/>
        <w:t>рассмотреть возможность создания медицинской службы, независимой от министерства внутренних дел и министерства юстиции, для проведения осмотра задержанных при аресте и освобождении в обычном порядке и по их просьбе отдельно или совместно с соответствующим независимым органом, занимающимся вопросами судебно-медицинской экспертизы;</w:t>
      </w:r>
    </w:p>
    <w:p w:rsidR="00000000" w:rsidRDefault="00000000">
      <w:pPr>
        <w:rPr>
          <w:b/>
          <w:bCs/>
        </w:rPr>
      </w:pPr>
    </w:p>
    <w:p w:rsidR="00000000" w:rsidRDefault="00000000">
      <w:pPr>
        <w:ind w:left="1134" w:hanging="1134"/>
        <w:rPr>
          <w:b/>
          <w:bCs/>
        </w:rPr>
      </w:pPr>
      <w:r>
        <w:rPr>
          <w:b/>
          <w:bCs/>
        </w:rPr>
        <w:tab/>
      </w:r>
      <w:proofErr w:type="spellStart"/>
      <w:r>
        <w:rPr>
          <w:b/>
          <w:bCs/>
        </w:rPr>
        <w:t>d</w:t>
      </w:r>
      <w:proofErr w:type="spellEnd"/>
      <w:r>
        <w:rPr>
          <w:b/>
          <w:bCs/>
        </w:rPr>
        <w:t>)</w:t>
      </w:r>
      <w:r>
        <w:rPr>
          <w:b/>
          <w:bCs/>
        </w:rPr>
        <w:tab/>
        <w:t>принять меры для сокращения существующего срока досудебного содержания под стражей (дознания);</w:t>
      </w:r>
    </w:p>
    <w:p w:rsidR="00000000" w:rsidRDefault="00000000">
      <w:pPr>
        <w:rPr>
          <w:b/>
          <w:bCs/>
        </w:rPr>
      </w:pPr>
    </w:p>
    <w:p w:rsidR="00000000" w:rsidRDefault="00000000">
      <w:pPr>
        <w:ind w:left="1134" w:hanging="1134"/>
        <w:rPr>
          <w:b/>
          <w:bCs/>
        </w:rPr>
      </w:pPr>
      <w:r>
        <w:rPr>
          <w:b/>
          <w:bCs/>
        </w:rPr>
        <w:tab/>
      </w:r>
      <w:proofErr w:type="spellStart"/>
      <w:r>
        <w:rPr>
          <w:b/>
          <w:bCs/>
        </w:rPr>
        <w:t>е</w:t>
      </w:r>
      <w:proofErr w:type="spellEnd"/>
      <w:r>
        <w:rPr>
          <w:b/>
          <w:bCs/>
        </w:rPr>
        <w:t>)</w:t>
      </w:r>
      <w:r>
        <w:rPr>
          <w:b/>
          <w:bCs/>
        </w:rPr>
        <w:tab/>
        <w:t>обеспечить проведение отдельного от прокуратуры независимого судебного надзора срока и условий содержания под стражей до суда, включая содержание под стражей по указанию министерства безопасности;  и</w:t>
      </w:r>
    </w:p>
    <w:p w:rsidR="00000000" w:rsidRDefault="00000000">
      <w:pPr>
        <w:rPr>
          <w:b/>
          <w:bCs/>
        </w:rPr>
      </w:pPr>
    </w:p>
    <w:p w:rsidR="00000000" w:rsidRDefault="00000000">
      <w:pPr>
        <w:ind w:left="1134" w:hanging="1134"/>
        <w:rPr>
          <w:b/>
          <w:bCs/>
        </w:rPr>
      </w:pPr>
      <w:r>
        <w:rPr>
          <w:b/>
          <w:bCs/>
        </w:rPr>
        <w:tab/>
      </w:r>
      <w:proofErr w:type="spellStart"/>
      <w:r>
        <w:rPr>
          <w:b/>
          <w:bCs/>
        </w:rPr>
        <w:t>f</w:t>
      </w:r>
      <w:proofErr w:type="spellEnd"/>
      <w:r>
        <w:rPr>
          <w:b/>
          <w:bCs/>
        </w:rPr>
        <w:t>)</w:t>
      </w:r>
      <w:r>
        <w:rPr>
          <w:b/>
          <w:bCs/>
        </w:rPr>
        <w:tab/>
        <w:t>обеспечить своевременное, беспристрастное и полное расследование всех жалоб и всех случаев смерти в местах содержания под стражей и ознакомить с полученными результатами родственников умерших.</w:t>
      </w:r>
    </w:p>
    <w:p w:rsidR="00000000" w:rsidRDefault="00000000">
      <w:pPr>
        <w:rPr>
          <w:b/>
          <w:bCs/>
        </w:rPr>
      </w:pPr>
    </w:p>
    <w:p w:rsidR="00000000" w:rsidRDefault="00000000">
      <w:pPr>
        <w:rPr>
          <w:b/>
          <w:bCs/>
        </w:rPr>
      </w:pPr>
      <w:r>
        <w:rPr>
          <w:b/>
          <w:bCs/>
        </w:rPr>
        <w:t>Торговля женщинами и детьми и насилие в отношении женщин и детей</w:t>
      </w:r>
    </w:p>
    <w:p w:rsidR="00000000" w:rsidRDefault="00000000">
      <w:pPr>
        <w:rPr>
          <w:b/>
          <w:bCs/>
        </w:rPr>
      </w:pPr>
    </w:p>
    <w:p w:rsidR="00000000" w:rsidRDefault="00000000">
      <w:r>
        <w:t>8.</w:t>
      </w:r>
      <w:r>
        <w:tab/>
        <w:t>Постоянно поступают сообщения о торговле женщинами и детьми, предполагаемом участии должностных лиц в этой торговле и отсутствием информации о приговорах, вынесенных государственным агентам в соответствии со статьями 130 и 132.  Комитет обеспокоен постоянно поступающими утверждениями о насилии в отношении женщин и детей, включая сексуальное насилие, и жестоком обращении с женщинами и детьми.</w:t>
      </w:r>
    </w:p>
    <w:p w:rsidR="00000000" w:rsidRDefault="00000000"/>
    <w:p w:rsidR="00000000" w:rsidRDefault="00000000">
      <w:pPr>
        <w:ind w:left="567"/>
        <w:rPr>
          <w:b/>
          <w:bCs/>
        </w:rPr>
      </w:pPr>
      <w:r>
        <w:rPr>
          <w:b/>
          <w:bCs/>
        </w:rPr>
        <w:t>Государству-участнику следует принять эффективные меры для судебного преследования и наказания лиц, виновных в насилии в отношении женщин и торговле людьми, в том числе путем осуществления контроля, принятия надлежащего законодательства и повышения информированности об этой проблеме, а также путем включения этого вопроса в программу подготовки сотрудников правоприменительных органов и других соответствующих групп.</w:t>
      </w:r>
    </w:p>
    <w:p w:rsidR="00000000" w:rsidRDefault="00000000">
      <w:pPr>
        <w:ind w:left="567"/>
        <w:rPr>
          <w:b/>
          <w:bCs/>
        </w:rPr>
      </w:pPr>
    </w:p>
    <w:p w:rsidR="00000000" w:rsidRDefault="00000000">
      <w:pPr>
        <w:rPr>
          <w:b/>
          <w:bCs/>
        </w:rPr>
      </w:pPr>
      <w:r>
        <w:rPr>
          <w:b/>
          <w:bCs/>
        </w:rPr>
        <w:t>Система отправления правосудия в отношении несовершеннолетних</w:t>
      </w:r>
    </w:p>
    <w:p w:rsidR="00000000" w:rsidRDefault="00000000">
      <w:pPr>
        <w:rPr>
          <w:b/>
          <w:bCs/>
        </w:rPr>
      </w:pPr>
    </w:p>
    <w:p w:rsidR="00000000" w:rsidRDefault="00000000">
      <w:r>
        <w:t>9.</w:t>
      </w:r>
      <w:r>
        <w:tab/>
        <w:t>В государстве-участнике отсутствует отлаженная система отправления правосудия по делам несовершеннолетних в стране, где дети зачастую подвергаются тем же процедурам, что и взрослые, и на которых распространяются те же законы.</w:t>
      </w:r>
    </w:p>
    <w:p w:rsidR="00000000" w:rsidRDefault="00000000">
      <w:pPr>
        <w:ind w:left="567" w:hanging="567"/>
      </w:pPr>
    </w:p>
    <w:p w:rsidR="00000000" w:rsidRDefault="00000000">
      <w:pPr>
        <w:ind w:left="567" w:hanging="567"/>
        <w:rPr>
          <w:b/>
          <w:bCs/>
        </w:rPr>
      </w:pPr>
      <w:r>
        <w:tab/>
      </w:r>
      <w:r>
        <w:rPr>
          <w:b/>
          <w:bCs/>
        </w:rPr>
        <w:t>Государству-участнику следует принять необходимые меры для защиты несовершеннолетних от нарушений Конвенции и обеспечить надлежащее функционирование системы отправления правосудия в отношении несовершеннолетних в соответствии с международными нормами.</w:t>
      </w:r>
    </w:p>
    <w:p w:rsidR="00000000" w:rsidRDefault="00000000">
      <w:pPr>
        <w:ind w:left="567"/>
        <w:rPr>
          <w:b/>
          <w:bCs/>
        </w:rPr>
      </w:pPr>
    </w:p>
    <w:p w:rsidR="00000000" w:rsidRDefault="00000000">
      <w:pPr>
        <w:rPr>
          <w:b/>
          <w:bCs/>
        </w:rPr>
      </w:pPr>
      <w:r>
        <w:rPr>
          <w:b/>
          <w:bCs/>
        </w:rPr>
        <w:t>Независимость судебных органов</w:t>
      </w:r>
    </w:p>
    <w:p w:rsidR="00000000" w:rsidRDefault="00000000">
      <w:pPr>
        <w:rPr>
          <w:b/>
          <w:bCs/>
        </w:rPr>
      </w:pPr>
    </w:p>
    <w:p w:rsidR="00000000" w:rsidRDefault="00000000">
      <w:r>
        <w:t>10.</w:t>
      </w:r>
      <w:r>
        <w:tab/>
        <w:t>В государстве-участнике отсутствуют независимые и эффективные судебные органы, поскольку судьи назначаются и снимаются с должности президентом и на прокуратуру возложена двойная обязанность по обеспечению судебного преследования и надзора за расследованием жалоб и обязанность по приостановлению выполнения судебных решений.</w:t>
      </w:r>
    </w:p>
    <w:p w:rsidR="00000000" w:rsidRDefault="00000000"/>
    <w:p w:rsidR="00000000" w:rsidRDefault="00000000">
      <w:pPr>
        <w:ind w:left="567" w:hanging="567"/>
        <w:rPr>
          <w:b/>
          <w:bCs/>
        </w:rPr>
      </w:pPr>
      <w:r>
        <w:tab/>
      </w:r>
      <w:r>
        <w:rPr>
          <w:b/>
          <w:bCs/>
        </w:rPr>
        <w:t>Государству-участнику следует:</w:t>
      </w:r>
    </w:p>
    <w:p w:rsidR="00000000" w:rsidRDefault="00000000">
      <w:pPr>
        <w:ind w:left="567" w:hanging="567"/>
        <w:rPr>
          <w:b/>
          <w:bCs/>
        </w:rPr>
      </w:pPr>
    </w:p>
    <w:p w:rsidR="00000000" w:rsidRDefault="00000000">
      <w:pPr>
        <w:ind w:left="1134" w:hanging="1134"/>
        <w:rPr>
          <w:b/>
          <w:bCs/>
        </w:rPr>
      </w:pPr>
      <w:r>
        <w:rPr>
          <w:b/>
          <w:bCs/>
        </w:rPr>
        <w:tab/>
        <w:t>а)</w:t>
      </w:r>
      <w:r>
        <w:rPr>
          <w:b/>
          <w:bCs/>
        </w:rPr>
        <w:tab/>
        <w:t>предпринять все усилия для гарантирования независимости судебных органов в полном соответствии с Основными принципами, касающимися независимости судебных органов;</w:t>
      </w:r>
    </w:p>
    <w:p w:rsidR="00000000" w:rsidRDefault="00000000">
      <w:pPr>
        <w:ind w:left="567" w:hanging="567"/>
        <w:rPr>
          <w:b/>
          <w:bCs/>
        </w:rPr>
      </w:pPr>
    </w:p>
    <w:p w:rsidR="00000000" w:rsidRDefault="00000000">
      <w:pPr>
        <w:ind w:left="1134" w:hanging="1134"/>
        <w:rPr>
          <w:b/>
          <w:bCs/>
        </w:rPr>
      </w:pPr>
      <w:r>
        <w:rPr>
          <w:b/>
          <w:bCs/>
        </w:rPr>
        <w:tab/>
      </w:r>
      <w:r>
        <w:rPr>
          <w:b/>
          <w:bCs/>
          <w:lang w:val="en-US"/>
        </w:rPr>
        <w:t>b</w:t>
      </w:r>
      <w:r>
        <w:rPr>
          <w:b/>
          <w:bCs/>
        </w:rPr>
        <w:t>)</w:t>
      </w:r>
      <w:r>
        <w:rPr>
          <w:b/>
          <w:bCs/>
        </w:rPr>
        <w:tab/>
        <w:t xml:space="preserve">создать полностью независимый орган за пределами прокуратуры для надзора за надлежащим проведением расследований, который был бы также уполномочен получать и расследовать индивидуальные жалобы. </w:t>
      </w:r>
    </w:p>
    <w:p w:rsidR="00000000" w:rsidRDefault="00000000">
      <w:pPr>
        <w:ind w:left="567" w:hanging="567"/>
        <w:rPr>
          <w:b/>
          <w:bCs/>
        </w:rPr>
      </w:pPr>
    </w:p>
    <w:p w:rsidR="00000000" w:rsidRDefault="00000000">
      <w:r>
        <w:t>11.</w:t>
      </w:r>
      <w:r>
        <w:tab/>
        <w:t xml:space="preserve">Возможности Конституционного суда рассматривать вопрос о соответствии национального законодательства Конституции и международным нормам в области прав человека ограничены.  </w:t>
      </w:r>
    </w:p>
    <w:p w:rsidR="00000000" w:rsidRDefault="00000000"/>
    <w:p w:rsidR="00000000" w:rsidRDefault="00000000">
      <w:pPr>
        <w:ind w:left="567" w:hanging="567"/>
        <w:rPr>
          <w:b/>
          <w:bCs/>
        </w:rPr>
      </w:pPr>
      <w:r>
        <w:tab/>
      </w:r>
      <w:r>
        <w:rPr>
          <w:b/>
          <w:bCs/>
        </w:rPr>
        <w:t>Государству-участнику следует расширить возможности Конституционного суда для обеспечения приведения национального законодательства в соответствие с Конституцией и международными договорами по правам человека.</w:t>
      </w:r>
    </w:p>
    <w:p w:rsidR="00000000" w:rsidRDefault="00000000">
      <w:pPr>
        <w:ind w:left="567" w:hanging="567"/>
        <w:rPr>
          <w:b/>
          <w:bCs/>
        </w:rPr>
      </w:pPr>
    </w:p>
    <w:p w:rsidR="00000000" w:rsidRDefault="00000000">
      <w:pPr>
        <w:ind w:left="567" w:hanging="567"/>
        <w:rPr>
          <w:b/>
          <w:bCs/>
        </w:rPr>
      </w:pPr>
      <w:r>
        <w:rPr>
          <w:b/>
          <w:bCs/>
        </w:rPr>
        <w:t>Применимость Конвенции</w:t>
      </w:r>
    </w:p>
    <w:p w:rsidR="00000000" w:rsidRDefault="00000000">
      <w:pPr>
        <w:ind w:left="567" w:hanging="567"/>
        <w:rPr>
          <w:b/>
          <w:bCs/>
        </w:rPr>
      </w:pPr>
    </w:p>
    <w:p w:rsidR="00000000" w:rsidRDefault="00000000">
      <w:r>
        <w:t>12.</w:t>
      </w:r>
      <w:r>
        <w:tab/>
        <w:t>В национальных судах нельзя непосредственно ссылаться на Конвенцию, а судьи не проходят подготовку по вопросам прямого применения Конвенции.</w:t>
      </w:r>
    </w:p>
    <w:p w:rsidR="00000000" w:rsidRDefault="00000000"/>
    <w:p w:rsidR="00000000" w:rsidRDefault="00000000">
      <w:pPr>
        <w:ind w:left="567" w:hanging="567"/>
        <w:rPr>
          <w:b/>
          <w:bCs/>
        </w:rPr>
      </w:pPr>
      <w:r>
        <w:br w:type="page"/>
      </w:r>
      <w:r>
        <w:tab/>
      </w:r>
      <w:r>
        <w:rPr>
          <w:b/>
          <w:bCs/>
        </w:rPr>
        <w:t xml:space="preserve">Государству-участнику следует принять все надлежащие меры, в том числе в области законодательства и профессиональной подготовки для обеспечения того, чтобы национальные суды общей юрисдикции активно применяли международные нормы в области прав человека, и в частности Конвенцию, в ходе судебных разбирательств, как это предусмотрено в статье 10 Конституции государства-участника.  </w:t>
      </w:r>
    </w:p>
    <w:p w:rsidR="00000000" w:rsidRDefault="00000000">
      <w:pPr>
        <w:ind w:left="567" w:hanging="567"/>
        <w:rPr>
          <w:b/>
          <w:bCs/>
        </w:rPr>
      </w:pPr>
    </w:p>
    <w:p w:rsidR="00000000" w:rsidRDefault="00000000">
      <w:pPr>
        <w:ind w:left="567" w:hanging="567"/>
        <w:rPr>
          <w:b/>
          <w:bCs/>
        </w:rPr>
      </w:pPr>
      <w:r>
        <w:rPr>
          <w:b/>
          <w:bCs/>
        </w:rPr>
        <w:t>Недопустимость принудительного возвращения и экстрадиция</w:t>
      </w:r>
    </w:p>
    <w:p w:rsidR="00000000" w:rsidRDefault="00000000">
      <w:pPr>
        <w:ind w:left="567" w:hanging="567"/>
        <w:rPr>
          <w:b/>
          <w:bCs/>
        </w:rPr>
      </w:pPr>
    </w:p>
    <w:p w:rsidR="00000000" w:rsidRDefault="00000000">
      <w:r>
        <w:t>13.</w:t>
      </w:r>
      <w:r>
        <w:tab/>
        <w:t>Государство-участник не обеспечивает доступа к адвокатам и апелляционным органам в целях оспаривания решений о депортации лиц в страны, где существуют серьезные основания полагать, что там им может угрожать опасность применения пыток.</w:t>
      </w:r>
    </w:p>
    <w:p w:rsidR="00000000" w:rsidRDefault="00000000"/>
    <w:p w:rsidR="00000000" w:rsidRDefault="00000000">
      <w:pPr>
        <w:ind w:left="567" w:hanging="567"/>
        <w:rPr>
          <w:b/>
          <w:bCs/>
        </w:rPr>
      </w:pPr>
      <w:r>
        <w:tab/>
      </w:r>
      <w:r>
        <w:rPr>
          <w:b/>
          <w:bCs/>
        </w:rPr>
        <w:t xml:space="preserve">Государству-участнику следует в полной мере выполнить свои обязательства по статье 3 Конвенции и сотрудничать с представителями Отделения Верховного комиссара Организации Объединенных Наций по делам беженцев, в том числе в деле предоставления эффективного доступа к материалам, касающимся просителей убежища.  </w:t>
      </w:r>
    </w:p>
    <w:p w:rsidR="00000000" w:rsidRDefault="00000000">
      <w:pPr>
        <w:ind w:left="567" w:hanging="567"/>
        <w:rPr>
          <w:b/>
          <w:bCs/>
        </w:rPr>
      </w:pPr>
    </w:p>
    <w:p w:rsidR="00000000" w:rsidRDefault="00000000">
      <w:pPr>
        <w:ind w:left="567" w:hanging="567"/>
        <w:rPr>
          <w:b/>
          <w:bCs/>
        </w:rPr>
      </w:pPr>
      <w:r>
        <w:rPr>
          <w:b/>
          <w:bCs/>
        </w:rPr>
        <w:t>Профессиональная подготовка</w:t>
      </w:r>
    </w:p>
    <w:p w:rsidR="00000000" w:rsidRDefault="00000000">
      <w:pPr>
        <w:ind w:left="567" w:hanging="567"/>
        <w:rPr>
          <w:b/>
          <w:bCs/>
        </w:rPr>
      </w:pPr>
    </w:p>
    <w:p w:rsidR="00000000" w:rsidRDefault="00000000">
      <w:r>
        <w:t>14.</w:t>
      </w:r>
      <w:r>
        <w:tab/>
        <w:t xml:space="preserve">В государстве-участнике не проводится профессиональная подготовка должностных лиц по вопросам запрещения пыток.  В частности, Комитет обеспокоен отсутствием практической подготовки:  а)  врачей в области выявления следов пыток или жестокого обращения по отношению к лицам, находящимся или находившимся под стражей;  и </w:t>
      </w:r>
      <w:r>
        <w:rPr>
          <w:lang w:val="en-US"/>
        </w:rPr>
        <w:t>b</w:t>
      </w:r>
      <w:r>
        <w:t>)  сотрудников правоприменительных органов и судей в деле возбуждения своевременного и беспристрастного расследования.</w:t>
      </w:r>
    </w:p>
    <w:p w:rsidR="00000000" w:rsidRDefault="00000000"/>
    <w:p w:rsidR="00000000" w:rsidRDefault="00000000">
      <w:pPr>
        <w:ind w:left="567" w:hanging="567"/>
        <w:rPr>
          <w:b/>
          <w:bCs/>
        </w:rPr>
      </w:pPr>
      <w:r>
        <w:tab/>
      </w:r>
      <w:r>
        <w:rPr>
          <w:b/>
          <w:bCs/>
        </w:rPr>
        <w:t xml:space="preserve">Государству-участнику следует обеспечить, что правоприменительный, судейский, медицинский и другой персонал, занимающийся вопросами содержания под стражей, проведения допросов или физического обращения или иным образом находящийся в контакте с содержащимися под стражей лицами, получал необходимую подготовку в отношении запрещения пыток.  Ему также следует обеспечить, чтобы процедура переаттестации этих сотрудников включала проверку их знаний на предмет требований Конвенции и учитывала характер их обращения с содержащимися под стражей лицами в прошлом.  </w:t>
      </w:r>
    </w:p>
    <w:p w:rsidR="00000000" w:rsidRDefault="00000000">
      <w:pPr>
        <w:ind w:left="567" w:hanging="567"/>
        <w:rPr>
          <w:b/>
          <w:bCs/>
        </w:rPr>
      </w:pPr>
    </w:p>
    <w:p w:rsidR="00000000" w:rsidRDefault="00000000">
      <w:pPr>
        <w:ind w:left="567" w:hanging="567"/>
        <w:rPr>
          <w:b/>
          <w:bCs/>
        </w:rPr>
      </w:pPr>
      <w:r>
        <w:rPr>
          <w:b/>
          <w:bCs/>
        </w:rPr>
        <w:br w:type="page"/>
        <w:t>Допрос</w:t>
      </w:r>
    </w:p>
    <w:p w:rsidR="00000000" w:rsidRDefault="00000000">
      <w:pPr>
        <w:ind w:left="567" w:hanging="567"/>
        <w:rPr>
          <w:b/>
          <w:bCs/>
        </w:rPr>
      </w:pPr>
    </w:p>
    <w:p w:rsidR="00000000" w:rsidRDefault="00000000">
      <w:r>
        <w:t>15.</w:t>
      </w:r>
      <w:r>
        <w:tab/>
        <w:t xml:space="preserve">Постоянно поступают достоверные утверждения о нередком использовании сотрудниками правоприменительных и следственных органов методов допроса, запрещенных Конвенцией.  </w:t>
      </w:r>
    </w:p>
    <w:p w:rsidR="00000000" w:rsidRDefault="00000000"/>
    <w:p w:rsidR="00000000" w:rsidRDefault="00000000">
      <w:pPr>
        <w:ind w:left="567" w:hanging="567"/>
        <w:rPr>
          <w:b/>
          <w:bCs/>
        </w:rPr>
      </w:pPr>
      <w:r>
        <w:tab/>
      </w:r>
      <w:r>
        <w:rPr>
          <w:b/>
          <w:bCs/>
        </w:rPr>
        <w:t>Государству-участнику следует обеспечить, чтобы ни при каких обстоятельствах персонал правоохранительных органов не прибегал к методам допроса, представляющим собой пытку или жестокое обращение.  Кроме того, государству-участнику следует обеспечить, чтобы руководящие принципы и методы проведения допроса в полной мере соответствовали Конвенции.</w:t>
      </w:r>
    </w:p>
    <w:p w:rsidR="00000000" w:rsidRDefault="00000000">
      <w:pPr>
        <w:ind w:left="567" w:hanging="567"/>
        <w:rPr>
          <w:b/>
          <w:bCs/>
        </w:rPr>
      </w:pPr>
    </w:p>
    <w:p w:rsidR="00000000" w:rsidRDefault="00000000">
      <w:pPr>
        <w:keepNext/>
        <w:ind w:left="567" w:hanging="567"/>
        <w:rPr>
          <w:b/>
          <w:bCs/>
        </w:rPr>
      </w:pPr>
      <w:r>
        <w:rPr>
          <w:b/>
          <w:bCs/>
        </w:rPr>
        <w:t>Систематическое обследование всех мест содержания под стражей</w:t>
      </w:r>
    </w:p>
    <w:p w:rsidR="00000000" w:rsidRDefault="00000000">
      <w:pPr>
        <w:keepNext/>
        <w:ind w:left="567" w:hanging="567"/>
        <w:rPr>
          <w:b/>
          <w:bCs/>
        </w:rPr>
      </w:pPr>
    </w:p>
    <w:p w:rsidR="00000000" w:rsidRDefault="00000000">
      <w:pPr>
        <w:keepNext/>
      </w:pPr>
      <w:r>
        <w:t>16.</w:t>
      </w:r>
      <w:r>
        <w:tab/>
        <w:t xml:space="preserve">Имеются сообщения об отсутствии систематического обследования всех мест содержания под стражей национальными или международными надзорными органами и что регулярный и необъявленный доступ к таким местам запрещен. </w:t>
      </w:r>
    </w:p>
    <w:p w:rsidR="00000000" w:rsidRDefault="00000000"/>
    <w:p w:rsidR="00000000" w:rsidRDefault="00000000">
      <w:pPr>
        <w:ind w:left="567" w:hanging="567"/>
        <w:rPr>
          <w:b/>
          <w:bCs/>
        </w:rPr>
      </w:pPr>
      <w:r>
        <w:tab/>
      </w:r>
      <w:r>
        <w:rPr>
          <w:b/>
          <w:bCs/>
        </w:rPr>
        <w:t>Государству-участнику следует рассмотреть возможность создания национальной системы обследования всех мест содержания под стражей и рассмотрения всех случаев предполагаемого жестокого обращения в период нахождения под стражей, обеспечивая, чтобы национальным и международным надзорным органам разрешалось осуществлять на регулярной основе независимые, необъявленные и неограниченные посещения всех мест содержания под стражей.  В этих целях государству-участнику следует разработать транспарентные административные руководящие принципы и критерии такого доступа и облегчить посещения соответствующих мест независимыми национальными надзорными органами и другими организациями, такими, как Международный Комитет Красного Креста, Управление Верховного комиссара по правам человека и независимые неправительственные организации.  Государству-участнику следует рассмотреть возможность присоединения к Факультативному протоколу к Конвенции.</w:t>
      </w:r>
    </w:p>
    <w:p w:rsidR="00000000" w:rsidRDefault="00000000">
      <w:pPr>
        <w:ind w:left="567" w:hanging="567"/>
        <w:rPr>
          <w:b/>
          <w:bCs/>
        </w:rPr>
      </w:pPr>
    </w:p>
    <w:p w:rsidR="00000000" w:rsidRDefault="00000000">
      <w:pPr>
        <w:ind w:left="567" w:hanging="567"/>
        <w:rPr>
          <w:b/>
          <w:bCs/>
        </w:rPr>
      </w:pPr>
      <w:r>
        <w:rPr>
          <w:b/>
          <w:bCs/>
        </w:rPr>
        <w:t>Безнаказанность</w:t>
      </w:r>
    </w:p>
    <w:p w:rsidR="00000000" w:rsidRDefault="00000000">
      <w:pPr>
        <w:ind w:left="567" w:hanging="567"/>
        <w:rPr>
          <w:b/>
          <w:bCs/>
        </w:rPr>
      </w:pPr>
    </w:p>
    <w:p w:rsidR="00000000" w:rsidRDefault="00000000">
      <w:r>
        <w:t>17.</w:t>
      </w:r>
      <w:r>
        <w:tab/>
        <w:t xml:space="preserve">В государстве-участнике отмечается явное отсутствие </w:t>
      </w:r>
      <w:proofErr w:type="spellStart"/>
      <w:r>
        <w:t>осуждений</w:t>
      </w:r>
      <w:proofErr w:type="spellEnd"/>
      <w:r>
        <w:t xml:space="preserve"> по статье 117 Уголовного кодекса государственных должностных и иных лиц, действующих в официальном качестве, за акты пыток и жестокого обращения и крайне ограниченное число вынесенных в соответствии с национальным законодательством приговоров за нарушения Конвенции, несмотря на многочисленные утверждения о фактах пыток и жестокого обращения.  Кроме того, Комитет обеспокоен тем обстоятельством, что лица, виновные в актах пыток и жестокого обращения в период 1995-1999 годов, были освобождены от наказания в результате законов об амнистии, что, в свою очередь, способствовало укоренению практики безнаказанности лиц, виновных в совершении пыток, и непредставления жертвам какого-либо возмещения.</w:t>
      </w:r>
    </w:p>
    <w:p w:rsidR="00000000" w:rsidRDefault="00000000"/>
    <w:p w:rsidR="00000000" w:rsidRDefault="00000000">
      <w:pPr>
        <w:ind w:left="567" w:hanging="567"/>
        <w:rPr>
          <w:b/>
          <w:bCs/>
        </w:rPr>
      </w:pPr>
      <w:r>
        <w:tab/>
      </w:r>
      <w:r>
        <w:rPr>
          <w:b/>
          <w:bCs/>
        </w:rPr>
        <w:t xml:space="preserve">Государству-участнику следует принять эффективные законодательные, административные и судебные меры, включая создание независимого органа, для обеспечения того, чтобы все утверждения об актах пыток и жестокого обращения со стороны государственных должностных лиц были расследованы, а виновные преданы суду и наказаны, в том числе за акты пыток и жестокого обращения в период 1995-1999 годов.  В связи с </w:t>
      </w:r>
      <w:proofErr w:type="spellStart"/>
      <w:r>
        <w:rPr>
          <w:b/>
          <w:bCs/>
        </w:rPr>
        <w:t>prima</w:t>
      </w:r>
      <w:proofErr w:type="spellEnd"/>
      <w:r>
        <w:rPr>
          <w:b/>
          <w:bCs/>
        </w:rPr>
        <w:t xml:space="preserve"> </w:t>
      </w:r>
      <w:proofErr w:type="spellStart"/>
      <w:r>
        <w:rPr>
          <w:b/>
          <w:bCs/>
        </w:rPr>
        <w:t>f</w:t>
      </w:r>
      <w:proofErr w:type="spellEnd"/>
      <w:r>
        <w:rPr>
          <w:b/>
          <w:bCs/>
          <w:lang w:val="en-US"/>
        </w:rPr>
        <w:t>a</w:t>
      </w:r>
      <w:proofErr w:type="spellStart"/>
      <w:r>
        <w:rPr>
          <w:b/>
          <w:bCs/>
        </w:rPr>
        <w:t>cie</w:t>
      </w:r>
      <w:proofErr w:type="spellEnd"/>
      <w:r>
        <w:rPr>
          <w:b/>
          <w:bCs/>
        </w:rPr>
        <w:t xml:space="preserve"> случаев пыток обвиняемый должен быть временно отстранен от своей должности или переведен на другую должность на время расследования.</w:t>
      </w:r>
    </w:p>
    <w:p w:rsidR="00000000" w:rsidRDefault="00000000">
      <w:pPr>
        <w:spacing w:line="240" w:lineRule="auto"/>
        <w:ind w:left="567" w:hanging="567"/>
        <w:rPr>
          <w:b/>
          <w:bCs/>
        </w:rPr>
      </w:pPr>
    </w:p>
    <w:p w:rsidR="00000000" w:rsidRDefault="00000000">
      <w:pPr>
        <w:ind w:left="567" w:hanging="567"/>
        <w:rPr>
          <w:b/>
          <w:bCs/>
        </w:rPr>
      </w:pPr>
      <w:r>
        <w:rPr>
          <w:b/>
          <w:bCs/>
        </w:rPr>
        <w:t>Право на подачу жалобы и возмещение</w:t>
      </w:r>
    </w:p>
    <w:p w:rsidR="00000000" w:rsidRDefault="00000000">
      <w:pPr>
        <w:spacing w:line="240" w:lineRule="auto"/>
        <w:ind w:left="567" w:hanging="567"/>
        <w:rPr>
          <w:b/>
          <w:bCs/>
        </w:rPr>
      </w:pPr>
    </w:p>
    <w:p w:rsidR="00000000" w:rsidRDefault="00000000">
      <w:pPr>
        <w:ind w:left="567" w:hanging="567"/>
      </w:pPr>
      <w:r>
        <w:t>18.</w:t>
      </w:r>
      <w:r>
        <w:tab/>
        <w:t xml:space="preserve">Комитет обеспокоен следующим: </w:t>
      </w:r>
    </w:p>
    <w:p w:rsidR="00000000" w:rsidRDefault="00000000"/>
    <w:p w:rsidR="00000000" w:rsidRDefault="00000000">
      <w:r>
        <w:tab/>
      </w:r>
      <w:proofErr w:type="spellStart"/>
      <w:r>
        <w:t>a</w:t>
      </w:r>
      <w:proofErr w:type="spellEnd"/>
      <w:r>
        <w:t>)</w:t>
      </w:r>
      <w:r>
        <w:tab/>
        <w:t>отсутствием надлежащего законодательства и какого-либо эффективного, независимого механизма, разрешающего жертвам пыток и жестокого обращения подавать жалобы и иметь право на своевременное и беспристрастное рассмотрение их дела;  и</w:t>
      </w:r>
    </w:p>
    <w:p w:rsidR="00000000" w:rsidRDefault="00000000"/>
    <w:p w:rsidR="00000000" w:rsidRDefault="00000000">
      <w:r>
        <w:tab/>
      </w:r>
      <w:proofErr w:type="spellStart"/>
      <w:r>
        <w:t>b</w:t>
      </w:r>
      <w:proofErr w:type="spellEnd"/>
      <w:r>
        <w:t>)</w:t>
      </w:r>
      <w:r>
        <w:tab/>
        <w:t>отсутствием законодательства и механизмов защиты свидетелей и системы предоставления компенсации жертвам.</w:t>
      </w:r>
    </w:p>
    <w:p w:rsidR="00000000" w:rsidRDefault="00000000"/>
    <w:p w:rsidR="00000000" w:rsidRDefault="00000000">
      <w:pPr>
        <w:ind w:left="567" w:hanging="567"/>
        <w:rPr>
          <w:b/>
          <w:bCs/>
        </w:rPr>
      </w:pPr>
      <w:r>
        <w:tab/>
      </w:r>
      <w:r>
        <w:rPr>
          <w:b/>
          <w:bCs/>
        </w:rPr>
        <w:t>Государству-участнику следует создать полностью независимый от прокуратуры механизм рассмотрения жалоб лиц, находящихся в официальных местах содержания под стражей;  изменить свое нынешнее и планируемое законодательство, с тем чтобы отменить срок давности в деле регистрации жалоб на акты пыток;  и обеспечить, чтобы все лица, сообщающие об актах пыток или жестокого обращения, получали надлежащую защиту.  Государству-участнику следует рассмотреть возможность создания национального правозащитного учреждения в соответствии с Парижскими принципами.  Кроме того, государству-участнику следует предоставить жертвам всех форм пыток возможность подавать жалобы и получать справедливую, адекватную и своевременную компенсацию, в том числе за случаи, имевшие место в 1995</w:t>
      </w:r>
      <w:r>
        <w:rPr>
          <w:b/>
          <w:bCs/>
        </w:rPr>
        <w:noBreakHyphen/>
        <w:t>1999 годах.</w:t>
      </w:r>
    </w:p>
    <w:p w:rsidR="00000000" w:rsidRDefault="00000000">
      <w:pPr>
        <w:ind w:left="567" w:hanging="567"/>
        <w:rPr>
          <w:b/>
          <w:bCs/>
        </w:rPr>
      </w:pPr>
      <w:r>
        <w:rPr>
          <w:b/>
          <w:bCs/>
        </w:rPr>
        <w:t>Использование показаний, полученных под пытками</w:t>
      </w:r>
    </w:p>
    <w:p w:rsidR="00000000" w:rsidRDefault="00000000">
      <w:pPr>
        <w:ind w:left="567" w:hanging="567"/>
        <w:rPr>
          <w:b/>
          <w:bCs/>
        </w:rPr>
      </w:pPr>
    </w:p>
    <w:p w:rsidR="00000000" w:rsidRDefault="00000000">
      <w:r>
        <w:t>19.</w:t>
      </w:r>
      <w:r>
        <w:tab/>
        <w:t>Имеются сообщения о том, что судьи не прекращают и не возвращают дело на доследование в тех случаях, когда показания были получены под пытками;  имеются также многочисленные утверждения о том, что показания, полученные под пытками, используются в качестве доказательств в ходе рассмотрения дела в суде.  Этому способствует отсутствие законодательства, четко запрещающего использование в процессе судопроизводства свидетельств, полученных в результате применения пыток.</w:t>
      </w:r>
    </w:p>
    <w:p w:rsidR="00000000" w:rsidRDefault="00000000"/>
    <w:p w:rsidR="00000000" w:rsidRDefault="00000000">
      <w:pPr>
        <w:ind w:left="567" w:hanging="567"/>
        <w:rPr>
          <w:b/>
          <w:bCs/>
        </w:rPr>
      </w:pPr>
      <w:r>
        <w:tab/>
      </w:r>
      <w:r>
        <w:rPr>
          <w:b/>
          <w:bCs/>
        </w:rPr>
        <w:t>Государству-участнику следует пересмотреть случаи приговоров, которые были вынесены с того момента, как Таджикистан стал участником Конвенции, и которые основывались исключительно на показаниях обвиняемых, признавая, что многие из этих приговоров были вынесены на основании свидетельств, полученных в результате применения пыток или жестокого обращения, и, при необходимости, провести своевременное и беспристрастное расследование и принять надлежащие меры по исправлению положения.  Государству-участнику следует представить Комитету информацию о любых правовых нормах, исключающих принятие в качестве доказательств показаний, полученных в результате применения пыток.  Кроме того, государству-участнику следует пересмотреть свое законодательство для запрещения использования в судопроизводстве свидетельств, полученных в результате пытки.</w:t>
      </w:r>
    </w:p>
    <w:p w:rsidR="00000000" w:rsidRDefault="00000000">
      <w:pPr>
        <w:rPr>
          <w:b/>
          <w:bCs/>
        </w:rPr>
      </w:pPr>
    </w:p>
    <w:p w:rsidR="00000000" w:rsidRDefault="00000000">
      <w:pPr>
        <w:rPr>
          <w:b/>
          <w:bCs/>
        </w:rPr>
      </w:pPr>
      <w:r>
        <w:rPr>
          <w:b/>
          <w:bCs/>
        </w:rPr>
        <w:t>Условия содержания в тюрьмах</w:t>
      </w:r>
    </w:p>
    <w:p w:rsidR="00000000" w:rsidRDefault="00000000">
      <w:pPr>
        <w:rPr>
          <w:b/>
          <w:bCs/>
        </w:rPr>
      </w:pPr>
    </w:p>
    <w:p w:rsidR="00000000" w:rsidRDefault="00000000">
      <w:r>
        <w:t>20.</w:t>
      </w:r>
      <w:r>
        <w:tab/>
        <w:t xml:space="preserve">Поступают утверждения о крайне неблагоприятных условиях содержания под стражей, в частности утверждения о </w:t>
      </w:r>
      <w:proofErr w:type="spellStart"/>
      <w:r>
        <w:t>переполненности</w:t>
      </w:r>
      <w:proofErr w:type="spellEnd"/>
      <w:r>
        <w:t xml:space="preserve"> камер, их плохом санитарном состоянии, нехватке персонала и отсутствии системы медицинского обслуживания задержанных.</w:t>
      </w:r>
    </w:p>
    <w:p w:rsidR="00000000" w:rsidRDefault="00000000"/>
    <w:p w:rsidR="00000000" w:rsidRDefault="00000000">
      <w:pPr>
        <w:ind w:left="567" w:hanging="567"/>
        <w:rPr>
          <w:b/>
          <w:bCs/>
        </w:rPr>
      </w:pPr>
      <w:r>
        <w:tab/>
      </w:r>
      <w:r>
        <w:rPr>
          <w:b/>
          <w:bCs/>
        </w:rPr>
        <w:t xml:space="preserve">Государству-участнику следует принять все необходимые меры для улучшения условий содержания под стражей. </w:t>
      </w:r>
    </w:p>
    <w:p w:rsidR="00000000" w:rsidRDefault="00000000">
      <w:pPr>
        <w:ind w:left="567" w:hanging="567"/>
        <w:rPr>
          <w:b/>
          <w:bCs/>
        </w:rPr>
      </w:pPr>
    </w:p>
    <w:p w:rsidR="00000000" w:rsidRDefault="00000000">
      <w:r>
        <w:t>21.</w:t>
      </w:r>
      <w:r>
        <w:tab/>
        <w:t>Комитет далее рекомендует государству-участнику рассмотреть возможность сделать заявление в соответствии со статьями 21 и 22 Конвенции.</w:t>
      </w:r>
    </w:p>
    <w:p w:rsidR="00000000" w:rsidRDefault="00000000"/>
    <w:p w:rsidR="00000000" w:rsidRDefault="00000000">
      <w:r>
        <w:t>22.</w:t>
      </w:r>
      <w:r>
        <w:tab/>
        <w:t>Комитет просит государство-участник в своем следующем периодическом докладе представить подробные статистические данные о случаях пыток и других формах жестокого, бесчеловечного или унижающего достоинство обращения или наказания, о которых сообщалось административным органам, и о проведенных в этой связи расследованиях, случаях возбуждении судебного преследования и вынесения приговоров об уголовных и дисциплинарных наказаниях, включая ссылки на статьи Уголовного кодекса, в разбивке, в частности, по признакам пола, этнической принадлежности, географическим регионам и типу и месту лишения свободы, где такие формы обращения имели место.  Кроме того, информация испрашивается в отношении любых мер компенсации или реабилитации, предоставленных жертвам, включая случаи, имевшие место в период 1995-2000 годов.</w:t>
      </w:r>
    </w:p>
    <w:p w:rsidR="00000000" w:rsidRDefault="00000000"/>
    <w:p w:rsidR="00000000" w:rsidRDefault="00000000">
      <w:r>
        <w:t>23.</w:t>
      </w:r>
      <w:r>
        <w:tab/>
        <w:t>Государству-участнику предлагается обеспечить широкое распространение своего первоначального периодического доклада, кратких отчетов и выводов и рекомендаций на соответствующих языках через официальные вебсайты, средства массовой информации и неправительственные организации.</w:t>
      </w:r>
    </w:p>
    <w:p w:rsidR="00000000" w:rsidRDefault="00000000"/>
    <w:p w:rsidR="00000000" w:rsidRDefault="00000000">
      <w:r>
        <w:t>24.</w:t>
      </w:r>
      <w:r>
        <w:tab/>
        <w:t xml:space="preserve">Комитет приветствует заверения делегации в том, что по оставшимся неотвеченным вопросам будет представлена письменная информация, в том числе информация за период 1995-1999 годов и информация об аресте </w:t>
      </w:r>
      <w:proofErr w:type="spellStart"/>
      <w:r>
        <w:t>Махмадрузи</w:t>
      </w:r>
      <w:proofErr w:type="spellEnd"/>
      <w:r>
        <w:t xml:space="preserve"> </w:t>
      </w:r>
      <w:proofErr w:type="spellStart"/>
      <w:r>
        <w:t>Искандарова</w:t>
      </w:r>
      <w:proofErr w:type="spellEnd"/>
      <w:r>
        <w:t>.</w:t>
      </w:r>
    </w:p>
    <w:p w:rsidR="00000000" w:rsidRDefault="00000000"/>
    <w:p w:rsidR="00000000" w:rsidRDefault="00000000">
      <w:r>
        <w:t>25.</w:t>
      </w:r>
      <w:r>
        <w:tab/>
        <w:t>Комитет просит государство-участник представить в течение одного года информацию о выполнении им рекомендаций Комитета, содержащихся в пунктах 7, 16, 17 и 19 выше.</w:t>
      </w:r>
    </w:p>
    <w:p w:rsidR="00000000" w:rsidRDefault="00000000"/>
    <w:p w:rsidR="00000000" w:rsidRDefault="00000000">
      <w:r>
        <w:t>26.</w:t>
      </w:r>
      <w:r>
        <w:tab/>
        <w:t>Государству-участнику предлагается представить свой следующий периодический доклад, который будет рассмотрен в качестве второго периодического доклада, к 31 декабря 2008 года.</w:t>
      </w:r>
    </w:p>
    <w:p w:rsidR="00000000" w:rsidRDefault="00000000"/>
    <w:p w:rsidR="00000000" w:rsidRDefault="00000000"/>
    <w:p w:rsidR="00000000" w:rsidRDefault="00000000">
      <w:pPr>
        <w:jc w:val="center"/>
        <w:rPr>
          <w:lang w:val="en-US"/>
        </w:rPr>
      </w:pPr>
      <w:r>
        <w:t>-----</w:t>
      </w:r>
    </w:p>
    <w:sectPr w:rsidR="00000000">
      <w:headerReference w:type="even" r:id="rId9"/>
      <w:headerReference w:type="default" r:id="rId10"/>
      <w:type w:val="continuous"/>
      <w:pgSz w:w="11906" w:h="16838"/>
      <w:pgMar w:top="851" w:right="851" w:bottom="1701" w:left="1701" w:header="851" w:footer="851" w:gutter="0"/>
      <w:pgNumType w:start="1"/>
      <w:cols w:space="720"/>
      <w:formProt w:val="0"/>
      <w:noEndnote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000000">
      <w:pPr>
        <w:spacing w:line="240" w:lineRule="auto"/>
      </w:pPr>
      <w:r>
        <w:separator/>
      </w:r>
    </w:p>
  </w:endnote>
  <w:endnote w:type="continuationSeparator" w:id="0">
    <w:p w:rsidR="00000000" w:rsidRDefault="00000000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00000" w:rsidRDefault="00000000">
      <w:pPr>
        <w:spacing w:line="240" w:lineRule="auto"/>
      </w:pPr>
      <w:r>
        <w:separator/>
      </w:r>
    </w:p>
  </w:footnote>
  <w:footnote w:type="continuationSeparator" w:id="0">
    <w:p w:rsidR="00000000" w:rsidRDefault="00000000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000000">
    <w:pPr>
      <w:pStyle w:val="Header"/>
      <w:tabs>
        <w:tab w:val="left" w:pos="6237"/>
      </w:tabs>
      <w:rPr>
        <w:lang w:val="en-US"/>
      </w:rPr>
    </w:pPr>
    <w:r>
      <w:rPr>
        <w:lang w:val="en-US"/>
      </w:rPr>
      <w:t>CAT/C/TJK/CO/1</w:t>
    </w:r>
  </w:p>
  <w:p w:rsidR="00000000" w:rsidRDefault="00000000">
    <w:pPr>
      <w:pStyle w:val="Header"/>
      <w:tabs>
        <w:tab w:val="left" w:pos="6237"/>
      </w:tabs>
      <w:rPr>
        <w:rStyle w:val="PageNumber"/>
        <w:lang w:val="en-US"/>
      </w:rPr>
    </w:pPr>
    <w:r>
      <w:rPr>
        <w:lang w:val="en-US"/>
      </w:rPr>
      <w:t xml:space="preserve">page </w:t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  <w:noProof/>
      </w:rPr>
      <w:t>4</w:t>
    </w:r>
    <w:r>
      <w:rPr>
        <w:rStyle w:val="PageNumber"/>
      </w:rPr>
      <w:fldChar w:fldCharType="end"/>
    </w:r>
  </w:p>
  <w:p w:rsidR="00000000" w:rsidRDefault="00000000">
    <w:pPr>
      <w:pStyle w:val="Header"/>
      <w:tabs>
        <w:tab w:val="left" w:pos="6237"/>
      </w:tabs>
      <w:rPr>
        <w:rStyle w:val="PageNumber"/>
        <w:lang w:val="en-US"/>
      </w:rPr>
    </w:pPr>
  </w:p>
  <w:p w:rsidR="00000000" w:rsidRDefault="00000000">
    <w:pPr>
      <w:pStyle w:val="Header"/>
      <w:tabs>
        <w:tab w:val="left" w:pos="6237"/>
      </w:tabs>
      <w:rPr>
        <w:lang w:val="en-US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000000">
    <w:pPr>
      <w:pStyle w:val="Header"/>
      <w:tabs>
        <w:tab w:val="left" w:pos="6521"/>
      </w:tabs>
      <w:rPr>
        <w:lang w:val="en-US"/>
      </w:rPr>
    </w:pPr>
    <w:r>
      <w:rPr>
        <w:lang w:val="en-US"/>
      </w:rPr>
      <w:tab/>
    </w:r>
    <w:r>
      <w:rPr>
        <w:lang w:val="en-US"/>
      </w:rPr>
      <w:tab/>
      <w:t>CAT/C/TJK/CO/1</w:t>
    </w:r>
  </w:p>
  <w:p w:rsidR="00000000" w:rsidRDefault="00000000">
    <w:pPr>
      <w:pStyle w:val="Header"/>
      <w:tabs>
        <w:tab w:val="left" w:pos="6521"/>
      </w:tabs>
      <w:rPr>
        <w:rStyle w:val="PageNumber"/>
        <w:lang w:val="en-US"/>
      </w:rPr>
    </w:pPr>
    <w:r>
      <w:rPr>
        <w:lang w:val="en-US"/>
      </w:rPr>
      <w:tab/>
    </w:r>
    <w:r>
      <w:rPr>
        <w:lang w:val="en-US"/>
      </w:rPr>
      <w:tab/>
      <w:t xml:space="preserve">page </w:t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  <w:noProof/>
      </w:rPr>
      <w:t>3</w:t>
    </w:r>
    <w:r>
      <w:rPr>
        <w:rStyle w:val="PageNumber"/>
      </w:rPr>
      <w:fldChar w:fldCharType="end"/>
    </w:r>
  </w:p>
  <w:p w:rsidR="00000000" w:rsidRDefault="00000000">
    <w:pPr>
      <w:pStyle w:val="Header"/>
      <w:tabs>
        <w:tab w:val="left" w:pos="6521"/>
      </w:tabs>
      <w:rPr>
        <w:rStyle w:val="PageNumber"/>
        <w:lang w:val="en-US"/>
      </w:rPr>
    </w:pPr>
  </w:p>
  <w:p w:rsidR="00000000" w:rsidRDefault="00000000">
    <w:pPr>
      <w:pStyle w:val="Header"/>
      <w:tabs>
        <w:tab w:val="left" w:pos="6237"/>
      </w:tabs>
      <w:rPr>
        <w:lang w:val="en-US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89"/>
    <w:multiLevelType w:val="singleLevel"/>
    <w:tmpl w:val="2E6668F2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>
    <w:nsid w:val="13CB000F"/>
    <w:multiLevelType w:val="singleLevel"/>
    <w:tmpl w:val="77AEC9F0"/>
    <w:lvl w:ilvl="0">
      <w:start w:val="1"/>
      <w:numFmt w:val="bullet"/>
      <w:pStyle w:val="ListBullet"/>
      <w:lvlText w:val=""/>
      <w:lvlJc w:val="left"/>
      <w:pPr>
        <w:tabs>
          <w:tab w:val="num" w:pos="567"/>
        </w:tabs>
        <w:ind w:left="567" w:hanging="567"/>
      </w:pPr>
      <w:rPr>
        <w:rFonts w:ascii="Symbol" w:hAnsi="Symbol" w:hint="default"/>
      </w:rPr>
    </w:lvl>
  </w:abstractNum>
  <w:num w:numId="1">
    <w:abstractNumId w:val="0"/>
  </w:num>
  <w:num w:numId="2">
    <w:abstractNumId w:val="1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91"/>
  <w:mirrorMargins/>
  <w:activeWritingStyle w:appName="MSWord" w:lang="ru-RU" w:vendorID="1" w:dllVersion="512" w:checkStyle="1"/>
  <w:proofState w:spelling="clean" w:grammar="clean"/>
  <w:attachedTemplate r:id="rId1"/>
  <w:doNotTrackMoves/>
  <w:defaultTabStop w:val="567"/>
  <w:evenAndOddHeader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CH" w:eastAsia="fr-CH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aliases w:val="ООН"/>
    <w:qFormat/>
    <w:pPr>
      <w:tabs>
        <w:tab w:val="left" w:pos="567"/>
        <w:tab w:val="left" w:pos="1134"/>
        <w:tab w:val="left" w:pos="1701"/>
        <w:tab w:val="left" w:pos="2268"/>
        <w:tab w:val="left" w:pos="6237"/>
      </w:tabs>
      <w:spacing w:line="288" w:lineRule="auto"/>
    </w:pPr>
    <w:rPr>
      <w:sz w:val="24"/>
      <w:lang w:val="ru-RU" w:eastAsia="en-US"/>
    </w:rPr>
  </w:style>
  <w:style w:type="paragraph" w:styleId="Heading1">
    <w:name w:val="heading 1"/>
    <w:basedOn w:val="Normal"/>
    <w:next w:val="Normal"/>
    <w:qFormat/>
    <w:pPr>
      <w:keepNext/>
      <w:outlineLvl w:val="0"/>
    </w:pPr>
    <w:rPr>
      <w:b/>
    </w:rPr>
  </w:style>
  <w:style w:type="paragraph" w:styleId="Heading2">
    <w:name w:val="heading 2"/>
    <w:basedOn w:val="Normal"/>
    <w:next w:val="Normal"/>
    <w:qFormat/>
    <w:pPr>
      <w:keepNext/>
      <w:outlineLvl w:val="1"/>
    </w:pPr>
    <w:rPr>
      <w:u w:val="single"/>
    </w:rPr>
  </w:style>
  <w:style w:type="paragraph" w:styleId="Heading3">
    <w:name w:val="heading 3"/>
    <w:basedOn w:val="Normal"/>
    <w:next w:val="Normal"/>
    <w:qFormat/>
    <w:pPr>
      <w:keepNext/>
      <w:outlineLvl w:val="2"/>
    </w:pPr>
    <w:rPr>
      <w:i/>
    </w:rPr>
  </w:style>
  <w:style w:type="paragraph" w:styleId="Heading4">
    <w:name w:val="heading 4"/>
    <w:basedOn w:val="Normal"/>
    <w:next w:val="Normal"/>
    <w:qFormat/>
    <w:pPr>
      <w:keepNext/>
      <w:outlineLvl w:val="3"/>
    </w:pPr>
    <w:rPr>
      <w:b/>
      <w:i/>
    </w:rPr>
  </w:style>
  <w:style w:type="paragraph" w:styleId="Heading5">
    <w:name w:val="heading 5"/>
    <w:basedOn w:val="Normal"/>
    <w:next w:val="Normal"/>
    <w:qFormat/>
    <w:pPr>
      <w:keepNext/>
      <w:outlineLvl w:val="4"/>
    </w:pPr>
    <w:rPr>
      <w:i/>
      <w:u w:val="single"/>
    </w:rPr>
  </w:style>
  <w:style w:type="paragraph" w:styleId="Heading6">
    <w:name w:val="heading 6"/>
    <w:basedOn w:val="Normal"/>
    <w:next w:val="Normal"/>
    <w:qFormat/>
    <w:pPr>
      <w:outlineLvl w:val="5"/>
    </w:pPr>
    <w:rPr>
      <w:b/>
      <w:u w:val="single"/>
    </w:rPr>
  </w:style>
  <w:style w:type="paragraph" w:styleId="Heading7">
    <w:name w:val="heading 7"/>
    <w:basedOn w:val="Normal"/>
    <w:next w:val="Normal"/>
    <w:qFormat/>
    <w:pPr>
      <w:keepNext/>
      <w:tabs>
        <w:tab w:val="left" w:pos="567"/>
        <w:tab w:val="left" w:pos="1134"/>
        <w:tab w:val="left" w:pos="1701"/>
        <w:tab w:val="left" w:pos="2268"/>
        <w:tab w:val="right" w:pos="4740"/>
        <w:tab w:val="left" w:pos="6237"/>
      </w:tabs>
      <w:suppressAutoHyphens/>
      <w:spacing w:line="216" w:lineRule="auto"/>
      <w:jc w:val="right"/>
      <w:outlineLvl w:val="6"/>
    </w:pPr>
    <w:rPr>
      <w:b/>
      <w:sz w:val="72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semiHidden/>
    <w:pPr>
      <w:tabs>
        <w:tab w:val="clear" w:pos="567"/>
        <w:tab w:val="clear" w:pos="1134"/>
        <w:tab w:val="clear" w:pos="1701"/>
        <w:tab w:val="clear" w:pos="2268"/>
        <w:tab w:val="clear" w:pos="6237"/>
        <w:tab w:val="center" w:pos="4153"/>
        <w:tab w:val="right" w:pos="8306"/>
      </w:tabs>
      <w:spacing w:line="240" w:lineRule="auto"/>
    </w:pPr>
  </w:style>
  <w:style w:type="paragraph" w:styleId="Title">
    <w:name w:val="Title"/>
    <w:basedOn w:val="Normal"/>
    <w:qFormat/>
    <w:pPr>
      <w:jc w:val="center"/>
    </w:pPr>
    <w:rPr>
      <w:b/>
    </w:rPr>
  </w:style>
  <w:style w:type="paragraph" w:customStyle="1" w:styleId="10">
    <w:name w:val="Заголовок 10"/>
    <w:basedOn w:val="Title"/>
  </w:style>
  <w:style w:type="paragraph" w:styleId="Subtitle">
    <w:name w:val="Subtitle"/>
    <w:basedOn w:val="Normal"/>
    <w:qFormat/>
    <w:pPr>
      <w:jc w:val="center"/>
    </w:pPr>
    <w:rPr>
      <w:u w:val="single"/>
    </w:rPr>
  </w:style>
  <w:style w:type="paragraph" w:customStyle="1" w:styleId="11">
    <w:name w:val="Заголовок 11"/>
    <w:basedOn w:val="Subtitle"/>
  </w:style>
  <w:style w:type="paragraph" w:customStyle="1" w:styleId="12">
    <w:name w:val="Заголовок 12"/>
    <w:basedOn w:val="Normal"/>
    <w:pPr>
      <w:jc w:val="center"/>
    </w:pPr>
    <w:rPr>
      <w:i/>
    </w:rPr>
  </w:style>
  <w:style w:type="paragraph" w:customStyle="1" w:styleId="13">
    <w:name w:val="Заголовок 13"/>
    <w:basedOn w:val="Normal"/>
    <w:pPr>
      <w:jc w:val="center"/>
    </w:pPr>
    <w:rPr>
      <w:b/>
      <w:i/>
    </w:rPr>
  </w:style>
  <w:style w:type="paragraph" w:customStyle="1" w:styleId="14">
    <w:name w:val="Заголовок 14"/>
    <w:basedOn w:val="Normal"/>
    <w:pPr>
      <w:jc w:val="center"/>
    </w:pPr>
    <w:rPr>
      <w:b/>
      <w:u w:val="single"/>
    </w:rPr>
  </w:style>
  <w:style w:type="paragraph" w:customStyle="1" w:styleId="15">
    <w:name w:val="Заголовок 15"/>
    <w:basedOn w:val="Normal"/>
    <w:pPr>
      <w:jc w:val="center"/>
    </w:pPr>
    <w:rPr>
      <w:i/>
      <w:u w:val="single"/>
    </w:rPr>
  </w:style>
  <w:style w:type="paragraph" w:customStyle="1" w:styleId="16">
    <w:name w:val="Заголовок 16"/>
    <w:basedOn w:val="Normal"/>
    <w:pPr>
      <w:jc w:val="center"/>
    </w:pPr>
  </w:style>
  <w:style w:type="character" w:styleId="EndnoteReference">
    <w:name w:val="endnote reference"/>
    <w:semiHidden/>
    <w:rPr>
      <w:rFonts w:ascii="Times New Roman" w:hAnsi="Times New Roman"/>
      <w:b/>
      <w:dstrike w:val="0"/>
      <w:color w:val="auto"/>
      <w:sz w:val="24"/>
      <w:vertAlign w:val="superscript"/>
    </w:rPr>
  </w:style>
  <w:style w:type="character" w:styleId="FootnoteReference">
    <w:name w:val="footnote reference"/>
    <w:semiHidden/>
    <w:rPr>
      <w:rFonts w:ascii="Times New Roman" w:hAnsi="Times New Roman"/>
      <w:b/>
      <w:dstrike w:val="0"/>
      <w:color w:val="auto"/>
      <w:sz w:val="24"/>
      <w:vertAlign w:val="superscript"/>
    </w:rPr>
  </w:style>
  <w:style w:type="paragraph" w:styleId="ListBullet">
    <w:name w:val="List Bullet"/>
    <w:basedOn w:val="Normal"/>
    <w:autoRedefine/>
    <w:semiHidden/>
    <w:pPr>
      <w:numPr>
        <w:numId w:val="3"/>
      </w:numPr>
    </w:pPr>
  </w:style>
  <w:style w:type="paragraph" w:styleId="Footer">
    <w:name w:val="footer"/>
    <w:basedOn w:val="Normal"/>
    <w:semiHidden/>
    <w:pPr>
      <w:tabs>
        <w:tab w:val="clear" w:pos="567"/>
        <w:tab w:val="clear" w:pos="1134"/>
        <w:tab w:val="clear" w:pos="1701"/>
        <w:tab w:val="clear" w:pos="2268"/>
        <w:tab w:val="clear" w:pos="6237"/>
        <w:tab w:val="center" w:pos="4153"/>
        <w:tab w:val="right" w:pos="8306"/>
      </w:tabs>
      <w:spacing w:line="240" w:lineRule="auto"/>
    </w:pPr>
  </w:style>
  <w:style w:type="paragraph" w:customStyle="1" w:styleId="1">
    <w:name w:val="текст 1"/>
    <w:basedOn w:val="Normal"/>
    <w:pPr>
      <w:tabs>
        <w:tab w:val="left" w:pos="567"/>
        <w:tab w:val="left" w:pos="1134"/>
        <w:tab w:val="left" w:pos="1701"/>
        <w:tab w:val="left" w:pos="2268"/>
        <w:tab w:val="left" w:pos="6237"/>
      </w:tabs>
    </w:pPr>
  </w:style>
  <w:style w:type="paragraph" w:customStyle="1" w:styleId="2">
    <w:name w:val="текст 2"/>
    <w:basedOn w:val="Normal"/>
    <w:pPr>
      <w:tabs>
        <w:tab w:val="left" w:pos="567"/>
        <w:tab w:val="left" w:pos="1134"/>
        <w:tab w:val="left" w:pos="1701"/>
        <w:tab w:val="left" w:pos="2268"/>
        <w:tab w:val="left" w:pos="6237"/>
      </w:tabs>
    </w:pPr>
  </w:style>
  <w:style w:type="paragraph" w:styleId="EndnoteText">
    <w:name w:val="endnote text"/>
    <w:basedOn w:val="Normal"/>
    <w:semiHidden/>
    <w:pPr>
      <w:spacing w:line="240" w:lineRule="auto"/>
    </w:pPr>
  </w:style>
  <w:style w:type="paragraph" w:styleId="FootnoteText">
    <w:name w:val="footnote text"/>
    <w:basedOn w:val="Normal"/>
    <w:semiHidden/>
    <w:pPr>
      <w:spacing w:line="240" w:lineRule="auto"/>
    </w:pPr>
  </w:style>
  <w:style w:type="character" w:styleId="PageNumber">
    <w:name w:val="page number"/>
    <w:basedOn w:val="DefaultParagraphFont"/>
    <w:semiHidden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CAT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CAT</Template>
  <TotalTime>0</TotalTime>
  <Pages>11</Pages>
  <Words>2958</Words>
  <Characters>16865</Characters>
  <Application>Microsoft Office Word</Application>
  <DocSecurity>4</DocSecurity>
  <Lines>140</Lines>
  <Paragraphs>33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ОРГАНИЗАЦИЯ</vt:lpstr>
    </vt:vector>
  </TitlesOfParts>
  <Company> </Company>
  <LinksUpToDate>false</LinksUpToDate>
  <CharactersWithSpaces>20711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ОРГАНИЗАЦИЯ</dc:title>
  <dc:subject/>
  <dc:creator>Сафонова</dc:creator>
  <cp:keywords/>
  <dc:description/>
  <cp:lastModifiedBy>Сафонова</cp:lastModifiedBy>
  <cp:revision>2</cp:revision>
  <cp:lastPrinted>2007-02-14T08:47:00Z</cp:lastPrinted>
  <dcterms:created xsi:type="dcterms:W3CDTF">2007-02-14T08:50:00Z</dcterms:created>
  <dcterms:modified xsi:type="dcterms:W3CDTF">2007-02-14T08:50:00Z</dcterms:modified>
</cp:coreProperties>
</file>