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79CC2A2" w14:textId="77777777" w:rsidTr="00B614C4">
        <w:trPr>
          <w:trHeight w:hRule="exact" w:val="851"/>
        </w:trPr>
        <w:tc>
          <w:tcPr>
            <w:tcW w:w="1280" w:type="dxa"/>
            <w:tcBorders>
              <w:bottom w:val="single" w:sz="4" w:space="0" w:color="auto"/>
            </w:tcBorders>
          </w:tcPr>
          <w:p w14:paraId="4157A2DE" w14:textId="77777777" w:rsidR="00CE1D1C" w:rsidRPr="00F124C6" w:rsidRDefault="00CE1D1C" w:rsidP="00B614C4">
            <w:pPr>
              <w:pStyle w:val="H23GC"/>
            </w:pPr>
          </w:p>
        </w:tc>
        <w:tc>
          <w:tcPr>
            <w:tcW w:w="2273" w:type="dxa"/>
            <w:tcBorders>
              <w:bottom w:val="single" w:sz="4" w:space="0" w:color="auto"/>
            </w:tcBorders>
            <w:vAlign w:val="bottom"/>
          </w:tcPr>
          <w:p w14:paraId="5A0FFACF"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3215C113" w14:textId="77777777" w:rsidR="00CE1D1C" w:rsidRPr="00B84C9B" w:rsidRDefault="00B84C9B" w:rsidP="00B614C4">
            <w:pPr>
              <w:spacing w:line="240" w:lineRule="atLeast"/>
              <w:jc w:val="right"/>
              <w:rPr>
                <w:sz w:val="20"/>
                <w:szCs w:val="21"/>
              </w:rPr>
            </w:pPr>
            <w:r w:rsidRPr="00B84C9B">
              <w:rPr>
                <w:sz w:val="40"/>
                <w:szCs w:val="21"/>
              </w:rPr>
              <w:t>CCPR</w:t>
            </w:r>
            <w:r>
              <w:rPr>
                <w:sz w:val="20"/>
                <w:szCs w:val="21"/>
              </w:rPr>
              <w:t>/C/ECU/CO/7</w:t>
            </w:r>
          </w:p>
        </w:tc>
      </w:tr>
      <w:tr w:rsidR="00CE1D1C" w:rsidRPr="00F124C6" w14:paraId="1A7EA44D" w14:textId="77777777" w:rsidTr="00B614C4">
        <w:trPr>
          <w:trHeight w:hRule="exact" w:val="2835"/>
        </w:trPr>
        <w:tc>
          <w:tcPr>
            <w:tcW w:w="1280" w:type="dxa"/>
            <w:tcBorders>
              <w:top w:val="single" w:sz="4" w:space="0" w:color="auto"/>
              <w:bottom w:val="single" w:sz="12" w:space="0" w:color="auto"/>
            </w:tcBorders>
          </w:tcPr>
          <w:p w14:paraId="23E37454" w14:textId="77777777" w:rsidR="00CE1D1C" w:rsidRPr="00F124C6" w:rsidRDefault="00CE1D1C" w:rsidP="00B614C4">
            <w:pPr>
              <w:spacing w:line="120" w:lineRule="atLeast"/>
              <w:rPr>
                <w:sz w:val="10"/>
                <w:szCs w:val="10"/>
              </w:rPr>
            </w:pPr>
          </w:p>
          <w:p w14:paraId="67F28C2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3DC01B1" wp14:editId="1A39BD4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F8E6D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DBC213F" w14:textId="6A104ACD" w:rsidR="00CE1D1C" w:rsidRPr="0004600B" w:rsidRDefault="00CE1D1C" w:rsidP="00B614C4">
            <w:pPr>
              <w:spacing w:before="240" w:line="240" w:lineRule="atLeast"/>
              <w:rPr>
                <w:sz w:val="20"/>
              </w:rPr>
            </w:pPr>
            <w:r w:rsidRPr="00F124C6">
              <w:rPr>
                <w:sz w:val="20"/>
              </w:rPr>
              <w:t xml:space="preserve">Distr.: </w:t>
            </w:r>
            <w:r w:rsidR="00B84C9B" w:rsidRPr="00B84C9B">
              <w:rPr>
                <w:sz w:val="20"/>
              </w:rPr>
              <w:t>General</w:t>
            </w:r>
          </w:p>
          <w:p w14:paraId="05541348" w14:textId="41B12DD4" w:rsidR="00CE1D1C" w:rsidRPr="00F124C6" w:rsidRDefault="00B84C9B" w:rsidP="00B614C4">
            <w:pPr>
              <w:spacing w:line="240" w:lineRule="atLeast"/>
              <w:rPr>
                <w:sz w:val="20"/>
              </w:rPr>
            </w:pPr>
            <w:r>
              <w:rPr>
                <w:sz w:val="20"/>
              </w:rPr>
              <w:t xml:space="preserve">4 </w:t>
            </w:r>
            <w:r w:rsidRPr="00B84C9B">
              <w:rPr>
                <w:sz w:val="20"/>
              </w:rPr>
              <w:t>December</w:t>
            </w:r>
            <w:r w:rsidR="00EA7E67">
              <w:rPr>
                <w:sz w:val="20"/>
              </w:rPr>
              <w:t xml:space="preserve"> 20</w:t>
            </w:r>
            <w:r w:rsidR="00A43337">
              <w:rPr>
                <w:sz w:val="20"/>
              </w:rPr>
              <w:t>2</w:t>
            </w:r>
            <w:r>
              <w:rPr>
                <w:sz w:val="20"/>
              </w:rPr>
              <w:t>4</w:t>
            </w:r>
          </w:p>
          <w:p w14:paraId="057456C6" w14:textId="77777777" w:rsidR="00CE1D1C" w:rsidRPr="00F124C6" w:rsidRDefault="00CE1D1C" w:rsidP="00B614C4">
            <w:pPr>
              <w:spacing w:line="240" w:lineRule="atLeast"/>
              <w:rPr>
                <w:sz w:val="20"/>
              </w:rPr>
            </w:pPr>
            <w:r w:rsidRPr="00F124C6">
              <w:rPr>
                <w:sz w:val="20"/>
              </w:rPr>
              <w:t xml:space="preserve">Chinese </w:t>
            </w:r>
          </w:p>
          <w:p w14:paraId="5B31A473" w14:textId="65CE574D" w:rsidR="00CE1D1C" w:rsidRPr="00F124C6" w:rsidRDefault="00CE1D1C" w:rsidP="00B614C4">
            <w:pPr>
              <w:spacing w:line="240" w:lineRule="atLeast"/>
            </w:pPr>
            <w:r w:rsidRPr="00F124C6">
              <w:rPr>
                <w:sz w:val="20"/>
              </w:rPr>
              <w:t xml:space="preserve">Original: </w:t>
            </w:r>
            <w:r w:rsidR="00B84C9B" w:rsidRPr="00B84C9B">
              <w:rPr>
                <w:sz w:val="20"/>
              </w:rPr>
              <w:t>Spanish</w:t>
            </w:r>
          </w:p>
        </w:tc>
      </w:tr>
    </w:tbl>
    <w:p w14:paraId="4EBFD4E4" w14:textId="77777777" w:rsidR="00E3197B" w:rsidRPr="008F1D32" w:rsidRDefault="00E3197B" w:rsidP="008F1D32">
      <w:pPr>
        <w:spacing w:before="120"/>
        <w:rPr>
          <w:rFonts w:ascii="Time New Roman" w:eastAsia="黑体" w:hAnsi="Time New Roman"/>
          <w:sz w:val="24"/>
        </w:rPr>
      </w:pPr>
      <w:r w:rsidRPr="008F1D32">
        <w:rPr>
          <w:rFonts w:ascii="Time New Roman" w:eastAsia="黑体" w:hAnsi="Time New Roman"/>
          <w:sz w:val="24"/>
        </w:rPr>
        <w:t>人权事务委员会</w:t>
      </w:r>
    </w:p>
    <w:p w14:paraId="305718C7" w14:textId="77777777" w:rsidR="00E3197B" w:rsidRPr="00307E26" w:rsidRDefault="00E3197B" w:rsidP="008F1D32">
      <w:pPr>
        <w:pStyle w:val="HChGC"/>
      </w:pPr>
      <w:r w:rsidRPr="00307E26">
        <w:rPr>
          <w:lang w:val="zh-CN"/>
        </w:rPr>
        <w:tab/>
      </w:r>
      <w:r w:rsidRPr="00307E26">
        <w:rPr>
          <w:lang w:val="zh-CN"/>
        </w:rPr>
        <w:tab/>
      </w:r>
      <w:r w:rsidRPr="00307E26">
        <w:rPr>
          <w:lang w:val="zh-CN"/>
        </w:rPr>
        <w:t>关于厄瓜多尔第七次定期报告的结论性意见</w:t>
      </w:r>
      <w:r w:rsidRPr="00307E26">
        <w:rPr>
          <w:szCs w:val="14"/>
          <w:lang w:val="zh-CN"/>
        </w:rPr>
        <w:footnoteReference w:customMarkFollows="1" w:id="2"/>
        <w:t>*</w:t>
      </w:r>
    </w:p>
    <w:p w14:paraId="185E5DFE" w14:textId="77777777" w:rsidR="00E3197B" w:rsidRPr="00307E26" w:rsidRDefault="00E3197B" w:rsidP="00E3197B">
      <w:pPr>
        <w:pStyle w:val="SingleTxtGC"/>
      </w:pPr>
      <w:r w:rsidRPr="00307E26">
        <w:rPr>
          <w:lang w:val="zh-CN"/>
        </w:rPr>
        <w:t>1.</w:t>
      </w:r>
      <w:r w:rsidRPr="00307E26">
        <w:rPr>
          <w:lang w:val="zh-CN"/>
        </w:rPr>
        <w:tab/>
      </w:r>
      <w:r w:rsidRPr="00307E26">
        <w:rPr>
          <w:lang w:val="zh-CN"/>
        </w:rPr>
        <w:t>委员会审议了厄瓜多尔的第七次定期报告，</w:t>
      </w:r>
      <w:r w:rsidRPr="00307E26">
        <w:rPr>
          <w:rStyle w:val="a8"/>
          <w:rFonts w:eastAsia="宋体"/>
        </w:rPr>
        <w:footnoteReference w:id="3"/>
      </w:r>
      <w:r w:rsidRPr="00307E26">
        <w:rPr>
          <w:rStyle w:val="SingleTxtGCChar"/>
        </w:rPr>
        <w:t xml:space="preserve"> </w:t>
      </w:r>
      <w:r w:rsidRPr="00307E26">
        <w:rPr>
          <w:lang w:val="zh-CN"/>
        </w:rPr>
        <w:t>审议工作在</w:t>
      </w:r>
      <w:r w:rsidRPr="00307E26">
        <w:rPr>
          <w:lang w:val="zh-CN"/>
        </w:rPr>
        <w:t>2024</w:t>
      </w:r>
      <w:r w:rsidRPr="00307E26">
        <w:rPr>
          <w:lang w:val="zh-CN"/>
        </w:rPr>
        <w:t>年</w:t>
      </w:r>
      <w:r w:rsidRPr="00307E26">
        <w:rPr>
          <w:lang w:val="zh-CN"/>
        </w:rPr>
        <w:t>10</w:t>
      </w:r>
      <w:r w:rsidRPr="00307E26">
        <w:rPr>
          <w:lang w:val="zh-CN"/>
        </w:rPr>
        <w:t>月</w:t>
      </w:r>
      <w:r w:rsidRPr="00307E26">
        <w:rPr>
          <w:lang w:val="zh-CN"/>
        </w:rPr>
        <w:t>28</w:t>
      </w:r>
      <w:r w:rsidRPr="00307E26">
        <w:rPr>
          <w:lang w:val="zh-CN"/>
        </w:rPr>
        <w:t>日和</w:t>
      </w:r>
      <w:r w:rsidRPr="00307E26">
        <w:rPr>
          <w:lang w:val="zh-CN"/>
        </w:rPr>
        <w:t>29</w:t>
      </w:r>
      <w:r w:rsidRPr="00307E26">
        <w:rPr>
          <w:lang w:val="zh-CN"/>
        </w:rPr>
        <w:t>日的第</w:t>
      </w:r>
      <w:r w:rsidRPr="00307E26">
        <w:rPr>
          <w:lang w:val="zh-CN"/>
        </w:rPr>
        <w:t>4168</w:t>
      </w:r>
      <w:r w:rsidRPr="00307E26">
        <w:rPr>
          <w:lang w:val="zh-CN"/>
        </w:rPr>
        <w:t>次和第</w:t>
      </w:r>
      <w:r w:rsidRPr="00307E26">
        <w:rPr>
          <w:lang w:val="zh-CN"/>
        </w:rPr>
        <w:t>4170</w:t>
      </w:r>
      <w:r w:rsidRPr="00307E26">
        <w:rPr>
          <w:lang w:val="zh-CN"/>
        </w:rPr>
        <w:t>次会议上进行。</w:t>
      </w:r>
      <w:r w:rsidRPr="00307E26">
        <w:rPr>
          <w:rStyle w:val="a8"/>
          <w:rFonts w:eastAsia="宋体"/>
        </w:rPr>
        <w:footnoteReference w:id="4"/>
      </w:r>
      <w:r w:rsidRPr="00307E26">
        <w:rPr>
          <w:rStyle w:val="SingleTxtGCChar"/>
        </w:rPr>
        <w:t xml:space="preserve"> </w:t>
      </w:r>
      <w:r w:rsidRPr="00307E26">
        <w:rPr>
          <w:lang w:val="zh-CN"/>
        </w:rPr>
        <w:t>委员会在</w:t>
      </w:r>
      <w:r w:rsidRPr="00307E26">
        <w:rPr>
          <w:lang w:val="zh-CN"/>
        </w:rPr>
        <w:t>2024</w:t>
      </w:r>
      <w:r w:rsidRPr="00307E26">
        <w:rPr>
          <w:lang w:val="zh-CN"/>
        </w:rPr>
        <w:t>年</w:t>
      </w:r>
      <w:r w:rsidRPr="00307E26">
        <w:rPr>
          <w:lang w:val="zh-CN"/>
        </w:rPr>
        <w:t>11</w:t>
      </w:r>
      <w:r w:rsidRPr="00307E26">
        <w:rPr>
          <w:lang w:val="zh-CN"/>
        </w:rPr>
        <w:t>月</w:t>
      </w:r>
      <w:r w:rsidRPr="00307E26">
        <w:rPr>
          <w:lang w:val="zh-CN"/>
        </w:rPr>
        <w:t>5</w:t>
      </w:r>
      <w:r w:rsidRPr="00307E26">
        <w:rPr>
          <w:lang w:val="zh-CN"/>
        </w:rPr>
        <w:t>日举行的第</w:t>
      </w:r>
      <w:r w:rsidRPr="00307E26">
        <w:rPr>
          <w:lang w:val="zh-CN"/>
        </w:rPr>
        <w:t>4179</w:t>
      </w:r>
      <w:r w:rsidRPr="00307E26">
        <w:rPr>
          <w:lang w:val="zh-CN"/>
        </w:rPr>
        <w:t>次会议上通过了本结论性意见。</w:t>
      </w:r>
    </w:p>
    <w:p w14:paraId="774888A0" w14:textId="77777777" w:rsidR="00E3197B" w:rsidRPr="00307E26" w:rsidRDefault="00E3197B" w:rsidP="008F1D32">
      <w:pPr>
        <w:pStyle w:val="H1GC"/>
      </w:pPr>
      <w:r w:rsidRPr="00307E26">
        <w:tab/>
      </w:r>
      <w:r w:rsidRPr="00307E26">
        <w:rPr>
          <w:lang w:val="zh-CN"/>
        </w:rPr>
        <w:t>A.</w:t>
      </w:r>
      <w:r w:rsidRPr="00307E26">
        <w:rPr>
          <w:lang w:val="zh-CN"/>
        </w:rPr>
        <w:tab/>
      </w:r>
      <w:r w:rsidRPr="00307E26">
        <w:rPr>
          <w:lang w:val="zh-CN"/>
        </w:rPr>
        <w:t>导言</w:t>
      </w:r>
    </w:p>
    <w:p w14:paraId="34AE5A89" w14:textId="77777777" w:rsidR="00E3197B" w:rsidRPr="00307E26" w:rsidRDefault="00E3197B" w:rsidP="00E3197B">
      <w:pPr>
        <w:pStyle w:val="SingleTxtGC"/>
      </w:pPr>
      <w:r w:rsidRPr="00307E26">
        <w:rPr>
          <w:lang w:val="zh-CN"/>
        </w:rPr>
        <w:t>2.</w:t>
      </w:r>
      <w:r w:rsidRPr="00307E26">
        <w:rPr>
          <w:lang w:val="zh-CN"/>
        </w:rPr>
        <w:tab/>
      </w:r>
      <w:r w:rsidRPr="00307E26">
        <w:rPr>
          <w:lang w:val="zh-CN"/>
        </w:rPr>
        <w:t>委员会感谢缔约国接受简化报告程序并按照依该程序所拟报告前问题清单提交第七次定期报告。</w:t>
      </w:r>
      <w:r w:rsidRPr="00307E26">
        <w:rPr>
          <w:rStyle w:val="a8"/>
          <w:rFonts w:eastAsia="宋体"/>
        </w:rPr>
        <w:footnoteReference w:id="5"/>
      </w:r>
      <w:r w:rsidRPr="00307E26">
        <w:rPr>
          <w:rStyle w:val="SingleTxtGCChar"/>
        </w:rPr>
        <w:t xml:space="preserve"> </w:t>
      </w:r>
      <w:r w:rsidRPr="00307E26">
        <w:rPr>
          <w:lang w:val="zh-CN"/>
        </w:rPr>
        <w:t>委员会赞赏有机会再次与缔约国高级别代表团开展建设性对话，讨论缔约国在报告所述期间为执行《公约》规定而采取的措施。委员会感谢缔约国代表团所作的口头答复以及提交的书面补充资料。</w:t>
      </w:r>
    </w:p>
    <w:p w14:paraId="1FD40FB7" w14:textId="77777777" w:rsidR="00E3197B" w:rsidRPr="00307E26" w:rsidRDefault="00E3197B" w:rsidP="008F1D32">
      <w:pPr>
        <w:pStyle w:val="H1GC"/>
      </w:pPr>
      <w:r w:rsidRPr="00307E26">
        <w:tab/>
      </w:r>
      <w:r w:rsidRPr="00307E26">
        <w:rPr>
          <w:lang w:val="zh-CN"/>
        </w:rPr>
        <w:t>B.</w:t>
      </w:r>
      <w:r w:rsidRPr="00307E26">
        <w:rPr>
          <w:lang w:val="zh-CN"/>
        </w:rPr>
        <w:tab/>
      </w:r>
      <w:r w:rsidRPr="00307E26">
        <w:rPr>
          <w:lang w:val="zh-CN"/>
        </w:rPr>
        <w:t>积极方面</w:t>
      </w:r>
    </w:p>
    <w:p w14:paraId="256BA012" w14:textId="77777777" w:rsidR="00E3197B" w:rsidRPr="00307E26" w:rsidRDefault="00E3197B" w:rsidP="00E3197B">
      <w:pPr>
        <w:pStyle w:val="SingleTxtGC"/>
      </w:pPr>
      <w:r w:rsidRPr="00307E26">
        <w:rPr>
          <w:lang w:val="zh-CN"/>
        </w:rPr>
        <w:t>3.</w:t>
      </w:r>
      <w:r w:rsidRPr="00307E26">
        <w:rPr>
          <w:lang w:val="zh-CN"/>
        </w:rPr>
        <w:tab/>
      </w:r>
      <w:r w:rsidRPr="00307E26">
        <w:rPr>
          <w:lang w:val="zh-CN"/>
        </w:rPr>
        <w:t>委员会欢迎缔约国采取以下立法和政策措施：</w:t>
      </w:r>
    </w:p>
    <w:p w14:paraId="2CE89C0C" w14:textId="77777777" w:rsidR="00E3197B" w:rsidRPr="00307E26" w:rsidRDefault="00E3197B" w:rsidP="00E3197B">
      <w:pPr>
        <w:pStyle w:val="SingleTxtGC"/>
      </w:pPr>
      <w:r w:rsidRPr="00307E26">
        <w:tab/>
      </w:r>
      <w:r w:rsidRPr="00307E26">
        <w:rPr>
          <w:lang w:val="zh-CN"/>
        </w:rPr>
        <w:t>(a)</w:t>
      </w:r>
      <w:r w:rsidRPr="00307E26">
        <w:rPr>
          <w:lang w:val="zh-CN"/>
        </w:rPr>
        <w:tab/>
        <w:t>2024</w:t>
      </w:r>
      <w:r w:rsidRPr="00307E26">
        <w:rPr>
          <w:lang w:val="zh-CN"/>
        </w:rPr>
        <w:t>年通过《关于对因性别原因被杀害的妇女和其他暴力死亡的受害者的子女、父母和其他亲属给予支持和全面、变革性赔偿的组织法》；</w:t>
      </w:r>
      <w:bookmarkStart w:id="0" w:name="_Hlk183702163"/>
      <w:bookmarkEnd w:id="0"/>
    </w:p>
    <w:p w14:paraId="72B7331A" w14:textId="77777777" w:rsidR="00E3197B" w:rsidRPr="00307E26" w:rsidRDefault="00E3197B" w:rsidP="00E3197B">
      <w:pPr>
        <w:pStyle w:val="SingleTxtGC"/>
      </w:pPr>
      <w:r w:rsidRPr="00307E26">
        <w:tab/>
      </w:r>
      <w:r w:rsidRPr="00307E26">
        <w:rPr>
          <w:lang w:val="zh-CN"/>
        </w:rPr>
        <w:t>(b)</w:t>
      </w:r>
      <w:r w:rsidRPr="00307E26">
        <w:rPr>
          <w:lang w:val="zh-CN"/>
        </w:rPr>
        <w:tab/>
        <w:t>2024</w:t>
      </w:r>
      <w:r w:rsidRPr="00307E26">
        <w:rPr>
          <w:lang w:val="zh-CN"/>
        </w:rPr>
        <w:t>年通过《男女同工同酬组织法》；</w:t>
      </w:r>
    </w:p>
    <w:p w14:paraId="793055DE" w14:textId="77777777" w:rsidR="00E3197B" w:rsidRPr="00307E26" w:rsidRDefault="00E3197B" w:rsidP="00E3197B">
      <w:pPr>
        <w:pStyle w:val="SingleTxtGC"/>
      </w:pPr>
      <w:r w:rsidRPr="00307E26">
        <w:tab/>
      </w:r>
      <w:r w:rsidRPr="00307E26">
        <w:rPr>
          <w:lang w:val="zh-CN"/>
        </w:rPr>
        <w:t>(c)</w:t>
      </w:r>
      <w:r w:rsidRPr="00307E26">
        <w:rPr>
          <w:lang w:val="zh-CN"/>
        </w:rPr>
        <w:tab/>
        <w:t>2023</w:t>
      </w:r>
      <w:r w:rsidRPr="00307E26">
        <w:rPr>
          <w:lang w:val="zh-CN"/>
        </w:rPr>
        <w:t>年通过《关于打击贩运人口和偷运移民的组织法》；</w:t>
      </w:r>
    </w:p>
    <w:p w14:paraId="4E5B155E" w14:textId="7466F747" w:rsidR="00E3197B" w:rsidRPr="00307E26" w:rsidRDefault="00E3197B" w:rsidP="00E3197B">
      <w:pPr>
        <w:pStyle w:val="SingleTxtGC"/>
      </w:pPr>
      <w:r w:rsidRPr="00307E26">
        <w:tab/>
      </w:r>
      <w:r w:rsidRPr="00307E26">
        <w:rPr>
          <w:lang w:val="zh-CN"/>
        </w:rPr>
        <w:t>(d)</w:t>
      </w:r>
      <w:r w:rsidRPr="00307E26">
        <w:rPr>
          <w:lang w:val="zh-CN"/>
        </w:rPr>
        <w:tab/>
        <w:t>2022</w:t>
      </w:r>
      <w:r w:rsidRPr="00307E26">
        <w:rPr>
          <w:lang w:val="zh-CN"/>
        </w:rPr>
        <w:t>年通过《关于修订</w:t>
      </w:r>
      <w:r w:rsidR="00602A22">
        <w:rPr>
          <w:rFonts w:hint="eastAsia"/>
          <w:lang w:val="zh-CN"/>
        </w:rPr>
        <w:t>〈</w:t>
      </w:r>
      <w:r w:rsidRPr="00307E26">
        <w:rPr>
          <w:lang w:val="zh-CN"/>
        </w:rPr>
        <w:t>通讯法</w:t>
      </w:r>
      <w:r w:rsidR="00602A22">
        <w:rPr>
          <w:rFonts w:hint="eastAsia"/>
          <w:lang w:val="zh-CN"/>
        </w:rPr>
        <w:t>〉</w:t>
      </w:r>
      <w:r w:rsidRPr="00307E26">
        <w:rPr>
          <w:lang w:val="zh-CN"/>
        </w:rPr>
        <w:t>的组织法》，</w:t>
      </w:r>
      <w:r w:rsidRPr="00307E26">
        <w:rPr>
          <w:lang w:val="zh-CN"/>
        </w:rPr>
        <w:t>2024</w:t>
      </w:r>
      <w:r w:rsidRPr="00307E26">
        <w:rPr>
          <w:lang w:val="zh-CN"/>
        </w:rPr>
        <w:t>年通过最新修正案；以及</w:t>
      </w:r>
      <w:r w:rsidRPr="00307E26">
        <w:rPr>
          <w:lang w:val="zh-CN"/>
        </w:rPr>
        <w:t>2023</w:t>
      </w:r>
      <w:r w:rsidRPr="00307E26">
        <w:rPr>
          <w:lang w:val="zh-CN"/>
        </w:rPr>
        <w:t>年设立保护记者工作的预防和保护机制；</w:t>
      </w:r>
    </w:p>
    <w:p w14:paraId="174F8A66" w14:textId="77777777" w:rsidR="00E3197B" w:rsidRPr="00307E26" w:rsidRDefault="00E3197B" w:rsidP="00E3197B">
      <w:pPr>
        <w:pStyle w:val="SingleTxtGC"/>
      </w:pPr>
      <w:r w:rsidRPr="00307E26">
        <w:tab/>
      </w:r>
      <w:r w:rsidRPr="00307E26">
        <w:rPr>
          <w:lang w:val="zh-CN"/>
        </w:rPr>
        <w:t>(e)</w:t>
      </w:r>
      <w:r w:rsidRPr="00307E26">
        <w:rPr>
          <w:lang w:val="zh-CN"/>
        </w:rPr>
        <w:tab/>
        <w:t>2020</w:t>
      </w:r>
      <w:r w:rsidRPr="00307E26">
        <w:rPr>
          <w:lang w:val="zh-CN"/>
        </w:rPr>
        <w:t>年和</w:t>
      </w:r>
      <w:r w:rsidRPr="00307E26">
        <w:rPr>
          <w:lang w:val="zh-CN"/>
        </w:rPr>
        <w:t>2023</w:t>
      </w:r>
      <w:r w:rsidRPr="00307E26">
        <w:rPr>
          <w:lang w:val="zh-CN"/>
        </w:rPr>
        <w:t>年修订《民主法典》和《国家选举委员会条例》，包括《政治组织内部民主条例》、《选举联盟条例》和《候选人登记条例》；</w:t>
      </w:r>
    </w:p>
    <w:p w14:paraId="617D16F6" w14:textId="77777777" w:rsidR="00E3197B" w:rsidRPr="00307E26" w:rsidRDefault="00E3197B" w:rsidP="00E3197B">
      <w:pPr>
        <w:pStyle w:val="SingleTxtGC"/>
      </w:pPr>
      <w:r w:rsidRPr="00307E26">
        <w:tab/>
      </w:r>
      <w:r w:rsidRPr="00307E26">
        <w:rPr>
          <w:lang w:val="zh-CN"/>
        </w:rPr>
        <w:t>(f)</w:t>
      </w:r>
      <w:r w:rsidRPr="00307E26">
        <w:rPr>
          <w:lang w:val="zh-CN"/>
        </w:rPr>
        <w:tab/>
        <w:t>2022</w:t>
      </w:r>
      <w:r w:rsidRPr="00307E26">
        <w:rPr>
          <w:lang w:val="zh-CN"/>
        </w:rPr>
        <w:t>年通过《关于强奸案中少女和妇女自愿终止妊娠的基本法》；</w:t>
      </w:r>
      <w:bookmarkStart w:id="1" w:name="_Hlk183765544"/>
      <w:bookmarkEnd w:id="1"/>
    </w:p>
    <w:p w14:paraId="16E6C625" w14:textId="77777777" w:rsidR="00E3197B" w:rsidRPr="00307E26" w:rsidRDefault="00E3197B" w:rsidP="00E3197B">
      <w:pPr>
        <w:pStyle w:val="SingleTxtGC"/>
      </w:pPr>
      <w:r w:rsidRPr="00307E26">
        <w:lastRenderedPageBreak/>
        <w:tab/>
      </w:r>
      <w:r w:rsidRPr="00307E26">
        <w:rPr>
          <w:lang w:val="zh-CN"/>
        </w:rPr>
        <w:t>(g)</w:t>
      </w:r>
      <w:r w:rsidRPr="00307E26">
        <w:rPr>
          <w:lang w:val="zh-CN"/>
        </w:rPr>
        <w:tab/>
        <w:t>2019</w:t>
      </w:r>
      <w:r w:rsidRPr="00307E26">
        <w:rPr>
          <w:lang w:val="zh-CN"/>
        </w:rPr>
        <w:t>年通过《关于监察员办公室的组织法》；</w:t>
      </w:r>
    </w:p>
    <w:p w14:paraId="2E4C26B3" w14:textId="77777777" w:rsidR="00E3197B" w:rsidRPr="00307E26" w:rsidRDefault="00E3197B" w:rsidP="00E3197B">
      <w:pPr>
        <w:pStyle w:val="SingleTxtGC"/>
      </w:pPr>
      <w:r w:rsidRPr="00307E26">
        <w:tab/>
      </w:r>
      <w:r w:rsidRPr="00307E26">
        <w:rPr>
          <w:lang w:val="zh-CN"/>
        </w:rPr>
        <w:t>(h)</w:t>
      </w:r>
      <w:r w:rsidRPr="00307E26">
        <w:rPr>
          <w:lang w:val="zh-CN"/>
        </w:rPr>
        <w:tab/>
      </w:r>
      <w:r w:rsidRPr="00307E26">
        <w:rPr>
          <w:lang w:val="zh-CN"/>
        </w:rPr>
        <w:t>通过</w:t>
      </w:r>
      <w:r w:rsidRPr="00307E26">
        <w:rPr>
          <w:rFonts w:hint="eastAsia"/>
          <w:lang w:val="zh-CN"/>
        </w:rPr>
        <w:t>“</w:t>
      </w:r>
      <w:r w:rsidRPr="00307E26">
        <w:rPr>
          <w:lang w:val="zh-CN"/>
        </w:rPr>
        <w:t>2021-2025</w:t>
      </w:r>
      <w:r w:rsidRPr="00307E26">
        <w:rPr>
          <w:lang w:val="zh-CN"/>
        </w:rPr>
        <w:t>年人口流动平等国家议程</w:t>
      </w:r>
      <w:r w:rsidRPr="00307E26">
        <w:rPr>
          <w:rFonts w:hint="eastAsia"/>
          <w:lang w:val="zh-CN"/>
        </w:rPr>
        <w:t>”</w:t>
      </w:r>
      <w:r w:rsidRPr="00307E26">
        <w:rPr>
          <w:lang w:val="zh-CN"/>
        </w:rPr>
        <w:t>；</w:t>
      </w:r>
    </w:p>
    <w:p w14:paraId="3A756FC7" w14:textId="77777777" w:rsidR="00E3197B" w:rsidRPr="00307E26" w:rsidRDefault="00E3197B" w:rsidP="00E3197B">
      <w:pPr>
        <w:pStyle w:val="SingleTxtGC"/>
      </w:pPr>
      <w:r w:rsidRPr="00307E26">
        <w:tab/>
      </w:r>
      <w:r w:rsidRPr="00307E26">
        <w:rPr>
          <w:lang w:val="zh-CN"/>
        </w:rPr>
        <w:t>(i)</w:t>
      </w:r>
      <w:r w:rsidRPr="00307E26">
        <w:rPr>
          <w:lang w:val="zh-CN"/>
        </w:rPr>
        <w:tab/>
        <w:t>2020</w:t>
      </w:r>
      <w:r w:rsidRPr="00307E26">
        <w:rPr>
          <w:lang w:val="zh-CN"/>
        </w:rPr>
        <w:t>年设立受害者保护和支助服务网络；</w:t>
      </w:r>
    </w:p>
    <w:p w14:paraId="464DFB76" w14:textId="74286405" w:rsidR="00E3197B" w:rsidRPr="00307E26" w:rsidRDefault="00E3197B" w:rsidP="00E3197B">
      <w:pPr>
        <w:pStyle w:val="SingleTxtGC"/>
      </w:pPr>
      <w:r w:rsidRPr="00307E26">
        <w:tab/>
      </w:r>
      <w:r w:rsidRPr="00307E26">
        <w:rPr>
          <w:lang w:val="zh-CN"/>
        </w:rPr>
        <w:t>(j)</w:t>
      </w:r>
      <w:r w:rsidRPr="00307E26">
        <w:rPr>
          <w:lang w:val="zh-CN"/>
        </w:rPr>
        <w:tab/>
        <w:t>2018</w:t>
      </w:r>
      <w:r w:rsidRPr="00307E26">
        <w:rPr>
          <w:lang w:val="zh-CN"/>
        </w:rPr>
        <w:t>年通过《预防和消除暴力侵害妇女行为综合组织法》</w:t>
      </w:r>
      <w:r w:rsidR="00B42102">
        <w:rPr>
          <w:rFonts w:hint="eastAsia"/>
          <w:lang w:val="fr-CH"/>
        </w:rPr>
        <w:t>。</w:t>
      </w:r>
    </w:p>
    <w:p w14:paraId="38B4B35C" w14:textId="77777777" w:rsidR="00E3197B" w:rsidRPr="00307E26" w:rsidRDefault="00E3197B" w:rsidP="00E3197B">
      <w:pPr>
        <w:pStyle w:val="SingleTxtGC"/>
      </w:pPr>
      <w:r w:rsidRPr="00307E26">
        <w:rPr>
          <w:lang w:val="zh-CN"/>
        </w:rPr>
        <w:t>4.</w:t>
      </w:r>
      <w:r w:rsidRPr="00307E26">
        <w:rPr>
          <w:lang w:val="zh-CN"/>
        </w:rPr>
        <w:tab/>
      </w:r>
      <w:r w:rsidRPr="00307E26">
        <w:rPr>
          <w:lang w:val="zh-CN"/>
        </w:rPr>
        <w:t>委员会又欢迎缔约国批准或加入以下国际文书：</w:t>
      </w:r>
    </w:p>
    <w:p w14:paraId="0751B3EE" w14:textId="77777777" w:rsidR="00E3197B" w:rsidRPr="00307E26" w:rsidRDefault="00E3197B" w:rsidP="00E3197B">
      <w:pPr>
        <w:pStyle w:val="SingleTxtGC"/>
      </w:pPr>
      <w:r w:rsidRPr="00307E26">
        <w:tab/>
      </w:r>
      <w:r w:rsidRPr="00307E26">
        <w:rPr>
          <w:lang w:val="zh-CN"/>
        </w:rPr>
        <w:t>(a)</w:t>
      </w:r>
      <w:r w:rsidRPr="00307E26">
        <w:rPr>
          <w:lang w:val="zh-CN"/>
        </w:rPr>
        <w:tab/>
      </w:r>
      <w:r w:rsidRPr="00307E26">
        <w:rPr>
          <w:lang w:val="zh-CN"/>
        </w:rPr>
        <w:t>国际劳工组织《</w:t>
      </w:r>
      <w:r w:rsidRPr="00307E26">
        <w:rPr>
          <w:lang w:val="zh-CN"/>
        </w:rPr>
        <w:t>2019</w:t>
      </w:r>
      <w:r w:rsidRPr="00307E26">
        <w:rPr>
          <w:lang w:val="zh-CN"/>
        </w:rPr>
        <w:t>年暴力和骚扰公约》</w:t>
      </w:r>
      <w:r w:rsidRPr="00307E26">
        <w:rPr>
          <w:lang w:val="zh-CN"/>
        </w:rPr>
        <w:t>(</w:t>
      </w:r>
      <w:r w:rsidRPr="00307E26">
        <w:rPr>
          <w:lang w:val="zh-CN"/>
        </w:rPr>
        <w:t>第</w:t>
      </w:r>
      <w:r w:rsidRPr="00307E26">
        <w:rPr>
          <w:lang w:val="zh-CN"/>
        </w:rPr>
        <w:t>190</w:t>
      </w:r>
      <w:r w:rsidRPr="00307E26">
        <w:rPr>
          <w:lang w:val="zh-CN"/>
        </w:rPr>
        <w:t>号</w:t>
      </w:r>
      <w:r w:rsidRPr="00307E26">
        <w:rPr>
          <w:lang w:val="zh-CN"/>
        </w:rPr>
        <w:t>)</w:t>
      </w:r>
      <w:r w:rsidRPr="00307E26">
        <w:rPr>
          <w:lang w:val="zh-CN"/>
        </w:rPr>
        <w:t>，</w:t>
      </w:r>
      <w:r w:rsidRPr="00307E26">
        <w:rPr>
          <w:lang w:val="zh-CN"/>
        </w:rPr>
        <w:t>2021</w:t>
      </w:r>
      <w:r w:rsidRPr="00307E26">
        <w:rPr>
          <w:lang w:val="zh-CN"/>
        </w:rPr>
        <w:t>年；</w:t>
      </w:r>
    </w:p>
    <w:p w14:paraId="64706D54" w14:textId="77777777" w:rsidR="00E3197B" w:rsidRPr="00307E26" w:rsidRDefault="00E3197B" w:rsidP="00E3197B">
      <w:pPr>
        <w:pStyle w:val="SingleTxtGC"/>
      </w:pPr>
      <w:r w:rsidRPr="00307E26">
        <w:tab/>
      </w:r>
      <w:r w:rsidRPr="00307E26">
        <w:rPr>
          <w:lang w:val="zh-CN"/>
        </w:rPr>
        <w:t>(b)</w:t>
      </w:r>
      <w:r w:rsidRPr="00307E26">
        <w:rPr>
          <w:lang w:val="zh-CN"/>
        </w:rPr>
        <w:tab/>
      </w:r>
      <w:r w:rsidRPr="00307E26">
        <w:rPr>
          <w:lang w:val="zh-CN"/>
        </w:rPr>
        <w:t>《拉丁美洲和加勒比关于在环境问题上获得信息、公众参与和诉诸法律的区域协定》</w:t>
      </w:r>
      <w:r w:rsidRPr="00307E26">
        <w:rPr>
          <w:lang w:val="zh-CN"/>
        </w:rPr>
        <w:t>(</w:t>
      </w:r>
      <w:r w:rsidRPr="00307E26">
        <w:rPr>
          <w:lang w:val="zh-CN"/>
        </w:rPr>
        <w:t>《埃斯卡苏协定》</w:t>
      </w:r>
      <w:r w:rsidRPr="00307E26">
        <w:rPr>
          <w:lang w:val="zh-CN"/>
        </w:rPr>
        <w:t>)</w:t>
      </w:r>
      <w:r w:rsidRPr="00307E26">
        <w:rPr>
          <w:lang w:val="zh-CN"/>
        </w:rPr>
        <w:t>，</w:t>
      </w:r>
      <w:r w:rsidRPr="00307E26">
        <w:rPr>
          <w:lang w:val="zh-CN"/>
        </w:rPr>
        <w:t>2020</w:t>
      </w:r>
      <w:r w:rsidRPr="00307E26">
        <w:rPr>
          <w:lang w:val="zh-CN"/>
        </w:rPr>
        <w:t>年；</w:t>
      </w:r>
    </w:p>
    <w:p w14:paraId="481F0E60" w14:textId="77777777" w:rsidR="00E3197B" w:rsidRPr="00307E26" w:rsidRDefault="00E3197B" w:rsidP="00E3197B">
      <w:pPr>
        <w:pStyle w:val="SingleTxtGC"/>
      </w:pPr>
      <w:r w:rsidRPr="00307E26">
        <w:tab/>
      </w:r>
      <w:r w:rsidRPr="00307E26">
        <w:rPr>
          <w:lang w:val="zh-CN"/>
        </w:rPr>
        <w:t>(c)</w:t>
      </w:r>
      <w:r w:rsidRPr="00307E26">
        <w:rPr>
          <w:lang w:val="zh-CN"/>
        </w:rPr>
        <w:tab/>
      </w:r>
      <w:r w:rsidRPr="00307E26">
        <w:rPr>
          <w:lang w:val="zh-CN"/>
        </w:rPr>
        <w:t>《儿童权利公约关于设定来文程序的任择议定书》，</w:t>
      </w:r>
      <w:r w:rsidRPr="00307E26">
        <w:rPr>
          <w:lang w:val="zh-CN"/>
        </w:rPr>
        <w:t>2018</w:t>
      </w:r>
      <w:r w:rsidRPr="00307E26">
        <w:rPr>
          <w:lang w:val="zh-CN"/>
        </w:rPr>
        <w:t>年。</w:t>
      </w:r>
    </w:p>
    <w:p w14:paraId="6A775110" w14:textId="77777777" w:rsidR="00E3197B" w:rsidRPr="00307E26" w:rsidRDefault="00E3197B" w:rsidP="00BF4514">
      <w:pPr>
        <w:pStyle w:val="H1GC"/>
      </w:pPr>
      <w:r w:rsidRPr="00307E26">
        <w:tab/>
      </w:r>
      <w:r w:rsidRPr="00307E26">
        <w:rPr>
          <w:lang w:val="zh-CN"/>
        </w:rPr>
        <w:t>C.</w:t>
      </w:r>
      <w:r w:rsidRPr="00307E26">
        <w:rPr>
          <w:lang w:val="zh-CN"/>
        </w:rPr>
        <w:tab/>
      </w:r>
      <w:r w:rsidRPr="00307E26">
        <w:rPr>
          <w:lang w:val="zh-CN"/>
        </w:rPr>
        <w:t>关注的主要问题及建议</w:t>
      </w:r>
    </w:p>
    <w:p w14:paraId="7E6DCAFE" w14:textId="77777777" w:rsidR="00E3197B" w:rsidRPr="00307E26" w:rsidRDefault="00E3197B" w:rsidP="00BF4514">
      <w:pPr>
        <w:pStyle w:val="H23GC"/>
      </w:pPr>
      <w:r w:rsidRPr="00307E26">
        <w:rPr>
          <w:lang w:val="zh-CN"/>
        </w:rPr>
        <w:tab/>
      </w:r>
      <w:r w:rsidRPr="00307E26">
        <w:rPr>
          <w:lang w:val="zh-CN"/>
        </w:rPr>
        <w:tab/>
      </w:r>
      <w:r w:rsidRPr="00307E26">
        <w:rPr>
          <w:lang w:val="zh-CN"/>
        </w:rPr>
        <w:t>实施《公约》的宪法和法律框架</w:t>
      </w:r>
    </w:p>
    <w:p w14:paraId="55117FF6" w14:textId="77777777" w:rsidR="00E3197B" w:rsidRPr="00307E26" w:rsidRDefault="00E3197B" w:rsidP="00E3197B">
      <w:pPr>
        <w:pStyle w:val="SingleTxtGC"/>
      </w:pPr>
      <w:r w:rsidRPr="00307E26">
        <w:rPr>
          <w:lang w:val="zh-CN"/>
        </w:rPr>
        <w:t>5.</w:t>
      </w:r>
      <w:r w:rsidRPr="00307E26">
        <w:rPr>
          <w:lang w:val="zh-CN"/>
        </w:rPr>
        <w:tab/>
      </w:r>
      <w:r w:rsidRPr="00307E26">
        <w:rPr>
          <w:lang w:val="zh-CN"/>
        </w:rPr>
        <w:t>委员会欢迎妇女和人权部</w:t>
      </w:r>
      <w:r w:rsidRPr="00307E26">
        <w:rPr>
          <w:lang w:val="zh-CN"/>
        </w:rPr>
        <w:t>2023</w:t>
      </w:r>
      <w:r w:rsidRPr="00307E26">
        <w:rPr>
          <w:lang w:val="zh-CN"/>
        </w:rPr>
        <w:t>年</w:t>
      </w:r>
      <w:r w:rsidRPr="00307E26">
        <w:rPr>
          <w:lang w:val="zh-CN"/>
        </w:rPr>
        <w:t>8</w:t>
      </w:r>
      <w:r w:rsidRPr="00307E26">
        <w:rPr>
          <w:lang w:val="zh-CN"/>
        </w:rPr>
        <w:t>月</w:t>
      </w:r>
      <w:r w:rsidRPr="00307E26">
        <w:rPr>
          <w:lang w:val="zh-CN"/>
        </w:rPr>
        <w:t>29</w:t>
      </w:r>
      <w:r w:rsidRPr="00307E26">
        <w:rPr>
          <w:lang w:val="zh-CN"/>
        </w:rPr>
        <w:t>日关于建立协调履行国际人权义务程序的决议。委员会注意到宪法法院的判决提到了《公约》，并注意到缔约国为提高对《公约》的认识而组织的其他宣传和培训活动。然而，委员会感到遗憾的是，缔约国没有提供资料，说明缔约国其他法院和法庭援引《公约》条款的频率</w:t>
      </w:r>
      <w:r w:rsidRPr="00307E26">
        <w:rPr>
          <w:lang w:val="zh-CN"/>
        </w:rPr>
        <w:t>(</w:t>
      </w:r>
      <w:r w:rsidRPr="00307E26">
        <w:rPr>
          <w:lang w:val="zh-CN"/>
        </w:rPr>
        <w:t>第二条</w:t>
      </w:r>
      <w:r w:rsidRPr="00307E26">
        <w:rPr>
          <w:lang w:val="zh-CN"/>
        </w:rPr>
        <w:t>)</w:t>
      </w:r>
      <w:r w:rsidRPr="00307E26">
        <w:rPr>
          <w:lang w:val="zh-CN"/>
        </w:rPr>
        <w:t>。</w:t>
      </w:r>
    </w:p>
    <w:p w14:paraId="1B66ECCA" w14:textId="77777777" w:rsidR="00E3197B" w:rsidRPr="00307E26" w:rsidRDefault="00E3197B" w:rsidP="00E3197B">
      <w:pPr>
        <w:pStyle w:val="SingleTxtGC"/>
        <w:rPr>
          <w:rFonts w:eastAsia="黑体"/>
        </w:rPr>
      </w:pPr>
      <w:r w:rsidRPr="00307E26">
        <w:rPr>
          <w:lang w:val="zh-CN"/>
        </w:rPr>
        <w:t>6.</w:t>
      </w:r>
      <w:r w:rsidRPr="00307E26">
        <w:rPr>
          <w:lang w:val="zh-CN"/>
        </w:rPr>
        <w:tab/>
      </w:r>
      <w:r w:rsidRPr="00307E26">
        <w:rPr>
          <w:rFonts w:eastAsia="黑体"/>
          <w:lang w:val="zh-CN"/>
        </w:rPr>
        <w:t>缔约国应根据《公约》第二条第二和第三款，通过适当和有效的机制，采取一切必要步骤，落实委员会通过的所有结论性意见和《意见》。在这方面，缔约国应采取措施，确保委员会的决定得到有效执行，并应考虑通过立法，承认已获得委员会准予的赔偿措施的来文提交人有权要求国内法院执行这些措施。此外，缔约国应努力提高法官、检察官和律师对《公约》及其国内适用性的认识，以确保法院考虑到《公约》的规定。</w:t>
      </w:r>
    </w:p>
    <w:p w14:paraId="5696D4DA" w14:textId="77777777" w:rsidR="00E3197B" w:rsidRPr="00307E26" w:rsidRDefault="00E3197B" w:rsidP="00BF4514">
      <w:pPr>
        <w:pStyle w:val="H23GC"/>
      </w:pPr>
      <w:r w:rsidRPr="00307E26">
        <w:rPr>
          <w:lang w:val="zh-CN"/>
        </w:rPr>
        <w:tab/>
      </w:r>
      <w:r w:rsidRPr="00307E26">
        <w:rPr>
          <w:lang w:val="zh-CN"/>
        </w:rPr>
        <w:tab/>
      </w:r>
      <w:r w:rsidRPr="00307E26">
        <w:rPr>
          <w:lang w:val="zh-CN"/>
        </w:rPr>
        <w:t>国家人权机构</w:t>
      </w:r>
    </w:p>
    <w:p w14:paraId="7370965E" w14:textId="77777777" w:rsidR="00E3197B" w:rsidRPr="00307E26" w:rsidRDefault="00E3197B" w:rsidP="00E3197B">
      <w:pPr>
        <w:pStyle w:val="SingleTxtGC"/>
      </w:pPr>
      <w:r w:rsidRPr="00307E26">
        <w:rPr>
          <w:lang w:val="zh-CN"/>
        </w:rPr>
        <w:t>7.</w:t>
      </w:r>
      <w:r w:rsidRPr="00307E26">
        <w:rPr>
          <w:lang w:val="zh-CN"/>
        </w:rPr>
        <w:tab/>
      </w:r>
      <w:r w:rsidRPr="00307E26">
        <w:rPr>
          <w:lang w:val="zh-CN"/>
        </w:rPr>
        <w:t>委员会赞赏监察员办公室在执行其广泛任务方面所开展的工作，但感到关切的是，该办公室没有必要的人力和财力资源来有效履行这一任务。委员会还感到关切的是，遴选和任命监察员的法律和程序可能不够健全，无法保障监察员的独立性。委员会还关切地注意到，在前任监察员于</w:t>
      </w:r>
      <w:r w:rsidRPr="00307E26">
        <w:rPr>
          <w:lang w:val="zh-CN"/>
        </w:rPr>
        <w:t>2021</w:t>
      </w:r>
      <w:r w:rsidRPr="00307E26">
        <w:rPr>
          <w:lang w:val="zh-CN"/>
        </w:rPr>
        <w:t>年被解职后，仍未任命新的监察员</w:t>
      </w:r>
      <w:r w:rsidRPr="00307E26">
        <w:rPr>
          <w:lang w:val="zh-CN"/>
        </w:rPr>
        <w:t>(</w:t>
      </w:r>
      <w:r w:rsidRPr="00307E26">
        <w:rPr>
          <w:lang w:val="zh-CN"/>
        </w:rPr>
        <w:t>第二条</w:t>
      </w:r>
      <w:r w:rsidRPr="00307E26">
        <w:rPr>
          <w:lang w:val="zh-CN"/>
        </w:rPr>
        <w:t>)</w:t>
      </w:r>
      <w:r w:rsidRPr="00307E26">
        <w:rPr>
          <w:lang w:val="zh-CN"/>
        </w:rPr>
        <w:t>。</w:t>
      </w:r>
    </w:p>
    <w:p w14:paraId="414598EC" w14:textId="77777777" w:rsidR="00E3197B" w:rsidRPr="00307E26" w:rsidRDefault="00E3197B" w:rsidP="00E3197B">
      <w:pPr>
        <w:pStyle w:val="SingleTxtGC"/>
        <w:rPr>
          <w:rFonts w:eastAsia="黑体"/>
        </w:rPr>
      </w:pPr>
      <w:r w:rsidRPr="00307E26">
        <w:rPr>
          <w:lang w:val="zh-CN"/>
        </w:rPr>
        <w:t>8.</w:t>
      </w:r>
      <w:r w:rsidRPr="00307E26">
        <w:rPr>
          <w:lang w:val="zh-CN"/>
        </w:rPr>
        <w:tab/>
      </w:r>
      <w:r w:rsidRPr="00307E26">
        <w:rPr>
          <w:rFonts w:eastAsia="黑体"/>
          <w:lang w:val="zh-CN"/>
        </w:rPr>
        <w:t>缔约国应向监察员办公室划拨充足的人力、财力和技术资源，使其能够有效和独立地履行职责，充分遵守《关于促进和保护人权的国家机构的地位的原则》</w:t>
      </w:r>
      <w:r w:rsidRPr="00307E26">
        <w:rPr>
          <w:rFonts w:eastAsia="黑体"/>
          <w:lang w:val="zh-CN"/>
        </w:rPr>
        <w:t>(</w:t>
      </w:r>
      <w:r w:rsidRPr="00307E26">
        <w:rPr>
          <w:rFonts w:eastAsia="黑体"/>
          <w:lang w:val="zh-CN"/>
        </w:rPr>
        <w:t>《巴黎原则》</w:t>
      </w:r>
      <w:r w:rsidRPr="00307E26">
        <w:rPr>
          <w:rFonts w:eastAsia="黑体"/>
          <w:lang w:val="zh-CN"/>
        </w:rPr>
        <w:t>)</w:t>
      </w:r>
      <w:r w:rsidRPr="00307E26">
        <w:rPr>
          <w:rFonts w:eastAsia="黑体"/>
          <w:lang w:val="zh-CN"/>
        </w:rPr>
        <w:t>；并应确保监察员的甄选和任命程序的透明度和参与性，采用客观标准评估候选人的资质和能力。</w:t>
      </w:r>
    </w:p>
    <w:p w14:paraId="26086A7B" w14:textId="77777777" w:rsidR="00E3197B" w:rsidRPr="00307E26" w:rsidRDefault="00E3197B" w:rsidP="00BF4514">
      <w:pPr>
        <w:pStyle w:val="H23GC"/>
      </w:pPr>
      <w:r w:rsidRPr="00307E26">
        <w:rPr>
          <w:lang w:val="zh-CN"/>
        </w:rPr>
        <w:tab/>
      </w:r>
      <w:r w:rsidRPr="00307E26">
        <w:rPr>
          <w:lang w:val="zh-CN"/>
        </w:rPr>
        <w:tab/>
      </w:r>
      <w:r w:rsidRPr="00307E26">
        <w:rPr>
          <w:lang w:val="zh-CN"/>
        </w:rPr>
        <w:t>紧急状态</w:t>
      </w:r>
    </w:p>
    <w:p w14:paraId="2BE9B4DF" w14:textId="2F5DEA27" w:rsidR="00E3197B" w:rsidRPr="00307E26" w:rsidRDefault="00E3197B" w:rsidP="00E3197B">
      <w:pPr>
        <w:pStyle w:val="SingleTxtGC"/>
      </w:pPr>
      <w:r w:rsidRPr="00307E26">
        <w:rPr>
          <w:lang w:val="zh-CN"/>
        </w:rPr>
        <w:t>9.</w:t>
      </w:r>
      <w:r w:rsidRPr="00307E26">
        <w:rPr>
          <w:lang w:val="zh-CN"/>
        </w:rPr>
        <w:tab/>
      </w:r>
      <w:r w:rsidRPr="00307E26">
        <w:rPr>
          <w:lang w:val="zh-CN"/>
        </w:rPr>
        <w:t>委员会深感关切的是，缔约国频繁宣布紧急状态，克减《公约》规定的某些权利，而且全国和地方紧急状态似乎已趋于常态化。委员会强调，克减措施应仅在真正特殊的情况下才可适用。同样，委员会感到遗憾的是，自</w:t>
      </w:r>
      <w:r w:rsidRPr="00307E26">
        <w:rPr>
          <w:lang w:val="zh-CN"/>
        </w:rPr>
        <w:t>2024</w:t>
      </w:r>
      <w:r w:rsidRPr="00307E26">
        <w:rPr>
          <w:lang w:val="zh-CN"/>
        </w:rPr>
        <w:t>年</w:t>
      </w:r>
      <w:r w:rsidRPr="00307E26">
        <w:rPr>
          <w:lang w:val="zh-CN"/>
        </w:rPr>
        <w:t>1</w:t>
      </w:r>
      <w:r w:rsidRPr="00307E26">
        <w:rPr>
          <w:lang w:val="zh-CN"/>
        </w:rPr>
        <w:t>月以</w:t>
      </w:r>
      <w:r w:rsidRPr="00307E26">
        <w:rPr>
          <w:lang w:val="zh-CN"/>
        </w:rPr>
        <w:lastRenderedPageBreak/>
        <w:t>来，缔约国一再援引</w:t>
      </w:r>
      <w:r w:rsidR="00BF4514">
        <w:rPr>
          <w:rFonts w:hint="eastAsia"/>
          <w:lang w:val="zh-CN"/>
        </w:rPr>
        <w:t>“</w:t>
      </w:r>
      <w:r w:rsidRPr="00307E26">
        <w:rPr>
          <w:lang w:val="zh-CN"/>
        </w:rPr>
        <w:t>国内武装冲突</w:t>
      </w:r>
      <w:r w:rsidR="00BF4514">
        <w:rPr>
          <w:rFonts w:hint="eastAsia"/>
          <w:lang w:val="zh-CN"/>
        </w:rPr>
        <w:t>”</w:t>
      </w:r>
      <w:r w:rsidRPr="00307E26">
        <w:rPr>
          <w:lang w:val="zh-CN"/>
        </w:rPr>
        <w:t>作为宣布紧急状态的理由，而且没有采取措施确保遵守宪法法院关于这一问题的裁决。委员会还感到关切的是，有报告称，包括行动自由、结社自由和集会自由在内的一些权利受到严重和不成比例的限制，特别影响到土著人、生活贫困的人、移民、难民和寻求庇护者</w:t>
      </w:r>
      <w:r w:rsidRPr="00307E26">
        <w:rPr>
          <w:lang w:val="zh-CN"/>
        </w:rPr>
        <w:t>(</w:t>
      </w:r>
      <w:r w:rsidRPr="00307E26">
        <w:rPr>
          <w:lang w:val="zh-CN"/>
        </w:rPr>
        <w:t>第四、第六、第七、第九、第十二、第二十一和第二十二条</w:t>
      </w:r>
      <w:r w:rsidRPr="00307E26">
        <w:rPr>
          <w:lang w:val="zh-CN"/>
        </w:rPr>
        <w:t>)</w:t>
      </w:r>
      <w:r w:rsidRPr="00307E26">
        <w:rPr>
          <w:lang w:val="zh-CN"/>
        </w:rPr>
        <w:t>。</w:t>
      </w:r>
    </w:p>
    <w:p w14:paraId="3FCC8DBA" w14:textId="77777777" w:rsidR="00E3197B" w:rsidRPr="00307E26" w:rsidRDefault="00E3197B" w:rsidP="00E3197B">
      <w:pPr>
        <w:pStyle w:val="SingleTxtGC"/>
        <w:rPr>
          <w:rFonts w:eastAsia="黑体"/>
        </w:rPr>
      </w:pPr>
      <w:r w:rsidRPr="00307E26">
        <w:rPr>
          <w:lang w:val="zh-CN"/>
        </w:rPr>
        <w:t>10.</w:t>
      </w:r>
      <w:r w:rsidRPr="00307E26">
        <w:rPr>
          <w:lang w:val="zh-CN"/>
        </w:rPr>
        <w:tab/>
      </w:r>
      <w:r w:rsidRPr="00307E26">
        <w:rPr>
          <w:rFonts w:eastAsia="黑体"/>
          <w:lang w:val="zh-CN"/>
        </w:rPr>
        <w:t>缔约国应当限制使用紧急状态，并确保严格遵守《公约》所载的人权，并系统地遵守《公约》第四条规定的所有条件，正如委员会在其关于紧急状态期间克减《公约》条款的第</w:t>
      </w:r>
      <w:r w:rsidRPr="00307E26">
        <w:rPr>
          <w:rFonts w:eastAsia="黑体"/>
          <w:lang w:val="zh-CN"/>
        </w:rPr>
        <w:t>29</w:t>
      </w:r>
      <w:r w:rsidRPr="00307E26">
        <w:rPr>
          <w:rFonts w:eastAsia="黑体"/>
          <w:lang w:val="zh-CN"/>
        </w:rPr>
        <w:t>号一般性意见</w:t>
      </w:r>
      <w:r w:rsidRPr="00307E26">
        <w:rPr>
          <w:rFonts w:eastAsia="黑体"/>
          <w:lang w:val="zh-CN"/>
        </w:rPr>
        <w:t>(2001</w:t>
      </w:r>
      <w:r w:rsidRPr="00307E26">
        <w:rPr>
          <w:rFonts w:eastAsia="黑体"/>
          <w:lang w:val="zh-CN"/>
        </w:rPr>
        <w:t>年</w:t>
      </w:r>
      <w:r w:rsidRPr="00307E26">
        <w:rPr>
          <w:rFonts w:eastAsia="黑体"/>
          <w:lang w:val="zh-CN"/>
        </w:rPr>
        <w:t>)</w:t>
      </w:r>
      <w:r w:rsidRPr="00307E26">
        <w:rPr>
          <w:rFonts w:eastAsia="黑体"/>
          <w:lang w:val="zh-CN"/>
        </w:rPr>
        <w:t>中所阐释的。缔约国还应确保在紧急状态下为保护民众而采取的任何措施都是临时性的、相称的、绝对必要的，并应立即接受司法审查；完全按照《宪法》第</w:t>
      </w:r>
      <w:r w:rsidRPr="00307E26">
        <w:rPr>
          <w:rFonts w:eastAsia="黑体"/>
          <w:lang w:val="zh-CN"/>
        </w:rPr>
        <w:t>164</w:t>
      </w:r>
      <w:r w:rsidRPr="00307E26">
        <w:rPr>
          <w:rFonts w:eastAsia="黑体"/>
          <w:lang w:val="zh-CN"/>
        </w:rPr>
        <w:t>条和第</w:t>
      </w:r>
      <w:r w:rsidRPr="00307E26">
        <w:rPr>
          <w:rFonts w:eastAsia="黑体"/>
          <w:lang w:val="zh-CN"/>
        </w:rPr>
        <w:t>165</w:t>
      </w:r>
      <w:r w:rsidRPr="00307E26">
        <w:rPr>
          <w:rFonts w:eastAsia="黑体"/>
          <w:lang w:val="zh-CN"/>
        </w:rPr>
        <w:t>条以及宪法法院的裁决，继续保障不歧视和相称性原则。</w:t>
      </w:r>
    </w:p>
    <w:p w14:paraId="2565F3AF" w14:textId="5A544A14" w:rsidR="00E3197B" w:rsidRPr="00307E26" w:rsidRDefault="00E3197B" w:rsidP="00BF4514">
      <w:pPr>
        <w:pStyle w:val="H23GC"/>
      </w:pPr>
      <w:r w:rsidRPr="00307E26">
        <w:rPr>
          <w:lang w:val="zh-CN"/>
        </w:rPr>
        <w:tab/>
      </w:r>
      <w:r w:rsidRPr="00307E26">
        <w:rPr>
          <w:lang w:val="zh-CN"/>
        </w:rPr>
        <w:tab/>
      </w:r>
      <w:r w:rsidRPr="00307E26">
        <w:rPr>
          <w:lang w:val="zh-CN"/>
        </w:rPr>
        <w:t>打击有罪不罚现象和以往的侵犯人权行为</w:t>
      </w:r>
    </w:p>
    <w:p w14:paraId="5342559E" w14:textId="77777777" w:rsidR="00E3197B" w:rsidRPr="00307E26" w:rsidRDefault="00E3197B" w:rsidP="00E3197B">
      <w:pPr>
        <w:pStyle w:val="SingleTxtGC"/>
      </w:pPr>
      <w:r w:rsidRPr="00307E26">
        <w:rPr>
          <w:lang w:val="zh-CN"/>
        </w:rPr>
        <w:t>11.</w:t>
      </w:r>
      <w:r w:rsidRPr="00307E26">
        <w:rPr>
          <w:lang w:val="zh-CN"/>
        </w:rPr>
        <w:tab/>
      </w:r>
      <w:r w:rsidRPr="00307E26">
        <w:rPr>
          <w:lang w:val="zh-CN"/>
        </w:rPr>
        <w:t>委员会感到关切的是，在真相委员会</w:t>
      </w:r>
      <w:r w:rsidRPr="00307E26">
        <w:rPr>
          <w:lang w:val="zh-CN"/>
        </w:rPr>
        <w:t>2010</w:t>
      </w:r>
      <w:r w:rsidRPr="00307E26">
        <w:rPr>
          <w:lang w:val="zh-CN"/>
        </w:rPr>
        <w:t>年的最后报告中记录的</w:t>
      </w:r>
      <w:r w:rsidRPr="00307E26">
        <w:rPr>
          <w:lang w:val="zh-CN"/>
        </w:rPr>
        <w:t>118</w:t>
      </w:r>
      <w:r w:rsidRPr="00307E26">
        <w:rPr>
          <w:lang w:val="zh-CN"/>
        </w:rPr>
        <w:t>起案件中，只有</w:t>
      </w:r>
      <w:r w:rsidRPr="00307E26">
        <w:rPr>
          <w:lang w:val="zh-CN"/>
        </w:rPr>
        <w:t>12</w:t>
      </w:r>
      <w:r w:rsidRPr="00307E26">
        <w:rPr>
          <w:lang w:val="zh-CN"/>
        </w:rPr>
        <w:t>起被定罪，因为大多数诉讼仍处于初步调查阶段。委员会注意到缔约国为赔偿受害者所采取的步骤，但感到遗憾的是，纪念博物馆的建造和落成都没有受害者的切实参与</w:t>
      </w:r>
      <w:r w:rsidRPr="00307E26">
        <w:rPr>
          <w:lang w:val="zh-CN"/>
        </w:rPr>
        <w:t>(</w:t>
      </w:r>
      <w:r w:rsidRPr="00307E26">
        <w:rPr>
          <w:lang w:val="zh-CN"/>
        </w:rPr>
        <w:t>第二、第六、第七和第十四条</w:t>
      </w:r>
      <w:r w:rsidRPr="00307E26">
        <w:rPr>
          <w:lang w:val="zh-CN"/>
        </w:rPr>
        <w:t>)</w:t>
      </w:r>
      <w:r w:rsidRPr="00307E26">
        <w:rPr>
          <w:lang w:val="zh-CN"/>
        </w:rPr>
        <w:t>。</w:t>
      </w:r>
    </w:p>
    <w:p w14:paraId="32DB6E75" w14:textId="77777777" w:rsidR="00E3197B" w:rsidRPr="00307E26" w:rsidRDefault="00E3197B" w:rsidP="00E3197B">
      <w:pPr>
        <w:pStyle w:val="SingleTxtGC"/>
        <w:rPr>
          <w:rFonts w:eastAsia="黑体"/>
        </w:rPr>
      </w:pPr>
      <w:r w:rsidRPr="00307E26">
        <w:t>12.</w:t>
      </w:r>
      <w:r w:rsidRPr="00307E26">
        <w:tab/>
      </w:r>
      <w:r w:rsidRPr="00307E26">
        <w:rPr>
          <w:rFonts w:eastAsia="黑体"/>
          <w:lang w:val="zh-CN"/>
        </w:rPr>
        <w:t>缔约国应</w:t>
      </w:r>
      <w:r w:rsidRPr="00307E26">
        <w:rPr>
          <w:rFonts w:eastAsia="黑体"/>
        </w:rPr>
        <w:t>：</w:t>
      </w:r>
    </w:p>
    <w:p w14:paraId="2729531A" w14:textId="77777777" w:rsidR="00E3197B" w:rsidRPr="00307E26" w:rsidRDefault="00E3197B" w:rsidP="00E3197B">
      <w:pPr>
        <w:pStyle w:val="SingleTxtGC"/>
        <w:rPr>
          <w:rFonts w:eastAsia="黑体"/>
        </w:rPr>
      </w:pPr>
      <w:r w:rsidRPr="00307E26">
        <w:tab/>
        <w:t>(a)</w:t>
      </w:r>
      <w:r w:rsidRPr="00307E26">
        <w:tab/>
      </w:r>
      <w:r w:rsidRPr="00307E26">
        <w:rPr>
          <w:rFonts w:eastAsia="黑体"/>
          <w:lang w:val="zh-CN"/>
        </w:rPr>
        <w:t>确保对</w:t>
      </w:r>
      <w:r w:rsidRPr="00307E26">
        <w:rPr>
          <w:rFonts w:eastAsia="黑体"/>
        </w:rPr>
        <w:t>1984-2008</w:t>
      </w:r>
      <w:r w:rsidRPr="00307E26">
        <w:rPr>
          <w:rFonts w:eastAsia="黑体"/>
          <w:lang w:val="zh-CN"/>
        </w:rPr>
        <w:t>年期间犯下的所有侵犯人权行为追究责任</w:t>
      </w:r>
      <w:r w:rsidRPr="00307E26">
        <w:rPr>
          <w:rFonts w:eastAsia="黑体"/>
        </w:rPr>
        <w:t>，</w:t>
      </w:r>
      <w:r w:rsidRPr="00307E26">
        <w:rPr>
          <w:rFonts w:eastAsia="黑体"/>
          <w:lang w:val="zh-CN"/>
        </w:rPr>
        <w:t>包括真相委员会题为</w:t>
      </w:r>
      <w:r w:rsidRPr="00307E26">
        <w:rPr>
          <w:rFonts w:eastAsia="黑体" w:hint="eastAsia"/>
        </w:rPr>
        <w:t>“</w:t>
      </w:r>
      <w:r w:rsidRPr="00307E26">
        <w:rPr>
          <w:rFonts w:eastAsia="黑体"/>
          <w:lang w:val="zh-CN"/>
        </w:rPr>
        <w:t>没有真相就没有正义</w:t>
      </w:r>
      <w:r w:rsidRPr="00307E26">
        <w:rPr>
          <w:rFonts w:eastAsia="黑体" w:hint="eastAsia"/>
        </w:rPr>
        <w:t>”</w:t>
      </w:r>
      <w:r w:rsidRPr="00307E26">
        <w:rPr>
          <w:rFonts w:eastAsia="黑体"/>
        </w:rPr>
        <w:t>(Sin Verdad No Hay Justicia)</w:t>
      </w:r>
      <w:r w:rsidRPr="00307E26">
        <w:rPr>
          <w:rFonts w:eastAsia="黑体"/>
          <w:lang w:val="zh-CN"/>
        </w:rPr>
        <w:t>的报告中详述的案件</w:t>
      </w:r>
      <w:r w:rsidRPr="00307E26">
        <w:rPr>
          <w:rFonts w:eastAsia="黑体"/>
        </w:rPr>
        <w:t>，</w:t>
      </w:r>
      <w:r w:rsidRPr="00307E26">
        <w:rPr>
          <w:rFonts w:eastAsia="黑体"/>
          <w:lang w:val="zh-CN"/>
        </w:rPr>
        <w:t>除其他行动外</w:t>
      </w:r>
      <w:r w:rsidRPr="00307E26">
        <w:rPr>
          <w:rFonts w:eastAsia="黑体"/>
        </w:rPr>
        <w:t>，</w:t>
      </w:r>
      <w:r w:rsidRPr="00307E26">
        <w:rPr>
          <w:rFonts w:eastAsia="黑体"/>
          <w:lang w:val="zh-CN"/>
        </w:rPr>
        <w:t>彻底调查和起诉所指控的罪行</w:t>
      </w:r>
      <w:r w:rsidRPr="00307E26">
        <w:rPr>
          <w:rFonts w:eastAsia="黑体"/>
        </w:rPr>
        <w:t>，</w:t>
      </w:r>
      <w:r w:rsidRPr="00307E26">
        <w:rPr>
          <w:rFonts w:eastAsia="黑体"/>
          <w:lang w:val="zh-CN"/>
        </w:rPr>
        <w:t>并确保肇事者</w:t>
      </w:r>
      <w:r w:rsidRPr="00307E26">
        <w:rPr>
          <w:rFonts w:eastAsia="黑体"/>
        </w:rPr>
        <w:t>，</w:t>
      </w:r>
      <w:r w:rsidRPr="00307E26">
        <w:rPr>
          <w:rFonts w:eastAsia="黑体"/>
          <w:lang w:val="zh-CN"/>
        </w:rPr>
        <w:t>如判定有罪</w:t>
      </w:r>
      <w:r w:rsidRPr="00307E26">
        <w:rPr>
          <w:rFonts w:eastAsia="黑体"/>
        </w:rPr>
        <w:t>，</w:t>
      </w:r>
      <w:r w:rsidRPr="00307E26">
        <w:rPr>
          <w:rFonts w:eastAsia="黑体"/>
          <w:lang w:val="zh-CN"/>
        </w:rPr>
        <w:t>则受到与所犯罪行严重程度相称的惩罚</w:t>
      </w:r>
      <w:r w:rsidRPr="00307E26">
        <w:rPr>
          <w:rFonts w:eastAsia="黑体"/>
        </w:rPr>
        <w:t>，</w:t>
      </w:r>
      <w:r w:rsidRPr="00307E26">
        <w:rPr>
          <w:rFonts w:eastAsia="黑体"/>
          <w:lang w:val="zh-CN"/>
        </w:rPr>
        <w:t>并采取一切必要措施防止此类行为再次发生</w:t>
      </w:r>
      <w:r w:rsidRPr="00307E26">
        <w:rPr>
          <w:rFonts w:eastAsia="黑体"/>
        </w:rPr>
        <w:t>；</w:t>
      </w:r>
    </w:p>
    <w:p w14:paraId="7765C2B1"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确保过去侵犯人权行为的所有受害者及其家人获得充分赔偿，包括康复和适当赔偿，并确保尊重他们了解真相的权利和纪念的权利；</w:t>
      </w:r>
    </w:p>
    <w:p w14:paraId="15EAEDA0"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保证为受害者举行悼念和纪念活动不受限制或威胁，彻底和迅速调查所有关于骚扰或恐吓的报告，起诉肇事者，如果定罪，则处以与罪行严重程度相称的惩罚。</w:t>
      </w:r>
    </w:p>
    <w:p w14:paraId="70AAC733" w14:textId="77777777" w:rsidR="00E3197B" w:rsidRPr="00307E26" w:rsidRDefault="00E3197B" w:rsidP="00BF4514">
      <w:pPr>
        <w:pStyle w:val="H23GC"/>
      </w:pPr>
      <w:r w:rsidRPr="00307E26">
        <w:rPr>
          <w:lang w:val="zh-CN"/>
        </w:rPr>
        <w:tab/>
      </w:r>
      <w:r w:rsidRPr="00307E26">
        <w:rPr>
          <w:lang w:val="zh-CN"/>
        </w:rPr>
        <w:tab/>
      </w:r>
      <w:r w:rsidRPr="00307E26">
        <w:rPr>
          <w:lang w:val="zh-CN"/>
        </w:rPr>
        <w:t>反恐措施</w:t>
      </w:r>
    </w:p>
    <w:p w14:paraId="62A8D295" w14:textId="77777777" w:rsidR="00E3197B" w:rsidRPr="00307E26" w:rsidRDefault="00E3197B" w:rsidP="00E3197B">
      <w:pPr>
        <w:pStyle w:val="SingleTxtGC"/>
      </w:pPr>
      <w:r w:rsidRPr="00307E26">
        <w:rPr>
          <w:lang w:val="zh-CN"/>
        </w:rPr>
        <w:t>13.</w:t>
      </w:r>
      <w:r w:rsidRPr="00307E26">
        <w:rPr>
          <w:lang w:val="zh-CN"/>
        </w:rPr>
        <w:tab/>
      </w:r>
      <w:r w:rsidRPr="00307E26">
        <w:rPr>
          <w:lang w:val="zh-CN"/>
        </w:rPr>
        <w:t>委员会欢迎关于联合国与缔约国合作修订《综合刑事组织法》第</w:t>
      </w:r>
      <w:r w:rsidRPr="00307E26">
        <w:rPr>
          <w:lang w:val="zh-CN"/>
        </w:rPr>
        <w:t>366</w:t>
      </w:r>
      <w:r w:rsidRPr="00307E26">
        <w:rPr>
          <w:lang w:val="zh-CN"/>
        </w:rPr>
        <w:t>条和第</w:t>
      </w:r>
      <w:r w:rsidRPr="00307E26">
        <w:rPr>
          <w:lang w:val="zh-CN"/>
        </w:rPr>
        <w:t>367</w:t>
      </w:r>
      <w:r w:rsidRPr="00307E26">
        <w:rPr>
          <w:lang w:val="zh-CN"/>
        </w:rPr>
        <w:t>条的信息。然而，委员会感到关切的是，反恐法律和政策的实际执行可能导致违反正当程序，特别是在执行</w:t>
      </w:r>
      <w:r w:rsidRPr="00307E26">
        <w:rPr>
          <w:rFonts w:hint="eastAsia"/>
          <w:lang w:val="zh-CN"/>
        </w:rPr>
        <w:t>“</w:t>
      </w:r>
      <w:r w:rsidRPr="00307E26">
        <w:rPr>
          <w:lang w:val="zh-CN"/>
        </w:rPr>
        <w:t>凤凰计划</w:t>
      </w:r>
      <w:r w:rsidRPr="00307E26">
        <w:rPr>
          <w:rFonts w:hint="eastAsia"/>
          <w:lang w:val="zh-CN"/>
        </w:rPr>
        <w:t>”</w:t>
      </w:r>
      <w:r w:rsidRPr="00307E26">
        <w:rPr>
          <w:lang w:val="zh-CN"/>
        </w:rPr>
        <w:t>的情况下。委员会还感到关切的是，有报告称</w:t>
      </w:r>
      <w:r w:rsidRPr="00307E26">
        <w:rPr>
          <w:lang w:val="zh-CN"/>
        </w:rPr>
        <w:t>2024</w:t>
      </w:r>
      <w:r w:rsidRPr="00307E26">
        <w:rPr>
          <w:lang w:val="zh-CN"/>
        </w:rPr>
        <w:t>年</w:t>
      </w:r>
      <w:r w:rsidRPr="00307E26">
        <w:rPr>
          <w:lang w:val="zh-CN"/>
        </w:rPr>
        <w:t>1</w:t>
      </w:r>
      <w:r w:rsidRPr="00307E26">
        <w:rPr>
          <w:lang w:val="zh-CN"/>
        </w:rPr>
        <w:t>月至</w:t>
      </w:r>
      <w:r w:rsidRPr="00307E26">
        <w:rPr>
          <w:lang w:val="zh-CN"/>
        </w:rPr>
        <w:t>5</w:t>
      </w:r>
      <w:r w:rsidRPr="00307E26">
        <w:rPr>
          <w:lang w:val="zh-CN"/>
        </w:rPr>
        <w:t>月逮捕了</w:t>
      </w:r>
      <w:r w:rsidRPr="00307E26">
        <w:rPr>
          <w:lang w:val="zh-CN"/>
        </w:rPr>
        <w:t>35,000</w:t>
      </w:r>
      <w:r w:rsidRPr="00307E26">
        <w:rPr>
          <w:lang w:val="zh-CN"/>
        </w:rPr>
        <w:t>人，包括以恐怖主义罪名逮捕的人，这一数字之大可能表明反恐措施被任意使用，作为限制《公约》所保护的合法权利和自由</w:t>
      </w:r>
      <w:r w:rsidRPr="00307E26">
        <w:rPr>
          <w:lang w:val="zh-CN"/>
        </w:rPr>
        <w:t>(</w:t>
      </w:r>
      <w:r w:rsidRPr="00307E26">
        <w:rPr>
          <w:lang w:val="zh-CN"/>
        </w:rPr>
        <w:t>包括不被任意拘留的权利</w:t>
      </w:r>
      <w:r w:rsidRPr="00307E26">
        <w:rPr>
          <w:lang w:val="zh-CN"/>
        </w:rPr>
        <w:t>)</w:t>
      </w:r>
      <w:r w:rsidRPr="00307E26">
        <w:rPr>
          <w:lang w:val="zh-CN"/>
        </w:rPr>
        <w:t>的借口，而且没有足够的保障措施防止这种做法</w:t>
      </w:r>
      <w:r w:rsidRPr="00307E26">
        <w:rPr>
          <w:lang w:val="zh-CN"/>
        </w:rPr>
        <w:t>(</w:t>
      </w:r>
      <w:r w:rsidRPr="00307E26">
        <w:rPr>
          <w:lang w:val="zh-CN"/>
        </w:rPr>
        <w:t>第二、第九和第十四条</w:t>
      </w:r>
      <w:r w:rsidRPr="00307E26">
        <w:rPr>
          <w:lang w:val="zh-CN"/>
        </w:rPr>
        <w:t>)</w:t>
      </w:r>
      <w:r w:rsidRPr="00307E26">
        <w:rPr>
          <w:lang w:val="zh-CN"/>
        </w:rPr>
        <w:t>。</w:t>
      </w:r>
      <w:bookmarkStart w:id="2" w:name="_Hlk181126258"/>
      <w:bookmarkStart w:id="3" w:name="_Hlk181373428"/>
      <w:bookmarkEnd w:id="2"/>
      <w:bookmarkEnd w:id="3"/>
    </w:p>
    <w:p w14:paraId="01A37D11" w14:textId="77777777" w:rsidR="00E3197B" w:rsidRPr="00307E26" w:rsidRDefault="00E3197B" w:rsidP="00E3197B">
      <w:pPr>
        <w:pStyle w:val="SingleTxtGC"/>
        <w:rPr>
          <w:rFonts w:eastAsia="黑体"/>
        </w:rPr>
      </w:pPr>
      <w:r w:rsidRPr="00307E26">
        <w:rPr>
          <w:lang w:val="zh-CN"/>
        </w:rPr>
        <w:t>14.</w:t>
      </w:r>
      <w:r w:rsidRPr="00307E26">
        <w:rPr>
          <w:lang w:val="zh-CN"/>
        </w:rPr>
        <w:tab/>
      </w:r>
      <w:r w:rsidRPr="00307E26">
        <w:rPr>
          <w:rFonts w:eastAsia="黑体"/>
          <w:lang w:val="zh-CN"/>
        </w:rPr>
        <w:t>缔约国应：</w:t>
      </w:r>
    </w:p>
    <w:p w14:paraId="7801ADF8"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确保根据《公约》第九条和第十四条以及委员会关于人身自由和安全的第</w:t>
      </w:r>
      <w:r w:rsidRPr="00307E26">
        <w:rPr>
          <w:rFonts w:eastAsia="黑体"/>
          <w:lang w:val="zh-CN"/>
        </w:rPr>
        <w:t>35</w:t>
      </w:r>
      <w:r w:rsidRPr="00307E26">
        <w:rPr>
          <w:rFonts w:eastAsia="黑体"/>
          <w:lang w:val="zh-CN"/>
        </w:rPr>
        <w:t>号一般性意见</w:t>
      </w:r>
      <w:r w:rsidRPr="00307E26">
        <w:rPr>
          <w:rFonts w:eastAsia="黑体"/>
          <w:lang w:val="zh-CN"/>
        </w:rPr>
        <w:t>(2014</w:t>
      </w:r>
      <w:r w:rsidRPr="00307E26">
        <w:rPr>
          <w:rFonts w:eastAsia="黑体"/>
          <w:lang w:val="zh-CN"/>
        </w:rPr>
        <w:t>年</w:t>
      </w:r>
      <w:r w:rsidRPr="00307E26">
        <w:rPr>
          <w:rFonts w:eastAsia="黑体"/>
          <w:lang w:val="zh-CN"/>
        </w:rPr>
        <w:t>)</w:t>
      </w:r>
      <w:r w:rsidRPr="00307E26">
        <w:rPr>
          <w:rFonts w:eastAsia="黑体"/>
          <w:lang w:val="zh-CN"/>
        </w:rPr>
        <w:t>和关于在法庭和裁判所前一律平等和获得公正审</w:t>
      </w:r>
      <w:r w:rsidRPr="00307E26">
        <w:rPr>
          <w:rFonts w:eastAsia="黑体"/>
          <w:lang w:val="zh-CN"/>
        </w:rPr>
        <w:lastRenderedPageBreak/>
        <w:t>判的权利的第</w:t>
      </w:r>
      <w:r w:rsidRPr="00307E26">
        <w:rPr>
          <w:rFonts w:eastAsia="黑体"/>
          <w:lang w:val="zh-CN"/>
        </w:rPr>
        <w:t>32</w:t>
      </w:r>
      <w:r w:rsidRPr="00307E26">
        <w:rPr>
          <w:rFonts w:eastAsia="黑体"/>
          <w:lang w:val="zh-CN"/>
        </w:rPr>
        <w:t>号一般性意见</w:t>
      </w:r>
      <w:r w:rsidRPr="00307E26">
        <w:rPr>
          <w:rFonts w:eastAsia="黑体"/>
          <w:lang w:val="zh-CN"/>
        </w:rPr>
        <w:t>(2007</w:t>
      </w:r>
      <w:r w:rsidRPr="00307E26">
        <w:rPr>
          <w:rFonts w:eastAsia="黑体"/>
          <w:lang w:val="zh-CN"/>
        </w:rPr>
        <w:t>年</w:t>
      </w:r>
      <w:r w:rsidRPr="00307E26">
        <w:rPr>
          <w:rFonts w:eastAsia="黑体"/>
          <w:lang w:val="zh-CN"/>
        </w:rPr>
        <w:t>)</w:t>
      </w:r>
      <w:r w:rsidRPr="00307E26">
        <w:rPr>
          <w:rFonts w:eastAsia="黑体"/>
          <w:lang w:val="zh-CN"/>
        </w:rPr>
        <w:t>，在法律和实践中为涉嫌或被控犯有恐怖主义行为或相关罪行的人提供一切法律保障；</w:t>
      </w:r>
    </w:p>
    <w:p w14:paraId="737BF728"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确保修订《综合刑事组织法》第</w:t>
      </w:r>
      <w:r w:rsidRPr="00307E26">
        <w:rPr>
          <w:rFonts w:eastAsia="黑体"/>
          <w:lang w:val="zh-CN"/>
        </w:rPr>
        <w:t>366</w:t>
      </w:r>
      <w:r w:rsidRPr="00307E26">
        <w:rPr>
          <w:rFonts w:eastAsia="黑体"/>
          <w:lang w:val="zh-CN"/>
        </w:rPr>
        <w:t>条和第</w:t>
      </w:r>
      <w:r w:rsidRPr="00307E26">
        <w:rPr>
          <w:rFonts w:eastAsia="黑体"/>
          <w:lang w:val="zh-CN"/>
        </w:rPr>
        <w:t>367</w:t>
      </w:r>
      <w:r w:rsidRPr="00307E26">
        <w:rPr>
          <w:rFonts w:eastAsia="黑体"/>
          <w:lang w:val="zh-CN"/>
        </w:rPr>
        <w:t>条的法案完全符合《公约》以及合法性、确定性、可预测性和相称性原则，并根据安全理事会第</w:t>
      </w:r>
      <w:r w:rsidRPr="00307E26">
        <w:rPr>
          <w:rFonts w:eastAsia="黑体"/>
          <w:lang w:val="zh-CN"/>
        </w:rPr>
        <w:t>1566(2004)</w:t>
      </w:r>
      <w:r w:rsidRPr="00307E26">
        <w:rPr>
          <w:rFonts w:eastAsia="黑体"/>
          <w:lang w:val="zh-CN"/>
        </w:rPr>
        <w:t>号决议，对恐怖主义罪行作出明确和准确的定义；</w:t>
      </w:r>
    </w:p>
    <w:p w14:paraId="75C5ACD8"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确保打击恐怖主义和有组织犯罪的法律不被用来不正当限制《公约》规定的任何权利，包括人身自由和安全权，以及和平集会权的行使，包括律师、记者、政治反对派成员和人权维护者的和平集会权。</w:t>
      </w:r>
    </w:p>
    <w:p w14:paraId="3B84C94A" w14:textId="77777777" w:rsidR="00E3197B" w:rsidRPr="00307E26" w:rsidRDefault="00E3197B" w:rsidP="00BF4514">
      <w:pPr>
        <w:pStyle w:val="H23GC"/>
      </w:pPr>
      <w:r w:rsidRPr="00307E26">
        <w:rPr>
          <w:lang w:val="zh-CN"/>
        </w:rPr>
        <w:tab/>
      </w:r>
      <w:r w:rsidRPr="00307E26">
        <w:rPr>
          <w:lang w:val="zh-CN"/>
        </w:rPr>
        <w:tab/>
      </w:r>
      <w:r w:rsidRPr="00307E26">
        <w:rPr>
          <w:lang w:val="zh-CN"/>
        </w:rPr>
        <w:t>基于性取向和性别认同的歧视和暴力</w:t>
      </w:r>
    </w:p>
    <w:p w14:paraId="702AE83B" w14:textId="56863D19" w:rsidR="00E3197B" w:rsidRPr="00307E26" w:rsidRDefault="00E3197B" w:rsidP="00E3197B">
      <w:pPr>
        <w:pStyle w:val="SingleTxtGC"/>
      </w:pPr>
      <w:r w:rsidRPr="00307E26">
        <w:rPr>
          <w:lang w:val="zh-CN"/>
        </w:rPr>
        <w:t>15.</w:t>
      </w:r>
      <w:r w:rsidRPr="00307E26">
        <w:rPr>
          <w:lang w:val="zh-CN"/>
        </w:rPr>
        <w:tab/>
      </w:r>
      <w:r w:rsidRPr="00307E26">
        <w:rPr>
          <w:lang w:val="zh-CN"/>
        </w:rPr>
        <w:t>委员会欢迎缔约国通过《</w:t>
      </w:r>
      <w:r w:rsidRPr="00307E26">
        <w:rPr>
          <w:lang w:val="zh-CN"/>
        </w:rPr>
        <w:t>2021-2025</w:t>
      </w:r>
      <w:r w:rsidRPr="00307E26">
        <w:rPr>
          <w:lang w:val="zh-CN"/>
        </w:rPr>
        <w:t>年创造机会计划》，将具体目标纳入国家平等议程，并实施</w:t>
      </w:r>
      <w:r w:rsidRPr="00307E26">
        <w:rPr>
          <w:rFonts w:hint="eastAsia"/>
          <w:lang w:val="zh-CN"/>
        </w:rPr>
        <w:t>“</w:t>
      </w:r>
      <w:r w:rsidRPr="00307E26">
        <w:rPr>
          <w:lang w:val="zh-CN"/>
        </w:rPr>
        <w:t>聚焦倡议</w:t>
      </w:r>
      <w:r w:rsidRPr="00307E26">
        <w:rPr>
          <w:rFonts w:hint="eastAsia"/>
          <w:lang w:val="zh-CN"/>
        </w:rPr>
        <w:t>”</w:t>
      </w:r>
      <w:r w:rsidRPr="00307E26">
        <w:rPr>
          <w:lang w:val="zh-CN"/>
        </w:rPr>
        <w:t>第二阶段。然而，尽管缔约国采取了许多能力建设举措并通过了议定书和手册，但委员会感到关切的是，男女同性恋、双性恋、跨性别者和间性者在缔约国面临污名化、歧视态度和暴力。委员会还感到关切的是，有报告称，缔约国继续在秘密中心对男女同性恋、双性恋、跨性别者和间性者实施所谓的</w:t>
      </w:r>
      <w:r w:rsidRPr="00307E26">
        <w:rPr>
          <w:rFonts w:hint="eastAsia"/>
          <w:lang w:val="zh-CN"/>
        </w:rPr>
        <w:t>“</w:t>
      </w:r>
      <w:r w:rsidRPr="00307E26">
        <w:rPr>
          <w:lang w:val="zh-CN"/>
        </w:rPr>
        <w:t>转化治疗</w:t>
      </w:r>
      <w:r w:rsidRPr="00307E26">
        <w:rPr>
          <w:rFonts w:hint="eastAsia"/>
          <w:lang w:val="zh-CN"/>
        </w:rPr>
        <w:t>”</w:t>
      </w:r>
      <w:r w:rsidRPr="00307E26">
        <w:rPr>
          <w:lang w:val="zh-CN"/>
        </w:rPr>
        <w:t>。委员会还关切地注意到，对出于歧视和仇恨动机的犯罪行为的调查和起诉数量有限。委员会还感到关切的是，缺乏确保同性伴侣得到法律承认和保护的立法，并对缔约国没有提供这方面的资料感到遗憾</w:t>
      </w:r>
      <w:r w:rsidRPr="00307E26">
        <w:rPr>
          <w:lang w:val="zh-CN"/>
        </w:rPr>
        <w:t>(</w:t>
      </w:r>
      <w:r w:rsidRPr="00307E26">
        <w:rPr>
          <w:lang w:val="zh-CN"/>
        </w:rPr>
        <w:t>第二、第六、第七、第十七、第二十三和第二十六条</w:t>
      </w:r>
      <w:r w:rsidRPr="00307E26">
        <w:rPr>
          <w:lang w:val="zh-CN"/>
        </w:rPr>
        <w:t>)</w:t>
      </w:r>
      <w:r w:rsidRPr="00307E26">
        <w:rPr>
          <w:lang w:val="zh-CN"/>
        </w:rPr>
        <w:t>。</w:t>
      </w:r>
      <w:bookmarkStart w:id="4" w:name="_Hlk102487197"/>
      <w:bookmarkEnd w:id="4"/>
    </w:p>
    <w:p w14:paraId="391C2329" w14:textId="77777777" w:rsidR="00E3197B" w:rsidRPr="00307E26" w:rsidRDefault="00E3197B" w:rsidP="00E3197B">
      <w:pPr>
        <w:pStyle w:val="SingleTxtGC"/>
        <w:rPr>
          <w:rFonts w:eastAsia="黑体"/>
        </w:rPr>
      </w:pPr>
      <w:r w:rsidRPr="00307E26">
        <w:rPr>
          <w:lang w:val="zh-CN"/>
        </w:rPr>
        <w:t>16.</w:t>
      </w:r>
      <w:r w:rsidRPr="00307E26">
        <w:rPr>
          <w:lang w:val="zh-CN"/>
        </w:rPr>
        <w:tab/>
      </w:r>
      <w:r w:rsidRPr="00307E26">
        <w:rPr>
          <w:rFonts w:eastAsia="黑体"/>
          <w:lang w:val="zh-CN"/>
        </w:rPr>
        <w:t>参照委员会以往的建议，</w:t>
      </w:r>
      <w:r w:rsidRPr="00307E26">
        <w:rPr>
          <w:rStyle w:val="a8"/>
          <w:rFonts w:eastAsia="宋体"/>
        </w:rPr>
        <w:footnoteReference w:id="6"/>
      </w:r>
      <w:r w:rsidRPr="00307E26">
        <w:rPr>
          <w:rStyle w:val="SingleTxtGCChar"/>
        </w:rPr>
        <w:t xml:space="preserve"> </w:t>
      </w:r>
      <w:r w:rsidRPr="00307E26">
        <w:rPr>
          <w:rFonts w:eastAsia="黑体"/>
          <w:lang w:val="zh-CN"/>
        </w:rPr>
        <w:t>缔约国应：</w:t>
      </w:r>
    </w:p>
    <w:p w14:paraId="077D9BF6"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打击针对男女同性恋、双性恋、跨性别者和间性者的偏见、仇恨言论和暴力行为，包括扩大公众宣传和提高认识运动，并为法官、检察官、执法人员和其他官员提供适当培训，使他们了解如何打击针对这一群体的歧视态度；</w:t>
      </w:r>
    </w:p>
    <w:p w14:paraId="78D4EB74"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加大努力并采取必要步骤，禁止对男女同性恋、双性恋、跨性别者和间性者实施所谓的</w:t>
      </w:r>
      <w:r w:rsidRPr="00307E26">
        <w:rPr>
          <w:rFonts w:eastAsia="黑体" w:hint="eastAsia"/>
          <w:lang w:val="zh-CN"/>
        </w:rPr>
        <w:t>“</w:t>
      </w:r>
      <w:r w:rsidRPr="00307E26">
        <w:rPr>
          <w:rFonts w:eastAsia="黑体"/>
          <w:lang w:val="zh-CN"/>
        </w:rPr>
        <w:t>转化治疗</w:t>
      </w:r>
      <w:r w:rsidRPr="00307E26">
        <w:rPr>
          <w:rFonts w:eastAsia="黑体" w:hint="eastAsia"/>
          <w:lang w:val="zh-CN"/>
        </w:rPr>
        <w:t>”</w:t>
      </w:r>
      <w:r w:rsidRPr="00307E26">
        <w:rPr>
          <w:rFonts w:eastAsia="黑体"/>
          <w:lang w:val="zh-CN"/>
        </w:rPr>
        <w:t>；</w:t>
      </w:r>
    </w:p>
    <w:p w14:paraId="1B59BF19"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确保彻底调查以歧视和仇恨为动机的罪行，特别是以受害者的性取向或性别认同为动机的罪行，将责任人绳之以法，如判定有罪，则予以适当惩罚，并确保受害者获得全面补偿；</w:t>
      </w:r>
    </w:p>
    <w:p w14:paraId="5D04E298"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通过或修订相关立法，以充分承认男女同性恋、双性恋、跨性别者和间性者在获得权利和服务方面的平等，并充分保障同性伴侣的平等待遇和《公约》承认的所有权利。</w:t>
      </w:r>
    </w:p>
    <w:p w14:paraId="1F75CA1F" w14:textId="77777777" w:rsidR="00E3197B" w:rsidRPr="00307E26" w:rsidRDefault="00E3197B" w:rsidP="00EA3C44">
      <w:pPr>
        <w:pStyle w:val="H23GC"/>
      </w:pPr>
      <w:r w:rsidRPr="00307E26">
        <w:rPr>
          <w:lang w:val="zh-CN"/>
        </w:rPr>
        <w:tab/>
      </w:r>
      <w:r w:rsidRPr="00307E26">
        <w:rPr>
          <w:lang w:val="zh-CN"/>
        </w:rPr>
        <w:tab/>
      </w:r>
      <w:r w:rsidRPr="00307E26">
        <w:rPr>
          <w:lang w:val="zh-CN"/>
        </w:rPr>
        <w:t>性别平等</w:t>
      </w:r>
    </w:p>
    <w:p w14:paraId="04D7C621" w14:textId="77777777" w:rsidR="00E3197B" w:rsidRPr="00307E26" w:rsidRDefault="00E3197B" w:rsidP="00E3197B">
      <w:pPr>
        <w:pStyle w:val="SingleTxtGC"/>
      </w:pPr>
      <w:r w:rsidRPr="00307E26">
        <w:rPr>
          <w:lang w:val="zh-CN"/>
        </w:rPr>
        <w:t>17.</w:t>
      </w:r>
      <w:r w:rsidRPr="00307E26">
        <w:rPr>
          <w:lang w:val="zh-CN"/>
        </w:rPr>
        <w:tab/>
      </w:r>
      <w:r w:rsidRPr="00307E26">
        <w:rPr>
          <w:lang w:val="zh-CN"/>
        </w:rPr>
        <w:t>委员会欢迎缔约国采取措施加强性别平等，包括通过《男女同工同酬组织法》和《民主法》修正案。然而，委员会仍然感到关切的是，围绕妇女的作用和责任，持续存在歧视性的陈规定型观念和根深蒂固的重男轻女态度。委员会注意到《选举和政治组织基本法》修正案，</w:t>
      </w:r>
      <w:r w:rsidRPr="00307E26">
        <w:rPr>
          <w:rStyle w:val="a8"/>
          <w:rFonts w:eastAsia="宋体"/>
        </w:rPr>
        <w:footnoteReference w:id="7"/>
      </w:r>
      <w:r w:rsidRPr="00307E26">
        <w:rPr>
          <w:rStyle w:val="SingleTxtGCChar"/>
        </w:rPr>
        <w:t xml:space="preserve"> </w:t>
      </w:r>
      <w:r w:rsidRPr="00307E26">
        <w:rPr>
          <w:lang w:val="zh-CN"/>
        </w:rPr>
        <w:t>但对地方民选机构中妇女人数有限表示关切，并遗憾地指出没有收到资料，说明采取了哪些措施来增加土著妇女、非洲</w:t>
      </w:r>
      <w:r w:rsidRPr="00307E26">
        <w:rPr>
          <w:lang w:val="zh-CN"/>
        </w:rPr>
        <w:lastRenderedPageBreak/>
        <w:t>裔妇女和蒙图比奥妇女在公共和私营部门的代表性，特别是担任政治职务方面。委员会注意到在选举罪行目录中添加了政治暴力，但关切地注意到存在杀害、骚扰和威胁女政治人士的案件</w:t>
      </w:r>
      <w:r w:rsidRPr="00307E26">
        <w:rPr>
          <w:lang w:val="zh-CN"/>
        </w:rPr>
        <w:t>(</w:t>
      </w:r>
      <w:r w:rsidRPr="00307E26">
        <w:rPr>
          <w:lang w:val="zh-CN"/>
        </w:rPr>
        <w:t>第二、第三、第二十五和第二十六条</w:t>
      </w:r>
      <w:r w:rsidRPr="00307E26">
        <w:rPr>
          <w:lang w:val="zh-CN"/>
        </w:rPr>
        <w:t>)</w:t>
      </w:r>
      <w:r w:rsidRPr="00307E26">
        <w:rPr>
          <w:lang w:val="zh-CN"/>
        </w:rPr>
        <w:t>。</w:t>
      </w:r>
      <w:bookmarkStart w:id="5" w:name="_Hlk180680083"/>
      <w:bookmarkEnd w:id="5"/>
    </w:p>
    <w:p w14:paraId="64D8A2AC" w14:textId="77777777" w:rsidR="00E3197B" w:rsidRPr="00307E26" w:rsidRDefault="00E3197B" w:rsidP="00E3197B">
      <w:pPr>
        <w:pStyle w:val="SingleTxtGC"/>
        <w:rPr>
          <w:rFonts w:eastAsia="黑体"/>
        </w:rPr>
      </w:pPr>
      <w:r w:rsidRPr="00307E26">
        <w:rPr>
          <w:lang w:val="zh-CN"/>
        </w:rPr>
        <w:t>18.</w:t>
      </w:r>
      <w:r w:rsidRPr="00307E26">
        <w:rPr>
          <w:lang w:val="zh-CN"/>
        </w:rPr>
        <w:tab/>
      </w:r>
      <w:r w:rsidRPr="00307E26">
        <w:rPr>
          <w:rFonts w:eastAsia="黑体"/>
          <w:lang w:val="zh-CN"/>
        </w:rPr>
        <w:t>根据消除对妇女歧视委员会的建议，</w:t>
      </w:r>
      <w:r w:rsidRPr="00307E26">
        <w:rPr>
          <w:rStyle w:val="a8"/>
          <w:rFonts w:eastAsia="宋体"/>
        </w:rPr>
        <w:footnoteReference w:id="8"/>
      </w:r>
      <w:r w:rsidRPr="00307E26">
        <w:rPr>
          <w:rStyle w:val="SingleTxtGCChar"/>
        </w:rPr>
        <w:t xml:space="preserve"> </w:t>
      </w:r>
      <w:r w:rsidRPr="00307E26">
        <w:rPr>
          <w:rFonts w:eastAsia="黑体"/>
          <w:lang w:val="zh-CN"/>
        </w:rPr>
        <w:t>缔约国应加紧努力，确保在所有领域和全国范围内切实实现男女平等。具体而言，缔约国应：</w:t>
      </w:r>
    </w:p>
    <w:p w14:paraId="65E593A6"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加强措施，提高妇女，包括土著妇女、非洲裔妇女和蒙特比奥妇女参与政治和公共生活的程度，以及她们在公共和私营部门，特别是在地方民选机构中的代表性，特别是确保充分遵守《民主法》规定的暂行特别措施；</w:t>
      </w:r>
    </w:p>
    <w:p w14:paraId="335E281D"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加强战略，提高公众对男女在家庭和社会中的作用和责任的认识，从而消除社会偏见和性别成见；</w:t>
      </w:r>
    </w:p>
    <w:p w14:paraId="3E35AE16"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防止和打击针对女政治人士的性别暴力行为，确保追究肇事者的责任，并确保受害者获得有效补救；</w:t>
      </w:r>
    </w:p>
    <w:p w14:paraId="2C645BC2"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立即采取行动，例如促进对法官、检察官和律师的培训方案，以消除偏见和性别成见。</w:t>
      </w:r>
    </w:p>
    <w:p w14:paraId="2120EC2F" w14:textId="77777777" w:rsidR="00E3197B" w:rsidRPr="00307E26" w:rsidRDefault="00E3197B" w:rsidP="008C393F">
      <w:pPr>
        <w:pStyle w:val="H23GC"/>
      </w:pPr>
      <w:r w:rsidRPr="00307E26">
        <w:rPr>
          <w:lang w:val="zh-CN"/>
        </w:rPr>
        <w:tab/>
      </w:r>
      <w:r w:rsidRPr="00307E26">
        <w:rPr>
          <w:lang w:val="zh-CN"/>
        </w:rPr>
        <w:tab/>
      </w:r>
      <w:r w:rsidRPr="00307E26">
        <w:rPr>
          <w:lang w:val="zh-CN"/>
        </w:rPr>
        <w:t>暴力侵害妇女、儿童和青少年行为</w:t>
      </w:r>
    </w:p>
    <w:p w14:paraId="07117E3A" w14:textId="77777777" w:rsidR="00E3197B" w:rsidRPr="00307E26" w:rsidRDefault="00E3197B" w:rsidP="00E3197B">
      <w:pPr>
        <w:pStyle w:val="SingleTxtGC"/>
      </w:pPr>
      <w:r w:rsidRPr="00307E26">
        <w:rPr>
          <w:lang w:val="zh-CN"/>
        </w:rPr>
        <w:t>19.</w:t>
      </w:r>
      <w:r w:rsidRPr="00307E26">
        <w:rPr>
          <w:lang w:val="zh-CN"/>
        </w:rPr>
        <w:tab/>
      </w:r>
      <w:r w:rsidRPr="00307E26">
        <w:rPr>
          <w:lang w:val="zh-CN"/>
        </w:rPr>
        <w:t>委员会欢迎缔约国通过《防止和消除暴力侵害妇女行为综合组织法》，并欢迎缔约国提供资料，说明暴力案件中央登记册将在不久的将来投入运作。然而，委员会仍然感到关切的是，杀害妇女以及对妇女和女孩的性暴力事件发生率很高，对这些罪行定罪的数量很少，以及缺乏对受害者的适当保护、支助和赔偿服务。</w:t>
      </w:r>
      <w:r w:rsidRPr="00307E26">
        <w:rPr>
          <w:rStyle w:val="a8"/>
          <w:rFonts w:eastAsia="宋体"/>
        </w:rPr>
        <w:footnoteReference w:id="9"/>
      </w:r>
      <w:r w:rsidRPr="00307E26">
        <w:rPr>
          <w:rStyle w:val="SingleTxtGCChar"/>
        </w:rPr>
        <w:t xml:space="preserve"> </w:t>
      </w:r>
      <w:r w:rsidRPr="00307E26">
        <w:rPr>
          <w:lang w:val="zh-CN"/>
        </w:rPr>
        <w:t>委员会感到遗憾的是，据报告，在学校和家庭中经常发生针对妇女和女孩的性暴力行为，而且缺乏资料说明采取了哪些措施鼓励举报，特别是鼓励非洲裔女孩、土著女孩和生活在偏远农村地区的女孩进行举报。委员会欢迎缔约国为因父母暴力死亡而成为孤儿的儿童和青少年提供津贴，并感谢缔约国解释在现行法律框架内，该津贴如何与《关于对因性别原因被杀害的妇女和其他暴力死亡的受害者的子女、父母和其他亲属给予支持和全面、变革性赔偿的组织法》相一致，但委员会感到关切的是，津贴的金额和覆盖面不足</w:t>
      </w:r>
      <w:r w:rsidRPr="00307E26">
        <w:rPr>
          <w:lang w:val="zh-CN"/>
        </w:rPr>
        <w:t>(</w:t>
      </w:r>
      <w:r w:rsidRPr="00307E26">
        <w:rPr>
          <w:lang w:val="zh-CN"/>
        </w:rPr>
        <w:t>第二、第三、第六、第二十四和第二十六条</w:t>
      </w:r>
      <w:r w:rsidRPr="00307E26">
        <w:rPr>
          <w:lang w:val="zh-CN"/>
        </w:rPr>
        <w:t>)</w:t>
      </w:r>
      <w:r w:rsidRPr="00307E26">
        <w:rPr>
          <w:lang w:val="zh-CN"/>
        </w:rPr>
        <w:t>。</w:t>
      </w:r>
    </w:p>
    <w:p w14:paraId="45241E8F" w14:textId="77777777" w:rsidR="00E3197B" w:rsidRPr="00307E26" w:rsidRDefault="00E3197B" w:rsidP="00E3197B">
      <w:pPr>
        <w:pStyle w:val="SingleTxtGC"/>
        <w:rPr>
          <w:rFonts w:eastAsia="黑体"/>
        </w:rPr>
      </w:pPr>
      <w:r w:rsidRPr="00307E26">
        <w:rPr>
          <w:lang w:val="zh-CN"/>
        </w:rPr>
        <w:t>20.</w:t>
      </w:r>
      <w:r w:rsidRPr="00307E26">
        <w:rPr>
          <w:lang w:val="zh-CN"/>
        </w:rPr>
        <w:tab/>
      </w:r>
      <w:r w:rsidRPr="00307E26">
        <w:rPr>
          <w:rFonts w:eastAsia="黑体"/>
          <w:lang w:val="zh-CN"/>
        </w:rPr>
        <w:t>缔约国应加大努力，防止、打击和消除家庭暴力和性暴力等一切形式的暴力侵害妇女和女孩行为，特别关注属于少数群体和边缘群体的妇女，尤其要：</w:t>
      </w:r>
    </w:p>
    <w:p w14:paraId="15B5233A"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加强《预防和消除暴力侵害妇女行为综合组织法》的实施工作，确保为有效和协调实施该法分配必要的人力、财力和技术资源，以及为实施暴力案件中央登记册和早期预警系统分配必要的人力、财力和技术资源；</w:t>
      </w:r>
    </w:p>
    <w:p w14:paraId="6115224A"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彻底调查所有暴力侵害妇女的案件，起诉肇事者，如判定有罪，则给予与所犯罪行严重程度相称的判决；确保受害者可获得有效补救，得到充分补偿，包括适当赔偿，并可获得适当的保护和援助，如全国各地的庇护所以及医疗、心理、法律和康复支助服务；</w:t>
      </w:r>
    </w:p>
    <w:p w14:paraId="02D14FE5" w14:textId="77777777" w:rsidR="00E3197B" w:rsidRPr="00307E26" w:rsidRDefault="00E3197B" w:rsidP="00E3197B">
      <w:pPr>
        <w:pStyle w:val="SingleTxtGC"/>
        <w:rPr>
          <w:rFonts w:eastAsia="黑体"/>
        </w:rPr>
      </w:pPr>
      <w:r w:rsidRPr="00307E26">
        <w:lastRenderedPageBreak/>
        <w:tab/>
      </w:r>
      <w:r w:rsidRPr="00307E26">
        <w:rPr>
          <w:lang w:val="zh-CN"/>
        </w:rPr>
        <w:t>(c)</w:t>
      </w:r>
      <w:r w:rsidRPr="00307E26">
        <w:rPr>
          <w:lang w:val="zh-CN"/>
        </w:rPr>
        <w:tab/>
      </w:r>
      <w:r w:rsidRPr="00307E26">
        <w:rPr>
          <w:rFonts w:eastAsia="黑体"/>
          <w:lang w:val="zh-CN"/>
        </w:rPr>
        <w:t>鼓励举报暴力侵害妇女和女孩的案件，包括在教育机构中的此类案件，例如让她们了解自己的权利以及可以得到的保护、援助和补救措施，提供提出此类投诉所需的手段，并消除受害者</w:t>
      </w:r>
      <w:r w:rsidRPr="00307E26">
        <w:rPr>
          <w:rFonts w:eastAsia="黑体"/>
          <w:lang w:val="zh-CN"/>
        </w:rPr>
        <w:t>(</w:t>
      </w:r>
      <w:r w:rsidRPr="00307E26">
        <w:rPr>
          <w:rFonts w:eastAsia="黑体"/>
          <w:lang w:val="zh-CN"/>
        </w:rPr>
        <w:t>特别是性暴力受害者</w:t>
      </w:r>
      <w:r w:rsidRPr="00307E26">
        <w:rPr>
          <w:rFonts w:eastAsia="黑体"/>
          <w:lang w:val="zh-CN"/>
        </w:rPr>
        <w:t>)</w:t>
      </w:r>
      <w:r w:rsidRPr="00307E26">
        <w:rPr>
          <w:rFonts w:eastAsia="黑体"/>
          <w:lang w:val="zh-CN"/>
        </w:rPr>
        <w:t>面临的社会污名；</w:t>
      </w:r>
    </w:p>
    <w:p w14:paraId="32F2C3F5"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为包括法官、律师、检察官、执法官员以及社会福利和医疗保健提供者在内的公职人员提供关于如何处理暴力侵害妇女案件的有效培训；</w:t>
      </w:r>
    </w:p>
    <w:p w14:paraId="26545796" w14:textId="77777777" w:rsidR="00E3197B" w:rsidRPr="00307E26" w:rsidRDefault="00E3197B" w:rsidP="00E3197B">
      <w:pPr>
        <w:pStyle w:val="SingleTxtGC"/>
        <w:rPr>
          <w:rFonts w:eastAsia="黑体"/>
        </w:rPr>
      </w:pPr>
      <w:r w:rsidRPr="00307E26">
        <w:tab/>
      </w:r>
      <w:r w:rsidRPr="00307E26">
        <w:rPr>
          <w:lang w:val="zh-CN"/>
        </w:rPr>
        <w:t>(e)</w:t>
      </w:r>
      <w:r w:rsidRPr="00307E26">
        <w:rPr>
          <w:lang w:val="zh-CN"/>
        </w:rPr>
        <w:tab/>
      </w:r>
      <w:r w:rsidRPr="00307E26">
        <w:rPr>
          <w:rFonts w:eastAsia="黑体"/>
          <w:lang w:val="zh-CN"/>
        </w:rPr>
        <w:t>加强针对整个社会的宣传运动，旨在预防和打击暴力侵害妇女行为，包括一切形式和表现的家庭暴力，特别是提高对其有害影响的认识，并纠正允许容忍性别暴力的社会和文化模式及陈规定型观念；</w:t>
      </w:r>
    </w:p>
    <w:p w14:paraId="0CB0EE36" w14:textId="77777777" w:rsidR="00E3197B" w:rsidRPr="00307E26" w:rsidRDefault="00E3197B" w:rsidP="00E3197B">
      <w:pPr>
        <w:pStyle w:val="SingleTxtGC"/>
        <w:rPr>
          <w:rFonts w:eastAsia="黑体"/>
        </w:rPr>
      </w:pPr>
      <w:r w:rsidRPr="00307E26">
        <w:tab/>
      </w:r>
      <w:r w:rsidRPr="00307E26">
        <w:rPr>
          <w:lang w:val="zh-CN"/>
        </w:rPr>
        <w:t>(f)</w:t>
      </w:r>
      <w:r w:rsidRPr="00307E26">
        <w:rPr>
          <w:lang w:val="zh-CN"/>
        </w:rPr>
        <w:tab/>
      </w:r>
      <w:r w:rsidRPr="00307E26">
        <w:rPr>
          <w:rFonts w:eastAsia="黑体"/>
          <w:lang w:val="zh-CN"/>
        </w:rPr>
        <w:t>保证及时和全面地向因父母暴力死亡而成为孤儿的儿童和青少年发放津贴，并增加用于发放津贴的预算资源，以确保所有受益人都能收到应有的款项，并以公平和积极的方式让符合条件的人知道他们有权获得津贴。</w:t>
      </w:r>
    </w:p>
    <w:p w14:paraId="7AAF437D" w14:textId="77777777" w:rsidR="00E3197B" w:rsidRPr="00307E26" w:rsidRDefault="00E3197B" w:rsidP="00215A5A">
      <w:pPr>
        <w:pStyle w:val="H23GC"/>
      </w:pPr>
      <w:r w:rsidRPr="00307E26">
        <w:rPr>
          <w:lang w:val="zh-CN"/>
        </w:rPr>
        <w:tab/>
      </w:r>
      <w:r w:rsidRPr="00307E26">
        <w:rPr>
          <w:lang w:val="zh-CN"/>
        </w:rPr>
        <w:tab/>
      </w:r>
      <w:r w:rsidRPr="00307E26">
        <w:rPr>
          <w:lang w:val="zh-CN"/>
        </w:rPr>
        <w:t>自愿终止妊娠与生殖权利</w:t>
      </w:r>
    </w:p>
    <w:p w14:paraId="30BD0341" w14:textId="77777777" w:rsidR="00E3197B" w:rsidRPr="00307E26" w:rsidRDefault="00E3197B" w:rsidP="00E3197B">
      <w:pPr>
        <w:pStyle w:val="SingleTxtGC"/>
      </w:pPr>
      <w:r w:rsidRPr="00307E26">
        <w:rPr>
          <w:lang w:val="zh-CN"/>
        </w:rPr>
        <w:t>21.</w:t>
      </w:r>
      <w:r w:rsidRPr="00307E26">
        <w:rPr>
          <w:lang w:val="zh-CN"/>
        </w:rPr>
        <w:tab/>
      </w:r>
      <w:r w:rsidRPr="00307E26">
        <w:rPr>
          <w:lang w:val="zh-CN"/>
        </w:rPr>
        <w:t>委员会注意到缔约国采取措施，改善获得性健康和生殖健康服务和信息的机会，并预防和解决少女怀孕问题，包括性暴力造成的怀孕。在这方面，委员会注意到，</w:t>
      </w:r>
      <w:r w:rsidRPr="00307E26">
        <w:rPr>
          <w:lang w:val="zh-CN"/>
        </w:rPr>
        <w:t>2022</w:t>
      </w:r>
      <w:r w:rsidRPr="00307E26">
        <w:rPr>
          <w:lang w:val="zh-CN"/>
        </w:rPr>
        <w:t>年通过了《关于强奸案中少女和妇女自愿终止妊娠的基本法》。然而，委员会感到关切的是，除了强奸或母亲的生命或健康受到威胁的情况外，堕胎仍然是一项罪行。委员会注意到宪法法院采取了预防措施，暂时停止适用《基本法》的某些规定，但委员会感到关切的是，据报妇女在获得合法堕胎方面面临实际障碍，其中包括医疗团队出于良心拒绝堕胎</w:t>
      </w:r>
      <w:r w:rsidRPr="00307E26">
        <w:rPr>
          <w:lang w:val="zh-CN"/>
        </w:rPr>
        <w:t>(</w:t>
      </w:r>
      <w:r w:rsidRPr="00307E26">
        <w:rPr>
          <w:lang w:val="zh-CN"/>
        </w:rPr>
        <w:t>第三、第六、第七、第十七和第二十六条</w:t>
      </w:r>
      <w:r w:rsidRPr="00307E26">
        <w:rPr>
          <w:lang w:val="zh-CN"/>
        </w:rPr>
        <w:t>)</w:t>
      </w:r>
      <w:r w:rsidRPr="00307E26">
        <w:rPr>
          <w:lang w:val="zh-CN"/>
        </w:rPr>
        <w:t>。</w:t>
      </w:r>
    </w:p>
    <w:p w14:paraId="5E329D5E" w14:textId="77777777" w:rsidR="00E3197B" w:rsidRPr="00307E26" w:rsidRDefault="00E3197B" w:rsidP="00E3197B">
      <w:pPr>
        <w:pStyle w:val="SingleTxtGC"/>
        <w:rPr>
          <w:rFonts w:eastAsia="黑体"/>
        </w:rPr>
      </w:pPr>
      <w:r w:rsidRPr="00307E26">
        <w:rPr>
          <w:lang w:val="zh-CN"/>
        </w:rPr>
        <w:t>22.</w:t>
      </w:r>
      <w:r w:rsidRPr="00307E26">
        <w:rPr>
          <w:lang w:val="zh-CN"/>
        </w:rPr>
        <w:tab/>
      </w:r>
      <w:r w:rsidRPr="00307E26">
        <w:rPr>
          <w:rFonts w:eastAsia="黑体"/>
          <w:lang w:val="zh-CN"/>
        </w:rPr>
        <w:t>考虑到委员会关于生命权的第</w:t>
      </w:r>
      <w:r w:rsidRPr="00307E26">
        <w:rPr>
          <w:rFonts w:eastAsia="黑体"/>
          <w:lang w:val="zh-CN"/>
        </w:rPr>
        <w:t>36</w:t>
      </w:r>
      <w:r w:rsidRPr="00307E26">
        <w:rPr>
          <w:rFonts w:eastAsia="黑体"/>
          <w:lang w:val="zh-CN"/>
        </w:rPr>
        <w:t>号一般性意见</w:t>
      </w:r>
      <w:r w:rsidRPr="00307E26">
        <w:rPr>
          <w:rFonts w:eastAsia="黑体"/>
          <w:lang w:val="zh-CN"/>
        </w:rPr>
        <w:t>(2018</w:t>
      </w:r>
      <w:r w:rsidRPr="00307E26">
        <w:rPr>
          <w:rFonts w:eastAsia="黑体"/>
          <w:lang w:val="zh-CN"/>
        </w:rPr>
        <w:t>年</w:t>
      </w:r>
      <w:r w:rsidRPr="00307E26">
        <w:rPr>
          <w:rFonts w:eastAsia="黑体"/>
          <w:lang w:val="zh-CN"/>
        </w:rPr>
        <w:t>)</w:t>
      </w:r>
      <w:r w:rsidRPr="00307E26">
        <w:rPr>
          <w:rFonts w:eastAsia="黑体"/>
          <w:lang w:val="zh-CN"/>
        </w:rPr>
        <w:t>，缔约国应：</w:t>
      </w:r>
    </w:p>
    <w:p w14:paraId="56CC074C"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修订《综合刑事组织法》第</w:t>
      </w:r>
      <w:r w:rsidRPr="00307E26">
        <w:rPr>
          <w:rFonts w:eastAsia="黑体"/>
          <w:lang w:val="zh-CN"/>
        </w:rPr>
        <w:t>149</w:t>
      </w:r>
      <w:r w:rsidRPr="00307E26">
        <w:rPr>
          <w:rFonts w:eastAsia="黑体"/>
          <w:lang w:val="zh-CN"/>
        </w:rPr>
        <w:t>条和第</w:t>
      </w:r>
      <w:r w:rsidRPr="00307E26">
        <w:rPr>
          <w:rFonts w:eastAsia="黑体"/>
          <w:lang w:val="zh-CN"/>
        </w:rPr>
        <w:t>150</w:t>
      </w:r>
      <w:r w:rsidRPr="00307E26">
        <w:rPr>
          <w:rFonts w:eastAsia="黑体"/>
          <w:lang w:val="zh-CN"/>
        </w:rPr>
        <w:t>条，并修订《关于强奸案中少女和妇女自愿终止妊娠的基本法》，当怀孕会给孕妇或少女带来巨大痛苦时，尤其是当怀孕是乱伦所致或胎儿无法存活时，可以保证安全、合法和有效的堕胎，包括在偏远农村地区；</w:t>
      </w:r>
    </w:p>
    <w:p w14:paraId="6C40DAE1"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采取一切必要措施，确保出于良心拒绝堕胎不妨碍妇女和少女有效和平等地获得保密、合法和安全的堕胎服务和堕胎后护理，特别是为医疗专业人员提供系统的培训，包括实施培训方案以解释宪法法院通过的预防措施的内容；</w:t>
      </w:r>
    </w:p>
    <w:p w14:paraId="0F19D5A3"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加大努力防止意外怀孕，特别是少女意外怀孕，确保全国各地，特别是非洲裔妇女、土著妇女、偏远农村妇女和生活贫困或极度贫困的妇女，都能充分获得适当的性健康和生殖健康服务，包括可获得的适当避孕药具；</w:t>
      </w:r>
    </w:p>
    <w:p w14:paraId="6D259744"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在所有学校实施关于性健康和生殖健康及相关权利的全面教育和提高认识方案，并拓展针对妇女、男子和青少年的关于性健康和生殖健康以及预防意外怀孕的公共宣传活动，同时消除对堕胎妇女的污名化。</w:t>
      </w:r>
    </w:p>
    <w:p w14:paraId="56290FBA" w14:textId="77777777" w:rsidR="00E3197B" w:rsidRPr="00307E26" w:rsidRDefault="00E3197B" w:rsidP="000B21AF">
      <w:pPr>
        <w:pStyle w:val="H23GC"/>
      </w:pPr>
      <w:r w:rsidRPr="00307E26">
        <w:rPr>
          <w:lang w:val="zh-CN"/>
        </w:rPr>
        <w:tab/>
      </w:r>
      <w:r w:rsidRPr="00307E26">
        <w:rPr>
          <w:lang w:val="zh-CN"/>
        </w:rPr>
        <w:tab/>
      </w:r>
      <w:r w:rsidRPr="00307E26">
        <w:rPr>
          <w:lang w:val="zh-CN"/>
        </w:rPr>
        <w:t>生命和人身安全的权利</w:t>
      </w:r>
    </w:p>
    <w:p w14:paraId="004D2E83" w14:textId="77777777" w:rsidR="00E3197B" w:rsidRPr="00307E26" w:rsidRDefault="00E3197B" w:rsidP="00E3197B">
      <w:pPr>
        <w:pStyle w:val="SingleTxtGC"/>
      </w:pPr>
      <w:r w:rsidRPr="00307E26">
        <w:rPr>
          <w:lang w:val="zh-CN"/>
        </w:rPr>
        <w:t>23.</w:t>
      </w:r>
      <w:r w:rsidRPr="00307E26">
        <w:rPr>
          <w:lang w:val="zh-CN"/>
        </w:rPr>
        <w:tab/>
      </w:r>
      <w:r w:rsidRPr="00307E26">
        <w:rPr>
          <w:lang w:val="zh-CN"/>
        </w:rPr>
        <w:t>委员会注意到</w:t>
      </w:r>
      <w:r w:rsidRPr="00307E26">
        <w:rPr>
          <w:lang w:val="zh-CN"/>
        </w:rPr>
        <w:t>2024</w:t>
      </w:r>
      <w:r w:rsidRPr="00307E26">
        <w:rPr>
          <w:lang w:val="zh-CN"/>
        </w:rPr>
        <w:t>年上半年凶杀案数量有所下降，但对杀人案发生率仍然极高表示关切。委员会还感到关切的是，随着第</w:t>
      </w:r>
      <w:r w:rsidRPr="00307E26">
        <w:rPr>
          <w:lang w:val="zh-CN"/>
        </w:rPr>
        <w:t>302</w:t>
      </w:r>
      <w:r w:rsidRPr="00307E26">
        <w:rPr>
          <w:lang w:val="zh-CN"/>
        </w:rPr>
        <w:t>号行政令的通过，管制拥有武器的法律框架有所放松，购买个人武器的应缴税款有所减少。委员会还关切地</w:t>
      </w:r>
      <w:r w:rsidRPr="00307E26">
        <w:rPr>
          <w:lang w:val="zh-CN"/>
        </w:rPr>
        <w:lastRenderedPageBreak/>
        <w:t>注意到，经公民投票通过的决定允许武装部队参与对国内秩序的补充控制，而民事安全军事化必然会带来侵犯人权的高风险</w:t>
      </w:r>
      <w:r w:rsidRPr="00307E26">
        <w:rPr>
          <w:lang w:val="zh-CN"/>
        </w:rPr>
        <w:t>(</w:t>
      </w:r>
      <w:r w:rsidRPr="00307E26">
        <w:rPr>
          <w:lang w:val="zh-CN"/>
        </w:rPr>
        <w:t>第六和第九条</w:t>
      </w:r>
      <w:r w:rsidRPr="00307E26">
        <w:rPr>
          <w:lang w:val="zh-CN"/>
        </w:rPr>
        <w:t>)</w:t>
      </w:r>
      <w:r w:rsidRPr="00307E26">
        <w:rPr>
          <w:lang w:val="zh-CN"/>
        </w:rPr>
        <w:t>。</w:t>
      </w:r>
    </w:p>
    <w:p w14:paraId="2BFE0632" w14:textId="77777777" w:rsidR="00E3197B" w:rsidRPr="00307E26" w:rsidRDefault="00E3197B" w:rsidP="00E3197B">
      <w:pPr>
        <w:pStyle w:val="SingleTxtGC"/>
        <w:rPr>
          <w:rFonts w:eastAsia="黑体"/>
        </w:rPr>
      </w:pPr>
      <w:r w:rsidRPr="00307E26">
        <w:rPr>
          <w:lang w:val="zh-CN"/>
        </w:rPr>
        <w:t>24.</w:t>
      </w:r>
      <w:r w:rsidRPr="00307E26">
        <w:rPr>
          <w:lang w:val="zh-CN"/>
        </w:rPr>
        <w:tab/>
      </w:r>
      <w:r w:rsidRPr="00307E26">
        <w:rPr>
          <w:rFonts w:eastAsia="黑体"/>
          <w:lang w:val="zh-CN"/>
        </w:rPr>
        <w:t>缔约国应加强努力，对武器的拥有和使用实行更有效的民事控制，除其他措施外，应加强管制武器的拥有和使用的法律框架，并加强关于颁发或继续持有许可证的程序。缔约国应加强民警部队和监狱当局，使其能够充分履行武装部队所承担的公民和监狱安全职能，从而防止武装部队的参与，除非在特殊情况下，而且只能在有限的时间内参与。</w:t>
      </w:r>
    </w:p>
    <w:p w14:paraId="4B408541" w14:textId="77777777" w:rsidR="00E3197B" w:rsidRPr="00307E26" w:rsidRDefault="00E3197B" w:rsidP="000B21AF">
      <w:pPr>
        <w:pStyle w:val="H23GC"/>
      </w:pPr>
      <w:r w:rsidRPr="00307E26">
        <w:rPr>
          <w:lang w:val="zh-CN"/>
        </w:rPr>
        <w:tab/>
      </w:r>
      <w:r w:rsidRPr="00307E26">
        <w:rPr>
          <w:lang w:val="zh-CN"/>
        </w:rPr>
        <w:tab/>
      </w:r>
      <w:r w:rsidRPr="00307E26">
        <w:rPr>
          <w:lang w:val="zh-CN"/>
        </w:rPr>
        <w:t>禁止酷刑和其他残忍、不人道或有辱人格的待遇或处罚</w:t>
      </w:r>
    </w:p>
    <w:p w14:paraId="0544F5B8" w14:textId="77777777" w:rsidR="00E3197B" w:rsidRPr="00307E26" w:rsidRDefault="00E3197B" w:rsidP="00E3197B">
      <w:pPr>
        <w:pStyle w:val="SingleTxtGC"/>
      </w:pPr>
      <w:r w:rsidRPr="00307E26">
        <w:rPr>
          <w:lang w:val="zh-CN"/>
        </w:rPr>
        <w:t>25.</w:t>
      </w:r>
      <w:r w:rsidRPr="00307E26">
        <w:rPr>
          <w:lang w:val="zh-CN"/>
        </w:rPr>
        <w:tab/>
      </w:r>
      <w:r w:rsidRPr="00307E26">
        <w:rPr>
          <w:lang w:val="zh-CN"/>
        </w:rPr>
        <w:t>委员会注意到缔约国为防止酷刑和其他残忍、不人道或有辱人格的待遇或处罚所采取的措施，包括对公职人员开展培训和提高认识活动，但感到遗憾的是，缔约国没有提供自</w:t>
      </w:r>
      <w:r w:rsidRPr="00307E26">
        <w:rPr>
          <w:lang w:val="zh-CN"/>
        </w:rPr>
        <w:t>2024</w:t>
      </w:r>
      <w:r w:rsidRPr="00307E26">
        <w:rPr>
          <w:lang w:val="zh-CN"/>
        </w:rPr>
        <w:t>年</w:t>
      </w:r>
      <w:r w:rsidRPr="00307E26">
        <w:rPr>
          <w:lang w:val="zh-CN"/>
        </w:rPr>
        <w:t>1</w:t>
      </w:r>
      <w:r w:rsidRPr="00307E26">
        <w:rPr>
          <w:lang w:val="zh-CN"/>
        </w:rPr>
        <w:t>月以来对酷刑和虐待案件调查结果的全面数据。委员会还关切的是，有指控称在紧急状态下发生了酷刑和虐待行为，尤其影响到被拘留者和被剥夺自由者。委员会还感到遗憾的是，缺乏关于向酷刑和虐待的受害者提供补偿</w:t>
      </w:r>
      <w:r w:rsidRPr="00307E26">
        <w:rPr>
          <w:lang w:val="zh-CN"/>
        </w:rPr>
        <w:t>(</w:t>
      </w:r>
      <w:r w:rsidRPr="00307E26">
        <w:rPr>
          <w:lang w:val="zh-CN"/>
        </w:rPr>
        <w:t>包括康复和赔偿</w:t>
      </w:r>
      <w:r w:rsidRPr="00307E26">
        <w:rPr>
          <w:lang w:val="zh-CN"/>
        </w:rPr>
        <w:t>)</w:t>
      </w:r>
      <w:r w:rsidRPr="00307E26">
        <w:rPr>
          <w:lang w:val="zh-CN"/>
        </w:rPr>
        <w:t>的数据</w:t>
      </w:r>
      <w:r w:rsidRPr="00307E26">
        <w:rPr>
          <w:lang w:val="zh-CN"/>
        </w:rPr>
        <w:t>(</w:t>
      </w:r>
      <w:r w:rsidRPr="00307E26">
        <w:rPr>
          <w:lang w:val="zh-CN"/>
        </w:rPr>
        <w:t>第二、第七和第九条</w:t>
      </w:r>
      <w:r w:rsidRPr="00307E26">
        <w:rPr>
          <w:lang w:val="zh-CN"/>
        </w:rPr>
        <w:t>)</w:t>
      </w:r>
      <w:r w:rsidRPr="00307E26">
        <w:rPr>
          <w:lang w:val="zh-CN"/>
        </w:rPr>
        <w:t>。</w:t>
      </w:r>
    </w:p>
    <w:p w14:paraId="419344EC" w14:textId="77777777" w:rsidR="00E3197B" w:rsidRPr="00307E26" w:rsidRDefault="00E3197B" w:rsidP="00E3197B">
      <w:pPr>
        <w:pStyle w:val="SingleTxtGC"/>
        <w:rPr>
          <w:rFonts w:eastAsia="黑体"/>
        </w:rPr>
      </w:pPr>
      <w:r w:rsidRPr="00307E26">
        <w:rPr>
          <w:lang w:val="zh-CN"/>
        </w:rPr>
        <w:t>26.</w:t>
      </w:r>
      <w:r w:rsidRPr="00307E26">
        <w:rPr>
          <w:lang w:val="zh-CN"/>
        </w:rPr>
        <w:tab/>
      </w:r>
      <w:r w:rsidRPr="00307E26">
        <w:rPr>
          <w:rFonts w:eastAsia="黑体"/>
          <w:lang w:val="zh-CN"/>
        </w:rPr>
        <w:t>按照禁止酷刑委员会的建议，</w:t>
      </w:r>
      <w:r w:rsidRPr="00307E26">
        <w:rPr>
          <w:rStyle w:val="a8"/>
          <w:rFonts w:eastAsia="宋体"/>
        </w:rPr>
        <w:footnoteReference w:id="10"/>
      </w:r>
      <w:r w:rsidRPr="00307E26">
        <w:rPr>
          <w:rStyle w:val="SingleTxtGCChar"/>
        </w:rPr>
        <w:t xml:space="preserve"> </w:t>
      </w:r>
      <w:r w:rsidRPr="00307E26">
        <w:rPr>
          <w:rFonts w:eastAsia="黑体"/>
          <w:lang w:val="zh-CN"/>
        </w:rPr>
        <w:t>缔约国应消除法律和实践中的所有障碍，以确保所有酷刑和虐待指控得到及时、公正、彻底和有效的调查，肇事者受到起诉，受害者得到充分补偿，包括康复和适当赔偿。缔约国还应采取一切必要措施，防止酷刑和其他残忍、不人道或有辱人格的待遇或处罚，特别是加强国家防止酷刑机制的预算，扩大对法官、检察官、律师和执法人员的人权培训，包括关于《酷刑和其他残忍、不人道或有辱人格的待遇或处罚的有效调查和文件记录手册》</w:t>
      </w:r>
      <w:r w:rsidRPr="00307E26">
        <w:rPr>
          <w:rFonts w:eastAsia="黑体"/>
          <w:lang w:val="zh-CN"/>
        </w:rPr>
        <w:t>(</w:t>
      </w:r>
      <w:r w:rsidRPr="00307E26">
        <w:rPr>
          <w:rFonts w:eastAsia="黑体"/>
          <w:lang w:val="zh-CN"/>
        </w:rPr>
        <w:t>《伊斯坦布尔规程》</w:t>
      </w:r>
      <w:r w:rsidRPr="00307E26">
        <w:rPr>
          <w:rFonts w:eastAsia="黑体"/>
          <w:lang w:val="zh-CN"/>
        </w:rPr>
        <w:t>)</w:t>
      </w:r>
      <w:r w:rsidRPr="00307E26">
        <w:rPr>
          <w:rFonts w:eastAsia="黑体"/>
          <w:lang w:val="zh-CN"/>
        </w:rPr>
        <w:t>、《执法人员行为守则》、《为调查和收集信息进行有效面谈的原则》</w:t>
      </w:r>
      <w:r w:rsidRPr="00307E26">
        <w:rPr>
          <w:rFonts w:eastAsia="黑体"/>
          <w:lang w:val="zh-CN"/>
        </w:rPr>
        <w:t>(</w:t>
      </w:r>
      <w:r w:rsidRPr="00307E26">
        <w:rPr>
          <w:rFonts w:eastAsia="黑体"/>
          <w:lang w:val="zh-CN"/>
        </w:rPr>
        <w:t>《门德斯原则》</w:t>
      </w:r>
      <w:r w:rsidRPr="00307E26">
        <w:rPr>
          <w:rFonts w:eastAsia="黑体"/>
          <w:lang w:val="zh-CN"/>
        </w:rPr>
        <w:t>)</w:t>
      </w:r>
      <w:r w:rsidRPr="00307E26">
        <w:rPr>
          <w:rFonts w:eastAsia="黑体"/>
          <w:lang w:val="zh-CN"/>
        </w:rPr>
        <w:t>和《关于调查潜在非法死亡的明尼苏达规程》的培训。</w:t>
      </w:r>
    </w:p>
    <w:p w14:paraId="49C7EA99" w14:textId="77777777" w:rsidR="00E3197B" w:rsidRPr="00307E26" w:rsidRDefault="00E3197B" w:rsidP="000B21AF">
      <w:pPr>
        <w:pStyle w:val="H23GC"/>
      </w:pPr>
      <w:r w:rsidRPr="00307E26">
        <w:rPr>
          <w:lang w:val="zh-CN"/>
        </w:rPr>
        <w:tab/>
      </w:r>
      <w:r w:rsidRPr="00307E26">
        <w:rPr>
          <w:lang w:val="zh-CN"/>
        </w:rPr>
        <w:tab/>
      </w:r>
      <w:r w:rsidRPr="00307E26">
        <w:rPr>
          <w:lang w:val="zh-CN"/>
        </w:rPr>
        <w:t>过度使用武力</w:t>
      </w:r>
    </w:p>
    <w:p w14:paraId="157FD9C2" w14:textId="77777777" w:rsidR="00E3197B" w:rsidRPr="00307E26" w:rsidRDefault="00E3197B" w:rsidP="00E3197B">
      <w:pPr>
        <w:pStyle w:val="SingleTxtGC"/>
      </w:pPr>
      <w:r w:rsidRPr="00307E26">
        <w:rPr>
          <w:lang w:val="zh-CN"/>
        </w:rPr>
        <w:t>27.</w:t>
      </w:r>
      <w:r w:rsidRPr="00307E26">
        <w:rPr>
          <w:lang w:val="zh-CN"/>
        </w:rPr>
        <w:tab/>
      </w:r>
      <w:r w:rsidRPr="00307E26">
        <w:rPr>
          <w:lang w:val="zh-CN"/>
        </w:rPr>
        <w:t>委员会欢迎缔约国通过了《合法使用武力组织法》，并在总检察长办公室内设立了一个调查非法使用武力问题的特别单位。然而，委员会感到关切的是，有报告称缔约国存在系统性过度使用武力的情况，对此类行为的定罪数量很少，在调查和查明责任人方面缺乏实质性进展</w:t>
      </w:r>
      <w:r w:rsidRPr="00307E26">
        <w:rPr>
          <w:lang w:val="zh-CN"/>
        </w:rPr>
        <w:t>(</w:t>
      </w:r>
      <w:r w:rsidRPr="00307E26">
        <w:rPr>
          <w:lang w:val="zh-CN"/>
        </w:rPr>
        <w:t>第二、第六、第七和第十四条</w:t>
      </w:r>
      <w:r w:rsidRPr="00307E26">
        <w:rPr>
          <w:lang w:val="zh-CN"/>
        </w:rPr>
        <w:t>)</w:t>
      </w:r>
      <w:r w:rsidRPr="00307E26">
        <w:rPr>
          <w:lang w:val="zh-CN"/>
        </w:rPr>
        <w:t>。</w:t>
      </w:r>
    </w:p>
    <w:p w14:paraId="64D1A9B6" w14:textId="77777777" w:rsidR="00E3197B" w:rsidRPr="00307E26" w:rsidRDefault="00E3197B" w:rsidP="00E3197B">
      <w:pPr>
        <w:pStyle w:val="SingleTxtGC"/>
        <w:rPr>
          <w:rFonts w:eastAsia="黑体"/>
        </w:rPr>
      </w:pPr>
      <w:r w:rsidRPr="00307E26">
        <w:rPr>
          <w:lang w:val="zh-CN"/>
        </w:rPr>
        <w:t>28.</w:t>
      </w:r>
      <w:r w:rsidRPr="00307E26">
        <w:rPr>
          <w:lang w:val="zh-CN"/>
        </w:rPr>
        <w:tab/>
      </w:r>
      <w:r w:rsidRPr="00307E26">
        <w:rPr>
          <w:rFonts w:eastAsia="黑体"/>
          <w:lang w:val="zh-CN"/>
        </w:rPr>
        <w:t>缔约国应采取额外措施，切实防止执法人员过度使用武力并对此类行为予以处罚，包括为此：</w:t>
      </w:r>
    </w:p>
    <w:p w14:paraId="5A689AD5"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确保关于使用武力的所有法律法规符合《执法人员使用武力和火器的基本原则》、《联合国关于在执法中使用低致命性武器的人权指南》和委员会第</w:t>
      </w:r>
      <w:r w:rsidRPr="00307E26">
        <w:rPr>
          <w:rFonts w:eastAsia="黑体"/>
          <w:lang w:val="zh-CN"/>
        </w:rPr>
        <w:t>36</w:t>
      </w:r>
      <w:r w:rsidRPr="00307E26">
        <w:rPr>
          <w:rFonts w:eastAsia="黑体"/>
          <w:lang w:val="zh-CN"/>
        </w:rPr>
        <w:t>号一般性意见</w:t>
      </w:r>
      <w:r w:rsidRPr="00307E26">
        <w:rPr>
          <w:rFonts w:eastAsia="黑体"/>
          <w:lang w:val="zh-CN"/>
        </w:rPr>
        <w:t>(2018</w:t>
      </w:r>
      <w:r w:rsidRPr="00307E26">
        <w:rPr>
          <w:rFonts w:eastAsia="黑体"/>
          <w:lang w:val="zh-CN"/>
        </w:rPr>
        <w:t>年</w:t>
      </w:r>
      <w:r w:rsidRPr="00307E26">
        <w:rPr>
          <w:rFonts w:eastAsia="黑体"/>
          <w:lang w:val="zh-CN"/>
        </w:rPr>
        <w:t>)</w:t>
      </w:r>
      <w:r w:rsidRPr="00307E26">
        <w:rPr>
          <w:rFonts w:eastAsia="黑体"/>
          <w:lang w:val="zh-CN"/>
        </w:rPr>
        <w:t>，其中要求执法人员只有在绝对必要的情况下为保护生命或防止迫在眉睫的威胁造成严重伤害，才能使用致命的武力；</w:t>
      </w:r>
    </w:p>
    <w:p w14:paraId="7A08D6E9"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确保对执法人员过度使用武力的所有指控进行及时、有效和公正的调查；起诉被指控的肇事者，如判定有罪，则给予应有的惩罚；并向此类侵权行为的受害者提供适当的补救；</w:t>
      </w:r>
    </w:p>
    <w:p w14:paraId="40299A50" w14:textId="31A0D0C5" w:rsidR="00E3197B" w:rsidRPr="00307E26" w:rsidRDefault="00E3197B" w:rsidP="00E3197B">
      <w:pPr>
        <w:pStyle w:val="SingleTxtGC"/>
        <w:rPr>
          <w:rFonts w:eastAsia="黑体"/>
        </w:rPr>
      </w:pPr>
      <w:r w:rsidRPr="00307E26">
        <w:lastRenderedPageBreak/>
        <w:tab/>
      </w:r>
      <w:r w:rsidRPr="00307E26">
        <w:rPr>
          <w:lang w:val="zh-CN"/>
        </w:rPr>
        <w:t>(c)</w:t>
      </w:r>
      <w:r w:rsidRPr="00307E26">
        <w:rPr>
          <w:lang w:val="zh-CN"/>
        </w:rPr>
        <w:tab/>
      </w:r>
      <w:r w:rsidRPr="00307E26">
        <w:rPr>
          <w:rFonts w:eastAsia="黑体"/>
          <w:lang w:val="zh-CN"/>
        </w:rPr>
        <w:t>确保所有执法人员系统地接受关于根据《执法人员使用武力和火器的基本原则》和《联合国关于在执法中使用低致命性武器的人权指南》等国际人权规范使用武力的培训，并确保在实践中严格遵守合法性、必要性和相称性原则</w:t>
      </w:r>
      <w:r w:rsidR="0065088F">
        <w:rPr>
          <w:rFonts w:eastAsia="黑体" w:hint="eastAsia"/>
          <w:lang w:val="zh-CN"/>
        </w:rPr>
        <w:t>。</w:t>
      </w:r>
    </w:p>
    <w:p w14:paraId="1711B7AC" w14:textId="77777777" w:rsidR="00E3197B" w:rsidRPr="00307E26" w:rsidRDefault="00E3197B" w:rsidP="0065088F">
      <w:pPr>
        <w:pStyle w:val="H23GC"/>
      </w:pPr>
      <w:r w:rsidRPr="00307E26">
        <w:rPr>
          <w:lang w:val="zh-CN"/>
        </w:rPr>
        <w:tab/>
      </w:r>
      <w:r w:rsidRPr="00307E26">
        <w:rPr>
          <w:lang w:val="zh-CN"/>
        </w:rPr>
        <w:tab/>
      </w:r>
      <w:r w:rsidRPr="00307E26">
        <w:rPr>
          <w:lang w:val="zh-CN"/>
        </w:rPr>
        <w:t>被剥夺自由者和拘留条件</w:t>
      </w:r>
    </w:p>
    <w:p w14:paraId="1DBFF556" w14:textId="77777777" w:rsidR="00E3197B" w:rsidRPr="00307E26" w:rsidRDefault="00E3197B" w:rsidP="00E3197B">
      <w:pPr>
        <w:pStyle w:val="SingleTxtGC"/>
      </w:pPr>
      <w:r w:rsidRPr="00307E26">
        <w:rPr>
          <w:lang w:val="zh-CN"/>
        </w:rPr>
        <w:t>29.</w:t>
      </w:r>
      <w:r w:rsidRPr="00307E26">
        <w:rPr>
          <w:lang w:val="zh-CN"/>
        </w:rPr>
        <w:tab/>
      </w:r>
      <w:r w:rsidRPr="00307E26">
        <w:rPr>
          <w:lang w:val="zh-CN"/>
        </w:rPr>
        <w:t>委员会注意到缔约国努力改善监狱服务和剥夺自由场所的条件，包括承诺提供改造和重返社会服务、给予赦免以及翻修监狱建筑。此外，委员会欢迎缔约国目前为制定监狱健康管理模式所作的努力。然而，委员会重申其对缔约国监狱系统超员现象和审前拘留率高的关切。</w:t>
      </w:r>
      <w:r w:rsidRPr="00307E26">
        <w:rPr>
          <w:rStyle w:val="a8"/>
          <w:rFonts w:eastAsia="宋体"/>
        </w:rPr>
        <w:footnoteReference w:id="11"/>
      </w:r>
      <w:r w:rsidRPr="00307E26">
        <w:rPr>
          <w:rStyle w:val="SingleTxtGCChar"/>
        </w:rPr>
        <w:t xml:space="preserve"> </w:t>
      </w:r>
      <w:r w:rsidRPr="00307E26">
        <w:rPr>
          <w:lang w:val="zh-CN"/>
        </w:rPr>
        <w:t>委员会还对危及囚犯生命的恶劣监狱条件表示关切。这些不足包括超员现象、囚犯之间的暴力、监狱官员的虐待以及卫生、营养和医疗服务方面的不足，自</w:t>
      </w:r>
      <w:r w:rsidRPr="00307E26">
        <w:rPr>
          <w:lang w:val="zh-CN"/>
        </w:rPr>
        <w:t>2024</w:t>
      </w:r>
      <w:r w:rsidRPr="00307E26">
        <w:rPr>
          <w:lang w:val="zh-CN"/>
        </w:rPr>
        <w:t>年</w:t>
      </w:r>
      <w:r w:rsidRPr="00307E26">
        <w:rPr>
          <w:lang w:val="zh-CN"/>
        </w:rPr>
        <w:t>1</w:t>
      </w:r>
      <w:r w:rsidRPr="00307E26">
        <w:rPr>
          <w:lang w:val="zh-CN"/>
        </w:rPr>
        <w:t>月武装部队被调动到监狱内以维持安全以来，这些问题进一步加剧</w:t>
      </w:r>
      <w:r w:rsidRPr="00307E26">
        <w:rPr>
          <w:lang w:val="zh-CN"/>
        </w:rPr>
        <w:t>(</w:t>
      </w:r>
      <w:r w:rsidRPr="00307E26">
        <w:rPr>
          <w:lang w:val="zh-CN"/>
        </w:rPr>
        <w:t>第六、第七、第九和第十条</w:t>
      </w:r>
      <w:r w:rsidRPr="00307E26">
        <w:rPr>
          <w:lang w:val="zh-CN"/>
        </w:rPr>
        <w:t>)</w:t>
      </w:r>
      <w:r w:rsidRPr="00307E26">
        <w:rPr>
          <w:lang w:val="zh-CN"/>
        </w:rPr>
        <w:t>。</w:t>
      </w:r>
    </w:p>
    <w:p w14:paraId="6833B264" w14:textId="77777777" w:rsidR="00E3197B" w:rsidRPr="00307E26" w:rsidRDefault="00E3197B" w:rsidP="00E3197B">
      <w:pPr>
        <w:pStyle w:val="SingleTxtGC"/>
        <w:rPr>
          <w:rFonts w:eastAsia="黑体"/>
        </w:rPr>
      </w:pPr>
      <w:r w:rsidRPr="00307E26">
        <w:rPr>
          <w:lang w:val="zh-CN"/>
        </w:rPr>
        <w:t>30.</w:t>
      </w:r>
      <w:r w:rsidRPr="00307E26">
        <w:rPr>
          <w:lang w:val="zh-CN"/>
        </w:rPr>
        <w:tab/>
      </w:r>
      <w:r w:rsidRPr="00307E26">
        <w:rPr>
          <w:rFonts w:eastAsia="黑体"/>
          <w:lang w:val="zh-CN"/>
        </w:rPr>
        <w:t>缔约国应加紧努力并采取必要措施，根据委员会关于人身自由和安全的第</w:t>
      </w:r>
      <w:r w:rsidRPr="00307E26">
        <w:rPr>
          <w:rFonts w:eastAsia="黑体"/>
          <w:lang w:val="zh-CN"/>
        </w:rPr>
        <w:t>35</w:t>
      </w:r>
      <w:r w:rsidRPr="00307E26">
        <w:rPr>
          <w:rFonts w:eastAsia="黑体"/>
          <w:lang w:val="zh-CN"/>
        </w:rPr>
        <w:t>号一般性意见</w:t>
      </w:r>
      <w:r w:rsidRPr="00307E26">
        <w:rPr>
          <w:rFonts w:eastAsia="黑体"/>
          <w:lang w:val="zh-CN"/>
        </w:rPr>
        <w:t>(2014</w:t>
      </w:r>
      <w:r w:rsidRPr="00307E26">
        <w:rPr>
          <w:rFonts w:eastAsia="黑体"/>
          <w:lang w:val="zh-CN"/>
        </w:rPr>
        <w:t>年</w:t>
      </w:r>
      <w:r w:rsidRPr="00307E26">
        <w:rPr>
          <w:rFonts w:eastAsia="黑体"/>
          <w:lang w:val="zh-CN"/>
        </w:rPr>
        <w:t>)</w:t>
      </w:r>
      <w:r w:rsidRPr="00307E26">
        <w:rPr>
          <w:rFonts w:eastAsia="黑体"/>
          <w:lang w:val="zh-CN"/>
        </w:rPr>
        <w:t>，确保在法律上和实践中，所有被拘留或监禁的人从被剥夺自由伊始就享有《公约》第九条和第十四条规定的所有基本法律保障。此外，缔约国还应当：</w:t>
      </w:r>
    </w:p>
    <w:p w14:paraId="224F917A"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继续努力减少监狱超员现象，包括按照《联合国非拘禁措施最低限度标准规则》</w:t>
      </w:r>
      <w:r w:rsidRPr="00307E26">
        <w:rPr>
          <w:rFonts w:eastAsia="黑体"/>
          <w:lang w:val="zh-CN"/>
        </w:rPr>
        <w:t>(</w:t>
      </w:r>
      <w:r w:rsidRPr="00307E26">
        <w:rPr>
          <w:rFonts w:eastAsia="黑体"/>
          <w:lang w:val="zh-CN"/>
        </w:rPr>
        <w:t>《东京规则》</w:t>
      </w:r>
      <w:r w:rsidRPr="00307E26">
        <w:rPr>
          <w:rFonts w:eastAsia="黑体"/>
          <w:lang w:val="zh-CN"/>
        </w:rPr>
        <w:t>)</w:t>
      </w:r>
      <w:r w:rsidRPr="00307E26">
        <w:rPr>
          <w:rFonts w:eastAsia="黑体"/>
          <w:lang w:val="zh-CN"/>
        </w:rPr>
        <w:t>的规定，更广泛地采用非监禁措施代替监禁；</w:t>
      </w:r>
    </w:p>
    <w:p w14:paraId="618CC56B"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确保审前拘留仅用于特殊情况且只在必要时实施，时间尽可能短；</w:t>
      </w:r>
    </w:p>
    <w:p w14:paraId="707E7A60"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加快执行</w:t>
      </w:r>
      <w:r w:rsidRPr="00307E26">
        <w:rPr>
          <w:rFonts w:eastAsia="黑体"/>
          <w:lang w:val="zh-CN"/>
        </w:rPr>
        <w:t>2022-2025</w:t>
      </w:r>
      <w:r w:rsidRPr="00307E26">
        <w:rPr>
          <w:rFonts w:eastAsia="黑体"/>
          <w:lang w:val="zh-CN"/>
        </w:rPr>
        <w:t>年社会改造公共政策，包括为国家社会改造系统的运作提供充足的人力和财力资源，采用明确的程序来管理监狱福利申请，并为包括法官、律师、检察官和社会福利及医疗服务提供者在内的公职人员提供有效的相关培训，以确保有效涵盖《综合刑事组织法》规定的五个处理重点</w:t>
      </w:r>
      <w:r w:rsidRPr="00307E26">
        <w:rPr>
          <w:rFonts w:eastAsia="黑体"/>
          <w:lang w:val="zh-CN"/>
        </w:rPr>
        <w:t>(</w:t>
      </w:r>
      <w:r w:rsidRPr="00307E26">
        <w:rPr>
          <w:rFonts w:eastAsia="黑体"/>
          <w:lang w:val="zh-CN"/>
        </w:rPr>
        <w:t>第</w:t>
      </w:r>
      <w:r w:rsidRPr="00307E26">
        <w:rPr>
          <w:rFonts w:eastAsia="黑体"/>
          <w:lang w:val="zh-CN"/>
        </w:rPr>
        <w:t>701</w:t>
      </w:r>
      <w:r w:rsidRPr="00307E26">
        <w:rPr>
          <w:rFonts w:eastAsia="黑体"/>
          <w:lang w:val="zh-CN"/>
        </w:rPr>
        <w:t>条</w:t>
      </w:r>
      <w:r w:rsidRPr="00307E26">
        <w:rPr>
          <w:rFonts w:eastAsia="黑体"/>
          <w:lang w:val="zh-CN"/>
        </w:rPr>
        <w:t>)</w:t>
      </w:r>
      <w:r w:rsidRPr="00307E26">
        <w:rPr>
          <w:rFonts w:eastAsia="黑体"/>
          <w:lang w:val="zh-CN"/>
        </w:rPr>
        <w:t>；</w:t>
      </w:r>
    </w:p>
    <w:p w14:paraId="3F29B348"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根据《联合国囚犯待遇最低限度标准规则》</w:t>
      </w:r>
      <w:r w:rsidRPr="00307E26">
        <w:rPr>
          <w:rFonts w:eastAsia="黑体"/>
          <w:lang w:val="zh-CN"/>
        </w:rPr>
        <w:t>(</w:t>
      </w:r>
      <w:r w:rsidRPr="00307E26">
        <w:rPr>
          <w:rFonts w:eastAsia="黑体"/>
          <w:lang w:val="zh-CN"/>
        </w:rPr>
        <w:t>《纳尔逊</w:t>
      </w:r>
      <w:r w:rsidRPr="00165C1E">
        <w:rPr>
          <w:rFonts w:ascii="黑体" w:eastAsia="黑体" w:hAnsi="黑体" w:cs="黑体"/>
          <w:lang w:val="zh-CN"/>
        </w:rPr>
        <w:t>·</w:t>
      </w:r>
      <w:r w:rsidRPr="00307E26">
        <w:rPr>
          <w:rFonts w:eastAsia="黑体"/>
          <w:lang w:val="zh-CN"/>
        </w:rPr>
        <w:t>曼德拉规则》</w:t>
      </w:r>
      <w:r w:rsidRPr="00307E26">
        <w:rPr>
          <w:rFonts w:eastAsia="黑体"/>
          <w:lang w:val="zh-CN"/>
        </w:rPr>
        <w:t>)</w:t>
      </w:r>
      <w:r w:rsidRPr="00307E26">
        <w:rPr>
          <w:rFonts w:eastAsia="黑体"/>
          <w:lang w:val="zh-CN"/>
        </w:rPr>
        <w:t>和《联合国女性囚犯待遇和女性罪犯非监禁措施规则》</w:t>
      </w:r>
      <w:r w:rsidRPr="00307E26">
        <w:rPr>
          <w:rFonts w:eastAsia="黑体"/>
          <w:lang w:val="zh-CN"/>
        </w:rPr>
        <w:t>(</w:t>
      </w:r>
      <w:r w:rsidRPr="00307E26">
        <w:rPr>
          <w:rFonts w:eastAsia="黑体"/>
          <w:lang w:val="zh-CN"/>
        </w:rPr>
        <w:t>《曼谷规则》</w:t>
      </w:r>
      <w:r w:rsidRPr="00307E26">
        <w:rPr>
          <w:rFonts w:eastAsia="黑体"/>
          <w:lang w:val="zh-CN"/>
        </w:rPr>
        <w:t>)</w:t>
      </w:r>
      <w:r w:rsidRPr="00307E26">
        <w:rPr>
          <w:rFonts w:eastAsia="黑体"/>
          <w:lang w:val="zh-CN"/>
        </w:rPr>
        <w:t>，确保所有被剥夺自由者都能充分获得医疗服务，包括精神健康服务，以及食物、清洁水、个人卫生和环境卫生、改造服务以及重返社会支助。</w:t>
      </w:r>
    </w:p>
    <w:p w14:paraId="3DCF951E" w14:textId="77777777" w:rsidR="00E3197B" w:rsidRPr="00307E26" w:rsidRDefault="00E3197B" w:rsidP="00E3197B">
      <w:pPr>
        <w:pStyle w:val="SingleTxtGC"/>
      </w:pPr>
      <w:r w:rsidRPr="00307E26">
        <w:rPr>
          <w:lang w:val="zh-CN"/>
        </w:rPr>
        <w:t>31.</w:t>
      </w:r>
      <w:r w:rsidRPr="00307E26">
        <w:rPr>
          <w:lang w:val="zh-CN"/>
        </w:rPr>
        <w:tab/>
      </w:r>
      <w:r w:rsidRPr="00307E26">
        <w:rPr>
          <w:lang w:val="zh-CN"/>
        </w:rPr>
        <w:t>委员会深表关切的是，</w:t>
      </w:r>
      <w:r w:rsidRPr="00307E26">
        <w:rPr>
          <w:lang w:val="zh-CN"/>
        </w:rPr>
        <w:t>2018</w:t>
      </w:r>
      <w:r w:rsidRPr="00307E26">
        <w:rPr>
          <w:lang w:val="zh-CN"/>
        </w:rPr>
        <w:t>年至</w:t>
      </w:r>
      <w:r w:rsidRPr="00307E26">
        <w:rPr>
          <w:lang w:val="zh-CN"/>
        </w:rPr>
        <w:t>2023</w:t>
      </w:r>
      <w:r w:rsidRPr="00307E26">
        <w:rPr>
          <w:lang w:val="zh-CN"/>
        </w:rPr>
        <w:t>年期间，由于被剥夺自由者之间的暴力行为，拘留期间发生了</w:t>
      </w:r>
      <w:r w:rsidRPr="00307E26">
        <w:rPr>
          <w:lang w:val="zh-CN"/>
        </w:rPr>
        <w:t>600</w:t>
      </w:r>
      <w:r w:rsidRPr="00307E26">
        <w:rPr>
          <w:lang w:val="zh-CN"/>
        </w:rPr>
        <w:t>多起暴力死亡事件，而且频繁发生导致囚犯死亡的暴乱。</w:t>
      </w:r>
      <w:r w:rsidRPr="00307E26">
        <w:rPr>
          <w:rStyle w:val="a8"/>
          <w:rFonts w:eastAsia="宋体"/>
        </w:rPr>
        <w:footnoteReference w:id="12"/>
      </w:r>
      <w:r w:rsidRPr="00307E26">
        <w:rPr>
          <w:rStyle w:val="SingleTxtGCChar"/>
        </w:rPr>
        <w:t xml:space="preserve"> </w:t>
      </w:r>
      <w:r w:rsidRPr="00307E26">
        <w:rPr>
          <w:lang w:val="zh-CN"/>
        </w:rPr>
        <w:t>委员会还对监狱工作人员被杀害的报告表示关切。委员会欢迎缔约国计划培训更多监狱官员，以降低囚犯与监狱工作人员比例，并欢迎缔约国努力确保囚犯之间的适当隔离。然而，委员会关切地注意到监狱管理的军事化性质、关于腐败行为和有组织犯罪团伙渗透的报告，这些都阻碍了监狱系统的正常运作，</w:t>
      </w:r>
      <w:r w:rsidRPr="00307E26">
        <w:rPr>
          <w:lang w:val="zh-CN"/>
        </w:rPr>
        <w:lastRenderedPageBreak/>
        <w:t>委员会还关切地注意到代表团提供的关于监狱自治情况的资料</w:t>
      </w:r>
      <w:r w:rsidRPr="00307E26">
        <w:rPr>
          <w:lang w:val="zh-CN"/>
        </w:rPr>
        <w:t>(</w:t>
      </w:r>
      <w:r w:rsidRPr="00307E26">
        <w:rPr>
          <w:lang w:val="zh-CN"/>
        </w:rPr>
        <w:t>第二、第六、第七、第九和第十条</w:t>
      </w:r>
      <w:r w:rsidRPr="00307E26">
        <w:rPr>
          <w:lang w:val="zh-CN"/>
        </w:rPr>
        <w:t>)</w:t>
      </w:r>
      <w:r w:rsidRPr="00307E26">
        <w:rPr>
          <w:lang w:val="zh-CN"/>
        </w:rPr>
        <w:t>。</w:t>
      </w:r>
    </w:p>
    <w:p w14:paraId="5F987012" w14:textId="77777777" w:rsidR="00E3197B" w:rsidRPr="00307E26" w:rsidRDefault="00E3197B" w:rsidP="00E3197B">
      <w:pPr>
        <w:pStyle w:val="SingleTxtGC"/>
        <w:rPr>
          <w:rFonts w:eastAsia="黑体"/>
        </w:rPr>
      </w:pPr>
      <w:r w:rsidRPr="00307E26">
        <w:rPr>
          <w:lang w:val="zh-CN"/>
        </w:rPr>
        <w:t>32.</w:t>
      </w:r>
      <w:r w:rsidRPr="00307E26">
        <w:rPr>
          <w:lang w:val="zh-CN"/>
        </w:rPr>
        <w:tab/>
      </w:r>
      <w:r w:rsidRPr="00307E26">
        <w:rPr>
          <w:rFonts w:eastAsia="黑体"/>
          <w:lang w:val="zh-CN"/>
        </w:rPr>
        <w:t>考虑到禁止酷刑委员会的关切和建议，</w:t>
      </w:r>
      <w:r w:rsidRPr="00307E26">
        <w:rPr>
          <w:rStyle w:val="a8"/>
          <w:rFonts w:eastAsia="宋体"/>
        </w:rPr>
        <w:footnoteReference w:id="13"/>
      </w:r>
      <w:r w:rsidRPr="00307E26">
        <w:rPr>
          <w:rStyle w:val="SingleTxtGCChar"/>
        </w:rPr>
        <w:t xml:space="preserve"> </w:t>
      </w:r>
      <w:r w:rsidRPr="00307E26">
        <w:rPr>
          <w:rFonts w:eastAsia="黑体"/>
          <w:lang w:val="zh-CN"/>
        </w:rPr>
        <w:t>委员会敦促缔约国：</w:t>
      </w:r>
    </w:p>
    <w:p w14:paraId="76104A03"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防止囚犯之间的暴力事件和狱警过度使用武力，包括为狱警提供培训，让他们学习缓和紧张局面的技巧以及如何识别容易受到囚犯之间虐待的人员，并确保必要时使用的武力是适度的，符合相关国际标准；</w:t>
      </w:r>
    </w:p>
    <w:p w14:paraId="69F44F5F"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提供保密的内部报告机制，确保对有关囚犯之间的暴力行为以及警察和狱警过度使用武力的报告进行彻底和公正的调查，如责任人被判定有罪，则受到适当惩罚，并为受害者提供适当补偿；</w:t>
      </w:r>
    </w:p>
    <w:p w14:paraId="5C95DA22"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采取紧急举措，确保对所有拘留期间的死亡事件进行彻底和公正的调查，追究肇事者的责任，并确保受害者家属获得补偿，同时适当考虑到《关于调查潜在非法死亡的明尼苏达规程》；</w:t>
      </w:r>
    </w:p>
    <w:p w14:paraId="7BDE3665"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采取必要措施，确保武装部队在临时干预监狱期间严格遵守人权标准，并确保适当执行计划，保证武装部队按照明确的时间表和明确的目标，逐步有序地撤出监狱；</w:t>
      </w:r>
    </w:p>
    <w:p w14:paraId="16D9BE0D" w14:textId="77777777" w:rsidR="00E3197B" w:rsidRPr="00307E26" w:rsidRDefault="00E3197B" w:rsidP="00E3197B">
      <w:pPr>
        <w:pStyle w:val="SingleTxtGC"/>
        <w:rPr>
          <w:rFonts w:eastAsia="黑体"/>
        </w:rPr>
      </w:pPr>
      <w:r w:rsidRPr="00307E26">
        <w:tab/>
      </w:r>
      <w:r w:rsidRPr="00307E26">
        <w:rPr>
          <w:lang w:val="zh-CN"/>
        </w:rPr>
        <w:t>(e)</w:t>
      </w:r>
      <w:r w:rsidRPr="00307E26">
        <w:rPr>
          <w:lang w:val="zh-CN"/>
        </w:rPr>
        <w:tab/>
      </w:r>
      <w:r w:rsidRPr="00307E26">
        <w:rPr>
          <w:rFonts w:eastAsia="黑体"/>
          <w:lang w:val="zh-CN"/>
        </w:rPr>
        <w:t>采取全面的监狱政策，从人权角度解决目前的监狱危机及其系统性原因，除其他外，为国家社会改造系统的有效运作分配充足的人力和财力资源，加强该系统的能力；</w:t>
      </w:r>
    </w:p>
    <w:p w14:paraId="3A5CA7DA" w14:textId="0B40C07E" w:rsidR="00E3197B" w:rsidRPr="00307E26" w:rsidRDefault="00E3197B" w:rsidP="00E3197B">
      <w:pPr>
        <w:pStyle w:val="SingleTxtGC"/>
        <w:rPr>
          <w:rFonts w:eastAsia="黑体"/>
        </w:rPr>
      </w:pPr>
      <w:r w:rsidRPr="00307E26">
        <w:tab/>
      </w:r>
      <w:r w:rsidRPr="00307E26">
        <w:rPr>
          <w:lang w:val="zh-CN"/>
        </w:rPr>
        <w:t>(f)</w:t>
      </w:r>
      <w:r w:rsidRPr="00307E26">
        <w:rPr>
          <w:lang w:val="zh-CN"/>
        </w:rPr>
        <w:tab/>
      </w:r>
      <w:r w:rsidRPr="00307E26">
        <w:rPr>
          <w:rFonts w:eastAsia="黑体"/>
          <w:lang w:val="zh-CN"/>
        </w:rPr>
        <w:t>对监狱系统内犯有腐败行为的官员、公务员和其他负责看守囚犯的工作人员采取司法和纪律程序</w:t>
      </w:r>
      <w:r w:rsidR="003D17B9">
        <w:rPr>
          <w:rFonts w:eastAsia="黑体" w:hint="eastAsia"/>
          <w:lang w:val="zh-CN"/>
        </w:rPr>
        <w:t>。</w:t>
      </w:r>
    </w:p>
    <w:p w14:paraId="0FA039B4" w14:textId="77777777" w:rsidR="00E3197B" w:rsidRPr="00307E26" w:rsidRDefault="00E3197B" w:rsidP="0049241C">
      <w:pPr>
        <w:pStyle w:val="H23GC"/>
      </w:pPr>
      <w:r w:rsidRPr="00307E26">
        <w:rPr>
          <w:lang w:val="zh-CN"/>
        </w:rPr>
        <w:tab/>
      </w:r>
      <w:r w:rsidRPr="00307E26">
        <w:rPr>
          <w:lang w:val="zh-CN"/>
        </w:rPr>
        <w:tab/>
      </w:r>
      <w:r w:rsidRPr="00307E26">
        <w:rPr>
          <w:lang w:val="zh-CN"/>
        </w:rPr>
        <w:t>贩运人口</w:t>
      </w:r>
    </w:p>
    <w:p w14:paraId="10D26A43" w14:textId="77777777" w:rsidR="00E3197B" w:rsidRPr="00307E26" w:rsidRDefault="00E3197B" w:rsidP="00E3197B">
      <w:pPr>
        <w:pStyle w:val="SingleTxtGC"/>
      </w:pPr>
      <w:r w:rsidRPr="00307E26">
        <w:rPr>
          <w:lang w:val="zh-CN"/>
        </w:rPr>
        <w:t>33.</w:t>
      </w:r>
      <w:r w:rsidRPr="00307E26">
        <w:rPr>
          <w:lang w:val="zh-CN"/>
        </w:rPr>
        <w:tab/>
      </w:r>
      <w:r w:rsidRPr="00307E26">
        <w:rPr>
          <w:lang w:val="zh-CN"/>
        </w:rPr>
        <w:t>委员会欢迎缔约国打击贩运人口的努力，包括实施关于贩运人口问题的培训方案，通过《</w:t>
      </w:r>
      <w:r w:rsidRPr="00307E26">
        <w:rPr>
          <w:lang w:val="zh-CN"/>
        </w:rPr>
        <w:t>2019-2030</w:t>
      </w:r>
      <w:r w:rsidRPr="00307E26">
        <w:rPr>
          <w:lang w:val="zh-CN"/>
        </w:rPr>
        <w:t>年打击贩运人口行动计划》以及设立防止贩运人口和偷运移民及保护受害者机构间协调委员会。然而，委员会感到关切的是，对贩运相关罪行的定罪数量有限。委员会还感到关切的是，关于获得的补偿和援助、现有的服务和庇护所以及受害者融入社会的资料有限</w:t>
      </w:r>
      <w:r w:rsidRPr="00307E26">
        <w:rPr>
          <w:lang w:val="zh-CN"/>
        </w:rPr>
        <w:t>(</w:t>
      </w:r>
      <w:r w:rsidRPr="00307E26">
        <w:rPr>
          <w:lang w:val="zh-CN"/>
        </w:rPr>
        <w:t>第八条</w:t>
      </w:r>
      <w:r w:rsidRPr="00307E26">
        <w:rPr>
          <w:lang w:val="zh-CN"/>
        </w:rPr>
        <w:t>)</w:t>
      </w:r>
      <w:r w:rsidRPr="00307E26">
        <w:rPr>
          <w:lang w:val="zh-CN"/>
        </w:rPr>
        <w:t>。</w:t>
      </w:r>
    </w:p>
    <w:p w14:paraId="734344D5" w14:textId="77777777" w:rsidR="00E3197B" w:rsidRPr="00307E26" w:rsidRDefault="00E3197B" w:rsidP="00E3197B">
      <w:pPr>
        <w:pStyle w:val="SingleTxtGC"/>
        <w:rPr>
          <w:rFonts w:eastAsia="黑体"/>
        </w:rPr>
      </w:pPr>
      <w:r w:rsidRPr="00307E26">
        <w:rPr>
          <w:lang w:val="zh-CN"/>
        </w:rPr>
        <w:t>34.</w:t>
      </w:r>
      <w:r w:rsidRPr="00307E26">
        <w:rPr>
          <w:lang w:val="zh-CN"/>
        </w:rPr>
        <w:tab/>
      </w:r>
      <w:r w:rsidRPr="00307E26">
        <w:rPr>
          <w:rFonts w:eastAsia="黑体"/>
          <w:lang w:val="zh-CN"/>
        </w:rPr>
        <w:t>缔约国应继续加大力度打击、预防、消除和惩治贩运人口行为。具体而言，缔约国应：</w:t>
      </w:r>
    </w:p>
    <w:p w14:paraId="76B49DEE"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加倍努力，系统地查明、预防和打击贩运移民、难民和寻求庇护者的行为，特别是那些面临高风险的人，如孤身儿童或与父母或监护人失散的儿童；</w:t>
      </w:r>
    </w:p>
    <w:p w14:paraId="0A1BABB9"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加倍努力查明人口贩运受害者，为他们提供全面的补救、医疗、心理、物质和法律援助，帮助他们重新融入社会，保护他们不再次受害，特别是作为贩运受害者的移民和难民，同时确保人口贩运受害者免于因贩运直接导致的非法行为承担刑事责任；</w:t>
      </w:r>
    </w:p>
    <w:p w14:paraId="6297A036" w14:textId="77777777" w:rsidR="00E3197B" w:rsidRPr="00307E26" w:rsidRDefault="00E3197B" w:rsidP="00E3197B">
      <w:pPr>
        <w:pStyle w:val="SingleTxtGC"/>
        <w:rPr>
          <w:rFonts w:eastAsia="黑体"/>
        </w:rPr>
      </w:pPr>
      <w:r w:rsidRPr="00307E26">
        <w:lastRenderedPageBreak/>
        <w:tab/>
      </w:r>
      <w:r w:rsidRPr="00307E26">
        <w:rPr>
          <w:lang w:val="zh-CN"/>
        </w:rPr>
        <w:t>(c)</w:t>
      </w:r>
      <w:r w:rsidRPr="00307E26">
        <w:rPr>
          <w:lang w:val="zh-CN"/>
        </w:rPr>
        <w:tab/>
      </w:r>
      <w:r w:rsidRPr="00307E26">
        <w:rPr>
          <w:rFonts w:eastAsia="黑体"/>
          <w:lang w:val="zh-CN"/>
        </w:rPr>
        <w:t>继续努力为所有相关国家官员，包括法官、检察官、执法人员、移民官员、医疗专业人员和所有接待中心的工作人员以及律师提供适当培训，以提高他们识别、调查和起诉贩运案件的能力，并有效满足受害者的需求；</w:t>
      </w:r>
    </w:p>
    <w:p w14:paraId="6DEA26CF"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确保向所有负责预防、打击和惩治贩运人口和强迫劳动以及负责向受害者提供保护和援助的机构分配充足的财力、技术和人力资源。</w:t>
      </w:r>
    </w:p>
    <w:p w14:paraId="4ADFC251" w14:textId="77777777" w:rsidR="00E3197B" w:rsidRPr="00307E26" w:rsidRDefault="00E3197B" w:rsidP="002F143B">
      <w:pPr>
        <w:pStyle w:val="H23GC"/>
      </w:pPr>
      <w:r w:rsidRPr="00307E26">
        <w:rPr>
          <w:lang w:val="zh-CN"/>
        </w:rPr>
        <w:tab/>
      </w:r>
      <w:r w:rsidRPr="00307E26">
        <w:rPr>
          <w:lang w:val="zh-CN"/>
        </w:rPr>
        <w:tab/>
      </w:r>
      <w:r w:rsidRPr="00307E26">
        <w:rPr>
          <w:lang w:val="zh-CN"/>
        </w:rPr>
        <w:t>司法独立</w:t>
      </w:r>
      <w:bookmarkStart w:id="6" w:name="_Hlk181718181"/>
      <w:bookmarkEnd w:id="6"/>
    </w:p>
    <w:p w14:paraId="052E85A8" w14:textId="77777777" w:rsidR="00E3197B" w:rsidRPr="00307E26" w:rsidRDefault="00E3197B" w:rsidP="00E3197B">
      <w:pPr>
        <w:pStyle w:val="SingleTxtGC"/>
      </w:pPr>
      <w:r w:rsidRPr="00307E26">
        <w:rPr>
          <w:lang w:val="zh-CN"/>
        </w:rPr>
        <w:t>35.</w:t>
      </w:r>
      <w:r w:rsidRPr="00307E26">
        <w:rPr>
          <w:lang w:val="zh-CN"/>
        </w:rPr>
        <w:tab/>
      </w:r>
      <w:r w:rsidRPr="00307E26">
        <w:rPr>
          <w:lang w:val="zh-CN"/>
        </w:rPr>
        <w:t>委员会注意到为加强法官和检察官的独立性而采取的措施，包括通过《</w:t>
      </w:r>
      <w:r w:rsidRPr="00307E26">
        <w:rPr>
          <w:lang w:val="zh-CN"/>
        </w:rPr>
        <w:t>2019-2025</w:t>
      </w:r>
      <w:r w:rsidRPr="00307E26">
        <w:rPr>
          <w:lang w:val="zh-CN"/>
        </w:rPr>
        <w:t>年司法机构战略计划》。然而，委员会深表关切的是，在</w:t>
      </w:r>
      <w:r w:rsidRPr="00307E26">
        <w:rPr>
          <w:lang w:val="zh-CN"/>
        </w:rPr>
        <w:t>2018</w:t>
      </w:r>
      <w:r w:rsidRPr="00307E26">
        <w:rPr>
          <w:lang w:val="zh-CN"/>
        </w:rPr>
        <w:t>年全民投票后进行的司法改革背景下，法官和检察官的遴选和解职程序存在违规行为。</w:t>
      </w:r>
      <w:r w:rsidRPr="00307E26">
        <w:rPr>
          <w:rStyle w:val="a8"/>
          <w:rFonts w:eastAsia="宋体"/>
        </w:rPr>
        <w:footnoteReference w:id="14"/>
      </w:r>
      <w:r w:rsidRPr="00307E26">
        <w:rPr>
          <w:rStyle w:val="SingleTxtGCChar"/>
        </w:rPr>
        <w:t xml:space="preserve"> </w:t>
      </w:r>
      <w:r w:rsidRPr="00307E26">
        <w:rPr>
          <w:lang w:val="zh-CN"/>
        </w:rPr>
        <w:t>委员会还感到关切的是，有报告称，最高法院和宪法法院法官、检察官和高级官员的遴选和任命程序不够透明，没有适当公布，也没有接受公众监督，所以无法确保采用客观标准评估候选人的资质和能力，难以使其免受不当政治影响。委员会还感到关切的是，公民参与和社会控制委员会缺乏透明的评估程序，缺乏关于法官和检察官纪律制度为保障司法独立所规定的保障措施的信息。委员会还感到关切的是，有指控称，将于</w:t>
      </w:r>
      <w:r w:rsidRPr="00307E26">
        <w:rPr>
          <w:lang w:val="zh-CN"/>
        </w:rPr>
        <w:t>2024</w:t>
      </w:r>
      <w:r w:rsidRPr="00307E26">
        <w:rPr>
          <w:lang w:val="zh-CN"/>
        </w:rPr>
        <w:t>年和</w:t>
      </w:r>
      <w:r w:rsidRPr="00307E26">
        <w:rPr>
          <w:lang w:val="zh-CN"/>
        </w:rPr>
        <w:t>2025</w:t>
      </w:r>
      <w:r w:rsidRPr="00307E26">
        <w:rPr>
          <w:lang w:val="zh-CN"/>
        </w:rPr>
        <w:t>年任命的国家法院、宪法法院和总检察长办公室人员的遴选程序存在违规行为</w:t>
      </w:r>
      <w:r w:rsidRPr="00307E26">
        <w:rPr>
          <w:lang w:val="zh-CN"/>
        </w:rPr>
        <w:t>(</w:t>
      </w:r>
      <w:r w:rsidRPr="00307E26">
        <w:rPr>
          <w:lang w:val="zh-CN"/>
        </w:rPr>
        <w:t>第十四条</w:t>
      </w:r>
      <w:r w:rsidRPr="00307E26">
        <w:rPr>
          <w:lang w:val="zh-CN"/>
        </w:rPr>
        <w:t>)</w:t>
      </w:r>
      <w:r w:rsidRPr="00307E26">
        <w:rPr>
          <w:lang w:val="zh-CN"/>
        </w:rPr>
        <w:t>。</w:t>
      </w:r>
    </w:p>
    <w:p w14:paraId="64CA248B" w14:textId="77777777" w:rsidR="00E3197B" w:rsidRPr="00307E26" w:rsidRDefault="00E3197B" w:rsidP="00E3197B">
      <w:pPr>
        <w:pStyle w:val="SingleTxtGC"/>
        <w:rPr>
          <w:rFonts w:eastAsia="黑体"/>
        </w:rPr>
      </w:pPr>
      <w:r w:rsidRPr="00307E26">
        <w:rPr>
          <w:lang w:val="zh-CN"/>
        </w:rPr>
        <w:t>36.</w:t>
      </w:r>
      <w:r w:rsidRPr="00307E26">
        <w:rPr>
          <w:lang w:val="zh-CN"/>
        </w:rPr>
        <w:tab/>
      </w:r>
      <w:r w:rsidRPr="00307E26">
        <w:rPr>
          <w:rFonts w:eastAsia="黑体"/>
          <w:lang w:val="zh-CN"/>
        </w:rPr>
        <w:t>缔约国应加大力度确保司法机构享有充分的独立性和公正性。为此，缔约国应：</w:t>
      </w:r>
    </w:p>
    <w:p w14:paraId="39E8D046"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立即采取措施，确保法官和检察官的纪律程序以及遴选、任命、停职、调动和解职程序符合《公约》和相关国际标准，包括《关于司法机关独立的基本原则》和《关于检察官作用的准则》，并完全以客观和透明的标准为基础，根据适合性、能力和廉正要求评估候选人的资质；</w:t>
      </w:r>
    </w:p>
    <w:p w14:paraId="338AD6DC"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确保公民参与和社会控制委员会在遴选和任命法官和检察官的过程中只适用与候选人的能力和资质有关的标准；</w:t>
      </w:r>
    </w:p>
    <w:p w14:paraId="7061900F"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公布</w:t>
      </w:r>
      <w:r w:rsidRPr="00307E26">
        <w:rPr>
          <w:rFonts w:eastAsia="黑体"/>
          <w:lang w:val="zh-CN"/>
        </w:rPr>
        <w:t>2024</w:t>
      </w:r>
      <w:r w:rsidRPr="00307E26">
        <w:rPr>
          <w:rFonts w:eastAsia="黑体"/>
          <w:lang w:val="zh-CN"/>
        </w:rPr>
        <w:t>年和</w:t>
      </w:r>
      <w:r w:rsidRPr="00307E26">
        <w:rPr>
          <w:rFonts w:eastAsia="黑体"/>
          <w:lang w:val="zh-CN"/>
        </w:rPr>
        <w:t>2025</w:t>
      </w:r>
      <w:r w:rsidRPr="00307E26">
        <w:rPr>
          <w:rFonts w:eastAsia="黑体"/>
          <w:lang w:val="zh-CN"/>
        </w:rPr>
        <w:t>年国家法院、宪法法院和总检察长办公室的任命标准。</w:t>
      </w:r>
    </w:p>
    <w:p w14:paraId="69E07CFE" w14:textId="77777777" w:rsidR="00E3197B" w:rsidRPr="00307E26" w:rsidRDefault="00E3197B" w:rsidP="00E3197B">
      <w:pPr>
        <w:pStyle w:val="SingleTxtGC"/>
      </w:pPr>
      <w:bookmarkStart w:id="7" w:name="_Hlk180516419"/>
      <w:r w:rsidRPr="00307E26">
        <w:rPr>
          <w:lang w:val="zh-CN"/>
        </w:rPr>
        <w:t>37.</w:t>
      </w:r>
      <w:r w:rsidRPr="00307E26">
        <w:rPr>
          <w:lang w:val="zh-CN"/>
        </w:rPr>
        <w:tab/>
      </w:r>
      <w:r w:rsidRPr="00307E26">
        <w:rPr>
          <w:lang w:val="zh-CN"/>
        </w:rPr>
        <w:t>委员会注意到缔约国已采取措施，提高专门处理腐败和有组织犯罪相关罪行的司法部门的效力。然而，委员会仍感到关切的是，有报告称，司法部门存在腐败现象，包括总检察长办公室的调查表明，犯罪集团向司法官员行贿，以获得有利的裁决、法院人员组成的变更、不合理的程序拖延以及有组织犯罪组织成员及其亲属的监狱福利。这些报告加剧了公众对司法官员的高度不信任，并使人们认为有组织犯罪似乎正在向司法机构渗透。委员会还关切地指出，面对杀害、威胁、恐吓和攻击法官、检察官和其他司法专业人员的行为，缔约国没有采取足够的预防和保护措施</w:t>
      </w:r>
      <w:r w:rsidRPr="00307E26">
        <w:rPr>
          <w:lang w:val="zh-CN"/>
        </w:rPr>
        <w:t>(</w:t>
      </w:r>
      <w:r w:rsidRPr="00307E26">
        <w:rPr>
          <w:lang w:val="zh-CN"/>
        </w:rPr>
        <w:t>第十四条</w:t>
      </w:r>
      <w:r w:rsidRPr="00307E26">
        <w:rPr>
          <w:lang w:val="zh-CN"/>
        </w:rPr>
        <w:t>)</w:t>
      </w:r>
      <w:r w:rsidRPr="00307E26">
        <w:rPr>
          <w:lang w:val="zh-CN"/>
        </w:rPr>
        <w:t>。</w:t>
      </w:r>
    </w:p>
    <w:bookmarkEnd w:id="7"/>
    <w:p w14:paraId="64280BB1" w14:textId="77777777" w:rsidR="00E3197B" w:rsidRPr="00307E26" w:rsidRDefault="00E3197B" w:rsidP="00E3197B">
      <w:pPr>
        <w:pStyle w:val="SingleTxtGC"/>
        <w:rPr>
          <w:rFonts w:eastAsia="黑体"/>
        </w:rPr>
      </w:pPr>
      <w:r w:rsidRPr="00307E26">
        <w:rPr>
          <w:lang w:val="zh-CN"/>
        </w:rPr>
        <w:t>38.</w:t>
      </w:r>
      <w:r w:rsidRPr="00307E26">
        <w:rPr>
          <w:lang w:val="zh-CN"/>
        </w:rPr>
        <w:tab/>
      </w:r>
      <w:r w:rsidRPr="00307E26">
        <w:rPr>
          <w:rFonts w:eastAsia="黑体"/>
          <w:lang w:val="zh-CN"/>
        </w:rPr>
        <w:t>缔约国应：</w:t>
      </w:r>
    </w:p>
    <w:p w14:paraId="6F5562F5"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确保迅速、独立和公正地调查所有腐败案件，并根据罪行的严重程度起诉和惩处腐败行为的责任人，包括高层腐败和司法机构内部的腐败行为；</w:t>
      </w:r>
    </w:p>
    <w:p w14:paraId="39C25328" w14:textId="77777777" w:rsidR="00E3197B" w:rsidRPr="00307E26" w:rsidRDefault="00E3197B" w:rsidP="00E3197B">
      <w:pPr>
        <w:pStyle w:val="SingleTxtGC"/>
        <w:rPr>
          <w:rFonts w:eastAsia="黑体"/>
        </w:rPr>
      </w:pPr>
      <w:r w:rsidRPr="00307E26">
        <w:lastRenderedPageBreak/>
        <w:tab/>
      </w:r>
      <w:r w:rsidRPr="00307E26">
        <w:rPr>
          <w:lang w:val="zh-CN"/>
        </w:rPr>
        <w:t>(b)</w:t>
      </w:r>
      <w:r w:rsidRPr="00307E26">
        <w:rPr>
          <w:lang w:val="zh-CN"/>
        </w:rPr>
        <w:tab/>
      </w:r>
      <w:r w:rsidRPr="00307E26">
        <w:rPr>
          <w:rFonts w:eastAsia="黑体"/>
          <w:lang w:val="zh-CN"/>
        </w:rPr>
        <w:t>为执法机构人员、检察官和法官提供关于识别、调查和起诉腐败行为，特别是高层腐败行为的培训；</w:t>
      </w:r>
    </w:p>
    <w:p w14:paraId="6EFCECA3"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继续努力采取全面的预防和保护措施，确保法官、检察官和其他司法专业人员能够安全和独立地履行职责，而不必担心遭受威胁、恐吓、阻碍、骚扰、报复或犯罪行为。</w:t>
      </w:r>
    </w:p>
    <w:p w14:paraId="780F1183" w14:textId="2021A4FA" w:rsidR="00E3197B" w:rsidRPr="00307E26" w:rsidRDefault="00E3197B" w:rsidP="00821253">
      <w:pPr>
        <w:pStyle w:val="H23GC"/>
      </w:pPr>
      <w:r w:rsidRPr="00307E26">
        <w:rPr>
          <w:lang w:val="zh-CN"/>
        </w:rPr>
        <w:tab/>
      </w:r>
      <w:r w:rsidRPr="00307E26">
        <w:rPr>
          <w:lang w:val="zh-CN"/>
        </w:rPr>
        <w:tab/>
      </w:r>
      <w:r w:rsidRPr="00307E26">
        <w:rPr>
          <w:lang w:val="zh-CN"/>
        </w:rPr>
        <w:t>包括难民和寻求庇护者在内的外国人的待遇</w:t>
      </w:r>
    </w:p>
    <w:p w14:paraId="751FC8CC" w14:textId="77777777" w:rsidR="00E3197B" w:rsidRPr="00307E26" w:rsidRDefault="00E3197B" w:rsidP="00E3197B">
      <w:pPr>
        <w:pStyle w:val="SingleTxtGC"/>
      </w:pPr>
      <w:r w:rsidRPr="00307E26">
        <w:rPr>
          <w:lang w:val="zh-CN"/>
        </w:rPr>
        <w:t>39.</w:t>
      </w:r>
      <w:r w:rsidRPr="00307E26">
        <w:rPr>
          <w:lang w:val="zh-CN"/>
        </w:rPr>
        <w:tab/>
      </w:r>
      <w:r w:rsidRPr="00307E26">
        <w:rPr>
          <w:lang w:val="zh-CN"/>
        </w:rPr>
        <w:t>委员会注意到缔约国为解决北部边境的移民流动问题所采取的措施，以及为来自委内瑞拉玻利瓦尔共和国的移民实施的正常化程序。然而，委员会感到关切的是，这些正常化程序的范围有限，据报这些程序将</w:t>
      </w:r>
      <w:r w:rsidRPr="00307E26">
        <w:rPr>
          <w:lang w:val="zh-CN"/>
        </w:rPr>
        <w:t>2022</w:t>
      </w:r>
      <w:r w:rsidRPr="00307E26">
        <w:rPr>
          <w:lang w:val="zh-CN"/>
        </w:rPr>
        <w:t>年之后抵达缔约国领土的委内瑞拉人排除在外。在这方面，委员会关切地注意到，缔约国是委内瑞拉非正常移民比例最高的国家之一</w:t>
      </w:r>
      <w:r w:rsidRPr="00307E26">
        <w:rPr>
          <w:lang w:val="zh-CN"/>
        </w:rPr>
        <w:t>(68%)</w:t>
      </w:r>
      <w:r w:rsidRPr="00307E26">
        <w:rPr>
          <w:lang w:val="zh-CN"/>
        </w:rPr>
        <w:t>。委员会注意到缔约国为保护移民、难民和寻求庇护者的人权所作的努力，但感到关切的是，有报告称，这些群体遭受了任意拘留、勒索、贩运、恐吓和威胁，委员会感到遗憾的是，缺乏具体资料，说明采取了哪些措施以确保这些行为的受害者能够诉诸司法</w:t>
      </w:r>
      <w:r w:rsidRPr="00307E26">
        <w:rPr>
          <w:lang w:val="zh-CN"/>
        </w:rPr>
        <w:t>(</w:t>
      </w:r>
      <w:r w:rsidRPr="00307E26">
        <w:rPr>
          <w:lang w:val="zh-CN"/>
        </w:rPr>
        <w:t>第二、第六、第八、第九和第十二条</w:t>
      </w:r>
      <w:r w:rsidRPr="00307E26">
        <w:rPr>
          <w:lang w:val="zh-CN"/>
        </w:rPr>
        <w:t>)</w:t>
      </w:r>
      <w:r w:rsidRPr="00307E26">
        <w:rPr>
          <w:lang w:val="zh-CN"/>
        </w:rPr>
        <w:t>。</w:t>
      </w:r>
    </w:p>
    <w:p w14:paraId="5F671DD6" w14:textId="77777777" w:rsidR="00E3197B" w:rsidRPr="00307E26" w:rsidRDefault="00E3197B" w:rsidP="00E3197B">
      <w:pPr>
        <w:pStyle w:val="SingleTxtGC"/>
        <w:rPr>
          <w:rFonts w:eastAsia="黑体"/>
        </w:rPr>
      </w:pPr>
      <w:r w:rsidRPr="00307E26">
        <w:rPr>
          <w:lang w:val="zh-CN"/>
        </w:rPr>
        <w:t>40.</w:t>
      </w:r>
      <w:r w:rsidRPr="00307E26">
        <w:rPr>
          <w:lang w:val="zh-CN"/>
        </w:rPr>
        <w:tab/>
      </w:r>
      <w:r w:rsidRPr="00307E26">
        <w:rPr>
          <w:rFonts w:eastAsia="黑体"/>
          <w:lang w:val="zh-CN"/>
        </w:rPr>
        <w:t>缔约国应：</w:t>
      </w:r>
    </w:p>
    <w:p w14:paraId="11F091F5"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加大力度，使需要国际保护者的境况正常化，特别是确保他们的法律身份得到承认，并向他们提供获得基本服务、融入当地社会以及教育、工作和创收的机会，同时满足处于弱势境况者的具体需求；</w:t>
      </w:r>
    </w:p>
    <w:p w14:paraId="551C171B"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加倍努力，调查关于任意拘留、勒索、贩运、恐吓和威胁移民、难民和寻求庇护者的指控；起诉并惩罚责任人；确保受害者获得司法公正，充分尊重他们的人权，并向他们提供适当的补偿和赔偿。</w:t>
      </w:r>
    </w:p>
    <w:p w14:paraId="31AF3C01" w14:textId="77777777" w:rsidR="00E3197B" w:rsidRPr="00307E26" w:rsidRDefault="00E3197B" w:rsidP="00821253">
      <w:pPr>
        <w:pStyle w:val="H23GC"/>
      </w:pPr>
      <w:r w:rsidRPr="00307E26">
        <w:rPr>
          <w:lang w:val="zh-CN"/>
        </w:rPr>
        <w:tab/>
      </w:r>
      <w:r w:rsidRPr="00307E26">
        <w:rPr>
          <w:lang w:val="zh-CN"/>
        </w:rPr>
        <w:tab/>
      </w:r>
      <w:r w:rsidRPr="00307E26">
        <w:rPr>
          <w:lang w:val="zh-CN"/>
        </w:rPr>
        <w:t>人权维护者</w:t>
      </w:r>
    </w:p>
    <w:p w14:paraId="2A9DB9FF" w14:textId="77777777" w:rsidR="00E3197B" w:rsidRPr="00307E26" w:rsidRDefault="00E3197B" w:rsidP="00E3197B">
      <w:pPr>
        <w:pStyle w:val="SingleTxtGC"/>
      </w:pPr>
      <w:r w:rsidRPr="00307E26">
        <w:rPr>
          <w:lang w:val="zh-CN"/>
        </w:rPr>
        <w:t>41.</w:t>
      </w:r>
      <w:r w:rsidRPr="00307E26">
        <w:rPr>
          <w:lang w:val="zh-CN"/>
        </w:rPr>
        <w:tab/>
      </w:r>
      <w:r w:rsidRPr="00307E26">
        <w:rPr>
          <w:lang w:val="zh-CN"/>
        </w:rPr>
        <w:t>委员会注意到缔约国为保护人权维护者所作的努力，但感到关切的是，仍然没有促进实施有效保护和预防措施的全面政策，也没有专门保护人权维护者的机制。委员会赞赏缔约国采取措施，防止暴力，保护和促进人权维护者的权利，例如制定刑事政策，保障他们能够诉诸司法。然而，委员会仍感到关切的是，对人权和环境维护者的攻击事件频发，特别是袭击、杀害、恐吓、污名化、刑事定罪、非法拘留和诽谤运动，以及在这些案件中继续存在有罪不罚现象。</w:t>
      </w:r>
      <w:r w:rsidRPr="00307E26">
        <w:rPr>
          <w:rStyle w:val="a8"/>
          <w:rFonts w:eastAsia="宋体"/>
        </w:rPr>
        <w:footnoteReference w:id="15"/>
      </w:r>
      <w:r w:rsidRPr="00307E26">
        <w:rPr>
          <w:rStyle w:val="SingleTxtGCChar"/>
        </w:rPr>
        <w:t xml:space="preserve"> </w:t>
      </w:r>
      <w:r w:rsidRPr="00307E26">
        <w:rPr>
          <w:lang w:val="zh-CN"/>
        </w:rPr>
        <w:t>委员会还感到关切的是，有报告称，刑事和纪律程序被用作恐吓和威胁人权和环境维护者</w:t>
      </w:r>
      <w:r w:rsidRPr="00307E26">
        <w:rPr>
          <w:rStyle w:val="a8"/>
          <w:rFonts w:eastAsia="宋体"/>
        </w:rPr>
        <w:footnoteReference w:id="16"/>
      </w:r>
      <w:r w:rsidRPr="00307E26">
        <w:rPr>
          <w:rStyle w:val="SingleTxtGCChar"/>
        </w:rPr>
        <w:t xml:space="preserve"> </w:t>
      </w:r>
      <w:r w:rsidRPr="00307E26">
        <w:rPr>
          <w:lang w:val="zh-CN"/>
        </w:rPr>
        <w:t>以及调查腐败案件的记者的手段</w:t>
      </w:r>
      <w:r w:rsidRPr="00307E26">
        <w:rPr>
          <w:lang w:val="zh-CN"/>
        </w:rPr>
        <w:t>(</w:t>
      </w:r>
      <w:r w:rsidRPr="00307E26">
        <w:rPr>
          <w:lang w:val="zh-CN"/>
        </w:rPr>
        <w:t>第九、第十四、第十九和第二十一条</w:t>
      </w:r>
      <w:r w:rsidRPr="00307E26">
        <w:rPr>
          <w:lang w:val="zh-CN"/>
        </w:rPr>
        <w:t>)</w:t>
      </w:r>
      <w:r w:rsidRPr="00307E26">
        <w:rPr>
          <w:lang w:val="zh-CN"/>
        </w:rPr>
        <w:t>。</w:t>
      </w:r>
      <w:bookmarkStart w:id="8" w:name="_Hlk180929650"/>
      <w:bookmarkEnd w:id="8"/>
    </w:p>
    <w:p w14:paraId="7FF537FC" w14:textId="77777777" w:rsidR="00E3197B" w:rsidRPr="00307E26" w:rsidRDefault="00E3197B" w:rsidP="00E3197B">
      <w:pPr>
        <w:pStyle w:val="SingleTxtGC"/>
        <w:rPr>
          <w:rFonts w:eastAsia="黑体"/>
        </w:rPr>
      </w:pPr>
      <w:r w:rsidRPr="00307E26">
        <w:rPr>
          <w:lang w:val="zh-CN"/>
        </w:rPr>
        <w:t>42.</w:t>
      </w:r>
      <w:r w:rsidRPr="00307E26">
        <w:rPr>
          <w:lang w:val="zh-CN"/>
        </w:rPr>
        <w:tab/>
      </w:r>
      <w:r w:rsidRPr="00307E26">
        <w:rPr>
          <w:rFonts w:eastAsia="黑体"/>
          <w:lang w:val="zh-CN"/>
        </w:rPr>
        <w:t>缔约国应在民间社会的广泛参与下，通过并实施一项保护人权维护者的国家政策，该政策应能够应对预防、保护、打击有罪不罚和不污名化等方面的需求。缔约国应确保该政策重点关注暴力程度最高的地区，并融入差异化、族裔、性别、女权主义和交叉性方法，并通过允许联合国人权事务高级专员办事处</w:t>
      </w:r>
      <w:r w:rsidRPr="00307E26">
        <w:rPr>
          <w:rFonts w:eastAsia="黑体"/>
          <w:lang w:val="zh-CN"/>
        </w:rPr>
        <w:t>(</w:t>
      </w:r>
      <w:r w:rsidRPr="00307E26">
        <w:rPr>
          <w:rFonts w:eastAsia="黑体"/>
          <w:lang w:val="zh-CN"/>
        </w:rPr>
        <w:t>人权高专办</w:t>
      </w:r>
      <w:r w:rsidRPr="00307E26">
        <w:rPr>
          <w:rFonts w:eastAsia="黑体"/>
          <w:lang w:val="zh-CN"/>
        </w:rPr>
        <w:t>)</w:t>
      </w:r>
      <w:r w:rsidRPr="00307E26">
        <w:rPr>
          <w:rFonts w:eastAsia="黑体"/>
          <w:lang w:val="zh-CN"/>
        </w:rPr>
        <w:t>提供能力建设支助等办法得到有效执行。此外，缔约国应加倍努力：</w:t>
      </w:r>
      <w:bookmarkStart w:id="9" w:name="_Hlk180930058"/>
    </w:p>
    <w:bookmarkEnd w:id="9"/>
    <w:p w14:paraId="7D71C244" w14:textId="77777777" w:rsidR="00E3197B" w:rsidRPr="00307E26" w:rsidRDefault="00E3197B" w:rsidP="00E3197B">
      <w:pPr>
        <w:pStyle w:val="SingleTxtGC"/>
        <w:rPr>
          <w:rFonts w:eastAsia="黑体"/>
        </w:rPr>
      </w:pPr>
      <w:r w:rsidRPr="00307E26">
        <w:lastRenderedPageBreak/>
        <w:tab/>
      </w:r>
      <w:r w:rsidRPr="00307E26">
        <w:rPr>
          <w:lang w:val="zh-CN"/>
        </w:rPr>
        <w:t>(a)</w:t>
      </w:r>
      <w:r w:rsidRPr="00307E26">
        <w:rPr>
          <w:lang w:val="zh-CN"/>
        </w:rPr>
        <w:tab/>
      </w:r>
      <w:r w:rsidRPr="00307E26">
        <w:rPr>
          <w:rFonts w:eastAsia="黑体"/>
          <w:lang w:val="zh-CN"/>
        </w:rPr>
        <w:t>设立专门机制保护人权和环境维护者，为其工作提供充足的财力和人力资源，采取措施从反应性和预防性两个层面应对结构性风险因素，并开展活动，提高公众对该机制工作的认识；</w:t>
      </w:r>
    </w:p>
    <w:p w14:paraId="1036B77F"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为受到威胁、暴力或恐吓的人权维护者提供有效的援助和保护，包括环境权利维护者、土著人、非洲人后裔、社会和社区领袖以及记者权利维护者，并确保他们能够在适当的条件下开展工作，包括为此采取集体保护措施和有效执行预防措施；</w:t>
      </w:r>
    </w:p>
    <w:p w14:paraId="1E2A424E"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确保对所有关于骚扰、恐吓和暴力侵害人权维护者的报告进行迅速、彻底、独立和公正的调查，肇事者将受到起诉，如果罪名成立，将受到与罪行严重程度相称的惩罚；</w:t>
      </w:r>
    </w:p>
    <w:p w14:paraId="563E6288"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审查旨在保证对腐败举报人、证人和受害者提供充分保护的立法，以确保他们不会被定罪，也不会面临威胁，不用害怕遭到报复。</w:t>
      </w:r>
    </w:p>
    <w:p w14:paraId="3256DE17" w14:textId="77777777" w:rsidR="00E3197B" w:rsidRPr="00307E26" w:rsidRDefault="00E3197B" w:rsidP="00821253">
      <w:pPr>
        <w:pStyle w:val="H23GC"/>
      </w:pPr>
      <w:bookmarkStart w:id="10" w:name="_Hlk179013702"/>
      <w:r w:rsidRPr="00307E26">
        <w:rPr>
          <w:lang w:val="zh-CN"/>
        </w:rPr>
        <w:tab/>
      </w:r>
      <w:r w:rsidRPr="00307E26">
        <w:rPr>
          <w:lang w:val="zh-CN"/>
        </w:rPr>
        <w:tab/>
      </w:r>
      <w:r w:rsidRPr="00307E26">
        <w:rPr>
          <w:lang w:val="zh-CN"/>
        </w:rPr>
        <w:t>表达与和平集会自由</w:t>
      </w:r>
      <w:bookmarkEnd w:id="10"/>
    </w:p>
    <w:p w14:paraId="4992D44C" w14:textId="7C464D71" w:rsidR="00E3197B" w:rsidRPr="00307E26" w:rsidRDefault="00E3197B" w:rsidP="00E3197B">
      <w:pPr>
        <w:pStyle w:val="SingleTxtGC"/>
      </w:pPr>
      <w:r w:rsidRPr="00307E26">
        <w:rPr>
          <w:lang w:val="zh-CN"/>
        </w:rPr>
        <w:t>43.</w:t>
      </w:r>
      <w:r w:rsidRPr="00307E26">
        <w:rPr>
          <w:lang w:val="zh-CN"/>
        </w:rPr>
        <w:tab/>
      </w:r>
      <w:r w:rsidRPr="00307E26">
        <w:rPr>
          <w:lang w:val="zh-CN"/>
        </w:rPr>
        <w:t>委员会欢迎缔约国建立了保护记者工作的预防和保护机制。然而，委员会感到遗憾的是，该机制的预算不足以确保其及时履行相关立法规定的任务。此外，委员会对于该机制与民间社会的合作有限的指称感到关切。委员会还感到关切的是，有报告称，记者和其他媒体专业人员遭到骚扰、攻击和暴力侵害，在有些情况下这些行为甚至迫使他们流亡。同样，委员会感到关切的是，据称在</w:t>
      </w:r>
      <w:r w:rsidRPr="00307E26">
        <w:rPr>
          <w:lang w:val="zh-CN"/>
        </w:rPr>
        <w:t>2019</w:t>
      </w:r>
      <w:r w:rsidRPr="00307E26">
        <w:rPr>
          <w:lang w:val="zh-CN"/>
        </w:rPr>
        <w:t>年和</w:t>
      </w:r>
      <w:r w:rsidRPr="00307E26">
        <w:rPr>
          <w:lang w:val="zh-CN"/>
        </w:rPr>
        <w:t>2020</w:t>
      </w:r>
      <w:r w:rsidRPr="00307E26">
        <w:rPr>
          <w:lang w:val="zh-CN"/>
        </w:rPr>
        <w:t>年的示威活动中发生了侵犯表达自由权和和平集会权的行为，特别是安全部队对示威者和记者过度使用武力，以及缺乏关于调查结果的资料</w:t>
      </w:r>
      <w:r w:rsidRPr="00307E26">
        <w:rPr>
          <w:lang w:val="zh-CN"/>
        </w:rPr>
        <w:t>(</w:t>
      </w:r>
      <w:r w:rsidRPr="00307E26">
        <w:rPr>
          <w:lang w:val="zh-CN"/>
        </w:rPr>
        <w:t>第六、第七、第九、</w:t>
      </w:r>
      <w:r w:rsidR="00866D3E" w:rsidRPr="00307E26">
        <w:rPr>
          <w:lang w:val="zh-CN"/>
        </w:rPr>
        <w:t>第十</w:t>
      </w:r>
      <w:r w:rsidR="00866D3E">
        <w:rPr>
          <w:rFonts w:hint="eastAsia"/>
          <w:lang w:val="zh-CN"/>
        </w:rPr>
        <w:t>二</w:t>
      </w:r>
      <w:r w:rsidR="00866D3E" w:rsidRPr="00307E26">
        <w:rPr>
          <w:lang w:val="zh-CN"/>
        </w:rPr>
        <w:t>、</w:t>
      </w:r>
      <w:r w:rsidRPr="00307E26">
        <w:rPr>
          <w:lang w:val="zh-CN"/>
        </w:rPr>
        <w:t>第十四、第十九</w:t>
      </w:r>
      <w:r w:rsidR="00866D3E" w:rsidRPr="00307E26">
        <w:rPr>
          <w:lang w:val="zh-CN"/>
        </w:rPr>
        <w:t>和</w:t>
      </w:r>
      <w:r w:rsidRPr="00307E26">
        <w:rPr>
          <w:lang w:val="zh-CN"/>
        </w:rPr>
        <w:t>第二十一条</w:t>
      </w:r>
      <w:r w:rsidRPr="00307E26">
        <w:rPr>
          <w:lang w:val="zh-CN"/>
        </w:rPr>
        <w:t>)</w:t>
      </w:r>
      <w:r w:rsidRPr="00307E26">
        <w:rPr>
          <w:lang w:val="zh-CN"/>
        </w:rPr>
        <w:t>。</w:t>
      </w:r>
      <w:bookmarkStart w:id="11" w:name="_Hlk179131475"/>
      <w:bookmarkEnd w:id="11"/>
    </w:p>
    <w:p w14:paraId="20E74D70" w14:textId="77777777" w:rsidR="00E3197B" w:rsidRPr="00307E26" w:rsidRDefault="00E3197B" w:rsidP="00E3197B">
      <w:pPr>
        <w:pStyle w:val="SingleTxtGC"/>
        <w:rPr>
          <w:rFonts w:eastAsia="黑体"/>
        </w:rPr>
      </w:pPr>
      <w:r w:rsidRPr="00307E26">
        <w:rPr>
          <w:lang w:val="zh-CN"/>
        </w:rPr>
        <w:t>44.</w:t>
      </w:r>
      <w:r w:rsidRPr="00307E26">
        <w:rPr>
          <w:lang w:val="zh-CN"/>
        </w:rPr>
        <w:tab/>
      </w:r>
      <w:r w:rsidRPr="00307E26">
        <w:rPr>
          <w:rFonts w:eastAsia="黑体"/>
          <w:lang w:val="zh-CN"/>
        </w:rPr>
        <w:t>缔约国应采取必要措施，根据委员会关于意见和表达自由的第</w:t>
      </w:r>
      <w:r w:rsidRPr="00307E26">
        <w:rPr>
          <w:rFonts w:eastAsia="黑体"/>
          <w:lang w:val="zh-CN"/>
        </w:rPr>
        <w:t>34</w:t>
      </w:r>
      <w:r w:rsidRPr="00307E26">
        <w:rPr>
          <w:rFonts w:eastAsia="黑体"/>
          <w:lang w:val="zh-CN"/>
        </w:rPr>
        <w:t>号一般性意见</w:t>
      </w:r>
      <w:r w:rsidRPr="00307E26">
        <w:rPr>
          <w:rFonts w:eastAsia="黑体"/>
          <w:lang w:val="zh-CN"/>
        </w:rPr>
        <w:t>(2011</w:t>
      </w:r>
      <w:r w:rsidRPr="00307E26">
        <w:rPr>
          <w:rFonts w:eastAsia="黑体"/>
          <w:lang w:val="zh-CN"/>
        </w:rPr>
        <w:t>年</w:t>
      </w:r>
      <w:r w:rsidRPr="00307E26">
        <w:rPr>
          <w:rFonts w:eastAsia="黑体"/>
          <w:lang w:val="zh-CN"/>
        </w:rPr>
        <w:t>)</w:t>
      </w:r>
      <w:r w:rsidRPr="00307E26">
        <w:rPr>
          <w:rFonts w:eastAsia="黑体"/>
          <w:lang w:val="zh-CN"/>
        </w:rPr>
        <w:t>和关于和平集会权的第</w:t>
      </w:r>
      <w:r w:rsidRPr="00307E26">
        <w:rPr>
          <w:rFonts w:eastAsia="黑体"/>
          <w:lang w:val="zh-CN"/>
        </w:rPr>
        <w:t>37</w:t>
      </w:r>
      <w:r w:rsidRPr="00307E26">
        <w:rPr>
          <w:rFonts w:eastAsia="黑体"/>
          <w:lang w:val="zh-CN"/>
        </w:rPr>
        <w:t>号一般性意见</w:t>
      </w:r>
      <w:r w:rsidRPr="00307E26">
        <w:rPr>
          <w:rFonts w:eastAsia="黑体"/>
          <w:lang w:val="zh-CN"/>
        </w:rPr>
        <w:t>(2020</w:t>
      </w:r>
      <w:r w:rsidRPr="00307E26">
        <w:rPr>
          <w:rFonts w:eastAsia="黑体"/>
          <w:lang w:val="zh-CN"/>
        </w:rPr>
        <w:t>年</w:t>
      </w:r>
      <w:r w:rsidRPr="00307E26">
        <w:rPr>
          <w:rFonts w:eastAsia="黑体"/>
          <w:lang w:val="zh-CN"/>
        </w:rPr>
        <w:t>)</w:t>
      </w:r>
      <w:r w:rsidRPr="00307E26">
        <w:rPr>
          <w:rFonts w:eastAsia="黑体"/>
          <w:lang w:val="zh-CN"/>
        </w:rPr>
        <w:t>，确保所有人充分享有表达自由权与和平集会权。委员会特别促请缔约国：</w:t>
      </w:r>
    </w:p>
    <w:p w14:paraId="649295C1"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加强保护记者工作的预防和保护机制，为其有效运作划拨充足的财力、技术和人力资源，并确保民间社会能够有效参与其工作；</w:t>
      </w:r>
    </w:p>
    <w:p w14:paraId="668805AC"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确保所有针对记者和通讯媒体的骚扰和恐吓指称都得到及时、彻底、公正和有效的调查；将肇事者绳之以法并给予应有的惩罚；确保受害者得到全面补偿；</w:t>
      </w:r>
    </w:p>
    <w:p w14:paraId="0B4E7B4B"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保障和尊重和平集会和示威的权利，特别是土著和农民组织的权利，并确保意见和表达自由权以及和平集会权的落实完全符合《公约》第十九条第三款和第二十一条的要求。</w:t>
      </w:r>
    </w:p>
    <w:p w14:paraId="5CDC9D9F" w14:textId="77777777" w:rsidR="00E3197B" w:rsidRPr="00307E26" w:rsidRDefault="00E3197B" w:rsidP="00821253">
      <w:pPr>
        <w:pStyle w:val="H23GC"/>
      </w:pPr>
      <w:r w:rsidRPr="00307E26">
        <w:rPr>
          <w:lang w:val="zh-CN"/>
        </w:rPr>
        <w:tab/>
      </w:r>
      <w:r w:rsidRPr="00307E26">
        <w:rPr>
          <w:lang w:val="zh-CN"/>
        </w:rPr>
        <w:tab/>
      </w:r>
      <w:r w:rsidRPr="00307E26">
        <w:rPr>
          <w:lang w:val="zh-CN"/>
        </w:rPr>
        <w:t>结社自由</w:t>
      </w:r>
    </w:p>
    <w:p w14:paraId="1697D181" w14:textId="77777777" w:rsidR="00E3197B" w:rsidRPr="00307E26" w:rsidRDefault="00E3197B" w:rsidP="00E3197B">
      <w:pPr>
        <w:pStyle w:val="SingleTxtGC"/>
      </w:pPr>
      <w:r w:rsidRPr="00307E26">
        <w:rPr>
          <w:lang w:val="zh-CN"/>
        </w:rPr>
        <w:t>45.</w:t>
      </w:r>
      <w:r w:rsidRPr="00307E26">
        <w:rPr>
          <w:lang w:val="zh-CN"/>
        </w:rPr>
        <w:tab/>
      </w:r>
      <w:r w:rsidRPr="00307E26">
        <w:rPr>
          <w:lang w:val="zh-CN"/>
        </w:rPr>
        <w:t>委员会感到关切的是，有报告称《民间社会和非政府组织廉正战略》正被用来限制这些组织的活动。委员会尤其感到关切的是，根据该《战略》，民间社会组织为保持其法律地位必须满足的要求可能构成对其自由开展活动的障碍，并构成对结社自由权的不当限制</w:t>
      </w:r>
      <w:r w:rsidRPr="00307E26">
        <w:rPr>
          <w:lang w:val="zh-CN"/>
        </w:rPr>
        <w:t>(</w:t>
      </w:r>
      <w:r w:rsidRPr="00307E26">
        <w:rPr>
          <w:lang w:val="zh-CN"/>
        </w:rPr>
        <w:t>第二十二条</w:t>
      </w:r>
      <w:r w:rsidRPr="00307E26">
        <w:rPr>
          <w:lang w:val="zh-CN"/>
        </w:rPr>
        <w:t>)</w:t>
      </w:r>
      <w:r w:rsidRPr="00307E26">
        <w:rPr>
          <w:lang w:val="zh-CN"/>
        </w:rPr>
        <w:t>。</w:t>
      </w:r>
    </w:p>
    <w:p w14:paraId="594CF530" w14:textId="77777777" w:rsidR="00E3197B" w:rsidRPr="00307E26" w:rsidRDefault="00E3197B" w:rsidP="00E3197B">
      <w:pPr>
        <w:pStyle w:val="SingleTxtGC"/>
        <w:rPr>
          <w:rFonts w:eastAsia="黑体"/>
        </w:rPr>
      </w:pPr>
      <w:r w:rsidRPr="00307E26">
        <w:rPr>
          <w:lang w:val="zh-CN"/>
        </w:rPr>
        <w:t>46.</w:t>
      </w:r>
      <w:r w:rsidRPr="00307E26">
        <w:rPr>
          <w:lang w:val="zh-CN"/>
        </w:rPr>
        <w:tab/>
      </w:r>
      <w:r w:rsidRPr="00307E26">
        <w:rPr>
          <w:rFonts w:eastAsia="黑体"/>
          <w:lang w:val="zh-CN"/>
        </w:rPr>
        <w:t>根据《公约》第二十二条，缔约国应采取必要步骤，在法律和实践中保障结社自由权的有效行使，并确保民间社会组织的成员能够行使结社自由，而不受与</w:t>
      </w:r>
      <w:r w:rsidRPr="00307E26">
        <w:rPr>
          <w:rFonts w:eastAsia="黑体"/>
          <w:lang w:val="zh-CN"/>
        </w:rPr>
        <w:lastRenderedPageBreak/>
        <w:t>《公约》不符的限制。缔约国尤其应避免采取任何可能限制行使结社自由权或导致不当控制民间社会组织或干涉其活动的措施或法律。</w:t>
      </w:r>
    </w:p>
    <w:p w14:paraId="78671C88" w14:textId="77777777" w:rsidR="00E3197B" w:rsidRPr="00307E26" w:rsidRDefault="00E3197B" w:rsidP="00864A47">
      <w:pPr>
        <w:pStyle w:val="H23GC"/>
      </w:pPr>
      <w:r w:rsidRPr="00307E26">
        <w:rPr>
          <w:lang w:val="zh-CN"/>
        </w:rPr>
        <w:tab/>
      </w:r>
      <w:r w:rsidRPr="00307E26">
        <w:rPr>
          <w:lang w:val="zh-CN"/>
        </w:rPr>
        <w:tab/>
      </w:r>
      <w:r w:rsidRPr="00307E26">
        <w:rPr>
          <w:lang w:val="zh-CN"/>
        </w:rPr>
        <w:t>土著人民权利</w:t>
      </w:r>
      <w:bookmarkStart w:id="12" w:name="_Hlk178770938"/>
      <w:bookmarkEnd w:id="12"/>
    </w:p>
    <w:p w14:paraId="26BE9567" w14:textId="0E7708BE" w:rsidR="00E3197B" w:rsidRPr="00307E26" w:rsidRDefault="00E3197B" w:rsidP="0025302D">
      <w:pPr>
        <w:pStyle w:val="SingleTxtGC"/>
      </w:pPr>
      <w:r w:rsidRPr="00307E26">
        <w:rPr>
          <w:lang w:val="zh-CN"/>
        </w:rPr>
        <w:t>47.</w:t>
      </w:r>
      <w:r w:rsidRPr="00307E26">
        <w:rPr>
          <w:lang w:val="zh-CN"/>
        </w:rPr>
        <w:tab/>
      </w:r>
      <w:r w:rsidRPr="00307E26">
        <w:rPr>
          <w:lang w:val="zh-CN"/>
        </w:rPr>
        <w:t>委员会感到关切的是，缔约国迟迟没有最后确定和通过一项关于土著公社、社区、人民和民族的协商权以及自由、事先和知情同意权的法律，而且有报告称，缔约国一直在对土著公社、社区、人民和民族适用第</w:t>
      </w:r>
      <w:r w:rsidRPr="00307E26">
        <w:rPr>
          <w:lang w:val="zh-CN"/>
        </w:rPr>
        <w:t>754</w:t>
      </w:r>
      <w:r w:rsidRPr="00307E26">
        <w:rPr>
          <w:lang w:val="zh-CN"/>
        </w:rPr>
        <w:t>号行政令，违反宪法法院</w:t>
      </w:r>
      <w:r w:rsidRPr="00307E26">
        <w:rPr>
          <w:lang w:val="zh-CN"/>
        </w:rPr>
        <w:t>2023</w:t>
      </w:r>
      <w:r w:rsidRPr="00307E26">
        <w:rPr>
          <w:lang w:val="zh-CN"/>
        </w:rPr>
        <w:t>年第</w:t>
      </w:r>
      <w:r w:rsidRPr="00307E26">
        <w:rPr>
          <w:lang w:val="zh-CN"/>
        </w:rPr>
        <w:t>51-23-IN/23</w:t>
      </w:r>
      <w:r w:rsidRPr="00307E26">
        <w:rPr>
          <w:lang w:val="zh-CN"/>
        </w:rPr>
        <w:t>号判决。具体而言，委员会感到关切的是，武装部队的介入以及为执行第</w:t>
      </w:r>
      <w:r w:rsidRPr="00307E26">
        <w:rPr>
          <w:lang w:val="zh-CN"/>
        </w:rPr>
        <w:t>754</w:t>
      </w:r>
      <w:r w:rsidRPr="00307E26">
        <w:rPr>
          <w:lang w:val="zh-CN"/>
        </w:rPr>
        <w:t>号行政令而开展的行动可能导致暴力行为增加，引发暴力对抗并对人权维护者刑事定罪。委员会还感到关切的是，有报告称，在土著人民和民族的土地上实施可能影响其环境或文化的计划和方案，包括</w:t>
      </w:r>
      <w:r w:rsidRPr="00307E26">
        <w:rPr>
          <w:lang w:val="zh-CN"/>
        </w:rPr>
        <w:t>San Carlos Panantza</w:t>
      </w:r>
      <w:r w:rsidRPr="00307E26">
        <w:rPr>
          <w:lang w:val="zh-CN"/>
        </w:rPr>
        <w:t>、</w:t>
      </w:r>
      <w:r w:rsidRPr="00307E26">
        <w:rPr>
          <w:lang w:val="zh-CN"/>
        </w:rPr>
        <w:t>Warintza</w:t>
      </w:r>
      <w:r w:rsidRPr="00307E26">
        <w:rPr>
          <w:lang w:val="zh-CN"/>
        </w:rPr>
        <w:t>、</w:t>
      </w:r>
      <w:r w:rsidR="0025302D" w:rsidRPr="0025302D">
        <w:rPr>
          <w:lang w:val="es-ES"/>
        </w:rPr>
        <w:t>Río</w:t>
      </w:r>
      <w:r w:rsidRPr="00307E26">
        <w:rPr>
          <w:lang w:val="zh-CN"/>
        </w:rPr>
        <w:t xml:space="preserve"> Blanco</w:t>
      </w:r>
      <w:r w:rsidRPr="00307E26">
        <w:rPr>
          <w:lang w:val="zh-CN"/>
        </w:rPr>
        <w:t>、</w:t>
      </w:r>
      <w:r w:rsidRPr="00307E26">
        <w:rPr>
          <w:lang w:val="zh-CN"/>
        </w:rPr>
        <w:t>Curipamba-el Domo</w:t>
      </w:r>
      <w:r w:rsidRPr="00307E26">
        <w:rPr>
          <w:lang w:val="zh-CN"/>
        </w:rPr>
        <w:t>、</w:t>
      </w:r>
      <w:r w:rsidRPr="00307E26">
        <w:rPr>
          <w:lang w:val="zh-CN"/>
        </w:rPr>
        <w:t>La Plata</w:t>
      </w:r>
      <w:r w:rsidRPr="00307E26">
        <w:rPr>
          <w:lang w:val="zh-CN"/>
        </w:rPr>
        <w:t>和</w:t>
      </w:r>
      <w:r w:rsidRPr="00307E26">
        <w:rPr>
          <w:lang w:val="zh-CN"/>
        </w:rPr>
        <w:t>Mirador</w:t>
      </w:r>
      <w:r w:rsidRPr="00307E26">
        <w:rPr>
          <w:lang w:val="zh-CN"/>
        </w:rPr>
        <w:t>采矿项目，没有进行适当的、具有充分参与性的协商程序，以获得自由、事先和知情同意。委员会还感到关切的是，有报告称污染和石油泄漏对居住区，特别是土著人民居住区造成危害</w:t>
      </w:r>
      <w:r w:rsidRPr="00307E26">
        <w:rPr>
          <w:lang w:val="zh-CN"/>
        </w:rPr>
        <w:t>(</w:t>
      </w:r>
      <w:r w:rsidRPr="00307E26">
        <w:rPr>
          <w:lang w:val="zh-CN"/>
        </w:rPr>
        <w:t>第六、第十九和第二十七条</w:t>
      </w:r>
      <w:r w:rsidRPr="00307E26">
        <w:rPr>
          <w:lang w:val="zh-CN"/>
        </w:rPr>
        <w:t>)</w:t>
      </w:r>
      <w:r w:rsidRPr="00307E26">
        <w:rPr>
          <w:lang w:val="zh-CN"/>
        </w:rPr>
        <w:t>。</w:t>
      </w:r>
    </w:p>
    <w:p w14:paraId="78765DF7" w14:textId="77777777" w:rsidR="00E3197B" w:rsidRPr="00307E26" w:rsidRDefault="00E3197B" w:rsidP="00E3197B">
      <w:pPr>
        <w:pStyle w:val="SingleTxtGC"/>
        <w:rPr>
          <w:rFonts w:eastAsia="黑体"/>
        </w:rPr>
      </w:pPr>
      <w:r w:rsidRPr="00307E26">
        <w:rPr>
          <w:lang w:val="zh-CN"/>
        </w:rPr>
        <w:t>48.</w:t>
      </w:r>
      <w:r w:rsidRPr="00307E26">
        <w:rPr>
          <w:lang w:val="zh-CN"/>
        </w:rPr>
        <w:tab/>
      </w:r>
      <w:r w:rsidRPr="00307E26">
        <w:rPr>
          <w:rFonts w:eastAsia="黑体"/>
          <w:lang w:val="zh-CN"/>
        </w:rPr>
        <w:t>缔约国应：</w:t>
      </w:r>
    </w:p>
    <w:p w14:paraId="6FFFCCDB" w14:textId="77777777" w:rsidR="00E3197B" w:rsidRPr="00307E26" w:rsidRDefault="00E3197B" w:rsidP="00E3197B">
      <w:pPr>
        <w:pStyle w:val="SingleTxtGC"/>
        <w:rPr>
          <w:rFonts w:eastAsia="黑体"/>
        </w:rPr>
      </w:pPr>
      <w:r w:rsidRPr="00307E26">
        <w:tab/>
      </w:r>
      <w:r w:rsidRPr="00307E26">
        <w:rPr>
          <w:lang w:val="zh-CN"/>
        </w:rPr>
        <w:t>(a)</w:t>
      </w:r>
      <w:r w:rsidRPr="00307E26">
        <w:rPr>
          <w:lang w:val="zh-CN"/>
        </w:rPr>
        <w:tab/>
      </w:r>
      <w:r w:rsidRPr="00307E26">
        <w:rPr>
          <w:rFonts w:eastAsia="黑体"/>
          <w:lang w:val="zh-CN"/>
        </w:rPr>
        <w:t>加快通过关于协商以及自由、事先和知情同意的有效和适当的法律和具有法律约束力的议定书，其中包括有效的协商机制，让土著人民和民族有效切实地参与；并确保法律和机制符合《公约》的原则、劳工组织《</w:t>
      </w:r>
      <w:r w:rsidRPr="00307E26">
        <w:rPr>
          <w:rFonts w:eastAsia="黑体"/>
          <w:lang w:val="zh-CN"/>
        </w:rPr>
        <w:t>1989</w:t>
      </w:r>
      <w:r w:rsidRPr="00307E26">
        <w:rPr>
          <w:rFonts w:eastAsia="黑体"/>
          <w:lang w:val="zh-CN"/>
        </w:rPr>
        <w:t>年土著和部落人民公约》</w:t>
      </w:r>
      <w:r w:rsidRPr="00307E26">
        <w:rPr>
          <w:rFonts w:eastAsia="黑体"/>
          <w:lang w:val="zh-CN"/>
        </w:rPr>
        <w:t>(</w:t>
      </w:r>
      <w:r w:rsidRPr="00307E26">
        <w:rPr>
          <w:rFonts w:eastAsia="黑体"/>
          <w:lang w:val="zh-CN"/>
        </w:rPr>
        <w:t>第</w:t>
      </w:r>
      <w:r w:rsidRPr="00307E26">
        <w:rPr>
          <w:rFonts w:eastAsia="黑体"/>
          <w:lang w:val="zh-CN"/>
        </w:rPr>
        <w:t>169</w:t>
      </w:r>
      <w:r w:rsidRPr="00307E26">
        <w:rPr>
          <w:rFonts w:eastAsia="黑体"/>
          <w:lang w:val="zh-CN"/>
        </w:rPr>
        <w:t>号</w:t>
      </w:r>
      <w:r w:rsidRPr="00307E26">
        <w:rPr>
          <w:rFonts w:eastAsia="黑体"/>
          <w:lang w:val="zh-CN"/>
        </w:rPr>
        <w:t>)</w:t>
      </w:r>
      <w:r w:rsidRPr="00307E26">
        <w:rPr>
          <w:rFonts w:eastAsia="黑体"/>
          <w:lang w:val="zh-CN"/>
        </w:rPr>
        <w:t>、《联合国土著人民权利宣言》和其他国际标准，以及《宪法》第五十七条；</w:t>
      </w:r>
    </w:p>
    <w:p w14:paraId="4362DEC6" w14:textId="77777777" w:rsidR="00E3197B" w:rsidRPr="00307E26" w:rsidRDefault="00E3197B" w:rsidP="00E3197B">
      <w:pPr>
        <w:pStyle w:val="SingleTxtGC"/>
        <w:rPr>
          <w:rFonts w:eastAsia="黑体"/>
        </w:rPr>
      </w:pPr>
      <w:r w:rsidRPr="00307E26">
        <w:tab/>
      </w:r>
      <w:r w:rsidRPr="00307E26">
        <w:rPr>
          <w:lang w:val="zh-CN"/>
        </w:rPr>
        <w:t>(b)</w:t>
      </w:r>
      <w:r w:rsidRPr="00307E26">
        <w:rPr>
          <w:lang w:val="zh-CN"/>
        </w:rPr>
        <w:tab/>
      </w:r>
      <w:r w:rsidRPr="00307E26">
        <w:rPr>
          <w:rFonts w:eastAsia="黑体"/>
          <w:lang w:val="zh-CN"/>
        </w:rPr>
        <w:t>确保在采取和实施任何可能对土著人民的权利、生活方式和文化产生重大影响的举措，特别是基础设施或涉及自然资源开发的项目之前，与他们开展真诚有效的协商，保障他们的积极有效参与，以便获得他们的自由、事先和知情同意；</w:t>
      </w:r>
    </w:p>
    <w:p w14:paraId="43093D74" w14:textId="77777777" w:rsidR="00E3197B" w:rsidRPr="00307E26" w:rsidRDefault="00E3197B" w:rsidP="00E3197B">
      <w:pPr>
        <w:pStyle w:val="SingleTxtGC"/>
        <w:rPr>
          <w:rFonts w:eastAsia="黑体"/>
        </w:rPr>
      </w:pPr>
      <w:r w:rsidRPr="00307E26">
        <w:tab/>
      </w:r>
      <w:r w:rsidRPr="00307E26">
        <w:rPr>
          <w:lang w:val="zh-CN"/>
        </w:rPr>
        <w:t>(c)</w:t>
      </w:r>
      <w:r w:rsidRPr="00307E26">
        <w:rPr>
          <w:lang w:val="zh-CN"/>
        </w:rPr>
        <w:tab/>
      </w:r>
      <w:r w:rsidRPr="00307E26">
        <w:rPr>
          <w:rFonts w:eastAsia="黑体"/>
          <w:lang w:val="zh-CN"/>
        </w:rPr>
        <w:t>采取措施，确保向土著人民和民族归还未经其自由、事先和知情同意而被没收、占用、使用或破坏的传统土地和资源，只有在无法做到这一点的情况下，才向他们提供公正和公平的赔偿；</w:t>
      </w:r>
    </w:p>
    <w:p w14:paraId="548757B7" w14:textId="77777777" w:rsidR="00E3197B" w:rsidRPr="00307E26" w:rsidRDefault="00E3197B" w:rsidP="00E3197B">
      <w:pPr>
        <w:pStyle w:val="SingleTxtGC"/>
        <w:rPr>
          <w:rFonts w:eastAsia="黑体"/>
        </w:rPr>
      </w:pPr>
      <w:r w:rsidRPr="00307E26">
        <w:tab/>
      </w:r>
      <w:r w:rsidRPr="00307E26">
        <w:rPr>
          <w:lang w:val="zh-CN"/>
        </w:rPr>
        <w:t>(d)</w:t>
      </w:r>
      <w:r w:rsidRPr="00307E26">
        <w:rPr>
          <w:lang w:val="zh-CN"/>
        </w:rPr>
        <w:tab/>
      </w:r>
      <w:r w:rsidRPr="00307E26">
        <w:rPr>
          <w:rFonts w:eastAsia="黑体"/>
          <w:lang w:val="zh-CN"/>
        </w:rPr>
        <w:t>确保迅速、彻底、独立和公正地调查针对土著人民以及土著权利和环境维护者的骚扰、恐吓和暴力行为，将责任人绳之以法，并确保受害者获得充分补偿；</w:t>
      </w:r>
    </w:p>
    <w:p w14:paraId="673CF9BE" w14:textId="77777777" w:rsidR="00E3197B" w:rsidRPr="00307E26" w:rsidRDefault="00E3197B" w:rsidP="00E3197B">
      <w:pPr>
        <w:pStyle w:val="SingleTxtGC"/>
        <w:rPr>
          <w:rFonts w:eastAsia="黑体"/>
        </w:rPr>
      </w:pPr>
      <w:r w:rsidRPr="00307E26">
        <w:tab/>
      </w:r>
      <w:r w:rsidRPr="00307E26">
        <w:rPr>
          <w:lang w:val="zh-CN"/>
        </w:rPr>
        <w:t>(e)</w:t>
      </w:r>
      <w:r w:rsidRPr="00307E26">
        <w:rPr>
          <w:lang w:val="zh-CN"/>
        </w:rPr>
        <w:tab/>
      </w:r>
      <w:r w:rsidRPr="00307E26">
        <w:rPr>
          <w:rFonts w:eastAsia="黑体"/>
          <w:lang w:val="zh-CN"/>
        </w:rPr>
        <w:t>加大努力，防止和减缓气候变化和环境退化的影响，并采取适当行动，采用预防措施，保护人民</w:t>
      </w:r>
      <w:r w:rsidRPr="00307E26">
        <w:rPr>
          <w:rFonts w:eastAsia="黑体"/>
          <w:lang w:val="zh-CN"/>
        </w:rPr>
        <w:t>(</w:t>
      </w:r>
      <w:r w:rsidRPr="00307E26">
        <w:rPr>
          <w:rFonts w:eastAsia="黑体"/>
          <w:lang w:val="zh-CN"/>
        </w:rPr>
        <w:t>特别是土著人民</w:t>
      </w:r>
      <w:r w:rsidRPr="00307E26">
        <w:rPr>
          <w:rFonts w:eastAsia="黑体"/>
          <w:lang w:val="zh-CN"/>
        </w:rPr>
        <w:t>)</w:t>
      </w:r>
      <w:r w:rsidRPr="00307E26">
        <w:rPr>
          <w:rFonts w:eastAsia="黑体"/>
          <w:lang w:val="zh-CN"/>
        </w:rPr>
        <w:t>免受气候变化和自然灾害的负面影响。</w:t>
      </w:r>
    </w:p>
    <w:p w14:paraId="2945EE4D" w14:textId="77777777" w:rsidR="00E3197B" w:rsidRPr="00307E26" w:rsidRDefault="00E3197B" w:rsidP="00864A47">
      <w:pPr>
        <w:pStyle w:val="H23GC"/>
      </w:pPr>
      <w:r w:rsidRPr="00307E26">
        <w:rPr>
          <w:lang w:val="zh-CN"/>
        </w:rPr>
        <w:tab/>
      </w:r>
      <w:r w:rsidRPr="00307E26">
        <w:rPr>
          <w:lang w:val="zh-CN"/>
        </w:rPr>
        <w:tab/>
      </w:r>
      <w:r w:rsidRPr="00307E26">
        <w:rPr>
          <w:lang w:val="zh-CN"/>
        </w:rPr>
        <w:t>土著管辖权</w:t>
      </w:r>
    </w:p>
    <w:p w14:paraId="7AD3D89C" w14:textId="77777777" w:rsidR="00E3197B" w:rsidRPr="00307E26" w:rsidRDefault="00E3197B" w:rsidP="00E3197B">
      <w:pPr>
        <w:pStyle w:val="SingleTxtGC"/>
      </w:pPr>
      <w:r w:rsidRPr="00307E26">
        <w:rPr>
          <w:lang w:val="zh-CN"/>
        </w:rPr>
        <w:t>49.</w:t>
      </w:r>
      <w:r w:rsidRPr="00307E26">
        <w:rPr>
          <w:lang w:val="zh-CN"/>
        </w:rPr>
        <w:tab/>
      </w:r>
      <w:r w:rsidRPr="00307E26">
        <w:rPr>
          <w:lang w:val="zh-CN"/>
        </w:rPr>
        <w:t>委员会注意到缔约国采取了措施，保障土著人诉诸司法，包括实施了将跨文化原则纳入普通司法系统的指南，但委员会仍感到关切的是，普通司法系统与土著司法系统之间缺乏充分协调，这对土著人诉诸司法构成了障碍</w:t>
      </w:r>
      <w:r w:rsidRPr="00307E26">
        <w:rPr>
          <w:lang w:val="zh-CN"/>
        </w:rPr>
        <w:t>(</w:t>
      </w:r>
      <w:r w:rsidRPr="00307E26">
        <w:rPr>
          <w:lang w:val="zh-CN"/>
        </w:rPr>
        <w:t>第十四和第二十七条</w:t>
      </w:r>
      <w:r w:rsidRPr="00307E26">
        <w:rPr>
          <w:lang w:val="zh-CN"/>
        </w:rPr>
        <w:t>)</w:t>
      </w:r>
      <w:r w:rsidRPr="00307E26">
        <w:rPr>
          <w:lang w:val="zh-CN"/>
        </w:rPr>
        <w:t>。</w:t>
      </w:r>
    </w:p>
    <w:p w14:paraId="2C29D44E" w14:textId="77777777" w:rsidR="00E3197B" w:rsidRPr="00307E26" w:rsidRDefault="00E3197B" w:rsidP="00E3197B">
      <w:pPr>
        <w:pStyle w:val="SingleTxtGC"/>
        <w:rPr>
          <w:rFonts w:eastAsia="黑体"/>
        </w:rPr>
      </w:pPr>
      <w:r w:rsidRPr="00307E26">
        <w:rPr>
          <w:lang w:val="zh-CN"/>
        </w:rPr>
        <w:lastRenderedPageBreak/>
        <w:t>50.</w:t>
      </w:r>
      <w:r w:rsidRPr="00307E26">
        <w:rPr>
          <w:lang w:val="zh-CN"/>
        </w:rPr>
        <w:tab/>
      </w:r>
      <w:r w:rsidRPr="00307E26">
        <w:rPr>
          <w:rFonts w:eastAsia="黑体"/>
          <w:lang w:val="zh-CN"/>
        </w:rPr>
        <w:t>缔约国应加紧努力，保障土著人民诉诸司法的机会，确保尊重他们的基本权利，保障适当程序。此外，缔约国应继续努力承认、尊重和加强土著司法系统，特别是通过普通司法系统与土著司法系统主管机构之间的统一、合作和协调。</w:t>
      </w:r>
    </w:p>
    <w:p w14:paraId="5BC28316" w14:textId="77777777" w:rsidR="00E3197B" w:rsidRPr="00307E26" w:rsidRDefault="00E3197B" w:rsidP="00864A47">
      <w:pPr>
        <w:pStyle w:val="H1GC"/>
      </w:pPr>
      <w:r w:rsidRPr="00307E26">
        <w:tab/>
      </w:r>
      <w:r w:rsidRPr="00307E26">
        <w:rPr>
          <w:lang w:val="zh-CN"/>
        </w:rPr>
        <w:t>D.</w:t>
      </w:r>
      <w:r w:rsidRPr="00307E26">
        <w:rPr>
          <w:lang w:val="zh-CN"/>
        </w:rPr>
        <w:tab/>
      </w:r>
      <w:r w:rsidRPr="00307E26">
        <w:rPr>
          <w:lang w:val="zh-CN"/>
        </w:rPr>
        <w:t>传播和后续落实</w:t>
      </w:r>
    </w:p>
    <w:p w14:paraId="502BB929" w14:textId="77777777" w:rsidR="00E3197B" w:rsidRPr="00307E26" w:rsidRDefault="00E3197B" w:rsidP="00E3197B">
      <w:pPr>
        <w:pStyle w:val="SingleTxtGC"/>
        <w:rPr>
          <w:rFonts w:eastAsia="黑体"/>
        </w:rPr>
      </w:pPr>
      <w:r w:rsidRPr="00307E26">
        <w:rPr>
          <w:lang w:val="zh-CN"/>
        </w:rPr>
        <w:t>51.</w:t>
      </w:r>
      <w:r w:rsidRPr="00307E26">
        <w:rPr>
          <w:lang w:val="zh-CN"/>
        </w:rPr>
        <w:tab/>
      </w:r>
      <w:r w:rsidRPr="00307E26">
        <w:rPr>
          <w:rFonts w:eastAsia="黑体"/>
          <w:lang w:val="zh-CN"/>
        </w:rPr>
        <w:t>缔约国应广泛传播《公约》及其两项任择议定书、缔约国的第七次定期报告和本结论性意见，以提高司法、立法和行政部门以及在缔约国开展活动的民间社会团体和非政府组织及广大公众对《公约》所载权利的认识。</w:t>
      </w:r>
    </w:p>
    <w:p w14:paraId="386B2F63" w14:textId="77777777" w:rsidR="00E3197B" w:rsidRPr="00307E26" w:rsidRDefault="00E3197B" w:rsidP="00E3197B">
      <w:pPr>
        <w:pStyle w:val="SingleTxtGC"/>
        <w:rPr>
          <w:rFonts w:eastAsia="黑体"/>
        </w:rPr>
      </w:pPr>
      <w:r w:rsidRPr="00307E26">
        <w:rPr>
          <w:lang w:val="zh-CN"/>
        </w:rPr>
        <w:t>52.</w:t>
      </w:r>
      <w:r w:rsidRPr="00307E26">
        <w:rPr>
          <w:lang w:val="zh-CN"/>
        </w:rPr>
        <w:tab/>
      </w:r>
      <w:r w:rsidRPr="00307E26">
        <w:rPr>
          <w:rFonts w:eastAsia="黑体"/>
          <w:lang w:val="zh-CN"/>
        </w:rPr>
        <w:t>根据委员会议事规则第</w:t>
      </w:r>
      <w:r w:rsidRPr="00307E26">
        <w:rPr>
          <w:rFonts w:eastAsia="黑体"/>
          <w:lang w:val="zh-CN"/>
        </w:rPr>
        <w:t>75</w:t>
      </w:r>
      <w:r w:rsidRPr="00307E26">
        <w:rPr>
          <w:rFonts w:eastAsia="黑体"/>
          <w:lang w:val="zh-CN"/>
        </w:rPr>
        <w:t>条第</w:t>
      </w:r>
      <w:r w:rsidRPr="00307E26">
        <w:rPr>
          <w:rFonts w:eastAsia="黑体"/>
          <w:lang w:val="zh-CN"/>
        </w:rPr>
        <w:t>1</w:t>
      </w:r>
      <w:r w:rsidRPr="00307E26">
        <w:rPr>
          <w:rFonts w:eastAsia="黑体"/>
          <w:lang w:val="zh-CN"/>
        </w:rPr>
        <w:t>款，缔约国应在</w:t>
      </w:r>
      <w:r w:rsidRPr="00307E26">
        <w:rPr>
          <w:rFonts w:eastAsia="黑体"/>
          <w:lang w:val="zh-CN"/>
        </w:rPr>
        <w:t>2027</w:t>
      </w:r>
      <w:r w:rsidRPr="00307E26">
        <w:rPr>
          <w:rFonts w:eastAsia="黑体"/>
          <w:lang w:val="zh-CN"/>
        </w:rPr>
        <w:t>年</w:t>
      </w:r>
      <w:r w:rsidRPr="00307E26">
        <w:rPr>
          <w:rFonts w:eastAsia="黑体"/>
          <w:lang w:val="zh-CN"/>
        </w:rPr>
        <w:t>11</w:t>
      </w:r>
      <w:r w:rsidRPr="00307E26">
        <w:rPr>
          <w:rFonts w:eastAsia="黑体"/>
          <w:lang w:val="zh-CN"/>
        </w:rPr>
        <w:t>月</w:t>
      </w:r>
      <w:r w:rsidRPr="00307E26">
        <w:rPr>
          <w:rFonts w:eastAsia="黑体"/>
          <w:lang w:val="zh-CN"/>
        </w:rPr>
        <w:t>8</w:t>
      </w:r>
      <w:r w:rsidRPr="00307E26">
        <w:rPr>
          <w:rFonts w:eastAsia="黑体"/>
          <w:lang w:val="zh-CN"/>
        </w:rPr>
        <w:t>日之前提供资料，说明委员会在上文第</w:t>
      </w:r>
      <w:r w:rsidRPr="00307E26">
        <w:rPr>
          <w:rFonts w:eastAsia="黑体"/>
          <w:lang w:val="zh-CN"/>
        </w:rPr>
        <w:t>10</w:t>
      </w:r>
      <w:r w:rsidRPr="00307E26">
        <w:rPr>
          <w:rFonts w:eastAsia="黑体"/>
          <w:lang w:val="zh-CN"/>
        </w:rPr>
        <w:t>段</w:t>
      </w:r>
      <w:r w:rsidRPr="00307E26">
        <w:rPr>
          <w:rFonts w:eastAsia="黑体"/>
          <w:lang w:val="zh-CN"/>
        </w:rPr>
        <w:t>(</w:t>
      </w:r>
      <w:r w:rsidRPr="00307E26">
        <w:rPr>
          <w:rFonts w:eastAsia="黑体"/>
          <w:lang w:val="zh-CN"/>
        </w:rPr>
        <w:t>紧急状态</w:t>
      </w:r>
      <w:r w:rsidRPr="00307E26">
        <w:rPr>
          <w:rFonts w:eastAsia="黑体"/>
          <w:lang w:val="zh-CN"/>
        </w:rPr>
        <w:t>)</w:t>
      </w:r>
      <w:r w:rsidRPr="00307E26">
        <w:rPr>
          <w:rFonts w:eastAsia="黑体"/>
          <w:lang w:val="zh-CN"/>
        </w:rPr>
        <w:t>、第</w:t>
      </w:r>
      <w:r w:rsidRPr="00307E26">
        <w:rPr>
          <w:rFonts w:eastAsia="黑体"/>
          <w:lang w:val="zh-CN"/>
        </w:rPr>
        <w:t>20</w:t>
      </w:r>
      <w:r w:rsidRPr="00307E26">
        <w:rPr>
          <w:rFonts w:eastAsia="黑体"/>
          <w:lang w:val="zh-CN"/>
        </w:rPr>
        <w:t>段</w:t>
      </w:r>
      <w:r w:rsidRPr="00307E26">
        <w:rPr>
          <w:rFonts w:eastAsia="黑体"/>
          <w:lang w:val="zh-CN"/>
        </w:rPr>
        <w:t>(</w:t>
      </w:r>
      <w:r w:rsidRPr="00307E26">
        <w:rPr>
          <w:rFonts w:eastAsia="黑体"/>
          <w:lang w:val="zh-CN"/>
        </w:rPr>
        <w:t>暴力侵害妇女、儿童和青少年行为</w:t>
      </w:r>
      <w:r w:rsidRPr="00307E26">
        <w:rPr>
          <w:rFonts w:eastAsia="黑体"/>
          <w:lang w:val="zh-CN"/>
        </w:rPr>
        <w:t>)</w:t>
      </w:r>
      <w:r w:rsidRPr="00307E26">
        <w:rPr>
          <w:rFonts w:eastAsia="黑体"/>
          <w:lang w:val="zh-CN"/>
        </w:rPr>
        <w:t>和第</w:t>
      </w:r>
      <w:r w:rsidRPr="00307E26">
        <w:rPr>
          <w:rFonts w:eastAsia="黑体"/>
          <w:lang w:val="zh-CN"/>
        </w:rPr>
        <w:t>38</w:t>
      </w:r>
      <w:r w:rsidRPr="00307E26">
        <w:rPr>
          <w:rFonts w:eastAsia="黑体"/>
          <w:lang w:val="zh-CN"/>
        </w:rPr>
        <w:t>段</w:t>
      </w:r>
      <w:r w:rsidRPr="00307E26">
        <w:rPr>
          <w:rFonts w:eastAsia="黑体"/>
          <w:lang w:val="zh-CN"/>
        </w:rPr>
        <w:t>(</w:t>
      </w:r>
      <w:r w:rsidRPr="00307E26">
        <w:rPr>
          <w:rFonts w:eastAsia="黑体"/>
          <w:lang w:val="zh-CN"/>
        </w:rPr>
        <w:t>司法独立</w:t>
      </w:r>
      <w:r w:rsidRPr="00307E26">
        <w:rPr>
          <w:rFonts w:eastAsia="黑体"/>
          <w:lang w:val="zh-CN"/>
        </w:rPr>
        <w:t>)</w:t>
      </w:r>
      <w:r w:rsidRPr="00307E26">
        <w:rPr>
          <w:rFonts w:eastAsia="黑体"/>
          <w:lang w:val="zh-CN"/>
        </w:rPr>
        <w:t>所提建议的落实情况。</w:t>
      </w:r>
    </w:p>
    <w:p w14:paraId="0305CC79" w14:textId="77777777" w:rsidR="00E3197B" w:rsidRPr="00307E26" w:rsidRDefault="00E3197B" w:rsidP="00E3197B">
      <w:pPr>
        <w:pStyle w:val="SingleTxtGC"/>
        <w:rPr>
          <w:rFonts w:eastAsia="黑体"/>
        </w:rPr>
      </w:pPr>
      <w:r w:rsidRPr="00307E26">
        <w:rPr>
          <w:lang w:val="zh-CN"/>
        </w:rPr>
        <w:t>53.</w:t>
      </w:r>
      <w:r w:rsidRPr="00307E26">
        <w:rPr>
          <w:lang w:val="zh-CN"/>
        </w:rPr>
        <w:tab/>
      </w:r>
      <w:r w:rsidRPr="00307E26">
        <w:rPr>
          <w:rFonts w:eastAsia="黑体"/>
          <w:lang w:val="zh-CN"/>
        </w:rPr>
        <w:t>根据委员会可预测的审议周期，缔约国将在</w:t>
      </w:r>
      <w:r w:rsidRPr="00307E26">
        <w:rPr>
          <w:rFonts w:eastAsia="黑体"/>
          <w:lang w:val="zh-CN"/>
        </w:rPr>
        <w:t>2030</w:t>
      </w:r>
      <w:r w:rsidRPr="00307E26">
        <w:rPr>
          <w:rFonts w:eastAsia="黑体"/>
          <w:lang w:val="zh-CN"/>
        </w:rPr>
        <w:t>年收到委员会的报告前问题清单，并应在一年内提交答复，该答复将构成缔约国的第八次定期报告。委员会还请缔约国在编写报告时广泛征求在该国开展活动的民间社会团体和非政府组织的意见。按照大会第</w:t>
      </w:r>
      <w:r w:rsidRPr="00307E26">
        <w:rPr>
          <w:rFonts w:eastAsia="黑体"/>
          <w:lang w:val="zh-CN"/>
        </w:rPr>
        <w:t>68/268</w:t>
      </w:r>
      <w:r w:rsidRPr="00307E26">
        <w:rPr>
          <w:rFonts w:eastAsia="黑体"/>
          <w:lang w:val="zh-CN"/>
        </w:rPr>
        <w:t>号决议，报告字数应限制在</w:t>
      </w:r>
      <w:r w:rsidRPr="00307E26">
        <w:rPr>
          <w:rFonts w:eastAsia="黑体"/>
          <w:lang w:val="zh-CN"/>
        </w:rPr>
        <w:t>21,200</w:t>
      </w:r>
      <w:r w:rsidRPr="00307E26">
        <w:rPr>
          <w:rFonts w:eastAsia="黑体"/>
          <w:lang w:val="zh-CN"/>
        </w:rPr>
        <w:t>字以内。与缔约国的下一次建设性对话将于</w:t>
      </w:r>
      <w:r w:rsidRPr="00307E26">
        <w:rPr>
          <w:rFonts w:eastAsia="黑体"/>
          <w:lang w:val="zh-CN"/>
        </w:rPr>
        <w:t>2032</w:t>
      </w:r>
      <w:r w:rsidRPr="00307E26">
        <w:rPr>
          <w:rFonts w:eastAsia="黑体"/>
          <w:lang w:val="zh-CN"/>
        </w:rPr>
        <w:t>年在日内瓦举行。</w:t>
      </w:r>
    </w:p>
    <w:p w14:paraId="0771CD42" w14:textId="77777777" w:rsidR="00B84C9B" w:rsidRDefault="00B84C9B" w:rsidP="00E3197B">
      <w:pPr>
        <w:pStyle w:val="SingleTxtGC"/>
      </w:pPr>
    </w:p>
    <w:p w14:paraId="6A5AB181" w14:textId="77777777" w:rsidR="00E3197B" w:rsidRPr="002D6A9C" w:rsidRDefault="00E3197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C7ECD32" w14:textId="3BC40759" w:rsidR="00E3197B" w:rsidRPr="00E3197B" w:rsidRDefault="00E3197B" w:rsidP="00E3197B">
      <w:pPr>
        <w:pStyle w:val="SingleTxtGC"/>
      </w:pPr>
    </w:p>
    <w:sectPr w:rsidR="00E3197B" w:rsidRPr="00E3197B"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6E2EA" w14:textId="77777777" w:rsidR="00254BA5" w:rsidRPr="000D319F" w:rsidRDefault="00254BA5" w:rsidP="000D319F">
      <w:pPr>
        <w:pStyle w:val="af0"/>
        <w:spacing w:after="240"/>
        <w:ind w:left="907"/>
        <w:rPr>
          <w:rFonts w:asciiTheme="majorBidi" w:eastAsia="宋体" w:hAnsiTheme="majorBidi" w:cstheme="majorBidi"/>
          <w:sz w:val="21"/>
          <w:szCs w:val="21"/>
          <w:lang w:val="en-US"/>
        </w:rPr>
      </w:pPr>
    </w:p>
    <w:p w14:paraId="4EDC066B" w14:textId="77777777" w:rsidR="00254BA5" w:rsidRPr="000D319F" w:rsidRDefault="00254BA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6D63FF6" w14:textId="77777777" w:rsidR="00254BA5" w:rsidRPr="000D319F" w:rsidRDefault="00254BA5" w:rsidP="000D319F">
      <w:pPr>
        <w:pStyle w:val="af0"/>
      </w:pPr>
    </w:p>
  </w:endnote>
  <w:endnote w:type="continuationNotice" w:id="1">
    <w:p w14:paraId="72B93D9B" w14:textId="77777777" w:rsidR="00254BA5" w:rsidRDefault="00254B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A6757" w14:textId="77777777" w:rsidR="00117CCB" w:rsidRPr="00B84C9B" w:rsidRDefault="00B84C9B" w:rsidP="00B84C9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84C9B">
      <w:rPr>
        <w:rStyle w:val="af2"/>
        <w:b w:val="0"/>
        <w:snapToGrid w:val="0"/>
        <w:sz w:val="16"/>
      </w:rPr>
      <w:t>GE.24-21080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D565" w14:textId="77777777" w:rsidR="00117CCB" w:rsidRPr="00B84C9B" w:rsidRDefault="00B84C9B" w:rsidP="00B84C9B">
    <w:pPr>
      <w:pStyle w:val="af0"/>
      <w:tabs>
        <w:tab w:val="clear" w:pos="431"/>
        <w:tab w:val="right" w:pos="9638"/>
      </w:tabs>
      <w:rPr>
        <w:rStyle w:val="af2"/>
      </w:rPr>
    </w:pPr>
    <w:r>
      <w:t>GE.24-21080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9EDC8" w14:textId="53E192AE" w:rsidR="00117CCB" w:rsidRPr="00487939" w:rsidRDefault="00B84C9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B3848B" wp14:editId="4DF0A495">
          <wp:simplePos x="0" y="0"/>
          <wp:positionH relativeFrom="column">
            <wp:align>right</wp:align>
          </wp:positionH>
          <wp:positionV relativeFrom="paragraph">
            <wp:posOffset>-69850</wp:posOffset>
          </wp:positionV>
          <wp:extent cx="571500" cy="571500"/>
          <wp:effectExtent l="0" t="0" r="0" b="0"/>
          <wp:wrapNone/>
          <wp:docPr id="19518789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GE.24-21080</w:t>
    </w:r>
    <w:r w:rsidR="00731A42" w:rsidRPr="00EE277A">
      <w:rPr>
        <w:sz w:val="20"/>
        <w:lang w:eastAsia="zh-CN"/>
      </w:rPr>
      <w:t xml:space="preserve"> (C)</w:t>
    </w:r>
    <w:r w:rsidR="00EA7E67">
      <w:rPr>
        <w:sz w:val="20"/>
        <w:lang w:eastAsia="zh-CN"/>
      </w:rPr>
      <w:tab/>
    </w:r>
    <w:r>
      <w:rPr>
        <w:sz w:val="20"/>
        <w:lang w:eastAsia="zh-CN"/>
      </w:rPr>
      <w:t>0703</w:t>
    </w:r>
    <w:r w:rsidR="00A43337">
      <w:rPr>
        <w:sz w:val="20"/>
        <w:lang w:eastAsia="zh-CN"/>
      </w:rPr>
      <w:t>25</w:t>
    </w:r>
    <w:r w:rsidR="00731A42">
      <w:rPr>
        <w:sz w:val="20"/>
        <w:lang w:eastAsia="zh-CN"/>
      </w:rPr>
      <w:tab/>
    </w:r>
    <w:r>
      <w:rPr>
        <w:sz w:val="20"/>
        <w:lang w:eastAsia="zh-CN"/>
      </w:rPr>
      <w:t>1203</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23E6CB09" wp14:editId="6807E91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579B1" w14:textId="77777777" w:rsidR="00254BA5" w:rsidRPr="000157B1" w:rsidRDefault="00254B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8172A42" w14:textId="77777777" w:rsidR="00254BA5" w:rsidRPr="000157B1" w:rsidRDefault="00254BA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FB12404" w14:textId="77777777" w:rsidR="00254BA5" w:rsidRDefault="00254BA5"/>
  </w:footnote>
  <w:footnote w:id="2">
    <w:p w14:paraId="46B97AC9" w14:textId="6F5B18E7" w:rsidR="00E3197B" w:rsidRPr="0047534B" w:rsidRDefault="00E3197B" w:rsidP="00E3197B">
      <w:pPr>
        <w:pStyle w:val="a6"/>
        <w:rPr>
          <w:sz w:val="20"/>
        </w:rPr>
      </w:pPr>
      <w:r>
        <w:rPr>
          <w:lang w:val="zh-CN"/>
        </w:rPr>
        <w:tab/>
      </w:r>
      <w:r w:rsidRPr="008F1D32">
        <w:rPr>
          <w:rStyle w:val="a8"/>
          <w:rFonts w:eastAsia="宋体"/>
          <w:vertAlign w:val="baseline"/>
        </w:rPr>
        <w:t>*</w:t>
      </w:r>
      <w:r w:rsidR="008F1D32">
        <w:tab/>
      </w:r>
      <w:r>
        <w:rPr>
          <w:lang w:val="zh-CN"/>
        </w:rPr>
        <w:t>委员会第一四二届会议</w:t>
      </w:r>
      <w:r>
        <w:rPr>
          <w:lang w:val="zh-CN"/>
        </w:rPr>
        <w:t>(2024</w:t>
      </w:r>
      <w:r>
        <w:rPr>
          <w:lang w:val="zh-CN"/>
        </w:rPr>
        <w:t>年</w:t>
      </w:r>
      <w:r>
        <w:rPr>
          <w:lang w:val="zh-CN"/>
        </w:rPr>
        <w:t>10</w:t>
      </w:r>
      <w:r>
        <w:rPr>
          <w:lang w:val="zh-CN"/>
        </w:rPr>
        <w:t>月</w:t>
      </w:r>
      <w:r>
        <w:rPr>
          <w:lang w:val="zh-CN"/>
        </w:rPr>
        <w:t>14</w:t>
      </w:r>
      <w:r>
        <w:rPr>
          <w:lang w:val="zh-CN"/>
        </w:rPr>
        <w:t>日至</w:t>
      </w:r>
      <w:r>
        <w:rPr>
          <w:lang w:val="zh-CN"/>
        </w:rPr>
        <w:t>11</w:t>
      </w:r>
      <w:r>
        <w:rPr>
          <w:lang w:val="zh-CN"/>
        </w:rPr>
        <w:t>月</w:t>
      </w:r>
      <w:r>
        <w:rPr>
          <w:lang w:val="zh-CN"/>
        </w:rPr>
        <w:t>7</w:t>
      </w:r>
      <w:r>
        <w:rPr>
          <w:lang w:val="zh-CN"/>
        </w:rPr>
        <w:t>日</w:t>
      </w:r>
      <w:r>
        <w:rPr>
          <w:lang w:val="zh-CN"/>
        </w:rPr>
        <w:t>)</w:t>
      </w:r>
      <w:r>
        <w:rPr>
          <w:lang w:val="zh-CN"/>
        </w:rPr>
        <w:t>通过。</w:t>
      </w:r>
    </w:p>
  </w:footnote>
  <w:footnote w:id="3">
    <w:p w14:paraId="54A839C6" w14:textId="03B90F5C" w:rsidR="00E3197B" w:rsidRPr="0055010B" w:rsidRDefault="00E3197B" w:rsidP="00E3197B">
      <w:pPr>
        <w:pStyle w:val="a6"/>
      </w:pPr>
      <w:r>
        <w:rPr>
          <w:lang w:val="zh-CN"/>
        </w:rPr>
        <w:tab/>
      </w:r>
      <w:r w:rsidRPr="00307E26">
        <w:rPr>
          <w:rStyle w:val="a8"/>
          <w:rFonts w:eastAsia="宋体"/>
        </w:rPr>
        <w:footnoteRef/>
      </w:r>
      <w:r>
        <w:rPr>
          <w:lang w:val="zh-CN"/>
        </w:rPr>
        <w:tab/>
      </w:r>
      <w:r w:rsidRPr="00617BBD">
        <w:rPr>
          <w:lang w:val="zh-CN"/>
        </w:rPr>
        <w:t>CCPR/C/ECU/7</w:t>
      </w:r>
      <w:r>
        <w:rPr>
          <w:lang w:val="zh-CN"/>
        </w:rPr>
        <w:t>.</w:t>
      </w:r>
    </w:p>
  </w:footnote>
  <w:footnote w:id="4">
    <w:p w14:paraId="54BD4914" w14:textId="31BA73A4" w:rsidR="00E3197B" w:rsidRPr="0047534B" w:rsidRDefault="00E3197B" w:rsidP="00E3197B">
      <w:pPr>
        <w:pStyle w:val="a6"/>
      </w:pPr>
      <w:r>
        <w:rPr>
          <w:lang w:val="zh-CN"/>
        </w:rPr>
        <w:tab/>
      </w:r>
      <w:r w:rsidRPr="00307E26">
        <w:rPr>
          <w:rStyle w:val="a8"/>
          <w:rFonts w:eastAsia="宋体"/>
        </w:rPr>
        <w:footnoteRef/>
      </w:r>
      <w:r>
        <w:rPr>
          <w:lang w:val="zh-CN"/>
        </w:rPr>
        <w:tab/>
      </w:r>
      <w:r>
        <w:rPr>
          <w:lang w:val="zh-CN"/>
        </w:rPr>
        <w:t>见</w:t>
      </w:r>
      <w:r w:rsidRPr="00617BBD">
        <w:rPr>
          <w:lang w:val="zh-CN"/>
        </w:rPr>
        <w:t>CCPR/C/SR.4168</w:t>
      </w:r>
      <w:r>
        <w:rPr>
          <w:lang w:val="zh-CN"/>
        </w:rPr>
        <w:t>和</w:t>
      </w:r>
      <w:r w:rsidRPr="00617BBD">
        <w:rPr>
          <w:lang w:val="zh-CN"/>
        </w:rPr>
        <w:t>CCPR/C/SR.4170</w:t>
      </w:r>
      <w:r>
        <w:rPr>
          <w:lang w:val="zh-CN"/>
        </w:rPr>
        <w:t>。</w:t>
      </w:r>
    </w:p>
  </w:footnote>
  <w:footnote w:id="5">
    <w:p w14:paraId="7CA97089" w14:textId="55AC2E59" w:rsidR="00E3197B" w:rsidRPr="002763EC" w:rsidRDefault="00E3197B" w:rsidP="00E3197B">
      <w:pPr>
        <w:pStyle w:val="a6"/>
      </w:pPr>
      <w:r>
        <w:rPr>
          <w:lang w:val="zh-CN"/>
        </w:rPr>
        <w:tab/>
      </w:r>
      <w:r w:rsidRPr="00307E26">
        <w:rPr>
          <w:rStyle w:val="a8"/>
          <w:rFonts w:eastAsia="宋体"/>
        </w:rPr>
        <w:footnoteRef/>
      </w:r>
      <w:r>
        <w:rPr>
          <w:lang w:val="zh-CN"/>
        </w:rPr>
        <w:tab/>
      </w:r>
      <w:r w:rsidRPr="00617BBD">
        <w:rPr>
          <w:lang w:val="zh-CN"/>
        </w:rPr>
        <w:t>CCPR/C/ECU/QPR/7</w:t>
      </w:r>
      <w:r>
        <w:rPr>
          <w:lang w:val="zh-CN"/>
        </w:rPr>
        <w:t>.</w:t>
      </w:r>
    </w:p>
  </w:footnote>
  <w:footnote w:id="6">
    <w:p w14:paraId="0B4F23AB" w14:textId="3B3127E4" w:rsidR="00E3197B" w:rsidRPr="002763EC" w:rsidRDefault="00E3197B" w:rsidP="00E3197B">
      <w:pPr>
        <w:pStyle w:val="a6"/>
      </w:pPr>
      <w:r w:rsidRPr="002763EC">
        <w:rPr>
          <w:lang w:val="zh-CN"/>
        </w:rPr>
        <w:tab/>
      </w:r>
      <w:r w:rsidRPr="00307E26">
        <w:rPr>
          <w:rStyle w:val="a8"/>
          <w:rFonts w:eastAsia="宋体"/>
        </w:rPr>
        <w:footnoteRef/>
      </w:r>
      <w:r w:rsidRPr="00EA3C44">
        <w:tab/>
      </w:r>
      <w:hyperlink r:id="rId1" w:history="1">
        <w:r w:rsidRPr="00EA3C44">
          <w:rPr>
            <w:rStyle w:val="af6"/>
          </w:rPr>
          <w:t>CCPR/C/ECU/CO/6</w:t>
        </w:r>
      </w:hyperlink>
      <w:r w:rsidRPr="00EA3C44">
        <w:t>,</w:t>
      </w:r>
      <w:r w:rsidR="00EA3C44" w:rsidRPr="00EA3C44">
        <w:rPr>
          <w:rFonts w:hint="eastAsia"/>
        </w:rPr>
        <w:t xml:space="preserve"> </w:t>
      </w:r>
      <w:r>
        <w:rPr>
          <w:lang w:val="zh-CN"/>
        </w:rPr>
        <w:t>第</w:t>
      </w:r>
      <w:r w:rsidRPr="00EA3C44">
        <w:t>12</w:t>
      </w:r>
      <w:r>
        <w:rPr>
          <w:lang w:val="zh-CN"/>
        </w:rPr>
        <w:t>段。</w:t>
      </w:r>
    </w:p>
  </w:footnote>
  <w:footnote w:id="7">
    <w:p w14:paraId="7618202C" w14:textId="4D015906" w:rsidR="00E3197B" w:rsidRPr="00307E26" w:rsidRDefault="00E3197B" w:rsidP="00E3197B">
      <w:pPr>
        <w:pStyle w:val="a6"/>
        <w:rPr>
          <w:lang w:val="es-ES"/>
        </w:rPr>
      </w:pPr>
      <w:r w:rsidRPr="00EA3C44">
        <w:tab/>
      </w:r>
      <w:r w:rsidRPr="00307E26">
        <w:rPr>
          <w:rStyle w:val="a8"/>
          <w:rFonts w:eastAsia="宋体"/>
        </w:rPr>
        <w:footnoteRef/>
      </w:r>
      <w:r w:rsidRPr="00307E26">
        <w:rPr>
          <w:lang w:val="es-ES"/>
        </w:rPr>
        <w:tab/>
      </w:r>
      <w:r w:rsidRPr="00617BBD">
        <w:rPr>
          <w:lang w:val="es-ES"/>
        </w:rPr>
        <w:t>CCPR/C/ECU/7</w:t>
      </w:r>
      <w:r w:rsidRPr="00307E26">
        <w:rPr>
          <w:lang w:val="es-ES"/>
        </w:rPr>
        <w:t>,</w:t>
      </w:r>
      <w:r w:rsidR="00EA3C44">
        <w:rPr>
          <w:rFonts w:hint="eastAsia"/>
          <w:lang w:val="es-ES"/>
        </w:rPr>
        <w:t xml:space="preserve"> </w:t>
      </w:r>
      <w:r>
        <w:rPr>
          <w:lang w:val="zh-CN"/>
        </w:rPr>
        <w:t>第</w:t>
      </w:r>
      <w:r w:rsidRPr="00307E26">
        <w:rPr>
          <w:lang w:val="es-ES"/>
        </w:rPr>
        <w:t>32</w:t>
      </w:r>
      <w:r>
        <w:rPr>
          <w:lang w:val="zh-CN"/>
        </w:rPr>
        <w:t>段。</w:t>
      </w:r>
    </w:p>
  </w:footnote>
  <w:footnote w:id="8">
    <w:p w14:paraId="16973C03" w14:textId="6B485291" w:rsidR="00E3197B" w:rsidRPr="00307E26" w:rsidRDefault="00E3197B" w:rsidP="00E3197B">
      <w:pPr>
        <w:pStyle w:val="a6"/>
        <w:rPr>
          <w:lang w:val="es-ES"/>
        </w:rPr>
      </w:pPr>
      <w:r w:rsidRPr="00307E26">
        <w:rPr>
          <w:lang w:val="es-ES"/>
        </w:rPr>
        <w:tab/>
      </w:r>
      <w:r w:rsidRPr="00307E26">
        <w:rPr>
          <w:rStyle w:val="a8"/>
          <w:rFonts w:eastAsia="宋体"/>
        </w:rPr>
        <w:footnoteRef/>
      </w:r>
      <w:r w:rsidRPr="00307E26">
        <w:rPr>
          <w:lang w:val="es-ES"/>
        </w:rPr>
        <w:tab/>
      </w:r>
      <w:hyperlink r:id="rId2" w:history="1">
        <w:r w:rsidRPr="00A8180A">
          <w:rPr>
            <w:rStyle w:val="af6"/>
            <w:lang w:val="es-ES"/>
          </w:rPr>
          <w:t>CEDAW/C/ECU/CO/10</w:t>
        </w:r>
      </w:hyperlink>
      <w:r w:rsidRPr="00307E26">
        <w:rPr>
          <w:lang w:val="es-ES"/>
        </w:rPr>
        <w:t>,</w:t>
      </w:r>
      <w:r w:rsidR="008C393F">
        <w:rPr>
          <w:rFonts w:hint="eastAsia"/>
          <w:lang w:val="es-ES"/>
        </w:rPr>
        <w:t xml:space="preserve"> </w:t>
      </w:r>
      <w:r>
        <w:rPr>
          <w:lang w:val="zh-CN"/>
        </w:rPr>
        <w:t>第</w:t>
      </w:r>
      <w:r w:rsidRPr="00307E26">
        <w:rPr>
          <w:lang w:val="es-ES"/>
        </w:rPr>
        <w:t>17</w:t>
      </w:r>
      <w:r>
        <w:rPr>
          <w:lang w:val="zh-CN"/>
        </w:rPr>
        <w:t>、第</w:t>
      </w:r>
      <w:r w:rsidRPr="00307E26">
        <w:rPr>
          <w:lang w:val="es-ES"/>
        </w:rPr>
        <w:t>18</w:t>
      </w:r>
      <w:r>
        <w:rPr>
          <w:lang w:val="zh-CN"/>
        </w:rPr>
        <w:t>、第</w:t>
      </w:r>
      <w:r w:rsidRPr="00307E26">
        <w:rPr>
          <w:lang w:val="es-ES"/>
        </w:rPr>
        <w:t>25</w:t>
      </w:r>
      <w:r>
        <w:rPr>
          <w:lang w:val="zh-CN"/>
        </w:rPr>
        <w:t>和第</w:t>
      </w:r>
      <w:r w:rsidRPr="00307E26">
        <w:rPr>
          <w:lang w:val="es-ES"/>
        </w:rPr>
        <w:t>26</w:t>
      </w:r>
      <w:r>
        <w:rPr>
          <w:lang w:val="zh-CN"/>
        </w:rPr>
        <w:t>段。</w:t>
      </w:r>
    </w:p>
  </w:footnote>
  <w:footnote w:id="9">
    <w:p w14:paraId="42E5F4AA" w14:textId="36F3DB54" w:rsidR="00E3197B" w:rsidRPr="00307E26" w:rsidRDefault="00E3197B" w:rsidP="00E3197B">
      <w:pPr>
        <w:pStyle w:val="a6"/>
        <w:rPr>
          <w:lang w:val="es-ES"/>
        </w:rPr>
      </w:pPr>
      <w:r w:rsidRPr="00307E26">
        <w:rPr>
          <w:lang w:val="es-ES"/>
        </w:rPr>
        <w:tab/>
      </w:r>
      <w:r w:rsidRPr="00307E26">
        <w:rPr>
          <w:rStyle w:val="a8"/>
          <w:rFonts w:eastAsia="宋体"/>
        </w:rPr>
        <w:footnoteRef/>
      </w:r>
      <w:r w:rsidRPr="00307E26">
        <w:rPr>
          <w:lang w:val="es-ES"/>
        </w:rPr>
        <w:tab/>
      </w:r>
      <w:r w:rsidRPr="00617BBD">
        <w:rPr>
          <w:lang w:val="es-ES"/>
        </w:rPr>
        <w:t>CCPR/C/ECU/7</w:t>
      </w:r>
      <w:r w:rsidRPr="00307E26">
        <w:rPr>
          <w:lang w:val="es-ES"/>
        </w:rPr>
        <w:t>,</w:t>
      </w:r>
      <w:r w:rsidR="008C393F">
        <w:rPr>
          <w:rFonts w:hint="eastAsia"/>
          <w:lang w:val="es-ES"/>
        </w:rPr>
        <w:t xml:space="preserve"> </w:t>
      </w:r>
      <w:r>
        <w:rPr>
          <w:lang w:val="zh-CN"/>
        </w:rPr>
        <w:t>第</w:t>
      </w:r>
      <w:r w:rsidRPr="00307E26">
        <w:rPr>
          <w:lang w:val="es-ES"/>
        </w:rPr>
        <w:t>35-37</w:t>
      </w:r>
      <w:r>
        <w:rPr>
          <w:lang w:val="zh-CN"/>
        </w:rPr>
        <w:t>段。</w:t>
      </w:r>
    </w:p>
  </w:footnote>
  <w:footnote w:id="10">
    <w:p w14:paraId="0AE7F2BB" w14:textId="6960F881" w:rsidR="00E3197B" w:rsidRPr="005204D2" w:rsidRDefault="00E3197B" w:rsidP="00E3197B">
      <w:pPr>
        <w:pStyle w:val="a6"/>
      </w:pPr>
      <w:r w:rsidRPr="00307E26">
        <w:rPr>
          <w:lang w:val="es-ES"/>
        </w:rPr>
        <w:tab/>
      </w:r>
      <w:r w:rsidRPr="00307E26">
        <w:rPr>
          <w:rStyle w:val="a8"/>
          <w:rFonts w:eastAsia="宋体"/>
        </w:rPr>
        <w:footnoteRef/>
      </w:r>
      <w:r w:rsidRPr="00057451">
        <w:tab/>
      </w:r>
      <w:hyperlink r:id="rId3" w:history="1">
        <w:r w:rsidRPr="00A8180A">
          <w:rPr>
            <w:rStyle w:val="af6"/>
          </w:rPr>
          <w:t>CAT/C/ECU/CO/8</w:t>
        </w:r>
      </w:hyperlink>
      <w:r>
        <w:t>,</w:t>
      </w:r>
      <w:r w:rsidR="000B21AF">
        <w:rPr>
          <w:rFonts w:hint="eastAsia"/>
        </w:rPr>
        <w:t xml:space="preserve"> </w:t>
      </w:r>
      <w:r>
        <w:rPr>
          <w:lang w:val="zh-CN"/>
        </w:rPr>
        <w:t>第</w:t>
      </w:r>
      <w:r>
        <w:t>17</w:t>
      </w:r>
      <w:r>
        <w:rPr>
          <w:lang w:val="zh-CN"/>
        </w:rPr>
        <w:t>和第</w:t>
      </w:r>
      <w:r>
        <w:t>18</w:t>
      </w:r>
      <w:r>
        <w:rPr>
          <w:lang w:val="zh-CN"/>
        </w:rPr>
        <w:t>段。</w:t>
      </w:r>
    </w:p>
  </w:footnote>
  <w:footnote w:id="11">
    <w:p w14:paraId="7F57A2A8" w14:textId="1FE69756" w:rsidR="00E3197B" w:rsidRPr="00307E26" w:rsidRDefault="00E3197B" w:rsidP="00E3197B">
      <w:pPr>
        <w:pStyle w:val="a6"/>
        <w:rPr>
          <w:lang w:val="es-ES"/>
        </w:rPr>
      </w:pPr>
      <w:r w:rsidRPr="00057451">
        <w:tab/>
      </w:r>
      <w:r w:rsidRPr="00307E26">
        <w:rPr>
          <w:rStyle w:val="a8"/>
          <w:rFonts w:eastAsia="宋体"/>
        </w:rPr>
        <w:footnoteRef/>
      </w:r>
      <w:r w:rsidRPr="00307E26">
        <w:rPr>
          <w:lang w:val="es-ES"/>
        </w:rPr>
        <w:tab/>
      </w:r>
      <w:r w:rsidRPr="00617BBD">
        <w:rPr>
          <w:lang w:val="es-ES"/>
        </w:rPr>
        <w:t>CCPR/C/ECU/7</w:t>
      </w:r>
      <w:r w:rsidRPr="00307E26">
        <w:rPr>
          <w:lang w:val="es-ES"/>
        </w:rPr>
        <w:t>,</w:t>
      </w:r>
      <w:r w:rsidR="00165C1E">
        <w:rPr>
          <w:rFonts w:hint="eastAsia"/>
          <w:lang w:val="es-ES"/>
        </w:rPr>
        <w:t xml:space="preserve"> </w:t>
      </w:r>
      <w:r>
        <w:rPr>
          <w:lang w:val="zh-CN"/>
        </w:rPr>
        <w:t>第</w:t>
      </w:r>
      <w:r w:rsidRPr="00307E26">
        <w:rPr>
          <w:lang w:val="es-ES"/>
        </w:rPr>
        <w:t>67</w:t>
      </w:r>
      <w:r>
        <w:rPr>
          <w:lang w:val="zh-CN"/>
        </w:rPr>
        <w:t>段。</w:t>
      </w:r>
    </w:p>
  </w:footnote>
  <w:footnote w:id="12">
    <w:p w14:paraId="6008061C" w14:textId="3C45B36C" w:rsidR="00E3197B" w:rsidRPr="0047534B" w:rsidRDefault="00E3197B" w:rsidP="0027552F">
      <w:pPr>
        <w:pStyle w:val="a6"/>
        <w:wordWrap w:val="0"/>
      </w:pPr>
      <w:r w:rsidRPr="00307E26">
        <w:rPr>
          <w:lang w:val="es-ES"/>
        </w:rPr>
        <w:tab/>
      </w:r>
      <w:r w:rsidRPr="00307E26">
        <w:rPr>
          <w:rStyle w:val="a8"/>
          <w:rFonts w:eastAsia="宋体"/>
        </w:rPr>
        <w:footnoteRef/>
      </w:r>
      <w:r w:rsidRPr="00307E26">
        <w:rPr>
          <w:lang w:val="es-ES"/>
        </w:rPr>
        <w:tab/>
      </w:r>
      <w:r>
        <w:rPr>
          <w:lang w:val="zh-CN"/>
        </w:rPr>
        <w:t>见</w:t>
      </w:r>
      <w:hyperlink r:id="rId4" w:history="1">
        <w:r w:rsidR="00F9406D" w:rsidRPr="009A7A91">
          <w:rPr>
            <w:rStyle w:val="af6"/>
            <w:lang w:val="es-ES"/>
          </w:rPr>
          <w:t>https://www.ohchr.org/es/press-releases/2022/10/ecuador-un-torture-prevention-body-remains-seriously-concerned-prison-crisis</w:t>
        </w:r>
      </w:hyperlink>
      <w:r w:rsidR="00165C1E" w:rsidRPr="00F9406D">
        <w:rPr>
          <w:lang w:val="es-ES"/>
        </w:rPr>
        <w:t>;</w:t>
      </w:r>
      <w:r w:rsidR="00F9406D">
        <w:rPr>
          <w:rFonts w:hint="eastAsia"/>
          <w:lang w:val="es-ES"/>
        </w:rPr>
        <w:t xml:space="preserve"> </w:t>
      </w:r>
      <w:hyperlink r:id="rId5" w:history="1">
        <w:r w:rsidR="00F9406D" w:rsidRPr="009A7A91">
          <w:rPr>
            <w:rStyle w:val="af6"/>
            <w:lang w:val="es-ES"/>
          </w:rPr>
          <w:t>https://www.ohchr.org/es/press-briefing-notes/2022/05/ecuador-prison-violence</w:t>
        </w:r>
      </w:hyperlink>
      <w:r w:rsidRPr="00307E26">
        <w:rPr>
          <w:lang w:val="es-ES"/>
        </w:rPr>
        <w:t>;</w:t>
      </w:r>
      <w:r w:rsidR="00F9406D">
        <w:rPr>
          <w:rFonts w:hint="eastAsia"/>
          <w:lang w:val="es-ES"/>
        </w:rPr>
        <w:t xml:space="preserve"> </w:t>
      </w:r>
      <w:r>
        <w:rPr>
          <w:lang w:val="zh-CN"/>
        </w:rPr>
        <w:t>以及</w:t>
      </w:r>
      <w:hyperlink r:id="rId6" w:history="1">
        <w:r w:rsidR="00165C1E" w:rsidRPr="009A7A91">
          <w:rPr>
            <w:rStyle w:val="af6"/>
            <w:lang w:val="es-ES"/>
          </w:rPr>
          <w:t>https://www.ohchr.org/en/press-briefing-notes/2022/02/press-briefing-notes-ecuador</w:t>
        </w:r>
      </w:hyperlink>
      <w:r>
        <w:rPr>
          <w:lang w:val="zh-CN"/>
        </w:rPr>
        <w:t>和</w:t>
      </w:r>
      <w:hyperlink r:id="rId7" w:history="1">
        <w:r w:rsidR="00165C1E" w:rsidRPr="009A7A91">
          <w:rPr>
            <w:rStyle w:val="af6"/>
            <w:lang w:val="es-ES"/>
          </w:rPr>
          <w:t>https://www.ohchr.org/es/press-releases/2023/07/ecuador-un-human-rights-chief-concerned-spike-violence-and-backward-step</w:t>
        </w:r>
      </w:hyperlink>
      <w:r>
        <w:rPr>
          <w:lang w:val="zh-CN"/>
        </w:rPr>
        <w:t>。另见</w:t>
      </w:r>
      <w:r>
        <w:rPr>
          <w:lang w:val="zh-CN"/>
        </w:rPr>
        <w:t>ECU 5/2022</w:t>
      </w:r>
      <w:r>
        <w:rPr>
          <w:lang w:val="zh-CN"/>
        </w:rPr>
        <w:t>号和</w:t>
      </w:r>
      <w:r>
        <w:rPr>
          <w:lang w:val="zh-CN"/>
        </w:rPr>
        <w:t>ECU 4/2023</w:t>
      </w:r>
      <w:r>
        <w:rPr>
          <w:lang w:val="zh-CN"/>
        </w:rPr>
        <w:t>号来文。本报告提及的所有来文均可查阅</w:t>
      </w:r>
      <w:hyperlink r:id="rId8" w:history="1">
        <w:r w:rsidR="00165C1E" w:rsidRPr="009A7A91">
          <w:rPr>
            <w:rStyle w:val="af6"/>
            <w:lang w:val="zh-CN"/>
          </w:rPr>
          <w:t>https://spcommreports.ohchr.org/Tmsearch/TMDocuments</w:t>
        </w:r>
      </w:hyperlink>
      <w:r>
        <w:rPr>
          <w:lang w:val="zh-CN"/>
        </w:rPr>
        <w:t>。</w:t>
      </w:r>
    </w:p>
  </w:footnote>
  <w:footnote w:id="13">
    <w:p w14:paraId="2EDF3C69" w14:textId="73517088" w:rsidR="00E3197B" w:rsidRPr="0047534B" w:rsidRDefault="00E3197B" w:rsidP="00E3197B">
      <w:pPr>
        <w:pStyle w:val="a6"/>
      </w:pPr>
      <w:r w:rsidRPr="005204D2">
        <w:rPr>
          <w:lang w:val="zh-CN"/>
        </w:rPr>
        <w:tab/>
      </w:r>
      <w:r w:rsidRPr="00307E26">
        <w:rPr>
          <w:rStyle w:val="a8"/>
          <w:rFonts w:eastAsia="宋体"/>
        </w:rPr>
        <w:footnoteRef/>
      </w:r>
      <w:r w:rsidRPr="00057451">
        <w:tab/>
      </w:r>
      <w:hyperlink r:id="rId9" w:history="1">
        <w:r w:rsidRPr="00A8180A">
          <w:rPr>
            <w:rStyle w:val="af6"/>
          </w:rPr>
          <w:t>CAT/C/ECU/CO/8</w:t>
        </w:r>
      </w:hyperlink>
      <w:r>
        <w:t>,</w:t>
      </w:r>
      <w:r w:rsidR="0049241C">
        <w:rPr>
          <w:rFonts w:hint="eastAsia"/>
        </w:rPr>
        <w:t xml:space="preserve"> </w:t>
      </w:r>
      <w:r>
        <w:rPr>
          <w:lang w:val="zh-CN"/>
        </w:rPr>
        <w:t>第</w:t>
      </w:r>
      <w:r>
        <w:t>15</w:t>
      </w:r>
      <w:r>
        <w:rPr>
          <w:lang w:val="zh-CN"/>
        </w:rPr>
        <w:t>和第</w:t>
      </w:r>
      <w:r>
        <w:t>16</w:t>
      </w:r>
      <w:r>
        <w:rPr>
          <w:lang w:val="zh-CN"/>
        </w:rPr>
        <w:t>段。</w:t>
      </w:r>
    </w:p>
  </w:footnote>
  <w:footnote w:id="14">
    <w:p w14:paraId="451D52A0" w14:textId="77777777" w:rsidR="00E3197B" w:rsidRPr="0047534B" w:rsidRDefault="00E3197B" w:rsidP="00E3197B">
      <w:pPr>
        <w:pStyle w:val="a6"/>
      </w:pPr>
      <w:r w:rsidRPr="00057451">
        <w:tab/>
      </w:r>
      <w:r w:rsidRPr="00307E26">
        <w:rPr>
          <w:rStyle w:val="a8"/>
          <w:rFonts w:eastAsia="宋体"/>
        </w:rPr>
        <w:footnoteRef/>
      </w:r>
      <w:r>
        <w:rPr>
          <w:lang w:val="zh-CN"/>
        </w:rPr>
        <w:tab/>
      </w:r>
      <w:r>
        <w:rPr>
          <w:lang w:val="zh-CN"/>
        </w:rPr>
        <w:t>见</w:t>
      </w:r>
      <w:r>
        <w:rPr>
          <w:lang w:val="zh-CN"/>
        </w:rPr>
        <w:t xml:space="preserve">ECU </w:t>
      </w:r>
      <w:r>
        <w:rPr>
          <w:lang w:val="zh-CN"/>
        </w:rPr>
        <w:t>1/2020</w:t>
      </w:r>
      <w:r>
        <w:rPr>
          <w:lang w:val="zh-CN"/>
        </w:rPr>
        <w:t>号和</w:t>
      </w:r>
      <w:r>
        <w:rPr>
          <w:lang w:val="zh-CN"/>
        </w:rPr>
        <w:t>ECU 2/2021</w:t>
      </w:r>
      <w:r>
        <w:rPr>
          <w:lang w:val="zh-CN"/>
        </w:rPr>
        <w:t>号来文。</w:t>
      </w:r>
    </w:p>
  </w:footnote>
  <w:footnote w:id="15">
    <w:p w14:paraId="10F78CBC" w14:textId="77777777" w:rsidR="00E3197B" w:rsidRPr="0047534B" w:rsidRDefault="00E3197B" w:rsidP="00E3197B">
      <w:pPr>
        <w:pStyle w:val="a6"/>
      </w:pPr>
      <w:r>
        <w:rPr>
          <w:lang w:val="zh-CN"/>
        </w:rPr>
        <w:tab/>
      </w:r>
      <w:r w:rsidRPr="00307E26">
        <w:rPr>
          <w:rStyle w:val="a8"/>
          <w:rFonts w:eastAsia="宋体"/>
        </w:rPr>
        <w:footnoteRef/>
      </w:r>
      <w:r>
        <w:rPr>
          <w:lang w:val="zh-CN"/>
        </w:rPr>
        <w:tab/>
      </w:r>
      <w:r>
        <w:rPr>
          <w:lang w:val="zh-CN"/>
        </w:rPr>
        <w:t>见</w:t>
      </w:r>
      <w:r>
        <w:rPr>
          <w:lang w:val="zh-CN"/>
        </w:rPr>
        <w:t>ECU 3/2023</w:t>
      </w:r>
      <w:r>
        <w:rPr>
          <w:lang w:val="zh-CN"/>
        </w:rPr>
        <w:t>号、</w:t>
      </w:r>
      <w:r>
        <w:rPr>
          <w:lang w:val="zh-CN"/>
        </w:rPr>
        <w:t>ECU 5/2023</w:t>
      </w:r>
      <w:r>
        <w:rPr>
          <w:lang w:val="zh-CN"/>
        </w:rPr>
        <w:t>号、</w:t>
      </w:r>
      <w:r>
        <w:rPr>
          <w:lang w:val="zh-CN"/>
        </w:rPr>
        <w:t>ECU 6/2023</w:t>
      </w:r>
      <w:r>
        <w:rPr>
          <w:lang w:val="zh-CN"/>
        </w:rPr>
        <w:t>号和</w:t>
      </w:r>
      <w:r>
        <w:rPr>
          <w:lang w:val="zh-CN"/>
        </w:rPr>
        <w:t>ECU 3/2024</w:t>
      </w:r>
      <w:r>
        <w:rPr>
          <w:lang w:val="zh-CN"/>
        </w:rPr>
        <w:t>号来文。</w:t>
      </w:r>
    </w:p>
  </w:footnote>
  <w:footnote w:id="16">
    <w:p w14:paraId="03DEBC27" w14:textId="77777777" w:rsidR="00E3197B" w:rsidRPr="000911E3" w:rsidRDefault="00E3197B" w:rsidP="00E3197B">
      <w:pPr>
        <w:pStyle w:val="a6"/>
      </w:pPr>
      <w:r>
        <w:rPr>
          <w:lang w:val="zh-CN"/>
        </w:rPr>
        <w:tab/>
      </w:r>
      <w:r w:rsidRPr="00307E26">
        <w:rPr>
          <w:rStyle w:val="a8"/>
          <w:rFonts w:eastAsia="宋体"/>
        </w:rPr>
        <w:footnoteRef/>
      </w:r>
      <w:r>
        <w:rPr>
          <w:lang w:val="zh-CN"/>
        </w:rPr>
        <w:tab/>
      </w:r>
      <w:r>
        <w:rPr>
          <w:lang w:val="zh-CN"/>
        </w:rPr>
        <w:t>见</w:t>
      </w:r>
      <w:r>
        <w:rPr>
          <w:lang w:val="zh-CN"/>
        </w:rPr>
        <w:t>ECU 2/2024</w:t>
      </w:r>
      <w:r>
        <w:rPr>
          <w:lang w:val="zh-CN"/>
        </w:rPr>
        <w:t>号来文。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94C2" w14:textId="77777777" w:rsidR="00117CCB" w:rsidRDefault="00B84C9B" w:rsidP="00B84C9B">
    <w:pPr>
      <w:pStyle w:val="af3"/>
    </w:pPr>
    <w:r>
      <w:t>CCPR/C/ECU/CO/7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72C8C" w14:textId="77777777" w:rsidR="00117CCB" w:rsidRPr="00202A30" w:rsidRDefault="00B84C9B" w:rsidP="00B84C9B">
    <w:pPr>
      <w:pStyle w:val="af3"/>
      <w:jc w:val="right"/>
    </w:pPr>
    <w:r>
      <w:t>CCPR/C/ECU/CO/7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0"/>
  </w:num>
  <w:num w:numId="2" w16cid:durableId="1488473444">
    <w:abstractNumId w:val="16"/>
  </w:num>
  <w:num w:numId="3" w16cid:durableId="1881046147">
    <w:abstractNumId w:val="11"/>
  </w:num>
  <w:num w:numId="4" w16cid:durableId="2042706911">
    <w:abstractNumId w:val="8"/>
  </w:num>
  <w:num w:numId="5" w16cid:durableId="17302258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18"/>
  </w:num>
  <w:num w:numId="8" w16cid:durableId="246697977">
    <w:abstractNumId w:val="12"/>
  </w:num>
  <w:num w:numId="9" w16cid:durableId="570771093">
    <w:abstractNumId w:val="14"/>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13"/>
  </w:num>
  <w:num w:numId="20"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A5"/>
    <w:rsid w:val="00011483"/>
    <w:rsid w:val="000202C6"/>
    <w:rsid w:val="0004554F"/>
    <w:rsid w:val="00080D76"/>
    <w:rsid w:val="000B21AF"/>
    <w:rsid w:val="000B5AD4"/>
    <w:rsid w:val="000B5BD5"/>
    <w:rsid w:val="000D319F"/>
    <w:rsid w:val="000E4D0E"/>
    <w:rsid w:val="000F5EB8"/>
    <w:rsid w:val="00117CCB"/>
    <w:rsid w:val="00126EB7"/>
    <w:rsid w:val="00144B69"/>
    <w:rsid w:val="00153E86"/>
    <w:rsid w:val="00165C1E"/>
    <w:rsid w:val="00172E04"/>
    <w:rsid w:val="001B1BD1"/>
    <w:rsid w:val="001C3EF2"/>
    <w:rsid w:val="001D17F6"/>
    <w:rsid w:val="00204B42"/>
    <w:rsid w:val="0021265F"/>
    <w:rsid w:val="00215A5A"/>
    <w:rsid w:val="002231C3"/>
    <w:rsid w:val="0024417F"/>
    <w:rsid w:val="00250F8D"/>
    <w:rsid w:val="0025302D"/>
    <w:rsid w:val="0025482B"/>
    <w:rsid w:val="00254BA5"/>
    <w:rsid w:val="0027552F"/>
    <w:rsid w:val="002B5450"/>
    <w:rsid w:val="002E1C97"/>
    <w:rsid w:val="002F143B"/>
    <w:rsid w:val="002F5834"/>
    <w:rsid w:val="002F7931"/>
    <w:rsid w:val="003006AB"/>
    <w:rsid w:val="00326EBF"/>
    <w:rsid w:val="00327FE4"/>
    <w:rsid w:val="003333CC"/>
    <w:rsid w:val="00385347"/>
    <w:rsid w:val="003A4E85"/>
    <w:rsid w:val="003D17B9"/>
    <w:rsid w:val="003E4249"/>
    <w:rsid w:val="00427F63"/>
    <w:rsid w:val="00434D38"/>
    <w:rsid w:val="0049241C"/>
    <w:rsid w:val="00494EB8"/>
    <w:rsid w:val="004C4A0A"/>
    <w:rsid w:val="004D0A00"/>
    <w:rsid w:val="004E473D"/>
    <w:rsid w:val="004F348E"/>
    <w:rsid w:val="00501220"/>
    <w:rsid w:val="00515718"/>
    <w:rsid w:val="0057615F"/>
    <w:rsid w:val="00576CBE"/>
    <w:rsid w:val="005E403A"/>
    <w:rsid w:val="005E4086"/>
    <w:rsid w:val="0060122D"/>
    <w:rsid w:val="00602A22"/>
    <w:rsid w:val="00604D91"/>
    <w:rsid w:val="00607905"/>
    <w:rsid w:val="00617BBD"/>
    <w:rsid w:val="006257FE"/>
    <w:rsid w:val="0065088F"/>
    <w:rsid w:val="00654DD9"/>
    <w:rsid w:val="006602BF"/>
    <w:rsid w:val="00670DEE"/>
    <w:rsid w:val="00680656"/>
    <w:rsid w:val="006B1119"/>
    <w:rsid w:val="006B5C78"/>
    <w:rsid w:val="006D3757"/>
    <w:rsid w:val="006D37EB"/>
    <w:rsid w:val="006E3E46"/>
    <w:rsid w:val="006E71B1"/>
    <w:rsid w:val="006F1404"/>
    <w:rsid w:val="0070593B"/>
    <w:rsid w:val="00705D89"/>
    <w:rsid w:val="00731A42"/>
    <w:rsid w:val="00753B4E"/>
    <w:rsid w:val="00755487"/>
    <w:rsid w:val="00757C88"/>
    <w:rsid w:val="00767E69"/>
    <w:rsid w:val="0077079A"/>
    <w:rsid w:val="007710C4"/>
    <w:rsid w:val="00771504"/>
    <w:rsid w:val="007A5599"/>
    <w:rsid w:val="007D04DE"/>
    <w:rsid w:val="00821253"/>
    <w:rsid w:val="0084128A"/>
    <w:rsid w:val="00856233"/>
    <w:rsid w:val="00860F27"/>
    <w:rsid w:val="00864A47"/>
    <w:rsid w:val="00866D3E"/>
    <w:rsid w:val="008A1560"/>
    <w:rsid w:val="008B0560"/>
    <w:rsid w:val="008B2BFA"/>
    <w:rsid w:val="008C393F"/>
    <w:rsid w:val="008D31F4"/>
    <w:rsid w:val="008E141B"/>
    <w:rsid w:val="008E6A3F"/>
    <w:rsid w:val="008E6FEB"/>
    <w:rsid w:val="008F1D32"/>
    <w:rsid w:val="00912990"/>
    <w:rsid w:val="00923557"/>
    <w:rsid w:val="00936533"/>
    <w:rsid w:val="00936F03"/>
    <w:rsid w:val="00943B69"/>
    <w:rsid w:val="00944CB3"/>
    <w:rsid w:val="0096722F"/>
    <w:rsid w:val="00986624"/>
    <w:rsid w:val="009B09D7"/>
    <w:rsid w:val="009D35ED"/>
    <w:rsid w:val="009E4D61"/>
    <w:rsid w:val="00A03CB6"/>
    <w:rsid w:val="00A04216"/>
    <w:rsid w:val="00A1364C"/>
    <w:rsid w:val="00A21076"/>
    <w:rsid w:val="00A31BA8"/>
    <w:rsid w:val="00A3739A"/>
    <w:rsid w:val="00A43337"/>
    <w:rsid w:val="00A52DAF"/>
    <w:rsid w:val="00A8180A"/>
    <w:rsid w:val="00A84072"/>
    <w:rsid w:val="00B16570"/>
    <w:rsid w:val="00B16989"/>
    <w:rsid w:val="00B23B03"/>
    <w:rsid w:val="00B42102"/>
    <w:rsid w:val="00B43EB7"/>
    <w:rsid w:val="00B53320"/>
    <w:rsid w:val="00B614C4"/>
    <w:rsid w:val="00B63B61"/>
    <w:rsid w:val="00B712F3"/>
    <w:rsid w:val="00B84C9B"/>
    <w:rsid w:val="00BC0850"/>
    <w:rsid w:val="00BC6522"/>
    <w:rsid w:val="00BE1FFE"/>
    <w:rsid w:val="00BF4514"/>
    <w:rsid w:val="00C121D5"/>
    <w:rsid w:val="00C13AFF"/>
    <w:rsid w:val="00C17349"/>
    <w:rsid w:val="00C323A4"/>
    <w:rsid w:val="00C351AA"/>
    <w:rsid w:val="00C37432"/>
    <w:rsid w:val="00C43CF0"/>
    <w:rsid w:val="00C70852"/>
    <w:rsid w:val="00C7152A"/>
    <w:rsid w:val="00C7253F"/>
    <w:rsid w:val="00C829C3"/>
    <w:rsid w:val="00C90707"/>
    <w:rsid w:val="00CE1D1C"/>
    <w:rsid w:val="00CF4A2B"/>
    <w:rsid w:val="00D26A05"/>
    <w:rsid w:val="00D9309B"/>
    <w:rsid w:val="00D97B98"/>
    <w:rsid w:val="00DB0D94"/>
    <w:rsid w:val="00DC671F"/>
    <w:rsid w:val="00DE4DA7"/>
    <w:rsid w:val="00E02C13"/>
    <w:rsid w:val="00E3197B"/>
    <w:rsid w:val="00E33B38"/>
    <w:rsid w:val="00E442A1"/>
    <w:rsid w:val="00E47FE5"/>
    <w:rsid w:val="00E546B1"/>
    <w:rsid w:val="00E574AF"/>
    <w:rsid w:val="00E73B33"/>
    <w:rsid w:val="00EA3C44"/>
    <w:rsid w:val="00EA7E67"/>
    <w:rsid w:val="00EC3728"/>
    <w:rsid w:val="00F24E6D"/>
    <w:rsid w:val="00F379B8"/>
    <w:rsid w:val="00F553BD"/>
    <w:rsid w:val="00F714DA"/>
    <w:rsid w:val="00F87910"/>
    <w:rsid w:val="00F9406D"/>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25A72"/>
  <w15:docId w15:val="{E6066674-4C14-4C92-8DDA-986FECC20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B5C78"/>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semiHidden/>
    <w:rsid w:val="00E3197B"/>
    <w:rPr>
      <w:color w:val="0000FF"/>
      <w:u w:val="none"/>
    </w:rPr>
  </w:style>
  <w:style w:type="character" w:styleId="af7">
    <w:name w:val="FollowedHyperlink"/>
    <w:basedOn w:val="a0"/>
    <w:uiPriority w:val="99"/>
    <w:semiHidden/>
    <w:rsid w:val="00E3197B"/>
    <w:rPr>
      <w:color w:val="0000FF"/>
      <w:u w:val="none"/>
    </w:rPr>
  </w:style>
  <w:style w:type="paragraph" w:styleId="af8">
    <w:name w:val="macro"/>
    <w:link w:val="af9"/>
    <w:semiHidden/>
    <w:rsid w:val="00E3197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E3197B"/>
    <w:rPr>
      <w:kern w:val="24"/>
      <w:sz w:val="24"/>
      <w:szCs w:val="24"/>
    </w:rPr>
  </w:style>
  <w:style w:type="paragraph" w:styleId="afa">
    <w:name w:val="Subtitle"/>
    <w:basedOn w:val="a"/>
    <w:next w:val="a"/>
    <w:link w:val="afb"/>
    <w:uiPriority w:val="11"/>
    <w:semiHidden/>
    <w:rsid w:val="00E3197B"/>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b">
    <w:name w:val="副标题 字符"/>
    <w:basedOn w:val="a0"/>
    <w:link w:val="afa"/>
    <w:uiPriority w:val="11"/>
    <w:semiHidden/>
    <w:rsid w:val="00E3197B"/>
    <w:rPr>
      <w:rFonts w:asciiTheme="majorHAnsi" w:eastAsiaTheme="majorEastAsia" w:hAnsiTheme="majorHAnsi" w:cstheme="majorBidi"/>
      <w:color w:val="595959" w:themeColor="text1" w:themeTint="A6"/>
      <w:spacing w:val="15"/>
      <w:sz w:val="28"/>
      <w:szCs w:val="28"/>
    </w:rPr>
  </w:style>
  <w:style w:type="paragraph" w:styleId="afc">
    <w:name w:val="Quote"/>
    <w:basedOn w:val="a"/>
    <w:next w:val="a"/>
    <w:link w:val="afd"/>
    <w:uiPriority w:val="29"/>
    <w:rsid w:val="00E3197B"/>
    <w:pPr>
      <w:spacing w:before="160" w:after="160"/>
      <w:jc w:val="center"/>
    </w:pPr>
    <w:rPr>
      <w:i/>
      <w:iCs/>
      <w:snapToGrid/>
      <w:color w:val="404040" w:themeColor="text1" w:themeTint="BF"/>
      <w:szCs w:val="21"/>
    </w:rPr>
  </w:style>
  <w:style w:type="character" w:customStyle="1" w:styleId="afd">
    <w:name w:val="引用 字符"/>
    <w:basedOn w:val="a0"/>
    <w:link w:val="afc"/>
    <w:uiPriority w:val="29"/>
    <w:rsid w:val="00E3197B"/>
    <w:rPr>
      <w:i/>
      <w:iCs/>
      <w:color w:val="404040" w:themeColor="text1" w:themeTint="BF"/>
      <w:sz w:val="21"/>
      <w:szCs w:val="21"/>
    </w:rPr>
  </w:style>
  <w:style w:type="paragraph" w:styleId="afe">
    <w:name w:val="List Paragraph"/>
    <w:basedOn w:val="a"/>
    <w:uiPriority w:val="34"/>
    <w:rsid w:val="00E3197B"/>
    <w:pPr>
      <w:ind w:left="720"/>
      <w:contextualSpacing/>
    </w:pPr>
    <w:rPr>
      <w:snapToGrid/>
      <w:szCs w:val="21"/>
    </w:rPr>
  </w:style>
  <w:style w:type="character" w:styleId="aff">
    <w:name w:val="Intense Emphasis"/>
    <w:basedOn w:val="a0"/>
    <w:uiPriority w:val="21"/>
    <w:rsid w:val="00E3197B"/>
    <w:rPr>
      <w:i/>
      <w:iCs/>
      <w:color w:val="365F91" w:themeColor="accent1" w:themeShade="BF"/>
    </w:rPr>
  </w:style>
  <w:style w:type="paragraph" w:styleId="aff0">
    <w:name w:val="Intense Quote"/>
    <w:basedOn w:val="a"/>
    <w:next w:val="a"/>
    <w:link w:val="aff1"/>
    <w:uiPriority w:val="30"/>
    <w:rsid w:val="00E3197B"/>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1">
    <w:name w:val="明显引用 字符"/>
    <w:basedOn w:val="a0"/>
    <w:link w:val="aff0"/>
    <w:uiPriority w:val="30"/>
    <w:rsid w:val="00E3197B"/>
    <w:rPr>
      <w:i/>
      <w:iCs/>
      <w:color w:val="365F91" w:themeColor="accent1" w:themeShade="BF"/>
      <w:sz w:val="21"/>
      <w:szCs w:val="21"/>
    </w:rPr>
  </w:style>
  <w:style w:type="character" w:styleId="aff2">
    <w:name w:val="Intense Reference"/>
    <w:basedOn w:val="a0"/>
    <w:uiPriority w:val="32"/>
    <w:rsid w:val="00E3197B"/>
    <w:rPr>
      <w:b/>
      <w:bCs/>
      <w:smallCaps/>
      <w:color w:val="365F91" w:themeColor="accent1" w:themeShade="BF"/>
      <w:spacing w:val="5"/>
    </w:rPr>
  </w:style>
  <w:style w:type="character" w:styleId="aff3">
    <w:name w:val="Unresolved Mention"/>
    <w:basedOn w:val="a0"/>
    <w:uiPriority w:val="99"/>
    <w:semiHidden/>
    <w:unhideWhenUsed/>
    <w:rsid w:val="003E4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search/TMDocuments" TargetMode="External"/><Relationship Id="rId3" Type="http://schemas.openxmlformats.org/officeDocument/2006/relationships/hyperlink" Target="https://docs.un.org/zh/CAT/C/ECU/CO/8" TargetMode="External"/><Relationship Id="rId7" Type="http://schemas.openxmlformats.org/officeDocument/2006/relationships/hyperlink" Target="https://www.ohchr.org/es/press-releases/2023/07/ecuador-un-human-rights-chief-concerned-spike-violence-and-backward-step" TargetMode="External"/><Relationship Id="rId2" Type="http://schemas.openxmlformats.org/officeDocument/2006/relationships/hyperlink" Target="https://docs.un.org/zh/CEDAW/C/ECU/CO/10" TargetMode="External"/><Relationship Id="rId1" Type="http://schemas.openxmlformats.org/officeDocument/2006/relationships/hyperlink" Target="https://docs.un.org/zh/CCPR/C/ECU/CO/6" TargetMode="External"/><Relationship Id="rId6" Type="http://schemas.openxmlformats.org/officeDocument/2006/relationships/hyperlink" Target="https://www.ohchr.org/en/press-briefing-notes/2022/02/press-briefing-notes-ecuador" TargetMode="External"/><Relationship Id="rId5" Type="http://schemas.openxmlformats.org/officeDocument/2006/relationships/hyperlink" Target="https://www.ohchr.org/es/press-briefing-notes/2022/05/ecuador-prison-violence" TargetMode="External"/><Relationship Id="rId4" Type="http://schemas.openxmlformats.org/officeDocument/2006/relationships/hyperlink" Target="https://www.ohchr.org/es/press-releases/2022/10/ecuador-un-torture-prevention-body-remains-seriously-concerned-prison-crisis" TargetMode="External"/><Relationship Id="rId9" Type="http://schemas.openxmlformats.org/officeDocument/2006/relationships/hyperlink" Target="https://docs.un.org/zh/CAT/C/ECU/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13456</Words>
  <Characters>14151</Characters>
  <Application>Microsoft Office Word</Application>
  <DocSecurity>0</DocSecurity>
  <Lines>487</Lines>
  <Paragraphs>161</Paragraphs>
  <ScaleCrop>false</ScaleCrop>
  <Company>DCM</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CCPR/C/ECU/CO/7</dc:title>
  <dc:subject>2421080</dc:subject>
  <dc:creator>tt</dc:creator>
  <cp:keywords/>
  <dc:description/>
  <cp:lastModifiedBy>Ting TANG</cp:lastModifiedBy>
  <cp:revision>2</cp:revision>
  <cp:lastPrinted>2014-05-09T11:28:00Z</cp:lastPrinted>
  <dcterms:created xsi:type="dcterms:W3CDTF">2025-03-12T15:39:00Z</dcterms:created>
  <dcterms:modified xsi:type="dcterms:W3CDTF">2025-03-12T15:39:00Z</dcterms:modified>
</cp:coreProperties>
</file>