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820"/>
        <w:gridCol w:w="1731"/>
        <w:gridCol w:w="2808"/>
      </w:tblGrid>
      <w:tr w:rsidR="001206E7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1206E7" w:rsidRDefault="001206E7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731" w:type="dxa"/>
            <w:tcBorders>
              <w:bottom w:val="single" w:sz="4" w:space="0" w:color="auto"/>
            </w:tcBorders>
            <w:vAlign w:val="bottom"/>
          </w:tcPr>
          <w:p w:rsidR="001206E7" w:rsidRDefault="001206E7">
            <w:pPr>
              <w:jc w:val="right"/>
              <w:rPr>
                <w:lang w:val="en-US"/>
              </w:rPr>
            </w:pPr>
          </w:p>
        </w:tc>
        <w:tc>
          <w:tcPr>
            <w:tcW w:w="2808" w:type="dxa"/>
            <w:tcBorders>
              <w:left w:val="nil"/>
              <w:bottom w:val="single" w:sz="4" w:space="0" w:color="auto"/>
            </w:tcBorders>
            <w:vAlign w:val="bottom"/>
          </w:tcPr>
          <w:p w:rsidR="001206E7" w:rsidRDefault="001206E7">
            <w:pPr>
              <w:spacing w:after="20"/>
              <w:jc w:val="right"/>
              <w:rPr>
                <w:lang w:val="en-US"/>
              </w:rPr>
            </w:pPr>
            <w:r>
              <w:rPr>
                <w:sz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r w:rsidR="003D313D">
              <w:rPr>
                <w:lang w:val="en-US"/>
              </w:rPr>
              <w:t>RES/</w:t>
            </w:r>
            <w:r>
              <w:rPr>
                <w:lang w:val="en-US"/>
              </w:rPr>
              <w:t>15/</w:t>
            </w:r>
            <w:r w:rsidR="003D313D">
              <w:rPr>
                <w:lang w:val="en-US"/>
              </w:rPr>
              <w:t>15</w:t>
            </w:r>
          </w:p>
        </w:tc>
      </w:tr>
      <w:tr w:rsidR="001206E7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1206E7" w:rsidRDefault="001206E7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51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1206E7" w:rsidRDefault="001206E7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Генеральная Ассамблея</w:t>
            </w:r>
          </w:p>
        </w:tc>
        <w:tc>
          <w:tcPr>
            <w:tcW w:w="2808" w:type="dxa"/>
            <w:tcBorders>
              <w:top w:val="single" w:sz="4" w:space="0" w:color="auto"/>
              <w:bottom w:val="single" w:sz="12" w:space="0" w:color="auto"/>
            </w:tcBorders>
          </w:tcPr>
          <w:p w:rsidR="001206E7" w:rsidRPr="005A2B29" w:rsidRDefault="001206E7">
            <w:pPr>
              <w:spacing w:before="240" w:line="240" w:lineRule="exact"/>
              <w:rPr>
                <w:lang w:val="en-US"/>
              </w:rPr>
            </w:pPr>
            <w:r>
              <w:rPr>
                <w:lang w:val="en-US"/>
              </w:rPr>
              <w:t xml:space="preserve">Distr.: </w:t>
            </w:r>
            <w:r w:rsidR="005A2B29">
              <w:rPr>
                <w:lang w:val="en-US"/>
              </w:rPr>
              <w:t>General</w:t>
            </w:r>
          </w:p>
          <w:p w:rsidR="001206E7" w:rsidRDefault="003D313D">
            <w:pPr>
              <w:rPr>
                <w:lang w:val="en-US"/>
              </w:rPr>
            </w:pPr>
            <w:r>
              <w:rPr>
                <w:lang w:val="en-US"/>
              </w:rPr>
              <w:t xml:space="preserve">7 October </w:t>
            </w:r>
            <w:r w:rsidR="001206E7">
              <w:rPr>
                <w:lang w:val="en-US"/>
              </w:rPr>
              <w:t>2010</w:t>
            </w:r>
          </w:p>
          <w:p w:rsidR="001206E7" w:rsidRDefault="001206E7">
            <w:pPr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1206E7" w:rsidRDefault="001206E7">
            <w:pPr>
              <w:rPr>
                <w:lang w:val="en-US"/>
              </w:rPr>
            </w:pPr>
            <w:r>
              <w:rPr>
                <w:lang w:val="en-US"/>
              </w:rPr>
              <w:t xml:space="preserve">Original: </w:t>
            </w:r>
            <w:r w:rsidR="003D313D">
              <w:rPr>
                <w:lang w:val="en-US"/>
              </w:rPr>
              <w:t>English</w:t>
            </w:r>
          </w:p>
        </w:tc>
      </w:tr>
    </w:tbl>
    <w:p w:rsidR="001206E7" w:rsidRDefault="001206E7">
      <w:pPr>
        <w:spacing w:before="120"/>
        <w:rPr>
          <w:b/>
          <w:sz w:val="24"/>
        </w:rPr>
      </w:pPr>
      <w:r>
        <w:rPr>
          <w:b/>
          <w:sz w:val="24"/>
        </w:rPr>
        <w:t>Совет по правам человека</w:t>
      </w:r>
    </w:p>
    <w:p w:rsidR="001206E7" w:rsidRDefault="001206E7">
      <w:pPr>
        <w:rPr>
          <w:b/>
        </w:rPr>
      </w:pPr>
      <w:r>
        <w:rPr>
          <w:b/>
        </w:rPr>
        <w:t>Пятнадцатая сессия</w:t>
      </w:r>
    </w:p>
    <w:p w:rsidR="001206E7" w:rsidRDefault="001206E7">
      <w:r>
        <w:t>Пункт 3 повестки дня</w:t>
      </w:r>
    </w:p>
    <w:p w:rsidR="001206E7" w:rsidRDefault="001206E7">
      <w:pPr>
        <w:rPr>
          <w:b/>
        </w:rPr>
      </w:pPr>
      <w:r>
        <w:rPr>
          <w:b/>
        </w:rPr>
        <w:t>Поощрение и защита всех прав человека,</w:t>
      </w:r>
      <w:r>
        <w:rPr>
          <w:b/>
        </w:rPr>
        <w:br/>
        <w:t>гражданских, политических, экономических,</w:t>
      </w:r>
      <w:r>
        <w:rPr>
          <w:b/>
        </w:rPr>
        <w:br/>
        <w:t>социальных и культурных прав, включая</w:t>
      </w:r>
      <w:r>
        <w:rPr>
          <w:b/>
        </w:rPr>
        <w:br/>
        <w:t>право на развитие</w:t>
      </w:r>
    </w:p>
    <w:p w:rsidR="001206E7" w:rsidRPr="003D313D" w:rsidRDefault="001206E7" w:rsidP="003D313D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3D313D">
        <w:t>Резолюция, принятая Советом по правам человека</w:t>
      </w:r>
      <w:r w:rsidR="003D313D" w:rsidRPr="003D313D">
        <w:rPr>
          <w:rStyle w:val="FootnoteReference"/>
          <w:sz w:val="20"/>
          <w:vertAlign w:val="baseline"/>
        </w:rPr>
        <w:footnoteReference w:customMarkFollows="1" w:id="1"/>
        <w:t>*</w:t>
      </w:r>
      <w:r w:rsidR="003D313D" w:rsidRPr="003D313D">
        <w:rPr>
          <w:b w:val="0"/>
          <w:lang w:eastAsia="en-US"/>
        </w:rPr>
        <w:t xml:space="preserve"> </w:t>
      </w:r>
    </w:p>
    <w:p w:rsidR="001206E7" w:rsidRPr="003D313D" w:rsidRDefault="003D313D" w:rsidP="002F34BD">
      <w:pPr>
        <w:pStyle w:val="HChGR"/>
      </w:pPr>
      <w:r>
        <w:tab/>
      </w:r>
      <w:r>
        <w:tab/>
        <w:t>15/5</w:t>
      </w:r>
      <w:r w:rsidR="001206E7">
        <w:br/>
        <w:t>Защита прав человека и основных свобод в условиях борьбы с терроризмом: мандат Специального докладчика по вопросу о поощрении и защите прав человека и основных свобод в условиях борьбы с терроризмом</w:t>
      </w:r>
    </w:p>
    <w:p w:rsidR="001206E7" w:rsidRDefault="001206E7">
      <w:pPr>
        <w:pStyle w:val="SingleTxtGR"/>
        <w:rPr>
          <w:i/>
          <w:lang w:eastAsia="ru-RU"/>
        </w:rPr>
      </w:pPr>
      <w:r>
        <w:rPr>
          <w:i/>
          <w:lang w:eastAsia="ru-RU"/>
        </w:rPr>
        <w:tab/>
        <w:t>Совет по правам человека,</w:t>
      </w:r>
    </w:p>
    <w:p w:rsidR="001206E7" w:rsidRDefault="001206E7">
      <w:pPr>
        <w:pStyle w:val="SingleTxtGR"/>
        <w:rPr>
          <w:lang w:eastAsia="ru-RU"/>
        </w:rPr>
      </w:pPr>
      <w:r>
        <w:rPr>
          <w:i/>
          <w:lang w:eastAsia="ru-RU"/>
        </w:rPr>
        <w:tab/>
        <w:t xml:space="preserve">учитывая </w:t>
      </w:r>
      <w:r>
        <w:rPr>
          <w:lang w:eastAsia="ru-RU"/>
        </w:rPr>
        <w:t>пункт 6 резолюции 60/251 Генеральной Ассамблеи от 15 марта 2006 года,</w:t>
      </w:r>
    </w:p>
    <w:p w:rsidR="001206E7" w:rsidRDefault="001206E7">
      <w:pPr>
        <w:pStyle w:val="SingleTxtGR"/>
        <w:rPr>
          <w:lang w:eastAsia="ru-RU"/>
        </w:rPr>
      </w:pPr>
      <w:r>
        <w:rPr>
          <w:lang w:eastAsia="ru-RU"/>
        </w:rPr>
        <w:tab/>
      </w:r>
      <w:r>
        <w:rPr>
          <w:i/>
          <w:lang w:eastAsia="ru-RU"/>
        </w:rPr>
        <w:t xml:space="preserve">ссылаясь </w:t>
      </w:r>
      <w:r>
        <w:rPr>
          <w:lang w:eastAsia="ru-RU"/>
        </w:rPr>
        <w:t>на резолюции Совета 5/1 об институциональном строительстве Совета по правам человека Организации Объединенных Наций и 5/2 о Кодексе поведения мандатариев специальных процедур Совета по правам человека от 18 июня 2008 го</w:t>
      </w:r>
      <w:r w:rsidR="00064DDA">
        <w:rPr>
          <w:lang w:eastAsia="ru-RU"/>
        </w:rPr>
        <w:t>да и подчеркивая, что мандатарий</w:t>
      </w:r>
      <w:r>
        <w:rPr>
          <w:lang w:eastAsia="ru-RU"/>
        </w:rPr>
        <w:t xml:space="preserve"> исполня</w:t>
      </w:r>
      <w:r w:rsidR="00064DDA">
        <w:rPr>
          <w:lang w:eastAsia="ru-RU"/>
        </w:rPr>
        <w:t>е</w:t>
      </w:r>
      <w:r>
        <w:rPr>
          <w:lang w:eastAsia="ru-RU"/>
        </w:rPr>
        <w:t>т свои обязанн</w:t>
      </w:r>
      <w:r>
        <w:rPr>
          <w:lang w:eastAsia="ru-RU"/>
        </w:rPr>
        <w:t>о</w:t>
      </w:r>
      <w:r>
        <w:rPr>
          <w:lang w:eastAsia="ru-RU"/>
        </w:rPr>
        <w:t>сти в соответствии с этими резолюциями и прилож</w:t>
      </w:r>
      <w:r>
        <w:rPr>
          <w:lang w:eastAsia="ru-RU"/>
        </w:rPr>
        <w:t>е</w:t>
      </w:r>
      <w:r>
        <w:rPr>
          <w:lang w:eastAsia="ru-RU"/>
        </w:rPr>
        <w:t>ниями к ним,</w:t>
      </w:r>
    </w:p>
    <w:p w:rsidR="001206E7" w:rsidRDefault="001206E7">
      <w:pPr>
        <w:pStyle w:val="SingleTxtGR"/>
        <w:rPr>
          <w:lang w:eastAsia="ru-RU"/>
        </w:rPr>
      </w:pPr>
      <w:r>
        <w:rPr>
          <w:lang w:eastAsia="ru-RU"/>
        </w:rPr>
        <w:tab/>
      </w:r>
      <w:r>
        <w:rPr>
          <w:i/>
          <w:lang w:eastAsia="ru-RU"/>
        </w:rPr>
        <w:t>ссылаясь также</w:t>
      </w:r>
      <w:r>
        <w:rPr>
          <w:lang w:eastAsia="ru-RU"/>
        </w:rPr>
        <w:t xml:space="preserve"> на резолюции Комиссии по правам человека 2004/87 </w:t>
      </w:r>
      <w:r>
        <w:rPr>
          <w:lang w:eastAsia="ru-RU"/>
        </w:rPr>
        <w:br/>
        <w:t>от 21 апреля 2004 года и 2005/80 от 21 апреля 2005 года, резолюции Генерал</w:t>
      </w:r>
      <w:r>
        <w:rPr>
          <w:lang w:eastAsia="ru-RU"/>
        </w:rPr>
        <w:t>ь</w:t>
      </w:r>
      <w:r>
        <w:rPr>
          <w:lang w:eastAsia="ru-RU"/>
        </w:rPr>
        <w:t>ной Ассамблеи 59/191 от 20 декабря 2004 года, 60/158 от 16 декабря 2005 года и 61/171 от 19 декабря 2006 года и резолюцию 6/28 Совета от 14 декабря 2007 года, озаглавленную "Защита прав человека и основных свобод в условиях борьбы с терроризмом: мандат Специального докладчика по вопросу о поощр</w:t>
      </w:r>
      <w:r>
        <w:rPr>
          <w:lang w:eastAsia="ru-RU"/>
        </w:rPr>
        <w:t>е</w:t>
      </w:r>
      <w:r>
        <w:rPr>
          <w:lang w:eastAsia="ru-RU"/>
        </w:rPr>
        <w:t>нии и защите прав человека и основных свобод в условиях борьбы с террори</w:t>
      </w:r>
      <w:r>
        <w:rPr>
          <w:lang w:eastAsia="ru-RU"/>
        </w:rPr>
        <w:t>з</w:t>
      </w:r>
      <w:r>
        <w:rPr>
          <w:lang w:eastAsia="ru-RU"/>
        </w:rPr>
        <w:t>мом",</w:t>
      </w:r>
    </w:p>
    <w:p w:rsidR="001206E7" w:rsidRDefault="001206E7">
      <w:pPr>
        <w:pStyle w:val="SingleTxtGR"/>
        <w:rPr>
          <w:lang w:eastAsia="ru-RU"/>
        </w:rPr>
      </w:pPr>
      <w:r>
        <w:rPr>
          <w:lang w:eastAsia="ru-RU"/>
        </w:rPr>
        <w:tab/>
        <w:t>1.</w:t>
      </w:r>
      <w:r>
        <w:rPr>
          <w:lang w:eastAsia="ru-RU"/>
        </w:rPr>
        <w:tab/>
      </w:r>
      <w:r>
        <w:rPr>
          <w:i/>
          <w:lang w:eastAsia="ru-RU"/>
        </w:rPr>
        <w:t>отмечает</w:t>
      </w:r>
      <w:r>
        <w:rPr>
          <w:lang w:eastAsia="ru-RU"/>
        </w:rPr>
        <w:t xml:space="preserve"> деятельность и вклад Специального докладчика по в</w:t>
      </w:r>
      <w:r>
        <w:rPr>
          <w:lang w:eastAsia="ru-RU"/>
        </w:rPr>
        <w:t>о</w:t>
      </w:r>
      <w:r>
        <w:rPr>
          <w:lang w:eastAsia="ru-RU"/>
        </w:rPr>
        <w:t>просу о поощрении и защите прав человека и основных свобод в условиях борьбы с терроризмом;</w:t>
      </w:r>
    </w:p>
    <w:p w:rsidR="001206E7" w:rsidRDefault="001206E7">
      <w:pPr>
        <w:pStyle w:val="SingleTxtGR"/>
        <w:rPr>
          <w:lang w:eastAsia="ru-RU"/>
        </w:rPr>
      </w:pPr>
      <w:r>
        <w:rPr>
          <w:lang w:eastAsia="ru-RU"/>
        </w:rPr>
        <w:tab/>
        <w:t>2.</w:t>
      </w:r>
      <w:r>
        <w:rPr>
          <w:lang w:eastAsia="ru-RU"/>
        </w:rPr>
        <w:tab/>
      </w:r>
      <w:r>
        <w:rPr>
          <w:i/>
          <w:lang w:eastAsia="ru-RU"/>
        </w:rPr>
        <w:t>постановляет</w:t>
      </w:r>
      <w:r>
        <w:rPr>
          <w:lang w:eastAsia="ru-RU"/>
        </w:rPr>
        <w:t xml:space="preserve"> продлить мандат Специального докладчика по в</w:t>
      </w:r>
      <w:r>
        <w:rPr>
          <w:lang w:eastAsia="ru-RU"/>
        </w:rPr>
        <w:t>о</w:t>
      </w:r>
      <w:r>
        <w:rPr>
          <w:lang w:eastAsia="ru-RU"/>
        </w:rPr>
        <w:t>просу о поощрении и защите прав человека и основных свобод в условиях борьбы с терроризмом на трехлетний срок и просит Специального докладчика:</w:t>
      </w:r>
    </w:p>
    <w:p w:rsidR="001206E7" w:rsidRDefault="001206E7">
      <w:pPr>
        <w:pStyle w:val="SingleTxtGR"/>
        <w:rPr>
          <w:lang w:eastAsia="ru-RU"/>
        </w:rPr>
      </w:pPr>
      <w:r>
        <w:rPr>
          <w:lang w:eastAsia="ru-RU"/>
        </w:rPr>
        <w:tab/>
        <w:t>а)</w:t>
      </w:r>
      <w:r>
        <w:rPr>
          <w:lang w:eastAsia="ru-RU"/>
        </w:rPr>
        <w:tab/>
        <w:t>выносить конкретные рекомендации о поощрении и защите прав человека и основных свобод в условиях борьбы с терроризмом, в том числе по просьбе государств, для предоставления консультативных услуг или технич</w:t>
      </w:r>
      <w:r>
        <w:rPr>
          <w:lang w:eastAsia="ru-RU"/>
        </w:rPr>
        <w:t>е</w:t>
      </w:r>
      <w:r>
        <w:rPr>
          <w:lang w:eastAsia="ru-RU"/>
        </w:rPr>
        <w:t>ской п</w:t>
      </w:r>
      <w:r>
        <w:rPr>
          <w:lang w:eastAsia="ru-RU"/>
        </w:rPr>
        <w:t>о</w:t>
      </w:r>
      <w:r>
        <w:rPr>
          <w:lang w:eastAsia="ru-RU"/>
        </w:rPr>
        <w:t>мощи в таких вопросах;</w:t>
      </w:r>
    </w:p>
    <w:p w:rsidR="001206E7" w:rsidRDefault="001206E7">
      <w:pPr>
        <w:pStyle w:val="SingleTxtGR"/>
        <w:rPr>
          <w:lang w:eastAsia="ru-RU"/>
        </w:rPr>
      </w:pPr>
      <w:r>
        <w:rPr>
          <w:lang w:eastAsia="ru-RU"/>
        </w:rPr>
        <w:tab/>
      </w:r>
      <w:r>
        <w:rPr>
          <w:lang w:val="en-US" w:eastAsia="ru-RU"/>
        </w:rPr>
        <w:t>b</w:t>
      </w:r>
      <w:r>
        <w:rPr>
          <w:lang w:eastAsia="ru-RU"/>
        </w:rPr>
        <w:t>)</w:t>
      </w:r>
      <w:r>
        <w:rPr>
          <w:lang w:eastAsia="ru-RU"/>
        </w:rPr>
        <w:tab/>
        <w:t>собирать, запрашивать, получать и обмениваться информацией и сообщениями из всех соответствующих источников, включая правительства, заинтересованные лица и их семьи, представителей и организации, в том числе посредством посещения стран с согласия соответствующих правительств, отн</w:t>
      </w:r>
      <w:r>
        <w:rPr>
          <w:lang w:eastAsia="ru-RU"/>
        </w:rPr>
        <w:t>о</w:t>
      </w:r>
      <w:r>
        <w:rPr>
          <w:lang w:eastAsia="ru-RU"/>
        </w:rPr>
        <w:t>сительно утверждений о нарушениях прав человека и основных свобод в усл</w:t>
      </w:r>
      <w:r>
        <w:rPr>
          <w:lang w:eastAsia="ru-RU"/>
        </w:rPr>
        <w:t>о</w:t>
      </w:r>
      <w:r>
        <w:rPr>
          <w:lang w:eastAsia="ru-RU"/>
        </w:rPr>
        <w:t>виях борьбы с терроризмом;</w:t>
      </w:r>
    </w:p>
    <w:p w:rsidR="001206E7" w:rsidRDefault="001206E7">
      <w:pPr>
        <w:pStyle w:val="SingleTxtGR"/>
        <w:rPr>
          <w:lang w:eastAsia="ru-RU"/>
        </w:rPr>
      </w:pPr>
      <w:r>
        <w:rPr>
          <w:lang w:eastAsia="ru-RU"/>
        </w:rPr>
        <w:tab/>
      </w:r>
      <w:r>
        <w:rPr>
          <w:lang w:val="en-US" w:eastAsia="ru-RU"/>
        </w:rPr>
        <w:t>c</w:t>
      </w:r>
      <w:r>
        <w:rPr>
          <w:lang w:eastAsia="ru-RU"/>
        </w:rPr>
        <w:t>)</w:t>
      </w:r>
      <w:r>
        <w:rPr>
          <w:lang w:eastAsia="ru-RU"/>
        </w:rPr>
        <w:tab/>
        <w:t>учитывать гендерные аспекты в рамках всей деятельности, охват</w:t>
      </w:r>
      <w:r>
        <w:rPr>
          <w:lang w:eastAsia="ru-RU"/>
        </w:rPr>
        <w:t>ы</w:t>
      </w:r>
      <w:r>
        <w:rPr>
          <w:lang w:eastAsia="ru-RU"/>
        </w:rPr>
        <w:t>ваемой его/ее мандатом;</w:t>
      </w:r>
    </w:p>
    <w:p w:rsidR="001206E7" w:rsidRDefault="001206E7">
      <w:pPr>
        <w:pStyle w:val="SingleTxtGR"/>
        <w:rPr>
          <w:lang w:eastAsia="ru-RU"/>
        </w:rPr>
      </w:pPr>
      <w:r>
        <w:rPr>
          <w:lang w:eastAsia="ru-RU"/>
        </w:rPr>
        <w:tab/>
      </w:r>
      <w:r>
        <w:rPr>
          <w:lang w:val="en-US" w:eastAsia="ru-RU"/>
        </w:rPr>
        <w:t>d</w:t>
      </w:r>
      <w:r>
        <w:rPr>
          <w:lang w:eastAsia="ru-RU"/>
        </w:rPr>
        <w:t>)</w:t>
      </w:r>
      <w:r>
        <w:rPr>
          <w:lang w:eastAsia="ru-RU"/>
        </w:rPr>
        <w:tab/>
        <w:t>выявлять, обмениваться и содействовать распространению на</w:t>
      </w:r>
      <w:r>
        <w:rPr>
          <w:lang w:eastAsia="ru-RU"/>
        </w:rPr>
        <w:t>и</w:t>
      </w:r>
      <w:r>
        <w:rPr>
          <w:lang w:eastAsia="ru-RU"/>
        </w:rPr>
        <w:t>лучших практических методов борьбы с терроризмом, обеспечивающих уваж</w:t>
      </w:r>
      <w:r>
        <w:rPr>
          <w:lang w:eastAsia="ru-RU"/>
        </w:rPr>
        <w:t>е</w:t>
      </w:r>
      <w:r>
        <w:rPr>
          <w:lang w:eastAsia="ru-RU"/>
        </w:rPr>
        <w:t>ние прав человека и основных свобод;</w:t>
      </w:r>
    </w:p>
    <w:p w:rsidR="001206E7" w:rsidRDefault="001206E7">
      <w:pPr>
        <w:pStyle w:val="SingleTxtGR"/>
        <w:rPr>
          <w:lang w:eastAsia="ru-RU"/>
        </w:rPr>
      </w:pPr>
      <w:r>
        <w:rPr>
          <w:lang w:eastAsia="ru-RU"/>
        </w:rPr>
        <w:tab/>
      </w:r>
      <w:r>
        <w:rPr>
          <w:lang w:val="en-US" w:eastAsia="ru-RU"/>
        </w:rPr>
        <w:t>e</w:t>
      </w:r>
      <w:r>
        <w:rPr>
          <w:lang w:eastAsia="ru-RU"/>
        </w:rPr>
        <w:t>)</w:t>
      </w:r>
      <w:r>
        <w:rPr>
          <w:lang w:eastAsia="ru-RU"/>
        </w:rPr>
        <w:tab/>
        <w:t>действовать в тесной координации с другими соответствующими органами и механизмами Организации Объединенных Наций, и в особенности с другими специальными процедурами Совета, в целях активизации деятельн</w:t>
      </w:r>
      <w:r>
        <w:rPr>
          <w:lang w:eastAsia="ru-RU"/>
        </w:rPr>
        <w:t>о</w:t>
      </w:r>
      <w:r>
        <w:rPr>
          <w:lang w:eastAsia="ru-RU"/>
        </w:rPr>
        <w:t>сти по поощрению и защите прав человека и основных св</w:t>
      </w:r>
      <w:r>
        <w:rPr>
          <w:lang w:eastAsia="ru-RU"/>
        </w:rPr>
        <w:t>о</w:t>
      </w:r>
      <w:r>
        <w:rPr>
          <w:lang w:eastAsia="ru-RU"/>
        </w:rPr>
        <w:t>бод, избегая при этом ненужного дублирования усилий;</w:t>
      </w:r>
    </w:p>
    <w:p w:rsidR="001206E7" w:rsidRDefault="001206E7">
      <w:pPr>
        <w:pStyle w:val="SingleTxtGR"/>
        <w:rPr>
          <w:lang w:eastAsia="ru-RU"/>
        </w:rPr>
      </w:pPr>
      <w:r>
        <w:rPr>
          <w:lang w:eastAsia="ru-RU"/>
        </w:rPr>
        <w:tab/>
      </w:r>
      <w:r>
        <w:rPr>
          <w:lang w:val="en-US" w:eastAsia="ru-RU"/>
        </w:rPr>
        <w:t>f</w:t>
      </w:r>
      <w:r>
        <w:rPr>
          <w:lang w:eastAsia="ru-RU"/>
        </w:rPr>
        <w:t>)</w:t>
      </w:r>
      <w:r>
        <w:rPr>
          <w:lang w:eastAsia="ru-RU"/>
        </w:rPr>
        <w:tab/>
        <w:t>налаживать регулярный диалог и обсуждать возможные области с</w:t>
      </w:r>
      <w:r>
        <w:rPr>
          <w:lang w:eastAsia="ru-RU"/>
        </w:rPr>
        <w:t>о</w:t>
      </w:r>
      <w:r>
        <w:rPr>
          <w:lang w:eastAsia="ru-RU"/>
        </w:rPr>
        <w:t>трудничества с правительствами и всеми соответствующими субъектами, вкл</w:t>
      </w:r>
      <w:r>
        <w:rPr>
          <w:lang w:eastAsia="ru-RU"/>
        </w:rPr>
        <w:t>ю</w:t>
      </w:r>
      <w:r>
        <w:rPr>
          <w:lang w:eastAsia="ru-RU"/>
        </w:rPr>
        <w:t>чая соответствующие органы, специализированные учреждения и программы Организации Объединенных Наций, в частности с Контртеррористическим к</w:t>
      </w:r>
      <w:r>
        <w:rPr>
          <w:lang w:eastAsia="ru-RU"/>
        </w:rPr>
        <w:t>о</w:t>
      </w:r>
      <w:r>
        <w:rPr>
          <w:lang w:eastAsia="ru-RU"/>
        </w:rPr>
        <w:t xml:space="preserve">митетом Совета Безопасности, включая его Исполнительный директорат, </w:t>
      </w:r>
      <w:r>
        <w:rPr>
          <w:lang w:eastAsia="ru-RU"/>
        </w:rPr>
        <w:br/>
        <w:t>Целевой группой по осуществлению контртеррористических мероприятий, Управлением Верховного комиссара Организации Объ</w:t>
      </w:r>
      <w:r>
        <w:rPr>
          <w:lang w:eastAsia="ru-RU"/>
        </w:rPr>
        <w:t>е</w:t>
      </w:r>
      <w:r>
        <w:rPr>
          <w:lang w:eastAsia="ru-RU"/>
        </w:rPr>
        <w:t>диненных Наций по правам человека, Сектором по предупреждению терроризма Управления Орг</w:t>
      </w:r>
      <w:r>
        <w:rPr>
          <w:lang w:eastAsia="ru-RU"/>
        </w:rPr>
        <w:t>а</w:t>
      </w:r>
      <w:r>
        <w:rPr>
          <w:lang w:eastAsia="ru-RU"/>
        </w:rPr>
        <w:t>низации Объединенных Наций по наркотикам и преступности и договорными органами, а также с неправительственными организациями и другими реги</w:t>
      </w:r>
      <w:r>
        <w:rPr>
          <w:lang w:eastAsia="ru-RU"/>
        </w:rPr>
        <w:t>о</w:t>
      </w:r>
      <w:r>
        <w:rPr>
          <w:lang w:eastAsia="ru-RU"/>
        </w:rPr>
        <w:t>нальными или субрегиональными международными учреждениями, учитывая при этом сферу охв</w:t>
      </w:r>
      <w:r>
        <w:rPr>
          <w:lang w:eastAsia="ru-RU"/>
        </w:rPr>
        <w:t>а</w:t>
      </w:r>
      <w:r>
        <w:rPr>
          <w:lang w:eastAsia="ru-RU"/>
        </w:rPr>
        <w:t>та его/ее мандата и в полной мере уважая соответствующие мандаты вышеупомянутых органов и преследуя цель избегать дублирования усилий;</w:t>
      </w:r>
    </w:p>
    <w:p w:rsidR="001206E7" w:rsidRDefault="001206E7">
      <w:pPr>
        <w:pStyle w:val="SingleTxtGR"/>
        <w:rPr>
          <w:lang w:eastAsia="ru-RU"/>
        </w:rPr>
      </w:pPr>
      <w:r>
        <w:rPr>
          <w:lang w:eastAsia="ru-RU"/>
        </w:rPr>
        <w:tab/>
      </w:r>
      <w:r>
        <w:rPr>
          <w:lang w:val="en-US" w:eastAsia="ru-RU"/>
        </w:rPr>
        <w:t>g</w:t>
      </w:r>
      <w:r>
        <w:rPr>
          <w:lang w:eastAsia="ru-RU"/>
        </w:rPr>
        <w:t>)</w:t>
      </w:r>
      <w:r>
        <w:rPr>
          <w:lang w:eastAsia="ru-RU"/>
        </w:rPr>
        <w:tab/>
        <w:t>регулярно представлять доклады Совету и Генеральной Ассамблее;</w:t>
      </w:r>
    </w:p>
    <w:p w:rsidR="001206E7" w:rsidRDefault="001206E7">
      <w:pPr>
        <w:pStyle w:val="SingleTxtGR"/>
        <w:rPr>
          <w:lang w:eastAsia="ru-RU"/>
        </w:rPr>
      </w:pPr>
      <w:r>
        <w:rPr>
          <w:lang w:eastAsia="ru-RU"/>
        </w:rPr>
        <w:tab/>
        <w:t>3.</w:t>
      </w:r>
      <w:r>
        <w:rPr>
          <w:lang w:eastAsia="ru-RU"/>
        </w:rPr>
        <w:tab/>
      </w:r>
      <w:r>
        <w:rPr>
          <w:i/>
          <w:lang w:eastAsia="ru-RU"/>
        </w:rPr>
        <w:t>просит</w:t>
      </w:r>
      <w:r>
        <w:rPr>
          <w:lang w:eastAsia="ru-RU"/>
        </w:rPr>
        <w:t xml:space="preserve"> все правительства в полной мере сотрудничать со Спец</w:t>
      </w:r>
      <w:r>
        <w:rPr>
          <w:lang w:eastAsia="ru-RU"/>
        </w:rPr>
        <w:t>и</w:t>
      </w:r>
      <w:r>
        <w:rPr>
          <w:lang w:eastAsia="ru-RU"/>
        </w:rPr>
        <w:t>альным докладчиком в деле выполнения возложенных на него/нее задач и об</w:t>
      </w:r>
      <w:r>
        <w:rPr>
          <w:lang w:eastAsia="ru-RU"/>
        </w:rPr>
        <w:t>я</w:t>
      </w:r>
      <w:r>
        <w:rPr>
          <w:lang w:eastAsia="ru-RU"/>
        </w:rPr>
        <w:t xml:space="preserve">занностей, в том числе посредством незамедлительного реагирования на </w:t>
      </w:r>
      <w:r>
        <w:rPr>
          <w:lang w:eastAsia="ru-RU"/>
        </w:rPr>
        <w:br/>
        <w:t>настоятельные призывы Специального докладчика и представления запраш</w:t>
      </w:r>
      <w:r>
        <w:rPr>
          <w:lang w:eastAsia="ru-RU"/>
        </w:rPr>
        <w:t>и</w:t>
      </w:r>
      <w:r>
        <w:rPr>
          <w:lang w:eastAsia="ru-RU"/>
        </w:rPr>
        <w:t>ваемой информации;</w:t>
      </w:r>
    </w:p>
    <w:p w:rsidR="001206E7" w:rsidRDefault="001206E7">
      <w:pPr>
        <w:pStyle w:val="SingleTxtGR"/>
        <w:rPr>
          <w:lang w:eastAsia="ru-RU"/>
        </w:rPr>
      </w:pPr>
      <w:r>
        <w:rPr>
          <w:lang w:eastAsia="ru-RU"/>
        </w:rPr>
        <w:tab/>
        <w:t>4.</w:t>
      </w:r>
      <w:r>
        <w:rPr>
          <w:lang w:eastAsia="ru-RU"/>
        </w:rPr>
        <w:tab/>
      </w:r>
      <w:r>
        <w:rPr>
          <w:i/>
          <w:lang w:eastAsia="ru-RU"/>
        </w:rPr>
        <w:t>призывает</w:t>
      </w:r>
      <w:r>
        <w:rPr>
          <w:lang w:eastAsia="ru-RU"/>
        </w:rPr>
        <w:t xml:space="preserve"> все правительства серьезно рассмотреть возможность того, чтобы положительно откликнуться на просьбы Специального докладчика о посещении их стран;</w:t>
      </w:r>
    </w:p>
    <w:p w:rsidR="001206E7" w:rsidRDefault="001206E7">
      <w:pPr>
        <w:pStyle w:val="SingleTxtGR"/>
        <w:rPr>
          <w:lang w:eastAsia="ru-RU"/>
        </w:rPr>
      </w:pPr>
      <w:r>
        <w:rPr>
          <w:lang w:eastAsia="ru-RU"/>
        </w:rPr>
        <w:tab/>
        <w:t>5.</w:t>
      </w:r>
      <w:r>
        <w:rPr>
          <w:lang w:eastAsia="ru-RU"/>
        </w:rPr>
        <w:tab/>
      </w:r>
      <w:r>
        <w:rPr>
          <w:i/>
          <w:lang w:eastAsia="ru-RU"/>
        </w:rPr>
        <w:t xml:space="preserve">просит </w:t>
      </w:r>
      <w:r>
        <w:rPr>
          <w:lang w:eastAsia="ru-RU"/>
        </w:rPr>
        <w:t>Генерального секретаря и Верховного комиссара Организ</w:t>
      </w:r>
      <w:r>
        <w:rPr>
          <w:lang w:eastAsia="ru-RU"/>
        </w:rPr>
        <w:t>а</w:t>
      </w:r>
      <w:r>
        <w:rPr>
          <w:lang w:eastAsia="ru-RU"/>
        </w:rPr>
        <w:t>ции Объединенных Наций по правам человека оказывать Специальному до</w:t>
      </w:r>
      <w:r>
        <w:rPr>
          <w:lang w:eastAsia="ru-RU"/>
        </w:rPr>
        <w:t>к</w:t>
      </w:r>
      <w:r>
        <w:rPr>
          <w:lang w:eastAsia="ru-RU"/>
        </w:rPr>
        <w:t>ладчику всю необходимую кадровую, техническую и финансовую помощь для эффективного выполнения им/ею своего мандата;</w:t>
      </w:r>
    </w:p>
    <w:p w:rsidR="001206E7" w:rsidRDefault="001206E7">
      <w:pPr>
        <w:pStyle w:val="SingleTxtGR"/>
        <w:rPr>
          <w:lang w:eastAsia="ru-RU"/>
        </w:rPr>
      </w:pPr>
      <w:r>
        <w:rPr>
          <w:lang w:eastAsia="ru-RU"/>
        </w:rPr>
        <w:tab/>
        <w:t>6.</w:t>
      </w:r>
      <w:r>
        <w:rPr>
          <w:lang w:eastAsia="ru-RU"/>
        </w:rPr>
        <w:tab/>
      </w:r>
      <w:r>
        <w:rPr>
          <w:i/>
          <w:lang w:eastAsia="ru-RU"/>
        </w:rPr>
        <w:t>постановляет</w:t>
      </w:r>
      <w:r>
        <w:rPr>
          <w:lang w:eastAsia="ru-RU"/>
        </w:rPr>
        <w:t xml:space="preserve"> продолжить рассмотрение этого вопроса в соотве</w:t>
      </w:r>
      <w:r>
        <w:rPr>
          <w:lang w:eastAsia="ru-RU"/>
        </w:rPr>
        <w:t>т</w:t>
      </w:r>
      <w:r>
        <w:rPr>
          <w:lang w:eastAsia="ru-RU"/>
        </w:rPr>
        <w:t>ствии со своей годовой программой работы.</w:t>
      </w:r>
    </w:p>
    <w:p w:rsidR="00064DDA" w:rsidRDefault="00064DDA" w:rsidP="00064DDA">
      <w:pPr>
        <w:pStyle w:val="SingleTxtGR"/>
        <w:jc w:val="right"/>
        <w:rPr>
          <w:lang w:eastAsia="ru-RU"/>
        </w:rPr>
      </w:pPr>
      <w:r>
        <w:rPr>
          <w:i/>
        </w:rPr>
        <w:t>31-е заседание</w:t>
      </w:r>
      <w:r>
        <w:rPr>
          <w:i/>
        </w:rPr>
        <w:br/>
        <w:t>30 сентября 2010 года</w:t>
      </w:r>
      <w:r w:rsidRPr="00E955F9">
        <w:rPr>
          <w:i/>
        </w:rPr>
        <w:br/>
      </w:r>
      <w:r>
        <w:sym w:font="Symbol" w:char="F05B"/>
      </w:r>
      <w:r>
        <w:t>Принята без голосования.</w:t>
      </w:r>
      <w:r>
        <w:sym w:font="Symbol" w:char="F05D"/>
      </w:r>
    </w:p>
    <w:p w:rsidR="001206E7" w:rsidRDefault="001206E7">
      <w:pPr>
        <w:spacing w:before="240"/>
        <w:jc w:val="center"/>
        <w:rPr>
          <w:u w:val="single"/>
          <w:lang w:eastAsia="ru-RU"/>
        </w:rPr>
      </w:pPr>
      <w:r>
        <w:rPr>
          <w:u w:val="single"/>
          <w:lang w:eastAsia="ru-RU"/>
        </w:rPr>
        <w:tab/>
      </w:r>
      <w:r>
        <w:rPr>
          <w:u w:val="single"/>
          <w:lang w:eastAsia="ru-RU"/>
        </w:rPr>
        <w:tab/>
      </w:r>
      <w:r>
        <w:rPr>
          <w:u w:val="single"/>
          <w:lang w:eastAsia="ru-RU"/>
        </w:rPr>
        <w:tab/>
      </w:r>
    </w:p>
    <w:sectPr w:rsidR="001206E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type w:val="continuous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313D" w:rsidRDefault="003D313D">
      <w:r>
        <w:rPr>
          <w:lang w:val="en-US"/>
        </w:rPr>
        <w:tab/>
      </w:r>
      <w:r>
        <w:separator/>
      </w:r>
    </w:p>
  </w:endnote>
  <w:endnote w:type="continuationSeparator" w:id="0">
    <w:p w:rsidR="003D313D" w:rsidRDefault="003D31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313D" w:rsidRDefault="003D313D">
    <w:pPr>
      <w:pStyle w:val="Footer"/>
      <w:tabs>
        <w:tab w:val="right" w:pos="9598"/>
      </w:tabs>
    </w:pP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 w:rsidR="00DC3B63">
      <w:rPr>
        <w:b/>
        <w:noProof/>
        <w:sz w:val="18"/>
      </w:rPr>
      <w:t>2</w:t>
    </w:r>
    <w:r>
      <w:rPr>
        <w:b/>
        <w:sz w:val="18"/>
      </w:rPr>
      <w:fldChar w:fldCharType="end"/>
    </w:r>
    <w:r>
      <w:rPr>
        <w:sz w:val="18"/>
      </w:rPr>
      <w:tab/>
    </w:r>
    <w:r>
      <w:t>GE.10-16</w:t>
    </w:r>
    <w:r w:rsidR="002F34BD">
      <w:rPr>
        <w:lang w:val="ru-RU"/>
      </w:rPr>
      <w:t>730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313D" w:rsidRDefault="003D313D">
    <w:pPr>
      <w:pStyle w:val="Footer"/>
      <w:tabs>
        <w:tab w:val="right" w:pos="9598"/>
      </w:tabs>
      <w:rPr>
        <w:b/>
        <w:sz w:val="18"/>
      </w:rPr>
    </w:pPr>
    <w:r>
      <w:t>GE.10-16</w:t>
    </w:r>
    <w:r w:rsidR="002F34BD">
      <w:rPr>
        <w:lang w:val="ru-RU"/>
      </w:rPr>
      <w:t>730</w:t>
    </w:r>
    <w:r>
      <w:tab/>
    </w: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 w:rsidR="00DC3B63">
      <w:rPr>
        <w:b/>
        <w:noProof/>
        <w:sz w:val="18"/>
      </w:rPr>
      <w:t>3</w:t>
    </w:r>
    <w:r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313D" w:rsidRDefault="003D313D">
    <w:pPr>
      <w:pStyle w:val="Footer"/>
      <w:rPr>
        <w:lang w:val="ru-RU"/>
      </w:rPr>
    </w:pPr>
    <w:r>
      <w:rPr>
        <w:sz w:val="20"/>
      </w:rPr>
      <w:t>GE.10-16</w:t>
    </w:r>
    <w:r>
      <w:rPr>
        <w:noProof/>
        <w:lang w:val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269.35pt;margin-top:-8.5pt;width:212.8pt;height:18pt;z-index:1;mso-position-horizontal-relative:text;mso-position-vertical-relative:text">
          <v:imagedata r:id="rId1" o:title="recycle_Russian"/>
        </v:shape>
      </w:pict>
    </w:r>
    <w:r w:rsidR="002F34BD">
      <w:rPr>
        <w:sz w:val="20"/>
        <w:lang w:val="ru-RU"/>
      </w:rPr>
      <w:t>730</w:t>
    </w:r>
    <w:r>
      <w:rPr>
        <w:sz w:val="20"/>
      </w:rPr>
      <w:t xml:space="preserve">  (R)</w:t>
    </w:r>
    <w:r>
      <w:rPr>
        <w:sz w:val="20"/>
        <w:lang w:val="ru-RU"/>
      </w:rPr>
      <w:t xml:space="preserve">    </w:t>
    </w:r>
    <w:r w:rsidR="002F34BD">
      <w:rPr>
        <w:sz w:val="20"/>
        <w:lang w:val="ru-RU"/>
      </w:rPr>
      <w:t>141010  141010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313D" w:rsidRDefault="003D313D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3D313D" w:rsidRDefault="003D313D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>
        <w:rPr>
          <w:u w:val="single"/>
          <w:lang w:val="en-US"/>
        </w:rPr>
        <w:tab/>
      </w:r>
    </w:p>
    <w:p w:rsidR="003D313D" w:rsidRDefault="003D313D">
      <w:pPr>
        <w:pStyle w:val="Footer"/>
      </w:pPr>
    </w:p>
  </w:footnote>
  <w:footnote w:id="1">
    <w:p w:rsidR="003D313D" w:rsidRPr="003D313D" w:rsidRDefault="003D313D">
      <w:pPr>
        <w:pStyle w:val="FootnoteText"/>
        <w:rPr>
          <w:sz w:val="20"/>
          <w:lang w:val="ru-RU"/>
        </w:rPr>
      </w:pPr>
      <w:r>
        <w:tab/>
      </w:r>
      <w:r w:rsidRPr="003D313D">
        <w:rPr>
          <w:rStyle w:val="FootnoteReference"/>
          <w:sz w:val="20"/>
          <w:vertAlign w:val="baseline"/>
          <w:lang w:val="ru-RU"/>
        </w:rPr>
        <w:t>*</w:t>
      </w:r>
      <w:r w:rsidRPr="003D313D">
        <w:rPr>
          <w:lang w:val="ru-RU"/>
        </w:rPr>
        <w:tab/>
      </w:r>
      <w:r>
        <w:rPr>
          <w:lang w:val="ru-RU"/>
        </w:rPr>
        <w:t>Резолюции и решения, принятые Советом по правам человека, будут включены в</w:t>
      </w:r>
      <w:r>
        <w:rPr>
          <w:lang w:val="en-US"/>
        </w:rPr>
        <w:t> </w:t>
      </w:r>
      <w:r>
        <w:rPr>
          <w:lang w:val="ru-RU"/>
        </w:rPr>
        <w:t>доклад Совета о работе его пятнадцатой сессии (A/HRC/15/60), глава I.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313D" w:rsidRDefault="003D313D">
    <w:pPr>
      <w:pStyle w:val="Header"/>
    </w:pPr>
    <w:r>
      <w:t>A/HRC/</w:t>
    </w:r>
    <w:r w:rsidR="002F34BD">
      <w:rPr>
        <w:lang w:val="en-US"/>
      </w:rPr>
      <w:t>RES/15/15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313D" w:rsidRDefault="003D313D">
    <w:pPr>
      <w:pStyle w:val="Header"/>
      <w:jc w:val="right"/>
    </w:pPr>
    <w:r>
      <w:t>A/HRC/</w:t>
    </w:r>
    <w:r w:rsidR="002F34BD">
      <w:rPr>
        <w:lang w:val="en-US"/>
      </w:rPr>
      <w:t>RES/15/15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efaultTabStop w:val="567"/>
  <w:autoHyphenation/>
  <w:hyphenationZone w:val="357"/>
  <w:doNotHyphenateCaps/>
  <w:evenAndOddHeaders/>
  <w:drawingGridHorizontalSpacing w:val="209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6E04"/>
    <w:rsid w:val="00064DDA"/>
    <w:rsid w:val="001206E7"/>
    <w:rsid w:val="002F34BD"/>
    <w:rsid w:val="003D313D"/>
    <w:rsid w:val="005A2B29"/>
    <w:rsid w:val="00DC3B63"/>
    <w:rsid w:val="00E56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</w:style>
  <w:style w:type="paragraph" w:customStyle="1" w:styleId="SLGR">
    <w:name w:val="__S_L_GR"/>
    <w:basedOn w:val="Normal"/>
    <w:next w:val="Normal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pPr>
      <w:numPr>
        <w:numId w:val="4"/>
      </w:numPr>
    </w:pPr>
  </w:style>
  <w:style w:type="numbering" w:styleId="1ai">
    <w:name w:val="Outline List 1"/>
    <w:basedOn w:val="NoList"/>
    <w:semiHidden/>
    <w:pPr>
      <w:numPr>
        <w:numId w:val="5"/>
      </w:numPr>
    </w:p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</w:style>
  <w:style w:type="paragraph" w:styleId="ListBullet5">
    <w:name w:val="List Bullet 5"/>
    <w:basedOn w:val="Normal"/>
    <w:semiHidden/>
    <w:pPr>
      <w:numPr>
        <w:numId w:val="10"/>
      </w:numPr>
    </w:pPr>
  </w:style>
  <w:style w:type="table" w:styleId="TableGrid">
    <w:name w:val="Table Grid"/>
    <w:basedOn w:val="TableNormal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</w:style>
  <w:style w:type="paragraph" w:styleId="FootnoteText">
    <w:name w:val="footnote text"/>
    <w:aliases w:val="5_GR"/>
    <w:basedOn w:val="Normal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</w:style>
  <w:style w:type="table" w:styleId="TableWeb1">
    <w:name w:val="Table Web 1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Pr>
      <w:i/>
      <w:iCs/>
    </w:rPr>
  </w:style>
  <w:style w:type="paragraph" w:styleId="NoteHeading">
    <w:name w:val="Note Heading"/>
    <w:basedOn w:val="Normal"/>
    <w:next w:val="Normal"/>
    <w:semiHidden/>
  </w:style>
  <w:style w:type="table" w:styleId="TableElegant">
    <w:name w:val="Table Elegant"/>
    <w:basedOn w:val="TableNormal"/>
    <w:semiHidden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ListBullet">
    <w:name w:val="List Bullet"/>
    <w:basedOn w:val="Normal"/>
    <w:semiHidden/>
    <w:pPr>
      <w:numPr>
        <w:numId w:val="6"/>
      </w:numPr>
    </w:pPr>
  </w:style>
  <w:style w:type="paragraph" w:styleId="ListBullet2">
    <w:name w:val="List Bullet 2"/>
    <w:basedOn w:val="Normal"/>
    <w:semiHidden/>
    <w:pPr>
      <w:numPr>
        <w:numId w:val="7"/>
      </w:numPr>
    </w:pPr>
  </w:style>
  <w:style w:type="paragraph" w:styleId="ListBullet3">
    <w:name w:val="List Bullet 3"/>
    <w:basedOn w:val="Normal"/>
    <w:semiHidden/>
    <w:pPr>
      <w:numPr>
        <w:numId w:val="8"/>
      </w:numPr>
    </w:pPr>
  </w:style>
  <w:style w:type="paragraph" w:styleId="ListBullet4">
    <w:name w:val="List Bullet 4"/>
    <w:basedOn w:val="Normal"/>
    <w:semiHidden/>
    <w:pPr>
      <w:numPr>
        <w:numId w:val="9"/>
      </w:numPr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</w:style>
  <w:style w:type="paragraph" w:styleId="ListNumber">
    <w:name w:val="List Number"/>
    <w:basedOn w:val="Normal"/>
    <w:semiHidden/>
    <w:pPr>
      <w:numPr>
        <w:numId w:val="11"/>
      </w:numPr>
    </w:pPr>
  </w:style>
  <w:style w:type="paragraph" w:styleId="ListNumber2">
    <w:name w:val="List Number 2"/>
    <w:basedOn w:val="Normal"/>
    <w:semiHidden/>
    <w:pPr>
      <w:numPr>
        <w:numId w:val="12"/>
      </w:numPr>
    </w:pPr>
  </w:style>
  <w:style w:type="paragraph" w:styleId="ListNumber3">
    <w:name w:val="List Number 3"/>
    <w:basedOn w:val="Normal"/>
    <w:semiHidden/>
    <w:pPr>
      <w:numPr>
        <w:numId w:val="13"/>
      </w:numPr>
    </w:pPr>
  </w:style>
  <w:style w:type="paragraph" w:styleId="ListNumber4">
    <w:name w:val="List Number 4"/>
    <w:basedOn w:val="Normal"/>
    <w:semiHidden/>
    <w:pPr>
      <w:numPr>
        <w:numId w:val="14"/>
      </w:numPr>
    </w:pPr>
  </w:style>
  <w:style w:type="paragraph" w:styleId="ListNumber5">
    <w:name w:val="List Number 5"/>
    <w:basedOn w:val="Normal"/>
    <w:semiHidden/>
    <w:pPr>
      <w:numPr>
        <w:numId w:val="15"/>
      </w:numPr>
    </w:pPr>
  </w:style>
  <w:style w:type="character" w:styleId="HTMLSample">
    <w:name w:val="HTML Sample"/>
    <w:semiHidden/>
    <w:rPr>
      <w:rFonts w:ascii="Courier New" w:hAnsi="Courier New" w:cs="Courier New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table" w:styleId="Table3Deffects1">
    <w:name w:val="Table 3D effects 1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Pr>
      <w:sz w:val="24"/>
    </w:rPr>
  </w:style>
  <w:style w:type="paragraph" w:styleId="NormalIndent">
    <w:name w:val="Normal Indent"/>
    <w:basedOn w:val="Normal"/>
    <w:semiHidden/>
    <w:pPr>
      <w:ind w:left="567"/>
    </w:pPr>
  </w:style>
  <w:style w:type="character" w:styleId="HTMLDefinition">
    <w:name w:val="HTML Definition"/>
    <w:semiHidden/>
    <w:rPr>
      <w:i/>
      <w:iCs/>
    </w:rPr>
  </w:style>
  <w:style w:type="paragraph" w:styleId="BodyText2">
    <w:name w:val="Body Text 2"/>
    <w:basedOn w:val="Normal"/>
    <w:semiHidden/>
    <w:pPr>
      <w:spacing w:line="480" w:lineRule="auto"/>
    </w:pPr>
  </w:style>
  <w:style w:type="paragraph" w:styleId="BodyText3">
    <w:name w:val="Body Text 3"/>
    <w:basedOn w:val="Normal"/>
    <w:semiHidden/>
    <w:rPr>
      <w:sz w:val="16"/>
      <w:szCs w:val="16"/>
    </w:rPr>
  </w:style>
  <w:style w:type="paragraph" w:styleId="BodyTextIndent2">
    <w:name w:val="Body Text Indent 2"/>
    <w:basedOn w:val="Normal"/>
    <w:semiHidden/>
    <w:pPr>
      <w:spacing w:line="480" w:lineRule="auto"/>
      <w:ind w:left="283"/>
    </w:pPr>
  </w:style>
  <w:style w:type="paragraph" w:styleId="BodyTextIndent3">
    <w:name w:val="Body Text Indent 3"/>
    <w:basedOn w:val="Normal"/>
    <w:semiHidden/>
    <w:pPr>
      <w:ind w:left="283"/>
    </w:pPr>
    <w:rPr>
      <w:sz w:val="16"/>
      <w:szCs w:val="16"/>
    </w:rPr>
  </w:style>
  <w:style w:type="character" w:styleId="HTMLVariable">
    <w:name w:val="HTML Variable"/>
    <w:semiHidden/>
    <w:rPr>
      <w:i/>
      <w:iCs/>
    </w:rPr>
  </w:style>
  <w:style w:type="character" w:styleId="HTMLTypewriter">
    <w:name w:val="HTML Typewriter"/>
    <w:semiHidden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pPr>
      <w:ind w:left="4252"/>
    </w:pPr>
  </w:style>
  <w:style w:type="paragraph" w:styleId="Salutation">
    <w:name w:val="Salutation"/>
    <w:basedOn w:val="Normal"/>
    <w:next w:val="Normal"/>
    <w:semiHidden/>
  </w:style>
  <w:style w:type="paragraph" w:styleId="ListContinue">
    <w:name w:val="List Continue"/>
    <w:basedOn w:val="Normal"/>
    <w:semiHidden/>
    <w:pPr>
      <w:ind w:left="283"/>
    </w:pPr>
  </w:style>
  <w:style w:type="paragraph" w:styleId="ListContinue2">
    <w:name w:val="List Continue 2"/>
    <w:basedOn w:val="Normal"/>
    <w:semiHidden/>
    <w:pPr>
      <w:ind w:left="566"/>
    </w:pPr>
  </w:style>
  <w:style w:type="paragraph" w:styleId="ListContinue3">
    <w:name w:val="List Continue 3"/>
    <w:basedOn w:val="Normal"/>
    <w:semiHidden/>
    <w:pPr>
      <w:ind w:left="849"/>
    </w:pPr>
  </w:style>
  <w:style w:type="paragraph" w:styleId="ListContinue4">
    <w:name w:val="List Continue 4"/>
    <w:basedOn w:val="Normal"/>
    <w:semiHidden/>
    <w:pPr>
      <w:ind w:left="1132"/>
    </w:pPr>
  </w:style>
  <w:style w:type="paragraph" w:styleId="ListContinue5">
    <w:name w:val="List Continue 5"/>
    <w:basedOn w:val="Normal"/>
    <w:semiHidden/>
    <w:pPr>
      <w:ind w:left="1415"/>
    </w:pPr>
  </w:style>
  <w:style w:type="character" w:styleId="FollowedHyperlink">
    <w:name w:val="FollowedHyperlink"/>
    <w:semiHidden/>
    <w:rPr>
      <w:color w:val="800080"/>
      <w:u w:val="single"/>
    </w:rPr>
  </w:style>
  <w:style w:type="table" w:styleId="TableSimple2">
    <w:name w:val="Table Simple 2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pPr>
      <w:ind w:left="4252"/>
    </w:pPr>
  </w:style>
  <w:style w:type="table" w:styleId="TableGrid1">
    <w:name w:val="Table Grid 1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numbering" w:styleId="ArticleSection">
    <w:name w:val="Outline List 3"/>
    <w:basedOn w:val="NoList"/>
    <w:semiHidden/>
    <w:pPr>
      <w:numPr>
        <w:numId w:val="16"/>
      </w:numPr>
    </w:pPr>
  </w:style>
  <w:style w:type="table" w:styleId="TableColumns1">
    <w:name w:val="Table Columns 1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Pr>
      <w:b/>
      <w:bCs/>
    </w:rPr>
  </w:style>
  <w:style w:type="table" w:styleId="TableList1">
    <w:name w:val="Table List 1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pPr>
      <w:ind w:left="1440" w:right="1440"/>
    </w:pPr>
  </w:style>
  <w:style w:type="character" w:styleId="HTMLCite">
    <w:name w:val="HTML Cite"/>
    <w:semiHidden/>
    <w:rPr>
      <w:i/>
      <w:iCs/>
    </w:rPr>
  </w:style>
  <w:style w:type="paragraph" w:styleId="E-mailSignature">
    <w:name w:val="E-mail Signature"/>
    <w:basedOn w:val="Normal"/>
    <w:semiHidden/>
  </w:style>
  <w:style w:type="character" w:styleId="Hyperlink">
    <w:name w:val="Hyperlink"/>
    <w:semiHidden/>
    <w:rPr>
      <w:color w:val="000000"/>
      <w:u w:val="single"/>
    </w:rPr>
  </w:style>
  <w:style w:type="paragraph" w:customStyle="1" w:styleId="H1GR">
    <w:name w:val="_ H_1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Pr>
      <w:sz w:val="16"/>
      <w:szCs w:val="16"/>
    </w:rPr>
  </w:style>
  <w:style w:type="table" w:customStyle="1" w:styleId="TabNum">
    <w:name w:val="_TabNum"/>
    <w:basedOn w:val="TableNormal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TEMPLATES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</Template>
  <TotalTime>1</TotalTime>
  <Pages>3</Pages>
  <Words>742</Words>
  <Characters>4232</Characters>
  <Application>Microsoft Office Word</Application>
  <DocSecurity>4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16283</vt:lpstr>
    </vt:vector>
  </TitlesOfParts>
  <Company>CSD</Company>
  <LinksUpToDate>false</LinksUpToDate>
  <CharactersWithSpaces>4965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16283</dc:title>
  <dc:subject>ШАЯХМЕТОВ</dc:subject>
  <dc:creator>Людмила ЦЕПЕЛЕВА</dc:creator>
  <cp:keywords/>
  <dc:description/>
  <cp:lastModifiedBy>Anna Blagodatskikh</cp:lastModifiedBy>
  <cp:revision>2</cp:revision>
  <cp:lastPrinted>2010-09-27T13:10:00Z</cp:lastPrinted>
  <dcterms:created xsi:type="dcterms:W3CDTF">2010-10-14T15:22:00Z</dcterms:created>
  <dcterms:modified xsi:type="dcterms:W3CDTF">2010-10-14T15:22:00Z</dcterms:modified>
</cp:coreProperties>
</file>