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93516" w14:paraId="51F0A73A" w14:textId="77777777" w:rsidTr="00CA1AEA">
        <w:trPr>
          <w:cantSplit/>
          <w:trHeight w:hRule="exact" w:val="851"/>
        </w:trPr>
        <w:tc>
          <w:tcPr>
            <w:tcW w:w="1276" w:type="dxa"/>
            <w:tcBorders>
              <w:bottom w:val="single" w:sz="4" w:space="0" w:color="auto"/>
            </w:tcBorders>
            <w:vAlign w:val="bottom"/>
          </w:tcPr>
          <w:p w14:paraId="19607F96" w14:textId="448703F4" w:rsidR="00165C15" w:rsidRDefault="00165C15" w:rsidP="00CA1AEA">
            <w:pPr>
              <w:spacing w:after="80"/>
            </w:pPr>
          </w:p>
        </w:tc>
        <w:tc>
          <w:tcPr>
            <w:tcW w:w="2268" w:type="dxa"/>
            <w:tcBorders>
              <w:bottom w:val="single" w:sz="4" w:space="0" w:color="auto"/>
            </w:tcBorders>
            <w:vAlign w:val="bottom"/>
          </w:tcPr>
          <w:p w14:paraId="260B6726" w14:textId="77777777" w:rsidR="00165C15" w:rsidRPr="00593516" w:rsidRDefault="00165C15" w:rsidP="00CA1AEA">
            <w:pPr>
              <w:spacing w:after="80" w:line="300" w:lineRule="exact"/>
              <w:rPr>
                <w:b/>
                <w:sz w:val="24"/>
                <w:szCs w:val="24"/>
              </w:rPr>
            </w:pPr>
            <w:r w:rsidRPr="00593516">
              <w:rPr>
                <w:sz w:val="28"/>
                <w:szCs w:val="28"/>
              </w:rPr>
              <w:t>United Nations</w:t>
            </w:r>
          </w:p>
        </w:tc>
        <w:tc>
          <w:tcPr>
            <w:tcW w:w="6095" w:type="dxa"/>
            <w:gridSpan w:val="2"/>
            <w:tcBorders>
              <w:bottom w:val="single" w:sz="4" w:space="0" w:color="auto"/>
            </w:tcBorders>
            <w:vAlign w:val="bottom"/>
          </w:tcPr>
          <w:p w14:paraId="1E80E57D" w14:textId="4E89641E" w:rsidR="00165C15" w:rsidRPr="00593516" w:rsidRDefault="00682D5F" w:rsidP="00682D5F">
            <w:pPr>
              <w:suppressAutoHyphens w:val="0"/>
              <w:spacing w:after="20"/>
              <w:jc w:val="right"/>
            </w:pPr>
            <w:r w:rsidRPr="00593516">
              <w:rPr>
                <w:sz w:val="40"/>
              </w:rPr>
              <w:t>CCPR</w:t>
            </w:r>
            <w:r w:rsidRPr="00593516">
              <w:t>/C/DEU/CO/7</w:t>
            </w:r>
            <w:r w:rsidR="00FA3B6F" w:rsidRPr="00593516">
              <w:rPr>
                <w:rStyle w:val="FootnoteReference"/>
              </w:rPr>
              <w:footnoteReference w:customMarkFollows="1" w:id="1"/>
              <w:t>*</w:t>
            </w:r>
          </w:p>
        </w:tc>
      </w:tr>
      <w:tr w:rsidR="00165C15" w:rsidRPr="00593516" w14:paraId="5C848A91" w14:textId="77777777" w:rsidTr="00CA1AEA">
        <w:trPr>
          <w:cantSplit/>
          <w:trHeight w:hRule="exact" w:val="2835"/>
        </w:trPr>
        <w:tc>
          <w:tcPr>
            <w:tcW w:w="1276" w:type="dxa"/>
            <w:tcBorders>
              <w:top w:val="single" w:sz="4" w:space="0" w:color="auto"/>
              <w:bottom w:val="single" w:sz="12" w:space="0" w:color="auto"/>
            </w:tcBorders>
          </w:tcPr>
          <w:p w14:paraId="184C4C77" w14:textId="77777777" w:rsidR="00165C15" w:rsidRPr="00593516" w:rsidRDefault="00165C15" w:rsidP="00CA1AEA">
            <w:pPr>
              <w:spacing w:before="120"/>
            </w:pPr>
            <w:r w:rsidRPr="00593516">
              <w:rPr>
                <w:noProof/>
                <w:lang w:eastAsia="en-GB"/>
              </w:rPr>
              <w:drawing>
                <wp:inline distT="0" distB="0" distL="0" distR="0" wp14:anchorId="320C786F" wp14:editId="2374F7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E3664" w14:textId="77777777" w:rsidR="00165C15" w:rsidRPr="00593516" w:rsidRDefault="00165C15" w:rsidP="00CA1AEA">
            <w:pPr>
              <w:spacing w:before="120" w:line="380" w:lineRule="exact"/>
              <w:rPr>
                <w:sz w:val="34"/>
              </w:rPr>
            </w:pPr>
            <w:r w:rsidRPr="00593516">
              <w:rPr>
                <w:b/>
                <w:sz w:val="34"/>
                <w:szCs w:val="40"/>
              </w:rPr>
              <w:t>International Covenant on</w:t>
            </w:r>
            <w:r w:rsidRPr="00593516">
              <w:rPr>
                <w:b/>
                <w:sz w:val="34"/>
                <w:szCs w:val="40"/>
              </w:rPr>
              <w:br/>
              <w:t>Civil and Political Rights</w:t>
            </w:r>
          </w:p>
        </w:tc>
        <w:tc>
          <w:tcPr>
            <w:tcW w:w="2835" w:type="dxa"/>
            <w:tcBorders>
              <w:top w:val="single" w:sz="4" w:space="0" w:color="auto"/>
              <w:bottom w:val="single" w:sz="12" w:space="0" w:color="auto"/>
            </w:tcBorders>
          </w:tcPr>
          <w:p w14:paraId="1C1966E8" w14:textId="77777777" w:rsidR="00165C15" w:rsidRPr="00593516" w:rsidRDefault="00682D5F" w:rsidP="00682D5F">
            <w:pPr>
              <w:suppressAutoHyphens w:val="0"/>
              <w:spacing w:before="240"/>
            </w:pPr>
            <w:r w:rsidRPr="00593516">
              <w:t>Distr.: General</w:t>
            </w:r>
          </w:p>
          <w:p w14:paraId="158D9E30" w14:textId="1F7CF603" w:rsidR="00682D5F" w:rsidRPr="00593516" w:rsidRDefault="002943CD" w:rsidP="00682D5F">
            <w:pPr>
              <w:suppressAutoHyphens w:val="0"/>
            </w:pPr>
            <w:r w:rsidRPr="00593516">
              <w:t>30</w:t>
            </w:r>
            <w:r w:rsidR="00682D5F" w:rsidRPr="00593516">
              <w:t xml:space="preserve"> November 2021</w:t>
            </w:r>
          </w:p>
          <w:p w14:paraId="74FA4AFC" w14:textId="77777777" w:rsidR="00682D5F" w:rsidRPr="00593516" w:rsidRDefault="00682D5F" w:rsidP="00682D5F">
            <w:pPr>
              <w:suppressAutoHyphens w:val="0"/>
            </w:pPr>
          </w:p>
          <w:p w14:paraId="411BA48D" w14:textId="77777777" w:rsidR="00682D5F" w:rsidRPr="00593516" w:rsidRDefault="00682D5F" w:rsidP="00682D5F">
            <w:pPr>
              <w:suppressAutoHyphens w:val="0"/>
            </w:pPr>
            <w:r w:rsidRPr="00593516">
              <w:t>Original: English</w:t>
            </w:r>
          </w:p>
        </w:tc>
      </w:tr>
    </w:tbl>
    <w:p w14:paraId="4E454B14" w14:textId="77777777" w:rsidR="00682D5F" w:rsidRPr="00593516" w:rsidRDefault="00682D5F" w:rsidP="00682D5F">
      <w:pPr>
        <w:spacing w:before="120"/>
        <w:rPr>
          <w:b/>
          <w:sz w:val="24"/>
        </w:rPr>
      </w:pPr>
      <w:r w:rsidRPr="00593516">
        <w:rPr>
          <w:b/>
          <w:sz w:val="24"/>
        </w:rPr>
        <w:t>Human Rights Committee</w:t>
      </w:r>
    </w:p>
    <w:p w14:paraId="535E1D6C" w14:textId="764F75A9" w:rsidR="00682D5F" w:rsidRPr="00593516" w:rsidRDefault="00682D5F" w:rsidP="00682D5F">
      <w:pPr>
        <w:pStyle w:val="HChG"/>
      </w:pPr>
      <w:r w:rsidRPr="00593516">
        <w:tab/>
      </w:r>
      <w:r w:rsidRPr="00593516">
        <w:tab/>
        <w:t>Concluding observations on the seventh periodic report of Germany</w:t>
      </w:r>
      <w:r w:rsidRPr="00593516">
        <w:rPr>
          <w:rStyle w:val="FootnoteReference"/>
          <w:b w:val="0"/>
          <w:bCs/>
          <w:sz w:val="20"/>
          <w:vertAlign w:val="baseline"/>
        </w:rPr>
        <w:footnoteReference w:customMarkFollows="1" w:id="2"/>
        <w:t>*</w:t>
      </w:r>
      <w:r w:rsidR="00FA3B6F" w:rsidRPr="00593516">
        <w:rPr>
          <w:rStyle w:val="FootnoteReference"/>
          <w:b w:val="0"/>
          <w:bCs/>
          <w:sz w:val="20"/>
          <w:vertAlign w:val="baseline"/>
        </w:rPr>
        <w:t>*</w:t>
      </w:r>
    </w:p>
    <w:p w14:paraId="5C9BAC4C" w14:textId="77777777" w:rsidR="00682D5F" w:rsidRPr="00593516" w:rsidRDefault="00682D5F" w:rsidP="00682D5F">
      <w:pPr>
        <w:pStyle w:val="SingleTxtG"/>
      </w:pPr>
      <w:r w:rsidRPr="00593516">
        <w:t>1.</w:t>
      </w:r>
      <w:r w:rsidRPr="00593516">
        <w:tab/>
        <w:t>The Committee considered the seventh periodic report of Germany</w:t>
      </w:r>
      <w:r w:rsidRPr="00593516">
        <w:rPr>
          <w:rStyle w:val="FootnoteReference"/>
        </w:rPr>
        <w:footnoteReference w:id="3"/>
      </w:r>
      <w:r w:rsidRPr="00593516">
        <w:t xml:space="preserve"> at its 3801st and 3802nd meetings,</w:t>
      </w:r>
      <w:r w:rsidRPr="00593516">
        <w:rPr>
          <w:rStyle w:val="FootnoteReference"/>
        </w:rPr>
        <w:footnoteReference w:id="4"/>
      </w:r>
      <w:r w:rsidRPr="00593516">
        <w:t xml:space="preserve"> held on 11 and 12 October 2021, in hybrid format owing to restrictions imposed in connection with the coronavirus disease (COVID-19) pandemic. At its 3828th meeting, held on 1 November 2021, it adopted the present concluding observations.</w:t>
      </w:r>
    </w:p>
    <w:p w14:paraId="5B2DC74F" w14:textId="2455682D" w:rsidR="00682D5F" w:rsidRPr="00593516" w:rsidRDefault="00682D5F" w:rsidP="0064528D">
      <w:pPr>
        <w:pStyle w:val="H1G"/>
        <w:rPr>
          <w:rFonts w:eastAsia="SimSun"/>
        </w:rPr>
      </w:pPr>
      <w:r w:rsidRPr="00593516">
        <w:rPr>
          <w:rFonts w:eastAsia="SimSun"/>
        </w:rPr>
        <w:tab/>
        <w:t>A.</w:t>
      </w:r>
      <w:r w:rsidRPr="00593516">
        <w:rPr>
          <w:rFonts w:eastAsia="SimSun"/>
        </w:rPr>
        <w:tab/>
        <w:t>Introduction</w:t>
      </w:r>
    </w:p>
    <w:p w14:paraId="06440A87" w14:textId="77777777" w:rsidR="00682D5F" w:rsidRPr="00593516" w:rsidRDefault="00682D5F" w:rsidP="00682D5F">
      <w:pPr>
        <w:tabs>
          <w:tab w:val="left" w:pos="1701"/>
          <w:tab w:val="left" w:pos="2268"/>
        </w:tabs>
        <w:spacing w:after="120"/>
        <w:ind w:left="1134" w:right="1134"/>
        <w:jc w:val="both"/>
        <w:rPr>
          <w:rFonts w:eastAsia="SimSun"/>
          <w:lang w:eastAsia="zh-CN"/>
        </w:rPr>
      </w:pPr>
      <w:r w:rsidRPr="00593516">
        <w:rPr>
          <w:rFonts w:eastAsia="SimSun"/>
          <w:lang w:eastAsia="zh-CN"/>
        </w:rPr>
        <w:t>2.</w:t>
      </w:r>
      <w:r w:rsidRPr="00593516">
        <w:rPr>
          <w:rFonts w:eastAsia="SimSun"/>
          <w:lang w:eastAsia="zh-CN"/>
        </w:rPr>
        <w:tab/>
        <w:t>The Committee welcomes the submission of the seventh periodic report of Germany and the information presented therein. It expresses appreciation for the opportunity to renew its constructive dialogue with the State party’s delegation on the measures taken during the reporting period to implement the provisions of the Covenant. The Committee is grateful to the State party for its written replies</w:t>
      </w:r>
      <w:r w:rsidRPr="00593516">
        <w:rPr>
          <w:rStyle w:val="FootnoteReference"/>
          <w:rFonts w:eastAsia="SimSun"/>
        </w:rPr>
        <w:footnoteReference w:id="5"/>
      </w:r>
      <w:r w:rsidRPr="00593516">
        <w:rPr>
          <w:rFonts w:eastAsia="SimSun"/>
          <w:lang w:eastAsia="zh-CN"/>
        </w:rPr>
        <w:t xml:space="preserve"> to the list of issues prior to reporting,</w:t>
      </w:r>
      <w:r w:rsidRPr="00593516">
        <w:rPr>
          <w:rStyle w:val="FootnoteReference"/>
          <w:rFonts w:eastAsia="SimSun"/>
        </w:rPr>
        <w:footnoteReference w:id="6"/>
      </w:r>
      <w:r w:rsidRPr="00593516">
        <w:rPr>
          <w:rFonts w:eastAsia="SimSun"/>
          <w:lang w:eastAsia="zh-CN"/>
        </w:rPr>
        <w:t xml:space="preserve"> which were supplemented by the oral responses provided by the delegation and for the supplementary information provided to it in writing.</w:t>
      </w:r>
    </w:p>
    <w:p w14:paraId="7B5494F0" w14:textId="77777777" w:rsidR="00682D5F" w:rsidRPr="00593516" w:rsidRDefault="00682D5F" w:rsidP="00682D5F">
      <w:pPr>
        <w:pStyle w:val="H1G"/>
        <w:rPr>
          <w:rFonts w:eastAsiaTheme="minorEastAsia"/>
        </w:rPr>
      </w:pPr>
      <w:r w:rsidRPr="00593516">
        <w:rPr>
          <w:rFonts w:eastAsiaTheme="minorEastAsia"/>
        </w:rPr>
        <w:tab/>
        <w:t>B.</w:t>
      </w:r>
      <w:r w:rsidRPr="00593516">
        <w:rPr>
          <w:rFonts w:eastAsiaTheme="minorEastAsia"/>
        </w:rPr>
        <w:tab/>
        <w:t>Positive aspects</w:t>
      </w:r>
    </w:p>
    <w:p w14:paraId="76E2A85B" w14:textId="0B947C4B" w:rsidR="00682D5F" w:rsidRPr="00593516" w:rsidRDefault="00682D5F" w:rsidP="00682D5F">
      <w:pPr>
        <w:pStyle w:val="SingleTxtG"/>
      </w:pPr>
      <w:r w:rsidRPr="00593516">
        <w:t>3.</w:t>
      </w:r>
      <w:r w:rsidRPr="00593516">
        <w:tab/>
        <w:t>The Committee welcomes the adoption by the State party of the following legislative measures:</w:t>
      </w:r>
    </w:p>
    <w:p w14:paraId="70619DEC" w14:textId="485F5394" w:rsidR="00682D5F" w:rsidRPr="00593516" w:rsidRDefault="002B0E47" w:rsidP="002B0E47">
      <w:pPr>
        <w:pStyle w:val="SingleTxtG"/>
      </w:pPr>
      <w:r w:rsidRPr="00593516">
        <w:tab/>
      </w:r>
      <w:r w:rsidR="00682D5F" w:rsidRPr="00593516">
        <w:t>(a)</w:t>
      </w:r>
      <w:r w:rsidR="00682D5F" w:rsidRPr="00593516">
        <w:tab/>
        <w:t>The Act to Strengthen Non-financial Reporting by Companies in their Management and Group Management Reports in 2017 and the Act on Corporate Due Diligence in Supply Chains, in 2021;</w:t>
      </w:r>
    </w:p>
    <w:p w14:paraId="6BF4521B" w14:textId="135B4E26" w:rsidR="00682D5F" w:rsidRPr="00593516" w:rsidRDefault="002B0E47" w:rsidP="002B0E47">
      <w:pPr>
        <w:pStyle w:val="SingleTxtG"/>
      </w:pPr>
      <w:r w:rsidRPr="00593516">
        <w:tab/>
      </w:r>
      <w:r w:rsidR="00682D5F" w:rsidRPr="00593516">
        <w:t>(b)</w:t>
      </w:r>
      <w:r w:rsidR="00682D5F" w:rsidRPr="00593516">
        <w:tab/>
        <w:t>The ratification of the Council of Europe</w:t>
      </w:r>
      <w:r w:rsidR="008133C8" w:rsidRPr="00593516">
        <w:t xml:space="preserve"> </w:t>
      </w:r>
      <w:r w:rsidR="00682D5F" w:rsidRPr="00593516">
        <w:t>Convention</w:t>
      </w:r>
      <w:r w:rsidR="008133C8" w:rsidRPr="00593516">
        <w:t xml:space="preserve"> </w:t>
      </w:r>
      <w:r w:rsidR="00682D5F" w:rsidRPr="00593516">
        <w:t>on Preventing and Combating Violence against Women and Domestic Violence (Istanbul Convention) and the strengthening of the national legal framework on violence against women, including through the adoption of the Act on Improving Protection against Stalking, in 2017, and the Protection against Violence and Stalking Act, in 2021;</w:t>
      </w:r>
    </w:p>
    <w:p w14:paraId="16FEBAE4" w14:textId="450DCDBC" w:rsidR="00682D5F" w:rsidRPr="00593516" w:rsidRDefault="002B0E47" w:rsidP="002B0E47">
      <w:pPr>
        <w:pStyle w:val="SingleTxtG"/>
      </w:pPr>
      <w:r w:rsidRPr="00593516">
        <w:tab/>
      </w:r>
      <w:r w:rsidR="00682D5F" w:rsidRPr="00593516">
        <w:t>(c)</w:t>
      </w:r>
      <w:r w:rsidR="00682D5F" w:rsidRPr="00593516">
        <w:tab/>
        <w:t>The revision to section 219a of the Criminal Code, which prohibited the advertising of information on abortion, through the promulgation of the Act to Improve Access to Information on Abortion, in 2019;</w:t>
      </w:r>
    </w:p>
    <w:p w14:paraId="455471A7" w14:textId="3D9A6EE0" w:rsidR="00682D5F" w:rsidRPr="00593516" w:rsidRDefault="002B0E47" w:rsidP="002B0E47">
      <w:pPr>
        <w:pStyle w:val="SingleTxtG"/>
      </w:pPr>
      <w:r w:rsidRPr="00593516">
        <w:tab/>
      </w:r>
      <w:r w:rsidR="00682D5F" w:rsidRPr="00593516">
        <w:t>(d)</w:t>
      </w:r>
      <w:r w:rsidR="00682D5F" w:rsidRPr="00593516">
        <w:tab/>
        <w:t>The Climate Change Act, in 2019;</w:t>
      </w:r>
    </w:p>
    <w:p w14:paraId="2D2FC226" w14:textId="689C6F73" w:rsidR="00682D5F" w:rsidRPr="00593516" w:rsidRDefault="002B0E47" w:rsidP="002B0E47">
      <w:pPr>
        <w:pStyle w:val="SingleTxtG"/>
      </w:pPr>
      <w:r w:rsidRPr="00593516">
        <w:lastRenderedPageBreak/>
        <w:tab/>
      </w:r>
      <w:r w:rsidR="00682D5F" w:rsidRPr="00593516">
        <w:t>(e)</w:t>
      </w:r>
      <w:r w:rsidR="00682D5F" w:rsidRPr="00593516">
        <w:tab/>
        <w:t>The Act to Strengthen the Rights of Persons Held in Police Custody, in 2018, the Act to Strengthen the Procedural Rights of Accused Persons in Criminal Proceedings and to Amend the Law on Courts with Lay Judges, in 2017, and the Act to Reform the Law governing Mandatory Legal Representation, in 2019;</w:t>
      </w:r>
    </w:p>
    <w:p w14:paraId="1C3800C7" w14:textId="1B25AE6E" w:rsidR="00682D5F" w:rsidRPr="00593516" w:rsidRDefault="002B0E47" w:rsidP="002B0E47">
      <w:pPr>
        <w:pStyle w:val="SingleTxtG"/>
      </w:pPr>
      <w:r w:rsidRPr="00593516">
        <w:tab/>
      </w:r>
      <w:r w:rsidR="00682D5F" w:rsidRPr="00593516">
        <w:t>(f)</w:t>
      </w:r>
      <w:r w:rsidR="00682D5F" w:rsidRPr="00593516">
        <w:tab/>
        <w:t>The Act to Amend the Federal Elections Act and Other Legislation, in 2019, which removes restrictions on the voting rights of persons with disabilities and persons with diminished criminal responsibility.</w:t>
      </w:r>
    </w:p>
    <w:p w14:paraId="2B828505" w14:textId="77777777" w:rsidR="00682D5F" w:rsidRPr="00593516" w:rsidRDefault="00682D5F" w:rsidP="003459B4">
      <w:pPr>
        <w:pStyle w:val="H1G"/>
        <w:rPr>
          <w:rFonts w:eastAsiaTheme="minorEastAsia"/>
        </w:rPr>
      </w:pPr>
      <w:r w:rsidRPr="00593516">
        <w:rPr>
          <w:rFonts w:eastAsiaTheme="minorEastAsia"/>
        </w:rPr>
        <w:tab/>
        <w:t>C.</w:t>
      </w:r>
      <w:r w:rsidRPr="00593516">
        <w:rPr>
          <w:rFonts w:eastAsiaTheme="minorEastAsia"/>
        </w:rPr>
        <w:tab/>
        <w:t>Principal matters of concern and recommendations</w:t>
      </w:r>
    </w:p>
    <w:p w14:paraId="4935E988" w14:textId="77777777" w:rsidR="00682D5F" w:rsidRPr="00593516" w:rsidRDefault="00682D5F" w:rsidP="00682D5F">
      <w:pPr>
        <w:pStyle w:val="H23G"/>
      </w:pPr>
      <w:r w:rsidRPr="00593516">
        <w:tab/>
      </w:r>
      <w:r w:rsidRPr="00593516">
        <w:tab/>
        <w:t>Reservations</w:t>
      </w:r>
    </w:p>
    <w:p w14:paraId="344CE2A5" w14:textId="1805EE9D" w:rsidR="00682D5F" w:rsidRPr="00593516" w:rsidRDefault="00682D5F" w:rsidP="00682D5F">
      <w:pPr>
        <w:pStyle w:val="SingleTxtG"/>
      </w:pPr>
      <w:r w:rsidRPr="00593516">
        <w:t>4.</w:t>
      </w:r>
      <w:r w:rsidRPr="00593516">
        <w:tab/>
        <w:t xml:space="preserve">The Committee is concerned that the State party maintains </w:t>
      </w:r>
      <w:proofErr w:type="gramStart"/>
      <w:r w:rsidRPr="00593516">
        <w:t>a number of</w:t>
      </w:r>
      <w:proofErr w:type="gramEnd"/>
      <w:r w:rsidRPr="00593516">
        <w:t xml:space="preserve"> reservations, including to article 15 (1) of the Covenant and article 5 (2) (a) of its first Optional Protocol. While it welcomes the statement made by the State party during the interactive dialogue that further consideration would be given to withdrawing those reservations, the Committee is still concerned about the lack of clarity about when such changes may take place and whether all reservations will be withdrawn (art. 2).</w:t>
      </w:r>
    </w:p>
    <w:p w14:paraId="049F9E6D" w14:textId="4F01EDA0" w:rsidR="00682D5F" w:rsidRPr="00593516" w:rsidRDefault="00682D5F" w:rsidP="00682D5F">
      <w:pPr>
        <w:pStyle w:val="SingleTxtG"/>
        <w:rPr>
          <w:b/>
        </w:rPr>
      </w:pPr>
      <w:r w:rsidRPr="00593516">
        <w:t>5.</w:t>
      </w:r>
      <w:r w:rsidRPr="00593516">
        <w:tab/>
      </w:r>
      <w:r w:rsidRPr="00593516">
        <w:rPr>
          <w:b/>
          <w:bCs/>
        </w:rPr>
        <w:t>Recalling its previous recommendation,</w:t>
      </w:r>
      <w:r w:rsidRPr="00593516">
        <w:rPr>
          <w:rStyle w:val="FootnoteReference"/>
        </w:rPr>
        <w:footnoteReference w:id="7"/>
      </w:r>
      <w:r w:rsidRPr="00593516">
        <w:rPr>
          <w:b/>
          <w:bCs/>
        </w:rPr>
        <w:t xml:space="preserve"> </w:t>
      </w:r>
      <w:r w:rsidRPr="00593516">
        <w:rPr>
          <w:b/>
        </w:rPr>
        <w:t>the Committee recommends that the State party give further consideration to taking concrete steps with the aim of withdrawing its reservations, including to article 15 (1) of the Covenant and article 5 (2) (a) of its first Optional Protocol.</w:t>
      </w:r>
    </w:p>
    <w:p w14:paraId="7A8D5DD6" w14:textId="20040A40" w:rsidR="00682D5F" w:rsidRPr="00593516" w:rsidRDefault="00682D5F" w:rsidP="00682D5F">
      <w:pPr>
        <w:pStyle w:val="H23G"/>
      </w:pPr>
      <w:r w:rsidRPr="00593516">
        <w:tab/>
      </w:r>
      <w:r w:rsidRPr="00593516">
        <w:tab/>
        <w:t>Business and human rights</w:t>
      </w:r>
    </w:p>
    <w:p w14:paraId="1C55DB52" w14:textId="369FCE8F" w:rsidR="00682D5F" w:rsidRPr="00593516" w:rsidRDefault="00682D5F" w:rsidP="00682D5F">
      <w:pPr>
        <w:pStyle w:val="SingleTxtG"/>
      </w:pPr>
      <w:r w:rsidRPr="00593516">
        <w:t>6.</w:t>
      </w:r>
      <w:r w:rsidRPr="00593516">
        <w:tab/>
        <w:t>The Committee is concerned about continued allegations of human rights abuses by corporations under German jurisdiction operating abroad and about reports of victims of alleged violations facing difficulties in accessing legal remedies</w:t>
      </w:r>
      <w:r w:rsidRPr="00593516" w:rsidDel="00D20B93">
        <w:t xml:space="preserve"> </w:t>
      </w:r>
      <w:r w:rsidRPr="00593516">
        <w:t>(art. 2).</w:t>
      </w:r>
    </w:p>
    <w:p w14:paraId="24CBA6F1" w14:textId="2BC40F67" w:rsidR="00682D5F" w:rsidRPr="00593516" w:rsidRDefault="00682D5F" w:rsidP="00682D5F">
      <w:pPr>
        <w:pStyle w:val="SingleTxtG"/>
      </w:pPr>
      <w:r w:rsidRPr="00593516">
        <w:t>7.</w:t>
      </w:r>
      <w:r w:rsidRPr="00593516">
        <w:rPr>
          <w:b/>
        </w:rPr>
        <w:tab/>
        <w:t>Bearing in mind the Committee’s previous recommendation,</w:t>
      </w:r>
      <w:r w:rsidRPr="00593516">
        <w:rPr>
          <w:rStyle w:val="FootnoteReference"/>
        </w:rPr>
        <w:footnoteReference w:id="8"/>
      </w:r>
      <w:r w:rsidRPr="00593516">
        <w:rPr>
          <w:b/>
        </w:rPr>
        <w:t xml:space="preserve"> the State party should</w:t>
      </w:r>
      <w:r w:rsidRPr="00593516">
        <w:t>:</w:t>
      </w:r>
    </w:p>
    <w:p w14:paraId="33D03056" w14:textId="758EDDCA" w:rsidR="00682D5F" w:rsidRPr="00593516" w:rsidRDefault="006B2401" w:rsidP="006B2401">
      <w:pPr>
        <w:pStyle w:val="SingleTxtG"/>
        <w:rPr>
          <w:b/>
        </w:rPr>
      </w:pPr>
      <w:r w:rsidRPr="00593516">
        <w:tab/>
      </w:r>
      <w:r w:rsidR="00682D5F" w:rsidRPr="00593516">
        <w:t>(a)</w:t>
      </w:r>
      <w:r w:rsidR="00682D5F" w:rsidRPr="00593516">
        <w:rPr>
          <w:b/>
        </w:rPr>
        <w:tab/>
        <w:t xml:space="preserve">Enhance the effectiveness of existing mechanisms to ensure that all corporations under its jurisdiction respect human rights standards when operating abroad; </w:t>
      </w:r>
    </w:p>
    <w:p w14:paraId="54DB2357" w14:textId="04DF91A9" w:rsidR="00682D5F" w:rsidRPr="00593516" w:rsidRDefault="006B2401" w:rsidP="006B2401">
      <w:pPr>
        <w:pStyle w:val="SingleTxtG"/>
        <w:rPr>
          <w:b/>
        </w:rPr>
      </w:pPr>
      <w:r w:rsidRPr="00593516">
        <w:rPr>
          <w:bCs/>
        </w:rPr>
        <w:tab/>
      </w:r>
      <w:r w:rsidR="00682D5F" w:rsidRPr="00593516">
        <w:rPr>
          <w:bCs/>
        </w:rPr>
        <w:t>(b)</w:t>
      </w:r>
      <w:r w:rsidR="00682D5F" w:rsidRPr="00593516">
        <w:rPr>
          <w:b/>
        </w:rPr>
        <w:tab/>
        <w:t>Consider establishing an independent mechanism with the power to investigate human rights abuses committed abroad;</w:t>
      </w:r>
    </w:p>
    <w:p w14:paraId="75E7A11C" w14:textId="0FE3BCDD" w:rsidR="00682D5F" w:rsidRPr="00593516" w:rsidRDefault="006B2401" w:rsidP="006B2401">
      <w:pPr>
        <w:pStyle w:val="SingleTxtG"/>
        <w:rPr>
          <w:b/>
        </w:rPr>
      </w:pPr>
      <w:r w:rsidRPr="00593516">
        <w:rPr>
          <w:bCs/>
        </w:rPr>
        <w:tab/>
      </w:r>
      <w:r w:rsidR="00682D5F" w:rsidRPr="00593516">
        <w:rPr>
          <w:bCs/>
        </w:rPr>
        <w:t>(c)</w:t>
      </w:r>
      <w:r w:rsidR="00682D5F" w:rsidRPr="00593516">
        <w:rPr>
          <w:b/>
        </w:rPr>
        <w:tab/>
        <w:t>Take additional steps to remove any barriers to legal, including judicial, remedies for those who have been victims of activities of such corporations operating abroad.</w:t>
      </w:r>
    </w:p>
    <w:p w14:paraId="521CAD93" w14:textId="2465B30E" w:rsidR="00682D5F" w:rsidRPr="00593516" w:rsidRDefault="00682D5F" w:rsidP="00682D5F">
      <w:pPr>
        <w:pStyle w:val="H23G"/>
      </w:pPr>
      <w:r w:rsidRPr="00593516">
        <w:tab/>
      </w:r>
      <w:r w:rsidRPr="00593516">
        <w:tab/>
        <w:t>Non-discrimination</w:t>
      </w:r>
    </w:p>
    <w:p w14:paraId="313BCABA" w14:textId="57BCADA1" w:rsidR="00682D5F" w:rsidRPr="00593516" w:rsidRDefault="00682D5F" w:rsidP="00682D5F">
      <w:pPr>
        <w:pStyle w:val="SingleTxtG"/>
      </w:pPr>
      <w:r w:rsidRPr="00593516">
        <w:t>8.</w:t>
      </w:r>
      <w:r w:rsidRPr="00593516">
        <w:tab/>
        <w:t>The Committee is concerned that the General Equal Treatment Act of 2006:</w:t>
      </w:r>
    </w:p>
    <w:p w14:paraId="5DDD11BE" w14:textId="39892C45" w:rsidR="00682D5F" w:rsidRPr="00593516" w:rsidRDefault="0033437B" w:rsidP="0033437B">
      <w:pPr>
        <w:pStyle w:val="SingleTxtG"/>
      </w:pPr>
      <w:r w:rsidRPr="00593516">
        <w:tab/>
      </w:r>
      <w:r w:rsidR="00682D5F" w:rsidRPr="00593516">
        <w:t>(a)</w:t>
      </w:r>
      <w:r w:rsidR="00682D5F" w:rsidRPr="00593516">
        <w:tab/>
        <w:t xml:space="preserve">Does not explicitly protect individuals against discrimination on the grounds of language and nationality; </w:t>
      </w:r>
    </w:p>
    <w:p w14:paraId="04FE8D81" w14:textId="5C600C46" w:rsidR="00682D5F" w:rsidRPr="00593516" w:rsidRDefault="0033437B" w:rsidP="0033437B">
      <w:pPr>
        <w:pStyle w:val="SingleTxtG"/>
      </w:pPr>
      <w:r w:rsidRPr="00593516">
        <w:tab/>
      </w:r>
      <w:r w:rsidR="00682D5F" w:rsidRPr="00593516">
        <w:t>(b)</w:t>
      </w:r>
      <w:r w:rsidR="00682D5F" w:rsidRPr="00593516">
        <w:tab/>
        <w:t>Does not effectively address discrimination on multiple grounds;</w:t>
      </w:r>
    </w:p>
    <w:p w14:paraId="34873B6C" w14:textId="3A5CDA83" w:rsidR="00682D5F" w:rsidRPr="00593516" w:rsidRDefault="0033437B" w:rsidP="0033437B">
      <w:pPr>
        <w:pStyle w:val="SingleTxtG"/>
      </w:pPr>
      <w:r w:rsidRPr="00593516">
        <w:tab/>
      </w:r>
      <w:r w:rsidR="00682D5F" w:rsidRPr="00593516">
        <w:t>(c)</w:t>
      </w:r>
      <w:r w:rsidR="00682D5F" w:rsidRPr="00593516">
        <w:tab/>
        <w:t>Provides for a six-month deadline for the submission of complaints of discrimination;</w:t>
      </w:r>
    </w:p>
    <w:p w14:paraId="42FF627F" w14:textId="483E7F5C" w:rsidR="00682D5F" w:rsidRPr="00593516" w:rsidRDefault="0033437B" w:rsidP="0033437B">
      <w:pPr>
        <w:pStyle w:val="SingleTxtG"/>
      </w:pPr>
      <w:r w:rsidRPr="00593516">
        <w:tab/>
      </w:r>
      <w:r w:rsidR="00682D5F" w:rsidRPr="00593516">
        <w:t>(d)</w:t>
      </w:r>
      <w:r w:rsidR="00682D5F" w:rsidRPr="00593516">
        <w:tab/>
        <w:t>Does not provide a basis for bringing group claims on grounds of discrimination before the courts;</w:t>
      </w:r>
    </w:p>
    <w:p w14:paraId="5A7267D2" w14:textId="290F25F2" w:rsidR="00682D5F" w:rsidRPr="00593516" w:rsidRDefault="0033437B" w:rsidP="0033437B">
      <w:pPr>
        <w:pStyle w:val="SingleTxtG"/>
      </w:pPr>
      <w:r w:rsidRPr="00593516">
        <w:tab/>
      </w:r>
      <w:r w:rsidR="00682D5F" w:rsidRPr="00593516">
        <w:t>(e)</w:t>
      </w:r>
      <w:r w:rsidR="00682D5F" w:rsidRPr="00593516">
        <w:tab/>
        <w:t>Endows the Federal Anti-Discrimination Agency with limited powers of investigation and does not afford it the competence to bring cases before the courts, thereby potentially limiting victims’ access to remedies;</w:t>
      </w:r>
    </w:p>
    <w:p w14:paraId="7205BA47" w14:textId="6C5F4A75" w:rsidR="00682D5F" w:rsidRPr="00593516" w:rsidRDefault="0033437B" w:rsidP="0033437B">
      <w:pPr>
        <w:pStyle w:val="SingleTxtG"/>
      </w:pPr>
      <w:r w:rsidRPr="00593516">
        <w:tab/>
      </w:r>
      <w:r w:rsidR="00682D5F" w:rsidRPr="00593516">
        <w:t>(f)</w:t>
      </w:r>
      <w:r w:rsidR="00682D5F" w:rsidRPr="00593516">
        <w:tab/>
        <w:t>Has, according to some reports, led to discrimination in the housing market (arts. 2–3).</w:t>
      </w:r>
    </w:p>
    <w:p w14:paraId="60C83193" w14:textId="40421142" w:rsidR="00682D5F" w:rsidRPr="00593516" w:rsidRDefault="00682D5F" w:rsidP="00682D5F">
      <w:pPr>
        <w:pStyle w:val="SingleTxtG"/>
        <w:rPr>
          <w:b/>
        </w:rPr>
      </w:pPr>
      <w:r w:rsidRPr="00593516">
        <w:t>9.</w:t>
      </w:r>
      <w:r w:rsidRPr="00593516">
        <w:rPr>
          <w:b/>
        </w:rPr>
        <w:tab/>
        <w:t>Bearing in mind the Committee’s previous recommendations,</w:t>
      </w:r>
      <w:r w:rsidRPr="00593516">
        <w:rPr>
          <w:rStyle w:val="FootnoteReference"/>
        </w:rPr>
        <w:footnoteReference w:id="9"/>
      </w:r>
      <w:r w:rsidRPr="00593516">
        <w:rPr>
          <w:b/>
        </w:rPr>
        <w:t xml:space="preserve"> the State party should consider amendments to the General Equal Treatment Act </w:t>
      </w:r>
      <w:proofErr w:type="gramStart"/>
      <w:r w:rsidRPr="00593516">
        <w:rPr>
          <w:b/>
        </w:rPr>
        <w:t>in order to</w:t>
      </w:r>
      <w:proofErr w:type="gramEnd"/>
      <w:r w:rsidRPr="00593516">
        <w:rPr>
          <w:b/>
        </w:rPr>
        <w:t>:</w:t>
      </w:r>
    </w:p>
    <w:p w14:paraId="7B22B0EF" w14:textId="5F4CD847" w:rsidR="00682D5F" w:rsidRPr="00593516" w:rsidRDefault="00E93BC0" w:rsidP="00E93BC0">
      <w:pPr>
        <w:pStyle w:val="SingleTxtG"/>
        <w:rPr>
          <w:b/>
        </w:rPr>
      </w:pPr>
      <w:r w:rsidRPr="00593516">
        <w:rPr>
          <w:bCs/>
        </w:rPr>
        <w:tab/>
      </w:r>
      <w:r w:rsidR="00682D5F" w:rsidRPr="00593516">
        <w:rPr>
          <w:bCs/>
        </w:rPr>
        <w:t>(a)</w:t>
      </w:r>
      <w:r w:rsidR="00682D5F" w:rsidRPr="00593516">
        <w:rPr>
          <w:b/>
        </w:rPr>
        <w:tab/>
        <w:t>Provide explicit protection against discrimination on the grounds of language and nationality and address discrimination on multiple grounds;</w:t>
      </w:r>
    </w:p>
    <w:p w14:paraId="7CEACD89" w14:textId="491503B2" w:rsidR="00682D5F" w:rsidRPr="00593516" w:rsidRDefault="00E93BC0" w:rsidP="00E93BC0">
      <w:pPr>
        <w:pStyle w:val="SingleTxtG"/>
        <w:rPr>
          <w:b/>
        </w:rPr>
      </w:pPr>
      <w:r w:rsidRPr="00593516">
        <w:rPr>
          <w:bCs/>
        </w:rPr>
        <w:tab/>
      </w:r>
      <w:r w:rsidR="00682D5F" w:rsidRPr="00593516">
        <w:rPr>
          <w:bCs/>
        </w:rPr>
        <w:t>(b)</w:t>
      </w:r>
      <w:r w:rsidR="00682D5F" w:rsidRPr="00593516">
        <w:rPr>
          <w:b/>
        </w:rPr>
        <w:tab/>
        <w:t>Ensure that access to justice for victims of discrimination is not impeded by the six-month time limit for the submission of complaints;</w:t>
      </w:r>
    </w:p>
    <w:p w14:paraId="56DC05C4" w14:textId="37ABED96" w:rsidR="00682D5F" w:rsidRPr="00593516" w:rsidRDefault="00E93BC0" w:rsidP="00E93BC0">
      <w:pPr>
        <w:pStyle w:val="SingleTxtG"/>
        <w:rPr>
          <w:b/>
        </w:rPr>
      </w:pPr>
      <w:r w:rsidRPr="00593516">
        <w:rPr>
          <w:bCs/>
        </w:rPr>
        <w:tab/>
      </w:r>
      <w:r w:rsidR="00682D5F" w:rsidRPr="00593516">
        <w:rPr>
          <w:bCs/>
        </w:rPr>
        <w:t>(c)</w:t>
      </w:r>
      <w:r w:rsidR="00682D5F" w:rsidRPr="00593516">
        <w:rPr>
          <w:b/>
        </w:rPr>
        <w:tab/>
        <w:t>Allow groups to bring claims on grounds of discrimination before the courts;</w:t>
      </w:r>
    </w:p>
    <w:p w14:paraId="51D619ED" w14:textId="0054F78A" w:rsidR="00682D5F" w:rsidRPr="00593516" w:rsidRDefault="00E93BC0" w:rsidP="00E93BC0">
      <w:pPr>
        <w:pStyle w:val="SingleTxtG"/>
        <w:rPr>
          <w:b/>
        </w:rPr>
      </w:pPr>
      <w:r w:rsidRPr="00593516">
        <w:rPr>
          <w:bCs/>
        </w:rPr>
        <w:tab/>
      </w:r>
      <w:r w:rsidR="00682D5F" w:rsidRPr="00593516">
        <w:rPr>
          <w:bCs/>
        </w:rPr>
        <w:t>(d)</w:t>
      </w:r>
      <w:r w:rsidR="00682D5F" w:rsidRPr="00593516">
        <w:rPr>
          <w:b/>
        </w:rPr>
        <w:tab/>
        <w:t>Strengthen the powers of the Federal Anti-Discrimination Agency to facilitate improved access to justice for victims of discrimination;</w:t>
      </w:r>
    </w:p>
    <w:p w14:paraId="1DAD7E41" w14:textId="2DCD201A" w:rsidR="00682D5F" w:rsidRPr="00593516" w:rsidRDefault="00E93BC0" w:rsidP="00E93BC0">
      <w:pPr>
        <w:pStyle w:val="SingleTxtG"/>
        <w:rPr>
          <w:b/>
        </w:rPr>
      </w:pPr>
      <w:r w:rsidRPr="00593516">
        <w:rPr>
          <w:bCs/>
        </w:rPr>
        <w:tab/>
      </w:r>
      <w:r w:rsidR="00682D5F" w:rsidRPr="00593516">
        <w:rPr>
          <w:bCs/>
        </w:rPr>
        <w:t>(e)</w:t>
      </w:r>
      <w:r w:rsidR="00682D5F" w:rsidRPr="00593516">
        <w:rPr>
          <w:b/>
        </w:rPr>
        <w:tab/>
        <w:t>Ensure that the application of the law does not lead to discrimination in the housing market.</w:t>
      </w:r>
    </w:p>
    <w:p w14:paraId="23D13F55" w14:textId="331B3204" w:rsidR="00682D5F" w:rsidRPr="00593516" w:rsidRDefault="00682D5F" w:rsidP="00682D5F">
      <w:pPr>
        <w:pStyle w:val="H23G"/>
      </w:pPr>
      <w:r w:rsidRPr="00593516">
        <w:tab/>
      </w:r>
      <w:r w:rsidRPr="00593516">
        <w:tab/>
        <w:t>Hate speech and hate crimes</w:t>
      </w:r>
    </w:p>
    <w:p w14:paraId="2D7770CE" w14:textId="355A8B4F" w:rsidR="00682D5F" w:rsidRPr="00593516" w:rsidRDefault="00682D5F" w:rsidP="00682D5F">
      <w:pPr>
        <w:pStyle w:val="SingleTxtG"/>
      </w:pPr>
      <w:r w:rsidRPr="00593516">
        <w:t>10.</w:t>
      </w:r>
      <w:r w:rsidRPr="00593516">
        <w:tab/>
        <w:t>The Committee welcomes the information provided by the State party about high-level political commitment to addressing hate speech and hate crimes, including the formation of a Cabinet committee to combat right-wing extremism and racism and the Federal Government’s strategy to prevent extremism and promote democracy. Nevertheless, it remains concerned about continuing reports of hate speech, including verbal attacks, online hatred and hate speech in the context of political discourse, as well as about reports of a range of hate crimes, including violent attacks and the desecration of religious sites, committed against people of African descent, lesbian, gay, bisexual, transgender and intersex persons, Sinti and Roma persons, Muslims, persons of Jewish faith, refugees and migrants. It is also concerned by the State party’s statement that it is not considering legal amendments to remove the requirement to disturb public peace from the definition of incitement to hatred (arts. 2, 19–20 and 26).</w:t>
      </w:r>
    </w:p>
    <w:p w14:paraId="5A2F48E7" w14:textId="3AC6A3B0" w:rsidR="00682D5F" w:rsidRPr="00593516" w:rsidRDefault="00682D5F" w:rsidP="00682D5F">
      <w:pPr>
        <w:pStyle w:val="SingleTxtG"/>
      </w:pPr>
      <w:r w:rsidRPr="00593516">
        <w:t>11.</w:t>
      </w:r>
      <w:r w:rsidRPr="00593516">
        <w:tab/>
      </w:r>
      <w:r w:rsidRPr="00593516">
        <w:rPr>
          <w:b/>
        </w:rPr>
        <w:t>Recalling the Committee’s previous recommendation,</w:t>
      </w:r>
      <w:r w:rsidRPr="00593516">
        <w:rPr>
          <w:rStyle w:val="FootnoteReference"/>
        </w:rPr>
        <w:footnoteReference w:id="10"/>
      </w:r>
      <w:r w:rsidRPr="00593516">
        <w:rPr>
          <w:b/>
        </w:rPr>
        <w:t xml:space="preserve"> the State party should:</w:t>
      </w:r>
    </w:p>
    <w:p w14:paraId="630CBD5A" w14:textId="2740BEC6" w:rsidR="00682D5F" w:rsidRPr="00593516" w:rsidRDefault="00B57D1F" w:rsidP="003A7FEE">
      <w:pPr>
        <w:pStyle w:val="SingleTxtG"/>
        <w:rPr>
          <w:b/>
        </w:rPr>
      </w:pPr>
      <w:r w:rsidRPr="00593516">
        <w:rPr>
          <w:bCs/>
        </w:rPr>
        <w:tab/>
      </w:r>
      <w:r w:rsidR="00682D5F" w:rsidRPr="00593516">
        <w:rPr>
          <w:bCs/>
        </w:rPr>
        <w:t>(a)</w:t>
      </w:r>
      <w:r w:rsidR="00682D5F" w:rsidRPr="00593516">
        <w:rPr>
          <w:b/>
        </w:rPr>
        <w:tab/>
        <w:t>Improve data collection on online and offline hate speech and take effective measures to prevent and punish these phenomena;</w:t>
      </w:r>
    </w:p>
    <w:p w14:paraId="7AC91410" w14:textId="374D303F" w:rsidR="00682D5F" w:rsidRPr="00593516" w:rsidRDefault="00B57D1F" w:rsidP="003A7FEE">
      <w:pPr>
        <w:pStyle w:val="SingleTxtG"/>
        <w:rPr>
          <w:b/>
        </w:rPr>
      </w:pPr>
      <w:r w:rsidRPr="00593516">
        <w:rPr>
          <w:bCs/>
        </w:rPr>
        <w:tab/>
      </w:r>
      <w:r w:rsidR="00682D5F" w:rsidRPr="00593516">
        <w:rPr>
          <w:bCs/>
        </w:rPr>
        <w:t>(b)</w:t>
      </w:r>
      <w:r w:rsidR="00682D5F" w:rsidRPr="00593516">
        <w:rPr>
          <w:b/>
        </w:rPr>
        <w:tab/>
        <w:t>Consider legal amendments to remove the requirement to disturb public peace from the definition of incitement to hatred;</w:t>
      </w:r>
    </w:p>
    <w:p w14:paraId="0F139902" w14:textId="6DA08030" w:rsidR="00682D5F" w:rsidRPr="00593516" w:rsidRDefault="00B57D1F" w:rsidP="003A7FEE">
      <w:pPr>
        <w:pStyle w:val="SingleTxtG"/>
        <w:rPr>
          <w:b/>
        </w:rPr>
      </w:pPr>
      <w:r w:rsidRPr="00593516">
        <w:rPr>
          <w:bCs/>
        </w:rPr>
        <w:tab/>
      </w:r>
      <w:r w:rsidR="00682D5F" w:rsidRPr="00593516">
        <w:rPr>
          <w:bCs/>
        </w:rPr>
        <w:t>(c)</w:t>
      </w:r>
      <w:r w:rsidR="00682D5F" w:rsidRPr="00593516">
        <w:rPr>
          <w:b/>
        </w:rPr>
        <w:tab/>
        <w:t>Strengthen awareness-raising efforts aimed at promoting respect for human rights and tolerance for diversity, revisiting and eradicating stereotypical prejudices;</w:t>
      </w:r>
    </w:p>
    <w:p w14:paraId="7DE1AA7A" w14:textId="79E37C41" w:rsidR="00682D5F" w:rsidRPr="00593516" w:rsidRDefault="00B57D1F" w:rsidP="003A7FEE">
      <w:pPr>
        <w:pStyle w:val="SingleTxtG"/>
        <w:rPr>
          <w:b/>
        </w:rPr>
      </w:pPr>
      <w:r w:rsidRPr="00593516">
        <w:rPr>
          <w:bCs/>
        </w:rPr>
        <w:tab/>
      </w:r>
      <w:r w:rsidR="00682D5F" w:rsidRPr="00593516">
        <w:rPr>
          <w:bCs/>
        </w:rPr>
        <w:t>(d)</w:t>
      </w:r>
      <w:r w:rsidR="00682D5F" w:rsidRPr="00593516">
        <w:rPr>
          <w:b/>
        </w:rPr>
        <w:tab/>
        <w:t>Encourage reporting of hate crimes and ensure that all hate crimes are thoroughly investigated, that perpetrators are prosecuted and punished and that victims are provided with effective remedies;</w:t>
      </w:r>
    </w:p>
    <w:p w14:paraId="555618D5" w14:textId="2722D103" w:rsidR="00682D5F" w:rsidRPr="00593516" w:rsidRDefault="00B57D1F" w:rsidP="003A7FEE">
      <w:pPr>
        <w:pStyle w:val="SingleTxtG"/>
        <w:rPr>
          <w:b/>
        </w:rPr>
      </w:pPr>
      <w:r w:rsidRPr="00593516">
        <w:rPr>
          <w:bCs/>
        </w:rPr>
        <w:tab/>
      </w:r>
      <w:r w:rsidR="00682D5F" w:rsidRPr="00593516">
        <w:rPr>
          <w:bCs/>
        </w:rPr>
        <w:t>(e)</w:t>
      </w:r>
      <w:r w:rsidR="00682D5F" w:rsidRPr="00593516">
        <w:rPr>
          <w:b/>
        </w:rPr>
        <w:tab/>
        <w:t>Reinforce cooperation among relevant stakeholders, including civil society, and provide adequate training to central and local authorities, law enforcement officials, judges and prosecutors on addressing hate speech and hate crimes and to media workers on promoting acceptance of diversity.</w:t>
      </w:r>
    </w:p>
    <w:p w14:paraId="63038FCC" w14:textId="7DB91C41" w:rsidR="00682D5F" w:rsidRPr="00593516" w:rsidRDefault="00682D5F" w:rsidP="00682D5F">
      <w:pPr>
        <w:pStyle w:val="H23G"/>
      </w:pPr>
      <w:r w:rsidRPr="00593516">
        <w:tab/>
      </w:r>
      <w:r w:rsidRPr="00593516">
        <w:tab/>
        <w:t>Non-discrimination in law enforcement</w:t>
      </w:r>
    </w:p>
    <w:p w14:paraId="1AB07EF2" w14:textId="15ADF231" w:rsidR="00682D5F" w:rsidRPr="00593516" w:rsidRDefault="00682D5F" w:rsidP="00682D5F">
      <w:pPr>
        <w:pStyle w:val="SingleTxtG"/>
      </w:pPr>
      <w:r w:rsidRPr="00593516">
        <w:t>12.</w:t>
      </w:r>
      <w:r w:rsidRPr="00593516">
        <w:tab/>
        <w:t>The Committee is concerned about reports of police officers conducting law enforcement activities in the course of enforcing section 22 (1) of the Federal Police Act for immigration control purposes without reasonable suspicion and that this has resulted in racial profiling (arts. 2–3 and 12).</w:t>
      </w:r>
    </w:p>
    <w:p w14:paraId="0002CABB" w14:textId="6B5B09A9" w:rsidR="00682D5F" w:rsidRPr="00593516" w:rsidRDefault="00682D5F" w:rsidP="00682D5F">
      <w:pPr>
        <w:pStyle w:val="SingleTxtG"/>
        <w:rPr>
          <w:b/>
        </w:rPr>
      </w:pPr>
      <w:r w:rsidRPr="00593516">
        <w:t>13.</w:t>
      </w:r>
      <w:r w:rsidRPr="00593516">
        <w:rPr>
          <w:b/>
        </w:rPr>
        <w:tab/>
        <w:t xml:space="preserve">The State party should continue its comprehensive review of the policy and legal frameworks governing police conduct, including an assessment of the application of a reasonable suspicion standard in the enforcement of section 22 (1) of the Federal Police Act, to ensure their conformity with human rights principles, including the prohibition of discrimination. The State party should also continue and </w:t>
      </w:r>
      <w:proofErr w:type="gramStart"/>
      <w:r w:rsidRPr="00593516">
        <w:rPr>
          <w:b/>
        </w:rPr>
        <w:t>step up</w:t>
      </w:r>
      <w:proofErr w:type="gramEnd"/>
      <w:r w:rsidRPr="00593516">
        <w:rPr>
          <w:b/>
        </w:rPr>
        <w:t xml:space="preserve"> training to law enforcement officials in order to raise their awareness of the need to conduct themselves in a way that does not lead, even unintentionally, to acts of racial profiling, as well as monitor the efficacy of such activities by setting up a mechanism to collect data on the exercise of stop-and-search powers by law enforcement officials. Moreover, it should ensure that information about reporting procedures and remedies for discrimination in the context of law enforcement activities is accessible to all victims.</w:t>
      </w:r>
    </w:p>
    <w:p w14:paraId="06281FFC" w14:textId="77777777" w:rsidR="00682D5F" w:rsidRPr="00593516" w:rsidRDefault="00682D5F" w:rsidP="00682D5F">
      <w:pPr>
        <w:pStyle w:val="H23G"/>
      </w:pPr>
      <w:r w:rsidRPr="00593516">
        <w:tab/>
      </w:r>
      <w:r w:rsidRPr="00593516">
        <w:tab/>
        <w:t>Counter-terrorism</w:t>
      </w:r>
    </w:p>
    <w:p w14:paraId="4C5FB4EE" w14:textId="736550A0" w:rsidR="00682D5F" w:rsidRPr="00593516" w:rsidRDefault="00682D5F" w:rsidP="00682D5F">
      <w:pPr>
        <w:pStyle w:val="SingleTxtG"/>
      </w:pPr>
      <w:r w:rsidRPr="00593516">
        <w:t>14.</w:t>
      </w:r>
      <w:r w:rsidRPr="00593516">
        <w:tab/>
        <w:t>The Committee is concerned that the legal framework governing counter-terrorism grants law enforcement officials wide-reaching powers, particularly following the legal revision of federal and Länder statutes in 2017 and 2018. It is also concerned about:</w:t>
      </w:r>
    </w:p>
    <w:p w14:paraId="0EACE07C" w14:textId="32FF822F" w:rsidR="00682D5F" w:rsidRPr="00593516" w:rsidRDefault="00B45516" w:rsidP="00B45516">
      <w:pPr>
        <w:pStyle w:val="SingleTxtG"/>
      </w:pPr>
      <w:r w:rsidRPr="00593516">
        <w:tab/>
      </w:r>
      <w:r w:rsidR="00682D5F" w:rsidRPr="00593516">
        <w:t>(a)</w:t>
      </w:r>
      <w:r w:rsidR="00682D5F" w:rsidRPr="00593516">
        <w:tab/>
        <w:t>The availability of administrative control measures against individuals considered to be “potential attackers”, including electronic tag monitoring, bans on communication and social contacts and telecommunications surveillance;</w:t>
      </w:r>
    </w:p>
    <w:p w14:paraId="192C9D23" w14:textId="06EC5D6F" w:rsidR="00682D5F" w:rsidRPr="00593516" w:rsidRDefault="00B45516" w:rsidP="00B45516">
      <w:pPr>
        <w:pStyle w:val="SingleTxtG"/>
      </w:pPr>
      <w:r w:rsidRPr="00593516">
        <w:tab/>
      </w:r>
      <w:r w:rsidR="00682D5F" w:rsidRPr="00593516">
        <w:t>(b)</w:t>
      </w:r>
      <w:r w:rsidR="00682D5F" w:rsidRPr="00593516">
        <w:tab/>
        <w:t>The extension of time limits for police custody;</w:t>
      </w:r>
    </w:p>
    <w:p w14:paraId="5F950202" w14:textId="313FD773" w:rsidR="00682D5F" w:rsidRPr="00593516" w:rsidRDefault="00B45516" w:rsidP="00B45516">
      <w:pPr>
        <w:pStyle w:val="SingleTxtG"/>
      </w:pPr>
      <w:r w:rsidRPr="00593516">
        <w:tab/>
      </w:r>
      <w:r w:rsidR="00682D5F" w:rsidRPr="00593516">
        <w:t>(c)</w:t>
      </w:r>
      <w:r w:rsidR="00682D5F" w:rsidRPr="00593516">
        <w:tab/>
        <w:t>The expansion of the use of post-conviction preventive detention to “extremist criminals” and the increase in the duration of the time period for which those considered to be “potential attackers” can be held in administrative detention without charge;</w:t>
      </w:r>
    </w:p>
    <w:p w14:paraId="727AECB4" w14:textId="79392719" w:rsidR="00682D5F" w:rsidRPr="00593516" w:rsidRDefault="00B45516" w:rsidP="00B45516">
      <w:pPr>
        <w:pStyle w:val="SingleTxtG"/>
      </w:pPr>
      <w:r w:rsidRPr="00593516">
        <w:tab/>
      </w:r>
      <w:r w:rsidR="00682D5F" w:rsidRPr="00593516">
        <w:t>(d)</w:t>
      </w:r>
      <w:r w:rsidR="00682D5F" w:rsidRPr="00593516">
        <w:tab/>
        <w:t>The lowering of the threshold for the detention of individuals representing a significant “security threat” pending their deportation according to section 62 of the Residence Act;</w:t>
      </w:r>
    </w:p>
    <w:p w14:paraId="70D79765" w14:textId="58F71E5D" w:rsidR="00682D5F" w:rsidRPr="00593516" w:rsidRDefault="00B45516" w:rsidP="00B45516">
      <w:pPr>
        <w:pStyle w:val="SingleTxtG"/>
      </w:pPr>
      <w:r w:rsidRPr="00593516">
        <w:tab/>
      </w:r>
      <w:r w:rsidR="00682D5F" w:rsidRPr="00593516">
        <w:t>(e)</w:t>
      </w:r>
      <w:r w:rsidR="00682D5F" w:rsidRPr="00593516">
        <w:tab/>
        <w:t>The lack of detailed information about the procedural safeguards in place to ensure respect for the principles of legality and proportionality (arts. 2, 9, 12 and 14).</w:t>
      </w:r>
    </w:p>
    <w:p w14:paraId="19D7EE03" w14:textId="3C7E15DA" w:rsidR="00682D5F" w:rsidRPr="00593516" w:rsidRDefault="00682D5F" w:rsidP="00682D5F">
      <w:pPr>
        <w:pStyle w:val="SingleTxtG"/>
      </w:pPr>
      <w:r w:rsidRPr="00593516">
        <w:t>15.</w:t>
      </w:r>
      <w:r w:rsidRPr="00593516">
        <w:tab/>
      </w:r>
      <w:r w:rsidRPr="00593516">
        <w:rPr>
          <w:b/>
        </w:rPr>
        <w:t>The State party should ensure that the power conferred to law enforcement officials by counter-terrorism legislation at the federal and Länder levels is in full compliance with the Covenant, and with the principles of legality and proportionality. It should also ensure that persons suspected of/or charged with terrorist acts or related crimes are provided, in law and in practice, with appropriate procedural safeguards, in accordance with the Covenant, particularly articles 9 and 14.</w:t>
      </w:r>
    </w:p>
    <w:p w14:paraId="0BD2A75C" w14:textId="4C1919D2" w:rsidR="00682D5F" w:rsidRPr="00593516" w:rsidRDefault="00682D5F" w:rsidP="00682D5F">
      <w:pPr>
        <w:pStyle w:val="H23G"/>
      </w:pPr>
      <w:r w:rsidRPr="00593516">
        <w:tab/>
      </w:r>
      <w:r w:rsidRPr="00593516">
        <w:tab/>
        <w:t>Violence against women</w:t>
      </w:r>
    </w:p>
    <w:p w14:paraId="2B6B25BA" w14:textId="53F1F3A8" w:rsidR="00682D5F" w:rsidRPr="00593516" w:rsidRDefault="00682D5F" w:rsidP="00682D5F">
      <w:pPr>
        <w:pStyle w:val="SingleTxtG"/>
      </w:pPr>
      <w:r w:rsidRPr="00593516">
        <w:t>16.</w:t>
      </w:r>
      <w:r w:rsidRPr="00593516">
        <w:tab/>
        <w:t>The Committee commends the State party for adopting measures to address violence against women, including domestic violence, such as legal reforms and significant financial investment in increasing the number of shelters. It nevertheless remains concerned about reports of:</w:t>
      </w:r>
    </w:p>
    <w:p w14:paraId="489317FA" w14:textId="5A8A5B2D" w:rsidR="00682D5F" w:rsidRPr="00593516" w:rsidRDefault="00AF0EF7" w:rsidP="00AF0EF7">
      <w:pPr>
        <w:pStyle w:val="SingleTxtG"/>
      </w:pPr>
      <w:r w:rsidRPr="00593516">
        <w:tab/>
      </w:r>
      <w:r w:rsidR="00682D5F" w:rsidRPr="00593516">
        <w:t>(a)</w:t>
      </w:r>
      <w:r w:rsidR="00682D5F" w:rsidRPr="00593516">
        <w:tab/>
        <w:t>Underreporting of incidences of violence against women;</w:t>
      </w:r>
    </w:p>
    <w:p w14:paraId="4E0BAFA1" w14:textId="665B5438" w:rsidR="00682D5F" w:rsidRPr="00593516" w:rsidRDefault="00AF0EF7" w:rsidP="00AF0EF7">
      <w:pPr>
        <w:pStyle w:val="SingleTxtG"/>
      </w:pPr>
      <w:r w:rsidRPr="00593516">
        <w:tab/>
      </w:r>
      <w:r w:rsidR="00682D5F" w:rsidRPr="00593516">
        <w:t>(b)</w:t>
      </w:r>
      <w:r w:rsidR="00682D5F" w:rsidRPr="00593516">
        <w:tab/>
        <w:t>Low rates of prosecution and conviction for such crimes;</w:t>
      </w:r>
    </w:p>
    <w:p w14:paraId="315D9D37" w14:textId="11E8DD88" w:rsidR="00682D5F" w:rsidRPr="00593516" w:rsidRDefault="00AF0EF7" w:rsidP="00AF0EF7">
      <w:pPr>
        <w:pStyle w:val="SingleTxtG"/>
      </w:pPr>
      <w:r w:rsidRPr="00593516">
        <w:tab/>
      </w:r>
      <w:r w:rsidR="00682D5F" w:rsidRPr="00593516">
        <w:t>(c)</w:t>
      </w:r>
      <w:r w:rsidR="00682D5F" w:rsidRPr="00593516">
        <w:tab/>
        <w:t>Continued shortages in the provision of shelters, despite the federal investment programme, and issues limiting access for some women, including migrants, refugees, asylum seekers and some victims of trafficking;</w:t>
      </w:r>
    </w:p>
    <w:p w14:paraId="6F6505C5" w14:textId="3D65D60F" w:rsidR="00682D5F" w:rsidRPr="00593516" w:rsidRDefault="00AF0EF7" w:rsidP="00AF0EF7">
      <w:pPr>
        <w:pStyle w:val="SingleTxtG"/>
      </w:pPr>
      <w:r w:rsidRPr="00593516">
        <w:tab/>
      </w:r>
      <w:r w:rsidR="00682D5F" w:rsidRPr="00593516">
        <w:t>(d)</w:t>
      </w:r>
      <w:r w:rsidR="00682D5F" w:rsidRPr="00593516">
        <w:tab/>
        <w:t>An increase in domestic violence during the COVID-19 pandemic (arts. 2–3, 6–7 and 26).</w:t>
      </w:r>
    </w:p>
    <w:p w14:paraId="119B38A7" w14:textId="08D8BB1F" w:rsidR="00682D5F" w:rsidRPr="00593516" w:rsidRDefault="00682D5F" w:rsidP="00682D5F">
      <w:pPr>
        <w:pStyle w:val="SingleTxtG"/>
      </w:pPr>
      <w:r w:rsidRPr="00593516">
        <w:t>17.</w:t>
      </w:r>
      <w:r w:rsidRPr="00593516">
        <w:tab/>
      </w:r>
      <w:r w:rsidRPr="00593516">
        <w:rPr>
          <w:b/>
        </w:rPr>
        <w:t>Recalling the Committee’s previous recommendation,</w:t>
      </w:r>
      <w:r w:rsidRPr="00593516">
        <w:rPr>
          <w:rStyle w:val="FootnoteReference"/>
        </w:rPr>
        <w:footnoteReference w:id="11"/>
      </w:r>
      <w:r w:rsidRPr="00593516">
        <w:rPr>
          <w:b/>
        </w:rPr>
        <w:t xml:space="preserve"> the State party should:</w:t>
      </w:r>
    </w:p>
    <w:p w14:paraId="0AD9094E" w14:textId="324DF419" w:rsidR="00682D5F" w:rsidRPr="00593516" w:rsidRDefault="0000531A" w:rsidP="0070274C">
      <w:pPr>
        <w:pStyle w:val="SingleTxtG"/>
        <w:rPr>
          <w:b/>
        </w:rPr>
      </w:pPr>
      <w:r w:rsidRPr="00593516">
        <w:rPr>
          <w:bCs/>
        </w:rPr>
        <w:tab/>
      </w:r>
      <w:r w:rsidR="00682D5F" w:rsidRPr="00593516">
        <w:rPr>
          <w:bCs/>
        </w:rPr>
        <w:t>(a)</w:t>
      </w:r>
      <w:r w:rsidR="00682D5F" w:rsidRPr="00593516">
        <w:rPr>
          <w:b/>
        </w:rPr>
        <w:tab/>
        <w:t>Address the underreporting of violence against women, including by ensuring that all women have access to information about their rights and available remedies;</w:t>
      </w:r>
    </w:p>
    <w:p w14:paraId="4346B660" w14:textId="739A32CE" w:rsidR="00682D5F" w:rsidRPr="00593516" w:rsidRDefault="0000531A" w:rsidP="0070274C">
      <w:pPr>
        <w:pStyle w:val="SingleTxtG"/>
        <w:rPr>
          <w:b/>
        </w:rPr>
      </w:pPr>
      <w:r w:rsidRPr="00593516">
        <w:rPr>
          <w:bCs/>
        </w:rPr>
        <w:tab/>
      </w:r>
      <w:r w:rsidR="00682D5F" w:rsidRPr="00593516">
        <w:rPr>
          <w:bCs/>
        </w:rPr>
        <w:t>(b)</w:t>
      </w:r>
      <w:r w:rsidR="00682D5F" w:rsidRPr="00593516">
        <w:rPr>
          <w:b/>
        </w:rPr>
        <w:tab/>
        <w:t>Intensify efforts to prosecute and secure convictions for perpetrators of violence against women and girls, including by continuing and stepping up training of relevant public officials, including judges, lawyers, prosecutors and law enforcement officers;</w:t>
      </w:r>
    </w:p>
    <w:p w14:paraId="0ACF4DD4" w14:textId="61DAC701" w:rsidR="00682D5F" w:rsidRPr="00593516" w:rsidRDefault="0000531A" w:rsidP="0070274C">
      <w:pPr>
        <w:pStyle w:val="SingleTxtG"/>
        <w:rPr>
          <w:b/>
        </w:rPr>
      </w:pPr>
      <w:r w:rsidRPr="00593516">
        <w:rPr>
          <w:bCs/>
        </w:rPr>
        <w:tab/>
      </w:r>
      <w:r w:rsidR="00682D5F" w:rsidRPr="00593516">
        <w:rPr>
          <w:bCs/>
        </w:rPr>
        <w:t>(c)</w:t>
      </w:r>
      <w:r w:rsidR="00682D5F" w:rsidRPr="00593516">
        <w:rPr>
          <w:b/>
        </w:rPr>
        <w:tab/>
        <w:t xml:space="preserve">Continue and </w:t>
      </w:r>
      <w:proofErr w:type="gramStart"/>
      <w:r w:rsidR="00682D5F" w:rsidRPr="00593516">
        <w:rPr>
          <w:b/>
        </w:rPr>
        <w:t>step up</w:t>
      </w:r>
      <w:proofErr w:type="gramEnd"/>
      <w:r w:rsidR="00682D5F" w:rsidRPr="00593516">
        <w:rPr>
          <w:b/>
        </w:rPr>
        <w:t xml:space="preserve"> efforts to increase the availability of shelters and ensure that all women, including migrants, refugees, asylum seekers, victims of trafficking and individuals with an insecure residence status</w:t>
      </w:r>
      <w:r w:rsidR="00682D5F" w:rsidRPr="00593516" w:rsidDel="000A2AC5">
        <w:rPr>
          <w:b/>
        </w:rPr>
        <w:t xml:space="preserve"> </w:t>
      </w:r>
      <w:r w:rsidR="00682D5F" w:rsidRPr="00593516">
        <w:rPr>
          <w:b/>
        </w:rPr>
        <w:t>can access such facilities without fear of sanction;</w:t>
      </w:r>
    </w:p>
    <w:p w14:paraId="4DE98665" w14:textId="32BAB651" w:rsidR="00682D5F" w:rsidRPr="00593516" w:rsidRDefault="0000531A" w:rsidP="0070274C">
      <w:pPr>
        <w:pStyle w:val="SingleTxtG"/>
        <w:rPr>
          <w:b/>
        </w:rPr>
      </w:pPr>
      <w:r w:rsidRPr="00593516">
        <w:rPr>
          <w:bCs/>
        </w:rPr>
        <w:tab/>
      </w:r>
      <w:r w:rsidR="00682D5F" w:rsidRPr="00593516">
        <w:rPr>
          <w:bCs/>
        </w:rPr>
        <w:t>(d)</w:t>
      </w:r>
      <w:r w:rsidR="00682D5F" w:rsidRPr="00593516">
        <w:rPr>
          <w:b/>
        </w:rPr>
        <w:tab/>
        <w:t>Take targeted measures to protect women from domestic violence, particularly during emergencies such as the COVID-19 pandemic.</w:t>
      </w:r>
    </w:p>
    <w:p w14:paraId="12D5BC5E" w14:textId="6CF9CCCE" w:rsidR="00682D5F" w:rsidRPr="00593516" w:rsidRDefault="00682D5F" w:rsidP="00682D5F">
      <w:pPr>
        <w:pStyle w:val="H23G"/>
      </w:pPr>
      <w:r w:rsidRPr="00593516">
        <w:tab/>
      </w:r>
      <w:r w:rsidRPr="00593516">
        <w:tab/>
        <w:t>Voluntary termination of pregnancy and sexual and reproductive rights</w:t>
      </w:r>
    </w:p>
    <w:p w14:paraId="2CA8164D" w14:textId="2AF855D9" w:rsidR="00682D5F" w:rsidRPr="00593516" w:rsidRDefault="00682D5F" w:rsidP="00682D5F">
      <w:pPr>
        <w:pStyle w:val="SingleTxtG"/>
      </w:pPr>
      <w:r w:rsidRPr="00593516">
        <w:t>18.</w:t>
      </w:r>
      <w:r w:rsidRPr="00593516">
        <w:tab/>
        <w:t>The Committee commends the State party for amending section 219a of the Criminal Code to allow for the publication of information about the voluntary termination of pregnancy. It remains concerned, however, by provisions that subject women to a mandatory waiting period prior to termination of pregnancy and maintain abortion as an offence (section 218a of the Criminal Code). The Committee is also concerned that, despite the efforts of the State party, women seeking counselling about the voluntary termination of pregnancy continue to be harassed and that some barriers to equal access to sexual and reproductive health services persist, including affordable contraceptive methods (arts. 2–3, 6 and 17).</w:t>
      </w:r>
    </w:p>
    <w:p w14:paraId="476C4BA2" w14:textId="14023FC0" w:rsidR="00682D5F" w:rsidRPr="00593516" w:rsidRDefault="00682D5F" w:rsidP="00682D5F">
      <w:pPr>
        <w:pStyle w:val="SingleTxtG"/>
        <w:rPr>
          <w:b/>
        </w:rPr>
      </w:pPr>
      <w:r w:rsidRPr="00593516">
        <w:t>19.</w:t>
      </w:r>
      <w:r w:rsidRPr="00593516">
        <w:tab/>
      </w:r>
      <w:r w:rsidRPr="00593516">
        <w:rPr>
          <w:b/>
        </w:rPr>
        <w:t>The State party should ensure the full and effective implementation of the amendments to section 219a of the Criminal Code to facilitate women’s access to information about voluntary termination of pregnancy, strengthen the provision of sexual and reproductive health services, including equal and affordable access to contraceptive methods, and step up measures to protect from harassment women seeking counselling. Moreover, the State party should consider repealing provisions that could create barriers to women seeking safe abortions, such as those prescribing mandatory waiting periods.</w:t>
      </w:r>
    </w:p>
    <w:p w14:paraId="209E6084" w14:textId="77777777" w:rsidR="00682D5F" w:rsidRPr="00593516" w:rsidRDefault="00682D5F" w:rsidP="00682D5F">
      <w:pPr>
        <w:pStyle w:val="H23G"/>
      </w:pPr>
      <w:r w:rsidRPr="00593516">
        <w:tab/>
      </w:r>
      <w:r w:rsidRPr="00593516">
        <w:tab/>
        <w:t>Intersex persons</w:t>
      </w:r>
    </w:p>
    <w:p w14:paraId="76E9798C" w14:textId="35545B07" w:rsidR="00682D5F" w:rsidRPr="00593516" w:rsidRDefault="00682D5F" w:rsidP="00682D5F">
      <w:pPr>
        <w:pStyle w:val="SingleTxtG"/>
      </w:pPr>
      <w:r w:rsidRPr="00593516">
        <w:t>20.</w:t>
      </w:r>
      <w:r w:rsidRPr="00593516">
        <w:tab/>
        <w:t>The Committee is concerned about reports that intersex children have sometimes been subjected to invasive, medically unnecessary and irreversible medical procedures aimed at assigning them a sex. It is also concerned that such actions are often based on a stereotyped vision of gender roles, involve humiliating and painful procedures and are carried out before the affected persons are of an age to give their free and informed consent. It is further concerned that victims of such practices face significant barriers to accessing remedies, despite suffering lasting physical and psychological harm, including owing to statutes of limitations impeding child victims from seeking redress when they are adults, difficulties accessing health records and compensation not being available. The Committee commends the State party for introducing the Law on the Protection of Children with Variations in Sex Development in 2021. It nevertheless remains concerned by reports that the Law does not specifically restrict all problematic practices, establish criminal liability or effectively address all barriers to access to remedies for victims (arts. 2–3, 7, 17, 24 and 26).</w:t>
      </w:r>
    </w:p>
    <w:p w14:paraId="75E8E8A4" w14:textId="77777777" w:rsidR="00682D5F" w:rsidRPr="00593516" w:rsidRDefault="00682D5F" w:rsidP="00682D5F">
      <w:pPr>
        <w:pStyle w:val="SingleTxtG"/>
        <w:rPr>
          <w:b/>
        </w:rPr>
      </w:pPr>
      <w:r w:rsidRPr="00593516">
        <w:t>21.</w:t>
      </w:r>
      <w:r w:rsidRPr="00593516">
        <w:tab/>
      </w:r>
      <w:r w:rsidRPr="00593516">
        <w:rPr>
          <w:b/>
        </w:rPr>
        <w:t>The State party should take all steps necessary to ensure that all acts relating to the assignment of a sex to intersex children performed without their free and informed consent are specifically prohibited, except in cases where such interventions are absolutely necessary for medical reasons and the best interests of the child have been duly taken into account. This should include the consideration of amendments to the Law on the Protection of Children with Variations in Sex Development of 2021 within the five-year period allocated for its review, if necessary. The State party should also ensure that all victims have access to remedies, including through a revision of the application of statutes of limitation for violations in childhood, taking steps to ensure that all victims have access to their health records and considering the establishment of a dedicated compensation fund.</w:t>
      </w:r>
    </w:p>
    <w:p w14:paraId="0331D44B" w14:textId="77777777" w:rsidR="00682D5F" w:rsidRPr="00593516" w:rsidRDefault="00682D5F" w:rsidP="00682D5F">
      <w:pPr>
        <w:pStyle w:val="H23G"/>
      </w:pPr>
      <w:r w:rsidRPr="00593516">
        <w:tab/>
      </w:r>
      <w:r w:rsidRPr="00593516">
        <w:tab/>
        <w:t>Targeted killings using unmanned aerial vehicles (drones)</w:t>
      </w:r>
    </w:p>
    <w:p w14:paraId="29A9E656" w14:textId="5CD625FC" w:rsidR="00682D5F" w:rsidRPr="00593516" w:rsidRDefault="00682D5F" w:rsidP="00682D5F">
      <w:pPr>
        <w:pStyle w:val="SingleTxtG"/>
      </w:pPr>
      <w:r w:rsidRPr="00593516">
        <w:t>22.</w:t>
      </w:r>
      <w:r w:rsidRPr="00593516">
        <w:tab/>
        <w:t>The Committee regrets the insufficient information provided about the results of steps taken by the State party to ensure that military support, including the use of the Ramstein airbase and real-time data transfers on German territory, do not contribute to the use of unmanned aerial vehicles (drones) outside of recognized conflict zones, leading to civilian casualties (arts. 2 and 6).</w:t>
      </w:r>
    </w:p>
    <w:p w14:paraId="75F647B5" w14:textId="1E7C1A60" w:rsidR="00682D5F" w:rsidRPr="00593516" w:rsidRDefault="00682D5F" w:rsidP="00682D5F">
      <w:pPr>
        <w:pStyle w:val="SingleTxtG"/>
        <w:rPr>
          <w:b/>
        </w:rPr>
      </w:pPr>
      <w:r w:rsidRPr="00593516">
        <w:t>23.</w:t>
      </w:r>
      <w:r w:rsidRPr="00593516">
        <w:rPr>
          <w:b/>
        </w:rPr>
        <w:tab/>
        <w:t>The State party should take all steps necessary to ensure that the use of armed drones supported by infrastructure within its territory complies fully with its obligations under article 6 of the Covenant, including, in particular, measures to restrict their use outside of recognized conflict zones that may lead to the arbitrary deprivation of life.</w:t>
      </w:r>
    </w:p>
    <w:p w14:paraId="0429F321" w14:textId="77CF0A96" w:rsidR="00682D5F" w:rsidRPr="00593516" w:rsidRDefault="00682D5F" w:rsidP="00682D5F">
      <w:pPr>
        <w:pStyle w:val="H23G"/>
      </w:pPr>
      <w:r w:rsidRPr="00593516">
        <w:tab/>
      </w:r>
      <w:r w:rsidRPr="00593516">
        <w:tab/>
        <w:t>Climate change and environmental degradation</w:t>
      </w:r>
    </w:p>
    <w:p w14:paraId="5860DC94" w14:textId="1A0CA8F2" w:rsidR="00682D5F" w:rsidRPr="00593516" w:rsidRDefault="00682D5F" w:rsidP="00682D5F">
      <w:pPr>
        <w:pStyle w:val="SingleTxtG"/>
      </w:pPr>
      <w:r w:rsidRPr="00593516">
        <w:t>24.</w:t>
      </w:r>
      <w:r w:rsidRPr="00593516">
        <w:tab/>
        <w:t>The Committee commends the State party for its efforts to address climate change and environmental degradation, including the adoption of the Climate Change Act in 2019 and of the Climate Action Plan 2050. It welcomes the information that was provided by the State party during its interactive dialogue with the Committee about efforts to promote a human rights-based approach to climate change and implement relevant projects internationally. The Committee also takes note of the Federal Constitutional Court’s significant findings in its ruling of 24 March 2021.</w:t>
      </w:r>
      <w:r w:rsidRPr="00593516">
        <w:rPr>
          <w:rStyle w:val="FootnoteReference"/>
        </w:rPr>
        <w:footnoteReference w:id="12"/>
      </w:r>
      <w:r w:rsidRPr="00593516">
        <w:t xml:space="preserve"> Nevertheless, the Committee regrets the lack of specific information about measures taken to develop mechanisms and systems to ensure the sustainable use of natural resources and to adopt a precautionary approach to protect persons, including the most vulnerable, from the negative impacts of climate change and natural disasters, such as the heavy floods that the State party faced within its territory in 2021 (art. 6).</w:t>
      </w:r>
    </w:p>
    <w:p w14:paraId="16FAFE52" w14:textId="13CC554A" w:rsidR="00682D5F" w:rsidRPr="00593516" w:rsidRDefault="00682D5F" w:rsidP="00682D5F">
      <w:pPr>
        <w:pStyle w:val="SingleTxtG"/>
        <w:rPr>
          <w:b/>
        </w:rPr>
      </w:pPr>
      <w:r w:rsidRPr="00593516">
        <w:t>25.</w:t>
      </w:r>
      <w:r w:rsidRPr="00593516">
        <w:rPr>
          <w:b/>
        </w:rPr>
        <w:tab/>
        <w:t>The State party should continue and intensify efforts to strengthen the legal framework on climate change, including by taking all steps necessary to implement the findings of the Federal Constitutional Court in the above-mentioned ruling of 24 March 2021. The State party should also take adequate steps to develop mechanisms to ensure the sustainable use of natural resources and to adopt a precautionary approach to protecting persons, including the most vulnerable, from the negative impacts of climate change and natural disasters. In this regard, the Committee draws the State party’s attention to paragraph 62 of its general comment No. 36 (2018).</w:t>
      </w:r>
    </w:p>
    <w:p w14:paraId="35FB607D" w14:textId="204353A7" w:rsidR="00682D5F" w:rsidRPr="00593516" w:rsidRDefault="00E84580" w:rsidP="00E84580">
      <w:pPr>
        <w:pStyle w:val="H23G"/>
      </w:pPr>
      <w:r w:rsidRPr="00593516">
        <w:tab/>
      </w:r>
      <w:r w:rsidR="00682D5F" w:rsidRPr="00593516">
        <w:tab/>
        <w:t>Excessive use of force</w:t>
      </w:r>
    </w:p>
    <w:p w14:paraId="07B166F1" w14:textId="09F59CAB" w:rsidR="00682D5F" w:rsidRPr="00593516" w:rsidRDefault="00682D5F" w:rsidP="00682D5F">
      <w:pPr>
        <w:pStyle w:val="SingleTxtG"/>
      </w:pPr>
      <w:r w:rsidRPr="00593516">
        <w:t>26.</w:t>
      </w:r>
      <w:r w:rsidRPr="00593516">
        <w:tab/>
        <w:t>The Committee is concerned by reports of the excessive use of force by law enforcement officials in the State party, including in the context of policing assemblies, such as the Group of 20 summit held in Hamburg in 2017. It is also concerned that Federal police officers, as well as some law enforcement officials at the Länder level, are not required to wear identity badges, which hampers the investigation of allegations of excessive use of force. It is further concerned that a significant number of complaints of ill-treatment by law enforcement officials do not reach the courts (arts. 6</w:t>
      </w:r>
      <w:r w:rsidR="00611C86" w:rsidRPr="00593516">
        <w:t>–</w:t>
      </w:r>
      <w:r w:rsidRPr="00593516">
        <w:t>7 and 21).</w:t>
      </w:r>
    </w:p>
    <w:p w14:paraId="3BC6E2A0" w14:textId="41CF0C38" w:rsidR="00682D5F" w:rsidRPr="00593516" w:rsidRDefault="00682D5F" w:rsidP="00682D5F">
      <w:pPr>
        <w:pStyle w:val="SingleTxtG"/>
        <w:rPr>
          <w:b/>
        </w:rPr>
      </w:pPr>
      <w:r w:rsidRPr="00593516">
        <w:t>27.</w:t>
      </w:r>
      <w:r w:rsidRPr="00593516">
        <w:rPr>
          <w:b/>
        </w:rPr>
        <w:tab/>
        <w:t>The use of force by law enforcement officials, including during peaceful assemblies, should be brought into line with the Covenant, the United Nations Human Rights Guidance on Less-Lethal Weapons in Law Enforcement and the Basic Principles on the Use of Force and Firearms by Law Enforcement Officials. The State party should also take all steps necessary, including consideration of mandatory identification badges for all law enforcement officials, to ensure the effective investigation of allegations of excessive use of force and the prosecution and punishment of those responsible.</w:t>
      </w:r>
    </w:p>
    <w:p w14:paraId="57F0DB02" w14:textId="20AE30BF" w:rsidR="00682D5F" w:rsidRPr="00593516" w:rsidRDefault="00682D5F" w:rsidP="00682D5F">
      <w:pPr>
        <w:pStyle w:val="H23G"/>
      </w:pPr>
      <w:r w:rsidRPr="00593516">
        <w:tab/>
      </w:r>
      <w:r w:rsidRPr="00593516">
        <w:tab/>
        <w:t>Use of mechanical restraints on persons held in police custody</w:t>
      </w:r>
    </w:p>
    <w:p w14:paraId="4E0EAF1F" w14:textId="5590D080" w:rsidR="00682D5F" w:rsidRPr="00593516" w:rsidRDefault="00682D5F" w:rsidP="00682D5F">
      <w:pPr>
        <w:pStyle w:val="SingleTxtG"/>
      </w:pPr>
      <w:r w:rsidRPr="00593516">
        <w:t>28.</w:t>
      </w:r>
      <w:r w:rsidRPr="00593516">
        <w:tab/>
        <w:t>The Committee welcomes the enactment in 2018 of the Act to Strengthen the Rights of Persons Held in Custody, which provides for stricter requirements for the use of mechanical restraints on persons held in police custody. It notes, however, that the State party did not elaborate on the exact material scope of stricter requirements or their impact. The Committee is furthermore concerned that the use of mechanical restraints by police officers continues in law and in practice in some Länder (arts. 7 and 9–10).</w:t>
      </w:r>
    </w:p>
    <w:p w14:paraId="24611879" w14:textId="2EF6B10F" w:rsidR="00682D5F" w:rsidRPr="00593516" w:rsidRDefault="00682D5F" w:rsidP="00682D5F">
      <w:pPr>
        <w:pStyle w:val="SingleTxtG"/>
        <w:rPr>
          <w:b/>
        </w:rPr>
      </w:pPr>
      <w:r w:rsidRPr="00593516">
        <w:t>29.</w:t>
      </w:r>
      <w:r w:rsidRPr="00593516">
        <w:tab/>
      </w:r>
      <w:r w:rsidRPr="00593516">
        <w:rPr>
          <w:b/>
        </w:rPr>
        <w:t>The State party should continue and intensify efforts to avoid the use of mechanical restraints on persons held in police custody, including by considering further legal reforms and improving coordination with and among the different Länder.</w:t>
      </w:r>
    </w:p>
    <w:p w14:paraId="3BF49620" w14:textId="77777777" w:rsidR="00682D5F" w:rsidRPr="00593516" w:rsidRDefault="00682D5F" w:rsidP="00682D5F">
      <w:pPr>
        <w:pStyle w:val="H23G"/>
      </w:pPr>
      <w:r w:rsidRPr="00593516">
        <w:tab/>
      </w:r>
      <w:r w:rsidRPr="00593516">
        <w:tab/>
        <w:t>Institutional care</w:t>
      </w:r>
    </w:p>
    <w:p w14:paraId="31301DFF" w14:textId="0FD40713" w:rsidR="00682D5F" w:rsidRPr="00593516" w:rsidRDefault="00682D5F" w:rsidP="00682D5F">
      <w:pPr>
        <w:pStyle w:val="SingleTxtG"/>
      </w:pPr>
      <w:r w:rsidRPr="00593516">
        <w:t>30.</w:t>
      </w:r>
      <w:r w:rsidRPr="00593516">
        <w:tab/>
        <w:t>The Committee is concerned about:</w:t>
      </w:r>
    </w:p>
    <w:p w14:paraId="1DFB8758" w14:textId="25884C1E" w:rsidR="00682D5F" w:rsidRPr="00593516" w:rsidRDefault="006D6379" w:rsidP="006D6379">
      <w:pPr>
        <w:pStyle w:val="SingleTxtG"/>
      </w:pPr>
      <w:r w:rsidRPr="00593516">
        <w:tab/>
      </w:r>
      <w:r w:rsidR="00682D5F" w:rsidRPr="00593516">
        <w:t>(a)</w:t>
      </w:r>
      <w:r w:rsidR="00682D5F" w:rsidRPr="00593516">
        <w:tab/>
        <w:t>The use of mechanical and chemical restraints on persons with psychosocial disabilities and older persons in residential care facilities;</w:t>
      </w:r>
    </w:p>
    <w:p w14:paraId="55840E4A" w14:textId="78DCDB8F" w:rsidR="00682D5F" w:rsidRPr="00593516" w:rsidRDefault="006D6379" w:rsidP="006D6379">
      <w:pPr>
        <w:pStyle w:val="SingleTxtG"/>
      </w:pPr>
      <w:r w:rsidRPr="00593516">
        <w:tab/>
      </w:r>
      <w:r w:rsidR="00682D5F" w:rsidRPr="00593516">
        <w:t>(b)</w:t>
      </w:r>
      <w:r w:rsidR="00682D5F" w:rsidRPr="00593516">
        <w:tab/>
        <w:t>Allegations of abuse, including neglect, as well as physical, psychological and sexual abuse against older persons in residential care facilities;</w:t>
      </w:r>
    </w:p>
    <w:p w14:paraId="4625061F" w14:textId="4BDFF3C9" w:rsidR="00682D5F" w:rsidRPr="00593516" w:rsidRDefault="006D6379" w:rsidP="006D6379">
      <w:pPr>
        <w:pStyle w:val="SingleTxtG"/>
      </w:pPr>
      <w:r w:rsidRPr="00593516">
        <w:tab/>
      </w:r>
      <w:r w:rsidR="00682D5F" w:rsidRPr="00593516">
        <w:t>(c)</w:t>
      </w:r>
      <w:r w:rsidR="00682D5F" w:rsidRPr="00593516">
        <w:tab/>
        <w:t>Different legal standards and practices in the different Länder on involuntary hospitalization and the forced committal of those with psychosocial disabilities;</w:t>
      </w:r>
    </w:p>
    <w:p w14:paraId="1568B9EB" w14:textId="69984327" w:rsidR="00682D5F" w:rsidRPr="00593516" w:rsidRDefault="006D6379" w:rsidP="006D6379">
      <w:pPr>
        <w:pStyle w:val="SingleTxtG"/>
      </w:pPr>
      <w:r w:rsidRPr="00593516">
        <w:tab/>
      </w:r>
      <w:r w:rsidR="00682D5F" w:rsidRPr="00593516">
        <w:t>(d)</w:t>
      </w:r>
      <w:r w:rsidR="00682D5F" w:rsidRPr="00593516">
        <w:tab/>
        <w:t>The law providing for circumstances under which the forced sterilization of adults with disabilities remains permissible;</w:t>
      </w:r>
    </w:p>
    <w:p w14:paraId="6DB11A00" w14:textId="115526E8" w:rsidR="00682D5F" w:rsidRPr="00593516" w:rsidRDefault="006D6379" w:rsidP="006D6379">
      <w:pPr>
        <w:pStyle w:val="SingleTxtG"/>
      </w:pPr>
      <w:r w:rsidRPr="00593516">
        <w:tab/>
      </w:r>
      <w:r w:rsidR="00682D5F" w:rsidRPr="00593516">
        <w:t>(e)</w:t>
      </w:r>
      <w:r w:rsidR="00682D5F" w:rsidRPr="00593516">
        <w:tab/>
        <w:t>Information suggesting insufficient specific complaints mechanisms to receive, investigate and facilitate the public prosecution and punishment of those responsible for all forms of abuse in institutional care settings;</w:t>
      </w:r>
    </w:p>
    <w:p w14:paraId="3E3F6397" w14:textId="0AC24FCD" w:rsidR="00682D5F" w:rsidRPr="00593516" w:rsidRDefault="006D6379" w:rsidP="006D6379">
      <w:pPr>
        <w:pStyle w:val="SingleTxtG"/>
      </w:pPr>
      <w:r w:rsidRPr="00593516">
        <w:tab/>
      </w:r>
      <w:r w:rsidR="00682D5F" w:rsidRPr="00593516">
        <w:t>(f)</w:t>
      </w:r>
      <w:r w:rsidR="00682D5F" w:rsidRPr="00593516">
        <w:tab/>
        <w:t>Information provided by the State party during the interactive dialogue about the impact of COVID-19 on residential care facilities, including the disruption of regulatory oversight (arts. 7 and 9–10).</w:t>
      </w:r>
    </w:p>
    <w:p w14:paraId="20DC7FC9" w14:textId="162AE78E" w:rsidR="00682D5F" w:rsidRPr="00593516" w:rsidRDefault="00682D5F" w:rsidP="00682D5F">
      <w:pPr>
        <w:pStyle w:val="SingleTxtG"/>
        <w:rPr>
          <w:b/>
        </w:rPr>
      </w:pPr>
      <w:r w:rsidRPr="00593516">
        <w:t>31.</w:t>
      </w:r>
      <w:r w:rsidRPr="00593516">
        <w:rPr>
          <w:b/>
        </w:rPr>
        <w:tab/>
        <w:t>Recalling the Committee’s previous recommendation,</w:t>
      </w:r>
      <w:r w:rsidRPr="00593516">
        <w:rPr>
          <w:rStyle w:val="FootnoteReference"/>
        </w:rPr>
        <w:footnoteReference w:id="13"/>
      </w:r>
      <w:r w:rsidRPr="00593516">
        <w:rPr>
          <w:b/>
        </w:rPr>
        <w:t xml:space="preserve"> the State party should:</w:t>
      </w:r>
    </w:p>
    <w:p w14:paraId="461EF306" w14:textId="6790F4AF" w:rsidR="00682D5F" w:rsidRPr="00593516" w:rsidRDefault="00563F44" w:rsidP="004F5470">
      <w:pPr>
        <w:pStyle w:val="SingleTxtG"/>
        <w:rPr>
          <w:b/>
        </w:rPr>
      </w:pPr>
      <w:r w:rsidRPr="00593516">
        <w:rPr>
          <w:bCs/>
        </w:rPr>
        <w:tab/>
      </w:r>
      <w:r w:rsidR="00682D5F" w:rsidRPr="00593516">
        <w:rPr>
          <w:bCs/>
        </w:rPr>
        <w:t>(a)</w:t>
      </w:r>
      <w:r w:rsidR="00682D5F" w:rsidRPr="00593516">
        <w:rPr>
          <w:b/>
        </w:rPr>
        <w:tab/>
        <w:t xml:space="preserve">Continue and </w:t>
      </w:r>
      <w:proofErr w:type="gramStart"/>
      <w:r w:rsidR="00682D5F" w:rsidRPr="00593516">
        <w:rPr>
          <w:b/>
        </w:rPr>
        <w:t>step up</w:t>
      </w:r>
      <w:proofErr w:type="gramEnd"/>
      <w:r w:rsidR="00682D5F" w:rsidRPr="00593516">
        <w:rPr>
          <w:b/>
        </w:rPr>
        <w:t xml:space="preserve"> efforts to monitor, prevent and eradicate the use of physical and chemical restraints in institutional care settings;</w:t>
      </w:r>
    </w:p>
    <w:p w14:paraId="2C5DFF14" w14:textId="2813D829" w:rsidR="00682D5F" w:rsidRPr="00593516" w:rsidRDefault="00563F44" w:rsidP="004F5470">
      <w:pPr>
        <w:pStyle w:val="SingleTxtG"/>
        <w:rPr>
          <w:b/>
        </w:rPr>
      </w:pPr>
      <w:r w:rsidRPr="00593516">
        <w:rPr>
          <w:bCs/>
        </w:rPr>
        <w:tab/>
      </w:r>
      <w:r w:rsidR="00682D5F" w:rsidRPr="00593516">
        <w:rPr>
          <w:bCs/>
        </w:rPr>
        <w:t>(b)</w:t>
      </w:r>
      <w:r w:rsidR="00682D5F" w:rsidRPr="00593516">
        <w:rPr>
          <w:bCs/>
        </w:rPr>
        <w:tab/>
      </w:r>
      <w:r w:rsidR="00682D5F" w:rsidRPr="00593516">
        <w:rPr>
          <w:b/>
        </w:rPr>
        <w:t>Intensify efforts to monitor, prevent and eradicate all forms of abuse against older persons and those with psychosocial disabilities in residential care facilities;</w:t>
      </w:r>
    </w:p>
    <w:p w14:paraId="2D0F6A33" w14:textId="080C64C4" w:rsidR="00682D5F" w:rsidRPr="00593516" w:rsidRDefault="00563F44" w:rsidP="004F5470">
      <w:pPr>
        <w:pStyle w:val="SingleTxtG"/>
        <w:rPr>
          <w:b/>
        </w:rPr>
      </w:pPr>
      <w:r w:rsidRPr="00593516">
        <w:rPr>
          <w:bCs/>
        </w:rPr>
        <w:tab/>
      </w:r>
      <w:r w:rsidR="00682D5F" w:rsidRPr="00593516">
        <w:rPr>
          <w:bCs/>
        </w:rPr>
        <w:t>(c)</w:t>
      </w:r>
      <w:r w:rsidR="00682D5F" w:rsidRPr="00593516">
        <w:rPr>
          <w:b/>
        </w:rPr>
        <w:tab/>
        <w:t>Consider further harmonizing the legal standards in the different Länder on the involuntary hospitalization and forced committal of those with psychosocial disabilities, ensuring that all such standards and judicial oversight mechanisms uphold the principles of necessity and proportionality;</w:t>
      </w:r>
    </w:p>
    <w:p w14:paraId="4369E864" w14:textId="58512C17" w:rsidR="00682D5F" w:rsidRPr="00593516" w:rsidRDefault="00563F44" w:rsidP="004F5470">
      <w:pPr>
        <w:pStyle w:val="SingleTxtG"/>
        <w:rPr>
          <w:b/>
        </w:rPr>
      </w:pPr>
      <w:r w:rsidRPr="00593516">
        <w:rPr>
          <w:bCs/>
        </w:rPr>
        <w:tab/>
      </w:r>
      <w:r w:rsidR="00682D5F" w:rsidRPr="00593516">
        <w:rPr>
          <w:bCs/>
        </w:rPr>
        <w:t>(d)</w:t>
      </w:r>
      <w:r w:rsidR="00682D5F" w:rsidRPr="00593516">
        <w:rPr>
          <w:b/>
        </w:rPr>
        <w:tab/>
        <w:t>Remove any exception in the law to the ban on the forced sterilization of adults with disabilities and ensure that such standards are effectively implemented;</w:t>
      </w:r>
    </w:p>
    <w:p w14:paraId="51051134" w14:textId="47122B6A" w:rsidR="00682D5F" w:rsidRPr="00593516" w:rsidRDefault="00563F44" w:rsidP="004F5470">
      <w:pPr>
        <w:pStyle w:val="SingleTxtG"/>
        <w:rPr>
          <w:b/>
        </w:rPr>
      </w:pPr>
      <w:r w:rsidRPr="00593516">
        <w:rPr>
          <w:bCs/>
        </w:rPr>
        <w:tab/>
      </w:r>
      <w:r w:rsidR="00682D5F" w:rsidRPr="00593516">
        <w:rPr>
          <w:bCs/>
        </w:rPr>
        <w:t>(e)</w:t>
      </w:r>
      <w:r w:rsidR="00682D5F" w:rsidRPr="00593516">
        <w:rPr>
          <w:b/>
        </w:rPr>
        <w:tab/>
        <w:t>Consider increasing the availability of specific complaints mechanisms to receive, investigate and facilitate the prosecution and punishment of those responsible for all forms of abuse in institutional care settings;</w:t>
      </w:r>
    </w:p>
    <w:p w14:paraId="4A71DFAA" w14:textId="03B1BFCD" w:rsidR="00682D5F" w:rsidRPr="00593516" w:rsidRDefault="00563F44" w:rsidP="004F5470">
      <w:pPr>
        <w:pStyle w:val="SingleTxtG"/>
        <w:rPr>
          <w:b/>
        </w:rPr>
      </w:pPr>
      <w:r w:rsidRPr="00593516">
        <w:rPr>
          <w:bCs/>
        </w:rPr>
        <w:tab/>
      </w:r>
      <w:r w:rsidR="00682D5F" w:rsidRPr="00593516">
        <w:rPr>
          <w:bCs/>
        </w:rPr>
        <w:t>(f)</w:t>
      </w:r>
      <w:r w:rsidR="00682D5F" w:rsidRPr="00593516">
        <w:rPr>
          <w:b/>
        </w:rPr>
        <w:tab/>
        <w:t>Take targeted measures to protect older persons from COVID-19 and/or other major public health emergencies and restore full regulatory oversight as soon as possible.</w:t>
      </w:r>
    </w:p>
    <w:p w14:paraId="0D9E6C8E" w14:textId="2F263996" w:rsidR="00682D5F" w:rsidRPr="00593516" w:rsidRDefault="00682D5F" w:rsidP="00682D5F">
      <w:pPr>
        <w:pStyle w:val="H23G"/>
      </w:pPr>
      <w:r w:rsidRPr="00593516">
        <w:tab/>
      </w:r>
      <w:r w:rsidRPr="00593516">
        <w:tab/>
        <w:t>Solitary confinement and disciplinary detention</w:t>
      </w:r>
    </w:p>
    <w:p w14:paraId="11B7375D" w14:textId="687BF3C0" w:rsidR="00682D5F" w:rsidRPr="00593516" w:rsidRDefault="00682D5F" w:rsidP="00682D5F">
      <w:pPr>
        <w:pStyle w:val="SingleTxtG"/>
      </w:pPr>
      <w:r w:rsidRPr="00593516">
        <w:t>32.</w:t>
      </w:r>
      <w:r w:rsidRPr="00593516">
        <w:tab/>
        <w:t>The Committee is concerned about the State party’s use of solitary confinement and disciplinary detention. It notes that such measures are used as a measure of last resort and provided for in the law. It is nevertheless concerned by the information provided by the State party during the interactive dialogue indicating that solitary confinement can be used for an indefinite period and that disciplinary detention can last four weeks. It is further concerned that juveniles are sometimes subject to solitary confinement and disciplinary detention. In addition, while understanding that, according to the Federal system, the competence for prison management is delegated, the Committee notes with concern that the legal limits on disciplinary detention range from zero to four weeks depending on the different Länder (arts. 7, 9–10 and 24).</w:t>
      </w:r>
    </w:p>
    <w:p w14:paraId="3CD3B1F8" w14:textId="77777777" w:rsidR="00682D5F" w:rsidRPr="00593516" w:rsidRDefault="00682D5F" w:rsidP="00682D5F">
      <w:pPr>
        <w:pStyle w:val="SingleTxtG"/>
        <w:rPr>
          <w:b/>
        </w:rPr>
      </w:pPr>
      <w:r w:rsidRPr="00593516">
        <w:t>33.</w:t>
      </w:r>
      <w:r w:rsidRPr="00593516">
        <w:tab/>
      </w:r>
      <w:r w:rsidRPr="00593516">
        <w:rPr>
          <w:b/>
        </w:rPr>
        <w:t>The State party should bring all legislation and practice on solitary confinement and disciplinary detention into line with the Covenant and the international standards as reflected in the United Nations Standard Minimum Rules for the Treatment of Prisoners (the Nelson Mandela Rules). It should do so by abolishing the holding of juveniles in solitary confinement and by reviewing the total length of solitary confinement and disciplinary detention, even when these practices are used as a measure of last resort. The State party should also step up coordination and legal harmonization with and among the different Länder and regularly evaluate the effects of solitary confinement and disciplinary detention in order to continue to reduce their use and develop alternative measures where necessary.</w:t>
      </w:r>
    </w:p>
    <w:p w14:paraId="205F4000" w14:textId="170C408A" w:rsidR="00682D5F" w:rsidRPr="00593516" w:rsidRDefault="00682D5F" w:rsidP="00682D5F">
      <w:pPr>
        <w:pStyle w:val="H23G"/>
      </w:pPr>
      <w:r w:rsidRPr="00593516">
        <w:tab/>
      </w:r>
      <w:r w:rsidRPr="00593516">
        <w:tab/>
        <w:t>Post-conviction preventive detention</w:t>
      </w:r>
    </w:p>
    <w:p w14:paraId="01270FBA" w14:textId="4C149D90" w:rsidR="00682D5F" w:rsidRPr="00593516" w:rsidRDefault="00682D5F" w:rsidP="00682D5F">
      <w:pPr>
        <w:pStyle w:val="SingleTxtG"/>
      </w:pPr>
      <w:r w:rsidRPr="00593516">
        <w:t>34.</w:t>
      </w:r>
      <w:r w:rsidRPr="00593516">
        <w:tab/>
        <w:t xml:space="preserve">The Committee notes the information provided by the State party about the reforms to the legal framework and the improvements to detention conditions following relevant judgments of the European Court of Human Rights, as well as about preventive detention being subject to rigorous judicial oversight. The Committee is nevertheless concerned that the </w:t>
      </w:r>
      <w:bookmarkStart w:id="0" w:name="_Hlk88730022"/>
      <w:r w:rsidRPr="00593516">
        <w:t>act on the federal law implementation of the distance requirement in the law of preventive detention</w:t>
      </w:r>
      <w:bookmarkEnd w:id="0"/>
      <w:r w:rsidRPr="00593516">
        <w:t>, which was enacted in 2013, allows for post-conviction preventive detention on a number of grounds, including for persons deemed to have a “mental disorder” or to have exhibited conduct that provides a concrete basis to assume a high risk of extremely violent or sexual offences and for “extremist criminals”. It is further concerned that it is unclear exactly how judicial oversight ensures that preventive detention is used only as a measure of last resort in all cases (arts. 9 and 14–15).</w:t>
      </w:r>
    </w:p>
    <w:p w14:paraId="5293103C" w14:textId="2CD10824" w:rsidR="00682D5F" w:rsidRPr="00593516" w:rsidRDefault="00682D5F" w:rsidP="00682D5F">
      <w:pPr>
        <w:pStyle w:val="SingleTxtG"/>
        <w:rPr>
          <w:b/>
        </w:rPr>
      </w:pPr>
      <w:r w:rsidRPr="00593516">
        <w:t>35.</w:t>
      </w:r>
      <w:r w:rsidRPr="00593516">
        <w:rPr>
          <w:b/>
        </w:rPr>
        <w:tab/>
        <w:t>Recalling the Committee’s previous recommendation,</w:t>
      </w:r>
      <w:r w:rsidRPr="00593516">
        <w:rPr>
          <w:rStyle w:val="FootnoteReference"/>
        </w:rPr>
        <w:footnoteReference w:id="14"/>
      </w:r>
      <w:r w:rsidRPr="00593516">
        <w:rPr>
          <w:b/>
        </w:rPr>
        <w:t xml:space="preserve"> the State party should take additional measures to ensure that post-conviction preventive detention is used only as a measure of last resort. It should also continue and step up efforts to ensure that detention conditions are distinct from those of convicted prisoners and aimed at therapeutic treatment, rehabilitation and the reintegration of those subject to preventive detention into society. In this regard, the Committee draws the State party’s attention to paragraph 21 of its general comment No. 35 </w:t>
      </w:r>
      <w:r w:rsidRPr="00593516">
        <w:rPr>
          <w:b/>
          <w:bCs/>
          <w:lang w:val="en-US"/>
        </w:rPr>
        <w:t>(2014)</w:t>
      </w:r>
      <w:r w:rsidRPr="00593516">
        <w:rPr>
          <w:b/>
        </w:rPr>
        <w:t>.</w:t>
      </w:r>
    </w:p>
    <w:p w14:paraId="6EE2BA71" w14:textId="77777777" w:rsidR="00682D5F" w:rsidRPr="00593516" w:rsidRDefault="00682D5F" w:rsidP="00682D5F">
      <w:pPr>
        <w:pStyle w:val="H23G"/>
      </w:pPr>
      <w:r w:rsidRPr="00593516">
        <w:tab/>
      </w:r>
      <w:r w:rsidRPr="00593516">
        <w:tab/>
        <w:t>COVID-19 response</w:t>
      </w:r>
    </w:p>
    <w:p w14:paraId="0B1774E5" w14:textId="2D1B7E3A" w:rsidR="00682D5F" w:rsidRPr="00593516" w:rsidRDefault="00682D5F" w:rsidP="00682D5F">
      <w:pPr>
        <w:pStyle w:val="SingleTxtG"/>
      </w:pPr>
      <w:r w:rsidRPr="00593516">
        <w:t>36.</w:t>
      </w:r>
      <w:r w:rsidRPr="00593516">
        <w:tab/>
        <w:t>The Committee notes the information provided by the State party indicating that restrictions on certain articles of the Covenant, such as articles 12 and 21–22, were introduced to protect the health of the public in the context of the COVID-19 pandemic and that the application of relevant measures at the Länder level were subject to federal judicial review. The Committee is nevertheless concerned by reports that significant curtailments of civil and political rights, which required a revision of the national legal framework, were introduced in the context of the State party’s response to the pandemic (arts. 4, 12 and 21–22).</w:t>
      </w:r>
    </w:p>
    <w:p w14:paraId="1DEC21C7" w14:textId="1F038E74" w:rsidR="00682D5F" w:rsidRPr="00593516" w:rsidRDefault="00682D5F" w:rsidP="00682D5F">
      <w:pPr>
        <w:pStyle w:val="SingleTxtG"/>
        <w:rPr>
          <w:b/>
        </w:rPr>
      </w:pPr>
      <w:r w:rsidRPr="00593516">
        <w:t>37.</w:t>
      </w:r>
      <w:r w:rsidRPr="00593516">
        <w:tab/>
      </w:r>
      <w:r w:rsidRPr="00593516">
        <w:rPr>
          <w:b/>
        </w:rPr>
        <w:t>The State party should ensure that its national legal framework on emergencies, including those relating to the protection of public health, is in line with all the provisions of the Covenant. The State party should also ensure that any restrictions on freedom of movement and on freedom of assembly and association are in strict accordance with the conditions outlined in articles 12 (3), 21 and 22 (2). Moreover, if the material scope of any curtailment of the rights enshrined in the Covenant extends beyond the restrictions provided for in articles 12 (3), 21 and 22 (2) and any other relevant articles, the State party should avail itself of the right of derogation and immediately inform other States parties to the Covenant through the intermediary of the Secretary-General.</w:t>
      </w:r>
    </w:p>
    <w:p w14:paraId="06D885B2" w14:textId="667CBC2C" w:rsidR="00682D5F" w:rsidRPr="00593516" w:rsidRDefault="00682D5F" w:rsidP="00682D5F">
      <w:pPr>
        <w:pStyle w:val="H23G"/>
      </w:pPr>
      <w:r w:rsidRPr="00593516">
        <w:tab/>
      </w:r>
      <w:r w:rsidRPr="00593516">
        <w:tab/>
        <w:t>Treatment of aliens, including refugees, asylum seekers and migrants</w:t>
      </w:r>
    </w:p>
    <w:p w14:paraId="3B8DAC32" w14:textId="1AB7A1C9" w:rsidR="00682D5F" w:rsidRPr="00593516" w:rsidRDefault="00682D5F" w:rsidP="00682D5F">
      <w:pPr>
        <w:pStyle w:val="SingleTxtG"/>
      </w:pPr>
      <w:r w:rsidRPr="00593516">
        <w:t>38.</w:t>
      </w:r>
      <w:r w:rsidRPr="00593516">
        <w:tab/>
        <w:t>The Committee commends the State party for the solidarity that it has shown in receiving refugees and for its continued whole-of-society approach to refugee protection. It is nevertheless concerned about the following:</w:t>
      </w:r>
    </w:p>
    <w:p w14:paraId="4513CC49" w14:textId="22D89562" w:rsidR="00682D5F" w:rsidRPr="00593516" w:rsidRDefault="00C42199" w:rsidP="00C42199">
      <w:pPr>
        <w:pStyle w:val="SingleTxtG"/>
      </w:pPr>
      <w:r w:rsidRPr="00593516">
        <w:tab/>
      </w:r>
      <w:r w:rsidR="00682D5F" w:rsidRPr="00593516">
        <w:t>(a)</w:t>
      </w:r>
      <w:r w:rsidR="00682D5F" w:rsidRPr="00593516">
        <w:tab/>
        <w:t>Limits on family reunification for beneficiaries of subsidiary protection based upon quotas, as well as administrative barriers faced by eligible applicants in securing the relevant visas;</w:t>
      </w:r>
    </w:p>
    <w:p w14:paraId="2390E95C" w14:textId="735532D4" w:rsidR="00682D5F" w:rsidRPr="00593516" w:rsidRDefault="00C42199" w:rsidP="00C42199">
      <w:pPr>
        <w:pStyle w:val="SingleTxtG"/>
      </w:pPr>
      <w:r w:rsidRPr="00593516">
        <w:tab/>
      </w:r>
      <w:r w:rsidR="00682D5F" w:rsidRPr="00593516">
        <w:t>(b)</w:t>
      </w:r>
      <w:r w:rsidR="00682D5F" w:rsidRPr="00593516">
        <w:tab/>
        <w:t>Undue limitations to the definition of family for the purpose of reunification, including the exclusion of siblings of unaccompanied children;</w:t>
      </w:r>
    </w:p>
    <w:p w14:paraId="095523ED" w14:textId="3DEC28E1" w:rsidR="00682D5F" w:rsidRPr="00593516" w:rsidRDefault="00C42199" w:rsidP="00C42199">
      <w:pPr>
        <w:pStyle w:val="SingleTxtG"/>
      </w:pPr>
      <w:r w:rsidRPr="00593516">
        <w:tab/>
      </w:r>
      <w:r w:rsidR="00682D5F" w:rsidRPr="00593516">
        <w:t>(c)</w:t>
      </w:r>
      <w:r w:rsidR="00682D5F" w:rsidRPr="00593516">
        <w:tab/>
        <w:t>Article 62a (1) of the Residence Act does not prohibit the placement in prisons of individuals liable to be deported while they await deportation;</w:t>
      </w:r>
    </w:p>
    <w:p w14:paraId="224FE2BD" w14:textId="4CE397A6" w:rsidR="00682D5F" w:rsidRPr="00593516" w:rsidRDefault="00C42199" w:rsidP="00C42199">
      <w:pPr>
        <w:pStyle w:val="SingleTxtG"/>
      </w:pPr>
      <w:r w:rsidRPr="00593516">
        <w:tab/>
      </w:r>
      <w:r w:rsidR="00682D5F" w:rsidRPr="00593516">
        <w:t>(d)</w:t>
      </w:r>
      <w:r w:rsidR="00682D5F" w:rsidRPr="00593516">
        <w:tab/>
        <w:t>Reports of deportations carried out without the provision of individualized assessment procedures, in potential violation of the principle of non-refoulement;</w:t>
      </w:r>
    </w:p>
    <w:p w14:paraId="6DBA2381" w14:textId="523DA3AE" w:rsidR="00682D5F" w:rsidRPr="00593516" w:rsidRDefault="00C42199" w:rsidP="00C42199">
      <w:pPr>
        <w:pStyle w:val="SingleTxtG"/>
      </w:pPr>
      <w:r w:rsidRPr="00593516">
        <w:tab/>
      </w:r>
      <w:r w:rsidR="00682D5F" w:rsidRPr="00593516">
        <w:t>(e)</w:t>
      </w:r>
      <w:r w:rsidR="00682D5F" w:rsidRPr="00593516">
        <w:tab/>
        <w:t xml:space="preserve">Reports of poor conditions in </w:t>
      </w:r>
      <w:proofErr w:type="spellStart"/>
      <w:r w:rsidR="00682D5F" w:rsidRPr="00593516">
        <w:t>AnkER</w:t>
      </w:r>
      <w:proofErr w:type="spellEnd"/>
      <w:r w:rsidR="00682D5F" w:rsidRPr="00593516">
        <w:t xml:space="preserve"> centres (arrival, decision and return facilities), as well as of such centres being in geographically remote areas, which limits access to essential amenities;</w:t>
      </w:r>
    </w:p>
    <w:p w14:paraId="18F10A92" w14:textId="21BD2507" w:rsidR="00682D5F" w:rsidRPr="00593516" w:rsidRDefault="00C42199" w:rsidP="00C42199">
      <w:pPr>
        <w:pStyle w:val="SingleTxtG"/>
      </w:pPr>
      <w:r w:rsidRPr="00593516">
        <w:tab/>
      </w:r>
      <w:r w:rsidR="00682D5F" w:rsidRPr="00593516">
        <w:t>(f)</w:t>
      </w:r>
      <w:r w:rsidR="00682D5F" w:rsidRPr="00593516">
        <w:tab/>
        <w:t>While migrants in irregular situations are legally entitled to receive the COVID-19 vaccine under section 1 (1) of the Coronavirus Vaccination Ordinance, in practice there remain obstacles to effective access (arts. 2, 6–7, 9, 13 and 26).</w:t>
      </w:r>
    </w:p>
    <w:p w14:paraId="722F3C82" w14:textId="57841A9B" w:rsidR="00682D5F" w:rsidRPr="00593516" w:rsidRDefault="00682D5F" w:rsidP="00682D5F">
      <w:pPr>
        <w:pStyle w:val="SingleTxtG"/>
        <w:rPr>
          <w:b/>
        </w:rPr>
      </w:pPr>
      <w:r w:rsidRPr="00593516">
        <w:t>39.</w:t>
      </w:r>
      <w:r w:rsidRPr="00593516">
        <w:rPr>
          <w:b/>
        </w:rPr>
        <w:tab/>
        <w:t>The State party should:</w:t>
      </w:r>
    </w:p>
    <w:p w14:paraId="19312D48" w14:textId="6EC375D4" w:rsidR="00682D5F" w:rsidRPr="00593516" w:rsidRDefault="009F5B8F" w:rsidP="009F5B8F">
      <w:pPr>
        <w:pStyle w:val="SingleTxtG"/>
        <w:rPr>
          <w:b/>
        </w:rPr>
      </w:pPr>
      <w:r w:rsidRPr="00593516">
        <w:rPr>
          <w:bCs/>
        </w:rPr>
        <w:tab/>
      </w:r>
      <w:r w:rsidR="00682D5F" w:rsidRPr="00593516">
        <w:rPr>
          <w:bCs/>
        </w:rPr>
        <w:t>(a)</w:t>
      </w:r>
      <w:r w:rsidR="00682D5F" w:rsidRPr="00593516">
        <w:rPr>
          <w:b/>
        </w:rPr>
        <w:tab/>
        <w:t>Consider removing limits on family reunification based on quotas and ensure the right to family reunification through the application of uniform criteria, as well as remove administrative hurdles to accessing visas for these purposes</w:t>
      </w:r>
      <w:r w:rsidR="0046368F" w:rsidRPr="00593516">
        <w:rPr>
          <w:b/>
        </w:rPr>
        <w:t>;</w:t>
      </w:r>
    </w:p>
    <w:p w14:paraId="0EA2E5EC" w14:textId="48DC1BD6" w:rsidR="00682D5F" w:rsidRPr="00593516" w:rsidRDefault="009F5B8F" w:rsidP="009F5B8F">
      <w:pPr>
        <w:pStyle w:val="SingleTxtG"/>
        <w:rPr>
          <w:b/>
        </w:rPr>
      </w:pPr>
      <w:r w:rsidRPr="00593516">
        <w:rPr>
          <w:bCs/>
        </w:rPr>
        <w:tab/>
      </w:r>
      <w:r w:rsidR="00682D5F" w:rsidRPr="00593516">
        <w:rPr>
          <w:bCs/>
        </w:rPr>
        <w:t>(b)</w:t>
      </w:r>
      <w:r w:rsidR="00682D5F" w:rsidRPr="00593516">
        <w:rPr>
          <w:b/>
        </w:rPr>
        <w:tab/>
        <w:t>Consider reviewing the definition of family for the purpose of reunification, particularly to include the siblings of unaccompanied minors;</w:t>
      </w:r>
    </w:p>
    <w:p w14:paraId="1A5B3C25" w14:textId="31149C24" w:rsidR="00682D5F" w:rsidRPr="00593516" w:rsidRDefault="009F5B8F" w:rsidP="009F5B8F">
      <w:pPr>
        <w:pStyle w:val="SingleTxtG"/>
        <w:rPr>
          <w:b/>
        </w:rPr>
      </w:pPr>
      <w:r w:rsidRPr="00593516">
        <w:rPr>
          <w:bCs/>
        </w:rPr>
        <w:tab/>
      </w:r>
      <w:r w:rsidR="00682D5F" w:rsidRPr="00593516">
        <w:rPr>
          <w:bCs/>
        </w:rPr>
        <w:t>(c)</w:t>
      </w:r>
      <w:r w:rsidR="00682D5F" w:rsidRPr="00593516">
        <w:rPr>
          <w:b/>
        </w:rPr>
        <w:tab/>
        <w:t>Amend article 62a (1) of the Residence Act to prevent the placement in prisons of individuals awaiting deportation;</w:t>
      </w:r>
    </w:p>
    <w:p w14:paraId="391F0DC4" w14:textId="58FE6DC3" w:rsidR="00682D5F" w:rsidRPr="00593516" w:rsidRDefault="009F5B8F" w:rsidP="009F5B8F">
      <w:pPr>
        <w:pStyle w:val="SingleTxtG"/>
        <w:rPr>
          <w:b/>
        </w:rPr>
      </w:pPr>
      <w:r w:rsidRPr="00593516">
        <w:rPr>
          <w:bCs/>
        </w:rPr>
        <w:tab/>
      </w:r>
      <w:r w:rsidR="00682D5F" w:rsidRPr="00593516">
        <w:rPr>
          <w:bCs/>
        </w:rPr>
        <w:t>(d)</w:t>
      </w:r>
      <w:r w:rsidR="00682D5F" w:rsidRPr="00593516">
        <w:rPr>
          <w:b/>
        </w:rPr>
        <w:tab/>
        <w:t>Ensure that the principle of non-refoulement is secured in law and strictly adhered to in practice;</w:t>
      </w:r>
    </w:p>
    <w:p w14:paraId="775FE620" w14:textId="3BA97200" w:rsidR="00682D5F" w:rsidRPr="00593516" w:rsidRDefault="009F5B8F" w:rsidP="009F5B8F">
      <w:pPr>
        <w:pStyle w:val="SingleTxtG"/>
        <w:rPr>
          <w:b/>
        </w:rPr>
      </w:pPr>
      <w:r w:rsidRPr="00593516">
        <w:rPr>
          <w:bCs/>
        </w:rPr>
        <w:tab/>
      </w:r>
      <w:r w:rsidR="00682D5F" w:rsidRPr="00593516">
        <w:rPr>
          <w:bCs/>
        </w:rPr>
        <w:t>(e)</w:t>
      </w:r>
      <w:r w:rsidR="00682D5F" w:rsidRPr="00593516">
        <w:rPr>
          <w:b/>
        </w:rPr>
        <w:tab/>
        <w:t xml:space="preserve">Address the issues raised regarding the location of and conditions in </w:t>
      </w:r>
      <w:proofErr w:type="spellStart"/>
      <w:r w:rsidR="00682D5F" w:rsidRPr="00593516">
        <w:rPr>
          <w:b/>
        </w:rPr>
        <w:t>AnkER</w:t>
      </w:r>
      <w:proofErr w:type="spellEnd"/>
      <w:r w:rsidR="00682D5F" w:rsidRPr="00593516">
        <w:rPr>
          <w:b/>
        </w:rPr>
        <w:t xml:space="preserve"> centres and consider alternative reception arrangements;</w:t>
      </w:r>
    </w:p>
    <w:p w14:paraId="350C563B" w14:textId="437FEB0D" w:rsidR="00682D5F" w:rsidRPr="00593516" w:rsidRDefault="009F5B8F" w:rsidP="009F5B8F">
      <w:pPr>
        <w:pStyle w:val="SingleTxtG"/>
        <w:rPr>
          <w:b/>
        </w:rPr>
      </w:pPr>
      <w:r w:rsidRPr="00593516">
        <w:rPr>
          <w:bCs/>
        </w:rPr>
        <w:tab/>
      </w:r>
      <w:r w:rsidR="00682D5F" w:rsidRPr="00593516">
        <w:rPr>
          <w:bCs/>
        </w:rPr>
        <w:t>(f)</w:t>
      </w:r>
      <w:r w:rsidR="00682D5F" w:rsidRPr="00593516">
        <w:rPr>
          <w:bCs/>
        </w:rPr>
        <w:tab/>
      </w:r>
      <w:r w:rsidR="00682D5F" w:rsidRPr="00593516">
        <w:rPr>
          <w:b/>
        </w:rPr>
        <w:t>Ensure that migrants in an irregular situation have effective access to the COVID-19 vaccine.</w:t>
      </w:r>
    </w:p>
    <w:p w14:paraId="3554F1F9" w14:textId="77777777" w:rsidR="00682D5F" w:rsidRPr="00593516" w:rsidRDefault="00682D5F" w:rsidP="00682D5F">
      <w:pPr>
        <w:pStyle w:val="H23G"/>
      </w:pPr>
      <w:r w:rsidRPr="00593516">
        <w:tab/>
      </w:r>
      <w:r w:rsidRPr="00593516">
        <w:tab/>
        <w:t>Independence of the judiciary and prosecution services</w:t>
      </w:r>
    </w:p>
    <w:p w14:paraId="16D39D73" w14:textId="77777777" w:rsidR="00682D5F" w:rsidRPr="00593516" w:rsidRDefault="00682D5F" w:rsidP="00682D5F">
      <w:pPr>
        <w:pStyle w:val="SingleTxtG"/>
      </w:pPr>
      <w:r w:rsidRPr="00593516">
        <w:t>40.</w:t>
      </w:r>
      <w:r w:rsidRPr="00593516">
        <w:tab/>
        <w:t>While noting the information provided by the State party about its national legal system, the Committee is concerned that the independence of the prosecution services from the executive branch of the Government, as a corollary to judicial independence, is not ensured in law or in practice (arts. 2 and 14).</w:t>
      </w:r>
    </w:p>
    <w:p w14:paraId="4F4BFCE6" w14:textId="07479892" w:rsidR="00682D5F" w:rsidRPr="00593516" w:rsidRDefault="00682D5F" w:rsidP="00682D5F">
      <w:pPr>
        <w:pStyle w:val="SingleTxtG"/>
        <w:rPr>
          <w:b/>
        </w:rPr>
      </w:pPr>
      <w:r w:rsidRPr="00593516">
        <w:t>41.</w:t>
      </w:r>
      <w:r w:rsidRPr="00593516">
        <w:tab/>
      </w:r>
      <w:r w:rsidRPr="00593516">
        <w:rPr>
          <w:b/>
        </w:rPr>
        <w:t>The State party should consider introducing legal reforms to ensure the independence of prosecutors from the executive branch of the Government, both in law and in practice, therefore reinforcing judicial independence.</w:t>
      </w:r>
    </w:p>
    <w:p w14:paraId="3131DF45" w14:textId="60B4BAC1" w:rsidR="00682D5F" w:rsidRPr="00593516" w:rsidRDefault="00682D5F" w:rsidP="00682D5F">
      <w:pPr>
        <w:pStyle w:val="H23G"/>
      </w:pPr>
      <w:r w:rsidRPr="00593516">
        <w:tab/>
      </w:r>
      <w:r w:rsidRPr="00593516">
        <w:tab/>
        <w:t>Right to privacy</w:t>
      </w:r>
    </w:p>
    <w:p w14:paraId="614F1A21" w14:textId="106D7447" w:rsidR="00682D5F" w:rsidRPr="00593516" w:rsidRDefault="00682D5F" w:rsidP="00682D5F">
      <w:pPr>
        <w:pStyle w:val="SingleTxtG"/>
      </w:pPr>
      <w:r w:rsidRPr="00593516">
        <w:t>42.</w:t>
      </w:r>
      <w:r w:rsidRPr="00593516">
        <w:tab/>
        <w:t>The Committee is concerned about the wide-reaching powers of surveillance, including online surveillance and the hacking of encrypted communications data, during criminal investigations. It is particularly concerned that the Act for Foreign-Foreign Signals Intelligence Gathering of the Federal Intelligence Service of 2016 provided for extensive and indiscriminate bulk and targeted surveillance of extraterritorial communications. While welcoming legal reforms, including the reform made in 2021 to the Federal Intelligence Service Act, in line with the judgment of the Constitutional Court</w:t>
      </w:r>
      <w:r w:rsidRPr="00593516">
        <w:rPr>
          <w:rFonts w:eastAsia="Times New Roman"/>
        </w:rPr>
        <w:t xml:space="preserve"> </w:t>
      </w:r>
      <w:r w:rsidRPr="00593516">
        <w:t>of May of the same year, the Committee is concerned that the compliance of surveillance regulations with the European Union acquis remains unclear. It is also concerned by information suggesting that there continues not to be full independent judicial oversight (art. 17).</w:t>
      </w:r>
    </w:p>
    <w:p w14:paraId="32AA4971" w14:textId="52128C6D" w:rsidR="00682D5F" w:rsidRPr="00593516" w:rsidRDefault="00682D5F" w:rsidP="00682D5F">
      <w:pPr>
        <w:pStyle w:val="SingleTxtG"/>
        <w:rPr>
          <w:b/>
        </w:rPr>
      </w:pPr>
      <w:r w:rsidRPr="00593516">
        <w:t>43.</w:t>
      </w:r>
      <w:r w:rsidRPr="00593516">
        <w:rPr>
          <w:b/>
        </w:rPr>
        <w:tab/>
        <w:t>The State party should ensure that all types of surveillance activities and interference with privacy are in full conformity with the Covenant, in particular article 17. Such activities should comply with the principles of legality, proportionality and necessity and be subject to judicial authorization. The State party should also ensure that surveillance is subject to effective independent oversight mechanisms, namely judicial mechanisms, and ensure access to effective remedies in cases of abuse.</w:t>
      </w:r>
    </w:p>
    <w:p w14:paraId="49D04BA4" w14:textId="77777777" w:rsidR="00682D5F" w:rsidRPr="00593516" w:rsidRDefault="00682D5F" w:rsidP="00682D5F">
      <w:pPr>
        <w:pStyle w:val="H23G"/>
      </w:pPr>
      <w:r w:rsidRPr="00593516">
        <w:tab/>
      </w:r>
      <w:r w:rsidRPr="00593516">
        <w:tab/>
        <w:t>Freedom of conscience and religion</w:t>
      </w:r>
    </w:p>
    <w:p w14:paraId="56F2B961" w14:textId="2CA21A20" w:rsidR="00682D5F" w:rsidRPr="00593516" w:rsidRDefault="00682D5F" w:rsidP="00682D5F">
      <w:pPr>
        <w:pStyle w:val="SingleTxtG"/>
      </w:pPr>
      <w:r w:rsidRPr="00593516">
        <w:t>44.</w:t>
      </w:r>
      <w:r w:rsidRPr="00593516">
        <w:tab/>
        <w:t>The Committee notes that the legal statutes of the different Länder ban the wearing of headscarves by teachers and/or civil servants. The Committee also notes that such bans must reportedly be based on the potential for the wearing of headscarves to lead to a concrete disturbance of the peace or a breach of the State’s neutrality, in accordance with the findings of the Constitutional Court. The Committee is of the view, however, that these laws may infringe the freedom to express one’s religion or belief and have a disproportionate impact on members of specific religions and on women. The Committee is further concerned that these laws could foster feelings of exclusion and marginalization (arts. 2, 18 and 26).</w:t>
      </w:r>
    </w:p>
    <w:p w14:paraId="38BEA02C" w14:textId="61D10002" w:rsidR="00682D5F" w:rsidRPr="00593516" w:rsidRDefault="00682D5F" w:rsidP="00682D5F">
      <w:pPr>
        <w:pStyle w:val="SingleTxtG"/>
        <w:rPr>
          <w:b/>
        </w:rPr>
      </w:pPr>
      <w:r w:rsidRPr="00593516">
        <w:t>45.</w:t>
      </w:r>
      <w:r w:rsidRPr="00593516">
        <w:tab/>
      </w:r>
      <w:r w:rsidRPr="00593516">
        <w:rPr>
          <w:b/>
        </w:rPr>
        <w:t>The State party should consider reviewing the legal statutes of the relevant Länder in the light of its obligations under the Covenant, in particular articles 18, on freedom of conscience and religion, and 26, setting out the principle of equality.</w:t>
      </w:r>
    </w:p>
    <w:p w14:paraId="04137AF9" w14:textId="29FA4A62" w:rsidR="00682D5F" w:rsidRPr="00593516" w:rsidRDefault="00682D5F" w:rsidP="00682D5F">
      <w:pPr>
        <w:pStyle w:val="H23G"/>
      </w:pPr>
      <w:r w:rsidRPr="00593516">
        <w:tab/>
      </w:r>
      <w:r w:rsidRPr="00593516">
        <w:tab/>
        <w:t>Freedom of expression</w:t>
      </w:r>
    </w:p>
    <w:p w14:paraId="7A6164C4" w14:textId="1DF17600" w:rsidR="00682D5F" w:rsidRPr="00593516" w:rsidRDefault="00682D5F" w:rsidP="00682D5F">
      <w:pPr>
        <w:pStyle w:val="SingleTxtG"/>
      </w:pPr>
      <w:r w:rsidRPr="00593516">
        <w:t>46.</w:t>
      </w:r>
      <w:r w:rsidRPr="00593516">
        <w:tab/>
        <w:t>While appreciating the commitment of the State party to addressing online hate speech and abuse, the Committee is concerned by the broad powers introduced in 2017 by the Network Enforcement Act to remove online content deemed illegal or abusive. It also notes with concern that responsibility for the removal of such content is assigned to social media companies and not subject to judicial oversight, thereby limiting access to redress in cases where the nature of the content is disputed. The Committee is concerned that these provisions and their application could have a chilling effect on freedom of expression online (art. 19).</w:t>
      </w:r>
    </w:p>
    <w:p w14:paraId="0563A9E5" w14:textId="1761CC90" w:rsidR="00682D5F" w:rsidRPr="00593516" w:rsidRDefault="00682D5F" w:rsidP="00682D5F">
      <w:pPr>
        <w:pStyle w:val="SingleTxtG"/>
        <w:rPr>
          <w:b/>
        </w:rPr>
      </w:pPr>
      <w:r w:rsidRPr="00593516">
        <w:t>47.</w:t>
      </w:r>
      <w:r w:rsidRPr="00593516">
        <w:tab/>
      </w:r>
      <w:r w:rsidRPr="00593516">
        <w:rPr>
          <w:b/>
        </w:rPr>
        <w:t>The State party should ensure that any restrictions on freedom of expression online outlined in the Network Enforcement Act strictly comply with the requirements of article 19 (3) of the Covenant. It should also consider revising the Act to provide for judicial oversight and access to redress in cases where the nature of the online content is disputed.</w:t>
      </w:r>
    </w:p>
    <w:p w14:paraId="5B795EE0" w14:textId="53488EA1" w:rsidR="00682D5F" w:rsidRPr="00593516" w:rsidRDefault="00682D5F" w:rsidP="00682D5F">
      <w:pPr>
        <w:pStyle w:val="SingleTxtG"/>
      </w:pPr>
      <w:r w:rsidRPr="00593516">
        <w:t>48.</w:t>
      </w:r>
      <w:r w:rsidRPr="00593516">
        <w:tab/>
        <w:t>The Committee notes with concern that the Criminal Code criminalizes defamation and that the State party is not planning to amend such provisions but moreover is considering higher penalties for defamation in certain contexts. It is concerned about the chilling effect that such provisions may have on free speech (art. 19).</w:t>
      </w:r>
    </w:p>
    <w:p w14:paraId="5A39A96A" w14:textId="21948BE9" w:rsidR="00682D5F" w:rsidRPr="00593516" w:rsidRDefault="00682D5F" w:rsidP="00682D5F">
      <w:pPr>
        <w:pStyle w:val="SingleTxtG"/>
        <w:rPr>
          <w:b/>
        </w:rPr>
      </w:pPr>
      <w:r w:rsidRPr="00593516">
        <w:t>49.</w:t>
      </w:r>
      <w:r w:rsidRPr="00593516">
        <w:rPr>
          <w:b/>
        </w:rPr>
        <w:tab/>
        <w:t>The State party should consider decriminalizing defamation and, in any case, resorting to criminal law only in the most serious cases, bearing in mind that imprisonment is never an appropriate penalty for defamation, as set out in the Committee’s general comment No. 34 (2011).</w:t>
      </w:r>
    </w:p>
    <w:p w14:paraId="712532E1" w14:textId="5AC81FD1" w:rsidR="00682D5F" w:rsidRPr="00593516" w:rsidRDefault="00682D5F" w:rsidP="00682D5F">
      <w:pPr>
        <w:pStyle w:val="H23G"/>
      </w:pPr>
      <w:r w:rsidRPr="00593516">
        <w:tab/>
      </w:r>
      <w:r w:rsidRPr="00593516">
        <w:tab/>
        <w:t>Freedom of association</w:t>
      </w:r>
    </w:p>
    <w:p w14:paraId="3B1DC6BE" w14:textId="4A797B47" w:rsidR="00682D5F" w:rsidRPr="00593516" w:rsidRDefault="00682D5F" w:rsidP="00682D5F">
      <w:pPr>
        <w:pStyle w:val="SingleTxtG"/>
        <w:rPr>
          <w:b/>
        </w:rPr>
      </w:pPr>
      <w:r w:rsidRPr="00593516">
        <w:t>50.</w:t>
      </w:r>
      <w:r w:rsidRPr="00593516">
        <w:tab/>
        <w:t>The Committee is concerned about the blanket ban on public sector workers striking within the State party, based upon the assessment that all such workers, including schoolteachers, are essential (art. 22)</w:t>
      </w:r>
      <w:r w:rsidRPr="00593516">
        <w:rPr>
          <w:bCs/>
        </w:rPr>
        <w:t>.</w:t>
      </w:r>
    </w:p>
    <w:p w14:paraId="005E3B2C" w14:textId="317B3147" w:rsidR="00682D5F" w:rsidRPr="00593516" w:rsidRDefault="00682D5F" w:rsidP="00682D5F">
      <w:pPr>
        <w:pStyle w:val="SingleTxtG"/>
        <w:rPr>
          <w:b/>
          <w:bCs/>
        </w:rPr>
      </w:pPr>
      <w:r w:rsidRPr="00593516">
        <w:rPr>
          <w:bCs/>
        </w:rPr>
        <w:t>51.</w:t>
      </w:r>
      <w:r w:rsidRPr="00593516">
        <w:rPr>
          <w:bCs/>
        </w:rPr>
        <w:tab/>
      </w:r>
      <w:r w:rsidRPr="00593516">
        <w:rPr>
          <w:b/>
          <w:bCs/>
        </w:rPr>
        <w:t>The Committee reiterates the recommendation of the Committee on Economic, Social and Cultural Rights</w:t>
      </w:r>
      <w:r w:rsidRPr="00593516">
        <w:rPr>
          <w:rStyle w:val="FootnoteReference"/>
        </w:rPr>
        <w:footnoteReference w:id="15"/>
      </w:r>
      <w:r w:rsidRPr="00593516">
        <w:rPr>
          <w:b/>
          <w:bCs/>
        </w:rPr>
        <w:t xml:space="preserve"> that the State party should take measures to revise the scope of the category of essential services with a view to ensuring that all those civil servants whose services cannot reasonably be deemed as essential are entitled to their right to strike, also in accordance with article 22 of the International Covenant on Civil and Political Rights.</w:t>
      </w:r>
    </w:p>
    <w:p w14:paraId="3A10B9C9" w14:textId="77777777" w:rsidR="00682D5F" w:rsidRPr="00593516" w:rsidRDefault="00682D5F" w:rsidP="00057AB1">
      <w:pPr>
        <w:pStyle w:val="H1G"/>
        <w:rPr>
          <w:rFonts w:eastAsiaTheme="minorEastAsia"/>
        </w:rPr>
      </w:pPr>
      <w:r w:rsidRPr="00593516">
        <w:rPr>
          <w:rFonts w:eastAsiaTheme="minorEastAsia"/>
        </w:rPr>
        <w:tab/>
        <w:t>D.</w:t>
      </w:r>
      <w:r w:rsidRPr="00593516">
        <w:rPr>
          <w:rFonts w:eastAsiaTheme="minorEastAsia"/>
        </w:rPr>
        <w:tab/>
        <w:t>Dissemination and follow-up</w:t>
      </w:r>
    </w:p>
    <w:p w14:paraId="2EB433B5" w14:textId="77777777" w:rsidR="00682D5F" w:rsidRPr="00593516" w:rsidRDefault="00682D5F" w:rsidP="00682D5F">
      <w:pPr>
        <w:tabs>
          <w:tab w:val="left" w:pos="1701"/>
          <w:tab w:val="left" w:pos="2268"/>
        </w:tabs>
        <w:spacing w:after="120"/>
        <w:ind w:left="1134" w:right="1134"/>
        <w:jc w:val="both"/>
        <w:rPr>
          <w:rFonts w:eastAsia="SimSun"/>
          <w:b/>
          <w:bCs/>
          <w:lang w:eastAsia="zh-CN"/>
        </w:rPr>
      </w:pPr>
      <w:r w:rsidRPr="00593516">
        <w:rPr>
          <w:rFonts w:eastAsia="SimSun"/>
          <w:lang w:eastAsia="zh-CN"/>
        </w:rPr>
        <w:t>52.</w:t>
      </w:r>
      <w:r w:rsidRPr="00593516">
        <w:rPr>
          <w:rFonts w:eastAsia="SimSun"/>
          <w:lang w:eastAsia="zh-CN"/>
        </w:rPr>
        <w:tab/>
      </w:r>
      <w:r w:rsidRPr="00593516">
        <w:rPr>
          <w:rFonts w:eastAsia="SimSun"/>
          <w:b/>
          <w:bCs/>
          <w:lang w:eastAsia="zh-CN"/>
        </w:rPr>
        <w:t xml:space="preserve">The State party should widely disseminate the Covenant, its seventh periodic report and the present concluding observations with a view to raising the awareness of the rights enshrined in the Covenant among the judicial, </w:t>
      </w:r>
      <w:proofErr w:type="gramStart"/>
      <w:r w:rsidRPr="00593516">
        <w:rPr>
          <w:rFonts w:eastAsia="SimSun"/>
          <w:b/>
          <w:bCs/>
          <w:lang w:eastAsia="zh-CN"/>
        </w:rPr>
        <w:t>legislative</w:t>
      </w:r>
      <w:proofErr w:type="gramEnd"/>
      <w:r w:rsidRPr="00593516">
        <w:rPr>
          <w:rFonts w:eastAsia="SimSun"/>
          <w:b/>
          <w:bCs/>
          <w:lang w:eastAsia="zh-CN"/>
        </w:rPr>
        <w:t xml:space="preserve"> and administrative authorities, civil society and non-governmental organizations operating in the country, and the general public. The State party should ensure that the report and the present concluding observations are translated into the official language of the State party.</w:t>
      </w:r>
    </w:p>
    <w:p w14:paraId="523066E4" w14:textId="77777777" w:rsidR="00682D5F" w:rsidRPr="00593516" w:rsidRDefault="00682D5F" w:rsidP="00682D5F">
      <w:pPr>
        <w:tabs>
          <w:tab w:val="left" w:pos="1701"/>
          <w:tab w:val="left" w:pos="2268"/>
        </w:tabs>
        <w:spacing w:after="120"/>
        <w:ind w:left="1134" w:right="1134"/>
        <w:jc w:val="both"/>
        <w:rPr>
          <w:rFonts w:eastAsia="SimSun"/>
          <w:b/>
          <w:bCs/>
          <w:lang w:eastAsia="zh-CN"/>
        </w:rPr>
      </w:pPr>
      <w:r w:rsidRPr="00593516">
        <w:rPr>
          <w:rFonts w:eastAsia="SimSun"/>
          <w:lang w:eastAsia="zh-CN"/>
        </w:rPr>
        <w:t>53.</w:t>
      </w:r>
      <w:r w:rsidRPr="00593516">
        <w:rPr>
          <w:rFonts w:eastAsia="SimSun"/>
          <w:lang w:eastAsia="zh-CN"/>
        </w:rPr>
        <w:tab/>
      </w:r>
      <w:r w:rsidRPr="00593516">
        <w:rPr>
          <w:rFonts w:eastAsia="SimSun"/>
          <w:b/>
          <w:bCs/>
          <w:lang w:eastAsia="zh-CN"/>
        </w:rPr>
        <w:t>In accordance with rule 75, paragraph 1, of the Committee’s rules of procedure, the State party is requested to provide, by 5 November 2024, information on the implementation of the recommendations made by the Committee in paragraphs 21 (intersex persons), 31 (institutional care) and 43 (right to privacy) above.</w:t>
      </w:r>
    </w:p>
    <w:p w14:paraId="25E82540" w14:textId="77777777" w:rsidR="00682D5F" w:rsidRPr="0089164A" w:rsidRDefault="00682D5F" w:rsidP="00682D5F">
      <w:pPr>
        <w:tabs>
          <w:tab w:val="left" w:pos="1701"/>
          <w:tab w:val="left" w:pos="2268"/>
        </w:tabs>
        <w:spacing w:after="120"/>
        <w:ind w:left="1134" w:right="1134"/>
        <w:jc w:val="both"/>
        <w:rPr>
          <w:rFonts w:eastAsia="SimSun"/>
          <w:b/>
          <w:bCs/>
          <w:lang w:eastAsia="zh-CN"/>
        </w:rPr>
      </w:pPr>
      <w:r w:rsidRPr="00593516">
        <w:rPr>
          <w:rFonts w:eastAsia="SimSun"/>
          <w:lang w:eastAsia="zh-CN"/>
        </w:rPr>
        <w:t>54.</w:t>
      </w:r>
      <w:r w:rsidRPr="00593516">
        <w:rPr>
          <w:rFonts w:eastAsia="SimSun"/>
          <w:lang w:eastAsia="zh-CN"/>
        </w:rPr>
        <w:tab/>
      </w:r>
      <w:r w:rsidRPr="00593516">
        <w:rPr>
          <w:rFonts w:eastAsia="SimSun"/>
          <w:b/>
          <w:bCs/>
          <w:lang w:eastAsia="zh-CN"/>
        </w:rPr>
        <w:t>In line with the Committee’s predictable review cycle, the State party will receive in 2027 the Committee’s list of issues prior to the submission of the report and will be expected to submit within one year its replies to the list of issues, which will constitute its eighth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5EF80EEF" w14:textId="77777777" w:rsidR="002F72E9" w:rsidRPr="00BE5F12" w:rsidRDefault="002F72E9" w:rsidP="00F9741F">
      <w:pPr>
        <w:jc w:val="center"/>
        <w:rPr>
          <w:u w:val="single"/>
        </w:rPr>
      </w:pPr>
      <w:r w:rsidRPr="00BE5F12">
        <w:rPr>
          <w:u w:val="single"/>
        </w:rPr>
        <w:tab/>
      </w:r>
      <w:r w:rsidRPr="00BE5F12">
        <w:rPr>
          <w:u w:val="single"/>
        </w:rPr>
        <w:tab/>
      </w:r>
      <w:r w:rsidRPr="00BE5F12">
        <w:rPr>
          <w:u w:val="single"/>
        </w:rPr>
        <w:tab/>
      </w:r>
    </w:p>
    <w:sectPr w:rsidR="002F72E9" w:rsidRPr="00BE5F1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755E5" w14:textId="77777777" w:rsidR="00682D5F" w:rsidRPr="00B903E5" w:rsidRDefault="00682D5F" w:rsidP="00B903E5">
      <w:pPr>
        <w:pStyle w:val="Footer"/>
      </w:pPr>
    </w:p>
  </w:endnote>
  <w:endnote w:type="continuationSeparator" w:id="0">
    <w:p w14:paraId="5F5181CC" w14:textId="77777777" w:rsidR="00682D5F" w:rsidRPr="00B903E5" w:rsidRDefault="00682D5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D65C3" w14:textId="5FEB5ED9" w:rsidR="00682D5F" w:rsidRDefault="00682D5F" w:rsidP="00682D5F">
    <w:pPr>
      <w:pStyle w:val="Footer"/>
      <w:tabs>
        <w:tab w:val="right" w:pos="9638"/>
      </w:tabs>
    </w:pPr>
    <w:r w:rsidRPr="00682D5F">
      <w:rPr>
        <w:b/>
        <w:bCs/>
        <w:sz w:val="18"/>
      </w:rPr>
      <w:fldChar w:fldCharType="begin"/>
    </w:r>
    <w:r w:rsidRPr="00682D5F">
      <w:rPr>
        <w:b/>
        <w:bCs/>
        <w:sz w:val="18"/>
      </w:rPr>
      <w:instrText xml:space="preserve"> PAGE  \* MERGEFORMAT </w:instrText>
    </w:r>
    <w:r w:rsidRPr="00682D5F">
      <w:rPr>
        <w:b/>
        <w:bCs/>
        <w:sz w:val="18"/>
      </w:rPr>
      <w:fldChar w:fldCharType="separate"/>
    </w:r>
    <w:r w:rsidR="00BE5F12">
      <w:rPr>
        <w:b/>
        <w:bCs/>
        <w:noProof/>
        <w:sz w:val="18"/>
      </w:rPr>
      <w:t>10</w:t>
    </w:r>
    <w:r w:rsidRPr="00682D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40DBB" w14:textId="6CFF29B2" w:rsidR="00682D5F" w:rsidRDefault="00682D5F" w:rsidP="00682D5F">
    <w:pPr>
      <w:pStyle w:val="Footer"/>
      <w:tabs>
        <w:tab w:val="right" w:pos="9638"/>
      </w:tabs>
    </w:pPr>
    <w:r>
      <w:tab/>
    </w:r>
    <w:r w:rsidRPr="00682D5F">
      <w:rPr>
        <w:b/>
        <w:bCs/>
        <w:sz w:val="18"/>
      </w:rPr>
      <w:fldChar w:fldCharType="begin"/>
    </w:r>
    <w:r w:rsidRPr="00682D5F">
      <w:rPr>
        <w:b/>
        <w:bCs/>
        <w:sz w:val="18"/>
      </w:rPr>
      <w:instrText xml:space="preserve"> PAGE  \* MERGEFORMAT </w:instrText>
    </w:r>
    <w:r w:rsidRPr="00682D5F">
      <w:rPr>
        <w:b/>
        <w:bCs/>
        <w:sz w:val="18"/>
      </w:rPr>
      <w:fldChar w:fldCharType="separate"/>
    </w:r>
    <w:r w:rsidR="00BE5F12">
      <w:rPr>
        <w:b/>
        <w:bCs/>
        <w:noProof/>
        <w:sz w:val="18"/>
      </w:rPr>
      <w:t>11</w:t>
    </w:r>
    <w:r w:rsidRPr="00682D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7FCBB" w14:textId="36C53BE2" w:rsidR="00F910AC" w:rsidRDefault="00F910AC" w:rsidP="00F910AC">
    <w:pPr>
      <w:pStyle w:val="Footer"/>
    </w:pPr>
    <w:r w:rsidRPr="0027112F">
      <w:rPr>
        <w:noProof/>
        <w:lang w:val="en-US"/>
      </w:rPr>
      <w:drawing>
        <wp:anchor distT="0" distB="0" distL="114300" distR="114300" simplePos="0" relativeHeight="251659264" behindDoc="0" locked="1" layoutInCell="1" allowOverlap="1" wp14:anchorId="33AF792B" wp14:editId="6DC843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972BBC" w14:textId="085E0010" w:rsidR="00F910AC" w:rsidRPr="00F910AC" w:rsidRDefault="00F910AC" w:rsidP="00F910AC">
    <w:pPr>
      <w:pStyle w:val="Footer"/>
      <w:ind w:right="1134"/>
      <w:rPr>
        <w:sz w:val="20"/>
      </w:rPr>
    </w:pPr>
    <w:r>
      <w:rPr>
        <w:sz w:val="20"/>
      </w:rPr>
      <w:t>GE.21-17614(E)</w:t>
    </w:r>
    <w:r>
      <w:rPr>
        <w:noProof/>
        <w:sz w:val="20"/>
      </w:rPr>
      <w:drawing>
        <wp:anchor distT="0" distB="0" distL="114300" distR="114300" simplePos="0" relativeHeight="251660288" behindDoc="0" locked="0" layoutInCell="1" allowOverlap="1" wp14:anchorId="69B22F2E" wp14:editId="6B5CBF76">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77026" w14:textId="77777777" w:rsidR="00682D5F" w:rsidRPr="00B903E5" w:rsidRDefault="00682D5F" w:rsidP="00B903E5">
      <w:pPr>
        <w:tabs>
          <w:tab w:val="right" w:pos="2155"/>
        </w:tabs>
        <w:spacing w:after="80" w:line="240" w:lineRule="auto"/>
        <w:ind w:left="680"/>
      </w:pPr>
      <w:r>
        <w:rPr>
          <w:u w:val="single"/>
        </w:rPr>
        <w:tab/>
      </w:r>
    </w:p>
  </w:footnote>
  <w:footnote w:type="continuationSeparator" w:id="0">
    <w:p w14:paraId="5337C9DF" w14:textId="77777777" w:rsidR="00682D5F" w:rsidRPr="00B903E5" w:rsidRDefault="00682D5F" w:rsidP="00B903E5">
      <w:pPr>
        <w:tabs>
          <w:tab w:val="right" w:pos="2155"/>
        </w:tabs>
        <w:spacing w:after="80" w:line="240" w:lineRule="auto"/>
        <w:ind w:left="680"/>
      </w:pPr>
      <w:r>
        <w:rPr>
          <w:u w:val="single"/>
        </w:rPr>
        <w:tab/>
      </w:r>
    </w:p>
  </w:footnote>
  <w:footnote w:id="1">
    <w:p w14:paraId="07D2C1B9" w14:textId="00DC3532" w:rsidR="00FA3B6F" w:rsidRPr="00593516" w:rsidRDefault="00FA3B6F">
      <w:pPr>
        <w:pStyle w:val="FootnoteText"/>
        <w:rPr>
          <w:lang w:val="en-US"/>
        </w:rPr>
      </w:pPr>
      <w:r w:rsidRPr="00593516">
        <w:tab/>
        <w:t xml:space="preserve">* </w:t>
      </w:r>
      <w:r w:rsidRPr="00593516">
        <w:tab/>
      </w:r>
      <w:r w:rsidRPr="00593516">
        <w:rPr>
          <w:lang w:val="en-US"/>
        </w:rPr>
        <w:t>Reissued for technical reasons on 28 March 2022.</w:t>
      </w:r>
    </w:p>
  </w:footnote>
  <w:footnote w:id="2">
    <w:p w14:paraId="10FEFCD1" w14:textId="1AF176D7" w:rsidR="00682D5F" w:rsidRPr="00593516" w:rsidRDefault="00682D5F" w:rsidP="00682D5F">
      <w:pPr>
        <w:pStyle w:val="FootnoteText"/>
      </w:pPr>
      <w:r w:rsidRPr="00593516">
        <w:tab/>
      </w:r>
      <w:r w:rsidRPr="00593516">
        <w:rPr>
          <w:sz w:val="20"/>
        </w:rPr>
        <w:t>*</w:t>
      </w:r>
      <w:r w:rsidR="00FA3B6F" w:rsidRPr="00593516">
        <w:rPr>
          <w:sz w:val="20"/>
        </w:rPr>
        <w:t>*</w:t>
      </w:r>
      <w:r w:rsidRPr="00593516">
        <w:tab/>
        <w:t>Adopted by the Committee at its 133rd session (11 October–5 November 2021).</w:t>
      </w:r>
    </w:p>
  </w:footnote>
  <w:footnote w:id="3">
    <w:p w14:paraId="2135A230" w14:textId="254B3C99" w:rsidR="00682D5F" w:rsidRPr="00593516" w:rsidRDefault="00682D5F" w:rsidP="00682D5F">
      <w:pPr>
        <w:pStyle w:val="FootnoteText"/>
        <w:rPr>
          <w:lang w:val="en-US"/>
        </w:rPr>
      </w:pPr>
      <w:r w:rsidRPr="00593516">
        <w:tab/>
      </w:r>
      <w:r w:rsidRPr="00593516">
        <w:rPr>
          <w:rStyle w:val="FootnoteReference"/>
        </w:rPr>
        <w:footnoteRef/>
      </w:r>
      <w:r w:rsidRPr="00593516">
        <w:t xml:space="preserve"> </w:t>
      </w:r>
      <w:r w:rsidRPr="00593516">
        <w:tab/>
      </w:r>
      <w:hyperlink r:id="rId1" w:history="1">
        <w:r w:rsidRPr="00593516">
          <w:rPr>
            <w:rStyle w:val="Hyperlink"/>
          </w:rPr>
          <w:t>CCPR/C/DEU/7.</w:t>
        </w:r>
      </w:hyperlink>
    </w:p>
  </w:footnote>
  <w:footnote w:id="4">
    <w:p w14:paraId="219BD11F" w14:textId="769A418D" w:rsidR="00682D5F" w:rsidRPr="00593516" w:rsidRDefault="00682D5F" w:rsidP="00682D5F">
      <w:pPr>
        <w:pStyle w:val="FootnoteText"/>
        <w:rPr>
          <w:lang w:val="en-US"/>
        </w:rPr>
      </w:pPr>
      <w:r w:rsidRPr="00593516">
        <w:tab/>
      </w:r>
      <w:r w:rsidRPr="00593516">
        <w:rPr>
          <w:rStyle w:val="FootnoteReference"/>
        </w:rPr>
        <w:footnoteRef/>
      </w:r>
      <w:r w:rsidRPr="00593516">
        <w:t xml:space="preserve"> </w:t>
      </w:r>
      <w:r w:rsidRPr="00593516">
        <w:tab/>
        <w:t xml:space="preserve">See </w:t>
      </w:r>
      <w:hyperlink r:id="rId2" w:history="1">
        <w:r w:rsidRPr="00593516">
          <w:rPr>
            <w:rStyle w:val="Hyperlink"/>
          </w:rPr>
          <w:t>CCPR/C/SR.3801</w:t>
        </w:r>
      </w:hyperlink>
      <w:r w:rsidRPr="00593516">
        <w:t xml:space="preserve"> and </w:t>
      </w:r>
      <w:hyperlink r:id="rId3" w:history="1">
        <w:r w:rsidRPr="00593516">
          <w:rPr>
            <w:rStyle w:val="Hyperlink"/>
          </w:rPr>
          <w:t>CCPR/C/SR.3802.</w:t>
        </w:r>
      </w:hyperlink>
    </w:p>
  </w:footnote>
  <w:footnote w:id="5">
    <w:p w14:paraId="71B26940" w14:textId="4E0812B3" w:rsidR="00682D5F" w:rsidRPr="00593516" w:rsidRDefault="00682D5F" w:rsidP="00682D5F">
      <w:pPr>
        <w:pStyle w:val="FootnoteText"/>
        <w:rPr>
          <w:lang w:val="fr-FR"/>
        </w:rPr>
      </w:pPr>
      <w:r w:rsidRPr="00593516">
        <w:tab/>
      </w:r>
      <w:r w:rsidRPr="00593516">
        <w:rPr>
          <w:rStyle w:val="FootnoteReference"/>
        </w:rPr>
        <w:footnoteRef/>
      </w:r>
      <w:r w:rsidRPr="00593516">
        <w:rPr>
          <w:lang w:val="fr-FR"/>
        </w:rPr>
        <w:t xml:space="preserve"> </w:t>
      </w:r>
      <w:r w:rsidRPr="00593516">
        <w:rPr>
          <w:lang w:val="fr-FR"/>
        </w:rPr>
        <w:tab/>
      </w:r>
      <w:hyperlink r:id="rId4" w:history="1">
        <w:r w:rsidRPr="00593516">
          <w:rPr>
            <w:rStyle w:val="Hyperlink"/>
            <w:lang w:val="fr-FR"/>
          </w:rPr>
          <w:t>CCPR/C/DEU/7.</w:t>
        </w:r>
      </w:hyperlink>
    </w:p>
  </w:footnote>
  <w:footnote w:id="6">
    <w:p w14:paraId="647CB808" w14:textId="76A92501" w:rsidR="00682D5F" w:rsidRPr="00593516" w:rsidRDefault="00682D5F" w:rsidP="00682D5F">
      <w:pPr>
        <w:pStyle w:val="FootnoteText"/>
        <w:rPr>
          <w:lang w:val="fr-FR"/>
        </w:rPr>
      </w:pPr>
      <w:r w:rsidRPr="00593516">
        <w:rPr>
          <w:lang w:val="fr-FR"/>
        </w:rPr>
        <w:tab/>
      </w:r>
      <w:r w:rsidRPr="00593516">
        <w:rPr>
          <w:rStyle w:val="FootnoteReference"/>
        </w:rPr>
        <w:footnoteRef/>
      </w:r>
      <w:r w:rsidRPr="00593516">
        <w:rPr>
          <w:lang w:val="fr-FR"/>
        </w:rPr>
        <w:t xml:space="preserve"> </w:t>
      </w:r>
      <w:r w:rsidRPr="00593516">
        <w:rPr>
          <w:lang w:val="fr-FR"/>
        </w:rPr>
        <w:tab/>
      </w:r>
      <w:hyperlink r:id="rId5" w:history="1">
        <w:r w:rsidRPr="00593516">
          <w:rPr>
            <w:rStyle w:val="Hyperlink"/>
            <w:lang w:val="fr-FR"/>
          </w:rPr>
          <w:t>CCPR/C/DEU/QPR/7.</w:t>
        </w:r>
      </w:hyperlink>
    </w:p>
  </w:footnote>
  <w:footnote w:id="7">
    <w:p w14:paraId="1FACE772" w14:textId="30632DF0" w:rsidR="00682D5F" w:rsidRPr="00593516" w:rsidRDefault="00682D5F" w:rsidP="00682D5F">
      <w:pPr>
        <w:pStyle w:val="FootnoteText"/>
        <w:rPr>
          <w:lang w:val="es-ES"/>
        </w:rPr>
      </w:pPr>
      <w:r w:rsidRPr="00593516">
        <w:rPr>
          <w:lang w:val="fr-CH"/>
        </w:rPr>
        <w:tab/>
      </w:r>
      <w:r w:rsidRPr="00593516">
        <w:rPr>
          <w:rStyle w:val="FootnoteReference"/>
        </w:rPr>
        <w:footnoteRef/>
      </w:r>
      <w:r w:rsidRPr="00593516">
        <w:rPr>
          <w:lang w:val="es-ES"/>
        </w:rPr>
        <w:t xml:space="preserve"> </w:t>
      </w:r>
      <w:r w:rsidRPr="00593516">
        <w:rPr>
          <w:lang w:val="es-ES"/>
        </w:rPr>
        <w:tab/>
      </w:r>
      <w:hyperlink r:id="rId6" w:history="1">
        <w:r w:rsidRPr="00593516">
          <w:rPr>
            <w:rStyle w:val="Hyperlink"/>
            <w:lang w:val="es-ES"/>
          </w:rPr>
          <w:t>CCPR/C/DEU/CO/6</w:t>
        </w:r>
      </w:hyperlink>
      <w:r w:rsidRPr="00593516">
        <w:rPr>
          <w:lang w:val="es-ES"/>
        </w:rPr>
        <w:t>, para. 5.</w:t>
      </w:r>
    </w:p>
  </w:footnote>
  <w:footnote w:id="8">
    <w:p w14:paraId="4737C067" w14:textId="77777777" w:rsidR="00682D5F" w:rsidRPr="00593516"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t>Ibid., para. 16.</w:t>
      </w:r>
    </w:p>
  </w:footnote>
  <w:footnote w:id="9">
    <w:p w14:paraId="40DD0DE7" w14:textId="77777777" w:rsidR="00682D5F" w:rsidRPr="00593516"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t>Ibid., paras. 6–7 and 17.</w:t>
      </w:r>
    </w:p>
  </w:footnote>
  <w:footnote w:id="10">
    <w:p w14:paraId="7B6B32A0" w14:textId="77777777" w:rsidR="00682D5F" w:rsidRPr="00593516"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t>Ibid., para. 18.</w:t>
      </w:r>
    </w:p>
  </w:footnote>
  <w:footnote w:id="11">
    <w:p w14:paraId="5A8230EA" w14:textId="77777777" w:rsidR="00682D5F" w:rsidRPr="00593516"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t>Ibid., para. 9.</w:t>
      </w:r>
    </w:p>
  </w:footnote>
  <w:footnote w:id="12">
    <w:p w14:paraId="4F9B6689" w14:textId="234DAA0D" w:rsidR="00682D5F" w:rsidRPr="00593516" w:rsidRDefault="00682D5F" w:rsidP="00682D5F">
      <w:pPr>
        <w:pStyle w:val="FootnoteText"/>
        <w:rPr>
          <w:lang w:val="en-US"/>
        </w:rPr>
      </w:pPr>
      <w:r w:rsidRPr="00593516">
        <w:rPr>
          <w:lang w:val="es-ES"/>
        </w:rPr>
        <w:tab/>
      </w:r>
      <w:r w:rsidRPr="00593516">
        <w:rPr>
          <w:rStyle w:val="FootnoteReference"/>
        </w:rPr>
        <w:footnoteRef/>
      </w:r>
      <w:r w:rsidRPr="00593516">
        <w:rPr>
          <w:lang w:val="en-US"/>
        </w:rPr>
        <w:t xml:space="preserve"> </w:t>
      </w:r>
      <w:r w:rsidRPr="00593516">
        <w:rPr>
          <w:lang w:val="en-US"/>
        </w:rPr>
        <w:tab/>
        <w:t xml:space="preserve">See </w:t>
      </w:r>
      <w:hyperlink r:id="rId7" w:history="1">
        <w:r w:rsidR="00332697" w:rsidRPr="00593516">
          <w:rPr>
            <w:rStyle w:val="Hyperlink"/>
            <w:lang w:val="en-US"/>
          </w:rPr>
          <w:t>https://www.bundesverfassungsgericht.de/SharedDocs/Entscheidungen/EN/2021/03/rs20210324_1bvr265618en.html</w:t>
        </w:r>
      </w:hyperlink>
      <w:r w:rsidRPr="00593516">
        <w:rPr>
          <w:lang w:val="en-US"/>
        </w:rPr>
        <w:t>.</w:t>
      </w:r>
    </w:p>
  </w:footnote>
  <w:footnote w:id="13">
    <w:p w14:paraId="17B97455" w14:textId="5392DF22" w:rsidR="00682D5F" w:rsidRPr="00593516" w:rsidRDefault="00682D5F" w:rsidP="00682D5F">
      <w:pPr>
        <w:pStyle w:val="FootnoteText"/>
        <w:rPr>
          <w:lang w:val="es-ES"/>
        </w:rPr>
      </w:pPr>
      <w:r w:rsidRPr="00593516">
        <w:rPr>
          <w:lang w:val="en-US"/>
        </w:rPr>
        <w:tab/>
      </w:r>
      <w:r w:rsidRPr="00593516">
        <w:rPr>
          <w:rStyle w:val="FootnoteReference"/>
        </w:rPr>
        <w:footnoteRef/>
      </w:r>
      <w:r w:rsidRPr="00593516">
        <w:rPr>
          <w:lang w:val="es-ES"/>
        </w:rPr>
        <w:t xml:space="preserve"> </w:t>
      </w:r>
      <w:r w:rsidRPr="00593516">
        <w:rPr>
          <w:lang w:val="es-ES"/>
        </w:rPr>
        <w:tab/>
      </w:r>
      <w:hyperlink r:id="rId8" w:history="1">
        <w:r w:rsidRPr="00593516">
          <w:rPr>
            <w:rStyle w:val="Hyperlink"/>
            <w:lang w:val="es-ES"/>
          </w:rPr>
          <w:t>CCPR/C/DEU/CO/6</w:t>
        </w:r>
      </w:hyperlink>
      <w:r w:rsidRPr="00593516">
        <w:rPr>
          <w:lang w:val="es-ES"/>
        </w:rPr>
        <w:t>, para. 15.</w:t>
      </w:r>
    </w:p>
  </w:footnote>
  <w:footnote w:id="14">
    <w:p w14:paraId="40B09D32" w14:textId="77777777" w:rsidR="00682D5F" w:rsidRPr="00593516"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t>Ibid., para. 14.</w:t>
      </w:r>
    </w:p>
  </w:footnote>
  <w:footnote w:id="15">
    <w:p w14:paraId="528B6978" w14:textId="4A7A0342" w:rsidR="00682D5F" w:rsidRPr="00F30625" w:rsidRDefault="00682D5F" w:rsidP="00682D5F">
      <w:pPr>
        <w:pStyle w:val="FootnoteText"/>
        <w:rPr>
          <w:lang w:val="es-ES"/>
        </w:rPr>
      </w:pPr>
      <w:r w:rsidRPr="00593516">
        <w:rPr>
          <w:lang w:val="es-ES"/>
        </w:rPr>
        <w:tab/>
      </w:r>
      <w:r w:rsidRPr="00593516">
        <w:rPr>
          <w:rStyle w:val="FootnoteReference"/>
        </w:rPr>
        <w:footnoteRef/>
      </w:r>
      <w:r w:rsidRPr="00593516">
        <w:rPr>
          <w:lang w:val="es-ES"/>
        </w:rPr>
        <w:t xml:space="preserve"> </w:t>
      </w:r>
      <w:r w:rsidRPr="00593516">
        <w:rPr>
          <w:lang w:val="es-ES"/>
        </w:rPr>
        <w:tab/>
      </w:r>
      <w:hyperlink r:id="rId9" w:history="1">
        <w:r w:rsidRPr="00593516">
          <w:rPr>
            <w:rStyle w:val="Hyperlink"/>
            <w:lang w:val="es-ES"/>
          </w:rPr>
          <w:t>E/C.12/DEU/CO/6</w:t>
        </w:r>
        <w:r w:rsidRPr="00593516">
          <w:rPr>
            <w:lang w:val="es-ES"/>
          </w:rPr>
          <w:t>,</w:t>
        </w:r>
      </w:hyperlink>
      <w:r w:rsidRPr="00593516">
        <w:rPr>
          <w:lang w:val="es-ES"/>
        </w:rPr>
        <w:t xml:space="preserve"> para.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14804" w14:textId="77777777" w:rsidR="00682D5F" w:rsidRDefault="00682D5F" w:rsidP="00682D5F">
    <w:pPr>
      <w:pStyle w:val="Header"/>
    </w:pPr>
    <w:r>
      <w:t>CCPR/C/DEU/CO/7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A2C25" w14:textId="77777777" w:rsidR="00682D5F" w:rsidRDefault="00682D5F" w:rsidP="00682D5F">
    <w:pPr>
      <w:pStyle w:val="Header"/>
      <w:jc w:val="right"/>
    </w:pPr>
    <w:r>
      <w:t>CCPR/C/DEU/CO/7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19"/>
  </w:num>
  <w:num w:numId="5">
    <w:abstractNumId w:val="20"/>
  </w:num>
  <w:num w:numId="6">
    <w:abstractNumId w:val="22"/>
  </w:num>
  <w:num w:numId="7">
    <w:abstractNumId w:val="13"/>
  </w:num>
  <w:num w:numId="8">
    <w:abstractNumId w:val="21"/>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ABF"/>
    <w:rsid w:val="0000531A"/>
    <w:rsid w:val="00046E92"/>
    <w:rsid w:val="00057AB1"/>
    <w:rsid w:val="0006523D"/>
    <w:rsid w:val="000820E8"/>
    <w:rsid w:val="000B0094"/>
    <w:rsid w:val="000B1714"/>
    <w:rsid w:val="000F0E9F"/>
    <w:rsid w:val="000F67C7"/>
    <w:rsid w:val="0012249A"/>
    <w:rsid w:val="00131D7A"/>
    <w:rsid w:val="00165C15"/>
    <w:rsid w:val="00182D89"/>
    <w:rsid w:val="001B63EB"/>
    <w:rsid w:val="001C3AF6"/>
    <w:rsid w:val="001C44E4"/>
    <w:rsid w:val="001F63A9"/>
    <w:rsid w:val="002372D7"/>
    <w:rsid w:val="00247E2C"/>
    <w:rsid w:val="002671FB"/>
    <w:rsid w:val="00292065"/>
    <w:rsid w:val="002943CD"/>
    <w:rsid w:val="002B0E47"/>
    <w:rsid w:val="002B3DBD"/>
    <w:rsid w:val="002D6C53"/>
    <w:rsid w:val="002F4F9B"/>
    <w:rsid w:val="002F5595"/>
    <w:rsid w:val="002F72E9"/>
    <w:rsid w:val="00311E04"/>
    <w:rsid w:val="0031203A"/>
    <w:rsid w:val="00332697"/>
    <w:rsid w:val="0033437B"/>
    <w:rsid w:val="00334F6A"/>
    <w:rsid w:val="00342AC8"/>
    <w:rsid w:val="003459B4"/>
    <w:rsid w:val="00353571"/>
    <w:rsid w:val="00362CFA"/>
    <w:rsid w:val="003A7FEE"/>
    <w:rsid w:val="003B4550"/>
    <w:rsid w:val="003D2560"/>
    <w:rsid w:val="00433F61"/>
    <w:rsid w:val="00461253"/>
    <w:rsid w:val="0046368F"/>
    <w:rsid w:val="00472FED"/>
    <w:rsid w:val="004B7482"/>
    <w:rsid w:val="004F5470"/>
    <w:rsid w:val="005042C2"/>
    <w:rsid w:val="00546201"/>
    <w:rsid w:val="00563F44"/>
    <w:rsid w:val="00593516"/>
    <w:rsid w:val="005D65FD"/>
    <w:rsid w:val="00611C86"/>
    <w:rsid w:val="0064528D"/>
    <w:rsid w:val="00671529"/>
    <w:rsid w:val="00682D5F"/>
    <w:rsid w:val="006B2401"/>
    <w:rsid w:val="006D6379"/>
    <w:rsid w:val="0070274C"/>
    <w:rsid w:val="007268F9"/>
    <w:rsid w:val="007327A0"/>
    <w:rsid w:val="007C52B0"/>
    <w:rsid w:val="007E697D"/>
    <w:rsid w:val="008133C8"/>
    <w:rsid w:val="00813ABF"/>
    <w:rsid w:val="00817E57"/>
    <w:rsid w:val="00840EAD"/>
    <w:rsid w:val="00876A20"/>
    <w:rsid w:val="00891492"/>
    <w:rsid w:val="00892361"/>
    <w:rsid w:val="008D2146"/>
    <w:rsid w:val="008D3450"/>
    <w:rsid w:val="009319E3"/>
    <w:rsid w:val="009411B4"/>
    <w:rsid w:val="00974B94"/>
    <w:rsid w:val="009C7713"/>
    <w:rsid w:val="009C796A"/>
    <w:rsid w:val="009D0139"/>
    <w:rsid w:val="009F5B8F"/>
    <w:rsid w:val="009F5CDC"/>
    <w:rsid w:val="00A23459"/>
    <w:rsid w:val="00A35269"/>
    <w:rsid w:val="00A5452C"/>
    <w:rsid w:val="00A62CC9"/>
    <w:rsid w:val="00A64EF5"/>
    <w:rsid w:val="00A7414D"/>
    <w:rsid w:val="00A771CF"/>
    <w:rsid w:val="00A775CF"/>
    <w:rsid w:val="00AA0213"/>
    <w:rsid w:val="00AF0EF7"/>
    <w:rsid w:val="00B06045"/>
    <w:rsid w:val="00B45516"/>
    <w:rsid w:val="00B53AA5"/>
    <w:rsid w:val="00B57D1F"/>
    <w:rsid w:val="00B7255D"/>
    <w:rsid w:val="00B80BBE"/>
    <w:rsid w:val="00B903E5"/>
    <w:rsid w:val="00BB3D1A"/>
    <w:rsid w:val="00BE5F12"/>
    <w:rsid w:val="00C35A27"/>
    <w:rsid w:val="00C42199"/>
    <w:rsid w:val="00CA1AEA"/>
    <w:rsid w:val="00CC494B"/>
    <w:rsid w:val="00D20B46"/>
    <w:rsid w:val="00D327D6"/>
    <w:rsid w:val="00D83C4F"/>
    <w:rsid w:val="00DA3EDA"/>
    <w:rsid w:val="00DB065A"/>
    <w:rsid w:val="00DD7E51"/>
    <w:rsid w:val="00E001E4"/>
    <w:rsid w:val="00E02C2B"/>
    <w:rsid w:val="00E05879"/>
    <w:rsid w:val="00E0659A"/>
    <w:rsid w:val="00E44E63"/>
    <w:rsid w:val="00E84580"/>
    <w:rsid w:val="00E90B46"/>
    <w:rsid w:val="00E93BC0"/>
    <w:rsid w:val="00EC2733"/>
    <w:rsid w:val="00ED6C48"/>
    <w:rsid w:val="00EF2056"/>
    <w:rsid w:val="00F31037"/>
    <w:rsid w:val="00F41F0F"/>
    <w:rsid w:val="00F65F5D"/>
    <w:rsid w:val="00F72169"/>
    <w:rsid w:val="00F86A3A"/>
    <w:rsid w:val="00F910AC"/>
    <w:rsid w:val="00F974EA"/>
    <w:rsid w:val="00FA3B6F"/>
    <w:rsid w:val="00FD28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1FA68C5"/>
  <w15:docId w15:val="{848F0250-47D6-4CB1-9A1A-37A1E2B72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82D5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UnresolvedMention1">
    <w:name w:val="Unresolved Mention1"/>
    <w:basedOn w:val="DefaultParagraphFont"/>
    <w:uiPriority w:val="99"/>
    <w:semiHidden/>
    <w:unhideWhenUsed/>
    <w:rsid w:val="0064528D"/>
    <w:rPr>
      <w:color w:val="605E5C"/>
      <w:shd w:val="clear" w:color="auto" w:fill="E1DFDD"/>
    </w:rPr>
  </w:style>
  <w:style w:type="character" w:styleId="Hyperlink">
    <w:name w:val="Hyperlink"/>
    <w:basedOn w:val="DefaultParagraphFont"/>
    <w:semiHidden/>
    <w:rsid w:val="00682D5F"/>
    <w:rPr>
      <w:color w:val="0000FF"/>
      <w:u w:val="none"/>
    </w:rPr>
  </w:style>
  <w:style w:type="character" w:styleId="FollowedHyperlink">
    <w:name w:val="FollowedHyperlink"/>
    <w:basedOn w:val="DefaultParagraphFont"/>
    <w:semiHidden/>
    <w:rsid w:val="00682D5F"/>
    <w:rPr>
      <w:color w:val="0000FF"/>
      <w:u w:val="none"/>
    </w:rPr>
  </w:style>
  <w:style w:type="character" w:customStyle="1" w:styleId="SingleTxtGChar">
    <w:name w:val="_ Single Txt_G Char"/>
    <w:link w:val="SingleTxtG"/>
    <w:locked/>
    <w:rsid w:val="00682D5F"/>
    <w:rPr>
      <w:rFonts w:ascii="Times New Roman" w:hAnsi="Times New Roman" w:cs="Times New Roman"/>
      <w:sz w:val="20"/>
      <w:szCs w:val="20"/>
    </w:rPr>
  </w:style>
  <w:style w:type="table" w:customStyle="1" w:styleId="TableGrid1">
    <w:name w:val="Table Grid1"/>
    <w:basedOn w:val="TableNormal"/>
    <w:rsid w:val="00682D5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82D5F"/>
    <w:rPr>
      <w:sz w:val="16"/>
      <w:szCs w:val="16"/>
    </w:rPr>
  </w:style>
  <w:style w:type="paragraph" w:styleId="CommentText">
    <w:name w:val="annotation text"/>
    <w:basedOn w:val="Normal"/>
    <w:link w:val="CommentTextChar"/>
    <w:uiPriority w:val="99"/>
    <w:semiHidden/>
    <w:unhideWhenUsed/>
    <w:rsid w:val="00682D5F"/>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682D5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2D5F"/>
    <w:rPr>
      <w:b/>
      <w:bCs/>
    </w:rPr>
  </w:style>
  <w:style w:type="character" w:customStyle="1" w:styleId="CommentSubjectChar">
    <w:name w:val="Comment Subject Char"/>
    <w:basedOn w:val="CommentTextChar"/>
    <w:link w:val="CommentSubject"/>
    <w:uiPriority w:val="99"/>
    <w:semiHidden/>
    <w:rsid w:val="00682D5F"/>
    <w:rPr>
      <w:rFonts w:ascii="Times New Roman" w:hAnsi="Times New Roman" w:cs="Times New Roman"/>
      <w:b/>
      <w:bCs/>
      <w:sz w:val="20"/>
      <w:szCs w:val="20"/>
    </w:rPr>
  </w:style>
  <w:style w:type="character" w:styleId="PlaceholderText">
    <w:name w:val="Placeholder Text"/>
    <w:basedOn w:val="DefaultParagraphFont"/>
    <w:uiPriority w:val="99"/>
    <w:semiHidden/>
    <w:rsid w:val="00682D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DEU/CO/6" TargetMode="External"/><Relationship Id="rId3" Type="http://schemas.openxmlformats.org/officeDocument/2006/relationships/hyperlink" Target="http://undocs.org/en/CCPR/C/SR.3802" TargetMode="External"/><Relationship Id="rId7" Type="http://schemas.openxmlformats.org/officeDocument/2006/relationships/hyperlink" Target="https://www.bundesverfassungsgericht.de/SharedDocs/Entscheidungen/EN/2021/03/rs20210324_1bvr265618en.html" TargetMode="External"/><Relationship Id="rId2" Type="http://schemas.openxmlformats.org/officeDocument/2006/relationships/hyperlink" Target="http://undocs.org/en/CCPR/C/SR.3801" TargetMode="External"/><Relationship Id="rId1" Type="http://schemas.openxmlformats.org/officeDocument/2006/relationships/hyperlink" Target="http://undocs.org/en/CCPR/C/DEU/7" TargetMode="External"/><Relationship Id="rId6" Type="http://schemas.openxmlformats.org/officeDocument/2006/relationships/hyperlink" Target="http://undocs.org/en/CCPR/C/DEU/CO/6" TargetMode="External"/><Relationship Id="rId5" Type="http://schemas.openxmlformats.org/officeDocument/2006/relationships/hyperlink" Target="http://undocs.org/en/CCPR/C/DEU/QPR/7" TargetMode="External"/><Relationship Id="rId4" Type="http://schemas.openxmlformats.org/officeDocument/2006/relationships/hyperlink" Target="http://undocs.org/en/CCPR/C/DEU/7" TargetMode="External"/><Relationship Id="rId9" Type="http://schemas.openxmlformats.org/officeDocument/2006/relationships/hyperlink" Target="http://undocs.org/en/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2A978-E6FB-4310-96DF-76117A96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5524</Words>
  <Characters>31053</Characters>
  <Application>Microsoft Office Word</Application>
  <DocSecurity>0</DocSecurity>
  <Lines>503</Lines>
  <Paragraphs>151</Paragraphs>
  <ScaleCrop>false</ScaleCrop>
  <HeadingPairs>
    <vt:vector size="2" baseType="variant">
      <vt:variant>
        <vt:lpstr>Title</vt:lpstr>
      </vt:variant>
      <vt:variant>
        <vt:i4>1</vt:i4>
      </vt:variant>
    </vt:vector>
  </HeadingPairs>
  <TitlesOfParts>
    <vt:vector size="1" baseType="lpstr">
      <vt:lpstr>CCPR/C/DEU/CO/7</vt:lpstr>
    </vt:vector>
  </TitlesOfParts>
  <Company>DCM</Company>
  <LinksUpToDate>false</LinksUpToDate>
  <CharactersWithSpaces>36530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2117614</dc:subject>
  <dc:creator>pae</dc:creator>
  <cp:keywords/>
  <dc:description>formatted text</dc:description>
  <cp:lastModifiedBy>Pauline Anne Escalante</cp:lastModifiedBy>
  <cp:revision>2</cp:revision>
  <cp:lastPrinted>2022-03-28T11:58:00Z</cp:lastPrinted>
  <dcterms:created xsi:type="dcterms:W3CDTF">2022-03-28T14:15:00Z</dcterms:created>
  <dcterms:modified xsi:type="dcterms:W3CDTF">2022-03-28T14:15:00Z</dcterms:modified>
</cp:coreProperties>
</file>