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会前工作组</w:t>
      </w:r>
    </w:p>
    <w:p w:rsidR="00000000" w:rsidRDefault="00000000">
      <w:pPr>
        <w:rPr>
          <w:rFonts w:hint="eastAsia"/>
        </w:rPr>
      </w:pPr>
      <w:r>
        <w:rPr>
          <w:rFonts w:hint="eastAsia"/>
        </w:rPr>
        <w:t>2006</w:t>
      </w:r>
      <w:r>
        <w:rPr>
          <w:rFonts w:hint="eastAsia"/>
        </w:rPr>
        <w:t>年</w:t>
      </w:r>
      <w:r>
        <w:rPr>
          <w:rFonts w:hint="eastAsia"/>
        </w:rPr>
        <w:t>11</w:t>
      </w:r>
      <w:r>
        <w:rPr>
          <w:rFonts w:hint="eastAsia"/>
        </w:rPr>
        <w:t>月</w:t>
      </w:r>
      <w:r>
        <w:rPr>
          <w:rFonts w:hint="eastAsia"/>
        </w:rPr>
        <w:t>27</w:t>
      </w:r>
      <w:r>
        <w:rPr>
          <w:rFonts w:hint="eastAsia"/>
        </w:rPr>
        <w:t>日至</w:t>
      </w:r>
      <w:r>
        <w:rPr>
          <w:rFonts w:hint="eastAsia"/>
        </w:rPr>
        <w:t>12</w:t>
      </w:r>
      <w:r>
        <w:rPr>
          <w:rFonts w:hint="eastAsia"/>
        </w:rPr>
        <w:t>月</w:t>
      </w:r>
      <w:r>
        <w:rPr>
          <w:rFonts w:hint="eastAsia"/>
        </w:rPr>
        <w:t>1</w:t>
      </w:r>
      <w:r>
        <w:rPr>
          <w:rFonts w:hint="eastAsia"/>
        </w:rPr>
        <w:t>日</w:t>
      </w:r>
    </w:p>
    <w:p w:rsidR="00000000" w:rsidRDefault="00000000"/>
    <w:p w:rsidR="00000000" w:rsidRDefault="00000000"/>
    <w:p w:rsidR="00000000" w:rsidRDefault="00000000">
      <w:pPr>
        <w:pStyle w:val="Heading2"/>
        <w:spacing w:after="480"/>
        <w:rPr>
          <w:rFonts w:eastAsia="SimHei" w:hint="eastAsia"/>
        </w:rPr>
      </w:pPr>
      <w:r>
        <w:rPr>
          <w:rFonts w:eastAsia="SimHei" w:hint="eastAsia"/>
        </w:rPr>
        <w:t>《经济、社会、文化权利国际公约》执行情况</w:t>
      </w:r>
    </w:p>
    <w:p w:rsidR="00000000" w:rsidRDefault="00000000">
      <w:pPr>
        <w:pStyle w:val="Heading3"/>
        <w:spacing w:after="480"/>
        <w:rPr>
          <w:rFonts w:eastAsia="SimHei" w:hint="eastAsia"/>
          <w:u w:val="none"/>
        </w:rPr>
      </w:pPr>
      <w:r>
        <w:rPr>
          <w:rFonts w:eastAsia="SimHei" w:hint="eastAsia"/>
          <w:u w:val="none"/>
        </w:rPr>
        <w:t>审议乌克兰就《经济、社会、文化权利国际公约》</w:t>
      </w:r>
      <w:r>
        <w:rPr>
          <w:rFonts w:eastAsia="SimHei"/>
          <w:u w:val="none"/>
        </w:rPr>
        <w:br/>
      </w:r>
      <w:r>
        <w:rPr>
          <w:rFonts w:eastAsia="SimHei" w:hint="eastAsia"/>
          <w:u w:val="none"/>
        </w:rPr>
        <w:t>第一至十五条所述权利执行情况提交的第三次定期</w:t>
      </w:r>
      <w:r>
        <w:rPr>
          <w:rFonts w:eastAsia="SimHei"/>
          <w:u w:val="none"/>
        </w:rPr>
        <w:br/>
      </w:r>
      <w:r>
        <w:rPr>
          <w:rFonts w:eastAsia="SimHei" w:hint="eastAsia"/>
          <w:u w:val="none"/>
        </w:rPr>
        <w:t>报告</w:t>
      </w:r>
      <w:r>
        <w:rPr>
          <w:rFonts w:eastAsia="SimHei" w:hint="eastAsia"/>
          <w:u w:val="none"/>
        </w:rPr>
        <w:t>(</w:t>
      </w:r>
      <w:r>
        <w:rPr>
          <w:rFonts w:eastAsia="SimHei" w:hint="eastAsia"/>
          <w:b/>
          <w:u w:val="none"/>
        </w:rPr>
        <w:t>E</w:t>
      </w:r>
      <w:r>
        <w:rPr>
          <w:rFonts w:eastAsia="SimHei" w:hint="eastAsia"/>
          <w:u w:val="none"/>
        </w:rPr>
        <w:t>/</w:t>
      </w:r>
      <w:r>
        <w:rPr>
          <w:rFonts w:eastAsia="SimHei"/>
          <w:b/>
          <w:u w:val="none"/>
        </w:rPr>
        <w:t>C</w:t>
      </w:r>
      <w:r>
        <w:rPr>
          <w:rFonts w:eastAsia="SimHei"/>
          <w:u w:val="none"/>
        </w:rPr>
        <w:t>.</w:t>
      </w:r>
      <w:r>
        <w:rPr>
          <w:rFonts w:eastAsia="SimHei" w:hint="eastAsia"/>
          <w:b/>
          <w:u w:val="none"/>
        </w:rPr>
        <w:t>1</w:t>
      </w:r>
      <w:r>
        <w:rPr>
          <w:rFonts w:eastAsia="SimHei"/>
          <w:b/>
          <w:u w:val="none"/>
        </w:rPr>
        <w:t>2</w:t>
      </w:r>
      <w:r>
        <w:rPr>
          <w:rFonts w:eastAsia="SimHei" w:hint="eastAsia"/>
          <w:u w:val="none"/>
        </w:rPr>
        <w:t>/</w:t>
      </w:r>
      <w:r>
        <w:rPr>
          <w:rFonts w:eastAsia="SimHei"/>
          <w:b/>
          <w:u w:val="none"/>
        </w:rPr>
        <w:t>UKR</w:t>
      </w:r>
      <w:r>
        <w:rPr>
          <w:rFonts w:eastAsia="SimHei" w:hint="eastAsia"/>
          <w:u w:val="none"/>
        </w:rPr>
        <w:t>/</w:t>
      </w:r>
      <w:r>
        <w:rPr>
          <w:rFonts w:eastAsia="SimHei"/>
          <w:b/>
          <w:u w:val="none"/>
        </w:rPr>
        <w:t>5</w:t>
      </w:r>
      <w:r>
        <w:rPr>
          <w:rFonts w:eastAsia="SimHei"/>
          <w:u w:val="none"/>
        </w:rPr>
        <w:t>)</w:t>
      </w:r>
      <w:r>
        <w:rPr>
          <w:rFonts w:eastAsia="SimHei" w:hint="eastAsia"/>
          <w:u w:val="none"/>
        </w:rPr>
        <w:t>时将审理的问题清单</w:t>
      </w:r>
    </w:p>
    <w:p w:rsidR="00000000" w:rsidRDefault="00000000">
      <w:pPr>
        <w:pStyle w:val="Heading2"/>
        <w:spacing w:after="480"/>
        <w:rPr>
          <w:b/>
          <w:bCs/>
          <w:sz w:val="23"/>
          <w:szCs w:val="23"/>
        </w:rPr>
      </w:pPr>
      <w:r>
        <w:rPr>
          <w:rFonts w:hint="eastAsia"/>
        </w:rPr>
        <w:t>一、执行《公约》的一般法律框架</w:t>
      </w:r>
    </w:p>
    <w:p w:rsidR="00000000" w:rsidRDefault="00000000">
      <w:pPr>
        <w:ind w:firstLine="510"/>
        <w:rPr>
          <w:szCs w:val="23"/>
        </w:rPr>
      </w:pPr>
      <w:r>
        <w:rPr>
          <w:szCs w:val="23"/>
        </w:rPr>
        <w:t>1.</w:t>
      </w:r>
      <w:r>
        <w:rPr>
          <w:rFonts w:hint="eastAsia"/>
          <w:szCs w:val="23"/>
        </w:rPr>
        <w:t xml:space="preserve">  </w:t>
      </w:r>
      <w:r>
        <w:rPr>
          <w:rFonts w:hint="eastAsia"/>
        </w:rPr>
        <w:t>请提供补充和最新资料，说明缔约国采取了哪些措施，执行委员会对乌克兰第四次定期报告</w:t>
      </w:r>
      <w:r>
        <w:rPr>
          <w:szCs w:val="23"/>
        </w:rPr>
        <w:t>(E/C.12/1/Add.65)</w:t>
      </w:r>
      <w:r>
        <w:rPr>
          <w:rFonts w:hint="eastAsia"/>
        </w:rPr>
        <w:t>的结论性意见中提出的意见和建议。</w:t>
      </w:r>
    </w:p>
    <w:p w:rsidR="00000000" w:rsidRDefault="00000000">
      <w:pPr>
        <w:ind w:firstLine="510"/>
        <w:rPr>
          <w:szCs w:val="23"/>
        </w:rPr>
      </w:pPr>
      <w:r>
        <w:rPr>
          <w:szCs w:val="23"/>
        </w:rPr>
        <w:t>2.</w:t>
      </w:r>
      <w:r>
        <w:rPr>
          <w:rFonts w:hint="eastAsia"/>
          <w:szCs w:val="23"/>
        </w:rPr>
        <w:t xml:space="preserve">  </w:t>
      </w:r>
      <w:r>
        <w:rPr>
          <w:rFonts w:hint="eastAsia"/>
        </w:rPr>
        <w:t>请说明是否可以在乌克兰法庭直接适用和援引《公约》</w:t>
      </w:r>
      <w:r>
        <w:rPr>
          <w:rFonts w:hint="eastAsia"/>
          <w:snapToGrid/>
        </w:rPr>
        <w:t>所载各项权利，如果可以的话，请提供</w:t>
      </w:r>
      <w:r>
        <w:rPr>
          <w:rFonts w:hint="eastAsia"/>
        </w:rPr>
        <w:t>法庭直接适用《公约》</w:t>
      </w:r>
      <w:r>
        <w:rPr>
          <w:rFonts w:hint="eastAsia"/>
          <w:snapToGrid/>
        </w:rPr>
        <w:t>权利的范例。</w:t>
      </w:r>
    </w:p>
    <w:p w:rsidR="00000000" w:rsidRDefault="00000000">
      <w:pPr>
        <w:spacing w:after="320"/>
        <w:ind w:firstLine="510"/>
        <w:rPr>
          <w:b/>
          <w:bCs/>
          <w:szCs w:val="23"/>
        </w:rPr>
      </w:pPr>
      <w:r>
        <w:rPr>
          <w:szCs w:val="23"/>
        </w:rPr>
        <w:t>3.</w:t>
      </w:r>
      <w:r>
        <w:rPr>
          <w:rFonts w:hint="eastAsia"/>
          <w:szCs w:val="23"/>
        </w:rPr>
        <w:t xml:space="preserve">  </w:t>
      </w:r>
      <w:r>
        <w:rPr>
          <w:rFonts w:hint="eastAsia"/>
          <w:szCs w:val="23"/>
        </w:rPr>
        <w:t>正在</w:t>
      </w:r>
      <w:r>
        <w:rPr>
          <w:rFonts w:hint="eastAsia"/>
        </w:rPr>
        <w:t>采取哪些措施解决乌克兰议会人权事务专员办公室资源不足的问题，以更加便利申诉人提交申诉，确保该办公室有效处理侵犯经济、社会、文化权利的问题？</w:t>
      </w:r>
    </w:p>
    <w:p w:rsidR="00000000" w:rsidRDefault="00000000">
      <w:pPr>
        <w:pStyle w:val="Heading2"/>
        <w:rPr>
          <w:rFonts w:hint="eastAsia"/>
        </w:rPr>
      </w:pPr>
      <w:r>
        <w:rPr>
          <w:rFonts w:hint="eastAsia"/>
        </w:rPr>
        <w:t>二、有关《公约》一般性条款的问题</w:t>
      </w:r>
      <w:r>
        <w:rPr>
          <w:rFonts w:hint="eastAsia"/>
        </w:rPr>
        <w:t>(</w:t>
      </w:r>
      <w:r>
        <w:rPr>
          <w:rFonts w:hint="eastAsia"/>
        </w:rPr>
        <w:t>第一至五条</w:t>
      </w:r>
      <w:r>
        <w:rPr>
          <w:rFonts w:hint="eastAsia"/>
        </w:rPr>
        <w:t>)</w:t>
      </w:r>
    </w:p>
    <w:p w:rsidR="00000000" w:rsidRDefault="00000000">
      <w:pPr>
        <w:pStyle w:val="Heading3"/>
        <w:rPr>
          <w:szCs w:val="23"/>
          <w:u w:val="none"/>
        </w:rPr>
      </w:pPr>
      <w:r>
        <w:rPr>
          <w:rFonts w:hint="eastAsia"/>
          <w:u w:val="none"/>
        </w:rPr>
        <w:t>第二条第二款</w:t>
      </w:r>
      <w:r>
        <w:rPr>
          <w:rFonts w:hint="eastAsia"/>
          <w:spacing w:val="-50"/>
          <w:u w:val="none"/>
        </w:rPr>
        <w:t>―</w:t>
      </w:r>
      <w:r>
        <w:rPr>
          <w:rFonts w:hint="eastAsia"/>
          <w:u w:val="none"/>
        </w:rPr>
        <w:t>―不歧视</w:t>
      </w:r>
    </w:p>
    <w:p w:rsidR="00000000" w:rsidRDefault="00000000">
      <w:pPr>
        <w:ind w:firstLine="510"/>
        <w:rPr>
          <w:szCs w:val="23"/>
        </w:rPr>
      </w:pPr>
      <w:r>
        <w:rPr>
          <w:szCs w:val="23"/>
        </w:rPr>
        <w:t>4.</w:t>
      </w:r>
      <w:r>
        <w:rPr>
          <w:rFonts w:hint="eastAsia"/>
          <w:szCs w:val="23"/>
        </w:rPr>
        <w:t xml:space="preserve">  </w:t>
      </w:r>
      <w:r>
        <w:rPr>
          <w:rFonts w:hint="eastAsia"/>
        </w:rPr>
        <w:t>请提供资料说明采取了哪些措施防止警察暴力和对包括族裔出身不同的寻求庇护者在内的罗姆人和其他少数群体的社会歧视问题以及落实措施的情况。</w:t>
      </w:r>
    </w:p>
    <w:p w:rsidR="00000000" w:rsidRDefault="00000000">
      <w:pPr>
        <w:spacing w:after="240"/>
        <w:ind w:firstLine="510"/>
        <w:rPr>
          <w:szCs w:val="23"/>
        </w:rPr>
      </w:pPr>
      <w:r>
        <w:rPr>
          <w:szCs w:val="23"/>
        </w:rPr>
        <w:t xml:space="preserve">5.  </w:t>
      </w:r>
      <w:r>
        <w:rPr>
          <w:rFonts w:hint="eastAsia"/>
        </w:rPr>
        <w:t>请提供资料说明采取了哪些积极措施加强残疾人就业、出入公共建筑、获得适足住房、心理咨询和照顾和受教育的机会以及落实措施的情况。</w:t>
      </w:r>
    </w:p>
    <w:p w:rsidR="00000000" w:rsidRDefault="00000000">
      <w:pPr>
        <w:pStyle w:val="Heading3"/>
        <w:rPr>
          <w:szCs w:val="23"/>
          <w:u w:val="none"/>
        </w:rPr>
      </w:pPr>
      <w:r>
        <w:rPr>
          <w:rFonts w:hint="eastAsia"/>
          <w:u w:val="none"/>
        </w:rPr>
        <w:t>第三条</w:t>
      </w:r>
      <w:r>
        <w:rPr>
          <w:rFonts w:hint="eastAsia"/>
          <w:spacing w:val="-50"/>
          <w:u w:val="none"/>
        </w:rPr>
        <w:t>―</w:t>
      </w:r>
      <w:r>
        <w:rPr>
          <w:rFonts w:hint="eastAsia"/>
          <w:u w:val="none"/>
        </w:rPr>
        <w:t>―男女平等权利</w:t>
      </w:r>
    </w:p>
    <w:p w:rsidR="00000000" w:rsidRDefault="00000000">
      <w:pPr>
        <w:ind w:firstLine="510"/>
        <w:rPr>
          <w:szCs w:val="23"/>
        </w:rPr>
      </w:pPr>
      <w:r>
        <w:rPr>
          <w:szCs w:val="23"/>
        </w:rPr>
        <w:t xml:space="preserve">6.  </w:t>
      </w:r>
      <w:r>
        <w:rPr>
          <w:rFonts w:hint="eastAsia"/>
        </w:rPr>
        <w:t>请提供资料说明为增强妇女在议会和政府部门以及公共服务部门高级职位的代表性</w:t>
      </w:r>
      <w:r>
        <w:rPr>
          <w:szCs w:val="23"/>
        </w:rPr>
        <w:t>(</w:t>
      </w:r>
      <w:r>
        <w:rPr>
          <w:rFonts w:hint="eastAsia"/>
          <w:szCs w:val="23"/>
        </w:rPr>
        <w:t>见报告第</w:t>
      </w:r>
      <w:r>
        <w:rPr>
          <w:szCs w:val="23"/>
        </w:rPr>
        <w:t>56-64</w:t>
      </w:r>
      <w:r>
        <w:rPr>
          <w:rFonts w:hint="eastAsia"/>
          <w:szCs w:val="23"/>
        </w:rPr>
        <w:t>段</w:t>
      </w:r>
      <w:r>
        <w:rPr>
          <w:szCs w:val="23"/>
        </w:rPr>
        <w:t>)</w:t>
      </w:r>
      <w:r>
        <w:rPr>
          <w:rFonts w:hint="eastAsia"/>
        </w:rPr>
        <w:t>而采取的措施是否有效。请说明缔约国在议会否决《两性平等法》草案后是否打算重新实施该项草案，主张当选机构妇女代表最低名额制。</w:t>
      </w:r>
    </w:p>
    <w:p w:rsidR="00000000" w:rsidRDefault="00000000">
      <w:pPr>
        <w:spacing w:after="320"/>
        <w:ind w:firstLine="510"/>
        <w:rPr>
          <w:szCs w:val="23"/>
        </w:rPr>
      </w:pPr>
      <w:r>
        <w:rPr>
          <w:szCs w:val="23"/>
        </w:rPr>
        <w:t xml:space="preserve">7.  </w:t>
      </w:r>
      <w:r>
        <w:rPr>
          <w:rFonts w:hint="eastAsia"/>
        </w:rPr>
        <w:t>请提供详细资料说明缔约国内包括工作场所的性骚扰问题、为防止这类骚扰问题建立了什么法律框架、采取哪些措施调查有关性骚扰的申诉和对犯法者采取哪些制裁措施。</w:t>
      </w:r>
    </w:p>
    <w:p w:rsidR="00000000" w:rsidRDefault="00000000">
      <w:pPr>
        <w:pStyle w:val="Heading2"/>
        <w:rPr>
          <w:rFonts w:hint="eastAsia"/>
        </w:rPr>
      </w:pPr>
      <w:r>
        <w:rPr>
          <w:rFonts w:hint="eastAsia"/>
        </w:rPr>
        <w:t>三、有关《公约》具体条款的问题</w:t>
      </w:r>
      <w:r>
        <w:rPr>
          <w:rFonts w:hint="eastAsia"/>
        </w:rPr>
        <w:t>(</w:t>
      </w:r>
      <w:r>
        <w:rPr>
          <w:rFonts w:hint="eastAsia"/>
        </w:rPr>
        <w:t>第六至十五条</w:t>
      </w:r>
      <w:r>
        <w:rPr>
          <w:rFonts w:hint="eastAsia"/>
        </w:rPr>
        <w:t>)</w:t>
      </w:r>
    </w:p>
    <w:p w:rsidR="00000000" w:rsidRDefault="00000000">
      <w:pPr>
        <w:pStyle w:val="Heading3"/>
        <w:rPr>
          <w:szCs w:val="23"/>
          <w:u w:val="none"/>
        </w:rPr>
      </w:pPr>
      <w:r>
        <w:rPr>
          <w:rFonts w:hint="eastAsia"/>
          <w:u w:val="none"/>
        </w:rPr>
        <w:t>第六条</w:t>
      </w:r>
      <w:r>
        <w:rPr>
          <w:rFonts w:hint="eastAsia"/>
          <w:spacing w:val="-50"/>
          <w:u w:val="none"/>
        </w:rPr>
        <w:t>―</w:t>
      </w:r>
      <w:r>
        <w:rPr>
          <w:rFonts w:hint="eastAsia"/>
          <w:u w:val="none"/>
        </w:rPr>
        <w:t>―工作权</w:t>
      </w:r>
    </w:p>
    <w:p w:rsidR="00000000" w:rsidRDefault="00000000">
      <w:pPr>
        <w:ind w:firstLine="510"/>
        <w:rPr>
          <w:szCs w:val="23"/>
        </w:rPr>
      </w:pPr>
      <w:r>
        <w:rPr>
          <w:szCs w:val="23"/>
        </w:rPr>
        <w:t xml:space="preserve">8.  </w:t>
      </w:r>
      <w:r>
        <w:rPr>
          <w:rFonts w:hint="eastAsia"/>
        </w:rPr>
        <w:t>请提供资料说明降低在非正规经济部门工作的人数比例以及使这种状况规范化的方案或战略，据报道，在非正规经济部门工作的人数是在正规经济部门工作人数的</w:t>
      </w:r>
      <w:r>
        <w:rPr>
          <w:rFonts w:hint="eastAsia"/>
        </w:rPr>
        <w:t>1.5</w:t>
      </w:r>
      <w:r>
        <w:rPr>
          <w:rFonts w:hint="eastAsia"/>
        </w:rPr>
        <w:t>倍。</w:t>
      </w:r>
    </w:p>
    <w:p w:rsidR="00000000" w:rsidRDefault="00000000">
      <w:pPr>
        <w:spacing w:after="320"/>
        <w:ind w:firstLine="510"/>
        <w:rPr>
          <w:szCs w:val="23"/>
        </w:rPr>
      </w:pPr>
      <w:r>
        <w:rPr>
          <w:szCs w:val="23"/>
        </w:rPr>
        <w:t xml:space="preserve">9.  </w:t>
      </w:r>
      <w:r>
        <w:rPr>
          <w:rFonts w:hint="eastAsia"/>
        </w:rPr>
        <w:t>请提供更多的资料说明，为降低妇女高失业率采取了哪些措施</w:t>
      </w:r>
      <w:r>
        <w:rPr>
          <w:rFonts w:hint="eastAsia"/>
        </w:rPr>
        <w:t xml:space="preserve"> </w:t>
      </w:r>
      <w:r>
        <w:rPr>
          <w:szCs w:val="23"/>
        </w:rPr>
        <w:t>(</w:t>
      </w:r>
      <w:r>
        <w:rPr>
          <w:rFonts w:hint="eastAsia"/>
          <w:szCs w:val="23"/>
        </w:rPr>
        <w:t>见报告第</w:t>
      </w:r>
      <w:r>
        <w:rPr>
          <w:szCs w:val="23"/>
        </w:rPr>
        <w:t>81</w:t>
      </w:r>
      <w:r>
        <w:rPr>
          <w:rFonts w:hint="eastAsia"/>
          <w:szCs w:val="23"/>
        </w:rPr>
        <w:t>段</w:t>
      </w:r>
      <w:r>
        <w:rPr>
          <w:szCs w:val="23"/>
        </w:rPr>
        <w:t>)</w:t>
      </w:r>
      <w:r>
        <w:rPr>
          <w:rFonts w:hint="eastAsia"/>
          <w:szCs w:val="23"/>
        </w:rPr>
        <w:t>。还</w:t>
      </w:r>
      <w:r>
        <w:rPr>
          <w:rFonts w:hint="eastAsia"/>
        </w:rPr>
        <w:t>请提供资料说明，为防止在就业、特别是征聘阶段的性别歧视采取了哪些措施以及向遭受这类歧视的受害者提供哪些补救办法。</w:t>
      </w:r>
    </w:p>
    <w:p w:rsidR="00000000" w:rsidRDefault="00000000">
      <w:pPr>
        <w:pStyle w:val="Heading3"/>
        <w:rPr>
          <w:snapToGrid w:val="0"/>
          <w:szCs w:val="23"/>
          <w:u w:val="none"/>
        </w:rPr>
      </w:pPr>
      <w:r>
        <w:rPr>
          <w:rFonts w:hint="eastAsia"/>
          <w:snapToGrid w:val="0"/>
          <w:u w:val="none"/>
        </w:rPr>
        <w:t>第七条</w:t>
      </w:r>
      <w:r>
        <w:rPr>
          <w:rFonts w:hint="eastAsia"/>
          <w:snapToGrid w:val="0"/>
          <w:spacing w:val="-50"/>
          <w:u w:val="none"/>
        </w:rPr>
        <w:t>―</w:t>
      </w:r>
      <w:r>
        <w:rPr>
          <w:rFonts w:hint="eastAsia"/>
          <w:snapToGrid w:val="0"/>
          <w:u w:val="none"/>
        </w:rPr>
        <w:t>―公正和良好的工作条件权</w:t>
      </w:r>
    </w:p>
    <w:p w:rsidR="00000000" w:rsidRDefault="00000000">
      <w:pPr>
        <w:ind w:firstLine="510"/>
        <w:rPr>
          <w:szCs w:val="23"/>
        </w:rPr>
      </w:pPr>
      <w:r>
        <w:rPr>
          <w:szCs w:val="23"/>
        </w:rPr>
        <w:t xml:space="preserve">10.  </w:t>
      </w:r>
      <w:r>
        <w:rPr>
          <w:rFonts w:hint="eastAsia"/>
        </w:rPr>
        <w:t>请提供资料说明，监测职业安全和卫生标准落实情况的劳动监察是否有效，特别是发生许多</w:t>
      </w:r>
      <w:r>
        <w:rPr>
          <w:rFonts w:hint="eastAsia"/>
          <w:snapToGrid/>
        </w:rPr>
        <w:t>致命事故的采煤部门</w:t>
      </w:r>
      <w:r>
        <w:rPr>
          <w:szCs w:val="23"/>
        </w:rPr>
        <w:t>(</w:t>
      </w:r>
      <w:r>
        <w:rPr>
          <w:rFonts w:hint="eastAsia"/>
          <w:szCs w:val="23"/>
        </w:rPr>
        <w:t>见报告第</w:t>
      </w:r>
      <w:r>
        <w:rPr>
          <w:szCs w:val="23"/>
        </w:rPr>
        <w:t>176</w:t>
      </w:r>
      <w:r>
        <w:rPr>
          <w:rFonts w:hint="eastAsia"/>
          <w:szCs w:val="23"/>
        </w:rPr>
        <w:t>段</w:t>
      </w:r>
      <w:r>
        <w:rPr>
          <w:szCs w:val="23"/>
        </w:rPr>
        <w:t>)</w:t>
      </w:r>
      <w:r>
        <w:rPr>
          <w:rFonts w:hint="eastAsia"/>
          <w:szCs w:val="23"/>
        </w:rPr>
        <w:t>，以及关闭非法煤矿采取了哪些措施。</w:t>
      </w:r>
    </w:p>
    <w:p w:rsidR="00000000" w:rsidRDefault="00000000">
      <w:pPr>
        <w:ind w:firstLine="510"/>
        <w:rPr>
          <w:szCs w:val="23"/>
        </w:rPr>
      </w:pPr>
      <w:r>
        <w:rPr>
          <w:szCs w:val="23"/>
        </w:rPr>
        <w:t xml:space="preserve">11.  </w:t>
      </w:r>
      <w:r>
        <w:rPr>
          <w:rFonts w:hint="eastAsia"/>
        </w:rPr>
        <w:t>请提供比较数据，说明男女在同工同酬方面存在的差幅，并说明采取哪些措施解决基于性别的工资歧视问题。女性雇员可以采取哪些补救办法对这类歧视提出质疑以及这类补救办法实际上是否有效</w:t>
      </w:r>
      <w:r>
        <w:rPr>
          <w:szCs w:val="23"/>
        </w:rPr>
        <w:t>？</w:t>
      </w:r>
    </w:p>
    <w:p w:rsidR="00000000" w:rsidRDefault="00000000">
      <w:pPr>
        <w:spacing w:after="240"/>
        <w:ind w:firstLine="510"/>
        <w:rPr>
          <w:szCs w:val="22"/>
        </w:rPr>
      </w:pPr>
      <w:r>
        <w:rPr>
          <w:szCs w:val="22"/>
        </w:rPr>
        <w:t xml:space="preserve">12.  </w:t>
      </w:r>
      <w:r>
        <w:rPr>
          <w:rFonts w:hint="eastAsia"/>
        </w:rPr>
        <w:t>请提供资料说明为反对在工作场所对儿童进行经济剥削和分配他们在艰苦和危险的工作条件下工作采取了哪些措施</w:t>
      </w:r>
      <w:r>
        <w:rPr>
          <w:szCs w:val="22"/>
          <w:lang w:val="en-GB"/>
        </w:rPr>
        <w:t>(</w:t>
      </w:r>
      <w:r>
        <w:rPr>
          <w:rFonts w:hint="eastAsia"/>
          <w:szCs w:val="22"/>
          <w:lang w:val="en-GB"/>
        </w:rPr>
        <w:t>见报告第</w:t>
      </w:r>
      <w:r>
        <w:rPr>
          <w:szCs w:val="22"/>
          <w:lang w:val="en-GB"/>
        </w:rPr>
        <w:t>161</w:t>
      </w:r>
      <w:r>
        <w:rPr>
          <w:rFonts w:hint="eastAsia"/>
          <w:szCs w:val="22"/>
          <w:lang w:val="en-GB"/>
        </w:rPr>
        <w:t>段</w:t>
      </w:r>
      <w:r>
        <w:rPr>
          <w:szCs w:val="22"/>
          <w:lang w:val="en-GB"/>
        </w:rPr>
        <w:t>)</w:t>
      </w:r>
      <w:r>
        <w:rPr>
          <w:rFonts w:hint="eastAsia"/>
          <w:szCs w:val="22"/>
          <w:lang w:val="en-GB"/>
        </w:rPr>
        <w:t>。</w:t>
      </w:r>
    </w:p>
    <w:p w:rsidR="00000000" w:rsidRDefault="00000000">
      <w:pPr>
        <w:pStyle w:val="Heading3"/>
        <w:rPr>
          <w:szCs w:val="22"/>
          <w:u w:val="none"/>
        </w:rPr>
      </w:pPr>
      <w:r>
        <w:rPr>
          <w:rFonts w:hint="eastAsia"/>
          <w:u w:val="none"/>
        </w:rPr>
        <w:t>第九条</w:t>
      </w:r>
      <w:r>
        <w:rPr>
          <w:rFonts w:hint="eastAsia"/>
          <w:spacing w:val="-50"/>
          <w:u w:val="none"/>
        </w:rPr>
        <w:t>―</w:t>
      </w:r>
      <w:r>
        <w:rPr>
          <w:rFonts w:hint="eastAsia"/>
          <w:u w:val="none"/>
        </w:rPr>
        <w:t>―社会保障</w:t>
      </w:r>
    </w:p>
    <w:p w:rsidR="00000000" w:rsidRDefault="00000000">
      <w:pPr>
        <w:ind w:firstLine="510"/>
        <w:rPr>
          <w:szCs w:val="23"/>
        </w:rPr>
      </w:pPr>
      <w:r>
        <w:rPr>
          <w:szCs w:val="23"/>
        </w:rPr>
        <w:t xml:space="preserve">13.  </w:t>
      </w:r>
      <w:r>
        <w:rPr>
          <w:rFonts w:hint="eastAsia"/>
        </w:rPr>
        <w:t>请每年提供失业金、养恤金、残障和其他社会保障福利最低标准分类数据，解释这些福利是否足以保障适足生活水准。</w:t>
      </w:r>
    </w:p>
    <w:p w:rsidR="00000000" w:rsidRDefault="00000000">
      <w:pPr>
        <w:spacing w:after="320"/>
        <w:ind w:firstLine="510"/>
        <w:rPr>
          <w:szCs w:val="23"/>
        </w:rPr>
      </w:pPr>
      <w:r>
        <w:rPr>
          <w:szCs w:val="23"/>
        </w:rPr>
        <w:t xml:space="preserve">14.  </w:t>
      </w:r>
      <w:r>
        <w:rPr>
          <w:rFonts w:hint="eastAsia"/>
          <w:szCs w:val="23"/>
        </w:rPr>
        <w:t>请对收到的以下信息提供评论意见，即社会援助预算不足、社会援助福利分配不公平，并由于部分资金来源于预算而有所不同，社会援助系统未能针对社会处境不利和社会边缘群体。如果缔约国正在采取措施改革社会援助制度，它采取了哪些措施</w:t>
      </w:r>
      <w:r>
        <w:rPr>
          <w:szCs w:val="23"/>
        </w:rPr>
        <w:t>？</w:t>
      </w:r>
    </w:p>
    <w:p w:rsidR="00000000" w:rsidRDefault="00000000">
      <w:pPr>
        <w:pStyle w:val="Heading3"/>
        <w:rPr>
          <w:szCs w:val="23"/>
          <w:u w:val="none"/>
        </w:rPr>
      </w:pPr>
      <w:r>
        <w:rPr>
          <w:rFonts w:hint="eastAsia"/>
          <w:u w:val="none"/>
        </w:rPr>
        <w:t>第十条</w:t>
      </w:r>
      <w:r>
        <w:rPr>
          <w:rFonts w:hint="eastAsia"/>
          <w:spacing w:val="-50"/>
          <w:u w:val="none"/>
        </w:rPr>
        <w:t>―</w:t>
      </w:r>
      <w:r>
        <w:rPr>
          <w:rFonts w:hint="eastAsia"/>
          <w:u w:val="none"/>
        </w:rPr>
        <w:t>―保护家庭、母亲和儿童</w:t>
      </w:r>
    </w:p>
    <w:p w:rsidR="00000000" w:rsidRDefault="00000000">
      <w:pPr>
        <w:ind w:firstLine="510"/>
        <w:rPr>
          <w:szCs w:val="23"/>
        </w:rPr>
      </w:pPr>
      <w:r>
        <w:rPr>
          <w:snapToGrid/>
          <w:szCs w:val="23"/>
        </w:rPr>
        <w:t xml:space="preserve">15.  </w:t>
      </w:r>
      <w:r>
        <w:rPr>
          <w:rFonts w:hint="eastAsia"/>
          <w:snapToGrid/>
          <w:szCs w:val="23"/>
        </w:rPr>
        <w:t>请说明缔约国是否打算通过具体立法，将包括配偶强奸在内的家庭暴力定</w:t>
      </w:r>
      <w:r>
        <w:rPr>
          <w:rFonts w:hint="eastAsia"/>
          <w:szCs w:val="23"/>
        </w:rPr>
        <w:t>为犯罪行为，而不是将这类行为只当作违反行政法来处理</w:t>
      </w:r>
      <w:r>
        <w:rPr>
          <w:szCs w:val="23"/>
        </w:rPr>
        <w:t>(</w:t>
      </w:r>
      <w:r>
        <w:rPr>
          <w:rFonts w:hint="eastAsia"/>
          <w:szCs w:val="23"/>
        </w:rPr>
        <w:t>见报告第</w:t>
      </w:r>
      <w:r>
        <w:rPr>
          <w:szCs w:val="23"/>
        </w:rPr>
        <w:t>270</w:t>
      </w:r>
      <w:r>
        <w:rPr>
          <w:rFonts w:hint="eastAsia"/>
          <w:szCs w:val="23"/>
        </w:rPr>
        <w:t>段</w:t>
      </w:r>
      <w:r>
        <w:rPr>
          <w:szCs w:val="23"/>
        </w:rPr>
        <w:t>)</w:t>
      </w:r>
      <w:r>
        <w:rPr>
          <w:szCs w:val="23"/>
        </w:rPr>
        <w:t>？</w:t>
      </w:r>
      <w:r>
        <w:rPr>
          <w:rFonts w:hint="eastAsia"/>
          <w:szCs w:val="23"/>
        </w:rPr>
        <w:t>正在采取什么具体措施提高执法官员和一般民众对家庭暴力行为犯罪性质的认识，扩大收容所数量和能力，向受害者提供其他实际支助，以及实施凶犯心理复原方案，建立</w:t>
      </w:r>
      <w:r>
        <w:rPr>
          <w:snapToGrid/>
        </w:rPr>
        <w:t>《家庭暴力</w:t>
      </w:r>
      <w:r>
        <w:rPr>
          <w:snapToGrid/>
        </w:rPr>
        <w:t>(</w:t>
      </w:r>
      <w:r>
        <w:rPr>
          <w:snapToGrid/>
        </w:rPr>
        <w:t>防止</w:t>
      </w:r>
      <w:r>
        <w:rPr>
          <w:snapToGrid/>
        </w:rPr>
        <w:t>)</w:t>
      </w:r>
      <w:r>
        <w:rPr>
          <w:snapToGrid/>
        </w:rPr>
        <w:t>法》</w:t>
      </w:r>
      <w:r>
        <w:rPr>
          <w:szCs w:val="23"/>
        </w:rPr>
        <w:t>(2002</w:t>
      </w:r>
      <w:r>
        <w:rPr>
          <w:rFonts w:hint="eastAsia"/>
          <w:szCs w:val="23"/>
        </w:rPr>
        <w:t>年</w:t>
      </w:r>
      <w:r>
        <w:rPr>
          <w:szCs w:val="23"/>
        </w:rPr>
        <w:t>)</w:t>
      </w:r>
      <w:r>
        <w:rPr>
          <w:rFonts w:hint="eastAsia"/>
          <w:szCs w:val="23"/>
        </w:rPr>
        <w:t>执行情况监测体系？</w:t>
      </w:r>
    </w:p>
    <w:p w:rsidR="00000000" w:rsidRDefault="00000000">
      <w:pPr>
        <w:ind w:firstLine="510"/>
        <w:rPr>
          <w:szCs w:val="23"/>
        </w:rPr>
      </w:pPr>
      <w:r>
        <w:rPr>
          <w:szCs w:val="23"/>
        </w:rPr>
        <w:t xml:space="preserve">16.  </w:t>
      </w:r>
      <w:r>
        <w:rPr>
          <w:rFonts w:hint="eastAsia"/>
        </w:rPr>
        <w:t>请提供最新统计数据，说明进入、来自和经缔约国领土中转的以性剥削和强迫劳动为目的的被贩运的妇女和儿童人数。同时还请提供</w:t>
      </w:r>
      <w:r>
        <w:rPr>
          <w:snapToGrid/>
        </w:rPr>
        <w:t>2006</w:t>
      </w:r>
      <w:r>
        <w:rPr>
          <w:rFonts w:hint="eastAsia"/>
          <w:snapToGrid/>
        </w:rPr>
        <w:t>-</w:t>
      </w:r>
      <w:r>
        <w:rPr>
          <w:snapToGrid/>
        </w:rPr>
        <w:t>201</w:t>
      </w:r>
      <w:r>
        <w:rPr>
          <w:rFonts w:hint="eastAsia"/>
          <w:snapToGrid/>
        </w:rPr>
        <w:t>0</w:t>
      </w:r>
      <w:r>
        <w:rPr>
          <w:snapToGrid/>
        </w:rPr>
        <w:t>年期间制止人口贩运方案</w:t>
      </w:r>
      <w:r>
        <w:rPr>
          <w:rFonts w:hint="eastAsia"/>
        </w:rPr>
        <w:t>方面的详细资料</w:t>
      </w:r>
      <w:r>
        <w:rPr>
          <w:szCs w:val="23"/>
        </w:rPr>
        <w:t>(</w:t>
      </w:r>
      <w:r>
        <w:rPr>
          <w:rFonts w:hint="eastAsia"/>
          <w:szCs w:val="23"/>
        </w:rPr>
        <w:t>见报告第</w:t>
      </w:r>
      <w:r>
        <w:rPr>
          <w:rFonts w:hint="eastAsia"/>
          <w:szCs w:val="23"/>
        </w:rPr>
        <w:t>303</w:t>
      </w:r>
      <w:r>
        <w:rPr>
          <w:rFonts w:hint="eastAsia"/>
          <w:szCs w:val="23"/>
        </w:rPr>
        <w:t>段</w:t>
      </w:r>
      <w:r>
        <w:rPr>
          <w:szCs w:val="23"/>
        </w:rPr>
        <w:t>)</w:t>
      </w:r>
      <w:r>
        <w:rPr>
          <w:rFonts w:hint="eastAsia"/>
          <w:szCs w:val="23"/>
        </w:rPr>
        <w:t>。</w:t>
      </w:r>
    </w:p>
    <w:p w:rsidR="00000000" w:rsidRDefault="00000000">
      <w:pPr>
        <w:spacing w:after="240"/>
        <w:ind w:firstLine="510"/>
        <w:rPr>
          <w:szCs w:val="23"/>
        </w:rPr>
      </w:pPr>
      <w:r>
        <w:rPr>
          <w:szCs w:val="23"/>
        </w:rPr>
        <w:t xml:space="preserve">17.  </w:t>
      </w:r>
      <w:r>
        <w:rPr>
          <w:rFonts w:hint="eastAsia"/>
        </w:rPr>
        <w:t>请提供资料，包括每年提供分类统计数据，说明流落街头儿童的情况，以及缔约国为了确保这些儿童不受经济剥削和性剥削、提供医疗保健和适足食物和教育机会采取了哪些措施。</w:t>
      </w:r>
    </w:p>
    <w:p w:rsidR="00000000" w:rsidRDefault="00000000">
      <w:pPr>
        <w:pStyle w:val="Heading3"/>
        <w:rPr>
          <w:snapToGrid w:val="0"/>
          <w:szCs w:val="23"/>
          <w:u w:val="none"/>
        </w:rPr>
      </w:pPr>
      <w:r>
        <w:rPr>
          <w:rFonts w:hint="eastAsia"/>
          <w:snapToGrid w:val="0"/>
          <w:u w:val="none"/>
        </w:rPr>
        <w:t>第十一条</w:t>
      </w:r>
      <w:r>
        <w:rPr>
          <w:rFonts w:hint="eastAsia"/>
          <w:snapToGrid w:val="0"/>
          <w:spacing w:val="-50"/>
          <w:u w:val="none"/>
        </w:rPr>
        <w:t>―</w:t>
      </w:r>
      <w:r>
        <w:rPr>
          <w:rFonts w:hint="eastAsia"/>
          <w:snapToGrid w:val="0"/>
          <w:u w:val="none"/>
        </w:rPr>
        <w:t>―适足生活水准权</w:t>
      </w:r>
    </w:p>
    <w:p w:rsidR="00000000" w:rsidRDefault="00000000">
      <w:pPr>
        <w:ind w:firstLine="510"/>
        <w:rPr>
          <w:szCs w:val="23"/>
        </w:rPr>
      </w:pPr>
      <w:r>
        <w:rPr>
          <w:szCs w:val="23"/>
        </w:rPr>
        <w:t xml:space="preserve">18.  </w:t>
      </w:r>
      <w:r>
        <w:rPr>
          <w:rFonts w:hint="eastAsia"/>
        </w:rPr>
        <w:t>请按照性别、年龄、每户儿童数量、乡村</w:t>
      </w:r>
      <w:r>
        <w:rPr>
          <w:rFonts w:hint="eastAsia"/>
        </w:rPr>
        <w:t>/</w:t>
      </w:r>
      <w:r>
        <w:rPr>
          <w:rFonts w:hint="eastAsia"/>
        </w:rPr>
        <w:t>城镇人口和族裔群体分类提供贫困人口比例统计数据，以及</w:t>
      </w:r>
      <w:r>
        <w:rPr>
          <w:rFonts w:hint="eastAsia"/>
        </w:rPr>
        <w:t>2005-2009</w:t>
      </w:r>
      <w:r>
        <w:rPr>
          <w:rFonts w:hint="eastAsia"/>
        </w:rPr>
        <w:t>年期间的消除贫困战略</w:t>
      </w:r>
      <w:r>
        <w:rPr>
          <w:szCs w:val="23"/>
        </w:rPr>
        <w:t>(</w:t>
      </w:r>
      <w:r>
        <w:rPr>
          <w:rFonts w:hint="eastAsia"/>
          <w:szCs w:val="23"/>
        </w:rPr>
        <w:t>见报告第</w:t>
      </w:r>
      <w:r>
        <w:rPr>
          <w:szCs w:val="23"/>
        </w:rPr>
        <w:t>15</w:t>
      </w:r>
      <w:r>
        <w:rPr>
          <w:rFonts w:hint="eastAsia"/>
          <w:szCs w:val="23"/>
        </w:rPr>
        <w:t>段</w:t>
      </w:r>
      <w:r>
        <w:rPr>
          <w:szCs w:val="23"/>
        </w:rPr>
        <w:t>)</w:t>
      </w:r>
      <w:r>
        <w:rPr>
          <w:rFonts w:hint="eastAsia"/>
          <w:szCs w:val="23"/>
        </w:rPr>
        <w:t>如何应对失业者，特别是妇女、有儿童家庭、养恤金领取人、乡村人口、诸如罗姆人和</w:t>
      </w:r>
      <w:r>
        <w:rPr>
          <w:rFonts w:hint="eastAsia"/>
        </w:rPr>
        <w:t>克里米亚鞑靼人等少数民族以及其他</w:t>
      </w:r>
      <w:r>
        <w:rPr>
          <w:rFonts w:hint="eastAsia"/>
          <w:szCs w:val="23"/>
        </w:rPr>
        <w:t>处境不利和处于社会边缘的个人和群体的需要。</w:t>
      </w:r>
    </w:p>
    <w:p w:rsidR="00000000" w:rsidRDefault="00000000">
      <w:pPr>
        <w:ind w:firstLine="510"/>
        <w:rPr>
          <w:rFonts w:hint="eastAsia"/>
          <w:szCs w:val="23"/>
        </w:rPr>
      </w:pPr>
      <w:r>
        <w:rPr>
          <w:szCs w:val="23"/>
        </w:rPr>
        <w:t xml:space="preserve">19.  </w:t>
      </w:r>
      <w:r>
        <w:rPr>
          <w:rFonts w:hint="eastAsia"/>
          <w:szCs w:val="23"/>
        </w:rPr>
        <w:t>缔约国正在采取什么措施改善罗姆人非正规住区的基础设施和居住者的生活条件，怎样保护这些人，使他们在没有为其提供其他适足住房的情况下不被强迫驱逐？也请提供罗姆人获得社会住房方面的资料。</w:t>
      </w:r>
    </w:p>
    <w:p w:rsidR="00000000" w:rsidRDefault="00000000">
      <w:pPr>
        <w:spacing w:after="320"/>
        <w:ind w:firstLine="510"/>
        <w:rPr>
          <w:szCs w:val="23"/>
          <w:u w:val="single"/>
        </w:rPr>
      </w:pPr>
      <w:r>
        <w:rPr>
          <w:szCs w:val="23"/>
        </w:rPr>
        <w:t xml:space="preserve">20.  </w:t>
      </w:r>
      <w:r>
        <w:rPr>
          <w:rFonts w:hint="eastAsia"/>
        </w:rPr>
        <w:t>请提供资料说明，以前被驱逐的人，特别是克里米亚鞑靼人获得适当土地的可能性，包括他们传统居住的地区，他们被排斥在农用土地私有化进程的利益之外，并说明他们要求归还或赔偿以前被没收的财产的可能性</w:t>
      </w:r>
      <w:r>
        <w:rPr>
          <w:szCs w:val="23"/>
        </w:rPr>
        <w:t>(</w:t>
      </w:r>
      <w:r>
        <w:rPr>
          <w:rFonts w:hint="eastAsia"/>
          <w:szCs w:val="23"/>
        </w:rPr>
        <w:t>见报告第</w:t>
      </w:r>
      <w:r>
        <w:rPr>
          <w:szCs w:val="23"/>
        </w:rPr>
        <w:t>41-45</w:t>
      </w:r>
      <w:r>
        <w:rPr>
          <w:rFonts w:hint="eastAsia"/>
          <w:szCs w:val="23"/>
        </w:rPr>
        <w:t>段</w:t>
      </w:r>
      <w:r>
        <w:rPr>
          <w:szCs w:val="23"/>
        </w:rPr>
        <w:t>)</w:t>
      </w:r>
      <w:r>
        <w:rPr>
          <w:rFonts w:hint="eastAsia"/>
          <w:szCs w:val="23"/>
        </w:rPr>
        <w:t>。</w:t>
      </w:r>
    </w:p>
    <w:p w:rsidR="00000000" w:rsidRDefault="00000000">
      <w:pPr>
        <w:pStyle w:val="Heading3"/>
        <w:rPr>
          <w:szCs w:val="23"/>
          <w:u w:val="none"/>
        </w:rPr>
      </w:pPr>
      <w:r>
        <w:rPr>
          <w:rFonts w:hint="eastAsia"/>
          <w:u w:val="none"/>
        </w:rPr>
        <w:t>第十二条</w:t>
      </w:r>
      <w:r>
        <w:rPr>
          <w:rFonts w:hint="eastAsia"/>
          <w:spacing w:val="-50"/>
          <w:u w:val="none"/>
        </w:rPr>
        <w:t>―</w:t>
      </w:r>
      <w:r>
        <w:rPr>
          <w:rFonts w:hint="eastAsia"/>
          <w:u w:val="none"/>
        </w:rPr>
        <w:t>―享有最高标准身心健康权</w:t>
      </w:r>
    </w:p>
    <w:p w:rsidR="00000000" w:rsidRDefault="00000000">
      <w:pPr>
        <w:ind w:firstLine="510"/>
        <w:rPr>
          <w:szCs w:val="23"/>
        </w:rPr>
      </w:pPr>
      <w:r>
        <w:rPr>
          <w:szCs w:val="23"/>
        </w:rPr>
        <w:t xml:space="preserve">21.  </w:t>
      </w:r>
      <w:r>
        <w:rPr>
          <w:rFonts w:hint="eastAsia"/>
        </w:rPr>
        <w:t>请提供资料说明，为了执行</w:t>
      </w:r>
      <w:r>
        <w:rPr>
          <w:rFonts w:hint="eastAsia"/>
        </w:rPr>
        <w:t>2005</w:t>
      </w:r>
      <w:r>
        <w:rPr>
          <w:rFonts w:hint="eastAsia"/>
        </w:rPr>
        <w:t>年</w:t>
      </w:r>
      <w:r>
        <w:rPr>
          <w:rFonts w:hint="eastAsia"/>
        </w:rPr>
        <w:t>12</w:t>
      </w:r>
      <w:r>
        <w:rPr>
          <w:rFonts w:hint="eastAsia"/>
        </w:rPr>
        <w:t>月</w:t>
      </w:r>
      <w:r>
        <w:rPr>
          <w:rFonts w:hint="eastAsia"/>
        </w:rPr>
        <w:t>6</w:t>
      </w:r>
      <w:r>
        <w:rPr>
          <w:rFonts w:hint="eastAsia"/>
        </w:rPr>
        <w:t>日“关于改革公共卫生制度的紧急措施”的总统令采取了什么步骤，为了实行国家强制性社会医疗保险制度采取了何种措施。</w:t>
      </w:r>
    </w:p>
    <w:p w:rsidR="00000000" w:rsidRDefault="00000000">
      <w:pPr>
        <w:ind w:firstLine="510"/>
        <w:rPr>
          <w:szCs w:val="23"/>
        </w:rPr>
      </w:pPr>
      <w:r>
        <w:rPr>
          <w:szCs w:val="23"/>
        </w:rPr>
        <w:t xml:space="preserve">22.  </w:t>
      </w:r>
      <w:r>
        <w:rPr>
          <w:rFonts w:hint="eastAsia"/>
        </w:rPr>
        <w:t>请提供更多的资料说明，为了提高缔约国人民的预期寿命采取了什么措施，过去</w:t>
      </w:r>
      <w:r>
        <w:rPr>
          <w:rFonts w:hint="eastAsia"/>
        </w:rPr>
        <w:t>15</w:t>
      </w:r>
      <w:r>
        <w:rPr>
          <w:rFonts w:hint="eastAsia"/>
        </w:rPr>
        <w:t>年以来，由于营养不良、吸烟、滥用毒品和酗酒、自杀和事故等非传染性疾病造成预期寿命不断下降。</w:t>
      </w:r>
    </w:p>
    <w:p w:rsidR="00000000" w:rsidRDefault="00000000">
      <w:pPr>
        <w:ind w:firstLine="510"/>
        <w:rPr>
          <w:szCs w:val="23"/>
        </w:rPr>
      </w:pPr>
      <w:r>
        <w:rPr>
          <w:szCs w:val="23"/>
        </w:rPr>
        <w:t xml:space="preserve">23.  </w:t>
      </w:r>
      <w:r>
        <w:rPr>
          <w:rFonts w:hint="eastAsia"/>
        </w:rPr>
        <w:t>请提供资料说明，为了控制缔约国内艾滋病毒</w:t>
      </w:r>
      <w:r>
        <w:rPr>
          <w:rFonts w:hint="eastAsia"/>
        </w:rPr>
        <w:t>/</w:t>
      </w:r>
      <w:r>
        <w:rPr>
          <w:rFonts w:hint="eastAsia"/>
        </w:rPr>
        <w:t>艾滋病和肺结核流行病迅速增长采取了哪些措施</w:t>
      </w:r>
      <w:r>
        <w:rPr>
          <w:szCs w:val="23"/>
        </w:rPr>
        <w:t>(</w:t>
      </w:r>
      <w:r>
        <w:rPr>
          <w:rFonts w:hint="eastAsia"/>
          <w:szCs w:val="23"/>
        </w:rPr>
        <w:t>见报告第</w:t>
      </w:r>
      <w:r>
        <w:rPr>
          <w:szCs w:val="23"/>
        </w:rPr>
        <w:t>407-422</w:t>
      </w:r>
      <w:r>
        <w:rPr>
          <w:rFonts w:hint="eastAsia"/>
          <w:szCs w:val="23"/>
        </w:rPr>
        <w:t>段</w:t>
      </w:r>
      <w:r>
        <w:rPr>
          <w:szCs w:val="23"/>
        </w:rPr>
        <w:t>)</w:t>
      </w:r>
      <w:r>
        <w:rPr>
          <w:rFonts w:hint="eastAsia"/>
          <w:szCs w:val="23"/>
        </w:rPr>
        <w:t>。正在采取什么措施防止对</w:t>
      </w:r>
      <w:r>
        <w:rPr>
          <w:rFonts w:hint="eastAsia"/>
        </w:rPr>
        <w:t>艾滋病毒</w:t>
      </w:r>
      <w:r>
        <w:rPr>
          <w:rFonts w:hint="eastAsia"/>
        </w:rPr>
        <w:t>/</w:t>
      </w:r>
      <w:r>
        <w:rPr>
          <w:rFonts w:hint="eastAsia"/>
        </w:rPr>
        <w:t>艾滋病患者和高危病患的歧视和保障他们的隐私以及医疗机会</w:t>
      </w:r>
      <w:r>
        <w:rPr>
          <w:szCs w:val="23"/>
        </w:rPr>
        <w:t>？</w:t>
      </w:r>
    </w:p>
    <w:p w:rsidR="00000000" w:rsidRDefault="00000000">
      <w:pPr>
        <w:spacing w:after="240"/>
        <w:ind w:firstLine="510"/>
        <w:rPr>
          <w:szCs w:val="23"/>
        </w:rPr>
      </w:pPr>
      <w:r>
        <w:rPr>
          <w:snapToGrid/>
          <w:szCs w:val="23"/>
        </w:rPr>
        <w:t xml:space="preserve">24.  </w:t>
      </w:r>
      <w:r>
        <w:rPr>
          <w:rFonts w:hint="eastAsia"/>
          <w:snapToGrid/>
          <w:szCs w:val="23"/>
        </w:rPr>
        <w:t>缔约国采取了哪些具体措施增强特别是青少年获得服务和提高对包括使用</w:t>
      </w:r>
      <w:r>
        <w:rPr>
          <w:rFonts w:hint="eastAsia"/>
          <w:szCs w:val="23"/>
        </w:rPr>
        <w:t>避孕方法在内的性健康和生殖保健的认识和进一步降低人工流产比率</w:t>
      </w:r>
      <w:r>
        <w:rPr>
          <w:szCs w:val="23"/>
        </w:rPr>
        <w:t>(</w:t>
      </w:r>
      <w:r>
        <w:rPr>
          <w:rFonts w:hint="eastAsia"/>
          <w:szCs w:val="23"/>
        </w:rPr>
        <w:t>见报告第</w:t>
      </w:r>
      <w:r>
        <w:rPr>
          <w:szCs w:val="23"/>
        </w:rPr>
        <w:t>387</w:t>
      </w:r>
      <w:r>
        <w:rPr>
          <w:rFonts w:hint="eastAsia"/>
          <w:szCs w:val="23"/>
        </w:rPr>
        <w:t>段</w:t>
      </w:r>
      <w:r>
        <w:rPr>
          <w:szCs w:val="23"/>
        </w:rPr>
        <w:t>)</w:t>
      </w:r>
      <w:r>
        <w:rPr>
          <w:szCs w:val="23"/>
        </w:rPr>
        <w:t>？</w:t>
      </w:r>
    </w:p>
    <w:p w:rsidR="00000000" w:rsidRDefault="00000000">
      <w:pPr>
        <w:pStyle w:val="Heading3"/>
        <w:rPr>
          <w:szCs w:val="23"/>
          <w:u w:val="none"/>
        </w:rPr>
      </w:pPr>
      <w:r>
        <w:rPr>
          <w:rFonts w:hint="eastAsia"/>
          <w:u w:val="none"/>
        </w:rPr>
        <w:t>第十三条和第十四条</w:t>
      </w:r>
      <w:r>
        <w:rPr>
          <w:rFonts w:hint="eastAsia"/>
          <w:spacing w:val="-50"/>
          <w:u w:val="none"/>
        </w:rPr>
        <w:t>―</w:t>
      </w:r>
      <w:r>
        <w:rPr>
          <w:rFonts w:hint="eastAsia"/>
          <w:u w:val="none"/>
        </w:rPr>
        <w:t>―教育权</w:t>
      </w:r>
    </w:p>
    <w:p w:rsidR="00000000" w:rsidRDefault="00000000">
      <w:pPr>
        <w:spacing w:after="240"/>
        <w:ind w:firstLine="510"/>
        <w:rPr>
          <w:szCs w:val="23"/>
        </w:rPr>
      </w:pPr>
      <w:r>
        <w:rPr>
          <w:snapToGrid/>
          <w:szCs w:val="23"/>
        </w:rPr>
        <w:t xml:space="preserve">25.  </w:t>
      </w:r>
      <w:r>
        <w:rPr>
          <w:rFonts w:hint="eastAsia"/>
          <w:snapToGrid/>
          <w:szCs w:val="23"/>
        </w:rPr>
        <w:t>缔约国还在采取哪些特别措施确保乡村和偏远地区儿童、贫困家庭儿</w:t>
      </w:r>
      <w:r>
        <w:rPr>
          <w:rFonts w:hint="eastAsia"/>
          <w:szCs w:val="23"/>
        </w:rPr>
        <w:t>童、罗姆族和其他少数族裔儿童以及难民儿童都能平等获得学前教育和高质量的教育、特别是中等教育</w:t>
      </w:r>
      <w:r>
        <w:rPr>
          <w:szCs w:val="23"/>
        </w:rPr>
        <w:t>(</w:t>
      </w:r>
      <w:r>
        <w:rPr>
          <w:rFonts w:hint="eastAsia"/>
          <w:szCs w:val="23"/>
        </w:rPr>
        <w:t>见报告第</w:t>
      </w:r>
      <w:r>
        <w:rPr>
          <w:szCs w:val="23"/>
        </w:rPr>
        <w:t>473</w:t>
      </w:r>
      <w:r>
        <w:rPr>
          <w:rFonts w:hint="eastAsia"/>
          <w:szCs w:val="23"/>
        </w:rPr>
        <w:t>和</w:t>
      </w:r>
      <w:r>
        <w:rPr>
          <w:szCs w:val="23"/>
        </w:rPr>
        <w:t>483-487</w:t>
      </w:r>
      <w:r>
        <w:rPr>
          <w:rFonts w:hint="eastAsia"/>
          <w:szCs w:val="23"/>
        </w:rPr>
        <w:t>段</w:t>
      </w:r>
      <w:r>
        <w:rPr>
          <w:szCs w:val="23"/>
        </w:rPr>
        <w:t>)</w:t>
      </w:r>
      <w:r>
        <w:rPr>
          <w:szCs w:val="23"/>
        </w:rPr>
        <w:t>？</w:t>
      </w:r>
    </w:p>
    <w:p w:rsidR="00000000" w:rsidRDefault="00000000">
      <w:pPr>
        <w:pStyle w:val="Heading3"/>
        <w:rPr>
          <w:szCs w:val="23"/>
          <w:u w:val="none"/>
        </w:rPr>
      </w:pPr>
      <w:r>
        <w:rPr>
          <w:rFonts w:hint="eastAsia"/>
          <w:u w:val="none"/>
        </w:rPr>
        <w:t>第十五条</w:t>
      </w:r>
      <w:r>
        <w:rPr>
          <w:rFonts w:hint="eastAsia"/>
          <w:spacing w:val="-50"/>
          <w:u w:val="none"/>
        </w:rPr>
        <w:t>―</w:t>
      </w:r>
      <w:r>
        <w:rPr>
          <w:rFonts w:hint="eastAsia"/>
          <w:u w:val="none"/>
        </w:rPr>
        <w:t>―参与文化生活的权利</w:t>
      </w:r>
    </w:p>
    <w:p w:rsidR="00000000" w:rsidRDefault="00000000">
      <w:pPr>
        <w:ind w:firstLine="510"/>
        <w:rPr>
          <w:rFonts w:hint="eastAsia"/>
          <w:szCs w:val="23"/>
        </w:rPr>
      </w:pPr>
      <w:r>
        <w:rPr>
          <w:snapToGrid/>
          <w:szCs w:val="23"/>
        </w:rPr>
        <w:t xml:space="preserve">26.  </w:t>
      </w:r>
      <w:r>
        <w:rPr>
          <w:rFonts w:hint="eastAsia"/>
        </w:rPr>
        <w:t>请提供更多资料，说明</w:t>
      </w:r>
      <w:r>
        <w:rPr>
          <w:rFonts w:hint="eastAsia"/>
        </w:rPr>
        <w:t>2003</w:t>
      </w:r>
      <w:r>
        <w:rPr>
          <w:rFonts w:hint="eastAsia"/>
        </w:rPr>
        <w:t>年通过的乌克兰罗姆人社会文化振兴方案条款和目标以及所取得的成果</w:t>
      </w:r>
      <w:r>
        <w:rPr>
          <w:szCs w:val="23"/>
        </w:rPr>
        <w:t>(</w:t>
      </w:r>
      <w:r>
        <w:rPr>
          <w:rFonts w:hint="eastAsia"/>
          <w:szCs w:val="23"/>
        </w:rPr>
        <w:t>见报告第</w:t>
      </w:r>
      <w:r>
        <w:rPr>
          <w:szCs w:val="23"/>
        </w:rPr>
        <w:t>50</w:t>
      </w:r>
      <w:r>
        <w:rPr>
          <w:rFonts w:hint="eastAsia"/>
          <w:szCs w:val="23"/>
        </w:rPr>
        <w:t>段</w:t>
      </w:r>
      <w:r>
        <w:rPr>
          <w:szCs w:val="23"/>
        </w:rPr>
        <w:t>)</w:t>
      </w:r>
      <w:r>
        <w:rPr>
          <w:rFonts w:hint="eastAsia"/>
          <w:szCs w:val="23"/>
        </w:rPr>
        <w:t>。</w:t>
      </w:r>
    </w:p>
    <w:p w:rsidR="00000000" w:rsidRDefault="00000000">
      <w:pPr>
        <w:ind w:firstLine="510"/>
        <w:rPr>
          <w:rFonts w:hint="eastAsia"/>
        </w:rPr>
      </w:pPr>
      <w:r>
        <w:rPr>
          <w:szCs w:val="23"/>
        </w:rPr>
        <w:t xml:space="preserve">27.  </w:t>
      </w:r>
      <w:r>
        <w:rPr>
          <w:rFonts w:hint="eastAsia"/>
        </w:rPr>
        <w:t>请提供资料说明保护、维护和增进乌克兰各少数民族文化遗产的情况。</w:t>
      </w:r>
    </w:p>
    <w:p w:rsidR="00000000" w:rsidRDefault="00000000">
      <w:pPr>
        <w:ind w:firstLine="510"/>
        <w:rPr>
          <w:rFonts w:hint="eastAsia"/>
        </w:rPr>
      </w:pPr>
    </w:p>
    <w:p w:rsidR="00000000" w:rsidRDefault="00000000">
      <w:pPr>
        <w:ind w:firstLine="510"/>
      </w:pPr>
    </w:p>
    <w:p w:rsidR="00000000" w:rsidRDefault="00000000">
      <w:pPr>
        <w:ind w:firstLine="510"/>
      </w:pPr>
    </w:p>
    <w:p w:rsidR="00000000" w:rsidRDefault="00000000">
      <w:pPr>
        <w:jc w:val="center"/>
      </w:pPr>
      <w:r>
        <w:t>--  --  --  --  --</w:t>
      </w:r>
    </w:p>
    <w:p w:rsidR="00000000" w:rsidRDefault="00000000">
      <w:pPr>
        <w:ind w:firstLine="510"/>
      </w:pPr>
    </w:p>
    <w:p w:rsidR="00000000" w:rsidRDefault="00000000"/>
    <w:sectPr w:rsidR="00000000">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w:t>
          </w:r>
          <w:r>
            <w:rPr>
              <w:rFonts w:hint="eastAsia"/>
              <w:lang w:eastAsia="zh-CN"/>
            </w:rPr>
            <w:t>41114</w:t>
          </w:r>
          <w:r>
            <w:t xml:space="preserve"> (C)</w:t>
          </w:r>
        </w:p>
      </w:tc>
      <w:tc>
        <w:tcPr>
          <w:tcW w:w="1050" w:type="dxa"/>
        </w:tcPr>
        <w:p w:rsidR="00000000" w:rsidRDefault="00000000">
          <w:pPr>
            <w:pStyle w:val="Footer"/>
            <w:rPr>
              <w:rFonts w:hint="eastAsia"/>
              <w:lang w:eastAsia="zh-CN"/>
            </w:rPr>
          </w:pPr>
          <w:r>
            <w:rPr>
              <w:rFonts w:hint="eastAsia"/>
              <w:lang w:eastAsia="zh-CN"/>
            </w:rPr>
            <w:t>190407</w:t>
          </w:r>
        </w:p>
      </w:tc>
      <w:tc>
        <w:tcPr>
          <w:tcW w:w="6061" w:type="dxa"/>
        </w:tcPr>
        <w:p w:rsidR="00000000" w:rsidRDefault="00000000">
          <w:pPr>
            <w:pStyle w:val="Footer"/>
            <w:rPr>
              <w:rFonts w:hint="eastAsia"/>
              <w:lang w:eastAsia="zh-CN"/>
            </w:rPr>
          </w:pPr>
          <w:r>
            <w:rPr>
              <w:rFonts w:hint="eastAsia"/>
              <w:lang w:eastAsia="zh-CN"/>
            </w:rPr>
            <w:t>190407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w:t>
    </w:r>
    <w:r>
      <w:rPr>
        <w:rFonts w:hint="eastAsia"/>
        <w:lang w:val="fr-CH" w:eastAsia="zh-CN"/>
      </w:rPr>
      <w:t>1</w:t>
    </w:r>
    <w:r>
      <w:rPr>
        <w:lang w:val="fr-CH"/>
      </w:rPr>
      <w:t>2/</w:t>
    </w:r>
    <w:r>
      <w:rPr>
        <w:rFonts w:hint="eastAsia"/>
        <w:lang w:val="fr-CH" w:eastAsia="zh-CN"/>
      </w:rPr>
      <w:t>UKR/Q/5</w:t>
    </w:r>
  </w:p>
  <w:p w:rsidR="00000000" w:rsidRDefault="00000000">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6634"/>
        <w:tab w:val="left" w:pos="6930"/>
      </w:tabs>
      <w:rPr>
        <w:lang w:val="fr-CH"/>
      </w:rPr>
    </w:pPr>
    <w:r>
      <w:rPr>
        <w:lang w:val="fr-CH"/>
      </w:rPr>
      <w:tab/>
    </w:r>
    <w:r>
      <w:rPr>
        <w:lang w:val="fr-CH"/>
      </w:rPr>
      <w:tab/>
    </w:r>
    <w:r>
      <w:rPr>
        <w:lang w:val="fr-CH"/>
      </w:rPr>
      <w:tab/>
    </w:r>
    <w:r>
      <w:rPr>
        <w:lang w:val="fr-CH"/>
      </w:rPr>
      <w:tab/>
      <w:t>E/C.</w:t>
    </w:r>
    <w:r>
      <w:rPr>
        <w:rFonts w:hint="eastAsia"/>
        <w:lang w:val="fr-CH" w:eastAsia="zh-CN"/>
      </w:rPr>
      <w:t>1</w:t>
    </w:r>
    <w:r>
      <w:rPr>
        <w:lang w:val="fr-CH"/>
      </w:rPr>
      <w:t>2/</w:t>
    </w:r>
    <w:r>
      <w:rPr>
        <w:rFonts w:hint="eastAsia"/>
        <w:lang w:val="fr-CH" w:eastAsia="zh-CN"/>
      </w:rPr>
      <w:t>UKR/Q/5</w:t>
    </w:r>
  </w:p>
  <w:p w:rsidR="00000000" w:rsidRDefault="00000000">
    <w:pPr>
      <w:pStyle w:val="Header"/>
      <w:tabs>
        <w:tab w:val="clear" w:pos="6634"/>
      </w:tabs>
      <w:rPr>
        <w:rStyle w:val="PageNumber"/>
      </w:rPr>
    </w:pPr>
    <w:r>
      <w:rPr>
        <w:lang w:val="fr-CH"/>
      </w:rPr>
      <w:tab/>
    </w:r>
    <w:r>
      <w:rPr>
        <w:lang w:val="fr-CH"/>
      </w:rPr>
      <w:tab/>
    </w:r>
    <w:r>
      <w:rPr>
        <w:lang w:val="fr-CH"/>
      </w:rPr>
      <w:tab/>
      <w:t>page</w:t>
    </w: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200"/>
      <w:gridCol w:w="2639"/>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yAlign="inline"/>
            <w:rPr>
              <w:rFonts w:ascii="Time New Roman" w:hAnsi="Time New Roman"/>
              <w:b/>
            </w:rPr>
          </w:pPr>
          <w:r>
            <w:rPr>
              <w:rFonts w:hint="eastAsia"/>
            </w:rPr>
            <w:t>联合国</w:t>
          </w:r>
        </w:p>
      </w:tc>
      <w:tc>
        <w:tcPr>
          <w:tcW w:w="5200" w:type="dxa"/>
          <w:tcBorders>
            <w:top w:val="nil"/>
            <w:left w:val="nil"/>
            <w:bottom w:val="single" w:sz="4" w:space="0" w:color="auto"/>
            <w:right w:val="nil"/>
          </w:tcBorders>
        </w:tcPr>
        <w:p w:rsidR="00000000" w:rsidRDefault="00000000">
          <w:pPr>
            <w:pStyle w:val="1L"/>
            <w:framePr w:w="0" w:hRule="auto" w:hSpace="0" w:wrap="auto" w:vAnchor="margin" w:hAnchor="text" w:yAlign="inline"/>
          </w:pPr>
        </w:p>
      </w:tc>
      <w:tc>
        <w:tcPr>
          <w:tcW w:w="2639"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220311" r:id="rId2"/>
            </w:object>
          </w:r>
        </w:p>
      </w:tc>
      <w:tc>
        <w:tcPr>
          <w:tcW w:w="5200" w:type="dxa"/>
          <w:tcBorders>
            <w:top w:val="single" w:sz="4" w:space="0" w:color="auto"/>
            <w:left w:val="nil"/>
            <w:bottom w:val="single" w:sz="36" w:space="0" w:color="auto"/>
            <w:right w:val="nil"/>
          </w:tcBorders>
        </w:tcPr>
        <w:p w:rsidR="00000000" w:rsidRDefault="00000000">
          <w:pPr>
            <w:pStyle w:val="1m1"/>
            <w:spacing w:before="360"/>
            <w:rPr>
              <w:spacing w:val="20"/>
            </w:rPr>
          </w:pPr>
          <w:r>
            <w:rPr>
              <w:rFonts w:hint="eastAsia"/>
              <w:spacing w:val="20"/>
            </w:rPr>
            <w:t>经济及社会理事会</w:t>
          </w:r>
        </w:p>
      </w:tc>
      <w:tc>
        <w:tcPr>
          <w:tcW w:w="2639"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rPr>
              <w:rFonts w:hint="eastAsia"/>
              <w:lang w:eastAsia="zh-CN"/>
            </w:rPr>
          </w:pPr>
          <w:r>
            <w:rPr>
              <w:rFonts w:hint="eastAsia"/>
              <w:lang w:eastAsia="zh-CN"/>
            </w:rPr>
            <w:t>GENERAL</w:t>
          </w:r>
        </w:p>
        <w:p w:rsidR="00000000" w:rsidRDefault="00000000">
          <w:pPr>
            <w:pStyle w:val="Header"/>
            <w:rPr>
              <w:sz w:val="20"/>
            </w:rPr>
          </w:pPr>
        </w:p>
        <w:p w:rsidR="00000000" w:rsidRDefault="00000000">
          <w:pPr>
            <w:pStyle w:val="Header"/>
            <w:rPr>
              <w:lang w:val="fr-CH"/>
            </w:rPr>
          </w:pPr>
          <w:r>
            <w:rPr>
              <w:lang w:val="fr-CH"/>
            </w:rPr>
            <w:t>E/C.</w:t>
          </w:r>
          <w:r>
            <w:rPr>
              <w:rFonts w:hint="eastAsia"/>
              <w:lang w:val="fr-CH" w:eastAsia="zh-CN"/>
            </w:rPr>
            <w:t>1</w:t>
          </w:r>
          <w:r>
            <w:rPr>
              <w:lang w:val="fr-CH"/>
            </w:rPr>
            <w:t>2/</w:t>
          </w:r>
          <w:r>
            <w:rPr>
              <w:rFonts w:hint="eastAsia"/>
              <w:lang w:val="fr-CH" w:eastAsia="zh-CN"/>
            </w:rPr>
            <w:t>UKR/Q/5</w:t>
          </w:r>
        </w:p>
        <w:p w:rsidR="00000000" w:rsidRDefault="00000000">
          <w:pPr>
            <w:pStyle w:val="Header"/>
          </w:pPr>
          <w:r>
            <w:rPr>
              <w:rFonts w:hint="eastAsia"/>
              <w:lang w:val="fr-CH" w:eastAsia="zh-CN"/>
            </w:rPr>
            <w:t>11 A</w:t>
          </w:r>
          <w:r>
            <w:rPr>
              <w:lang w:val="en-US" w:eastAsia="zh-CN"/>
            </w:rPr>
            <w:t>pril</w:t>
          </w:r>
          <w:r>
            <w:rPr>
              <w:lang w:val="fr-CH"/>
            </w:rPr>
            <w:t xml:space="preserve"> </w:t>
          </w:r>
          <w:r>
            <w:t>2007</w:t>
          </w:r>
        </w:p>
        <w:p w:rsidR="00000000" w:rsidRDefault="00000000">
          <w:pPr>
            <w:pStyle w:val="Header"/>
            <w:rPr>
              <w:sz w:val="20"/>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000000" w:rsidRDefault="00000000">
          <w:pPr>
            <w:rPr>
              <w:sz w:val="16"/>
            </w:rPr>
          </w:pPr>
        </w:p>
      </w:tc>
      <w:tc>
        <w:tcPr>
          <w:tcW w:w="5200"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2639" w:type="dxa"/>
          <w:tcBorders>
            <w:top w:val="single" w:sz="36"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4"/>
  </w:num>
  <w:num w:numId="2">
    <w:abstractNumId w:val="25"/>
  </w:num>
  <w:num w:numId="3">
    <w:abstractNumId w:val="46"/>
  </w:num>
  <w:num w:numId="4">
    <w:abstractNumId w:val="29"/>
  </w:num>
  <w:num w:numId="5">
    <w:abstractNumId w:val="73"/>
  </w:num>
  <w:num w:numId="6">
    <w:abstractNumId w:val="0"/>
  </w:num>
  <w:num w:numId="7">
    <w:abstractNumId w:val="39"/>
  </w:num>
  <w:num w:numId="8">
    <w:abstractNumId w:val="22"/>
  </w:num>
  <w:num w:numId="9">
    <w:abstractNumId w:val="8"/>
  </w:num>
  <w:num w:numId="10">
    <w:abstractNumId w:val="13"/>
  </w:num>
  <w:num w:numId="11">
    <w:abstractNumId w:val="67"/>
  </w:num>
  <w:num w:numId="12">
    <w:abstractNumId w:val="16"/>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5"/>
  </w:num>
  <w:num w:numId="32">
    <w:abstractNumId w:val="46"/>
  </w:num>
  <w:num w:numId="33">
    <w:abstractNumId w:val="29"/>
  </w:num>
  <w:num w:numId="34">
    <w:abstractNumId w:val="70"/>
  </w:num>
  <w:num w:numId="35">
    <w:abstractNumId w:val="23"/>
  </w:num>
  <w:num w:numId="36">
    <w:abstractNumId w:val="62"/>
  </w:num>
  <w:num w:numId="37">
    <w:abstractNumId w:val="61"/>
  </w:num>
  <w:num w:numId="38">
    <w:abstractNumId w:val="30"/>
  </w:num>
  <w:num w:numId="39">
    <w:abstractNumId w:val="50"/>
  </w:num>
  <w:num w:numId="40">
    <w:abstractNumId w:val="54"/>
  </w:num>
  <w:num w:numId="41">
    <w:abstractNumId w:val="68"/>
  </w:num>
  <w:num w:numId="42">
    <w:abstractNumId w:val="5"/>
  </w:num>
  <w:num w:numId="43">
    <w:abstractNumId w:val="27"/>
  </w:num>
  <w:num w:numId="44">
    <w:abstractNumId w:val="29"/>
  </w:num>
  <w:num w:numId="45">
    <w:abstractNumId w:val="46"/>
  </w:num>
  <w:num w:numId="46">
    <w:abstractNumId w:val="29"/>
  </w:num>
  <w:num w:numId="47">
    <w:abstractNumId w:val="29"/>
  </w:num>
  <w:num w:numId="48">
    <w:abstractNumId w:val="46"/>
  </w:num>
  <w:num w:numId="49">
    <w:abstractNumId w:val="46"/>
  </w:num>
  <w:num w:numId="50">
    <w:abstractNumId w:val="29"/>
  </w:num>
  <w:num w:numId="51">
    <w:abstractNumId w:val="46"/>
  </w:num>
  <w:num w:numId="52">
    <w:abstractNumId w:val="29"/>
  </w:num>
  <w:num w:numId="53">
    <w:abstractNumId w:val="29"/>
  </w:num>
  <w:num w:numId="54">
    <w:abstractNumId w:val="46"/>
  </w:num>
  <w:num w:numId="55">
    <w:abstractNumId w:val="29"/>
  </w:num>
  <w:num w:numId="56">
    <w:abstractNumId w:val="46"/>
  </w:num>
  <w:num w:numId="57">
    <w:abstractNumId w:val="29"/>
  </w:num>
  <w:num w:numId="58">
    <w:abstractNumId w:val="46"/>
  </w:num>
  <w:num w:numId="59">
    <w:abstractNumId w:val="76"/>
  </w:num>
  <w:num w:numId="60">
    <w:abstractNumId w:val="53"/>
  </w:num>
  <w:num w:numId="61">
    <w:abstractNumId w:val="64"/>
  </w:num>
  <w:num w:numId="62">
    <w:abstractNumId w:val="21"/>
  </w:num>
  <w:num w:numId="63">
    <w:abstractNumId w:val="28"/>
  </w:num>
  <w:num w:numId="64">
    <w:abstractNumId w:val="12"/>
  </w:num>
  <w:num w:numId="65">
    <w:abstractNumId w:val="58"/>
  </w:num>
  <w:num w:numId="66">
    <w:abstractNumId w:val="51"/>
  </w:num>
  <w:num w:numId="67">
    <w:abstractNumId w:val="33"/>
  </w:num>
  <w:num w:numId="68">
    <w:abstractNumId w:val="14"/>
  </w:num>
  <w:num w:numId="69">
    <w:abstractNumId w:val="52"/>
  </w:num>
  <w:num w:numId="70">
    <w:abstractNumId w:val="11"/>
  </w:num>
  <w:num w:numId="71">
    <w:abstractNumId w:val="32"/>
  </w:num>
  <w:num w:numId="72">
    <w:abstractNumId w:val="41"/>
  </w:num>
  <w:num w:numId="73">
    <w:abstractNumId w:val="74"/>
  </w:num>
  <w:num w:numId="74">
    <w:abstractNumId w:val="48"/>
  </w:num>
  <w:num w:numId="75">
    <w:abstractNumId w:val="34"/>
  </w:num>
  <w:num w:numId="76">
    <w:abstractNumId w:val="26"/>
  </w:num>
  <w:num w:numId="77">
    <w:abstractNumId w:val="3"/>
  </w:num>
  <w:num w:numId="78">
    <w:abstractNumId w:val="3"/>
  </w:num>
  <w:num w:numId="79">
    <w:abstractNumId w:val="29"/>
  </w:num>
  <w:num w:numId="80">
    <w:abstractNumId w:val="3"/>
  </w:num>
  <w:num w:numId="81">
    <w:abstractNumId w:val="46"/>
  </w:num>
  <w:num w:numId="82">
    <w:abstractNumId w:val="29"/>
  </w:num>
  <w:num w:numId="83">
    <w:abstractNumId w:val="42"/>
  </w:num>
  <w:num w:numId="84">
    <w:abstractNumId w:val="18"/>
  </w:num>
  <w:num w:numId="85">
    <w:abstractNumId w:val="60"/>
  </w:num>
  <w:num w:numId="86">
    <w:abstractNumId w:val="59"/>
  </w:num>
  <w:num w:numId="87">
    <w:abstractNumId w:val="2"/>
  </w:num>
  <w:num w:numId="88">
    <w:abstractNumId w:val="44"/>
  </w:num>
  <w:num w:numId="89">
    <w:abstractNumId w:val="17"/>
  </w:num>
  <w:num w:numId="90">
    <w:abstractNumId w:val="40"/>
  </w:num>
  <w:num w:numId="91">
    <w:abstractNumId w:val="9"/>
  </w:num>
  <w:num w:numId="92">
    <w:abstractNumId w:val="56"/>
  </w:num>
  <w:num w:numId="93">
    <w:abstractNumId w:val="37"/>
  </w:num>
  <w:num w:numId="94">
    <w:abstractNumId w:val="69"/>
  </w:num>
  <w:num w:numId="95">
    <w:abstractNumId w:val="65"/>
  </w:num>
  <w:num w:numId="96">
    <w:abstractNumId w:val="19"/>
  </w:num>
  <w:num w:numId="97">
    <w:abstractNumId w:val="35"/>
  </w:num>
  <w:num w:numId="98">
    <w:abstractNumId w:val="36"/>
  </w:num>
  <w:num w:numId="99">
    <w:abstractNumId w:val="20"/>
  </w:num>
  <w:num w:numId="100">
    <w:abstractNumId w:val="72"/>
  </w:num>
  <w:num w:numId="101">
    <w:abstractNumId w:val="72"/>
  </w:num>
  <w:num w:numId="102">
    <w:abstractNumId w:val="20"/>
  </w:num>
  <w:num w:numId="103">
    <w:abstractNumId w:val="20"/>
  </w:num>
  <w:num w:numId="104">
    <w:abstractNumId w:val="72"/>
  </w:num>
  <w:num w:numId="105">
    <w:abstractNumId w:val="20"/>
  </w:num>
  <w:num w:numId="1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402</Words>
  <Characters>2295</Characters>
  <Application>Microsoft Office Word</Application>
  <DocSecurity>4</DocSecurity>
  <Lines>19</Lines>
  <Paragraphs>4</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2818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dc:creator>
  <cp:keywords/>
  <dc:description/>
  <cp:lastModifiedBy>TIAN</cp:lastModifiedBy>
  <cp:revision>2</cp:revision>
  <cp:lastPrinted>2007-04-19T14:54:00Z</cp:lastPrinted>
  <dcterms:created xsi:type="dcterms:W3CDTF">2007-04-19T14:58:00Z</dcterms:created>
  <dcterms:modified xsi:type="dcterms:W3CDTF">2007-04-19T14:58:00Z</dcterms:modified>
</cp:coreProperties>
</file>