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9E7" w:rsidRDefault="00EF59E7" w:rsidP="00EF59E7">
      <w:pPr>
        <w:spacing w:line="60" w:lineRule="exact"/>
        <w:rPr>
          <w:sz w:val="6"/>
        </w:rPr>
        <w:sectPr w:rsidR="00EF59E7" w:rsidSect="00EF59E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EF59E7" w:rsidRDefault="00EF59E7" w:rsidP="00EF59E7">
      <w:pPr>
        <w:spacing w:line="60" w:lineRule="exact"/>
        <w:rPr>
          <w:sz w:val="6"/>
        </w:rPr>
      </w:pPr>
    </w:p>
    <w:p w:rsidR="002547C1" w:rsidRDefault="002547C1" w:rsidP="002547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2547C1" w:rsidRPr="000E6C17" w:rsidRDefault="002547C1" w:rsidP="002547C1">
      <w:pPr>
        <w:pStyle w:val="SingleTxt"/>
        <w:spacing w:after="60"/>
        <w:ind w:left="0"/>
        <w:rPr>
          <w:rFonts w:ascii="SimHei" w:eastAsia="SimHei" w:hint="eastAsia"/>
          <w:color w:val="FF0000"/>
        </w:rPr>
      </w:pPr>
      <w:r w:rsidRPr="000E6C17">
        <w:rPr>
          <w:rFonts w:ascii="SimHei" w:eastAsia="SimHei" w:hint="eastAsia"/>
          <w:color w:val="FF0000"/>
        </w:rPr>
        <w:t>第三十八届会议</w:t>
      </w:r>
    </w:p>
    <w:p w:rsidR="002547C1" w:rsidRDefault="002547C1" w:rsidP="002547C1">
      <w:pPr>
        <w:pStyle w:val="SingleTxt"/>
        <w:ind w:left="0"/>
        <w:rPr>
          <w:rFonts w:hint="eastAsia"/>
        </w:rPr>
      </w:pPr>
      <w:r>
        <w:rPr>
          <w:rFonts w:hint="eastAsia"/>
        </w:rPr>
        <w:t>2007年5月14日至6月1日</w:t>
      </w:r>
    </w:p>
    <w:p w:rsidR="002547C1" w:rsidRPr="000E6C17" w:rsidRDefault="002547C1" w:rsidP="002547C1">
      <w:pPr>
        <w:pStyle w:val="SingleTxt"/>
        <w:spacing w:after="0" w:line="120" w:lineRule="exact"/>
        <w:rPr>
          <w:rFonts w:hint="eastAsia"/>
          <w:sz w:val="10"/>
        </w:rPr>
      </w:pPr>
    </w:p>
    <w:p w:rsidR="002547C1" w:rsidRPr="000E6C17" w:rsidRDefault="002547C1" w:rsidP="002547C1">
      <w:pPr>
        <w:pStyle w:val="SingleTxt"/>
        <w:spacing w:after="0" w:line="120" w:lineRule="exact"/>
        <w:rPr>
          <w:rFonts w:hint="eastAsia"/>
          <w:sz w:val="10"/>
        </w:rPr>
      </w:pPr>
    </w:p>
    <w:p w:rsidR="002547C1" w:rsidRDefault="002547C1" w:rsidP="002547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消除对妇女歧视委员会的结论意见：毛里塔尼亚</w:t>
      </w:r>
    </w:p>
    <w:p w:rsidR="002547C1" w:rsidRPr="000E6C17" w:rsidRDefault="002547C1" w:rsidP="002547C1">
      <w:pPr>
        <w:pStyle w:val="SingleTxt"/>
        <w:spacing w:after="0" w:line="120" w:lineRule="exact"/>
        <w:rPr>
          <w:rFonts w:hint="eastAsia"/>
          <w:sz w:val="10"/>
        </w:rPr>
      </w:pPr>
    </w:p>
    <w:p w:rsidR="002547C1" w:rsidRPr="000E6C17" w:rsidRDefault="002547C1" w:rsidP="002547C1">
      <w:pPr>
        <w:pStyle w:val="SingleTxt"/>
        <w:spacing w:after="0" w:line="120" w:lineRule="exact"/>
        <w:rPr>
          <w:rFonts w:hint="eastAsia"/>
          <w:sz w:val="10"/>
        </w:rPr>
      </w:pPr>
    </w:p>
    <w:p w:rsidR="002547C1" w:rsidRDefault="002547C1" w:rsidP="002547C1">
      <w:pPr>
        <w:pStyle w:val="SingleTxt"/>
        <w:spacing w:line="332" w:lineRule="exact"/>
        <w:rPr>
          <w:rFonts w:hint="eastAsia"/>
        </w:rPr>
      </w:pPr>
      <w:r>
        <w:rPr>
          <w:rFonts w:hint="eastAsia"/>
        </w:rPr>
        <w:t>1.</w:t>
      </w:r>
      <w:r>
        <w:rPr>
          <w:rFonts w:hint="eastAsia"/>
        </w:rPr>
        <w:tab/>
        <w:t>委员会在2007年5月25日第789和790次会议上审议了毛里塔尼亚初次报告（CEDAW/C/MRT/1）（见CEDAW/C/SR.789和790）。委员会的议题和问题清单载于CEDAW/C/MRT/Q/1号文件，毛里塔尼亚的答复载于CEDAW/C/MRT/Q/1/Add.1号文件。</w:t>
      </w:r>
    </w:p>
    <w:p w:rsidR="002547C1" w:rsidRPr="00EE22A6" w:rsidRDefault="002547C1" w:rsidP="002547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2534" w:right="1260" w:hanging="1267"/>
        <w:rPr>
          <w:rFonts w:hint="eastAsia"/>
        </w:rPr>
      </w:pPr>
      <w:r w:rsidRPr="00EE22A6">
        <w:rPr>
          <w:rFonts w:hint="eastAsia"/>
        </w:rPr>
        <w:t>导言</w:t>
      </w:r>
    </w:p>
    <w:p w:rsidR="002547C1" w:rsidRDefault="002547C1" w:rsidP="002547C1">
      <w:pPr>
        <w:pStyle w:val="SingleTxt"/>
        <w:spacing w:line="330" w:lineRule="exact"/>
      </w:pPr>
      <w:r w:rsidRPr="002547C1">
        <w:rPr>
          <w:rFonts w:hint="eastAsia"/>
        </w:rPr>
        <w:t>2.</w:t>
      </w:r>
      <w:r w:rsidRPr="002547C1">
        <w:rPr>
          <w:rFonts w:hint="eastAsia"/>
        </w:rPr>
        <w:tab/>
        <w:t>委员会赞扬该缔约国批准《消除对妇女一切形式歧视公约》。委员会赞赏该缔约国提出初次报告，报告大体上遵循了委员会的报告编写导则，提供了丰富信息，坦率地描绘了毛里塔尼亚妇女的状况，但毛里塔尼亚未按时提出报告。委员会还赞赏对会前工作组提出的议题和问题清单作出书面答复，赞赏对委员会提出的问题作口头陈述和答复。</w:t>
      </w:r>
    </w:p>
    <w:p w:rsidR="002547C1" w:rsidRDefault="002547C1" w:rsidP="002547C1">
      <w:pPr>
        <w:pStyle w:val="SingleTxt"/>
        <w:spacing w:line="330" w:lineRule="exact"/>
        <w:rPr>
          <w:rFonts w:hint="eastAsia"/>
        </w:rPr>
      </w:pPr>
      <w:r>
        <w:rPr>
          <w:rFonts w:hint="eastAsia"/>
        </w:rPr>
        <w:t>3.</w:t>
      </w:r>
      <w:r>
        <w:rPr>
          <w:rFonts w:hint="eastAsia"/>
        </w:rPr>
        <w:tab/>
        <w:t>委员会赞扬该缔约国派遣由主管妇女、儿童和家庭福祉部长率领的高级别代表团，该代表团男女代表比例均衡，他们分别来自负责执行《公约》涵盖各领域措施的部委。代表团与委员会各成员进行了坦率和建设性对话，委员会对此表示赞赏。</w:t>
      </w:r>
    </w:p>
    <w:p w:rsidR="002547C1" w:rsidRPr="000E6C17" w:rsidRDefault="002547C1" w:rsidP="002547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2534" w:right="1260" w:hanging="1267"/>
        <w:rPr>
          <w:rFonts w:hint="eastAsia"/>
        </w:rPr>
      </w:pPr>
      <w:r w:rsidRPr="000E6C17">
        <w:rPr>
          <w:rFonts w:hint="eastAsia"/>
        </w:rPr>
        <w:t>积极方面</w:t>
      </w:r>
    </w:p>
    <w:p w:rsidR="002547C1" w:rsidRDefault="002547C1" w:rsidP="002547C1">
      <w:pPr>
        <w:pStyle w:val="SingleTxt"/>
        <w:spacing w:line="330" w:lineRule="exact"/>
      </w:pPr>
      <w:r w:rsidRPr="002547C1">
        <w:rPr>
          <w:rFonts w:hint="eastAsia"/>
        </w:rPr>
        <w:t>4.</w:t>
      </w:r>
      <w:r w:rsidRPr="002547C1">
        <w:rPr>
          <w:rFonts w:hint="eastAsia"/>
        </w:rPr>
        <w:tab/>
        <w:t>该缔约国表达了消除对妇女歧视和采取措施确保执行《公约》的承诺和政治意愿，委员会对此表示赞扬。</w:t>
      </w:r>
    </w:p>
    <w:p w:rsidR="002547C1" w:rsidRDefault="002547C1" w:rsidP="002547C1">
      <w:pPr>
        <w:pStyle w:val="SingleTxt"/>
        <w:spacing w:line="330" w:lineRule="exact"/>
        <w:rPr>
          <w:rFonts w:hint="eastAsia"/>
        </w:rPr>
      </w:pPr>
      <w:r>
        <w:rPr>
          <w:rFonts w:hint="eastAsia"/>
        </w:rPr>
        <w:t>5.</w:t>
      </w:r>
      <w:r>
        <w:rPr>
          <w:rFonts w:hint="eastAsia"/>
        </w:rPr>
        <w:tab/>
        <w:t>委员会注意到，该缔约国已表示准备撤回在批准《公约》时提具的一般性保留。</w:t>
      </w:r>
    </w:p>
    <w:p w:rsidR="002547C1" w:rsidRDefault="002547C1" w:rsidP="002547C1">
      <w:pPr>
        <w:pStyle w:val="SingleTxt"/>
        <w:spacing w:after="160" w:line="332" w:lineRule="exact"/>
        <w:rPr>
          <w:rFonts w:hint="eastAsia"/>
        </w:rPr>
      </w:pPr>
      <w:r>
        <w:rPr>
          <w:rFonts w:hint="eastAsia"/>
        </w:rPr>
        <w:t>6.</w:t>
      </w:r>
      <w:r>
        <w:rPr>
          <w:rFonts w:hint="eastAsia"/>
        </w:rPr>
        <w:tab/>
        <w:t>委员会欣见对市镇和议会选举候选人名单实施20％妇女配额制度，由于实施这个配额制度，而且由于向各政党提供资金鼓励，妇女赢得了市镇选举33％的席位，分别赢得了参议院和国民议会17.9％和17.0％的席位。</w:t>
      </w:r>
    </w:p>
    <w:p w:rsidR="002547C1" w:rsidRDefault="002547C1" w:rsidP="002547C1">
      <w:pPr>
        <w:pStyle w:val="SingleTxt"/>
        <w:spacing w:after="160" w:line="332" w:lineRule="exact"/>
        <w:rPr>
          <w:rFonts w:hint="eastAsia"/>
        </w:rPr>
      </w:pPr>
      <w:r>
        <w:rPr>
          <w:rFonts w:hint="eastAsia"/>
        </w:rPr>
        <w:t>7.</w:t>
      </w:r>
      <w:r>
        <w:rPr>
          <w:rFonts w:hint="eastAsia"/>
        </w:rPr>
        <w:tab/>
        <w:t>委员会欣见制定《个人身份法》。委员会还赞扬该缔约国对所有6至14岁儿童实施义务教育。</w:t>
      </w:r>
    </w:p>
    <w:p w:rsidR="002547C1" w:rsidRPr="000E6C17" w:rsidRDefault="002547C1" w:rsidP="002547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sidRPr="000E6C17">
        <w:rPr>
          <w:rFonts w:hint="eastAsia"/>
        </w:rPr>
        <w:t>主要关切领域和建议</w:t>
      </w:r>
    </w:p>
    <w:p w:rsidR="002547C1" w:rsidRPr="00EE22A6" w:rsidRDefault="002547C1" w:rsidP="002547C1">
      <w:pPr>
        <w:pStyle w:val="SingleTxt"/>
        <w:spacing w:after="0" w:line="120" w:lineRule="exact"/>
        <w:rPr>
          <w:rFonts w:hint="eastAsia"/>
          <w:sz w:val="10"/>
        </w:rPr>
      </w:pPr>
    </w:p>
    <w:p w:rsidR="002547C1" w:rsidRDefault="002547C1" w:rsidP="002547C1">
      <w:pPr>
        <w:pStyle w:val="SingleTxt"/>
        <w:spacing w:after="160" w:line="340" w:lineRule="exact"/>
        <w:rPr>
          <w:rFonts w:hint="eastAsia"/>
        </w:rPr>
      </w:pPr>
      <w:r>
        <w:rPr>
          <w:rFonts w:hint="eastAsia"/>
        </w:rPr>
        <w:t>8.</w:t>
      </w:r>
      <w:r>
        <w:rPr>
          <w:rFonts w:hint="eastAsia"/>
        </w:rPr>
        <w:tab/>
      </w:r>
      <w:r w:rsidRPr="00EE22A6">
        <w:rPr>
          <w:rFonts w:ascii="SimHei" w:eastAsia="SimHei" w:hint="eastAsia"/>
          <w:color w:val="FF0000"/>
        </w:rPr>
        <w:t>委员会提请注意缔约国有义务系统地、持续地执行《公约》所有规定，委员会认为，在从现在至提交下次报告之时这段时期里，该缔约国应优先重视本结论意见确定的各项关切和建议。因此，委员会吁请该缔约国在执行活动中以这些领域为焦点，并在下次定期报告中报告采取的行动和取得的结果。委员会吁请该缔约国向其所有有关部委和议会提交本结论意见，以确保充分执行这些意见。</w:t>
      </w:r>
    </w:p>
    <w:p w:rsidR="002547C1" w:rsidRDefault="002547C1" w:rsidP="002547C1">
      <w:pPr>
        <w:pStyle w:val="SingleTxt"/>
        <w:spacing w:after="160" w:line="340" w:lineRule="exact"/>
        <w:rPr>
          <w:rFonts w:hint="eastAsia"/>
        </w:rPr>
      </w:pPr>
      <w:r>
        <w:rPr>
          <w:rFonts w:hint="eastAsia"/>
        </w:rPr>
        <w:t>9.</w:t>
      </w:r>
      <w:r>
        <w:rPr>
          <w:rFonts w:hint="eastAsia"/>
        </w:rPr>
        <w:tab/>
        <w:t>一方面，委员会欣见该缔约国表示准备撤回在批准《公约》时提具的一般性保留，但另一方面，委员会关切地表示，这项保留范围太广，违背了《公约》的目标和宗旨。</w:t>
      </w:r>
    </w:p>
    <w:p w:rsidR="002547C1" w:rsidRDefault="002547C1" w:rsidP="002547C1">
      <w:pPr>
        <w:pStyle w:val="SingleTxt"/>
        <w:spacing w:after="160" w:line="340" w:lineRule="exact"/>
        <w:rPr>
          <w:rFonts w:hint="eastAsia"/>
        </w:rPr>
      </w:pPr>
      <w:r>
        <w:rPr>
          <w:rFonts w:hint="eastAsia"/>
        </w:rPr>
        <w:t>10.</w:t>
      </w:r>
      <w:r>
        <w:rPr>
          <w:rFonts w:hint="eastAsia"/>
        </w:rPr>
        <w:tab/>
      </w:r>
      <w:r w:rsidRPr="00EE22A6">
        <w:rPr>
          <w:rFonts w:ascii="SimHei" w:eastAsia="SimHei" w:hint="eastAsia"/>
          <w:color w:val="FF0000"/>
        </w:rPr>
        <w:t>委员会促请该缔约国尽早完成撤回其一般性保留的程序，这项保留违背了《公约》的目标和宗旨。</w:t>
      </w:r>
    </w:p>
    <w:p w:rsidR="002547C1" w:rsidRDefault="002547C1" w:rsidP="002547C1">
      <w:pPr>
        <w:pStyle w:val="SingleTxt"/>
        <w:spacing w:after="160" w:line="340" w:lineRule="exact"/>
        <w:rPr>
          <w:rFonts w:hint="eastAsia"/>
        </w:rPr>
      </w:pPr>
      <w:r>
        <w:rPr>
          <w:rFonts w:hint="eastAsia"/>
        </w:rPr>
        <w:t>11.</w:t>
      </w:r>
      <w:r>
        <w:rPr>
          <w:rFonts w:hint="eastAsia"/>
        </w:rPr>
        <w:tab/>
        <w:t>委员会满意地注意到，该国《宪法》第80条规定，毛里塔尼亚成为缔约国的任何条约自公布之时起，该条约优先于本国立法，但委员会仍然对《公约》的地位和在法律制度中的实际执行感到关切。在这方面，委员会关切地注意到，该缔约国未能提供信息，介绍在法院直接引用《公约》条款的案例。</w:t>
      </w:r>
    </w:p>
    <w:p w:rsidR="002547C1" w:rsidRDefault="002547C1" w:rsidP="002547C1">
      <w:pPr>
        <w:pStyle w:val="SingleTxt"/>
        <w:spacing w:after="160" w:line="340" w:lineRule="exact"/>
        <w:rPr>
          <w:rFonts w:hint="eastAsia"/>
        </w:rPr>
      </w:pPr>
      <w:r>
        <w:rPr>
          <w:rFonts w:hint="eastAsia"/>
        </w:rPr>
        <w:t>12.</w:t>
      </w:r>
      <w:r>
        <w:rPr>
          <w:rFonts w:hint="eastAsia"/>
        </w:rPr>
        <w:tab/>
      </w:r>
      <w:r w:rsidRPr="00EE22A6">
        <w:rPr>
          <w:rFonts w:ascii="SimHei" w:eastAsia="SimHei" w:hint="eastAsia"/>
          <w:color w:val="FF0000"/>
        </w:rPr>
        <w:t>委员会吁请该缔约国加紧努力，提高大众，特别是提高公职人员、司法人员和法律专业人员对《公约》的认识。委员会还吁请该缔约国确保将《公约》作为包括法官、律师和检察官在内的司法人员法律教育和培训的组成部分，以在该国牢牢地树立支持男女平等和无性别歧视的法律文化。</w:t>
      </w:r>
    </w:p>
    <w:p w:rsidR="002547C1" w:rsidRDefault="002547C1" w:rsidP="002547C1">
      <w:pPr>
        <w:pStyle w:val="SingleTxt"/>
        <w:spacing w:after="160" w:line="340" w:lineRule="exact"/>
        <w:rPr>
          <w:rFonts w:hint="eastAsia"/>
        </w:rPr>
      </w:pPr>
      <w:r>
        <w:rPr>
          <w:rFonts w:hint="eastAsia"/>
        </w:rPr>
        <w:t>13.</w:t>
      </w:r>
      <w:r>
        <w:rPr>
          <w:rFonts w:hint="eastAsia"/>
        </w:rPr>
        <w:tab/>
        <w:t>虽然该缔约国《宪法》第1条第2款保证，所有公民在法律面前平等，不分血统、种族、性别或社会地位，但委员会感到关切的是，该缔约国立法没有按照《公约》第一条明确界定歧视妇女的定义，该条禁止直接和间接歧视。</w:t>
      </w:r>
    </w:p>
    <w:p w:rsidR="002547C1" w:rsidRDefault="002547C1" w:rsidP="002547C1">
      <w:pPr>
        <w:pStyle w:val="SingleTxt"/>
        <w:spacing w:after="160" w:line="340" w:lineRule="exact"/>
        <w:rPr>
          <w:rFonts w:hint="eastAsia"/>
        </w:rPr>
      </w:pPr>
      <w:r>
        <w:rPr>
          <w:rFonts w:hint="eastAsia"/>
        </w:rPr>
        <w:t>14.</w:t>
      </w:r>
      <w:r>
        <w:rPr>
          <w:rFonts w:hint="eastAsia"/>
        </w:rPr>
        <w:tab/>
      </w:r>
      <w:r w:rsidRPr="000E6C17">
        <w:rPr>
          <w:rFonts w:ascii="SimHei" w:eastAsia="SimHei" w:hint="eastAsia"/>
          <w:color w:val="FF0000"/>
        </w:rPr>
        <w:t>委员会建议该缔约国按照《公约》第一条的规定，将包括直接和间接歧视在内的歧视妇女定义纳入其《宪法》或其他有关立法。委员会还建议该缔约国保证，对间接歧视的理解包括基于性别的歧视和妇女可能面临的其他、多种形式的歧视。</w:t>
      </w:r>
    </w:p>
    <w:p w:rsidR="002547C1" w:rsidRDefault="002547C1" w:rsidP="002547C1">
      <w:pPr>
        <w:pStyle w:val="SingleTxt"/>
        <w:rPr>
          <w:rFonts w:hint="eastAsia"/>
        </w:rPr>
      </w:pPr>
      <w:r>
        <w:rPr>
          <w:rFonts w:hint="eastAsia"/>
        </w:rPr>
        <w:t>15.</w:t>
      </w:r>
      <w:r>
        <w:rPr>
          <w:rFonts w:hint="eastAsia"/>
        </w:rPr>
        <w:tab/>
        <w:t>虽然法律规定，妇女可获得司法救助，但委员会担心，由于不识字、法律费用、缺少关于其权利的信息和在维护权利时缺少协助等因素，妇女实际行使权利和向法院申诉歧视案件的能力有限。</w:t>
      </w:r>
    </w:p>
    <w:p w:rsidR="002547C1" w:rsidRDefault="002547C1" w:rsidP="002547C1">
      <w:pPr>
        <w:pStyle w:val="SingleTxt"/>
        <w:rPr>
          <w:rFonts w:hint="eastAsia"/>
        </w:rPr>
      </w:pPr>
      <w:r>
        <w:rPr>
          <w:rFonts w:hint="eastAsia"/>
        </w:rPr>
        <w:t>16.</w:t>
      </w:r>
      <w:r>
        <w:rPr>
          <w:rFonts w:hint="eastAsia"/>
        </w:rPr>
        <w:tab/>
      </w:r>
      <w:r w:rsidRPr="000E6C17">
        <w:rPr>
          <w:rFonts w:ascii="SimHei" w:eastAsia="SimHei" w:hint="eastAsia"/>
          <w:color w:val="FF0000"/>
        </w:rPr>
        <w:t>委员会请该缔约国排除妇女在</w:t>
      </w:r>
      <w:r>
        <w:rPr>
          <w:rFonts w:ascii="SimHei" w:eastAsia="SimHei" w:hint="eastAsia"/>
          <w:color w:val="FF0000"/>
        </w:rPr>
        <w:t>获得司法救助</w:t>
      </w:r>
      <w:r w:rsidRPr="000E6C17">
        <w:rPr>
          <w:rFonts w:ascii="SimHei" w:eastAsia="SimHei" w:hint="eastAsia"/>
          <w:color w:val="FF0000"/>
        </w:rPr>
        <w:t>方面可能遇到的障碍，确保司法人员熟悉《公约》和缔约国的义务。委员会促请该缔约国提供法律援助服务，开展法律扫盲方案，传播关于如何利用关于歧视问题现有法律补救措施的知识，并监测这些努力取得的结果。委员会鼓励该缔约国寻求国际社会的协助，以执行各种措施，切实加强妇女</w:t>
      </w:r>
      <w:r>
        <w:rPr>
          <w:rFonts w:ascii="SimHei" w:eastAsia="SimHei" w:hint="eastAsia"/>
          <w:color w:val="FF0000"/>
        </w:rPr>
        <w:t>获得司法救助</w:t>
      </w:r>
      <w:r w:rsidRPr="000E6C17">
        <w:rPr>
          <w:rFonts w:ascii="SimHei" w:eastAsia="SimHei" w:hint="eastAsia"/>
          <w:color w:val="FF0000"/>
        </w:rPr>
        <w:t>的能力</w:t>
      </w:r>
      <w:r>
        <w:rPr>
          <w:rFonts w:hint="eastAsia"/>
        </w:rPr>
        <w:t>。</w:t>
      </w:r>
    </w:p>
    <w:p w:rsidR="002547C1" w:rsidRDefault="002547C1" w:rsidP="002547C1">
      <w:pPr>
        <w:pStyle w:val="SingleTxt"/>
        <w:rPr>
          <w:rFonts w:hint="eastAsia"/>
        </w:rPr>
      </w:pPr>
      <w:r>
        <w:rPr>
          <w:rFonts w:hint="eastAsia"/>
        </w:rPr>
        <w:t>17.</w:t>
      </w:r>
      <w:r>
        <w:rPr>
          <w:rFonts w:hint="eastAsia"/>
        </w:rPr>
        <w:tab/>
        <w:t>委员会欣见主管提高妇女地位的国家机构升格为妇女、儿童和家庭福祉部，但委员会感到关切的是，该国家机构没有足够的权威、能见度和人力及财政资源，因而不能有效地执行促进提高妇女地位和两性平等的任务。委员会还担心，监察员和人权、减贫和融合委员会在开展活动时缺乏对性别问题的敏感性。委员会还担心，该部、监察员和人权委员会在促进两性平等和预防及消除对妇女的歧视方面不能进行足够的协调和合作。</w:t>
      </w:r>
    </w:p>
    <w:p w:rsidR="002547C1" w:rsidRDefault="002547C1" w:rsidP="002547C1">
      <w:pPr>
        <w:pStyle w:val="SingleTxt"/>
        <w:rPr>
          <w:rFonts w:hint="eastAsia"/>
        </w:rPr>
      </w:pPr>
      <w:r>
        <w:rPr>
          <w:rFonts w:hint="eastAsia"/>
        </w:rPr>
        <w:t>18.</w:t>
      </w:r>
      <w:r>
        <w:rPr>
          <w:rFonts w:hint="eastAsia"/>
        </w:rPr>
        <w:tab/>
      </w:r>
      <w:r w:rsidRPr="00605789">
        <w:rPr>
          <w:rFonts w:ascii="SimHei" w:eastAsia="SimHei" w:hint="eastAsia"/>
          <w:color w:val="FF0000"/>
        </w:rPr>
        <w:t>委员会建议该缔约国加强其提高妇女地位的国家机制，明确界定负责两性平等的各类机制的任务、责任和合作</w:t>
      </w:r>
      <w:r>
        <w:rPr>
          <w:rFonts w:ascii="SimHei" w:eastAsia="SimHei" w:hint="eastAsia"/>
          <w:color w:val="FF0000"/>
        </w:rPr>
        <w:t>方法</w:t>
      </w:r>
      <w:r w:rsidRPr="00605789">
        <w:rPr>
          <w:rFonts w:ascii="SimHei" w:eastAsia="SimHei" w:hint="eastAsia"/>
          <w:color w:val="FF0000"/>
        </w:rPr>
        <w:t>，并分配充足的人力资源和预算资源，以确保这些机制能够充分有效地履行其职能。这</w:t>
      </w:r>
      <w:r>
        <w:rPr>
          <w:rFonts w:ascii="SimHei" w:eastAsia="SimHei" w:hint="eastAsia"/>
          <w:color w:val="FF0000"/>
        </w:rPr>
        <w:t>些措施</w:t>
      </w:r>
      <w:r w:rsidRPr="00605789">
        <w:rPr>
          <w:rFonts w:ascii="SimHei" w:eastAsia="SimHei" w:hint="eastAsia"/>
          <w:color w:val="FF0000"/>
        </w:rPr>
        <w:t>尤其应当包括</w:t>
      </w:r>
      <w:r>
        <w:rPr>
          <w:rFonts w:ascii="SimHei" w:eastAsia="SimHei" w:hint="eastAsia"/>
          <w:color w:val="FF0000"/>
        </w:rPr>
        <w:t>提供</w:t>
      </w:r>
      <w:r w:rsidRPr="00605789">
        <w:rPr>
          <w:rFonts w:ascii="SimHei" w:eastAsia="SimHei" w:hint="eastAsia"/>
          <w:color w:val="FF0000"/>
        </w:rPr>
        <w:t>促进两性平等的各类机制之间有效加强协作的能力和加强与民间社会之间合作的能力。</w:t>
      </w:r>
    </w:p>
    <w:p w:rsidR="002547C1" w:rsidRDefault="002547C1" w:rsidP="002547C1">
      <w:pPr>
        <w:pStyle w:val="SingleTxt"/>
        <w:rPr>
          <w:rFonts w:hint="eastAsia"/>
        </w:rPr>
      </w:pPr>
      <w:r>
        <w:rPr>
          <w:rFonts w:hint="eastAsia"/>
        </w:rPr>
        <w:t>19.</w:t>
      </w:r>
      <w:r>
        <w:rPr>
          <w:rFonts w:hint="eastAsia"/>
        </w:rPr>
        <w:tab/>
        <w:t>委员会注意到，该缔约国对根据《公约》第四条第1款所采取的暂行特别措施的目的和必要性认识不足。委员会关切地注意到，司法部门中没有妇女参与，而且妇女在公共行政特别是决策层中的参与十分有限。</w:t>
      </w:r>
    </w:p>
    <w:p w:rsidR="002547C1" w:rsidRDefault="002547C1" w:rsidP="002547C1">
      <w:pPr>
        <w:pStyle w:val="SingleTxt"/>
        <w:rPr>
          <w:rFonts w:hint="eastAsia"/>
        </w:rPr>
      </w:pPr>
      <w:r>
        <w:rPr>
          <w:rFonts w:hint="eastAsia"/>
        </w:rPr>
        <w:t>20.</w:t>
      </w:r>
      <w:r>
        <w:rPr>
          <w:rFonts w:hint="eastAsia"/>
        </w:rPr>
        <w:tab/>
      </w:r>
      <w:r w:rsidRPr="00E662D8">
        <w:rPr>
          <w:rFonts w:ascii="SimHei" w:eastAsia="SimHei" w:hint="eastAsia"/>
          <w:color w:val="FF0000"/>
        </w:rPr>
        <w:t>委员会建议，该缔约国根据公约第四条第1款和委员会一般性建议25采取暂行特别措施，作为特别是在司法部门和包括外交部门在内的政府部门加快实现妇女实质性平等的必要战略。委员会请该国政府在下一次定期报告中介绍关于采用这类与《公约》若干规定有关的暂行特别措施的情况以及这类措施的影响。委员会建议该缔约国切实履行各位总统候选人在《促进妇女宪章》中所作的承诺，即规定妇女在公共行政决策职位上最少占20％。</w:t>
      </w:r>
    </w:p>
    <w:p w:rsidR="002547C1" w:rsidRDefault="002547C1" w:rsidP="002547C1">
      <w:pPr>
        <w:pStyle w:val="SingleTxt"/>
        <w:rPr>
          <w:rFonts w:hint="eastAsia"/>
        </w:rPr>
      </w:pPr>
      <w:r>
        <w:rPr>
          <w:rFonts w:hint="eastAsia"/>
        </w:rPr>
        <w:t>21.</w:t>
      </w:r>
      <w:r>
        <w:rPr>
          <w:rFonts w:hint="eastAsia"/>
        </w:rPr>
        <w:tab/>
        <w:t>委员会关切地注意到顽固陈旧的男权思想盛行不衰，逼婚早婚、一夫多妻制、切割女性生殖器和填喂等根深蒂固的不良文化规范、习俗和传统持续存在，这些思想和陋习对妇女构成歧视，严重阻碍妇女享受人权。</w:t>
      </w:r>
    </w:p>
    <w:p w:rsidR="002547C1" w:rsidRDefault="002547C1" w:rsidP="002547C1">
      <w:pPr>
        <w:pStyle w:val="SingleTxt"/>
        <w:rPr>
          <w:rFonts w:hint="eastAsia"/>
        </w:rPr>
      </w:pPr>
      <w:r>
        <w:rPr>
          <w:rFonts w:hint="eastAsia"/>
        </w:rPr>
        <w:t>22.</w:t>
      </w:r>
      <w:r>
        <w:rPr>
          <w:rFonts w:hint="eastAsia"/>
        </w:rPr>
        <w:tab/>
      </w:r>
      <w:r w:rsidRPr="00E662D8">
        <w:rPr>
          <w:rFonts w:ascii="SimHei" w:eastAsia="SimHei" w:hint="eastAsia"/>
          <w:color w:val="FF0000"/>
        </w:rPr>
        <w:t>委员会敦促该缔约国将文化视为不断变化的国家生活和社会结构的一部分，而且文化受到各种影响，因此不断变化发展。委员会敦促该缔约国采取更加积极主动的态度，立即根据公约第二条</w:t>
      </w:r>
      <w:r w:rsidRPr="00E662D8">
        <w:rPr>
          <w:rFonts w:ascii="SimHei" w:eastAsia="SimHei"/>
          <w:color w:val="FF0000"/>
        </w:rPr>
        <w:t>(</w:t>
      </w:r>
      <w:r w:rsidRPr="00E662D8">
        <w:rPr>
          <w:rFonts w:ascii="SimHei" w:eastAsia="SimHei" w:hint="eastAsia"/>
          <w:color w:val="FF0000"/>
        </w:rPr>
        <w:t>f</w:t>
      </w:r>
      <w:r w:rsidRPr="00E662D8">
        <w:rPr>
          <w:rFonts w:ascii="SimHei" w:eastAsia="SimHei"/>
          <w:color w:val="FF0000"/>
        </w:rPr>
        <w:t>)</w:t>
      </w:r>
      <w:r w:rsidRPr="00E662D8">
        <w:rPr>
          <w:rFonts w:ascii="SimHei" w:eastAsia="SimHei" w:hint="eastAsia"/>
          <w:color w:val="FF0000"/>
        </w:rPr>
        <w:t>项和第五条(a)项实行一项综合战略，制定明确的目标和时间表，以改变或消除损害和歧视妇女的不良文化做法和陈旧观念，促进妇女充分享受其人权。委员会还敦促该缔约国与民间社会组织、妇女团体及社区和宗教领导人协同开展这一工作。委员会还敦促该缔约国定期评估在实现既定目标方面所取得的进展，并请该缔约国在下一次定期报告中就此作出报告。</w:t>
      </w:r>
    </w:p>
    <w:p w:rsidR="002547C1" w:rsidRDefault="002547C1" w:rsidP="002547C1">
      <w:pPr>
        <w:pStyle w:val="SingleTxt"/>
        <w:rPr>
          <w:rFonts w:hint="eastAsia"/>
        </w:rPr>
      </w:pPr>
      <w:r>
        <w:rPr>
          <w:rFonts w:hint="eastAsia"/>
        </w:rPr>
        <w:t>23.</w:t>
      </w:r>
      <w:r>
        <w:rPr>
          <w:rFonts w:hint="eastAsia"/>
        </w:rPr>
        <w:tab/>
        <w:t>委员会注意到2005-2008年国家提高妇女地位战略，但是对“拟议监测系统”的执行情况感到关切，并关切地注意到目前在各级政府和政府各部门缺少有效的监测。</w:t>
      </w:r>
    </w:p>
    <w:p w:rsidR="002547C1" w:rsidRDefault="002547C1" w:rsidP="002547C1">
      <w:pPr>
        <w:pStyle w:val="SingleTxt"/>
        <w:rPr>
          <w:rFonts w:hint="eastAsia"/>
        </w:rPr>
      </w:pPr>
      <w:r>
        <w:rPr>
          <w:rFonts w:hint="eastAsia"/>
        </w:rPr>
        <w:t>24.</w:t>
      </w:r>
      <w:r>
        <w:rPr>
          <w:rFonts w:hint="eastAsia"/>
        </w:rPr>
        <w:tab/>
      </w:r>
      <w:r w:rsidRPr="00E662D8">
        <w:rPr>
          <w:rFonts w:ascii="SimHei" w:eastAsia="SimHei" w:hint="eastAsia"/>
          <w:color w:val="FF0000"/>
        </w:rPr>
        <w:t>委员会建议，该缔约国评估其提高妇女地位和两性平等主流化战略的执行情况。委员会鼓励该缔约国充分利用在根据《公约》第十八条编写报告的过程中形成的势头和伙伴关系以及委员会本结论意见，审查目前的战略，进一步拟订促进两性平等和提高妇女地位的全面执行计划，同时动员各级政府和政府各部门共同参与。这一战略应当包含法律、政策和方案措施，并应当有明确的目标、基准和时间表。该战略还应当包括定期和系统监测和评估其执行进展情况的机制，包括制定评估《公约》各项规定的遵守情况的指标。委员会鼓励该缔约国在数据收集和培训负责拟订和执行这一计划的国家小组方面向联合国有关实体寻求技术支持。</w:t>
      </w:r>
    </w:p>
    <w:p w:rsidR="002547C1" w:rsidRDefault="002547C1" w:rsidP="002547C1">
      <w:pPr>
        <w:pStyle w:val="SingleTxt"/>
        <w:rPr>
          <w:rFonts w:hint="eastAsia"/>
        </w:rPr>
      </w:pPr>
      <w:r>
        <w:rPr>
          <w:rFonts w:hint="eastAsia"/>
        </w:rPr>
        <w:t>25.</w:t>
      </w:r>
      <w:r>
        <w:rPr>
          <w:rFonts w:hint="eastAsia"/>
        </w:rPr>
        <w:tab/>
        <w:t>委员会遗憾地注意到，报告没有提供按性别和族裔分列的关于在《公约》所涉所有领域实际落实男女平等原则的情况的充分统计数据。委员会还遗憾地注意到，报告没有充分介绍所采取的法律和政策措施的影响及成果。委员会并遗憾地注意到，缺少关于残疾妇女的充分信息和数据。</w:t>
      </w:r>
    </w:p>
    <w:p w:rsidR="002547C1" w:rsidRDefault="002547C1" w:rsidP="002547C1">
      <w:pPr>
        <w:pStyle w:val="SingleTxt"/>
        <w:rPr>
          <w:rFonts w:hint="eastAsia"/>
        </w:rPr>
      </w:pPr>
      <w:r>
        <w:rPr>
          <w:rFonts w:hint="eastAsia"/>
        </w:rPr>
        <w:t>26.</w:t>
      </w:r>
      <w:r>
        <w:rPr>
          <w:rFonts w:hint="eastAsia"/>
        </w:rPr>
        <w:tab/>
      </w:r>
      <w:r w:rsidRPr="00E662D8">
        <w:rPr>
          <w:rFonts w:ascii="SimHei" w:eastAsia="SimHei" w:hint="eastAsia"/>
          <w:color w:val="FF0000"/>
        </w:rPr>
        <w:t>委员会请该缔约国在下一次报告中列入按性别和族裔分列的充分统计数据和分析以及有关残疾妇女的情况，以提供关于涉及所有妇女《公约》各项规定的全面执行情况。委员会还建议，该缔约国定期对其立法改革、政策和方案进行影响分析，以确保所采取的措施能够实现所期望的目标，并建议该缔约国在下一次报告中向委员会通报这些评估结果。</w:t>
      </w:r>
    </w:p>
    <w:p w:rsidR="002547C1" w:rsidRDefault="002547C1" w:rsidP="002547C1">
      <w:pPr>
        <w:pStyle w:val="SingleTxt"/>
        <w:rPr>
          <w:rFonts w:hint="eastAsia"/>
        </w:rPr>
      </w:pPr>
      <w:r>
        <w:rPr>
          <w:rFonts w:hint="eastAsia"/>
        </w:rPr>
        <w:t>27.</w:t>
      </w:r>
      <w:r>
        <w:rPr>
          <w:rFonts w:hint="eastAsia"/>
        </w:rPr>
        <w:tab/>
        <w:t>委员会欣见《刑事诉讼法典》禁止切割未成年女性生殖器官，但同时对这一有害做法的持续存在和多发现象深表关切，这一做法严重侵犯女孩和妇女的人权，也严重违背了该缔约国根据《公约》承担的义务。委员会注意到切割女性生殖器的做法对女孩和妇女造成的严重并发症， 在有些情况下甚至可能导致死亡。</w:t>
      </w:r>
    </w:p>
    <w:p w:rsidR="002547C1" w:rsidRDefault="002547C1" w:rsidP="002547C1">
      <w:pPr>
        <w:pStyle w:val="SingleTxt"/>
        <w:spacing w:after="160" w:line="334" w:lineRule="exact"/>
        <w:rPr>
          <w:rFonts w:hint="eastAsia"/>
        </w:rPr>
      </w:pPr>
      <w:r>
        <w:rPr>
          <w:rFonts w:hint="eastAsia"/>
        </w:rPr>
        <w:t>28.</w:t>
      </w:r>
      <w:r>
        <w:rPr>
          <w:rFonts w:hint="eastAsia"/>
        </w:rPr>
        <w:tab/>
      </w:r>
      <w:r w:rsidRPr="00E662D8">
        <w:rPr>
          <w:rFonts w:ascii="SimHei" w:eastAsia="SimHei" w:hint="eastAsia"/>
          <w:color w:val="FF0000"/>
        </w:rPr>
        <w:t>委员会敦促该缔约国提高公众对《刑事诉讼法典》关于禁止切割未成年女性生殖器官的规定的认识，并确保该规定得到执行，包括犯罪者被起诉并受到应有的惩罚。委员会还敦促该缔约国加快通过该缔约国代表在建设性对话中提到的特别针对切割女性生殖器行为的法律草案。委员会敦促该缔约国在民间社会和宗教领导人的支持下，加强对男女两方面的宣传和教育工作，以消除切割女性生殖器的做法及有关文化上的理由。委员会还鼓励该缔约国制订方案，为那些靠切割女性生殖器谋生的人另谋生计。委员会呼吁该缔约国解决切割女性生殖器造成的健康后果问题，并向受影响者提供医疗支助。在这方面，委员会还鼓励该缔约国向联合国人口基金和世界卫生组织寻求技术援助。</w:t>
      </w:r>
    </w:p>
    <w:p w:rsidR="002547C1" w:rsidRDefault="002547C1" w:rsidP="002547C1">
      <w:pPr>
        <w:pStyle w:val="SingleTxt"/>
        <w:spacing w:after="160" w:line="334" w:lineRule="exact"/>
        <w:rPr>
          <w:rFonts w:hint="eastAsia"/>
        </w:rPr>
      </w:pPr>
      <w:r>
        <w:rPr>
          <w:rFonts w:hint="eastAsia"/>
        </w:rPr>
        <w:t>29.</w:t>
      </w:r>
      <w:r>
        <w:rPr>
          <w:rFonts w:hint="eastAsia"/>
        </w:rPr>
        <w:tab/>
        <w:t>委员会对这项法律没有得到执行以及缺少针对暴力侵害妇女行为的政策和方案表示关切。委员会尤其关切地注意到家庭暴力、强奸（包括婚内强奸）以及一切形式对妇女的性凌虐，以及持续存在的认为体罚包括妇女在内的家庭成员的做法可以接受的男权观念。委员会注意到该缔约国保证填喂年轻女孩的现象正在减少，但仍然对这一做法感到关切。委员会还关切地注意到报告中缺少有关一切形式的暴力侵害妇女行为的流行情况的信息和数据。</w:t>
      </w:r>
    </w:p>
    <w:p w:rsidR="002547C1" w:rsidRPr="00E662D8" w:rsidRDefault="002547C1" w:rsidP="002547C1">
      <w:pPr>
        <w:pStyle w:val="SingleTxt"/>
        <w:spacing w:after="160" w:line="334" w:lineRule="exact"/>
        <w:rPr>
          <w:rFonts w:ascii="SimHei" w:eastAsia="SimHei" w:hint="eastAsia"/>
          <w:color w:val="FF0000"/>
        </w:rPr>
      </w:pPr>
      <w:r>
        <w:rPr>
          <w:rFonts w:hint="eastAsia"/>
        </w:rPr>
        <w:t>30.</w:t>
      </w:r>
      <w:r>
        <w:rPr>
          <w:rFonts w:hint="eastAsia"/>
        </w:rPr>
        <w:tab/>
      </w:r>
      <w:r w:rsidRPr="00E662D8">
        <w:rPr>
          <w:rFonts w:ascii="SimHei" w:eastAsia="SimHei" w:hint="eastAsia"/>
          <w:color w:val="FF0000"/>
        </w:rPr>
        <w:t>委员会敦促该缔约国最优先地采取全面方法来处理一切形式的暴力侵害妇女行为问题。委员会鼓励该缔约国在这项工作中充分利用委员会的一般性建议19和秘书长关于一切形式的暴力侵害妇女行为的深入研究报告。委员会敦促该缔约国通过媒体和教育方案提高公众认识，使他们认识到，一切形式的暴力侵害妇女行为，包括家庭暴力和填喂女孩，都是不可接受的。委员会呼吁该缔约国就暴力侵害妇女行为问题对司法和执法官员、法律专业人员、社会工作者和医疗保健人员进行培训，以确保按规定严肃和迅速有效地起诉和惩处暴力侵害妇女的人，并向受害妇女提供有效和对性别问题有敏感认识的支助。委员会呼吁该缔约国提高受害妇女获得法律救济的机会，并向受暴力侵害的妇女提供支助措施，包括收容所以及法律、医疗和心理支助。委员会请该缔约国在下一次报告中介绍所实行的处理一切形式的暴力侵害妇女行为的法律、政策和方案以及这类措施的影响，并提供各种形式的暴力侵害妇女行为流行情况的统计数据和趋势。</w:t>
      </w:r>
    </w:p>
    <w:p w:rsidR="002547C1" w:rsidRDefault="002547C1" w:rsidP="002547C1">
      <w:pPr>
        <w:pStyle w:val="SingleTxt"/>
        <w:spacing w:after="160" w:line="334" w:lineRule="exact"/>
        <w:rPr>
          <w:rFonts w:hint="eastAsia"/>
        </w:rPr>
      </w:pPr>
      <w:r>
        <w:rPr>
          <w:rFonts w:hint="eastAsia"/>
        </w:rPr>
        <w:t>31.</w:t>
      </w:r>
      <w:r>
        <w:rPr>
          <w:rFonts w:hint="eastAsia"/>
        </w:rPr>
        <w:tab/>
        <w:t>委员会赞赏该缔约国在制止贩运妇女和女孩以及在家庭服务中剥削女孩行为方面所作的努力，包括加入《联合国打击跨国有组织犯罪公约关于预防、禁止和惩治贩运人口特别是妇女和儿童行为的补充议定书》，以及通过2003年7月17日关于制止贩运行为的第025-2003号立法和禁止强迫劳动的《劳工法》，但仍然关切地注意到，该国境内贩运和剥削妇女和女孩现象，特别是对受雇为佣仆的年轻女孩的经济剥削和虐待持续存在。委员会还对该国部分地区残存的奴隶制感到关切。</w:t>
      </w:r>
    </w:p>
    <w:p w:rsidR="002547C1" w:rsidRDefault="002547C1" w:rsidP="002547C1">
      <w:pPr>
        <w:pStyle w:val="SingleTxt"/>
        <w:spacing w:after="160" w:line="334" w:lineRule="exact"/>
        <w:rPr>
          <w:rFonts w:hint="eastAsia"/>
        </w:rPr>
      </w:pPr>
      <w:r>
        <w:rPr>
          <w:rFonts w:hint="eastAsia"/>
        </w:rPr>
        <w:t>32.</w:t>
      </w:r>
      <w:r>
        <w:rPr>
          <w:rFonts w:hint="eastAsia"/>
        </w:rPr>
        <w:tab/>
      </w:r>
      <w:r w:rsidRPr="000D6346">
        <w:rPr>
          <w:rFonts w:ascii="SimHei" w:eastAsia="SimHei" w:hint="eastAsia"/>
          <w:color w:val="FF0000"/>
        </w:rPr>
        <w:t>委员会请缔约国加速努力，有效执行和全面实施其取缔贩运活动和禁止强迫劳动的立法。这些努力应特别包括有效起诉和惩处贩运者。委员会还建议缔约国向受害妇女提供更多的援助和支援，并加强预防工作，</w:t>
      </w:r>
      <w:r>
        <w:rPr>
          <w:rFonts w:ascii="SimHei" w:eastAsia="SimHei" w:hint="eastAsia"/>
          <w:color w:val="FF0000"/>
        </w:rPr>
        <w:t>解决贩运</w:t>
      </w:r>
      <w:r w:rsidRPr="000D6346">
        <w:rPr>
          <w:rFonts w:ascii="SimHei" w:eastAsia="SimHei" w:hint="eastAsia"/>
          <w:color w:val="FF0000"/>
        </w:rPr>
        <w:t>活动的根源和改善妇女状况，以消除妇女易遭受剥削和落入贩</w:t>
      </w:r>
      <w:r>
        <w:rPr>
          <w:rFonts w:ascii="SimHei" w:eastAsia="SimHei" w:hint="eastAsia"/>
          <w:color w:val="FF0000"/>
        </w:rPr>
        <w:t>运</w:t>
      </w:r>
      <w:r w:rsidRPr="000D6346">
        <w:rPr>
          <w:rFonts w:ascii="SimHei" w:eastAsia="SimHei" w:hint="eastAsia"/>
          <w:color w:val="FF0000"/>
        </w:rPr>
        <w:t>者手中的脆弱性。委员会请缔约国优先加强实际措施，保护受雇充当佣仆的女</w:t>
      </w:r>
      <w:r>
        <w:rPr>
          <w:rFonts w:ascii="SimHei" w:eastAsia="SimHei" w:hint="eastAsia"/>
          <w:color w:val="FF0000"/>
        </w:rPr>
        <w:t>孩</w:t>
      </w:r>
      <w:r w:rsidRPr="000D6346">
        <w:rPr>
          <w:rFonts w:ascii="SimHei" w:eastAsia="SimHei" w:hint="eastAsia"/>
          <w:color w:val="FF0000"/>
        </w:rPr>
        <w:t>不受各种形式的剥削和</w:t>
      </w:r>
      <w:r>
        <w:rPr>
          <w:rFonts w:ascii="SimHei" w:eastAsia="SimHei" w:hint="eastAsia"/>
          <w:color w:val="FF0000"/>
        </w:rPr>
        <w:t>凌</w:t>
      </w:r>
      <w:r w:rsidRPr="000D6346">
        <w:rPr>
          <w:rFonts w:ascii="SimHei" w:eastAsia="SimHei" w:hint="eastAsia"/>
          <w:color w:val="FF0000"/>
        </w:rPr>
        <w:t>虐，并确保她们能够行使受教育的权利。委员会吁请缔约国采取步骤完全消除奴隶制残余。</w:t>
      </w:r>
    </w:p>
    <w:p w:rsidR="002547C1" w:rsidRDefault="002547C1" w:rsidP="002547C1">
      <w:pPr>
        <w:pStyle w:val="SingleTxt"/>
        <w:spacing w:after="160"/>
        <w:rPr>
          <w:rFonts w:hint="eastAsia"/>
        </w:rPr>
      </w:pPr>
      <w:r>
        <w:rPr>
          <w:rFonts w:hint="eastAsia"/>
        </w:rPr>
        <w:t>33.</w:t>
      </w:r>
      <w:r>
        <w:rPr>
          <w:rFonts w:hint="eastAsia"/>
        </w:rPr>
        <w:tab/>
        <w:t>委员会注意到，《毛里塔尼亚国籍法》的某些规定，特别是1961年6月12日第61-112号立法第13条与《公约》第九条相冲突，依然对毛里塔尼亚妇女造成歧视。</w:t>
      </w:r>
    </w:p>
    <w:p w:rsidR="002547C1" w:rsidRPr="000D6346" w:rsidRDefault="002547C1" w:rsidP="002547C1">
      <w:pPr>
        <w:pStyle w:val="SingleTxt"/>
        <w:spacing w:after="160"/>
        <w:rPr>
          <w:rFonts w:ascii="SimHei" w:eastAsia="SimHei" w:hint="eastAsia"/>
          <w:color w:val="FF0000"/>
        </w:rPr>
      </w:pPr>
      <w:r>
        <w:rPr>
          <w:rFonts w:hint="eastAsia"/>
        </w:rPr>
        <w:t>34.</w:t>
      </w:r>
      <w:r>
        <w:rPr>
          <w:rFonts w:hint="eastAsia"/>
        </w:rPr>
        <w:tab/>
      </w:r>
      <w:r w:rsidRPr="000D6346">
        <w:rPr>
          <w:rFonts w:ascii="SimHei" w:eastAsia="SimHei" w:hint="eastAsia"/>
          <w:color w:val="FF0000"/>
        </w:rPr>
        <w:t>委员会请缔约国修订《毛里塔尼亚国籍法》，使该法与《公约》第九条相一致。</w:t>
      </w:r>
    </w:p>
    <w:p w:rsidR="002547C1" w:rsidRDefault="002547C1" w:rsidP="002547C1">
      <w:pPr>
        <w:pStyle w:val="SingleTxt"/>
        <w:spacing w:after="160"/>
        <w:rPr>
          <w:rFonts w:hint="eastAsia"/>
        </w:rPr>
      </w:pPr>
      <w:r>
        <w:rPr>
          <w:rFonts w:hint="eastAsia"/>
        </w:rPr>
        <w:t>35.</w:t>
      </w:r>
      <w:r>
        <w:rPr>
          <w:rFonts w:hint="eastAsia"/>
        </w:rPr>
        <w:tab/>
        <w:t>委员会承认教育方面稍有进步，但妇女文盲率偏高，显然呈现出第十条规定的间接歧视模式，委员会对此感到特别关切。委员会还对女孩辍学，包括因怀孕、早婚和逼婚等原因辍学的比率偏高感到关切。</w:t>
      </w:r>
    </w:p>
    <w:p w:rsidR="002547C1" w:rsidRDefault="002547C1" w:rsidP="002547C1">
      <w:pPr>
        <w:pStyle w:val="SingleTxt"/>
        <w:spacing w:after="160"/>
        <w:rPr>
          <w:rFonts w:hint="eastAsia"/>
        </w:rPr>
      </w:pPr>
      <w:r>
        <w:rPr>
          <w:rFonts w:hint="eastAsia"/>
        </w:rPr>
        <w:t>36.</w:t>
      </w:r>
      <w:r>
        <w:rPr>
          <w:rFonts w:hint="eastAsia"/>
        </w:rPr>
        <w:tab/>
      </w:r>
      <w:r w:rsidRPr="000D6346">
        <w:rPr>
          <w:rFonts w:ascii="SimHei" w:eastAsia="SimHei" w:hint="eastAsia"/>
          <w:color w:val="FF0000"/>
        </w:rPr>
        <w:t>委员会敦促缔约国提高对教育重要性的认识，将之作为一项人权和增强妇女力量的基础，并采取步骤克服造成歧视现象长期存在的传统观念和不遵守《公约》第十条规定的情况。委员会建议缔约国采取措施，包括依照《公约》第四条第1款和委员会一般性建议25采取</w:t>
      </w:r>
      <w:r>
        <w:rPr>
          <w:rFonts w:ascii="SimHei" w:eastAsia="SimHei" w:hint="eastAsia"/>
          <w:color w:val="FF0000"/>
        </w:rPr>
        <w:t>暂行</w:t>
      </w:r>
      <w:r w:rsidRPr="000D6346">
        <w:rPr>
          <w:rFonts w:ascii="SimHei" w:eastAsia="SimHei" w:hint="eastAsia"/>
          <w:color w:val="FF0000"/>
        </w:rPr>
        <w:t>特别措施，确保女</w:t>
      </w:r>
      <w:r>
        <w:rPr>
          <w:rFonts w:ascii="SimHei" w:eastAsia="SimHei" w:hint="eastAsia"/>
          <w:color w:val="FF0000"/>
        </w:rPr>
        <w:t>孩</w:t>
      </w:r>
      <w:r w:rsidRPr="000D6346">
        <w:rPr>
          <w:rFonts w:ascii="SimHei" w:eastAsia="SimHei" w:hint="eastAsia"/>
          <w:color w:val="FF0000"/>
        </w:rPr>
        <w:t>和妇女平等接受各级教育，并让女</w:t>
      </w:r>
      <w:r>
        <w:rPr>
          <w:rFonts w:ascii="SimHei" w:eastAsia="SimHei" w:hint="eastAsia"/>
          <w:color w:val="FF0000"/>
        </w:rPr>
        <w:t>孩</w:t>
      </w:r>
      <w:r w:rsidRPr="000D6346">
        <w:rPr>
          <w:rFonts w:ascii="SimHei" w:eastAsia="SimHei" w:hint="eastAsia"/>
          <w:color w:val="FF0000"/>
        </w:rPr>
        <w:t>留在学校</w:t>
      </w:r>
      <w:r>
        <w:rPr>
          <w:rFonts w:ascii="SimHei" w:eastAsia="SimHei" w:hint="eastAsia"/>
          <w:color w:val="FF0000"/>
        </w:rPr>
        <w:t>就学</w:t>
      </w:r>
      <w:r w:rsidRPr="000D6346">
        <w:rPr>
          <w:rFonts w:ascii="SimHei" w:eastAsia="SimHei" w:hint="eastAsia"/>
          <w:color w:val="FF0000"/>
        </w:rPr>
        <w:t>。委员会吁请缔约国采纳各项正规和非正规教育综合方案，并开展成人教育和培训，以此全力提高女</w:t>
      </w:r>
      <w:r>
        <w:rPr>
          <w:rFonts w:ascii="SimHei" w:eastAsia="SimHei" w:hint="eastAsia"/>
          <w:color w:val="FF0000"/>
        </w:rPr>
        <w:t>孩</w:t>
      </w:r>
      <w:r w:rsidRPr="000D6346">
        <w:rPr>
          <w:rFonts w:ascii="SimHei" w:eastAsia="SimHei" w:hint="eastAsia"/>
          <w:color w:val="FF0000"/>
        </w:rPr>
        <w:t>和妇女的识字水平。委员会请缔约国采取具体措施，使</w:t>
      </w:r>
      <w:r>
        <w:rPr>
          <w:rFonts w:ascii="SimHei" w:eastAsia="SimHei" w:hint="eastAsia"/>
          <w:color w:val="FF0000"/>
        </w:rPr>
        <w:t>女孩</w:t>
      </w:r>
      <w:r w:rsidRPr="000D6346">
        <w:rPr>
          <w:rFonts w:ascii="SimHei" w:eastAsia="SimHei" w:hint="eastAsia"/>
          <w:color w:val="FF0000"/>
        </w:rPr>
        <w:t>能够在分娩后完成学业，并克服早婚和逼婚等阻碍她们受教育的障碍。委员会鼓励缔约国加强与民间社会的合作，争取国际社会和捐助组织提供更多的支助，以加快履行《公约》第十条。</w:t>
      </w:r>
    </w:p>
    <w:p w:rsidR="002547C1" w:rsidRDefault="002547C1" w:rsidP="002547C1">
      <w:pPr>
        <w:pStyle w:val="SingleTxt"/>
        <w:spacing w:after="160"/>
        <w:rPr>
          <w:rFonts w:hint="eastAsia"/>
        </w:rPr>
      </w:pPr>
      <w:r>
        <w:rPr>
          <w:rFonts w:hint="eastAsia"/>
        </w:rPr>
        <w:t>37.</w:t>
      </w:r>
      <w:r>
        <w:rPr>
          <w:rFonts w:hint="eastAsia"/>
        </w:rPr>
        <w:tab/>
        <w:t>委员会关切地注意到，虽然缔约国的立法保障就业和工作领域的两性平等，但没有任何具体措施和执行机制，来防止和消除这些领域中实际存在的歧视妇女现象。委员会还对妇女就业机会不平等、导致妇女在不提供社会保障的非正规部门的就业人数偏多感到关切。</w:t>
      </w:r>
    </w:p>
    <w:p w:rsidR="002547C1" w:rsidRPr="000D6346" w:rsidRDefault="002547C1" w:rsidP="002547C1">
      <w:pPr>
        <w:pStyle w:val="SingleTxt"/>
        <w:spacing w:after="160"/>
        <w:rPr>
          <w:rFonts w:ascii="SimHei" w:eastAsia="SimHei" w:hint="eastAsia"/>
          <w:color w:val="FF0000"/>
        </w:rPr>
      </w:pPr>
      <w:r>
        <w:rPr>
          <w:rFonts w:hint="eastAsia"/>
        </w:rPr>
        <w:t>38.</w:t>
      </w:r>
      <w:r>
        <w:rPr>
          <w:rFonts w:hint="eastAsia"/>
        </w:rPr>
        <w:tab/>
      </w:r>
      <w:r w:rsidRPr="000D6346">
        <w:rPr>
          <w:rFonts w:ascii="SimHei" w:eastAsia="SimHei" w:hint="eastAsia"/>
          <w:color w:val="FF0000"/>
        </w:rPr>
        <w:t>委员会吁请缔约国毫不拖延地采取具体措施，包括建立执行机制，确保妇女在就业和工作领域的平等权利，</w:t>
      </w:r>
      <w:r>
        <w:rPr>
          <w:rFonts w:ascii="SimHei" w:eastAsia="SimHei" w:hint="eastAsia"/>
          <w:color w:val="FF0000"/>
        </w:rPr>
        <w:t>并确保妇女</w:t>
      </w:r>
      <w:r w:rsidRPr="000D6346">
        <w:rPr>
          <w:rFonts w:ascii="SimHei" w:eastAsia="SimHei" w:hint="eastAsia"/>
          <w:color w:val="FF0000"/>
        </w:rPr>
        <w:t>充分平等加入劳动力市场。其中应包括保证同工同酬和</w:t>
      </w:r>
      <w:r>
        <w:rPr>
          <w:rFonts w:ascii="SimHei" w:eastAsia="SimHei" w:hint="eastAsia"/>
          <w:color w:val="FF0000"/>
        </w:rPr>
        <w:t>同</w:t>
      </w:r>
      <w:r w:rsidRPr="000D6346">
        <w:rPr>
          <w:rFonts w:ascii="SimHei" w:eastAsia="SimHei" w:hint="eastAsia"/>
          <w:color w:val="FF0000"/>
        </w:rPr>
        <w:t>值工作同</w:t>
      </w:r>
      <w:r>
        <w:rPr>
          <w:rFonts w:ascii="SimHei" w:eastAsia="SimHei" w:hint="eastAsia"/>
          <w:color w:val="FF0000"/>
        </w:rPr>
        <w:t>等报</w:t>
      </w:r>
      <w:r w:rsidRPr="000D6346">
        <w:rPr>
          <w:rFonts w:ascii="SimHei" w:eastAsia="SimHei" w:hint="eastAsia"/>
          <w:color w:val="FF0000"/>
        </w:rPr>
        <w:t>酬。委员会还呼吁缔约国</w:t>
      </w:r>
      <w:r>
        <w:rPr>
          <w:rFonts w:ascii="SimHei" w:eastAsia="SimHei" w:hint="eastAsia"/>
          <w:color w:val="FF0000"/>
        </w:rPr>
        <w:t>制定</w:t>
      </w:r>
      <w:r w:rsidRPr="000D6346">
        <w:rPr>
          <w:rFonts w:ascii="SimHei" w:eastAsia="SimHei" w:hint="eastAsia"/>
          <w:color w:val="FF0000"/>
        </w:rPr>
        <w:t>禁止性骚扰的立法。</w:t>
      </w:r>
    </w:p>
    <w:p w:rsidR="002547C1" w:rsidRDefault="002547C1" w:rsidP="002547C1">
      <w:pPr>
        <w:pStyle w:val="SingleTxt"/>
        <w:spacing w:after="160"/>
        <w:rPr>
          <w:rFonts w:hint="eastAsia"/>
        </w:rPr>
      </w:pPr>
      <w:r>
        <w:rPr>
          <w:rFonts w:hint="eastAsia"/>
        </w:rPr>
        <w:t>39.</w:t>
      </w:r>
      <w:r>
        <w:rPr>
          <w:rFonts w:hint="eastAsia"/>
        </w:rPr>
        <w:tab/>
        <w:t>委员会注意到缔约国已为改善妇女健康状况作出努力，包括制定《2003-2007年国家生殖健康方案》，但委员会对尤其农村地区妇女和女孩没有获得适当保健服务，包括产前产后护理和计划生育信息表示关切。委员会还对令人震惊的少女怀孕率感到关切，这是阻碍女孩享有教育机会和增强经济力量的重大障碍，也会导致膀胱阴道瘘比率升高。委员会特别关切的是，孕产妇和婴儿死亡率高、避孕药具使用率低和没有对青年人开展性教育，尤其是在农村地区。委员会还对青年药物滥用情况的发生率感到关切。</w:t>
      </w:r>
    </w:p>
    <w:p w:rsidR="002547C1" w:rsidRDefault="002547C1" w:rsidP="002547C1">
      <w:pPr>
        <w:pStyle w:val="SingleTxt"/>
        <w:spacing w:after="160" w:line="340" w:lineRule="exact"/>
        <w:rPr>
          <w:rFonts w:hint="eastAsia"/>
        </w:rPr>
      </w:pPr>
      <w:r>
        <w:rPr>
          <w:rFonts w:hint="eastAsia"/>
        </w:rPr>
        <w:t>40.</w:t>
      </w:r>
      <w:r>
        <w:rPr>
          <w:rFonts w:hint="eastAsia"/>
        </w:rPr>
        <w:tab/>
      </w:r>
      <w:r w:rsidRPr="000D6346">
        <w:rPr>
          <w:rFonts w:ascii="SimHei" w:eastAsia="SimHei" w:hint="eastAsia"/>
          <w:color w:val="FF0000"/>
        </w:rPr>
        <w:t>委员会建议缔约国采取一切必要措施，改善妇女</w:t>
      </w:r>
      <w:r>
        <w:rPr>
          <w:rFonts w:ascii="SimHei" w:eastAsia="SimHei" w:hint="eastAsia"/>
          <w:color w:val="FF0000"/>
        </w:rPr>
        <w:t>，</w:t>
      </w:r>
      <w:r w:rsidRPr="000D6346">
        <w:rPr>
          <w:rFonts w:ascii="SimHei" w:eastAsia="SimHei" w:hint="eastAsia"/>
          <w:color w:val="FF0000"/>
        </w:rPr>
        <w:t>包括农村妇女</w:t>
      </w:r>
      <w:r>
        <w:rPr>
          <w:rFonts w:ascii="SimHei" w:eastAsia="SimHei" w:hint="eastAsia"/>
          <w:color w:val="FF0000"/>
        </w:rPr>
        <w:t>，获得</w:t>
      </w:r>
      <w:r w:rsidRPr="000D6346">
        <w:rPr>
          <w:rFonts w:ascii="SimHei" w:eastAsia="SimHei" w:hint="eastAsia"/>
          <w:color w:val="FF0000"/>
        </w:rPr>
        <w:t>保健和健康相关服务和信息的机会。委员会吁请缔约国更好地提供性</w:t>
      </w:r>
      <w:r>
        <w:rPr>
          <w:rFonts w:ascii="SimHei" w:eastAsia="SimHei" w:hint="eastAsia"/>
          <w:color w:val="FF0000"/>
        </w:rPr>
        <w:t>健康</w:t>
      </w:r>
      <w:r w:rsidRPr="000D6346">
        <w:rPr>
          <w:rFonts w:ascii="SimHei" w:eastAsia="SimHei" w:hint="eastAsia"/>
          <w:color w:val="FF0000"/>
        </w:rPr>
        <w:t>和生殖健康服务，包括计划生育服务和产科护理</w:t>
      </w:r>
      <w:r>
        <w:rPr>
          <w:rFonts w:ascii="SimHei" w:eastAsia="SimHei" w:hint="eastAsia"/>
          <w:color w:val="FF0000"/>
        </w:rPr>
        <w:t>。</w:t>
      </w:r>
      <w:r w:rsidRPr="000D6346">
        <w:rPr>
          <w:rFonts w:ascii="SimHei" w:eastAsia="SimHei" w:hint="eastAsia"/>
          <w:color w:val="FF0000"/>
        </w:rPr>
        <w:t>委员会建议</w:t>
      </w:r>
      <w:r>
        <w:rPr>
          <w:rFonts w:ascii="SimHei" w:eastAsia="SimHei" w:hint="eastAsia"/>
          <w:color w:val="FF0000"/>
        </w:rPr>
        <w:t>制定</w:t>
      </w:r>
      <w:r w:rsidRPr="000D6346">
        <w:rPr>
          <w:rFonts w:ascii="SimHei" w:eastAsia="SimHei" w:hint="eastAsia"/>
          <w:color w:val="FF0000"/>
        </w:rPr>
        <w:t>各项方案和政策，让人们更多地了解和掌握负担得起的避孕方法，以便使妇女和男子能够对子女数目和生育间</w:t>
      </w:r>
      <w:r>
        <w:rPr>
          <w:rFonts w:ascii="SimHei" w:eastAsia="SimHei" w:hint="eastAsia"/>
          <w:color w:val="FF0000"/>
        </w:rPr>
        <w:t>隔</w:t>
      </w:r>
      <w:r w:rsidRPr="000D6346">
        <w:rPr>
          <w:rFonts w:ascii="SimHei" w:eastAsia="SimHei" w:hint="eastAsia"/>
          <w:color w:val="FF0000"/>
        </w:rPr>
        <w:t>作出知情的选择。委员会还建议执行一项具有时限目标的全面减</w:t>
      </w:r>
      <w:r>
        <w:rPr>
          <w:rFonts w:ascii="SimHei" w:eastAsia="SimHei" w:hint="eastAsia"/>
          <w:color w:val="FF0000"/>
        </w:rPr>
        <w:t>低</w:t>
      </w:r>
      <w:r w:rsidRPr="000D6346">
        <w:rPr>
          <w:rFonts w:ascii="SimHei" w:eastAsia="SimHei" w:hint="eastAsia"/>
          <w:color w:val="FF0000"/>
        </w:rPr>
        <w:t>孕产妇和婴儿死亡率方案，包括采取措施提高</w:t>
      </w:r>
      <w:r>
        <w:rPr>
          <w:rFonts w:ascii="SimHei" w:eastAsia="SimHei" w:hint="eastAsia"/>
          <w:color w:val="FF0000"/>
        </w:rPr>
        <w:t>获得</w:t>
      </w:r>
      <w:r w:rsidRPr="000D6346">
        <w:rPr>
          <w:rFonts w:ascii="SimHei" w:eastAsia="SimHei" w:hint="eastAsia"/>
          <w:color w:val="FF0000"/>
        </w:rPr>
        <w:t>产科服务的机会。委员会还吁请缔约国处理少女怀孕问题，以预防膀胱阴道瘘，并向</w:t>
      </w:r>
      <w:r>
        <w:rPr>
          <w:rFonts w:ascii="SimHei" w:eastAsia="SimHei" w:hint="eastAsia"/>
          <w:color w:val="FF0000"/>
        </w:rPr>
        <w:t>患者</w:t>
      </w:r>
      <w:r w:rsidRPr="000D6346">
        <w:rPr>
          <w:rFonts w:ascii="SimHei" w:eastAsia="SimHei" w:hint="eastAsia"/>
          <w:color w:val="FF0000"/>
        </w:rPr>
        <w:t>提供医疗支助。委员会还建议提供适当的性教育和便于青年使用的生殖健康服务，包括预防艾滋病毒/艾滋病等性传播疾病。委员会还鼓励缔约国特别以年轻妇女为重点，处理青年人中的吸毒和药物滥用问题。</w:t>
      </w:r>
    </w:p>
    <w:p w:rsidR="002547C1" w:rsidRDefault="002547C1" w:rsidP="002547C1">
      <w:pPr>
        <w:pStyle w:val="SingleTxt"/>
        <w:spacing w:after="160" w:line="340" w:lineRule="exact"/>
        <w:rPr>
          <w:rFonts w:hint="eastAsia"/>
        </w:rPr>
      </w:pPr>
      <w:r>
        <w:rPr>
          <w:rFonts w:hint="eastAsia"/>
        </w:rPr>
        <w:t>41.</w:t>
      </w:r>
      <w:r>
        <w:rPr>
          <w:rFonts w:hint="eastAsia"/>
        </w:rPr>
        <w:tab/>
        <w:t>委员会对妇女尤其是女性户主家庭普遍贫穷的问题感到关切。委员会对农村妇女状况、她们缺乏信息和无法参与决策进程、以及她们缺乏保健、社会保障服务、教育、司法、净水、电力、土地和信贷设施等情况特别感到关切。委员会又对以族裔为由歧视妇女问题感到关切。委员会还对缺乏有关农村妇女实际状况的资料感到关切。</w:t>
      </w:r>
    </w:p>
    <w:p w:rsidR="002547C1" w:rsidRDefault="002547C1" w:rsidP="002547C1">
      <w:pPr>
        <w:pStyle w:val="SingleTxt"/>
        <w:spacing w:after="160" w:line="340" w:lineRule="exact"/>
        <w:rPr>
          <w:rFonts w:hint="eastAsia"/>
        </w:rPr>
      </w:pPr>
      <w:r>
        <w:rPr>
          <w:rFonts w:hint="eastAsia"/>
        </w:rPr>
        <w:t>42.</w:t>
      </w:r>
      <w:r>
        <w:rPr>
          <w:rFonts w:hint="eastAsia"/>
        </w:rPr>
        <w:tab/>
      </w:r>
      <w:r w:rsidRPr="006F25E6">
        <w:rPr>
          <w:rFonts w:ascii="SimHei" w:eastAsia="SimHei" w:hint="eastAsia"/>
          <w:color w:val="FF0000"/>
        </w:rPr>
        <w:t>委员</w:t>
      </w:r>
      <w:r>
        <w:rPr>
          <w:rFonts w:ascii="SimHei" w:eastAsia="SimHei" w:hint="eastAsia"/>
          <w:color w:val="FF0000"/>
        </w:rPr>
        <w:t>会敦促缔约国特别关注农村妇女和属于不同</w:t>
      </w:r>
      <w:r w:rsidRPr="006F25E6">
        <w:rPr>
          <w:rFonts w:ascii="SimHei" w:eastAsia="SimHei" w:hint="eastAsia"/>
          <w:color w:val="FF0000"/>
        </w:rPr>
        <w:t>族</w:t>
      </w:r>
      <w:r>
        <w:rPr>
          <w:rFonts w:ascii="SimHei" w:eastAsia="SimHei" w:hint="eastAsia"/>
          <w:color w:val="FF0000"/>
        </w:rPr>
        <w:t>裔</w:t>
      </w:r>
      <w:r w:rsidRPr="006F25E6">
        <w:rPr>
          <w:rFonts w:ascii="SimHei" w:eastAsia="SimHei" w:hint="eastAsia"/>
          <w:color w:val="FF0000"/>
        </w:rPr>
        <w:t>的妇女的需要。委员会还敦促缔约国确保农村妇女</w:t>
      </w:r>
      <w:r>
        <w:rPr>
          <w:rFonts w:ascii="SimHei" w:eastAsia="SimHei" w:hint="eastAsia"/>
          <w:color w:val="FF0000"/>
        </w:rPr>
        <w:t>获得</w:t>
      </w:r>
      <w:r w:rsidRPr="006F25E6">
        <w:rPr>
          <w:rFonts w:ascii="SimHei" w:eastAsia="SimHei" w:hint="eastAsia"/>
          <w:color w:val="FF0000"/>
        </w:rPr>
        <w:t>保健、教育、司法、净水、电力、土地和创收项目。委员会建议缔约国认真监测《毛里塔尼亚减贫战略框架》的执行情况，以确保在执行过程中明确顾及性别观点。委员会还建议缔约国收集有关农村妇女状况的数据，并在下次定期报告中提供此类数据和分析。委员会还请缔约国在报告中明确阐述属于不同族</w:t>
      </w:r>
      <w:r>
        <w:rPr>
          <w:rFonts w:ascii="SimHei" w:eastAsia="SimHei" w:hint="eastAsia"/>
          <w:color w:val="FF0000"/>
        </w:rPr>
        <w:t>裔群体</w:t>
      </w:r>
      <w:r w:rsidRPr="006F25E6">
        <w:rPr>
          <w:rFonts w:ascii="SimHei" w:eastAsia="SimHei" w:hint="eastAsia"/>
          <w:color w:val="FF0000"/>
        </w:rPr>
        <w:t>的妇女的状况。</w:t>
      </w:r>
    </w:p>
    <w:p w:rsidR="002547C1" w:rsidRDefault="002547C1" w:rsidP="002547C1">
      <w:pPr>
        <w:pStyle w:val="SingleTxt"/>
        <w:spacing w:after="160" w:line="340" w:lineRule="exact"/>
        <w:rPr>
          <w:rFonts w:hint="eastAsia"/>
        </w:rPr>
      </w:pPr>
      <w:r>
        <w:rPr>
          <w:rFonts w:hint="eastAsia"/>
        </w:rPr>
        <w:t>43.</w:t>
      </w:r>
      <w:r>
        <w:rPr>
          <w:rFonts w:hint="eastAsia"/>
        </w:rPr>
        <w:tab/>
        <w:t>委员会对《个人身份法》载有的某些规定可能对已婚妇女造成歧视，尤其是财产管理和维持一夫多妻制及休妻的合法性方面的歧视表示关切。</w:t>
      </w:r>
    </w:p>
    <w:p w:rsidR="002547C1" w:rsidRPr="006F25E6" w:rsidRDefault="002547C1" w:rsidP="002547C1">
      <w:pPr>
        <w:pStyle w:val="SingleTxt"/>
        <w:spacing w:after="160" w:line="340" w:lineRule="exact"/>
        <w:rPr>
          <w:rFonts w:ascii="SimHei" w:eastAsia="SimHei" w:hint="eastAsia"/>
          <w:color w:val="FF0000"/>
        </w:rPr>
      </w:pPr>
      <w:r>
        <w:rPr>
          <w:rFonts w:hint="eastAsia"/>
        </w:rPr>
        <w:t>44.</w:t>
      </w:r>
      <w:r>
        <w:rPr>
          <w:rFonts w:hint="eastAsia"/>
        </w:rPr>
        <w:tab/>
      </w:r>
      <w:r w:rsidRPr="00B92B1A">
        <w:rPr>
          <w:rFonts w:ascii="SimHei" w:eastAsia="SimHei" w:hint="eastAsia"/>
          <w:color w:val="FF0000"/>
          <w:spacing w:val="-4"/>
        </w:rPr>
        <w:t>委员会敦促缔约国根据《公约》第十五条和第十六条以及委员会一般性建议21</w:t>
      </w:r>
      <w:r>
        <w:rPr>
          <w:rFonts w:ascii="SimHei" w:eastAsia="SimHei" w:hint="eastAsia"/>
          <w:color w:val="FF0000"/>
          <w:spacing w:val="-4"/>
        </w:rPr>
        <w:t>，</w:t>
      </w:r>
      <w:r w:rsidRPr="00B92B1A">
        <w:rPr>
          <w:rFonts w:ascii="SimHei" w:eastAsia="SimHei" w:hint="eastAsia"/>
          <w:color w:val="FF0000"/>
          <w:spacing w:val="-4"/>
        </w:rPr>
        <w:t>加速改革婚姻</w:t>
      </w:r>
      <w:r>
        <w:rPr>
          <w:rFonts w:ascii="SimHei" w:eastAsia="SimHei" w:hint="eastAsia"/>
          <w:color w:val="FF0000"/>
        </w:rPr>
        <w:t>和</w:t>
      </w:r>
      <w:r w:rsidRPr="006F25E6">
        <w:rPr>
          <w:rFonts w:ascii="SimHei" w:eastAsia="SimHei" w:hint="eastAsia"/>
          <w:color w:val="FF0000"/>
        </w:rPr>
        <w:t>家庭法，消除一切歧视性规定，以使妇女享有相同的法律权利和义务。</w:t>
      </w:r>
    </w:p>
    <w:p w:rsidR="002547C1" w:rsidRDefault="002547C1" w:rsidP="002547C1">
      <w:pPr>
        <w:pStyle w:val="SingleTxt"/>
        <w:spacing w:after="160" w:line="340" w:lineRule="exact"/>
        <w:rPr>
          <w:rFonts w:hint="eastAsia"/>
        </w:rPr>
      </w:pPr>
      <w:r>
        <w:rPr>
          <w:rFonts w:hint="eastAsia"/>
        </w:rPr>
        <w:t>45.</w:t>
      </w:r>
      <w:r>
        <w:rPr>
          <w:rFonts w:hint="eastAsia"/>
        </w:rPr>
        <w:tab/>
      </w:r>
      <w:r w:rsidRPr="006F25E6">
        <w:rPr>
          <w:rFonts w:ascii="SimHei" w:eastAsia="SimHei" w:hint="eastAsia"/>
          <w:color w:val="FF0000"/>
        </w:rPr>
        <w:t>委员会鼓励缔约国批准《消除对妇女一切形式歧视公约任择议定书》，并尽快接受关于委员会会议时间的《公约》第二十条第1款修正案。</w:t>
      </w:r>
    </w:p>
    <w:p w:rsidR="002547C1" w:rsidRPr="006F25E6" w:rsidRDefault="002547C1" w:rsidP="002547C1">
      <w:pPr>
        <w:pStyle w:val="SingleTxt"/>
        <w:spacing w:after="160" w:line="340" w:lineRule="exact"/>
        <w:rPr>
          <w:rFonts w:ascii="SimHei" w:eastAsia="SimHei" w:hint="eastAsia"/>
          <w:color w:val="FF0000"/>
        </w:rPr>
      </w:pPr>
      <w:r>
        <w:rPr>
          <w:rFonts w:hint="eastAsia"/>
        </w:rPr>
        <w:t>46.</w:t>
      </w:r>
      <w:r>
        <w:rPr>
          <w:rFonts w:hint="eastAsia"/>
        </w:rPr>
        <w:tab/>
      </w:r>
      <w:r w:rsidRPr="006F25E6">
        <w:rPr>
          <w:rFonts w:ascii="SimHei" w:eastAsia="SimHei" w:hint="eastAsia"/>
          <w:color w:val="FF0000"/>
        </w:rPr>
        <w:t>委员会敦促缔约国在履行</w:t>
      </w:r>
      <w:r>
        <w:rPr>
          <w:rFonts w:ascii="SimHei" w:eastAsia="SimHei" w:hint="eastAsia"/>
          <w:color w:val="FF0000"/>
        </w:rPr>
        <w:t>《</w:t>
      </w:r>
      <w:r w:rsidRPr="006F25E6">
        <w:rPr>
          <w:rFonts w:ascii="SimHei" w:eastAsia="SimHei" w:hint="eastAsia"/>
          <w:color w:val="FF0000"/>
        </w:rPr>
        <w:t>公约</w:t>
      </w:r>
      <w:r>
        <w:rPr>
          <w:rFonts w:ascii="SimHei" w:eastAsia="SimHei" w:hint="eastAsia"/>
          <w:color w:val="FF0000"/>
        </w:rPr>
        <w:t>》规定的</w:t>
      </w:r>
      <w:r w:rsidRPr="006F25E6">
        <w:rPr>
          <w:rFonts w:ascii="SimHei" w:eastAsia="SimHei" w:hint="eastAsia"/>
          <w:color w:val="FF0000"/>
        </w:rPr>
        <w:t>义务时，充分利用加强</w:t>
      </w:r>
      <w:r>
        <w:rPr>
          <w:rFonts w:ascii="SimHei" w:eastAsia="SimHei" w:hint="eastAsia"/>
          <w:color w:val="FF0000"/>
        </w:rPr>
        <w:t>《</w:t>
      </w:r>
      <w:r w:rsidRPr="006F25E6">
        <w:rPr>
          <w:rFonts w:ascii="SimHei" w:eastAsia="SimHei" w:hint="eastAsia"/>
          <w:color w:val="FF0000"/>
        </w:rPr>
        <w:t>公约</w:t>
      </w:r>
      <w:r>
        <w:rPr>
          <w:rFonts w:ascii="SimHei" w:eastAsia="SimHei" w:hint="eastAsia"/>
          <w:color w:val="FF0000"/>
        </w:rPr>
        <w:t>》</w:t>
      </w:r>
      <w:r w:rsidRPr="006F25E6">
        <w:rPr>
          <w:rFonts w:ascii="SimHei" w:eastAsia="SimHei" w:hint="eastAsia"/>
          <w:color w:val="FF0000"/>
        </w:rPr>
        <w:t>各项规定的《北京宣言和行动纲领》，并请缔约国在其下次定期报告中提供有关资料。</w:t>
      </w:r>
    </w:p>
    <w:p w:rsidR="002547C1" w:rsidRDefault="002547C1" w:rsidP="002547C1">
      <w:pPr>
        <w:pStyle w:val="SingleTxt"/>
        <w:spacing w:after="160" w:line="340" w:lineRule="exact"/>
        <w:rPr>
          <w:rFonts w:hint="eastAsia"/>
        </w:rPr>
      </w:pPr>
      <w:r>
        <w:rPr>
          <w:rFonts w:hint="eastAsia"/>
        </w:rPr>
        <w:t>47.</w:t>
      </w:r>
      <w:r>
        <w:rPr>
          <w:rFonts w:hint="eastAsia"/>
        </w:rPr>
        <w:tab/>
      </w:r>
      <w:r w:rsidRPr="006F25E6">
        <w:rPr>
          <w:rFonts w:ascii="SimHei" w:eastAsia="SimHei" w:hint="eastAsia"/>
          <w:color w:val="FF0000"/>
        </w:rPr>
        <w:t>委员会还强调，充分有效执行《公约》对实现千年发展目标不可或缺。委员会要求在</w:t>
      </w:r>
      <w:r>
        <w:rPr>
          <w:rFonts w:ascii="SimHei" w:eastAsia="SimHei" w:hint="eastAsia"/>
          <w:color w:val="FF0000"/>
        </w:rPr>
        <w:t>旨在</w:t>
      </w:r>
      <w:r w:rsidRPr="006F25E6">
        <w:rPr>
          <w:rFonts w:ascii="SimHei" w:eastAsia="SimHei" w:hint="eastAsia"/>
          <w:color w:val="FF0000"/>
        </w:rPr>
        <w:t>实现千年发展目标的各项努力中纳入性别观点，并明确反映《公约》的各项规定，并请缔约国在下次定期报告中提供有关资料。</w:t>
      </w:r>
    </w:p>
    <w:p w:rsidR="002547C1" w:rsidRPr="006F25E6" w:rsidRDefault="002547C1" w:rsidP="002547C1">
      <w:pPr>
        <w:pStyle w:val="SingleTxt"/>
        <w:rPr>
          <w:rFonts w:ascii="SimHei" w:eastAsia="SimHei" w:hint="eastAsia"/>
          <w:color w:val="FF0000"/>
        </w:rPr>
      </w:pPr>
      <w:r>
        <w:rPr>
          <w:rFonts w:hint="eastAsia"/>
        </w:rPr>
        <w:t>48.</w:t>
      </w:r>
      <w:r>
        <w:rPr>
          <w:rFonts w:hint="eastAsia"/>
        </w:rPr>
        <w:tab/>
      </w:r>
      <w:r w:rsidRPr="006F25E6">
        <w:rPr>
          <w:rFonts w:ascii="SimHei" w:eastAsia="SimHei" w:hint="eastAsia"/>
          <w:color w:val="FF0000"/>
        </w:rPr>
        <w:t>委员会</w:t>
      </w:r>
      <w:r>
        <w:rPr>
          <w:rFonts w:ascii="SimHei" w:eastAsia="SimHei" w:hint="eastAsia"/>
          <w:color w:val="FF0000"/>
        </w:rPr>
        <w:t>指出</w:t>
      </w:r>
      <w:r w:rsidRPr="006F25E6">
        <w:rPr>
          <w:rFonts w:ascii="SimHei" w:eastAsia="SimHei" w:hint="eastAsia"/>
          <w:color w:val="FF0000"/>
        </w:rPr>
        <w:t>，各国</w:t>
      </w:r>
      <w:r>
        <w:rPr>
          <w:rFonts w:ascii="SimHei" w:eastAsia="SimHei" w:hint="eastAsia"/>
          <w:color w:val="FF0000"/>
        </w:rPr>
        <w:t>遵守</w:t>
      </w:r>
      <w:r w:rsidRPr="006F25E6">
        <w:rPr>
          <w:rFonts w:ascii="SimHei" w:eastAsia="SimHei" w:hint="eastAsia"/>
          <w:color w:val="FF0000"/>
        </w:rPr>
        <w:t>七项主要的国际人权文书</w:t>
      </w:r>
      <w:r>
        <w:rPr>
          <w:rStyle w:val="FootnoteReference"/>
          <w:rFonts w:ascii="SimHei" w:eastAsia="SimHei"/>
        </w:rPr>
        <w:footnoteReference w:id="1"/>
      </w:r>
      <w:r w:rsidRPr="006F25E6">
        <w:rPr>
          <w:rFonts w:ascii="SimHei" w:eastAsia="SimHei" w:hint="eastAsia"/>
          <w:color w:val="FF0000"/>
        </w:rPr>
        <w:t xml:space="preserve"> 有助于妇女在生活各个方面享有人权和基本自由。因此，委员会鼓励毛里塔尼亚政府考虑批准它尚未</w:t>
      </w:r>
      <w:r>
        <w:rPr>
          <w:rFonts w:ascii="SimHei" w:eastAsia="SimHei" w:hint="eastAsia"/>
          <w:color w:val="FF0000"/>
        </w:rPr>
        <w:t>参加</w:t>
      </w:r>
      <w:r w:rsidRPr="006F25E6">
        <w:rPr>
          <w:rFonts w:ascii="SimHei" w:eastAsia="SimHei" w:hint="eastAsia"/>
          <w:color w:val="FF0000"/>
        </w:rPr>
        <w:t>的一项条约，即《保护所有移徙工人及其家庭成员权利国际公约》。</w:t>
      </w:r>
    </w:p>
    <w:p w:rsidR="002547C1" w:rsidRDefault="002547C1" w:rsidP="002547C1">
      <w:pPr>
        <w:pStyle w:val="SingleTxt"/>
        <w:rPr>
          <w:rFonts w:hint="eastAsia"/>
        </w:rPr>
      </w:pPr>
      <w:r>
        <w:rPr>
          <w:rFonts w:hint="eastAsia"/>
        </w:rPr>
        <w:t>49.</w:t>
      </w:r>
      <w:r>
        <w:rPr>
          <w:rFonts w:hint="eastAsia"/>
        </w:rPr>
        <w:tab/>
      </w:r>
      <w:r w:rsidRPr="006F25E6">
        <w:rPr>
          <w:rFonts w:ascii="SimHei" w:eastAsia="SimHei" w:hint="eastAsia"/>
          <w:color w:val="FF0000"/>
        </w:rPr>
        <w:t>委员会请毛里塔尼亚广泛传播本结论意见，使人民</w:t>
      </w:r>
      <w:r>
        <w:rPr>
          <w:rFonts w:ascii="SimHei" w:eastAsia="SimHei" w:hint="eastAsia"/>
          <w:color w:val="FF0000"/>
        </w:rPr>
        <w:t>（</w:t>
      </w:r>
      <w:r w:rsidRPr="006F25E6">
        <w:rPr>
          <w:rFonts w:ascii="SimHei" w:eastAsia="SimHei" w:hint="eastAsia"/>
          <w:color w:val="FF0000"/>
        </w:rPr>
        <w:t>包括政府官员、</w:t>
      </w:r>
      <w:r>
        <w:rPr>
          <w:rFonts w:ascii="SimHei" w:eastAsia="SimHei" w:hint="eastAsia"/>
          <w:color w:val="FF0000"/>
        </w:rPr>
        <w:t>政界人士、</w:t>
      </w:r>
      <w:r w:rsidRPr="006F25E6">
        <w:rPr>
          <w:rFonts w:ascii="SimHei" w:eastAsia="SimHei" w:hint="eastAsia"/>
          <w:color w:val="FF0000"/>
        </w:rPr>
        <w:t>议员和妇女及人权组织</w:t>
      </w:r>
      <w:r>
        <w:rPr>
          <w:rFonts w:ascii="SimHei" w:eastAsia="SimHei" w:hint="eastAsia"/>
          <w:color w:val="FF0000"/>
        </w:rPr>
        <w:t>）认识到</w:t>
      </w:r>
      <w:r w:rsidRPr="006F25E6">
        <w:rPr>
          <w:rFonts w:ascii="SimHei" w:eastAsia="SimHei" w:hint="eastAsia"/>
          <w:color w:val="FF0000"/>
        </w:rPr>
        <w:t>为确保</w:t>
      </w:r>
      <w:r>
        <w:rPr>
          <w:rFonts w:ascii="SimHei" w:eastAsia="SimHei" w:hint="eastAsia"/>
          <w:color w:val="FF0000"/>
        </w:rPr>
        <w:t>妇女</w:t>
      </w:r>
      <w:r w:rsidRPr="006F25E6">
        <w:rPr>
          <w:rFonts w:ascii="SimHei" w:eastAsia="SimHei" w:hint="eastAsia"/>
          <w:color w:val="FF0000"/>
        </w:rPr>
        <w:t>法律上和事实上的平等</w:t>
      </w:r>
      <w:r>
        <w:rPr>
          <w:rFonts w:ascii="SimHei" w:eastAsia="SimHei" w:hint="eastAsia"/>
          <w:color w:val="FF0000"/>
        </w:rPr>
        <w:t>而</w:t>
      </w:r>
      <w:r w:rsidRPr="006F25E6">
        <w:rPr>
          <w:rFonts w:ascii="SimHei" w:eastAsia="SimHei" w:hint="eastAsia"/>
          <w:color w:val="FF0000"/>
        </w:rPr>
        <w:t>采取的步骤，以及这方面需要进一步采取的步骤。委员会请缔约国继续广泛传播</w:t>
      </w:r>
      <w:r>
        <w:rPr>
          <w:rFonts w:ascii="SimHei" w:eastAsia="SimHei" w:hint="eastAsia"/>
          <w:color w:val="FF0000"/>
        </w:rPr>
        <w:t>，</w:t>
      </w:r>
      <w:r w:rsidRPr="006F25E6">
        <w:rPr>
          <w:rFonts w:ascii="SimHei" w:eastAsia="SimHei" w:hint="eastAsia"/>
          <w:color w:val="FF0000"/>
        </w:rPr>
        <w:t>尤其</w:t>
      </w:r>
      <w:r>
        <w:rPr>
          <w:rFonts w:ascii="SimHei" w:eastAsia="SimHei" w:hint="eastAsia"/>
          <w:color w:val="FF0000"/>
        </w:rPr>
        <w:t>是</w:t>
      </w:r>
      <w:r w:rsidRPr="006F25E6">
        <w:rPr>
          <w:rFonts w:ascii="SimHei" w:eastAsia="SimHei" w:hint="eastAsia"/>
          <w:color w:val="FF0000"/>
        </w:rPr>
        <w:t>向妇女和人权组织</w:t>
      </w:r>
      <w:r>
        <w:rPr>
          <w:rFonts w:ascii="SimHei" w:eastAsia="SimHei" w:hint="eastAsia"/>
          <w:color w:val="FF0000"/>
        </w:rPr>
        <w:t>传播</w:t>
      </w:r>
      <w:r w:rsidRPr="006F25E6">
        <w:rPr>
          <w:rFonts w:ascii="SimHei" w:eastAsia="SimHei" w:hint="eastAsia"/>
          <w:color w:val="FF0000"/>
        </w:rPr>
        <w:t>《公约》、《</w:t>
      </w:r>
      <w:r>
        <w:rPr>
          <w:rFonts w:ascii="SimHei" w:eastAsia="SimHei" w:hint="eastAsia"/>
          <w:color w:val="FF0000"/>
        </w:rPr>
        <w:t>公约</w:t>
      </w:r>
      <w:r w:rsidRPr="006F25E6">
        <w:rPr>
          <w:rFonts w:ascii="SimHei" w:eastAsia="SimHei" w:hint="eastAsia"/>
          <w:color w:val="FF0000"/>
        </w:rPr>
        <w:t>任择议定书》、委员会一般性建议、《北京宣言和行动纲领》以及题为“2000年妇女：二十一世纪两性平等、发展与和平”的</w:t>
      </w:r>
      <w:r>
        <w:rPr>
          <w:rFonts w:ascii="SimHei" w:eastAsia="SimHei" w:hint="eastAsia"/>
          <w:color w:val="FF0000"/>
        </w:rPr>
        <w:t>联大</w:t>
      </w:r>
      <w:r w:rsidRPr="006F25E6">
        <w:rPr>
          <w:rFonts w:ascii="SimHei" w:eastAsia="SimHei" w:hint="eastAsia"/>
          <w:color w:val="FF0000"/>
        </w:rPr>
        <w:t>第二十三届特别会议成果。</w:t>
      </w:r>
    </w:p>
    <w:p w:rsidR="002547C1" w:rsidRDefault="002547C1" w:rsidP="002547C1">
      <w:pPr>
        <w:pStyle w:val="SingleTxt"/>
        <w:rPr>
          <w:rFonts w:ascii="SimHei" w:eastAsia="SimHei" w:hint="eastAsia"/>
          <w:color w:val="FF0000"/>
        </w:rPr>
      </w:pPr>
      <w:r>
        <w:rPr>
          <w:rFonts w:hint="eastAsia"/>
        </w:rPr>
        <w:t>50.</w:t>
      </w:r>
      <w:r>
        <w:rPr>
          <w:rFonts w:hint="eastAsia"/>
        </w:rPr>
        <w:tab/>
      </w:r>
      <w:r w:rsidRPr="00B74AD0">
        <w:rPr>
          <w:rFonts w:ascii="SimHei" w:eastAsia="SimHei" w:hint="eastAsia"/>
          <w:color w:val="FF0000"/>
        </w:rPr>
        <w:t>委员会请缔约国</w:t>
      </w:r>
      <w:r>
        <w:rPr>
          <w:rFonts w:ascii="SimHei" w:eastAsia="SimHei" w:hint="eastAsia"/>
          <w:color w:val="FF0000"/>
        </w:rPr>
        <w:t>在其</w:t>
      </w:r>
      <w:r w:rsidRPr="00B74AD0">
        <w:rPr>
          <w:rFonts w:ascii="SimHei" w:eastAsia="SimHei" w:hint="eastAsia"/>
          <w:color w:val="FF0000"/>
        </w:rPr>
        <w:t>根据《公约》第十八条</w:t>
      </w:r>
      <w:r>
        <w:rPr>
          <w:rFonts w:ascii="SimHei" w:eastAsia="SimHei" w:hint="eastAsia"/>
          <w:color w:val="FF0000"/>
        </w:rPr>
        <w:t>提出的</w:t>
      </w:r>
      <w:r w:rsidRPr="00B74AD0">
        <w:rPr>
          <w:rFonts w:ascii="SimHei" w:eastAsia="SimHei" w:hint="eastAsia"/>
          <w:color w:val="FF0000"/>
        </w:rPr>
        <w:t>下次定期报告中</w:t>
      </w:r>
      <w:r>
        <w:rPr>
          <w:rFonts w:ascii="SimHei" w:eastAsia="SimHei" w:hint="eastAsia"/>
          <w:color w:val="FF0000"/>
        </w:rPr>
        <w:t>，</w:t>
      </w:r>
      <w:r w:rsidRPr="00B74AD0">
        <w:rPr>
          <w:rFonts w:ascii="SimHei" w:eastAsia="SimHei" w:hint="eastAsia"/>
          <w:color w:val="FF0000"/>
        </w:rPr>
        <w:t>对本结论意见所</w:t>
      </w:r>
      <w:r>
        <w:rPr>
          <w:rFonts w:ascii="SimHei" w:eastAsia="SimHei" w:hint="eastAsia"/>
          <w:color w:val="FF0000"/>
        </w:rPr>
        <w:t>表达的</w:t>
      </w:r>
      <w:r w:rsidRPr="00B74AD0">
        <w:rPr>
          <w:rFonts w:ascii="SimHei" w:eastAsia="SimHei" w:hint="eastAsia"/>
          <w:color w:val="FF0000"/>
        </w:rPr>
        <w:t>关切作出回应。委员会请缔约国2010年以合</w:t>
      </w:r>
      <w:r>
        <w:rPr>
          <w:rFonts w:ascii="SimHei" w:eastAsia="SimHei" w:hint="eastAsia"/>
          <w:color w:val="FF0000"/>
        </w:rPr>
        <w:t>并</w:t>
      </w:r>
      <w:r w:rsidRPr="00B74AD0">
        <w:rPr>
          <w:rFonts w:ascii="SimHei" w:eastAsia="SimHei" w:hint="eastAsia"/>
          <w:color w:val="FF0000"/>
        </w:rPr>
        <w:t>报告形式提交应于2006年6月提交的第二次定期报告和应于2010年</w:t>
      </w:r>
      <w:r>
        <w:rPr>
          <w:rFonts w:ascii="SimHei" w:eastAsia="SimHei" w:hint="eastAsia"/>
          <w:color w:val="FF0000"/>
        </w:rPr>
        <w:t>6月</w:t>
      </w:r>
      <w:r w:rsidRPr="00B74AD0">
        <w:rPr>
          <w:rFonts w:ascii="SimHei" w:eastAsia="SimHei" w:hint="eastAsia"/>
          <w:color w:val="FF0000"/>
        </w:rPr>
        <w:t>提交的第三次定期报告。</w:t>
      </w:r>
    </w:p>
    <w:p w:rsidR="00EA31C3" w:rsidRPr="00F85347" w:rsidRDefault="002547C1" w:rsidP="00F85347">
      <w:pPr>
        <w:pStyle w:val="SingleTxt"/>
        <w:spacing w:after="0" w:line="240" w:lineRule="auto"/>
        <w:rPr>
          <w:sz w:val="20"/>
        </w:rPr>
      </w:pPr>
      <w:r>
        <w:rPr>
          <w:rFonts w:hint="eastAsia"/>
          <w:noProof/>
          <w:sz w:val="20"/>
        </w:rPr>
        <w:pict>
          <v:line id="_x0000_s1026" style="position:absolute;left:0;text-align:left;z-index:1;mso-position-horizontal:center" from="0,30pt" to="1in,30pt" strokeweight=".25pt"/>
        </w:pict>
      </w:r>
    </w:p>
    <w:sectPr w:rsidR="00EA31C3" w:rsidRPr="00F85347" w:rsidSect="00EF59E7">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0:10:00Z" w:initials="Start">
    <w:p w:rsidR="00F85347" w:rsidRDefault="00F8534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A15AF6">
        <w:fldChar w:fldCharType="separate"/>
      </w:r>
      <w:r w:rsidR="00A15AF6">
        <w:rPr>
          <w:rFonts w:hint="eastAsia"/>
          <w:noProof/>
        </w:rPr>
        <w:t xml:space="preserve">页: </w:t>
      </w:r>
      <w:r w:rsidR="00A15AF6">
        <w:rPr>
          <w:noProof/>
        </w:rPr>
        <w:t>1</w:t>
      </w:r>
      <w:r w:rsidR="00A15AF6">
        <w:rPr>
          <w:rFonts w:hint="eastAsia"/>
          <w:noProof/>
        </w:rPr>
        <w:br/>
      </w:r>
      <w:r>
        <w:fldChar w:fldCharType="end"/>
      </w:r>
      <w:r>
        <w:rPr>
          <w:rStyle w:val="CommentReference"/>
        </w:rPr>
        <w:annotationRef/>
      </w:r>
      <w:r>
        <w:t>&lt;&lt;ODS JOB NO&gt;&gt;N0737583C&lt;&lt;ODS JOB NO&gt;&gt;</w:t>
      </w:r>
    </w:p>
    <w:p w:rsidR="00F85347" w:rsidRDefault="00F85347">
      <w:pPr>
        <w:pStyle w:val="CommentText"/>
      </w:pPr>
      <w:r>
        <w:t>&lt;&lt;ODS DOC SYMBOL1&gt;&gt;CEDAW/C/MRT/CO/1&lt;&lt;ODS DOC SYMBOL1&gt;&gt;</w:t>
      </w:r>
    </w:p>
    <w:p w:rsidR="00F85347" w:rsidRDefault="00F853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66B" w:rsidRDefault="00C9666B">
      <w:r>
        <w:separator/>
      </w:r>
    </w:p>
  </w:endnote>
  <w:endnote w:type="continuationSeparator" w:id="0">
    <w:p w:rsidR="00C9666B" w:rsidRDefault="00C96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85347" w:rsidTr="00EF59E7">
      <w:tblPrEx>
        <w:tblCellMar>
          <w:top w:w="0" w:type="dxa"/>
          <w:bottom w:w="0" w:type="dxa"/>
        </w:tblCellMar>
      </w:tblPrEx>
      <w:tc>
        <w:tcPr>
          <w:tcW w:w="5033" w:type="dxa"/>
          <w:shd w:val="clear" w:color="auto" w:fill="auto"/>
          <w:vAlign w:val="bottom"/>
        </w:tcPr>
        <w:p w:rsidR="00F85347" w:rsidRPr="00EF59E7" w:rsidRDefault="00F85347" w:rsidP="00EF59E7">
          <w:pPr>
            <w:pStyle w:val="Footer"/>
            <w:jc w:val="left"/>
          </w:pPr>
          <w:r>
            <w:fldChar w:fldCharType="begin"/>
          </w:r>
          <w:r>
            <w:instrText xml:space="preserve"> PAGE  \* MERGEFORMAT </w:instrText>
          </w:r>
          <w:r>
            <w:fldChar w:fldCharType="separate"/>
          </w:r>
          <w:r w:rsidR="00A15AF6">
            <w:t>8</w:t>
          </w:r>
          <w:r>
            <w:fldChar w:fldCharType="end"/>
          </w:r>
        </w:p>
      </w:tc>
      <w:tc>
        <w:tcPr>
          <w:tcW w:w="5033" w:type="dxa"/>
          <w:shd w:val="clear" w:color="auto" w:fill="auto"/>
          <w:vAlign w:val="bottom"/>
        </w:tcPr>
        <w:p w:rsidR="00F85347" w:rsidRPr="00EF59E7" w:rsidRDefault="00F85347" w:rsidP="00EF59E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15AF6">
            <w:rPr>
              <w:b w:val="0"/>
              <w:sz w:val="14"/>
            </w:rPr>
            <w:t>07-37583</w:t>
          </w:r>
          <w:r>
            <w:rPr>
              <w:b w:val="0"/>
              <w:sz w:val="14"/>
            </w:rPr>
            <w:fldChar w:fldCharType="end"/>
          </w:r>
        </w:p>
      </w:tc>
    </w:tr>
  </w:tbl>
  <w:p w:rsidR="00F85347" w:rsidRPr="00EF59E7" w:rsidRDefault="00F85347" w:rsidP="00EF59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85347" w:rsidTr="00EF59E7">
      <w:tblPrEx>
        <w:tblCellMar>
          <w:top w:w="0" w:type="dxa"/>
          <w:bottom w:w="0" w:type="dxa"/>
        </w:tblCellMar>
      </w:tblPrEx>
      <w:tc>
        <w:tcPr>
          <w:tcW w:w="5033" w:type="dxa"/>
          <w:shd w:val="clear" w:color="auto" w:fill="auto"/>
          <w:vAlign w:val="bottom"/>
        </w:tcPr>
        <w:p w:rsidR="00F85347" w:rsidRPr="00EF59E7" w:rsidRDefault="00F85347" w:rsidP="00EF59E7">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15AF6">
            <w:rPr>
              <w:b w:val="0"/>
              <w:sz w:val="14"/>
            </w:rPr>
            <w:t>07-37583</w:t>
          </w:r>
          <w:r>
            <w:rPr>
              <w:b w:val="0"/>
              <w:sz w:val="14"/>
            </w:rPr>
            <w:fldChar w:fldCharType="end"/>
          </w:r>
        </w:p>
      </w:tc>
      <w:tc>
        <w:tcPr>
          <w:tcW w:w="5033" w:type="dxa"/>
          <w:shd w:val="clear" w:color="auto" w:fill="auto"/>
          <w:vAlign w:val="bottom"/>
        </w:tcPr>
        <w:p w:rsidR="00F85347" w:rsidRPr="00EF59E7" w:rsidRDefault="00F85347" w:rsidP="00EF59E7">
          <w:pPr>
            <w:pStyle w:val="Footer"/>
            <w:jc w:val="right"/>
          </w:pPr>
          <w:r>
            <w:fldChar w:fldCharType="begin"/>
          </w:r>
          <w:r>
            <w:instrText xml:space="preserve"> PAGE  \* MERGEFORMAT </w:instrText>
          </w:r>
          <w:r>
            <w:fldChar w:fldCharType="separate"/>
          </w:r>
          <w:r w:rsidR="00A15AF6">
            <w:t>7</w:t>
          </w:r>
          <w:r>
            <w:fldChar w:fldCharType="end"/>
          </w:r>
        </w:p>
      </w:tc>
    </w:tr>
  </w:tbl>
  <w:p w:rsidR="00F85347" w:rsidRPr="00EF59E7" w:rsidRDefault="00F85347" w:rsidP="00EF59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347" w:rsidRDefault="00F85347" w:rsidP="00EF59E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A15AF6">
      <w:rPr>
        <w:b w:val="0"/>
        <w:sz w:val="21"/>
      </w:rPr>
      <w:t>07-37583 (C)</w:t>
    </w:r>
    <w:r>
      <w:rPr>
        <w:b w:val="0"/>
        <w:sz w:val="21"/>
      </w:rPr>
      <w:fldChar w:fldCharType="end"/>
    </w:r>
    <w:r>
      <w:rPr>
        <w:b w:val="0"/>
        <w:sz w:val="21"/>
      </w:rPr>
      <w:t xml:space="preserve">    180607    190607</w:t>
    </w:r>
  </w:p>
  <w:p w:rsidR="00F85347" w:rsidRPr="00EF59E7" w:rsidRDefault="00F85347" w:rsidP="00EF59E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A15AF6">
      <w:rPr>
        <w:rFonts w:ascii="Barcode 3 of 9 by request" w:hAnsi="Barcode 3 of 9 by request"/>
        <w:sz w:val="24"/>
      </w:rPr>
      <w:t>*0737583*</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66B" w:rsidRDefault="00C9666B">
      <w:r>
        <w:separator/>
      </w:r>
    </w:p>
  </w:footnote>
  <w:footnote w:type="continuationSeparator" w:id="0">
    <w:p w:rsidR="00C9666B" w:rsidRDefault="00C9666B">
      <w:r>
        <w:continuationSeparator/>
      </w:r>
    </w:p>
  </w:footnote>
  <w:footnote w:id="1">
    <w:p w:rsidR="00F85347" w:rsidRPr="006F25E6" w:rsidRDefault="00F85347" w:rsidP="002547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F25E6">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5347" w:rsidTr="00EF59E7">
      <w:tblPrEx>
        <w:tblCellMar>
          <w:top w:w="0" w:type="dxa"/>
          <w:bottom w:w="0" w:type="dxa"/>
        </w:tblCellMar>
      </w:tblPrEx>
      <w:trPr>
        <w:trHeight w:hRule="exact" w:val="864"/>
      </w:trPr>
      <w:tc>
        <w:tcPr>
          <w:tcW w:w="4838" w:type="dxa"/>
          <w:shd w:val="clear" w:color="auto" w:fill="auto"/>
          <w:vAlign w:val="bottom"/>
        </w:tcPr>
        <w:p w:rsidR="00F85347" w:rsidRPr="00EF59E7" w:rsidRDefault="00F85347" w:rsidP="00EF59E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15AF6">
            <w:rPr>
              <w:b/>
              <w:sz w:val="17"/>
            </w:rPr>
            <w:t>CEDAW/C/MRT/CO/1</w:t>
          </w:r>
          <w:r>
            <w:rPr>
              <w:b/>
              <w:sz w:val="17"/>
            </w:rPr>
            <w:fldChar w:fldCharType="end"/>
          </w:r>
        </w:p>
      </w:tc>
      <w:tc>
        <w:tcPr>
          <w:tcW w:w="5033" w:type="dxa"/>
          <w:shd w:val="clear" w:color="auto" w:fill="auto"/>
          <w:vAlign w:val="bottom"/>
        </w:tcPr>
        <w:p w:rsidR="00F85347" w:rsidRDefault="00F85347" w:rsidP="00EF59E7">
          <w:pPr>
            <w:pStyle w:val="Header"/>
          </w:pPr>
        </w:p>
      </w:tc>
    </w:tr>
  </w:tbl>
  <w:p w:rsidR="00F85347" w:rsidRPr="00EF59E7" w:rsidRDefault="00F85347" w:rsidP="00EF59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5347" w:rsidTr="00EF59E7">
      <w:tblPrEx>
        <w:tblCellMar>
          <w:top w:w="0" w:type="dxa"/>
          <w:bottom w:w="0" w:type="dxa"/>
        </w:tblCellMar>
      </w:tblPrEx>
      <w:trPr>
        <w:trHeight w:hRule="exact" w:val="864"/>
      </w:trPr>
      <w:tc>
        <w:tcPr>
          <w:tcW w:w="4838" w:type="dxa"/>
          <w:shd w:val="clear" w:color="auto" w:fill="auto"/>
          <w:vAlign w:val="bottom"/>
        </w:tcPr>
        <w:p w:rsidR="00F85347" w:rsidRDefault="00F85347" w:rsidP="00EF59E7">
          <w:pPr>
            <w:pStyle w:val="Header"/>
          </w:pPr>
        </w:p>
      </w:tc>
      <w:tc>
        <w:tcPr>
          <w:tcW w:w="5033" w:type="dxa"/>
          <w:shd w:val="clear" w:color="auto" w:fill="auto"/>
          <w:vAlign w:val="bottom"/>
        </w:tcPr>
        <w:p w:rsidR="00F85347" w:rsidRPr="00EF59E7" w:rsidRDefault="00F85347" w:rsidP="00EF59E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15AF6">
            <w:rPr>
              <w:b/>
              <w:sz w:val="17"/>
            </w:rPr>
            <w:t>CEDAW/C/MRT/CO/1</w:t>
          </w:r>
          <w:r>
            <w:rPr>
              <w:b/>
              <w:sz w:val="17"/>
            </w:rPr>
            <w:fldChar w:fldCharType="end"/>
          </w:r>
        </w:p>
      </w:tc>
    </w:tr>
  </w:tbl>
  <w:p w:rsidR="00F85347" w:rsidRPr="00EF59E7" w:rsidRDefault="00F85347" w:rsidP="00EF59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85347" w:rsidTr="00EF59E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85347" w:rsidRDefault="00F85347" w:rsidP="00EF59E7">
          <w:pPr>
            <w:pStyle w:val="Header"/>
            <w:spacing w:after="120"/>
          </w:pPr>
        </w:p>
      </w:tc>
      <w:tc>
        <w:tcPr>
          <w:tcW w:w="1872" w:type="dxa"/>
          <w:tcBorders>
            <w:bottom w:val="single" w:sz="4" w:space="0" w:color="auto"/>
          </w:tcBorders>
          <w:shd w:val="clear" w:color="auto" w:fill="auto"/>
          <w:vAlign w:val="bottom"/>
        </w:tcPr>
        <w:p w:rsidR="00F85347" w:rsidRPr="00EF59E7" w:rsidRDefault="00F85347" w:rsidP="00EF59E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85347" w:rsidRDefault="00F85347" w:rsidP="00EF59E7">
          <w:pPr>
            <w:pStyle w:val="Header"/>
            <w:spacing w:after="120"/>
          </w:pPr>
        </w:p>
      </w:tc>
      <w:tc>
        <w:tcPr>
          <w:tcW w:w="6523" w:type="dxa"/>
          <w:gridSpan w:val="3"/>
          <w:tcBorders>
            <w:bottom w:val="single" w:sz="4" w:space="0" w:color="auto"/>
          </w:tcBorders>
          <w:shd w:val="clear" w:color="auto" w:fill="auto"/>
          <w:vAlign w:val="bottom"/>
        </w:tcPr>
        <w:p w:rsidR="00F85347" w:rsidRPr="00EF59E7" w:rsidRDefault="00F85347" w:rsidP="00EF59E7">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/C/MRT/CO/1</w:t>
          </w:r>
        </w:p>
      </w:tc>
    </w:tr>
    <w:tr w:rsidR="00F85347" w:rsidRPr="00EF59E7" w:rsidTr="00EF59E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85347" w:rsidRDefault="00F85347" w:rsidP="00EF59E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85347" w:rsidRPr="00EF59E7" w:rsidRDefault="00F85347" w:rsidP="00EF59E7">
          <w:pPr>
            <w:pStyle w:val="Header"/>
            <w:spacing w:before="109"/>
            <w:ind w:left="-72"/>
          </w:pPr>
        </w:p>
      </w:tc>
      <w:tc>
        <w:tcPr>
          <w:tcW w:w="5227" w:type="dxa"/>
          <w:gridSpan w:val="3"/>
          <w:tcBorders>
            <w:top w:val="single" w:sz="4" w:space="0" w:color="auto"/>
            <w:bottom w:val="single" w:sz="12" w:space="0" w:color="auto"/>
          </w:tcBorders>
          <w:shd w:val="clear" w:color="auto" w:fill="auto"/>
        </w:tcPr>
        <w:p w:rsidR="00F85347" w:rsidRPr="00EF59E7" w:rsidRDefault="00F85347" w:rsidP="00EF59E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85347" w:rsidRPr="00EF59E7" w:rsidRDefault="00F85347" w:rsidP="00EF59E7">
          <w:pPr>
            <w:pStyle w:val="Header"/>
            <w:spacing w:before="109"/>
          </w:pPr>
        </w:p>
      </w:tc>
      <w:tc>
        <w:tcPr>
          <w:tcW w:w="3180" w:type="dxa"/>
          <w:gridSpan w:val="2"/>
          <w:tcBorders>
            <w:top w:val="single" w:sz="4" w:space="0" w:color="auto"/>
            <w:bottom w:val="single" w:sz="12" w:space="0" w:color="auto"/>
          </w:tcBorders>
          <w:shd w:val="clear" w:color="auto" w:fill="auto"/>
        </w:tcPr>
        <w:p w:rsidR="00F85347" w:rsidRDefault="00F85347" w:rsidP="00EF59E7">
          <w:pPr>
            <w:spacing w:before="240" w:line="240" w:lineRule="exact"/>
            <w:rPr>
              <w:rFonts w:ascii="Times New Roman"/>
            </w:rPr>
          </w:pPr>
        </w:p>
        <w:p w:rsidR="00F85347" w:rsidRDefault="00F85347" w:rsidP="00EF59E7">
          <w:pPr>
            <w:spacing w:line="240" w:lineRule="exact"/>
            <w:rPr>
              <w:rFonts w:ascii="Times New Roman"/>
            </w:rPr>
          </w:pPr>
          <w:r>
            <w:rPr>
              <w:rFonts w:ascii="Times New Roman"/>
            </w:rPr>
            <w:t>11 June 2007</w:t>
          </w:r>
        </w:p>
        <w:p w:rsidR="00F85347" w:rsidRDefault="00F85347" w:rsidP="00EF59E7">
          <w:pPr>
            <w:spacing w:line="240" w:lineRule="exact"/>
            <w:rPr>
              <w:rFonts w:ascii="Times New Roman"/>
            </w:rPr>
          </w:pPr>
          <w:r>
            <w:rPr>
              <w:rFonts w:ascii="Times New Roman"/>
            </w:rPr>
            <w:t>Chinese</w:t>
          </w:r>
        </w:p>
        <w:p w:rsidR="00F85347" w:rsidRPr="00EF59E7" w:rsidRDefault="00F85347" w:rsidP="00EF59E7">
          <w:pPr>
            <w:spacing w:line="240" w:lineRule="exact"/>
            <w:rPr>
              <w:rFonts w:ascii="Times New Roman"/>
            </w:rPr>
          </w:pPr>
          <w:r>
            <w:rPr>
              <w:rFonts w:ascii="Times New Roman"/>
            </w:rPr>
            <w:t>Original: English</w:t>
          </w:r>
        </w:p>
      </w:tc>
    </w:tr>
  </w:tbl>
  <w:p w:rsidR="00F85347" w:rsidRPr="00EF59E7" w:rsidRDefault="00F85347" w:rsidP="00EF59E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83*"/>
    <w:docVar w:name="CreationDt" w:val="19/06/2007 10:03:28"/>
    <w:docVar w:name="DocCategory" w:val="Doc"/>
    <w:docVar w:name="DocType" w:val="Final"/>
    <w:docVar w:name="FooterJN" w:val="07-37583"/>
    <w:docVar w:name="jobn" w:val="07-37583 (C)"/>
    <w:docVar w:name="jobnDT" w:val="07-37583 (C)   190607"/>
    <w:docVar w:name="jobnDTDT" w:val="07-37583 (C)   190607   190607"/>
    <w:docVar w:name="JobNo" w:val="0737583C"/>
    <w:docVar w:name="OandT" w:val="hou"/>
    <w:docVar w:name="sss1" w:val="CEDAW/C/MRT/CO/1"/>
    <w:docVar w:name="sss2" w:val="-"/>
    <w:docVar w:name="Symbol1" w:val="CEDAW/C/MRT/CO/1"/>
    <w:docVar w:name="Symbol2" w:val="-"/>
  </w:docVars>
  <w:rsids>
    <w:rsidRoot w:val="005A418A"/>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47C1"/>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35CB3"/>
    <w:rsid w:val="003649EE"/>
    <w:rsid w:val="00371BC6"/>
    <w:rsid w:val="00373A15"/>
    <w:rsid w:val="00394A02"/>
    <w:rsid w:val="003A52C5"/>
    <w:rsid w:val="003C7B20"/>
    <w:rsid w:val="003E4565"/>
    <w:rsid w:val="003E748F"/>
    <w:rsid w:val="003E7612"/>
    <w:rsid w:val="00414423"/>
    <w:rsid w:val="004411AD"/>
    <w:rsid w:val="004424EF"/>
    <w:rsid w:val="00453BB0"/>
    <w:rsid w:val="00460162"/>
    <w:rsid w:val="004620A8"/>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A418A"/>
    <w:rsid w:val="005B7338"/>
    <w:rsid w:val="005C02AB"/>
    <w:rsid w:val="005D0F04"/>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61190"/>
    <w:rsid w:val="00776537"/>
    <w:rsid w:val="00783A25"/>
    <w:rsid w:val="007D4A21"/>
    <w:rsid w:val="007E1B5E"/>
    <w:rsid w:val="007F2278"/>
    <w:rsid w:val="00805783"/>
    <w:rsid w:val="00806F57"/>
    <w:rsid w:val="00806F90"/>
    <w:rsid w:val="00824C19"/>
    <w:rsid w:val="008378D1"/>
    <w:rsid w:val="00846462"/>
    <w:rsid w:val="0086691F"/>
    <w:rsid w:val="00884C8F"/>
    <w:rsid w:val="008C3296"/>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5AF6"/>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365A"/>
    <w:rsid w:val="00BE47C4"/>
    <w:rsid w:val="00C052A2"/>
    <w:rsid w:val="00C06A4A"/>
    <w:rsid w:val="00C1391A"/>
    <w:rsid w:val="00C14CE6"/>
    <w:rsid w:val="00C15218"/>
    <w:rsid w:val="00C2725D"/>
    <w:rsid w:val="00C42033"/>
    <w:rsid w:val="00C76854"/>
    <w:rsid w:val="00C9666B"/>
    <w:rsid w:val="00CB2B1E"/>
    <w:rsid w:val="00CC3E8B"/>
    <w:rsid w:val="00CC4E84"/>
    <w:rsid w:val="00CD5641"/>
    <w:rsid w:val="00CE64AC"/>
    <w:rsid w:val="00CF7718"/>
    <w:rsid w:val="00D177F1"/>
    <w:rsid w:val="00D323B5"/>
    <w:rsid w:val="00D42ACC"/>
    <w:rsid w:val="00D51DC5"/>
    <w:rsid w:val="00D676D7"/>
    <w:rsid w:val="00D7151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EF59E7"/>
    <w:rsid w:val="00F01440"/>
    <w:rsid w:val="00F13305"/>
    <w:rsid w:val="00F40463"/>
    <w:rsid w:val="00F50336"/>
    <w:rsid w:val="00F62E3F"/>
    <w:rsid w:val="00F67F90"/>
    <w:rsid w:val="00F77B3E"/>
    <w:rsid w:val="00F833CB"/>
    <w:rsid w:val="00F85347"/>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1099</Words>
  <Characters>6269</Characters>
  <Application>Microsoft Office Word</Application>
  <DocSecurity>4</DocSecurity>
  <Lines>52</Lines>
  <Paragraphs>14</Paragraphs>
  <ScaleCrop>false</ScaleCrop>
  <Company>United Nations</Company>
  <LinksUpToDate>false</LinksUpToDate>
  <CharactersWithSpaces>7354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Xiaosui.Hou</dc:creator>
  <cp:keywords/>
  <dc:description/>
  <cp:lastModifiedBy>Xiaosui.Hou</cp:lastModifiedBy>
  <cp:revision>12</cp:revision>
  <cp:lastPrinted>2007-06-19T09:10:00Z</cp:lastPrinted>
  <dcterms:created xsi:type="dcterms:W3CDTF">2007-06-19T08:48:00Z</dcterms:created>
  <dcterms:modified xsi:type="dcterms:W3CDTF">2007-06-19T09:10:00Z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0737583</vt:lpwstr>
  </property>
  <property fmtid="{D5CDD505-2E9C-101B-9397-08002B2CF9AE}" pid="3" name="Symbol1">
    <vt:lpwstr>CEDAW/C/MRT/CO/1</vt:lpwstr>
  </property>
  <property fmtid="{D5CDD505-2E9C-101B-9397-08002B2CF9AE}" pid="4" name="Symbol2">
    <vt:lpwstr/>
  </property>
  <property fmtid="{D5CDD505-2E9C-101B-9397-08002B2CF9AE}" pid="5" name="Translator">
    <vt:lpwstr/>
  </property>
  <property fmtid="{D5CDD505-2E9C-101B-9397-08002B2CF9AE}" pid="6" name="Operator">
    <vt:lpwstr>hou</vt:lpwstr>
  </property>
  <property fmtid="{D5CDD505-2E9C-101B-9397-08002B2CF9AE}" pid="7" name="DraftPages">
    <vt:lpwstr> </vt:lpwstr>
  </property>
  <property fmtid="{D5CDD505-2E9C-101B-9397-08002B2CF9AE}" pid="8" name="Comment">
    <vt:lpwstr/>
  </property>
</Properties>
</file>