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DF5" w:rsidRDefault="00702DF5" w:rsidP="00702DF5">
      <w:pPr>
        <w:spacing w:line="240" w:lineRule="auto"/>
        <w:rPr>
          <w:sz w:val="2"/>
        </w:rPr>
        <w:sectPr w:rsidR="00702DF5" w:rsidSect="00702DF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7D5A75" w:rsidRPr="007D5A75" w:rsidRDefault="007D5A75" w:rsidP="007D5A7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5A75">
        <w:rPr>
          <w:lang w:val="fr-FR"/>
        </w:rPr>
        <w:lastRenderedPageBreak/>
        <w:t>Comité pour l</w:t>
      </w:r>
      <w:r w:rsidR="00811484">
        <w:rPr>
          <w:lang w:val="fr-FR"/>
        </w:rPr>
        <w:t>’</w:t>
      </w:r>
      <w:r w:rsidRPr="007D5A75">
        <w:rPr>
          <w:lang w:val="fr-FR"/>
        </w:rPr>
        <w:t xml:space="preserve">élimination de la discrimination </w:t>
      </w:r>
      <w:r w:rsidRPr="007D5A75">
        <w:rPr>
          <w:lang w:val="fr-FR"/>
        </w:rPr>
        <w:br/>
        <w:t>à l</w:t>
      </w:r>
      <w:r w:rsidR="00811484">
        <w:rPr>
          <w:lang w:val="fr-FR"/>
        </w:rPr>
        <w:t>’</w:t>
      </w:r>
      <w:r w:rsidRPr="007D5A75">
        <w:rPr>
          <w:lang w:val="fr-FR"/>
        </w:rPr>
        <w:t>égard des femmes</w:t>
      </w:r>
    </w:p>
    <w:p w:rsidR="007D5A75" w:rsidRPr="007D5A75" w:rsidRDefault="007D5A75" w:rsidP="007D5A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7D5A75">
        <w:rPr>
          <w:b/>
          <w:lang w:val="fr-FR"/>
        </w:rPr>
        <w:t>Soixante-troisième session</w:t>
      </w:r>
    </w:p>
    <w:p w:rsidR="007D5A75" w:rsidRPr="007D5A75" w:rsidRDefault="007D5A75" w:rsidP="007D5A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D5A75">
        <w:rPr>
          <w:lang w:val="fr-FR"/>
        </w:rPr>
        <w:t>15 février - 4 mars 2016</w:t>
      </w:r>
    </w:p>
    <w:p w:rsidR="007D5A75" w:rsidRPr="007D5A75" w:rsidRDefault="007D5A75" w:rsidP="007D5A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D5A75">
        <w:rPr>
          <w:lang w:val="fr-FR"/>
        </w:rPr>
        <w:t>Point 2 de l</w:t>
      </w:r>
      <w:r w:rsidR="00811484">
        <w:rPr>
          <w:lang w:val="fr-FR"/>
        </w:rPr>
        <w:t>’</w:t>
      </w:r>
      <w:r w:rsidRPr="007D5A75">
        <w:rPr>
          <w:lang w:val="fr-FR"/>
        </w:rPr>
        <w:t>ordre du jour provisoire</w:t>
      </w:r>
    </w:p>
    <w:p w:rsidR="007D5A75" w:rsidRPr="007D5A75" w:rsidRDefault="007D5A75" w:rsidP="007D5A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D5A75">
        <w:rPr>
          <w:lang w:val="fr-FR"/>
        </w:rPr>
        <w:t>Adoption de l</w:t>
      </w:r>
      <w:r w:rsidR="00811484">
        <w:rPr>
          <w:lang w:val="fr-FR"/>
        </w:rPr>
        <w:t>’</w:t>
      </w:r>
      <w:r w:rsidRPr="007D5A75">
        <w:rPr>
          <w:lang w:val="fr-FR"/>
        </w:rPr>
        <w:t xml:space="preserve">ordre du jour et organisation </w:t>
      </w:r>
      <w:r w:rsidR="00DF3730">
        <w:rPr>
          <w:lang w:val="fr-FR"/>
        </w:rPr>
        <w:br/>
      </w:r>
      <w:r w:rsidRPr="007D5A75">
        <w:rPr>
          <w:lang w:val="fr-FR"/>
        </w:rPr>
        <w:t>des travaux</w:t>
      </w:r>
    </w:p>
    <w:p w:rsidR="007D5A75" w:rsidRPr="007D5A75" w:rsidRDefault="007D5A75" w:rsidP="007D5A75">
      <w:pPr>
        <w:pStyle w:val="SingleTxt"/>
        <w:spacing w:after="0" w:line="120" w:lineRule="exact"/>
        <w:rPr>
          <w:b/>
          <w:sz w:val="10"/>
          <w:lang w:val="fr-FR"/>
        </w:rPr>
      </w:pPr>
    </w:p>
    <w:p w:rsidR="007D5A75" w:rsidRPr="007D5A75" w:rsidRDefault="007D5A75" w:rsidP="007D5A75">
      <w:pPr>
        <w:pStyle w:val="SingleTxt"/>
        <w:spacing w:after="0" w:line="120" w:lineRule="exact"/>
        <w:rPr>
          <w:b/>
          <w:sz w:val="10"/>
          <w:lang w:val="fr-FR"/>
        </w:rPr>
      </w:pPr>
    </w:p>
    <w:p w:rsidR="007D5A75" w:rsidRPr="007D5A75" w:rsidRDefault="007D5A75" w:rsidP="007D5A75">
      <w:pPr>
        <w:pStyle w:val="SingleTxt"/>
        <w:spacing w:after="0" w:line="120" w:lineRule="exact"/>
        <w:rPr>
          <w:b/>
          <w:sz w:val="10"/>
          <w:lang w:val="fr-FR"/>
        </w:rPr>
      </w:pPr>
    </w:p>
    <w:p w:rsidR="007D5A75" w:rsidRDefault="007D5A75" w:rsidP="007D5A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Ordre du jour provisoire annoté</w:t>
      </w:r>
    </w:p>
    <w:p w:rsidR="007D5A75" w:rsidRPr="007D5A75" w:rsidRDefault="007D5A75" w:rsidP="007D5A75">
      <w:pPr>
        <w:pStyle w:val="SingleTxt"/>
        <w:spacing w:after="0" w:line="120" w:lineRule="exact"/>
        <w:rPr>
          <w:sz w:val="10"/>
          <w:lang w:val="fr-FR"/>
        </w:rPr>
      </w:pPr>
    </w:p>
    <w:p w:rsidR="007D5A75" w:rsidRPr="007D5A75" w:rsidRDefault="007D5A75" w:rsidP="007D5A75">
      <w:pPr>
        <w:pStyle w:val="SingleTxt"/>
        <w:spacing w:after="0" w:line="120" w:lineRule="exact"/>
        <w:rPr>
          <w:sz w:val="10"/>
          <w:lang w:val="fr-FR"/>
        </w:rPr>
      </w:pPr>
    </w:p>
    <w:p w:rsidR="007D5A75" w:rsidRPr="007D5A75" w:rsidRDefault="007D5A75" w:rsidP="007D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D5A75">
        <w:rPr>
          <w:lang w:val="fr-FR"/>
        </w:rPr>
        <w:tab/>
        <w:t>Ordre du jour provisoire</w:t>
      </w:r>
    </w:p>
    <w:p w:rsidR="007D5A75" w:rsidRPr="007D5A75" w:rsidRDefault="007D5A75" w:rsidP="007D5A75">
      <w:pPr>
        <w:pStyle w:val="SingleTxt"/>
        <w:spacing w:after="0" w:line="120" w:lineRule="exact"/>
        <w:rPr>
          <w:sz w:val="10"/>
          <w:lang w:val="fr-FR"/>
        </w:rPr>
      </w:pPr>
    </w:p>
    <w:p w:rsidR="007D5A75" w:rsidRPr="007D5A75" w:rsidRDefault="007D5A75" w:rsidP="007D5A75">
      <w:pPr>
        <w:pStyle w:val="SingleTxt"/>
        <w:spacing w:after="0" w:line="120" w:lineRule="exact"/>
        <w:rPr>
          <w:sz w:val="10"/>
          <w:lang w:val="fr-FR"/>
        </w:rPr>
      </w:pPr>
    </w:p>
    <w:p w:rsidR="007D5A75" w:rsidRPr="007D5A75" w:rsidRDefault="007D5A75" w:rsidP="001A6461">
      <w:pPr>
        <w:pStyle w:val="SingleTxt"/>
        <w:jc w:val="left"/>
        <w:rPr>
          <w:lang w:val="fr-FR"/>
        </w:rPr>
      </w:pPr>
      <w:r w:rsidRPr="007D5A75">
        <w:rPr>
          <w:lang w:val="fr-FR"/>
        </w:rPr>
        <w:t>1.</w:t>
      </w:r>
      <w:r w:rsidRPr="007D5A75">
        <w:rPr>
          <w:lang w:val="fr-FR"/>
        </w:rPr>
        <w:tab/>
        <w:t>Ouverture de la session.</w:t>
      </w:r>
    </w:p>
    <w:p w:rsidR="007D5A75" w:rsidRPr="007D5A75" w:rsidRDefault="007D5A75" w:rsidP="001A6461">
      <w:pPr>
        <w:pStyle w:val="SingleTxt"/>
        <w:jc w:val="left"/>
        <w:rPr>
          <w:lang w:val="fr-FR"/>
        </w:rPr>
      </w:pPr>
      <w:r w:rsidRPr="007D5A75">
        <w:rPr>
          <w:lang w:val="fr-FR"/>
        </w:rPr>
        <w:t>2.</w:t>
      </w:r>
      <w:r w:rsidRPr="007D5A75">
        <w:rPr>
          <w:lang w:val="fr-FR"/>
        </w:rPr>
        <w:tab/>
        <w:t>Adoption de l</w:t>
      </w:r>
      <w:r w:rsidR="00811484">
        <w:rPr>
          <w:lang w:val="fr-FR"/>
        </w:rPr>
        <w:t>’</w:t>
      </w:r>
      <w:r w:rsidRPr="007D5A75">
        <w:rPr>
          <w:lang w:val="fr-FR"/>
        </w:rPr>
        <w:t>ordre du jour et organisation des travaux.</w:t>
      </w:r>
    </w:p>
    <w:p w:rsidR="007D5A75" w:rsidRPr="007D5A75" w:rsidRDefault="007D5A75" w:rsidP="000F6DB6">
      <w:pPr>
        <w:pStyle w:val="SingleTxt"/>
        <w:ind w:left="1742" w:hanging="475"/>
        <w:jc w:val="left"/>
        <w:rPr>
          <w:lang w:val="fr-FR"/>
        </w:rPr>
      </w:pPr>
      <w:r w:rsidRPr="007D5A75">
        <w:rPr>
          <w:lang w:val="fr-FR"/>
        </w:rPr>
        <w:t>3.</w:t>
      </w:r>
      <w:r w:rsidRPr="007D5A75">
        <w:rPr>
          <w:lang w:val="fr-FR"/>
        </w:rPr>
        <w:tab/>
        <w:t xml:space="preserve">Rapport de la Présidente sur les activités menées entre la soixante-deuxième </w:t>
      </w:r>
      <w:r w:rsidR="001A6461">
        <w:rPr>
          <w:lang w:val="fr-FR"/>
        </w:rPr>
        <w:br/>
      </w:r>
      <w:r w:rsidRPr="007D5A75">
        <w:rPr>
          <w:lang w:val="fr-FR"/>
        </w:rPr>
        <w:t xml:space="preserve">et la soixante-troisième session du Comité. </w:t>
      </w:r>
    </w:p>
    <w:p w:rsidR="007D5A75" w:rsidRPr="007D5A75" w:rsidRDefault="007D5A75" w:rsidP="001A6461">
      <w:pPr>
        <w:pStyle w:val="SingleTxt"/>
        <w:ind w:left="1742" w:hanging="475"/>
        <w:jc w:val="left"/>
        <w:rPr>
          <w:lang w:val="fr-FR"/>
        </w:rPr>
      </w:pPr>
      <w:r w:rsidRPr="007D5A75">
        <w:rPr>
          <w:lang w:val="fr-FR"/>
        </w:rPr>
        <w:t>4.</w:t>
      </w:r>
      <w:r w:rsidRPr="007D5A75">
        <w:rPr>
          <w:lang w:val="fr-FR"/>
        </w:rPr>
        <w:tab/>
        <w:t>Examen des rapports soumis par les États parties en application de l</w:t>
      </w:r>
      <w:r w:rsidR="00811484">
        <w:rPr>
          <w:lang w:val="fr-FR"/>
        </w:rPr>
        <w:t>’</w:t>
      </w:r>
      <w:r w:rsidRPr="007D5A75">
        <w:rPr>
          <w:lang w:val="fr-FR"/>
        </w:rPr>
        <w:t>article 18 de la Convention sur l</w:t>
      </w:r>
      <w:r w:rsidR="00811484">
        <w:rPr>
          <w:lang w:val="fr-FR"/>
        </w:rPr>
        <w:t>’</w:t>
      </w:r>
      <w:r w:rsidRPr="007D5A75">
        <w:rPr>
          <w:lang w:val="fr-FR"/>
        </w:rPr>
        <w:t xml:space="preserve">élimination de toutes les formes de discrimination </w:t>
      </w:r>
      <w:r w:rsidR="00811484">
        <w:rPr>
          <w:lang w:val="fr-FR"/>
        </w:rPr>
        <w:br/>
      </w:r>
      <w:r w:rsidRPr="007D5A75">
        <w:rPr>
          <w:lang w:val="fr-FR"/>
        </w:rPr>
        <w:t>à l</w:t>
      </w:r>
      <w:r w:rsidR="00811484">
        <w:rPr>
          <w:lang w:val="fr-FR"/>
        </w:rPr>
        <w:t>’</w:t>
      </w:r>
      <w:r w:rsidRPr="007D5A75">
        <w:rPr>
          <w:lang w:val="fr-FR"/>
        </w:rPr>
        <w:t>égard des femmes.</w:t>
      </w:r>
      <w:r w:rsidR="00811484">
        <w:rPr>
          <w:lang w:val="fr-FR"/>
        </w:rPr>
        <w:t xml:space="preserve"> </w:t>
      </w:r>
    </w:p>
    <w:p w:rsidR="007D5A75" w:rsidRPr="007D5A75" w:rsidRDefault="007D5A75" w:rsidP="001A6461">
      <w:pPr>
        <w:pStyle w:val="SingleTxt"/>
        <w:ind w:left="1742" w:hanging="475"/>
        <w:jc w:val="left"/>
        <w:rPr>
          <w:lang w:val="fr-FR"/>
        </w:rPr>
      </w:pPr>
      <w:r w:rsidRPr="007D5A75">
        <w:rPr>
          <w:lang w:val="fr-FR"/>
        </w:rPr>
        <w:t>5.</w:t>
      </w:r>
      <w:r w:rsidRPr="007D5A75">
        <w:rPr>
          <w:lang w:val="fr-FR"/>
        </w:rPr>
        <w:tab/>
        <w:t>Suite donnée à l</w:t>
      </w:r>
      <w:r w:rsidR="00811484">
        <w:rPr>
          <w:lang w:val="fr-FR"/>
        </w:rPr>
        <w:t>’</w:t>
      </w:r>
      <w:r w:rsidRPr="007D5A75">
        <w:rPr>
          <w:lang w:val="fr-FR"/>
        </w:rPr>
        <w:t xml:space="preserve">examen des rapports soumis par les États parties </w:t>
      </w:r>
      <w:r w:rsidR="001A6461">
        <w:rPr>
          <w:lang w:val="fr-FR"/>
        </w:rPr>
        <w:br/>
      </w:r>
      <w:r w:rsidRPr="007D5A75">
        <w:rPr>
          <w:lang w:val="fr-FR"/>
        </w:rPr>
        <w:t>en application de l</w:t>
      </w:r>
      <w:r w:rsidR="00811484">
        <w:rPr>
          <w:lang w:val="fr-FR"/>
        </w:rPr>
        <w:t>’</w:t>
      </w:r>
      <w:r w:rsidRPr="007D5A75">
        <w:rPr>
          <w:lang w:val="fr-FR"/>
        </w:rPr>
        <w:t>Article 18 de la Convention.</w:t>
      </w:r>
    </w:p>
    <w:p w:rsidR="007D5A75" w:rsidRPr="007D5A75" w:rsidRDefault="007D5A75" w:rsidP="001A6461">
      <w:pPr>
        <w:pStyle w:val="SingleTxt"/>
        <w:jc w:val="left"/>
        <w:rPr>
          <w:lang w:val="fr-FR"/>
        </w:rPr>
      </w:pPr>
      <w:r w:rsidRPr="007D5A75">
        <w:rPr>
          <w:lang w:val="fr-FR"/>
        </w:rPr>
        <w:t>6.</w:t>
      </w:r>
      <w:r w:rsidRPr="007D5A75">
        <w:rPr>
          <w:lang w:val="fr-FR"/>
        </w:rPr>
        <w:tab/>
        <w:t>Application des articles 21 et 22 de la Convention.</w:t>
      </w:r>
    </w:p>
    <w:p w:rsidR="007D5A75" w:rsidRPr="007D5A75" w:rsidRDefault="007D5A75" w:rsidP="001A6461">
      <w:pPr>
        <w:pStyle w:val="SingleTxt"/>
        <w:jc w:val="left"/>
        <w:rPr>
          <w:lang w:val="fr-FR"/>
        </w:rPr>
      </w:pPr>
      <w:r w:rsidRPr="007D5A75">
        <w:rPr>
          <w:lang w:val="fr-FR"/>
        </w:rPr>
        <w:t>7.</w:t>
      </w:r>
      <w:r w:rsidRPr="007D5A75">
        <w:rPr>
          <w:lang w:val="fr-FR"/>
        </w:rPr>
        <w:tab/>
        <w:t>Moyens d</w:t>
      </w:r>
      <w:r w:rsidR="00811484">
        <w:rPr>
          <w:lang w:val="fr-FR"/>
        </w:rPr>
        <w:t>’</w:t>
      </w:r>
      <w:r w:rsidRPr="007D5A75">
        <w:rPr>
          <w:lang w:val="fr-FR"/>
        </w:rPr>
        <w:t xml:space="preserve">accélérer les travaux du Comité. </w:t>
      </w:r>
    </w:p>
    <w:p w:rsidR="007D5A75" w:rsidRPr="007D5A75" w:rsidRDefault="007D5A75" w:rsidP="001A6461">
      <w:pPr>
        <w:pStyle w:val="SingleTxt"/>
        <w:ind w:left="1742" w:hanging="475"/>
        <w:jc w:val="left"/>
        <w:rPr>
          <w:lang w:val="fr-FR"/>
        </w:rPr>
      </w:pPr>
      <w:r w:rsidRPr="007D5A75">
        <w:rPr>
          <w:lang w:val="fr-FR"/>
        </w:rPr>
        <w:t>8.</w:t>
      </w:r>
      <w:r w:rsidRPr="007D5A75">
        <w:rPr>
          <w:lang w:val="fr-FR"/>
        </w:rPr>
        <w:tab/>
        <w:t xml:space="preserve">Activités menées par le Comité au titre du Protocole facultatif </w:t>
      </w:r>
      <w:r w:rsidR="001A6461">
        <w:rPr>
          <w:lang w:val="fr-FR"/>
        </w:rPr>
        <w:br/>
      </w:r>
      <w:r w:rsidR="00DF3730">
        <w:rPr>
          <w:lang w:val="fr-FR"/>
        </w:rPr>
        <w:t>de</w:t>
      </w:r>
      <w:r w:rsidRPr="007D5A75">
        <w:rPr>
          <w:lang w:val="fr-FR"/>
        </w:rPr>
        <w:t xml:space="preserve"> la Convention.</w:t>
      </w:r>
    </w:p>
    <w:p w:rsidR="007D5A75" w:rsidRPr="007D5A75" w:rsidRDefault="007D5A75" w:rsidP="001A6461">
      <w:pPr>
        <w:pStyle w:val="SingleTxt"/>
        <w:jc w:val="left"/>
        <w:rPr>
          <w:lang w:val="fr-FR"/>
        </w:rPr>
      </w:pPr>
      <w:r w:rsidRPr="007D5A75">
        <w:rPr>
          <w:lang w:val="fr-FR"/>
        </w:rPr>
        <w:t>9.</w:t>
      </w:r>
      <w:r w:rsidRPr="007D5A75">
        <w:rPr>
          <w:lang w:val="fr-FR"/>
        </w:rPr>
        <w:tab/>
        <w:t xml:space="preserve">Ordre du jour provisoire de la soixante-quatrième session du Comité. </w:t>
      </w:r>
    </w:p>
    <w:p w:rsidR="001A6461" w:rsidRPr="001A6461" w:rsidRDefault="001A6461" w:rsidP="001A6461">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r>
      <w:r w:rsidRPr="00DF3730">
        <w:rPr>
          <w:i/>
          <w:spacing w:val="5"/>
          <w:sz w:val="17"/>
          <w:szCs w:val="20"/>
        </w:rPr>
        <w:t>Note</w:t>
      </w:r>
      <w:r w:rsidR="00DF3730">
        <w:rPr>
          <w:spacing w:val="5"/>
          <w:sz w:val="17"/>
          <w:szCs w:val="20"/>
        </w:rPr>
        <w:t> :</w:t>
      </w:r>
      <w:r>
        <w:rPr>
          <w:spacing w:val="5"/>
          <w:sz w:val="17"/>
          <w:szCs w:val="20"/>
        </w:rPr>
        <w:tab/>
      </w:r>
      <w:r w:rsidRPr="001A6461">
        <w:rPr>
          <w:noProof/>
          <w:w w:val="100"/>
          <w:sz w:val="17"/>
          <w:lang w:val="en-GB" w:eastAsia="en-GB"/>
        </w:rPr>
        <mc:AlternateContent>
          <mc:Choice Requires="wps">
            <w:drawing>
              <wp:anchor distT="0" distB="0" distL="114300" distR="114300" simplePos="0" relativeHeight="251660288" behindDoc="0" locked="0" layoutInCell="1" allowOverlap="1" wp14:anchorId="753CD25D" wp14:editId="395F2096">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00DF3730">
        <w:rPr>
          <w:spacing w:val="5"/>
          <w:sz w:val="17"/>
          <w:szCs w:val="20"/>
        </w:rPr>
        <w:t>Le présent document est publié en anglais, espagnol et français seulement.</w:t>
      </w:r>
    </w:p>
    <w:p w:rsidR="007D5A75" w:rsidRDefault="007D5A75" w:rsidP="001A6461">
      <w:pPr>
        <w:pStyle w:val="SingleTxt"/>
        <w:ind w:left="1742" w:hanging="475"/>
        <w:jc w:val="left"/>
        <w:rPr>
          <w:lang w:val="fr-FR"/>
        </w:rPr>
      </w:pPr>
      <w:r w:rsidRPr="007D5A75">
        <w:rPr>
          <w:lang w:val="fr-FR"/>
        </w:rPr>
        <w:t>10.</w:t>
      </w:r>
      <w:r w:rsidRPr="007D5A75">
        <w:rPr>
          <w:lang w:val="fr-FR"/>
        </w:rPr>
        <w:tab/>
        <w:t>Adoption du rapport du Comité sur les travaux de sa soixante-</w:t>
      </w:r>
      <w:r>
        <w:rPr>
          <w:lang w:val="fr-FR"/>
        </w:rPr>
        <w:t>troisième session.</w:t>
      </w:r>
    </w:p>
    <w:p w:rsidR="007D5A75" w:rsidRPr="007D5A75" w:rsidRDefault="007D5A75" w:rsidP="007D5A75">
      <w:pPr>
        <w:pStyle w:val="SingleTxt"/>
        <w:spacing w:after="0" w:line="120" w:lineRule="exact"/>
        <w:ind w:left="1742" w:hanging="475"/>
        <w:rPr>
          <w:sz w:val="10"/>
          <w:lang w:val="fr-FR"/>
        </w:rPr>
      </w:pPr>
    </w:p>
    <w:p w:rsidR="007D5A75" w:rsidRPr="007D5A75" w:rsidRDefault="007D5A75" w:rsidP="007D5A75">
      <w:pPr>
        <w:pStyle w:val="SingleTxt"/>
        <w:spacing w:after="0" w:line="120" w:lineRule="exact"/>
        <w:ind w:left="1742" w:hanging="475"/>
        <w:rPr>
          <w:sz w:val="10"/>
          <w:lang w:val="fr-FR"/>
        </w:rPr>
      </w:pPr>
    </w:p>
    <w:p w:rsidR="001A6461" w:rsidRDefault="001A6461">
      <w:pPr>
        <w:spacing w:line="240" w:lineRule="auto"/>
        <w:rPr>
          <w:b/>
          <w:sz w:val="24"/>
          <w:lang w:val="fr-FR"/>
        </w:rPr>
      </w:pPr>
      <w:r>
        <w:rPr>
          <w:lang w:val="fr-FR"/>
        </w:rPr>
        <w:br w:type="page"/>
      </w:r>
    </w:p>
    <w:p w:rsidR="007D5A75" w:rsidRDefault="007D5A75" w:rsidP="007D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lastRenderedPageBreak/>
        <w:tab/>
      </w:r>
      <w:r w:rsidRPr="007D5A75">
        <w:rPr>
          <w:lang w:val="fr-FR"/>
        </w:rPr>
        <w:tab/>
        <w:t>Annotations</w:t>
      </w:r>
    </w:p>
    <w:p w:rsidR="001A6461" w:rsidRPr="001A6461" w:rsidRDefault="001A6461" w:rsidP="001A6461">
      <w:pPr>
        <w:pStyle w:val="SingleTxt"/>
        <w:spacing w:after="0" w:line="120" w:lineRule="exact"/>
        <w:rPr>
          <w:sz w:val="10"/>
          <w:lang w:val="fr-FR"/>
        </w:rPr>
      </w:pPr>
    </w:p>
    <w:p w:rsidR="001A6461" w:rsidRPr="001A6461" w:rsidRDefault="001A6461" w:rsidP="001A6461">
      <w:pPr>
        <w:pStyle w:val="SingleTxt"/>
        <w:spacing w:after="0" w:line="120" w:lineRule="exact"/>
        <w:rPr>
          <w:sz w:val="10"/>
          <w:lang w:val="fr-FR"/>
        </w:rPr>
      </w:pPr>
    </w:p>
    <w:p w:rsidR="007D5A75" w:rsidRDefault="001A6461"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r>
      <w:r w:rsidR="007D5A75" w:rsidRPr="007D5A75">
        <w:rPr>
          <w:lang w:val="fr-FR"/>
        </w:rPr>
        <w:t>Ouverture de la session</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La soixante-troisième session du Comité sur l</w:t>
      </w:r>
      <w:r w:rsidR="00811484">
        <w:rPr>
          <w:lang w:val="fr-FR"/>
        </w:rPr>
        <w:t>’</w:t>
      </w:r>
      <w:r w:rsidR="007D5A75" w:rsidRPr="007D5A75">
        <w:rPr>
          <w:lang w:val="fr-FR"/>
        </w:rPr>
        <w:t>élimination de la discrimination à l</w:t>
      </w:r>
      <w:r w:rsidR="00811484">
        <w:rPr>
          <w:lang w:val="fr-FR"/>
        </w:rPr>
        <w:t>’</w:t>
      </w:r>
      <w:r w:rsidR="007D5A75" w:rsidRPr="007D5A75">
        <w:rPr>
          <w:lang w:val="fr-FR"/>
        </w:rPr>
        <w:t xml:space="preserve">égard des femmes sera ouverte par la Présidente du Comité. </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2.</w:t>
      </w:r>
      <w:r w:rsidRPr="007D5A75">
        <w:rPr>
          <w:lang w:val="fr-FR"/>
        </w:rPr>
        <w:tab/>
        <w:t>Adoption de l</w:t>
      </w:r>
      <w:r w:rsidR="00811484">
        <w:rPr>
          <w:lang w:val="fr-FR"/>
        </w:rPr>
        <w:t>’</w:t>
      </w:r>
      <w:r w:rsidRPr="007D5A75">
        <w:rPr>
          <w:lang w:val="fr-FR"/>
        </w:rPr>
        <w:t>ordre du jour et organisation des travaux</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L</w:t>
      </w:r>
      <w:r w:rsidR="00811484">
        <w:rPr>
          <w:lang w:val="fr-FR"/>
        </w:rPr>
        <w:t>’</w:t>
      </w:r>
      <w:r w:rsidR="007D5A75" w:rsidRPr="007D5A75">
        <w:rPr>
          <w:lang w:val="fr-FR"/>
        </w:rPr>
        <w:t>article 9 du Règlement intérieur dispose que la première question inscrite à l</w:t>
      </w:r>
      <w:r w:rsidR="00811484">
        <w:rPr>
          <w:lang w:val="fr-FR"/>
        </w:rPr>
        <w:t>’</w:t>
      </w:r>
      <w:r w:rsidR="007D5A75" w:rsidRPr="007D5A75">
        <w:rPr>
          <w:lang w:val="fr-FR"/>
        </w:rPr>
        <w:t>ordre du jour provisoire de chaque session est l</w:t>
      </w:r>
      <w:r w:rsidR="00811484">
        <w:rPr>
          <w:lang w:val="fr-FR"/>
        </w:rPr>
        <w:t>’</w:t>
      </w:r>
      <w:r w:rsidR="007D5A75" w:rsidRPr="007D5A75">
        <w:rPr>
          <w:lang w:val="fr-FR"/>
        </w:rPr>
        <w:t>adoption de l</w:t>
      </w:r>
      <w:r w:rsidR="00811484">
        <w:rPr>
          <w:lang w:val="fr-FR"/>
        </w:rPr>
        <w:t>’</w:t>
      </w:r>
      <w:r w:rsidR="007D5A75" w:rsidRPr="007D5A75">
        <w:rPr>
          <w:lang w:val="fr-FR"/>
        </w:rPr>
        <w:t>ordre du jour. L</w:t>
      </w:r>
      <w:r w:rsidR="00811484">
        <w:rPr>
          <w:lang w:val="fr-FR"/>
        </w:rPr>
        <w:t>’</w:t>
      </w:r>
      <w:r w:rsidR="007D5A75" w:rsidRPr="007D5A75">
        <w:rPr>
          <w:lang w:val="fr-FR"/>
        </w:rPr>
        <w:t>article 7 dispose que l</w:t>
      </w:r>
      <w:r w:rsidR="00811484">
        <w:rPr>
          <w:lang w:val="fr-FR"/>
        </w:rPr>
        <w:t>’</w:t>
      </w:r>
      <w:r w:rsidR="007D5A75" w:rsidRPr="007D5A75">
        <w:rPr>
          <w:lang w:val="fr-FR"/>
        </w:rPr>
        <w:t xml:space="preserve">ordre du jour provisoire de chaque session est établi par le Secrétaire général en consultation avec la présidence du Comité, conformément aux dispositions pertinentes des articles 17 à 22 de la Convention. </w:t>
      </w:r>
    </w:p>
    <w:p w:rsidR="007D5A75" w:rsidRPr="007D5A75" w:rsidRDefault="000F6DB6" w:rsidP="007D5A75">
      <w:pPr>
        <w:pStyle w:val="SingleTxt"/>
        <w:rPr>
          <w:lang w:val="fr-FR"/>
        </w:rPr>
      </w:pPr>
      <w:r>
        <w:rPr>
          <w:lang w:val="fr-FR"/>
        </w:rPr>
        <w:tab/>
      </w:r>
      <w:r w:rsidR="007D5A75" w:rsidRPr="007D5A75">
        <w:rPr>
          <w:lang w:val="fr-FR"/>
        </w:rPr>
        <w:t>À sa soixante-deuxième session, le Comité a approuvé l</w:t>
      </w:r>
      <w:r w:rsidR="00811484">
        <w:rPr>
          <w:lang w:val="fr-FR"/>
        </w:rPr>
        <w:t>’</w:t>
      </w:r>
      <w:r w:rsidR="007D5A75" w:rsidRPr="007D5A75">
        <w:rPr>
          <w:lang w:val="fr-FR"/>
        </w:rPr>
        <w:t xml:space="preserve">ordre du jour provisoire de sa soixante-troisième session. </w:t>
      </w:r>
    </w:p>
    <w:p w:rsidR="001A6461" w:rsidRPr="001A6461" w:rsidRDefault="001A6461" w:rsidP="001A6461">
      <w:pPr>
        <w:pStyle w:val="SingleTxt"/>
        <w:spacing w:after="0" w:line="120" w:lineRule="exact"/>
        <w:rPr>
          <w:b/>
          <w:sz w:val="10"/>
          <w:lang w:val="fr-FR"/>
        </w:rPr>
      </w:pPr>
    </w:p>
    <w:p w:rsidR="007D5A75" w:rsidRP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3.</w:t>
      </w:r>
      <w:r w:rsidRPr="007D5A75">
        <w:rPr>
          <w:lang w:val="fr-FR"/>
        </w:rPr>
        <w:tab/>
        <w:t xml:space="preserve">Rapport de la Présidente sur les activités menées </w:t>
      </w:r>
      <w:r w:rsidR="001A6461">
        <w:rPr>
          <w:lang w:val="fr-FR"/>
        </w:rPr>
        <w:br/>
      </w:r>
      <w:r w:rsidRPr="007D5A75">
        <w:rPr>
          <w:lang w:val="fr-FR"/>
        </w:rPr>
        <w:t xml:space="preserve">entre la soixante-deuxième et la soixante-troisième session </w:t>
      </w:r>
      <w:r w:rsidR="001A6461">
        <w:rPr>
          <w:lang w:val="fr-FR"/>
        </w:rPr>
        <w:br/>
      </w:r>
      <w:r w:rsidRPr="007D5A75">
        <w:rPr>
          <w:lang w:val="fr-FR"/>
        </w:rPr>
        <w:t>du Comité</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 xml:space="preserve">La Présidente rendra compte au Comité des activités menées et des faits nouveaux survenus depuis la session précédente qui ont eu une incidence sur les travaux du Comité. </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Documentation</w:t>
      </w:r>
    </w:p>
    <w:p w:rsidR="001A6461" w:rsidRPr="001A6461" w:rsidRDefault="001A6461" w:rsidP="001A6461">
      <w:pPr>
        <w:pStyle w:val="SingleTxt"/>
        <w:spacing w:after="0" w:line="120" w:lineRule="exact"/>
        <w:rPr>
          <w:sz w:val="10"/>
          <w:lang w:val="fr-FR"/>
        </w:rPr>
      </w:pPr>
    </w:p>
    <w:p w:rsidR="007D5A75" w:rsidRDefault="007D5A75" w:rsidP="007D5A75">
      <w:pPr>
        <w:pStyle w:val="SingleTxt"/>
        <w:rPr>
          <w:lang w:val="fr-FR"/>
        </w:rPr>
      </w:pPr>
      <w:r w:rsidRPr="007D5A75">
        <w:rPr>
          <w:lang w:val="fr-FR"/>
        </w:rPr>
        <w:t>Ordre du jour provisoire annoté (</w:t>
      </w:r>
      <w:hyperlink r:id="rId16" w:history="1">
        <w:r w:rsidRPr="007D5A75">
          <w:rPr>
            <w:rStyle w:val="Hyperlink"/>
            <w:lang w:val="fr-FR"/>
          </w:rPr>
          <w:t>CEDAW/C/63/1</w:t>
        </w:r>
      </w:hyperlink>
      <w:r w:rsidRPr="007D5A75">
        <w:rPr>
          <w:lang w:val="fr-FR"/>
        </w:rPr>
        <w:t>)</w:t>
      </w:r>
    </w:p>
    <w:p w:rsidR="001A6461" w:rsidRPr="001A6461" w:rsidRDefault="001A6461" w:rsidP="001A6461">
      <w:pPr>
        <w:pStyle w:val="SingleTxt"/>
        <w:spacing w:after="0" w:line="120" w:lineRule="exact"/>
        <w:rPr>
          <w:sz w:val="10"/>
          <w:lang w:val="fr-FR"/>
        </w:rPr>
      </w:pPr>
    </w:p>
    <w:p w:rsidR="007D5A75" w:rsidRP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4.</w:t>
      </w:r>
      <w:r w:rsidRPr="007D5A75">
        <w:rPr>
          <w:lang w:val="fr-FR"/>
        </w:rPr>
        <w:tab/>
        <w:t xml:space="preserve">Examen des rapports soumis par les États parties en application </w:t>
      </w:r>
      <w:r w:rsidR="001A6461">
        <w:rPr>
          <w:lang w:val="fr-FR"/>
        </w:rPr>
        <w:br/>
      </w:r>
      <w:r w:rsidRPr="007D5A75">
        <w:rPr>
          <w:lang w:val="fr-FR"/>
        </w:rPr>
        <w:t>de l</w:t>
      </w:r>
      <w:r w:rsidR="00811484">
        <w:rPr>
          <w:lang w:val="fr-FR"/>
        </w:rPr>
        <w:t>’</w:t>
      </w:r>
      <w:r w:rsidRPr="007D5A75">
        <w:rPr>
          <w:lang w:val="fr-FR"/>
        </w:rPr>
        <w:t>article 18 de la Convention sur l</w:t>
      </w:r>
      <w:r w:rsidR="00811484">
        <w:rPr>
          <w:lang w:val="fr-FR"/>
        </w:rPr>
        <w:t>’</w:t>
      </w:r>
      <w:r w:rsidRPr="007D5A75">
        <w:rPr>
          <w:lang w:val="fr-FR"/>
        </w:rPr>
        <w:t xml:space="preserve">élimination de toutes </w:t>
      </w:r>
      <w:r w:rsidR="001A6461">
        <w:rPr>
          <w:lang w:val="fr-FR"/>
        </w:rPr>
        <w:br/>
      </w:r>
      <w:r w:rsidRPr="007D5A75">
        <w:rPr>
          <w:lang w:val="fr-FR"/>
        </w:rPr>
        <w:t>les formes de discrimination à l</w:t>
      </w:r>
      <w:r w:rsidR="00811484">
        <w:rPr>
          <w:lang w:val="fr-FR"/>
        </w:rPr>
        <w:t>’</w:t>
      </w:r>
      <w:r w:rsidRPr="007D5A75">
        <w:rPr>
          <w:lang w:val="fr-FR"/>
        </w:rPr>
        <w:t xml:space="preserve">égard des femmes </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L</w:t>
      </w:r>
      <w:r w:rsidR="00811484">
        <w:rPr>
          <w:lang w:val="fr-FR"/>
        </w:rPr>
        <w:t>’</w:t>
      </w:r>
      <w:r w:rsidR="007D5A75" w:rsidRPr="007D5A75">
        <w:rPr>
          <w:lang w:val="fr-FR"/>
        </w:rPr>
        <w:t>article 18 de la Convention dispose que les États parties s</w:t>
      </w:r>
      <w:r w:rsidR="00811484">
        <w:rPr>
          <w:lang w:val="fr-FR"/>
        </w:rPr>
        <w:t>’</w:t>
      </w:r>
      <w:r w:rsidR="007D5A75" w:rsidRPr="007D5A75">
        <w:rPr>
          <w:lang w:val="fr-FR"/>
        </w:rPr>
        <w:t>engagent à présenter au Secrétaire général, pour examen par le Comité, un rapport sur les mesures d</w:t>
      </w:r>
      <w:r w:rsidR="00811484">
        <w:rPr>
          <w:lang w:val="fr-FR"/>
        </w:rPr>
        <w:t>’</w:t>
      </w:r>
      <w:r w:rsidR="007D5A75" w:rsidRPr="007D5A75">
        <w:rPr>
          <w:lang w:val="fr-FR"/>
        </w:rPr>
        <w:t>ordre législatif, judiciaire, administratif ou autre qu</w:t>
      </w:r>
      <w:r w:rsidR="00811484">
        <w:rPr>
          <w:lang w:val="fr-FR"/>
        </w:rPr>
        <w:t>’</w:t>
      </w:r>
      <w:r w:rsidR="007D5A75" w:rsidRPr="007D5A75">
        <w:rPr>
          <w:lang w:val="fr-FR"/>
        </w:rPr>
        <w:t>ils ont adoptées pour donner effet aux dispositions de la Convention et sur les progrès réalisés à cet égard. Les rapports doivent être soumis au Comité dans l</w:t>
      </w:r>
      <w:r w:rsidR="00811484">
        <w:rPr>
          <w:lang w:val="fr-FR"/>
        </w:rPr>
        <w:t>’</w:t>
      </w:r>
      <w:r w:rsidR="007D5A75" w:rsidRPr="007D5A75">
        <w:rPr>
          <w:lang w:val="fr-FR"/>
        </w:rPr>
        <w:t>année suivant l</w:t>
      </w:r>
      <w:r w:rsidR="00811484">
        <w:rPr>
          <w:lang w:val="fr-FR"/>
        </w:rPr>
        <w:t>’</w:t>
      </w:r>
      <w:r w:rsidR="007D5A75" w:rsidRPr="007D5A75">
        <w:rPr>
          <w:lang w:val="fr-FR"/>
        </w:rPr>
        <w:t>entrée en vigueur de la Convention dans l</w:t>
      </w:r>
      <w:r w:rsidR="00811484">
        <w:rPr>
          <w:lang w:val="fr-FR"/>
        </w:rPr>
        <w:t>’</w:t>
      </w:r>
      <w:r w:rsidR="007D5A75" w:rsidRPr="007D5A75">
        <w:rPr>
          <w:lang w:val="fr-FR"/>
        </w:rPr>
        <w:t>État intéressé, puis au moins tous les quatre ans, ainsi qu</w:t>
      </w:r>
      <w:r w:rsidR="00811484">
        <w:rPr>
          <w:lang w:val="fr-FR"/>
        </w:rPr>
        <w:t>’</w:t>
      </w:r>
      <w:r w:rsidR="007D5A75" w:rsidRPr="007D5A75">
        <w:rPr>
          <w:lang w:val="fr-FR"/>
        </w:rPr>
        <w:t xml:space="preserve">à la demande du Comité. </w:t>
      </w:r>
    </w:p>
    <w:p w:rsidR="007D5A75" w:rsidRPr="007D5A75" w:rsidRDefault="000F6DB6" w:rsidP="007D5A75">
      <w:pPr>
        <w:pStyle w:val="SingleTxt"/>
        <w:rPr>
          <w:lang w:val="fr-FR"/>
        </w:rPr>
      </w:pPr>
      <w:r>
        <w:rPr>
          <w:lang w:val="fr-FR"/>
        </w:rPr>
        <w:tab/>
      </w:r>
      <w:r w:rsidR="007D5A75" w:rsidRPr="007D5A75">
        <w:rPr>
          <w:lang w:val="fr-FR"/>
        </w:rPr>
        <w:t xml:space="preserve">Les rapports des États parties </w:t>
      </w:r>
      <w:r w:rsidR="00DF3730">
        <w:rPr>
          <w:lang w:val="fr-FR"/>
        </w:rPr>
        <w:t>ci-après</w:t>
      </w:r>
      <w:r w:rsidR="007D5A75" w:rsidRPr="007D5A75">
        <w:rPr>
          <w:lang w:val="fr-FR"/>
        </w:rPr>
        <w:t xml:space="preserve"> doivent être examinés à la soixante-troisième session du Comité</w:t>
      </w:r>
      <w:r w:rsidR="00DF3730">
        <w:rPr>
          <w:lang w:val="fr-FR"/>
        </w:rPr>
        <w:t> </w:t>
      </w:r>
      <w:r w:rsidR="007D5A75" w:rsidRPr="007D5A75">
        <w:rPr>
          <w:lang w:val="fr-FR"/>
        </w:rPr>
        <w:t>:</w:t>
      </w:r>
      <w:r w:rsidR="00DF3730">
        <w:rPr>
          <w:lang w:val="fr-FR"/>
        </w:rPr>
        <w:t xml:space="preserve"> </w:t>
      </w:r>
      <w:r w:rsidR="007D5A75" w:rsidRPr="007D5A75">
        <w:rPr>
          <w:lang w:val="fr-FR"/>
        </w:rPr>
        <w:t xml:space="preserve">Haïti, Islande, Japon, Mongolie, République tchèque, République-Unie de Tanzanie, Suède et Vanuatu. </w:t>
      </w:r>
    </w:p>
    <w:p w:rsidR="007D5A75" w:rsidRPr="007D5A75" w:rsidRDefault="000F6DB6" w:rsidP="007D5A75">
      <w:pPr>
        <w:pStyle w:val="SingleTxt"/>
        <w:rPr>
          <w:lang w:val="fr-FR"/>
        </w:rPr>
      </w:pPr>
      <w:r>
        <w:rPr>
          <w:lang w:val="fr-FR"/>
        </w:rPr>
        <w:tab/>
      </w:r>
      <w:r w:rsidR="007D5A75" w:rsidRPr="007D5A75">
        <w:rPr>
          <w:lang w:val="fr-FR"/>
        </w:rPr>
        <w:t>L</w:t>
      </w:r>
      <w:r w:rsidR="00811484">
        <w:rPr>
          <w:lang w:val="fr-FR"/>
        </w:rPr>
        <w:t>’</w:t>
      </w:r>
      <w:r w:rsidR="007D5A75" w:rsidRPr="007D5A75">
        <w:rPr>
          <w:lang w:val="fr-FR"/>
        </w:rPr>
        <w:t>article 51 du Règlement intérieur dispose que les représentants des États parties assistent aux réunions du Comité au cours desquelles leurs rapports doivent être examinés, participent aux débats et répondent aux questions concernant leur rapport.</w:t>
      </w:r>
    </w:p>
    <w:p w:rsidR="007D5A75" w:rsidRPr="007D5A75" w:rsidRDefault="000F6DB6" w:rsidP="007D5A75">
      <w:pPr>
        <w:pStyle w:val="SingleTxt"/>
        <w:rPr>
          <w:lang w:val="fr-FR"/>
        </w:rPr>
      </w:pPr>
      <w:r>
        <w:rPr>
          <w:lang w:val="fr-FR"/>
        </w:rPr>
        <w:tab/>
      </w:r>
      <w:r w:rsidR="007D5A75" w:rsidRPr="007D5A75">
        <w:rPr>
          <w:lang w:val="fr-FR"/>
        </w:rPr>
        <w:t>L</w:t>
      </w:r>
      <w:r w:rsidR="00811484">
        <w:rPr>
          <w:lang w:val="fr-FR"/>
        </w:rPr>
        <w:t>’</w:t>
      </w:r>
      <w:r w:rsidR="007D5A75" w:rsidRPr="007D5A75">
        <w:rPr>
          <w:lang w:val="fr-FR"/>
        </w:rPr>
        <w:t>article 49 du Règlement intérieur dispose qu</w:t>
      </w:r>
      <w:r w:rsidR="00811484">
        <w:rPr>
          <w:lang w:val="fr-FR"/>
        </w:rPr>
        <w:t>’</w:t>
      </w:r>
      <w:r w:rsidR="007D5A75" w:rsidRPr="007D5A75">
        <w:rPr>
          <w:lang w:val="fr-FR"/>
        </w:rPr>
        <w:t>à chaque session le Secrétaire général fait part au Comité de tous les cas de non-présentation de rapports demandés aux États parties en application de l</w:t>
      </w:r>
      <w:r w:rsidR="00811484">
        <w:rPr>
          <w:lang w:val="fr-FR"/>
        </w:rPr>
        <w:t>’</w:t>
      </w:r>
      <w:r w:rsidR="007D5A75" w:rsidRPr="007D5A75">
        <w:rPr>
          <w:lang w:val="fr-FR"/>
        </w:rPr>
        <w:t xml:space="preserve">article 18 de la Convention. De plus, le Secrétaire général fournit régulièrement au Comité une liste des rapports soumis </w:t>
      </w:r>
      <w:r w:rsidR="007D5A75" w:rsidRPr="007D5A75">
        <w:rPr>
          <w:lang w:val="fr-FR"/>
        </w:rPr>
        <w:lastRenderedPageBreak/>
        <w:t>par les États parties à la Convention, ainsi qu</w:t>
      </w:r>
      <w:r w:rsidR="00811484">
        <w:rPr>
          <w:lang w:val="fr-FR"/>
        </w:rPr>
        <w:t>’</w:t>
      </w:r>
      <w:r w:rsidR="007D5A75" w:rsidRPr="007D5A75">
        <w:rPr>
          <w:lang w:val="fr-FR"/>
        </w:rPr>
        <w:t>une liste des rapports soumis par les États parties à la Convention mais qui n</w:t>
      </w:r>
      <w:r w:rsidR="00811484">
        <w:rPr>
          <w:lang w:val="fr-FR"/>
        </w:rPr>
        <w:t>’</w:t>
      </w:r>
      <w:r w:rsidR="007D5A75" w:rsidRPr="007D5A75">
        <w:rPr>
          <w:lang w:val="fr-FR"/>
        </w:rPr>
        <w:t xml:space="preserve">ont pas encore été examinés par le Comité. </w:t>
      </w:r>
    </w:p>
    <w:p w:rsidR="007D5A75" w:rsidRPr="007D5A75" w:rsidRDefault="000F6DB6" w:rsidP="007D5A75">
      <w:pPr>
        <w:pStyle w:val="SingleTxt"/>
        <w:rPr>
          <w:lang w:val="fr-FR"/>
        </w:rPr>
      </w:pPr>
      <w:r>
        <w:rPr>
          <w:lang w:val="fr-FR"/>
        </w:rPr>
        <w:tab/>
      </w:r>
      <w:r w:rsidR="007D5A75" w:rsidRPr="007D5A75">
        <w:rPr>
          <w:lang w:val="fr-FR"/>
        </w:rPr>
        <w:t>Avant chaque session, un groupe de travail présession du Comité établit des listes de questions relatives aux rapports pour transmission aux États parties avant les réunions au cours desquelles leurs rapports doivent être examinés. Le groupe de travail présession de la soixante-deuxième session s</w:t>
      </w:r>
      <w:r w:rsidR="00811484">
        <w:rPr>
          <w:lang w:val="fr-FR"/>
        </w:rPr>
        <w:t>’</w:t>
      </w:r>
      <w:r w:rsidR="007D5A75" w:rsidRPr="007D5A75">
        <w:rPr>
          <w:lang w:val="fr-FR"/>
        </w:rPr>
        <w:t>est réuni du 23 au 27 novembre 2015 à Genève. Le Comité sera saisi du rapport du Groupe de travail présession (</w:t>
      </w:r>
      <w:hyperlink r:id="rId17" w:history="1">
        <w:r w:rsidR="007D5A75" w:rsidRPr="007D5A75">
          <w:rPr>
            <w:rStyle w:val="Hyperlink"/>
            <w:lang w:val="fr-FR"/>
          </w:rPr>
          <w:t>CEDAW/C/PSWG/63/1</w:t>
        </w:r>
      </w:hyperlink>
      <w:r w:rsidR="007D5A75" w:rsidRPr="007D5A75">
        <w:rPr>
          <w:lang w:val="fr-FR"/>
        </w:rPr>
        <w:t xml:space="preserve">) et des réponses des États parties aux listes de questions. </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Documentation</w:t>
      </w:r>
    </w:p>
    <w:p w:rsidR="001A6461" w:rsidRPr="001A6461" w:rsidRDefault="001A6461" w:rsidP="001A6461">
      <w:pPr>
        <w:pStyle w:val="SingleTxt"/>
        <w:spacing w:after="0" w:line="120" w:lineRule="exact"/>
        <w:rPr>
          <w:sz w:val="10"/>
          <w:lang w:val="fr-FR"/>
        </w:rPr>
      </w:pPr>
    </w:p>
    <w:p w:rsidR="007D5A75" w:rsidRDefault="007D5A75" w:rsidP="001A64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Rapports</w:t>
      </w:r>
    </w:p>
    <w:p w:rsidR="001A6461" w:rsidRPr="001A6461" w:rsidRDefault="001A6461" w:rsidP="001A6461">
      <w:pPr>
        <w:pStyle w:val="SingleTxt"/>
        <w:spacing w:after="0" w:line="120" w:lineRule="exact"/>
        <w:rPr>
          <w:sz w:val="10"/>
          <w:lang w:val="fr-FR"/>
        </w:rPr>
      </w:pPr>
    </w:p>
    <w:p w:rsidR="007D5A75" w:rsidRPr="007D5A75" w:rsidRDefault="007D5A75" w:rsidP="007D5A75">
      <w:pPr>
        <w:pStyle w:val="SingleTxt"/>
        <w:rPr>
          <w:lang w:val="fr-FR"/>
        </w:rPr>
      </w:pPr>
      <w:r w:rsidRPr="007D5A75">
        <w:rPr>
          <w:lang w:val="fr-FR"/>
        </w:rPr>
        <w:t>Huitième et neuvième rapports périodiques d</w:t>
      </w:r>
      <w:r w:rsidR="00811484">
        <w:rPr>
          <w:lang w:val="fr-FR"/>
        </w:rPr>
        <w:t>’</w:t>
      </w:r>
      <w:r w:rsidRPr="007D5A75">
        <w:rPr>
          <w:lang w:val="fr-FR"/>
        </w:rPr>
        <w:t>Haïti (</w:t>
      </w:r>
      <w:hyperlink r:id="rId18" w:history="1">
        <w:r w:rsidRPr="00811484">
          <w:rPr>
            <w:rStyle w:val="Hyperlink"/>
            <w:lang w:val="fr-FR"/>
          </w:rPr>
          <w:t>CEDAW/C/HTI/8-9</w:t>
        </w:r>
      </w:hyperlink>
      <w:r w:rsidRPr="007D5A75">
        <w:rPr>
          <w:lang w:val="fr-FR"/>
        </w:rPr>
        <w:t>)</w:t>
      </w:r>
    </w:p>
    <w:p w:rsidR="007D5A75" w:rsidRPr="007D5A75" w:rsidRDefault="007D5A75" w:rsidP="007D5A75">
      <w:pPr>
        <w:pStyle w:val="SingleTxt"/>
        <w:rPr>
          <w:lang w:val="fr-FR"/>
        </w:rPr>
      </w:pPr>
      <w:r w:rsidRPr="007D5A75">
        <w:rPr>
          <w:lang w:val="fr-FR"/>
        </w:rPr>
        <w:t>Septième et huitième rapports périodiques de l</w:t>
      </w:r>
      <w:r w:rsidR="00811484">
        <w:rPr>
          <w:lang w:val="fr-FR"/>
        </w:rPr>
        <w:t>’</w:t>
      </w:r>
      <w:r w:rsidRPr="007D5A75">
        <w:rPr>
          <w:lang w:val="fr-FR"/>
        </w:rPr>
        <w:t>Islande (</w:t>
      </w:r>
      <w:hyperlink r:id="rId19" w:history="1">
        <w:r w:rsidRPr="00811484">
          <w:rPr>
            <w:rStyle w:val="Hyperlink"/>
            <w:lang w:val="fr-FR"/>
          </w:rPr>
          <w:t>CEDAW/C/ISL/7-8</w:t>
        </w:r>
      </w:hyperlink>
      <w:r w:rsidRPr="007D5A75">
        <w:rPr>
          <w:lang w:val="fr-FR"/>
        </w:rPr>
        <w:t>)</w:t>
      </w:r>
    </w:p>
    <w:p w:rsidR="007D5A75" w:rsidRPr="007D5A75" w:rsidRDefault="007D5A75" w:rsidP="007D5A75">
      <w:pPr>
        <w:pStyle w:val="SingleTxt"/>
        <w:rPr>
          <w:lang w:val="fr-FR"/>
        </w:rPr>
      </w:pPr>
      <w:r w:rsidRPr="007D5A75">
        <w:rPr>
          <w:lang w:val="fr-FR"/>
        </w:rPr>
        <w:t>Septième et huitième rapports périodiques du Japon (</w:t>
      </w:r>
      <w:hyperlink r:id="rId20" w:history="1">
        <w:r w:rsidRPr="00811484">
          <w:rPr>
            <w:rStyle w:val="Hyperlink"/>
            <w:lang w:val="fr-FR"/>
          </w:rPr>
          <w:t>CEDAW/C/JPN/7-8</w:t>
        </w:r>
      </w:hyperlink>
      <w:r w:rsidRPr="007D5A75">
        <w:rPr>
          <w:lang w:val="fr-FR"/>
        </w:rPr>
        <w:t>)</w:t>
      </w:r>
    </w:p>
    <w:p w:rsidR="007D5A75" w:rsidRPr="007D5A75" w:rsidRDefault="007D5A75" w:rsidP="007D5A75">
      <w:pPr>
        <w:pStyle w:val="SingleTxt"/>
        <w:rPr>
          <w:lang w:val="fr-FR"/>
        </w:rPr>
      </w:pPr>
      <w:r w:rsidRPr="007D5A75">
        <w:rPr>
          <w:lang w:val="fr-FR"/>
        </w:rPr>
        <w:t>Huitième et neuvième rapports périodiques de la Mongolie (</w:t>
      </w:r>
      <w:hyperlink r:id="rId21" w:history="1">
        <w:r w:rsidRPr="00811484">
          <w:rPr>
            <w:rStyle w:val="Hyperlink"/>
            <w:lang w:val="fr-FR"/>
          </w:rPr>
          <w:t>CEDAW/C/MNG/8-9</w:t>
        </w:r>
      </w:hyperlink>
      <w:r w:rsidRPr="007D5A75">
        <w:rPr>
          <w:lang w:val="fr-FR"/>
        </w:rPr>
        <w:t xml:space="preserve">) </w:t>
      </w:r>
    </w:p>
    <w:p w:rsidR="007D5A75" w:rsidRPr="007D5A75" w:rsidRDefault="007D5A75" w:rsidP="007D5A75">
      <w:pPr>
        <w:pStyle w:val="SingleTxt"/>
        <w:rPr>
          <w:lang w:val="fr-FR"/>
        </w:rPr>
      </w:pPr>
      <w:r w:rsidRPr="007D5A75">
        <w:rPr>
          <w:lang w:val="fr-FR"/>
        </w:rPr>
        <w:t>Huitième et neuvième rapports périodiques de la Suède (</w:t>
      </w:r>
      <w:hyperlink r:id="rId22" w:history="1">
        <w:r w:rsidRPr="00811484">
          <w:rPr>
            <w:rStyle w:val="Hyperlink"/>
            <w:lang w:val="fr-FR"/>
          </w:rPr>
          <w:t>CEDAW/C/SWE/8-9</w:t>
        </w:r>
      </w:hyperlink>
      <w:r w:rsidRPr="007D5A75">
        <w:rPr>
          <w:lang w:val="fr-FR"/>
        </w:rPr>
        <w:t xml:space="preserve">) </w:t>
      </w:r>
    </w:p>
    <w:p w:rsidR="007D5A75" w:rsidRPr="007D5A75" w:rsidRDefault="007D5A75" w:rsidP="007D5A75">
      <w:pPr>
        <w:pStyle w:val="SingleTxt"/>
        <w:rPr>
          <w:lang w:val="fr-FR"/>
        </w:rPr>
      </w:pPr>
      <w:r w:rsidRPr="007D5A75">
        <w:rPr>
          <w:lang w:val="fr-FR"/>
        </w:rPr>
        <w:t>Sixième rapport périodique de la République tchèque (</w:t>
      </w:r>
      <w:hyperlink r:id="rId23" w:history="1">
        <w:r w:rsidRPr="007D5A75">
          <w:rPr>
            <w:rStyle w:val="Hyperlink"/>
            <w:lang w:val="fr-FR"/>
          </w:rPr>
          <w:t>CEDAW/C/CZE/6</w:t>
        </w:r>
      </w:hyperlink>
      <w:r w:rsidRPr="007D5A75">
        <w:rPr>
          <w:lang w:val="fr-FR"/>
        </w:rPr>
        <w:t xml:space="preserve">) </w:t>
      </w:r>
    </w:p>
    <w:p w:rsidR="007D5A75" w:rsidRPr="007D5A75" w:rsidRDefault="007D5A75" w:rsidP="007D5A75">
      <w:pPr>
        <w:pStyle w:val="SingleTxt"/>
        <w:rPr>
          <w:lang w:val="fr-FR"/>
        </w:rPr>
      </w:pPr>
      <w:r w:rsidRPr="007D5A75">
        <w:rPr>
          <w:lang w:val="fr-FR"/>
        </w:rPr>
        <w:t>Septième et huitième rapports périodiques de la République-Unie de Tanzanie (</w:t>
      </w:r>
      <w:hyperlink r:id="rId24" w:history="1">
        <w:r w:rsidRPr="00811484">
          <w:rPr>
            <w:rStyle w:val="Hyperlink"/>
            <w:lang w:val="fr-FR"/>
          </w:rPr>
          <w:t>CEDAW/C/TZA/7-8</w:t>
        </w:r>
      </w:hyperlink>
      <w:r w:rsidRPr="007D5A75">
        <w:rPr>
          <w:lang w:val="fr-FR"/>
        </w:rPr>
        <w:t>)</w:t>
      </w:r>
    </w:p>
    <w:p w:rsidR="007D5A75" w:rsidRPr="007D5A75" w:rsidRDefault="007D5A75" w:rsidP="007D5A75">
      <w:pPr>
        <w:pStyle w:val="SingleTxt"/>
        <w:rPr>
          <w:lang w:val="fr-FR"/>
        </w:rPr>
      </w:pPr>
      <w:r w:rsidRPr="007D5A75">
        <w:rPr>
          <w:lang w:val="fr-FR"/>
        </w:rPr>
        <w:t>Quatrième et cinquième rapports périodiques du Vanuatu (</w:t>
      </w:r>
      <w:hyperlink r:id="rId25" w:history="1">
        <w:r w:rsidRPr="00811484">
          <w:rPr>
            <w:rStyle w:val="Hyperlink"/>
            <w:lang w:val="fr-FR"/>
          </w:rPr>
          <w:t>CEDAW/C/VUT/4-5</w:t>
        </w:r>
      </w:hyperlink>
      <w:r w:rsidRPr="007D5A75">
        <w:rPr>
          <w:lang w:val="fr-FR"/>
        </w:rPr>
        <w:t>)</w:t>
      </w:r>
    </w:p>
    <w:p w:rsidR="001A6461" w:rsidRPr="001A6461" w:rsidRDefault="001A6461" w:rsidP="001A6461">
      <w:pPr>
        <w:pStyle w:val="SingleTxt"/>
        <w:spacing w:after="0" w:line="120" w:lineRule="exact"/>
        <w:rPr>
          <w:i/>
          <w:sz w:val="10"/>
          <w:lang w:val="fr-FR"/>
        </w:rPr>
      </w:pPr>
    </w:p>
    <w:p w:rsidR="007D5A75" w:rsidRDefault="007D5A75" w:rsidP="001A64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Liste de questions</w:t>
      </w:r>
    </w:p>
    <w:p w:rsidR="001A6461" w:rsidRPr="001A6461" w:rsidRDefault="001A6461" w:rsidP="001A6461">
      <w:pPr>
        <w:pStyle w:val="SingleTxt"/>
        <w:spacing w:after="0" w:line="120" w:lineRule="exact"/>
        <w:rPr>
          <w:sz w:val="10"/>
          <w:lang w:val="fr-FR"/>
        </w:rPr>
      </w:pPr>
    </w:p>
    <w:p w:rsidR="007D5A75" w:rsidRPr="007D5A75" w:rsidRDefault="007D5A75" w:rsidP="007D5A75">
      <w:pPr>
        <w:pStyle w:val="SingleTxt"/>
        <w:rPr>
          <w:lang w:val="fr-FR"/>
        </w:rPr>
      </w:pPr>
      <w:r w:rsidRPr="007D5A75">
        <w:rPr>
          <w:lang w:val="fr-FR"/>
        </w:rPr>
        <w:t>Haïti (</w:t>
      </w:r>
      <w:hyperlink r:id="rId26" w:history="1">
        <w:r w:rsidRPr="00811484">
          <w:rPr>
            <w:rStyle w:val="Hyperlink"/>
            <w:lang w:val="fr-FR"/>
          </w:rPr>
          <w:t>CEDAW/C/HTI/Q/8-9</w:t>
        </w:r>
      </w:hyperlink>
      <w:r w:rsidRPr="007D5A75">
        <w:rPr>
          <w:lang w:val="fr-FR"/>
        </w:rPr>
        <w:t>)</w:t>
      </w:r>
    </w:p>
    <w:p w:rsidR="007D5A75" w:rsidRPr="007D5A75" w:rsidRDefault="007D5A75" w:rsidP="007D5A75">
      <w:pPr>
        <w:pStyle w:val="SingleTxt"/>
        <w:rPr>
          <w:lang w:val="fr-FR"/>
        </w:rPr>
      </w:pPr>
      <w:r w:rsidRPr="007D5A75">
        <w:rPr>
          <w:lang w:val="fr-FR"/>
        </w:rPr>
        <w:t>Islande (</w:t>
      </w:r>
      <w:hyperlink r:id="rId27" w:history="1">
        <w:r w:rsidRPr="00811484">
          <w:rPr>
            <w:rStyle w:val="Hyperlink"/>
            <w:lang w:val="fr-FR"/>
          </w:rPr>
          <w:t>CEDAW/C/ISL/Q/7-8</w:t>
        </w:r>
      </w:hyperlink>
      <w:r w:rsidRPr="007D5A75">
        <w:rPr>
          <w:lang w:val="fr-FR"/>
        </w:rPr>
        <w:t>)</w:t>
      </w:r>
    </w:p>
    <w:p w:rsidR="007D5A75" w:rsidRPr="007D5A75" w:rsidRDefault="007D5A75" w:rsidP="007D5A75">
      <w:pPr>
        <w:pStyle w:val="SingleTxt"/>
        <w:rPr>
          <w:lang w:val="fr-FR"/>
        </w:rPr>
      </w:pPr>
      <w:r w:rsidRPr="007D5A75">
        <w:rPr>
          <w:lang w:val="fr-FR"/>
        </w:rPr>
        <w:t>Japon (</w:t>
      </w:r>
      <w:hyperlink r:id="rId28" w:history="1">
        <w:r w:rsidRPr="00811484">
          <w:rPr>
            <w:rStyle w:val="Hyperlink"/>
            <w:lang w:val="fr-FR"/>
          </w:rPr>
          <w:t>CEDAW/C/JPN/Q/7-8</w:t>
        </w:r>
      </w:hyperlink>
      <w:r w:rsidRPr="007D5A75">
        <w:rPr>
          <w:lang w:val="fr-FR"/>
        </w:rPr>
        <w:t>)</w:t>
      </w:r>
    </w:p>
    <w:p w:rsidR="007D5A75" w:rsidRPr="007D5A75" w:rsidRDefault="007D5A75" w:rsidP="007D5A75">
      <w:pPr>
        <w:pStyle w:val="SingleTxt"/>
        <w:rPr>
          <w:lang w:val="en-GB"/>
        </w:rPr>
      </w:pPr>
      <w:r w:rsidRPr="007D5A75">
        <w:rPr>
          <w:lang w:val="en-GB"/>
        </w:rPr>
        <w:t>Mongolie (</w:t>
      </w:r>
      <w:hyperlink r:id="rId29" w:history="1">
        <w:r w:rsidRPr="00811484">
          <w:rPr>
            <w:rStyle w:val="Hyperlink"/>
            <w:lang w:val="en-GB"/>
          </w:rPr>
          <w:t>CEDAW/C/MNG/Q/8-9</w:t>
        </w:r>
      </w:hyperlink>
      <w:r w:rsidRPr="007D5A75">
        <w:rPr>
          <w:lang w:val="en-GB"/>
        </w:rPr>
        <w:t>)</w:t>
      </w:r>
    </w:p>
    <w:p w:rsidR="007D5A75" w:rsidRPr="007D5A75" w:rsidRDefault="007D5A75" w:rsidP="007D5A75">
      <w:pPr>
        <w:pStyle w:val="SingleTxt"/>
        <w:rPr>
          <w:lang w:val="fr-FR"/>
        </w:rPr>
      </w:pPr>
      <w:r w:rsidRPr="007D5A75">
        <w:rPr>
          <w:lang w:val="fr-FR"/>
        </w:rPr>
        <w:t>République tchèque</w:t>
      </w:r>
      <w:r w:rsidR="000F6DB6">
        <w:rPr>
          <w:lang w:val="fr-FR"/>
        </w:rPr>
        <w:t xml:space="preserve"> (</w:t>
      </w:r>
      <w:hyperlink r:id="rId30" w:history="1">
        <w:r w:rsidR="000F6DB6" w:rsidRPr="00C3620A">
          <w:rPr>
            <w:rStyle w:val="Hyperlink"/>
            <w:lang w:val="fr-FR"/>
          </w:rPr>
          <w:t>CEDAW/C/CZE/Q/6</w:t>
        </w:r>
      </w:hyperlink>
      <w:r w:rsidR="000F6DB6">
        <w:rPr>
          <w:lang w:val="fr-FR"/>
        </w:rPr>
        <w:t>)</w:t>
      </w:r>
    </w:p>
    <w:p w:rsidR="007D5A75" w:rsidRPr="007D5A75" w:rsidRDefault="007D5A75" w:rsidP="007D5A75">
      <w:pPr>
        <w:pStyle w:val="SingleTxt"/>
        <w:rPr>
          <w:lang w:val="fr-FR"/>
        </w:rPr>
      </w:pPr>
      <w:r w:rsidRPr="007D5A75">
        <w:rPr>
          <w:lang w:val="fr-FR"/>
        </w:rPr>
        <w:t>République-Unie de Tanzanie (</w:t>
      </w:r>
      <w:hyperlink r:id="rId31" w:history="1">
        <w:r w:rsidRPr="00811484">
          <w:rPr>
            <w:rStyle w:val="Hyperlink"/>
            <w:lang w:val="fr-FR"/>
          </w:rPr>
          <w:t>CEDAW/C/TZA/Q/7-8</w:t>
        </w:r>
      </w:hyperlink>
      <w:r w:rsidRPr="007D5A75">
        <w:rPr>
          <w:lang w:val="fr-FR"/>
        </w:rPr>
        <w:t>)</w:t>
      </w:r>
    </w:p>
    <w:p w:rsidR="007D5A75" w:rsidRPr="007D5A75" w:rsidRDefault="007D5A75" w:rsidP="007D5A75">
      <w:pPr>
        <w:pStyle w:val="SingleTxt"/>
        <w:rPr>
          <w:lang w:val="fr-FR"/>
        </w:rPr>
      </w:pPr>
      <w:r w:rsidRPr="007D5A75">
        <w:rPr>
          <w:lang w:val="fr-FR"/>
        </w:rPr>
        <w:t>Suède (</w:t>
      </w:r>
      <w:hyperlink r:id="rId32" w:history="1">
        <w:r w:rsidRPr="00811484">
          <w:rPr>
            <w:rStyle w:val="Hyperlink"/>
            <w:lang w:val="fr-FR"/>
          </w:rPr>
          <w:t>CEDAW/C/SWE/Q/8-9</w:t>
        </w:r>
      </w:hyperlink>
      <w:r w:rsidRPr="007D5A75">
        <w:rPr>
          <w:lang w:val="fr-FR"/>
        </w:rPr>
        <w:t xml:space="preserve">) </w:t>
      </w:r>
    </w:p>
    <w:p w:rsidR="007D5A75" w:rsidRPr="007D5A75" w:rsidRDefault="007D5A75" w:rsidP="007D5A75">
      <w:pPr>
        <w:pStyle w:val="SingleTxt"/>
        <w:rPr>
          <w:lang w:val="fr-FR"/>
        </w:rPr>
      </w:pPr>
      <w:r w:rsidRPr="007D5A75">
        <w:rPr>
          <w:lang w:val="fr-FR"/>
        </w:rPr>
        <w:t>Vanuatu (</w:t>
      </w:r>
      <w:hyperlink r:id="rId33" w:history="1">
        <w:r w:rsidRPr="00811484">
          <w:rPr>
            <w:rStyle w:val="Hyperlink"/>
            <w:lang w:val="fr-FR"/>
          </w:rPr>
          <w:t>CEDAW/C/VUT/Q/4-5</w:t>
        </w:r>
      </w:hyperlink>
      <w:r w:rsidRPr="007D5A75">
        <w:rPr>
          <w:lang w:val="fr-FR"/>
        </w:rPr>
        <w:t>)</w:t>
      </w:r>
    </w:p>
    <w:p w:rsidR="001A6461" w:rsidRPr="001A6461" w:rsidRDefault="001A6461" w:rsidP="001A6461">
      <w:pPr>
        <w:pStyle w:val="SingleTxt"/>
        <w:spacing w:after="0" w:line="120" w:lineRule="exact"/>
        <w:rPr>
          <w:i/>
          <w:sz w:val="10"/>
          <w:lang w:val="fr-FR"/>
        </w:rPr>
      </w:pPr>
    </w:p>
    <w:p w:rsidR="007D5A75" w:rsidRDefault="007D5A75" w:rsidP="001A64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Réponses aux listes de questions</w:t>
      </w:r>
    </w:p>
    <w:p w:rsidR="001A6461" w:rsidRPr="001A6461" w:rsidRDefault="001A6461" w:rsidP="001A6461">
      <w:pPr>
        <w:pStyle w:val="SingleTxt"/>
        <w:spacing w:after="0" w:line="120" w:lineRule="exact"/>
        <w:rPr>
          <w:sz w:val="10"/>
          <w:lang w:val="fr-FR"/>
        </w:rPr>
      </w:pPr>
    </w:p>
    <w:p w:rsidR="007D5A75" w:rsidRPr="007D5A75" w:rsidRDefault="007D5A75" w:rsidP="007D5A75">
      <w:pPr>
        <w:pStyle w:val="SingleTxt"/>
        <w:rPr>
          <w:lang w:val="fr-FR"/>
        </w:rPr>
      </w:pPr>
      <w:r w:rsidRPr="007D5A75">
        <w:rPr>
          <w:lang w:val="fr-FR"/>
        </w:rPr>
        <w:t>Haïti (</w:t>
      </w:r>
      <w:hyperlink r:id="rId34" w:history="1">
        <w:r w:rsidRPr="00811484">
          <w:rPr>
            <w:rStyle w:val="Hyperlink"/>
            <w:lang w:val="fr-FR"/>
          </w:rPr>
          <w:t>CEDAW/C/HTI/Q/8-9/Add.1</w:t>
        </w:r>
      </w:hyperlink>
      <w:r w:rsidRPr="007D5A75">
        <w:rPr>
          <w:lang w:val="fr-FR"/>
        </w:rPr>
        <w:t>)</w:t>
      </w:r>
    </w:p>
    <w:p w:rsidR="007D5A75" w:rsidRPr="007D5A75" w:rsidRDefault="007D5A75" w:rsidP="007D5A75">
      <w:pPr>
        <w:pStyle w:val="SingleTxt"/>
        <w:rPr>
          <w:lang w:val="fr-FR"/>
        </w:rPr>
      </w:pPr>
      <w:r w:rsidRPr="007D5A75">
        <w:rPr>
          <w:lang w:val="fr-FR"/>
        </w:rPr>
        <w:t>Islande (</w:t>
      </w:r>
      <w:hyperlink r:id="rId35" w:history="1">
        <w:r w:rsidRPr="00811484">
          <w:rPr>
            <w:rStyle w:val="Hyperlink"/>
            <w:lang w:val="fr-FR"/>
          </w:rPr>
          <w:t>CEDAW/C/ISL/Q/7-8/Add.1</w:t>
        </w:r>
      </w:hyperlink>
      <w:r w:rsidRPr="007D5A75">
        <w:rPr>
          <w:lang w:val="fr-FR"/>
        </w:rPr>
        <w:t>)</w:t>
      </w:r>
    </w:p>
    <w:p w:rsidR="007D5A75" w:rsidRPr="007D5A75" w:rsidRDefault="007D5A75" w:rsidP="007D5A75">
      <w:pPr>
        <w:pStyle w:val="SingleTxt"/>
        <w:rPr>
          <w:lang w:val="fr-FR"/>
        </w:rPr>
      </w:pPr>
      <w:r w:rsidRPr="007D5A75">
        <w:rPr>
          <w:lang w:val="fr-FR"/>
        </w:rPr>
        <w:t>Japon (</w:t>
      </w:r>
      <w:hyperlink r:id="rId36" w:history="1">
        <w:r w:rsidRPr="00811484">
          <w:rPr>
            <w:rStyle w:val="Hyperlink"/>
            <w:lang w:val="fr-FR"/>
          </w:rPr>
          <w:t>CEDAW/C/JPN/Q/7-8/Add.1</w:t>
        </w:r>
      </w:hyperlink>
      <w:r w:rsidRPr="007D5A75">
        <w:rPr>
          <w:lang w:val="fr-FR"/>
        </w:rPr>
        <w:t>)</w:t>
      </w:r>
    </w:p>
    <w:p w:rsidR="007D5A75" w:rsidRPr="007D5A75" w:rsidRDefault="007D5A75" w:rsidP="007D5A75">
      <w:pPr>
        <w:pStyle w:val="SingleTxt"/>
        <w:rPr>
          <w:lang w:val="en-GB"/>
        </w:rPr>
      </w:pPr>
      <w:r w:rsidRPr="007D5A75">
        <w:rPr>
          <w:lang w:val="en-GB"/>
        </w:rPr>
        <w:t>Mongolie (</w:t>
      </w:r>
      <w:hyperlink r:id="rId37" w:history="1">
        <w:r w:rsidRPr="00811484">
          <w:rPr>
            <w:rStyle w:val="Hyperlink"/>
            <w:lang w:val="en-GB"/>
          </w:rPr>
          <w:t>CEDAW/C/MNG/Q/8-9/Add.1</w:t>
        </w:r>
      </w:hyperlink>
      <w:r w:rsidRPr="007D5A75">
        <w:rPr>
          <w:lang w:val="en-GB"/>
        </w:rPr>
        <w:t xml:space="preserve">) </w:t>
      </w:r>
    </w:p>
    <w:p w:rsidR="007D5A75" w:rsidRPr="007D5A75" w:rsidRDefault="007D5A75" w:rsidP="007D5A75">
      <w:pPr>
        <w:pStyle w:val="SingleTxt"/>
        <w:rPr>
          <w:lang w:val="fr-FR"/>
        </w:rPr>
      </w:pPr>
      <w:r w:rsidRPr="007D5A75">
        <w:rPr>
          <w:lang w:val="fr-FR"/>
        </w:rPr>
        <w:t>République tchèque (</w:t>
      </w:r>
      <w:hyperlink r:id="rId38" w:history="1">
        <w:r w:rsidR="000F6DB6" w:rsidRPr="00C3620A">
          <w:rPr>
            <w:rStyle w:val="Hyperlink"/>
            <w:lang w:val="fr-FR"/>
          </w:rPr>
          <w:t>CEDAW/C/CZE/Q/6/Add.1</w:t>
        </w:r>
      </w:hyperlink>
      <w:r w:rsidRPr="007D5A75">
        <w:rPr>
          <w:lang w:val="fr-FR"/>
        </w:rPr>
        <w:t>)</w:t>
      </w:r>
    </w:p>
    <w:p w:rsidR="007D5A75" w:rsidRPr="007D5A75" w:rsidRDefault="007D5A75" w:rsidP="007D5A75">
      <w:pPr>
        <w:pStyle w:val="SingleTxt"/>
        <w:rPr>
          <w:lang w:val="fr-FR"/>
        </w:rPr>
      </w:pPr>
      <w:r w:rsidRPr="007D5A75">
        <w:rPr>
          <w:lang w:val="fr-FR"/>
        </w:rPr>
        <w:t>République-Unie de Tanzanie (</w:t>
      </w:r>
      <w:hyperlink r:id="rId39" w:history="1">
        <w:r w:rsidRPr="00811484">
          <w:rPr>
            <w:rStyle w:val="Hyperlink"/>
            <w:lang w:val="fr-FR"/>
          </w:rPr>
          <w:t>CEDAW/C/TZA/Q/7-8/Add.1</w:t>
        </w:r>
      </w:hyperlink>
      <w:r w:rsidRPr="007D5A75">
        <w:rPr>
          <w:lang w:val="fr-FR"/>
        </w:rPr>
        <w:t>)</w:t>
      </w:r>
    </w:p>
    <w:p w:rsidR="007D5A75" w:rsidRPr="007D5A75" w:rsidRDefault="007D5A75" w:rsidP="007D5A75">
      <w:pPr>
        <w:pStyle w:val="SingleTxt"/>
        <w:rPr>
          <w:lang w:val="fr-FR"/>
        </w:rPr>
      </w:pPr>
      <w:r w:rsidRPr="007D5A75">
        <w:rPr>
          <w:lang w:val="fr-FR"/>
        </w:rPr>
        <w:t>Suède (</w:t>
      </w:r>
      <w:hyperlink r:id="rId40" w:history="1">
        <w:r w:rsidRPr="00811484">
          <w:rPr>
            <w:rStyle w:val="Hyperlink"/>
            <w:lang w:val="fr-FR"/>
          </w:rPr>
          <w:t>CEDAW/C/SWE/Q/8-9/Add.1</w:t>
        </w:r>
      </w:hyperlink>
      <w:r w:rsidRPr="007D5A75">
        <w:rPr>
          <w:lang w:val="fr-FR"/>
        </w:rPr>
        <w:t>)</w:t>
      </w:r>
    </w:p>
    <w:p w:rsidR="007D5A75" w:rsidRPr="007D5A75" w:rsidRDefault="007D5A75" w:rsidP="007D5A75">
      <w:pPr>
        <w:pStyle w:val="SingleTxt"/>
        <w:rPr>
          <w:lang w:val="fr-FR"/>
        </w:rPr>
      </w:pPr>
      <w:r w:rsidRPr="007D5A75">
        <w:rPr>
          <w:lang w:val="fr-FR"/>
        </w:rPr>
        <w:t>Vanuatu (</w:t>
      </w:r>
      <w:hyperlink r:id="rId41" w:history="1">
        <w:r w:rsidRPr="00811484">
          <w:rPr>
            <w:rStyle w:val="Hyperlink"/>
            <w:lang w:val="fr-FR"/>
          </w:rPr>
          <w:t>CEDAW/C/VUT/Q/4-5/Add.1</w:t>
        </w:r>
      </w:hyperlink>
      <w:r w:rsidRPr="007D5A75">
        <w:rPr>
          <w:lang w:val="fr-FR"/>
        </w:rPr>
        <w:t>)</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5.</w:t>
      </w:r>
      <w:r w:rsidRPr="007D5A75">
        <w:rPr>
          <w:lang w:val="fr-FR"/>
        </w:rPr>
        <w:tab/>
        <w:t>Suite donnée à l</w:t>
      </w:r>
      <w:r w:rsidR="00811484">
        <w:rPr>
          <w:lang w:val="fr-FR"/>
        </w:rPr>
        <w:t>’</w:t>
      </w:r>
      <w:r w:rsidRPr="007D5A75">
        <w:rPr>
          <w:lang w:val="fr-FR"/>
        </w:rPr>
        <w:t xml:space="preserve">examen des rapports soumis par les États parties </w:t>
      </w:r>
      <w:r w:rsidR="001A6461">
        <w:rPr>
          <w:lang w:val="fr-FR"/>
        </w:rPr>
        <w:br/>
      </w:r>
      <w:r w:rsidRPr="007D5A75">
        <w:rPr>
          <w:lang w:val="fr-FR"/>
        </w:rPr>
        <w:t>en application de l</w:t>
      </w:r>
      <w:r w:rsidR="00811484">
        <w:rPr>
          <w:lang w:val="fr-FR"/>
        </w:rPr>
        <w:t>’</w:t>
      </w:r>
      <w:r w:rsidRPr="007D5A75">
        <w:rPr>
          <w:lang w:val="fr-FR"/>
        </w:rPr>
        <w:t>Article 18 de la Convention</w:t>
      </w:r>
    </w:p>
    <w:p w:rsidR="001A6461" w:rsidRPr="001A6461" w:rsidRDefault="001A6461" w:rsidP="001A6461">
      <w:pPr>
        <w:pStyle w:val="SingleTxt"/>
        <w:spacing w:after="0" w:line="120" w:lineRule="exact"/>
        <w:rPr>
          <w:sz w:val="10"/>
          <w:lang w:val="fr-FR"/>
        </w:rPr>
      </w:pPr>
    </w:p>
    <w:p w:rsidR="007D5A75" w:rsidRDefault="00C3620A" w:rsidP="007D5A75">
      <w:pPr>
        <w:pStyle w:val="SingleTxt"/>
        <w:rPr>
          <w:lang w:val="fr-FR"/>
        </w:rPr>
      </w:pPr>
      <w:r>
        <w:rPr>
          <w:lang w:val="fr-FR"/>
        </w:rPr>
        <w:tab/>
      </w:r>
      <w:r w:rsidR="007D5A75" w:rsidRPr="007D5A75">
        <w:rPr>
          <w:lang w:val="fr-FR"/>
        </w:rPr>
        <w:t>Le Comité examinera les questions concernant la suite donnée aux observations finales.</w:t>
      </w:r>
    </w:p>
    <w:p w:rsidR="001A6461" w:rsidRPr="001A6461" w:rsidRDefault="001A6461" w:rsidP="001A6461">
      <w:pPr>
        <w:pStyle w:val="SingleTxt"/>
        <w:spacing w:after="0" w:line="120" w:lineRule="exact"/>
        <w:rPr>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6.</w:t>
      </w:r>
      <w:r w:rsidRPr="007D5A75">
        <w:rPr>
          <w:lang w:val="fr-FR"/>
        </w:rPr>
        <w:tab/>
        <w:t>Application des articles 21 et 22 de la Convention</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L</w:t>
      </w:r>
      <w:r w:rsidR="00811484">
        <w:rPr>
          <w:lang w:val="fr-FR"/>
        </w:rPr>
        <w:t>’</w:t>
      </w:r>
      <w:r w:rsidR="007D5A75" w:rsidRPr="007D5A75">
        <w:rPr>
          <w:lang w:val="fr-FR"/>
        </w:rPr>
        <w:t>article 21 de la Convention dispose que le Comité peut formuler des suggestions et des recommandations générales fondées sur l</w:t>
      </w:r>
      <w:r w:rsidR="00811484">
        <w:rPr>
          <w:lang w:val="fr-FR"/>
        </w:rPr>
        <w:t>’</w:t>
      </w:r>
      <w:r w:rsidR="007D5A75" w:rsidRPr="007D5A75">
        <w:rPr>
          <w:lang w:val="fr-FR"/>
        </w:rPr>
        <w:t>examen des rapports et des renseignements reçus des États parties. Il dispose également que ces suggestions et recommandations sont incluses dans le rapport du Comité à l</w:t>
      </w:r>
      <w:r w:rsidR="00811484">
        <w:rPr>
          <w:lang w:val="fr-FR"/>
        </w:rPr>
        <w:t>’</w:t>
      </w:r>
      <w:r w:rsidR="007D5A75" w:rsidRPr="007D5A75">
        <w:rPr>
          <w:lang w:val="fr-FR"/>
        </w:rPr>
        <w:t xml:space="preserve">Assemblée générale accompagnées, le cas échéant, des observations des États parties. </w:t>
      </w:r>
    </w:p>
    <w:p w:rsidR="007D5A75" w:rsidRPr="007D5A75" w:rsidRDefault="000F6DB6" w:rsidP="007D5A75">
      <w:pPr>
        <w:pStyle w:val="SingleTxt"/>
        <w:rPr>
          <w:lang w:val="fr-FR"/>
        </w:rPr>
      </w:pPr>
      <w:r>
        <w:rPr>
          <w:lang w:val="fr-FR"/>
        </w:rPr>
        <w:tab/>
      </w:r>
      <w:r w:rsidR="007D5A75" w:rsidRPr="007D5A75">
        <w:rPr>
          <w:lang w:val="fr-FR"/>
        </w:rPr>
        <w:t>L</w:t>
      </w:r>
      <w:r w:rsidR="00811484">
        <w:rPr>
          <w:lang w:val="fr-FR"/>
        </w:rPr>
        <w:t>’</w:t>
      </w:r>
      <w:r w:rsidR="007D5A75" w:rsidRPr="007D5A75">
        <w:rPr>
          <w:lang w:val="fr-FR"/>
        </w:rPr>
        <w:t>article 22 de la Convention dispose que les institutions spécialisées ont le droit d</w:t>
      </w:r>
      <w:r w:rsidR="00811484">
        <w:rPr>
          <w:lang w:val="fr-FR"/>
        </w:rPr>
        <w:t>’</w:t>
      </w:r>
      <w:r w:rsidR="007D5A75" w:rsidRPr="007D5A75">
        <w:rPr>
          <w:lang w:val="fr-FR"/>
        </w:rPr>
        <w:t>être représentées lors de l</w:t>
      </w:r>
      <w:r w:rsidR="00811484">
        <w:rPr>
          <w:lang w:val="fr-FR"/>
        </w:rPr>
        <w:t>’</w:t>
      </w:r>
      <w:r w:rsidR="007D5A75" w:rsidRPr="007D5A75">
        <w:rPr>
          <w:lang w:val="fr-FR"/>
        </w:rPr>
        <w:t>examen de la mise en œuvre de toute disposition de la Convention qui entre dans le cadre de leurs activités, et que le Comité peut inviter les institutions spécialisées à soumettre des rapports sur l</w:t>
      </w:r>
      <w:r w:rsidR="00811484">
        <w:rPr>
          <w:lang w:val="fr-FR"/>
        </w:rPr>
        <w:t>’</w:t>
      </w:r>
      <w:r w:rsidR="007D5A75" w:rsidRPr="007D5A75">
        <w:rPr>
          <w:lang w:val="fr-FR"/>
        </w:rPr>
        <w:t>application de la Convention dans ces domaines.</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Documentation</w:t>
      </w:r>
    </w:p>
    <w:p w:rsidR="001A6461" w:rsidRPr="001A6461" w:rsidRDefault="001A6461" w:rsidP="001A6461">
      <w:pPr>
        <w:pStyle w:val="SingleTxt"/>
        <w:spacing w:after="0" w:line="120" w:lineRule="exact"/>
        <w:rPr>
          <w:sz w:val="10"/>
          <w:lang w:val="fr-FR"/>
        </w:rPr>
      </w:pPr>
    </w:p>
    <w:p w:rsidR="007D5A75" w:rsidRPr="007D5A75" w:rsidRDefault="007D5A75" w:rsidP="007D5A75">
      <w:pPr>
        <w:pStyle w:val="SingleTxt"/>
        <w:rPr>
          <w:lang w:val="fr-FR"/>
        </w:rPr>
      </w:pPr>
      <w:r w:rsidRPr="007D5A75">
        <w:rPr>
          <w:lang w:val="fr-FR"/>
        </w:rPr>
        <w:t>Rapports fournis par les institutions spécialisées des Nations Unies sur l</w:t>
      </w:r>
      <w:r w:rsidR="00811484">
        <w:rPr>
          <w:lang w:val="fr-FR"/>
        </w:rPr>
        <w:t>’</w:t>
      </w:r>
      <w:r w:rsidRPr="007D5A75">
        <w:rPr>
          <w:lang w:val="fr-FR"/>
        </w:rPr>
        <w:t xml:space="preserve">application de la Convention dans les domaines entrant dans le cadre de leurs activités. </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7.</w:t>
      </w:r>
      <w:r w:rsidRPr="007D5A75">
        <w:rPr>
          <w:lang w:val="fr-FR"/>
        </w:rPr>
        <w:tab/>
        <w:t>Moyens d</w:t>
      </w:r>
      <w:r w:rsidR="00811484">
        <w:rPr>
          <w:lang w:val="fr-FR"/>
        </w:rPr>
        <w:t>’</w:t>
      </w:r>
      <w:r w:rsidRPr="007D5A75">
        <w:rPr>
          <w:lang w:val="fr-FR"/>
        </w:rPr>
        <w:t>accélérer les travaux du Comité</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 xml:space="preserve">Le Comité examinera les questions concernant ses méthodes de travail. </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8.</w:t>
      </w:r>
      <w:r w:rsidRPr="007D5A75">
        <w:rPr>
          <w:lang w:val="fr-FR"/>
        </w:rPr>
        <w:tab/>
        <w:t xml:space="preserve">Activités menées par le Comité au titre du Protocole facultatif </w:t>
      </w:r>
      <w:r w:rsidR="001A6461">
        <w:rPr>
          <w:lang w:val="fr-FR"/>
        </w:rPr>
        <w:br/>
      </w:r>
      <w:r w:rsidR="00DF3730">
        <w:rPr>
          <w:lang w:val="fr-FR"/>
        </w:rPr>
        <w:t>de</w:t>
      </w:r>
      <w:r w:rsidRPr="007D5A75">
        <w:rPr>
          <w:lang w:val="fr-FR"/>
        </w:rPr>
        <w:t xml:space="preserve"> la Convention</w:t>
      </w:r>
    </w:p>
    <w:p w:rsidR="001A6461" w:rsidRPr="001A6461" w:rsidRDefault="001A6461" w:rsidP="001A6461">
      <w:pPr>
        <w:pStyle w:val="SingleTxt"/>
        <w:spacing w:after="0" w:line="120" w:lineRule="exact"/>
        <w:rPr>
          <w:sz w:val="10"/>
          <w:lang w:val="fr-FR"/>
        </w:rPr>
      </w:pPr>
    </w:p>
    <w:p w:rsidR="007D5A75" w:rsidRPr="007D5A75" w:rsidRDefault="000F6DB6" w:rsidP="007D5A75">
      <w:pPr>
        <w:pStyle w:val="SingleTxt"/>
        <w:rPr>
          <w:lang w:val="fr-FR"/>
        </w:rPr>
      </w:pPr>
      <w:r>
        <w:rPr>
          <w:lang w:val="fr-FR"/>
        </w:rPr>
        <w:tab/>
      </w:r>
      <w:r w:rsidR="007D5A75" w:rsidRPr="007D5A75">
        <w:rPr>
          <w:lang w:val="fr-FR"/>
        </w:rPr>
        <w:t xml:space="preserve">La trente-quatrième session du groupe de travail sur les communications en application du Protocole facultatif se tiendra du 9 au 12 février 2016 à Genève. </w:t>
      </w:r>
    </w:p>
    <w:p w:rsidR="007D5A75" w:rsidRPr="007D5A75" w:rsidRDefault="000F6DB6" w:rsidP="007D5A75">
      <w:pPr>
        <w:pStyle w:val="SingleTxt"/>
        <w:rPr>
          <w:lang w:val="fr-FR"/>
        </w:rPr>
      </w:pPr>
      <w:r>
        <w:rPr>
          <w:lang w:val="fr-FR"/>
        </w:rPr>
        <w:tab/>
      </w:r>
      <w:r w:rsidR="007D5A75" w:rsidRPr="007D5A75">
        <w:rPr>
          <w:lang w:val="fr-FR"/>
        </w:rPr>
        <w:t xml:space="preserve">La troisième session du groupe de travail sur les enquêtes en application du Protocole facultatif se tiendra les 11 et 12 février 2016 à Genève. </w:t>
      </w:r>
    </w:p>
    <w:p w:rsidR="007D5A75" w:rsidRPr="007D5A75" w:rsidRDefault="000F6DB6" w:rsidP="007D5A75">
      <w:pPr>
        <w:pStyle w:val="SingleTxt"/>
        <w:rPr>
          <w:lang w:val="fr-FR"/>
        </w:rPr>
      </w:pPr>
      <w:r>
        <w:rPr>
          <w:lang w:val="fr-FR"/>
        </w:rPr>
        <w:tab/>
      </w:r>
      <w:r w:rsidR="007D5A75" w:rsidRPr="007D5A75">
        <w:rPr>
          <w:lang w:val="fr-FR"/>
        </w:rPr>
        <w:t xml:space="preserve">À sa soixante-troisième session, le Comité continuera de mettre en œuvre son mandat issu des articles 2 et 8 du Protocole facultatif </w:t>
      </w:r>
      <w:r w:rsidR="00DF3730">
        <w:rPr>
          <w:lang w:val="fr-FR"/>
        </w:rPr>
        <w:t>de</w:t>
      </w:r>
      <w:r w:rsidR="007D5A75" w:rsidRPr="007D5A75">
        <w:rPr>
          <w:lang w:val="fr-FR"/>
        </w:rPr>
        <w:t xml:space="preserve"> la Convention. </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9.</w:t>
      </w:r>
      <w:r w:rsidRPr="007D5A75">
        <w:rPr>
          <w:lang w:val="fr-FR"/>
        </w:rPr>
        <w:tab/>
        <w:t xml:space="preserve">Ordre du jour provisoire pour la soixante-quatrième session </w:t>
      </w:r>
      <w:r w:rsidR="001A6461">
        <w:rPr>
          <w:lang w:val="fr-FR"/>
        </w:rPr>
        <w:br/>
      </w:r>
      <w:r w:rsidRPr="007D5A75">
        <w:rPr>
          <w:lang w:val="fr-FR"/>
        </w:rPr>
        <w:t>du Comité</w:t>
      </w:r>
    </w:p>
    <w:p w:rsidR="001A6461" w:rsidRPr="001A6461" w:rsidRDefault="001A6461" w:rsidP="001A6461">
      <w:pPr>
        <w:pStyle w:val="SingleTxt"/>
        <w:spacing w:after="0" w:line="120" w:lineRule="exact"/>
        <w:rPr>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r>
      <w:r w:rsidRPr="007D5A75">
        <w:rPr>
          <w:lang w:val="fr-FR"/>
        </w:rPr>
        <w:tab/>
        <w:t>Documentation</w:t>
      </w:r>
    </w:p>
    <w:p w:rsidR="001A6461" w:rsidRPr="001A6461" w:rsidRDefault="001A6461" w:rsidP="001A6461">
      <w:pPr>
        <w:pStyle w:val="SingleTxt"/>
        <w:spacing w:after="0" w:line="120" w:lineRule="exact"/>
        <w:rPr>
          <w:sz w:val="10"/>
          <w:lang w:val="fr-FR"/>
        </w:rPr>
      </w:pPr>
    </w:p>
    <w:p w:rsidR="007D5A75" w:rsidRPr="007D5A75" w:rsidRDefault="007D5A75" w:rsidP="007D5A75">
      <w:pPr>
        <w:pStyle w:val="SingleTxt"/>
        <w:rPr>
          <w:lang w:val="fr-FR"/>
        </w:rPr>
      </w:pPr>
      <w:r w:rsidRPr="007D5A75">
        <w:rPr>
          <w:lang w:val="fr-FR"/>
        </w:rPr>
        <w:t>Ordre du jour provisoire annoté de la soixante-quatrième session (</w:t>
      </w:r>
      <w:hyperlink r:id="rId42" w:history="1">
        <w:r w:rsidRPr="007D5A75">
          <w:rPr>
            <w:rStyle w:val="Hyperlink"/>
            <w:lang w:val="fr-FR"/>
          </w:rPr>
          <w:t>CEDAW/C/64/1</w:t>
        </w:r>
      </w:hyperlink>
      <w:r w:rsidRPr="007D5A75">
        <w:rPr>
          <w:lang w:val="fr-FR"/>
        </w:rPr>
        <w:t>)</w:t>
      </w:r>
    </w:p>
    <w:p w:rsidR="001A6461" w:rsidRPr="001A6461" w:rsidRDefault="001A6461" w:rsidP="001A6461">
      <w:pPr>
        <w:pStyle w:val="SingleTxt"/>
        <w:spacing w:after="0" w:line="120" w:lineRule="exact"/>
        <w:rPr>
          <w:b/>
          <w:sz w:val="10"/>
          <w:lang w:val="fr-FR"/>
        </w:rPr>
      </w:pPr>
    </w:p>
    <w:p w:rsidR="007D5A75" w:rsidRDefault="007D5A75" w:rsidP="001A6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D5A75">
        <w:rPr>
          <w:lang w:val="fr-FR"/>
        </w:rPr>
        <w:tab/>
        <w:t>10.</w:t>
      </w:r>
      <w:r w:rsidRPr="007D5A75">
        <w:rPr>
          <w:lang w:val="fr-FR"/>
        </w:rPr>
        <w:tab/>
        <w:t>Adoption du rapport du Comité sur les travaux de sa soixante-troisième session</w:t>
      </w:r>
    </w:p>
    <w:p w:rsidR="007D5A75" w:rsidRPr="001A6461" w:rsidRDefault="001A6461" w:rsidP="00C3620A">
      <w:pPr>
        <w:pStyle w:val="SingleTxt"/>
        <w:spacing w:after="0" w:line="240" w:lineRule="auto"/>
        <w:rPr>
          <w:sz w:val="10"/>
          <w:lang w:val="fr-FR"/>
        </w:rPr>
      </w:pPr>
      <w:r>
        <w:rPr>
          <w:noProof/>
          <w:w w:val="100"/>
          <w:lang w:val="en-GB" w:eastAsia="en-GB"/>
        </w:rPr>
        <mc:AlternateContent>
          <mc:Choice Requires="wps">
            <w:drawing>
              <wp:anchor distT="0" distB="0" distL="114300" distR="114300" simplePos="0" relativeHeight="251659264" behindDoc="0" locked="0" layoutInCell="1" allowOverlap="1" wp14:anchorId="3B832BC7" wp14:editId="323349B6">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D5A75" w:rsidRPr="001A6461" w:rsidSect="00702DF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30T16:59:00Z" w:initials="Start">
    <w:p w:rsidR="00702DF5" w:rsidRPr="007D5A75" w:rsidRDefault="00702DF5">
      <w:pPr>
        <w:pStyle w:val="CommentText"/>
        <w:rPr>
          <w:lang w:val="en-GB"/>
        </w:rPr>
      </w:pPr>
      <w:r>
        <w:fldChar w:fldCharType="begin"/>
      </w:r>
      <w:r w:rsidRPr="007D5A75">
        <w:rPr>
          <w:rStyle w:val="CommentReference"/>
          <w:lang w:val="en-GB"/>
        </w:rPr>
        <w:instrText xml:space="preserve"> </w:instrText>
      </w:r>
      <w:r w:rsidRPr="007D5A75">
        <w:rPr>
          <w:lang w:val="en-GB"/>
        </w:rPr>
        <w:instrText>PAGE \# "'Page: '#'</w:instrText>
      </w:r>
      <w:r w:rsidRPr="007D5A75">
        <w:rPr>
          <w:lang w:val="en-GB"/>
        </w:rPr>
        <w:br/>
        <w:instrText>'"</w:instrText>
      </w:r>
      <w:r w:rsidRPr="007D5A75">
        <w:rPr>
          <w:rStyle w:val="CommentReference"/>
          <w:lang w:val="en-GB"/>
        </w:rPr>
        <w:instrText xml:space="preserve"> </w:instrText>
      </w:r>
      <w:r>
        <w:fldChar w:fldCharType="end"/>
      </w:r>
      <w:r>
        <w:rPr>
          <w:rStyle w:val="CommentReference"/>
        </w:rPr>
        <w:annotationRef/>
      </w:r>
      <w:r w:rsidRPr="007D5A75">
        <w:rPr>
          <w:lang w:val="en-GB"/>
        </w:rPr>
        <w:t>&lt;&lt;ODS JOB NO&gt;&gt;N1540668F&lt;&lt;ODS JOB NO&gt;&gt;</w:t>
      </w:r>
    </w:p>
    <w:p w:rsidR="00702DF5" w:rsidRDefault="00702DF5">
      <w:pPr>
        <w:pStyle w:val="CommentText"/>
      </w:pPr>
      <w:r>
        <w:t>&lt;&lt;ODS DOC SYMBOL1&gt;&gt;CEDAW/C/63/1&lt;&lt;ODS DOC SYMBOL1&gt;&gt;</w:t>
      </w:r>
    </w:p>
    <w:p w:rsidR="00702DF5" w:rsidRDefault="00702D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484" w:rsidRDefault="003A3484" w:rsidP="00F3330B">
      <w:pPr>
        <w:spacing w:line="240" w:lineRule="auto"/>
      </w:pPr>
      <w:r>
        <w:separator/>
      </w:r>
    </w:p>
  </w:endnote>
  <w:endnote w:type="continuationSeparator" w:id="0">
    <w:p w:rsidR="003A3484" w:rsidRDefault="003A348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2DF5" w:rsidTr="00702DF5">
      <w:tc>
        <w:tcPr>
          <w:tcW w:w="5028" w:type="dxa"/>
          <w:shd w:val="clear" w:color="auto" w:fill="auto"/>
        </w:tcPr>
        <w:p w:rsidR="00702DF5" w:rsidRPr="00702DF5" w:rsidRDefault="00702DF5" w:rsidP="00702D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620A">
            <w:rPr>
              <w:b w:val="0"/>
              <w:w w:val="103"/>
              <w:sz w:val="14"/>
            </w:rPr>
            <w:t>15-21541</w:t>
          </w:r>
          <w:r>
            <w:rPr>
              <w:b w:val="0"/>
              <w:w w:val="103"/>
              <w:sz w:val="14"/>
            </w:rPr>
            <w:fldChar w:fldCharType="end"/>
          </w:r>
        </w:p>
      </w:tc>
      <w:tc>
        <w:tcPr>
          <w:tcW w:w="5028" w:type="dxa"/>
          <w:shd w:val="clear" w:color="auto" w:fill="auto"/>
        </w:tcPr>
        <w:p w:rsidR="00702DF5" w:rsidRPr="00702DF5" w:rsidRDefault="00702DF5" w:rsidP="00702DF5">
          <w:pPr>
            <w:pStyle w:val="Footer"/>
            <w:rPr>
              <w:w w:val="103"/>
            </w:rPr>
          </w:pPr>
          <w:r>
            <w:rPr>
              <w:w w:val="103"/>
            </w:rPr>
            <w:fldChar w:fldCharType="begin"/>
          </w:r>
          <w:r>
            <w:rPr>
              <w:w w:val="103"/>
            </w:rPr>
            <w:instrText xml:space="preserve"> PAGE  \* Arabic  \* MERGEFORMAT </w:instrText>
          </w:r>
          <w:r>
            <w:rPr>
              <w:w w:val="103"/>
            </w:rPr>
            <w:fldChar w:fldCharType="separate"/>
          </w:r>
          <w:r w:rsidR="00310FC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0FC4">
            <w:rPr>
              <w:noProof/>
              <w:w w:val="103"/>
            </w:rPr>
            <w:t>2</w:t>
          </w:r>
          <w:r>
            <w:rPr>
              <w:w w:val="103"/>
            </w:rPr>
            <w:fldChar w:fldCharType="end"/>
          </w:r>
        </w:p>
      </w:tc>
    </w:tr>
  </w:tbl>
  <w:p w:rsidR="00702DF5" w:rsidRPr="00702DF5" w:rsidRDefault="00702DF5" w:rsidP="00702D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2DF5" w:rsidTr="00702DF5">
      <w:tc>
        <w:tcPr>
          <w:tcW w:w="5028" w:type="dxa"/>
          <w:shd w:val="clear" w:color="auto" w:fill="auto"/>
        </w:tcPr>
        <w:p w:rsidR="00702DF5" w:rsidRPr="00702DF5" w:rsidRDefault="00702DF5" w:rsidP="00702DF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F6F40">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6F40">
            <w:rPr>
              <w:noProof/>
              <w:w w:val="103"/>
            </w:rPr>
            <w:t>3</w:t>
          </w:r>
          <w:r>
            <w:rPr>
              <w:w w:val="103"/>
            </w:rPr>
            <w:fldChar w:fldCharType="end"/>
          </w:r>
        </w:p>
      </w:tc>
      <w:tc>
        <w:tcPr>
          <w:tcW w:w="5028" w:type="dxa"/>
          <w:shd w:val="clear" w:color="auto" w:fill="auto"/>
        </w:tcPr>
        <w:p w:rsidR="00702DF5" w:rsidRPr="00702DF5" w:rsidRDefault="00702DF5" w:rsidP="00702D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620A">
            <w:rPr>
              <w:b w:val="0"/>
              <w:w w:val="103"/>
              <w:sz w:val="14"/>
            </w:rPr>
            <w:t>15-21541</w:t>
          </w:r>
          <w:r>
            <w:rPr>
              <w:b w:val="0"/>
              <w:w w:val="103"/>
              <w:sz w:val="14"/>
            </w:rPr>
            <w:fldChar w:fldCharType="end"/>
          </w:r>
        </w:p>
      </w:tc>
    </w:tr>
  </w:tbl>
  <w:p w:rsidR="00702DF5" w:rsidRPr="00702DF5" w:rsidRDefault="00702DF5" w:rsidP="00702D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DF5" w:rsidRDefault="00702DF5">
    <w:pPr>
      <w:pStyle w:val="Footer"/>
    </w:pPr>
    <w:r>
      <w:rPr>
        <w:noProof/>
        <w:lang w:val="en-GB" w:eastAsia="en-GB"/>
      </w:rPr>
      <w:drawing>
        <wp:anchor distT="0" distB="0" distL="114300" distR="114300" simplePos="0" relativeHeight="251658240" behindDoc="0" locked="0" layoutInCell="1" allowOverlap="1" wp14:anchorId="71A3CFA7" wp14:editId="346229D6">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63/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3/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02DF5" w:rsidTr="00702DF5">
      <w:tc>
        <w:tcPr>
          <w:tcW w:w="3758" w:type="dxa"/>
        </w:tcPr>
        <w:p w:rsidR="00702DF5" w:rsidRDefault="00702DF5" w:rsidP="00702DF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3620A">
            <w:rPr>
              <w:b w:val="0"/>
              <w:sz w:val="20"/>
            </w:rPr>
            <w:t>15-21541 (F)</w:t>
          </w:r>
          <w:r>
            <w:rPr>
              <w:b w:val="0"/>
              <w:sz w:val="20"/>
            </w:rPr>
            <w:fldChar w:fldCharType="end"/>
          </w:r>
          <w:r>
            <w:rPr>
              <w:b w:val="0"/>
              <w:sz w:val="20"/>
            </w:rPr>
            <w:t xml:space="preserve">    301215    301215</w:t>
          </w:r>
        </w:p>
        <w:p w:rsidR="00702DF5" w:rsidRPr="00702DF5" w:rsidRDefault="00702DF5" w:rsidP="00702DF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3620A">
            <w:rPr>
              <w:rFonts w:ascii="Barcode 3 of 9 by request" w:hAnsi="Barcode 3 of 9 by request"/>
              <w:b w:val="0"/>
              <w:spacing w:val="0"/>
              <w:w w:val="100"/>
              <w:sz w:val="24"/>
            </w:rPr>
            <w:t>*1521541*</w:t>
          </w:r>
          <w:r>
            <w:rPr>
              <w:rFonts w:ascii="Barcode 3 of 9 by request" w:hAnsi="Barcode 3 of 9 by request"/>
              <w:b w:val="0"/>
              <w:spacing w:val="0"/>
              <w:w w:val="100"/>
              <w:sz w:val="24"/>
            </w:rPr>
            <w:fldChar w:fldCharType="end"/>
          </w:r>
        </w:p>
      </w:tc>
      <w:tc>
        <w:tcPr>
          <w:tcW w:w="5028" w:type="dxa"/>
        </w:tcPr>
        <w:p w:rsidR="00702DF5" w:rsidRDefault="00702DF5" w:rsidP="00702DF5">
          <w:pPr>
            <w:pStyle w:val="Footer"/>
            <w:spacing w:line="240" w:lineRule="atLeast"/>
            <w:jc w:val="right"/>
            <w:rPr>
              <w:b w:val="0"/>
              <w:sz w:val="20"/>
            </w:rPr>
          </w:pPr>
          <w:r>
            <w:rPr>
              <w:b w:val="0"/>
              <w:noProof/>
              <w:sz w:val="20"/>
              <w:lang w:val="en-GB" w:eastAsia="en-GB"/>
            </w:rPr>
            <w:drawing>
              <wp:inline distT="0" distB="0" distL="0" distR="0" wp14:anchorId="34EBCD6F" wp14:editId="5534FB3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02DF5" w:rsidRPr="00702DF5" w:rsidRDefault="00702DF5" w:rsidP="00702DF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484" w:rsidRPr="003E47D8" w:rsidRDefault="003A3484" w:rsidP="003E47D8">
      <w:pPr>
        <w:pStyle w:val="Footer"/>
        <w:spacing w:after="80"/>
        <w:rPr>
          <w:sz w:val="16"/>
        </w:rPr>
      </w:pPr>
      <w:r w:rsidRPr="003E47D8">
        <w:rPr>
          <w:sz w:val="16"/>
        </w:rPr>
        <w:t>__________________</w:t>
      </w:r>
    </w:p>
  </w:footnote>
  <w:footnote w:type="continuationSeparator" w:id="0">
    <w:p w:rsidR="003A3484" w:rsidRPr="003E47D8" w:rsidRDefault="003A3484"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02DF5" w:rsidTr="00702DF5">
      <w:trPr>
        <w:trHeight w:hRule="exact" w:val="864"/>
      </w:trPr>
      <w:tc>
        <w:tcPr>
          <w:tcW w:w="4838" w:type="dxa"/>
          <w:shd w:val="clear" w:color="auto" w:fill="auto"/>
          <w:vAlign w:val="bottom"/>
        </w:tcPr>
        <w:p w:rsidR="00702DF5" w:rsidRPr="00702DF5" w:rsidRDefault="00702DF5" w:rsidP="00702DF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620A">
            <w:rPr>
              <w:b/>
              <w:color w:val="000000"/>
            </w:rPr>
            <w:t>CEDAW/C/63/1</w:t>
          </w:r>
          <w:r>
            <w:rPr>
              <w:b/>
              <w:color w:val="000000"/>
            </w:rPr>
            <w:fldChar w:fldCharType="end"/>
          </w:r>
        </w:p>
      </w:tc>
      <w:tc>
        <w:tcPr>
          <w:tcW w:w="5028" w:type="dxa"/>
          <w:shd w:val="clear" w:color="auto" w:fill="auto"/>
          <w:vAlign w:val="bottom"/>
        </w:tcPr>
        <w:p w:rsidR="00702DF5" w:rsidRDefault="00702DF5" w:rsidP="00702DF5">
          <w:pPr>
            <w:pStyle w:val="Header"/>
          </w:pPr>
        </w:p>
      </w:tc>
    </w:tr>
  </w:tbl>
  <w:p w:rsidR="00702DF5" w:rsidRPr="00702DF5" w:rsidRDefault="00702DF5" w:rsidP="00702DF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02DF5" w:rsidTr="00702DF5">
      <w:trPr>
        <w:trHeight w:hRule="exact" w:val="864"/>
      </w:trPr>
      <w:tc>
        <w:tcPr>
          <w:tcW w:w="4838" w:type="dxa"/>
          <w:shd w:val="clear" w:color="auto" w:fill="auto"/>
          <w:vAlign w:val="bottom"/>
        </w:tcPr>
        <w:p w:rsidR="00702DF5" w:rsidRDefault="00702DF5" w:rsidP="00702DF5">
          <w:pPr>
            <w:pStyle w:val="Header"/>
          </w:pPr>
        </w:p>
      </w:tc>
      <w:tc>
        <w:tcPr>
          <w:tcW w:w="5028" w:type="dxa"/>
          <w:shd w:val="clear" w:color="auto" w:fill="auto"/>
          <w:vAlign w:val="bottom"/>
        </w:tcPr>
        <w:p w:rsidR="00702DF5" w:rsidRPr="00702DF5" w:rsidRDefault="00702DF5" w:rsidP="00702DF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620A">
            <w:rPr>
              <w:b/>
              <w:color w:val="000000"/>
            </w:rPr>
            <w:t>CEDAW/C/63/1</w:t>
          </w:r>
          <w:r>
            <w:rPr>
              <w:b/>
              <w:color w:val="000000"/>
            </w:rPr>
            <w:fldChar w:fldCharType="end"/>
          </w:r>
        </w:p>
      </w:tc>
    </w:tr>
  </w:tbl>
  <w:p w:rsidR="00702DF5" w:rsidRPr="00702DF5" w:rsidRDefault="00702DF5" w:rsidP="00702DF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02DF5" w:rsidTr="00702DF5">
      <w:trPr>
        <w:gridAfter w:val="1"/>
        <w:wAfter w:w="12" w:type="dxa"/>
        <w:trHeight w:hRule="exact" w:val="864"/>
      </w:trPr>
      <w:tc>
        <w:tcPr>
          <w:tcW w:w="1267" w:type="dxa"/>
          <w:tcBorders>
            <w:bottom w:val="single" w:sz="4" w:space="0" w:color="auto"/>
          </w:tcBorders>
          <w:shd w:val="clear" w:color="auto" w:fill="auto"/>
          <w:vAlign w:val="bottom"/>
        </w:tcPr>
        <w:p w:rsidR="00702DF5" w:rsidRDefault="00702DF5" w:rsidP="00702DF5">
          <w:pPr>
            <w:pStyle w:val="Header"/>
            <w:spacing w:after="120"/>
          </w:pPr>
        </w:p>
      </w:tc>
      <w:tc>
        <w:tcPr>
          <w:tcW w:w="2059" w:type="dxa"/>
          <w:tcBorders>
            <w:bottom w:val="single" w:sz="4" w:space="0" w:color="auto"/>
          </w:tcBorders>
          <w:shd w:val="clear" w:color="auto" w:fill="auto"/>
          <w:vAlign w:val="bottom"/>
        </w:tcPr>
        <w:p w:rsidR="00702DF5" w:rsidRPr="00702DF5" w:rsidRDefault="00702DF5" w:rsidP="00702DF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02DF5" w:rsidRDefault="00702DF5" w:rsidP="00702DF5">
          <w:pPr>
            <w:pStyle w:val="Header"/>
            <w:spacing w:after="120"/>
          </w:pPr>
        </w:p>
      </w:tc>
      <w:tc>
        <w:tcPr>
          <w:tcW w:w="6523" w:type="dxa"/>
          <w:gridSpan w:val="3"/>
          <w:tcBorders>
            <w:bottom w:val="single" w:sz="4" w:space="0" w:color="auto"/>
          </w:tcBorders>
          <w:shd w:val="clear" w:color="auto" w:fill="auto"/>
          <w:vAlign w:val="bottom"/>
        </w:tcPr>
        <w:p w:rsidR="00702DF5" w:rsidRPr="00702DF5" w:rsidRDefault="00702DF5" w:rsidP="00702DF5">
          <w:pPr>
            <w:spacing w:after="80" w:line="240" w:lineRule="auto"/>
            <w:jc w:val="right"/>
            <w:rPr>
              <w:position w:val="-4"/>
            </w:rPr>
          </w:pPr>
          <w:r>
            <w:rPr>
              <w:position w:val="-4"/>
              <w:sz w:val="40"/>
            </w:rPr>
            <w:t>CEDAW</w:t>
          </w:r>
          <w:r>
            <w:rPr>
              <w:position w:val="-4"/>
            </w:rPr>
            <w:t>/C/63/1</w:t>
          </w:r>
        </w:p>
      </w:tc>
    </w:tr>
    <w:tr w:rsidR="00702DF5" w:rsidRPr="00702DF5" w:rsidTr="00702DF5">
      <w:trPr>
        <w:trHeight w:hRule="exact" w:val="2880"/>
      </w:trPr>
      <w:tc>
        <w:tcPr>
          <w:tcW w:w="1267" w:type="dxa"/>
          <w:tcBorders>
            <w:top w:val="single" w:sz="4" w:space="0" w:color="auto"/>
            <w:bottom w:val="single" w:sz="12" w:space="0" w:color="auto"/>
          </w:tcBorders>
          <w:shd w:val="clear" w:color="auto" w:fill="auto"/>
        </w:tcPr>
        <w:p w:rsidR="00702DF5" w:rsidRPr="00702DF5" w:rsidRDefault="00702DF5" w:rsidP="00702DF5">
          <w:pPr>
            <w:pStyle w:val="Header"/>
            <w:spacing w:before="120" w:line="240" w:lineRule="auto"/>
            <w:ind w:left="-72"/>
            <w:jc w:val="center"/>
          </w:pPr>
          <w:r>
            <w:t xml:space="preserve">  </w:t>
          </w:r>
          <w:r>
            <w:rPr>
              <w:noProof/>
              <w:lang w:val="en-GB" w:eastAsia="en-GB"/>
            </w:rPr>
            <w:drawing>
              <wp:inline distT="0" distB="0" distL="0" distR="0" wp14:anchorId="3F81C8D2" wp14:editId="7101EB1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02DF5" w:rsidRPr="00702DF5" w:rsidRDefault="00702DF5" w:rsidP="00702DF5">
          <w:pPr>
            <w:pStyle w:val="XLarge"/>
            <w:spacing w:before="120" w:line="360" w:lineRule="exact"/>
            <w:rPr>
              <w:sz w:val="36"/>
            </w:rPr>
          </w:pPr>
          <w:r>
            <w:rPr>
              <w:sz w:val="36"/>
            </w:rPr>
            <w:t>Convention sur l</w:t>
          </w:r>
          <w:r w:rsidR="00811484">
            <w:rPr>
              <w:sz w:val="36"/>
            </w:rPr>
            <w:t>’</w:t>
          </w:r>
          <w:r>
            <w:rPr>
              <w:sz w:val="36"/>
            </w:rPr>
            <w:t>élimination</w:t>
          </w:r>
          <w:r>
            <w:rPr>
              <w:sz w:val="36"/>
            </w:rPr>
            <w:br/>
            <w:t>de toutes les formes</w:t>
          </w:r>
          <w:r>
            <w:rPr>
              <w:sz w:val="36"/>
            </w:rPr>
            <w:br/>
            <w:t>de discrimination à l</w:t>
          </w:r>
          <w:r w:rsidR="0081148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702DF5" w:rsidRPr="007D5A75" w:rsidRDefault="00702DF5" w:rsidP="00702DF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02DF5" w:rsidRPr="007D5A75" w:rsidRDefault="00702DF5" w:rsidP="00702DF5">
          <w:pPr>
            <w:pStyle w:val="Distribution"/>
            <w:rPr>
              <w:color w:val="000000"/>
              <w:lang w:val="fr-FR"/>
            </w:rPr>
          </w:pPr>
          <w:r w:rsidRPr="007D5A75">
            <w:rPr>
              <w:color w:val="000000"/>
              <w:lang w:val="fr-FR"/>
            </w:rPr>
            <w:t>Distr. générale</w:t>
          </w:r>
        </w:p>
        <w:p w:rsidR="00702DF5" w:rsidRPr="007D5A75" w:rsidRDefault="00702DF5" w:rsidP="00702DF5">
          <w:pPr>
            <w:pStyle w:val="Publication"/>
            <w:rPr>
              <w:color w:val="000000"/>
              <w:lang w:val="fr-FR"/>
            </w:rPr>
          </w:pPr>
          <w:r w:rsidRPr="007D5A75">
            <w:rPr>
              <w:color w:val="000000"/>
              <w:lang w:val="fr-FR"/>
            </w:rPr>
            <w:t>7 décembre 2015</w:t>
          </w:r>
        </w:p>
        <w:p w:rsidR="00702DF5" w:rsidRPr="007D5A75" w:rsidRDefault="00702DF5" w:rsidP="00702DF5">
          <w:pPr>
            <w:rPr>
              <w:lang w:val="fr-FR"/>
            </w:rPr>
          </w:pPr>
          <w:r w:rsidRPr="007D5A75">
            <w:rPr>
              <w:lang w:val="fr-FR"/>
            </w:rPr>
            <w:t>Français</w:t>
          </w:r>
        </w:p>
        <w:p w:rsidR="00702DF5" w:rsidRPr="007D5A75" w:rsidRDefault="00702DF5" w:rsidP="00702DF5">
          <w:pPr>
            <w:pStyle w:val="Original"/>
            <w:rPr>
              <w:color w:val="000000"/>
              <w:lang w:val="fr-FR"/>
            </w:rPr>
          </w:pPr>
          <w:r w:rsidRPr="007D5A75">
            <w:rPr>
              <w:color w:val="000000"/>
              <w:lang w:val="fr-FR"/>
            </w:rPr>
            <w:t>Original : anglais</w:t>
          </w:r>
        </w:p>
      </w:tc>
    </w:tr>
  </w:tbl>
  <w:p w:rsidR="00702DF5" w:rsidRPr="007D5A75" w:rsidRDefault="00702DF5" w:rsidP="00702DF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541*"/>
    <w:docVar w:name="CreationDt" w:val="30/12/2015 4:59: PM"/>
    <w:docVar w:name="DocCategory" w:val="Doc"/>
    <w:docVar w:name="DocType" w:val="Final"/>
    <w:docVar w:name="DutyStation" w:val="New York"/>
    <w:docVar w:name="FooterJN" w:val="15-21541"/>
    <w:docVar w:name="jobn" w:val="15-21541 (F)"/>
    <w:docVar w:name="jobnDT" w:val="15-21541 (F)   301215"/>
    <w:docVar w:name="jobnDTDT" w:val="15-21541 (F)   301215   301215"/>
    <w:docVar w:name="JobNo" w:val="1521541F"/>
    <w:docVar w:name="JobNo2" w:val="1540668F"/>
    <w:docVar w:name="LocalDrive" w:val="0"/>
    <w:docVar w:name="OandT" w:val="sa"/>
    <w:docVar w:name="PaperSize" w:val="Letter"/>
    <w:docVar w:name="sss1" w:val="CEDAW/C/63/1"/>
    <w:docVar w:name="sss2" w:val="-"/>
    <w:docVar w:name="Symbol1" w:val="CEDAW/C/63/1"/>
    <w:docVar w:name="Symbol2" w:val="-"/>
  </w:docVars>
  <w:rsids>
    <w:rsidRoot w:val="003A3484"/>
    <w:rsid w:val="0000062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A76FF"/>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DB6"/>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646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0FC4"/>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3484"/>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97886"/>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50F"/>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2DF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5A75"/>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84"/>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6F40"/>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4924"/>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3620A"/>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5F5"/>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3730"/>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02DF5"/>
    <w:rPr>
      <w:sz w:val="16"/>
      <w:szCs w:val="16"/>
    </w:rPr>
  </w:style>
  <w:style w:type="paragraph" w:styleId="CommentText">
    <w:name w:val="annotation text"/>
    <w:basedOn w:val="Normal"/>
    <w:link w:val="CommentTextChar"/>
    <w:uiPriority w:val="99"/>
    <w:semiHidden/>
    <w:unhideWhenUsed/>
    <w:rsid w:val="00702DF5"/>
    <w:pPr>
      <w:spacing w:line="240" w:lineRule="auto"/>
    </w:pPr>
    <w:rPr>
      <w:szCs w:val="20"/>
    </w:rPr>
  </w:style>
  <w:style w:type="character" w:customStyle="1" w:styleId="CommentTextChar">
    <w:name w:val="Comment Text Char"/>
    <w:basedOn w:val="DefaultParagraphFont"/>
    <w:link w:val="CommentText"/>
    <w:uiPriority w:val="99"/>
    <w:semiHidden/>
    <w:rsid w:val="00702DF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02DF5"/>
    <w:rPr>
      <w:b/>
      <w:bCs/>
    </w:rPr>
  </w:style>
  <w:style w:type="character" w:customStyle="1" w:styleId="CommentSubjectChar">
    <w:name w:val="Comment Subject Char"/>
    <w:basedOn w:val="CommentTextChar"/>
    <w:link w:val="CommentSubject"/>
    <w:uiPriority w:val="99"/>
    <w:semiHidden/>
    <w:rsid w:val="00702DF5"/>
    <w:rPr>
      <w:rFonts w:ascii="Times New Roman" w:hAnsi="Times New Roman"/>
      <w:b/>
      <w:bCs/>
      <w:spacing w:val="4"/>
      <w:w w:val="103"/>
      <w:kern w:val="14"/>
      <w:lang w:val="fr-CA"/>
    </w:rPr>
  </w:style>
  <w:style w:type="character" w:styleId="Hyperlink">
    <w:name w:val="Hyperlink"/>
    <w:basedOn w:val="DefaultParagraphFont"/>
    <w:uiPriority w:val="99"/>
    <w:unhideWhenUsed/>
    <w:rsid w:val="007D5A75"/>
    <w:rPr>
      <w:color w:val="0000FF"/>
      <w:u w:val="none"/>
    </w:rPr>
  </w:style>
  <w:style w:type="character" w:styleId="FollowedHyperlink">
    <w:name w:val="FollowedHyperlink"/>
    <w:basedOn w:val="DefaultParagraphFont"/>
    <w:uiPriority w:val="99"/>
    <w:semiHidden/>
    <w:unhideWhenUsed/>
    <w:rsid w:val="0081148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02DF5"/>
    <w:rPr>
      <w:sz w:val="16"/>
      <w:szCs w:val="16"/>
    </w:rPr>
  </w:style>
  <w:style w:type="paragraph" w:styleId="CommentText">
    <w:name w:val="annotation text"/>
    <w:basedOn w:val="Normal"/>
    <w:link w:val="CommentTextChar"/>
    <w:uiPriority w:val="99"/>
    <w:semiHidden/>
    <w:unhideWhenUsed/>
    <w:rsid w:val="00702DF5"/>
    <w:pPr>
      <w:spacing w:line="240" w:lineRule="auto"/>
    </w:pPr>
    <w:rPr>
      <w:szCs w:val="20"/>
    </w:rPr>
  </w:style>
  <w:style w:type="character" w:customStyle="1" w:styleId="CommentTextChar">
    <w:name w:val="Comment Text Char"/>
    <w:basedOn w:val="DefaultParagraphFont"/>
    <w:link w:val="CommentText"/>
    <w:uiPriority w:val="99"/>
    <w:semiHidden/>
    <w:rsid w:val="00702DF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02DF5"/>
    <w:rPr>
      <w:b/>
      <w:bCs/>
    </w:rPr>
  </w:style>
  <w:style w:type="character" w:customStyle="1" w:styleId="CommentSubjectChar">
    <w:name w:val="Comment Subject Char"/>
    <w:basedOn w:val="CommentTextChar"/>
    <w:link w:val="CommentSubject"/>
    <w:uiPriority w:val="99"/>
    <w:semiHidden/>
    <w:rsid w:val="00702DF5"/>
    <w:rPr>
      <w:rFonts w:ascii="Times New Roman" w:hAnsi="Times New Roman"/>
      <w:b/>
      <w:bCs/>
      <w:spacing w:val="4"/>
      <w:w w:val="103"/>
      <w:kern w:val="14"/>
      <w:lang w:val="fr-CA"/>
    </w:rPr>
  </w:style>
  <w:style w:type="character" w:styleId="Hyperlink">
    <w:name w:val="Hyperlink"/>
    <w:basedOn w:val="DefaultParagraphFont"/>
    <w:uiPriority w:val="99"/>
    <w:unhideWhenUsed/>
    <w:rsid w:val="007D5A75"/>
    <w:rPr>
      <w:color w:val="0000FF"/>
      <w:u w:val="none"/>
    </w:rPr>
  </w:style>
  <w:style w:type="character" w:styleId="FollowedHyperlink">
    <w:name w:val="FollowedHyperlink"/>
    <w:basedOn w:val="DefaultParagraphFont"/>
    <w:uiPriority w:val="99"/>
    <w:semiHidden/>
    <w:unhideWhenUsed/>
    <w:rsid w:val="0081148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HTI/8" TargetMode="External"/><Relationship Id="rId26" Type="http://schemas.openxmlformats.org/officeDocument/2006/relationships/hyperlink" Target="http://undocs.org/fr/CEDAW/C/HTI/Q/8" TargetMode="External"/><Relationship Id="rId39" Type="http://schemas.openxmlformats.org/officeDocument/2006/relationships/hyperlink" Target="http://undocs.org/fr/CEDAW/C/TZA/Q/7" TargetMode="External"/><Relationship Id="rId3" Type="http://schemas.openxmlformats.org/officeDocument/2006/relationships/styles" Target="styles.xml"/><Relationship Id="rId21" Type="http://schemas.openxmlformats.org/officeDocument/2006/relationships/hyperlink" Target="http://undocs.org/fr/CEDAW/C/MNG/8" TargetMode="External"/><Relationship Id="rId34" Type="http://schemas.openxmlformats.org/officeDocument/2006/relationships/hyperlink" Target="http://undocs.org/fr/CEDAW/C/HTI/Q/8" TargetMode="External"/><Relationship Id="rId42" Type="http://schemas.openxmlformats.org/officeDocument/2006/relationships/hyperlink" Target="http://undocs.org/CEDAW/C/58/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PSWG/63/1&amp;referer=/english/&amp;Lang=F" TargetMode="External"/><Relationship Id="rId25" Type="http://schemas.openxmlformats.org/officeDocument/2006/relationships/hyperlink" Target="http://undocs.org/fr/CEDAW/C/VUT/4" TargetMode="External"/><Relationship Id="rId33" Type="http://schemas.openxmlformats.org/officeDocument/2006/relationships/hyperlink" Target="http://undocs.org/fr/CEDAW/C/VUT/Q/4" TargetMode="External"/><Relationship Id="rId38" Type="http://schemas.openxmlformats.org/officeDocument/2006/relationships/hyperlink" Target="http://undocs.org/fr/CEDAW/C/CZE/Q/6/Add.1" TargetMode="External"/><Relationship Id="rId2" Type="http://schemas.openxmlformats.org/officeDocument/2006/relationships/numbering" Target="numbering.xml"/><Relationship Id="rId16" Type="http://schemas.openxmlformats.org/officeDocument/2006/relationships/hyperlink" Target="http://undocs.org/CEDAW/C/57/1" TargetMode="External"/><Relationship Id="rId20" Type="http://schemas.openxmlformats.org/officeDocument/2006/relationships/hyperlink" Target="http://undocs.org/fr/CEDAW/C/JPN/7" TargetMode="External"/><Relationship Id="rId29" Type="http://schemas.openxmlformats.org/officeDocument/2006/relationships/hyperlink" Target="http://undocs.org/fr/CEDAW/C/MNG/Q/8" TargetMode="External"/><Relationship Id="rId41" Type="http://schemas.openxmlformats.org/officeDocument/2006/relationships/hyperlink" Target="http://undocs.org/fr/CEDAW/C/VUT/Q/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TZA/7" TargetMode="External"/><Relationship Id="rId32" Type="http://schemas.openxmlformats.org/officeDocument/2006/relationships/hyperlink" Target="http://undocs.org/fr/CEDAW/C/SWE/Q/8" TargetMode="External"/><Relationship Id="rId37" Type="http://schemas.openxmlformats.org/officeDocument/2006/relationships/hyperlink" Target="http://undocs.org/fr/CEDAW/C/MNG/Q/8" TargetMode="External"/><Relationship Id="rId40" Type="http://schemas.openxmlformats.org/officeDocument/2006/relationships/hyperlink" Target="http://undocs.org/fr/CEDAW/C/SWE/Q/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rg/ga/search/view_doc.asp?symbol=CEDAW/C/CZE/6&amp;referer=/english/&amp;Lang=F" TargetMode="External"/><Relationship Id="rId28" Type="http://schemas.openxmlformats.org/officeDocument/2006/relationships/hyperlink" Target="http://undocs.org/fr/CEDAW/C/JPN/Q/7" TargetMode="External"/><Relationship Id="rId36" Type="http://schemas.openxmlformats.org/officeDocument/2006/relationships/hyperlink" Target="http://undocs.org/fr/CEDAW/C/JPN/Q/7" TargetMode="External"/><Relationship Id="rId10" Type="http://schemas.openxmlformats.org/officeDocument/2006/relationships/header" Target="header2.xml"/><Relationship Id="rId19" Type="http://schemas.openxmlformats.org/officeDocument/2006/relationships/hyperlink" Target="http://undocs.org/fr/CEDAW/C/ISL/7" TargetMode="External"/><Relationship Id="rId31" Type="http://schemas.openxmlformats.org/officeDocument/2006/relationships/hyperlink" Target="http://undocs.org/fr/CEDAW/C/TZA/Q/7"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SWE/8" TargetMode="External"/><Relationship Id="rId27" Type="http://schemas.openxmlformats.org/officeDocument/2006/relationships/hyperlink" Target="http://undocs.org/fr/CEDAW/C/ISL/Q/7" TargetMode="External"/><Relationship Id="rId30" Type="http://schemas.openxmlformats.org/officeDocument/2006/relationships/hyperlink" Target="http://undocs.org/fr/CEDAW/C/CZE/Q/6" TargetMode="External"/><Relationship Id="rId35" Type="http://schemas.openxmlformats.org/officeDocument/2006/relationships/hyperlink" Target="http://undocs.org/fr/CEDAW/C/ISL/Q/7"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81C7C-AE26-420D-8B63-6CC167EB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1400</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11</cp:revision>
  <cp:lastPrinted>2015-12-31T00:12:00Z</cp:lastPrinted>
  <dcterms:created xsi:type="dcterms:W3CDTF">2015-12-30T18:58:00Z</dcterms:created>
  <dcterms:modified xsi:type="dcterms:W3CDTF">2015-12-31T01:21:00Z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1521541F</vt:lpwstr>
  </property>
  <property fmtid="{D5CDD505-2E9C-101B-9397-08002B2CF9AE}" pid="3" name="ODSRefJobNo">
    <vt:lpwstr>1540668F</vt:lpwstr>
  </property>
  <property fmtid="{D5CDD505-2E9C-101B-9397-08002B2CF9AE}" pid="4" name="Symbol1">
    <vt:lpwstr>CEDAW/C/63/1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7 décembre 2015</vt:lpwstr>
  </property>
  <property fmtid="{D5CDD505-2E9C-101B-9397-08002B2CF9AE}" pid="9" name="Original">
    <vt:lpwstr>anglais</vt:lpwstr>
  </property>
  <property fmtid="{D5CDD505-2E9C-101B-9397-08002B2CF9AE}" pid="10" name="Release Date">
    <vt:lpwstr>301215</vt:lpwstr>
  </property>
  <property fmtid="{D5CDD505-2E9C-101B-9397-08002B2CF9AE}" pid="11" name="Comment">
    <vt:lpwstr/>
  </property>
  <property fmtid="{D5CDD505-2E9C-101B-9397-08002B2CF9AE}" pid="12" name="DraftPages">
    <vt:lpwstr> </vt:lpwstr>
  </property>
  <property fmtid="{D5CDD505-2E9C-101B-9397-08002B2CF9AE}" pid="13" name="Operator">
    <vt:lpwstr>sa/BHE</vt:lpwstr>
  </property>
</Properties>
</file>