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1E49FC" w:rsidP="001E49FC">
            <w:pPr>
              <w:bidi w:val="0"/>
              <w:spacing w:after="20"/>
              <w:jc w:val="left"/>
              <w:rPr>
                <w:szCs w:val="20"/>
              </w:rPr>
            </w:pPr>
            <w:r w:rsidRPr="001E49FC">
              <w:rPr>
                <w:sz w:val="40"/>
                <w:szCs w:val="20"/>
              </w:rPr>
              <w:t>A</w:t>
            </w:r>
            <w:r>
              <w:rPr>
                <w:szCs w:val="20"/>
              </w:rPr>
              <w:t>HRC/RES/14/11</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tl/>
              </w:rPr>
            </w:pPr>
            <w:r w:rsidRPr="00DB7679">
              <w:rPr>
                <w:rFonts w:hint="cs"/>
                <w:b/>
                <w:bCs/>
                <w:szCs w:val="60"/>
                <w:rtl/>
              </w:rPr>
              <w:t>الجمعية العامة</w:t>
            </w:r>
          </w:p>
        </w:tc>
        <w:tc>
          <w:tcPr>
            <w:tcW w:w="4522" w:type="dxa"/>
            <w:tcBorders>
              <w:top w:val="single" w:sz="4" w:space="0" w:color="auto"/>
              <w:bottom w:val="single" w:sz="12" w:space="0" w:color="auto"/>
            </w:tcBorders>
          </w:tcPr>
          <w:p w:rsidR="001E49FC" w:rsidRDefault="001E49FC" w:rsidP="001E49FC">
            <w:pPr>
              <w:bidi w:val="0"/>
              <w:spacing w:before="240"/>
              <w:jc w:val="left"/>
            </w:pPr>
            <w:r>
              <w:t>Distr.: General</w:t>
            </w:r>
          </w:p>
          <w:p w:rsidR="001E49FC" w:rsidRDefault="001E49FC" w:rsidP="001E49FC">
            <w:pPr>
              <w:bidi w:val="0"/>
              <w:jc w:val="left"/>
            </w:pPr>
            <w:r>
              <w:t>23 June 2010</w:t>
            </w:r>
          </w:p>
          <w:p w:rsidR="001E49FC" w:rsidRDefault="001E49FC" w:rsidP="001E49FC">
            <w:pPr>
              <w:bidi w:val="0"/>
              <w:jc w:val="left"/>
            </w:pPr>
            <w:r>
              <w:t>Arabic</w:t>
            </w:r>
          </w:p>
          <w:p w:rsidR="00257225" w:rsidRPr="008B4BC6" w:rsidRDefault="001E49FC" w:rsidP="001E49FC">
            <w:pPr>
              <w:bidi w:val="0"/>
              <w:jc w:val="left"/>
            </w:pPr>
            <w:r>
              <w:t>Original: English</w:t>
            </w:r>
          </w:p>
        </w:tc>
      </w:tr>
    </w:tbl>
    <w:p w:rsidR="001E49FC" w:rsidRPr="007D36A4" w:rsidRDefault="001E49FC" w:rsidP="001E49FC">
      <w:pPr>
        <w:spacing w:before="120" w:line="380" w:lineRule="exact"/>
        <w:rPr>
          <w:rFonts w:hint="cs"/>
          <w:b/>
          <w:bCs/>
          <w:sz w:val="26"/>
          <w:szCs w:val="36"/>
          <w:rtl/>
          <w:lang w:val="fr-CH"/>
        </w:rPr>
      </w:pPr>
      <w:r w:rsidRPr="007D36A4">
        <w:rPr>
          <w:rFonts w:hint="cs"/>
          <w:b/>
          <w:bCs/>
          <w:sz w:val="26"/>
          <w:szCs w:val="36"/>
          <w:rtl/>
          <w:lang w:val="fr-CH"/>
        </w:rPr>
        <w:t>مجلس حقوق الإنسان</w:t>
      </w:r>
    </w:p>
    <w:p w:rsidR="001E49FC" w:rsidRPr="007D36A4" w:rsidRDefault="001E49FC" w:rsidP="001E49FC">
      <w:pPr>
        <w:spacing w:line="380" w:lineRule="exact"/>
        <w:rPr>
          <w:rFonts w:hint="cs"/>
          <w:b/>
          <w:bCs/>
          <w:rtl/>
          <w:lang w:val="fr-CH"/>
        </w:rPr>
      </w:pPr>
      <w:r w:rsidRPr="007D36A4">
        <w:rPr>
          <w:rFonts w:hint="cs"/>
          <w:b/>
          <w:bCs/>
          <w:rtl/>
          <w:lang w:val="fr-CH"/>
        </w:rPr>
        <w:t>الدورة الرابعة عشرة</w:t>
      </w:r>
    </w:p>
    <w:p w:rsidR="001E49FC" w:rsidRDefault="001E49FC" w:rsidP="001E49FC">
      <w:pPr>
        <w:spacing w:line="380" w:lineRule="exact"/>
        <w:rPr>
          <w:rFonts w:hint="cs"/>
          <w:rtl/>
          <w:lang w:val="fr-CH"/>
        </w:rPr>
      </w:pPr>
      <w:r>
        <w:rPr>
          <w:rFonts w:hint="cs"/>
          <w:rtl/>
          <w:lang w:val="fr-CH"/>
        </w:rPr>
        <w:t>البند 3 من جدول الأعمال</w:t>
      </w:r>
    </w:p>
    <w:p w:rsidR="001E49FC" w:rsidRPr="007D36A4" w:rsidRDefault="001E49FC" w:rsidP="001E49FC">
      <w:pPr>
        <w:spacing w:after="120" w:line="380" w:lineRule="exact"/>
        <w:jc w:val="left"/>
        <w:rPr>
          <w:rFonts w:hint="cs"/>
          <w:b/>
          <w:bCs/>
          <w:rtl/>
          <w:lang w:val="fr-CH"/>
        </w:rPr>
      </w:pPr>
      <w:r w:rsidRPr="007D36A4">
        <w:rPr>
          <w:rFonts w:hint="cs"/>
          <w:b/>
          <w:bCs/>
          <w:rtl/>
          <w:lang w:val="fr-CH"/>
        </w:rPr>
        <w:t>تعزيز وحماية جميع حقوق الإنسان</w:t>
      </w:r>
      <w:r>
        <w:rPr>
          <w:rFonts w:hint="cs"/>
          <w:b/>
          <w:bCs/>
          <w:rtl/>
          <w:lang w:val="fr-CH"/>
        </w:rPr>
        <w:t>، المدنية والسياسية والاجتماعية</w:t>
      </w:r>
      <w:r>
        <w:rPr>
          <w:b/>
          <w:bCs/>
          <w:rtl/>
          <w:lang w:val="fr-CH"/>
        </w:rPr>
        <w:br/>
      </w:r>
      <w:r w:rsidRPr="007D36A4">
        <w:rPr>
          <w:rFonts w:hint="cs"/>
          <w:b/>
          <w:bCs/>
          <w:rtl/>
          <w:lang w:val="fr-CH"/>
        </w:rPr>
        <w:t>والاقتصادية والثقافية، بما في ذلك الحق في التنمية</w:t>
      </w:r>
    </w:p>
    <w:p w:rsidR="001E49FC" w:rsidRPr="00801560" w:rsidRDefault="00DC5B23" w:rsidP="00FF52CE">
      <w:pPr>
        <w:pStyle w:val="HChGA"/>
        <w:rPr>
          <w:rFonts w:hint="cs"/>
          <w:rtl/>
          <w:lang w:val="fr-CH"/>
        </w:rPr>
      </w:pPr>
      <w:r>
        <w:rPr>
          <w:rFonts w:hint="cs"/>
          <w:rtl/>
          <w:lang w:val="fr-CH"/>
        </w:rPr>
        <w:tab/>
      </w:r>
      <w:r>
        <w:rPr>
          <w:rFonts w:hint="cs"/>
          <w:rtl/>
          <w:lang w:val="fr-CH"/>
        </w:rPr>
        <w:tab/>
      </w:r>
      <w:r w:rsidR="001E49FC" w:rsidRPr="00801560">
        <w:rPr>
          <w:rFonts w:hint="cs"/>
          <w:rtl/>
          <w:lang w:val="fr-CH"/>
        </w:rPr>
        <w:t>قرار</w:t>
      </w:r>
      <w:r w:rsidR="001E49FC">
        <w:rPr>
          <w:rFonts w:hint="cs"/>
          <w:rtl/>
          <w:lang w:val="fr-CH"/>
        </w:rPr>
        <w:t xml:space="preserve"> اعتمده مجلس حقوق الإنسان</w:t>
      </w:r>
      <w:r w:rsidR="00FF52CE" w:rsidRPr="00FF52CE">
        <w:rPr>
          <w:rStyle w:val="FootnoteReference"/>
          <w:sz w:val="20"/>
          <w:vertAlign w:val="baseline"/>
          <w:rtl/>
          <w:lang w:val="fr-CH"/>
        </w:rPr>
        <w:footnoteReference w:customMarkFollows="1" w:id="1"/>
        <w:t>*</w:t>
      </w:r>
    </w:p>
    <w:p w:rsidR="001E49FC" w:rsidRDefault="001E49FC" w:rsidP="00DC5B23">
      <w:pPr>
        <w:pStyle w:val="HChGA"/>
        <w:rPr>
          <w:rFonts w:hint="cs"/>
          <w:rtl/>
          <w:lang w:val="fr-CH"/>
        </w:rPr>
      </w:pPr>
      <w:r>
        <w:rPr>
          <w:rFonts w:hint="cs"/>
          <w:rtl/>
          <w:lang w:val="fr-CH"/>
        </w:rPr>
        <w:tab/>
      </w:r>
      <w:r>
        <w:rPr>
          <w:rFonts w:hint="cs"/>
          <w:rtl/>
          <w:lang w:val="fr-CH"/>
        </w:rPr>
        <w:tab/>
        <w:t>14/11</w:t>
      </w:r>
      <w:r>
        <w:rPr>
          <w:rtl/>
          <w:lang w:val="fr-CH"/>
        </w:rPr>
        <w:br/>
      </w:r>
      <w:r>
        <w:rPr>
          <w:rFonts w:hint="cs"/>
          <w:rtl/>
          <w:lang w:val="fr-CH"/>
        </w:rPr>
        <w:t>حرية الدين أو المعتقد: ولاية المقررة الخاصة المعنية بحرية الدين أو</w:t>
      </w:r>
      <w:r>
        <w:rPr>
          <w:rFonts w:hint="eastAsia"/>
          <w:rtl/>
          <w:lang w:val="fr-CH"/>
        </w:rPr>
        <w:t> </w:t>
      </w:r>
      <w:r>
        <w:rPr>
          <w:rFonts w:hint="cs"/>
          <w:rtl/>
          <w:lang w:val="fr-CH"/>
        </w:rPr>
        <w:t>المعتقد</w:t>
      </w:r>
    </w:p>
    <w:p w:rsidR="001E49FC" w:rsidRPr="00801560" w:rsidRDefault="001E49FC" w:rsidP="001E49FC">
      <w:pPr>
        <w:pStyle w:val="SingleTxtGA"/>
        <w:rPr>
          <w:rFonts w:hint="cs"/>
          <w:i/>
          <w:iCs/>
          <w:rtl/>
          <w:lang w:val="fr-CH"/>
        </w:rPr>
      </w:pPr>
      <w:r>
        <w:rPr>
          <w:rFonts w:hint="cs"/>
          <w:i/>
          <w:iCs/>
          <w:rtl/>
          <w:lang w:val="fr-CH"/>
        </w:rPr>
        <w:tab/>
      </w:r>
      <w:r w:rsidRPr="00801560">
        <w:rPr>
          <w:rFonts w:hint="cs"/>
          <w:i/>
          <w:iCs/>
          <w:rtl/>
          <w:lang w:val="fr-CH"/>
        </w:rPr>
        <w:t>إن مجلس حقوق الإنسان،</w:t>
      </w:r>
    </w:p>
    <w:p w:rsidR="001E49FC" w:rsidRDefault="001E49FC" w:rsidP="001E49FC">
      <w:pPr>
        <w:pStyle w:val="SingleTxtGA"/>
        <w:rPr>
          <w:rFonts w:hint="cs"/>
          <w:rtl/>
          <w:lang w:val="fr-CH"/>
        </w:rPr>
      </w:pPr>
      <w:r>
        <w:rPr>
          <w:rFonts w:hint="cs"/>
          <w:rtl/>
          <w:lang w:val="fr-CH"/>
        </w:rPr>
        <w:tab/>
      </w:r>
      <w:r w:rsidRPr="00C178FF">
        <w:rPr>
          <w:rFonts w:hint="cs"/>
          <w:i/>
          <w:iCs/>
          <w:rtl/>
          <w:lang w:val="fr-CH"/>
        </w:rPr>
        <w:t>إذ يشير</w:t>
      </w:r>
      <w:r>
        <w:rPr>
          <w:rFonts w:hint="cs"/>
          <w:rtl/>
          <w:lang w:val="fr-CH"/>
        </w:rPr>
        <w:t xml:space="preserve"> إلى قرار الجمعية العامة 36/55 المؤرخ 25 تشرين الثاني/نوفمبر 1981 الذي أصدرت الجمعية العامة بموجبه الإعلان المتعلق بالقضاء على جميع أشكال التعصب والتمييز القائمين على أساس الدين أو المعتقد،</w:t>
      </w:r>
    </w:p>
    <w:p w:rsidR="001E49FC" w:rsidRPr="007D36A4" w:rsidRDefault="001E49FC" w:rsidP="001E49FC">
      <w:pPr>
        <w:pStyle w:val="SingleTxtGA"/>
        <w:rPr>
          <w:rFonts w:hint="cs"/>
          <w:rtl/>
          <w:lang w:val="fr-CH"/>
        </w:rPr>
      </w:pPr>
      <w:r>
        <w:rPr>
          <w:rFonts w:hint="cs"/>
          <w:rtl/>
          <w:lang w:val="fr-CH"/>
        </w:rPr>
        <w:tab/>
      </w:r>
      <w:r w:rsidRPr="00C178FF">
        <w:rPr>
          <w:rFonts w:hint="cs"/>
          <w:i/>
          <w:iCs/>
          <w:rtl/>
          <w:lang w:val="fr-CH"/>
        </w:rPr>
        <w:t xml:space="preserve">وإذ </w:t>
      </w:r>
      <w:r w:rsidRPr="00801560">
        <w:rPr>
          <w:rFonts w:hint="cs"/>
          <w:i/>
          <w:iCs/>
          <w:rtl/>
          <w:lang w:val="fr-CH"/>
        </w:rPr>
        <w:t>يشير أيضا</w:t>
      </w:r>
      <w:r>
        <w:rPr>
          <w:rFonts w:hint="cs"/>
          <w:rtl/>
          <w:lang w:val="fr-CH"/>
        </w:rPr>
        <w:t>ً إلى المادة 18 من العهد الدولي الخاص بالحقوق المدنية والسياسية، والمادة 18 من الإعلان العالمي لحقوق الإنسان، وإلى المادة 2(2) من العهد الدولي الخاص بالحقوق الاقتصادية والاجتماعية والثقافية وغيرها من أحكام حقوق الإنسان ذات الصلة،</w:t>
      </w:r>
    </w:p>
    <w:p w:rsidR="001E49FC" w:rsidRDefault="001E49FC" w:rsidP="001E49FC">
      <w:pPr>
        <w:pStyle w:val="SingleTxtGA"/>
        <w:rPr>
          <w:rFonts w:hint="cs"/>
          <w:rtl/>
          <w:lang w:val="fr-CH"/>
        </w:rPr>
      </w:pPr>
      <w:r>
        <w:rPr>
          <w:rFonts w:hint="cs"/>
          <w:rtl/>
          <w:lang w:val="fr-CH"/>
        </w:rPr>
        <w:tab/>
      </w:r>
      <w:r w:rsidRPr="00C178FF">
        <w:rPr>
          <w:rFonts w:hint="cs"/>
          <w:i/>
          <w:iCs/>
          <w:rtl/>
          <w:lang w:val="fr-CH"/>
        </w:rPr>
        <w:t>وإذ يشير كذلك</w:t>
      </w:r>
      <w:r>
        <w:rPr>
          <w:rFonts w:hint="cs"/>
          <w:rtl/>
          <w:lang w:val="fr-CH"/>
        </w:rPr>
        <w:t xml:space="preserve"> إلى قراره 6/37 المؤرخ 14 كانون الأول/ديسمبر 2007 والقرارات الأخرى المتعلقة بالقضاء على جميع أشكال التعصب والتمييز القائمين على أساس الدين أو المعتقد التي اعتمدتها الجمعية العامة ولجنة حقوق الإنسان،</w:t>
      </w:r>
    </w:p>
    <w:p w:rsidR="001E49FC" w:rsidRDefault="001E49FC" w:rsidP="001E49FC">
      <w:pPr>
        <w:pStyle w:val="SingleTxtGA"/>
        <w:rPr>
          <w:rFonts w:hint="cs"/>
          <w:rtl/>
          <w:lang w:val="fr-CH"/>
        </w:rPr>
      </w:pPr>
      <w:r>
        <w:rPr>
          <w:rFonts w:hint="cs"/>
          <w:rtl/>
          <w:lang w:val="fr-CH"/>
        </w:rPr>
        <w:tab/>
      </w:r>
      <w:r w:rsidRPr="00C178FF">
        <w:rPr>
          <w:rFonts w:hint="cs"/>
          <w:i/>
          <w:iCs/>
          <w:rtl/>
          <w:lang w:val="fr-CH"/>
        </w:rPr>
        <w:t>وإذ يشير</w:t>
      </w:r>
      <w:r>
        <w:rPr>
          <w:rFonts w:hint="cs"/>
          <w:rtl/>
          <w:lang w:val="fr-CH"/>
        </w:rPr>
        <w:t xml:space="preserve"> إلى قراره 5/1 المتعلق ببناء مؤسسات المجلس وقراره 5/2 المتعلق بمدونة قواعد السلوك لأصحاب الولايات في إطار الإجراءات الخاصة التابعة للمجلس، المؤرخين 18 حزيران/يونيه 2007، وإذ يشدد على أنه يجب على صاحبة الولاية أن تضطلع بمهامها وفقاً لهذين القرارين ومرفقاتهما، </w:t>
      </w:r>
    </w:p>
    <w:p w:rsidR="001E49FC" w:rsidRDefault="001E49FC" w:rsidP="001E49FC">
      <w:pPr>
        <w:pStyle w:val="SingleTxtGA"/>
        <w:rPr>
          <w:rFonts w:hint="cs"/>
          <w:rtl/>
          <w:lang w:val="fr-CH"/>
        </w:rPr>
      </w:pPr>
      <w:r>
        <w:rPr>
          <w:rFonts w:hint="cs"/>
          <w:rtl/>
          <w:lang w:val="fr-CH"/>
        </w:rPr>
        <w:tab/>
        <w:t>1-</w:t>
      </w:r>
      <w:r>
        <w:rPr>
          <w:rFonts w:hint="cs"/>
          <w:rtl/>
          <w:lang w:val="fr-CH"/>
        </w:rPr>
        <w:tab/>
      </w:r>
      <w:r w:rsidRPr="00F278C8">
        <w:rPr>
          <w:rFonts w:hint="cs"/>
          <w:i/>
          <w:iCs/>
          <w:rtl/>
          <w:lang w:val="fr-CH"/>
        </w:rPr>
        <w:t>يدين</w:t>
      </w:r>
      <w:r>
        <w:rPr>
          <w:rFonts w:hint="cs"/>
          <w:rtl/>
          <w:lang w:val="fr-CH"/>
        </w:rPr>
        <w:t xml:space="preserve"> جميع أشكال التعصب والتمييز القائمة على أساس الدين أو المعتقد، وكذا انتهاكات حرية الفكر أو الضمير أو الدين أو المعتقد؛</w:t>
      </w:r>
    </w:p>
    <w:p w:rsidR="001E49FC" w:rsidRDefault="001E49FC" w:rsidP="001E49FC">
      <w:pPr>
        <w:pStyle w:val="SingleTxtGA"/>
        <w:rPr>
          <w:rFonts w:hint="cs"/>
          <w:rtl/>
          <w:lang w:val="fr-CH"/>
        </w:rPr>
      </w:pPr>
      <w:r>
        <w:rPr>
          <w:rFonts w:hint="cs"/>
          <w:i/>
          <w:iCs/>
          <w:rtl/>
          <w:lang w:val="fr-CH"/>
        </w:rPr>
        <w:tab/>
      </w:r>
      <w:r w:rsidRPr="00FF52CE">
        <w:rPr>
          <w:rFonts w:hint="cs"/>
          <w:rtl/>
          <w:lang w:val="fr-CH"/>
        </w:rPr>
        <w:t>2</w:t>
      </w:r>
      <w:r>
        <w:rPr>
          <w:rFonts w:hint="cs"/>
          <w:i/>
          <w:iCs/>
          <w:rtl/>
          <w:lang w:val="fr-CH"/>
        </w:rPr>
        <w:t>-</w:t>
      </w:r>
      <w:r>
        <w:rPr>
          <w:rFonts w:hint="cs"/>
          <w:i/>
          <w:iCs/>
          <w:rtl/>
          <w:lang w:val="fr-CH"/>
        </w:rPr>
        <w:tab/>
        <w:t xml:space="preserve">يشدد على </w:t>
      </w:r>
      <w:r>
        <w:rPr>
          <w:rFonts w:hint="cs"/>
          <w:rtl/>
          <w:lang w:val="fr-CH"/>
        </w:rPr>
        <w:t>أن لكل فرد الحق في حرية الفكر والضمير والدين أو المعتقد التي تشمل حرية الفرد في أن يكون له دين أو معتقد يختاره بنفسه أو أن يعتنق هذا الدين أو المعتقد، والحرية في إظهار دينه أو معتقده منفرداً أو جماعةً، علناً أو سراً، في التعليم والممارسة والعبادة وإقامة الشعائر؛</w:t>
      </w:r>
    </w:p>
    <w:p w:rsidR="001E49FC" w:rsidRDefault="001E49FC" w:rsidP="001E49FC">
      <w:pPr>
        <w:pStyle w:val="SingleTxtGA"/>
        <w:rPr>
          <w:rFonts w:hint="cs"/>
          <w:rtl/>
          <w:lang w:val="fr-CH"/>
        </w:rPr>
      </w:pPr>
      <w:r>
        <w:rPr>
          <w:rFonts w:hint="cs"/>
          <w:rtl/>
          <w:lang w:val="fr-CH"/>
        </w:rPr>
        <w:tab/>
        <w:t>3-</w:t>
      </w:r>
      <w:r>
        <w:rPr>
          <w:rFonts w:hint="cs"/>
          <w:rtl/>
          <w:lang w:val="fr-CH"/>
        </w:rPr>
        <w:tab/>
      </w:r>
      <w:r w:rsidRPr="00F278C8">
        <w:rPr>
          <w:rFonts w:hint="cs"/>
          <w:i/>
          <w:iCs/>
          <w:rtl/>
          <w:lang w:val="fr-CH"/>
        </w:rPr>
        <w:t>يدين</w:t>
      </w:r>
      <w:r>
        <w:rPr>
          <w:rFonts w:hint="cs"/>
          <w:rtl/>
          <w:lang w:val="fr-CH"/>
        </w:rPr>
        <w:t xml:space="preserve"> أي دعوة إلى الكراهية الدينية تشكل تحريضا على التمييز، أو العداء أو العنف، سواء أكان ذلك بوسائط إعلامية مطبوعة، أو سمعية بصرية أو إلكترونية أو بأي وسيلة أخرى؛</w:t>
      </w:r>
    </w:p>
    <w:p w:rsidR="001E49FC" w:rsidRDefault="001E49FC" w:rsidP="00FF52CE">
      <w:pPr>
        <w:pStyle w:val="SingleTxtGA"/>
        <w:rPr>
          <w:rFonts w:hint="cs"/>
          <w:rtl/>
          <w:lang w:val="fr-CH"/>
        </w:rPr>
      </w:pPr>
      <w:r>
        <w:rPr>
          <w:rFonts w:hint="cs"/>
          <w:rtl/>
          <w:lang w:val="fr-CH"/>
        </w:rPr>
        <w:tab/>
        <w:t>4-</w:t>
      </w:r>
      <w:r>
        <w:rPr>
          <w:rFonts w:hint="cs"/>
          <w:rtl/>
          <w:lang w:val="fr-CH"/>
        </w:rPr>
        <w:tab/>
      </w:r>
      <w:r w:rsidRPr="00CE7130">
        <w:rPr>
          <w:rFonts w:hint="cs"/>
          <w:i/>
          <w:iCs/>
          <w:rtl/>
          <w:lang w:val="fr-CH"/>
        </w:rPr>
        <w:t>يؤكد</w:t>
      </w:r>
      <w:r>
        <w:rPr>
          <w:rFonts w:hint="cs"/>
          <w:rtl/>
          <w:lang w:val="fr-CH"/>
        </w:rPr>
        <w:t xml:space="preserve"> أن القيود المفروضة على حرية الفرد في إظهار دينه أو معتقده لا</w:t>
      </w:r>
      <w:r w:rsidR="00FF52CE">
        <w:rPr>
          <w:rFonts w:hint="eastAsia"/>
          <w:rtl/>
          <w:lang w:val="fr-CH"/>
        </w:rPr>
        <w:t> </w:t>
      </w:r>
      <w:r>
        <w:rPr>
          <w:rFonts w:hint="cs"/>
          <w:rtl/>
          <w:lang w:val="fr-CH"/>
        </w:rPr>
        <w:t>يُسمح بها إلا إذا كانت الحدود منصوصاً عليها في القانون وضروريةً لحماية السلامة العامة أو النظام العام أو الصحة أو الآداب العامة أو حقوق الآخرين وحرياتهم الأساسية، وكانت غير تمييزية ومطبقةً بطريقة لا تُبطل الحق في حرية الفكر والضمير والدين؛</w:t>
      </w:r>
    </w:p>
    <w:p w:rsidR="001E49FC" w:rsidRDefault="001E49FC" w:rsidP="001E49FC">
      <w:pPr>
        <w:pStyle w:val="SingleTxtGA"/>
        <w:rPr>
          <w:rFonts w:hint="cs"/>
          <w:rtl/>
          <w:lang w:val="fr-CH"/>
        </w:rPr>
      </w:pPr>
      <w:r>
        <w:rPr>
          <w:rFonts w:hint="cs"/>
          <w:rtl/>
          <w:lang w:val="fr-CH"/>
        </w:rPr>
        <w:tab/>
        <w:t>5-</w:t>
      </w:r>
      <w:r>
        <w:rPr>
          <w:rFonts w:hint="cs"/>
          <w:rtl/>
          <w:lang w:val="fr-CH"/>
        </w:rPr>
        <w:tab/>
      </w:r>
      <w:r w:rsidRPr="00CE7130">
        <w:rPr>
          <w:rFonts w:hint="cs"/>
          <w:i/>
          <w:iCs/>
          <w:rtl/>
          <w:lang w:val="fr-CH"/>
        </w:rPr>
        <w:t>يناشد</w:t>
      </w:r>
      <w:r>
        <w:rPr>
          <w:rFonts w:hint="cs"/>
          <w:rtl/>
          <w:lang w:val="fr-CH"/>
        </w:rPr>
        <w:t xml:space="preserve"> الدول أن تعتمد تدابير وسياسات لتعزيز احترام أماكن العبادة والمواقع الدينية؛</w:t>
      </w:r>
    </w:p>
    <w:p w:rsidR="001E49FC" w:rsidRDefault="001E49FC" w:rsidP="001E49FC">
      <w:pPr>
        <w:pStyle w:val="SingleTxtGA"/>
        <w:rPr>
          <w:rFonts w:hint="cs"/>
          <w:rtl/>
          <w:lang w:val="fr-CH"/>
        </w:rPr>
      </w:pPr>
      <w:r>
        <w:rPr>
          <w:rFonts w:hint="cs"/>
          <w:rtl/>
          <w:lang w:val="fr-CH"/>
        </w:rPr>
        <w:tab/>
        <w:t>6-</w:t>
      </w:r>
      <w:r>
        <w:rPr>
          <w:rFonts w:hint="cs"/>
          <w:rtl/>
          <w:lang w:val="fr-CH"/>
        </w:rPr>
        <w:tab/>
      </w:r>
      <w:r w:rsidRPr="00FF52CE">
        <w:rPr>
          <w:rFonts w:hint="cs"/>
          <w:i/>
          <w:iCs/>
          <w:rtl/>
          <w:lang w:val="fr-CH"/>
        </w:rPr>
        <w:t>يعرب</w:t>
      </w:r>
      <w:r>
        <w:rPr>
          <w:rFonts w:hint="cs"/>
          <w:rtl/>
          <w:lang w:val="fr-CH"/>
        </w:rPr>
        <w:t xml:space="preserve"> عن قلقه إزاء استمرار حالات التعصب الديني، وكذا ظهور عقبات تعترض التمتع بالحق في حرية الدين أو المعتقد، ومنها ما يلي:</w:t>
      </w:r>
    </w:p>
    <w:p w:rsidR="001E49FC" w:rsidRDefault="001E49FC" w:rsidP="001E49FC">
      <w:pPr>
        <w:pStyle w:val="SingleTxtGA"/>
        <w:rPr>
          <w:rFonts w:hint="cs"/>
          <w:rtl/>
          <w:lang w:val="fr-CH"/>
        </w:rPr>
      </w:pPr>
      <w:r>
        <w:rPr>
          <w:rFonts w:hint="cs"/>
          <w:rtl/>
          <w:lang w:val="fr-CH"/>
        </w:rPr>
        <w:tab/>
        <w:t>(أ)</w:t>
      </w:r>
      <w:r>
        <w:rPr>
          <w:rFonts w:hint="cs"/>
          <w:rtl/>
          <w:lang w:val="fr-CH"/>
        </w:rPr>
        <w:tab/>
        <w:t>حالات التعصب والعنف ضد أفراد العديد من الأقليات الدينية وغيرها من ال</w:t>
      </w:r>
      <w:r w:rsidR="00FF52CE">
        <w:rPr>
          <w:rFonts w:hint="cs"/>
          <w:rtl/>
          <w:lang w:val="fr-CH"/>
        </w:rPr>
        <w:t>طوائف في أماكن مختلفة من العالم؛</w:t>
      </w:r>
    </w:p>
    <w:p w:rsidR="001E49FC" w:rsidRDefault="001E49FC" w:rsidP="00FF52CE">
      <w:pPr>
        <w:pStyle w:val="SingleTxtGA"/>
        <w:rPr>
          <w:rFonts w:hint="cs"/>
          <w:rtl/>
          <w:lang w:val="fr-CH"/>
        </w:rPr>
      </w:pPr>
      <w:r>
        <w:rPr>
          <w:rFonts w:hint="cs"/>
          <w:rtl/>
          <w:lang w:val="fr-CH"/>
        </w:rPr>
        <w:tab/>
        <w:t>(ب)</w:t>
      </w:r>
      <w:r>
        <w:rPr>
          <w:rFonts w:hint="cs"/>
          <w:rtl/>
          <w:lang w:val="fr-CH"/>
        </w:rPr>
        <w:tab/>
        <w:t>حوادث الكراهية الدينية، والتمييز والتعصب والعنف، التي قد تتجلى في استهداف الأشخاص بمواقف مسبقة مهينة وتنميطهم سلبيا ووصمهم على أساس دينهم أو</w:t>
      </w:r>
      <w:r w:rsidR="00FF52CE">
        <w:rPr>
          <w:rFonts w:hint="eastAsia"/>
          <w:rtl/>
          <w:lang w:val="fr-CH"/>
        </w:rPr>
        <w:t> </w:t>
      </w:r>
      <w:r w:rsidR="00FF52CE">
        <w:rPr>
          <w:rFonts w:hint="cs"/>
          <w:rtl/>
          <w:lang w:val="fr-CH"/>
        </w:rPr>
        <w:t>معتقدهم؛</w:t>
      </w:r>
    </w:p>
    <w:p w:rsidR="001E49FC" w:rsidRDefault="001E49FC" w:rsidP="00FF52CE">
      <w:pPr>
        <w:pStyle w:val="SingleTxtGA"/>
        <w:rPr>
          <w:rFonts w:hint="cs"/>
          <w:rtl/>
          <w:lang w:val="fr-CH"/>
        </w:rPr>
      </w:pPr>
      <w:r>
        <w:rPr>
          <w:rFonts w:hint="cs"/>
          <w:rtl/>
          <w:lang w:val="fr-CH"/>
        </w:rPr>
        <w:tab/>
        <w:t>(ج)</w:t>
      </w:r>
      <w:r>
        <w:rPr>
          <w:rFonts w:hint="cs"/>
          <w:rtl/>
          <w:lang w:val="fr-CH"/>
        </w:rPr>
        <w:tab/>
        <w:t>الهجمات على الأماكن والمواقع والمزارات الدينية انتهاكاً للقانون الدولي، لا</w:t>
      </w:r>
      <w:r w:rsidR="00FF52CE">
        <w:rPr>
          <w:rFonts w:hint="eastAsia"/>
          <w:rtl/>
          <w:lang w:val="fr-CH"/>
        </w:rPr>
        <w:t> </w:t>
      </w:r>
      <w:r>
        <w:rPr>
          <w:rFonts w:hint="cs"/>
          <w:rtl/>
          <w:lang w:val="fr-CH"/>
        </w:rPr>
        <w:t>سيما قانون حقوق الإنسان والقانون الإنساني، لما تكتسيه من أهمية تتجاوز الطابع المادي لها بالنسبة إلى كرامة وحياة أفراد الطوائف التي لها معتقدات روحية أو دينية؛</w:t>
      </w:r>
    </w:p>
    <w:p w:rsidR="001E49FC" w:rsidRDefault="001E49FC" w:rsidP="001E49FC">
      <w:pPr>
        <w:pStyle w:val="SingleTxtGA"/>
        <w:rPr>
          <w:rFonts w:hint="cs"/>
          <w:rtl/>
          <w:lang w:val="fr-CH"/>
        </w:rPr>
      </w:pPr>
      <w:r>
        <w:rPr>
          <w:rFonts w:hint="cs"/>
          <w:rtl/>
          <w:lang w:val="fr-CH"/>
        </w:rPr>
        <w:tab/>
        <w:t>(د)</w:t>
      </w:r>
      <w:r>
        <w:rPr>
          <w:rFonts w:hint="cs"/>
          <w:rtl/>
          <w:lang w:val="fr-CH"/>
        </w:rPr>
        <w:tab/>
        <w:t>الحالات التي تشكل، على صعيد كل من القانون والممارسة، انتهاكات للحق الأساسي في حرية الدين أو المعتقد، بما في ذلك حق الفرد في الجهر بمعتقداته الروحية والدينية، مع مراعاة المواد ذات الصلة من العهد الدولي الخاص بالحقوق المدنية والسياسية، وغيره من الصكوك الدولية الأخرى؛</w:t>
      </w:r>
    </w:p>
    <w:p w:rsidR="001E49FC" w:rsidRDefault="001E49FC" w:rsidP="00DC5B23">
      <w:pPr>
        <w:pStyle w:val="SingleTxtGA"/>
        <w:rPr>
          <w:rFonts w:hint="cs"/>
          <w:rtl/>
          <w:lang w:val="fr-CH"/>
        </w:rPr>
      </w:pPr>
      <w:r>
        <w:rPr>
          <w:rFonts w:hint="cs"/>
          <w:rtl/>
          <w:lang w:val="fr-CH"/>
        </w:rPr>
        <w:tab/>
        <w:t>(</w:t>
      </w:r>
      <w:r w:rsidR="00DC5B23" w:rsidRPr="00DC5B23">
        <w:rPr>
          <w:rFonts w:ascii="Arial" w:hAnsi="Arial" w:cs="Arial"/>
          <w:rtl/>
          <w:lang w:val="fr-CH"/>
        </w:rPr>
        <w:t>ﻫ</w:t>
      </w:r>
      <w:r>
        <w:rPr>
          <w:rFonts w:hint="cs"/>
          <w:rtl/>
          <w:lang w:val="fr-CH"/>
        </w:rPr>
        <w:t>)</w:t>
      </w:r>
      <w:r>
        <w:rPr>
          <w:rFonts w:hint="cs"/>
          <w:rtl/>
          <w:lang w:val="fr-CH"/>
        </w:rPr>
        <w:tab/>
        <w:t>النظم الدستورية والتشريعية التي لا تقدم ضمانات كافية وفعالة للجميع دون تمييز من أجل ممارسة حرية الفكر والضمير والدين والمعتقد؛</w:t>
      </w:r>
    </w:p>
    <w:p w:rsidR="001E49FC" w:rsidRDefault="001E49FC" w:rsidP="001E49FC">
      <w:pPr>
        <w:pStyle w:val="SingleTxtGA"/>
        <w:rPr>
          <w:rFonts w:hint="cs"/>
          <w:rtl/>
        </w:rPr>
      </w:pPr>
      <w:r>
        <w:rPr>
          <w:rFonts w:hint="cs"/>
          <w:rtl/>
          <w:lang w:val="fr-CH"/>
        </w:rPr>
        <w:tab/>
        <w:t>7-</w:t>
      </w:r>
      <w:r>
        <w:rPr>
          <w:rFonts w:hint="cs"/>
          <w:rtl/>
          <w:lang w:val="fr-CH"/>
        </w:rPr>
        <w:tab/>
      </w:r>
      <w:r w:rsidRPr="00C178FF">
        <w:rPr>
          <w:rFonts w:hint="cs"/>
          <w:i/>
          <w:iCs/>
          <w:rtl/>
          <w:lang w:val="fr-CH"/>
        </w:rPr>
        <w:t>يرحب</w:t>
      </w:r>
      <w:r>
        <w:rPr>
          <w:rFonts w:hint="cs"/>
          <w:rtl/>
          <w:lang w:val="fr-CH"/>
        </w:rPr>
        <w:t xml:space="preserve"> بالتقرير المقدم من المقررة الخاصة المعنية بحرية الدين أو المعتقد (</w:t>
      </w:r>
      <w:r>
        <w:t>A/HRC/13/40</w:t>
      </w:r>
      <w:r>
        <w:rPr>
          <w:rFonts w:hint="cs"/>
          <w:rtl/>
        </w:rPr>
        <w:t>)؛</w:t>
      </w:r>
    </w:p>
    <w:p w:rsidR="001E49FC" w:rsidRDefault="001E49FC" w:rsidP="001E49FC">
      <w:pPr>
        <w:pStyle w:val="SingleTxtGA"/>
        <w:rPr>
          <w:rFonts w:hint="cs"/>
          <w:rtl/>
        </w:rPr>
      </w:pPr>
      <w:r>
        <w:rPr>
          <w:rFonts w:hint="cs"/>
          <w:rtl/>
        </w:rPr>
        <w:tab/>
        <w:t>8-</w:t>
      </w:r>
      <w:r>
        <w:rPr>
          <w:rFonts w:hint="cs"/>
          <w:rtl/>
        </w:rPr>
        <w:tab/>
      </w:r>
      <w:r w:rsidRPr="00C178FF">
        <w:rPr>
          <w:rFonts w:hint="cs"/>
          <w:i/>
          <w:iCs/>
          <w:rtl/>
        </w:rPr>
        <w:t>يرحب أيضاً</w:t>
      </w:r>
      <w:r>
        <w:rPr>
          <w:rFonts w:hint="cs"/>
          <w:rtl/>
        </w:rPr>
        <w:t xml:space="preserve"> بالعمل الذي قامت به المقررة الخاصة، ويستنتج أن ثمة حاجة إلى مواصلة إسهام المقررة الخاصة في حماية وتعزيز الحق في حرية الدين أو المعتقد وإعماله على الصعيد العالمي؛ </w:t>
      </w:r>
    </w:p>
    <w:p w:rsidR="001E49FC" w:rsidRDefault="001E49FC" w:rsidP="001E49FC">
      <w:pPr>
        <w:pStyle w:val="SingleTxtGA"/>
        <w:rPr>
          <w:rFonts w:hint="cs"/>
          <w:rtl/>
        </w:rPr>
      </w:pPr>
      <w:r>
        <w:rPr>
          <w:rFonts w:hint="cs"/>
          <w:rtl/>
        </w:rPr>
        <w:tab/>
        <w:t>9-</w:t>
      </w:r>
      <w:r>
        <w:rPr>
          <w:rFonts w:hint="cs"/>
          <w:rtl/>
        </w:rPr>
        <w:tab/>
      </w:r>
      <w:r w:rsidRPr="00C178FF">
        <w:rPr>
          <w:rFonts w:hint="cs"/>
          <w:i/>
          <w:iCs/>
          <w:rtl/>
        </w:rPr>
        <w:t>يقرر</w:t>
      </w:r>
      <w:r>
        <w:rPr>
          <w:rFonts w:hint="cs"/>
          <w:rtl/>
        </w:rPr>
        <w:t xml:space="preserve"> تمديد ولاية المقررة الخاصة لفترة ثلاث سنوات أخرى؛</w:t>
      </w:r>
    </w:p>
    <w:p w:rsidR="001E49FC" w:rsidRDefault="001E49FC" w:rsidP="001E49FC">
      <w:pPr>
        <w:pStyle w:val="SingleTxtGA"/>
        <w:rPr>
          <w:rFonts w:hint="cs"/>
          <w:rtl/>
        </w:rPr>
      </w:pPr>
      <w:r>
        <w:rPr>
          <w:rFonts w:hint="cs"/>
          <w:rtl/>
        </w:rPr>
        <w:tab/>
        <w:t>10-</w:t>
      </w:r>
      <w:r>
        <w:rPr>
          <w:rFonts w:hint="cs"/>
          <w:rtl/>
        </w:rPr>
        <w:tab/>
      </w:r>
      <w:r w:rsidRPr="00A73F71">
        <w:rPr>
          <w:rFonts w:hint="cs"/>
          <w:i/>
          <w:iCs/>
          <w:rtl/>
        </w:rPr>
        <w:t>يدعو</w:t>
      </w:r>
      <w:r>
        <w:rPr>
          <w:rFonts w:hint="cs"/>
          <w:rtl/>
        </w:rPr>
        <w:t xml:space="preserve"> المقررة الخاصة إلى مراعاة مضمون جميع القرارات السابقة المتعلقة بحرية الدين أو المعتقد، لا سيما الشواغل المُعرب عنها في هذا القرار، لدى الاضطلاع بولايتها وفقا للفقرة 18 من قرار المجلس 6/37 وعند رفع التقارير إلى المجلس؛</w:t>
      </w:r>
    </w:p>
    <w:p w:rsidR="001E49FC" w:rsidRDefault="001E49FC" w:rsidP="00FF52CE">
      <w:pPr>
        <w:pStyle w:val="SingleTxtGA"/>
        <w:rPr>
          <w:rFonts w:hint="cs"/>
          <w:rtl/>
        </w:rPr>
      </w:pPr>
      <w:r>
        <w:rPr>
          <w:rFonts w:hint="cs"/>
          <w:rtl/>
        </w:rPr>
        <w:tab/>
        <w:t>11-</w:t>
      </w:r>
      <w:r>
        <w:rPr>
          <w:rFonts w:hint="cs"/>
          <w:rtl/>
        </w:rPr>
        <w:tab/>
      </w:r>
      <w:r w:rsidRPr="00A73F71">
        <w:rPr>
          <w:rFonts w:hint="cs"/>
          <w:i/>
          <w:iCs/>
          <w:rtl/>
        </w:rPr>
        <w:t>يناشد</w:t>
      </w:r>
      <w:r>
        <w:rPr>
          <w:rFonts w:hint="cs"/>
          <w:rtl/>
        </w:rPr>
        <w:t xml:space="preserve"> المقررة الخاصة أن تعمل مع منظمات وسائط الإعلام الجماهيري من أجل تشجيع مناخ يسوده الاحترام والتسامح إزاء التنوع الديني والثقافي، إضافة إلى التعددية</w:t>
      </w:r>
      <w:r w:rsidR="00FF52CE">
        <w:rPr>
          <w:rFonts w:hint="eastAsia"/>
          <w:rtl/>
        </w:rPr>
        <w:t> </w:t>
      </w:r>
      <w:r>
        <w:rPr>
          <w:rFonts w:hint="cs"/>
          <w:rtl/>
        </w:rPr>
        <w:t>الثقافية؛</w:t>
      </w:r>
    </w:p>
    <w:p w:rsidR="001E49FC" w:rsidRDefault="001E49FC" w:rsidP="001E49FC">
      <w:pPr>
        <w:pStyle w:val="SingleTxtGA"/>
        <w:rPr>
          <w:rFonts w:hint="cs"/>
          <w:rtl/>
        </w:rPr>
      </w:pPr>
      <w:r>
        <w:rPr>
          <w:rFonts w:hint="cs"/>
          <w:rtl/>
        </w:rPr>
        <w:tab/>
        <w:t>12-</w:t>
      </w:r>
      <w:r>
        <w:rPr>
          <w:rFonts w:hint="cs"/>
          <w:rtl/>
        </w:rPr>
        <w:tab/>
      </w:r>
      <w:r w:rsidRPr="00C178FF">
        <w:rPr>
          <w:rFonts w:hint="cs"/>
          <w:i/>
          <w:iCs/>
          <w:rtl/>
        </w:rPr>
        <w:t>يطلب</w:t>
      </w:r>
      <w:r>
        <w:rPr>
          <w:rFonts w:hint="cs"/>
          <w:rtl/>
        </w:rPr>
        <w:t xml:space="preserve"> إلى الأمين العام أن يكفل حصول المقررة الخاصة على الموارد اللازمة لتمكينها من الاضطلاع بولايتها على أتم وجه؛</w:t>
      </w:r>
    </w:p>
    <w:p w:rsidR="001E49FC" w:rsidRDefault="001E49FC" w:rsidP="001E49FC">
      <w:pPr>
        <w:pStyle w:val="SingleTxtGA"/>
        <w:rPr>
          <w:rFonts w:hint="cs"/>
          <w:rtl/>
        </w:rPr>
      </w:pPr>
      <w:r>
        <w:rPr>
          <w:rFonts w:hint="cs"/>
          <w:rtl/>
        </w:rPr>
        <w:tab/>
        <w:t>13-</w:t>
      </w:r>
      <w:r>
        <w:rPr>
          <w:rFonts w:hint="cs"/>
          <w:rtl/>
        </w:rPr>
        <w:tab/>
      </w:r>
      <w:r w:rsidRPr="00C178FF">
        <w:rPr>
          <w:rFonts w:hint="cs"/>
          <w:i/>
          <w:iCs/>
          <w:rtl/>
        </w:rPr>
        <w:t>يحث</w:t>
      </w:r>
      <w:r>
        <w:rPr>
          <w:rFonts w:hint="cs"/>
          <w:rtl/>
        </w:rPr>
        <w:t xml:space="preserve"> جميع الحكومات على التعاون تعاوناً كاملاً مع المقررة الخاصة، والاستجابة لطلباتها من أجل زيارة بلدانها، وتزويدها بكل ما يلزم من معلومات تمكنها من الاضطلاع بولايتها بمزيد من الفعالية؛</w:t>
      </w:r>
    </w:p>
    <w:p w:rsidR="001E49FC" w:rsidRDefault="001E49FC" w:rsidP="001E49FC">
      <w:pPr>
        <w:pStyle w:val="SingleTxtGA"/>
        <w:rPr>
          <w:rFonts w:hint="cs"/>
          <w:rtl/>
        </w:rPr>
      </w:pPr>
      <w:r>
        <w:rPr>
          <w:rFonts w:hint="cs"/>
          <w:rtl/>
        </w:rPr>
        <w:tab/>
        <w:t>14-</w:t>
      </w:r>
      <w:r>
        <w:rPr>
          <w:rFonts w:hint="cs"/>
          <w:rtl/>
        </w:rPr>
        <w:tab/>
      </w:r>
      <w:r w:rsidRPr="00C178FF">
        <w:rPr>
          <w:rFonts w:hint="cs"/>
          <w:i/>
          <w:iCs/>
          <w:rtl/>
        </w:rPr>
        <w:t>يطلب</w:t>
      </w:r>
      <w:r>
        <w:rPr>
          <w:rFonts w:hint="cs"/>
          <w:rtl/>
        </w:rPr>
        <w:t xml:space="preserve"> إلى المقررة الخاصة أن تقدم تقاريرها إلى المجلس وفقاً لبرنامج عمله السنوي، وأن تقدم تقريرها السنوي القادم في عام 2011؛</w:t>
      </w:r>
    </w:p>
    <w:p w:rsidR="001E49FC" w:rsidRDefault="001E49FC" w:rsidP="001E49FC">
      <w:pPr>
        <w:pStyle w:val="SingleTxtGA"/>
        <w:rPr>
          <w:rFonts w:hint="cs"/>
          <w:rtl/>
        </w:rPr>
      </w:pPr>
      <w:r>
        <w:rPr>
          <w:rFonts w:hint="cs"/>
          <w:rtl/>
        </w:rPr>
        <w:tab/>
        <w:t>15-</w:t>
      </w:r>
      <w:r>
        <w:rPr>
          <w:rFonts w:hint="cs"/>
          <w:rtl/>
        </w:rPr>
        <w:tab/>
      </w:r>
      <w:r w:rsidRPr="00801560">
        <w:rPr>
          <w:rFonts w:hint="cs"/>
          <w:i/>
          <w:iCs/>
          <w:rtl/>
        </w:rPr>
        <w:t>يقرر</w:t>
      </w:r>
      <w:r>
        <w:rPr>
          <w:rFonts w:hint="cs"/>
          <w:rtl/>
        </w:rPr>
        <w:t xml:space="preserve"> إبقاء هذه المسألة قيد النظر في إطار البند نفسه من جدول الأعمال، ومواصلة النظر في اتخاذ تدابير لتنفيذ الإعلان المتعلق بالقضاء على جميع أشكال التعصب والتمييز القائمين على أساس الدين أو المعتقد.</w:t>
      </w:r>
    </w:p>
    <w:p w:rsidR="001E49FC" w:rsidRPr="00BD2394" w:rsidRDefault="001E49FC" w:rsidP="001E49FC">
      <w:pPr>
        <w:pStyle w:val="SingleTxtGA"/>
        <w:spacing w:after="0" w:line="300" w:lineRule="exact"/>
        <w:jc w:val="right"/>
        <w:rPr>
          <w:rFonts w:hint="cs"/>
          <w:i/>
          <w:iCs/>
          <w:rtl/>
        </w:rPr>
      </w:pPr>
      <w:r w:rsidRPr="00BD2394">
        <w:rPr>
          <w:rFonts w:hint="cs"/>
          <w:i/>
          <w:iCs/>
          <w:rtl/>
        </w:rPr>
        <w:t>الجلسة 36</w:t>
      </w:r>
    </w:p>
    <w:p w:rsidR="001E49FC" w:rsidRPr="00BD2394" w:rsidRDefault="00DC5B23" w:rsidP="001E49FC">
      <w:pPr>
        <w:pStyle w:val="SingleTxtGA"/>
        <w:spacing w:after="0" w:line="300" w:lineRule="exact"/>
        <w:jc w:val="right"/>
        <w:rPr>
          <w:rFonts w:hint="cs"/>
          <w:i/>
          <w:iCs/>
          <w:rtl/>
        </w:rPr>
      </w:pPr>
      <w:r>
        <w:rPr>
          <w:rFonts w:hint="cs"/>
          <w:i/>
          <w:iCs/>
          <w:rtl/>
        </w:rPr>
        <w:t>18 حزيران/يونيه 2010</w:t>
      </w:r>
    </w:p>
    <w:p w:rsidR="008B4BC6" w:rsidRDefault="001E49FC" w:rsidP="001E49FC">
      <w:pPr>
        <w:pStyle w:val="SingleTxtGA"/>
        <w:spacing w:after="0" w:line="300" w:lineRule="exact"/>
        <w:jc w:val="right"/>
        <w:rPr>
          <w:rFonts w:hint="cs"/>
          <w:rtl/>
        </w:rPr>
      </w:pPr>
      <w:r>
        <w:rPr>
          <w:rFonts w:hint="cs"/>
          <w:rtl/>
        </w:rPr>
        <w:t>[اعتمد بدون تصويت]</w:t>
      </w:r>
    </w:p>
    <w:p w:rsidR="00DC5B23" w:rsidRPr="00DC5B23" w:rsidRDefault="00DC5B23" w:rsidP="00DC5B23">
      <w:pPr>
        <w:spacing w:before="120"/>
        <w:jc w:val="center"/>
        <w:rPr>
          <w:rFonts w:hint="cs"/>
          <w:u w:val="single"/>
          <w:rtl/>
        </w:rPr>
      </w:pPr>
      <w:r>
        <w:rPr>
          <w:u w:val="single"/>
          <w:rtl/>
        </w:rPr>
        <w:tab/>
      </w:r>
      <w:r>
        <w:rPr>
          <w:u w:val="single"/>
          <w:rtl/>
        </w:rPr>
        <w:tab/>
      </w:r>
      <w:r>
        <w:rPr>
          <w:u w:val="single"/>
          <w:rtl/>
        </w:rPr>
        <w:tab/>
      </w:r>
    </w:p>
    <w:sectPr w:rsidR="00DC5B23" w:rsidRPr="00DC5B23" w:rsidSect="001E49F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36D" w:rsidRPr="00FE6865" w:rsidRDefault="0049436D" w:rsidP="00FE6865">
      <w:pPr>
        <w:pStyle w:val="Footer"/>
      </w:pPr>
    </w:p>
  </w:endnote>
  <w:endnote w:type="continuationSeparator" w:id="0">
    <w:p w:rsidR="0049436D" w:rsidRDefault="00494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6D" w:rsidRPr="001E49FC" w:rsidRDefault="0049436D" w:rsidP="00DC5B23">
    <w:pPr>
      <w:pStyle w:val="Footer"/>
      <w:tabs>
        <w:tab w:val="right" w:pos="9598"/>
      </w:tabs>
    </w:pPr>
    <w:r>
      <w:t>GE.10-14735</w:t>
    </w:r>
    <w:r>
      <w:tab/>
    </w:r>
    <w:r w:rsidRPr="001E49FC">
      <w:rPr>
        <w:b/>
        <w:sz w:val="18"/>
      </w:rPr>
      <w:fldChar w:fldCharType="begin"/>
    </w:r>
    <w:r w:rsidRPr="001E49FC">
      <w:rPr>
        <w:b/>
        <w:sz w:val="18"/>
      </w:rPr>
      <w:instrText xml:space="preserve"> PAGE  \* MERGEFORMAT </w:instrText>
    </w:r>
    <w:r w:rsidRPr="001E49FC">
      <w:rPr>
        <w:b/>
        <w:sz w:val="18"/>
      </w:rPr>
      <w:fldChar w:fldCharType="separate"/>
    </w:r>
    <w:r>
      <w:rPr>
        <w:b/>
        <w:noProof/>
        <w:sz w:val="18"/>
      </w:rPr>
      <w:t>4</w:t>
    </w:r>
    <w:r w:rsidRPr="001E49F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6D" w:rsidRPr="001E49FC" w:rsidRDefault="0049436D" w:rsidP="00DC5B23">
    <w:pPr>
      <w:pStyle w:val="Footer"/>
      <w:tabs>
        <w:tab w:val="right" w:pos="9598"/>
      </w:tabs>
      <w:rPr>
        <w:b/>
        <w:sz w:val="18"/>
      </w:rPr>
    </w:pPr>
    <w:r w:rsidRPr="00DC5B23">
      <w:rPr>
        <w:b/>
        <w:bCs/>
      </w:rPr>
      <w:t>3</w:t>
    </w:r>
    <w:r>
      <w:tab/>
    </w:r>
    <w:r>
      <w:rPr>
        <w:b/>
        <w:sz w:val="18"/>
      </w:rPr>
      <w:tab/>
    </w:r>
    <w:r>
      <w:t>GE.10-14735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6D" w:rsidRDefault="0049436D" w:rsidP="001E49FC">
    <w:pPr>
      <w:pStyle w:val="Footer"/>
      <w:jc w:val="right"/>
    </w:pPr>
    <w:r>
      <w:rPr>
        <w:sz w:val="20"/>
      </w:rPr>
      <w:t>(A)   GE.10-14735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010710    010710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36D" w:rsidRDefault="0049436D" w:rsidP="009A0C39">
      <w:pPr>
        <w:spacing w:after="80" w:line="200" w:lineRule="atLeast"/>
        <w:ind w:left="680"/>
      </w:pPr>
      <w:r w:rsidRPr="00C10C26">
        <w:rPr>
          <w:sz w:val="16"/>
          <w:rtl/>
        </w:rPr>
        <w:t>__________</w:t>
      </w:r>
    </w:p>
  </w:footnote>
  <w:footnote w:type="continuationSeparator" w:id="0">
    <w:p w:rsidR="0049436D" w:rsidRDefault="0049436D" w:rsidP="00444AA6">
      <w:pPr>
        <w:pStyle w:val="Footer"/>
        <w:bidi/>
        <w:spacing w:after="80" w:line="200" w:lineRule="exact"/>
        <w:ind w:left="680"/>
      </w:pPr>
      <w:r>
        <w:rPr>
          <w:rFonts w:hint="cs"/>
          <w:rtl/>
        </w:rPr>
        <w:t>__________</w:t>
      </w:r>
    </w:p>
  </w:footnote>
  <w:footnote w:id="1">
    <w:p w:rsidR="0049436D" w:rsidRPr="00FF52CE" w:rsidRDefault="0049436D" w:rsidP="00FF52CE">
      <w:pPr>
        <w:pStyle w:val="footnoteText0"/>
        <w:rPr>
          <w:rFonts w:hint="cs"/>
          <w:rtl/>
        </w:rPr>
      </w:pPr>
      <w:r>
        <w:rPr>
          <w:rtl/>
        </w:rPr>
        <w:tab/>
      </w:r>
      <w:r w:rsidRPr="00FF52CE">
        <w:rPr>
          <w:rStyle w:val="FootnoteReference"/>
          <w:sz w:val="20"/>
          <w:vertAlign w:val="baseline"/>
          <w:rtl/>
        </w:rPr>
        <w:t>*</w:t>
      </w:r>
      <w:r>
        <w:rPr>
          <w:rtl/>
        </w:rPr>
        <w:tab/>
      </w:r>
      <w:r w:rsidRPr="001E49FC">
        <w:rPr>
          <w:rFonts w:hint="cs"/>
          <w:kern w:val="16"/>
          <w:rtl/>
        </w:rPr>
        <w:t>سترد القرارات والمقررات التي اعتمدها مجلس حقوق الإنسان في تقرير المجلس عن أعمال دورته الرابعة عشرة (</w:t>
      </w:r>
      <w:r w:rsidRPr="007857C3">
        <w:rPr>
          <w:kern w:val="16"/>
        </w:rPr>
        <w:t>A/HRC/14/37</w:t>
      </w:r>
      <w:r w:rsidRPr="001E49FC">
        <w:rPr>
          <w:rFonts w:hint="cs"/>
          <w:kern w:val="16"/>
          <w:rtl/>
        </w:rPr>
        <w:t>)، الفصل الأول.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6D" w:rsidRPr="001E49FC" w:rsidRDefault="0049436D" w:rsidP="001E49FC">
    <w:pPr>
      <w:pStyle w:val="Header"/>
      <w:jc w:val="right"/>
    </w:pPr>
    <w:r w:rsidRPr="001E49FC">
      <w:t>AHRC/RES/</w:t>
    </w:r>
    <w:r>
      <w:t>14</w:t>
    </w:r>
    <w:r w:rsidRPr="001E49FC">
      <w:t>/11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6D" w:rsidRPr="001E49FC" w:rsidRDefault="0049436D" w:rsidP="001E49FC">
    <w:pPr>
      <w:pStyle w:val="Header"/>
      <w:jc w:val="left"/>
    </w:pPr>
    <w:r w:rsidRPr="001E49FC">
      <w:t>AHRC/RES/</w:t>
    </w:r>
    <w:r>
      <w:t>14</w:t>
    </w:r>
    <w:r w:rsidRPr="001E49FC">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1566"/>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1E49FC"/>
    <w:rsid w:val="0023736D"/>
    <w:rsid w:val="00257225"/>
    <w:rsid w:val="00275860"/>
    <w:rsid w:val="00310160"/>
    <w:rsid w:val="00341A8C"/>
    <w:rsid w:val="003519E6"/>
    <w:rsid w:val="0037202C"/>
    <w:rsid w:val="003B4356"/>
    <w:rsid w:val="003F08A8"/>
    <w:rsid w:val="004250E3"/>
    <w:rsid w:val="00444AA6"/>
    <w:rsid w:val="00472A81"/>
    <w:rsid w:val="0049436D"/>
    <w:rsid w:val="004B2C92"/>
    <w:rsid w:val="004D6A3A"/>
    <w:rsid w:val="004F4AD7"/>
    <w:rsid w:val="005449D8"/>
    <w:rsid w:val="00557CD3"/>
    <w:rsid w:val="00571432"/>
    <w:rsid w:val="005732A2"/>
    <w:rsid w:val="005762A5"/>
    <w:rsid w:val="00590BA3"/>
    <w:rsid w:val="005A1A9A"/>
    <w:rsid w:val="005B7AE0"/>
    <w:rsid w:val="005C561E"/>
    <w:rsid w:val="005F146F"/>
    <w:rsid w:val="005F71B6"/>
    <w:rsid w:val="00660FD4"/>
    <w:rsid w:val="006A4425"/>
    <w:rsid w:val="006B4669"/>
    <w:rsid w:val="006C768B"/>
    <w:rsid w:val="006E3473"/>
    <w:rsid w:val="006F6BF8"/>
    <w:rsid w:val="00707BDF"/>
    <w:rsid w:val="00710727"/>
    <w:rsid w:val="00715F45"/>
    <w:rsid w:val="00731B84"/>
    <w:rsid w:val="00734AE7"/>
    <w:rsid w:val="00751566"/>
    <w:rsid w:val="007B599E"/>
    <w:rsid w:val="007E197F"/>
    <w:rsid w:val="007F68C4"/>
    <w:rsid w:val="008153DE"/>
    <w:rsid w:val="00852A10"/>
    <w:rsid w:val="00862634"/>
    <w:rsid w:val="00866C59"/>
    <w:rsid w:val="00877306"/>
    <w:rsid w:val="00887B5C"/>
    <w:rsid w:val="008A6242"/>
    <w:rsid w:val="008B4BC6"/>
    <w:rsid w:val="00901E57"/>
    <w:rsid w:val="00935F0E"/>
    <w:rsid w:val="0095208F"/>
    <w:rsid w:val="00977B3F"/>
    <w:rsid w:val="009814AE"/>
    <w:rsid w:val="00983870"/>
    <w:rsid w:val="00994B89"/>
    <w:rsid w:val="00996BBE"/>
    <w:rsid w:val="009A0C39"/>
    <w:rsid w:val="009D1DD5"/>
    <w:rsid w:val="00A11DDA"/>
    <w:rsid w:val="00A26157"/>
    <w:rsid w:val="00A265C3"/>
    <w:rsid w:val="00A43F9A"/>
    <w:rsid w:val="00A543D4"/>
    <w:rsid w:val="00AD0014"/>
    <w:rsid w:val="00AD4CF2"/>
    <w:rsid w:val="00AF0BBA"/>
    <w:rsid w:val="00B30468"/>
    <w:rsid w:val="00B639B9"/>
    <w:rsid w:val="00BB2C41"/>
    <w:rsid w:val="00BC55C8"/>
    <w:rsid w:val="00BC5C10"/>
    <w:rsid w:val="00BE2964"/>
    <w:rsid w:val="00C24FBD"/>
    <w:rsid w:val="00C473BA"/>
    <w:rsid w:val="00C611ED"/>
    <w:rsid w:val="00C6490A"/>
    <w:rsid w:val="00C64FE1"/>
    <w:rsid w:val="00C66164"/>
    <w:rsid w:val="00C8345E"/>
    <w:rsid w:val="00CA4C17"/>
    <w:rsid w:val="00CA5F7C"/>
    <w:rsid w:val="00D51067"/>
    <w:rsid w:val="00D75657"/>
    <w:rsid w:val="00D960AD"/>
    <w:rsid w:val="00DA0E0E"/>
    <w:rsid w:val="00DB0C39"/>
    <w:rsid w:val="00DB7679"/>
    <w:rsid w:val="00DC5B23"/>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874BD"/>
    <w:rsid w:val="00FA6DD0"/>
    <w:rsid w:val="00FE55A3"/>
    <w:rsid w:val="00FE6865"/>
    <w:rsid w:val="00FF52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1</TotalTime>
  <Pages>4</Pages>
  <Words>708</Words>
  <Characters>4041</Characters>
  <Application>Microsoft Office Word</Application>
  <DocSecurity>4</DocSecurity>
  <Lines>33</Lines>
  <Paragraphs>9</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4740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Alawi</dc:subject>
  <dc:creator>HAGAG</dc:creator>
  <cp:keywords/>
  <dc:description/>
  <cp:lastModifiedBy>HAGAG</cp:lastModifiedBy>
  <cp:revision>2</cp:revision>
  <cp:lastPrinted>2009-10-06T13:14:00Z</cp:lastPrinted>
  <dcterms:created xsi:type="dcterms:W3CDTF">2010-07-01T16:12:00Z</dcterms:created>
  <dcterms:modified xsi:type="dcterms:W3CDTF">2010-07-01T16:12:00Z</dcterms:modified>
</cp:coreProperties>
</file>