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0" w:type="dxa"/>
          <w:right w:w="0" w:type="dxa"/>
        </w:tblCellMar>
        <w:tblLook w:val="0000"/>
      </w:tblPr>
      <w:tblGrid>
        <w:gridCol w:w="1134"/>
        <w:gridCol w:w="5954"/>
        <w:gridCol w:w="2551"/>
      </w:tblGrid>
      <w:tr w:rsidR="00000000">
        <w:tblPrEx>
          <w:tblCellMar>
            <w:top w:w="0" w:type="dxa"/>
            <w:left w:w="0" w:type="dxa"/>
            <w:bottom w:w="0" w:type="dxa"/>
            <w:right w:w="0" w:type="dxa"/>
          </w:tblCellMar>
        </w:tblPrEx>
        <w:trPr>
          <w:cantSplit/>
        </w:trPr>
        <w:tc>
          <w:tcPr>
            <w:tcW w:w="7088" w:type="dxa"/>
            <w:gridSpan w:val="2"/>
            <w:tcBorders>
              <w:bottom w:val="single" w:sz="4" w:space="0" w:color="auto"/>
            </w:tcBorders>
          </w:tcPr>
          <w:p w:rsidR="00000000" w:rsidRDefault="00000000">
            <w:pPr>
              <w:pStyle w:val="Heading9"/>
              <w:spacing w:after="0" w:line="400" w:lineRule="exact"/>
              <w:ind w:left="0" w:right="0" w:firstLine="0"/>
              <w:jc w:val="left"/>
              <w:rPr>
                <w:b/>
                <w:spacing w:val="-4"/>
                <w:sz w:val="22"/>
              </w:rPr>
            </w:pPr>
            <w:r>
              <w:rPr>
                <w:b/>
                <w:spacing w:val="-4"/>
                <w:sz w:val="22"/>
              </w:rPr>
              <w:t>ОРГАНИЗАЦИЯ ОБЪЕДИНЕННЫХ НАЦИЙ</w:t>
            </w:r>
          </w:p>
        </w:tc>
        <w:tc>
          <w:tcPr>
            <w:tcW w:w="2551" w:type="dxa"/>
            <w:tcBorders>
              <w:bottom w:val="single" w:sz="4" w:space="0" w:color="auto"/>
            </w:tcBorders>
          </w:tcPr>
          <w:p w:rsidR="00000000" w:rsidRDefault="00000000">
            <w:pPr>
              <w:pStyle w:val="Heading9"/>
              <w:spacing w:after="0"/>
              <w:ind w:left="0" w:right="0" w:firstLine="0"/>
              <w:jc w:val="left"/>
              <w:rPr>
                <w:sz w:val="20"/>
              </w:rPr>
            </w:pPr>
            <w:r>
              <w:rPr>
                <w:b/>
                <w:sz w:val="40"/>
              </w:rPr>
              <w:t>C</w:t>
            </w:r>
            <w:r>
              <w:rPr>
                <w:b/>
                <w:sz w:val="40"/>
              </w:rPr>
              <w:t>E</w:t>
            </w:r>
            <w:r>
              <w:rPr>
                <w:b/>
                <w:sz w:val="40"/>
              </w:rPr>
              <w:t>DAW</w:t>
            </w:r>
            <w:r>
              <w:rPr>
                <w:sz w:val="20"/>
              </w:rPr>
              <w:t>/C/AUL/4-5</w:t>
            </w:r>
          </w:p>
        </w:tc>
      </w:tr>
      <w:tr w:rsidR="00000000">
        <w:tblPrEx>
          <w:tblCellMar>
            <w:top w:w="0" w:type="dxa"/>
            <w:left w:w="0" w:type="dxa"/>
            <w:bottom w:w="0" w:type="dxa"/>
            <w:right w:w="0" w:type="dxa"/>
          </w:tblCellMar>
        </w:tblPrEx>
        <w:trPr>
          <w:trHeight w:val="239"/>
        </w:trPr>
        <w:tc>
          <w:tcPr>
            <w:tcW w:w="1134" w:type="dxa"/>
          </w:tcPr>
          <w:p w:rsidR="00000000" w:rsidRDefault="00000000">
            <w:pPr>
              <w:spacing w:before="120" w:after="0" w:line="240" w:lineRule="auto"/>
            </w:pPr>
          </w:p>
        </w:tc>
        <w:tc>
          <w:tcPr>
            <w:tcW w:w="5954" w:type="dxa"/>
          </w:tcPr>
          <w:p w:rsidR="00000000" w:rsidRDefault="00000000">
            <w:pPr>
              <w:spacing w:before="120" w:after="0" w:line="240" w:lineRule="auto"/>
            </w:pPr>
          </w:p>
        </w:tc>
        <w:tc>
          <w:tcPr>
            <w:tcW w:w="2551" w:type="dxa"/>
          </w:tcPr>
          <w:p w:rsidR="00000000" w:rsidRDefault="00000000">
            <w:pPr>
              <w:spacing w:before="120" w:after="0" w:line="240" w:lineRule="auto"/>
            </w:pPr>
          </w:p>
        </w:tc>
      </w:tr>
      <w:tr w:rsidR="00000000">
        <w:tblPrEx>
          <w:tblCellMar>
            <w:top w:w="0" w:type="dxa"/>
            <w:left w:w="0" w:type="dxa"/>
            <w:bottom w:w="0" w:type="dxa"/>
            <w:right w:w="0" w:type="dxa"/>
          </w:tblCellMar>
        </w:tblPrEx>
        <w:trPr>
          <w:cantSplit/>
          <w:trHeight w:val="1368"/>
        </w:trPr>
        <w:tc>
          <w:tcPr>
            <w:tcW w:w="1134" w:type="dxa"/>
            <w:tcBorders>
              <w:bottom w:val="single" w:sz="12" w:space="0" w:color="auto"/>
            </w:tcBorders>
          </w:tcPr>
          <w:p w:rsidR="00000000" w:rsidRDefault="00000000">
            <w:pPr>
              <w:spacing w:after="0" w:line="24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87709825" r:id="rId8"/>
              </w:object>
            </w:r>
          </w:p>
        </w:tc>
        <w:tc>
          <w:tcPr>
            <w:tcW w:w="5954" w:type="dxa"/>
            <w:tcBorders>
              <w:bottom w:val="single" w:sz="12" w:space="0" w:color="auto"/>
            </w:tcBorders>
          </w:tcPr>
          <w:p w:rsidR="00000000" w:rsidRDefault="00000000">
            <w:pPr>
              <w:spacing w:after="0" w:line="240" w:lineRule="auto"/>
              <w:rPr>
                <w:b/>
                <w:sz w:val="32"/>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551" w:type="dxa"/>
            <w:tcBorders>
              <w:bottom w:val="single" w:sz="12" w:space="0" w:color="auto"/>
            </w:tcBorders>
          </w:tcPr>
          <w:p w:rsidR="00000000" w:rsidRDefault="00000000">
            <w:pPr>
              <w:spacing w:after="0" w:line="240" w:lineRule="auto"/>
            </w:pPr>
            <w:r>
              <w:t>Distr.: General</w:t>
            </w:r>
          </w:p>
          <w:p w:rsidR="00000000" w:rsidRDefault="00000000">
            <w:pPr>
              <w:pStyle w:val="Header"/>
              <w:tabs>
                <w:tab w:val="clear" w:pos="4677"/>
                <w:tab w:val="clear" w:pos="9355"/>
              </w:tabs>
              <w:spacing w:after="120" w:line="240" w:lineRule="auto"/>
            </w:pPr>
            <w:r>
              <w:t>3 February 2004</w:t>
            </w:r>
          </w:p>
          <w:p w:rsidR="00000000" w:rsidRDefault="00000000">
            <w:pPr>
              <w:pStyle w:val="Heading9"/>
              <w:spacing w:after="0"/>
              <w:ind w:left="0" w:right="0" w:firstLine="0"/>
              <w:jc w:val="left"/>
              <w:rPr>
                <w:sz w:val="20"/>
              </w:rPr>
            </w:pPr>
            <w:r>
              <w:rPr>
                <w:sz w:val="20"/>
              </w:rPr>
              <w:t>Russian</w:t>
            </w:r>
          </w:p>
          <w:p w:rsidR="00000000" w:rsidRDefault="00000000">
            <w:pPr>
              <w:pStyle w:val="Heading9"/>
              <w:spacing w:after="0"/>
              <w:ind w:left="0" w:right="0" w:firstLine="0"/>
              <w:jc w:val="left"/>
              <w:rPr>
                <w:sz w:val="20"/>
              </w:rPr>
            </w:pPr>
            <w:r>
              <w:rPr>
                <w:sz w:val="20"/>
              </w:rPr>
              <w:t>Original: English</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tc>
      </w:tr>
    </w:tbl>
    <w:p w:rsidR="00000000" w:rsidRDefault="00000000">
      <w:pPr>
        <w:spacing w:before="120" w:after="1080"/>
        <w:ind w:left="284" w:hanging="284"/>
        <w:rPr>
          <w:caps/>
          <w:sz w:val="24"/>
        </w:rPr>
      </w:pPr>
      <w:r>
        <w:rPr>
          <w:rStyle w:val="CommentReference"/>
          <w:vanish/>
        </w:rPr>
        <w:commentReference w:id="0"/>
      </w:r>
      <w:r>
        <w:rPr>
          <w:sz w:val="24"/>
        </w:rPr>
        <w:t xml:space="preserve">Комитет по ликвидации дискриминации </w:t>
      </w:r>
      <w:r>
        <w:rPr>
          <w:sz w:val="24"/>
        </w:rPr>
        <w:br/>
        <w:t>в отношении женщин</w:t>
      </w:r>
    </w:p>
    <w:p w:rsidR="00000000" w:rsidRDefault="00000000">
      <w:pPr>
        <w:spacing w:after="480" w:line="240" w:lineRule="auto"/>
        <w:jc w:val="center"/>
        <w:rPr>
          <w:b/>
          <w:sz w:val="24"/>
        </w:rPr>
      </w:pPr>
      <w:r>
        <w:rPr>
          <w:b/>
          <w:sz w:val="24"/>
        </w:rPr>
        <w:t>Рассмотрение докладов, представленных государствами-участниками</w:t>
      </w:r>
      <w:r>
        <w:rPr>
          <w:b/>
          <w:sz w:val="24"/>
        </w:rPr>
        <w:br/>
        <w:t>в соответствии со статьей 18 Конвенции о ликвидации</w:t>
      </w:r>
      <w:r>
        <w:rPr>
          <w:b/>
          <w:sz w:val="24"/>
        </w:rPr>
        <w:br/>
        <w:t>всех форм дискриминации в отношении женщин</w:t>
      </w:r>
    </w:p>
    <w:p w:rsidR="00000000" w:rsidRDefault="00000000">
      <w:pPr>
        <w:pStyle w:val="BodyText"/>
        <w:spacing w:after="720"/>
        <w:jc w:val="center"/>
        <w:rPr>
          <w:sz w:val="24"/>
          <w:u w:val="single"/>
        </w:rPr>
      </w:pPr>
      <w:r>
        <w:rPr>
          <w:sz w:val="24"/>
        </w:rPr>
        <w:t>Сводные четвертый и пятый периодические доклады государств-участников</w:t>
      </w:r>
    </w:p>
    <w:p w:rsidR="00000000" w:rsidRDefault="00000000">
      <w:pPr>
        <w:pStyle w:val="BodyText"/>
        <w:jc w:val="center"/>
        <w:rPr>
          <w:b/>
          <w:sz w:val="28"/>
        </w:rPr>
      </w:pPr>
      <w:r>
        <w:rPr>
          <w:b/>
          <w:spacing w:val="-3"/>
          <w:sz w:val="28"/>
        </w:rPr>
        <w:t>Австралия</w:t>
      </w:r>
      <w:r>
        <w:rPr>
          <w:rStyle w:val="FootnoteReference"/>
          <w:b/>
          <w:sz w:val="28"/>
        </w:rPr>
        <w:footnoteReference w:customMarkFollows="1" w:id="1"/>
        <w:t>*</w:t>
      </w:r>
    </w:p>
    <w:p w:rsidR="00000000" w:rsidRDefault="00000000">
      <w:pPr>
        <w:pStyle w:val="BodyText"/>
        <w:jc w:val="center"/>
        <w:rPr>
          <w:b/>
          <w:sz w:val="28"/>
        </w:rPr>
      </w:pPr>
    </w:p>
    <w:p w:rsidR="00000000" w:rsidRDefault="00000000">
      <w:pPr>
        <w:pStyle w:val="BodyText"/>
        <w:jc w:val="center"/>
        <w:rPr>
          <w:sz w:val="24"/>
        </w:rPr>
        <w:sectPr w:rsidR="00000000">
          <w:headerReference w:type="even" r:id="rId10"/>
          <w:footerReference w:type="even" r:id="rId11"/>
          <w:footerReference w:type="default" r:id="rId12"/>
          <w:footerReference w:type="first" r:id="rId13"/>
          <w:pgSz w:w="12242" w:h="15842" w:code="1"/>
          <w:pgMar w:top="907" w:right="1304" w:bottom="1247" w:left="1304" w:header="907" w:footer="794" w:gutter="0"/>
          <w:cols w:space="720"/>
          <w:titlePg/>
        </w:sectPr>
      </w:pPr>
    </w:p>
    <w:p w:rsidR="00000000" w:rsidRDefault="00000000">
      <w:pPr>
        <w:pStyle w:val="BodyText"/>
        <w:spacing w:after="360"/>
        <w:jc w:val="center"/>
        <w:rPr>
          <w:caps/>
        </w:rPr>
      </w:pPr>
      <w:r>
        <w:rPr>
          <w:caps/>
        </w:rPr>
        <w:t>Содержание</w:t>
      </w:r>
    </w:p>
    <w:p w:rsidR="00000000" w:rsidRDefault="00000000">
      <w:pPr>
        <w:pStyle w:val="BodyText"/>
        <w:jc w:val="right"/>
      </w:pPr>
      <w:r>
        <w:t>Стр.</w:t>
      </w:r>
    </w:p>
    <w:p w:rsidR="00000000" w:rsidRDefault="00000000">
      <w:pPr>
        <w:pStyle w:val="Contents"/>
        <w:spacing w:after="240"/>
      </w:pPr>
      <w:r>
        <w:t>ГЛОССАРИЙ</w:t>
      </w:r>
      <w:r>
        <w:tab/>
        <w:t>4</w:t>
      </w:r>
    </w:p>
    <w:p w:rsidR="00000000" w:rsidRDefault="00000000">
      <w:pPr>
        <w:pStyle w:val="Contents"/>
        <w:spacing w:after="240"/>
      </w:pPr>
      <w:r>
        <w:t>ВВЕДЕНИЕ</w:t>
      </w:r>
      <w:r>
        <w:tab/>
        <w:t>6</w:t>
      </w:r>
    </w:p>
    <w:p w:rsidR="00000000" w:rsidRDefault="00000000">
      <w:pPr>
        <w:pStyle w:val="Contents"/>
      </w:pPr>
      <w:r>
        <w:t>Подготовка доклада и его структура</w:t>
      </w:r>
      <w:r>
        <w:tab/>
        <w:t>7</w:t>
      </w:r>
    </w:p>
    <w:p w:rsidR="00000000" w:rsidRDefault="00000000">
      <w:pPr>
        <w:pStyle w:val="Contents"/>
        <w:spacing w:after="240"/>
      </w:pPr>
      <w:r>
        <w:t>Консультации с правительствами штатов и территорий</w:t>
      </w:r>
      <w:r>
        <w:tab/>
        <w:t>7</w:t>
      </w:r>
    </w:p>
    <w:p w:rsidR="00000000" w:rsidRDefault="00000000">
      <w:pPr>
        <w:pStyle w:val="Contents"/>
        <w:spacing w:after="240"/>
      </w:pPr>
      <w:r>
        <w:t>ОСНОВНЫЕ СВЕДЕНИЯ</w:t>
      </w:r>
      <w:r>
        <w:tab/>
        <w:t>7</w:t>
      </w:r>
    </w:p>
    <w:p w:rsidR="00000000" w:rsidRDefault="00000000">
      <w:pPr>
        <w:pStyle w:val="Contents"/>
      </w:pPr>
      <w:r>
        <w:rPr>
          <w:b/>
        </w:rPr>
        <w:t xml:space="preserve">СТАТЬИ 1–3:  Определение дискриминации в отношении женщин, обязательства </w:t>
      </w:r>
      <w:r>
        <w:rPr>
          <w:b/>
        </w:rPr>
        <w:br/>
        <w:t xml:space="preserve">в отношении ликвидации дискриминации, обеспечения развития и улучшения </w:t>
      </w:r>
      <w:r>
        <w:rPr>
          <w:b/>
        </w:rPr>
        <w:br/>
        <w:t>положения женщин</w:t>
      </w:r>
      <w:r>
        <w:tab/>
        <w:t>11</w:t>
      </w:r>
    </w:p>
    <w:p w:rsidR="00000000" w:rsidRDefault="00000000">
      <w:pPr>
        <w:pStyle w:val="Contents"/>
      </w:pPr>
      <w:r>
        <w:t>ИНИЦИАТИВЫ ФЕДЕРАЛЬНОГО ПРАВИТЕЛЬСТВА</w:t>
      </w:r>
      <w:r>
        <w:tab/>
        <w:t>11</w:t>
      </w:r>
    </w:p>
    <w:p w:rsidR="00000000" w:rsidRDefault="00000000">
      <w:pPr>
        <w:pStyle w:val="Contents"/>
        <w:spacing w:after="240"/>
      </w:pPr>
      <w:r>
        <w:t>ИНИЦИАТИВЫ ШТАТОВ И ТЕРРИТОРИЙ</w:t>
      </w:r>
      <w:r>
        <w:tab/>
        <w:t>13</w:t>
      </w:r>
    </w:p>
    <w:p w:rsidR="00000000" w:rsidRDefault="00000000">
      <w:pPr>
        <w:pStyle w:val="Contents"/>
      </w:pPr>
      <w:r>
        <w:rPr>
          <w:b/>
        </w:rPr>
        <w:t xml:space="preserve">СТАТЬЯ 4:  Ускорение установления фактического равенства между мужчинами </w:t>
      </w:r>
      <w:r>
        <w:rPr>
          <w:b/>
        </w:rPr>
        <w:br/>
        <w:t>и женщинами</w:t>
      </w:r>
      <w:r>
        <w:tab/>
        <w:t>17</w:t>
      </w:r>
    </w:p>
    <w:p w:rsidR="00000000" w:rsidRDefault="00000000">
      <w:pPr>
        <w:pStyle w:val="Contents"/>
      </w:pPr>
      <w:r>
        <w:t>ИНИЦИАТИВЫ ФЕДЕРАЛЬНОГО ПРАВИТЕЛЬСТВА</w:t>
      </w:r>
      <w:r>
        <w:tab/>
        <w:t>17</w:t>
      </w:r>
    </w:p>
    <w:p w:rsidR="00000000" w:rsidRDefault="00000000">
      <w:pPr>
        <w:pStyle w:val="Contents"/>
        <w:spacing w:after="240"/>
      </w:pPr>
      <w:r>
        <w:t>ИНИЦИАТИВЫ ШТАТОВ И ТЕРРИТОРИЙ</w:t>
      </w:r>
      <w:r>
        <w:tab/>
        <w:t>17</w:t>
      </w:r>
    </w:p>
    <w:p w:rsidR="00000000" w:rsidRDefault="00000000">
      <w:pPr>
        <w:pStyle w:val="Contents"/>
        <w:rPr>
          <w:caps/>
        </w:rPr>
      </w:pPr>
      <w:r>
        <w:rPr>
          <w:b/>
          <w:caps/>
        </w:rPr>
        <w:t>СТАТЬЯ 5:  С</w:t>
      </w:r>
      <w:r>
        <w:rPr>
          <w:b/>
        </w:rPr>
        <w:t>тереотипные представления о роли мужчин и женщин</w:t>
      </w:r>
      <w:r>
        <w:rPr>
          <w:caps/>
        </w:rPr>
        <w:tab/>
        <w:t>21</w:t>
      </w:r>
    </w:p>
    <w:p w:rsidR="00000000" w:rsidRDefault="00000000">
      <w:pPr>
        <w:pStyle w:val="Contents"/>
      </w:pPr>
      <w:r>
        <w:t>ИНИЦИАТИВЫ ФЕДЕРАЛЬНОГО ПРАВИТЕЛЬСТВА</w:t>
      </w:r>
      <w:r>
        <w:tab/>
        <w:t>21</w:t>
      </w:r>
    </w:p>
    <w:p w:rsidR="00000000" w:rsidRDefault="00000000">
      <w:pPr>
        <w:pStyle w:val="Contents"/>
        <w:spacing w:after="240"/>
      </w:pPr>
      <w:r>
        <w:t>ИНИЦИАТИВЫ ШТАТОВ И ТЕРРИТОРИЙ</w:t>
      </w:r>
      <w:r>
        <w:tab/>
        <w:t>23</w:t>
      </w:r>
    </w:p>
    <w:p w:rsidR="00000000" w:rsidRDefault="00000000">
      <w:pPr>
        <w:pStyle w:val="Contents"/>
        <w:rPr>
          <w:caps/>
        </w:rPr>
      </w:pPr>
      <w:r>
        <w:rPr>
          <w:b/>
        </w:rPr>
        <w:t>СТАТЬЯ 6:  Пресечение эксплуатации женщин</w:t>
      </w:r>
      <w:r>
        <w:tab/>
        <w:t>25</w:t>
      </w:r>
    </w:p>
    <w:p w:rsidR="00000000" w:rsidRDefault="00000000">
      <w:pPr>
        <w:pStyle w:val="Contents"/>
      </w:pPr>
      <w:r>
        <w:t>ИНИЦИАТИВЫ ФЕДЕРАЛЬНОГО ПРАВИТЕЛЬСТВА</w:t>
      </w:r>
      <w:r>
        <w:tab/>
        <w:t>25</w:t>
      </w:r>
    </w:p>
    <w:p w:rsidR="00000000" w:rsidRDefault="00000000">
      <w:pPr>
        <w:pStyle w:val="Contents"/>
        <w:spacing w:after="240"/>
      </w:pPr>
      <w:r>
        <w:t>ИНИЦИАТИВЫ ШТАТОВ И ТЕРРИТОРИЙ</w:t>
      </w:r>
      <w:r>
        <w:tab/>
        <w:t>29</w:t>
      </w:r>
    </w:p>
    <w:p w:rsidR="00000000" w:rsidRDefault="00000000">
      <w:pPr>
        <w:pStyle w:val="Contents"/>
        <w:rPr>
          <w:caps/>
        </w:rPr>
      </w:pPr>
      <w:r>
        <w:rPr>
          <w:b/>
          <w:caps/>
        </w:rPr>
        <w:t>Статья 7:  У</w:t>
      </w:r>
      <w:r>
        <w:rPr>
          <w:b/>
        </w:rPr>
        <w:t>частие в политической и общественной жизни</w:t>
      </w:r>
      <w:r>
        <w:rPr>
          <w:caps/>
        </w:rPr>
        <w:tab/>
        <w:t>32</w:t>
      </w:r>
    </w:p>
    <w:p w:rsidR="00000000" w:rsidRDefault="00000000">
      <w:pPr>
        <w:pStyle w:val="Contents"/>
      </w:pPr>
      <w:r>
        <w:t>ИНИЦИАТИВЫ ФЕДЕРАЛЬНОГО ПРАВИТЕЛЬСТВА</w:t>
      </w:r>
      <w:r>
        <w:tab/>
        <w:t>32</w:t>
      </w:r>
    </w:p>
    <w:p w:rsidR="00000000" w:rsidRDefault="00000000">
      <w:pPr>
        <w:pStyle w:val="Contents"/>
        <w:spacing w:after="240"/>
      </w:pPr>
      <w:r>
        <w:t>ИНИЦИАТИВЫ ШТАТОВ И ТЕРРИТОРИЙ</w:t>
      </w:r>
      <w:r>
        <w:tab/>
        <w:t>40</w:t>
      </w:r>
    </w:p>
    <w:p w:rsidR="00000000" w:rsidRDefault="00000000">
      <w:pPr>
        <w:pStyle w:val="Contents"/>
      </w:pPr>
      <w:r>
        <w:rPr>
          <w:b/>
        </w:rPr>
        <w:t>СТАТЬЯ 8:  Представленность женщин на международном уровне и их участие в работе международных организаций</w:t>
      </w:r>
      <w:r>
        <w:tab/>
        <w:t>44</w:t>
      </w:r>
    </w:p>
    <w:p w:rsidR="00000000" w:rsidRDefault="00000000">
      <w:pPr>
        <w:pStyle w:val="Contents"/>
      </w:pPr>
      <w:r>
        <w:t>ИНИЦИАТИВЫ ФЕДЕРАЛЬНОГО ПРАВИТЕЛЬСТВА</w:t>
      </w:r>
      <w:r>
        <w:tab/>
        <w:t>44</w:t>
      </w:r>
    </w:p>
    <w:p w:rsidR="00000000" w:rsidRDefault="00000000">
      <w:pPr>
        <w:pStyle w:val="Contents"/>
        <w:spacing w:after="240"/>
      </w:pPr>
      <w:r>
        <w:t>ИНИЦИАТИВЫ ШТАТОВ И ТЕРРИТОРИЙ</w:t>
      </w:r>
      <w:r>
        <w:tab/>
        <w:t>47</w:t>
      </w:r>
    </w:p>
    <w:p w:rsidR="00000000" w:rsidRDefault="00000000">
      <w:pPr>
        <w:pStyle w:val="Contents"/>
        <w:spacing w:after="360"/>
        <w:jc w:val="center"/>
      </w:pPr>
      <w:r>
        <w:rPr>
          <w:b/>
        </w:rPr>
        <w:br w:type="page"/>
      </w:r>
      <w:r>
        <w:t>СОДЕРЖАНИЕ</w:t>
      </w:r>
      <w:r>
        <w:rPr>
          <w:b/>
        </w:rPr>
        <w:t xml:space="preserve"> </w:t>
      </w:r>
      <w:r>
        <w:t>(</w:t>
      </w:r>
      <w:r>
        <w:rPr>
          <w:i/>
        </w:rPr>
        <w:t>продолжение</w:t>
      </w:r>
      <w:r>
        <w:t>)</w:t>
      </w:r>
    </w:p>
    <w:p w:rsidR="00000000" w:rsidRDefault="00000000">
      <w:pPr>
        <w:pStyle w:val="Contents"/>
        <w:jc w:val="right"/>
        <w:rPr>
          <w:b/>
        </w:rPr>
      </w:pPr>
      <w:r>
        <w:t>Стр.</w:t>
      </w:r>
    </w:p>
    <w:p w:rsidR="00000000" w:rsidRDefault="00000000">
      <w:pPr>
        <w:pStyle w:val="Contents"/>
      </w:pPr>
      <w:r>
        <w:rPr>
          <w:b/>
        </w:rPr>
        <w:t>СТАТЬЯ 9:  Гражданство</w:t>
      </w:r>
      <w:r>
        <w:tab/>
        <w:t>49</w:t>
      </w:r>
    </w:p>
    <w:p w:rsidR="00000000" w:rsidRDefault="00000000">
      <w:pPr>
        <w:pStyle w:val="Contents"/>
      </w:pPr>
      <w:r>
        <w:t>ИНИЦИАТИВЫ ФЕДЕРАЛЬНОГО ПРАВИТЕЛЬСТВА</w:t>
      </w:r>
      <w:r>
        <w:tab/>
        <w:t>49</w:t>
      </w:r>
    </w:p>
    <w:p w:rsidR="00000000" w:rsidRDefault="00000000">
      <w:pPr>
        <w:pStyle w:val="Contents"/>
        <w:spacing w:after="240"/>
      </w:pPr>
      <w:r>
        <w:t>ИНИЦИАТИВЫ ШТАТОВ И ТЕРРИТОРИЙ</w:t>
      </w:r>
      <w:r>
        <w:tab/>
        <w:t>51</w:t>
      </w:r>
    </w:p>
    <w:p w:rsidR="00000000" w:rsidRDefault="00000000">
      <w:pPr>
        <w:pStyle w:val="Contents"/>
        <w:rPr>
          <w:caps/>
        </w:rPr>
      </w:pPr>
      <w:r>
        <w:rPr>
          <w:b/>
        </w:rPr>
        <w:t>СТАТЬЯ 10:  Образование</w:t>
      </w:r>
      <w:r>
        <w:tab/>
        <w:t>53</w:t>
      </w:r>
    </w:p>
    <w:p w:rsidR="00000000" w:rsidRDefault="00000000">
      <w:pPr>
        <w:pStyle w:val="Contents"/>
      </w:pPr>
      <w:r>
        <w:t>ИНИЦИАТИВЫ ФЕДЕРАЛЬНОГО ПРАВИТЕЛЬСТВА</w:t>
      </w:r>
      <w:r>
        <w:tab/>
        <w:t>54</w:t>
      </w:r>
    </w:p>
    <w:p w:rsidR="00000000" w:rsidRDefault="00000000">
      <w:pPr>
        <w:pStyle w:val="Contents"/>
        <w:spacing w:after="240"/>
      </w:pPr>
      <w:r>
        <w:t>ИНИЦИАТИВЫ ШТАТОВ И ТЕРРИТОРИЙ</w:t>
      </w:r>
      <w:r>
        <w:tab/>
        <w:t>56</w:t>
      </w:r>
    </w:p>
    <w:p w:rsidR="00000000" w:rsidRDefault="00000000">
      <w:pPr>
        <w:pStyle w:val="Contents"/>
      </w:pPr>
      <w:r>
        <w:rPr>
          <w:b/>
        </w:rPr>
        <w:t>СТАТЬЯ 11:  Занятость</w:t>
      </w:r>
      <w:r>
        <w:tab/>
        <w:t>60</w:t>
      </w:r>
    </w:p>
    <w:p w:rsidR="00000000" w:rsidRDefault="00000000">
      <w:pPr>
        <w:pStyle w:val="Contents"/>
      </w:pPr>
      <w:r>
        <w:t>ИНИЦИАТИВЫ ФЕДЕРАЛЬНОГО ПРАВИТЕЛЬСТВА</w:t>
      </w:r>
      <w:r>
        <w:tab/>
        <w:t>60</w:t>
      </w:r>
    </w:p>
    <w:p w:rsidR="00000000" w:rsidRDefault="00000000">
      <w:pPr>
        <w:pStyle w:val="Contents"/>
        <w:spacing w:after="240"/>
      </w:pPr>
      <w:r>
        <w:t>ИНИЦИАТИВЫ ШТАТОВ И ТЕРРИТОРИЙ</w:t>
      </w:r>
      <w:r>
        <w:tab/>
        <w:t>68</w:t>
      </w:r>
    </w:p>
    <w:p w:rsidR="00000000" w:rsidRDefault="00000000">
      <w:pPr>
        <w:pStyle w:val="Contents"/>
      </w:pPr>
      <w:r>
        <w:rPr>
          <w:b/>
        </w:rPr>
        <w:t>СТАТЬЯ 12:  Равный доступ к услугам в области здравоохранения</w:t>
      </w:r>
      <w:r>
        <w:tab/>
        <w:t>77</w:t>
      </w:r>
    </w:p>
    <w:p w:rsidR="00000000" w:rsidRDefault="00000000">
      <w:pPr>
        <w:pStyle w:val="Contents"/>
      </w:pPr>
      <w:r>
        <w:t>ИНИЦИАТИВЫ ФЕДЕРАЛЬНОГО ПРАВИТЕЛЬСТВА</w:t>
      </w:r>
      <w:r>
        <w:tab/>
        <w:t>77</w:t>
      </w:r>
    </w:p>
    <w:p w:rsidR="00000000" w:rsidRDefault="00000000">
      <w:pPr>
        <w:pStyle w:val="Contents"/>
        <w:spacing w:after="240"/>
      </w:pPr>
      <w:r>
        <w:t>ИНИЦИАТИВЫ ШТАТОВ И ТЕРРИТОРИЙ</w:t>
      </w:r>
      <w:r>
        <w:tab/>
        <w:t>89</w:t>
      </w:r>
    </w:p>
    <w:p w:rsidR="00000000" w:rsidRDefault="00000000">
      <w:pPr>
        <w:pStyle w:val="Contents"/>
      </w:pPr>
      <w:r>
        <w:rPr>
          <w:b/>
        </w:rPr>
        <w:t>СТАТЬЯ 13:  Экономические и социальные пособия</w:t>
      </w:r>
      <w:r>
        <w:tab/>
        <w:t>96</w:t>
      </w:r>
    </w:p>
    <w:p w:rsidR="00000000" w:rsidRDefault="00000000">
      <w:pPr>
        <w:pStyle w:val="Contents"/>
      </w:pPr>
      <w:bookmarkStart w:id="1" w:name="_Toc70142911"/>
      <w:bookmarkStart w:id="2" w:name="_Toc70229041"/>
      <w:bookmarkStart w:id="3" w:name="_Toc70235307"/>
      <w:r>
        <w:t>ИНИЦИАТИВЫ ФЕДЕРАЛЬНОГО ПРАВИТЕЛЬСТВА</w:t>
      </w:r>
      <w:r>
        <w:tab/>
        <w:t>96</w:t>
      </w:r>
    </w:p>
    <w:p w:rsidR="00000000" w:rsidRDefault="00000000">
      <w:pPr>
        <w:pStyle w:val="Contents"/>
        <w:spacing w:after="240"/>
      </w:pPr>
      <w:r>
        <w:t>ИНИЦИАТИВЫ ШТАТОВ И ТЕРРИТОРИЙ</w:t>
      </w:r>
      <w:r>
        <w:tab/>
        <w:t>104</w:t>
      </w:r>
    </w:p>
    <w:p w:rsidR="00000000" w:rsidRDefault="00000000">
      <w:pPr>
        <w:pStyle w:val="Contents"/>
      </w:pPr>
      <w:r>
        <w:rPr>
          <w:b/>
        </w:rPr>
        <w:t>СТАТЬЯ 14:  Женщины, проживающие в сельских районах</w:t>
      </w:r>
      <w:r>
        <w:tab/>
        <w:t>110</w:t>
      </w:r>
    </w:p>
    <w:p w:rsidR="00000000" w:rsidRDefault="00000000">
      <w:pPr>
        <w:pStyle w:val="Contents"/>
      </w:pPr>
      <w:r>
        <w:t>ИНИЦИАТИВЫ ФЕДЕРАЛЬНОГО ПРАВИТЕЛЬСТВА</w:t>
      </w:r>
      <w:r>
        <w:tab/>
        <w:t>110</w:t>
      </w:r>
    </w:p>
    <w:p w:rsidR="00000000" w:rsidRDefault="00000000">
      <w:pPr>
        <w:pStyle w:val="Contents"/>
        <w:spacing w:after="240"/>
      </w:pPr>
      <w:r>
        <w:t>ИНИЦИАТИВЫ ШТАТОВ И ТЕРРИТОРИЙ</w:t>
      </w:r>
      <w:r>
        <w:tab/>
        <w:t>117</w:t>
      </w:r>
    </w:p>
    <w:p w:rsidR="00000000" w:rsidRDefault="00000000">
      <w:pPr>
        <w:pStyle w:val="Contents"/>
      </w:pPr>
      <w:r>
        <w:rPr>
          <w:b/>
        </w:rPr>
        <w:t>СТАТЬЯ 15:  Равенство перед законом и в гражданских делах</w:t>
      </w:r>
      <w:r>
        <w:tab/>
        <w:t>123</w:t>
      </w:r>
    </w:p>
    <w:p w:rsidR="00000000" w:rsidRDefault="00000000">
      <w:pPr>
        <w:pStyle w:val="Contents"/>
      </w:pPr>
      <w:r>
        <w:t>ИНИЦИАТИВЫ ФЕДЕРАЛЬНОГО ПРАВИТЕЛЬСТВА</w:t>
      </w:r>
      <w:r>
        <w:tab/>
        <w:t>123</w:t>
      </w:r>
    </w:p>
    <w:p w:rsidR="00000000" w:rsidRDefault="00000000">
      <w:pPr>
        <w:pStyle w:val="Contents"/>
        <w:spacing w:after="240"/>
      </w:pPr>
      <w:r>
        <w:t>ИНИЦИАТИВЫ ШТАТОВ И ТЕРРИТОРИЙ</w:t>
      </w:r>
      <w:r>
        <w:tab/>
        <w:t>127</w:t>
      </w:r>
    </w:p>
    <w:p w:rsidR="00000000" w:rsidRDefault="00000000">
      <w:pPr>
        <w:pStyle w:val="Contents"/>
      </w:pPr>
      <w:r>
        <w:rPr>
          <w:b/>
        </w:rPr>
        <w:t>СТАТЬЯ 16:  Права женщин в браке и семейной жизни</w:t>
      </w:r>
      <w:r>
        <w:tab/>
        <w:t>131</w:t>
      </w:r>
    </w:p>
    <w:p w:rsidR="00000000" w:rsidRDefault="00000000">
      <w:pPr>
        <w:pStyle w:val="Contents"/>
      </w:pPr>
      <w:r>
        <w:t>ИНИЦИАТИВЫ ФЕДЕРАЛЬНОГО ПРАВИТЕЛЬСТВА</w:t>
      </w:r>
      <w:r>
        <w:tab/>
        <w:t>131</w:t>
      </w:r>
    </w:p>
    <w:p w:rsidR="00000000" w:rsidRDefault="00000000">
      <w:pPr>
        <w:pStyle w:val="Contents"/>
      </w:pPr>
      <w:r>
        <w:t>ИНИЦИАТИВЫ ШТАТОВ И ТЕРРИТОРИЙ</w:t>
      </w:r>
      <w:r>
        <w:tab/>
        <w:t>136</w:t>
      </w:r>
    </w:p>
    <w:p w:rsidR="00000000" w:rsidRDefault="00000000">
      <w:pPr>
        <w:pStyle w:val="Contents"/>
      </w:pPr>
      <w:r>
        <w:rPr>
          <w:b/>
        </w:rPr>
        <w:t>О Конвенции о ликвидации всех форм дискриминации в отношении женщин (КЛДЖ)</w:t>
      </w:r>
      <w:r>
        <w:tab/>
        <w:t>143</w:t>
      </w:r>
    </w:p>
    <w:p w:rsidR="00000000" w:rsidRDefault="00000000">
      <w:pPr>
        <w:pStyle w:val="Contents"/>
      </w:pPr>
      <w:r>
        <w:rPr>
          <w:b/>
        </w:rPr>
        <w:t>Статистическое приложение к докладу Австралии об осуществлении КЛДЖ за 2003 год</w:t>
      </w:r>
      <w:r>
        <w:tab/>
        <w:t>144</w:t>
      </w:r>
    </w:p>
    <w:p w:rsidR="00000000" w:rsidRDefault="00000000">
      <w:pPr>
        <w:pStyle w:val="Contents"/>
        <w:spacing w:after="0" w:line="120" w:lineRule="exact"/>
        <w:rPr>
          <w:sz w:val="10"/>
        </w:rPr>
      </w:pPr>
      <w:r>
        <w:br w:type="page"/>
      </w:r>
    </w:p>
    <w:tbl>
      <w:tblPr>
        <w:tblW w:w="0" w:type="auto"/>
        <w:tblInd w:w="-6" w:type="dxa"/>
        <w:tblLayout w:type="fixed"/>
        <w:tblCellMar>
          <w:left w:w="0" w:type="dxa"/>
          <w:right w:w="0" w:type="dxa"/>
        </w:tblCellMar>
        <w:tblLook w:val="0000"/>
      </w:tblPr>
      <w:tblGrid>
        <w:gridCol w:w="1418"/>
        <w:gridCol w:w="7379"/>
      </w:tblGrid>
      <w:tr w:rsidR="00000000">
        <w:tblPrEx>
          <w:tblCellMar>
            <w:top w:w="0" w:type="dxa"/>
            <w:left w:w="0" w:type="dxa"/>
            <w:bottom w:w="0" w:type="dxa"/>
            <w:right w:w="0" w:type="dxa"/>
          </w:tblCellMar>
        </w:tblPrEx>
        <w:tc>
          <w:tcPr>
            <w:tcW w:w="1418" w:type="dxa"/>
          </w:tcPr>
          <w:p w:rsidR="00000000" w:rsidRDefault="00000000">
            <w:pPr>
              <w:pStyle w:val="BodyText"/>
              <w:spacing w:after="120"/>
            </w:pPr>
            <w:r>
              <w:br w:type="page"/>
            </w:r>
            <w:bookmarkEnd w:id="1"/>
            <w:bookmarkEnd w:id="2"/>
            <w:bookmarkEnd w:id="3"/>
            <w:r>
              <w:t>Эй-би-си</w:t>
            </w:r>
          </w:p>
        </w:tc>
        <w:tc>
          <w:tcPr>
            <w:tcW w:w="7379" w:type="dxa"/>
          </w:tcPr>
          <w:p w:rsidR="00000000" w:rsidRDefault="00000000">
            <w:pPr>
              <w:pStyle w:val="BodyText"/>
              <w:tabs>
                <w:tab w:val="clear" w:pos="680"/>
                <w:tab w:val="clear" w:pos="1021"/>
              </w:tabs>
              <w:spacing w:after="120"/>
            </w:pPr>
            <w:r>
              <w:t>Австралийская радиовещательная комиссия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АСТ</w:t>
            </w:r>
          </w:p>
        </w:tc>
        <w:tc>
          <w:tcPr>
            <w:tcW w:w="7379" w:type="dxa"/>
          </w:tcPr>
          <w:p w:rsidR="00000000" w:rsidRDefault="00000000">
            <w:pPr>
              <w:pStyle w:val="BodyText"/>
              <w:tabs>
                <w:tab w:val="clear" w:pos="680"/>
                <w:tab w:val="clear" w:pos="1021"/>
              </w:tabs>
              <w:spacing w:after="120"/>
            </w:pPr>
            <w:r>
              <w:t>Австралийская столичная территория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АФП</w:t>
            </w:r>
          </w:p>
        </w:tc>
        <w:tc>
          <w:tcPr>
            <w:tcW w:w="7379" w:type="dxa"/>
          </w:tcPr>
          <w:p w:rsidR="00000000" w:rsidRDefault="00000000">
            <w:pPr>
              <w:pStyle w:val="BodyText"/>
              <w:tabs>
                <w:tab w:val="clear" w:pos="680"/>
                <w:tab w:val="clear" w:pos="1021"/>
              </w:tabs>
              <w:spacing w:after="120"/>
            </w:pPr>
            <w:r>
              <w:t>Федеральная полиция Австралии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АИК</w:t>
            </w:r>
          </w:p>
        </w:tc>
        <w:tc>
          <w:tcPr>
            <w:tcW w:w="7379" w:type="dxa"/>
          </w:tcPr>
          <w:p w:rsidR="00000000" w:rsidRDefault="00000000">
            <w:pPr>
              <w:pStyle w:val="BodyText"/>
              <w:tabs>
                <w:tab w:val="clear" w:pos="680"/>
                <w:tab w:val="clear" w:pos="1021"/>
              </w:tabs>
              <w:spacing w:after="120"/>
            </w:pPr>
            <w:r>
              <w:t>Австралийский институт криминологии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АИСА</w:t>
            </w:r>
          </w:p>
        </w:tc>
        <w:tc>
          <w:tcPr>
            <w:tcW w:w="7379" w:type="dxa"/>
          </w:tcPr>
          <w:p w:rsidR="00000000" w:rsidRDefault="00000000">
            <w:pPr>
              <w:pStyle w:val="BodyText"/>
              <w:tabs>
                <w:tab w:val="clear" w:pos="680"/>
                <w:tab w:val="clear" w:pos="1021"/>
              </w:tabs>
              <w:spacing w:after="120"/>
            </w:pPr>
            <w:r>
              <w:t>Австралийский институт судебной администрации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АИРК</w:t>
            </w:r>
          </w:p>
        </w:tc>
        <w:tc>
          <w:tcPr>
            <w:tcW w:w="7379" w:type="dxa"/>
          </w:tcPr>
          <w:p w:rsidR="00000000" w:rsidRDefault="00000000">
            <w:pPr>
              <w:pStyle w:val="BodyText"/>
              <w:tabs>
                <w:tab w:val="clear" w:pos="680"/>
                <w:tab w:val="clear" w:pos="1021"/>
              </w:tabs>
              <w:spacing w:after="120"/>
            </w:pPr>
            <w:r>
              <w:t>Австралийская комиссия по производственным отношениям</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АНР</w:t>
            </w:r>
          </w:p>
        </w:tc>
        <w:tc>
          <w:tcPr>
            <w:tcW w:w="7379" w:type="dxa"/>
          </w:tcPr>
          <w:p w:rsidR="00000000" w:rsidRDefault="00000000">
            <w:pPr>
              <w:pStyle w:val="BodyText"/>
              <w:tabs>
                <w:tab w:val="clear" w:pos="680"/>
                <w:tab w:val="clear" w:pos="1021"/>
              </w:tabs>
              <w:spacing w:after="120"/>
            </w:pPr>
            <w:r>
              <w:t>Ежегодный национальный доклад о системе школьного образования в Австралии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АТЭС</w:t>
            </w:r>
          </w:p>
        </w:tc>
        <w:tc>
          <w:tcPr>
            <w:tcW w:w="7379" w:type="dxa"/>
          </w:tcPr>
          <w:p w:rsidR="00000000" w:rsidRDefault="00000000">
            <w:pPr>
              <w:pStyle w:val="BodyText"/>
              <w:tabs>
                <w:tab w:val="clear" w:pos="680"/>
                <w:tab w:val="clear" w:pos="1021"/>
              </w:tabs>
              <w:spacing w:after="120"/>
            </w:pPr>
            <w:r>
              <w:t>Организация азиатско-тихоокеанского экономического сотрудничества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ГСА</w:t>
            </w:r>
          </w:p>
        </w:tc>
        <w:tc>
          <w:tcPr>
            <w:tcW w:w="7379" w:type="dxa"/>
          </w:tcPr>
          <w:p w:rsidR="00000000" w:rsidRDefault="00000000">
            <w:pPr>
              <w:pStyle w:val="BodyText"/>
              <w:tabs>
                <w:tab w:val="clear" w:pos="680"/>
                <w:tab w:val="clear" w:pos="1021"/>
              </w:tabs>
              <w:spacing w:after="120"/>
            </w:pPr>
            <w:r>
              <w:t>государственная служба Австралии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АКС</w:t>
            </w:r>
          </w:p>
        </w:tc>
        <w:tc>
          <w:tcPr>
            <w:tcW w:w="7379" w:type="dxa"/>
          </w:tcPr>
          <w:p w:rsidR="00000000" w:rsidRDefault="00000000">
            <w:pPr>
              <w:pStyle w:val="BodyText"/>
              <w:tabs>
                <w:tab w:val="clear" w:pos="680"/>
                <w:tab w:val="clear" w:pos="1021"/>
              </w:tabs>
              <w:spacing w:after="120"/>
            </w:pPr>
            <w:r>
              <w:t>Австралийская комиссия по спорту</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АТСИК</w:t>
            </w:r>
          </w:p>
        </w:tc>
        <w:tc>
          <w:tcPr>
            <w:tcW w:w="7379" w:type="dxa"/>
          </w:tcPr>
          <w:p w:rsidR="00000000" w:rsidRDefault="00000000">
            <w:pPr>
              <w:pStyle w:val="BodyText"/>
              <w:tabs>
                <w:tab w:val="clear" w:pos="680"/>
                <w:tab w:val="clear" w:pos="1021"/>
              </w:tabs>
              <w:spacing w:after="120"/>
            </w:pPr>
            <w:r>
              <w:t>Комиссия по делам коренного населения и жителей островов Торресова пролива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АТСИЛС</w:t>
            </w:r>
          </w:p>
        </w:tc>
        <w:tc>
          <w:tcPr>
            <w:tcW w:w="7379" w:type="dxa"/>
          </w:tcPr>
          <w:p w:rsidR="00000000" w:rsidRDefault="00000000">
            <w:pPr>
              <w:pStyle w:val="BodyText"/>
              <w:tabs>
                <w:tab w:val="clear" w:pos="680"/>
                <w:tab w:val="clear" w:pos="1021"/>
              </w:tabs>
              <w:spacing w:after="120"/>
            </w:pPr>
            <w:r>
              <w:t>правовые службы по делам коренного населения и жителей островов Торресова пролива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АВАГ</w:t>
            </w:r>
          </w:p>
        </w:tc>
        <w:tc>
          <w:tcPr>
            <w:tcW w:w="7379" w:type="dxa"/>
          </w:tcPr>
          <w:p w:rsidR="00000000" w:rsidRDefault="00000000">
            <w:pPr>
              <w:pStyle w:val="BodyText"/>
              <w:tabs>
                <w:tab w:val="clear" w:pos="680"/>
                <w:tab w:val="clear" w:pos="1021"/>
              </w:tabs>
              <w:spacing w:after="120"/>
            </w:pPr>
            <w:r>
              <w:t>Группа по защите прав женщин-аборигенов</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АВСАК</w:t>
            </w:r>
          </w:p>
        </w:tc>
        <w:tc>
          <w:tcPr>
            <w:tcW w:w="7379" w:type="dxa"/>
          </w:tcPr>
          <w:p w:rsidR="00000000" w:rsidRDefault="00000000">
            <w:pPr>
              <w:pStyle w:val="BodyText"/>
              <w:tabs>
                <w:tab w:val="clear" w:pos="680"/>
                <w:tab w:val="clear" w:pos="1021"/>
              </w:tabs>
              <w:spacing w:after="120"/>
            </w:pPr>
            <w:r>
              <w:t>Консультативный совет штата по делам женщин-аборигенов Инк. (СА)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АвсАИД</w:t>
            </w:r>
          </w:p>
        </w:tc>
        <w:tc>
          <w:tcPr>
            <w:tcW w:w="7379" w:type="dxa"/>
          </w:tcPr>
          <w:p w:rsidR="00000000" w:rsidRDefault="00000000">
            <w:pPr>
              <w:pStyle w:val="BodyText"/>
              <w:tabs>
                <w:tab w:val="clear" w:pos="680"/>
                <w:tab w:val="clear" w:pos="1021"/>
              </w:tabs>
              <w:spacing w:after="120"/>
            </w:pPr>
            <w:r>
              <w:t>Австралийское агентство по вопросам международного развития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БСНА</w:t>
            </w:r>
          </w:p>
        </w:tc>
        <w:tc>
          <w:tcPr>
            <w:tcW w:w="7379" w:type="dxa"/>
          </w:tcPr>
          <w:p w:rsidR="00000000" w:rsidRDefault="00000000">
            <w:pPr>
              <w:pStyle w:val="BodyText"/>
              <w:tabs>
                <w:tab w:val="clear" w:pos="680"/>
                <w:tab w:val="clear" w:pos="1021"/>
              </w:tabs>
              <w:spacing w:after="120"/>
            </w:pPr>
            <w:r>
              <w:t>Австралийская сеть по проблеме заболевания раком молочной железы</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КанБАС</w:t>
            </w:r>
          </w:p>
        </w:tc>
        <w:tc>
          <w:tcPr>
            <w:tcW w:w="7379" w:type="dxa"/>
          </w:tcPr>
          <w:p w:rsidR="00000000" w:rsidRDefault="00000000">
            <w:pPr>
              <w:pStyle w:val="BodyText"/>
              <w:tabs>
                <w:tab w:val="clear" w:pos="680"/>
                <w:tab w:val="clear" w:pos="1021"/>
              </w:tabs>
              <w:spacing w:after="120"/>
            </w:pPr>
            <w:r>
              <w:t xml:space="preserve">Консультационная служба Канберры по вопросам предпринимательства </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КЛДЖ</w:t>
            </w:r>
          </w:p>
        </w:tc>
        <w:tc>
          <w:tcPr>
            <w:tcW w:w="7379" w:type="dxa"/>
          </w:tcPr>
          <w:p w:rsidR="00000000" w:rsidRDefault="00000000">
            <w:pPr>
              <w:pStyle w:val="BodyText"/>
              <w:tabs>
                <w:tab w:val="clear" w:pos="680"/>
                <w:tab w:val="clear" w:pos="1021"/>
              </w:tabs>
              <w:spacing w:after="120"/>
            </w:pPr>
            <w:r>
              <w:t>Конвенция о ликвидации дискриминации в отношении женщин</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СЕРД</w:t>
            </w:r>
          </w:p>
        </w:tc>
        <w:tc>
          <w:tcPr>
            <w:tcW w:w="7379" w:type="dxa"/>
          </w:tcPr>
          <w:p w:rsidR="00000000" w:rsidRDefault="00000000">
            <w:pPr>
              <w:pStyle w:val="BodyText"/>
              <w:tabs>
                <w:tab w:val="clear" w:pos="680"/>
                <w:tab w:val="clear" w:pos="1021"/>
              </w:tabs>
              <w:spacing w:after="120"/>
            </w:pPr>
            <w:r>
              <w:t>Конвенция о ликвидации всех форм расовой дискриминации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КПР</w:t>
            </w:r>
          </w:p>
        </w:tc>
        <w:tc>
          <w:tcPr>
            <w:tcW w:w="7379" w:type="dxa"/>
          </w:tcPr>
          <w:p w:rsidR="00000000" w:rsidRDefault="00000000">
            <w:pPr>
              <w:pStyle w:val="BodyText"/>
              <w:tabs>
                <w:tab w:val="clear" w:pos="680"/>
                <w:tab w:val="clear" w:pos="1021"/>
              </w:tabs>
              <w:spacing w:after="120"/>
            </w:pPr>
            <w:r>
              <w:t>Конвенция о правах ребенка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СЖО</w:t>
            </w:r>
          </w:p>
        </w:tc>
        <w:tc>
          <w:tcPr>
            <w:tcW w:w="7379" w:type="dxa"/>
          </w:tcPr>
          <w:p w:rsidR="00000000" w:rsidRDefault="00000000">
            <w:pPr>
              <w:pStyle w:val="BodyText"/>
              <w:tabs>
                <w:tab w:val="clear" w:pos="680"/>
                <w:tab w:val="clear" w:pos="1021"/>
              </w:tabs>
              <w:spacing w:after="120"/>
            </w:pPr>
            <w:r>
              <w:t>Соглашение между федеральным правительством и правительствами штатов по вопросам жилищного обеспечения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КПЖ</w:t>
            </w:r>
          </w:p>
        </w:tc>
        <w:tc>
          <w:tcPr>
            <w:tcW w:w="7379" w:type="dxa"/>
          </w:tcPr>
          <w:p w:rsidR="00000000" w:rsidRDefault="00000000">
            <w:pPr>
              <w:pStyle w:val="BodyText"/>
              <w:tabs>
                <w:tab w:val="clear" w:pos="680"/>
                <w:tab w:val="clear" w:pos="1021"/>
              </w:tabs>
              <w:spacing w:after="120"/>
            </w:pPr>
            <w:r>
              <w:t>Комиссия по положению женщин</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КСР</w:t>
            </w:r>
          </w:p>
        </w:tc>
        <w:tc>
          <w:tcPr>
            <w:tcW w:w="7379" w:type="dxa"/>
          </w:tcPr>
          <w:p w:rsidR="00000000" w:rsidRDefault="00000000">
            <w:pPr>
              <w:pStyle w:val="BodyText"/>
              <w:tabs>
                <w:tab w:val="clear" w:pos="680"/>
                <w:tab w:val="clear" w:pos="1021"/>
              </w:tabs>
              <w:spacing w:after="120"/>
            </w:pPr>
            <w:r>
              <w:t>Комитет по содействию развитию</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ДПО</w:t>
            </w:r>
          </w:p>
        </w:tc>
        <w:tc>
          <w:tcPr>
            <w:tcW w:w="7379" w:type="dxa"/>
          </w:tcPr>
          <w:p w:rsidR="00000000" w:rsidRDefault="00000000">
            <w:pPr>
              <w:pStyle w:val="BodyText"/>
              <w:tabs>
                <w:tab w:val="clear" w:pos="680"/>
                <w:tab w:val="clear" w:pos="1021"/>
              </w:tabs>
              <w:spacing w:after="120"/>
            </w:pPr>
            <w:r>
              <w:t>Департамент по промышленным отношениям</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ДНК</w:t>
            </w:r>
          </w:p>
        </w:tc>
        <w:tc>
          <w:tcPr>
            <w:tcW w:w="7379" w:type="dxa"/>
          </w:tcPr>
          <w:p w:rsidR="00000000" w:rsidRDefault="00000000">
            <w:pPr>
              <w:pStyle w:val="BodyText"/>
              <w:tabs>
                <w:tab w:val="clear" w:pos="680"/>
                <w:tab w:val="clear" w:pos="1021"/>
              </w:tabs>
              <w:spacing w:after="120"/>
            </w:pPr>
            <w:r>
              <w:t>Дезоксирибонуклеиновая кислота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АСО</w:t>
            </w:r>
          </w:p>
        </w:tc>
        <w:tc>
          <w:tcPr>
            <w:tcW w:w="7379" w:type="dxa"/>
          </w:tcPr>
          <w:p w:rsidR="00000000" w:rsidRDefault="00000000">
            <w:pPr>
              <w:pStyle w:val="BodyText"/>
              <w:tabs>
                <w:tab w:val="clear" w:pos="680"/>
                <w:tab w:val="clear" w:pos="1021"/>
              </w:tabs>
              <w:spacing w:after="120"/>
            </w:pPr>
            <w:r>
              <w:t>Австралийская сеть по вопросам образования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АПС</w:t>
            </w:r>
          </w:p>
        </w:tc>
        <w:tc>
          <w:tcPr>
            <w:tcW w:w="7379" w:type="dxa"/>
          </w:tcPr>
          <w:p w:rsidR="00000000" w:rsidRDefault="00000000">
            <w:pPr>
              <w:pStyle w:val="BodyText"/>
              <w:tabs>
                <w:tab w:val="clear" w:pos="680"/>
                <w:tab w:val="clear" w:pos="1021"/>
              </w:tabs>
              <w:spacing w:after="120"/>
            </w:pPr>
            <w:r>
              <w:t>Ассоциация по вопросам планирования семьи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КПЧРВ</w:t>
            </w:r>
          </w:p>
        </w:tc>
        <w:tc>
          <w:tcPr>
            <w:tcW w:w="7379" w:type="dxa"/>
          </w:tcPr>
          <w:p w:rsidR="00000000" w:rsidRDefault="00000000">
            <w:pPr>
              <w:pStyle w:val="BodyText"/>
              <w:tabs>
                <w:tab w:val="clear" w:pos="680"/>
                <w:tab w:val="clear" w:pos="1021"/>
              </w:tabs>
              <w:spacing w:after="120"/>
            </w:pPr>
            <w:r>
              <w:t>Комиссия по правам человека и обеспечению равных возможностей</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ИКТ</w:t>
            </w:r>
          </w:p>
        </w:tc>
        <w:tc>
          <w:tcPr>
            <w:tcW w:w="7379" w:type="dxa"/>
          </w:tcPr>
          <w:p w:rsidR="00000000" w:rsidRDefault="00000000">
            <w:pPr>
              <w:pStyle w:val="BodyText"/>
              <w:tabs>
                <w:tab w:val="clear" w:pos="680"/>
                <w:tab w:val="clear" w:pos="1021"/>
              </w:tabs>
              <w:spacing w:after="120"/>
            </w:pPr>
            <w:r>
              <w:t>информационно-коммуникационные технологии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МОТ</w:t>
            </w:r>
          </w:p>
        </w:tc>
        <w:tc>
          <w:tcPr>
            <w:tcW w:w="7379" w:type="dxa"/>
          </w:tcPr>
          <w:p w:rsidR="00000000" w:rsidRDefault="00000000">
            <w:pPr>
              <w:pStyle w:val="BodyText"/>
              <w:tabs>
                <w:tab w:val="clear" w:pos="680"/>
                <w:tab w:val="clear" w:pos="1021"/>
              </w:tabs>
              <w:spacing w:after="120"/>
            </w:pPr>
            <w:r>
              <w:t>Международная организация труда</w:t>
            </w:r>
          </w:p>
        </w:tc>
      </w:tr>
      <w:tr w:rsidR="00000000">
        <w:tblPrEx>
          <w:tblCellMar>
            <w:top w:w="0" w:type="dxa"/>
            <w:left w:w="0" w:type="dxa"/>
            <w:bottom w:w="0" w:type="dxa"/>
            <w:right w:w="0" w:type="dxa"/>
          </w:tblCellMar>
        </w:tblPrEx>
        <w:tc>
          <w:tcPr>
            <w:tcW w:w="1418" w:type="dxa"/>
          </w:tcPr>
          <w:p w:rsidR="00000000" w:rsidRDefault="00000000">
            <w:pPr>
              <w:pStyle w:val="BodyText"/>
              <w:pageBreakBefore/>
              <w:spacing w:after="120"/>
            </w:pPr>
            <w:r>
              <w:t>СКСР</w:t>
            </w:r>
          </w:p>
        </w:tc>
        <w:tc>
          <w:tcPr>
            <w:tcW w:w="7379" w:type="dxa"/>
          </w:tcPr>
          <w:p w:rsidR="00000000" w:rsidRDefault="00000000">
            <w:pPr>
              <w:pStyle w:val="BodyText"/>
              <w:tabs>
                <w:tab w:val="clear" w:pos="680"/>
                <w:tab w:val="clear" w:pos="1021"/>
              </w:tabs>
              <w:spacing w:after="120"/>
            </w:pPr>
            <w:r>
              <w:t>Система классификации соискателей работы</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ОПР</w:t>
            </w:r>
          </w:p>
        </w:tc>
        <w:tc>
          <w:tcPr>
            <w:tcW w:w="7379" w:type="dxa"/>
          </w:tcPr>
          <w:p w:rsidR="00000000" w:rsidRDefault="00000000">
            <w:pPr>
              <w:pStyle w:val="BodyText"/>
              <w:tabs>
                <w:tab w:val="clear" w:pos="680"/>
                <w:tab w:val="clear" w:pos="1021"/>
              </w:tabs>
              <w:spacing w:after="120"/>
            </w:pPr>
            <w:r>
              <w:t>обучение методам поиска работы</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ЛНВДА</w:t>
            </w:r>
          </w:p>
        </w:tc>
        <w:tc>
          <w:tcPr>
            <w:tcW w:w="7379" w:type="dxa"/>
          </w:tcPr>
          <w:p w:rsidR="00000000" w:rsidRDefault="00000000">
            <w:pPr>
              <w:pStyle w:val="BodyText"/>
              <w:tabs>
                <w:tab w:val="clear" w:pos="680"/>
                <w:tab w:val="clear" w:pos="1021"/>
              </w:tabs>
              <w:spacing w:after="120"/>
            </w:pPr>
            <w:r>
              <w:t>Агентство по вопросам развития женщин "Лейтана Нехан"</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МЕФ</w:t>
            </w:r>
          </w:p>
        </w:tc>
        <w:tc>
          <w:tcPr>
            <w:tcW w:w="7379" w:type="dxa"/>
          </w:tcPr>
          <w:p w:rsidR="00000000" w:rsidRDefault="00000000">
            <w:pPr>
              <w:pStyle w:val="BodyText"/>
              <w:tabs>
                <w:tab w:val="clear" w:pos="680"/>
                <w:tab w:val="clear" w:pos="1021"/>
              </w:tabs>
              <w:spacing w:after="120"/>
            </w:pPr>
            <w:r>
              <w:t>Группировка "Малаитские орлы"</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МИНКО</w:t>
            </w:r>
          </w:p>
        </w:tc>
        <w:tc>
          <w:tcPr>
            <w:tcW w:w="7379" w:type="dxa"/>
          </w:tcPr>
          <w:p w:rsidR="00000000" w:rsidRDefault="00000000">
            <w:pPr>
              <w:pStyle w:val="BodyText"/>
              <w:tabs>
                <w:tab w:val="clear" w:pos="680"/>
                <w:tab w:val="clear" w:pos="1021"/>
              </w:tabs>
              <w:spacing w:after="120"/>
            </w:pPr>
            <w:r>
              <w:t xml:space="preserve">Конференция по вопросам положения женщин Австралийского Союза/штатов </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НАП</w:t>
            </w:r>
          </w:p>
        </w:tc>
        <w:tc>
          <w:tcPr>
            <w:tcW w:w="7379" w:type="dxa"/>
          </w:tcPr>
          <w:p w:rsidR="00000000" w:rsidRDefault="00000000">
            <w:pPr>
              <w:pStyle w:val="BodyText"/>
              <w:tabs>
                <w:tab w:val="clear" w:pos="680"/>
                <w:tab w:val="clear" w:pos="1021"/>
              </w:tabs>
              <w:spacing w:after="120"/>
            </w:pPr>
            <w:r>
              <w:t>Национальный план действий в области прав человека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НСП</w:t>
            </w:r>
          </w:p>
        </w:tc>
        <w:tc>
          <w:tcPr>
            <w:tcW w:w="7379" w:type="dxa"/>
          </w:tcPr>
          <w:p w:rsidR="00000000" w:rsidRDefault="00000000">
            <w:pPr>
              <w:pStyle w:val="BodyText"/>
              <w:tabs>
                <w:tab w:val="clear" w:pos="680"/>
                <w:tab w:val="clear" w:pos="1021"/>
              </w:tabs>
              <w:spacing w:after="120"/>
            </w:pPr>
            <w:r>
              <w:t>Национальная система предупреждения преступности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НИКСА</w:t>
            </w:r>
          </w:p>
        </w:tc>
        <w:tc>
          <w:tcPr>
            <w:tcW w:w="7379" w:type="dxa"/>
          </w:tcPr>
          <w:p w:rsidR="00000000" w:rsidRDefault="00000000">
            <w:pPr>
              <w:pStyle w:val="BodyText"/>
              <w:tabs>
                <w:tab w:val="clear" w:pos="680"/>
                <w:tab w:val="clear" w:pos="1021"/>
              </w:tabs>
              <w:spacing w:after="120"/>
            </w:pPr>
            <w:r>
              <w:t>Национальная инициатива по борьбе с сексуальным насилием</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НЕИС</w:t>
            </w:r>
          </w:p>
        </w:tc>
        <w:tc>
          <w:tcPr>
            <w:tcW w:w="7379" w:type="dxa"/>
          </w:tcPr>
          <w:p w:rsidR="00000000" w:rsidRDefault="00000000">
            <w:pPr>
              <w:pStyle w:val="BodyText"/>
              <w:tabs>
                <w:tab w:val="clear" w:pos="680"/>
                <w:tab w:val="clear" w:pos="1021"/>
              </w:tabs>
              <w:spacing w:after="120"/>
            </w:pPr>
            <w:r>
              <w:t>Программа стимулирования новых предприятий</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НПО</w:t>
            </w:r>
          </w:p>
        </w:tc>
        <w:tc>
          <w:tcPr>
            <w:tcW w:w="7379" w:type="dxa"/>
          </w:tcPr>
          <w:p w:rsidR="00000000" w:rsidRDefault="00000000">
            <w:pPr>
              <w:pStyle w:val="BodyText"/>
              <w:tabs>
                <w:tab w:val="clear" w:pos="680"/>
                <w:tab w:val="clear" w:pos="1021"/>
              </w:tabs>
              <w:spacing w:after="120"/>
            </w:pPr>
            <w:r>
              <w:t>неправительственная организация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НПРЖ</w:t>
            </w:r>
          </w:p>
        </w:tc>
        <w:tc>
          <w:tcPr>
            <w:tcW w:w="7379" w:type="dxa"/>
          </w:tcPr>
          <w:p w:rsidR="00000000" w:rsidRDefault="00000000">
            <w:pPr>
              <w:pStyle w:val="BodyText"/>
              <w:tabs>
                <w:tab w:val="clear" w:pos="680"/>
                <w:tab w:val="clear" w:pos="1021"/>
              </w:tabs>
              <w:spacing w:after="120"/>
            </w:pPr>
            <w:r>
              <w:t>Национальная программа развития женщин</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ОФЛС</w:t>
            </w:r>
          </w:p>
        </w:tc>
        <w:tc>
          <w:tcPr>
            <w:tcW w:w="7379" w:type="dxa"/>
          </w:tcPr>
          <w:p w:rsidR="00000000" w:rsidRDefault="00000000">
            <w:pPr>
              <w:pStyle w:val="BodyText"/>
              <w:tabs>
                <w:tab w:val="clear" w:pos="680"/>
                <w:tab w:val="clear" w:pos="1021"/>
              </w:tabs>
              <w:spacing w:after="120"/>
            </w:pPr>
            <w:r>
              <w:t>Управление по классификации кинофильмов и литературных произведений</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УВПЖ</w:t>
            </w:r>
          </w:p>
        </w:tc>
        <w:tc>
          <w:tcPr>
            <w:tcW w:w="7379" w:type="dxa"/>
          </w:tcPr>
          <w:p w:rsidR="00000000" w:rsidRDefault="00000000">
            <w:pPr>
              <w:pStyle w:val="BodyText"/>
              <w:tabs>
                <w:tab w:val="clear" w:pos="680"/>
                <w:tab w:val="clear" w:pos="1021"/>
              </w:tabs>
              <w:spacing w:after="120"/>
            </w:pPr>
            <w:r>
              <w:t>Управление по вопросам положения женщин</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ОЭСР</w:t>
            </w:r>
          </w:p>
        </w:tc>
        <w:tc>
          <w:tcPr>
            <w:tcW w:w="7379" w:type="dxa"/>
          </w:tcPr>
          <w:p w:rsidR="00000000" w:rsidRDefault="00000000">
            <w:pPr>
              <w:pStyle w:val="BodyText"/>
              <w:tabs>
                <w:tab w:val="clear" w:pos="680"/>
                <w:tab w:val="clear" w:pos="1021"/>
              </w:tabs>
              <w:spacing w:after="120"/>
            </w:pPr>
            <w:r>
              <w:t>Организация экономического сотрудничества и развития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ПБНС</w:t>
            </w:r>
          </w:p>
        </w:tc>
        <w:tc>
          <w:tcPr>
            <w:tcW w:w="7379" w:type="dxa"/>
          </w:tcPr>
          <w:p w:rsidR="00000000" w:rsidRDefault="00000000">
            <w:pPr>
              <w:pStyle w:val="BodyText"/>
              <w:tabs>
                <w:tab w:val="clear" w:pos="680"/>
                <w:tab w:val="clear" w:pos="1021"/>
              </w:tabs>
              <w:spacing w:after="120"/>
            </w:pPr>
            <w:r>
              <w:t>Партнерство по борьбе с насилием в семье</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ПЕЛС</w:t>
            </w:r>
          </w:p>
        </w:tc>
        <w:tc>
          <w:tcPr>
            <w:tcW w:w="7379" w:type="dxa"/>
          </w:tcPr>
          <w:p w:rsidR="00000000" w:rsidRDefault="00000000">
            <w:pPr>
              <w:pStyle w:val="BodyText"/>
              <w:tabs>
                <w:tab w:val="clear" w:pos="680"/>
                <w:tab w:val="clear" w:pos="1021"/>
              </w:tabs>
              <w:spacing w:after="120"/>
            </w:pPr>
            <w:r>
              <w:t>Программа кредитов для продолжающих образование выпускников высших учебных заведений</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СФМОЗ</w:t>
            </w:r>
          </w:p>
        </w:tc>
        <w:tc>
          <w:tcPr>
            <w:tcW w:w="7379" w:type="dxa"/>
          </w:tcPr>
          <w:p w:rsidR="00000000" w:rsidRDefault="00000000">
            <w:pPr>
              <w:pStyle w:val="BodyText"/>
              <w:tabs>
                <w:tab w:val="clear" w:pos="680"/>
                <w:tab w:val="clear" w:pos="1021"/>
              </w:tabs>
              <w:spacing w:after="120"/>
            </w:pPr>
            <w:r>
              <w:t>соглашения о финансировании мероприятий в области здравоохранения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ГСК</w:t>
            </w:r>
          </w:p>
        </w:tc>
        <w:tc>
          <w:tcPr>
            <w:tcW w:w="7379" w:type="dxa"/>
          </w:tcPr>
          <w:p w:rsidR="00000000" w:rsidRDefault="00000000">
            <w:pPr>
              <w:pStyle w:val="BodyText"/>
              <w:tabs>
                <w:tab w:val="clear" w:pos="680"/>
                <w:tab w:val="clear" w:pos="1021"/>
              </w:tabs>
              <w:spacing w:after="120"/>
            </w:pPr>
            <w:r>
              <w:t>государственная служба штата Квинсленд</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СААП</w:t>
            </w:r>
          </w:p>
        </w:tc>
        <w:tc>
          <w:tcPr>
            <w:tcW w:w="7379" w:type="dxa"/>
          </w:tcPr>
          <w:p w:rsidR="00000000" w:rsidRDefault="00000000">
            <w:pPr>
              <w:pStyle w:val="BodyText"/>
              <w:tabs>
                <w:tab w:val="clear" w:pos="680"/>
                <w:tab w:val="clear" w:pos="1021"/>
              </w:tabs>
              <w:spacing w:after="120"/>
            </w:pPr>
            <w:r>
              <w:t>Программа содействия предоставлению временного жилья для нуждающихся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СИВНЕТ</w:t>
            </w:r>
          </w:p>
        </w:tc>
        <w:tc>
          <w:tcPr>
            <w:tcW w:w="7379" w:type="dxa"/>
          </w:tcPr>
          <w:p w:rsidR="00000000" w:rsidRDefault="00000000">
            <w:pPr>
              <w:pStyle w:val="BodyText"/>
              <w:tabs>
                <w:tab w:val="clear" w:pos="680"/>
                <w:tab w:val="clear" w:pos="1021"/>
              </w:tabs>
              <w:spacing w:after="120"/>
            </w:pPr>
            <w:r>
              <w:t>Женская информационная сеть Соломоновых Островов</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ТПО</w:t>
            </w:r>
          </w:p>
        </w:tc>
        <w:tc>
          <w:tcPr>
            <w:tcW w:w="7379" w:type="dxa"/>
          </w:tcPr>
          <w:p w:rsidR="00000000" w:rsidRDefault="00000000">
            <w:pPr>
              <w:pStyle w:val="BodyText"/>
              <w:tabs>
                <w:tab w:val="clear" w:pos="680"/>
                <w:tab w:val="clear" w:pos="1021"/>
              </w:tabs>
              <w:spacing w:after="120"/>
            </w:pPr>
            <w:r>
              <w:t>Техническое и последующее образование</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СУПП</w:t>
            </w:r>
          </w:p>
        </w:tc>
        <w:tc>
          <w:tcPr>
            <w:tcW w:w="7379" w:type="dxa"/>
          </w:tcPr>
          <w:p w:rsidR="00000000" w:rsidRDefault="00000000">
            <w:pPr>
              <w:pStyle w:val="BodyText"/>
              <w:tabs>
                <w:tab w:val="clear" w:pos="680"/>
                <w:tab w:val="clear" w:pos="1021"/>
              </w:tabs>
              <w:spacing w:after="120"/>
            </w:pPr>
            <w:r>
              <w:t>Служба устного и письменного перевода</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УВКБ ООН</w:t>
            </w:r>
          </w:p>
        </w:tc>
        <w:tc>
          <w:tcPr>
            <w:tcW w:w="7379" w:type="dxa"/>
          </w:tcPr>
          <w:p w:rsidR="00000000" w:rsidRDefault="00000000">
            <w:pPr>
              <w:pStyle w:val="BodyText"/>
              <w:tabs>
                <w:tab w:val="clear" w:pos="680"/>
                <w:tab w:val="clear" w:pos="1021"/>
              </w:tabs>
              <w:spacing w:after="120"/>
            </w:pPr>
            <w:r>
              <w:t>Управление Верховного комиссара Организации Объединенных Наций по делам беженцев</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СТУ</w:t>
            </w:r>
          </w:p>
        </w:tc>
        <w:tc>
          <w:tcPr>
            <w:tcW w:w="7379" w:type="dxa"/>
          </w:tcPr>
          <w:p w:rsidR="00000000" w:rsidRDefault="00000000">
            <w:pPr>
              <w:pStyle w:val="BodyText"/>
              <w:tabs>
                <w:tab w:val="clear" w:pos="680"/>
                <w:tab w:val="clear" w:pos="1021"/>
              </w:tabs>
              <w:spacing w:after="120"/>
            </w:pPr>
            <w:r>
              <w:t>Сиднейский технологический университет</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ПТО</w:t>
            </w:r>
          </w:p>
        </w:tc>
        <w:tc>
          <w:tcPr>
            <w:tcW w:w="7379" w:type="dxa"/>
          </w:tcPr>
          <w:p w:rsidR="00000000" w:rsidRDefault="00000000">
            <w:pPr>
              <w:pStyle w:val="BodyText"/>
              <w:tabs>
                <w:tab w:val="clear" w:pos="680"/>
                <w:tab w:val="clear" w:pos="1021"/>
              </w:tabs>
              <w:spacing w:after="120"/>
            </w:pPr>
            <w:r>
              <w:t>Профессионально-техническое обучение</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ВИП</w:t>
            </w:r>
          </w:p>
        </w:tc>
        <w:tc>
          <w:tcPr>
            <w:tcW w:w="7379" w:type="dxa"/>
          </w:tcPr>
          <w:p w:rsidR="00000000" w:rsidRDefault="00000000">
            <w:pPr>
              <w:pStyle w:val="BodyText"/>
              <w:tabs>
                <w:tab w:val="clear" w:pos="680"/>
                <w:tab w:val="clear" w:pos="1021"/>
              </w:tabs>
              <w:spacing w:after="120"/>
            </w:pPr>
            <w:r>
              <w:t>Программа "Добровольцы в полиции"</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ВОЗ</w:t>
            </w:r>
          </w:p>
        </w:tc>
        <w:tc>
          <w:tcPr>
            <w:tcW w:w="7379" w:type="dxa"/>
          </w:tcPr>
          <w:p w:rsidR="00000000" w:rsidRDefault="00000000">
            <w:pPr>
              <w:pStyle w:val="BodyText"/>
              <w:tabs>
                <w:tab w:val="clear" w:pos="680"/>
                <w:tab w:val="clear" w:pos="1021"/>
              </w:tabs>
              <w:spacing w:after="120"/>
            </w:pPr>
            <w:r>
              <w:t>Всемирная организация здравоохранения</w:t>
            </w:r>
          </w:p>
        </w:tc>
      </w:tr>
      <w:tr w:rsidR="00000000">
        <w:tblPrEx>
          <w:tblCellMar>
            <w:top w:w="0" w:type="dxa"/>
            <w:left w:w="0" w:type="dxa"/>
            <w:bottom w:w="0" w:type="dxa"/>
            <w:right w:w="0" w:type="dxa"/>
          </w:tblCellMar>
        </w:tblPrEx>
        <w:tc>
          <w:tcPr>
            <w:tcW w:w="1418" w:type="dxa"/>
          </w:tcPr>
          <w:p w:rsidR="00000000" w:rsidRDefault="00000000">
            <w:pPr>
              <w:pStyle w:val="BodyText"/>
              <w:spacing w:after="120"/>
            </w:pPr>
            <w:r>
              <w:t>СЖИА</w:t>
            </w:r>
          </w:p>
        </w:tc>
        <w:tc>
          <w:tcPr>
            <w:tcW w:w="7379" w:type="dxa"/>
          </w:tcPr>
          <w:p w:rsidR="00000000" w:rsidRDefault="00000000">
            <w:pPr>
              <w:pStyle w:val="BodyText"/>
              <w:tabs>
                <w:tab w:val="clear" w:pos="680"/>
                <w:tab w:val="clear" w:pos="1021"/>
              </w:tabs>
              <w:spacing w:after="120"/>
            </w:pPr>
            <w:r>
              <w:t>Союз женщин-инвалидов Австралии</w:t>
            </w:r>
          </w:p>
        </w:tc>
      </w:tr>
    </w:tbl>
    <w:p w:rsidR="00000000" w:rsidRDefault="00000000">
      <w:pPr>
        <w:pStyle w:val="Heading1"/>
        <w:spacing w:before="0"/>
      </w:pPr>
      <w:r>
        <w:br w:type="page"/>
      </w:r>
      <w:bookmarkStart w:id="4" w:name="_Toc70142912"/>
      <w:bookmarkStart w:id="5" w:name="_Toc70228641"/>
      <w:bookmarkStart w:id="6" w:name="_Toc70229042"/>
      <w:bookmarkStart w:id="7" w:name="_Toc70235308"/>
      <w:r>
        <w:t>ВВЕДЕНИЕ</w:t>
      </w:r>
      <w:bookmarkEnd w:id="4"/>
      <w:bookmarkEnd w:id="5"/>
      <w:bookmarkEnd w:id="6"/>
      <w:bookmarkEnd w:id="7"/>
    </w:p>
    <w:p w:rsidR="00000000" w:rsidRDefault="00000000">
      <w:pPr>
        <w:pStyle w:val="BodyText"/>
      </w:pPr>
      <w:r>
        <w:t>1.</w:t>
      </w:r>
      <w:r>
        <w:tab/>
        <w:t>Австралия подписала Конвенцию о ликвидации всех форм дискриминации в отношении женщин (КЛДЖ) в июле 1980 года и ратифицировала ее в июле 1983 года. Страна направила Комитету три периодических доклада, последний из которых был представлен в июне 1997 года. В сводных четвертом и пятом периодических докладах нашли отражение выводы, сделанные в результате проведенного федеральным правительством обзора участия Австралии в работе договорных комитетов Организации Объединенных Наций. В нем также рассказывается о конкретных мероприятиях и важнейших инициативах, предпринятых за период с июня 1997 по июнь 2003 года и направленных на дальнейшее улучшение положения женщин, а также о планируемых будущих направлениях деятельности. В докладе отражены только важнейшие изменения в законодательстве, политике и программах, происшедшие за отчетный период, и его не следует рассматривать как подробный отчет об изменениях по каждому аспекту, отраженному в предыдущих докладах.</w:t>
      </w:r>
    </w:p>
    <w:p w:rsidR="00000000" w:rsidRDefault="00000000">
      <w:pPr>
        <w:pStyle w:val="BodyText"/>
      </w:pPr>
      <w:r>
        <w:t>2.</w:t>
      </w:r>
      <w:r>
        <w:tab/>
        <w:t>После подписания КЛДЖ Австралия разработала целый ряд механизмов в целях содействия соблюдению прав, о которых говорится в этой Конвенции. В первую очередь следует упомянуть о механизмах и положениях, предусмотренных в Законе 1984 года о недопущении дискриминации по признаку пола. Помимо прочего, для реализации и обеспечения прав, содержащихся в КЛДЖ, используется судебная система, правовая система и культурные традиции. В государственном аппарате Австралии ответственность за осуществление мероприятий по улучшению положения женщин возложена на премьер-министра, которому в этой работе помогает министр, являющийся помощником премьер-министра по положению женщин. Эту должность в настоящее время занимает сенатор Кей Паттерсон, которая также является министром по делам семьи и услуг населению. Ее предшественница сенатор Аманда Ванстоун занимала эти должности в период с 30 января 2001 по 29 сентября 2003 года.</w:t>
      </w:r>
    </w:p>
    <w:p w:rsidR="00000000" w:rsidRDefault="00000000">
      <w:pPr>
        <w:pStyle w:val="BodyText"/>
      </w:pPr>
      <w:r>
        <w:t>3.</w:t>
      </w:r>
      <w:r>
        <w:tab/>
        <w:t>Консультационные услуги правительству по вопросам политики в отношении женщин оказывает Управление по вопросам положения женщин (УВПЖ), являющееся отделом канцелярии премьер-министра и кабинета министров. УВПЖ также инициирует, координирует и осуществляет политику, программы и проекты правительства, направленные на улучшение положения женщин, консультирует правительство по вопросам, касающимся женщин, и распространяет соответствующую информацию среди женщин и по проблемам женщин. В целях сохранения набранных темпов в деле улучшения положения женщин УВПЖ уделяет основное внимание трем приоритетным программным областям: занятость и экономическое благосостояние женщин; женщины и участие в жизни общества с особым упором на участие женщин в руководящей работе и принятии решений; а также женщины и право, с особым упором на ликвидацию насилия в отношении женщин. УВПЖ также несет главную ответственность за участие Австралии в проведении международных мероприятий по проблемам женщин.</w:t>
      </w:r>
    </w:p>
    <w:p w:rsidR="00000000" w:rsidRDefault="00000000">
      <w:pPr>
        <w:pStyle w:val="BodyText"/>
      </w:pPr>
      <w:r>
        <w:t>4.</w:t>
      </w:r>
      <w:r>
        <w:tab/>
        <w:t>УВПЖ финансирует национальные женские организации, являющиеся национальными секретариатами, действующими в интересах австралийских женщин. Роль национальных секретариатов состоит в том, чтобы:</w:t>
      </w:r>
    </w:p>
    <w:p w:rsidR="00000000" w:rsidRDefault="00000000">
      <w:pPr>
        <w:pStyle w:val="enumlev-1"/>
      </w:pPr>
      <w:r>
        <w:t>сотрудничать в целях предоставления правительству продуманных и представительных консультационных услуг в связи с определением, разработкой и осуществлением политики, отражающей многообразие мнений и условий, в которых находятся женщины;</w:t>
      </w:r>
    </w:p>
    <w:p w:rsidR="00000000" w:rsidRDefault="00000000">
      <w:pPr>
        <w:pStyle w:val="enumlev-1"/>
      </w:pPr>
      <w:r>
        <w:t>отражать все многообразие мнений, высказываемых женщинами, на основе консультаций с женским сектором, своим контингентом, а также с другими группами и организациями, занимающимися проблемами женщин;</w:t>
      </w:r>
    </w:p>
    <w:p w:rsidR="00000000" w:rsidRDefault="00000000">
      <w:pPr>
        <w:pStyle w:val="enumlev-1"/>
      </w:pPr>
      <w:r>
        <w:t>действовать в качестве посредника в процессе обмена информацией между правительством и женским сектором;</w:t>
      </w:r>
    </w:p>
    <w:p w:rsidR="00000000" w:rsidRDefault="00000000">
      <w:pPr>
        <w:pStyle w:val="enumlev-1"/>
      </w:pPr>
      <w:r>
        <w:t>анализировать политику, проводимую в отношении конкретных областей, представляющих особый интерес для конкретных организаций; и</w:t>
      </w:r>
    </w:p>
    <w:p w:rsidR="00000000" w:rsidRDefault="00000000">
      <w:pPr>
        <w:pStyle w:val="enumlev-1"/>
      </w:pPr>
      <w:r>
        <w:t>создавать и поддерживать эффективные механизмы управления, обеспечивающие выполнение функций и обязанностей национальных секретариатов.</w:t>
      </w:r>
    </w:p>
    <w:p w:rsidR="00000000" w:rsidRDefault="00000000">
      <w:pPr>
        <w:pStyle w:val="Heading1"/>
        <w:spacing w:after="120"/>
      </w:pPr>
      <w:bookmarkStart w:id="8" w:name="_Toc67298470"/>
      <w:bookmarkStart w:id="9" w:name="_Toc67298498"/>
      <w:bookmarkStart w:id="10" w:name="_Toc70142913"/>
      <w:bookmarkStart w:id="11" w:name="_Toc70228642"/>
      <w:bookmarkStart w:id="12" w:name="_Toc70229043"/>
      <w:bookmarkStart w:id="13" w:name="_Toc70235309"/>
      <w:r>
        <w:t>Подготовка доклада и его структура</w:t>
      </w:r>
      <w:bookmarkEnd w:id="8"/>
      <w:bookmarkEnd w:id="9"/>
      <w:bookmarkEnd w:id="10"/>
      <w:bookmarkEnd w:id="11"/>
      <w:bookmarkEnd w:id="12"/>
      <w:bookmarkEnd w:id="13"/>
    </w:p>
    <w:p w:rsidR="00000000" w:rsidRDefault="00000000">
      <w:pPr>
        <w:pStyle w:val="BodyText"/>
      </w:pPr>
      <w:r>
        <w:t>5.</w:t>
      </w:r>
      <w:r>
        <w:tab/>
        <w:t>Четвертый и пятый сводный доклад Австралии об осуществлении положений КЛДЖ был подготовлен УВПЖ. В этом докладе дается оценка соответствующей деятельности страны, включая осуществляемую в связи с этим политику, программы и мероприятия. В докладе приводится ряд наиболее значительных достижений Австралии в этой области в период с июня 1997 по июнь 2003 года.</w:t>
      </w:r>
    </w:p>
    <w:p w:rsidR="00000000" w:rsidRDefault="00000000">
      <w:pPr>
        <w:pStyle w:val="Heading1"/>
        <w:spacing w:after="120"/>
      </w:pPr>
      <w:bookmarkStart w:id="14" w:name="_Toc67298471"/>
      <w:bookmarkStart w:id="15" w:name="_Toc67298499"/>
      <w:bookmarkStart w:id="16" w:name="_Toc70142914"/>
      <w:bookmarkStart w:id="17" w:name="_Toc70228643"/>
      <w:bookmarkStart w:id="18" w:name="_Toc70229044"/>
      <w:bookmarkStart w:id="19" w:name="_Toc70235310"/>
      <w:r>
        <w:t>Консультации с правительствами штатов и территорий</w:t>
      </w:r>
      <w:bookmarkEnd w:id="14"/>
      <w:bookmarkEnd w:id="15"/>
      <w:bookmarkEnd w:id="16"/>
      <w:bookmarkEnd w:id="17"/>
      <w:bookmarkEnd w:id="18"/>
      <w:bookmarkEnd w:id="19"/>
    </w:p>
    <w:p w:rsidR="00000000" w:rsidRDefault="00000000">
      <w:pPr>
        <w:pStyle w:val="BodyText"/>
      </w:pPr>
      <w:r>
        <w:t>6.</w:t>
      </w:r>
      <w:r>
        <w:tab/>
        <w:t>В Австралии действует система федерального конституционного устройства, в рамках которой функции законодательной, исполнительной и судебной власти делятся или распределяются между федеральным правительством и правительствами шести штатов: Нового Южного Уэльса, Виктории, Квинсленда, Южной Австралии, Тасмании и Западной Австралии, а также двух расположенных внутри страны самоуправляющихся территорий – Австралийской столичной территории и Северной территории. Для целей настоящего доклада эти две самоуправляющиеся территории могут рассматриваться как имеющие в целом такой же статус, как и штаты. Поскольку за осуществление многочисленных правительственных мероприятий, связанных с выполнением положений Конвенции, отвечают именно правительства штатов и территорий, при подготовке настоящего доклада федеральное правительство консультировалось с правительствами штатов и территорий. УВПЖ хотело бы выразить признательность женским организациям австралийских штатов и территорий за их вклад в подготовку данного доклада.</w:t>
      </w:r>
    </w:p>
    <w:p w:rsidR="00000000" w:rsidRDefault="00000000">
      <w:pPr>
        <w:pStyle w:val="BodyText"/>
      </w:pPr>
      <w:r>
        <w:t>7.</w:t>
      </w:r>
      <w:r>
        <w:tab/>
        <w:t>Более подробная информация о политической структуре и общем правовом механизме Австралии, гарантирующем защиту прав человека, содержится в Базовом документе Австралии (документ Организации Объединенных Наций HRI/CORE/1).</w:t>
      </w:r>
    </w:p>
    <w:p w:rsidR="00000000" w:rsidRDefault="00000000">
      <w:pPr>
        <w:pStyle w:val="Heading2"/>
        <w:spacing w:before="240"/>
      </w:pPr>
      <w:bookmarkStart w:id="20" w:name="_Toc70142915"/>
      <w:bookmarkStart w:id="21" w:name="_Toc70228644"/>
      <w:bookmarkStart w:id="22" w:name="_Toc70229045"/>
      <w:bookmarkStart w:id="23" w:name="_Toc70235311"/>
      <w:r>
        <w:t>ОСНОВНЫЕ СВЕДЕНИЯ</w:t>
      </w:r>
      <w:bookmarkEnd w:id="20"/>
      <w:bookmarkEnd w:id="21"/>
      <w:bookmarkEnd w:id="22"/>
      <w:bookmarkEnd w:id="23"/>
    </w:p>
    <w:p w:rsidR="00000000" w:rsidRDefault="00000000">
      <w:pPr>
        <w:pStyle w:val="Heading3"/>
        <w:spacing w:after="120"/>
        <w:rPr>
          <w:noProof w:val="0"/>
        </w:rPr>
      </w:pPr>
      <w:bookmarkStart w:id="24" w:name="_Toc67298472"/>
      <w:bookmarkStart w:id="25" w:name="_Toc67298500"/>
      <w:bookmarkStart w:id="26" w:name="_Toc70142916"/>
      <w:r>
        <w:rPr>
          <w:noProof w:val="0"/>
        </w:rPr>
        <w:t>Инструменты для улучшения положения женщин</w:t>
      </w:r>
      <w:bookmarkEnd w:id="24"/>
      <w:bookmarkEnd w:id="25"/>
      <w:r>
        <w:rPr>
          <w:noProof w:val="0"/>
        </w:rPr>
        <w:t xml:space="preserve"> в Австралии</w:t>
      </w:r>
      <w:bookmarkEnd w:id="26"/>
    </w:p>
    <w:p w:rsidR="00000000" w:rsidRDefault="00000000">
      <w:pPr>
        <w:pStyle w:val="BodyText"/>
      </w:pPr>
      <w:r>
        <w:t>8.</w:t>
      </w:r>
      <w:r>
        <w:tab/>
        <w:t>В Австралии имеется целый ряд социальных, экономических, политических и правовых инструментов, способствующих улучшению положения женщин и ликвидации дискриминации и насилия в отношении женщин и девушек. О них подробно говорится в докладе Австралии об осуществлении Пекинской платформы действий (2000 год). В этом докладе содержится подробная информация об основных положениях законодательства, институтах и программах для женщин. На федеральном уровне ключевыми инструментами являются:</w:t>
      </w:r>
    </w:p>
    <w:p w:rsidR="00000000" w:rsidRDefault="00000000">
      <w:pPr>
        <w:pStyle w:val="enumlev-2"/>
      </w:pPr>
      <w:r>
        <w:t>Закон 1984 года о недопущении дискриминации по признаку пола;</w:t>
      </w:r>
    </w:p>
    <w:p w:rsidR="00000000" w:rsidRDefault="00000000">
      <w:pPr>
        <w:pStyle w:val="enumlev-2"/>
      </w:pPr>
      <w:r>
        <w:t>Закон 1997 года об обеспечении равных возможностей для женщин на производстве;</w:t>
      </w:r>
    </w:p>
    <w:p w:rsidR="00000000" w:rsidRDefault="00000000">
      <w:pPr>
        <w:pStyle w:val="enumlev-2"/>
      </w:pPr>
      <w:r>
        <w:t>Закон 1996 года о производственных отношениях;</w:t>
      </w:r>
    </w:p>
    <w:p w:rsidR="00000000" w:rsidRDefault="00000000">
      <w:pPr>
        <w:pStyle w:val="enumlev-2"/>
      </w:pPr>
      <w:r>
        <w:t>Комиссия по правам человека и равным возможностям;</w:t>
      </w:r>
    </w:p>
    <w:p w:rsidR="00000000" w:rsidRDefault="00000000">
      <w:pPr>
        <w:pStyle w:val="enumlev-2"/>
      </w:pPr>
      <w:r>
        <w:t>Агентство по обеспечению равных возможностей для женщин на производстве;</w:t>
      </w:r>
    </w:p>
    <w:p w:rsidR="00000000" w:rsidRDefault="00000000">
      <w:pPr>
        <w:pStyle w:val="enumlev-2"/>
      </w:pPr>
      <w:r>
        <w:t>Министр, являющийся помощником премьер-министра по вопросам положения женщин и федеральное Управление по вопросам положения женщин;</w:t>
      </w:r>
    </w:p>
    <w:p w:rsidR="00000000" w:rsidRDefault="00000000">
      <w:pPr>
        <w:pStyle w:val="enumlev-2"/>
      </w:pPr>
      <w:r>
        <w:t>Парламентская консультативная группа по проблемам женщин;</w:t>
      </w:r>
    </w:p>
    <w:p w:rsidR="00000000" w:rsidRDefault="00000000">
      <w:pPr>
        <w:pStyle w:val="enumlev-2"/>
      </w:pPr>
      <w:r>
        <w:t>План действий Австралии на 2000–2005 годы "Пекин+5";</w:t>
      </w:r>
    </w:p>
    <w:p w:rsidR="00000000" w:rsidRDefault="00000000">
      <w:pPr>
        <w:pStyle w:val="enumlev-2"/>
      </w:pPr>
      <w:r>
        <w:t xml:space="preserve">Программа женских НПО; </w:t>
      </w:r>
    </w:p>
    <w:p w:rsidR="00000000" w:rsidRDefault="00000000">
      <w:pPr>
        <w:pStyle w:val="enumlev-2"/>
        <w:spacing w:after="240"/>
      </w:pPr>
      <w:r>
        <w:t>Партнерство в борьбе с насилием в семье.</w:t>
      </w:r>
    </w:p>
    <w:p w:rsidR="00000000" w:rsidRDefault="00000000">
      <w:pPr>
        <w:pStyle w:val="BodyText"/>
      </w:pPr>
      <w:r>
        <w:t>9.</w:t>
      </w:r>
      <w:r>
        <w:tab/>
        <w:t>В 2001 году были начаты четыре новые общенациональные инициативы:</w:t>
      </w:r>
    </w:p>
    <w:p w:rsidR="00000000" w:rsidRDefault="00000000">
      <w:pPr>
        <w:pStyle w:val="enumlev-2"/>
      </w:pPr>
      <w:r>
        <w:t>Общенациональная инициатива по борьбе с сексуальным насилием;</w:t>
      </w:r>
    </w:p>
    <w:p w:rsidR="00000000" w:rsidRDefault="00000000">
      <w:pPr>
        <w:pStyle w:val="enumlev-2"/>
      </w:pPr>
      <w:r>
        <w:t>Общенациональная программа развития женщин;</w:t>
      </w:r>
    </w:p>
    <w:p w:rsidR="00000000" w:rsidRDefault="00000000">
      <w:pPr>
        <w:pStyle w:val="enumlev-2"/>
      </w:pPr>
      <w:r>
        <w:t>Общенациональная программа выдвижения женщин на руководящие должности, включая:</w:t>
      </w:r>
    </w:p>
    <w:p w:rsidR="00000000" w:rsidRDefault="00000000">
      <w:pPr>
        <w:pStyle w:val="enumlev-2"/>
        <w:numPr>
          <w:ilvl w:val="0"/>
          <w:numId w:val="0"/>
        </w:numPr>
        <w:ind w:left="680" w:hanging="340"/>
      </w:pPr>
      <w:r>
        <w:t>–</w:t>
      </w:r>
      <w:r>
        <w:tab/>
        <w:t>инициативу в области присуждения наград и премий женщинам; и</w:t>
      </w:r>
    </w:p>
    <w:p w:rsidR="00000000" w:rsidRDefault="00000000">
      <w:pPr>
        <w:pStyle w:val="enumlev-2"/>
        <w:numPr>
          <w:ilvl w:val="0"/>
          <w:numId w:val="0"/>
        </w:numPr>
        <w:ind w:left="680" w:hanging="340"/>
      </w:pPr>
      <w:r>
        <w:t>–</w:t>
      </w:r>
      <w:r>
        <w:tab/>
        <w:t>Консультативную группу по проблемам женщин из числа коренного населения;</w:t>
      </w:r>
    </w:p>
    <w:p w:rsidR="00000000" w:rsidRDefault="00000000">
      <w:pPr>
        <w:pStyle w:val="enumlev-2"/>
      </w:pPr>
      <w:r>
        <w:t>Наделение женщин правом на обоснованный выбор, включая:</w:t>
      </w:r>
    </w:p>
    <w:p w:rsidR="00000000" w:rsidRDefault="00000000">
      <w:pPr>
        <w:pStyle w:val="enumlev-2"/>
        <w:numPr>
          <w:ilvl w:val="0"/>
          <w:numId w:val="0"/>
        </w:numPr>
        <w:ind w:left="680" w:hanging="340"/>
      </w:pPr>
      <w:r>
        <w:t>–</w:t>
      </w:r>
      <w:r>
        <w:tab/>
        <w:t>проведение общенациональной женской конференции "Говорят австралийские женщины";</w:t>
      </w:r>
    </w:p>
    <w:p w:rsidR="00000000" w:rsidRDefault="00000000">
      <w:pPr>
        <w:pStyle w:val="enumlev-2"/>
        <w:numPr>
          <w:ilvl w:val="0"/>
          <w:numId w:val="0"/>
        </w:numPr>
        <w:ind w:left="680" w:hanging="340"/>
      </w:pPr>
      <w:r>
        <w:t>–</w:t>
      </w:r>
      <w:r>
        <w:tab/>
        <w:t xml:space="preserve">создание базы данных по женской проблематике в интернете </w:t>
      </w:r>
      <w:r>
        <w:rPr>
          <w:u w:val="single"/>
        </w:rPr>
        <w:t>www.windowonwomen.gov.au</w:t>
      </w:r>
      <w:r>
        <w:t xml:space="preserve">; </w:t>
      </w:r>
    </w:p>
    <w:p w:rsidR="00000000" w:rsidRDefault="00000000">
      <w:pPr>
        <w:pStyle w:val="enumlev-2"/>
        <w:numPr>
          <w:ilvl w:val="0"/>
          <w:numId w:val="0"/>
        </w:numPr>
        <w:spacing w:after="240"/>
        <w:ind w:left="680" w:hanging="340"/>
      </w:pPr>
      <w:r>
        <w:t>–</w:t>
      </w:r>
      <w:r>
        <w:tab/>
        <w:t xml:space="preserve">создание женского сайта в интернете </w:t>
      </w:r>
      <w:r>
        <w:rPr>
          <w:u w:val="single"/>
        </w:rPr>
        <w:t>www.women.gov.au</w:t>
      </w:r>
      <w:r>
        <w:t>.</w:t>
      </w:r>
    </w:p>
    <w:p w:rsidR="00000000" w:rsidRDefault="00000000">
      <w:pPr>
        <w:pStyle w:val="BodyText"/>
      </w:pPr>
      <w:r>
        <w:t>10.</w:t>
      </w:r>
      <w:r>
        <w:tab/>
        <w:t>Был выработан целый ряд законодательных положений и инициатив, направленных на улучшение положения женщин на всех территориях, находящихся под юрисдикцией страны. Информация об этих мерах приводится в настоящем периодическом докладе.</w:t>
      </w:r>
    </w:p>
    <w:p w:rsidR="00000000" w:rsidRDefault="00000000">
      <w:pPr>
        <w:pStyle w:val="Heading3"/>
        <w:rPr>
          <w:noProof w:val="0"/>
        </w:rPr>
      </w:pPr>
      <w:bookmarkStart w:id="27" w:name="_Toc67298473"/>
      <w:bookmarkStart w:id="28" w:name="_Toc67298501"/>
      <w:bookmarkStart w:id="29" w:name="_Toc70142917"/>
      <w:r>
        <w:rPr>
          <w:noProof w:val="0"/>
        </w:rPr>
        <w:t>Прогресс, достигнутый в Австралии с момента представления ее предыдущего доклада</w:t>
      </w:r>
      <w:bookmarkEnd w:id="27"/>
      <w:bookmarkEnd w:id="28"/>
      <w:bookmarkEnd w:id="29"/>
    </w:p>
    <w:p w:rsidR="00000000" w:rsidRDefault="00000000">
      <w:pPr>
        <w:pStyle w:val="BodyText"/>
      </w:pPr>
      <w:r>
        <w:t>11.</w:t>
      </w:r>
      <w:r>
        <w:tab/>
        <w:t>С момента представления предыдущего периодического доклада в деле улучшения положения женщин в Австралии произошли существенные сдвиги.</w:t>
      </w:r>
    </w:p>
    <w:p w:rsidR="00000000" w:rsidRDefault="00000000">
      <w:pPr>
        <w:pStyle w:val="BodyText"/>
      </w:pPr>
      <w:r>
        <w:t>12.</w:t>
      </w:r>
      <w:r>
        <w:tab/>
        <w:t>Женщины и девушки добились большого прогресса в области образования и профессиональной подготовки, занятости и участия в принятии решений и работе руководящих органов. В некоторых из этих областей женщины добились значительных успехов. Вот лишь некоторые примеры:</w:t>
      </w:r>
    </w:p>
    <w:p w:rsidR="00000000" w:rsidRDefault="00000000">
      <w:pPr>
        <w:pStyle w:val="enumlev-2"/>
      </w:pPr>
      <w:r>
        <w:t>в период с 1995 по 2001 год число женщин, овладевших новыми специальностями, выросло на 380 процентов;</w:t>
      </w:r>
    </w:p>
    <w:p w:rsidR="00000000" w:rsidRDefault="00000000">
      <w:pPr>
        <w:pStyle w:val="enumlev-2"/>
      </w:pPr>
      <w:r>
        <w:t>наметилась тенденция к увеличению доли женщин (в возрасте 15 лет и старше) в составе рабочей силы; в марте 2003 года их доля составляла 67,5 процента;</w:t>
      </w:r>
    </w:p>
    <w:p w:rsidR="00000000" w:rsidRDefault="00000000">
      <w:pPr>
        <w:pStyle w:val="enumlev-2"/>
      </w:pPr>
      <w:r>
        <w:t>женщины составляют 56,6 процента учащихся высших учебных заведений, поступивших в 2002 году на первый курс, и 48,6 процента выпускников высших учебных заведений;</w:t>
      </w:r>
    </w:p>
    <w:p w:rsidR="00000000" w:rsidRDefault="00000000">
      <w:pPr>
        <w:pStyle w:val="enumlev-2"/>
      </w:pPr>
      <w:r>
        <w:t>в 2003 году 34 процента женщин находились на руководящих государственных постах в Австралийском Союзе;</w:t>
      </w:r>
    </w:p>
    <w:p w:rsidR="00000000" w:rsidRDefault="00000000">
      <w:pPr>
        <w:pStyle w:val="enumlev-2"/>
      </w:pPr>
      <w:r>
        <w:t>по состоянию на июнь 2003 года 30,9 процента региональных советников по делам коренного населения и жителей островов Торрес составляли женщины;</w:t>
      </w:r>
    </w:p>
    <w:p w:rsidR="00000000" w:rsidRDefault="00000000">
      <w:pPr>
        <w:pStyle w:val="enumlev-2"/>
      </w:pPr>
      <w:r>
        <w:t>в марте 2003 года женщины составляли 26,5 процента депутатов Федерального парламента;</w:t>
      </w:r>
    </w:p>
    <w:p w:rsidR="00000000" w:rsidRDefault="00000000">
      <w:pPr>
        <w:pStyle w:val="enumlev-2"/>
      </w:pPr>
      <w:r>
        <w:t>продолжительность предстоящей жизни при рождении продолжает увеличиваться, и для девочек, родившихся в период между 1999 и 2001 годами, средняя продолжительность предстоящей жизни при рождении составляет 82,4 года по сравнению с 81,1 года в 1994–1996 годах;</w:t>
      </w:r>
    </w:p>
    <w:p w:rsidR="00000000" w:rsidRDefault="00000000">
      <w:pPr>
        <w:pStyle w:val="enumlev-2"/>
      </w:pPr>
      <w:r>
        <w:t xml:space="preserve">значительное сокращение смертности от рака молочной железы. В 2001 году было зарегистрировано 21,3 случая смерти на 100 000 женщин по сравнению с 25 случаями смерти на 100 000 женщин в 1996 году; </w:t>
      </w:r>
    </w:p>
    <w:p w:rsidR="00000000" w:rsidRDefault="00000000">
      <w:pPr>
        <w:pStyle w:val="enumlev-2"/>
        <w:spacing w:after="240"/>
      </w:pPr>
      <w:r>
        <w:t>значительное сокращение смертности от рака шейки матки (за последнее десятилетие смертность в результате этого заболевания сократилась на 50 процентов).</w:t>
      </w:r>
    </w:p>
    <w:p w:rsidR="00000000" w:rsidRDefault="00000000">
      <w:pPr>
        <w:pStyle w:val="BodyText"/>
      </w:pPr>
      <w:r>
        <w:t>13.</w:t>
      </w:r>
      <w:r>
        <w:tab/>
        <w:t>По всеобщему признанию, Австралия является мировым лидером в рамках усилий по борьбе с насилием в семье. В контексте предложенной премьер-министром инициативы "Партнерство в борьбе с насилием в семье" был принят целый ряд мер, направленных на раннее выявление и предупреждение случаев такого насилия, а также улучшение качества и расширение сети услуг, оказываемых потерпевшим, в том числе детям. Эта инициатива осуществлялась на основе тесного и эффективного сотрудничества между правительствами штатов и территорий под руководством федерального правительства и способствовала существенному изменению политических подходов к проблеме насилия в отношении женщин. Одним из важных элементов данной инициативы является борьба с семейным и бытовым насилием в общинах коренного населения. Более подробную информацию см. в комментариях по осуществлению статей 14 и 16 Конвенции.</w:t>
      </w:r>
    </w:p>
    <w:p w:rsidR="00000000" w:rsidRDefault="00000000">
      <w:pPr>
        <w:pStyle w:val="BodyText"/>
      </w:pPr>
      <w:r>
        <w:t>14.</w:t>
      </w:r>
      <w:r>
        <w:tab/>
        <w:t>Вместе с тем в некоторых областях прогресс гораздо менее заметен, и некоторые женщины столкнулись с целым рядом новых проблем. Федеральное правительство продолжает уделять повышенное внимание решению следующих проблем:</w:t>
      </w:r>
    </w:p>
    <w:p w:rsidR="00000000" w:rsidRDefault="00000000">
      <w:pPr>
        <w:pStyle w:val="enumlev-2"/>
      </w:pPr>
      <w:r>
        <w:t>бытовое и сексуальное насилие в отношении женщин и девушек, насилие в семье;</w:t>
      </w:r>
    </w:p>
    <w:p w:rsidR="00000000" w:rsidRDefault="00000000">
      <w:pPr>
        <w:pStyle w:val="enumlev-2"/>
      </w:pPr>
      <w:r>
        <w:t>повышенная концентрация женщин в некоторых областях, секторах или профессиях в системе образования, профессиональной подготовки и их преобладание в таких сферах, как услуги населению, уход за больными, розничная торговля; и</w:t>
      </w:r>
    </w:p>
    <w:p w:rsidR="00000000" w:rsidRDefault="00000000">
      <w:pPr>
        <w:pStyle w:val="enumlev-2"/>
        <w:spacing w:after="240"/>
      </w:pPr>
      <w:r>
        <w:t>недостаточная представленность женщин на директивных должностях высшего звена, прежде всего в политической и судебной системах.</w:t>
      </w:r>
    </w:p>
    <w:p w:rsidR="00000000" w:rsidRDefault="00000000">
      <w:pPr>
        <w:pStyle w:val="BodyText"/>
      </w:pPr>
      <w:r>
        <w:t>15.</w:t>
      </w:r>
      <w:r>
        <w:tab/>
        <w:t>Как и во многих других странах, женщины в Австралии недостаточно широко представлены в ряде профессий и секторов на рынке труда, таких как строительство, машиностроение и некоторые области информации. Вместе с тем в некоторых "традиционных" мужских профессиях постепенно улучшаются возможности для женщин: например, в 1999 году число женщин среди выпускников медицинских учебных заведений впервые превысило число мужчин. Кроме того, в Австралии признается, что не все группы женщин находятся в одинаковых условиях. Так, например, необходимо приложить особые усилия для того, чтобы решить серьезные проблемы, с которыми сталкиваются женщины из числа коренного населения.</w:t>
      </w:r>
    </w:p>
    <w:p w:rsidR="00000000" w:rsidRDefault="00000000">
      <w:pPr>
        <w:pStyle w:val="BodyText"/>
      </w:pPr>
      <w:r>
        <w:t>16.</w:t>
      </w:r>
      <w:r>
        <w:tab/>
        <w:t>Статистические данные и информация об изменениях в положении женщин в Австралии содержатся в Добавлении А.</w:t>
      </w:r>
    </w:p>
    <w:p w:rsidR="00000000" w:rsidRDefault="00000000">
      <w:pPr>
        <w:pStyle w:val="Heading1"/>
      </w:pPr>
      <w:bookmarkStart w:id="30" w:name="_Toc67298474"/>
      <w:bookmarkStart w:id="31" w:name="_Toc67298502"/>
      <w:bookmarkStart w:id="32" w:name="_Toc70142918"/>
      <w:bookmarkStart w:id="33" w:name="_Toc70228645"/>
      <w:bookmarkStart w:id="34" w:name="_Toc70229046"/>
      <w:bookmarkStart w:id="35" w:name="_Toc70234809"/>
      <w:bookmarkStart w:id="36" w:name="_Toc70235312"/>
      <w:r>
        <w:t>Оговорки Австралии в отношении КЛДЖ</w:t>
      </w:r>
      <w:bookmarkEnd w:id="30"/>
      <w:bookmarkEnd w:id="31"/>
      <w:bookmarkEnd w:id="32"/>
      <w:bookmarkEnd w:id="33"/>
      <w:bookmarkEnd w:id="34"/>
      <w:bookmarkEnd w:id="35"/>
      <w:bookmarkEnd w:id="36"/>
    </w:p>
    <w:p w:rsidR="00000000" w:rsidRDefault="00000000">
      <w:pPr>
        <w:pStyle w:val="BodyText"/>
      </w:pPr>
      <w:r>
        <w:t>17.</w:t>
      </w:r>
      <w:r>
        <w:tab/>
        <w:t>В момент вступления Конвенции в силу для Австралии в 1983 году федеральное правительство заявило, что оно не в состоянии принять предусмотренные в пункте 2 b) статьи 11 меры, которые касаются предоставления отпуска по беременности и родам с сохранением содержания или аналогичных социальных пособий по всей территории Австралии. Федеральное правительство также заявило, что оно не может обеспечить выполнение тех положений Конвенции, в соответствии с которыми ему пришлось бы пересматривать государственную оборонную политику, запрещающую привлекать женщин к участию в боевых действиях.</w:t>
      </w:r>
    </w:p>
    <w:p w:rsidR="00000000" w:rsidRDefault="00000000">
      <w:pPr>
        <w:pStyle w:val="BodyText"/>
      </w:pPr>
      <w:r>
        <w:t>18.</w:t>
      </w:r>
      <w:r>
        <w:tab/>
        <w:t>Что касается оговорок в отношении Конвенции, то следует отметить, что Австралия стремится:</w:t>
      </w:r>
    </w:p>
    <w:p w:rsidR="00000000" w:rsidRDefault="00000000">
      <w:pPr>
        <w:pStyle w:val="enumlev-2"/>
      </w:pPr>
      <w:r>
        <w:t>свести к минимуму любые оговорки в отношении КЛДЖ;</w:t>
      </w:r>
    </w:p>
    <w:p w:rsidR="00000000" w:rsidRDefault="00000000">
      <w:pPr>
        <w:pStyle w:val="enumlev-2"/>
      </w:pPr>
      <w:r>
        <w:t>как можно предметнее и точнее формулировать любые подобные оговорки;</w:t>
      </w:r>
    </w:p>
    <w:p w:rsidR="00000000" w:rsidRDefault="00000000">
      <w:pPr>
        <w:pStyle w:val="enumlev-2"/>
        <w:spacing w:after="240"/>
      </w:pPr>
      <w:r>
        <w:t>по возможности регулярно пересматривать сделанные оговорки в целях их снятия.</w:t>
      </w:r>
    </w:p>
    <w:p w:rsidR="00000000" w:rsidRDefault="00000000">
      <w:pPr>
        <w:pStyle w:val="BodyText"/>
      </w:pPr>
      <w:r>
        <w:t>19.</w:t>
      </w:r>
      <w:r>
        <w:tab/>
        <w:t>Снятие оговорок в отношении любого международного договора является предметом внутреннего договорного процесса в Австралии и требует продолжительных предварительных консультаций с правительствами штатов и территорий и обществом в целом, а также согласия обеих палат парламента Австралийского Союза.</w:t>
      </w:r>
    </w:p>
    <w:p w:rsidR="00000000" w:rsidRDefault="00000000">
      <w:pPr>
        <w:pStyle w:val="BodyText"/>
      </w:pPr>
      <w:r>
        <w:t>20.</w:t>
      </w:r>
      <w:r>
        <w:tab/>
        <w:t>Более подробную информацию о двух оговорках Австралии к КЛДЖ см. в комментариях по осуществлению статьи 11 Конвенции.</w:t>
      </w:r>
    </w:p>
    <w:p w:rsidR="00000000" w:rsidRDefault="00000000">
      <w:pPr>
        <w:pStyle w:val="Article"/>
        <w:spacing w:after="120"/>
      </w:pPr>
      <w:r>
        <w:br w:type="page"/>
      </w:r>
      <w:bookmarkStart w:id="37" w:name="_Toc70142919"/>
      <w:bookmarkStart w:id="38" w:name="_Toc70228646"/>
      <w:bookmarkStart w:id="39" w:name="_Toc70229047"/>
      <w:bookmarkStart w:id="40" w:name="_Toc70235313"/>
      <w:r>
        <w:t>СТАТЬИ 1–3:  Определение дискриминации в отношении женщин, обязательства в отношении ликвидации дискриминации, обеспечения развития и улучшения положения женщин</w:t>
      </w:r>
      <w:bookmarkEnd w:id="37"/>
      <w:bookmarkEnd w:id="38"/>
      <w:bookmarkEnd w:id="39"/>
      <w:bookmarkEnd w:id="40"/>
    </w:p>
    <w:p w:rsidR="00000000" w:rsidRDefault="00000000">
      <w:pPr>
        <w:pStyle w:val="BodyText"/>
      </w:pPr>
      <w:r>
        <w:t>21.</w:t>
      </w:r>
      <w:r>
        <w:tab/>
        <w:t>В Австралии имеется обширная база антидискриминационных законодательных положений, стратегий и программ, действующих на федеральном уровне, на уровне отдельных штатов и территорий и направленных на улучшение положения женщин, а также защиту их прав. С момента представления последнего доклада Австралии институциональные механизмы по улучшению положения женщин продолжали действовать и совершенствоваться в интересах защиты прав человека женщин. На всех уровнях государственной власти существуют специализированные механизмы, занимающиеся распространением информации и оказанием консультационных услуг по вопросам, касающимся положения женщин, а также мониторингом и оценкой результатов осуществления государственной политики и программ в интересах женщин.</w:t>
      </w:r>
    </w:p>
    <w:p w:rsidR="00000000" w:rsidRDefault="00000000">
      <w:pPr>
        <w:pStyle w:val="Article-ref"/>
        <w:spacing w:before="240" w:after="120"/>
      </w:pPr>
      <w:bookmarkStart w:id="41" w:name="_Toc70142920"/>
      <w:bookmarkStart w:id="42" w:name="_Toc70228647"/>
      <w:bookmarkStart w:id="43" w:name="_Toc70229048"/>
      <w:bookmarkStart w:id="44" w:name="_Toc70235314"/>
      <w:r>
        <w:t>Инициативы федерального правительства</w:t>
      </w:r>
      <w:bookmarkEnd w:id="41"/>
      <w:bookmarkEnd w:id="42"/>
      <w:bookmarkEnd w:id="43"/>
      <w:bookmarkEnd w:id="44"/>
    </w:p>
    <w:p w:rsidR="00000000" w:rsidRDefault="00000000">
      <w:pPr>
        <w:pStyle w:val="BodyText"/>
      </w:pPr>
      <w:r>
        <w:t>22.</w:t>
      </w:r>
      <w:r>
        <w:tab/>
        <w:t>В настоящее время в Австралии готовится проект второго Национального плана действий по правам человека (НАП)</w:t>
      </w:r>
      <w:r>
        <w:rPr>
          <w:i/>
        </w:rPr>
        <w:t>.</w:t>
      </w:r>
      <w:r>
        <w:t xml:space="preserve"> Первый НАП был издан в 1994 году после принятия на Венской всемирной конференции по правам человека в 1993 году предложения Австралии в отношении того, чтобы такие НАП готовились всеми странами. В 1995 и 1996–1997 годах в этот План были внесены дополнения. В НАП излагается подход Австралии в области защиты прав человека в стране применительно к широкому ряду гражданских, политических, экономических, социальных и культурных прав.</w:t>
      </w:r>
    </w:p>
    <w:p w:rsidR="00000000" w:rsidRDefault="00000000">
      <w:pPr>
        <w:pStyle w:val="BodyText"/>
      </w:pPr>
      <w:r>
        <w:t>23.</w:t>
      </w:r>
      <w:r>
        <w:tab/>
        <w:t>Австралия считает, что самый эффективный и надежный способ обеспечить соблюдение прав человека и уменьшить, а возможно, и ликвидировать практику дискриминации состоит в том, чтобы повысить осведомленность общества об индивидуальных правах и обязанностях и тем самым способствовать большей терпимости и уважению в обществе. Два раза в год Генеральный прокурор организует форум НПО по проблемам прав человека в Австралии. К участию в работе таких форумов приглашаются представители свыше 60 особо заинтересованных групп и других занимающихся этими проблемам организаций. Форумы НПО предоставляют общественным организациям широкие возможности обсудить с Генеральным прокурором и государственными должностными лицами внутренние проблемы в области прав человека и достижения в этой области, а правительству – возможность услышать мнения и предложения заинтересованных партнеров; форумы содействуют проведению конструктивного диалога.</w:t>
      </w:r>
    </w:p>
    <w:p w:rsidR="00000000" w:rsidRDefault="00000000">
      <w:pPr>
        <w:pStyle w:val="BodyText"/>
      </w:pPr>
      <w:r>
        <w:t>24.</w:t>
      </w:r>
      <w:r>
        <w:tab/>
        <w:t>Информацию по таким темам, как Закон 1984 года о запрете дискриминации по признаку пола; Закон 1975 года о недопущении расовой дискриминации; Закон 1992 года о недопущении дискриминации в отношении инвалидов; Обзор Закона 1986 года о гарантировании равного участия (обеспечении равных возможностей для женщин в сфере занятости), см. в докладе Австралии об осуществлении Пекинской платформы действий (2000 год).</w:t>
      </w:r>
    </w:p>
    <w:p w:rsidR="00000000" w:rsidRDefault="00000000">
      <w:pPr>
        <w:pStyle w:val="Heading1"/>
        <w:spacing w:after="120"/>
      </w:pPr>
      <w:bookmarkStart w:id="45" w:name="_Toc70142921"/>
      <w:bookmarkStart w:id="46" w:name="_Toc70228648"/>
      <w:bookmarkStart w:id="47" w:name="_Toc70229049"/>
      <w:bookmarkStart w:id="48" w:name="_Toc70234812"/>
      <w:bookmarkStart w:id="49" w:name="_Toc70235315"/>
      <w:r>
        <w:t>Комиссия по правам человека и обеспечению равных возможностей (КПЧРВ)</w:t>
      </w:r>
      <w:bookmarkEnd w:id="45"/>
      <w:bookmarkEnd w:id="46"/>
      <w:bookmarkEnd w:id="47"/>
      <w:bookmarkEnd w:id="48"/>
      <w:bookmarkEnd w:id="49"/>
    </w:p>
    <w:p w:rsidR="00000000" w:rsidRDefault="00000000">
      <w:pPr>
        <w:pStyle w:val="BodyText"/>
      </w:pPr>
      <w:r>
        <w:t>25.</w:t>
      </w:r>
      <w:r>
        <w:tab/>
        <w:t>В 2001 году по случаю Международного женского дня КПЧРВ опубликовала Информационный пакет КЛДЖ. Цель данного пакета состоит в том, чтобы повысить информированность женщин Австралии в вопросах, касающихся прав человека и их роли в повседневной жизни в Австралии и повсюду в мире. Он призван оказать женщинам помощь в их борьбе за соблюдение прав человека и повышение осведомленности общественности о правах человека женщин.</w:t>
      </w:r>
    </w:p>
    <w:p w:rsidR="00000000" w:rsidRDefault="00000000">
      <w:pPr>
        <w:pStyle w:val="BodyText"/>
      </w:pPr>
      <w:r>
        <w:t>26.</w:t>
      </w:r>
      <w:r>
        <w:tab/>
        <w:t>В июне 2001 года правительство объявило о назначении г-жи Прю Говард на должность Специального уполномоченного по борьбе с дискриминацией по признаку пола. Занимая эту важную должность, г-жа Говард опирается на имеющийся у нее опыт в решении вопросов, с которыми сталкиваются женщины, занимающиеся предпринимательством, работающие на государственной службе и в средствах массовой информации. Ранее она являлась Национальным директором Австралийского института собственности, а с 1997 по 1999 год – первым помощником Секретаря Управления по вопросам положения женщин (УВПЖ).</w:t>
      </w:r>
    </w:p>
    <w:p w:rsidR="00000000" w:rsidRDefault="00000000">
      <w:pPr>
        <w:pStyle w:val="Heading1"/>
        <w:spacing w:after="120"/>
      </w:pPr>
      <w:bookmarkStart w:id="50" w:name="_Toc70142922"/>
      <w:bookmarkStart w:id="51" w:name="_Toc70228649"/>
      <w:bookmarkStart w:id="52" w:name="_Toc70229050"/>
      <w:bookmarkStart w:id="53" w:name="_Toc70234813"/>
      <w:bookmarkStart w:id="54" w:name="_Toc70235316"/>
      <w:r>
        <w:t>Федеральное управление по вопросам положения женщин</w:t>
      </w:r>
      <w:bookmarkEnd w:id="50"/>
      <w:bookmarkEnd w:id="51"/>
      <w:bookmarkEnd w:id="52"/>
      <w:bookmarkEnd w:id="53"/>
      <w:bookmarkEnd w:id="54"/>
    </w:p>
    <w:p w:rsidR="00000000" w:rsidRDefault="00000000">
      <w:pPr>
        <w:pStyle w:val="BodyText"/>
      </w:pPr>
      <w:r>
        <w:t>27.</w:t>
      </w:r>
      <w:r>
        <w:tab/>
        <w:t>В 2001 году сенатор Аманда Ванстоун, занимавшая в тот момент должность министра-помощника премьер-министра по делам, касающимся положения женщин, выдвинула новый стратегический план под названием Деятельность в интересах женщин – стратегические направления работы на 2001–2003 годы. Этот план служит основой для усилий УВПЖ в области укрепления партнерских отношений между правительством, профессиональными ассоциациями, промышленными кругами и женскими группами. В плане определены следующие приоритетные области: повышение экономической самообеспеченности и безопасности женщин в течение всей их жизни; достижение оптимального социального статуса; ликвидация насилия; и обеспечение здоровья и благополучия женщин на протяжении всей их жизни.</w:t>
      </w:r>
    </w:p>
    <w:p w:rsidR="00000000" w:rsidRDefault="00000000">
      <w:pPr>
        <w:pStyle w:val="BodyText"/>
      </w:pPr>
      <w:r>
        <w:t>28.</w:t>
      </w:r>
      <w:r>
        <w:tab/>
        <w:t>В августе 2001 года при финансовой поддержке правительства УВПЖ организовало первую Общенациональную конференцию по проблемам женщин под названием "Говорят австралийские женщины". Для участия в этой Конференции со всей Австралии были приглашены женщины, представители общинных организаций, женщины – государственные служащие, предприниматели, работники учебных заведений и научных учреждений для обмена знаниями, опытом и разнообразными мнениями в ходе пленарных заседаний и рабочих совещаний. В 2003 году состоялась вторая Конференция "Говорят австралийские женщины", которая использовала успешные результаты первой Конференции. Для участия в Конференции прибыли свыше 400 делегатов со всей Австралии. Темы Конференции включали: Первопроходцы: от получения избирательных прав до XXI века; Работающие женщины и система охраны здоровья; и Женщины в сфере предпринимательства. Эта Конференция была проведена в ознаменование столетней годовщины со дня получения австралийскими женщинами избирательных прав (16 декабря 1903 года) и достижений женщин Австралии. Конференция внесла позитивный вклад в разработку эффективных стратегий, направленных на достижение позитивных результатов и в других областях деятельности.</w:t>
      </w:r>
    </w:p>
    <w:p w:rsidR="00000000" w:rsidRDefault="00000000">
      <w:pPr>
        <w:pStyle w:val="Heading1"/>
        <w:spacing w:after="120"/>
      </w:pPr>
      <w:bookmarkStart w:id="55" w:name="_Toc70142923"/>
      <w:bookmarkStart w:id="56" w:name="_Toc70228650"/>
      <w:bookmarkStart w:id="57" w:name="_Toc70229051"/>
      <w:bookmarkStart w:id="58" w:name="_Toc70234814"/>
      <w:bookmarkStart w:id="59" w:name="_Toc70235317"/>
      <w:r>
        <w:t>Парламентская консультативная женская группа</w:t>
      </w:r>
      <w:bookmarkEnd w:id="55"/>
      <w:bookmarkEnd w:id="56"/>
      <w:bookmarkEnd w:id="57"/>
      <w:bookmarkEnd w:id="58"/>
      <w:bookmarkEnd w:id="59"/>
    </w:p>
    <w:p w:rsidR="00000000" w:rsidRDefault="00000000">
      <w:pPr>
        <w:pStyle w:val="BodyText"/>
      </w:pPr>
      <w:r>
        <w:t>29.</w:t>
      </w:r>
      <w:r>
        <w:tab/>
        <w:t>С мая–июля 2001 года Группа оказывала содействие в организации ряда форумов на уровне штатов и территорий, в которых приняли участие женщины-мигранты и беженцы, а также представляющие их интересы организации. Эти форумы оказали большую помощь женщинам из неанглоязычной среды в понимании будущих направлений политики.</w:t>
      </w:r>
    </w:p>
    <w:p w:rsidR="00000000" w:rsidRDefault="00000000">
      <w:pPr>
        <w:pStyle w:val="Heading1"/>
        <w:spacing w:before="120" w:after="40"/>
      </w:pPr>
      <w:bookmarkStart w:id="60" w:name="_Toc70142924"/>
      <w:bookmarkStart w:id="61" w:name="_Toc70228651"/>
      <w:bookmarkStart w:id="62" w:name="_Toc70229052"/>
      <w:bookmarkStart w:id="63" w:name="_Toc70234815"/>
      <w:bookmarkStart w:id="64" w:name="_Toc70235318"/>
      <w:r>
        <w:t>Учет гендерной проблематики</w:t>
      </w:r>
      <w:bookmarkEnd w:id="60"/>
      <w:bookmarkEnd w:id="61"/>
      <w:bookmarkEnd w:id="62"/>
      <w:bookmarkEnd w:id="63"/>
      <w:bookmarkEnd w:id="64"/>
    </w:p>
    <w:p w:rsidR="00000000" w:rsidRDefault="00000000">
      <w:pPr>
        <w:pStyle w:val="BodyText"/>
      </w:pPr>
      <w:r>
        <w:t>30.</w:t>
      </w:r>
      <w:r>
        <w:tab/>
        <w:t>В 2001–2003 годах УВПЖ разработало пакет информационных ресурсов (памятки и руководства) и открыло для государственных учреждений Линию по оказанию содействия в учете гендерной проблематики, с тем чтобы помочь им учитывать гендерные вопросы в проводимой ими политике, осуществляемых программах и оказываемых услугах. В 2001 году правительство выделило Австралийской национальной сети по защите прав женщин финансовые средства для разработки материалов по вопросам учета гендерной проблематики и организации экспериментальных курсов подготовки для общинных групп. Неправительственным организациям также будет рекомендовано включать гендерные вопросы в сферу своей деятельности.</w:t>
      </w:r>
    </w:p>
    <w:p w:rsidR="00000000" w:rsidRDefault="00000000">
      <w:pPr>
        <w:pStyle w:val="Article-ref"/>
        <w:spacing w:before="240" w:after="120"/>
      </w:pPr>
      <w:bookmarkStart w:id="65" w:name="_Toc70142925"/>
      <w:bookmarkStart w:id="66" w:name="_Toc70228652"/>
      <w:bookmarkStart w:id="67" w:name="_Toc70229053"/>
      <w:bookmarkStart w:id="68" w:name="_Toc70235319"/>
      <w:r>
        <w:t>Инициативы штатов и территорий</w:t>
      </w:r>
      <w:bookmarkEnd w:id="65"/>
      <w:bookmarkEnd w:id="66"/>
      <w:bookmarkEnd w:id="67"/>
      <w:bookmarkEnd w:id="68"/>
    </w:p>
    <w:p w:rsidR="00000000" w:rsidRDefault="00000000">
      <w:pPr>
        <w:pStyle w:val="BodyText"/>
      </w:pPr>
      <w:r>
        <w:t>31.</w:t>
      </w:r>
      <w:r>
        <w:tab/>
        <w:t>С 1995 года все правительства штатов и территорий продолжают поддерживать и укреплять женские институциональные механизмы, занимающиеся мониторингом и борьбой с дискриминацией в отношении женщин.</w:t>
      </w:r>
    </w:p>
    <w:p w:rsidR="00000000" w:rsidRDefault="00000000">
      <w:pPr>
        <w:pStyle w:val="Heading2"/>
        <w:spacing w:before="240"/>
      </w:pPr>
      <w:bookmarkStart w:id="69" w:name="_Toc70142780"/>
      <w:bookmarkStart w:id="70" w:name="_Toc70142926"/>
      <w:bookmarkStart w:id="71" w:name="_Toc70228653"/>
      <w:bookmarkStart w:id="72" w:name="_Toc70229054"/>
      <w:bookmarkStart w:id="73" w:name="_Toc70234817"/>
      <w:bookmarkStart w:id="74" w:name="_Toc70235320"/>
      <w:r>
        <w:t>Австралийская столичная территория</w:t>
      </w:r>
      <w:bookmarkEnd w:id="69"/>
      <w:bookmarkEnd w:id="70"/>
      <w:bookmarkEnd w:id="71"/>
      <w:bookmarkEnd w:id="72"/>
      <w:bookmarkEnd w:id="73"/>
      <w:bookmarkEnd w:id="74"/>
    </w:p>
    <w:p w:rsidR="00000000" w:rsidRDefault="00000000">
      <w:pPr>
        <w:pStyle w:val="BodyText"/>
      </w:pPr>
      <w:r>
        <w:t>32.</w:t>
      </w:r>
      <w:r>
        <w:tab/>
        <w:t>Одна из целей Закона 1991 года о недопущении дискриминации состоит в том, чтобы "содействовать признанию и пониманию обществом необходимости обеспечения равенства мужчин и женщин". В законодательстве дается определение неправомерной дискриминации, описываются те сферы жизни, в которых дискриминация является неправомерной, предусматриваются механизмы подачи и рассмотрения жалоб в связи с проявлениями дискриминации. Регулярно проводится анализ других законов АСТ на предмет выявления их воздействия на женщин, и Специальный уполномоченный по борьбе с дискриминацией обращает внимание на законы или проекты законов, которые противоречат Закону 1991 года о недопущении дискриминации. Специальный уполномоченный по борьбе с дискриминацией и Управление АСТ по правам человека осуществляют широкий спектр информационно-просветительских программ в интересах всего населения АСТ, посвященных вопросам дискриминации. Весь комплекс услуг предоставляется бесплатно и с целью информировать граждан о правах и обязанностях, имеющихся у них в соответствии с Законом о недопущении дискриминации.</w:t>
      </w:r>
    </w:p>
    <w:p w:rsidR="00000000" w:rsidRDefault="00000000">
      <w:pPr>
        <w:pStyle w:val="BodyText"/>
      </w:pPr>
      <w:r>
        <w:t>33.</w:t>
      </w:r>
      <w:r>
        <w:tab/>
        <w:t>В ноябре 2001 года правительство АСТ образовало при Законодательном собрании Комитет по положению женщин. В ноябре 2002 года этот Комитет опубликовал свой первый доклад. В докладе затрагиваются самые различные вопросы, касающиеся положения женщин, в том числе неодинаковое воздействие на женщин, предупреждение насилия и обеспечение безопасности женщин и целевая поддержка женщин.</w:t>
      </w:r>
    </w:p>
    <w:p w:rsidR="00000000" w:rsidRDefault="00000000">
      <w:pPr>
        <w:pStyle w:val="Heading2"/>
        <w:spacing w:before="240"/>
      </w:pPr>
      <w:bookmarkStart w:id="75" w:name="_Toc70142781"/>
      <w:bookmarkStart w:id="76" w:name="_Toc70142927"/>
      <w:bookmarkStart w:id="77" w:name="_Toc70228654"/>
      <w:bookmarkStart w:id="78" w:name="_Toc70229055"/>
      <w:bookmarkStart w:id="79" w:name="_Toc70234818"/>
      <w:bookmarkStart w:id="80" w:name="_Toc70235321"/>
      <w:r>
        <w:t>Новый Южный Уэльс</w:t>
      </w:r>
      <w:bookmarkEnd w:id="75"/>
      <w:bookmarkEnd w:id="76"/>
      <w:bookmarkEnd w:id="77"/>
      <w:bookmarkEnd w:id="78"/>
      <w:bookmarkEnd w:id="79"/>
      <w:bookmarkEnd w:id="80"/>
    </w:p>
    <w:p w:rsidR="00000000" w:rsidRDefault="00000000">
      <w:pPr>
        <w:pStyle w:val="BodyText"/>
      </w:pPr>
      <w:r>
        <w:t>34.</w:t>
      </w:r>
      <w:r>
        <w:tab/>
        <w:t>После 1995 года правительство Нового Южного Уэльса разработало целый ряд планов действий, направленных на защиту женщин от дискриминации и содействие полноправному участию женщин в жизни общества. Принципы равенства, равного доступа, равноправия и равного участия закреплены в Плане действий в интересах женщин на 2000–2002 годы, что является основой для решения особых проблем женщин, имеющих наименьший доступ к социальным и экономическим ресурсам. В этом Плане также нашли отражение обещания содействовать дальнейшему выполнению обязательств Австралии в соответствии с КЛДЖ, которые были предусмотрены в Платформе действий, принятой на четвертой Конференции Организации Объединенных Наций по проблемам женщин, состоявшейся в Пекине в 1995 году, и которые были одобрены на Конференции "Пекин+5", состоявшейся в 2000 году. В Плане затрагиваются ряд ключевых проблем и потребностей женщин в таких областях, как оплачиваемый и неоплачиваемый труд; охрана здоровья и жилищные услуги; насилие и безопасность; участие в управлении и принятии решений; равенство в области уголовного правосудия и гражданского права; доступ к информации; уход за детьми; образование и профессиональная подготовка.</w:t>
      </w:r>
    </w:p>
    <w:p w:rsidR="00000000" w:rsidRDefault="00000000">
      <w:pPr>
        <w:pStyle w:val="Heading2"/>
      </w:pPr>
      <w:bookmarkStart w:id="81" w:name="_Toc70142782"/>
      <w:bookmarkStart w:id="82" w:name="_Toc70142928"/>
      <w:bookmarkStart w:id="83" w:name="_Toc70228655"/>
      <w:bookmarkStart w:id="84" w:name="_Toc70229056"/>
      <w:bookmarkStart w:id="85" w:name="_Toc70234819"/>
      <w:bookmarkStart w:id="86" w:name="_Toc70235322"/>
      <w:r>
        <w:t>Северная территория</w:t>
      </w:r>
      <w:bookmarkEnd w:id="81"/>
      <w:bookmarkEnd w:id="82"/>
      <w:bookmarkEnd w:id="83"/>
      <w:bookmarkEnd w:id="84"/>
      <w:bookmarkEnd w:id="85"/>
      <w:bookmarkEnd w:id="86"/>
    </w:p>
    <w:p w:rsidR="00000000" w:rsidRDefault="00000000">
      <w:pPr>
        <w:pStyle w:val="BodyText"/>
      </w:pPr>
      <w:r>
        <w:t>35.</w:t>
      </w:r>
      <w:r>
        <w:tab/>
        <w:t>В 2001 году главный министр Северной территории Клэр Мартин, депутат Законодательного собрания, стала первой женщиной, возглавившей правительство Северной территории; она несет главную ответственность за проведение политики в отношении женщин. Содействие главному министру в осуществлении этой политики также оказывает министр здравоохранения и по вопросам услуг населению Джейн Аагаард.</w:t>
      </w:r>
    </w:p>
    <w:p w:rsidR="00000000" w:rsidRDefault="00000000">
      <w:pPr>
        <w:pStyle w:val="BodyText"/>
      </w:pPr>
      <w:r>
        <w:t>36.</w:t>
      </w:r>
      <w:r>
        <w:tab/>
        <w:t>Основная задача ведущего государственного учреждения, действующего в интересах женщин, – Управления по вопросам политики в отношении женщин, – это вовлечение женщин в процесс разработки государственной политики; обеспечение участия женщин в принятии решений, с тем чтобы женщины могли участвовать в процессе планирования и оказания услуг по имеющим для них особое значение вопросам; координация деятельности и представление отчетов о результатах политики, программ и услуг в интересах женщин, осуществляемых государственным сектором на всей Северной территории; а также максимально широкое распространение информации среди женщин с помощью самых разнообразных информационных стратегий и технологий. Приоритетные направления работы этого Управления были определены в результате проведения специальных и регулярных консультаций с женщинами. Такими приоритетными направлениями являются: участие в работе руководящих органов; экономическая самостоятельность и участие в рабочей силе; образование, профессиональная подготовка и продвижение по службе; общественная и личная безопасность; стиль жизни и благополучие. Через Межведомственный "круглый стол" по вопросам политики в отношении женщин распространяются сведения о программных мероприятиях в связи с осуществлением обязательств государства, касающихся женщин. В целях содействия выработки государственной стратегии в соответствующей области в 2002–2003 годах планируется проведение "круглого стола" по вопросам политики в отношении женщин из числа коренного населения.</w:t>
      </w:r>
    </w:p>
    <w:p w:rsidR="00000000" w:rsidRDefault="00000000">
      <w:pPr>
        <w:pStyle w:val="BodyText"/>
      </w:pPr>
      <w:r>
        <w:t>37.</w:t>
      </w:r>
      <w:r>
        <w:tab/>
        <w:t>Управление по борьбе с дискриминацией следит за осуществлением Закона 1992 года о недопущении дискриминации, рассматривает жалобы, ведет информационно-просветительскую работу и содействует обеспечению равных возможностей, защищая граждан от дискриминации и сексуальных домогательств.</w:t>
      </w:r>
    </w:p>
    <w:p w:rsidR="00000000" w:rsidRDefault="00000000">
      <w:pPr>
        <w:pStyle w:val="BodyText"/>
      </w:pPr>
      <w:r>
        <w:t>38.</w:t>
      </w:r>
      <w:r>
        <w:tab/>
        <w:t>В целях улучшения доступа коренного населения, прежде всего к услугам в области здравоохранения и права, правительство создало Службу устного и письменного перевода для коренного населения. Эта Служба совместно финансируется федеральным правительством и правительством Северной территории.</w:t>
      </w:r>
    </w:p>
    <w:p w:rsidR="00000000" w:rsidRDefault="00000000">
      <w:pPr>
        <w:pStyle w:val="Heading2"/>
      </w:pPr>
      <w:bookmarkStart w:id="87" w:name="_Toc70142783"/>
      <w:bookmarkStart w:id="88" w:name="_Toc70142929"/>
      <w:bookmarkStart w:id="89" w:name="_Toc70228656"/>
      <w:bookmarkStart w:id="90" w:name="_Toc70229057"/>
      <w:bookmarkStart w:id="91" w:name="_Toc70234820"/>
      <w:bookmarkStart w:id="92" w:name="_Toc70235323"/>
      <w:r>
        <w:t>Квинсленд</w:t>
      </w:r>
      <w:bookmarkEnd w:id="87"/>
      <w:bookmarkEnd w:id="88"/>
      <w:bookmarkEnd w:id="89"/>
      <w:bookmarkEnd w:id="90"/>
      <w:bookmarkEnd w:id="91"/>
      <w:bookmarkEnd w:id="92"/>
    </w:p>
    <w:p w:rsidR="00000000" w:rsidRDefault="00000000">
      <w:pPr>
        <w:pStyle w:val="BodyText"/>
      </w:pPr>
      <w:r>
        <w:t>39.</w:t>
      </w:r>
      <w:r>
        <w:tab/>
        <w:t>Управление по вопросам положения женщин сотрудничает с главными заинтересованными сторонами в разработке Повестки дня для женщин и девушек в штате Квинсленд. В этой Повестке дня определяются ключевые вопросы и новые тенденции, которые будут оказывать свое воздействие на женщин штата Квинсленд в течение ближайших трех–пяти лет, цели работы в интересах женщин и девушек штата Квинсленд, а также ряд стратегий по решению возникающих проблем и достижению намеченных в Повестке дня целей.</w:t>
      </w:r>
    </w:p>
    <w:p w:rsidR="00000000" w:rsidRDefault="00000000">
      <w:pPr>
        <w:pStyle w:val="BodyText"/>
      </w:pPr>
      <w:r>
        <w:t>40.</w:t>
      </w:r>
      <w:r>
        <w:tab/>
        <w:t>В Ежегодном плане действий на 2001–2002 годы под названием "Женщины и девушки в штате, где о них заботятся" определяются стратегии, которые будут осуществляться соответствующими департаментами в целях улучшения положения женщин и девушек в штате Квинсленд и обеспечения их участия в жизни Квинсленда на взаимовыгодной основе. В Ежегодном плане действий на 2002–2003 годы будет содержаться информация о достигнутом прогрессе, новых стратегиях и инициативах в интересах женщин и девушек.</w:t>
      </w:r>
    </w:p>
    <w:p w:rsidR="00000000" w:rsidRDefault="00000000">
      <w:pPr>
        <w:pStyle w:val="Heading2"/>
      </w:pPr>
      <w:bookmarkStart w:id="93" w:name="_Toc70142784"/>
      <w:bookmarkStart w:id="94" w:name="_Toc70142930"/>
      <w:bookmarkStart w:id="95" w:name="_Toc70228657"/>
      <w:bookmarkStart w:id="96" w:name="_Toc70229058"/>
      <w:bookmarkStart w:id="97" w:name="_Toc70234821"/>
      <w:bookmarkStart w:id="98" w:name="_Toc70235324"/>
      <w:r>
        <w:t>Южная Австралия</w:t>
      </w:r>
      <w:bookmarkEnd w:id="93"/>
      <w:bookmarkEnd w:id="94"/>
      <w:bookmarkEnd w:id="95"/>
      <w:bookmarkEnd w:id="96"/>
      <w:bookmarkEnd w:id="97"/>
      <w:bookmarkEnd w:id="98"/>
    </w:p>
    <w:p w:rsidR="00000000" w:rsidRDefault="00000000">
      <w:pPr>
        <w:pStyle w:val="BodyText"/>
      </w:pPr>
      <w:r>
        <w:t>41.</w:t>
      </w:r>
      <w:r>
        <w:rPr>
          <w:i/>
        </w:rPr>
        <w:tab/>
      </w:r>
      <w:r>
        <w:t xml:space="preserve">Программа по улучшению положения женщин, которая координируется Управлением по вопросам положения женщин штата Южная Австралия, направлена на обеспечение полноправного участия женщин во всех сферах жизни общества. Консультационный совет женщин проводит консультации для женщин по всей территории штата и консультирует правительство в вопросах, касающихся программ и политики в интересах женщин. Женская информационная служба обеспечивает бесплатную информацию, поддержку и адресную помощь женщинам повсюду в штате. Более подробные сведения см. в Заявлении по положению женщин в 2000–2001 годах на сайте </w:t>
      </w:r>
      <w:r>
        <w:rPr>
          <w:u w:val="single"/>
        </w:rPr>
        <w:t>http://www.wis.sa.gov.au</w:t>
      </w:r>
      <w:r>
        <w:t>.</w:t>
      </w:r>
    </w:p>
    <w:p w:rsidR="00000000" w:rsidRDefault="00000000">
      <w:pPr>
        <w:pStyle w:val="BodyText"/>
      </w:pPr>
      <w:r>
        <w:t>42.</w:t>
      </w:r>
      <w:r>
        <w:tab/>
        <w:t>После пересмотра Закона 1984 года о равных возможностях в Законодательный совет был представлен законопроект о поправках к этому Закону. Данный законопроект предусматривает запрещение дискриминации по причине каких-либо характерных особенностей, свойственных родственникам соответствующего лица, а также по причине возможной беременности. В нем предусматривается запрещение прямой дискриминации в связи с выполнением обязанностей по уходу за родственником/родственниками или в связи с личностью супруга или бывшего супруга соответствующего лица. В нем также говорится о недопущении дискриминации при распределении товаров, услуг или жилья по причине наличия ребенка, в том числе из-за необходимости грудного вскармливания ребенка. Законопроект отменяет общее освобождение работодателей от ответственности за сексуальные домогательства, совершенные их работниками. Вместо этого в законопроекте предусматривается, что работодатели не будут нести ответственность только в том случае, если им удастся доказать, что они предприняли разумные шаги для предотвращения сексуальных домогательств на рабочем месте.</w:t>
      </w:r>
    </w:p>
    <w:p w:rsidR="00000000" w:rsidRDefault="00000000">
      <w:pPr>
        <w:pStyle w:val="Heading2"/>
      </w:pPr>
      <w:bookmarkStart w:id="99" w:name="_Toc70142785"/>
      <w:bookmarkStart w:id="100" w:name="_Toc70142931"/>
      <w:bookmarkStart w:id="101" w:name="_Toc70228658"/>
      <w:bookmarkStart w:id="102" w:name="_Toc70229059"/>
      <w:bookmarkStart w:id="103" w:name="_Toc70234822"/>
      <w:bookmarkStart w:id="104" w:name="_Toc70235325"/>
      <w:r>
        <w:t>Штат Виктория</w:t>
      </w:r>
      <w:bookmarkEnd w:id="99"/>
      <w:bookmarkEnd w:id="100"/>
      <w:bookmarkEnd w:id="101"/>
      <w:bookmarkEnd w:id="102"/>
      <w:bookmarkEnd w:id="103"/>
      <w:bookmarkEnd w:id="104"/>
    </w:p>
    <w:p w:rsidR="00000000" w:rsidRDefault="00000000">
      <w:pPr>
        <w:pStyle w:val="BodyText"/>
      </w:pPr>
      <w:r>
        <w:t>43.</w:t>
      </w:r>
      <w:r>
        <w:tab/>
        <w:t>В 2000 году правительство штата Виктория разработало трехлетний перспективный план в интересах женщин под названием "Достойно заботиться о женщинах штата Виктория: перспективный план на 2000–2003 годы". В этом Плане затрагиваются четыре основные темы: представленность и равенство; образование, труд и экономическая самостоятельность; здравоохранение, благополучие и укрепление общин; справедливость и безопасность. Следить за осуществлением данного Плана поручено Управлению по вопросам политики в отношении женщин, которое будет раз в год представлять обновленные данные об основных достижениях, новых инициативах и принимаемых мерах. В первом обновленном докладе за 2001 год содержатся подробные сведения об основных успехах предыдущего года и новых стратегиях, которые будут реализованы в будущем. В нем также содержится полученная обновленная информация о положении женщин в контексте четырех основных тем Плана.</w:t>
      </w:r>
    </w:p>
    <w:p w:rsidR="00000000" w:rsidRDefault="00000000">
      <w:pPr>
        <w:pStyle w:val="BodyText"/>
      </w:pPr>
      <w:r>
        <w:t>44.</w:t>
      </w:r>
      <w:r>
        <w:rPr>
          <w:i/>
        </w:rPr>
        <w:tab/>
      </w:r>
      <w:r>
        <w:t>В Законе 2000 года о равных возможностях (грудное вскармливание) запрещается дискриминация в отношении кормящих матерей. Кроме того, в настоящее время на стадии рассмотрения находится Законопроект 2000 года о равных возможностях (гендерная принадлежность и сексуальная ориентация). Этот законопроект будет предусматривать запрещение дискриминации по признаку сексуальной ориентации или гендерной принадлежности того или иного лица.</w:t>
      </w:r>
    </w:p>
    <w:p w:rsidR="00000000" w:rsidRDefault="00000000">
      <w:pPr>
        <w:pStyle w:val="Heading2"/>
      </w:pPr>
      <w:bookmarkStart w:id="105" w:name="_Toc70142786"/>
      <w:bookmarkStart w:id="106" w:name="_Toc70142932"/>
      <w:bookmarkStart w:id="107" w:name="_Toc70228659"/>
      <w:bookmarkStart w:id="108" w:name="_Toc70229060"/>
      <w:bookmarkStart w:id="109" w:name="_Toc70234823"/>
      <w:bookmarkStart w:id="110" w:name="_Toc70235326"/>
      <w:r>
        <w:t>Западная Австралия</w:t>
      </w:r>
      <w:bookmarkEnd w:id="105"/>
      <w:bookmarkEnd w:id="106"/>
      <w:bookmarkEnd w:id="107"/>
      <w:bookmarkEnd w:id="108"/>
      <w:bookmarkEnd w:id="109"/>
      <w:bookmarkEnd w:id="110"/>
    </w:p>
    <w:p w:rsidR="00000000" w:rsidRDefault="00000000">
      <w:pPr>
        <w:pStyle w:val="BodyText"/>
      </w:pPr>
      <w:r>
        <w:t>45.</w:t>
      </w:r>
      <w:r>
        <w:tab/>
        <w:t>Комиссия по равным возможностям следит за осуществлением Закона 1984 года о равных возможностях. В соответствии с этим Законом в ряде областей, включая занятость, жилищное обеспечение и образование, запрещается дискриминация по признаку пола, семейного положения, беременности, расы, религиозных или политических убеждений, инвалидности, возраста, гендерной истории и необходимости выполнения семейных обязанностей.</w:t>
      </w:r>
    </w:p>
    <w:p w:rsidR="00000000" w:rsidRDefault="00000000">
      <w:pPr>
        <w:pStyle w:val="BodyText"/>
      </w:pPr>
      <w:r>
        <w:t>46.</w:t>
      </w:r>
      <w:r>
        <w:tab/>
        <w:t>Управление по вопросам политики в отношении женщин отвечает за содействие участию женщин во всех сферах жизни общества. Приоритетные направления работы правительства штата Западная Австралия в интересах женщин включают: обеспечение равных возможностей; справедливое отношение на рабочем месте; равенство перед законом; равенство в семейных отношениях; вопросы безопасности и общественной жизни; поддержка престарелых; и справедливый доступ к медицинским услугам. Эти темы были рассмотрены на Конференции по проблемам женщин в 2002 году. Были определены цели и приоритеты, к достижению которых будет стремиться Управление в течение ближайших 18 месяцев путем привлечения общин к участию в этой деятельности. Ключевую роль в определении приоритетов и разработке показателей достигнутого прогресса будет играть Консультативный совет женщин. Этот Совет будет проводить консультации по женской проблематике, в том числе в отношении определения целей, стратегий и показателей, а также следить за прогрессом и успехами в деле достижения намеченных целей и представлять соответствующие доклады.</w:t>
      </w:r>
    </w:p>
    <w:p w:rsidR="00000000" w:rsidRDefault="00000000">
      <w:pPr>
        <w:pStyle w:val="Article"/>
        <w:tabs>
          <w:tab w:val="clear" w:pos="680"/>
          <w:tab w:val="clear" w:pos="1021"/>
          <w:tab w:val="left" w:pos="1134"/>
        </w:tabs>
      </w:pPr>
      <w:r>
        <w:br w:type="page"/>
      </w:r>
      <w:bookmarkStart w:id="111" w:name="_Toc70142933"/>
      <w:bookmarkStart w:id="112" w:name="_Toc70228660"/>
      <w:bookmarkStart w:id="113" w:name="_Toc70229061"/>
      <w:bookmarkStart w:id="114" w:name="_Toc70235327"/>
      <w:r>
        <w:t>СТАТЬЯ 4:  Ускорение установления фактического равенства между мужчинами и женщинами</w:t>
      </w:r>
      <w:bookmarkEnd w:id="111"/>
      <w:bookmarkEnd w:id="112"/>
      <w:bookmarkEnd w:id="113"/>
      <w:bookmarkEnd w:id="114"/>
    </w:p>
    <w:p w:rsidR="00000000" w:rsidRDefault="00000000">
      <w:pPr>
        <w:pStyle w:val="BodyText"/>
      </w:pPr>
      <w:r>
        <w:t>47.</w:t>
      </w:r>
      <w:r>
        <w:tab/>
        <w:t>Женщины добились равенства с мужчинами в целом ряде ключевых секторов австралийского общества, например в том, что касается доли мужчин и женщин, окончивших 12-й класс средней школы и поступивших в университеты по таким специальностям, как юриспруденция и медицина. Неуклонные положительные сдвиги наблюдаются и в ряде областей, в которых женщины были обычно недостаточно представлены, например в области профессионального и технического обучения, в традиционно мужских областях обучения, на руководящих должностях и на уровне принятия решений.</w:t>
      </w:r>
    </w:p>
    <w:p w:rsidR="00000000" w:rsidRDefault="00000000">
      <w:pPr>
        <w:pStyle w:val="Article-ref"/>
      </w:pPr>
      <w:bookmarkStart w:id="115" w:name="_Toc70142934"/>
      <w:bookmarkStart w:id="116" w:name="_Toc70228661"/>
      <w:bookmarkStart w:id="117" w:name="_Toc70229062"/>
      <w:bookmarkStart w:id="118" w:name="_Toc70235328"/>
      <w:r>
        <w:t>Инициативы федерального правительства</w:t>
      </w:r>
      <w:bookmarkEnd w:id="115"/>
      <w:bookmarkEnd w:id="116"/>
      <w:bookmarkEnd w:id="117"/>
      <w:bookmarkEnd w:id="118"/>
    </w:p>
    <w:p w:rsidR="00000000" w:rsidRDefault="00000000">
      <w:pPr>
        <w:pStyle w:val="BodyText"/>
      </w:pPr>
      <w:r>
        <w:t>48.</w:t>
      </w:r>
      <w:r>
        <w:tab/>
        <w:t>Для ускорения установления фактического равенства между мужчинами и женщинами правительство поддерживает меры, одновременно обеспечивающие учет гендерной проблематики во всех направлениях осуществляемой деятельности и решение конкретных гендерных вопросов. Политика правительства состоит в том, чтобы обеспечивать поддержку мер в области образования, направленных на изменение стереотипов, препятствующих равноправию женщин и мужчин, а также осуществление инициатив, ориентированных на достижение конкретных результатов. По мнению правительства, именно такой подход, а отнюдь не установление абстрактных квот и целевых заданий, является самым действенным способом обеспечения равенства между мужчинами и женщинами.</w:t>
      </w:r>
    </w:p>
    <w:p w:rsidR="00000000" w:rsidRDefault="00000000">
      <w:pPr>
        <w:pStyle w:val="BodyText"/>
      </w:pPr>
      <w:r>
        <w:t>49.</w:t>
      </w:r>
      <w:r>
        <w:tab/>
        <w:t>В 2000 году в тесном сотрудничестве с женщинами Австралии и другими основными заинтересованными сторонами УВПЖ разработало План действий Австралии на 2001–2005 годы "Пекин+5" по осуществлению рекомендаций специальной сессии Генеральной Ассамблеи Организации Объединенных Наций по положению женщин ("Пекин+5"). Этот План действий опирается на Итоговый документ совещания "Пекин+5" и ориентируется на текущую деятельность и прогрессивные инициативы, такие как создание партнерств с участием правительств, общин, средств массовой информации, деловых кругов и женских групп.</w:t>
      </w:r>
    </w:p>
    <w:p w:rsidR="00000000" w:rsidRDefault="00000000">
      <w:pPr>
        <w:pStyle w:val="BodyText"/>
      </w:pPr>
      <w:r>
        <w:t>50.</w:t>
      </w:r>
      <w:r>
        <w:tab/>
        <w:t>Более подробная информация об этих и других соответствующих инициативах, в том числе о системе отчетности и мониторинге результатов деятельности в интересах женщин, содержится в комментариях по осуществлению статей 7, 8 и 10 Конвенции.</w:t>
      </w:r>
    </w:p>
    <w:p w:rsidR="00000000" w:rsidRDefault="00000000">
      <w:pPr>
        <w:pStyle w:val="Article-ref"/>
        <w:spacing w:before="240" w:after="120"/>
      </w:pPr>
      <w:bookmarkStart w:id="119" w:name="_Toc70142935"/>
      <w:bookmarkStart w:id="120" w:name="_Toc70228662"/>
      <w:bookmarkStart w:id="121" w:name="_Toc70229063"/>
      <w:bookmarkStart w:id="122" w:name="_Toc70235329"/>
      <w:r>
        <w:t>Инициативы штатов и территорий</w:t>
      </w:r>
      <w:bookmarkEnd w:id="119"/>
      <w:bookmarkEnd w:id="120"/>
      <w:bookmarkEnd w:id="121"/>
      <w:bookmarkEnd w:id="122"/>
    </w:p>
    <w:p w:rsidR="00000000" w:rsidRDefault="00000000">
      <w:pPr>
        <w:pStyle w:val="Heading2"/>
      </w:pPr>
      <w:bookmarkStart w:id="123" w:name="_Toc70142787"/>
      <w:bookmarkStart w:id="124" w:name="_Toc70142936"/>
      <w:bookmarkStart w:id="125" w:name="_Toc70228663"/>
      <w:bookmarkStart w:id="126" w:name="_Toc70229064"/>
      <w:bookmarkStart w:id="127" w:name="_Toc70234827"/>
      <w:bookmarkStart w:id="128" w:name="_Toc70235330"/>
      <w:r>
        <w:t>Австралийская столичная территория</w:t>
      </w:r>
      <w:bookmarkEnd w:id="123"/>
      <w:bookmarkEnd w:id="124"/>
      <w:bookmarkEnd w:id="125"/>
      <w:bookmarkEnd w:id="126"/>
      <w:bookmarkEnd w:id="127"/>
      <w:bookmarkEnd w:id="128"/>
    </w:p>
    <w:p w:rsidR="00000000" w:rsidRDefault="00000000">
      <w:pPr>
        <w:pStyle w:val="BodyText"/>
      </w:pPr>
      <w:r>
        <w:t>51.</w:t>
      </w:r>
      <w:r>
        <w:tab/>
        <w:t>В ноябре 2001 года по инициативе правительства было создано Управление по делам женщин АСТ, которое подчиняется непосредственно главному министру. Это Управление играет ключевую роль в консультировании правительства по вопросам разработки стратегии и политики в жизненно важных для женщин областях; и Управление оказывает также содействие в координации и контроле за осуществлением правительственных инициатив, влияющих на положение женщин. Все соответствующие заявки, поступающие в кабинет министров, обычно передаются на рассмотрение Управления по делам женщин. Правительство стремится увеличить представленность женщин в органах, принимающих решения, и установило целевой ориентир: достичь 50-процентной доли женщин в составе государственных советов и комитетов.</w:t>
      </w:r>
    </w:p>
    <w:p w:rsidR="00000000" w:rsidRDefault="00000000">
      <w:pPr>
        <w:pStyle w:val="BodyText"/>
        <w:spacing w:after="120"/>
      </w:pPr>
      <w:r>
        <w:t>52.</w:t>
      </w:r>
      <w:r>
        <w:rPr>
          <w:i/>
        </w:rPr>
        <w:tab/>
      </w:r>
      <w:r>
        <w:t>В Законе 1991 года о недопущении дискриминации содержатся положения, открывающие возможность принятия специальных мер для обеспечения равных возможностей или учета особых потребностей женщин. Кроме того, этот Закон запрещает дискриминацию в связи с беременностью, возможной беременностью, грудным вскармливанием и получением статуса родителя или опекуна.</w:t>
      </w:r>
    </w:p>
    <w:p w:rsidR="00000000" w:rsidRDefault="00000000">
      <w:pPr>
        <w:pStyle w:val="Heading2"/>
        <w:spacing w:before="240"/>
      </w:pPr>
      <w:bookmarkStart w:id="129" w:name="_Toc70142788"/>
      <w:bookmarkStart w:id="130" w:name="_Toc70142937"/>
      <w:bookmarkStart w:id="131" w:name="_Toc70228664"/>
      <w:bookmarkStart w:id="132" w:name="_Toc70229065"/>
      <w:bookmarkStart w:id="133" w:name="_Toc70234828"/>
      <w:bookmarkStart w:id="134" w:name="_Toc70235331"/>
      <w:r>
        <w:t>Новый Южный Уэльс</w:t>
      </w:r>
      <w:bookmarkEnd w:id="129"/>
      <w:bookmarkEnd w:id="130"/>
      <w:bookmarkEnd w:id="131"/>
      <w:bookmarkEnd w:id="132"/>
      <w:bookmarkEnd w:id="133"/>
      <w:bookmarkEnd w:id="134"/>
    </w:p>
    <w:p w:rsidR="00000000" w:rsidRDefault="00000000">
      <w:pPr>
        <w:pStyle w:val="BodyText"/>
        <w:spacing w:after="120"/>
      </w:pPr>
      <w:r>
        <w:t>53.</w:t>
      </w:r>
      <w:r>
        <w:tab/>
        <w:t>В 1995 году по инициативе правительства был создан Департамент по делам женщин, отвечающий за разработку и координацию политики, программ и услуг в интересах женщин и подготовку соответствующих докладов. Этот Департамент подчиняется непосредственно министру по делам женщин и оказывает содействие государственным учреждениям и другим организациям в вопросах, касающихся политики в отношении женщин. Правительство прилагает все силы для того, чтобы обеспечить для женщин 50 процентов всех новых назначений на должности в государственные советы и комитеты. Помимо этого, правительство финансирует большое количество программ и услуг, конкретно предназначенных для женщин. Одними из текущих инициатив Службы по вопросам расширения доступа к техническому и последующему образованию для женщин, действующих в рамках Департамента образования и профессиональной подготовки Нового Южного Уэльса, являются пересмотр программ обучения и открытие целого ряда курсов, предназначенных исключительно для женщин (см. комментарии по осуществлению статьи 10 Конвенции).</w:t>
      </w:r>
    </w:p>
    <w:p w:rsidR="00000000" w:rsidRDefault="00000000">
      <w:pPr>
        <w:pStyle w:val="Heading2"/>
        <w:spacing w:before="240"/>
      </w:pPr>
      <w:bookmarkStart w:id="135" w:name="_Toc70142789"/>
      <w:bookmarkStart w:id="136" w:name="_Toc70142938"/>
      <w:bookmarkStart w:id="137" w:name="_Toc70228665"/>
      <w:bookmarkStart w:id="138" w:name="_Toc70229066"/>
      <w:bookmarkStart w:id="139" w:name="_Toc70234829"/>
      <w:bookmarkStart w:id="140" w:name="_Toc70235332"/>
      <w:r>
        <w:t>Северная территория</w:t>
      </w:r>
      <w:bookmarkEnd w:id="135"/>
      <w:bookmarkEnd w:id="136"/>
      <w:bookmarkEnd w:id="137"/>
      <w:bookmarkEnd w:id="138"/>
      <w:bookmarkEnd w:id="139"/>
      <w:bookmarkEnd w:id="140"/>
    </w:p>
    <w:p w:rsidR="00000000" w:rsidRDefault="00000000">
      <w:pPr>
        <w:pStyle w:val="BodyText"/>
        <w:spacing w:after="120"/>
      </w:pPr>
      <w:r>
        <w:t>54.</w:t>
      </w:r>
      <w:r>
        <w:tab/>
        <w:t>В 2001 году главный министр и министр по вопросам политики в отношении женщин подчеркнул необходимость формирования более четкой системы отчетности, обеспечивающей ежегодное представление информации о результатах проводимой в Северной территории политики в отношении женщин. Управление по вопросам политики в отношении женщин будет содействовать этим усилиям, проводить соответствующие расследования и информировать правительство о возможностях применения гендерного анализа при разработке политики, касающейся государственной службы в Северной территории.</w:t>
      </w:r>
    </w:p>
    <w:p w:rsidR="00000000" w:rsidRDefault="00000000">
      <w:pPr>
        <w:pStyle w:val="BodyText"/>
        <w:spacing w:after="120"/>
      </w:pPr>
      <w:r>
        <w:t>55.</w:t>
      </w:r>
      <w:r>
        <w:tab/>
        <w:t>Главный министр приступил к созданию новой системы для увеличения процентной доли женщин, назначаемых в состав советов, органов и комитетов гражданской службы. В настоящее время направляемые в кабинет министров предложения и проводимые в министерствах брифинги, касающиеся назначений в эти органы, должны включать анализ текущего членского состава таких органов с разбивкой по полу, а также план действий, направленный на постепенное увеличение числа женщин в тех случаях, когда доля женщин в этих органах составляет менее 50 процентов. Правительство будет осуществлять контроль за выполнением таких планов действий.</w:t>
      </w:r>
    </w:p>
    <w:p w:rsidR="00000000" w:rsidRDefault="00000000">
      <w:pPr>
        <w:pStyle w:val="BodyText"/>
        <w:spacing w:after="120"/>
      </w:pPr>
      <w:r>
        <w:t>56.</w:t>
      </w:r>
      <w:r>
        <w:tab/>
        <w:t>Были усилены роль и значение Реестра женщин Северной территории, и в него был включен раздел, посвященный женщинам из числа коренного населения, а также практические советы для женщин, назначаемых в состав советов и комитетов. Вниманию женщин, назначаемых в состав советов и комитетов, будет предложена новая информация, в том числе о женщинах, работающих на руководящих должностях различных ведомств Северной территории в 2002/03 финансовом году.</w:t>
      </w:r>
    </w:p>
    <w:p w:rsidR="00000000" w:rsidRDefault="00000000">
      <w:pPr>
        <w:pStyle w:val="BodyText"/>
      </w:pPr>
      <w:r>
        <w:t>57.</w:t>
      </w:r>
      <w:r>
        <w:tab/>
        <w:t>Правительство консультируется с представителями коренного населения при определении новых приоритетных задач, имеющих важное значение для женщин из числа коренного населения. Эти женщины стремятся активнее участвовать в планировании и оценке программ, осуществляемых на уровне как общин, так и более широких правительственных программ, осуществляемых в рамках Территории. К числу конкретных приоритетных задач, выделяемых женщинами из числа коренного населения, относятся: обеспечение более активного участия женщин в принятии решений и управлении; улучшение состояния здоровья и расширение доступа к соответствующим услугам; повышение уровня образования, занятости и профессиональной подготовки, что способствует созданию новых рабочих мест и увеличивает перспективы продвижения по службе; экономическое развитие и формирование навыков, способствующих наращиванию потенциала; предупреждение насилия в семье и сексуального насилия; инициативы по профилактике злоупотребления алкоголем, наркотиками и прочими психотропными веществами; защита детей и пресечение жестокого обращения с детьми; обеспечение более широкого доступа к услугам; улучшение жилищных услуг и инфраструктуры; принятие более решительных мер для обеспечения равноправия и равных возможностей; и возможность установления гибкого графика работы, позволяющего совмещать производственные, семейные и прочие обязанности в соответствии с культурными и другими традициями.</w:t>
      </w:r>
    </w:p>
    <w:p w:rsidR="00000000" w:rsidRDefault="00000000">
      <w:pPr>
        <w:pStyle w:val="Heading2"/>
      </w:pPr>
      <w:bookmarkStart w:id="141" w:name="_Toc70142790"/>
      <w:bookmarkStart w:id="142" w:name="_Toc70142939"/>
      <w:bookmarkStart w:id="143" w:name="_Toc70228666"/>
      <w:bookmarkStart w:id="144" w:name="_Toc70229067"/>
      <w:bookmarkStart w:id="145" w:name="_Toc70234830"/>
      <w:bookmarkStart w:id="146" w:name="_Toc70235333"/>
      <w:r>
        <w:t>Квинсленд</w:t>
      </w:r>
      <w:bookmarkEnd w:id="141"/>
      <w:bookmarkEnd w:id="142"/>
      <w:bookmarkEnd w:id="143"/>
      <w:bookmarkEnd w:id="144"/>
      <w:bookmarkEnd w:id="145"/>
      <w:bookmarkEnd w:id="146"/>
    </w:p>
    <w:p w:rsidR="00000000" w:rsidRDefault="00000000">
      <w:pPr>
        <w:pStyle w:val="BodyText"/>
      </w:pPr>
      <w:r>
        <w:t>58.</w:t>
      </w:r>
      <w:r>
        <w:rPr>
          <w:i/>
        </w:rPr>
        <w:tab/>
      </w:r>
      <w:r>
        <w:t>Закон 1992 года о равных возможностях в области занятости на государственной службе способствует осуществлению программ по обеспечению равных возможностей в области занятости в рамках государственной службы штата Квинсленд. В соответствии с Законом устанавливаются целевые показатели, призванные повысить представленность женщин в государственных органах и на должностях высшего и среднего звена. С момента принятия этого Закона доля женщин на должностях старшего звена неуклонно повышалась. Целевые задания на 2000 год по всем секторам были выполнены. По состоянию на июнь 2001 года женщины составляли 56,2 процента работников государственной службы Квинсленда и занимают 26 процентов должностей старшего звена и 17,2 процента должностей старшего руководящего состава (по сравнению с 22,1 процента должностей старшего звена и 14,9 процента должностей старшего руководящего состава в июне 1998 года).</w:t>
      </w:r>
    </w:p>
    <w:p w:rsidR="00000000" w:rsidRDefault="00000000">
      <w:pPr>
        <w:pStyle w:val="BodyText"/>
      </w:pPr>
      <w:r>
        <w:t>59.</w:t>
      </w:r>
      <w:r>
        <w:tab/>
        <w:t>В ноябре 1999 года в Закон 1993 года о местных органах власти и Положение о местных органах власти были внесены поправки, направленные на ужесточение требований, предъявляемых к отчетности местных органов власти об обеспечении равных возможностей в области занятости. Советы должны представлять подробные отчеты об инициативах, направленных на недопущение дискриминации и каких-либо притеснений, а также о процессах консультаций с целевыми группами, в том числе женскими.</w:t>
      </w:r>
    </w:p>
    <w:p w:rsidR="00000000" w:rsidRDefault="00000000">
      <w:pPr>
        <w:pStyle w:val="Heading2"/>
      </w:pPr>
      <w:bookmarkStart w:id="147" w:name="_Toc70142791"/>
      <w:bookmarkStart w:id="148" w:name="_Toc70142940"/>
      <w:bookmarkStart w:id="149" w:name="_Toc70228667"/>
      <w:bookmarkStart w:id="150" w:name="_Toc70229068"/>
      <w:bookmarkStart w:id="151" w:name="_Toc70234831"/>
      <w:bookmarkStart w:id="152" w:name="_Toc70235334"/>
      <w:r>
        <w:t>Штат Виктория</w:t>
      </w:r>
      <w:bookmarkEnd w:id="147"/>
      <w:bookmarkEnd w:id="148"/>
      <w:bookmarkEnd w:id="149"/>
      <w:bookmarkEnd w:id="150"/>
      <w:bookmarkEnd w:id="151"/>
      <w:bookmarkEnd w:id="152"/>
    </w:p>
    <w:p w:rsidR="00000000" w:rsidRDefault="00000000">
      <w:pPr>
        <w:pStyle w:val="BodyText"/>
      </w:pPr>
      <w:r>
        <w:t>60.</w:t>
      </w:r>
      <w:r>
        <w:tab/>
        <w:t>Управление по вопросам политики в отношении женщин штата Виктория оказывает правительству консультативные услуги в отношении стратегии и политики, направленной на решение вопросов, имеющих важное значение для женщин, тесно сотрудничает с различными государственными службами и следит за реализацией конкретных инициатив. Управление распространяет информацию среди женщин, проживающих в штате Виктория, и консультирует женщин по интересующим их вопросам.</w:t>
      </w:r>
    </w:p>
    <w:p w:rsidR="00000000" w:rsidRDefault="00000000">
      <w:pPr>
        <w:pStyle w:val="BodyText"/>
      </w:pPr>
      <w:r>
        <w:t>61.</w:t>
      </w:r>
      <w:r>
        <w:tab/>
        <w:t>Правительство разработало программу "Достойные условия для женщин штата Виктория: перспективный план на 2000–2003 годы", в котором подробно излагаются стратегии по осуществлению проводимой правительством политики в области улучшения качества жизни женщин. Премьер-министр и министр по делам женщин ежегодно проводят Женский саммит штата Виктория. Кроме того, в рамках Программы консультативного форума женщин регулярно проводятся форумы по вопросам, представляющим интерес для женщин.</w:t>
      </w:r>
    </w:p>
    <w:p w:rsidR="00000000" w:rsidRDefault="00000000">
      <w:pPr>
        <w:pStyle w:val="BodyText"/>
        <w:spacing w:line="240" w:lineRule="exact"/>
      </w:pPr>
      <w:r>
        <w:t>62.</w:t>
      </w:r>
      <w:r>
        <w:tab/>
        <w:t>Правительство прилагает все усилия для увеличения представленности женщин в государственных органах и комитетах, установив на 2001–2002 годы 40-процентный целевой ориентир в отношении представленности женщин, стремясь при этом в долгосрочной перспективе к достижению 50-процентного показателя. Управление будет следить за прогрессом в деле достижения намеченных целей путем ежегодного сбора данных и отчетности. По состоянию на июнь 2001 года женщины составляли 36 процентов от общего числа сотрудников государственных органов и комитетов.</w:t>
      </w:r>
    </w:p>
    <w:p w:rsidR="00000000" w:rsidRDefault="00000000">
      <w:pPr>
        <w:pStyle w:val="Heading2"/>
        <w:spacing w:line="240" w:lineRule="exact"/>
      </w:pPr>
      <w:bookmarkStart w:id="153" w:name="_Toc70142792"/>
      <w:bookmarkStart w:id="154" w:name="_Toc70142941"/>
      <w:bookmarkStart w:id="155" w:name="_Toc70228668"/>
      <w:bookmarkStart w:id="156" w:name="_Toc70229069"/>
      <w:bookmarkStart w:id="157" w:name="_Toc70234832"/>
      <w:bookmarkStart w:id="158" w:name="_Toc70235335"/>
      <w:r>
        <w:t>Южная Австралия</w:t>
      </w:r>
      <w:bookmarkEnd w:id="153"/>
      <w:bookmarkEnd w:id="154"/>
      <w:bookmarkEnd w:id="155"/>
      <w:bookmarkEnd w:id="156"/>
      <w:bookmarkEnd w:id="157"/>
      <w:bookmarkEnd w:id="158"/>
    </w:p>
    <w:p w:rsidR="00000000" w:rsidRDefault="00000000">
      <w:pPr>
        <w:pStyle w:val="BodyText"/>
        <w:spacing w:line="240" w:lineRule="exact"/>
        <w:rPr>
          <w:spacing w:val="-2"/>
        </w:rPr>
      </w:pPr>
      <w:r>
        <w:rPr>
          <w:spacing w:val="-2"/>
        </w:rPr>
        <w:t>63.</w:t>
      </w:r>
      <w:r>
        <w:rPr>
          <w:i/>
          <w:spacing w:val="-2"/>
        </w:rPr>
        <w:tab/>
      </w:r>
      <w:r>
        <w:rPr>
          <w:spacing w:val="-2"/>
        </w:rPr>
        <w:t>Закон 1995 года об органах управления государственным сектором разрешает премьер-министру штата Южная Австралия осуществлять внутри государственного сектора программы по обеспечению равных возможностей в сфере занятости, предусматривающие специальные меры, направленные на создание равных возможностей в области занятости, профессиональной подготовки и развития для представителей наименее обеспеченных социальных групп и работников государственного сектора. Эти программы призваны помочь гражданам эффективно участвовать в конкурсах на соискание более высокооплачиваемой работы на основе своих профессиональных качеств.</w:t>
      </w:r>
    </w:p>
    <w:p w:rsidR="00000000" w:rsidRDefault="00000000">
      <w:pPr>
        <w:pStyle w:val="BodyText"/>
        <w:spacing w:line="240" w:lineRule="exact"/>
      </w:pPr>
      <w:r>
        <w:t>64.</w:t>
      </w:r>
      <w:r>
        <w:tab/>
        <w:t>Департамент по делам коренного населения штата Южная Австралия учредил два комитета по делам женщин из числа коренного населения: Консультативный совет штата по делам женщин-аборигенов Инк. (АВСАК) и Группу по защите прав женщин-аборигенов (АВАГ). АВСАК, в состав которого входит 15 женщин-аборигенов, осуществляет свою деятельность на основе консультаций с общинами коренного населения и оказывает консультативные услуги правительству и неправительственным организациям по вопросам, касающимся женщин-аборигенов. АВАГ действует от имени АВСАК и стремится стать независимым и самоуправляющимся советом, защищающим интересы женщин из числа коренного населения.</w:t>
      </w:r>
    </w:p>
    <w:p w:rsidR="00000000" w:rsidRDefault="00000000">
      <w:pPr>
        <w:pStyle w:val="BodyText"/>
        <w:spacing w:after="120" w:line="240" w:lineRule="exact"/>
      </w:pPr>
      <w:r>
        <w:t>65.</w:t>
      </w:r>
      <w:r>
        <w:tab/>
        <w:t>Министерство транспорта штата Южная Австралия осуществляет программы подготовки женских руководящих и управленческих кадров. В результате усилий Министерства был сформирован комитет под названием "Женщины в системе транспорта", в состав которого входят избираемые сроком на два года женщины, работающие в системе транспорта. Эта группа занимается такими вопросами, как создание сетей, совмещение производственных и семейных обязанностей, профессиональная подготовка и развитие. Ключевые задачи включают обеспечение всестороннего подхода к разработке политики и оказанию услуг в области транспорта путем оперативного создания условий, при которых женщины будут иметь возможность участвовать в процессе принятия решений. К числу недавних успехов можно отнести: исследование, посвященное изучению путей и средств, необходимых для увеличения числа женщин в административном аппарате среднего звена, и разработку программ, касающихся продвижения по службе и совмещения производственных и семейных обязанностей, а также программ, предназначенных для лиц, работающих в сельских районах.</w:t>
      </w:r>
    </w:p>
    <w:p w:rsidR="00000000" w:rsidRDefault="00000000">
      <w:pPr>
        <w:pStyle w:val="Heading2"/>
        <w:spacing w:before="240" w:line="240" w:lineRule="exact"/>
      </w:pPr>
      <w:bookmarkStart w:id="159" w:name="_Toc70142793"/>
      <w:bookmarkStart w:id="160" w:name="_Toc70142942"/>
      <w:bookmarkStart w:id="161" w:name="_Toc70228669"/>
      <w:bookmarkStart w:id="162" w:name="_Toc70229070"/>
      <w:bookmarkStart w:id="163" w:name="_Toc70234833"/>
      <w:bookmarkStart w:id="164" w:name="_Toc70235336"/>
      <w:r>
        <w:t>Западная Австралия</w:t>
      </w:r>
      <w:bookmarkEnd w:id="159"/>
      <w:bookmarkEnd w:id="160"/>
      <w:bookmarkEnd w:id="161"/>
      <w:bookmarkEnd w:id="162"/>
      <w:bookmarkEnd w:id="163"/>
      <w:bookmarkEnd w:id="164"/>
    </w:p>
    <w:p w:rsidR="00000000" w:rsidRDefault="00000000">
      <w:pPr>
        <w:pStyle w:val="BodyText"/>
        <w:spacing w:after="120" w:line="240" w:lineRule="exact"/>
      </w:pPr>
      <w:r>
        <w:t>66.</w:t>
      </w:r>
      <w:r>
        <w:tab/>
        <w:t>План обеспечения равноправия и разнообразия форм занятости для работников государственного сектора в штате Западная Австралия на период 2001–2005 годов включает разработку долгосрочных и промежуточных базовых показателей в приоритетных областях. Так, например, долю женщин на старших руководящих должностях предполагается повысить к 2005 году до 30 процентов. Правительство прилагает все усилия к тому, чтобы достичь гендерного баланса в государственных советах и комитетах. Правительство приняло решение о том, что все представляемые в кабинет министров заявки в отношении назначений в состав государственных советов и комитетов, в которых доля женщин составляет менее 50 процентов, должны сопровождаться планами действий по увеличению представленности женщин.</w:t>
      </w:r>
      <w:r>
        <w:br w:type="page"/>
      </w:r>
      <w:bookmarkStart w:id="165" w:name="_Toc70142943"/>
      <w:bookmarkStart w:id="166" w:name="_Toc70228670"/>
      <w:bookmarkStart w:id="167" w:name="_Toc70229071"/>
      <w:bookmarkStart w:id="168" w:name="_Toc70235337"/>
      <w:r>
        <w:t>СТАТЬЯ 5:  Стереотипные представления о роли мужчин и женщин</w:t>
      </w:r>
      <w:bookmarkEnd w:id="165"/>
      <w:bookmarkEnd w:id="166"/>
      <w:bookmarkEnd w:id="167"/>
      <w:bookmarkEnd w:id="168"/>
    </w:p>
    <w:p w:rsidR="00000000" w:rsidRDefault="00000000">
      <w:pPr>
        <w:pStyle w:val="BodyText"/>
        <w:spacing w:after="120"/>
      </w:pPr>
      <w:r>
        <w:t>67.</w:t>
      </w:r>
      <w:r>
        <w:tab/>
        <w:t>После представления последнего доклада Австралии правительства штатов продолжали поддерживать инициативы, направленные на устранение стереотипных представлений о роли женщин и мужчин, мешающих женщинам полностью раскрыть свой потенциал в австралийском обществе.</w:t>
      </w:r>
    </w:p>
    <w:p w:rsidR="00000000" w:rsidRDefault="00000000">
      <w:pPr>
        <w:pStyle w:val="Article-ref"/>
        <w:spacing w:before="240" w:after="120"/>
      </w:pPr>
      <w:bookmarkStart w:id="169" w:name="_Toc70142944"/>
      <w:bookmarkStart w:id="170" w:name="_Toc70228671"/>
      <w:bookmarkStart w:id="171" w:name="_Toc70229072"/>
      <w:bookmarkStart w:id="172" w:name="_Toc70234835"/>
      <w:bookmarkStart w:id="173" w:name="_Toc70235338"/>
      <w:r>
        <w:t>Инициативы федерального правительства</w:t>
      </w:r>
      <w:bookmarkEnd w:id="169"/>
      <w:bookmarkEnd w:id="170"/>
      <w:bookmarkEnd w:id="171"/>
      <w:bookmarkEnd w:id="172"/>
      <w:bookmarkEnd w:id="173"/>
    </w:p>
    <w:p w:rsidR="00000000" w:rsidRDefault="00000000">
      <w:pPr>
        <w:pStyle w:val="1-1"/>
        <w:spacing w:before="240"/>
      </w:pPr>
      <w:r>
        <w:t>План действий "Пекин+5" на 2001–2005 годы</w:t>
      </w:r>
    </w:p>
    <w:p w:rsidR="00000000" w:rsidRDefault="00000000">
      <w:pPr>
        <w:pStyle w:val="BodyText"/>
        <w:spacing w:after="120"/>
      </w:pPr>
      <w:r>
        <w:t>68.</w:t>
      </w:r>
      <w:r>
        <w:tab/>
        <w:t>Устранение имеющих пагубные последствия стереотипных представлений о роли женщин и мужчин является одной из приоритетных задач Федерального правительства, намеченных в Плане действий "Пекин+5" на 2001–2005 годы. УВПЖ проводит совещания "за круглым столом" с государственными департаментами по вопросам, касающимся осуществления этого Плана действий, в том числе по вопросам устранения гендерных стереотипов.</w:t>
      </w:r>
    </w:p>
    <w:p w:rsidR="00000000" w:rsidRDefault="00000000">
      <w:pPr>
        <w:pStyle w:val="1-1"/>
        <w:spacing w:before="240"/>
      </w:pPr>
      <w:r>
        <w:t>Изображение женщин в средствах массовой информации</w:t>
      </w:r>
    </w:p>
    <w:p w:rsidR="00000000" w:rsidRDefault="00000000">
      <w:pPr>
        <w:pStyle w:val="BodyText"/>
        <w:spacing w:after="120"/>
      </w:pPr>
      <w:r>
        <w:t>69.</w:t>
      </w:r>
      <w:r>
        <w:tab/>
        <w:t>Частные лица могут обращаться с жалобами в связи с неподобающим изображением женщин в средствах массовой информации в Управление по радио- и телевещанию Австралии, Рекламное бюро Австралии и Совет печати Австралии.</w:t>
      </w:r>
    </w:p>
    <w:p w:rsidR="00000000" w:rsidRDefault="00000000">
      <w:pPr>
        <w:pStyle w:val="BodyText"/>
        <w:spacing w:after="120"/>
      </w:pPr>
      <w:r>
        <w:t>70.</w:t>
      </w:r>
      <w:r>
        <w:tab/>
        <w:t>В соответствии с действующим законодательством всем видеоматериалам, в которых изображаются реальные сексуальные отношения между двумя не возражающими против этого взрослыми людьми, присваивается категория "Х". Такие видеоматериалы запрещены к показу лицам, не достигшим 18-летнего возраста. С сентября 2000 года по этой категории полностью запрещены все сцены насилия. Видеоматериалы по категории "Х" должны сопровождаться предупреждением о возможном пагубном воздействии материалов откровенного сексуального характера на детей. Эта мера явилась следствием ужесточения контроля со стороны министра по делам цензуры в отношении видеоматериалов категории "Х" по просьбе широкой общественности.</w:t>
      </w:r>
    </w:p>
    <w:p w:rsidR="00000000" w:rsidRDefault="00000000">
      <w:pPr>
        <w:pStyle w:val="BodyText"/>
      </w:pPr>
      <w:r>
        <w:t>71.</w:t>
      </w:r>
      <w:r>
        <w:tab/>
        <w:t>Федеральному правительству и правительствам штатов и территорий, а также промышленным организациям удалось добиться значительного прогресса в деле борьбы с изображением насилия в электронных средствах массовой информации, вызывающим все большую обеспокоенность у широких слоев общественности. Материалы со сценами насилия крайне жестокого характера помечаются грифом "Отказано в классификации". В 2002 году руководящие принципы классификации были пересмотрены в целях обеспечения их соответствия нормам общественной морали, а также решения вопросов, связанных с переходом средств массовой информации на новый цифровой формат. В 1999 году правительство разработало правовую основу, регламентирующую содержание передаваемых в онлайновом режиме программ, которая включает поправки к действующему законодательству в виде Закона 1999 года о поправках в связи с работой служб радио- и телевещания (служб, работающих в онлайновом режиме). Суть этой правовой основы заключается в том, что программы, запрещенные в режиме "оф-лайн", должны запрещаться и в онлайновом режиме. С января 2000 года любое физическое лицо может обращаться в Австралийское управление по радио- и телевещанию с жалобой на запрещенное содержание любой передачи в онлайновом режиме.</w:t>
      </w:r>
    </w:p>
    <w:p w:rsidR="00000000" w:rsidRDefault="00000000">
      <w:pPr>
        <w:pStyle w:val="1-1"/>
      </w:pPr>
      <w:r>
        <w:t>Проблема насилия в школах</w:t>
      </w:r>
    </w:p>
    <w:p w:rsidR="00000000" w:rsidRDefault="00000000">
      <w:pPr>
        <w:pStyle w:val="BodyText"/>
      </w:pPr>
      <w:r>
        <w:t>72.</w:t>
      </w:r>
      <w:r>
        <w:tab/>
        <w:t>В 1994 году в докладе о проблеме насилия в австралийских школах, подготовленном Постоянным комитетом по вопросам занятости, образования и профессиональной подготовки Палаты представителей, было проведено исследование характера, последствий и масштабов насилия в школах. В докладе рассматривались такие аспекты насилия, как издевательства, насилие в отношении представителей другого пола и расы и этническое насилие. Ознакомившись с этим докладом, Департамент по вопросам занятости, образования, профессиональной подготовки и делам молодежи предложил правительствам штатов и территорий в сотрудничестве с федеральным правительством разработать общенациональный подход к решению проблемы насилия в австралийских школах.</w:t>
      </w:r>
    </w:p>
    <w:p w:rsidR="00000000" w:rsidRDefault="00000000">
      <w:pPr>
        <w:pStyle w:val="BodyText"/>
      </w:pPr>
      <w:r>
        <w:t>73.</w:t>
      </w:r>
      <w:r>
        <w:tab/>
        <w:t>Издевательства в школах по-прежнему вызывают повышенную обеспокоенность в обществе, поскольку это влияет на физическое и психическое здоровье учащихся, их успехи в учебе и социальное развитие. В докладе-исследовании, подготовленном в рамках Национальной программы предупреждения преступности в 1999 году и получившем название "Методы профилактики", издевательства были названы в числе факторов риска, которые ассоциируются антиобщественным и криминогенным поведением.</w:t>
      </w:r>
    </w:p>
    <w:p w:rsidR="00000000" w:rsidRDefault="00000000">
      <w:pPr>
        <w:pStyle w:val="BodyText"/>
      </w:pPr>
      <w:r>
        <w:t>74.</w:t>
      </w:r>
      <w:r>
        <w:tab/>
        <w:t>Правительство разработало проект под названием "Национальная программа предупреждения преступности" в целях выявления стратегий, которые с успехом используются как в Австралии, так и за рубежом для предупреждения случаев издевательств в начальных школах и дошкольных учреждениях и сокращения их числа. На втором этапе реализации данного проекта среди родителей детей, посещающих дошкольные учреждения и первые ступени начальной школы, соответствующих воспитателей и преподавателей будут распространяться информационные материалы.</w:t>
      </w:r>
    </w:p>
    <w:p w:rsidR="00000000" w:rsidRDefault="00000000">
      <w:pPr>
        <w:pStyle w:val="1-1"/>
      </w:pPr>
      <w:r>
        <w:t>Позитивное изображение женского труда</w:t>
      </w:r>
    </w:p>
    <w:p w:rsidR="00000000" w:rsidRDefault="00000000">
      <w:pPr>
        <w:pStyle w:val="BodyText"/>
      </w:pPr>
      <w:r>
        <w:t>75.</w:t>
      </w:r>
      <w:r>
        <w:tab/>
        <w:t>В период с 1997 по 2001 год правительство выступило с целым рядом инициатив в целях официального признания трудового вклада женщин в период войны. К числу таких инициатив относятся: открытие парка скульптур на территории Австралийского военного мемориала в знак признания подвигов женщин на трудовом фронте в период войны; открытие Австралийского мемориала, посвященного женщинам-военнослужащим, пострадавшим или погибшим, защищая родину; и открытие Австралийского национального мемориала медицинских сестер-военнослужащих.</w:t>
      </w:r>
    </w:p>
    <w:p w:rsidR="00000000" w:rsidRDefault="00000000">
      <w:pPr>
        <w:pStyle w:val="BodyText"/>
      </w:pPr>
      <w:r>
        <w:t>76.</w:t>
      </w:r>
      <w:r>
        <w:tab/>
        <w:t>В 2001 году была опубликована книга под названием "Путь женщин: жизнь женщин Австралии с 1788 года до наших дней". В этой книге, написанной в позитивной манере, описываются проблемы, возможности и вклад женщин из различных слоев общества в историю Австралии и развитие австралийского общества. Многие из приведенных примеров касаются трудовой деятельности женщин в частном секторе, домашней работы и деятельности на благо общества.</w:t>
      </w:r>
    </w:p>
    <w:p w:rsidR="00000000" w:rsidRDefault="00000000">
      <w:pPr>
        <w:pStyle w:val="1-1"/>
        <w:spacing w:before="240"/>
      </w:pPr>
      <w:r>
        <w:t>Роль мужчин и юношей</w:t>
      </w:r>
    </w:p>
    <w:p w:rsidR="00000000" w:rsidRDefault="00000000">
      <w:pPr>
        <w:pStyle w:val="BodyText"/>
      </w:pPr>
      <w:r>
        <w:t>77.</w:t>
      </w:r>
      <w:r>
        <w:tab/>
        <w:t>Одна из главных задач, предусмотренных в австралийском Плане действий в рамках программы "Пекин+5" на 2001–2005 годы, заключается в том, чтобы избавиться от стереотипных отношений и моделей поведения и привлечь мужчин и юношей к активному участию в процессе обеспечения равноправия мужчин и женщин. Важная цель этой работы состоит в содействии тому, чтобы мужчины и юноши чувствовали себя более ответственными за изменение неправильных представлений и моделей поведения в отношении женщин и девушек. В связи с этим УВПЖ проводит активную работу с авторитетными руководителями-мужчинами, стремясь заручиться в этом деле широкой поддержкой со стороны мужчин. Роль мужчин и юношей являлась одной из важных тем общенациональной конференции "Говорят женщины Австралии", состоявшейся в августе 2001 года.</w:t>
      </w:r>
    </w:p>
    <w:p w:rsidR="00000000" w:rsidRDefault="00000000">
      <w:pPr>
        <w:pStyle w:val="Article-ref"/>
      </w:pPr>
      <w:r>
        <w:br w:type="page"/>
      </w:r>
      <w:bookmarkStart w:id="174" w:name="_Toc70142945"/>
      <w:bookmarkStart w:id="175" w:name="_Toc70228672"/>
      <w:bookmarkStart w:id="176" w:name="_Toc70229073"/>
      <w:bookmarkStart w:id="177" w:name="_Toc70234836"/>
      <w:bookmarkStart w:id="178" w:name="_Toc70235339"/>
      <w:r>
        <w:t>Инициативы штатов и территорий</w:t>
      </w:r>
      <w:bookmarkEnd w:id="174"/>
      <w:bookmarkEnd w:id="175"/>
      <w:bookmarkEnd w:id="176"/>
      <w:bookmarkEnd w:id="177"/>
      <w:bookmarkEnd w:id="178"/>
    </w:p>
    <w:p w:rsidR="00000000" w:rsidRDefault="00000000">
      <w:pPr>
        <w:pStyle w:val="Heading2"/>
        <w:spacing w:before="240"/>
      </w:pPr>
      <w:bookmarkStart w:id="179" w:name="_Toc70142794"/>
      <w:bookmarkStart w:id="180" w:name="_Toc70142946"/>
      <w:bookmarkStart w:id="181" w:name="_Toc70228673"/>
      <w:bookmarkStart w:id="182" w:name="_Toc70229074"/>
      <w:bookmarkStart w:id="183" w:name="_Toc70234837"/>
      <w:bookmarkStart w:id="184" w:name="_Toc70235340"/>
      <w:r>
        <w:t>Австралийская столичная территория</w:t>
      </w:r>
      <w:bookmarkEnd w:id="179"/>
      <w:bookmarkEnd w:id="180"/>
      <w:bookmarkEnd w:id="181"/>
      <w:bookmarkEnd w:id="182"/>
      <w:bookmarkEnd w:id="183"/>
      <w:bookmarkEnd w:id="184"/>
    </w:p>
    <w:p w:rsidR="00000000" w:rsidRDefault="00000000">
      <w:pPr>
        <w:pStyle w:val="BodyText"/>
        <w:spacing w:after="120"/>
      </w:pPr>
      <w:r>
        <w:t>78.</w:t>
      </w:r>
      <w:r>
        <w:tab/>
        <w:t>Вопросы обеспечения доступа и равенства, оценки вклада девушек и женщин в жизнь общества и критического анализа перспектив обеспечения равенства мужчин и женщин включены в правительственные программы школьного обучения в АСТ. Этот шаг продиктован осуществляемой в АСТ Стратегией обеспечения гендерного равенства в школах и обязательными Целями программы обучения, которые предусматривают необходимость обеспечения гендерного равенства.</w:t>
      </w:r>
    </w:p>
    <w:p w:rsidR="00000000" w:rsidRDefault="00000000">
      <w:pPr>
        <w:pStyle w:val="Heading2"/>
        <w:spacing w:before="240"/>
      </w:pPr>
      <w:bookmarkStart w:id="185" w:name="_Toc70142795"/>
      <w:bookmarkStart w:id="186" w:name="_Toc70142947"/>
      <w:bookmarkStart w:id="187" w:name="_Toc70228674"/>
      <w:bookmarkStart w:id="188" w:name="_Toc70229075"/>
      <w:bookmarkStart w:id="189" w:name="_Toc70234838"/>
      <w:bookmarkStart w:id="190" w:name="_Toc70235341"/>
      <w:r>
        <w:t>Северная территория</w:t>
      </w:r>
      <w:bookmarkEnd w:id="185"/>
      <w:bookmarkEnd w:id="186"/>
      <w:bookmarkEnd w:id="187"/>
      <w:bookmarkEnd w:id="188"/>
      <w:bookmarkEnd w:id="189"/>
      <w:bookmarkEnd w:id="190"/>
    </w:p>
    <w:p w:rsidR="00000000" w:rsidRDefault="00000000">
      <w:pPr>
        <w:pStyle w:val="BodyText"/>
        <w:spacing w:after="120"/>
      </w:pPr>
      <w:r>
        <w:t>79.</w:t>
      </w:r>
      <w:r>
        <w:tab/>
        <w:t>Управление по вопросам политики в отношении женщин расположено в помещениях Отдела по работе с общинами при Департаменте главного министра. Основная роль этого Управления состоит в том, чтобы оказывать правительству помощь в улучшении экономического и социального положения женщин Северной территории, поддержании и укреплении их жизненных перспектив. Управление инициирует, координирует и реализует утвержденные правительством меры по приоритетным направлениям политики в отношении женщин и отчитывается о достигнутых результатах, признавая при этом многообразие проблем, с которыми сталкиваются женщины, и важность включения этих проблем в сферу деятельности правительства.</w:t>
      </w:r>
    </w:p>
    <w:p w:rsidR="00000000" w:rsidRDefault="00000000">
      <w:pPr>
        <w:pStyle w:val="BodyText"/>
        <w:spacing w:after="120"/>
      </w:pPr>
      <w:r>
        <w:t>80.</w:t>
      </w:r>
      <w:r>
        <w:tab/>
        <w:t>В марте 2002 года была утверждена новая программа признания заслуг женщин. Программа "Северная территория – в благодарность женщинам" включает строительство новых, постоянно действующих и всем доступных объектов, включая закладку аллеи в Дарвинском парке Дамое-Ра рядом со зданием парламента; открытие передвижной выставки, которая в периоды между демонстрацией в различных населенных пунктах этого региона будет располагаться в Национальном зале славы женщин-первопроходцев в Алис-Спрингсе; открытие коллекции плакатов, специально выпущенных по случаю Международного женского дня, и ежегодный выпуск нового плаката (с перечислением фамилий женщин, ежегодно удостаиваемых чести быть включенными в Программу). В рамках Программы женщины Северной территории будут иметь возможность продемонстрировать свои таланты в области искусства. Впервые номинация состоялась по случаю Международного женского дня в марте 2002 года, и с тех пор ежегодно в этот день главный министр обнародует список лауреатов.</w:t>
      </w:r>
    </w:p>
    <w:p w:rsidR="00000000" w:rsidRDefault="00000000">
      <w:pPr>
        <w:pStyle w:val="BodyText"/>
        <w:spacing w:after="120"/>
      </w:pPr>
      <w:r>
        <w:t>81.</w:t>
      </w:r>
      <w:r>
        <w:tab/>
        <w:t>В 2001 году Консультативный совет женщин при главном министре выступил инициатором присуждения премий в области средств массовой информации, которые стимулируют журналистов и радио- и телеобозревателей как можно точнее отражать реальную жизнь и достижения женщин Северной территории.</w:t>
      </w:r>
    </w:p>
    <w:p w:rsidR="00000000" w:rsidRDefault="00000000">
      <w:pPr>
        <w:pStyle w:val="BodyText"/>
        <w:spacing w:after="120"/>
      </w:pPr>
      <w:r>
        <w:t>82.</w:t>
      </w:r>
      <w:r>
        <w:tab/>
        <w:t>Одной из ведущих программ Управления является программа "Лауреаты и победители". Эта программа направлена на поощрение более широкого понимания и признания обществом экономического и социального вклада женщин в развитие Северной территории.</w:t>
      </w:r>
    </w:p>
    <w:p w:rsidR="00000000" w:rsidRDefault="00000000">
      <w:pPr>
        <w:pStyle w:val="Heading2"/>
      </w:pPr>
      <w:bookmarkStart w:id="191" w:name="_Toc70142796"/>
      <w:bookmarkStart w:id="192" w:name="_Toc70142948"/>
      <w:bookmarkStart w:id="193" w:name="_Toc70228675"/>
      <w:bookmarkStart w:id="194" w:name="_Toc70229076"/>
      <w:bookmarkStart w:id="195" w:name="_Toc70234839"/>
      <w:bookmarkStart w:id="196" w:name="_Toc70235342"/>
      <w:r>
        <w:t>Квинсленд</w:t>
      </w:r>
      <w:bookmarkEnd w:id="191"/>
      <w:bookmarkEnd w:id="192"/>
      <w:bookmarkEnd w:id="193"/>
      <w:bookmarkEnd w:id="194"/>
      <w:bookmarkEnd w:id="195"/>
      <w:bookmarkEnd w:id="196"/>
    </w:p>
    <w:p w:rsidR="00000000" w:rsidRDefault="00000000">
      <w:pPr>
        <w:pStyle w:val="BodyText"/>
        <w:spacing w:after="120"/>
      </w:pPr>
      <w:r>
        <w:t>83.</w:t>
      </w:r>
      <w:r>
        <w:tab/>
        <w:t>Департамент образования штата Квинсленд продолжает осуществлять в школах политику и программы, направленные на формирование духа уважения и терпимости; обеспечение гендерного и культурного равенства в школах; и формирование у девочек знаний, навыков и моделей поведения, необходимых для получения равных возможностей на производстве, в семье и обществе. Правительство также выступило с рядом инициатив с целью устранения барьеров, препятствующих занятости женщин в нетрадиционных областях производственной деятельности, а также увеличения числа женщин в новых сферах производства.</w:t>
      </w:r>
    </w:p>
    <w:p w:rsidR="00000000" w:rsidRDefault="00000000">
      <w:pPr>
        <w:pStyle w:val="BodyText"/>
        <w:spacing w:after="120"/>
      </w:pPr>
      <w:r>
        <w:t>84.</w:t>
      </w:r>
      <w:r>
        <w:tab/>
        <w:t>Управление по делам женщин в сотрудничестве с Национальным медийным центром женщин обновило и издало комплект учебных пособий под названием "Преодоление стереотипов: за рамками сложившихся представлений". Этот комплект учебных пособий, изданный в ноябре 2001 года помогает критически проанализировать то, как изображаются женщины в средствах массовой информации. В нем содержатся сведения о механизме подачи жалоб в связи с неподобающим изображением женщин в средствах массовой информации. Управление также подготовило тематический плакат, посвященный женщинам из числа коренного населения, который помогает лучше понять и признать вклад этих женщин, добившихся высоких достижений в различных областях. Этот плакат рассказывает о разнообразных методах руководства, используемых женщинами из числа коренного населения, работающими на благо своих общин и общества в целом.</w:t>
      </w:r>
    </w:p>
    <w:p w:rsidR="00000000" w:rsidRDefault="00000000">
      <w:pPr>
        <w:pStyle w:val="Heading2"/>
        <w:spacing w:before="240"/>
      </w:pPr>
      <w:bookmarkStart w:id="197" w:name="_Toc70142797"/>
      <w:bookmarkStart w:id="198" w:name="_Toc70142949"/>
      <w:bookmarkStart w:id="199" w:name="_Toc70228676"/>
      <w:bookmarkStart w:id="200" w:name="_Toc70229077"/>
      <w:bookmarkStart w:id="201" w:name="_Toc70234840"/>
      <w:bookmarkStart w:id="202" w:name="_Toc70235343"/>
      <w:r>
        <w:t>Южная Австралия</w:t>
      </w:r>
      <w:bookmarkEnd w:id="197"/>
      <w:bookmarkEnd w:id="198"/>
      <w:bookmarkEnd w:id="199"/>
      <w:bookmarkEnd w:id="200"/>
      <w:bookmarkEnd w:id="201"/>
      <w:bookmarkEnd w:id="202"/>
    </w:p>
    <w:p w:rsidR="00000000" w:rsidRDefault="00000000">
      <w:pPr>
        <w:pStyle w:val="BodyText"/>
        <w:spacing w:after="120"/>
      </w:pPr>
      <w:r>
        <w:t>85.</w:t>
      </w:r>
      <w:r>
        <w:tab/>
        <w:t>Правительство финансирует ряд инициатив, способствующих официальному признанию позитивного вклада женщин в жизнь штата Южная Австралия. К их числу относятся: Современная австралийская женщина: выставка картин и эстампов, 1925–1945 годы (ноябрь 2000 – февраль 2001 года), на которой были представлены работы многочисленных художников-женщин; постоянное финансирование единственной женской театральной студии "Vitalstatistix"; и проведение выставки "Невесты военного времени" (Музей миграции, 2000 год).</w:t>
      </w:r>
    </w:p>
    <w:p w:rsidR="00000000" w:rsidRDefault="00000000">
      <w:pPr>
        <w:pStyle w:val="Heading2"/>
        <w:spacing w:before="240"/>
      </w:pPr>
      <w:bookmarkStart w:id="203" w:name="_Toc70142798"/>
      <w:bookmarkStart w:id="204" w:name="_Toc70142950"/>
      <w:bookmarkStart w:id="205" w:name="_Toc70228677"/>
      <w:bookmarkStart w:id="206" w:name="_Toc70229078"/>
      <w:bookmarkStart w:id="207" w:name="_Toc70234841"/>
      <w:bookmarkStart w:id="208" w:name="_Toc70235344"/>
      <w:r>
        <w:t>Тасмания</w:t>
      </w:r>
      <w:bookmarkEnd w:id="203"/>
      <w:bookmarkEnd w:id="204"/>
      <w:bookmarkEnd w:id="205"/>
      <w:bookmarkEnd w:id="206"/>
      <w:bookmarkEnd w:id="207"/>
      <w:bookmarkEnd w:id="208"/>
    </w:p>
    <w:p w:rsidR="00000000" w:rsidRDefault="00000000">
      <w:pPr>
        <w:pStyle w:val="BodyText"/>
        <w:spacing w:after="120"/>
      </w:pPr>
      <w:r>
        <w:t>86.</w:t>
      </w:r>
      <w:r>
        <w:tab/>
        <w:t>В 2000 году правительство пересмотрело законодательство, касающееся классификации публикаций с грифом "категория 1" и "категория 2", с целью перехода на классификационную систему ОФЛС. Правительство считает необходимым установить разумный баланс между правом граждан самим выбирать, что читать или смотреть, и законным правом правительства осуществлять стратегии по предотвращению распространения порнографических материалов, особенно материалов, в которых изображаются сцены сексуального насилия, ущемляющие права женщин, и которые могут вести к формированию культуры насилия в отношении женщин в обществе.</w:t>
      </w:r>
    </w:p>
    <w:p w:rsidR="00000000" w:rsidRDefault="00000000">
      <w:pPr>
        <w:pStyle w:val="Heading2"/>
      </w:pPr>
      <w:bookmarkStart w:id="209" w:name="_Toc70142799"/>
      <w:bookmarkStart w:id="210" w:name="_Toc70142951"/>
      <w:bookmarkStart w:id="211" w:name="_Toc70228678"/>
      <w:bookmarkStart w:id="212" w:name="_Toc70229079"/>
      <w:bookmarkStart w:id="213" w:name="_Toc70234842"/>
      <w:bookmarkStart w:id="214" w:name="_Toc70235345"/>
      <w:r>
        <w:t>Виктория</w:t>
      </w:r>
      <w:bookmarkEnd w:id="209"/>
      <w:bookmarkEnd w:id="210"/>
      <w:bookmarkEnd w:id="211"/>
      <w:bookmarkEnd w:id="212"/>
      <w:bookmarkEnd w:id="213"/>
      <w:bookmarkEnd w:id="214"/>
    </w:p>
    <w:p w:rsidR="00000000" w:rsidRDefault="00000000">
      <w:pPr>
        <w:pStyle w:val="BodyText"/>
      </w:pPr>
      <w:r>
        <w:t>87.</w:t>
      </w:r>
      <w:r>
        <w:tab/>
        <w:t>В марте 2000 года министр по делам женщин учредил Консультативный комитет по проблемам изображения женщин, которому было поручено заняться изучением вопросов, касающихся изображения женщин в материалах наружной рекламы. В докладе этого Комитета под названием "Изображение женщин в наружной рекламе" содержится целый ряд рекомендаций, направленных на более уважительное изображение женщин в наружной рекламе. В соответствии с высказанными рекомендациями правительство намерено разработать Руководящие принципы в отношении рекламной продукции гендерного характера для всех правительственных департаментов, исполнительных органов, а также для рекламных и PR-агентств и средств массовой информации; распространить эти руководящие принципы среди всех заинтересованных промышленных организаций, особо отмечать организации, наиболее эффективно применяющие эти принципы в соответствующих отраслях промышленности; выработать единый скоординированный общенациональный подход к изображению женщин в рекламных материалах и механизм рассмотрения жалоб.</w:t>
      </w:r>
    </w:p>
    <w:p w:rsidR="00000000" w:rsidRDefault="00000000">
      <w:pPr>
        <w:pStyle w:val="Article"/>
        <w:spacing w:after="120"/>
      </w:pPr>
      <w:bookmarkStart w:id="215" w:name="_Toc70142952"/>
      <w:bookmarkStart w:id="216" w:name="_Toc70228679"/>
      <w:bookmarkStart w:id="217" w:name="_Toc70229080"/>
      <w:bookmarkStart w:id="218" w:name="_Toc70235346"/>
      <w:r>
        <w:t>Статья 6:  Пресечение эксплуатации женщин</w:t>
      </w:r>
      <w:bookmarkEnd w:id="215"/>
      <w:bookmarkEnd w:id="216"/>
      <w:bookmarkEnd w:id="217"/>
      <w:bookmarkEnd w:id="218"/>
    </w:p>
    <w:p w:rsidR="00000000" w:rsidRDefault="00000000">
      <w:pPr>
        <w:pStyle w:val="BodyText"/>
        <w:spacing w:after="120"/>
      </w:pPr>
      <w:r>
        <w:t>88.</w:t>
      </w:r>
      <w:r>
        <w:tab/>
        <w:t>Австралия расценивает торговлю женщинами и сексуальное рабство женщин и девушек как одну из форм насилия в отношении женщин и грубое нарушение прав женщин. Более подробную информацию об инициативах по борьбе с сексуальным насилием и насилием в семье см. в комментариях по осуществлению статьи 16.</w:t>
      </w:r>
    </w:p>
    <w:p w:rsidR="00000000" w:rsidRDefault="00000000">
      <w:pPr>
        <w:pStyle w:val="Article-ref"/>
        <w:spacing w:before="240" w:after="120"/>
      </w:pPr>
      <w:bookmarkStart w:id="219" w:name="_Toc70142953"/>
      <w:bookmarkStart w:id="220" w:name="_Toc70228680"/>
      <w:bookmarkStart w:id="221" w:name="_Toc70229081"/>
      <w:bookmarkStart w:id="222" w:name="_Toc70235347"/>
      <w:r>
        <w:t>Инициативы федерального правительства</w:t>
      </w:r>
      <w:bookmarkEnd w:id="219"/>
      <w:bookmarkEnd w:id="220"/>
      <w:bookmarkEnd w:id="221"/>
      <w:bookmarkEnd w:id="222"/>
    </w:p>
    <w:p w:rsidR="00000000" w:rsidRDefault="00000000">
      <w:pPr>
        <w:pStyle w:val="BodyText"/>
        <w:spacing w:after="120"/>
      </w:pPr>
      <w:r>
        <w:t>89.</w:t>
      </w:r>
      <w:r>
        <w:tab/>
        <w:t>Австралия признает, что торговля людьми является транснациональной преступной деятельностью, для пресечения которой необходимы согласованные усилия со стороны всего международного сообщества. Правительство будет продолжать тесно сотрудничать с другими странами, в частности с региональными партнерами, в борьбе с этим ужасным явлением. Правительство прилагает активные усилия на международной арене для пресечения любой подобной деятельности. В частности,</w:t>
      </w:r>
    </w:p>
    <w:p w:rsidR="00000000" w:rsidRDefault="00000000">
      <w:pPr>
        <w:pStyle w:val="enumlev-2"/>
        <w:spacing w:after="100"/>
      </w:pPr>
      <w:r>
        <w:t>Австралия принимала активное участие в переговорах в отношении Конвенции Организации Объединенных Наций против транснациональной организованной преступности и трех Протоколов, дополняющих эту Конвенцию.</w:t>
      </w:r>
    </w:p>
    <w:p w:rsidR="00000000" w:rsidRDefault="00000000">
      <w:pPr>
        <w:pStyle w:val="enumlev-2"/>
        <w:spacing w:after="100"/>
      </w:pPr>
      <w:r>
        <w:t>Австралия является участником: Конвенции против транснациональной организованной преступности; Протокола против незаконного ввоза мигрантов по суше, морю и воздуху; и Протокола о предупреждении и пресечении торговли людьми, особенно женщинами и детьми, и наказании за нее.</w:t>
      </w:r>
    </w:p>
    <w:p w:rsidR="00000000" w:rsidRDefault="00000000">
      <w:pPr>
        <w:pStyle w:val="enumlev-2"/>
        <w:spacing w:after="100"/>
      </w:pPr>
      <w:r>
        <w:t xml:space="preserve">В апреле 1999 года министр по делам иммиграции принял участие в состоявшемся в Бангкоке Международном симпозиуме по проблемам миграции. В Бангкокской декларации о незаконной миграции, которая была принята участниками Симпозиума, странам-участникам предлагалось выступать с совместными инициативами по борьбе с незаконной миграцией и контрабандой людей. </w:t>
      </w:r>
    </w:p>
    <w:p w:rsidR="00000000" w:rsidRDefault="00000000">
      <w:pPr>
        <w:pStyle w:val="enumlev-2"/>
        <w:spacing w:after="100"/>
        <w:rPr>
          <w:spacing w:val="-2"/>
        </w:rPr>
      </w:pPr>
      <w:r>
        <w:rPr>
          <w:spacing w:val="-2"/>
        </w:rPr>
        <w:t>В феврале 2002 года и апреле 2003 года Австралия совместно с Индонезией организовала Региональную конференцию министров по вопросам, касающимся контрабанды людей, торговли людьми и связанной с этим транснациональной преступности. В итоговых заявлениях, опубликованных сопредседателями, содержался призыв к странам региона вести совместную борьбу с транснациональной преступностью, в первую очередь с контрабандой людей и торговлей людьми.</w:t>
      </w:r>
    </w:p>
    <w:p w:rsidR="00000000" w:rsidRDefault="00000000">
      <w:pPr>
        <w:pStyle w:val="enumlev-2"/>
        <w:spacing w:after="100"/>
      </w:pPr>
      <w:r>
        <w:t>КПЧРВ Австралии принимает участие в Азиатско-тихоокеанском форуме национальных правозащитных организаций. В этом Форуме участвуют независимые национальные комиссии по правам человека, и в течение трех лет Австралия обеспечивала функции секретариата данного Форума. В 1999 году Форум организовал сеть центров для координации деятельности в области борьбы с торговлей людьми.</w:t>
      </w:r>
    </w:p>
    <w:p w:rsidR="00000000" w:rsidRDefault="00000000">
      <w:pPr>
        <w:pStyle w:val="enumlev-2"/>
        <w:spacing w:after="100"/>
        <w:ind w:left="346" w:hanging="346"/>
      </w:pPr>
      <w:r>
        <w:t>Австралия приняла специальное законодательство для борьбы с преступлениями, связанными с торговлей людьми, такими как сексуальное рабство и сексуальная эксплуатация, предусматривающее строгие наказания для лиц, уличенных в подобных правонарушениях, для расследования которых в органах федеральной полиции Австралии были образованы группы по расследованию транснациональных сексуальных преступлений.</w:t>
      </w:r>
    </w:p>
    <w:p w:rsidR="00000000" w:rsidRDefault="00000000">
      <w:pPr>
        <w:pStyle w:val="enumlev-2"/>
      </w:pPr>
      <w:r>
        <w:t>Австралия подписала Факультативный протокол к Конвенции о правах ребенка (КПР), касающийся торговли детьми, детской проституции и детской порнографии (декабрь 2001 года) и Факультативный протокол к КПР, касающийся участия детей в военных конфликтах (октябрь 2002 года).</w:t>
      </w:r>
    </w:p>
    <w:p w:rsidR="00000000" w:rsidRDefault="00000000">
      <w:pPr>
        <w:pStyle w:val="BodyText"/>
      </w:pPr>
      <w:r>
        <w:t>90.</w:t>
      </w:r>
      <w:r>
        <w:tab/>
        <w:t xml:space="preserve">В 1999 году Австралийский институт криминологии (АИК) подготовил доклад-исследование по проблеме контрабанды людей и торговли людьми в Австралии, отметив в нем ключевые проблемы и ответные меры, принимаемые федеральным правительством. Этот доклад под названием "Контрабанда людей и торговля людьми: обзор мер, принимаемых на федеральном уровне", помещен на сайте </w:t>
      </w:r>
      <w:r>
        <w:rPr>
          <w:u w:val="single"/>
        </w:rPr>
        <w:t>www.aic.gov.au/publications/rpp/24</w:t>
      </w:r>
      <w:r>
        <w:t>.</w:t>
      </w:r>
    </w:p>
    <w:p w:rsidR="00000000" w:rsidRDefault="00000000">
      <w:pPr>
        <w:pStyle w:val="BodyText"/>
      </w:pPr>
      <w:r>
        <w:t>91.</w:t>
      </w:r>
      <w:r>
        <w:tab/>
        <w:t>В апреле 2003 года министр юстиции и таможни создал комитет по обзорной деятельности в составе должностных лиц из соответствующих правительственных ведомств для изучения проблемы торговли людьми в Австралии. Комитет проанализировал действенность мер, принимаемых в настоящее время в целях борьбы с торговлей людьми в Австралии, и изучил пути и средства максимального повышения эффективности деятельности Австралии в предотвращении торговли людьми, преследовании виновных в торговле людьми и оказании помощи жертвам таких правонарушений. В настоящее время предложенные комитетом пути и средства повышения эффективности мер по борьбе с торговлей людьми находятся на рассмотрении правительства.</w:t>
      </w:r>
    </w:p>
    <w:p w:rsidR="00000000" w:rsidRDefault="00000000">
      <w:pPr>
        <w:pStyle w:val="BodyText"/>
      </w:pPr>
      <w:r>
        <w:t>92.</w:t>
      </w:r>
      <w:r>
        <w:tab/>
        <w:t>В июле 2003 года Австралийский совет министров полиции (АСМП) объявил, что отныне эта работа будет вестись совместно на основе Общенационального плана работы правоохранительных учреждений по борьбе с торговлей женщинами для целей сексуального рабства. При разработке этого Плана АСМП согласился с тем, что все субъекты федерации проведут обзор своего законодательства, касающегося сексуального рабства и других видов преступлений, связанных с торговлей людьми, и изучат сложившуюся практику обмена оперативными данными и информацией. Кроме того, в 2003 году штаты и территории провели собственные предметные исследования для изучения масштабов данной проблемы. Австралийская комиссия по предупреждению преступности также собирает оперативные данные по вопросам, касающимся торговли женщинами. Эта информация использовалась при разработке Общенационального плана работы правоохранительных учреждений.</w:t>
      </w:r>
    </w:p>
    <w:p w:rsidR="00000000" w:rsidRDefault="00000000">
      <w:pPr>
        <w:pStyle w:val="1-1"/>
      </w:pPr>
      <w:r>
        <w:t>Поддержка общественных организаций</w:t>
      </w:r>
    </w:p>
    <w:p w:rsidR="00000000" w:rsidRDefault="00000000">
      <w:pPr>
        <w:pStyle w:val="BodyText"/>
      </w:pPr>
      <w:r>
        <w:t>93.</w:t>
      </w:r>
      <w:r>
        <w:tab/>
        <w:t>Правительство финансирует деятельность общественных организаций, занимающихся проблемами сексуальной эксплуатации, таких как, например, "Child Wise Australia". В 1999 году организация "Child Wise Australia" организовала проект под названием "Туризм без ущерба для детей" (который финансировался АвсАИД), ориентированный на разработку и реализацию просветительских программ в Таиланде, Вьетнаме, Камбодже, Индонезии и на Филиппинах. Этот проект был направлен на повышение осведомленности общественности о данной проблеме и мобилизацию поддержки со стороны туристического сектора и государственных органов в целях предотвращения сексуальной эксплуатации детей и создания организационной основы для выявления случаев сексуальной эксплуатации детей и их предотвращения.</w:t>
      </w:r>
    </w:p>
    <w:p w:rsidR="00000000" w:rsidRDefault="00000000">
      <w:pPr>
        <w:pStyle w:val="BodyText"/>
      </w:pPr>
      <w:r>
        <w:t>94.</w:t>
      </w:r>
      <w:r>
        <w:tab/>
        <w:t>В 2000 году в рамках Национальной программы по предупреждению преступности правительство выделило организации "Child Wise Australia" дополнительные ассигнования для производства и распространения следующих материалов: пересмотренной и дополненной информационной брошюры об австралийских законах для туристов; учебного видеофильма для информирования общественности о преступлениях, связанных с сексуальным насилием в отношении детей, совершаемых как в Австралии, так и за границей; пособий для практикумов, подготовленных организацией "Child Wise Australia" для туристов; и шести изданий своего информационного бюллетеня.</w:t>
      </w:r>
    </w:p>
    <w:p w:rsidR="00000000" w:rsidRDefault="00000000">
      <w:pPr>
        <w:pStyle w:val="1-1"/>
        <w:spacing w:before="240"/>
      </w:pPr>
      <w:r>
        <w:t>Сексуальная эксплуатация детей</w:t>
      </w:r>
    </w:p>
    <w:p w:rsidR="00000000" w:rsidRDefault="00000000">
      <w:pPr>
        <w:pStyle w:val="BodyText"/>
      </w:pPr>
      <w:r>
        <w:t>95.</w:t>
      </w:r>
      <w:r>
        <w:tab/>
        <w:t>С 1995 года правительство поддержало целый ряд инициатив в области защиты прав детей и предотвращения их сексуальной эксплуатации.</w:t>
      </w:r>
    </w:p>
    <w:p w:rsidR="00000000" w:rsidRDefault="00000000">
      <w:pPr>
        <w:pStyle w:val="enumlev-2"/>
      </w:pPr>
      <w:r>
        <w:t>В 1996 году Австралия подписала Декларацию и программу действий Всемирного конгресса по борьбе против сексуальной эксплуатации детей в коммерческих целях.</w:t>
      </w:r>
    </w:p>
    <w:p w:rsidR="00000000" w:rsidRDefault="00000000">
      <w:pPr>
        <w:pStyle w:val="enumlev-2"/>
      </w:pPr>
      <w:r>
        <w:t>Австралия принимала активное участие в переговорах по Факультативному протоколу, касающемуся торговли детьми, детской проституции и детской порнографии, к Конвенции Организации Объединенных Наций о правах ребенка и подписала этот Факультативный протокол 18 декабря 2001 года в Нью-Йорке. Факультативный протокол вступил в силу 18 января 2002 года.</w:t>
      </w:r>
    </w:p>
    <w:p w:rsidR="00000000" w:rsidRDefault="00000000">
      <w:pPr>
        <w:pStyle w:val="enumlev-2"/>
      </w:pPr>
      <w:r>
        <w:t>Австралия оказывает содействие Специальному докладчику Организации Объединенных Наций по вопросам торговли детьми, детской проституции и детской порнографии в решении вопросов, связанных с сексуальной эксплуатацией детей и молодых людей в коммерческих целях.</w:t>
      </w:r>
    </w:p>
    <w:p w:rsidR="00000000" w:rsidRDefault="00000000">
      <w:pPr>
        <w:pStyle w:val="enumlev-2"/>
        <w:ind w:left="346" w:hanging="346"/>
      </w:pPr>
      <w:r>
        <w:t>В 2000 году Австралия разработала национальный план действий по борьбе с сексуальной эксплуатацией детей в коммерческих целях. Национальный план действий Австралии по борьбе с сексуальной эксплуатацией детей в коммерческих целях был подготовлен на основе интенсивных консультаций и исследований характера и масштабов данного явления в Австралии. План является документальным отражением тематических исследований и стратегии, осуществляемой в настоящее время правительством, в таких областях, как проституция или оказание платных сексуальных услуг, порнография, торговля людьми и секс-туризм, и в нем определены задачи, требующие принятия дальнейших мер.</w:t>
      </w:r>
    </w:p>
    <w:p w:rsidR="00000000" w:rsidRDefault="00000000">
      <w:pPr>
        <w:pStyle w:val="1-1"/>
        <w:spacing w:before="240"/>
      </w:pPr>
      <w:r>
        <w:t>Сексуальная эксплуатация</w:t>
      </w:r>
    </w:p>
    <w:p w:rsidR="00000000" w:rsidRDefault="00000000">
      <w:pPr>
        <w:pStyle w:val="BodyText"/>
        <w:spacing w:after="120"/>
      </w:pPr>
      <w:r>
        <w:t>96.</w:t>
      </w:r>
      <w:r>
        <w:tab/>
        <w:t>В 1999 году правительство приняло Закон о внесении поправок в Уголовный кодекс (Рабство и сексуальная эксплуатация), который квалифицировал сексуальную эксплуатацию как уголовно наказуемое деяние. Положения данного Закона направлены против тех лиц, которые вынуждают других лиц становиться или оставаться объектами сексуальной эксплуатации. Эти положения также распространяются на тех лиц, которые занимаются предпринимательской деятельностью, связанной с сексуальной эксплуатацией других лиц, или которые обманным путем втягивают других лиц в занятие проституцией. Данные положения были, в частности, приведены в соответствии с международными обязательствами Австралии в отношении преследования виновных в преступлениях против человечности.</w:t>
      </w:r>
    </w:p>
    <w:p w:rsidR="00000000" w:rsidRDefault="00000000">
      <w:pPr>
        <w:pStyle w:val="1-1"/>
        <w:spacing w:before="240"/>
      </w:pPr>
      <w:r>
        <w:t>Сексуальное насилие</w:t>
      </w:r>
    </w:p>
    <w:p w:rsidR="00000000" w:rsidRDefault="00000000">
      <w:pPr>
        <w:pStyle w:val="BodyText"/>
        <w:spacing w:after="120"/>
      </w:pPr>
      <w:r>
        <w:t>97.</w:t>
      </w:r>
      <w:r>
        <w:tab/>
        <w:t>В мае 2001 года правительство объявило о своей готовности в течение ближайших четырех лет выделить 16,5 млн. долларов на разработку и реализацию Общенациональной инициативы по борьбе с сексуальным насилием</w:t>
      </w:r>
      <w:r>
        <w:rPr>
          <w:i/>
        </w:rPr>
        <w:t>.</w:t>
      </w:r>
      <w:r>
        <w:t xml:space="preserve"> В рамках этой инициативы, осуществляемой под руководством УВПЖ, были образованы партнерства для разработки, испытания и осуществления стратегий, направленных на сокращение масштабов сексуального насилия в обществе. К их числу можно отнести мероприятия, связанные с повышением осведомленности общественности, обменом информацией о подходах к ведению борьбы с сексуальным насилием, популяризацией наиболее эффективных методов ведения такой борьбы и финансированием широкого спектра проектов, касающихся сексуального насилия.</w:t>
      </w:r>
    </w:p>
    <w:p w:rsidR="00000000" w:rsidRDefault="00000000">
      <w:pPr>
        <w:pStyle w:val="BodyText"/>
        <w:spacing w:after="120"/>
      </w:pPr>
      <w:r>
        <w:t>98.</w:t>
      </w:r>
      <w:r>
        <w:tab/>
        <w:t>Данная инициатива имеет четыре основные задачи: изменение традиционных моделей поведения в целях сокращения проявлений сексуального насилия; выявление и устранение краткосрочных и долгосрочных последствий сексуального насилия в отношении женщин и сопутствующих социальных и финансовых издержек для общества; разработку согласованной и скоординированной программы в целях сокращения масштабов сексуального насилия, проведение соответствующих профилактических мероприятий и принятие мер на всех уровнях правительства и в обществе в целом; разработку информационной стратегии в целях облегчения доступа к национальным данным по вопросам политики, дабы осуществляемые стратегии способствовали более эффективному предотвращению случаев сексуального насилия; и создание всеобъемлющей базы данных, имеющих как теоретическое, так и практическое значение.</w:t>
      </w:r>
    </w:p>
    <w:p w:rsidR="00000000" w:rsidRDefault="00000000">
      <w:pPr>
        <w:pStyle w:val="1-1"/>
        <w:spacing w:before="240"/>
      </w:pPr>
      <w:r>
        <w:t>Глобальная программа Организации Объединенных Наций по борьбе с торговлей людьми</w:t>
      </w:r>
    </w:p>
    <w:p w:rsidR="00000000" w:rsidRDefault="00000000">
      <w:pPr>
        <w:pStyle w:val="BodyText"/>
        <w:spacing w:after="120"/>
      </w:pPr>
      <w:r>
        <w:t>99.</w:t>
      </w:r>
      <w:r>
        <w:tab/>
        <w:t>Австралийский институт криминологии (АИК) участвует в Глобальной программе Организации Объединенных Наций по борьбе с торговлей людьми, которая была провозглашена в 1999 году. Цель данной Программы состоит в том, чтобы содействовать правительствам и международному сообществу в принятии более эффективных мер по борьбе с контрабандой людей и торговлей людьми. Главными элементами этой Программы являются: исследования в интересах проводимой политики и целевое техническое сотрудничество; сбор данных и информации о различных маршрутах контрабанды людей и торговли людьми; создание глобальной базы данных о наиболее действенных методах борьбы с контрабандой людей и торговлей людьми; и осуществление "демонстрационных проектов" в отдельных странах.</w:t>
      </w:r>
    </w:p>
    <w:p w:rsidR="00000000" w:rsidRDefault="00000000">
      <w:pPr>
        <w:pStyle w:val="BodyText"/>
        <w:spacing w:after="120"/>
      </w:pPr>
      <w:r>
        <w:t>100.</w:t>
      </w:r>
      <w:r>
        <w:tab/>
        <w:t xml:space="preserve">АИК оказывает помощь в проведении исследований Коалиции по борьбе с торговлей людьми на Филиппинах. Предполагается, что этот проект будет служить в качестве примера для последующих проектов Организации Объединенных Наций, касающихся контрабанды людей и торговли людьми. АИК провел обзор публикаций, посвященных вопросам контрабанды людей и торговли людьми из Филиппин и Азиатского региона, и подготовил доклад-исследование под названием "Оперативная оценка: контрабанда людей и торговля людьми на Филиппинах", который можно найти на сайте </w:t>
      </w:r>
      <w:r>
        <w:rPr>
          <w:u w:val="single"/>
        </w:rPr>
        <w:t>www.aic.gov.au/research/traffick/index/html</w:t>
      </w:r>
      <w:r>
        <w:t>.</w:t>
      </w:r>
    </w:p>
    <w:p w:rsidR="00000000" w:rsidRDefault="00000000">
      <w:pPr>
        <w:pStyle w:val="1-1"/>
        <w:spacing w:before="240"/>
      </w:pPr>
      <w:r>
        <w:t>Австралийская программа зарубежной помощи</w:t>
      </w:r>
    </w:p>
    <w:p w:rsidR="00000000" w:rsidRDefault="00000000">
      <w:pPr>
        <w:pStyle w:val="BodyText"/>
        <w:spacing w:after="120"/>
      </w:pPr>
      <w:r>
        <w:t>101.</w:t>
      </w:r>
      <w:r>
        <w:tab/>
        <w:t>В рамках программы международной помощи Австралия оказывает поддержку "странам-поставщикам" в устранении основных причин торговли людьми и их сексуальной эксплуатации, а также в оказании помощи жертвам таких правонарушений. С 1995 года было осуществлено несколько проектов, направленных на устранение главных причин незащищенности людей, в рамках которых оказывалась непосредственная помощь группам населения, в наибольшей степени рискующим стать жертвами торговли. Проекты в области образования и экономического развития были направлены на борьбу с бедностью и низким уровнем образования – факторами, которые делают женщин, детей и молодежь уязвимыми перед риском стать объектами торговли.</w:t>
      </w:r>
    </w:p>
    <w:p w:rsidR="00000000" w:rsidRDefault="00000000">
      <w:pPr>
        <w:pStyle w:val="BodyText"/>
        <w:spacing w:after="120"/>
      </w:pPr>
      <w:r>
        <w:t>102.</w:t>
      </w:r>
      <w:r>
        <w:tab/>
        <w:t>В настоящее время Австралия оказывает поддержку шести осуществляемым в странах Юго-Восточной Азии проектам по борьбе с торговлей людьми в рамках общего пакета помощи Австралии в целях развития на общую сумму примерно 24 млн. долларов на период свыше шести лет. Эти проекты способствуют возвращению и реинтеграции в жизнь общества жертв торговли людьми, особенно женщин и детей; обучению сотрудников правоохранительных учреждений обращению с жертвами торговли людьми; повышению эффективности мер, принимаемых государственными учреждениями и неправительственными организациями; изучению наиболее уязвимых групп населения и подготовке соответствующих специалистов по борьбе с эксплуатацией детей в коммерческих целях в рамках индустрии туризма. При осуществлении этих проектов Австралия использует механизмы Программы развития Организации Объединенных Наций, Международной организации по миграции и организации под названием "Положим конец детской проституции и торговле детьми".</w:t>
      </w:r>
    </w:p>
    <w:p w:rsidR="00000000" w:rsidRDefault="00000000">
      <w:pPr>
        <w:pStyle w:val="Article-ref"/>
        <w:spacing w:before="240" w:after="120"/>
      </w:pPr>
      <w:bookmarkStart w:id="223" w:name="_Toc70142954"/>
      <w:bookmarkStart w:id="224" w:name="_Toc70228681"/>
      <w:bookmarkStart w:id="225" w:name="_Toc70229082"/>
      <w:bookmarkStart w:id="226" w:name="_Toc70235348"/>
      <w:r>
        <w:t>Инициативы штатов и территорий</w:t>
      </w:r>
      <w:bookmarkEnd w:id="223"/>
      <w:bookmarkEnd w:id="224"/>
      <w:bookmarkEnd w:id="225"/>
      <w:bookmarkEnd w:id="226"/>
    </w:p>
    <w:p w:rsidR="00000000" w:rsidRDefault="00000000">
      <w:pPr>
        <w:pStyle w:val="Heading2"/>
        <w:spacing w:before="240"/>
      </w:pPr>
      <w:bookmarkStart w:id="227" w:name="_Toc70142800"/>
      <w:bookmarkStart w:id="228" w:name="_Toc70142955"/>
      <w:bookmarkStart w:id="229" w:name="_Toc70228682"/>
      <w:bookmarkStart w:id="230" w:name="_Toc70229083"/>
      <w:bookmarkStart w:id="231" w:name="_Toc70234846"/>
      <w:bookmarkStart w:id="232" w:name="_Toc70235349"/>
      <w:r>
        <w:t>Австралийская столичная территория</w:t>
      </w:r>
      <w:bookmarkEnd w:id="227"/>
      <w:bookmarkEnd w:id="228"/>
      <w:bookmarkEnd w:id="229"/>
      <w:bookmarkEnd w:id="230"/>
      <w:bookmarkEnd w:id="231"/>
      <w:bookmarkEnd w:id="232"/>
    </w:p>
    <w:p w:rsidR="00000000" w:rsidRDefault="00000000">
      <w:pPr>
        <w:pStyle w:val="BodyText"/>
        <w:spacing w:after="120"/>
      </w:pPr>
      <w:r>
        <w:t>103.</w:t>
      </w:r>
      <w:r>
        <w:tab/>
        <w:t>В 2001 году правительство АСТ внесло поправки в Закон 1900 года о видах правонарушений, с тем чтобы правонарушения, касающиеся сексуальной эксплуатации и вовлечения в занятие проституцией, классифицировать как уголовно наказуемые деяния. Лица, которые с помощью силы или угрозы применения силы лишают другое лицо возможности прекратить занятие проституцией или покинуть место, в котором оказываются подобные услуги, совершают правонарушения, связанные с сексуальной эксплуатацией. В соответствии с этими поправками в число уголовных преступлений было также включено правонарушение, связанное с вовлечением другого лица путем обмана в занятие проституцией.</w:t>
      </w:r>
    </w:p>
    <w:p w:rsidR="00000000" w:rsidRDefault="00000000">
      <w:pPr>
        <w:pStyle w:val="BodyText"/>
      </w:pPr>
      <w:r>
        <w:t>104.</w:t>
      </w:r>
      <w:r>
        <w:tab/>
        <w:t>Проституция в АСТ регулируется Законом 1992 года о занятии проституцией. Цель данного Закона состоит в том, чтобы обеспечивать охрану здоровья населения, благополучие и безопасность лиц, занимающихся проституцией, нравственное и физическое здоровье общества путем осуществления контроля за местом расположения публичных домов, а также защиту детей от эксплуатации в связи с занятием проституцией.</w:t>
      </w:r>
    </w:p>
    <w:p w:rsidR="00000000" w:rsidRDefault="00000000">
      <w:pPr>
        <w:pStyle w:val="Heading2"/>
        <w:spacing w:before="240"/>
      </w:pPr>
      <w:bookmarkStart w:id="233" w:name="_Toc70142801"/>
      <w:bookmarkStart w:id="234" w:name="_Toc70142956"/>
      <w:bookmarkStart w:id="235" w:name="_Toc70228683"/>
      <w:bookmarkStart w:id="236" w:name="_Toc70229084"/>
      <w:bookmarkStart w:id="237" w:name="_Toc70234847"/>
      <w:bookmarkStart w:id="238" w:name="_Toc70235350"/>
      <w:r>
        <w:t>Северная территория</w:t>
      </w:r>
      <w:bookmarkEnd w:id="233"/>
      <w:bookmarkEnd w:id="234"/>
      <w:bookmarkEnd w:id="235"/>
      <w:bookmarkEnd w:id="236"/>
      <w:bookmarkEnd w:id="237"/>
      <w:bookmarkEnd w:id="238"/>
    </w:p>
    <w:p w:rsidR="00000000" w:rsidRDefault="00000000">
      <w:pPr>
        <w:pStyle w:val="BodyText"/>
        <w:spacing w:after="120"/>
      </w:pPr>
      <w:r>
        <w:t>105.</w:t>
      </w:r>
      <w:r>
        <w:rPr>
          <w:i/>
        </w:rPr>
        <w:tab/>
      </w:r>
      <w:r>
        <w:t>Закон № 4 2002 года о внесении поправок в Уголовный кодекс предусматривает недопущение торговли людьми для целей сексуальной эксплуатации, а также сексуальное рабство. В Законе о занятии проституцией, в который в 2000 году были внесены поправки, предусматриваются ряд процедурных изменений, необходимых для более эффективного осуществления законодательства, регулирующего занятие проституцией. Эти изменения касаются закрытия Совета по выдаче лицензий эскорт-агентствам и передачи их функций Лицензионной комиссии Северной территории; сокращения объема документации, требуемой для регистрации частных предприятий; и разрешения после проведения судебных слушаний обжаловать решения Комиссии в магистратах местных судов, а не в канцелярии Директора по лицензированию при Департаменте. Суть положения, касающегося механизма обжалования, осталась без изменений.</w:t>
      </w:r>
    </w:p>
    <w:p w:rsidR="00000000" w:rsidRDefault="00000000">
      <w:pPr>
        <w:pStyle w:val="Heading2"/>
      </w:pPr>
      <w:bookmarkStart w:id="239" w:name="_Toc70142802"/>
      <w:bookmarkStart w:id="240" w:name="_Toc70142957"/>
      <w:bookmarkStart w:id="241" w:name="_Toc70228684"/>
      <w:bookmarkStart w:id="242" w:name="_Toc70229085"/>
      <w:bookmarkStart w:id="243" w:name="_Toc70234848"/>
      <w:bookmarkStart w:id="244" w:name="_Toc70235351"/>
      <w:r>
        <w:t>Квинсленд</w:t>
      </w:r>
      <w:bookmarkEnd w:id="239"/>
      <w:bookmarkEnd w:id="240"/>
      <w:bookmarkEnd w:id="241"/>
      <w:bookmarkEnd w:id="242"/>
      <w:bookmarkEnd w:id="243"/>
      <w:bookmarkEnd w:id="244"/>
    </w:p>
    <w:p w:rsidR="00000000" w:rsidRDefault="00000000">
      <w:pPr>
        <w:pStyle w:val="BodyText"/>
      </w:pPr>
      <w:r>
        <w:t>106.</w:t>
      </w:r>
      <w:r>
        <w:tab/>
        <w:t>В рамках текущих усилий по выполнению рекомендации Комиссии Форде по расследованию случаев насилия в отношении детей в учреждениях штата Квинсленд (1999 год) и в соответствии с Законом 2000 года о создании комиссии по делам детей и молодежи была образована Комиссия по делам детей и молодежи. Этот Закон наделяет Комиссию как правозащитными функциями, так и функциями специального уполномоченного по правам человека; в нем содержатся многие из принципов, закрепленных в Конвенции о правах ребенка; поощряются и защищаются права, интересы и благополучие всех детей и молодых людей.</w:t>
      </w:r>
    </w:p>
    <w:p w:rsidR="00000000" w:rsidRDefault="00000000">
      <w:pPr>
        <w:pStyle w:val="BodyText"/>
      </w:pPr>
      <w:r>
        <w:t>107.</w:t>
      </w:r>
      <w:r>
        <w:tab/>
        <w:t>В штате Квинсленд проституция регулируется Законом 1999 года о занятии проституцией. Цель данного Закона состоит в том, чтобы обеспечить охрану здоровья населения, благополучие и безопасность лиц, занимающихся проституцией, а также нравственное и физическое здоровье общества путем осуществления контроля за местом расположения публичных домов, а также защиту детей от эксплуатации в связи с занятием проституцией. В соответствии с этим Законом никто не имеет права принуждать другое лицо к продолжению занятия проституцией путем устрашения или насилия, причинения или угрозы причинения ущерба или вреда имуществу этого лица или любого другого лица, а также с помощью обмана, любого надуманного предлога или иного вида мошенничества.</w:t>
      </w:r>
    </w:p>
    <w:p w:rsidR="00000000" w:rsidRDefault="00000000">
      <w:pPr>
        <w:pStyle w:val="Heading2"/>
      </w:pPr>
      <w:bookmarkStart w:id="245" w:name="_Toc70142803"/>
      <w:bookmarkStart w:id="246" w:name="_Toc70142958"/>
      <w:bookmarkStart w:id="247" w:name="_Toc70228685"/>
      <w:bookmarkStart w:id="248" w:name="_Toc70229086"/>
      <w:bookmarkStart w:id="249" w:name="_Toc70234849"/>
      <w:bookmarkStart w:id="250" w:name="_Toc70235352"/>
      <w:r>
        <w:t>Южная Австралия</w:t>
      </w:r>
      <w:bookmarkEnd w:id="245"/>
      <w:bookmarkEnd w:id="246"/>
      <w:bookmarkEnd w:id="247"/>
      <w:bookmarkEnd w:id="248"/>
      <w:bookmarkEnd w:id="249"/>
      <w:bookmarkEnd w:id="250"/>
    </w:p>
    <w:p w:rsidR="00000000" w:rsidRDefault="00000000">
      <w:pPr>
        <w:pStyle w:val="BodyText"/>
        <w:spacing w:after="120"/>
      </w:pPr>
      <w:r>
        <w:t>108.</w:t>
      </w:r>
      <w:r>
        <w:rPr>
          <w:i/>
        </w:rPr>
        <w:tab/>
      </w:r>
      <w:r>
        <w:t>Закон 2000 года о внесении поправок в целях усиления положений Уголовного кодекса (сексуальная эксплуатация) преследует цель положить конец таким действиям, как вовлечение в занятие проституцией, а также принуждение продолжать оказывать платные сексуальные услуги. Закон квалифицирует такие деяния как уголовное преступление. Закон также квалифицирует как уголовное преступление действия любого лица, которое предлагает другому лицу работу, заведомо зная, но не ставя последнего в известность о том, что этому лицу в рамках своих служебных обязанностей придется оказывать платные сексуальные услуги и что долгосрочность его работы зависит от оказания таких услуг.</w:t>
      </w:r>
    </w:p>
    <w:p w:rsidR="00000000" w:rsidRDefault="00000000">
      <w:pPr>
        <w:pStyle w:val="Heading2"/>
        <w:spacing w:before="240"/>
      </w:pPr>
      <w:bookmarkStart w:id="251" w:name="_Toc70142804"/>
      <w:bookmarkStart w:id="252" w:name="_Toc70142959"/>
      <w:bookmarkStart w:id="253" w:name="_Toc70228686"/>
      <w:bookmarkStart w:id="254" w:name="_Toc70229087"/>
      <w:bookmarkStart w:id="255" w:name="_Toc70234850"/>
      <w:bookmarkStart w:id="256" w:name="_Toc70235353"/>
      <w:r>
        <w:t>Тасмания</w:t>
      </w:r>
      <w:bookmarkEnd w:id="251"/>
      <w:bookmarkEnd w:id="252"/>
      <w:bookmarkEnd w:id="253"/>
      <w:bookmarkEnd w:id="254"/>
      <w:bookmarkEnd w:id="255"/>
      <w:bookmarkEnd w:id="256"/>
    </w:p>
    <w:p w:rsidR="00000000" w:rsidRDefault="00000000">
      <w:pPr>
        <w:pStyle w:val="BodyText"/>
        <w:spacing w:after="120"/>
      </w:pPr>
      <w:r>
        <w:t>109.</w:t>
      </w:r>
      <w:r>
        <w:tab/>
        <w:t>В 2000 году правительство назначило Специального уполномоченного по делам детей в целях содействия соблюдению прав детей. Специальный уполномоченный может представлять правительству рекомендации в связи с предлагаемыми законодательными изменениями в целях обеспечения защиты прав детей, в том числе в отношении правовой реформы, касающейся оказания платных сексуальных услуг. В настоящее время Тасмания проводит обзор своих законов, регулирующих деятельность индустрии сексуальных услуг с целью создания регламентирующей основы для обеспечения максимальной охраны здоровья населения, безопасности работников этой индустрии и правовой защиты детей.</w:t>
      </w:r>
    </w:p>
    <w:p w:rsidR="00000000" w:rsidRDefault="00000000">
      <w:pPr>
        <w:pStyle w:val="Heading2"/>
        <w:spacing w:before="240"/>
      </w:pPr>
      <w:bookmarkStart w:id="257" w:name="_Toc70142805"/>
      <w:bookmarkStart w:id="258" w:name="_Toc70142960"/>
      <w:bookmarkStart w:id="259" w:name="_Toc70228687"/>
      <w:bookmarkStart w:id="260" w:name="_Toc70229088"/>
      <w:bookmarkStart w:id="261" w:name="_Toc70234851"/>
      <w:bookmarkStart w:id="262" w:name="_Toc70235354"/>
      <w:r>
        <w:t>Виктория</w:t>
      </w:r>
      <w:bookmarkEnd w:id="257"/>
      <w:bookmarkEnd w:id="258"/>
      <w:bookmarkEnd w:id="259"/>
      <w:bookmarkEnd w:id="260"/>
      <w:bookmarkEnd w:id="261"/>
      <w:bookmarkEnd w:id="262"/>
    </w:p>
    <w:p w:rsidR="00000000" w:rsidRDefault="00000000">
      <w:pPr>
        <w:pStyle w:val="BodyText"/>
        <w:spacing w:after="120"/>
      </w:pPr>
      <w:r>
        <w:t>110.</w:t>
      </w:r>
      <w:r>
        <w:rPr>
          <w:i/>
        </w:rPr>
        <w:tab/>
      </w:r>
      <w:r>
        <w:t>Закон 1999 года о контроле за занятием проституцией (поправка) расширил определение сексуальных услуг, включив в него эротические "танцы на коленях" и пип-шоу. Закон 2000 года о контроле за занятием проституцией (планирование) предусматривает более жесткие меры, которые правоохранительные органы вправе применять по отношению к содержателям незаконных публичных домов. В 2003 году в Закон 1994 года о контроле за занятием проституцией были внесены поправки (после опубликования итогового доклада Консультативной группы Генерального прокурора по проблеме уличной проституции), в которых было дано определение нового вида преступления, связанного с детским секс-туризмом и с учетом которых в Закон 1986 года о деятельности туристических агентств были внесены поправки, предусматривающие изъятие лицензий у туристических агентств, уличенных в нарушении этого нового положения или аналогичных положений, закрепленных в федеральном Законе 1914 о видах правонарушений.</w:t>
      </w:r>
    </w:p>
    <w:p w:rsidR="00000000" w:rsidRDefault="00000000">
      <w:pPr>
        <w:pStyle w:val="Heading2"/>
      </w:pPr>
      <w:bookmarkStart w:id="263" w:name="_Toc70142806"/>
      <w:bookmarkStart w:id="264" w:name="_Toc70142961"/>
      <w:bookmarkStart w:id="265" w:name="_Toc70228688"/>
      <w:bookmarkStart w:id="266" w:name="_Toc70229089"/>
      <w:bookmarkStart w:id="267" w:name="_Toc70234852"/>
      <w:bookmarkStart w:id="268" w:name="_Toc70235355"/>
      <w:r>
        <w:t>Западная Австралия</w:t>
      </w:r>
      <w:bookmarkEnd w:id="263"/>
      <w:bookmarkEnd w:id="264"/>
      <w:bookmarkEnd w:id="265"/>
      <w:bookmarkEnd w:id="266"/>
      <w:bookmarkEnd w:id="267"/>
      <w:bookmarkEnd w:id="268"/>
    </w:p>
    <w:p w:rsidR="00000000" w:rsidRDefault="00000000">
      <w:pPr>
        <w:pStyle w:val="BodyText"/>
      </w:pPr>
      <w:r>
        <w:t>111.</w:t>
      </w:r>
      <w:r>
        <w:tab/>
        <w:t>Правительство по-прежнему проводит активную политику, направленную на предупреждение насилия и преступности. Для обеспечения межправительственного сотрудничества и эффективного участия в работе Национальной целевой группы по вопросам безопасности женщин Конференции министров по положению женщин на уровне федерального правительства и правительств штатов министр по защите интересов женщин учредил Межведомственный комитет по вопросам сексуального насилия. Этот Комитет будет заниматься подготовкой докладов и рекомендаций для правительства в отношении путей и средств борьбы с сексуальным насилием. Проводится обзор законов Западной Австралии, касающихся занятия проституцией. В связи с этим готовится соответствующий законопроект (Green Bill), посвященный реформе закона о проституции, который будет открыт для самого широкого обсуждения.</w:t>
      </w:r>
    </w:p>
    <w:p w:rsidR="00000000" w:rsidRDefault="00000000">
      <w:pPr>
        <w:pStyle w:val="Article"/>
        <w:spacing w:after="120"/>
      </w:pPr>
      <w:r>
        <w:br w:type="page"/>
      </w:r>
      <w:bookmarkStart w:id="269" w:name="_Toc70142962"/>
      <w:bookmarkStart w:id="270" w:name="_Toc70228689"/>
      <w:bookmarkStart w:id="271" w:name="_Toc70229090"/>
      <w:bookmarkStart w:id="272" w:name="_Toc70235356"/>
      <w:r>
        <w:t>Статья 7:  Участие в политической и общественной жизни</w:t>
      </w:r>
      <w:bookmarkEnd w:id="269"/>
      <w:bookmarkEnd w:id="270"/>
      <w:bookmarkEnd w:id="271"/>
      <w:bookmarkEnd w:id="272"/>
    </w:p>
    <w:p w:rsidR="00000000" w:rsidRDefault="00000000">
      <w:pPr>
        <w:pStyle w:val="Article-ref"/>
        <w:spacing w:before="240" w:after="120"/>
      </w:pPr>
      <w:bookmarkStart w:id="273" w:name="_Toc70142963"/>
      <w:bookmarkStart w:id="274" w:name="_Toc70228690"/>
      <w:bookmarkStart w:id="275" w:name="_Toc70229091"/>
      <w:bookmarkStart w:id="276" w:name="_Toc70235357"/>
      <w:r>
        <w:t>Инициативы федерального правительства</w:t>
      </w:r>
      <w:bookmarkEnd w:id="273"/>
      <w:bookmarkEnd w:id="274"/>
      <w:bookmarkEnd w:id="275"/>
      <w:bookmarkEnd w:id="276"/>
    </w:p>
    <w:p w:rsidR="00000000" w:rsidRDefault="00000000">
      <w:pPr>
        <w:pStyle w:val="BodyText"/>
      </w:pPr>
      <w:r>
        <w:t>112.</w:t>
      </w:r>
      <w:r>
        <w:tab/>
        <w:t>Обеспечение более активного участия женщин в управлении и принятии решений, в том числе в сфере политики, является одной из приоритетных задач федерального правительства. После 1996 года правительство активизировало свою деятельность по увеличению числа женщин, назначаемых на основании их профессиональной квалификации на должности старшего звена в руководящих и директивных органах. В целом принимаемые меры были направлены не на установление предписанных или обязательных квот, а на выявление замечательных талантов, которыми обладают австралийские женщины, и содействие их надлежащему использованию. Австралийские женщины избираются в высшие эшелоны власти на основании их высокой профессиональной квалификации, а не в результате осуществления каких-либо стратегий, предусматривающих создание для них льготного режима.</w:t>
      </w:r>
    </w:p>
    <w:p w:rsidR="00000000" w:rsidRDefault="00000000">
      <w:pPr>
        <w:pStyle w:val="BodyText"/>
      </w:pPr>
      <w:r>
        <w:t>113.</w:t>
      </w:r>
      <w:r>
        <w:tab/>
        <w:t>В настоящее время как никогда много женщин принимают участие в политической жизни Австралии и на национальном уровне, и на уровне штатов и территорий. В 2003 году более 26,5 процента депутатов федерального парламента составляли женщины, что почти в два раза превышает среднемировые показатели. В парламентах штатов и территорий женщины составляют 29 процентов от общего числа депутатов и занимают около 30 процентов всех выборных должностей в местных органах управления. В последние годы правительства штатов и территорий неоднократно возглавлялись женщинами (АСТ, Виктория, Западная Австралия и Северная территория), а в Новом Южном Уэльсе, Тасмании и Северной территории женщины являлись лидерами оппозиционных партий. Кроме того, в настоящее время одна женщина является заместителем лидера оппозиции на федеральном уровне.</w:t>
      </w:r>
    </w:p>
    <w:p w:rsidR="00000000" w:rsidRDefault="00000000">
      <w:pPr>
        <w:pStyle w:val="BodyText"/>
      </w:pPr>
      <w:r>
        <w:t>114.</w:t>
      </w:r>
      <w:r>
        <w:tab/>
        <w:t>Представленность женщин-аборигенов в составе региональных советов Комиссии по делам коренного населения и жителей островов Торресова пролива (АТСИК) повысилась до рекордных 30,9 процента (по сравнению с 23,2 процента в 1996 году – см. ниже). В 2003 году 34 процента кандидатов на выборах в состав региональных советов АТСИК составляли женщины. Среди 18 уполномоченных Совета АТСИК, отвечающего за проблемы коренного населения на национальном уровне, – одна женщина.</w:t>
      </w:r>
    </w:p>
    <w:p w:rsidR="00000000" w:rsidRDefault="00000000">
      <w:pPr>
        <w:pStyle w:val="BodyText"/>
      </w:pPr>
      <w:r>
        <w:t>115.</w:t>
      </w:r>
      <w:r>
        <w:tab/>
        <w:t>Австралийские женщины широко представлены и на других руководящих должностях и должностях, связанных с принятием решений. В 2003 году в Австралии женщины занимали 34 процента старших должностей в составе органов федерального правительства. В 2002 году 56,4 процента лиц, занятых постоянно на государственной службе Австралии, и 28,4 процента лиц, занятых постоянно на старших руководящих должностях, составляли женщины. Кроме того, растет число женщин на старших руководящих должностях в аппарате Министерства иностранных дел Австралии, хотя начался этот рост с довольно низкого показателя (см. комментарии по осуществлению статьи 8 Конвенции).</w:t>
      </w:r>
    </w:p>
    <w:p w:rsidR="00000000" w:rsidRDefault="00000000">
      <w:pPr>
        <w:pStyle w:val="1-1"/>
      </w:pPr>
      <w:r>
        <w:t>Общенациональная конференция женщин</w:t>
      </w:r>
    </w:p>
    <w:p w:rsidR="00000000" w:rsidRDefault="00000000">
      <w:pPr>
        <w:pStyle w:val="BodyText"/>
        <w:spacing w:after="120"/>
      </w:pPr>
      <w:r>
        <w:t>116.</w:t>
      </w:r>
      <w:r>
        <w:tab/>
        <w:t>В 2001 году правительство организовало проведение Конференции под названием "Говорят женщины Австралии", возложив на нее функции одного из ключевых механизмов, занимающихся проблемами женщин Австралии. Темы Конференции были основаны на четырех приоритетных областях стратегического плана УВПЖ. В Конференции приняли участие свыше 700 женщин. Разработка программ осуществляется на основе прямых консультаций с женскими НПО, женщинами из числа коренного населения, из различных слоев общества и с разной языковой культурой, а также с организациями государственного и частного сектора. В 2003 году была проведена вторая конференция по той же теме в ознаменование столетия со дня получения большинством австралийских женщин избирательных прав (16 декабря 1903 года) и в знак признания успехов женщин Австралии.</w:t>
      </w:r>
    </w:p>
    <w:p w:rsidR="00000000" w:rsidRDefault="00000000">
      <w:pPr>
        <w:pStyle w:val="1-1"/>
        <w:spacing w:before="240"/>
      </w:pPr>
      <w:r>
        <w:t>Региональные советы Комиссии по делам коренного населения и жителей островов Торресова пролива (АТСИК)</w:t>
      </w:r>
    </w:p>
    <w:p w:rsidR="00000000" w:rsidRDefault="00000000">
      <w:pPr>
        <w:pStyle w:val="BodyText"/>
        <w:spacing w:after="0"/>
      </w:pPr>
      <w:r>
        <w:t>117.</w:t>
      </w:r>
      <w:r>
        <w:tab/>
        <w:t>Региональные советы АТСИК отвечают за принятие решений и подготовку докладов по проблемам коренного населения и жителей островов Торресова пролива на региональном уровне. Перед региональными выборами членов АТСИК 1999 и 2000 годов Национальное управление АТСИК по вопросам средств массовой информации и рекламной деятельности занималось планированием и проведением информационно-пропагандистской кампании в целях привлечения женщин из числа коренного населения к участию в выборах. Эта кампания включала ряд мер, направленных на обеспечение более активного участия в выборах женщин из числа коренного населения, включая назначение в каждом штате и регионе специальных сотрудников для распространения среди женщин-аборигенов информации о выборах в региональные советы, а также выделение ассигнований на проведение общинных собраний, посвященных проблемам женщин из числа коренного населения.</w:t>
      </w:r>
    </w:p>
    <w:p w:rsidR="00000000" w:rsidRDefault="00000000">
      <w:pPr>
        <w:pStyle w:val="1-1"/>
        <w:spacing w:before="240"/>
      </w:pPr>
      <w:r>
        <w:t>Региональный консультативный совет по делам женщин</w:t>
      </w:r>
    </w:p>
    <w:p w:rsidR="00000000" w:rsidRDefault="00000000">
      <w:pPr>
        <w:pStyle w:val="BodyText"/>
      </w:pPr>
      <w:r>
        <w:t>118.</w:t>
      </w:r>
      <w:r>
        <w:tab/>
        <w:t>В знак признания необходимости усиления роли женщин в процессе принятия решений в 1999 году правительство учредило Региональный консультативный совет по делам женщин. В состав Совета входят девять членов, которые назначаются министром по делам транспорта и региональных служб и подчиняются ему. Женщины – члены Совета высказывают свои мнения по вопросам, касающимся положения в регионах, сельских районах и труднодоступных территориях. Совет играет важную роль в обеспечении женщинам более широкого доступа к процессам принятия решений на уровне правительства.</w:t>
      </w:r>
    </w:p>
    <w:p w:rsidR="00000000" w:rsidRDefault="00000000">
      <w:pPr>
        <w:pStyle w:val="BodyText"/>
      </w:pPr>
      <w:r>
        <w:t>119.</w:t>
      </w:r>
      <w:r>
        <w:tab/>
        <w:t>С июня 2000 по сентябрь 2001 года по инициативе Совета осуществлялся проект оперативных исследований, в рамках которого в качестве объектов для изучения было выбрано по одной общине из каждого штата и Северной территории. Исследования были посвящены изучению мнений и взглядов женщин в регионах и анализу отношений, моделей поведения, навыков и умений, которые помогают общинам действовать в условиях перемен для достижения позитивных результатов. Выводы данного исследования являются основой для популяризации наилучшей практики в других общинах и выработки рекомендаций для правительства в отношении путей и средств формирования позитивного отношения к переменам. В сентябре 2001 года был подготовлен заключительный доклад по этому проекту, получивший название "Факторы успеха – управление переменами в регионах и сельских районах Австралии".</w:t>
      </w:r>
    </w:p>
    <w:p w:rsidR="00000000" w:rsidRDefault="00000000">
      <w:pPr>
        <w:pStyle w:val="BodyText"/>
      </w:pPr>
      <w:r>
        <w:t>120.</w:t>
      </w:r>
      <w:r>
        <w:tab/>
        <w:t xml:space="preserve">Параллельно с осуществлением проекта оперативных исследований Регионального консультативного совета по делам женщин была подготовлена публикация, в которой были даны портреты региональных лидеров и руководителей общин из числа женщин Австралии. Эта публикация вышла в свет в сентябре 2001 года. Более подробную информацию о деятельности Регионального консультативного совета по делам женщин можно получить на сайте </w:t>
      </w:r>
      <w:r>
        <w:rPr>
          <w:u w:val="single"/>
        </w:rPr>
        <w:t>www.dotrs.gov.au/regional/rwac/index.htm</w:t>
      </w:r>
      <w:r>
        <w:t>.</w:t>
      </w:r>
    </w:p>
    <w:p w:rsidR="00000000" w:rsidRDefault="00000000">
      <w:pPr>
        <w:pStyle w:val="BodyText"/>
      </w:pPr>
      <w:r>
        <w:t>121.</w:t>
      </w:r>
      <w:r>
        <w:tab/>
        <w:t>В целях дальнейшего усиления роли женщин в руководящих органах в 2002 году был создан национальный секретариат по делам женщин, проживающих в сельских районах (см. пункты 129–130, Национальная программа развития женщин).</w:t>
      </w:r>
    </w:p>
    <w:p w:rsidR="00000000" w:rsidRDefault="00000000">
      <w:pPr>
        <w:pStyle w:val="1-1"/>
      </w:pPr>
      <w:r>
        <w:t>Национальный консультативный совет по делам инвалидов</w:t>
      </w:r>
    </w:p>
    <w:p w:rsidR="00000000" w:rsidRDefault="00000000">
      <w:pPr>
        <w:pStyle w:val="BodyText"/>
        <w:spacing w:after="0"/>
      </w:pPr>
      <w:r>
        <w:t>122.</w:t>
      </w:r>
      <w:r>
        <w:tab/>
        <w:t>Национальный консультативный совет по делам инвалидов, который был образован в 1996 году, функционирует в качестве консультативной группы для министра по делам семьи и услуг населению. Совет оказывает консультационные услуги по вопросам, касающимся инвалидности, и обеспечивает проведение консультаций между правительством и потребителями услуг, опекунами, семьями и обслуживающими организациями, действующими в интересах инвалидов. В состав Совета входят 15 членов, 9 из которых – женщины.</w:t>
      </w:r>
    </w:p>
    <w:p w:rsidR="00000000" w:rsidRDefault="00000000">
      <w:pPr>
        <w:pStyle w:val="1-1"/>
      </w:pPr>
      <w:r>
        <w:t>Временная общенациональная сеть для инвалидов из числа коренного населения</w:t>
      </w:r>
    </w:p>
    <w:p w:rsidR="00000000" w:rsidRDefault="00000000">
      <w:pPr>
        <w:pStyle w:val="BodyText"/>
        <w:spacing w:after="0"/>
      </w:pPr>
      <w:r>
        <w:t>123.</w:t>
      </w:r>
      <w:r>
        <w:tab/>
        <w:t>3 декабря 1999 года министр по делам семьи и услуг населению и министр по делам аборигенов и жителей островов Торресова пролива совместно объявили о создании рабочей группы для оказания консультационных услуг правительству по вопросам формирования общенациональной сети для инвалидов из числа коренного населения. Рабочая группа подготовила доклад, в котором говорилось о решительной поддержке идеи создания общенациональной сети для инвалидов из числа коренного населения. Роль такой Сети состоит в определении наиболее предпочтительной сетевой структуры и уделении повышенного внимания проблемам, с которыми сталкиваются инвалиды из числа коренного населения. Одна из выделенных областей касалась важной проблемы женской инвалидности в жизни общин коренного населения.</w:t>
      </w:r>
    </w:p>
    <w:p w:rsidR="00000000" w:rsidRDefault="00000000">
      <w:pPr>
        <w:pStyle w:val="1-1"/>
      </w:pPr>
      <w:r>
        <w:t>Поддержка общинных организаций</w:t>
      </w:r>
    </w:p>
    <w:p w:rsidR="00000000" w:rsidRDefault="00000000">
      <w:pPr>
        <w:pStyle w:val="BodyText"/>
      </w:pPr>
      <w:r>
        <w:t>124.</w:t>
      </w:r>
      <w:r>
        <w:rPr>
          <w:i/>
        </w:rPr>
        <w:tab/>
      </w:r>
      <w:r>
        <w:t>Программа создания Национального секретариата предусматривает финансирование целого ряда НПО, с тем чтобы они могли вносить свой вклад в осуществление проводимой правительством политики в интересах семей и общин коренного населения в Австралии, выполнять роль информационного посредника между правительством и обществом по вопросам социальной политики и отражать позиции своих членов.</w:t>
      </w:r>
    </w:p>
    <w:p w:rsidR="00000000" w:rsidRDefault="00000000">
      <w:pPr>
        <w:pStyle w:val="BodyText"/>
        <w:spacing w:after="0"/>
      </w:pPr>
      <w:r>
        <w:t>125.</w:t>
      </w:r>
      <w:r>
        <w:tab/>
        <w:t>В период с 2001 по 2002 год Министерство по делам семьи и услуг населению выделило 120 тыс. долларов на оказание помощи ведущей организации, занимающейся проблемами женщин-инвалидов в Австралии, под названием "Австралийские женщины-инвалиды" (ВВДА). ВВДА функционирует на федеральном уровне и объединяет как частных лиц, так и соответствующие организации в каждом штате и территории. В состав ВВДА входят женщины-инвалиды и организации, представляющие их интересы. ВВДА стремится обеспечить равные возможности для женщин-инвалидов во всех сферах жизни. Она занимается популяризацией и решением вопросов, с которыми сталкиваются в обществе женщины-инвалиды. Она обеспечивает связь между женщинами-инвалидами повсюду в Австралии и открывает возможности для выявления и обсуждения вопросов, представляющих всеобщий интерес.</w:t>
      </w:r>
    </w:p>
    <w:p w:rsidR="00000000" w:rsidRDefault="00000000">
      <w:pPr>
        <w:pStyle w:val="1-1"/>
      </w:pPr>
      <w:r>
        <w:t>Национальная стратегия по усилению роли женщин в управлении</w:t>
      </w:r>
    </w:p>
    <w:p w:rsidR="00000000" w:rsidRDefault="00000000">
      <w:pPr>
        <w:pStyle w:val="BodyText"/>
        <w:spacing w:after="120"/>
      </w:pPr>
      <w:r>
        <w:t>126.</w:t>
      </w:r>
      <w:r>
        <w:tab/>
        <w:t>Опираясь на предыдущие инициативы, направленные на обеспечение более активного участия женщин в процессе принятия решений и работе руководящих органов, правительство финансирует Национальную стратегию по усилению роли женщин в управлении. Некоторые основные элементы этой стратегии касаются создания расширенной поисковой службы для Федерального совета по назначениям под названием "Женщины – кандидаты на руководящие посты" на основе установления тесных связей и партнерских отношений с частными предприятиями и работы в секторах, в которых женщины представлены недостаточно; руководства инициативами в области профессиональной подготовки для женщин, которые имеют ограниченный доступ к традиционным способам получения назначений на руководящую работу (например, для молодых женщин и женщин из числа коренного населения), и признания нетрадиционных функций, которые женщины выполняют на руководящей работе (например, опыт работы в неформальном секторе экономики или опыт руководящей работы в общинах) в результате официального назначения; содействия признанию возможности того, чтобы женщина выступала в роли руководителя.</w:t>
      </w:r>
    </w:p>
    <w:p w:rsidR="00000000" w:rsidRDefault="00000000">
      <w:pPr>
        <w:pStyle w:val="BodyText"/>
        <w:spacing w:after="120"/>
      </w:pPr>
      <w:r>
        <w:t>127.</w:t>
      </w:r>
      <w:r>
        <w:tab/>
        <w:t>Эта стратегия также вносит коррективы в традиционную концепцию управления, обеспечивая надлежащее признание вклада женщин во все сферы социальной и экономической жизни, в том числе в качестве руководителей общинного уровня, а также их участия в широком спектре оплачиваемой и неоплачиваемой трудовой деятельности. Федеральное правительство в сотрудничестве с правительствами штатов и территорий будет добиваться широкого признания и высокой оценки многообразных возможностей женщин на руководящих постах; выявлять и устранять общепринятые и серьезные барьеры, препятствующие женщинам в реализации себя в качестве руководителей, в том числе связанные с дискриминацией по признаку пола; и оказывать поддержку женщинам, которые принимают решение участвовать в общественной и национальной жизни в качестве руководителей.</w:t>
      </w:r>
    </w:p>
    <w:p w:rsidR="00000000" w:rsidRDefault="00000000">
      <w:pPr>
        <w:pStyle w:val="BodyText"/>
      </w:pPr>
      <w:r>
        <w:t>128.</w:t>
      </w:r>
      <w:r>
        <w:tab/>
        <w:t>Еще одним аспектом стратегии является проект создания партнерства, осуществляемый совместно с Австралийской ассоциацией местных органов управления и Австралийской женской ассоциацией местных органов управления. В рамках данного проекта был проведен анализ потребностей в развитии потенциала женщин в местных органах власти и создан механизм для поощрения участия и поддержки работы женщин в составе местных органов власти.</w:t>
      </w:r>
    </w:p>
    <w:p w:rsidR="00000000" w:rsidRDefault="00000000">
      <w:pPr>
        <w:pStyle w:val="1-1"/>
      </w:pPr>
      <w:r>
        <w:t>Национальная программа развития женщин</w:t>
      </w:r>
    </w:p>
    <w:p w:rsidR="00000000" w:rsidRDefault="00000000">
      <w:pPr>
        <w:pStyle w:val="BodyText"/>
      </w:pPr>
      <w:r>
        <w:t>129.</w:t>
      </w:r>
      <w:r>
        <w:tab/>
        <w:t>Поддержка женских НПО осуществляется в рамках Национальной программы развития женщин. Эта Программа направлена на оказание поддержки представительным, действенным и жизнеспособным национальным женским НПО, которые вносят активный вклад в осуществление касающихся женщин политики и стратегий правительства, и учитывает самые разнообразные точки зрения женщин в процессе разработки политики, проводимой правительством.</w:t>
      </w:r>
    </w:p>
    <w:p w:rsidR="00000000" w:rsidRDefault="00000000">
      <w:pPr>
        <w:pStyle w:val="BodyText"/>
        <w:spacing w:after="120"/>
      </w:pPr>
      <w:r>
        <w:t>130.</w:t>
      </w:r>
      <w:r>
        <w:tab/>
        <w:t>В 2001/02 финансовом году правительство постановило в течение четырех лет выделить 5,6 млн. долларов на цели реализации Национальной программы развития женщин. Такое финансирование обеспечивает возможность расширить и повысить статус, а также улучшить положение женщин Австралии с помощью таких механизмов, как:</w:t>
      </w:r>
    </w:p>
    <w:p w:rsidR="00000000" w:rsidRDefault="00000000">
      <w:pPr>
        <w:pStyle w:val="enumlev-2"/>
      </w:pPr>
      <w:r>
        <w:rPr>
          <w:i/>
        </w:rPr>
        <w:t>Национальные секретариаты</w:t>
      </w:r>
      <w:r>
        <w:t>. УВПЖ финансирует четыре общенациональные женские организации, которые будут исполнять функции национальных секретариатов в интересах женщин Австралии. Это финансирование помогает усилить и повысить роль и эффективность работы национальных секретариатов, обслуживающих и поддерживающих различные женские группы и женские организации.</w:t>
      </w:r>
    </w:p>
    <w:p w:rsidR="00000000" w:rsidRDefault="00000000">
      <w:pPr>
        <w:pStyle w:val="enumlev-2"/>
      </w:pPr>
      <w:r>
        <w:rPr>
          <w:i/>
        </w:rPr>
        <w:t>Целевые проекты и проекты по созданию потенциала</w:t>
      </w:r>
      <w:r>
        <w:t>. Их бюджет состоит из 60 тыс. долларов, предназначенных для поддержки важных проектов и исследований по вопросам политики и развития, а также единовременной суммы в 25 тыс. долларов, выделяемой на проекты, способствующие укреплению потенциала организаций в сфере защиты интересов своих членов и расширению возможностей участия в решении вопросов политики и развития.</w:t>
      </w:r>
    </w:p>
    <w:p w:rsidR="00000000" w:rsidRDefault="00000000">
      <w:pPr>
        <w:pStyle w:val="enumlev-2"/>
      </w:pPr>
      <w:r>
        <w:rPr>
          <w:i/>
        </w:rPr>
        <w:t>Профессиональная подготовка и обучение</w:t>
      </w:r>
      <w:r>
        <w:t>. Средства выделяются на проведение мероприятий в области профессиональной подготовки и обучения, ориентированных на женщин и развитие организационного потенциала.</w:t>
      </w:r>
    </w:p>
    <w:p w:rsidR="00000000" w:rsidRDefault="00000000">
      <w:pPr>
        <w:pStyle w:val="1-1"/>
        <w:spacing w:before="0"/>
      </w:pPr>
      <w:r>
        <w:br w:type="page"/>
        <w:t>Женщины в государственном секторе</w:t>
      </w:r>
    </w:p>
    <w:p w:rsidR="00000000" w:rsidRDefault="00000000">
      <w:pPr>
        <w:pStyle w:val="BodyText"/>
        <w:spacing w:after="120"/>
      </w:pPr>
      <w:r>
        <w:t>131.</w:t>
      </w:r>
      <w:r>
        <w:tab/>
        <w:t>Правительство финансирует различные инициативы, направленные на расширение возможностей получения женщинами должностей старшего звена в рамках государственной службы Австралии. С 1988 года в стране ежегодно в различных формах осуществляется программа под названием "Женщины на старших руководящих должностях". За отчетный период в этой программе приняли участие свыше 300 женщин. Это уникальная программа подготовки управленческих кадров, призванная существенно улучшить навыки и умения, а также повысить профессиональный уровень руководящих работников-женщин в рамках государственной службы Австралии, с тем чтобы они могли отвечать высоким требованиям, предъявляемым к работникам государственного административного аппарата.</w:t>
      </w:r>
    </w:p>
    <w:p w:rsidR="00000000" w:rsidRDefault="00000000">
      <w:pPr>
        <w:pStyle w:val="BodyText"/>
        <w:spacing w:after="0"/>
      </w:pPr>
      <w:r>
        <w:t>132.</w:t>
      </w:r>
      <w:r>
        <w:tab/>
        <w:t>Кроме того, формированию основных навыков и умений, необходимых для руководящих работников старшего звена в системе государственной службы Австралии, способствует программа по развитию потенциала старших руководящих работников. В настоящее время ведется работа над тем, чтобы распространить эту программу и на руководящих работников среднего звена. Программа нацелена на достижение высокого уровня профессионализма и призвана оказать женщинам помощь путем четкого определения критериев для открытого отбора, на конкурсной основе, а также для оценки качества работы руководителей старшего звена. Другой важнейшей инициативой является комплект учебных видеофильмов для государственного и частного секторов, посвященных проблемам руководящей и коллективной работы на производстве под названием "Вопросы управления в Австралии". Одной из центральных тем всех фильмов, входящих в этот учебный комплект, показ которых начался в мае 2000 года, являются гендерные вопросы.</w:t>
      </w:r>
    </w:p>
    <w:p w:rsidR="00000000" w:rsidRDefault="00000000">
      <w:pPr>
        <w:pStyle w:val="1-1"/>
        <w:spacing w:before="120"/>
      </w:pPr>
      <w:r>
        <w:t>Молодые женщины-лидеры</w:t>
      </w:r>
    </w:p>
    <w:p w:rsidR="00000000" w:rsidRDefault="00000000">
      <w:pPr>
        <w:pStyle w:val="BodyText"/>
      </w:pPr>
      <w:r>
        <w:t>133.</w:t>
      </w:r>
      <w:r>
        <w:tab/>
        <w:t xml:space="preserve">Для обеспечения более активного участия молодых людей в работе государственных органов и комитетов был разработан экспериментальный проект. В Департаменте образования, профессионального обучения и по делам молодежи был составлен реестр молодых людей, имеющих необходимый опыт и навыки для участия в процессах принятия решений в рамках государственных органов, что способствовало расширению возможностей для молодых мужчин и женщин. См. </w:t>
      </w:r>
      <w:r>
        <w:rPr>
          <w:u w:val="single"/>
        </w:rPr>
        <w:t>www.thesource.gov.au/text/speak_out</w:t>
      </w:r>
      <w:r>
        <w:t>.</w:t>
      </w:r>
    </w:p>
    <w:p w:rsidR="00000000" w:rsidRDefault="00000000">
      <w:pPr>
        <w:pStyle w:val="1-1"/>
        <w:spacing w:before="120" w:after="0"/>
      </w:pPr>
      <w:r>
        <w:t>Женщины в нетрадиционных сферах деятельности</w:t>
      </w:r>
    </w:p>
    <w:p w:rsidR="00000000" w:rsidRDefault="00000000">
      <w:pPr>
        <w:pStyle w:val="BodyText"/>
      </w:pPr>
      <w:r>
        <w:t>134.</w:t>
      </w:r>
      <w:r>
        <w:tab/>
        <w:t>Правительственные департаменты и НПО прилагают активные усилия для более широкого вовлечения женщин в процесс принятия решений в традиционно мужских сферах деятельности. Женское сетевое общество в рамках промышленности по производству морепродуктов организовало проект под названием "Пособие по наилучшей практике" в целях поощрения участия женщин в руководстве и принятии решений в этой традиционно мужской сфере деятельности. Данное пособие, которое финансировалось в рамках Программы финансирования общенациональных женских неправительственных организаций (2000/01 финансовый год), периодически обновляется и содержит советы по вопросам профессионального развития, поддержки и обучения.</w:t>
      </w:r>
    </w:p>
    <w:p w:rsidR="00000000" w:rsidRDefault="00000000">
      <w:pPr>
        <w:pStyle w:val="1-1"/>
      </w:pPr>
      <w:r>
        <w:t>Одинокие родители</w:t>
      </w:r>
    </w:p>
    <w:p w:rsidR="00000000" w:rsidRDefault="00000000">
      <w:pPr>
        <w:pStyle w:val="BodyText"/>
      </w:pPr>
      <w:r>
        <w:t>135.</w:t>
      </w:r>
      <w:r>
        <w:tab/>
        <w:t>Национальный совет по делам одиноких матерей и их детей получил финансовые средства для осуществления ряда проектов, включая проекты под названием "Достойные условия – для одиноких родителей" и "Австралийская сеть по разработке стратегий в интересах работающих одиноких матерей". В рамках этих проектов были созданы сети для семей с одним родителем в регионах, сельских районах и труднодоступных территориях, представляющие услуги в области обучения, установления дружеских связей и профессиональной подготовки для последующей руководящей работы и участия в процессах принятия решений.</w:t>
      </w:r>
    </w:p>
    <w:p w:rsidR="00000000" w:rsidRDefault="00000000">
      <w:pPr>
        <w:pStyle w:val="1-1"/>
        <w:spacing w:before="120"/>
      </w:pPr>
      <w:r>
        <w:t>Женщины, болеющие раком молочной железы</w:t>
      </w:r>
    </w:p>
    <w:p w:rsidR="00000000" w:rsidRDefault="00000000">
      <w:pPr>
        <w:pStyle w:val="BodyText"/>
      </w:pPr>
      <w:r>
        <w:t>136.</w:t>
      </w:r>
      <w:r>
        <w:tab/>
        <w:t>В 2000/01 финансовом году Австралийская сеть по проблеме заболевания раком молочной железы (БСНА) получила в рамках Программы финансирования общенациональных женских НПО 25 тыс. долларов на разработку стратегии по увеличению представленности женщин, больных раком молочной железы, в процессе принятия решений по вопросам политики в этой области. В рамках этого проекта разрабатывается национальная стратегия, способствующая увеличению представленности женщин, больных раком молочной железы, как наиболее заинтересованной группы, во всех областях, где принимаются решения в связи с этим заболеванием. Данный проект предполагает выявление и привлечение представителей этой заинтересованной группы, а также определение потребностей в профессиональной подготовке и возможностей непрерывного финансирования мероприятий по привлечению женщин к участию в процессе принятия решений по вопросам, касающимся заболевания раком молочной железы. Департамент по вопросам охраны здоровья и ухода за пожилыми выделяет БСНА еще 45 тыс. долларов на осуществление указанной стратегии путем отбора и обучения представителей заинтересованных групп, а также увеличения представленности данной заинтересованной группы в комитетах и организациях, принимающих решения в данной области.</w:t>
      </w:r>
    </w:p>
    <w:p w:rsidR="00000000" w:rsidRDefault="00000000">
      <w:pPr>
        <w:pStyle w:val="1-1"/>
      </w:pPr>
      <w:r>
        <w:t>Пожилые женщины</w:t>
      </w:r>
    </w:p>
    <w:p w:rsidR="00000000" w:rsidRDefault="00000000">
      <w:pPr>
        <w:pStyle w:val="BodyText"/>
      </w:pPr>
      <w:r>
        <w:t>137.</w:t>
      </w:r>
      <w:r>
        <w:tab/>
        <w:t>В 2000/01 финансовом году Сеть пожилых женщин получила в рамках Программы финансирования общенациональных женских НПО 25 тыс. долларов на реализацию проекта, направленного на повышение роли пожилых женщин в руководстве общинами. В контексте данного проекта, который направлен на поощрение активного участия всех граждан в общественной жизни, признается ценный вклад пожилых женщин в жизнь австралийского общества. В рамках этого проекта ведется поиск литературы с примерами из жизни общин, где существует система взаимной поддержки, а также общин, где учитываются потребности пожилых женщин, в том числе связанные с различными культурами. Проект также предусматривает организацию фокус-групп и практикумов с пожилыми женщинами для выявления пожеланий простых людей в отношении оказания содействия пожилым женщинам в повышении их авторитета и поддержании здорового образа жизни, а также в развитии имеющегося у них потенциала для активного (в том числе на добровольной основе) участия в руководстве общинами.</w:t>
      </w:r>
    </w:p>
    <w:p w:rsidR="00000000" w:rsidRDefault="00000000">
      <w:pPr>
        <w:pStyle w:val="BodyText"/>
      </w:pPr>
      <w:r>
        <w:t>138.</w:t>
      </w:r>
      <w:r>
        <w:tab/>
        <w:t>Правительство добилось значительного прогресса в разработке национального законодательства, касающегося недопущения дискриминации по возрастному признаку. Законопроект 2003 года о недопущении дискриминации по возрастному признаку, который был внесен на рассмотрение парламента в июне 2003 года, будет обеспечивать защиту всех граждан Австралии независимо от возраста, включая пожилых женщин, от дискриминации по возрастному признаку в самых различных сферах общественной жизни.</w:t>
      </w:r>
    </w:p>
    <w:p w:rsidR="00000000" w:rsidRDefault="00000000">
      <w:pPr>
        <w:pStyle w:val="BodyText"/>
      </w:pPr>
      <w:r>
        <w:t>139.</w:t>
      </w:r>
      <w:r>
        <w:tab/>
        <w:t>В октябре 2001 года правительство подготовило публикацию под названием "</w:t>
      </w:r>
      <w:r>
        <w:rPr>
          <w:i/>
        </w:rPr>
        <w:t>Предупреждение преступлений в отношении пожилых людей: руководство по вопросам личной и финансовой безопасности</w:t>
      </w:r>
      <w:r>
        <w:t>". Эта брошюра призвана обеспечить полезную информацию по проблемам предупреждения преступности для пожилых граждан Австралии таким образом, чтобы не вызвать чувство страха у ее читателей. В этой брошюре затрагиваются следующие темы: общие вопросы безопасности, в том числе безопасность на улице, в автомобиле и в общественном транспорте; индивидуальные банковские операции; виды мошенничества; безопасная жизнь в условиях компьютерных технологий; и межличностные отношения. Брошюра была подготовлена при содействии Совета по проблемам старения и Сети пожилых женщин.</w:t>
      </w:r>
    </w:p>
    <w:p w:rsidR="00000000" w:rsidRDefault="00000000">
      <w:pPr>
        <w:pStyle w:val="1-1"/>
      </w:pPr>
      <w:r>
        <w:t>Женщины-аборигены</w:t>
      </w:r>
    </w:p>
    <w:p w:rsidR="00000000" w:rsidRDefault="00000000">
      <w:pPr>
        <w:pStyle w:val="BodyText"/>
      </w:pPr>
      <w:r>
        <w:t>140.</w:t>
      </w:r>
      <w:r>
        <w:tab/>
        <w:t xml:space="preserve">В январе 2001 года правительство объявило о выделении не менее 20 млн. долларов (в рамках реализации Стратегии по укреплению семей и общин) для финансирования проектов, основанных на принципах, которые были провозглашены на совещании "за круглым столом" по проблемам коренного населения в 2000 году. Осуществляемые в рамках этой инициативы проекты конкретно ориентированы на молодых людей из числа коренного населения и преследуют цель сформировать у них навыки руководящей работы, а также повысить их информированность о культурных и семейных традициях коренного населения. Кроме того, восемь женщин-аборигенов – по одной от каждого штата и территории – в 2001 году были удостоены стипендий УВПЖ для обучения по Программе развития навыков руководства, организованной Австралийским центром формирования навыков руководящей работы среди коренного населения (по завершении обучения они получат диплом об окончании этого курса). Более подробную информацию можно получить на сайте </w:t>
      </w:r>
      <w:r>
        <w:rPr>
          <w:u w:val="single"/>
        </w:rPr>
        <w:t>www.aiatsis.gov.au/ailc.</w:t>
      </w:r>
      <w:r>
        <w:t xml:space="preserve"> Руководящие указания и консультационные услуги по проблемам женщин-аборигенов обеспечивает Консультативная группа УВПЖ по проблемам женщин-аборигенов, образованная в рамках Общенациональной инициативы по формированию у женщин навыков руководства.</w:t>
      </w:r>
    </w:p>
    <w:p w:rsidR="00000000" w:rsidRDefault="00000000">
      <w:pPr>
        <w:pStyle w:val="1-1"/>
      </w:pPr>
      <w:r>
        <w:t>Женщины, проживающие в сельских районах</w:t>
      </w:r>
    </w:p>
    <w:p w:rsidR="00000000" w:rsidRDefault="00000000">
      <w:pPr>
        <w:pStyle w:val="BodyText"/>
      </w:pPr>
      <w:r>
        <w:t>141.</w:t>
      </w:r>
      <w:r>
        <w:tab/>
        <w:t xml:space="preserve">Правительство обеспечивает большие возможности для целенаправленного повышения навыков руководства у женщин, проживающих в сельских районах. Лауреаты премии штатов и территорий, присуждаемой сельским женщинам, в марте 2001 года приняли участие в общенациональном семинаре по вопросам руководства и управления, а также получили стипендии, которые должны помочь им развить свои навыки управленческой, предпринимательской и руководящей деятельности. Правительство также финансирует стипендию, ежегодно присуждаемую одной представительнице сельских женщин для участия в Австралийской программе по вопросам руководящей деятельности в сельской общине. Подробнее о премии, присуждаемой сельским женщинам, см. на сайте </w:t>
      </w:r>
      <w:r>
        <w:rPr>
          <w:u w:val="single"/>
        </w:rPr>
        <w:t>www.ruralwomensaward.gov.au</w:t>
      </w:r>
      <w:r>
        <w:t>.</w:t>
      </w:r>
    </w:p>
    <w:p w:rsidR="00000000" w:rsidRDefault="00000000">
      <w:pPr>
        <w:pStyle w:val="BodyText"/>
      </w:pPr>
      <w:r>
        <w:t>142.</w:t>
      </w:r>
      <w:r>
        <w:tab/>
        <w:t>Правительство финансировало проект под названием "Упущенные возможности: использование потенциала женщин в сельском хозяйстве Австралии", направленный на расширение участия сельских женщин в процессе принятия решений. В рамках проекта была проведена оценка вклада сельских женщин в экономику, определены и осуществлены стратегии, направленные на обеспечение более активного участия сельских женщин в принятии решений. Среди главных результатов проекта следует упомянуть: большее понимание женской проблематики и предоставление более качественных услуг женщинам и членам организаций, ставших участниками "тематического исследования", а также более широкое использование профессионального потенциала женщин в целях повышения экономических и других показателей работы этих организаций; лучшее понимание того, какие стратегии, направленные на расширение участия женщин, способны увенчаться успехом; и более глубокое понимание со стороны правительств и других организаций препятствий, мешающих женщинам участвовать в процессе принятия решений, что даст возможность организациям разработать необходимые инициативы для преодоления выявленных препятствий, повысив тем самым качество и адекватность осуществляемых политики и программ.</w:t>
      </w:r>
    </w:p>
    <w:p w:rsidR="00000000" w:rsidRDefault="00000000">
      <w:pPr>
        <w:pStyle w:val="1-1"/>
        <w:spacing w:before="0"/>
      </w:pPr>
      <w:r>
        <w:rPr>
          <w:b w:val="0"/>
        </w:rPr>
        <w:br w:type="page"/>
      </w:r>
      <w:r>
        <w:t>Признание заслуг женщин на руководящих постах</w:t>
      </w:r>
    </w:p>
    <w:p w:rsidR="00000000" w:rsidRDefault="00000000">
      <w:pPr>
        <w:pStyle w:val="BodyText"/>
      </w:pPr>
      <w:r>
        <w:t>143.</w:t>
      </w:r>
      <w:r>
        <w:tab/>
        <w:t>Целый ряд стратегий правительства направлены на более широкое признание заслуг женщин перед обществом. Например, в этих целях 25 января 2001 года премьер-министр учредил национальную Сеть послов доброй воли для признания роли женщин в рамках инициативы</w:t>
      </w:r>
      <w:r>
        <w:rPr>
          <w:i/>
        </w:rPr>
        <w:t xml:space="preserve"> "</w:t>
      </w:r>
      <w:r>
        <w:t>Чествование женщин" по случаю Австралийского дня вручения наград. Эта инициатива является частью более масштабной стратегии правительства, направленной на увеличение числа номинантов среди женщин, удостаиваемых различных премий и наград в Австралии. Эта сеть из 30 выдающихся "послов доброй воли" объединяет наиболее авторитетных женщин – представителей различных слоев австралийского общества. "Послы доброй воли" в течение года ведут общественную деятельность, направленную на содействие выдвижению для награждения женщин из различных общин и популяризацию успехов, достигнутых женщинами Австралии.</w:t>
      </w:r>
    </w:p>
    <w:p w:rsidR="00000000" w:rsidRDefault="00000000">
      <w:pPr>
        <w:pStyle w:val="BodyText"/>
      </w:pPr>
      <w:r>
        <w:t>144.</w:t>
      </w:r>
      <w:r>
        <w:tab/>
        <w:t xml:space="preserve">Правительство финансирует программу присуждения ежегодных премий женщинам-предпринимателям "Телстра". Цель этой престижной национальной программы – обеспечить признание заслуг женщин и присуждение им премий за выдающиеся достижения в различных областях и на различных уровнях предпринимательской деятельности. Премии также играют важную роль в повышении осведомленности широких слоев общественности о важном вкладе женщин в экономику Австралии. Недавно в рамках программы премий "Телстра" правительство учредило "Премию федерального правительства для частного сектора", которая присуждается работникам или совладельцам частных предприятий, имеющих штат менее 100 человек. Женщины играют исключительно важную роль в этом секторе, где на их долю приходится 35 процентов от общего числа 1,3 млн. зарегистрированных в Австралии предприятий малого бизнеса. В 1999 году управления по делам женщин штатов и территорий финансировали первые конкурсы по присуждению премий "Телстра" молодым женщинам-предпринимателям. Подробнее о премиях "Телстра", присуждаемых женщинам-предпринимателям, см. </w:t>
      </w:r>
      <w:r>
        <w:rPr>
          <w:u w:val="single"/>
        </w:rPr>
        <w:t>www.telstra.com.au/tbwa</w:t>
      </w:r>
      <w:r>
        <w:t>.</w:t>
      </w:r>
    </w:p>
    <w:p w:rsidR="00000000" w:rsidRDefault="00000000">
      <w:pPr>
        <w:pStyle w:val="BodyText"/>
      </w:pPr>
      <w:r>
        <w:t>145.</w:t>
      </w:r>
      <w:r>
        <w:tab/>
        <w:t>В 2001 году в каждом выпуске информационного бюллетеня УВПЖ "Женские новости" рассказывалось о женщинах, занимающихся добровольческой деятельностью в областях, соответствующих темам того или иного месяца в рамках Международного года добровольцев. Такие кандидатуры выдвигались добровольческими организациями каждого штата и региона. Для признания и оценки усилий всех добровольцев в рамках Международного года добровольцев УВПЖ подготовило публикацию, посвященную женщинам-добровольцам, под названием "Женщины действия", которая была издана в 2002 году. В этой публикации затрагивается широкий круг вопросов, касающихся добровольческой деятельности, подробно рассказывается о добровольцах и добровольческом труде женщин в Австралии в исторической перспективе.</w:t>
      </w:r>
    </w:p>
    <w:p w:rsidR="00000000" w:rsidRDefault="00000000">
      <w:pPr>
        <w:pStyle w:val="BodyText"/>
      </w:pPr>
      <w:r>
        <w:t>146.</w:t>
      </w:r>
      <w:r>
        <w:tab/>
        <w:t>Стратегия "Укрепление семей и общин" помогает лицам, участвующим в добровольческой деятельности, повысить свой профессиональный уровень с помощью мероприятий в области развития и профессиональной подготовки. Эти меры окажут помощь многим женщинам, которые составляют большую часть добровольческого корпуса Австралии.</w:t>
      </w:r>
    </w:p>
    <w:p w:rsidR="00000000" w:rsidRDefault="00000000">
      <w:pPr>
        <w:pStyle w:val="1-1"/>
      </w:pPr>
      <w:r>
        <w:t>Австралийские программы международной помощи</w:t>
      </w:r>
    </w:p>
    <w:p w:rsidR="00000000" w:rsidRDefault="00000000">
      <w:pPr>
        <w:pStyle w:val="BodyText"/>
      </w:pPr>
      <w:r>
        <w:t>147.</w:t>
      </w:r>
      <w:r>
        <w:tab/>
        <w:t>Осуществляемые Австралией программы помощи обеспечивают поддержку широкого круга женских НПО, включая Союз женщин Вьетнама, Союз женщин Лаоса, женские НПО на Филиппинах, действующие в рамках австралийской программы содействия развитию филиппинских общин, и женские НПО в странах Тихоокеанского региона. См. также комментарии по осуществлению статьи 8 Конвенции.</w:t>
      </w:r>
    </w:p>
    <w:p w:rsidR="00000000" w:rsidRDefault="00000000">
      <w:pPr>
        <w:pStyle w:val="Article-ref"/>
        <w:spacing w:before="240" w:after="120"/>
      </w:pPr>
      <w:bookmarkStart w:id="277" w:name="_Toc70142964"/>
      <w:bookmarkStart w:id="278" w:name="_Toc70228691"/>
      <w:bookmarkStart w:id="279" w:name="_Toc70229092"/>
      <w:bookmarkStart w:id="280" w:name="_Toc70235358"/>
      <w:r>
        <w:t>Инициативы штатов и территорий</w:t>
      </w:r>
      <w:bookmarkEnd w:id="277"/>
      <w:bookmarkEnd w:id="278"/>
      <w:bookmarkEnd w:id="279"/>
      <w:bookmarkEnd w:id="280"/>
    </w:p>
    <w:p w:rsidR="00000000" w:rsidRDefault="00000000">
      <w:pPr>
        <w:pStyle w:val="Heading2"/>
        <w:spacing w:before="120"/>
      </w:pPr>
      <w:bookmarkStart w:id="281" w:name="_Toc70142807"/>
      <w:bookmarkStart w:id="282" w:name="_Toc70142965"/>
      <w:bookmarkStart w:id="283" w:name="_Toc70228692"/>
      <w:bookmarkStart w:id="284" w:name="_Toc70229093"/>
      <w:bookmarkStart w:id="285" w:name="_Toc70235359"/>
      <w:r>
        <w:t>Австралийская столичная территория</w:t>
      </w:r>
      <w:bookmarkEnd w:id="281"/>
      <w:bookmarkEnd w:id="282"/>
      <w:bookmarkEnd w:id="283"/>
      <w:bookmarkEnd w:id="284"/>
      <w:bookmarkEnd w:id="285"/>
    </w:p>
    <w:p w:rsidR="00000000" w:rsidRDefault="00000000">
      <w:pPr>
        <w:pStyle w:val="BodyText"/>
      </w:pPr>
      <w:r>
        <w:t>148.</w:t>
      </w:r>
      <w:r>
        <w:tab/>
        <w:t>Правительство прилагает усилия в целях создания возможностей для участия женщин в общественной жизни наравне с мужчинами. Был установлен 50-процентный целевой показатель представленности женщин в составе правительственных советов и комитетов, для достижения которого Управление по делам женщин ведет реестр женщин, заинтересованных в получении назначений в состав правительственных советов и комитетов.</w:t>
      </w:r>
    </w:p>
    <w:p w:rsidR="00000000" w:rsidRDefault="00000000">
      <w:pPr>
        <w:pStyle w:val="Heading2"/>
        <w:spacing w:before="120"/>
      </w:pPr>
      <w:bookmarkStart w:id="286" w:name="_Toc70142808"/>
      <w:bookmarkStart w:id="287" w:name="_Toc70142966"/>
      <w:bookmarkStart w:id="288" w:name="_Toc70228693"/>
      <w:bookmarkStart w:id="289" w:name="_Toc70229094"/>
      <w:bookmarkStart w:id="290" w:name="_Toc70235360"/>
      <w:r>
        <w:t>Новый Южный Уэльс</w:t>
      </w:r>
      <w:bookmarkEnd w:id="286"/>
      <w:bookmarkEnd w:id="287"/>
      <w:bookmarkEnd w:id="288"/>
      <w:bookmarkEnd w:id="289"/>
      <w:bookmarkEnd w:id="290"/>
    </w:p>
    <w:p w:rsidR="00000000" w:rsidRDefault="00000000">
      <w:pPr>
        <w:pStyle w:val="BodyText"/>
      </w:pPr>
      <w:r>
        <w:t>149.</w:t>
      </w:r>
      <w:r>
        <w:tab/>
        <w:t>В 1998 году правительство учредило Консультативный комитет женщин и разработало Стратегический план в целях расширения участия женщин в резервных попечительских советах. Проект по назначению женщин в состав советов и комитетов в государственном секторе, осуществляемый правительством Нового Южного Уэльса, направлен на повышение процентной доли женщин среди лиц, назначаемых в состав советов и комитетов, а также процентной доли женщин, выдвигаемых для таких назначений.</w:t>
      </w:r>
    </w:p>
    <w:p w:rsidR="00000000" w:rsidRDefault="00000000">
      <w:pPr>
        <w:pStyle w:val="BodyText"/>
      </w:pPr>
      <w:r>
        <w:t>150.</w:t>
      </w:r>
      <w:r>
        <w:tab/>
        <w:t>Правительство намерено повысить число женщин-руководителей в индустрии спорта и развлечений с помощью соглашений со всеми финансируемыми им организациями и Программы</w:t>
      </w:r>
      <w:r>
        <w:rPr>
          <w:i/>
        </w:rPr>
        <w:t xml:space="preserve"> </w:t>
      </w:r>
      <w:r>
        <w:t>предоставления стипендий в области спорта и развлечений.</w:t>
      </w:r>
    </w:p>
    <w:p w:rsidR="00000000" w:rsidRDefault="00000000">
      <w:pPr>
        <w:pStyle w:val="BodyText"/>
      </w:pPr>
      <w:r>
        <w:t>151.</w:t>
      </w:r>
      <w:r>
        <w:tab/>
        <w:t>В Новом Южном Уэльсе осуществляется целый ряд программ в целях увеличения числа женщин, проживающих в сельских районах, на руководящих должностях. Например, Министерство сельского хозяйства Нового Южного Уэльса организует для пожилых женщин недорогостоящие курсы, позволяющие им лучше понять процесс принятия решений на уровне правительства, а Сеть сельских женщин, действующая при Министерстве сельского хозяйства Нового Южного Уэльса, совместно осуществляет пилотную программу профессиональной подготовки руководящих кадров, ориентированную на женщин из общин в труднодоступных районах.</w:t>
      </w:r>
    </w:p>
    <w:p w:rsidR="00000000" w:rsidRDefault="00000000">
      <w:pPr>
        <w:pStyle w:val="Heading2"/>
        <w:spacing w:before="120"/>
      </w:pPr>
      <w:bookmarkStart w:id="291" w:name="_Toc70142809"/>
      <w:bookmarkStart w:id="292" w:name="_Toc70142967"/>
      <w:bookmarkStart w:id="293" w:name="_Toc70228694"/>
      <w:bookmarkStart w:id="294" w:name="_Toc70229095"/>
      <w:bookmarkStart w:id="295" w:name="_Toc70235361"/>
      <w:r>
        <w:t>Северная территория</w:t>
      </w:r>
      <w:bookmarkEnd w:id="291"/>
      <w:bookmarkEnd w:id="292"/>
      <w:bookmarkEnd w:id="293"/>
      <w:bookmarkEnd w:id="294"/>
      <w:bookmarkEnd w:id="295"/>
    </w:p>
    <w:p w:rsidR="00000000" w:rsidRDefault="00000000">
      <w:pPr>
        <w:pStyle w:val="BodyText"/>
      </w:pPr>
      <w:r>
        <w:t>152.</w:t>
      </w:r>
      <w:r>
        <w:tab/>
        <w:t>Главный министр Клэр Мартин, депутат Законодательного собрания, стала первой женщиной, возглавившей правительство Северной территории, и ей также принадлежит портфель министра, отвечающего за осуществление политики в интересах женщин. Четверо из тринадцати депутатов парламента, входящих в состав правительства Северной территории, являются женщинами, включая одну женщину из числа коренного населения. В общей сложности среди депутатов Законодательного собрания – семь женщин (28 процентов), что является рекордом для Австралии. Женщины широко представлены в местных органах власти и обычно остаются на своих должностях дольше, чем в среднем государственные служащие по стране. Женщины составляют 38 процентов от общего числа муниципальных советников, 41 процент из которых находятся в должности дольше одного срока, в том числе 23 процента этой категории служащих работают в этой должности два срока или более. В Северной территории женщины составляют 43 процента мэров и руководителей графств.</w:t>
      </w:r>
    </w:p>
    <w:p w:rsidR="00000000" w:rsidRDefault="00000000">
      <w:pPr>
        <w:pStyle w:val="BodyText"/>
        <w:spacing w:after="120"/>
      </w:pPr>
      <w:r>
        <w:t>153.</w:t>
      </w:r>
      <w:r>
        <w:tab/>
        <w:t xml:space="preserve">Консультативный совет женщин при канцелярии главного министра осуществляет непосредственную связь между женщинами и правительством. Совет напрямую подчиняется и представляет отчеты главному министру. Члены Совета встречаются на протяжение всего года в целях определения, обсуждения и планирования мер для решения вопросов, вызывающих обеспокоенность и интерес у женщин; выработки всесторонних, отражающих все многообразие мнений рекомендаций правительству и определения стратегий по содействию активному участию женщин в правительственных процессах. В 2003 году Консультативный совет женщин отметит свою </w:t>
      </w:r>
      <w:r>
        <w:br/>
        <w:t>20-ю годовщину.</w:t>
      </w:r>
    </w:p>
    <w:p w:rsidR="00000000" w:rsidRDefault="00000000">
      <w:pPr>
        <w:pStyle w:val="BodyText"/>
        <w:spacing w:after="120"/>
      </w:pPr>
      <w:r>
        <w:t>154.</w:t>
      </w:r>
      <w:r>
        <w:tab/>
        <w:t>Организованное главным министром совещание "за круглым столом" под названием "Молодые жители Территории" создает для молодых людей новую возможность высказать свои мнения непосредственно правительству. В 2002 году председателем и заместителем председателя совещания "за круглым столом" были женщины. Молодые женщины, участвовавшие в совещаниях "за круглым столом", занимались проектами по вопросам охраны репродуктивного здоровья молодых женщин, незаконных наркотических средств и перспективной программы развития молодежи Австралии (Ausyouth).</w:t>
      </w:r>
    </w:p>
    <w:p w:rsidR="00000000" w:rsidRDefault="00000000">
      <w:pPr>
        <w:pStyle w:val="BodyText"/>
        <w:spacing w:after="120"/>
      </w:pPr>
      <w:r>
        <w:t>155.</w:t>
      </w:r>
      <w:r>
        <w:tab/>
        <w:t>В 2002/03 финансовом году для женщин, назначенных в состав советов и комитетов, будут подготовлены новые материалы, в том числе документ по вопросам, касающимся женщин и их деятельности на руководящих постах в Северной территории.</w:t>
      </w:r>
    </w:p>
    <w:p w:rsidR="00000000" w:rsidRDefault="00000000">
      <w:pPr>
        <w:pStyle w:val="Heading2"/>
        <w:spacing w:before="120"/>
      </w:pPr>
      <w:bookmarkStart w:id="296" w:name="_Toc70142810"/>
      <w:bookmarkStart w:id="297" w:name="_Toc70142968"/>
      <w:bookmarkStart w:id="298" w:name="_Toc70228695"/>
      <w:bookmarkStart w:id="299" w:name="_Toc70229096"/>
      <w:bookmarkStart w:id="300" w:name="_Toc70235362"/>
      <w:r>
        <w:t>Квинсленд</w:t>
      </w:r>
      <w:bookmarkEnd w:id="296"/>
      <w:bookmarkEnd w:id="297"/>
      <w:bookmarkEnd w:id="298"/>
      <w:bookmarkEnd w:id="299"/>
      <w:bookmarkEnd w:id="300"/>
    </w:p>
    <w:p w:rsidR="00000000" w:rsidRDefault="00000000">
      <w:pPr>
        <w:pStyle w:val="BodyText"/>
      </w:pPr>
      <w:r>
        <w:t>156.</w:t>
      </w:r>
      <w:r>
        <w:tab/>
        <w:t>Женщины назначались на самые разнообразные ключевые посты, причем нередко – впервые, в таких областях, как судебная система, государственная служба и политика. Женщины составляют 28 процентов от общего числа советников органов местного самоуправления, 18 процентов – от числа мэров местных муниципалитетов, 37 процентов – от числа всех депутатов парламента штата Квинсленд и занимают 5 из 19 должностей министров в Кабинете. Они также занимают 7 из 24 должностей судей в Верховном суде и составляют 21 процент от общего числа мировых судей, в том числе из 3 мировых судей-аборигенов – 2 женщины.</w:t>
      </w:r>
    </w:p>
    <w:p w:rsidR="00000000" w:rsidRDefault="00000000">
      <w:pPr>
        <w:pStyle w:val="BodyText"/>
      </w:pPr>
      <w:r>
        <w:t>157.</w:t>
      </w:r>
      <w:r>
        <w:tab/>
        <w:t>В настоящее время женщины занимают 32,2 процента должностей в составе правительственного совета штата Квинсленд. Для сравнения, в 1998 и 1995 годах их доля составляла, соответственно, 23 и 21,9 процента. К числу стратегий, направленных на увеличение представленности женщин, относятся: составление Реестра женщин и Реестра женщин из числа коренного населения; и распространение в ключевых промышленных организациях, союзах и общинных организациях новых регистрационных бланков и информационных бюллетеней под названием "Пособие по составлению эффективного резюме" и "Что нужно, чтобы стать членом правительственного совета".</w:t>
      </w:r>
    </w:p>
    <w:p w:rsidR="00000000" w:rsidRDefault="00000000">
      <w:pPr>
        <w:pStyle w:val="BodyText"/>
      </w:pPr>
      <w:r>
        <w:t>158.</w:t>
      </w:r>
      <w:r>
        <w:tab/>
        <w:t>Инициативы, направленные на увеличение представленности женщин из числа коренного населения в руководящих органах общин и правительства включают стратегию под названием "Решаем проблемы, делаем выбор", направленную на обеспечение сбалансированного назначения женщин из числа коренного населения на руководящие должности в общинах коренного населения Кейп Йорка; программу "Как стать руководителем и старшие руководящие должности" для государственных служащих из числа коренного населения; и "Десятилетнее партнерство" – программу развития навыков и умений, конкретно предназначенную для удовлетворения потребностей женщин и девушек из числа коренного населения в области руководства, принятия решений, стратегического планирования и управления, а также для формирования навыков предпринимательской деятельности.</w:t>
      </w:r>
    </w:p>
    <w:p w:rsidR="00000000" w:rsidRDefault="00000000">
      <w:pPr>
        <w:pStyle w:val="Heading2"/>
      </w:pPr>
      <w:bookmarkStart w:id="301" w:name="_Toc70142811"/>
      <w:bookmarkStart w:id="302" w:name="_Toc70142969"/>
      <w:bookmarkStart w:id="303" w:name="_Toc70228696"/>
      <w:bookmarkStart w:id="304" w:name="_Toc70229097"/>
      <w:bookmarkStart w:id="305" w:name="_Toc70235363"/>
      <w:r>
        <w:t>Южная Австралия</w:t>
      </w:r>
      <w:bookmarkEnd w:id="301"/>
      <w:bookmarkEnd w:id="302"/>
      <w:bookmarkEnd w:id="303"/>
      <w:bookmarkEnd w:id="304"/>
      <w:bookmarkEnd w:id="305"/>
    </w:p>
    <w:p w:rsidR="00000000" w:rsidRDefault="00000000">
      <w:pPr>
        <w:pStyle w:val="BodyText"/>
      </w:pPr>
      <w:r>
        <w:t>159.</w:t>
      </w:r>
      <w:r>
        <w:tab/>
        <w:t>Женщины составляют свыше четверти (27,5 процента) от общего числа депутатов парламента Южной Австралии. Женщины составляют 29,8 процента (14 из 47 членов) Нижней палаты (Палата Собрания) и 22,7 процента (5 из 22 членов) Верхней палаты (Законодательного совета).</w:t>
      </w:r>
    </w:p>
    <w:p w:rsidR="00000000" w:rsidRDefault="00000000">
      <w:pPr>
        <w:pStyle w:val="BodyText"/>
        <w:spacing w:after="120"/>
      </w:pPr>
      <w:r>
        <w:t>160.</w:t>
      </w:r>
      <w:r>
        <w:tab/>
        <w:t>Более активное вовлечение женщин в процесс принятия решений является одной из приоритетных задач правительства, которое наметило 50-процентный целевой показатель представленности женщин в составе правительственных советов и комитетов. В настоящее время в Южной Австралии отмечается наивысший в Австралии уровень представленности женщин в составе правительственных советов и комитетов (33,4 процента).</w:t>
      </w:r>
    </w:p>
    <w:p w:rsidR="00000000" w:rsidRDefault="00000000">
      <w:pPr>
        <w:pStyle w:val="BodyText"/>
        <w:spacing w:after="120"/>
      </w:pPr>
      <w:r>
        <w:t>161.</w:t>
      </w:r>
      <w:r>
        <w:tab/>
        <w:t>Управление по положению женщин ведет реестр женщин, в котором содержится более 450 фамилий, и предлагает кандидатуры для министров, правительственных учреждений, общин и частного сектора. Управление также ведет регулярный официальный поиск женщин с соответствующей квалификацией для заполнения открывающихся вакансий. В настоящее время официальный поиск подходящих кандидатов-женщин из различной культурной и языковой среды для назначения в состав советов и комитетов ведется совместно с Отделом по межкультурным вопросам.</w:t>
      </w:r>
    </w:p>
    <w:p w:rsidR="00000000" w:rsidRDefault="00000000">
      <w:pPr>
        <w:pStyle w:val="BodyText"/>
        <w:spacing w:after="120"/>
      </w:pPr>
      <w:r>
        <w:t>162.</w:t>
      </w:r>
      <w:r>
        <w:tab/>
        <w:t>Различные правительственные службы выступают с самыми разнообразными инициативами, направленными на дальнейшее расширение доступа женщин к должностям, предусматривающим возможность продвижения по службе. Так, например, Департамент казначейства и финансов осуществляет корпоративную стратегию под названием "Достижение баланса", которая направлена на обеспечение равной представленности мужчин и женщин на рынке труда, назначение большего числа женщин на должности старшего уровня и создание более гибких условий работы, которые будут выгодны всем гражданам, независимо от пола. Главными целями этой стратегии являются изменение традиционно сложившихся представлений, продвижение по службе и поддержка женщин.</w:t>
      </w:r>
    </w:p>
    <w:p w:rsidR="00000000" w:rsidRDefault="00000000">
      <w:pPr>
        <w:pStyle w:val="BodyText"/>
        <w:spacing w:after="120"/>
      </w:pPr>
      <w:r>
        <w:t>163.</w:t>
      </w:r>
      <w:r>
        <w:tab/>
        <w:t>В рамках инициативы Специального уполномоченного по вопросам занятости в государственном секторе под названием "Руководящие кадры Южной Австралии" работникам, подпадающим под действие Закона 1995 года об управлении государственным сектором, предоставляются стипендии для участия в программах по обучению методам руководства и управления, причем 56 процентов таких стипендий получают женщины. Женщины, занятые в государственном и частном секторах, принимали участие в программе "Женщины во главе перемен", разработанной для женщин, которые работают на должностях старшего руководящего звена и желают возглавить процесс перемен в своих организациях.</w:t>
      </w:r>
    </w:p>
    <w:p w:rsidR="00000000" w:rsidRDefault="00000000">
      <w:pPr>
        <w:pStyle w:val="Heading2"/>
        <w:spacing w:before="120"/>
      </w:pPr>
      <w:bookmarkStart w:id="306" w:name="_Toc70142812"/>
      <w:bookmarkStart w:id="307" w:name="_Toc70142970"/>
      <w:bookmarkStart w:id="308" w:name="_Toc70228697"/>
      <w:bookmarkStart w:id="309" w:name="_Toc70229098"/>
      <w:bookmarkStart w:id="310" w:name="_Toc70235364"/>
      <w:r>
        <w:t>Тасмания</w:t>
      </w:r>
      <w:bookmarkEnd w:id="306"/>
      <w:bookmarkEnd w:id="307"/>
      <w:bookmarkEnd w:id="308"/>
      <w:bookmarkEnd w:id="309"/>
      <w:bookmarkEnd w:id="310"/>
    </w:p>
    <w:p w:rsidR="00000000" w:rsidRDefault="00000000">
      <w:pPr>
        <w:pStyle w:val="BodyText"/>
      </w:pPr>
      <w:r>
        <w:t>164.</w:t>
      </w:r>
      <w:r>
        <w:rPr>
          <w:i/>
        </w:rPr>
        <w:tab/>
      </w:r>
      <w:r>
        <w:t>Реестр женщин, составленный в штате Тасмания, направлен на увеличение представленности женщин в правительственных советах, комитетах и органах власти. За последние два года были разработаны несколько стратегий, включая уделение особого внимания привлечению женщин к работе в нетрадиционных для них областях, дополнительные требования, предъявляемые к советам, в которых женщины должны составлять не менее 25 процентов, сохранение системы раннего оповещения, представление ежеквартальных отчетов Кабинету и установление более тесных связей с правительственными департаментами для повышения их информированности об уровне представленности женщин в советах и комитетах. Управление по делам женщин Тасмании в партнерстве с Австралийским институтом по подготовке директоров компаний организовало однодневный курс для новых директоров, входящих в состав советов и комитетов.</w:t>
      </w:r>
    </w:p>
    <w:p w:rsidR="00000000" w:rsidRDefault="00000000">
      <w:pPr>
        <w:pStyle w:val="BodyText"/>
        <w:spacing w:after="120"/>
      </w:pPr>
      <w:r>
        <w:t>165.</w:t>
      </w:r>
      <w:r>
        <w:tab/>
        <w:t>В 2000 году Управление по делам женщин Тасмании и канцелярия местных органов власти организовали семинары-практикумы для женщин в целях увеличения представленности женщин, особенно молодых женщин, в местных органах власти. Близится к завершению работа над публикацией, при подготовке которой в основном использовался материал, собранный в ходе этих семинаров-практикумов. По итогам этих семинаров женщины, избранные советниками в местные органы власти, подчеркнули необходимость организации новых учебных и подготовительных курсов, посвященных стратегиям и процессам, которые могут быть использованы для увеличения представленности женщин в местных органах власти и на других руководящих должностях.</w:t>
      </w:r>
    </w:p>
    <w:p w:rsidR="00000000" w:rsidRDefault="00000000">
      <w:pPr>
        <w:pStyle w:val="Heading2"/>
        <w:spacing w:before="240"/>
      </w:pPr>
      <w:bookmarkStart w:id="311" w:name="_Toc70142813"/>
      <w:bookmarkStart w:id="312" w:name="_Toc70142971"/>
      <w:bookmarkStart w:id="313" w:name="_Toc70228698"/>
      <w:bookmarkStart w:id="314" w:name="_Toc70229099"/>
      <w:bookmarkStart w:id="315" w:name="_Toc70235365"/>
      <w:r>
        <w:t>Виктория</w:t>
      </w:r>
      <w:bookmarkEnd w:id="311"/>
      <w:bookmarkEnd w:id="312"/>
      <w:bookmarkEnd w:id="313"/>
      <w:bookmarkEnd w:id="314"/>
      <w:bookmarkEnd w:id="315"/>
    </w:p>
    <w:p w:rsidR="00000000" w:rsidRDefault="00000000">
      <w:pPr>
        <w:pStyle w:val="BodyText"/>
      </w:pPr>
      <w:r>
        <w:t>166.</w:t>
      </w:r>
      <w:r>
        <w:tab/>
        <w:t>В реестре женщин под названием "Женский справочник штата Виктория" содержатся фамилии более полутора тысяч женщин, заинтересованных в получении назначений в состав местных советов и готовых к этой работе. Правительственным департаментам рекомендуется пользоваться Справочником при осуществлении новых назначений и повторных назначений. Будет также подготовлен и распространен специальный реестр для увеличения представленности женщин-аборигенов в составе советов, в частности в советах судебных органов, комитетов и трибуналов. В реестре под названием "Женщины в сельском хозяйстве и управлении ресурсами" представлены сельские женщины, желающие получить назначение в директивные органы и обладающие соответствующей профессиональной подготовкой.</w:t>
      </w:r>
    </w:p>
    <w:p w:rsidR="00000000" w:rsidRDefault="00000000">
      <w:pPr>
        <w:pStyle w:val="BodyText"/>
      </w:pPr>
      <w:r>
        <w:t>167.</w:t>
      </w:r>
      <w:r>
        <w:tab/>
        <w:t>Важной инициативой правительства, направленной на повышение осведомленности государственных органов власти в вопросах и проблемах, влияющих на жизнь женщин, и обеспечение женщинам прямого доступа к процессам принятия решений на уровне правительств, является проведение Ежегодного саммита женщин. В первом Саммите женщин штата Виктория под названием "Развитие штата в целом: проблемы женщин, проживающих в сельской местности", который состоялся в мае 2000 года, приняли участие свыше 200 женщин, представляющих различные организации и слои общества. Во втором Ежегодном саммите женщин по теме "Продвижение женщин на руководящие посты в общинах", который прошел в июле 2001 года, приняли участие свыше 180 женщин. Саммит 2002 года был посвящен вопросам женщин, работы и семьи.</w:t>
      </w:r>
    </w:p>
    <w:p w:rsidR="00000000" w:rsidRDefault="00000000">
      <w:pPr>
        <w:pStyle w:val="BodyText"/>
      </w:pPr>
      <w:r>
        <w:t>168.</w:t>
      </w:r>
      <w:r>
        <w:tab/>
        <w:t>С тем чтобы министр по делам женщин и другие министры получили возможность из первых рук узнать о проблемах женщин, был организован ряд женских консультативных форумов. За последние два года состоялось шесть таких форумов, в том числе совещание по теме "Усиление связей и руководства: форум для женщин из разных культурных и языковых общин", в котором приняли участие 125 женщин, и форум по теме "Наши голоса: расширение перспектив для женщин-аборигенов", в котором приняли участие 130 женщин.</w:t>
      </w:r>
    </w:p>
    <w:p w:rsidR="00000000" w:rsidRDefault="00000000">
      <w:pPr>
        <w:pStyle w:val="Heading2"/>
      </w:pPr>
      <w:bookmarkStart w:id="316" w:name="_Toc70142814"/>
      <w:bookmarkStart w:id="317" w:name="_Toc70142972"/>
      <w:bookmarkStart w:id="318" w:name="_Toc70228699"/>
      <w:bookmarkStart w:id="319" w:name="_Toc70229100"/>
      <w:bookmarkStart w:id="320" w:name="_Toc70235366"/>
      <w:r>
        <w:t>Западная Австралия</w:t>
      </w:r>
      <w:bookmarkEnd w:id="316"/>
      <w:bookmarkEnd w:id="317"/>
      <w:bookmarkEnd w:id="318"/>
      <w:bookmarkEnd w:id="319"/>
      <w:bookmarkEnd w:id="320"/>
    </w:p>
    <w:p w:rsidR="00000000" w:rsidRDefault="00000000">
      <w:pPr>
        <w:pStyle w:val="BodyText"/>
      </w:pPr>
      <w:r>
        <w:t>169.</w:t>
      </w:r>
      <w:r>
        <w:tab/>
        <w:t>В 2001 году в Законодательное собрание штата Западная Австралия была избрана Кэрол Мартин, депутат Законодательного собрания от Кимберли. Она стала первой женщиной из числа коренного населения, избранной в состав какого-либо парламента Австралии.</w:t>
      </w:r>
    </w:p>
    <w:p w:rsidR="00000000" w:rsidRDefault="00000000">
      <w:pPr>
        <w:pStyle w:val="BodyText"/>
      </w:pPr>
      <w:r>
        <w:t>170.</w:t>
      </w:r>
      <w:r>
        <w:tab/>
        <w:t>Канцелярия премьер-министра и Кабинет министров ведут реестр лиц, выразивших заинтересованность в получении работы в правительственных советах или комитетах. Недавно был проведен обзор самого реестра и методов, используемых для отбора кандидатов из этого реестра. Одна из целей такого обзора – определить, как достичь того, чтобы большее число и более разнообразный контингент женщин подавали сведения в этот реестр, и создать тем самым возможности для более широкой представленности женщин в правительственных советах и комитетах. Женщины составляют 30 процентов от общего числа членов правительственных советов и комитетов. Кроме того, женщины составляют 24 процента депутатов парламента Западной Австралии; 28,5 процента – Кабинета; 24 процента советников в местных органах власти; и 19 процентов старших должностных лиц в государственной службе Западной Австралии.</w:t>
      </w:r>
    </w:p>
    <w:p w:rsidR="00000000" w:rsidRDefault="00000000">
      <w:pPr>
        <w:pStyle w:val="Article"/>
        <w:spacing w:after="120"/>
      </w:pPr>
      <w:bookmarkStart w:id="321" w:name="_Toc70142973"/>
      <w:bookmarkStart w:id="322" w:name="_Toc70228700"/>
      <w:bookmarkStart w:id="323" w:name="_Toc70229101"/>
      <w:bookmarkStart w:id="324" w:name="_Toc70235367"/>
      <w:r>
        <w:t>Статья 8:  Представленность женщин на международном уровне и их участие в работе международных организаций</w:t>
      </w:r>
      <w:bookmarkEnd w:id="321"/>
      <w:bookmarkEnd w:id="322"/>
      <w:bookmarkEnd w:id="323"/>
      <w:bookmarkEnd w:id="324"/>
    </w:p>
    <w:p w:rsidR="00000000" w:rsidRDefault="00000000">
      <w:pPr>
        <w:pStyle w:val="Article-ref"/>
        <w:spacing w:before="240" w:after="120"/>
      </w:pPr>
      <w:bookmarkStart w:id="325" w:name="_Toc70142974"/>
      <w:bookmarkStart w:id="326" w:name="_Toc70228701"/>
      <w:bookmarkStart w:id="327" w:name="_Toc70229102"/>
      <w:bookmarkStart w:id="328" w:name="_Toc70235368"/>
      <w:r>
        <w:t>Инициативы федерального правительства</w:t>
      </w:r>
      <w:bookmarkEnd w:id="325"/>
      <w:bookmarkEnd w:id="326"/>
      <w:bookmarkEnd w:id="327"/>
      <w:bookmarkEnd w:id="328"/>
    </w:p>
    <w:p w:rsidR="00000000" w:rsidRDefault="00000000">
      <w:pPr>
        <w:pStyle w:val="BodyText"/>
      </w:pPr>
      <w:r>
        <w:t>171.</w:t>
      </w:r>
      <w:r>
        <w:tab/>
        <w:t>После 1995 года Австралия на правительственном уровне участвовала в целом ряде международных форумов, которые открыли широкие возможности для женщин в рамках политической и общественной жизни. К числу таких форумов относятся шестое Совещание министров стран Содружества по делам женщин (Дели, 2000 год); сорок третья, сорок четвертая, сорок пятая, сорок шестая и сорок седьмая сессии Комиссии Организации Объединенных Наций по положению женщин (Нью-Йорк, 1996–2001 годы); совещания Организации азиатско-тихоокеанского экономического сотрудничества (АТЭС) (1995–2002 годы); Специальная сессия Генеральной Ассамблеи Организации Объединенных Наций по проблемам женщин ("Пекин+5", Нью-Йорк, 2000 год); и Всемирная конференция Организации Объединенных Наций против расизма (Дурбан, 2001 год). Женщины входили в состав делегаций правительства Австралии на Всемирной конференции Организации Объединенных Наций против расизма и на совещании АТЭС, в рамках которых гендерной проблематике уделялось особое внимание.</w:t>
      </w:r>
    </w:p>
    <w:p w:rsidR="00000000" w:rsidRDefault="00000000">
      <w:pPr>
        <w:pStyle w:val="1-1"/>
        <w:spacing w:before="120"/>
      </w:pPr>
      <w:r>
        <w:t>Женщины в системе Министерства иностранных дел Австралии</w:t>
      </w:r>
    </w:p>
    <w:p w:rsidR="00000000" w:rsidRDefault="00000000">
      <w:pPr>
        <w:pStyle w:val="BodyText"/>
      </w:pPr>
      <w:r>
        <w:t>172.</w:t>
      </w:r>
      <w:r>
        <w:tab/>
        <w:t>В период с 1994 по 2002 год представленность женщин в системе Министерства иностранных дел неуклонно повышалась. По состоянию на май 2002 года женщины составляли 46,6 процента сотрудников Министерства иностранных дел по сравнению с 42 процентами в 1994 году. Доля женщин, возглавляющих зарубежные представительства и службы, увеличилась с 3 процентов в 1991 году до почти 15 процентов в 2001 году. В 2003 году должности такого уровня занимали 12 женщин. Кроме того, женщины Австралии участвовали в операциях по поддержанию мира (таких, как, например, на Бугенвиле). Подробнее см. в "Австралийской программе зарубежной помощи", пункт 182 и далее. В Австралии оказывается всяческое содействие для того, чтобы женщины выставляли свои кандидатуры на соискание должностей в системе Министерства иностранных дел, набор осуществляется с учетом их профессиональных качеств на основе принципа равных возможностей в области занятости/многообразия выбираемых профессий.</w:t>
      </w:r>
    </w:p>
    <w:p w:rsidR="00000000" w:rsidRDefault="00000000">
      <w:pPr>
        <w:pStyle w:val="1-1"/>
        <w:spacing w:before="120"/>
      </w:pPr>
      <w:r>
        <w:t>Участие женщин в международной деятельности</w:t>
      </w:r>
    </w:p>
    <w:p w:rsidR="00000000" w:rsidRDefault="00000000">
      <w:pPr>
        <w:pStyle w:val="BodyText"/>
      </w:pPr>
      <w:r>
        <w:t>173.</w:t>
      </w:r>
      <w:r>
        <w:tab/>
        <w:t>В июле 1999 года женские НПО Австралии организовали в стране региональную подготовительную конференцию НПО в рамках процесса "Пекин+5". В этой конференции приняли участие свыше 100 представителей женских НПО из Австралии и стран Тихоокеанского региона. В сентябре и октябре 1999 года правительство провело консультации с целью проинформировать правительства штатов и территорий, женские НПО и общество в целом о КЛДЖ и специальной сессии "Пекин+5" и, в свою очередь, получить от них сведения об осуществлении в связи с этим соответствующих положений.</w:t>
      </w:r>
    </w:p>
    <w:p w:rsidR="00000000" w:rsidRDefault="00000000">
      <w:pPr>
        <w:pStyle w:val="BodyText"/>
      </w:pPr>
      <w:r>
        <w:t>174.</w:t>
      </w:r>
      <w:r>
        <w:tab/>
        <w:t>Правительство приняло ряд мер для обеспечения более широкого участия женских НПО в международной деятельности, а именно:</w:t>
      </w:r>
    </w:p>
    <w:p w:rsidR="00000000" w:rsidRDefault="00000000">
      <w:pPr>
        <w:pStyle w:val="enumlev-2"/>
      </w:pPr>
      <w:r>
        <w:t>в рамках подготовки к специальной сессии "Пекин+5" УВПЖ создало партнерства с НПО в целях популяризации и стимулирования участия женщин. К числу важнейших инициатив в этой области относятся семинары-практикумы, мероприятия по содействию эффективному участию НПО в работе системы Организации Объединенных Наций, выделение средств на создание должности координатора НПО, который будет исполнять роль информационного центра и связующего звена между НПО и правительством, а также оказание финансовой помощи представителям женских НПО для участия в сорок четвертой сессии Комиссии по положению женщин (КПЖ) и специальной сессии "Пекин+5";</w:t>
      </w:r>
    </w:p>
    <w:p w:rsidR="00000000" w:rsidRDefault="00000000">
      <w:pPr>
        <w:pStyle w:val="enumlev-2"/>
      </w:pPr>
      <w:r>
        <w:t>представители женских НПО были включены в состав делегации Австралии для участия в сорок третьей, сорок четвертой, сорок пятой, сорок шестой и сорок седьмой сессиях КПЖ и специальной сессии "Пекин+5"; и</w:t>
      </w:r>
    </w:p>
    <w:p w:rsidR="00000000" w:rsidRDefault="00000000">
      <w:pPr>
        <w:pStyle w:val="enumlev-2"/>
        <w:spacing w:after="240"/>
      </w:pPr>
      <w:r>
        <w:t>несколько представителей женских НПО участвовали в Сети женщин – руководителей АТЭС (Австралия) и присутствовали на совещаниях АТЭС, организованных в Новой Зеландии, Брунее, Китае и на Филиппинах.</w:t>
      </w:r>
    </w:p>
    <w:p w:rsidR="00000000" w:rsidRDefault="00000000">
      <w:pPr>
        <w:pStyle w:val="1-1"/>
        <w:spacing w:before="120"/>
      </w:pPr>
      <w:r>
        <w:t>"Пекин+5"</w:t>
      </w:r>
    </w:p>
    <w:p w:rsidR="00000000" w:rsidRDefault="00000000">
      <w:pPr>
        <w:pStyle w:val="BodyText"/>
      </w:pPr>
      <w:r>
        <w:t>175.</w:t>
      </w:r>
      <w:r>
        <w:tab/>
        <w:t>В сентябре 1999 года министр – помощник премьер-министра по вопросам положения женщин, встретился с руководством Всекитайской федерации женщин – ведущей национальной женской организацией в Китае – для того, чтобы обменяться информацией об осуществлении Пекинской платформы действий.</w:t>
      </w:r>
    </w:p>
    <w:p w:rsidR="00000000" w:rsidRDefault="00000000">
      <w:pPr>
        <w:pStyle w:val="BodyText"/>
      </w:pPr>
      <w:r>
        <w:t>176.</w:t>
      </w:r>
      <w:r>
        <w:tab/>
        <w:t>Правительство направило весьма представительную делегацию на Специальную сессию Генеральной Ассамблеи Организации Объединенных Наций "Женщины в 2000 году: равенство между мужчинами и женщинами, развитие и мир в XXI веке" ("Пекин+5"). Австралийскую делегацию возглавлял сенатор Ньюмен (в то время министр – помощник премьер-министра по вопросам положения женщин), в ее состав входили г-жа Пенни Уэнсли (Постоянный представитель Австралии при Организации Объединенных Наций), г-жа Сьюзен Халлидей (Специальный уполномоченный КПЧРВ по вопросам дискриминации по признаку пола), г-жа Джейн Хэлтон (в то время заместитель секретаря Канцелярии премьер-министра и Кабинета), г</w:t>
      </w:r>
      <w:r>
        <w:noBreakHyphen/>
        <w:t>жа Розмэри Калдер (в то время первый помощник секретаря УВПЖ) и представители НПО.</w:t>
      </w:r>
    </w:p>
    <w:p w:rsidR="00000000" w:rsidRDefault="00000000">
      <w:pPr>
        <w:pStyle w:val="BodyText"/>
      </w:pPr>
      <w:r>
        <w:t>177.</w:t>
      </w:r>
      <w:r>
        <w:tab/>
        <w:t>В целях выполнения обязательств правительства по реализации итогов специальной сессии "Пекин+5" в Австралии УВПЖ разработало План действий Австралии в рамках "Пекин+5" на 2001–2005 годы. В процессе подготовки этого Плана УВПЖ участвовало в консультациях с женскими НПО и другими заинтересованными сторонами. В Плане действий выделены ключевые области, в которых работа будет вестись над совершенствованием нынешней политики и поиском новых путей и средств улучшения положения женщин на основе сотрудничества между учреждениями, правительствами, различными слоями общества, деловыми кругами и средствами массовой информации.</w:t>
      </w:r>
    </w:p>
    <w:p w:rsidR="00000000" w:rsidRDefault="00000000">
      <w:pPr>
        <w:pStyle w:val="1-1"/>
        <w:spacing w:before="120"/>
      </w:pPr>
      <w:r>
        <w:t>Женщины в составе торговых делегаций</w:t>
      </w:r>
    </w:p>
    <w:p w:rsidR="00000000" w:rsidRDefault="00000000">
      <w:pPr>
        <w:pStyle w:val="BodyText"/>
      </w:pPr>
      <w:r>
        <w:t>178.</w:t>
      </w:r>
      <w:r>
        <w:tab/>
        <w:t>Женщины занимают ряд ключевых должностей в Управлении по торговым переговорам Департамента иностранных дел и внешней торговли и широко представлены в составе делегаций, направляемых на переговоры, в том числе в рамках Всемирной торговой организации. С января 2001 по декабрь 2002 года Австралия являлась председателем Специальной консультативной группы АТЭС по вопросам гендерной интеграции.</w:t>
      </w:r>
    </w:p>
    <w:p w:rsidR="00000000" w:rsidRDefault="00000000">
      <w:pPr>
        <w:pStyle w:val="1-1"/>
        <w:spacing w:before="120"/>
      </w:pPr>
      <w:r>
        <w:t>Национальный комитет по вопросам образования в области прав человека</w:t>
      </w:r>
    </w:p>
    <w:p w:rsidR="00000000" w:rsidRDefault="00000000">
      <w:pPr>
        <w:pStyle w:val="BodyText"/>
      </w:pPr>
      <w:r>
        <w:t>179.</w:t>
      </w:r>
      <w:r>
        <w:tab/>
        <w:t>Правительство обеспечило базовое финансирование и предоставило дополнительный грант Национальному комитету по вопросам образования в области прав человека. В состав Комитета входят представители НПО, средств массовой информации и деловых кругов, и в нем широко представлены женщины. Задачи Комитета состоят в оценке потребностей австралийского общества в области образования по вопросам прав человека и разработке стратегий по организации такого образования для удовлетворения выявленных потребностей. Данная инициатива является одним из элементов осуществления обязательств, взятых Австралией в связи с Десятилетием образования в области прав человека Организации Объединенных Наций.</w:t>
      </w:r>
    </w:p>
    <w:p w:rsidR="00000000" w:rsidRDefault="00000000">
      <w:pPr>
        <w:pStyle w:val="1-1"/>
      </w:pPr>
      <w:r>
        <w:t>Рабочая группа ОЭСР по гендерному равенству</w:t>
      </w:r>
    </w:p>
    <w:p w:rsidR="00000000" w:rsidRDefault="00000000">
      <w:pPr>
        <w:pStyle w:val="BodyText"/>
      </w:pPr>
      <w:r>
        <w:t>180.</w:t>
      </w:r>
      <w:r>
        <w:tab/>
        <w:t>С 1995 года Австралия принимала активное участие в деятельности Рабочей группы по гендерному равенству в рамках Комитета содействия (КС) Организации экономического сотрудничества и развития. Задача этой Рабочей группы состоит в обеспечении того, чтобы весь потенциал женщин как участников, так и бенефициаров процесса развития поощрялся и поддерживался с помощью мероприятий КС и усилий стран-членов. Вся работа направлена на улучшение положения женщин и содействие успешному осуществлению деятельности в области развития в целом.</w:t>
      </w:r>
    </w:p>
    <w:p w:rsidR="00000000" w:rsidRDefault="00000000">
      <w:pPr>
        <w:pStyle w:val="1-1"/>
        <w:spacing w:before="120"/>
      </w:pPr>
      <w:r>
        <w:t>Международное гуманитарное право</w:t>
      </w:r>
    </w:p>
    <w:p w:rsidR="00000000" w:rsidRDefault="00000000">
      <w:pPr>
        <w:pStyle w:val="BodyText"/>
      </w:pPr>
      <w:r>
        <w:t>181.</w:t>
      </w:r>
      <w:r>
        <w:tab/>
        <w:t>Австралия стала организатором или была приглашена в качестве участника ряда региональных конференций по вопросам международного гуманитарного права для представителей правительств, вооруженных сил, НПО, научного сообщества и общества в целом. Женщины были широко представлены на таких форумах. В феврале 1999 года правительство Австралии провело в стране конференцию в ознаменование столетней годовщины со дня первой Гаагской мирной конференции. Помимо этого, Департамент Генерального прокурора, Департамент иностранных дел и внешней торговли и Департамент обороны представлены в австралийском Комитете Красного Креста по международному гуманитарному праву. Этот Комитет выступает в роли форума для обмена информацией и мнениями по вопросам международного гуманитарного права (включая такие вопросы, как женщины и война). Комитет предоставляет Департаментам ценную возможность обменяться информацией о событиях в области международного гуманитарного права, а также о различных инициативах, предпринимаемых Комитетом Красного Креста в целях содействия пониманию и осознанию принципов международного гуманитарного права.</w:t>
      </w:r>
    </w:p>
    <w:p w:rsidR="00000000" w:rsidRDefault="00000000">
      <w:pPr>
        <w:pStyle w:val="1-1"/>
        <w:spacing w:before="120"/>
      </w:pPr>
      <w:r>
        <w:t>Австралийская программа зарубежной помощи</w:t>
      </w:r>
    </w:p>
    <w:p w:rsidR="00000000" w:rsidRDefault="00000000">
      <w:pPr>
        <w:pStyle w:val="BodyText"/>
      </w:pPr>
      <w:r>
        <w:t>182.</w:t>
      </w:r>
      <w:r>
        <w:tab/>
        <w:t>Австралия решительно поддерживает международные усилия, направленные на обеспечение активного участия женщин в миростроительстве и урегулировании конфликтов.</w:t>
      </w:r>
    </w:p>
    <w:p w:rsidR="00000000" w:rsidRDefault="00000000">
      <w:pPr>
        <w:pStyle w:val="BodyText"/>
      </w:pPr>
      <w:r>
        <w:t>183.</w:t>
      </w:r>
      <w:r>
        <w:tab/>
        <w:t>Австралия оказывала поддержку Бугенвильскому мирному процессу в Папуа-Новой Гвинее, в рамках которого она принимала активное участие во всех совещаниях и конференциях женщин, состоявшихся на Бугенвиле. Женщины сыграли важнейшую роль на начальном этапе мирного процесса, пропагандируя идею достижения мира на основе проведения переговоров и прекращения огня.</w:t>
      </w:r>
    </w:p>
    <w:p w:rsidR="00000000" w:rsidRDefault="00000000">
      <w:pPr>
        <w:pStyle w:val="BodyText"/>
      </w:pPr>
      <w:r>
        <w:t>184.</w:t>
      </w:r>
      <w:r>
        <w:tab/>
        <w:t>Женщины (как в официальном качестве через непосредственное участие в Бугенвильском конгрессе по вопросам установления мира, так и в неофициальном качестве благодаря своему статусу среди представителей общественности Бугенвиля) сыграли решающую роль в поддержке усилий по обеспечению окончательного урегулирования конфликта. Женщины также играли активную роль в оказании информационных и консультативных услуг как комбатантам, так и всему населению Бугенвиля в целом в процессе их адаптации к послевоенной жизни.</w:t>
      </w:r>
    </w:p>
    <w:p w:rsidR="00000000" w:rsidRDefault="00000000">
      <w:pPr>
        <w:pStyle w:val="BodyText"/>
      </w:pPr>
      <w:r>
        <w:t>185.</w:t>
      </w:r>
      <w:r>
        <w:tab/>
        <w:t>Агентство по вопросам развития женщин "Лейтана Нехан" (ЛНВДА) на Бугенвиле получает поддержку в рамках австралийской программы помощи на цели усиления потенциала женщин, общин, руководителей общин и инструкторов ЛНВДА в борьбе с насилием в общинах на Бугенвиле, в том числе с насилием в отношении женщин. В рамках данного проекта будут проводиться семинары-практикумы, посвященные негативным последствиям употребления спиртных напитков местного производства, методам борьбы с насилием, распространению информации о правах женщин, проведению консультаций в области права и организации курсов подготовки по вопросам стратегического планирования и планирования по проектам.</w:t>
      </w:r>
    </w:p>
    <w:p w:rsidR="00000000" w:rsidRDefault="00000000">
      <w:pPr>
        <w:pStyle w:val="BodyText"/>
      </w:pPr>
      <w:r>
        <w:t>186.</w:t>
      </w:r>
      <w:r>
        <w:tab/>
        <w:t>В рамках своей программы помощи Австралия оказывает решительную поддержку женщинам Восточного Тимора. Австралия оказывает содействие в психологической и социальной реабилитации жителей Восточного Тимора, пострадавших в ходе недавнего конфликта. Австралия поддерживает проект, направленный на развитие потенциала жителей Восточного Тимора по созданию базовой сети общинных служб по оказанию первичной медицинской помощи в области психического здоровья путем организации интенсивной подготовки по вопросам психологической помощи и создания сети служб первичной медико-санитарной помощи и охраны психического здоровья на базе общин по всей территории страны. К настоящему моменту подготовку прошло равное число мужчин и женщин; в программу подготовки были включены и вопросы насилия в семье.</w:t>
      </w:r>
    </w:p>
    <w:p w:rsidR="00000000" w:rsidRDefault="00000000">
      <w:pPr>
        <w:pStyle w:val="BodyText"/>
      </w:pPr>
      <w:r>
        <w:t>187.</w:t>
      </w:r>
      <w:r>
        <w:tab/>
        <w:t>В течение полугода Австралия оказывала поддержку Женской информационной сети Соломоновых Островов (СИВНЕТ) в подготовке радиопрограмм по вопросам развития женщин в рамках проекта СИВНЕТ под названием "Женщины и информация в интересах мира". Данный проект связан с подготовкой 30–60-секундных сообщений, передаваемых три раза в день в прайм-тайм Радиовещательной службой Соломоновых Островов. С помощью этой программы СИВНЕТ информирует и просвещает женщин по поводу ряда непростых вопросов, в частности по вопросам мирного разрешения проблем. Австралия также оказывает помощь Организации Соломоновых Островов "Женщины за единство, мир и процветание". Эта помощь способствовала примирению конфликтующих сторон – группировки "Малаитские орлы" (МЕФ) и Движения за свободу "Исатамбу" и проведению переговоров между ними. Были выделены средства на покрытие транспортных расходов, с тем чтобы женщины могли беспрепятственно передвигаться по территории, расположенной за контрольно-пропускными пунктами, и по сельской местности, а также на закупку продовольствия для традиционных и предусмотренных обычаями обменов, необходимых для примирения.</w:t>
      </w:r>
    </w:p>
    <w:p w:rsidR="00000000" w:rsidRDefault="00000000">
      <w:pPr>
        <w:pStyle w:val="Article-ref"/>
      </w:pPr>
      <w:bookmarkStart w:id="329" w:name="_Toc70142975"/>
      <w:bookmarkStart w:id="330" w:name="_Toc70228702"/>
      <w:bookmarkStart w:id="331" w:name="_Toc70229103"/>
      <w:bookmarkStart w:id="332" w:name="_Toc70235369"/>
      <w:r>
        <w:t>Инициативы штатов и территорий</w:t>
      </w:r>
      <w:bookmarkEnd w:id="329"/>
      <w:bookmarkEnd w:id="330"/>
      <w:bookmarkEnd w:id="331"/>
      <w:bookmarkEnd w:id="332"/>
    </w:p>
    <w:p w:rsidR="00000000" w:rsidRDefault="00000000">
      <w:pPr>
        <w:pStyle w:val="Heading2"/>
      </w:pPr>
      <w:bookmarkStart w:id="333" w:name="_Toc70142815"/>
      <w:bookmarkStart w:id="334" w:name="_Toc70142976"/>
      <w:bookmarkStart w:id="335" w:name="_Toc70228703"/>
      <w:bookmarkStart w:id="336" w:name="_Toc70229104"/>
      <w:bookmarkStart w:id="337" w:name="_Toc70235370"/>
      <w:r>
        <w:t>Квинсленд</w:t>
      </w:r>
      <w:bookmarkEnd w:id="333"/>
      <w:bookmarkEnd w:id="334"/>
      <w:bookmarkEnd w:id="335"/>
      <w:bookmarkEnd w:id="336"/>
      <w:bookmarkEnd w:id="337"/>
    </w:p>
    <w:p w:rsidR="00000000" w:rsidRDefault="00000000">
      <w:pPr>
        <w:pStyle w:val="BodyText"/>
      </w:pPr>
      <w:r>
        <w:t>188.</w:t>
      </w:r>
      <w:r>
        <w:tab/>
        <w:t>Женщины занимают должности заместителей специальных уполномоченных в трех из десяти правительственных отделов по торговле и инвестициям, занимающихся вопросами ключевых для штата Квинсленд рынков зарубежного экспорта и инвестиций. Женщины также занимают три должности директоров в этих отделах.</w:t>
      </w:r>
    </w:p>
    <w:p w:rsidR="00000000" w:rsidRDefault="00000000">
      <w:pPr>
        <w:pStyle w:val="BodyText"/>
      </w:pPr>
      <w:r>
        <w:t>189.</w:t>
      </w:r>
      <w:r>
        <w:tab/>
        <w:t>Для проведения консультаций с НПО в отношении обзора достижений в рамках процесса "Пекин+5" правительство организовало ряд телеконференций. В этих телеконференциях приняли участие по меньшей мере 25 НПО, включая организации, представляющие женщин из числа коренного населения, женщин-инвалидов и женщин из различной культурной и языковой среды.</w:t>
      </w:r>
    </w:p>
    <w:p w:rsidR="00000000" w:rsidRDefault="00000000">
      <w:pPr>
        <w:pStyle w:val="BodyText"/>
      </w:pPr>
      <w:r>
        <w:t>190.</w:t>
      </w:r>
      <w:r>
        <w:tab/>
        <w:t>Женщины штата Квинсленд были широко представлены в рамках КПЖ и на совещании по обзору "Пекин+5", состоявшемся в Нью-Йорке в 2000 году. В состав официальной правительственной делегации Австралийского Союза на совещании "Пекин+5" вошли представитель НПО и представитель Управления по делам женщин.</w:t>
      </w:r>
    </w:p>
    <w:p w:rsidR="00000000" w:rsidRDefault="00000000">
      <w:pPr>
        <w:pStyle w:val="BodyText"/>
      </w:pPr>
      <w:r>
        <w:t>191.</w:t>
      </w:r>
      <w:r>
        <w:tab/>
        <w:t>Последние 11 лет правительство проводит торжества по случаю Международного женского дня. Программа мероприятий распространяется в печатном виде, а также в электронной форме через интернет. В 2002 году в помещенной на сайте в интернете программе мероприятий Управления по делам женщин фигурировали 275 торжественных мероприятий по случаю МЖД, которые прошли по всему штату Квинсленд и в рамках которых среди организаций и общинных групп было распространено свыше 320 тыс. различных информационных материалов.</w:t>
      </w:r>
    </w:p>
    <w:p w:rsidR="00000000" w:rsidRDefault="00000000">
      <w:pPr>
        <w:pStyle w:val="Heading2"/>
      </w:pPr>
      <w:bookmarkStart w:id="338" w:name="_Toc70142816"/>
      <w:bookmarkStart w:id="339" w:name="_Toc70142977"/>
      <w:bookmarkStart w:id="340" w:name="_Toc70228704"/>
      <w:bookmarkStart w:id="341" w:name="_Toc70229105"/>
      <w:bookmarkStart w:id="342" w:name="_Toc70235371"/>
      <w:r>
        <w:t>Тасмания</w:t>
      </w:r>
      <w:bookmarkEnd w:id="338"/>
      <w:bookmarkEnd w:id="339"/>
      <w:bookmarkEnd w:id="340"/>
      <w:bookmarkEnd w:id="341"/>
      <w:bookmarkEnd w:id="342"/>
    </w:p>
    <w:p w:rsidR="00000000" w:rsidRDefault="00000000">
      <w:pPr>
        <w:pStyle w:val="BodyText"/>
      </w:pPr>
      <w:r>
        <w:t>192.</w:t>
      </w:r>
      <w:r>
        <w:tab/>
        <w:t>Правительство прилагает активные усилия по осуществлению положений документов Организации Объединенных Наций по правам человека женщин. Управление по делам женщин штата Тасмания создало рабочую группу по реализации Пекинской платформы действий, в которую вошли как представители государственных органов, так и НПО, для изучения рекомендаций Организации Объединенных Наций и разработки стратегий в соответствии с данной Платформой в целях ускорения прогресса женщин Тасмании.</w:t>
      </w:r>
    </w:p>
    <w:p w:rsidR="00000000" w:rsidRDefault="00000000">
      <w:pPr>
        <w:pStyle w:val="Article"/>
        <w:spacing w:after="120"/>
      </w:pPr>
      <w:r>
        <w:br w:type="page"/>
      </w:r>
      <w:bookmarkStart w:id="343" w:name="_Toc70142978"/>
      <w:bookmarkStart w:id="344" w:name="_Toc70228705"/>
      <w:bookmarkStart w:id="345" w:name="_Toc70229106"/>
      <w:bookmarkStart w:id="346" w:name="_Toc70235372"/>
      <w:r>
        <w:t>Статья 9:  Гражданство</w:t>
      </w:r>
      <w:bookmarkEnd w:id="343"/>
      <w:bookmarkEnd w:id="344"/>
      <w:bookmarkEnd w:id="345"/>
      <w:bookmarkEnd w:id="346"/>
    </w:p>
    <w:p w:rsidR="00000000" w:rsidRDefault="00000000">
      <w:pPr>
        <w:pStyle w:val="Article-ref"/>
        <w:spacing w:before="120" w:after="120"/>
      </w:pPr>
      <w:bookmarkStart w:id="347" w:name="_Toc70142979"/>
      <w:bookmarkStart w:id="348" w:name="_Toc70228706"/>
      <w:bookmarkStart w:id="349" w:name="_Toc70229107"/>
      <w:bookmarkStart w:id="350" w:name="_Toc70235373"/>
      <w:r>
        <w:t>Инициативы федерального правительства</w:t>
      </w:r>
      <w:bookmarkEnd w:id="347"/>
      <w:bookmarkEnd w:id="348"/>
      <w:bookmarkEnd w:id="349"/>
      <w:bookmarkEnd w:id="350"/>
    </w:p>
    <w:p w:rsidR="00000000" w:rsidRDefault="00000000">
      <w:pPr>
        <w:pStyle w:val="BodyText"/>
      </w:pPr>
      <w:r>
        <w:t>193.</w:t>
      </w:r>
      <w:r>
        <w:tab/>
        <w:t>Законодательство и политика Австралии в отношении гражданства не предусматривают какой-либо дискриминации по признаку расы, цвета кожи, пола, языка, религии, политических или других убеждений, национального или социального происхождения или имущественного положения. В иммиграционной программе Австралии запрещается дискриминация по признаку расы, пола или этнического происхождения. Мигранты из любой страны могут въезжать в Австралию, если они подпадают под установленные критерии отбора и принадлежат к категориям, отвечающим экономическим, социальным и гуманитарным требованиям, предъявляемым Австралией.</w:t>
      </w:r>
    </w:p>
    <w:p w:rsidR="00000000" w:rsidRDefault="00000000">
      <w:pPr>
        <w:pStyle w:val="1-1"/>
      </w:pPr>
      <w:r>
        <w:t>Гуманитарная программа</w:t>
      </w:r>
    </w:p>
    <w:p w:rsidR="00000000" w:rsidRDefault="00000000">
      <w:pPr>
        <w:pStyle w:val="BodyText"/>
      </w:pPr>
      <w:r>
        <w:t>194.</w:t>
      </w:r>
      <w:r>
        <w:tab/>
        <w:t>В Австралии действует Программа гуманитарной помощи для беженцев и других лиц, испытывающих потребность в гуманитарной помощи. В рамках Программы гуманитарной помощи на 2001–2002 годы было выделено 13 645 мест (включая 1 645 мест, перенесенных с</w:t>
      </w:r>
      <w:r>
        <w:br/>
        <w:t>2000–2001 годов) с условным выделением 7 345 мест для лиц, прибывающих из-за границы, и остальной части – для лиц, мигрирующих внутри страны. В Австралии действует глобальная недискриминационная программа для внешних мигрантов, призванная помочь наиболее нуждающимся лицам, для которых переселение в Австралию является единственным долговременным способом решения их проблем. В рамках этой программы Австралия принимает ряд наиболее нуждающихся беженцев из различных стран мира и обеспечивает защиту тех лиц, которые прибегают к средствам защиты, принятым в Австралии.</w:t>
      </w:r>
    </w:p>
    <w:p w:rsidR="00000000" w:rsidRDefault="00000000">
      <w:pPr>
        <w:pStyle w:val="BodyText"/>
      </w:pPr>
      <w:r>
        <w:t>195.</w:t>
      </w:r>
      <w:r>
        <w:tab/>
        <w:t>В рамках Гуманитарной программы предусмотрена специальная визовая категория, называемая "Женщины, относящиеся к группе риска", в которую включаются женщины, не имеющие родственников-мужчин и рискующие стать жертвами преступлений, домогательств или насилия на сексуальной почве. За период с начала 1995/96 финансового года по 30 июня 2002 года по данной категории было выдано в общей сложности 3134 визы.</w:t>
      </w:r>
    </w:p>
    <w:p w:rsidR="00000000" w:rsidRDefault="00000000">
      <w:pPr>
        <w:pStyle w:val="BodyText"/>
      </w:pPr>
      <w:r>
        <w:t>196.</w:t>
      </w:r>
      <w:r>
        <w:tab/>
        <w:t>Прежде чем приступать к работе в зарубежных представительствах, все должностные лица иммиграционной службы должны пройти обучение по Программе зарубежной подготовки. Эта программа включает компонент, касающийся методов проведения собеседований по гендерным вопросам.</w:t>
      </w:r>
    </w:p>
    <w:p w:rsidR="00000000" w:rsidRDefault="00000000">
      <w:pPr>
        <w:pStyle w:val="BodyText"/>
      </w:pPr>
      <w:r>
        <w:t>197.</w:t>
      </w:r>
      <w:r>
        <w:tab/>
        <w:t>Заявки на визы для получения защиты рассматриваются на индивидуальной основе в соответствии с Конвенцией о статусе беженцев с поправками, внесенными в нее в соответствии с Протоколом 1967 года, касающимся статуса беженцев. Заявки на визы для получения защиты, направленные женщинами, также рассматриваются на основании Гендерных руководящих принципов, призванных помочь лицам, принимающим решения, в оценке ходатайств, поданных лицами, желающими стать обладателями виз для получения защиты в Австралии или офшорных гуманитарных виз за пределами Австралии. Цель Руководящих принципов состоит в обеспечении того, чтобы соответствующие заявки рассматривались оперативно и объективно. В настоящее время проводится обзор руководящих принципов и стратегий по решению возникающих в связи с этим гендерных вопросов.</w:t>
      </w:r>
    </w:p>
    <w:p w:rsidR="00000000" w:rsidRDefault="00000000">
      <w:pPr>
        <w:pStyle w:val="BodyText"/>
      </w:pPr>
      <w:r>
        <w:t>198.</w:t>
      </w:r>
      <w:r>
        <w:tab/>
        <w:t>Австралийское законодательство допускает, что женщины в конкретном обществе или часть женщин в конкретном обществе могут считаться, исходя из обстоятельств дела и информации о соответствующей стране, особой социальной группой. Решения о выдаче виз для получения защиты принимаются на основании имеющейся страновой и гендерной информации. В соответствии с австралийским законодательством и международным правом нецелесообразно применять общий подход для определения того, являются ли женщины особой социальной группой или служат ли обязательным основанием для предоставления статуса беженца конкретные обвинения в дискриминации по признаку пола.</w:t>
      </w:r>
    </w:p>
    <w:p w:rsidR="00000000" w:rsidRDefault="00000000">
      <w:pPr>
        <w:pStyle w:val="BodyText"/>
      </w:pPr>
      <w:r>
        <w:t>199.</w:t>
      </w:r>
      <w:r>
        <w:tab/>
        <w:t>29 августа 2000 года правительство объявило о начале проведения обзора толкования и осуществления положений Конвенции о статусе беженцев с поправками, внесенными в нее в соответствии с Протоколом 1967 года, касающимся статуса беженцев. Правительство публично заявило о своей приверженности Конвенции и системе международной защиты. Этот обзор направлен на обеспечение того, чтобы для сохранения целостности системы международной защиты и Австралийской программы защиты беженцев и гуманитарной помощи защита на основании Конвенции предоставлялась именно тем лицам, которым ее планировали предоставить государства, подписавшие Конвенцию.</w:t>
      </w:r>
    </w:p>
    <w:p w:rsidR="00000000" w:rsidRDefault="00000000">
      <w:pPr>
        <w:pStyle w:val="BodyText"/>
      </w:pPr>
      <w:r>
        <w:t>200.</w:t>
      </w:r>
      <w:r>
        <w:tab/>
        <w:t>Правительство принимало активное участие в Глобальных консультациях по вопросам международной защиты, организованных Управлением Верховного комиссара Организации Объединенных Наций по делам беженцев (УВКБ ООН) в ознаменование пятидесятой годовщины со дня принятия Конвенции о статусе беженцев. Глобальные консультации завершились дискуссиями по вопросам, касающимся защиты женщин и детей-беженцев.</w:t>
      </w:r>
    </w:p>
    <w:p w:rsidR="00000000" w:rsidRDefault="00000000">
      <w:pPr>
        <w:pStyle w:val="BodyText"/>
      </w:pPr>
      <w:r>
        <w:t>201.</w:t>
      </w:r>
      <w:r>
        <w:tab/>
        <w:t>Австралия также активно участвовала в подготовке Повестки дня в области защиты УВКБ ООН, являющейся главным итогом процесса Глобальных консультаций. Проект Повестки дня в области защиты включает вопросы, которые были подняты в ходе заключительного совещания в рамках Глобальных консультаций, посвященного потребностям в защите женщин и детей-беженцев.</w:t>
      </w:r>
    </w:p>
    <w:p w:rsidR="00000000" w:rsidRDefault="00000000">
      <w:pPr>
        <w:pStyle w:val="BodyText"/>
      </w:pPr>
      <w:r>
        <w:t>202.</w:t>
      </w:r>
      <w:r>
        <w:tab/>
        <w:t>В июне 2001 года правительство выделило средства УВКБ ООН для подготовки книги, посвященной женщинам-беженцам. Эта книга под названием "Женщины-беженцы" содержит 39 очерков о женщинах-беженцах. В этих очерках рассказывается о жизни женщин, подвергавшихся самым жестоким формам преследования, дискриминации и нетерпимости на протяжении всей истории XX века. Каждый из очерков служит иллюстрацией силы духа этих женщин, преодолевающих все невзгоды, с которыми они сталкиваются.</w:t>
      </w:r>
    </w:p>
    <w:p w:rsidR="00000000" w:rsidRDefault="00000000">
      <w:pPr>
        <w:pStyle w:val="1-1"/>
      </w:pPr>
      <w:r>
        <w:t>Женщины-мигранты с временными визами и насилие в семье</w:t>
      </w:r>
    </w:p>
    <w:p w:rsidR="00000000" w:rsidRDefault="00000000">
      <w:pPr>
        <w:pStyle w:val="BodyText"/>
      </w:pPr>
      <w:r>
        <w:t>203.</w:t>
      </w:r>
      <w:r>
        <w:tab/>
        <w:t>Департамент по иммиграции, межкультурным вопросам и делам коренного населения участвует в целевой группе "Партнерство по борьбе с насилием в семье" (ПБНС). Целевая группа ПБНС, действующая в координации с УВПЖ, занимается определением возможных направлений стратегического сотрудничества между правительствами и в рамках правительств в целях повышения уровня знаний и информированности директивных органов, разработки эффективных методов работы и изыскания более действенных способов предупреждения насилия в семье и борьбы с ним. Департамент изучает пути и средства совершенствования работы в интересах женщин-мигрантов, включая более оперативное рассмотрение миграционных ходатайств, обеспечение учета потребностей женщин-мигрантов в рамках системы мер по борьбе с насилием в семье и принятие мер, направленных на сокращение масштабов такого насилия.</w:t>
      </w:r>
    </w:p>
    <w:p w:rsidR="00000000" w:rsidRDefault="00000000">
      <w:pPr>
        <w:pStyle w:val="1-1"/>
      </w:pPr>
      <w:r>
        <w:t>Женщины-мигранты, создание дополнительных источников дохода и насилие в семье</w:t>
      </w:r>
    </w:p>
    <w:p w:rsidR="00000000" w:rsidRDefault="00000000">
      <w:pPr>
        <w:pStyle w:val="BodyText"/>
      </w:pPr>
      <w:r>
        <w:t>204.</w:t>
      </w:r>
      <w:r>
        <w:tab/>
        <w:t>В декабре 2000 года целевая группа ПБНС создала рабочую группу по вопросу о женщинах-мигрантах, насилии в семье и создании дополнительных источников дохода. В состав рабочей группы входят представители Департамента по иммиграции, межкультурным вопросам и делам коренного населения и Департамента по делам семьи и услуг населению. Рабочая группа подготовила совместный документ под названием "Женщины-мигранты, создание дополнительных источников дохода и насилие в семье", в котором были представлены резюме и соответствующие разъяснения по этим трем вопросам. В 2001 году документ был представлен Совету министров. В настоящее время группа занимается разработкой стратегий в указанной области.</w:t>
      </w:r>
    </w:p>
    <w:p w:rsidR="00000000" w:rsidRDefault="00000000">
      <w:pPr>
        <w:pStyle w:val="1-1"/>
      </w:pPr>
      <w:r>
        <w:t>Брак и миграция</w:t>
      </w:r>
    </w:p>
    <w:p w:rsidR="00000000" w:rsidRDefault="00000000">
      <w:pPr>
        <w:pStyle w:val="BodyText"/>
      </w:pPr>
      <w:r>
        <w:t>205.</w:t>
      </w:r>
      <w:r>
        <w:tab/>
        <w:t>В 1998 году Департамент по иммиграции, межкультурным вопросам и делам коренного населения обновил изданную на английском языке брошюру под названием "Брак и миграция: над этим следует хорошо подумать". Эта брошюра призвана помочь людям в принятии обоснованного решения о вступлении в брак с представителем иной культуры и содержит информацию о вопросах, над которыми следует задуматься прежде, чем стать мигрантом. Брошюра и сопровождающий ее видеофильм имеются на английском, арабском, китайском, тайском, вьетнамском, русском и тагальском языках.</w:t>
      </w:r>
    </w:p>
    <w:p w:rsidR="00000000" w:rsidRDefault="00000000">
      <w:pPr>
        <w:pStyle w:val="1-1"/>
      </w:pPr>
      <w:r>
        <w:t>Задержание</w:t>
      </w:r>
    </w:p>
    <w:p w:rsidR="00000000" w:rsidRDefault="00000000">
      <w:pPr>
        <w:pStyle w:val="BodyText"/>
      </w:pPr>
      <w:r>
        <w:t>206.</w:t>
      </w:r>
      <w:r>
        <w:tab/>
        <w:t>Внутреннее законодательство Австралии предусматривает обязательное задержание лиц, незаконно прибывших на Австралийский материк. С 7 августа 2001 года за пределами Центра Вумеры по приему и обслуживанию иммигрантов осуществляется проект строительства спецприемника семейного типа, в котором могут одновременно проживать до 25 женщин и детей, давших на это добровольное согласие. В 2001–2002 годах в графстве Вумера в эксперименте, связанном с использованием альтернативного спецприемника, участвовали около 100 женщин и детей. Участники могут регулярно навещать своих родственников, содержащихся в Центре. В результате оценки данного проекта были отмечены положительные стороны такой процедуры, и в настоящее время в связи с этим рассматриваются некоторые рекомендации.</w:t>
      </w:r>
    </w:p>
    <w:p w:rsidR="00000000" w:rsidRDefault="00000000">
      <w:pPr>
        <w:pStyle w:val="Article-ref"/>
        <w:spacing w:before="120" w:after="120"/>
      </w:pPr>
      <w:bookmarkStart w:id="351" w:name="_Toc70142980"/>
      <w:bookmarkStart w:id="352" w:name="_Toc70228707"/>
      <w:bookmarkStart w:id="353" w:name="_Toc70229108"/>
      <w:bookmarkStart w:id="354" w:name="_Toc70235374"/>
      <w:r>
        <w:t>Инициативы штатов и территорий</w:t>
      </w:r>
      <w:bookmarkEnd w:id="351"/>
      <w:bookmarkEnd w:id="352"/>
      <w:bookmarkEnd w:id="353"/>
      <w:bookmarkEnd w:id="354"/>
    </w:p>
    <w:p w:rsidR="00000000" w:rsidRDefault="00000000">
      <w:pPr>
        <w:pStyle w:val="Heading2"/>
        <w:spacing w:before="120"/>
      </w:pPr>
      <w:bookmarkStart w:id="355" w:name="_Toc70142817"/>
      <w:bookmarkStart w:id="356" w:name="_Toc70142981"/>
      <w:bookmarkStart w:id="357" w:name="_Toc70228708"/>
      <w:bookmarkStart w:id="358" w:name="_Toc70229109"/>
      <w:bookmarkStart w:id="359" w:name="_Toc70235375"/>
      <w:r>
        <w:t>Квинсленд</w:t>
      </w:r>
      <w:bookmarkEnd w:id="355"/>
      <w:bookmarkEnd w:id="356"/>
      <w:bookmarkEnd w:id="357"/>
      <w:bookmarkEnd w:id="358"/>
      <w:bookmarkEnd w:id="359"/>
    </w:p>
    <w:p w:rsidR="00000000" w:rsidRDefault="00000000">
      <w:pPr>
        <w:pStyle w:val="BodyText"/>
      </w:pPr>
      <w:r>
        <w:t>207.</w:t>
      </w:r>
      <w:r>
        <w:tab/>
        <w:t>Правительство прилагает активные усилия для расширения возможностей женщин в сфере образования, профессиональной подготовки и занятости. В 2001 году 12-й класс средней школы окончили 78,1 процента молодых женщин по сравнению с 27,9 процента в 1972 году, и женщины составляли 55 процентов от общего числа учащихся университетов по сравнению с 47,8 процента в 1988 году.</w:t>
      </w:r>
    </w:p>
    <w:p w:rsidR="00000000" w:rsidRDefault="00000000">
      <w:pPr>
        <w:pStyle w:val="BodyText"/>
      </w:pPr>
      <w:r>
        <w:t>208.</w:t>
      </w:r>
      <w:r>
        <w:tab/>
        <w:t>Ключевым компонентом новой Программы по обеспечению равноправия и разнообразия форм занятости является "Женская стратегия: стратегический план в области занятости женщин и их продвижения по службе в системе образования в штате Квинсленд на 2002–2005 годы". В рамках данной стратегии предусматривается, что к 2005 году женщины должны будут занимать 41,1 процента руководящих должностей в крупных школах штата.</w:t>
      </w:r>
    </w:p>
    <w:p w:rsidR="00000000" w:rsidRDefault="00000000">
      <w:pPr>
        <w:pStyle w:val="BodyText"/>
      </w:pPr>
      <w:r>
        <w:t>209.</w:t>
      </w:r>
      <w:r>
        <w:tab/>
        <w:t>Управление образования штата Квинсленд играло активную роль в осуществлении Национального плана действий по охвату образованием девушек и Национальной рамочной программы обеспечения гендерного равенства. Национальная рамочная программа определяет приоритетные области для принятия мер, по которым в обязательном порядке на национальном уровне представляются отчеты. Политика обеспечения гендерного равенства включает следующие направления: гендерное равенство в сфере образования; гендерное равенство в области спорта; гендерное равенство в области культуры; проект "Равноправие и методика обучения"; и программа "Равноправие и ликвидация неграмотности". Другими ключевыми инициативами являются: стратегия "Партнерство для достижения успеха", которая направлена на улучшение результатов обучения и трудоустройства девушек из числа коренного населения; предоставление девушкам из сельских и труднодоступных районов возможности расширить выбор предметов, изучаемых в старших классах средней школы с помощью виртуальной системы обучения; и политика в интересах беременных женщин-учащихся и учащихся-родителей, цель которой состоит в том, чтобы повысить число беременных женщин-учащихся и/или учащихся-родителей, оканчивающих учебные заведения.</w:t>
      </w:r>
    </w:p>
    <w:p w:rsidR="00000000" w:rsidRDefault="00000000">
      <w:pPr>
        <w:pStyle w:val="BodyText"/>
      </w:pPr>
      <w:r>
        <w:t>210.</w:t>
      </w:r>
      <w:r>
        <w:tab/>
        <w:t>В рамках программы под названием "Молодые беременные женщины и женщины-матери, рискующие стать жертвами насилия: поддержка со стороны школ и здоровые взаимоотношения" была разработана и опробована модель обучения и поддержки силами сверстников. Эта инициатива оказалась действенной и способствовала повышению защищенности женщин от насилия и расширению их участия в программах образования и профессиональной подготовки.</w:t>
      </w:r>
    </w:p>
    <w:p w:rsidR="00000000" w:rsidRDefault="00000000">
      <w:pPr>
        <w:pStyle w:val="BodyText"/>
      </w:pPr>
      <w:r>
        <w:t>211.</w:t>
      </w:r>
      <w:r>
        <w:tab/>
        <w:t>Проект "Движемся вперед" представляет собой программу внешкольных услуг, предоставляемых женщинам-инвалидам и женщинам, осуществляющим уход за инвалидами. Молодых женщин учат тому, как вести самостоятельную жизнь, развивать профессиональные навыки с целью найти работу, где искать и как использовать объекты для отдыха и развлечений, как удовлетворять свои личные гигиенические потребности и т. п.</w:t>
      </w:r>
    </w:p>
    <w:p w:rsidR="00000000" w:rsidRDefault="00000000">
      <w:pPr>
        <w:pStyle w:val="BodyText"/>
      </w:pPr>
      <w:r>
        <w:t>212.</w:t>
      </w:r>
      <w:r>
        <w:tab/>
        <w:t>Был записан компакт-диск с информацией для женщин, желающих получить работу в сфере информационной и коммуникационной технологии (ИКТ). Департамент по вопросам занятости и профессиональной подготовки разработал и распространил среди всех институтов ТПО программу обучения в онлайновом режиме в целях развития у женщин, обучающихся в институтах ТПО, навыков и умений в области ИКТ. В настоящее время в стадии рассмотрения находится проект по определению основных инициатив для увеличения числа женщин, получающих подготовку в области ИКТ, а также стратегий по реализации этих инициатив.</w:t>
      </w:r>
    </w:p>
    <w:p w:rsidR="00000000" w:rsidRDefault="00000000">
      <w:pPr>
        <w:pStyle w:val="Article"/>
        <w:spacing w:after="120"/>
      </w:pPr>
      <w:r>
        <w:br w:type="page"/>
      </w:r>
      <w:bookmarkStart w:id="360" w:name="_Toc70142982"/>
      <w:bookmarkStart w:id="361" w:name="_Toc70228709"/>
      <w:bookmarkStart w:id="362" w:name="_Toc70229110"/>
      <w:bookmarkStart w:id="363" w:name="_Toc70235376"/>
      <w:r>
        <w:t>Статья 10:  Образование</w:t>
      </w:r>
      <w:bookmarkEnd w:id="360"/>
      <w:bookmarkEnd w:id="361"/>
      <w:bookmarkEnd w:id="362"/>
      <w:bookmarkEnd w:id="363"/>
    </w:p>
    <w:p w:rsidR="00000000" w:rsidRDefault="00000000">
      <w:pPr>
        <w:pStyle w:val="1-1"/>
        <w:spacing w:before="120"/>
      </w:pPr>
      <w:r>
        <w:t>Общенациональные задачи в области образования</w:t>
      </w:r>
    </w:p>
    <w:p w:rsidR="00000000" w:rsidRDefault="00000000">
      <w:pPr>
        <w:pStyle w:val="BodyText"/>
      </w:pPr>
      <w:r>
        <w:t>213.</w:t>
      </w:r>
      <w:r>
        <w:tab/>
        <w:t>В 1999 году Австралия разработала новый свод Общенациональных задач в области школьного образования в XXI веке, получивший название "Аделаидская декларация". В центре внимания декларации – учащиеся; указанные в ней задачи сосредоточены скорее на результатах учебного процесса, чем на стратегиях и процессах поставщиков услуг в области образования (правительств, систем школьного обучения и школ) и отражают происшедшие за последнее десятилетие важные изменения в социальной сфере, экономике, технологии и образовании. Они находят свое воплощение в подходе, направленном на повышение успеваемости всех учащихся и отражающем способность всех детей учиться и право всех молодых людей на приобретение знаний и достижение образовательных успехов. В декларации говорится:</w:t>
      </w:r>
    </w:p>
    <w:p w:rsidR="00000000" w:rsidRDefault="00000000">
      <w:pPr>
        <w:pStyle w:val="BodyText"/>
        <w:ind w:left="680"/>
      </w:pPr>
      <w:r>
        <w:t>"</w:t>
      </w:r>
      <w:r>
        <w:rPr>
          <w:i/>
        </w:rPr>
        <w:t>Школьное обучение должно опираться на принцип социальной справедливости, с тем чтобы результаты обучения не зависели от воздействия на учащихся негативных форм дискриминации по признаку пола, языка, культуры и этнического происхождения, религии или инвалидности; а также от различий, являющихся следствием принадлежности к тому или иному социально-экономическому классу или географическому району</w:t>
      </w:r>
      <w:r>
        <w:t>".</w:t>
      </w:r>
    </w:p>
    <w:p w:rsidR="00000000" w:rsidRDefault="00000000">
      <w:pPr>
        <w:pStyle w:val="BodyText"/>
      </w:pPr>
      <w:r>
        <w:t>214.</w:t>
      </w:r>
      <w:r>
        <w:tab/>
        <w:t>Министры образования создали целевую группу, занимающуюся разработкой основных показателей успеваемости, которые формируют основу сопоставимой в масштабах всей страны отчетности об успеваемости учащихся по основным предметам школьной программы образования, на которые распространяются вышеуказанные задачи. Целевой группе было также поручено выявить те области школьного образования, в которых, возможно, потребуется определить национальные ориентиры или целевые показатели. К настоящему моменту такие ориентиры были установлены в двух областях, касающихся развития умения читать и считать. Штаты и территории представляют данные об успехах с разбивкой по полу и, там где это возможно, по принадлежности к коренному населению, родному языку, кроме английского, социально-экономическому положению и географическому району.</w:t>
      </w:r>
    </w:p>
    <w:p w:rsidR="00000000" w:rsidRDefault="00000000">
      <w:pPr>
        <w:pStyle w:val="BodyText"/>
      </w:pPr>
      <w:r>
        <w:t>215.</w:t>
      </w:r>
      <w:r>
        <w:tab/>
        <w:t>Для оценки показателей прогресса в деле решения Общенациональных задач по обеспечению равноправия и подготовки отчетов об успеваемости различных групп учащихся необходимо выработать единые для всей страны определения таких подгрупп. В Австралии решение этой задачи сопряжено с определенными трудностями из-за многообразия поставщиков услуг в области образования и различий в используемых ими определений целевых групп, среди которых требуется обеспечить равноправие. В настоящее время ведется работа по созданию единых для всей страны определений соответствующих подгрупп, например учащиеся, находящиеся в неблагоприятном социальном и экономическом положении, учащиеся из различной языковой среды, кроме англоязычной, учащиеся-аборигены, учащиеся из сельских и труднодоступных районов, учащиеся-инвалиды.</w:t>
      </w:r>
    </w:p>
    <w:p w:rsidR="00000000" w:rsidRDefault="00000000">
      <w:pPr>
        <w:pStyle w:val="BodyText"/>
      </w:pPr>
      <w:r>
        <w:t>216.</w:t>
      </w:r>
      <w:r>
        <w:tab/>
        <w:t>Руководители школ, находящихся в федеральном подчинении либо в подчинении штатов и территорий, а также негосударственных школ ежегодно отчитываются об успехах в области школьного образования в рамках Годового общенационального доклада о школьном образовании в Австралии. Общенациональные задачи в области школьного образования служат основой для отчетности об успеваемости учащихся, а также для отчетности школ и всей школьной системы перед обществом. Помимо публикации различных статистических данных об учащихся и школах, а также о расходах на школьное образование в Годовом общенациональном докладе рассказывается о прогрессе, достигнутом в деле выполнения Общенациональных задач, с упором на приоритетные области, выделенные министрами, а именно на обучение чтению, счету, естественным наукам, информатике, на техническое обучение и профессиональную подготовку в школах, участие учащихся в общественной жизни, продолжение и завершение образования.</w:t>
      </w:r>
    </w:p>
    <w:p w:rsidR="00000000" w:rsidRDefault="00000000">
      <w:pPr>
        <w:pStyle w:val="BodyText"/>
      </w:pPr>
      <w:r>
        <w:t>217.</w:t>
      </w:r>
      <w:r>
        <w:tab/>
        <w:t>Данные о достигнутых успехах представляются штатами и территориями с разбивкой по полу и, по мере возможности, по принадлежности к целевой группе, являющейся объектом для обеспечения равноправия. Данные о предметах, которые выбирают учащиеся 12-го года обучения, даются с разбивкой по полу и по восьми признанным в стране ключевым группам обучения. Руководителям системы школьного образования рекомендовано отдельно представлять данные об участии девушек в занятиях по математике, естественным наукам, а также данные об участии юношей в занятиях по гуманитарным предметам.</w:t>
      </w:r>
    </w:p>
    <w:p w:rsidR="00000000" w:rsidRDefault="00000000">
      <w:pPr>
        <w:pStyle w:val="Article-ref"/>
      </w:pPr>
      <w:bookmarkStart w:id="364" w:name="_Toc70142983"/>
      <w:bookmarkStart w:id="365" w:name="_Toc70228710"/>
      <w:bookmarkStart w:id="366" w:name="_Toc70229111"/>
      <w:bookmarkStart w:id="367" w:name="_Toc70235377"/>
      <w:r>
        <w:t>Инициативы федерального правительства</w:t>
      </w:r>
      <w:bookmarkEnd w:id="364"/>
      <w:bookmarkEnd w:id="365"/>
      <w:bookmarkEnd w:id="366"/>
      <w:bookmarkEnd w:id="367"/>
    </w:p>
    <w:p w:rsidR="00000000" w:rsidRDefault="00000000">
      <w:pPr>
        <w:pStyle w:val="1-1"/>
      </w:pPr>
      <w:r>
        <w:t>Подростковая беременность</w:t>
      </w:r>
    </w:p>
    <w:p w:rsidR="00000000" w:rsidRDefault="00000000">
      <w:pPr>
        <w:pStyle w:val="BodyText"/>
      </w:pPr>
      <w:r>
        <w:t>218.</w:t>
      </w:r>
      <w:r>
        <w:tab/>
        <w:t>Правительство поручило провести исследование, посвященное потребностям беременных подросткового возраста в области образования, профессиональной подготовки и занятости. Такой доклад под названием "Подростковая беременность: препятствия для занятости, получения образования и профессиональной подготовки" был опубликован в 1996 году.</w:t>
      </w:r>
    </w:p>
    <w:p w:rsidR="00000000" w:rsidRDefault="00000000">
      <w:pPr>
        <w:pStyle w:val="BodyText"/>
      </w:pPr>
      <w:r>
        <w:t>219.</w:t>
      </w:r>
      <w:r>
        <w:tab/>
        <w:t>Проведенное по поручению правительства обследование под названием "Беременность и производственная деятельность: работа в период беременности является правом, а не привилегией", посвященное вопросам беременности и производственной деятельности, включало изучение соответствующего опыта и препятствий, с которыми сталкиваются беременные подросткового возраста, включая разного рода притеснения и трудности, связанные с завершением школьного образования или профессиональной подготовкой. Правительство одобрило большинство из рекомендаций, содержащихся в данном докладе. Особый интерес для беременных женщин представляют рекомендации, которые включали: подготовку и распространение руководящих принципов, касающихся беременности (которые были опубликованы в апреле 2001 года); поправки к Закону 1984 года о недопущении дискриминации по признаку пола в части, касающейся грудного вскармливания; разъяснение задаваемых во время собеседований при приеме на работу вопросов по поводу беременности и семейных обязанностей и информации, собранной на основе медицинских обследований при приеме на работу (в стадии подготовки); а также проведение информационных кампаний для повышения осведомленности общественности, в том числе для распространения информации об охране здоровья на производстве и технике производственной безопасности.</w:t>
      </w:r>
    </w:p>
    <w:p w:rsidR="00000000" w:rsidRDefault="00000000">
      <w:pPr>
        <w:pStyle w:val="BodyText"/>
      </w:pPr>
      <w:r>
        <w:t>220.</w:t>
      </w:r>
      <w:r>
        <w:tab/>
        <w:t>В 2000–2001 годах Ассоциация женщин-инструкторов получила грант (в рамках Программы финансирования национальных женских НПО) на проведение исследований, касающихся беременности, выполнения родительских обязанностей и завершения школьного образования. Данное исследование явилось вторым этапом проекта по изучению воздействия беременности и выполнения родительских обязанностей на образование девушек, с тем чтобы повысить их шансы окончить школу и устроиться в дальнейшей жизни. К числу результатов данного проекта относятся тематические исследования, выявленные примеры наилучшей практики и разработанные для школ руководящие принципы в отношении оказания поддержки девушкам и молодым женщинам в получении среднего школьного образования.</w:t>
      </w:r>
    </w:p>
    <w:p w:rsidR="00000000" w:rsidRDefault="00000000">
      <w:pPr>
        <w:pStyle w:val="1-1"/>
      </w:pPr>
      <w:r>
        <w:t>Успеваемость учащихся мужского и женского пола</w:t>
      </w:r>
    </w:p>
    <w:p w:rsidR="00000000" w:rsidRDefault="00000000">
      <w:pPr>
        <w:pStyle w:val="BodyText"/>
        <w:spacing w:after="120"/>
      </w:pPr>
      <w:r>
        <w:t>221.</w:t>
      </w:r>
      <w:r>
        <w:tab/>
        <w:t xml:space="preserve">В 2000 году правительство опубликовало результаты исследования по вопросам, касающимся представленности женщин в сфере информационных технологий, под названием "Женщины в ИТ – каковы препятствия?". В этом документе авторы пытаются понять, почему женщины составляют лишь 20 процентов работников данного сектора. Исследования показали, что девушки школьного возраста демонстрируют высокий уровень компьютерной грамотности, однако этого оказывается недостаточно для того, чтобы они хотели работать в сфере компьютерных технологий. В документе предлагаются стратегии по увеличению процента женщин в данном секторе. Доклад помещен на сайте </w:t>
      </w:r>
      <w:r>
        <w:rPr>
          <w:u w:val="single"/>
        </w:rPr>
        <w:t>http://www.detya.gov.au/iae/analysis/womeninit.htm</w:t>
      </w:r>
      <w:r>
        <w:t>.</w:t>
      </w:r>
    </w:p>
    <w:p w:rsidR="00000000" w:rsidRDefault="00000000">
      <w:pPr>
        <w:pStyle w:val="BodyText"/>
        <w:spacing w:after="120"/>
      </w:pPr>
      <w:r>
        <w:t>222.</w:t>
      </w:r>
      <w:r>
        <w:tab/>
        <w:t>В 2000 году правительство опубликовало доклад под названием "Факторы, влияющие на школьную успеваемость учащихся мужского и женского пола и их первоначальный выбор после окончания школы". В результате исследований было установлено, что в процентном отношении старшие классы школы заканчивает большее число девушек, чем юношей, и что в среднем школьная успеваемость выше у девушек, чем у юношей. Женщины также более широко представлены в высших учебных заведениях. Однако в силу ряда причин женщины по-прежнему находятся в менее выгодном по сравнению с мужчинами положении на рынке труда. В исследовании показывается, что различия в успеваемости следует рассматривать как с точки зрения различий между мужчинами и женщинами, так и в плане различий внутри этих гендерных групп.</w:t>
      </w:r>
    </w:p>
    <w:p w:rsidR="00000000" w:rsidRDefault="00000000">
      <w:pPr>
        <w:pStyle w:val="1-1"/>
        <w:spacing w:before="120"/>
      </w:pPr>
      <w:r>
        <w:t>Система профессионально-технического обучения</w:t>
      </w:r>
    </w:p>
    <w:p w:rsidR="00000000" w:rsidRDefault="00000000">
      <w:pPr>
        <w:pStyle w:val="BodyText"/>
      </w:pPr>
      <w:r>
        <w:t>223.</w:t>
      </w:r>
      <w:r>
        <w:tab/>
        <w:t>В Национальной стратегии в области профессионально-технического обучения (ПТО) для женщин (1996 года) определяются национальные задачи для правительств, секторов промышленности и поставщиков услуг в области профессионально-технического обучения, касающиеся непрерывного учета потребностей женщин в процессе выработки политики, планирования, выделения ресурсов, осуществления ПТО и соответствующей мониторинговой деятельности. В июле 2001 года Совет министров по вопросам занятости, образования, профессиональной подготовки и делам молодежи провел оценку хода выполнения этих задач. В оценочном докладе указаны направления будущей работы по обеспечению долгосрочного и устойчивого улучшения положения женщин в сфере ПТО. Были приняты ряд мер в целях увеличения в ПТО процента мужчин и женщин из числа коренного населения, в том числе: Программа финансовой поддержки коренного населения, в рамках которой предоставляются средства университетам для оказания помощи учащимся; План подготовки научных работников из числа коренного населения; Австралийская общенациональная стратегия по вопросам профессионально-технического обучения для коренного населения и жителей островов Торресова пролива, 1999–2000 годы, под названием "Партнеры по культуре обучения" и Австралийская общенациональная стратегия по профессионально-техническому обучению, 1998–2003 годы, под названием "Мост в будущее".</w:t>
      </w:r>
    </w:p>
    <w:p w:rsidR="00000000" w:rsidRDefault="00000000">
      <w:pPr>
        <w:pStyle w:val="BodyText"/>
      </w:pPr>
      <w:r>
        <w:t>224.</w:t>
      </w:r>
      <w:r>
        <w:tab/>
        <w:t>Ведется постоянное наблюдение за тем, чтобы женщины имели возможность пользоваться преимуществами новой системы профессиональной ориентации. Работодателям, которые нанимают женщин на работу в нетрадиционных для женщин областях, предоставляются льготы в виде специальных выплат и других форм поддержки.</w:t>
      </w:r>
    </w:p>
    <w:p w:rsidR="00000000" w:rsidRDefault="00000000">
      <w:pPr>
        <w:pStyle w:val="1-1"/>
      </w:pPr>
      <w:r>
        <w:t>Система высшего образования</w:t>
      </w:r>
    </w:p>
    <w:p w:rsidR="00000000" w:rsidRDefault="00000000">
      <w:pPr>
        <w:pStyle w:val="BodyText"/>
      </w:pPr>
      <w:r>
        <w:t>225.</w:t>
      </w:r>
      <w:r>
        <w:tab/>
        <w:t>Программа кредитования последующего образования (ПЕЛС) предусматривает дальнейшие возможности для женщин, равно как и для мужчин, продолжения образования после окончания учебных заведений с помощью курсов, где возможно приобретение новых навыков и повышение квалификации. Реализация ПЕЛС началась в 2002 году и предполагает предоставление ссуд для слушателей платных курсов в рамках последующего образования, не связанных с исследовательской деятельностью (размер таких ссуд зависит от уровня дохода получателей). Хотя процент женщин, участвующих в программе последующего образования, несколько увеличился, следует отметить, что женщины по-прежнему гораздо реже, нежели мужчины, продолжают образование после окончания высшего учебного заведения. Ожидается, что благодаря ПЕЛС число женщин, участвующих в программах последующего образования, увеличится.</w:t>
      </w:r>
    </w:p>
    <w:p w:rsidR="00000000" w:rsidRDefault="00000000">
      <w:pPr>
        <w:pStyle w:val="Article-ref"/>
        <w:spacing w:before="120" w:after="120"/>
      </w:pPr>
      <w:bookmarkStart w:id="368" w:name="_Toc70142984"/>
      <w:bookmarkStart w:id="369" w:name="_Toc70228711"/>
      <w:bookmarkStart w:id="370" w:name="_Toc70229112"/>
      <w:bookmarkStart w:id="371" w:name="_Toc70235378"/>
      <w:r>
        <w:t>Инициативы штатов и территорий</w:t>
      </w:r>
      <w:bookmarkEnd w:id="368"/>
      <w:bookmarkEnd w:id="369"/>
      <w:bookmarkEnd w:id="370"/>
      <w:bookmarkEnd w:id="371"/>
    </w:p>
    <w:p w:rsidR="00000000" w:rsidRDefault="00000000">
      <w:pPr>
        <w:pStyle w:val="Heading2"/>
        <w:spacing w:before="120"/>
      </w:pPr>
      <w:bookmarkStart w:id="372" w:name="_Toc70142818"/>
      <w:bookmarkStart w:id="373" w:name="_Toc70142985"/>
      <w:bookmarkStart w:id="374" w:name="_Toc70228712"/>
      <w:bookmarkStart w:id="375" w:name="_Toc70229113"/>
      <w:bookmarkStart w:id="376" w:name="_Toc70235379"/>
      <w:r>
        <w:t>Австралийская столичная территория</w:t>
      </w:r>
      <w:bookmarkEnd w:id="372"/>
      <w:bookmarkEnd w:id="373"/>
      <w:bookmarkEnd w:id="374"/>
      <w:bookmarkEnd w:id="375"/>
      <w:bookmarkEnd w:id="376"/>
    </w:p>
    <w:p w:rsidR="00000000" w:rsidRDefault="00000000">
      <w:pPr>
        <w:pStyle w:val="BodyText"/>
      </w:pPr>
      <w:r>
        <w:t>226.</w:t>
      </w:r>
      <w:r>
        <w:tab/>
        <w:t>В АСТ была разработана стратегия по реализации общенациональной программы под названием "Гендерное равенство: рамочная программа для школ Австралии". В рамках этой стратегии школам оказывается помощь в разработке ежегодных планов действий, необходимых для анализа и решения гендерных вопросов. Программы повышения квалификации и профессиональной подготовки учителей включают вопросы гендерного просвещения, а программы профессионально-технического обучения связаны с изучением гендерных перспектив и нетрадиционных форм работы.</w:t>
      </w:r>
    </w:p>
    <w:p w:rsidR="00000000" w:rsidRDefault="00000000">
      <w:pPr>
        <w:pStyle w:val="BodyText"/>
      </w:pPr>
      <w:r>
        <w:t>227.</w:t>
      </w:r>
      <w:r>
        <w:tab/>
        <w:t>В рамках инициативы под названием "Раскрытие потенциала: женщины и девушки в системе профессионально-технического обучения в АСТ, 2001–2003 годы" женщинам оказывается поддержка в расширении возможностей получения доступа к последующему образованию, профессиональной подготовке и оплачиваемой занятости.</w:t>
      </w:r>
    </w:p>
    <w:p w:rsidR="00000000" w:rsidRDefault="00000000">
      <w:pPr>
        <w:pStyle w:val="Heading2"/>
        <w:spacing w:before="120"/>
      </w:pPr>
      <w:bookmarkStart w:id="377" w:name="_Toc70142819"/>
      <w:bookmarkStart w:id="378" w:name="_Toc70142986"/>
      <w:bookmarkStart w:id="379" w:name="_Toc70228713"/>
      <w:bookmarkStart w:id="380" w:name="_Toc70229114"/>
      <w:bookmarkStart w:id="381" w:name="_Toc70235380"/>
      <w:r>
        <w:t>Новый Южный Уэльс</w:t>
      </w:r>
      <w:bookmarkEnd w:id="377"/>
      <w:bookmarkEnd w:id="378"/>
      <w:bookmarkEnd w:id="379"/>
      <w:bookmarkEnd w:id="380"/>
      <w:bookmarkEnd w:id="381"/>
    </w:p>
    <w:p w:rsidR="00000000" w:rsidRDefault="00000000">
      <w:pPr>
        <w:pStyle w:val="BodyText"/>
      </w:pPr>
      <w:r>
        <w:t>228.</w:t>
      </w:r>
      <w:r>
        <w:tab/>
        <w:t>В Новом Южном Уэльсе организована сеть учебных курсов, предназначенных исключительно для женщин. Эта инициатива направлена на устранение препятствий, с которыми женщины сталкиваются в связи с продолжением образования, а также на расширение доступа женщин к ПТО. "Перемены и выбор, второй этап (1999–2000 годы)" представляет собой план действий, направленный на обеспечение более широкого участия женщин в ПТО и улучшения их результатов. Этот план опирается на "План действий в интересах женщин штата Новый Южный Уэльс, участвующих в профессионально-техническом обучении: перемены и выбор, 1997–1998 годы", представляющий собой проект программы профессионально-технического обучения женщин. В рамках проекта под названием "Работа для девушек: реалии, с которыми сталкиваются молодые женщины" было начато издание журнала, посвященного вопросам занятости для молодых женщин, вступающих на рынок труда, а также проблемам инструкторов, работающих с этим контингентом. Журнал распространяется через школы, ТПО и общинные сети. В целях содействия получению женщинами работы в сфере информационных технологий и участию в курсах профессиональной подготовки в ТПО по вопросам информационных технологий была разработана новая информационная стратегия.</w:t>
      </w:r>
    </w:p>
    <w:p w:rsidR="00000000" w:rsidRDefault="00000000">
      <w:pPr>
        <w:pStyle w:val="BodyText"/>
      </w:pPr>
      <w:r>
        <w:t>229.</w:t>
      </w:r>
      <w:r>
        <w:tab/>
        <w:t>С помощью осуществляемой повсюду в штате всеобъемлющей маркетинговой стратегии растет число девушек, изучающих информационную технологию в высших учебных заведениях. Эта стратегия направлена на повышение осведомленности девушек о возможных вариантах занятости в сфере информационных технологий.</w:t>
      </w:r>
    </w:p>
    <w:p w:rsidR="00000000" w:rsidRDefault="00000000">
      <w:pPr>
        <w:pStyle w:val="BodyText"/>
      </w:pPr>
      <w:r>
        <w:t>230.</w:t>
      </w:r>
      <w:r>
        <w:tab/>
        <w:t>Для того чтобы помочь женщинам установить надлежащую связь между имеющимися навыками, интересами, способностями и выбором направления профессионально-технического обучения, было подготовлено новое руководство для оценки и выявления имеющихся у женщин умений и навыков. В этом руководстве приводятся примеры возможных перспектив трудоустройства и соответствующего вознаграждения.</w:t>
      </w:r>
    </w:p>
    <w:p w:rsidR="00000000" w:rsidRDefault="00000000">
      <w:pPr>
        <w:pStyle w:val="Heading2"/>
        <w:spacing w:before="120"/>
      </w:pPr>
      <w:bookmarkStart w:id="382" w:name="_Toc70142820"/>
      <w:bookmarkStart w:id="383" w:name="_Toc70142987"/>
      <w:bookmarkStart w:id="384" w:name="_Toc70228714"/>
      <w:bookmarkStart w:id="385" w:name="_Toc70229115"/>
      <w:bookmarkStart w:id="386" w:name="_Toc70235381"/>
      <w:r>
        <w:t>Северная территория</w:t>
      </w:r>
      <w:bookmarkEnd w:id="382"/>
      <w:bookmarkEnd w:id="383"/>
      <w:bookmarkEnd w:id="384"/>
      <w:bookmarkEnd w:id="385"/>
      <w:bookmarkEnd w:id="386"/>
    </w:p>
    <w:p w:rsidR="00000000" w:rsidRDefault="00000000">
      <w:pPr>
        <w:pStyle w:val="BodyText"/>
      </w:pPr>
      <w:r>
        <w:t>231.</w:t>
      </w:r>
      <w:r>
        <w:tab/>
        <w:t>В рамках системы среднего образования процент отсева юношей постоянно превышает процент отсева девушек. Число женщин, поступающих в высшие учебные заведения, больше числа мужчин. Вместе с тем выбор будущих профессий женщинами в основном ограничивается сферой предпринимательства, образования и здравоохранения, в то время как мужчины продолжают доминировать в технических областях. Мужчины также преобладают в системе профессионально-технического обучения.</w:t>
      </w:r>
    </w:p>
    <w:p w:rsidR="00000000" w:rsidRDefault="00000000">
      <w:pPr>
        <w:pStyle w:val="BodyText"/>
      </w:pPr>
      <w:r>
        <w:t>232.</w:t>
      </w:r>
      <w:r>
        <w:tab/>
        <w:t>В партнерстве с федеральным правительством правительство штата создает различные стимулы в виде, например, программы "Cadetships and Farmbis" для аборигенов и жителей островов Торресова пролива. Программа "Cadetships" предоставляет государственным учреждениям возможность оказывать учащимся старших классов финансовую помощь для поступления в университеты, а также содействовать их трудоустройству в периоды каникул. Учащиеся женского пола несколько чаще пользуются этой возможностью, чем учащиеся мужского пола. В рамках программы "Farmbis" оказывается содействие непосредственным производителям сельскохозяйственной продукции в развитии навыков предпринимательской деятельности в этой области с помощью проектов профессионально-технической подготовки, причем женщины являются одной из целевых групп, которой уделяется особое внимание.</w:t>
      </w:r>
    </w:p>
    <w:p w:rsidR="00000000" w:rsidRDefault="00000000">
      <w:pPr>
        <w:pStyle w:val="BodyText"/>
      </w:pPr>
      <w:r>
        <w:t>233.</w:t>
      </w:r>
      <w:r>
        <w:tab/>
        <w:t>Из 13 членов Руководящего комитета, который занимается наблюдением за усвоением учебного материала и следит за осуществлением правительственной Стратегии по вопросам образования коренного населения, пятеро – представительницы коренного населения. Одним из двух сопредседателей также является женщина-абориген. В 2002 году по результатам обучения женщинам был выделен 61 процент стипендий в высших учебных заведениях.</w:t>
      </w:r>
    </w:p>
    <w:p w:rsidR="00000000" w:rsidRDefault="00000000">
      <w:pPr>
        <w:pStyle w:val="Heading2"/>
      </w:pPr>
      <w:bookmarkStart w:id="387" w:name="_Toc70142821"/>
      <w:bookmarkStart w:id="388" w:name="_Toc70142988"/>
      <w:bookmarkStart w:id="389" w:name="_Toc70228715"/>
      <w:bookmarkStart w:id="390" w:name="_Toc70229116"/>
      <w:bookmarkStart w:id="391" w:name="_Toc70235382"/>
      <w:r>
        <w:t>Квинсленд</w:t>
      </w:r>
      <w:bookmarkEnd w:id="387"/>
      <w:bookmarkEnd w:id="388"/>
      <w:bookmarkEnd w:id="389"/>
      <w:bookmarkEnd w:id="390"/>
      <w:bookmarkEnd w:id="391"/>
    </w:p>
    <w:p w:rsidR="00000000" w:rsidRDefault="00000000">
      <w:pPr>
        <w:pStyle w:val="BodyText"/>
      </w:pPr>
      <w:r>
        <w:t>234.</w:t>
      </w:r>
      <w:r>
        <w:tab/>
        <w:t>Правительство штата Квинсленд активно участвует в осуществлении Национального плана действий по охвату образованием девушек и Общенациональной программы по обеспечению гендерного равенства. Общенациональная программа определяет приоритетные области для принятия мер и предполагает предоставление докладов о проделанной работе в рамках национальной отчетности. Политика по обеспечению гендерного равенства включает следующие направления: гендерное равенство в сфере образования; гендерное равенство в области спорта; гендерное и культурное равенство; проект "Равноправие и технология обучения"; и программу "Равноправие и ликвидация неграмотности".</w:t>
      </w:r>
    </w:p>
    <w:p w:rsidR="00000000" w:rsidRDefault="00000000">
      <w:pPr>
        <w:pStyle w:val="BodyText"/>
      </w:pPr>
      <w:r>
        <w:t>235.</w:t>
      </w:r>
      <w:r>
        <w:tab/>
        <w:t>В рамках изучения школьной успеваемости в 1996/97 учебном году был проведен анализ различий между девушками и юношами – учащимися 10-го, 11-го и 12-го классов средней школы по таким аспектам, как модели поведения/опыт и участие в программе обучение/успеваемость. Помимо этого, две инициативы были ориентированы на беременных подросткового возраста, а именно политика в области обучения беременных и матерей-учащихся, которая предполагает равное и активное участие беременных и матерей подросткового возраста в системе среднего образования; и проект, связанный с разработкой процедуры выявления беременных и матерей подросткового возраста, рискующих стать жертвами насилия и/или бросить школу, а также оказания им поддержки.</w:t>
      </w:r>
    </w:p>
    <w:p w:rsidR="00000000" w:rsidRDefault="00000000">
      <w:pPr>
        <w:pStyle w:val="BodyText"/>
      </w:pPr>
      <w:r>
        <w:t>236.</w:t>
      </w:r>
      <w:r>
        <w:tab/>
        <w:t>Проект "Движемся вперед" представляет собой программу внешкольных услуг, предоставляемых женщинам-инвалидам и женщинам, осуществляющим уход за инвалидами. Молодых женщин обучают тому, как вести самостоятельную жизнь, как найти работу с помощью развития профессиональных навыков и умений, как искать и как использовать объекты для отдыха и развлечений, как удовлетворять свои личные гигиенические потребности.</w:t>
      </w:r>
    </w:p>
    <w:p w:rsidR="00000000" w:rsidRDefault="00000000">
      <w:pPr>
        <w:pStyle w:val="BodyText"/>
      </w:pPr>
      <w:r>
        <w:t>237.</w:t>
      </w:r>
      <w:r>
        <w:tab/>
        <w:t>Был разработан план по осуществлению Общенациональной стратегии в области профессионально-технического обучения женщин. Этот план включал Программу обеспечения более широких возможностей для женщин, которая информирует школы и общественность об имеющихся возможностях содействия получению женщинами и девушками профессионально-технического образования. Предполагается, что Программа будет способствовать получению женщинами образования и их последующему трудоустройству, а также увеличению числа женщин в рамках ПТО.</w:t>
      </w:r>
    </w:p>
    <w:p w:rsidR="00000000" w:rsidRDefault="00000000">
      <w:pPr>
        <w:pStyle w:val="Heading2"/>
        <w:spacing w:before="120"/>
      </w:pPr>
      <w:bookmarkStart w:id="392" w:name="_Toc70142822"/>
      <w:bookmarkStart w:id="393" w:name="_Toc70142989"/>
      <w:bookmarkStart w:id="394" w:name="_Toc70228716"/>
      <w:bookmarkStart w:id="395" w:name="_Toc70229117"/>
      <w:bookmarkStart w:id="396" w:name="_Toc70235383"/>
      <w:r>
        <w:t>Южная Австралия</w:t>
      </w:r>
      <w:bookmarkEnd w:id="392"/>
      <w:bookmarkEnd w:id="393"/>
      <w:bookmarkEnd w:id="394"/>
      <w:bookmarkEnd w:id="395"/>
      <w:bookmarkEnd w:id="396"/>
    </w:p>
    <w:p w:rsidR="00000000" w:rsidRDefault="00000000">
      <w:pPr>
        <w:pStyle w:val="BodyText"/>
      </w:pPr>
      <w:r>
        <w:t>238.</w:t>
      </w:r>
      <w:r>
        <w:tab/>
        <w:t>Были организованы вспомогательные курсы профессионально-технического обучения на английском как неродном языке для оказания содействия в поиске работы женщинам из общин, не являющихся англоговорящими. Женщин обучают уходу за пожилыми людьми и парикмахерскому делу, женщинам-мигрантам оказывается помощь в получении работы в этих областях. Без специальных программ помощи работа в этих областях была бы для них закрыта. Услуги, оказываемые в рамках программы "Английский как неродной язык", включают уход за детьми, обеспечение безопасности, гибкие условия и сроки обучения на различных курсах. Программа "Западный город" ("Английский как неродной язык") предназначена исключительно для женщин. Большинство из них являются мусульманками и поэтому не хотят посещать смешанные курсы. Учащимся, которые недавно прибыли в страну в качестве беженцев, на время занятий предоставляются услуги по уходу за их детьми.</w:t>
      </w:r>
    </w:p>
    <w:p w:rsidR="00000000" w:rsidRDefault="00000000">
      <w:pPr>
        <w:pStyle w:val="BodyText"/>
      </w:pPr>
      <w:r>
        <w:t>239.</w:t>
      </w:r>
      <w:r>
        <w:tab/>
        <w:t>Программа под названием "Домашний учитель" предоставляет возможность участникам (обычно – это женщины с малолетними детьми или пожилые люди) овладеть английским языком в домашних условиях. Эта программа осуществляется силами специально подготовленных добровольцев. В рамках данной программы открыты официальные учебные курсы.</w:t>
      </w:r>
    </w:p>
    <w:p w:rsidR="00000000" w:rsidRDefault="00000000">
      <w:pPr>
        <w:pStyle w:val="BodyText"/>
      </w:pPr>
      <w:r>
        <w:t>240.</w:t>
      </w:r>
      <w:r>
        <w:tab/>
        <w:t>В 2000 году была разработана Программа обучения, ориентированная на женщин-аборигенов. Одну из двух созданных в штате должностей сотрудников по оказанию поддержки учащимся-аборигенам занимает женщина. Для учащихся устанавливается индивидуальный гибкий график посещения занятий, с тем чтобы они имели достаточно времени для выполнения семейных обязанностей.</w:t>
      </w:r>
    </w:p>
    <w:p w:rsidR="00000000" w:rsidRDefault="00000000">
      <w:pPr>
        <w:pStyle w:val="BodyText"/>
      </w:pPr>
      <w:r>
        <w:t>241.</w:t>
      </w:r>
      <w:r>
        <w:tab/>
        <w:t>В университетах штата действует программа стипендий, стимулирующая и поддерживающая женщин в получении специальностей в области гражданского строительства. Программа стипендий Сильвии Бердсей предусматривает оказание финансовой поддержки учащимся в течение четырех лет и получение ими производственного опыта.</w:t>
      </w:r>
    </w:p>
    <w:p w:rsidR="00000000" w:rsidRDefault="00000000">
      <w:pPr>
        <w:pStyle w:val="Heading2"/>
        <w:spacing w:before="120"/>
      </w:pPr>
      <w:bookmarkStart w:id="397" w:name="_Toc70142823"/>
      <w:bookmarkStart w:id="398" w:name="_Toc70142990"/>
      <w:bookmarkStart w:id="399" w:name="_Toc70228717"/>
      <w:bookmarkStart w:id="400" w:name="_Toc70229118"/>
      <w:bookmarkStart w:id="401" w:name="_Toc70235384"/>
      <w:r>
        <w:t>Тасмания</w:t>
      </w:r>
      <w:bookmarkEnd w:id="397"/>
      <w:bookmarkEnd w:id="398"/>
      <w:bookmarkEnd w:id="399"/>
      <w:bookmarkEnd w:id="400"/>
      <w:bookmarkEnd w:id="401"/>
    </w:p>
    <w:p w:rsidR="00000000" w:rsidRDefault="00000000">
      <w:pPr>
        <w:pStyle w:val="BodyText"/>
      </w:pPr>
      <w:r>
        <w:t>242.</w:t>
      </w:r>
      <w:r>
        <w:tab/>
        <w:t>Женские курсы помогают женщинам, в течение длительного периода времени находившимся без работы, вернуться к учебе и/или устроиться на работу. Консультанты по вопросам профессиональной подготовки женщин содействуют получению женщинами доступа к ПТО, а также обучают преподавателей учитывать в своей работе гендерную проблематику.</w:t>
      </w:r>
    </w:p>
    <w:p w:rsidR="00000000" w:rsidRDefault="00000000">
      <w:pPr>
        <w:pStyle w:val="BodyText"/>
        <w:spacing w:after="120" w:line="250" w:lineRule="exact"/>
      </w:pPr>
      <w:r>
        <w:t>243.</w:t>
      </w:r>
      <w:r>
        <w:tab/>
        <w:t>Был разработан план действий по осуществлению Общенациональной стратегии в области профессионально-технического обучения для женщин. Руководящий комитет штата Тасмания отвечает за определение ключевых проблемных областей, среди них доступ женщин к информационным технологиям, и оказывает помощь в разработке и осуществлении стратегий. Представителям групп с особыми потребностями (включая женщин) по мере получения ими ПТО оказывается специальная поддержка. В 1997/98 учебном году был разработан Пилотный проект Восточного побережья Австралии для обучения маклерскому делу сельских женщин, направленный на оказание женщинам помощи в получении доступа к информации об интересующих их курсах. В результате осуществления данного проекта число женщин, участвующих в курсах ПТО, увеличилось на 57 процентов.</w:t>
      </w:r>
    </w:p>
    <w:p w:rsidR="00000000" w:rsidRDefault="00000000">
      <w:pPr>
        <w:pStyle w:val="BodyText"/>
        <w:spacing w:after="120" w:line="250" w:lineRule="exact"/>
      </w:pPr>
      <w:r>
        <w:t>244.</w:t>
      </w:r>
      <w:r>
        <w:tab/>
        <w:t>В 2000 году была организована Программа предоставления мелких ссуд на цели развития женщин для выдачи мелких кредитов женским организациям. Многие из этих организаций занимаются вопросами образования, профессиональной подготовки и создания потенциала для женщин в сохраняющихся проблемных областях. Были предприняты ряд инициатив, направленных на удовлетворение потребностей женщин и девушек в области информации и профессиональной подготовки, включая создание Сети женских информационных центров в сельских районах, а также разработку программы обучения и создание потенциала для женщин, причем некоторые из них были конкретно ориентированы на девушек и молодых женщин. Другие инициативы, например занятия в группах с целью развития профессиональных навыков, были ориентированы на женщин среднего возраста.</w:t>
      </w:r>
    </w:p>
    <w:p w:rsidR="00000000" w:rsidRDefault="00000000">
      <w:pPr>
        <w:pStyle w:val="Heading2"/>
        <w:spacing w:before="120" w:line="250" w:lineRule="exact"/>
      </w:pPr>
      <w:bookmarkStart w:id="402" w:name="_Toc70142824"/>
      <w:bookmarkStart w:id="403" w:name="_Toc70142991"/>
      <w:bookmarkStart w:id="404" w:name="_Toc70228718"/>
      <w:bookmarkStart w:id="405" w:name="_Toc70229119"/>
      <w:bookmarkStart w:id="406" w:name="_Toc70235385"/>
      <w:r>
        <w:t>Виктория</w:t>
      </w:r>
      <w:bookmarkEnd w:id="402"/>
      <w:bookmarkEnd w:id="403"/>
      <w:bookmarkEnd w:id="404"/>
      <w:bookmarkEnd w:id="405"/>
      <w:bookmarkEnd w:id="406"/>
    </w:p>
    <w:p w:rsidR="00000000" w:rsidRDefault="00000000">
      <w:pPr>
        <w:pStyle w:val="BodyText"/>
        <w:spacing w:line="250" w:lineRule="exact"/>
      </w:pPr>
      <w:r>
        <w:t>245.</w:t>
      </w:r>
      <w:r>
        <w:tab/>
        <w:t>В настоящее время правительство разрабатывает конкретные стратегии для удовлетворения потребностей в области образования и профессиональной подготовки пожилых женщин, женщин-аборигенов, сельских женщин и женщин из самобытной культурной и языковой среды. Содействие тому, чтобы женщины выбирали нетрадиционные области трудовой деятельности, обеспечивается с помощью распространения для них информации и осуществления проектов партнерства и общественного просвещения. Стратегии включают: инициативы в области обучения в течение всей жизни в интересах женщин, осуществляемые путем непрерывной поддержки Университета для "третьего возраста"; выявление потребностей учащихся пожилого возраста в целях выработки политики, ориентированной на этот контингент; меры в области повышения профессиональной квалификации женщин-аборигенов в целях оказания им более существенной поддержки; строительство двух учебных центров для коренного населения в целях удовлетворения потребностей местных общин, в том числе потребностей женщин-аборигенов; обзор положений, касающихся образования с учетом гендерной проблематики, и разработка политических рекомендаций и учебных стратегий для оказания школам поддержки в обеспечении гендерного равенства в системе образования.</w:t>
      </w:r>
    </w:p>
    <w:p w:rsidR="00000000" w:rsidRDefault="00000000">
      <w:pPr>
        <w:pStyle w:val="BodyText"/>
        <w:spacing w:line="250" w:lineRule="exact"/>
      </w:pPr>
      <w:r>
        <w:t>246.</w:t>
      </w:r>
      <w:r>
        <w:tab/>
        <w:t>Силами Университета для "третьего возраста" будет проведено двухгодичное пилотное исследование под названием "Протянем руку помощи нашей сельской общине". Результаты этого исследования будут использованы при разработке программ обучения, отвечающих интересам женщин в сельских районах и труднодоступной местности.</w:t>
      </w:r>
    </w:p>
    <w:p w:rsidR="00000000" w:rsidRDefault="00000000">
      <w:pPr>
        <w:pStyle w:val="BodyText"/>
        <w:spacing w:line="250" w:lineRule="exact"/>
      </w:pPr>
      <w:r>
        <w:t>247.</w:t>
      </w:r>
      <w:r>
        <w:tab/>
        <w:t>В рамках Стратегии гендерного образования для школ штата Виктория будут разработаны инновационные дидактические методы, предназначенные для конкретных групп девушек и юношей – учащихся школ. Для того чтобы помочь в разработке указанной стратегии, собираются и анализируются данные, полученные в результате обследований школ и текущих исследований по вопросам гендерной проблематики в системе образования.</w:t>
      </w:r>
    </w:p>
    <w:p w:rsidR="00000000" w:rsidRDefault="00000000">
      <w:pPr>
        <w:pStyle w:val="Article"/>
        <w:spacing w:after="120"/>
      </w:pPr>
      <w:r>
        <w:br w:type="page"/>
      </w:r>
      <w:bookmarkStart w:id="407" w:name="_Toc70142992"/>
      <w:bookmarkStart w:id="408" w:name="_Toc70228719"/>
      <w:bookmarkStart w:id="409" w:name="_Toc70229120"/>
      <w:bookmarkStart w:id="410" w:name="_Toc70235386"/>
      <w:r>
        <w:t>Статья 11:  Занятость</w:t>
      </w:r>
      <w:bookmarkEnd w:id="407"/>
      <w:bookmarkEnd w:id="408"/>
      <w:bookmarkEnd w:id="409"/>
      <w:bookmarkEnd w:id="410"/>
    </w:p>
    <w:p w:rsidR="00000000" w:rsidRDefault="00000000">
      <w:pPr>
        <w:pStyle w:val="BodyText"/>
      </w:pPr>
      <w:r>
        <w:t>248.</w:t>
      </w:r>
      <w:r>
        <w:tab/>
        <w:t>Согласно Перспективам ОЭСР в области занятости на 2001 год среди 18 стран Австралия занимает четвертое место с точки зрения участия женщин, имеющих детей, в оплачиваемой трудовой деятельности благодаря созданию условий, позволяющих им совмещать семейные и производственные обязанности. Австралия занимает первое место по числу фирм, предоставляющих гибкий график работы для своих сотрудников.</w:t>
      </w:r>
    </w:p>
    <w:p w:rsidR="00000000" w:rsidRDefault="00000000">
      <w:pPr>
        <w:pStyle w:val="Article-ref"/>
        <w:spacing w:before="240" w:after="120"/>
      </w:pPr>
      <w:bookmarkStart w:id="411" w:name="_Toc70142993"/>
      <w:bookmarkStart w:id="412" w:name="_Toc70228720"/>
      <w:bookmarkStart w:id="413" w:name="_Toc70229121"/>
      <w:bookmarkStart w:id="414" w:name="_Toc70235387"/>
      <w:r>
        <w:t>Инициативы федерального правительства</w:t>
      </w:r>
      <w:bookmarkEnd w:id="411"/>
      <w:bookmarkEnd w:id="412"/>
      <w:bookmarkEnd w:id="413"/>
      <w:bookmarkEnd w:id="414"/>
    </w:p>
    <w:p w:rsidR="00000000" w:rsidRDefault="00000000">
      <w:pPr>
        <w:pStyle w:val="1-1"/>
      </w:pPr>
      <w:r>
        <w:t>Равная оплата труда для женщин – Закон 1999 года о равных возможностях для женщин на производстве</w:t>
      </w:r>
    </w:p>
    <w:p w:rsidR="00000000" w:rsidRDefault="00000000">
      <w:pPr>
        <w:pStyle w:val="BodyText"/>
      </w:pPr>
      <w:r>
        <w:t>249.</w:t>
      </w:r>
      <w:r>
        <w:tab/>
        <w:t>Закон 1999 года о равных возможностях для женщин на производстве направлен на обеспечение равенства в области занятости и ликвидацию дискриминации. Закон предусматривает, что частные компании, профсоюзы, неправительственные школы, высшие учебные заведения и общинные организации (в которых заняты более 100 человек) должны создавать производственные программы для устранения препятствий на пути получения женщинами работы и продвижения по службе в этих организациях. Управление по обеспечению равных возможностей для женщин на производстве является официальным органом, отвечающим за осуществление данного Закона, и с помощью просветительской работы оказывает организациям помощь в создании равных возможностей для женщин.</w:t>
      </w:r>
    </w:p>
    <w:p w:rsidR="00000000" w:rsidRDefault="00000000">
      <w:pPr>
        <w:pStyle w:val="BodyText"/>
      </w:pPr>
      <w:r>
        <w:t>250.</w:t>
      </w:r>
      <w:r>
        <w:tab/>
        <w:t>В 1997 году был подготовлен производственный справочник в целях способствовать устранению проявлений дискриминации по признаку пола в сфере оплаты труда. В справочнике содержится подробная информация о критериях оценки сложности работы для всестороннего анализа оплаты труда и квалификации работников и выявления любых проявлений дискриминации в оплате труда. В справочнике также даются рекомендации о порядке проведения оценки сложности работы без какой-либо гендерной предвзятости.</w:t>
      </w:r>
    </w:p>
    <w:p w:rsidR="00000000" w:rsidRDefault="00000000">
      <w:pPr>
        <w:pStyle w:val="BodyText"/>
        <w:spacing w:after="120"/>
      </w:pPr>
      <w:r>
        <w:t>251.</w:t>
      </w:r>
      <w:r>
        <w:tab/>
        <w:t>КПЧРВ подготовило Руководство по вопросам равного вознаграждения, которое призвано помочь работодателям в выполнении их обязательств согласно федеральному антидискриминационному законодательству в сфере промышленности. Оно также рассчитано на трудящихся, специалистов по практическому обеспечению равноправия и профсоюзных деятелей. В Руководстве изложены основные принципы равной оплаты за труд равной ценности, пояснительные материалы, применимые законы, тематические исследования и методы проверки соблюдения принципов равной оплаты за труд равной ценности. Цель данного руководства – повысить понимание принципа равной оплаты за труд равной ценности и обеспечить его реализацию на производстве.</w:t>
      </w:r>
    </w:p>
    <w:p w:rsidR="00000000" w:rsidRDefault="00000000">
      <w:pPr>
        <w:pStyle w:val="1-1"/>
        <w:spacing w:before="120"/>
      </w:pPr>
      <w:r>
        <w:t>Дискриминация по причине беременности</w:t>
      </w:r>
    </w:p>
    <w:p w:rsidR="00000000" w:rsidRDefault="00000000">
      <w:pPr>
        <w:pStyle w:val="BodyText"/>
      </w:pPr>
      <w:r>
        <w:t>252.</w:t>
      </w:r>
      <w:r>
        <w:tab/>
        <w:t>В 1998 году правительство поручило КПЧРВ провести национальное обследование по вопросам дискриминации в связи с беременностью и в отношении женщин детородного возраста и возложило на нее функции надзора за положением беременных женщин на производстве. В 1999 году в парламент был представлен доклад о результатах этого обследования под названием "Беременность и производственная деятельность: работа в период беременности является правом, а не привилегией". Изучив этот доклад, правительство одобрило ряд практических и конкретных шагов по ликвидации дискриминации в отношении беременных женщин и женщин детородного возраста в сфере производственной деятельности. К их числу относится следующее:</w:t>
      </w:r>
    </w:p>
    <w:p w:rsidR="00000000" w:rsidRDefault="00000000">
      <w:pPr>
        <w:pStyle w:val="enumlev-2"/>
      </w:pPr>
      <w:r>
        <w:t>принятие поправок к Закону 1984 года о недопущении дискриминации по признаку пола, запрещающих дискриминацию в отношении кормящих матерей, четкое соблюдение требования, запрещающего в процессе собеседований при поступлении на работу задавать вопросы, касающиеся беременности или возможной беременности; и обеспечение того, чтобы информация, полученная на основе данных медицинских осмотров в связи с беременностью при приеме на работу, не использовалась в дискриминационных целях. В 2002 году в парламент был внесен проект поправки к Закону 1984 года о недопущении дискриминации по признаку пола (беременность и производственная деятельность), который, как ожидается, будет рассмотрен парламентом в 2003 году;</w:t>
      </w:r>
    </w:p>
    <w:p w:rsidR="00000000" w:rsidRDefault="00000000">
      <w:pPr>
        <w:pStyle w:val="enumlev-2"/>
      </w:pPr>
      <w:r>
        <w:t>проведение информационной кампании для повышения уровня осведомленности общественности, а также для распространения среди работодателей и трудящихся информации об их соответствующих производственных правах и обязанностях в связи с беременностью и возможной беременностью;</w:t>
      </w:r>
    </w:p>
    <w:p w:rsidR="00000000" w:rsidRDefault="00000000">
      <w:pPr>
        <w:pStyle w:val="enumlev-2"/>
      </w:pPr>
      <w:r>
        <w:t>разработка в апреле 2001 года Специальным уполномоченным КПЧРВ по борьбе с дискриминацией по признаку пола руководства по вопросам, связанным с беременностью, в котором содержатся практические и конкретные рекомендации по осуществлению Закона 1984 года о недопущении дискриминации по признаку пола; руководство помогает работодателям, трудящимся, прочим участникам рабочей силы, профсоюзам и организациям работодателей лучше понимать права и обязанности сторон в связи с беременностью трудящейся женщины и в отношении женщин детородного возраста;</w:t>
      </w:r>
    </w:p>
    <w:p w:rsidR="00000000" w:rsidRDefault="00000000">
      <w:pPr>
        <w:pStyle w:val="enumlev-2"/>
        <w:spacing w:after="240"/>
      </w:pPr>
      <w:r>
        <w:t>разработка и распространение правительством в апреле 2002 года брошюры под названием "Работа в период беременности" в целях повышения осведомленности общественности в отношении прав и обязанностей беременных женщин и женщин детородного возраста на производстве.</w:t>
      </w:r>
    </w:p>
    <w:p w:rsidR="00000000" w:rsidRDefault="00000000">
      <w:pPr>
        <w:pStyle w:val="1-1"/>
        <w:spacing w:before="120"/>
      </w:pPr>
      <w:r>
        <w:t>Отпуск по беременности и родам</w:t>
      </w:r>
    </w:p>
    <w:p w:rsidR="00000000" w:rsidRDefault="00000000">
      <w:pPr>
        <w:pStyle w:val="BodyText"/>
      </w:pPr>
      <w:r>
        <w:t>253.</w:t>
      </w:r>
      <w:r>
        <w:tab/>
        <w:t>В 1990 году лицам, которые имели постоянное место работы и 12-месячный непрерывный стаж работы у одного и того же работодателя, в качестве эксперимента было предоставлено право на получение неоплачиваемого отпуска по уходу за ребенком в течение 52 недель (этим отпуском мог по желанию воспользоваться любой из родителей). В Законе 1996 года о производственных отношениях предусматривается законное право лиц, имеющих постоянную работу, на минимальный неоплачиваемый отпуск по уходу за ребенком продолжительностью 52 недели, который предоставляется на таких же условиях. В мае 2001 года Австралийская комиссия по отношениям в промышленности утвердила новый стандартный порядок предоставления отпуска по уходу за ребенком. В результате неоплачиваемый отпуск по уходу за ребенком теперь также предоставляется временно занятым лицам, которые неоднократно нанимались одним и тем же работодателем на работу на регулярной и систематической основе, непрерывный период занятости которых составляет не менее года, или лицам, имеющим все основания ожидать получения непрерывной занятости. Эти новые положения будут учитываться во всех федеральных решениях, принимаемых по заявлениям об отпусках, в зависимости от каждого конкретного случая. Вместе с тем признается, что в некоторых случаях или в отдельных отраслях новый стандартный порядок предоставления отпусков по уходу за ребенком может оказаться неприемлемым, и определяется процедура для сторон, желающих отступить от этого нового стандартного порядка.</w:t>
      </w:r>
    </w:p>
    <w:p w:rsidR="00000000" w:rsidRDefault="00000000">
      <w:pPr>
        <w:pStyle w:val="BodyText"/>
      </w:pPr>
      <w:r>
        <w:t>254.</w:t>
      </w:r>
      <w:r>
        <w:tab/>
        <w:t>Некоторые трудящиеся, включая сотрудников федерального правительства и правительств штатов и территорий и некоторых работников частного сектора, имеют право на получение оплачиваемого отпуска по беременности и родам, являющееся одним из условий их занятости (оговоренным в контрактах и/или трудовых соглашениях). Считается, что право на получение оплачиваемого отпуска по беременности и родам в Австралии имеют 38 процентов трудящихся женщин, включая 54 процента постоянно занятых работников. Продолжительность такого отпуска варьируется, но в среднем составляет 7 недель.</w:t>
      </w:r>
    </w:p>
    <w:p w:rsidR="00000000" w:rsidRDefault="00000000">
      <w:pPr>
        <w:pStyle w:val="BodyText"/>
      </w:pPr>
      <w:r>
        <w:t>255.</w:t>
      </w:r>
      <w:r>
        <w:tab/>
        <w:t>В августе 2001 года Специальный уполномоченный КПЧРВ по борьбе с дискриминацией по признаку пола объявил о том, что он приступил к изучению возможностей осуществления национальной программы предоставления оплачиваемого отпуска по беременности и родам в Австралии. После опубликования промежуточного дискуссионного доклада в апреле 2002 года Специальный уполномоченный провел консультации с ведущими ассоциациями работодателей, профсоюзами и другими заинтересованными сторонами, с тем чтобы определить их позиции в отношении программы предоставления оплачиваемого отпуска по беременности и родам, включая вопросы, касающиеся ее финансирования и осуществления. Окончательный доклад был опубликован в декабре 2002 года и в настоящее время находится на рассмотрении правительства.</w:t>
      </w:r>
    </w:p>
    <w:p w:rsidR="00000000" w:rsidRDefault="00000000">
      <w:pPr>
        <w:pStyle w:val="1-1"/>
        <w:spacing w:before="120"/>
      </w:pPr>
      <w:r>
        <w:t>Уход за детьми</w:t>
      </w:r>
    </w:p>
    <w:p w:rsidR="00000000" w:rsidRDefault="00000000">
      <w:pPr>
        <w:pStyle w:val="BodyText"/>
      </w:pPr>
      <w:r>
        <w:t>256.</w:t>
      </w:r>
      <w:r>
        <w:tab/>
        <w:t>В целях обеспечения недорогостоящих, гибких и доступных услуг по уходу за детьми правительство выделило рекордную сумму в 8 млрд. долларов на четырехлетний период с 2002/03 по 2005/06 финансовый год. Это обеспечивает женщинам и их семьям доступ к услугам по уходу за детьми и широкий выбор таких услуг, которые отвечают их потребностям и позволяют совмещать производственные и семейные обязанности.</w:t>
      </w:r>
    </w:p>
    <w:p w:rsidR="00000000" w:rsidRDefault="00000000">
      <w:pPr>
        <w:pStyle w:val="BodyText"/>
      </w:pPr>
      <w:r>
        <w:t>257.</w:t>
      </w:r>
      <w:r>
        <w:tab/>
        <w:t>Утвержденное в июле 2000 года пособие по уходу за ребенком способствовало покрытию части расходов по уходу за ребенком в семьях с низким и средним доходом и открыло перед семьями более широкий выбор видов услуг по уходу за детьми. Семьи с самым низким доходом получают наибольшую помощь, если они пользуются системой услуг по уходу за детьми, одобренной федеральным правительством. Размер пособия по уходу за ребенком устанавливается в зависимости от уровня дохода, числа детей в семье, которым необходим уход, количества часов, затрачиваемых на уход, и вида используемых услуг. В период с июня 2001 года по сентябрь 2002 года число детей, охваченных соответствующими услугами, выросло примерно на 10 процентов (преимущественно это услуги, оказываемые детям после окончания занятий в школах).</w:t>
      </w:r>
    </w:p>
    <w:p w:rsidR="00000000" w:rsidRDefault="00000000">
      <w:pPr>
        <w:pStyle w:val="BodyText"/>
      </w:pPr>
      <w:r>
        <w:t>258.</w:t>
      </w:r>
      <w:r>
        <w:tab/>
        <w:t>Правительство делает акцент на повышение качества услуг по уходу за детьми путем введения более жестких требований, которым должны отвечать службы, занимающиеся такой деятельностью, для получения государственного финансирования. В 2003 году была введена система гарантии качества услуг по уходу за детьми после окончания занятий в школах, в январе 2002 года – пересмотренная система регистрации и повышения качества работы центров продленного дня, а в июле 2001 года – система гарантии качества дневного ухода за детьми в семьях.</w:t>
      </w:r>
    </w:p>
    <w:p w:rsidR="00000000" w:rsidRDefault="00000000">
      <w:pPr>
        <w:pStyle w:val="BodyText"/>
      </w:pPr>
      <w:r>
        <w:t>259.</w:t>
      </w:r>
      <w:r>
        <w:tab/>
        <w:t>Правительство выделяет финансовые средства для обеспечения более гибкой системы услуг по уходу за детьми, отвечающей различным потребностям женщин и их семей. Система ухода за детьми на дому, введенная в 2001 году, предназначена для семей, которые не смогли бы пользоваться предоставляемыми в иной форме услугами по уходу за детьми. Эта инициатива отвечает интересам семей и самих женщин, которые работают посменно или по нетрадиционному графику, родителей или детей, которые часто болеют или являются инвалидами либо проживают в сельских и отдаленных районах.</w:t>
      </w:r>
    </w:p>
    <w:p w:rsidR="00000000" w:rsidRDefault="00000000">
      <w:pPr>
        <w:pStyle w:val="BodyText"/>
      </w:pPr>
      <w:r>
        <w:t>260.</w:t>
      </w:r>
      <w:r>
        <w:tab/>
        <w:t>Все семьи, отвечающие установленным критериям, имеют право на получение каждую неделю 20-часовых услуг по уходу за ребенком для самых разных целей: чтобы дать родителям отдохнуть, провести развивающие занятия с детьми, родители которых не имеют работы, в качестве добровольческой деятельности. Семьи, которые нуждаются в помощи по уходу за своими детьми в силу чрезмерной загруженности на работе или курсах обучения и профессиональной подготовки, могут получать услуги в объеме до 50 часов в неделю.</w:t>
      </w:r>
    </w:p>
    <w:p w:rsidR="00000000" w:rsidRDefault="00000000">
      <w:pPr>
        <w:pStyle w:val="BodyText"/>
      </w:pPr>
      <w:r>
        <w:t>261.</w:t>
      </w:r>
      <w:r>
        <w:tab/>
        <w:t>Дополнительное финансирование также выделяется на создание центров по уходу за детьми в сельских районах, где ощущается конкретная потребность в таких услугах. Впервые субсидии, которые ранее предоставлялись только службам на базе общин, теперь выдаются и частным организаторам. Этот шаг окажет непосредственную поддержку экономике сельских и отдаленных регионов, способствуя занятости и установлению социальных контактов.</w:t>
      </w:r>
    </w:p>
    <w:p w:rsidR="00000000" w:rsidRDefault="00000000">
      <w:pPr>
        <w:pStyle w:val="BodyText"/>
      </w:pPr>
      <w:r>
        <w:t>262.</w:t>
      </w:r>
      <w:r>
        <w:tab/>
        <w:t>Передвижные службы по оказанию услуг по уходу за детьми посещают отдаленные районы по всей территории Австралии и оказывают разовые услуги, услуги во время школьных каникул, организуют групповые игры и лекционные занятия, раздают игры, игрушки и книги. Они также распространяют нужную информацию, оказывают помощь родителям и во многих случаях обеспечивают связь с другими родителями, живущими в похожих условиях. Недавно были созданы специальные передвижные службы, которые регулярно оказывают услуги продленного дня в местах проведения общинных мероприятий во время еженедельных посещений некоторых мелких сельских общин.</w:t>
      </w:r>
    </w:p>
    <w:p w:rsidR="00000000" w:rsidRDefault="00000000">
      <w:pPr>
        <w:pStyle w:val="BodyText"/>
      </w:pPr>
      <w:r>
        <w:t>263.</w:t>
      </w:r>
      <w:r>
        <w:tab/>
        <w:t>В 1997 году была открыта Линия прямой телефонной связи по вопросам ухода за детьми, которая помогает родителям решать проблемы, связанные с уходом за детьми. Эта линия обеспечивает родителей информацией о службах по уходу за детьми, имеющихся в данной конкретной местности, видах предоставляемых услуг по уходу за детьми, вопросах качества и помощи правительства в покрытии расходов, связанных с уходом за детьми. С тем чтобы родители могли принимать обоснованное решение, им рассказывают о различных видах услуг по уходу за детьми, таких как уход за детьми в центрах продленного дня, дневной уход на дому, присмотр за детьми после окончания занятий в школах и разовый уход. В рамках этой линии связи можно пользоваться услугами устных переводчиков.</w:t>
      </w:r>
    </w:p>
    <w:p w:rsidR="00000000" w:rsidRDefault="00000000">
      <w:pPr>
        <w:pStyle w:val="1-1"/>
        <w:spacing w:before="120"/>
      </w:pPr>
      <w:r>
        <w:t>Женщины, работающие в нетрадиционных для них областях</w:t>
      </w:r>
    </w:p>
    <w:p w:rsidR="00000000" w:rsidRDefault="00000000">
      <w:pPr>
        <w:pStyle w:val="BodyText"/>
      </w:pPr>
      <w:r>
        <w:t>264.</w:t>
      </w:r>
      <w:r>
        <w:tab/>
        <w:t>С 1995 года правительство выступило с целым рядом инициатив для привлечения и удержания женщин в нетрадиционных для них областях занятости. К их числу относятся:</w:t>
      </w:r>
    </w:p>
    <w:p w:rsidR="00000000" w:rsidRDefault="00000000">
      <w:pPr>
        <w:pStyle w:val="enumlev-2"/>
      </w:pPr>
      <w:r>
        <w:t>Специальная программа мер по обеспечению равноправия (1995–1999 годы) финансирует проекты, направленные на обеспечение более широкого доступа женщин к профессиональной подготовке в нетрадиционных сферах занятости. Это ряд проектов, помогающих молодым женщинам овладевать нетрадиционными профессиями, и обеспечение профессиональной подготовки в рамках Специальных подготовительных курсов для женщин;</w:t>
      </w:r>
    </w:p>
    <w:p w:rsidR="00000000" w:rsidRDefault="00000000">
      <w:pPr>
        <w:pStyle w:val="enumlev-2"/>
      </w:pPr>
      <w:r>
        <w:t>подготовка доклада под названием "Женщины в Вооруженных силах Австралии" (1997 год), в котором рассматриваются вопросы, касающиеся службы женщин в Вооруженных силах, и определяются стратегии, связанные с дальнейшим увеличением набора женщин на военную службу и расширением выбора военных профессий для женщин;</w:t>
      </w:r>
    </w:p>
    <w:p w:rsidR="00000000" w:rsidRDefault="00000000">
      <w:pPr>
        <w:pStyle w:val="enumlev-2"/>
      </w:pPr>
      <w:r>
        <w:t>была подготовлена брошюра под названием "Женщины на подводных лодках" (1998 год), призванная оказать помощь в решении вопросов, затронутых в исследовании, посвященном ситуации на подводных лодках и женщинам, служащим на подводных лодках класса "Коллинс". В брошюре также затрагивались общие вопросы, касающиеся женщин, находящихся на службе в Военно-морских силах Австралии;</w:t>
      </w:r>
    </w:p>
    <w:p w:rsidR="00000000" w:rsidRDefault="00000000">
      <w:pPr>
        <w:pStyle w:val="enumlev-2"/>
      </w:pPr>
      <w:r>
        <w:t>Австралийский совет женщин – сотрудников полиции получил финансовые средства на подготовку руководства для женщин, поступающих на службу в полицию, под названием "Женская или не женская работа?";</w:t>
      </w:r>
    </w:p>
    <w:p w:rsidR="00000000" w:rsidRDefault="00000000">
      <w:pPr>
        <w:pStyle w:val="enumlev-2"/>
      </w:pPr>
      <w:r>
        <w:t>в 1999 году комитету "Женщины в технических специальностях" были выделены финансовые средства на подготовку доклада под названием "Повышение авторитета технических специальностей (ценность многообразия и пропаганда культуры гендерного равенства)" – пособия для руководителей и женщин в технических областях;</w:t>
      </w:r>
    </w:p>
    <w:p w:rsidR="00000000" w:rsidRDefault="00000000">
      <w:pPr>
        <w:pStyle w:val="enumlev-2"/>
      </w:pPr>
      <w:r>
        <w:t>в рамках ряда проектов (1997–1998 годы) были разработаны стратегии и выделены ресурсы для расширения доступа женщин к профессиональной подготовке в целях получения специальностей в таких отраслях, как металлургия, машиностроение и строительство;</w:t>
      </w:r>
    </w:p>
    <w:p w:rsidR="00000000" w:rsidRDefault="00000000">
      <w:pPr>
        <w:pStyle w:val="enumlev-2"/>
        <w:spacing w:after="240"/>
      </w:pPr>
      <w:r>
        <w:t>в рамках научно-исследовательского проекта (1998 год) было проанализировано, с какими препятствиями сталкиваются женщины при получении рабочих специальностей в нетрадиционных для них областях, и разработаны новые модели для расширения доступа женщин к этим областям и долгосрочной занятости в них женщин.</w:t>
      </w:r>
    </w:p>
    <w:p w:rsidR="00000000" w:rsidRDefault="00000000">
      <w:pPr>
        <w:pStyle w:val="1-1"/>
        <w:spacing w:before="120"/>
      </w:pPr>
      <w:r>
        <w:t>Женщины и торговля</w:t>
      </w:r>
    </w:p>
    <w:p w:rsidR="00000000" w:rsidRDefault="00000000">
      <w:pPr>
        <w:pStyle w:val="BodyText"/>
      </w:pPr>
      <w:r>
        <w:t>265.</w:t>
      </w:r>
      <w:r>
        <w:tab/>
        <w:t>В январе 2001 года Австралия стала Председателем Специальной консультативной группы АТЭС по гендерной интеграции (АГГИ). Эта Группа была создана для осуществления Рамочной программы по интеграции женщин в АТЭС. Австралия играла важную роль в разработке данной Программы и руководила работой по нескольким приоритетным направлениям Программы. В конце 2002 года АГГИ в соответствии со своим мандатом была распущена. В 2003 году была образована Сеть гендерных координационных центров (ГФПН), предложенная АГГИ и одобренная старшими должностными лицами в мае 2002 года, в качестве временного механизма для сохранения гендерных ресурсов и содействия непрерывной интеграции и учета гендерной проблематики в рамках АТЭС. В мае 2003 года делегация Австралии приняла участие в первом совещании ГФПН, на котором были определены сфера деятельности ГФПН, график работы, а также функции и обязанности ГФПН.</w:t>
      </w:r>
    </w:p>
    <w:p w:rsidR="00000000" w:rsidRDefault="00000000">
      <w:pPr>
        <w:pStyle w:val="BodyText"/>
      </w:pPr>
      <w:r>
        <w:t>266.</w:t>
      </w:r>
      <w:r>
        <w:tab/>
        <w:t>В 1996 году в целях активизации участия женщин в АТЭС и в сфере торговли была создана австралийская Сеть женщин – руководителей АТЭС. В 2001 году УВПЖ работало над расширением функций этой Сети и укреплением ее потенциала. Некоторые из основных целей Сети включают: повышение информированности австралийских женщин-предпринимателей о возможностях в области торговли в Азиатско-Тихоокеанском регионе и содействие им в расширении соответствующих контактов и связей; повышение информированности о вкладе женщин Австралии в экономику и торговлю данного региона; ознакомление женщин-предпринимателей с примерами, достойными подражания; и расширение возможностей женщин в области обучения и подготовки.</w:t>
      </w:r>
    </w:p>
    <w:p w:rsidR="00000000" w:rsidRDefault="00000000">
      <w:pPr>
        <w:pStyle w:val="1-1"/>
        <w:spacing w:before="120"/>
      </w:pPr>
      <w:r>
        <w:t>Неоплачиваемый труд женщин</w:t>
      </w:r>
    </w:p>
    <w:p w:rsidR="00000000" w:rsidRDefault="00000000">
      <w:pPr>
        <w:pStyle w:val="BodyText"/>
      </w:pPr>
      <w:r>
        <w:t>267.</w:t>
      </w:r>
      <w:r>
        <w:tab/>
        <w:t>В 2000 году сотрудники Австралийского статистического бюро провели второе Общенациональное обследование добровольческой деятельности. Были опрошены граждане в возрасте 18 лет и старше и полученные сведения касались добровольческой деятельности, в которой они участвовали в течение последнего года. В 1995 году Австралийское статистическое бюро провело обследование относительно занятий граждан в тот или иной период времени, результаты которого были опубликованы в 1996 году. Ожидается, что в 2005–2006 годах это обследование будет проведено повторно. Правительство выделило четыре стипендии сроком на один год на проведение анализа результатов первоначального обследования с гендерной точки зрения. Обследования относительно занятий граждан в тот или иной период являются одним из самых ценных источников информации о неоплачиваемом труде в силу его охвата, характера данных и их разбивки по полу, социальным и экономическим факторам. Такие обследования также являются единственной надежной основой для оценки неоплачиваемого труда в денежном выражении. Выделенные стипендии призваны помочь преодолеть некоторые из препятствий на пути использования таких сложных данных, давая исследователям достаточно времени для работы и обеспечивая им доступ к необходимым вспомогательным службам для использования их опыта в деле анализа данных относительно занятий граждан в тот или иной период времени.</w:t>
      </w:r>
    </w:p>
    <w:p w:rsidR="00000000" w:rsidRDefault="00000000">
      <w:pPr>
        <w:pStyle w:val="BodyText"/>
      </w:pPr>
      <w:r>
        <w:t>268.</w:t>
      </w:r>
      <w:r>
        <w:tab/>
        <w:t>Австралия принимала участие в исследовании ОЭСР, посвященном предварительной оценке стоимости неоплачиваемого труда и методики, используемой в связи с этим в странах ОЭСР. Обзор различных национальных подходов был опубликован в документе под названием "Домашнее производство в странах ОЭСР: источники данных и методы измерения".</w:t>
      </w:r>
    </w:p>
    <w:p w:rsidR="00000000" w:rsidRDefault="00000000">
      <w:pPr>
        <w:pStyle w:val="1-1"/>
      </w:pPr>
      <w:r>
        <w:t>Центры для трудящихся женщин</w:t>
      </w:r>
    </w:p>
    <w:p w:rsidR="00000000" w:rsidRDefault="00000000">
      <w:pPr>
        <w:pStyle w:val="BodyText"/>
      </w:pPr>
      <w:r>
        <w:t>269.</w:t>
      </w:r>
      <w:r>
        <w:tab/>
        <w:t>Правительство выделяет средства для создания центров для трудящихся женщин в штатах и территориях с целью помочь женщинам лучше понять имеющиеся у них права и обязанности на производстве и дать им возможность пользоваться всеми выгодами, предоставляемыми в рамках федеральной системы производственных отношений. Такие центры обеспечивают женщин информацией и оказывают им помощь в решении вопросов, с которыми они сталкиваются в производственной деятельности, в частности женщин, которым оказывается сложно получить такую помощь в силу языковых барьеров, отдаленности их мест проживания или иных причин.</w:t>
      </w:r>
    </w:p>
    <w:p w:rsidR="00000000" w:rsidRDefault="00000000">
      <w:pPr>
        <w:pStyle w:val="1-1"/>
      </w:pPr>
      <w:r>
        <w:t>Женщины из числа коренного населения</w:t>
      </w:r>
    </w:p>
    <w:p w:rsidR="00000000" w:rsidRDefault="00000000">
      <w:pPr>
        <w:pStyle w:val="BodyText"/>
      </w:pPr>
      <w:r>
        <w:t>270.</w:t>
      </w:r>
      <w:r>
        <w:tab/>
        <w:t>Сеть по трудоустройству представляет собой общенациональную сеть, состоящую из приблизительно 200 частных, общинных организаций и государственных учреждений, занимающихся трудоустройством безработных граждан. Многие из этих организаций специализируются на оказании услуг ищущим работу лицам, находящимся в особенно тяжелом положении, включая женщин и коренных жителей Австралии. В период с июля 2001 года по март 2002 года с помощью Сети по трудоустройству работу получили более 9100 ищущих работу из числа коренных жителей. Около 17 тыс. коренных жителей, ищущих работу, приняли участие в программе Интенсивной помощи, что на 21 процент больше, чем за аналогичный период предыдущего года. Около 3400 предложений по временной занятости в рамках программы Интенсивной помощи (как правило, означающей непрерывную работу в течение 13 недель) получили ищущие работу из числа коренных жителей, что на 93 процента больше, чем за аналогичный период предыдущего года.</w:t>
      </w:r>
    </w:p>
    <w:p w:rsidR="00000000" w:rsidRDefault="00000000">
      <w:pPr>
        <w:pStyle w:val="BodyText"/>
      </w:pPr>
      <w:r>
        <w:t>271.</w:t>
      </w:r>
      <w:r>
        <w:tab/>
        <w:t>Программа занятости коренного населения успешно дополняет финансовые ресурсы, выделяемые на специальные программы, осуществляемые в интересах коренного населения. Данная Программа включает ряд инициатив, таких как Субсидирование заработной платы; Проект поощрения руководителей корпораций, предоставляющих работу лицам из числа коренного населения; Проекты по организации профессиональной подготовки и занятости и Национальный проект по обучению практикантов из числа представителей коренного населения.</w:t>
      </w:r>
    </w:p>
    <w:p w:rsidR="00000000" w:rsidRDefault="00000000">
      <w:pPr>
        <w:pStyle w:val="BodyText"/>
      </w:pPr>
      <w:r>
        <w:t>272.</w:t>
      </w:r>
      <w:r>
        <w:tab/>
        <w:t>В рамках Программы развития предпринимательства поддержка коренных жителей Австралии обеспечивается путем оказания помощи в подготовке бизнес-планов и других услуг, предоставления грантов и кредитов для малых предприятий, проведения семинаров-практикумов по вопросам малого бизнеса и предоставления доступа к услугам консультантов по вопросам предпринимательства.</w:t>
      </w:r>
    </w:p>
    <w:p w:rsidR="00000000" w:rsidRDefault="00000000">
      <w:pPr>
        <w:pStyle w:val="BodyText"/>
      </w:pPr>
      <w:r>
        <w:t>273.</w:t>
      </w:r>
      <w:r>
        <w:tab/>
        <w:t>Фонд для мелких предпринимателей из числа коренного населения предоставляет средства на развитие и расширение бизнеса и предприятий, принадлежащих коренным жителям страны. Этот Фонд стремится улучшить перспективы в области предпринимательской деятельности путем формирования навыков предпринимательства, разработки программ, обучения, создания сетей, консультативных услуг и развития рынка (включая создание возможностей для экспорта выпускаемой продукции).</w:t>
      </w:r>
    </w:p>
    <w:p w:rsidR="00000000" w:rsidRDefault="00000000">
      <w:pPr>
        <w:pStyle w:val="BodyText"/>
      </w:pPr>
      <w:r>
        <w:t>274.</w:t>
      </w:r>
      <w:r>
        <w:tab/>
        <w:t>См. также: Доклад Австралии об осуществлении Пекинской платформы действий (2000 год) и доклад Австралии об осуществлении Конвенции о ликвидации всех форм расовой дискриминации.</w:t>
      </w:r>
    </w:p>
    <w:p w:rsidR="00000000" w:rsidRDefault="00000000">
      <w:pPr>
        <w:pStyle w:val="1-1"/>
      </w:pPr>
      <w:r>
        <w:t>Одинокие родители</w:t>
      </w:r>
    </w:p>
    <w:p w:rsidR="00000000" w:rsidRDefault="00000000">
      <w:pPr>
        <w:pStyle w:val="BodyText"/>
      </w:pPr>
      <w:r>
        <w:t>275.</w:t>
      </w:r>
      <w:r>
        <w:tab/>
        <w:t>Правительство высоко оценивает тот вклад, который родители вносят в дело воспитания детей и ухода за ними, и оказывает семьям финансовую помощь в виде различных услуг. Оно признает особые потребности одиноких родителей и оказывает таким родителям дополнительную помощь. Родительские пособия для одиноких родителей являются более высокими по сравнению с пособиями для полных семей, а процедуры установления размера доходов – более либеральными. Кроме того, одинокие родители имеют право на получение дополнительных пособий.</w:t>
      </w:r>
    </w:p>
    <w:p w:rsidR="00000000" w:rsidRDefault="00000000">
      <w:pPr>
        <w:pStyle w:val="BodyText"/>
      </w:pPr>
      <w:r>
        <w:t>276.</w:t>
      </w:r>
      <w:r>
        <w:tab/>
        <w:t>В рамках Программы занятости, образования и профессиональной подготовки одиноким родителям, желающим вернуться на рынок труда (а также некоторым другим категориям опекунов), предоставляется помощь в области профессиональной подготовки и переподготовки. В контексте этой Программы признается факт наличия целого ряда препятствий, которые могут помешать одиноким родителям влиться в состав оплачиваемой рабочей силы. Программа выявляет эти препятствия и оказывает таким родителям содействие в их преодолении путем обеспечения структурированной помощи, включая разработку плана, способствующего подготовке к участию в рынке труда, обеспечения доступа к образованию, профессиональной подготовке и услугам по трудоустройству, направления в государственные учреждения и общинные службы и оказания помощи по уходу за детьми. В мае 2001 года правительство объявило об ассигновании порядка 250 млн. долларов на усиление поддержки получателей родительских пособий, для того чтобы помочь им подготовиться к возвращению на рынок труда в рамках новой инициативы "Помочь родителям вернуться к трудовой деятельности". Такой шаг свидетельствует о признании трудностей, с которыми многие родители сталкиваются, возвращаясь на работу после длительных периодов жизни на социальные пособия.</w:t>
      </w:r>
    </w:p>
    <w:p w:rsidR="00000000" w:rsidRDefault="00000000">
      <w:pPr>
        <w:pStyle w:val="BodyText"/>
      </w:pPr>
      <w:r>
        <w:t>277.</w:t>
      </w:r>
      <w:r>
        <w:tab/>
        <w:t>В 1999–2000 годах Национальный совет по делам одиноких матерей и их детей получал средства на осуществление проектов по оказанию помощи семьям, возглавляемым одинокими родителями, и повышению осведомленности общественности об их неоценимом вкладе в воспитание детей. Различные организации Австралии провели пропагандистские акции, посвященные вопросам вклада одиноких родителей в жизнь общества. К числу мер, направленных на оказание помощи семьям, возглавляемым одинокими родителями, относятся: обучение и подготовка в целях овладения навыками управления и руководства, разработка практических стратегий для обмена информацией и более широкого использования имеющихся на местном уровне возможностей в сфере занятости и образования.</w:t>
      </w:r>
    </w:p>
    <w:p w:rsidR="00000000" w:rsidRDefault="00000000">
      <w:pPr>
        <w:pStyle w:val="Heading1"/>
        <w:spacing w:before="0" w:after="120"/>
      </w:pPr>
      <w:r>
        <w:br w:type="page"/>
      </w:r>
      <w:bookmarkStart w:id="415" w:name="_Toc70142994"/>
      <w:bookmarkStart w:id="416" w:name="_Toc70228721"/>
      <w:bookmarkStart w:id="417" w:name="_Toc70229122"/>
      <w:bookmarkStart w:id="418" w:name="_Toc70235388"/>
      <w:r>
        <w:t>Оговорки Австралии к Конвенции</w:t>
      </w:r>
      <w:bookmarkEnd w:id="415"/>
      <w:bookmarkEnd w:id="416"/>
      <w:bookmarkEnd w:id="417"/>
      <w:bookmarkEnd w:id="418"/>
    </w:p>
    <w:p w:rsidR="00000000" w:rsidRDefault="00000000">
      <w:pPr>
        <w:pStyle w:val="1-1"/>
        <w:spacing w:before="120"/>
      </w:pPr>
      <w:bookmarkStart w:id="419" w:name="_Toc70142995"/>
      <w:bookmarkStart w:id="420" w:name="_Toc70228722"/>
      <w:bookmarkStart w:id="421" w:name="_Toc70229123"/>
      <w:bookmarkStart w:id="422" w:name="_Toc70235389"/>
      <w:r>
        <w:t>Оплачиваемый отпуск по беременности и родам с выплатой сопоставимых социальных пособий</w:t>
      </w:r>
      <w:bookmarkEnd w:id="419"/>
      <w:bookmarkEnd w:id="420"/>
      <w:bookmarkEnd w:id="421"/>
      <w:bookmarkEnd w:id="422"/>
    </w:p>
    <w:p w:rsidR="00000000" w:rsidRDefault="00000000">
      <w:pPr>
        <w:pStyle w:val="BodyText"/>
      </w:pPr>
      <w:r>
        <w:t>278.</w:t>
      </w:r>
      <w:r>
        <w:tab/>
        <w:t>С 1995 года правительство проводит законодательные реформы и выступает с инициативами в отношении отпуска по беременности и родам. Женщины Австралии имеют доступ к различным механизмам социального обеспечения в зависимости от конкретных условий их жизни. К числу таких механизмов относятся социальные пособия, выплачиваемые после доходов и установления размера, и пособие по беременности и родам (которое было введено в 1995 году) и выплачивается семьям, имеющим право на льготы в связи с семейным налогом, независимо от того, работала женщина до момента рождения ребенка или нет. Это пособие помогает покрыть прямые и косвенные издержки, связанные с рождением ребенка, и призвано отчасти компенсировать доход, утраченный в результате рождения ребенка. В 2001 году правительство также ввело дополнительный бонус на ребенка, который дает родителям возможность ежегодно в течение не более пяти лет требовать возмещения одной пятой части налога на доходы, полученные ими в течение года, предшествовавшего рождению ребенка (применяются минимальные и максимальные скидки). Этот бонус предоставляется в знак признания утраченного дохода, что, как правило, имеет место после рождения первого ребенка в семье. Женщинам, занимающимся оплачиваемой и неоплачиваемой трудовой деятельностью, предоставляются и другие виды финансируемой государством помощи (например, льготы в связи с уплатой семейного налога и родительское пособие).</w:t>
      </w:r>
    </w:p>
    <w:p w:rsidR="00000000" w:rsidRDefault="00000000">
      <w:pPr>
        <w:pStyle w:val="BodyText"/>
      </w:pPr>
      <w:r>
        <w:t>279.</w:t>
      </w:r>
      <w:r>
        <w:tab/>
        <w:t>Политика Австралии состоит в том, чтобы создать условия для занятости с помощью отраслевых договоров и трудовых соглашений. Этот подход выгодно отличается от ситуации за рубежом, где оплачиваемый отпуск по беременности и родам предоставляется из страховых фондов, взносы в которые обычно должны вносить работодатели, работники и правительства. Тем самым международные системы страхования несопоставимы с австралийской системой социального страхования.</w:t>
      </w:r>
    </w:p>
    <w:p w:rsidR="00000000" w:rsidRDefault="00000000">
      <w:pPr>
        <w:pStyle w:val="BodyText"/>
      </w:pPr>
      <w:r>
        <w:t>280.</w:t>
      </w:r>
      <w:r>
        <w:tab/>
        <w:t>См. также пункт 253 под названием "Отпуск по беременности и родам".</w:t>
      </w:r>
    </w:p>
    <w:p w:rsidR="00000000" w:rsidRDefault="00000000">
      <w:pPr>
        <w:pStyle w:val="1-1"/>
        <w:spacing w:before="120"/>
      </w:pPr>
      <w:r>
        <w:t>Участие женщин в боевых действиях и выполнение связанных с боевыми действиями обязанностей</w:t>
      </w:r>
    </w:p>
    <w:p w:rsidR="00000000" w:rsidRDefault="00000000">
      <w:pPr>
        <w:pStyle w:val="BodyText"/>
      </w:pPr>
      <w:r>
        <w:t>281.</w:t>
      </w:r>
      <w:r>
        <w:tab/>
        <w:t>В соответствии с проводимой Австралией с 1992 года политикой в области обороны женщины Австралии имеют право служить во всех родах войск, за исключением подразделений, принимающих непосредственное участие в боевых действиях. В опубликованном в 1997 году докладе под названием "Женщины в Вооруженных силах Австралии" были рассмотрены вопросы, касающиеся службы женщин в Вооруженных силах, и определены стратегии по увеличению набора женщин на военную службу и повышению по службе женщин-военнослужащих. В 1998 году Австралия провела обследование по вопросу об участии женщин в боевых действиях и выполнении обязанностей, связанных с ведением боевых действий. В 2000 году Австралия сняла свою оговорку к КЛДЖ в отношении выполнения женщинами обязанностей, связанных с ведением боевых действий, с тем чтобы австралийские женщины имели возможность находиться на ряде должностей, связанных с ведением боевых действий, например на подводных лодках "класса С" и реактивных истребителях F111. Ранее высказывавшиеся Австралией оговорки в отношении использования женщин в составе боевых родов войск (таких, как пехота и бронетанковые войска) по-прежнему остаются в силе. Закон 1984 года о недопущении дискриминации по признаку пола не распространяется на Вооруженные силы Австралии, таким образом запрещается привлекать женщин к выполнению в рамках боевых операций обязанностей, которые определяются Специальным уполномоченным по борьбе с дискриминацией по признаку пола как "обязанности, требующие от того или иного лица совершения или участия в совершении акта насилия в отношении противника во время войны".</w:t>
      </w:r>
    </w:p>
    <w:p w:rsidR="00000000" w:rsidRDefault="00000000">
      <w:pPr>
        <w:pStyle w:val="BodyText"/>
      </w:pPr>
      <w:r>
        <w:t>282.</w:t>
      </w:r>
      <w:r>
        <w:tab/>
        <w:t>В 2000 году Департамент обороны образовал целевую группу для изучения и определения нейтральных с гендерной точки зрения служебных обязанностей для категорий, связанных с боевыми действиями. Эти обязанности должны быть определены до внесения каких-либо предложений относительно любых категорий несения службы для женщин. В настоящее время Департамент обороны занимается подготовкой доклада для Комитета начальников штабов.</w:t>
      </w:r>
    </w:p>
    <w:p w:rsidR="00000000" w:rsidRDefault="00000000">
      <w:pPr>
        <w:pStyle w:val="Article-ref"/>
        <w:spacing w:before="120" w:after="120"/>
      </w:pPr>
      <w:bookmarkStart w:id="423" w:name="_Toc70142996"/>
      <w:bookmarkStart w:id="424" w:name="_Toc70228723"/>
      <w:bookmarkStart w:id="425" w:name="_Toc70229124"/>
      <w:bookmarkStart w:id="426" w:name="_Toc70235390"/>
      <w:r>
        <w:t>Инициативы штатов и территорий</w:t>
      </w:r>
      <w:bookmarkEnd w:id="423"/>
      <w:bookmarkEnd w:id="424"/>
      <w:bookmarkEnd w:id="425"/>
      <w:bookmarkEnd w:id="426"/>
    </w:p>
    <w:p w:rsidR="00000000" w:rsidRDefault="00000000">
      <w:pPr>
        <w:pStyle w:val="Heading2"/>
        <w:spacing w:before="120"/>
      </w:pPr>
      <w:bookmarkStart w:id="427" w:name="_Toc70142826"/>
      <w:bookmarkStart w:id="428" w:name="_Toc70142997"/>
      <w:bookmarkStart w:id="429" w:name="_Toc70228724"/>
      <w:bookmarkStart w:id="430" w:name="_Toc70229125"/>
      <w:bookmarkStart w:id="431" w:name="_Toc70235391"/>
      <w:r>
        <w:t>Австралийская столичная территория</w:t>
      </w:r>
      <w:bookmarkEnd w:id="427"/>
      <w:bookmarkEnd w:id="428"/>
      <w:bookmarkEnd w:id="429"/>
      <w:bookmarkEnd w:id="430"/>
      <w:bookmarkEnd w:id="431"/>
    </w:p>
    <w:p w:rsidR="00000000" w:rsidRDefault="00000000">
      <w:pPr>
        <w:pStyle w:val="BodyText"/>
      </w:pPr>
      <w:r>
        <w:t>283.</w:t>
      </w:r>
      <w:r>
        <w:tab/>
        <w:t xml:space="preserve">Союз предпринимателей АСТ оказывает помощь и поддержку действующим в Канберре предприятиям, в том числе женским предприятиям, и содействует развитию предпринимательства на местном, национальном и международном уровне. В частности, Союз предпринимателей АСТ финансирует Палату женщин-предпринимателей и уделяет особое внимание женщинам-предпринимателям в том, что касается обеспечения их товарами и услугами по каналам Консультативной службы по вопросам предпринимательства Канберры (КанБАС), финансируемой правительством АСТ – </w:t>
      </w:r>
      <w:r>
        <w:rPr>
          <w:u w:val="single"/>
        </w:rPr>
        <w:t>www.business.act.gov.au</w:t>
      </w:r>
      <w:r>
        <w:t>.</w:t>
      </w:r>
    </w:p>
    <w:p w:rsidR="00000000" w:rsidRDefault="00000000">
      <w:pPr>
        <w:pStyle w:val="BodyText"/>
      </w:pPr>
      <w:r>
        <w:t>284.</w:t>
      </w:r>
      <w:r>
        <w:tab/>
        <w:t xml:space="preserve">Рамочная программа по обеспечению равноправия и многообразия в государственной службе АСТ служит фундаментом для других учреждений, разрабатывающих стратегии и планы в целях активного создания в будущем равных возможностей в области занятости. В Рамочной программе предусматриваются меры по предупреждению дискриминации в отношении женщин в связи с вступлением в брак и материнством и обеспечивается соблюдение их права на труд. В Рамочной программе также содержатся положения местного, национального законодательства и международных правовых документов; с ней можно ознакомиться на сайте </w:t>
      </w:r>
      <w:r>
        <w:rPr>
          <w:u w:val="single"/>
        </w:rPr>
        <w:t>www.psm.act.gov.au/psmg/corpstrat.htm</w:t>
      </w:r>
      <w:r>
        <w:t>.</w:t>
      </w:r>
    </w:p>
    <w:p w:rsidR="00000000" w:rsidRDefault="00000000">
      <w:pPr>
        <w:pStyle w:val="BodyText"/>
      </w:pPr>
      <w:r>
        <w:t>285.</w:t>
      </w:r>
      <w:r>
        <w:tab/>
        <w:t>Политика, способствующая совмещению семейных и производственных обязанностей (2001 года), служит общей основой для усилий всех правительственных учреждений по содействию совмещению семейных и производственных обязанностей в государственном секторе. Эта политика опирается на колоссальные усилия, предпринятые в рамках гражданской службы АСТ, по созданию гибких и благоприятных условий работы для трудящихся, включая: персональный отпуск, который может быть использован для целей ухода за детьми; оплачиваемый отпуск по беременности и родам; гибкий график работы (включая официально утвержденные гибкие графики); отпуск по уходу за детьми, предоставляемый как биологическим, так и приемным родителям; возможность работы неполный рабочий день и работы по совместительству; и возможность надомной работы. Отдельные правительственные учреждения занимаются разработкой собственных планов, способствующих совмещению профессиональных и семейных обязанностей.</w:t>
      </w:r>
    </w:p>
    <w:p w:rsidR="00000000" w:rsidRDefault="00000000">
      <w:pPr>
        <w:pStyle w:val="Heading2"/>
        <w:spacing w:before="120"/>
      </w:pPr>
      <w:bookmarkStart w:id="432" w:name="_Toc70142827"/>
      <w:bookmarkStart w:id="433" w:name="_Toc70142998"/>
      <w:bookmarkStart w:id="434" w:name="_Toc70228725"/>
      <w:bookmarkStart w:id="435" w:name="_Toc70229126"/>
      <w:bookmarkStart w:id="436" w:name="_Toc70235392"/>
      <w:r>
        <w:t>Новый Южный Уэльс</w:t>
      </w:r>
      <w:bookmarkEnd w:id="432"/>
      <w:bookmarkEnd w:id="433"/>
      <w:bookmarkEnd w:id="434"/>
      <w:bookmarkEnd w:id="435"/>
      <w:bookmarkEnd w:id="436"/>
    </w:p>
    <w:p w:rsidR="00000000" w:rsidRDefault="00000000">
      <w:pPr>
        <w:pStyle w:val="BodyText"/>
      </w:pPr>
      <w:r>
        <w:t>286.</w:t>
      </w:r>
      <w:r>
        <w:tab/>
        <w:t>План действий в интересах женщин направлен на максимальный учет интересов женщин в процессе реализации макроэкономических реформ, в том числе применения принципов и методов гендерного анализа в отношении социальных программ и политики, осуществляемых государственными предприятиями в сфере торговли. В июне 2000 года Комиссия по производственным отношениям Нового Южного Уэльса утвердила новый принцип, касающийся обеспечения равного вознаграждения и других условий, который дает профсоюзам возможность бороться за пересмотр ставок оплаты труда в том случае, если, по его мнению, эти ставки были занижены по соображениям гендерного характера.</w:t>
      </w:r>
    </w:p>
    <w:p w:rsidR="00000000" w:rsidRDefault="00000000">
      <w:pPr>
        <w:pStyle w:val="BodyText"/>
        <w:spacing w:after="120"/>
      </w:pPr>
      <w:r>
        <w:t>287.</w:t>
      </w:r>
      <w:r>
        <w:tab/>
        <w:t>Были выделены многочисленные удачные мероприятия, способствующие эффективному совмещению семейных и производственных обязанностей, включая Стратегию в области совмещения семейных и производственных обязанностей – работающие семьи, благоприятные перспективы (1997, 1998, 1999 годы). Департамент по делам женщин активно сотрудничал с Бюро по обеспечению равноправия женщин, действующим при Департаменте по производственным отношениям, в проведении обзора и изменении направленности Стратегии в области совмещения семейных и производственных обязанностей. Новый вариант Стратегии был опубликован в 2001 году.</w:t>
      </w:r>
    </w:p>
    <w:p w:rsidR="00000000" w:rsidRDefault="00000000">
      <w:pPr>
        <w:pStyle w:val="BodyText"/>
        <w:spacing w:after="120"/>
      </w:pPr>
      <w:r>
        <w:t>288.</w:t>
      </w:r>
      <w:r>
        <w:tab/>
        <w:t>Ведется работа над подготовкой Стратегии создания рабочих мест для женщин. Стратегия включает: справочную информацию о тенденциях и проблемах в области женской занятости; обзор подхода и деятельности правительства по созданию рабочих мест для женщин (на основе политики, проводимой правительством в области занятости, и информации, собранной в процессе аудиторской проверки принятых правительством мер в интересах женщин); инициативы Департамента по делам женщин, осуществляемые по всей территории штата, направленные на создание рабочих мест для женщин (включая региональное развитие и создание малых предприятий); и инициативы в области информационных технологий (для предпринимателей, молодых женщин и общинного сектора).</w:t>
      </w:r>
    </w:p>
    <w:p w:rsidR="00000000" w:rsidRDefault="00000000">
      <w:pPr>
        <w:pStyle w:val="BodyText"/>
      </w:pPr>
      <w:r>
        <w:t>289.</w:t>
      </w:r>
      <w:r>
        <w:tab/>
        <w:t>Были выделены финансовые средства на осуществление проекта в отношении вьетнамских надомных работников, занимающихся пошивом одежды, по созданию сетей и повышению осведомленности трудящихся о своих правах в области занятости. Ведется работа над подготовкой Стратегии в отношении надомных работников, занимающихся пошивом одежды. Некоторыми основными новыми мерами, принимаемыми правительством в связи с эксплуатацией работников, занимающихся пошивом одежды, о которых было объявлено в 2001 году, являются: обеспечение того, чтобы предприятия розничной торговли и производители в течение ближайшего года подписали соответствующие отраслевые кодексы поведения; создание Совета по этическим вопросам для отраслей по пошиву одежды в целях выработки рекомендаций в отношении дополнительных видов деятельности, которые должны регулироваться нормативным кодексом, и обеспечение публичной отчетности о его соблюдении; принятие законодательства, обеспечивающего возможность получения надомными работниками вознаграждения, не выплаченного поставщиками, участвующими в цепочке по пошиву одежды; ужесточение положений Закона 1996 года о производственных отношениях, обеспечивающее надомным работникам как трудящимся дополнительную защиту; и подготовка и переподготовка надомных работников для расширения их доступа к другим возможностям в сфере занятости.</w:t>
      </w:r>
    </w:p>
    <w:p w:rsidR="00000000" w:rsidRDefault="00000000">
      <w:pPr>
        <w:pStyle w:val="Heading2"/>
        <w:spacing w:before="120"/>
      </w:pPr>
      <w:bookmarkStart w:id="437" w:name="_Toc70142828"/>
      <w:bookmarkStart w:id="438" w:name="_Toc70142999"/>
      <w:bookmarkStart w:id="439" w:name="_Toc70228726"/>
      <w:bookmarkStart w:id="440" w:name="_Toc70229127"/>
      <w:bookmarkStart w:id="441" w:name="_Toc70235393"/>
      <w:r>
        <w:t>Северная территория</w:t>
      </w:r>
      <w:bookmarkEnd w:id="437"/>
      <w:bookmarkEnd w:id="438"/>
      <w:bookmarkEnd w:id="439"/>
      <w:bookmarkEnd w:id="440"/>
      <w:bookmarkEnd w:id="441"/>
    </w:p>
    <w:p w:rsidR="00000000" w:rsidRDefault="00000000">
      <w:pPr>
        <w:pStyle w:val="BodyText"/>
      </w:pPr>
      <w:r>
        <w:t>290.</w:t>
      </w:r>
      <w:r>
        <w:tab/>
        <w:t>Правительство оказывает активную поддержку женщинам, которые хотят найти работу и удержаться на рынке труда. Профессиональная подготовка и обучение трудящихся как с отрывом, так и без отрыва от производства обеспечиваются с помощью целого ряда программ и стимулов. Новой тенденцией, характерной для программ последующего обучения, является увеличение числа женщин в областях, в которых прежде преобладали мужчины. Так, например, из 16 выпускников курсов последующего обучения, которые в настоящее время работают в Департаменте по вопросам инфраструктуры, планирования и охраны окружающей среды, 9 являются женщинами, которые специализируются в таких областях, как естественные науки, архитектура и гражданское строительство.</w:t>
      </w:r>
    </w:p>
    <w:p w:rsidR="00000000" w:rsidRDefault="00000000">
      <w:pPr>
        <w:pStyle w:val="BodyText"/>
      </w:pPr>
      <w:r>
        <w:t>291.</w:t>
      </w:r>
      <w:r>
        <w:tab/>
        <w:t>В качестве работодателя правительство прилагает все усилия для того, чтобы повысить способность работников осуществлять производственные функции, совмещая их с выполнением семейных и общественных обязанностей. В 2003 году примерно 730 работников государственного сектора (что составляет приблизительно 6 процентов от общей численности постоянной рабочей силы) работали по гибкому графику, причем большинство из них составляли женщины. Гибкие условия труда включали работу неполный рабочий день, надомный труд, частную занятость и работу по совместительству. В некоторых учреждениях были образованы внутренние комитеты по делам женщин, которые выступали в роли консультантов для старших руководящих сотрудников, обеспечивая при этом, чтобы вопросы положения трудящихся женщин учитывались в должной мере. В рамках всего государственного сектора Австралии положения законодательства Северной территории, касающиеся порядка предоставления женщинам – государственным служащим отпуска по беременности и родам, являются одними из самых действенных. Условия для предоставления этого отпуска одинаковы для всех женщин, работающих в государственном секторе, и предусматривают право на получение оплачиваемого отпуска в течение 12 недель, после которого можно взять дополнительный отпуск на 12 месяцев или 6 лет.</w:t>
      </w:r>
    </w:p>
    <w:p w:rsidR="00000000" w:rsidRDefault="00000000">
      <w:pPr>
        <w:pStyle w:val="BodyText"/>
      </w:pPr>
      <w:r>
        <w:t>292.</w:t>
      </w:r>
      <w:r>
        <w:tab/>
        <w:t>Признавая, что доступ к недорогостоящим и высококачественным услугам по уходу за детьми имеет большое значение для трудящихся женщин, правительство увеличило размер еженедельной субсидии по уходу за детьми на 7,50 долларов из расчета на каждого ребенка. В результате этого шага размер пособия по уходу за ребенком старше двух лет в настоящее время составляет 20,20 долларов, а за ребенком младше 2 лет – 27,37 долларов на каждого ребенка.</w:t>
      </w:r>
    </w:p>
    <w:p w:rsidR="00000000" w:rsidRDefault="00000000">
      <w:pPr>
        <w:pStyle w:val="Heading2"/>
        <w:spacing w:before="120"/>
      </w:pPr>
      <w:bookmarkStart w:id="442" w:name="_Toc70142829"/>
      <w:bookmarkStart w:id="443" w:name="_Toc70143000"/>
      <w:bookmarkStart w:id="444" w:name="_Toc70228727"/>
      <w:bookmarkStart w:id="445" w:name="_Toc70229128"/>
      <w:bookmarkStart w:id="446" w:name="_Toc70235394"/>
      <w:r>
        <w:t>Квинсленд</w:t>
      </w:r>
      <w:bookmarkEnd w:id="442"/>
      <w:bookmarkEnd w:id="443"/>
      <w:bookmarkEnd w:id="444"/>
      <w:bookmarkEnd w:id="445"/>
      <w:bookmarkEnd w:id="446"/>
    </w:p>
    <w:p w:rsidR="00000000" w:rsidRDefault="00000000">
      <w:pPr>
        <w:pStyle w:val="BodyText"/>
      </w:pPr>
      <w:r>
        <w:t>293.</w:t>
      </w:r>
      <w:r>
        <w:tab/>
        <w:t>В целях содействия обеспечению женской занятости был принят целый ряд мер. В 1996 году был утвержден порядок предоставления оплачиваемого отпуска по беременности и родам продолжительностью 6 недель для женщин, работающих в государственном секторе штата Квинсленд. С 1996 года в штате действует Служба по делам трудящихся женщин, которая оказывает справочно-информационные услуги женщинам по вопросам, касающимся трудовой деятельности, таким как оплата труда и условия труда, пенсии по выслуге лет, занятость и профессиональная подготовка, услуги по уходу за детьми, сексуальные домогательства и дискриминация на рабочем месте и содействие возвращению в состав рабочей силы.</w:t>
      </w:r>
    </w:p>
    <w:p w:rsidR="00000000" w:rsidRDefault="00000000">
      <w:pPr>
        <w:pStyle w:val="BodyText"/>
      </w:pPr>
      <w:r>
        <w:t>294.</w:t>
      </w:r>
      <w:r>
        <w:tab/>
        <w:t>Стратегический план по уходу за детьми на 2000–2005 годы представляет собой общую правительственную стратегию, определяющую перспективы, приоритеты и направления деятельности в области ухода за детьми. Стратегия создания центров по уходу за детьми является одним из элементов Стратегического плана, направленным на удовлетворение конкретных потребностей родителей в расширении доступа к соответствующим услугам. Эти центры занимаются уходом за детьми и новорожденными и могут также предоставлять услуги по оказанию поддержки семьям и родителям в воспитании детей, по охране здоровья детей и проведению общинных мероприятий, а также услуги в области образования.</w:t>
      </w:r>
    </w:p>
    <w:p w:rsidR="00000000" w:rsidRDefault="00000000">
      <w:pPr>
        <w:pStyle w:val="BodyText"/>
      </w:pPr>
      <w:r>
        <w:t>295.</w:t>
      </w:r>
      <w:r>
        <w:tab/>
        <w:t>В июле 2001 года в рамках Департамента по производственным отношениям была образована Группа по вопросам трудовой деятельности и семьи. Эта Группа отвечает за создание на предприятиях штата Квинсленд условий, позволяющих совмещать производственные и семейные обязанности. В ноябре 2001 года была учреждена Министерская целевая группа по вопросам женщин и семьи, которой было поручено провести обзор законодательства штата Квинсленд и федерального законодательства; изучить содержание и рекомендации соответствующих докладов, документов и обследований; и разработать план действий в интересах семьи. Целевая группа опубликовала документ по этому вопросу, провела консультации с заинтересованными сторонами и вскоре представит министру доклад, посвященный плану действий в интересах семьи в штате Квинсленд. Между правительством и Университетом штата Квинсленд было подписано трехлетнее соглашение о партнерстве в осуществлении пилотной программы по оценке инициатив по созданию условий, позволяющих совмещать производственные и семейные обязанности. В штате ежегодно проводится конкурс под названием "Производственная деятельность и семья", по итогам которого работодателям, создавшим наилучшие условия для совмещения семейных и производственных обязанностей, присуждаются премии.</w:t>
      </w:r>
    </w:p>
    <w:p w:rsidR="00000000" w:rsidRDefault="00000000">
      <w:pPr>
        <w:pStyle w:val="BodyText"/>
      </w:pPr>
      <w:r>
        <w:t>296.</w:t>
      </w:r>
      <w:r>
        <w:tab/>
        <w:t>Правительство приняло пакет мер в отношении совмещения производственных и семейных обязанностей, предоставив временным работникам возможность получать неоплачиваемый отпуск по уходу за ребенком или другими членами семьи или в связи со смертью члена семьи. Эта инициатива будет способствовать недопущению дискриминации в отношении временных работников в связи с выполнением ими своих семейных обязанностей.</w:t>
      </w:r>
    </w:p>
    <w:p w:rsidR="00000000" w:rsidRDefault="00000000">
      <w:pPr>
        <w:pStyle w:val="BodyText"/>
      </w:pPr>
      <w:r>
        <w:t>297.</w:t>
      </w:r>
      <w:r>
        <w:tab/>
        <w:t>В июне 2001 года была создана Целевая группа по вопросам насилия на рабочем месте, которой было поручено разработать стратегии по предотвращению такого насилия. Целевая группа проводит конференции по всей территории штата и принимает устные и письменные заявления от физических лиц, государственных и частных организаций. В апреле 2002 года правительству был представлен доклад под названием "Создание рабочих мест на основе безопасности и справедливости: стратегии, направленные на решение проблемы насилия на рабочем месте в штате Квинсленд".</w:t>
      </w:r>
    </w:p>
    <w:p w:rsidR="00000000" w:rsidRDefault="00000000">
      <w:pPr>
        <w:pStyle w:val="BodyText"/>
      </w:pPr>
      <w:r>
        <w:t>298.</w:t>
      </w:r>
      <w:r>
        <w:tab/>
        <w:t>В докладе, подготовленном в 2001 году Комиссией по производственным отношениям штата Квинсленд под названием "Доклад о результатах применения принципа равной оплаты за труд равной ценности" содержатся рекомендации, включая поправки к Закону 1999 года о производственных отношениях, и предлагаемый вниманию правительства проект принципов, касающихся равной оплаты за труд равной ценности. Все содержащиеся в этом докладе рекомендации были одобрены и вступили в силу с 1 мая 2002 года. Рекомендации включали: обеспечить в договорах о вознаграждении, а также в коллективных и индивидуальных трудовых соглашениях принцип равной оплаты за труд мужчин и женщин равной или сопоставимой ценности; для целей равной оплаты труда обеспечить смысловое соответствие термина "вознаграждение" термину, используемому в Конвенции Международной организации труда (МОТ) (который включает ставки оплаты труда и другие виды вознаграждения, выплачиваемые работнику); обеспечить, чтобы не реже одного раза в год Комиссия в полном составе выносила общее решение в отношении минимального размера заработной платы для всех трудящихся штата Квинсленд (в том числе для неохваченных каким-либо производственным соглашением).</w:t>
      </w:r>
    </w:p>
    <w:p w:rsidR="00000000" w:rsidRDefault="00000000">
      <w:pPr>
        <w:pStyle w:val="BodyText"/>
      </w:pPr>
      <w:r>
        <w:t>299.</w:t>
      </w:r>
      <w:r>
        <w:tab/>
        <w:t>С согласия всех сторон Совет профсоюзов штата Квинсленд призвал утвердить принцип равной оплаты за труд равной ценности, как это было предложено в одобренном Комиссией по производственным отношениям штата Квинсленд 29 апреля 2002 года докладе о результатах применения этого принципа. Ожидается, что вскоре будет выработана процедура подачи исков в связи с нарушением принципа равной оплаты за труд равной ценности. Первый из двух исков, с которыми выступит Совет профсоюзов штата Квинсленд, будет возбужден от имени медицинских работников, ассистирующих зубным врачам, а второй – от имени библиотечных работников.</w:t>
      </w:r>
    </w:p>
    <w:p w:rsidR="00000000" w:rsidRDefault="00000000">
      <w:pPr>
        <w:pStyle w:val="BodyText"/>
      </w:pPr>
      <w:r>
        <w:t>300.</w:t>
      </w:r>
      <w:r>
        <w:tab/>
        <w:t>В 2000 году был принят Кодекс поведения по вопросам производственных и непроизводственных обязанностей, обеспечивающий защиту от эксплуатации надомных работников, занятых в текстильной и обувной промышленности. Государственным учреждениям предлагается принять меры для того, чтобы их поставщики соблюдали трудовое законодательство, в связи с чем поставщики должны привести в соответствие с этим Кодексом свои внутренние положения и правила.</w:t>
      </w:r>
    </w:p>
    <w:p w:rsidR="00000000" w:rsidRDefault="00000000">
      <w:pPr>
        <w:pStyle w:val="BodyText"/>
      </w:pPr>
      <w:r>
        <w:t>301.</w:t>
      </w:r>
      <w:r>
        <w:tab/>
        <w:t>С 1996 года в рамках инициативы под названием "Разорвем порочный круг безработицы" осуществлялись программы, направленные на оказание помощи лицам, желающим вернуться на рынок труда или получить доступ к более организованной профессиональной подготовке или дальнейшему образованию. Целевые группы включают женщин, проживающих в изолированных в географическом плане районах, женщин из числа коренного населения или этнических групп, женщин из сельских районов и женщин с особыми потребностями. К числу указанных программ относятся: План создания рабочих мест в общинах; Программа содействия занятости в общинах; Программа "Возвращаемся на работу"; Программа "Готовимся к работе"; и Программа "Опыт полезен". Программа под названием "Создание более широких возможностей для женщин" направлена на расширение понимания учащимися-женщинами, родителями, преподавателями и работодателями возможностей, вариантов и перспектив, связанных с ПТО. В контексте данной программы среди работодателей распространяется информация о выгодах, связанных с использованием женщин в нетрадиционных для них областях трудовой деятельности. В рамках стратегии под названием "Развитие навыков ИКТ в развитом штате" осуществляются программы, направленные на решение проблемы недостаточной представленности женщин в секторе информационных технологий.</w:t>
      </w:r>
    </w:p>
    <w:p w:rsidR="00000000" w:rsidRDefault="00000000">
      <w:pPr>
        <w:pStyle w:val="Heading2"/>
      </w:pPr>
      <w:bookmarkStart w:id="447" w:name="_Toc70142830"/>
      <w:bookmarkStart w:id="448" w:name="_Toc70143001"/>
      <w:bookmarkStart w:id="449" w:name="_Toc70228728"/>
      <w:bookmarkStart w:id="450" w:name="_Toc70229129"/>
      <w:bookmarkStart w:id="451" w:name="_Toc70235395"/>
      <w:r>
        <w:t>Южная Австралия</w:t>
      </w:r>
      <w:bookmarkEnd w:id="447"/>
      <w:bookmarkEnd w:id="448"/>
      <w:bookmarkEnd w:id="449"/>
      <w:bookmarkEnd w:id="450"/>
      <w:bookmarkEnd w:id="451"/>
    </w:p>
    <w:p w:rsidR="00000000" w:rsidRDefault="00000000">
      <w:pPr>
        <w:pStyle w:val="BodyText"/>
      </w:pPr>
      <w:r>
        <w:t>302.</w:t>
      </w:r>
      <w:r>
        <w:tab/>
        <w:t>Согласно Закону 1995 года об управлении в государственном секторе государственные учреждения должны обеспечивать своим работникам равные возможности в плане продвижения по службе. С июня 1985 года доля женщин, работающих в государственном секторе штата Южная Австралия, неуклонно увеличивалась. По состоянию на июнь 2000 года женщины составляли 62,1 процента от общего числа работников государственного сектора. Представленность женщин существенно различается в зависимости от видов выполняемой работы и по-прежнему отражает традиционные модели занятости мужчин и женщин. Были разработаны программы, конкретно призванные расширить возможности женщин в сфере занятости в нетрадиционных профессиональных областях, их участие в процессе развития и обучения навыкам руководящей работы.</w:t>
      </w:r>
    </w:p>
    <w:p w:rsidR="00000000" w:rsidRDefault="00000000">
      <w:pPr>
        <w:pStyle w:val="BodyText"/>
      </w:pPr>
      <w:r>
        <w:t>303.</w:t>
      </w:r>
      <w:r>
        <w:tab/>
        <w:t>Специальный уполномоченный по вопросам занятости в государственном секторе утвердил Рамочную программу по вопросам стратегического управления людскими ресурсами, в которой содержатся руководящие указания для государственных учреждений в отношении политики и практики в области управления людскими ресурсами, которых следует придерживаться. Рамочная программа отражает долгосрочные требования, касающиеся обеспечения равноправия и равных возможностей, и признает одним из главных достоинств государственного сектора присущее ему многообразие. Правительство одобрило подход под названием Управление в условиях многообразия, который требует от всех государственных учреждений обеспечить признание многообразия и содействие его сохранению. Кроме того, Специальный уполномоченный выступил с инициативой "Работа с людьми – дело серьезное: управление в условиях многообразия в рамках государственного сектора штата Южная Австралия", ориентированной на работников административного и старшего руководящего звена. В целях содействия осуществлению данной инициативы разработаны такие модули, как "Совмещение производственных и семейных обязанностей" и "Введение гибкого графика работы".</w:t>
      </w:r>
    </w:p>
    <w:p w:rsidR="00000000" w:rsidRDefault="00000000">
      <w:pPr>
        <w:pStyle w:val="BodyText"/>
      </w:pPr>
      <w:r>
        <w:t>304.</w:t>
      </w:r>
      <w:r>
        <w:tab/>
        <w:t>В настоящее время проводится пересмотр условий занятости работников государственного сектора, для того чтобы дать им возможность эффективнее совмещать свои производственные и семейные обязанности. В настоящее время в рамках трудовых соглашений трудящиеся имеют возможность получать отпуск по болезни для ухода за членами семьи. Специальный уполномоченный проводит пересмотр других положений, касающихся права на отпуск, с тем чтобы оказать трудящимся помощь в удовлетворении их личных потребностей и выполнении их обязанностей. Теперь в трудовых соглашениях предусматривается предоставление двухнедельного оплачиваемого отпуска по беременности и родам в дополнение к традиционному неоплачиваемому отпуску по уходу за детьми продолжительностью 52 недели.</w:t>
      </w:r>
    </w:p>
    <w:p w:rsidR="00000000" w:rsidRDefault="00000000">
      <w:pPr>
        <w:pStyle w:val="BodyText"/>
      </w:pPr>
      <w:r>
        <w:t>305.</w:t>
      </w:r>
      <w:r>
        <w:tab/>
        <w:t>Специальный уполномоченный издал постановление о Добровольном механизме введения гибкого графика работы, требующее от государственных учреждений создания гибких условий работы, которые могут включать отпуск за свой счет, скользящий график работы, сокращенную рабочую неделю, занятость в течение неполного рабочего дня и работу по совместительству, а также надомную работу. Эти механизмы призваны способствовать большему учету интересов семьи в государственном секторе.</w:t>
      </w:r>
    </w:p>
    <w:p w:rsidR="00000000" w:rsidRDefault="00000000">
      <w:pPr>
        <w:pStyle w:val="BodyText"/>
      </w:pPr>
      <w:r>
        <w:t>306.</w:t>
      </w:r>
      <w:r>
        <w:tab/>
        <w:t>Содействие практики совмещения семейных и производственных обязанностей осуществляется с помощью разнообразных мер, направленных на повышение осведомленности о выгодах такого совмещения для производства. В 2000 году была переиздана брошюра под названием "Совмещение семейных и производственных обязанностей", которая получила самое широкое распространение. Неуклонно увеличивается количество трудовых соглашений, включающих положения, учитывающие интересы семьи. В рамках программы под названием "Работа и семья" оказывается содействие в совмещении семейных и производственных обязанностей работникам транспорта штата Южная Австралия. Инициативы в этой области включают создание гибкого графика работы, позволяющего работникам совмещать производственную деятельность с выполнением своих семейных обязанностей, утверждение программы предоставления отпусков для ухода за детьми и создание информационной службы для работников, чьи семьи нуждаются в поддержке.</w:t>
      </w:r>
    </w:p>
    <w:p w:rsidR="00000000" w:rsidRDefault="00000000">
      <w:pPr>
        <w:pStyle w:val="BodyText"/>
      </w:pPr>
      <w:r>
        <w:t>307.</w:t>
      </w:r>
      <w:r>
        <w:tab/>
        <w:t>В 1995 году Августа Задоу стала первой женщиной, назначенной инспектором производственных предприятий в штате Южная Австралия. Она сыграла важную роль в улучшении условий труда для работников производственных предприятий, в частности женщин и несовершеннолетних. В знак признания ее выдающихся начинаний была учреждена премия, которая официально присуждается за вклад в решение проблем в области охраны здоровья на производстве и производственной безопасности. Специальная премия присуждается за деятельность в интересах трудящихся женщин, способствовавшую очевидному улучшению ситуации в области охраны здоровья на производстве и производственной безопасности.</w:t>
      </w:r>
    </w:p>
    <w:p w:rsidR="00000000" w:rsidRDefault="00000000">
      <w:pPr>
        <w:pStyle w:val="BodyText"/>
      </w:pPr>
      <w:r>
        <w:t>308.</w:t>
      </w:r>
      <w:r>
        <w:tab/>
        <w:t>Корпорация "УоркКавер" прилагает активные усилия для обеспечения доступности своих услуг и их предоставления всем жителям штата Южная Австралия на равной основе. Корпорация осуществляет программу под названием "Доступ и равноправие", которая ориентирована на женщин, лиц из различной культурной и языковой среды, инвалидов и коренное население. Сотрудники корпорации регулярно встречаются с членами основных организаций, представляющих интересы указанных четырех целевых групп. Интересы этих фокус-групп представляют 40 различных организаций, являющихся консультационными механизмами для совместной работы с каждым из секторов.</w:t>
      </w:r>
    </w:p>
    <w:p w:rsidR="00000000" w:rsidRDefault="00000000">
      <w:pPr>
        <w:pStyle w:val="BodyText"/>
      </w:pPr>
      <w:r>
        <w:t>309.</w:t>
      </w:r>
      <w:r>
        <w:tab/>
        <w:t>В состав фокус-группы для женского сектора входят представители Управления по положению женщин, Центра трудящихся женщин, Объединенного совета по вопросам труда и торговли, Союза предпринимателей штата Южная Австралия, Управления Специального представителя по вопросам занятости, Австралийского союза работников обрабатывающей промышленности и консультанты программы "Доступ и равноправие" корпорации "УоркКавер". В 1999 году группа организовала семинар-практикум в рамках Недели охраны здоровья на производстве и производственной безопасности. В качестве учебного пособия по вопросам охраны здоровья на производстве и производственной безопасности был подготовлен материал под названием "Притеснения и сексуальные домогательства на рабочем месте". Этот семинар-практикум стал форумом для обмена информацией по вопросам, касающимся женщин и охраны здоровья на производстве, производственной безопасности и предотвращения производственного травматизма. В 2000 году группа организовала Форум для сторонников по вопросам, касающимся притеснений и сексуальных домогательств на рабочем месте.</w:t>
      </w:r>
    </w:p>
    <w:p w:rsidR="00000000" w:rsidRDefault="00000000">
      <w:pPr>
        <w:pStyle w:val="BodyText"/>
      </w:pPr>
      <w:r>
        <w:t>310.</w:t>
      </w:r>
      <w:r>
        <w:tab/>
        <w:t>Центр трудящихся женщин получил грант на осуществление пилотного проекта, касающегося консультирования работодателей и работы в трудовых коллективах. Этот проект нацелен на разработку, осуществление и оценку политики, процедур и производственных систем, направленных на решение проблемы притеснений и сексуальных домогательств на рабочем месте.</w:t>
      </w:r>
    </w:p>
    <w:p w:rsidR="00000000" w:rsidRDefault="00000000">
      <w:pPr>
        <w:pStyle w:val="BodyText"/>
      </w:pPr>
      <w:r>
        <w:t>311.</w:t>
      </w:r>
      <w:r>
        <w:tab/>
        <w:t>Программа "Женщины в промышленности" осуществляется в рамках сетевой деятельности, ориентированной на женщин, которые в настоящее время работают в обрабатывающей промышленности. Участники этой сетевой деятельности выступают в школах перед молодыми женщинами и пропагандируют работу на предприятиях обрабатывающей промышленности.</w:t>
      </w:r>
    </w:p>
    <w:p w:rsidR="00000000" w:rsidRDefault="00000000">
      <w:pPr>
        <w:pStyle w:val="BodyText"/>
      </w:pPr>
      <w:r>
        <w:t>312.</w:t>
      </w:r>
      <w:r>
        <w:tab/>
        <w:t>В июне 2001 года Департамент по вопросам промышленности и торговли в сотрудничестве с Азиатско-тихоокеанским советом по вопросам женского предпринимательства, Инк. провел семинар по теме "Электронная торговля для женщин-предпринимателей". На семинаре была представлена информация о трансформации предпринимательской деятельности с использованием новых технологий и возможностях создания сетей для женщин-предпринимателей. Одна подобная сеть была создана для содействия участию женщин в курсах подготовки по вопросам мелкого предпринимательства.</w:t>
      </w:r>
    </w:p>
    <w:p w:rsidR="00000000" w:rsidRDefault="00000000">
      <w:pPr>
        <w:pStyle w:val="BodyText"/>
      </w:pPr>
      <w:r>
        <w:t>313.</w:t>
      </w:r>
      <w:r>
        <w:tab/>
        <w:t>Был подготовлен ряд справочных материалов по вопросам финансирования, получения пенсий по выслуге лет и составления бюджета. Некоторые из этих материалов предназначались конкретно для женщин, включая "Предоставление компенсации женщинам в связи с потерей кормильца" и "Финансовые вопросы, которые следует учитывать при разрыве отношений". В 1999 году был опубликован доклад под названием "Нечто большее, чем карманные деньги: вопросы финансовой независимости женщин".</w:t>
      </w:r>
    </w:p>
    <w:p w:rsidR="00000000" w:rsidRDefault="00000000">
      <w:pPr>
        <w:pStyle w:val="BodyText"/>
      </w:pPr>
      <w:r>
        <w:t>314.</w:t>
      </w:r>
      <w:r>
        <w:tab/>
        <w:t>Центр трудящихся женщин предоставляет бесплатные и конфиденциальные услуги женщинам, которые сталкиваются с трудностями на производстве, связанными с увольнением, сокращением штатов, сексуальными домогательствами, неравенством при приеме на работу и в оплате труда работников. Недавно Центр опубликовал всеобъемлющий доклад по вопросам притеснений и сексуальных домогательств на рабочем месте.</w:t>
      </w:r>
    </w:p>
    <w:p w:rsidR="00000000" w:rsidRDefault="00000000">
      <w:pPr>
        <w:pStyle w:val="Heading2"/>
      </w:pPr>
      <w:bookmarkStart w:id="452" w:name="_Toc70142831"/>
      <w:bookmarkStart w:id="453" w:name="_Toc70143002"/>
      <w:bookmarkStart w:id="454" w:name="_Toc70228729"/>
      <w:bookmarkStart w:id="455" w:name="_Toc70229130"/>
      <w:bookmarkStart w:id="456" w:name="_Toc70235396"/>
      <w:r>
        <w:t>Тасмания</w:t>
      </w:r>
      <w:bookmarkEnd w:id="452"/>
      <w:bookmarkEnd w:id="453"/>
      <w:bookmarkEnd w:id="454"/>
      <w:bookmarkEnd w:id="455"/>
      <w:bookmarkEnd w:id="456"/>
    </w:p>
    <w:p w:rsidR="00000000" w:rsidRDefault="00000000">
      <w:pPr>
        <w:pStyle w:val="BodyText"/>
      </w:pPr>
      <w:r>
        <w:t>315.</w:t>
      </w:r>
      <w:r>
        <w:tab/>
        <w:t>В рамках крупного проекта консультационных услуг на 1995–1996 годы Консультативный совет по делам женщин штата Тасмания опубликовал доклад под названием "Женщины в малом бизнесе – перспективы штата Тасмания в 1996 году". Совет провел консультации с женщинами – владельцами малых предприятий в штате Тасмания в целях сбора данных о количестве и типах предприятий, открытых женщинами в штате Тасмания; о вопросах и проблемах, с которыми женщины сталкиваются в процессе управления малыми предприятиями; и о факторах, обеспечивающих успешную работу малых предприятий. В докладе содержалась рекомендация правительству содействовать созданию местных сетей для женщин, занимающихся мелким предпринимательством. Позднее, в 1997 году, была организована сеть "Самозанятые женщины". К концу 1997 года было создано 14 групп, объединяющих около 2000 женщин-предпринимателей повсюду в штате.</w:t>
      </w:r>
    </w:p>
    <w:p w:rsidR="00000000" w:rsidRDefault="00000000">
      <w:pPr>
        <w:pStyle w:val="BodyText"/>
      </w:pPr>
      <w:r>
        <w:t>316.</w:t>
      </w:r>
      <w:r>
        <w:tab/>
        <w:t>Была разработана программа для женщин, управляющих малыми предприятиями или работающими на руководящих должностях в малых предприятиях. Программа предусматривает: оказание консультационных услуг женщинам-предпринимателям; создание моделей деятельности в малом бизнесе, которым могли бы следовать женщины-предприниматели; оказание гибких и доступных услуг для поддержки женщин-предпринимателей в сельских районах; обеспечение доступа к профессиональной подготовке по финансовым вопросам и вопросам управления в предпринимательстве; поддержка и поощрение создания женских сетей; оказание поддержки на стадии становления предприятий; и обеспечение доступа к профессиональной подготовке по вопросам управления предпринимательской деятельностью для женщин, управляющих малыми предприятиями или работающих на руководящих должностях в малых предприятиях. Эта программа отражает содержащиеся в докладе "Женщины в малом бизнесе" рекомендации относительно неактивного использования правительственной помощи женщинами в сфере малого бизнеса и необходимости координации услуг по оказанию помощи в вопросах предпринимательства, а также упрощения доступа владельцев/руководителей малых предприятий к услугам в сфере малого бизнеса.</w:t>
      </w:r>
    </w:p>
    <w:p w:rsidR="00000000" w:rsidRDefault="00000000">
      <w:pPr>
        <w:pStyle w:val="BodyText"/>
      </w:pPr>
      <w:r>
        <w:t>317.</w:t>
      </w:r>
      <w:r>
        <w:tab/>
        <w:t>Центр трудящихся женщин оказывает помощь женщинам штата Тасмания, как ищущим работу, так и уже имеющим ее. Центр занимается рядом конкретных проблем, а именно: заключением коллективных трудовых соглашений, гарантией занятости, правами и обязанностями на производстве, гибкими условиями труда, дискриминацией в сфере занятости, участием в рабочей силе и восстановлением на рынке труда после перерыва, уходом за детьми, пенсиями по выслуге лет и самозанятостью.</w:t>
      </w:r>
    </w:p>
    <w:p w:rsidR="00000000" w:rsidRDefault="00000000">
      <w:pPr>
        <w:pStyle w:val="Heading2"/>
      </w:pPr>
      <w:bookmarkStart w:id="457" w:name="_Toc70142832"/>
      <w:bookmarkStart w:id="458" w:name="_Toc70143003"/>
      <w:bookmarkStart w:id="459" w:name="_Toc70228730"/>
      <w:bookmarkStart w:id="460" w:name="_Toc70229131"/>
      <w:bookmarkStart w:id="461" w:name="_Toc70235397"/>
      <w:r>
        <w:t>Штат Виктория</w:t>
      </w:r>
      <w:bookmarkEnd w:id="457"/>
      <w:bookmarkEnd w:id="458"/>
      <w:bookmarkEnd w:id="459"/>
      <w:bookmarkEnd w:id="460"/>
      <w:bookmarkEnd w:id="461"/>
    </w:p>
    <w:p w:rsidR="00000000" w:rsidRDefault="00000000">
      <w:pPr>
        <w:pStyle w:val="BodyText"/>
      </w:pPr>
      <w:r>
        <w:t>318.</w:t>
      </w:r>
      <w:r>
        <w:tab/>
        <w:t>Правительство прилагает активные усилия в целях повышения экономической самостоятельности женщин во всех сферах жизни, в том числе содействует обеспечению равной оплаты за труд равной ценности и экономическому благополучию женщин после выхода на пенсию. Правительство будет содействовать получению женщинами достойных пенсий по старости в качестве одного из важных факторов экономической самостоятельности. Правительство также признает, что женщины вносят важный вклад и активно участвуют как в оплачиваемой, так и неоплачиваемой трудовой деятельности. В целях достижения широкого признания и высокой оценки вклада женщин будет осуществлен проект, касающийся вклада женщин в жизнь общества и экономику штата посредством их неоплачиваемой и добровольческой общинной деятельности.</w:t>
      </w:r>
    </w:p>
    <w:p w:rsidR="00000000" w:rsidRDefault="00000000">
      <w:pPr>
        <w:pStyle w:val="BodyText"/>
      </w:pPr>
      <w:r>
        <w:t>319.</w:t>
      </w:r>
      <w:r>
        <w:tab/>
        <w:t>Законодательство по созданию равных возможностей, действующее в штате Виктория, обеспечивает защиту женщин от дискриминации на производстве, сексуальных домогательств на рабочем месте и дискриминации в области обеспечения товарами и услугами.</w:t>
      </w:r>
    </w:p>
    <w:p w:rsidR="00000000" w:rsidRDefault="00000000">
      <w:pPr>
        <w:pStyle w:val="BodyText"/>
      </w:pPr>
      <w:r>
        <w:t>320.</w:t>
      </w:r>
      <w:r>
        <w:tab/>
        <w:t xml:space="preserve">К числу инициатив, ориентированных на трудящихся женщин, относятся: создание при Департаменте развития штата и регионов Группы по вопросам политики в отношении женщин; Пилотная консультативная программа "Женщины в сфере предпринимательства"; Программа поддержки сельских женщин-предпринимателей;  и стратегия по развитию надомной предпринимательской деятельности. В октябре 2000 года был опубликован доклад под названием "Производственная деятельность и семья: предпринимательство или работа по дому". В этом докладе рассматриваются благоприятные для семьи виды политики и практики, осуществляемые в государственном и частном секторах производства, и вопросы, с которыми женщины (и мужчины) сталкиваются на рабочем месте, пытаясь получить доступ к семейным льготам, действующим в их соответствующих организациях. Этот доклад помещен на сайте Управления по вопросам политики в отношении женщин </w:t>
      </w:r>
      <w:r>
        <w:rPr>
          <w:u w:val="single"/>
        </w:rPr>
        <w:t>www.women.vic.gov.au</w:t>
      </w:r>
      <w:r>
        <w:t>.</w:t>
      </w:r>
    </w:p>
    <w:p w:rsidR="00000000" w:rsidRDefault="00000000">
      <w:pPr>
        <w:pStyle w:val="BodyText"/>
      </w:pPr>
      <w:r>
        <w:t>321.</w:t>
      </w:r>
      <w:r>
        <w:tab/>
        <w:t>В настоящее время Управление по вопросам политики в отношении женщин осуществляет проект по оказанию женщинам помощи в совмещении производственных, семейных и общественных обязанностей. Вопросы, касающиеся труда и семьи, находились в центре внимания третьего ежегодного Женского саммита штата Виктория, который состоялся в июле 2002 года.</w:t>
      </w:r>
    </w:p>
    <w:p w:rsidR="00000000" w:rsidRDefault="00000000">
      <w:pPr>
        <w:pStyle w:val="Heading2"/>
      </w:pPr>
      <w:bookmarkStart w:id="462" w:name="_Toc70142833"/>
      <w:bookmarkStart w:id="463" w:name="_Toc70143004"/>
      <w:bookmarkStart w:id="464" w:name="_Toc70228731"/>
      <w:bookmarkStart w:id="465" w:name="_Toc70229132"/>
      <w:bookmarkStart w:id="466" w:name="_Toc70235398"/>
      <w:r>
        <w:t>Западная Австралия</w:t>
      </w:r>
      <w:bookmarkEnd w:id="462"/>
      <w:bookmarkEnd w:id="463"/>
      <w:bookmarkEnd w:id="464"/>
      <w:bookmarkEnd w:id="465"/>
      <w:bookmarkEnd w:id="466"/>
    </w:p>
    <w:p w:rsidR="00000000" w:rsidRDefault="00000000">
      <w:pPr>
        <w:pStyle w:val="BodyText"/>
      </w:pPr>
      <w:r>
        <w:t>322.</w:t>
      </w:r>
      <w:r>
        <w:tab/>
        <w:t>В настоящее время правительство занимается устранением неравенства, с которым женщины сталкиваются в сфере оплаты труда и условий занятости. В рамках нового законодательства, регулирующего производственные отношения, которое недавно было представлено на рассмотрение парламента, упор делается не на индивидуальные, а на коллективные трудовые соглашения, обеспечивающие женщинам возможность заключать более благоприятные трудовые договоры. В этом законодательстве предусматривается новый принцип, касающийся "равной оплаты труда мужчин и женщин за труд равной ценности". Действующие в штате положения о заработной плате также меняются, обеспечивая Комиссии по производственным отношениям штата Западная Австралия возможность гибко применять федеральные принципы начисления заработной платы. Это поможет сделать принцип равной оплаты за труд равной ценности составным элементом системы начисления заработной платы в штате в 2003 году. Кроме того, правительство поддерживает и всячески пропагандирует предоставление оплачиваемого отпуска по уходу за детьми в государственном секторе штата и создание общенациональной программы, охватывающей всех женщин.</w:t>
      </w:r>
    </w:p>
    <w:p w:rsidR="00000000" w:rsidRDefault="00000000">
      <w:pPr>
        <w:pStyle w:val="Article"/>
        <w:spacing w:after="120"/>
      </w:pPr>
      <w:r>
        <w:br w:type="page"/>
      </w:r>
      <w:bookmarkStart w:id="467" w:name="_Toc70143005"/>
      <w:bookmarkStart w:id="468" w:name="_Toc70228732"/>
      <w:bookmarkStart w:id="469" w:name="_Toc70229133"/>
      <w:bookmarkStart w:id="470" w:name="_Toc70235399"/>
      <w:r>
        <w:t>Статья 12:  Равный доступ к услугам в области здравоохранения</w:t>
      </w:r>
      <w:bookmarkEnd w:id="467"/>
      <w:bookmarkEnd w:id="468"/>
      <w:bookmarkEnd w:id="469"/>
      <w:bookmarkEnd w:id="470"/>
    </w:p>
    <w:p w:rsidR="00000000" w:rsidRDefault="00000000">
      <w:pPr>
        <w:pStyle w:val="Article-ref"/>
        <w:spacing w:before="120" w:after="120"/>
      </w:pPr>
      <w:bookmarkStart w:id="471" w:name="_Toc70143006"/>
      <w:bookmarkStart w:id="472" w:name="_Toc70228733"/>
      <w:bookmarkStart w:id="473" w:name="_Toc70229134"/>
      <w:bookmarkStart w:id="474" w:name="_Toc70235400"/>
      <w:r>
        <w:t>Инициативы федерального правительства</w:t>
      </w:r>
      <w:bookmarkEnd w:id="471"/>
      <w:bookmarkEnd w:id="472"/>
      <w:bookmarkEnd w:id="473"/>
      <w:bookmarkEnd w:id="474"/>
    </w:p>
    <w:p w:rsidR="00000000" w:rsidRDefault="00000000">
      <w:pPr>
        <w:pStyle w:val="BodyText"/>
      </w:pPr>
      <w:r>
        <w:t>323.</w:t>
      </w:r>
      <w:r>
        <w:tab/>
        <w:t>Федеральное правительство осуществляет руководство и координацию в отношении общенациональных инициатив в области охраны здоровья населения. Правительство выделяет штатам и территориям финансовые средства на проведение некоторых мероприятий в области здравоохранения в рамках соглашений о финансировании мероприятий в области здравоохранения по результатам осуществляемой деятельности (СФМОЗ). Эти соглашения обеспечивают в штатах и территориях гибкие механизмы для работы в этой области и содействуют интеграции и координации деятельности по оказанию услуг, включая ряд услуг по охране здоровья женщин.</w:t>
      </w:r>
    </w:p>
    <w:p w:rsidR="00000000" w:rsidRDefault="00000000">
      <w:pPr>
        <w:pStyle w:val="BodyText"/>
      </w:pPr>
      <w:r>
        <w:t>324.</w:t>
      </w:r>
      <w:r>
        <w:tab/>
        <w:t>Одной из программ в рамках СФМОЗ является Национальная программа по охране здоровья</w:t>
      </w:r>
      <w:r>
        <w:rPr>
          <w:i/>
        </w:rPr>
        <w:t xml:space="preserve"> </w:t>
      </w:r>
      <w:r>
        <w:t>женщин, в которой выделены 7 приоритетных направлений в области охраны здоровья женщин. К их числу относятся: репродуктивное здоровье и половое воспитание; здоровье пожилых женщин (включая вопросы, связанные с менопаузным периодом); психическое здоровье женщин; проблемы насилия в отношении женщин; профессиональные заболевания и техника безопасности на производстве; потребности в области здравоохранения женщин, осуществляющих уход за другими людьми; и последствия для здоровья женщин стереотипного распределения ролей мужчин и женщин в обществе. Другими программами в рамках СФМОЗ являются: "БрестСкрин Австралия"; Общенациональная программа по выявлению рака шейки матки; Национальная программа просвещения в вопросах, касающихся калечащих операций на половых органах женщин; Программа альтернативных акушерских услуг; Национальная стратегия по борьбе с наркоманией; и Общенациональная стратегия по борьбе с ВИЧ/СПИДом. (Эти программы подробно описываются ниже.)</w:t>
      </w:r>
    </w:p>
    <w:p w:rsidR="00000000" w:rsidRDefault="00000000">
      <w:pPr>
        <w:pStyle w:val="1-1"/>
      </w:pPr>
      <w:r>
        <w:t>Ожидаемая продолжительность жизни и смертность</w:t>
      </w:r>
    </w:p>
    <w:p w:rsidR="00000000" w:rsidRDefault="00000000">
      <w:pPr>
        <w:pStyle w:val="BodyText"/>
      </w:pPr>
      <w:r>
        <w:t>325.</w:t>
      </w:r>
      <w:r>
        <w:tab/>
        <w:t>Большинство женщин Австралии имеют все основания надеяться на относительно долгую и здоровую жизнь. В Австралии ожидаемая продолжительность жизни при рождении у женщин составляла 82,4 года, а у мужчин – 77 лет (данные за 1999–2001 годы), хотя эта тенденция не является одинаковой для всех групп населения страны.</w:t>
      </w:r>
    </w:p>
    <w:p w:rsidR="00000000" w:rsidRDefault="00000000">
      <w:pPr>
        <w:pStyle w:val="BodyText"/>
      </w:pPr>
      <w:r>
        <w:t>326.</w:t>
      </w:r>
      <w:r>
        <w:tab/>
        <w:t>Главными причинами смертности женщин Австралии являются сердечно-сосудистые и онкологические заболевания. На борьбу с этими заболеваниями направлены приоритетные меры, предусмотренные в рамках инициативы под названием "Приоритетные задачи в области</w:t>
      </w:r>
      <w:r>
        <w:rPr>
          <w:i/>
        </w:rPr>
        <w:t xml:space="preserve"> </w:t>
      </w:r>
      <w:r>
        <w:t>здравоохранения", цель которой ориентировать политику в области здравоохранения на проблемах, которые, согласно имеющимся данным, значительно способствуют повышению уровня заболеваемости в Австралии и для решения которых в стране имеется необходимый потенциал.</w:t>
      </w:r>
    </w:p>
    <w:p w:rsidR="00000000" w:rsidRDefault="00000000">
      <w:pPr>
        <w:pStyle w:val="1-1"/>
      </w:pPr>
      <w:r>
        <w:t>Сердечно-сосудистые заболевания</w:t>
      </w:r>
    </w:p>
    <w:p w:rsidR="00000000" w:rsidRDefault="00000000">
      <w:pPr>
        <w:pStyle w:val="BodyText"/>
      </w:pPr>
      <w:r>
        <w:t>327.</w:t>
      </w:r>
      <w:r>
        <w:tab/>
        <w:t>Сердечно-сосудистые заболевания – это одна из шести национальных приоритетных задач в области здравоохранения, которая решается в рамках инициативы под названием "Приоритетные</w:t>
      </w:r>
      <w:r>
        <w:rPr>
          <w:i/>
        </w:rPr>
        <w:t xml:space="preserve"> </w:t>
      </w:r>
      <w:r>
        <w:t>задачи в области здравоохранения". Мероприятия, осуществляемые в контексте данной инициативы, проводятся на основе комплексного подхода, включающего профилактику заболеваний, оказание помощи на ранней стадии, выявление наилучших методов лечения и реабилитационные услуги. Принимаемые меры будут в первую очередь ориентированы на наименее обеспеченные социально-экономические группы населения, коренное население и сельские общины. Для выявления тенденций, касающихся смертности в результате сердечно-сосудистых заболеваний, выявления факторов риска и разработки стратегий, направленных на сокращение смертности в результате сердечно-сосудистых заболеваний, в Австралии был создан Национальный центр мониторинга сердечно-сосудистых заболеваний.</w:t>
      </w:r>
    </w:p>
    <w:p w:rsidR="00000000" w:rsidRDefault="00000000">
      <w:pPr>
        <w:pStyle w:val="1-1"/>
        <w:spacing w:before="120"/>
      </w:pPr>
      <w:r>
        <w:t>Онкологические заболевания</w:t>
      </w:r>
    </w:p>
    <w:p w:rsidR="00000000" w:rsidRDefault="00000000">
      <w:pPr>
        <w:pStyle w:val="BodyText"/>
      </w:pPr>
      <w:r>
        <w:t>328.</w:t>
      </w:r>
      <w:r>
        <w:tab/>
        <w:t>В рамках инициативы под названием "Приоритетные задачи в области здравоохранения"</w:t>
      </w:r>
      <w:r>
        <w:rPr>
          <w:i/>
        </w:rPr>
        <w:t xml:space="preserve"> </w:t>
      </w:r>
      <w:r>
        <w:t>были выделены 8 видов онкологических заболеваний, включая рак молочной железы и рак шейки матки, в качестве направлений для принятия первоочередных мер.</w:t>
      </w:r>
    </w:p>
    <w:p w:rsidR="00000000" w:rsidRDefault="00000000">
      <w:pPr>
        <w:pStyle w:val="BodyText"/>
      </w:pPr>
      <w:r>
        <w:t>329.</w:t>
      </w:r>
      <w:r>
        <w:tab/>
        <w:t>Среди онкологических заболеваний рак молочной железы является основной причиной смертности австралийских женщин, и начиная с 1995 года правительство выделяло значительные финансовые средства на проведение обследований в целях выявления рака молочной железы, исследовательскую деятельность и вспомогательные услуги. Кроме того, в результате осуществления исследовательских и аналитических программ в стране было отмечено значительное сокращение смертности от рака молочной железы. Австралийская общенациональная программа под названием "БрестСкрин Австралия" направлена на обеспечение значительного сокращения уровня смертности от рака молочной железы и заболеваемости раком молочной железы с помощью выявления этого заболевания на ранней стадии. В рамках программы "БрестСкрин Австралия" женщинам 50–69 лет раз в 2 года предоставляется возможность бесплатно пройти соответствующее обследование. Право на такие обследования также имеют женщины старше 40 и старше 70 лет. Обследования женщин из целевых возрастных групп проводятся приемлемым для них способом в безопасных и комфортных условиях, к тому же обеспечивается их доступность. Ежемесячно повсюду в Австралии такие обследования проходят 57 тыс. женщин. Среди женщин в возрасте старше 50 лет, которые раз в 2 года проходят такие обследования, риск умереть от рака молочной железы снижается в два раза.</w:t>
      </w:r>
    </w:p>
    <w:p w:rsidR="00000000" w:rsidRDefault="00000000">
      <w:pPr>
        <w:pStyle w:val="BodyText"/>
      </w:pPr>
      <w:r>
        <w:t>330.</w:t>
      </w:r>
      <w:r>
        <w:tab/>
        <w:t>В 1999 году правительство выступило с инициативой под названием "Усиление поддержки</w:t>
      </w:r>
      <w:r>
        <w:rPr>
          <w:i/>
        </w:rPr>
        <w:t xml:space="preserve"> </w:t>
      </w:r>
      <w:r>
        <w:t>женщин, страдающих раком молочной железы", с целью обеспечить финансирование (в течение четырех лет) для оказания специализированных вспомогательных услуг женщинам, которым был поставлен диагноз "рак молочной железы". Эта программа ориентирована на женщин в сельских районах, которые имеют ограниченный доступ к медицинским и вспомогательным услугам в силу своей территориальной изолированности.</w:t>
      </w:r>
    </w:p>
    <w:p w:rsidR="00000000" w:rsidRDefault="00000000">
      <w:pPr>
        <w:pStyle w:val="BodyText"/>
        <w:spacing w:after="120"/>
      </w:pPr>
      <w:r>
        <w:t>331.</w:t>
      </w:r>
      <w:r>
        <w:tab/>
        <w:t>В 1995 году был создан Национальный центр по проблемам рака молочной железы в рамках усиления борьбы с этим заболеванием путем проведения анализов и исследований, формирования общенациональной мониторинговой системы, разработки и распространения руководящих принципов в области лечения рака молочной железы и обеспечения доступа к информации об этом заболевании. Центр намерен использовать опирающийся на научные данные подход к диагностике, лечению и поддержке женщин, больных раком молочной железы, способствуя тому, чтобы результаты исследовательской деятельности быстро внедрялись на практике.</w:t>
      </w:r>
    </w:p>
    <w:p w:rsidR="00000000" w:rsidRDefault="00000000">
      <w:pPr>
        <w:pStyle w:val="BodyText"/>
      </w:pPr>
      <w:r>
        <w:t>332.</w:t>
      </w:r>
      <w:r>
        <w:rPr>
          <w:i/>
        </w:rPr>
        <w:tab/>
      </w:r>
      <w:r>
        <w:t>Общенациональная программа по выявлению рака шейки матки направлена на сокращение заболеваемости и смертности от рака шейки матки с помощью проводимых раз в 2 года обследований всех женщин в возрасте от 18 до 70 лет, относящихся к группе риска. Национальный скоординированный подход предполагает свести воедино все элементы программы обследований на предмет выявления рака шейки матки, включая набор соответствующего персонала, проведение тестов Папаниколау и предоставление отчетов о результатах, диагностику, лечение и реабилитационные процедуры. Стратегии набора соответствующего персонала для осуществления этой программы включают проведение общенациональных информационных кампаний, поддерживаемых специальными акциями в штатах и территориях, работу в партнерстве с медицинскими работниками общего профиля, стратегии по охране здоровья коренного населения, кампании, проводимые на разных языках, и работу с медицинскими сестрами и другими медицинскими работниками для обеспечения того, чтобы все женщины, относящиеся к целевой группе, могли иметь доступ к данной программе.</w:t>
      </w:r>
    </w:p>
    <w:p w:rsidR="00000000" w:rsidRDefault="00000000">
      <w:pPr>
        <w:pStyle w:val="BodyText"/>
      </w:pPr>
      <w:r>
        <w:t>333.</w:t>
      </w:r>
      <w:r>
        <w:tab/>
        <w:t>В 2001 году правительство выделило дополнительные ассигнования на создание стимулов для врачей общего профиля в целях расширения охвата Общенациональной программы по выявлению рака шейки матки. Эта инициатива ориентирована на пожилых женщин в сельской местности и труднодоступных районах, а также женщин из различной культурной и языковой среды, которые недостаточно активно участвуют в программе и среди которых отмечаются более высокие показатели заболеваемости и смертности от рака шейки матки.</w:t>
      </w:r>
    </w:p>
    <w:p w:rsidR="00000000" w:rsidRDefault="00000000">
      <w:pPr>
        <w:pStyle w:val="BodyText"/>
      </w:pPr>
      <w:r>
        <w:t>334.</w:t>
      </w:r>
      <w:r>
        <w:tab/>
        <w:t>В 2000 году правительство выделило средства в поддержку проведения исследований по проблеме рака яичников. Выделенные средства будут использоваться для мобилизации общественной поддержки в отношении этих исследований и финансирования совместной научной деятельности по разработке эффективных методов ранней диагностики этого заболевания. Дополнительные средства на проведение исследований по проблеме рака яичников были выделены через Национальный совет здравоохранения и медицинских исследований.</w:t>
      </w:r>
    </w:p>
    <w:p w:rsidR="00000000" w:rsidRDefault="00000000">
      <w:pPr>
        <w:pStyle w:val="1-1"/>
        <w:spacing w:before="120"/>
      </w:pPr>
      <w:r>
        <w:t>Питание</w:t>
      </w:r>
    </w:p>
    <w:p w:rsidR="00000000" w:rsidRDefault="00000000">
      <w:pPr>
        <w:pStyle w:val="BodyText"/>
      </w:pPr>
      <w:r>
        <w:t>335.</w:t>
      </w:r>
      <w:r>
        <w:tab/>
        <w:t>В августе 2001 года министры здравоохранения одобрили общенациональную стратегию в области здорового питания на 2000–2010 годы под названием "Питайся правильно, Австралия", направленную на улучшение качества питания граждан Австралии. В рамках этой стратегии особое внимание уделяется проблемам материнского и детского питания, а также уязвимым группам, в первую очередь коренным жителям Австралии, малоимущим гражданам и лицам, проживающим в сельских и труднодоступных районах.</w:t>
      </w:r>
    </w:p>
    <w:p w:rsidR="00000000" w:rsidRDefault="00000000">
      <w:pPr>
        <w:pStyle w:val="BodyText"/>
        <w:spacing w:after="120"/>
      </w:pPr>
      <w:r>
        <w:t>336.</w:t>
      </w:r>
      <w:r>
        <w:tab/>
        <w:t>После 1995 года правительство финансировало целый ряд инициатив, направленных на улучшение качества питания женщин. В период с 1996 по 2001 год финансовые средства выделялись на осуществление национальной программы по пропаганде и поддержке грудного вскармливания. Общенациональная программа детского питания, рассчитанная на 2000–2004 годы, направлена на улучшение рациона питания детей в возрасте от 0 до 12 лет и беременных женщин, особенно женщин-аборигенов, женщин из сельских и труднодоступных районов и женщин из малоимущих слоев общества. Помимо этого были подготовлены ряд руководств по проблеме здорового питания непосредственно для женщин, а именно: Австралийское руководство по здоровому питанию; Руководство для жителей Австралии по вопросам питания; Руководство по вопросам питания для детей и подростков; и Руководство по вопросам питания для пожилых граждан Австралии. Эти руководства пропагандируются и широко распространяются среди медицинских работников и населения в целом.</w:t>
      </w:r>
    </w:p>
    <w:p w:rsidR="00000000" w:rsidRDefault="00000000">
      <w:pPr>
        <w:pStyle w:val="1-1"/>
        <w:spacing w:before="120"/>
      </w:pPr>
      <w:r>
        <w:t>Планирование размера семьи</w:t>
      </w:r>
    </w:p>
    <w:p w:rsidR="00000000" w:rsidRDefault="00000000">
      <w:pPr>
        <w:pStyle w:val="BodyText"/>
        <w:spacing w:after="120"/>
      </w:pPr>
      <w:r>
        <w:t>337.</w:t>
      </w:r>
      <w:r>
        <w:tab/>
        <w:t>Федеральное правительство осуществляет руководство и координацию в отношении национальных инициатив по охране здоровья населения страны, выделяет штатам и территориям финансовые средства на проведение некоторых мероприятий в области здравоохранения в рамках соглашений о финансировании мероприятий в области здравоохранения по результатам осуществляемой деятельности (СФМОЗ). Эти соглашения обеспечивают в штатах и территориях гибкие механизмы для работы в этой области и содействуют интеграции и координации деятельности по оказанию услуг, включая ряд услуг по охране здоровья женщин. Другие мероприятия в области здравоохранения финансируются непосредственно из федерального бюджета, в том числе выделяемого общинным и неправительственным организациям. Ежегодно выделяется 16,3 млн. долларов на цели охраны сексуального и репродуктивного здоровья напрямую неправительственным организациям в рамках Программы по планированию размера семьи и опосредованно – службам в области планирования размера семьи в соответствии с соглашениями о финансировании мероприятий в области здравоохранения по результатам осуществляемой деятельности.</w:t>
      </w:r>
    </w:p>
    <w:p w:rsidR="00000000" w:rsidRDefault="00000000">
      <w:pPr>
        <w:pStyle w:val="BodyText"/>
        <w:spacing w:after="120"/>
      </w:pPr>
      <w:r>
        <w:t>338.</w:t>
      </w:r>
      <w:r>
        <w:tab/>
        <w:t>В контексте Программы по планированию размера семьи правительство выделяет финансовые средства занимающимся данным вопросом неправительственным организациям, чтобы они могли обеспечивать австралийских граждан всесторонней и разнообразной информацией, предоставлять услуги в области образования, профессиональной подготовки, консультационные и медицинские услуги по вопросам сексуального и репродуктивного здоровья. Повсюду в Австралии организации, занимающиеся вопросами планирования размера семьи, предоставляют гражданам возможность пользоваться различными услугами врачей и медицинских сестер в области сексуального и репродуктивного здоровья. К числу таких услуг относятся консультирование и выдача рецептов/определение наиболее подходящих методов контрацепции, проведение тестов на беременность, вазэктомия и т. д. Эти организации также занимаются специальной подготовкой врачей и медицинских сестер с отрывом и без отрыва от работы, ведут просветительскую работу в общинах, оказывают справочно-информационные услуги (также и по телефону).</w:t>
      </w:r>
    </w:p>
    <w:p w:rsidR="00000000" w:rsidRDefault="00000000">
      <w:pPr>
        <w:pStyle w:val="BodyText"/>
      </w:pPr>
      <w:r>
        <w:t>339.</w:t>
      </w:r>
      <w:r>
        <w:tab/>
        <w:t>Дополнительные возможности в этой области обеспечиваются силами Австралийской ассоциации епископов Римско-католической церкви, которая осуществляет Программу естественного планирования размера семьи и оказывает услуги в 130 центрах, расположенных повсюду в Австралии. Подготовка и направление инструкторов по вопросам естественного планирования размера семьи осуществляется Австралийским советом по естественному планированию размера семьи или Австралийским исследовательским и информационным центром по применению метода овуляции. Многие мужчины и женщины Австралии также имеют возможность обращаться к частным врачам, оказывающим консультационные услуги по вопросам сексуального и репродуктивного здоровья и надлежащих методов контрацепции. Расходы в связи с получением таких услуг подлежат возмещению из фонда медицинского страхования "Медикер". Благодаря этому современные методы контрацепции являются доступными для всех граждан Австралии.</w:t>
      </w:r>
    </w:p>
    <w:p w:rsidR="00000000" w:rsidRDefault="00000000">
      <w:pPr>
        <w:pStyle w:val="BodyText"/>
      </w:pPr>
      <w:r>
        <w:t>340.</w:t>
      </w:r>
      <w:r>
        <w:tab/>
        <w:t>Правительство признает необходимость обеспечения безопасных, недорогостоящих и легкодоступных услуг в области планирования размера семьи в целях минимизации числа абортов. Порядок проведения абортов в Австралии регулируется законами штатов и территорий. В целом женщины Австралии имеют право сделать аборт в первые три месяца беременности при наличии врачебного подтверждения, что сохранение беременности может нанести физический или моральный ущерб женщине. Во всех случаях необходимо согласие женщины. В некоторых штатах и территориях предусматривается также наличие справки от двух врачей или проведение абортов только в специальных больницах. Женщины из малоимущих слоев населения имеют равный со всеми другими женщинами доступ к услугам в области искусственного прерывания беременности.</w:t>
      </w:r>
    </w:p>
    <w:p w:rsidR="00000000" w:rsidRDefault="00000000">
      <w:pPr>
        <w:pStyle w:val="1-1"/>
        <w:spacing w:before="120"/>
      </w:pPr>
      <w:r>
        <w:t>Калечащие операции на половых органах женщин</w:t>
      </w:r>
    </w:p>
    <w:p w:rsidR="00000000" w:rsidRDefault="00000000">
      <w:pPr>
        <w:pStyle w:val="BodyText"/>
      </w:pPr>
      <w:r>
        <w:t>341.</w:t>
      </w:r>
      <w:r>
        <w:tab/>
        <w:t>Правительство выделяет штатам и территориям финансовые средства на проведение информационно-просветительских мероприятий в целях искоренения в Австралии практики калечащих операций на половых органах женщин и оказание помощи женщинам и девушкам, подвергшимся такой процедуре. Австралийский Королевский колледж акушерства и гинекологии подготовил брошюру под названием "Калечащие операции на половых органах женщин: информация для работников системы здравоохранения Австралии", предназначенную для практикующих врачей и работников системы здравоохранения, занимающихся оказанием услуг женщинам и девушкам, которые подверглись или рискуют подвергнуться таким калечащим операциям. Колледж также подготовил соответствующие учебные материалы по данной проблеме.</w:t>
      </w:r>
    </w:p>
    <w:p w:rsidR="00000000" w:rsidRDefault="00000000">
      <w:pPr>
        <w:pStyle w:val="1-1"/>
        <w:spacing w:before="120"/>
      </w:pPr>
      <w:r>
        <w:t>Стерилизация женщин/девушек-инвалидов</w:t>
      </w:r>
    </w:p>
    <w:p w:rsidR="00000000" w:rsidRDefault="00000000">
      <w:pPr>
        <w:pStyle w:val="BodyText"/>
      </w:pPr>
      <w:r>
        <w:t>342.</w:t>
      </w:r>
      <w:r>
        <w:tab/>
        <w:t>Правительство признает, что незаконная стерилизация представляет собой крайне серьезную проблему и является нарушением прав человека женщин. Согласно законодательству Австралии стерилизацию несовершеннолетних лиц с психическими недостатками с помощью нетерапевтических методов можно проводить только с разрешения соответствующего судебного органа.</w:t>
      </w:r>
    </w:p>
    <w:p w:rsidR="00000000" w:rsidRDefault="00000000">
      <w:pPr>
        <w:pStyle w:val="BodyText"/>
      </w:pPr>
      <w:r>
        <w:t>343.</w:t>
      </w:r>
      <w:r>
        <w:tab/>
        <w:t>В 1997 году КПЧРВ подготовила доклад, в котором рассматривались правовые, медицинские и социальные вопросы, возникающие в связи со стерилизацией девушек и молодых женщин-инвалидов в Австралии. В докладе указываются некоторые из возможных способов защиты прав человека и благополучия девушек-инвалидов.</w:t>
      </w:r>
    </w:p>
    <w:p w:rsidR="00000000" w:rsidRDefault="00000000">
      <w:pPr>
        <w:pStyle w:val="BodyText"/>
      </w:pPr>
      <w:r>
        <w:t>344.</w:t>
      </w:r>
      <w:r>
        <w:tab/>
        <w:t>В ноябре 1998 года правительство внесло поправки в Программу медицинского страхования "Медикер", с тем чтобы обратить внимание медицинских работников на незаконность осуществления процедур, которые приводят к стерилизации несовершеннолетних, без согласия Австралийского суда по семейным делам либо суда или трибунала, обладающего необходимыми полномочиями, если только стерилизация не становится неизбежным следствием хирургической операции, проведенной в связи с каким-либо нарушением или заболеванием.</w:t>
      </w:r>
    </w:p>
    <w:p w:rsidR="00000000" w:rsidRDefault="00000000">
      <w:pPr>
        <w:pStyle w:val="BodyText"/>
      </w:pPr>
      <w:r>
        <w:t>345.</w:t>
      </w:r>
      <w:r>
        <w:tab/>
        <w:t>В марте 2000 года в сенат была направлена петиция, в которой правительству предлагалось провести обзор законодательных, этических норм и механизмов в области прав человека, которые уже существуют или которые необходимо создать для защиты прав и интересов женщин с психическими и физическими недостатками в области репродуктивного здоровья; и обеспечить проведение исследования в отношении практики, воздействия и последствий стерилизации женщин с психическими и физическими недостатками. Бывший министр по делам семьи и услугам населению Джоселин Ньюмен обещал представить сенату доклад по вопросам, затрагиваемым в данной петиции. Этот доклад под названием "Стерилизация женщин и молодых девушек с психическими</w:t>
      </w:r>
      <w:r>
        <w:rPr>
          <w:i/>
        </w:rPr>
        <w:t xml:space="preserve"> </w:t>
      </w:r>
      <w:r>
        <w:t>недостатками" был предложен вниманию сената 6 декабря 2000 года. В докладе была представлена соответствующая справочная информация, последние статистические выкладки, касающиеся процедуры стерилизации, и подробно описывались меры, принимаемые различными ведомствами в связи с призывом сената к проведению обзоров и исследований.</w:t>
      </w:r>
    </w:p>
    <w:p w:rsidR="00000000" w:rsidRDefault="00000000">
      <w:pPr>
        <w:pStyle w:val="BodyText"/>
      </w:pPr>
      <w:r>
        <w:t>346.</w:t>
      </w:r>
      <w:r>
        <w:tab/>
        <w:t>Генеральный прокурор одобрил пересмотренные "Общенациональные приоритеты и руководящие принципы оказания правовой помощи в вопросах, возникающих в рамках федерального законодательства", которые вступили в силу 1 июля 2000 года. Эти руководящие принципы отражают политику правительства, поощряющую родителей действовать законными методами путем получения разрешения суда на проведение специальных медицинских процедур, таких как стерилизация, делая правовую помощь более доступной и разъясняя, кто имеет на это право. Руководящие принципы также предусматривают, что правовая помощь должна оказываться в каждом конкретном случае и обеспечивать защиту интересов ребенка в любом рассматриваемом судом деле, касающемся специальных медицинских процедур, таких как стерилизация. Уровень доходов в таких случаях не устанавливается, и Комиссия по правовой помощи не должна пытаться взимать с родителей ребенка, интересы которого она представляет, какую-либо плату независимо от того, оказывается им правовая помощь или нет. Кроме того, правовая помощь должна предоставляться родителям ребенка в любом судебном слушании, касающемся проведения специальных медицинских процедур (включая стерилизацию), в рамках которого устанавливается уровень доходов родителей.</w:t>
      </w:r>
    </w:p>
    <w:p w:rsidR="00000000" w:rsidRDefault="00000000">
      <w:pPr>
        <w:pStyle w:val="BodyText"/>
      </w:pPr>
      <w:r>
        <w:t>347.</w:t>
      </w:r>
      <w:r>
        <w:tab/>
        <w:t>Генеральный прокурор направил австралийским медицинским колледжам и ассоциациям письмо, в котором он проинформировал их о законах и процедурах, касающихся стерилизации несовершеннолетних с психическими недостатками путем применения нетерапевтических методов. Официальный текст этого письма был передан для публикации отдельным австралийским журналистам, освещающим проблемы медицины, и помещен в интернете.</w:t>
      </w:r>
    </w:p>
    <w:p w:rsidR="00000000" w:rsidRDefault="00000000">
      <w:pPr>
        <w:pStyle w:val="BodyText"/>
      </w:pPr>
      <w:r>
        <w:t>348.</w:t>
      </w:r>
      <w:r>
        <w:tab/>
        <w:t>В апреле 2001 года КПЧРВ опубликовала свой доклад под названием "Стерилизация девушек и молодых женщин: проблемы и прогресс". В докладе анализируются дела, рассмотренные судами и трибуналами, и приводится информация об услугах и вспомогательных программах, имеющихся в распоряжении детей и семей, которые хотят прибегнуть к процедуре стерилизации. В докладе делается вывод, что после 1997 года в стране "отмечен значительный прогресс в области обучения и повышения профессиональных навыков поставщиков услуг для инвалидов в связи с осуществлением программ регулирования менструального цикла и просвещением родителей". Протоколы о специальных медицинских процедурах были подготовлены для судов по семейным делам штатов Квинсленд и Виктория; в настоящее время такие же протоколы готовятся для штатов Новый Южный Уэльс и Южная Австралия. Эти протоколы направлены на обеспечение сотрудничества между судами и другими ведущими учреждениями, для того чтобы заявки на стерилизацию поступали в суд только после того, как будут рассмотрены менее кардинальные альтернативы.</w:t>
      </w:r>
    </w:p>
    <w:p w:rsidR="00000000" w:rsidRDefault="00000000">
      <w:pPr>
        <w:pStyle w:val="BodyText"/>
      </w:pPr>
      <w:r>
        <w:t>349.</w:t>
      </w:r>
      <w:r>
        <w:tab/>
        <w:t>Департамент Генерального прокурора провел консультации с судом по семейным делам и Федеральной службой мировых судей в отношении возможности упрощения процедур рассмотрения заявок на стерилизацию. Организации по вопросам планирования семьи в большинстве штатов и территорий занимаются половым воспитанием, учитывающим особые потребности детей-инвалидов. К числу методов полового воспитания относятся индивидуальные собеседования; семинары для людей с психическими недостатками, их родителей или опекунов, врачей, медицинских сестер, других работников органов здравоохранения, преподавателей или лиц, занимающихся обслуживанием инвалидов; и информационные или фактологические бюллетени. Рассматриваемые вопросы включают: консультации по вопросам регулирования менструального цикла; альтернативные методы контрацепции; необходимость использования практики безопасного секса (независимо от стерилизации); правовые процедуры (например, получение согласия или разрешения на стерилизацию); и направление в соответствующие службы.</w:t>
      </w:r>
    </w:p>
    <w:p w:rsidR="00000000" w:rsidRDefault="00000000">
      <w:pPr>
        <w:pStyle w:val="BodyText"/>
      </w:pPr>
      <w:r>
        <w:t>350.</w:t>
      </w:r>
      <w:r>
        <w:tab/>
        <w:t>В октябре 2001 года Департамент Генерального прокурора организовал форум, посвященный рекомендациям, содержащимся в докладе КПЧРВ за 2001 год и касающимся возможных мер в связи со стерилизацией несовершеннолетних с психическими недостатками с помощью нетерапевтических методов. В этом форуме приняли участие представители правительственных департаментов штатов и территорий, суда по семейным делам, Федеральной службы мировых судей, УВПЖ, Управления по делам инвалидов Департамента по делам семьи и услугам населению и Департамента здравоохранения и ухода за пожилыми, а также соавтор указанного доклада. Среди рассмотренных во время форума тем были: информационно-просветительские стратегии, юрисдикционные вопросы и возможности, обзор осуществления Программы медицинского страхования "Медикер" и методы сбора данных. В настоящее время принимаются меры по осуществлению рекомендаций, представленных форумом.</w:t>
      </w:r>
    </w:p>
    <w:p w:rsidR="00000000" w:rsidRDefault="00000000">
      <w:pPr>
        <w:pStyle w:val="BodyText"/>
      </w:pPr>
      <w:r>
        <w:t>351.</w:t>
      </w:r>
      <w:r>
        <w:tab/>
        <w:t>В октябре 2001 года при финансовой поддержке УВПЖ был опубликован доклад под названием "Женщины-инвалиды (Австралия)", в котором были приведены данные исследований, касающихся стерилизации и репродуктивного здоровья женщин и девушек-инвалидов.</w:t>
      </w:r>
    </w:p>
    <w:p w:rsidR="00000000" w:rsidRDefault="00000000">
      <w:pPr>
        <w:pStyle w:val="1-1"/>
        <w:spacing w:before="120"/>
      </w:pPr>
      <w:r>
        <w:t>Проблема ВИЧ/СПИДа</w:t>
      </w:r>
    </w:p>
    <w:p w:rsidR="00000000" w:rsidRDefault="00000000">
      <w:pPr>
        <w:pStyle w:val="BodyText"/>
      </w:pPr>
      <w:r>
        <w:t>352.</w:t>
      </w:r>
      <w:r>
        <w:tab/>
        <w:t>Правительства всех субъектов Австралийского Союза, общество в целом и все секторы здравоохранения признают важность работы, направленной на сокращение числа случаев ВИЧ</w:t>
      </w:r>
      <w:r>
        <w:noBreakHyphen/>
        <w:t>инфицирования и заболевания СПИДом среди женщин. В 2001 году в Австралии были выявлены 774 новых ВИЧ-инфицированных, 94 из которых были женщины. По совокупности к концу 2001 года общее число новых случаев ВИЧ-инфицирования женщин в стране составляло 1349 человек.</w:t>
      </w:r>
    </w:p>
    <w:p w:rsidR="00000000" w:rsidRDefault="00000000">
      <w:pPr>
        <w:pStyle w:val="1-1"/>
        <w:spacing w:before="120"/>
      </w:pPr>
      <w:r>
        <w:t>Психическое здоровье</w:t>
      </w:r>
    </w:p>
    <w:p w:rsidR="00000000" w:rsidRDefault="00000000">
      <w:pPr>
        <w:pStyle w:val="BodyText"/>
      </w:pPr>
      <w:r>
        <w:t>353.</w:t>
      </w:r>
      <w:r>
        <w:tab/>
        <w:t>В рамках Национальной стратегии по охране психического здоровья федеральное правительство и правительства штатов и территорий совместно одобрили общенациональную рамочную программу реорганизации системы охраны психического здоровья. Эта стратегия направлена на улучшение состояния психического здоровья граждан Австралии, снижение воздействия психических нарушений и защиту прав лиц с психическими недостатками. Особое внимание в ней уделяется особым потребностям в области охраны психического здоровья людей из различной культурной и языковой среды, коренного населения, жителей сельских и труднодоступных районов, пожилых людей, женщин, детей и подростков.</w:t>
      </w:r>
    </w:p>
    <w:p w:rsidR="00000000" w:rsidRDefault="00000000">
      <w:pPr>
        <w:pStyle w:val="1-1"/>
      </w:pPr>
      <w:r>
        <w:t>Депрессия</w:t>
      </w:r>
    </w:p>
    <w:p w:rsidR="00000000" w:rsidRDefault="00000000">
      <w:pPr>
        <w:pStyle w:val="BodyText"/>
      </w:pPr>
      <w:r>
        <w:t>354.</w:t>
      </w:r>
      <w:r>
        <w:tab/>
        <w:t>Депрессия, включая депрессию в послеродовой период, является одной из главных причин заболеваний и инвалидности среди женщин и одной из приоритетных областей деятельности в рамках Национальной стратегии по охране психического здоровья. Общенациональная инициатива по преодолению депрессии</w:t>
      </w:r>
      <w:r>
        <w:rPr>
          <w:i/>
        </w:rPr>
        <w:t>,</w:t>
      </w:r>
      <w:r>
        <w:t xml:space="preserve"> которая была провозглашена в марте 2000 года, направлена на повышение осведомленности общественности и понимания причин, вызывающих депрессию, содействие профессиональной подготовке и обучению, проведению исследований, касающихся методов профилактики, лечения и преодоление депрессии. В настоящее время работа в рамках Общенациональной инициативы по преодолению депрессии продолжается. Эта работа строится на основе Национального плана действий по борьбе с депрессией и организована как самостоятельный вид деятельности, который может иметь новые формы, осуществляться на основе совместных мероприятий, определять четкое направление национальных усилий по борьбе с депрессией.</w:t>
      </w:r>
    </w:p>
    <w:p w:rsidR="00000000" w:rsidRDefault="00000000">
      <w:pPr>
        <w:pStyle w:val="1-1"/>
        <w:spacing w:before="120"/>
      </w:pPr>
      <w:r>
        <w:t>Неправильное питание</w:t>
      </w:r>
    </w:p>
    <w:p w:rsidR="00000000" w:rsidRDefault="00000000">
      <w:pPr>
        <w:pStyle w:val="BodyText"/>
      </w:pPr>
      <w:r>
        <w:t>355.</w:t>
      </w:r>
      <w:r>
        <w:tab/>
        <w:t>Проблема неправильного питания является особенно актуальной для молодых женщин. В Национальной стратегии по охране психического здоровья признается, что неправильное питание – это важная область исследований и разработок. В 1997 году правительство выделило средства на издание материалов первой австралийской конференции, посвященной культуре тела и проблеме неправильного питания. В 1998 году был подготовлен доклад под названием "Вопросы культуры тела и неправильного питания". В рамках Национальной стратегии по охране психического здоровья были выделены средства на подготовку книги "Культура тела: последствия неправильного питания", которая была опубликована в 2000 году в помощь тем, кто занимается этими вопросами.</w:t>
      </w:r>
    </w:p>
    <w:p w:rsidR="00000000" w:rsidRDefault="00000000">
      <w:pPr>
        <w:pStyle w:val="1-1"/>
      </w:pPr>
      <w:r>
        <w:br w:type="page"/>
        <w:t>Суициды среди молодежи</w:t>
      </w:r>
    </w:p>
    <w:p w:rsidR="00000000" w:rsidRDefault="00000000">
      <w:pPr>
        <w:pStyle w:val="BodyText"/>
      </w:pPr>
      <w:r>
        <w:t>356.</w:t>
      </w:r>
      <w:r>
        <w:tab/>
        <w:t>Хотя суициды не стоят в числе ведущих причин смертности австралийских женщин, они представляют тем не менее серьезную проблему. Суициды являются одной из существенных причин смертности среди девушек (12–24 лет), и в течение целого ряда лет среди женщин отмечается более высокий процент лиц, попавших в больницу в результате попыток самоубийства, чем среди мужчин. Кроме того, проблема суицида среди молодежи является предметом особой обеспокоенности для семей.</w:t>
      </w:r>
    </w:p>
    <w:p w:rsidR="00000000" w:rsidRDefault="00000000">
      <w:pPr>
        <w:pStyle w:val="BodyText"/>
      </w:pPr>
      <w:r>
        <w:t>357.</w:t>
      </w:r>
      <w:r>
        <w:tab/>
        <w:t>В мае 1997 года Постоянный комитет по делам общин Палаты представителей опубликовал доклад, озаглавленный "Аспекты проблемы суицида среди молодежи". В докладе затрагивались такие вопросы, как преобладание суицидов в сельских районах и среди коренного населения, рост числа самоубийств, безработица, семейный стресс, доступ к огнестрельному оружию, необходимость в дополнительных услугах и консультациях в области охраны психического здоровья.</w:t>
      </w:r>
    </w:p>
    <w:p w:rsidR="00000000" w:rsidRDefault="00000000">
      <w:pPr>
        <w:pStyle w:val="BodyText"/>
      </w:pPr>
      <w:r>
        <w:t>358.</w:t>
      </w:r>
      <w:r>
        <w:tab/>
        <w:t>В период с 1995 по 1999 год правительство финансировало и осуществляло Национальную</w:t>
      </w:r>
      <w:r>
        <w:rPr>
          <w:i/>
        </w:rPr>
        <w:t xml:space="preserve"> </w:t>
      </w:r>
      <w:r>
        <w:t>стратегию по предупреждению суицида среди молодежи. Эта стратегия была направлена на предупреждение преждевременной смерти молодых людей в результате суицида, уменьшение числа травм, членовредительства и суицидного поведения, а также повышение душевного и физического равновесия молодых людей, их семей и общества в целом. Были выделены ассигнования на осуществление национальных демонстрационных проектов, связанных с разработкой, испытанием и оценкой наилучшей практики в области предупреждения попыток суицида среди молодых людей, относящихся к группам повышенного риска, и ее увязкой с услугами по предупреждению попыток суицида среди молодежи и оказанию поддержки родителям. В рамках стратегии также предусматривалось выделение средств консультационным службам в сельских и труднодоступных районах.</w:t>
      </w:r>
    </w:p>
    <w:p w:rsidR="00000000" w:rsidRDefault="00000000">
      <w:pPr>
        <w:pStyle w:val="BodyText"/>
      </w:pPr>
      <w:r>
        <w:t>359.</w:t>
      </w:r>
      <w:r>
        <w:tab/>
        <w:t>В 1999 году были выделены средства на разработку Стратегии по борьбе с суицидом, которая опиралась на Национальную стратегию предупреждения суицида среди молодежи, кроме того, осуществлялось постоянное финансирование для общинных служб, занимающихся оказанием консультационных услуг по телефону: "Линии помощи детям" и "Линии жизни". Приоритетное внимание в рамках этой стратегии уделяется оказанию поддержки общинам коренного населения в сельских и труднодоступных районах, в которых отмечается высокий уровень суицида. Кроме того, была создана служба в интернете под названием "Обратитесь к нам за помощью!" для оказания помощи молодым людям, сталкивающимся с серьезными проблемами (</w:t>
      </w:r>
      <w:r>
        <w:rPr>
          <w:u w:val="single"/>
        </w:rPr>
        <w:t>www.reachout.asn.au/home.asp</w:t>
      </w:r>
      <w:r>
        <w:t>).</w:t>
      </w:r>
    </w:p>
    <w:p w:rsidR="00000000" w:rsidRDefault="00000000">
      <w:pPr>
        <w:pStyle w:val="1-1"/>
      </w:pPr>
      <w:r>
        <w:t>Табакокурение</w:t>
      </w:r>
    </w:p>
    <w:p w:rsidR="00000000" w:rsidRDefault="00000000">
      <w:pPr>
        <w:pStyle w:val="BodyText"/>
      </w:pPr>
      <w:r>
        <w:t>360.</w:t>
      </w:r>
      <w:r>
        <w:tab/>
        <w:t>В рамках Национальной стратегии Австралии по борьбе с табакокурением на период с 1999 по 2002–2003 год признается, что некоторые группы населения, включая аборигенов, молодых людей, беременных женщин и их партнеров, подвержены наибольшему риску в результате употребления табачных изделий. Эта стратегия конкретно направлена на решение вопросов, касающихся табакокурения и беременности, путем разработки соответствующих действенных руководящих принципов для работников медицинских учреждений и выявления и определения стратегий для преодоления препятствий, мешающих беременным женщинам получать доступ к никотинозамещающей терапии.</w:t>
      </w:r>
    </w:p>
    <w:p w:rsidR="00000000" w:rsidRDefault="00000000">
      <w:pPr>
        <w:pStyle w:val="1-1"/>
        <w:spacing w:before="0"/>
      </w:pPr>
      <w:r>
        <w:br w:type="page"/>
        <w:t>Употребление спиртных напитков</w:t>
      </w:r>
    </w:p>
    <w:p w:rsidR="00000000" w:rsidRDefault="00000000">
      <w:pPr>
        <w:pStyle w:val="BodyText"/>
      </w:pPr>
      <w:r>
        <w:t>361.</w:t>
      </w:r>
      <w:r>
        <w:tab/>
        <w:t>Австралия разработала Национальную антиалкогольную стратегию, призванную стать основой общенациональной деятельности, направленной на уменьшение последствий вреда, причиняемого употреблением алкоголя. Национальная антиалкогольная стратегия является частью национального плана действий, осуществляемого в течение нескольких последних лет в целях уменьшения вреда, причиняемого наркотическими веществами гражданам Австралии, включая смертность, заболеваемость и насилие (в том числе насилие в семье). В рамках стратегии предполагается проведение мероприятий, ориентированных на группы повышенного риска, такие как молодежь, коренное население и беременные женщины.</w:t>
      </w:r>
    </w:p>
    <w:p w:rsidR="00000000" w:rsidRDefault="00000000">
      <w:pPr>
        <w:pStyle w:val="1-1"/>
        <w:spacing w:before="120"/>
      </w:pPr>
      <w:r>
        <w:t>Употребление незаконных наркотиков</w:t>
      </w:r>
    </w:p>
    <w:p w:rsidR="00000000" w:rsidRDefault="00000000">
      <w:pPr>
        <w:pStyle w:val="BodyText"/>
      </w:pPr>
      <w:r>
        <w:t>362.</w:t>
      </w:r>
      <w:r>
        <w:tab/>
        <w:t>В рамках Национальной стратегии по борьбе с незаконными наркотиками были выделены ассигнования на осуществление Программы предоставления неправительственным организациям</w:t>
      </w:r>
      <w:r>
        <w:rPr>
          <w:i/>
        </w:rPr>
        <w:t xml:space="preserve"> </w:t>
      </w:r>
      <w:r>
        <w:t>грантов для лечения лиц, злоупотребляющих наркотиками. В контексте данной программы целевыми группами являются женщины и женщины с детьми. Средства выделяются 133 неправительственным организациям Австралии, 22 из которых занимаются проблемами женщин и/или женщин с детьми. Эти организации предлагают различные услуги в области образования, консультирования, реабилитации и другие виды поддержки женщинам и семьям, затронутым проблемой употребления незаконных наркотиков. В мае 2002 года на цели продолжения Программы предоставления НПО грантов для лечения лиц, злоупотребляющих наркотиками</w:t>
      </w:r>
      <w:r>
        <w:rPr>
          <w:i/>
        </w:rPr>
        <w:t>,</w:t>
      </w:r>
      <w:r>
        <w:t xml:space="preserve"> была ассигнована сумма в размере 61,6 млн. долларов.</w:t>
      </w:r>
    </w:p>
    <w:p w:rsidR="00000000" w:rsidRDefault="00000000">
      <w:pPr>
        <w:pStyle w:val="BodyText"/>
        <w:spacing w:after="120"/>
      </w:pPr>
      <w:r>
        <w:t>363.</w:t>
      </w:r>
      <w:r>
        <w:tab/>
        <w:t>Другими важнейшими инициативами являются "Меры по борьбе с употреблением наркотиков в школах, согласованные Советом правительств Австралии" и "Национальная основа для составления протоколов, касающихся хранения, употребления и/или распространения незаконных и прочих неразрешенных наркотических веществ в школах". Основные мероприятия, осуществляемые в рамках этой инициативы, включают местные саммиты представителей школ и общественности по вопросам употребления наркотиков и информационные кампании в школах по проблемам злоупотребления наркотиками; Национальную стратегию по вопросам освещения проблем злоупотребления наркотиками в школах; стратегию по проведению информационно-просветительской работы в общинах, состоящую из двух основных компонентов: стратегии, направленной на удовлетворение потребностей родителей, воспитателей и общества в целом и повышение навыков общения родителей и воспитателей с детьми по вопросам, касающимся незаконных наркотиков, с тем чтобы помешать детям начать или продолжать употреблять наркотики; и целевые стратегии по работе с молодежью на местах.</w:t>
      </w:r>
    </w:p>
    <w:p w:rsidR="00000000" w:rsidRDefault="00000000">
      <w:pPr>
        <w:pStyle w:val="1-1"/>
        <w:spacing w:before="120"/>
      </w:pPr>
      <w:r>
        <w:t>Женщины и спорт</w:t>
      </w:r>
    </w:p>
    <w:p w:rsidR="00000000" w:rsidRDefault="00000000">
      <w:pPr>
        <w:pStyle w:val="BodyText"/>
        <w:spacing w:after="120"/>
      </w:pPr>
      <w:r>
        <w:t>364.</w:t>
      </w:r>
      <w:r>
        <w:tab/>
        <w:t>Правительство прилагает активные усилия по улучшению состояния здоровья и благополучия австралийских женщин, способствуя участию всех женщин в занятиях спортом, физической культурой и рекреационной деятельности. Подробнее о политике Австралии, касающейся участия женщин в целом и беременных женщин в частности в занятиях спортом, см. в комментариях по осуществлению статьи 13.</w:t>
      </w:r>
    </w:p>
    <w:p w:rsidR="00000000" w:rsidRDefault="00000000">
      <w:pPr>
        <w:pStyle w:val="1-1"/>
        <w:spacing w:before="120"/>
      </w:pPr>
      <w:r>
        <w:t>Национальный совет по здравоохранению и медицинским исследованиям</w:t>
      </w:r>
    </w:p>
    <w:p w:rsidR="00000000" w:rsidRDefault="00000000">
      <w:pPr>
        <w:pStyle w:val="BodyText"/>
      </w:pPr>
      <w:r>
        <w:t>365.</w:t>
      </w:r>
      <w:r>
        <w:tab/>
        <w:t>Национальному совету по здравоохранению и медицинским исследованиям выделяются средства на проведение широкого спектра медицинских исследований в целях улучшения состояния здоровья всех граждан Австралии. В 1999 году правительство объявило о значительном увеличении в течение предстоящих шести лет объемов финансирования на проведение исследований в области здравоохранения и медицины. Совет осуществлял финансирование многочисленных исследовательских проектов по вопросам здоровья женщин. К примеру, в 1999 году он выделил средства для финансирования 135 научно-исследовательских проектов, имеющих непосредственное отношение к охране здоровья женщин, а также гранты в области соответствующей профессиональной подготовки. Эти исследования охватывают ряд выявленных приоритетных областей, связанных со здоровьем женщин, в том числе проблему рака молочной железы и занятий физической культурой. Рабочая группа по осуществлению программы исследований в интересах коренного населения и жителей островов Торресова пролива, которая действует при Совете, занимается проведением исследований в области здравоохранения, ориентированных на конкретные потребности коренного населения.</w:t>
      </w:r>
    </w:p>
    <w:p w:rsidR="00000000" w:rsidRDefault="00000000">
      <w:pPr>
        <w:pStyle w:val="1-1"/>
        <w:spacing w:before="120"/>
      </w:pPr>
      <w:r>
        <w:t>Лонгитюдное исследование по проблемам здоровья женщин</w:t>
      </w:r>
    </w:p>
    <w:p w:rsidR="00000000" w:rsidRDefault="00000000">
      <w:pPr>
        <w:pStyle w:val="BodyText"/>
      </w:pPr>
      <w:r>
        <w:t>366.</w:t>
      </w:r>
      <w:r>
        <w:tab/>
        <w:t>В июне 1995 года в рамках Национальной политики в области охраны здоровья женщин</w:t>
      </w:r>
      <w:r>
        <w:rPr>
          <w:i/>
        </w:rPr>
        <w:t xml:space="preserve"> </w:t>
      </w:r>
      <w:r>
        <w:t>началось осуществление Австралийского лонгитюдного исследования по проблемам охраны здоровья</w:t>
      </w:r>
      <w:r>
        <w:rPr>
          <w:i/>
        </w:rPr>
        <w:t xml:space="preserve"> </w:t>
      </w:r>
      <w:r>
        <w:t>женщин, известного как Австралийское исследование по проблемам женщин. В этом исследовании участвуют около 40 тыс. женщин, и оно посвящено изучению их индивидуального опыта в области охраны здоровья и благосостояния при одновременном анализе социальных, экономических и психологических факторов, влияющих на состояние их здоровья, и изысканию способов удовлетворения их потребностей в области охраны здоровья. Ожидается, что данное исследование продлится не менее 20 лет. Результаты анализов публикуются в средствах массовой информации и используются в процессе разработки политики и программ в области здравоохранения.</w:t>
      </w:r>
    </w:p>
    <w:p w:rsidR="00000000" w:rsidRDefault="00000000">
      <w:pPr>
        <w:pStyle w:val="1-1"/>
        <w:spacing w:before="120"/>
      </w:pPr>
      <w:r>
        <w:t>Фонд им. Джин Хейлс</w:t>
      </w:r>
    </w:p>
    <w:p w:rsidR="00000000" w:rsidRDefault="00000000">
      <w:pPr>
        <w:pStyle w:val="BodyText"/>
      </w:pPr>
      <w:r>
        <w:t>367.</w:t>
      </w:r>
      <w:r>
        <w:tab/>
        <w:t>В 1997 году правительство начало выделять Фонду им. Джин Хейлс средства для оказания поддержки разработанной Фондом интегрированной модели улучшения здоровья женщин в Австралии. Цель Фонда состоит в том, чтобы установить непосредственную связь между практической работой по охране здоровья, исследовательской деятельностью в общинах и профессиональным образованием для обеспечения того, чтобы знания, получаемые в результате инновационных исследований, отражались в стратегиях, которые помогут в профилактике заболеваний, совершенствовании методов лечения и улучшении состояния здоровья женщин. Некоторыми областями, в которых Фонд проводит образовательную и исследовательскую деятельность, являются менопаузный период, гормонозамещающая терапия, сердечно-сосудистые заболевания у женщин, предменструальный синдром и остеопороз. Фонд осуществляет национальную программу в области образования, включающую проведение вечерних семинаров в общинах и осуществление однодневных программ для медицинских специалистов общего профиля.</w:t>
      </w:r>
    </w:p>
    <w:p w:rsidR="00000000" w:rsidRDefault="00000000">
      <w:pPr>
        <w:pStyle w:val="1-1"/>
        <w:spacing w:before="120"/>
      </w:pPr>
      <w:r>
        <w:t>Женщины на руководящих должностях и должностях, связанных с принятием решений</w:t>
      </w:r>
    </w:p>
    <w:p w:rsidR="00000000" w:rsidRDefault="00000000">
      <w:pPr>
        <w:pStyle w:val="BodyText"/>
      </w:pPr>
      <w:r>
        <w:t>368.</w:t>
      </w:r>
      <w:r>
        <w:tab/>
        <w:t>Австралия провела у себя второе международное совещание Центра по вопросам развития здравоохранения Всемирной организации здравоохранения (WHO Kobe Centre) по теме "Женщины и здравоохранение". Это совещание состоялось в Канберре в апреле 2001 года, и в нем приняли участие более 50 женщин – ученых, медицинских работников, руководителей и правительственных должностных лиц из 16 стран. Совещание было посвящено вопросам увеличения потенциала и усиления роли женщин в руководстве системой здравоохранения, и по его итогам было опубликовано заявление с призывом к правительствам оказать поддержку в подготовке руководящих кадров из числа женщин и содействовать учету женской проблематики на всех уровнях принятия решений.</w:t>
      </w:r>
    </w:p>
    <w:p w:rsidR="00000000" w:rsidRDefault="00000000">
      <w:pPr>
        <w:pStyle w:val="BodyText"/>
      </w:pPr>
      <w:r>
        <w:t>369.</w:t>
      </w:r>
      <w:r>
        <w:tab/>
        <w:t>В 2000 и 2001 годах УВПЖ выделило нескольким неправительственным организациям средства для осуществления проектов, направленных на обеспечение более активного участия женщин в процессе принятия решений в секторе здравоохранения. Австралийская сеть по борьбе с раком молочной железы получила средства для разработки национальной стратегии по расширению участия женщин, страдающих раком молочной железы и являющихся реальными потребителями соответствующих услуг, в процессе разработки политики и принятия решений в связи с этим заболеванием. Сеть для пожилых женщин получила средства на осуществление проекта, связанного с изучением способов обеспечения пожилых женщин возможностью участвовать в процессе принятия решений в их общинах и оказанием пожилым женщинам помощи в сохранении позитивного отношения к окружающему миру и поддержании здорового образа жизни.</w:t>
      </w:r>
    </w:p>
    <w:p w:rsidR="00000000" w:rsidRDefault="00000000">
      <w:pPr>
        <w:pStyle w:val="1-1"/>
        <w:spacing w:before="120"/>
      </w:pPr>
      <w:r>
        <w:t>Женщины из числа коренного населения</w:t>
      </w:r>
    </w:p>
    <w:p w:rsidR="00000000" w:rsidRDefault="00000000">
      <w:pPr>
        <w:pStyle w:val="BodyText"/>
      </w:pPr>
      <w:r>
        <w:t>370.</w:t>
      </w:r>
      <w:r>
        <w:tab/>
        <w:t>Правительство выделяет финансовые средства на цели улучшения доступа коренного населения к всеобъемлющим услугам в области первичной медико-санитарной помощи. Эти средства позволяют оказывать скоординированную медицинскую помощь в стационарах, обеспечивать охрану здоровья населения и осуществлять информационно-просветительскую деятельность в области охраны здоровья, включая скрининг, услуги в дородовой период и услуги по охране здоровья матери и ребенка, в целях содействия проведению профилактических мероприятий, раннему выявлению и эффективному лечению заболеваний. Усилия в области сокращения материнской смертности и заболеваемости среди женщин-аборигенов включают строительство адекватных с точки зрения культуры местной общины родильных домов (в которых также обеспечивается дородовой уход), программы ухода за женщинами в дородовой период, подготовку медицинских работников из числа коренного населения и создание сети находящихся под контролем общин центров по оказанию первичной медико-санитарной помощи на местном уровне.</w:t>
      </w:r>
    </w:p>
    <w:p w:rsidR="00000000" w:rsidRDefault="00000000">
      <w:pPr>
        <w:pStyle w:val="BodyText"/>
      </w:pPr>
      <w:r>
        <w:t>371.</w:t>
      </w:r>
      <w:r>
        <w:tab/>
        <w:t>Фонд им. Джин Хейлс сотрудничает с руководителями общин коренного населения в штатах Виктория и Западная Австралия в проведении исследований в области охраны здоровья женщин-аборигенов, проживающих в труднодоступных районах. Темы исследований включают: распространенность нарушений менструального цикла и поликистозного овариального синдрома среди женщин-аборигенов; и просвещение в области профилактики и лечения диабета среди женщин-аборигенов. При участии женщин-аборигенов из региона Кимберли, штат Западная Австралия, была разработана образовательная программа под названием "Вы должны сами заботиться о себе". Среди материалов, подготовленных в рамках реализации данной программы, две брошюры и один видеофильм; в них пропагандируются преимущества здорового питания и здорового образа жизни, отвечающего культурным традициям местного населения.</w:t>
      </w:r>
    </w:p>
    <w:p w:rsidR="00000000" w:rsidRDefault="00000000">
      <w:pPr>
        <w:pStyle w:val="BodyText"/>
      </w:pPr>
      <w:r>
        <w:t>372.</w:t>
      </w:r>
      <w:r>
        <w:tab/>
        <w:t>См. также: доклад</w:t>
      </w:r>
      <w:r>
        <w:rPr>
          <w:i/>
        </w:rPr>
        <w:t xml:space="preserve"> </w:t>
      </w:r>
      <w:r>
        <w:t>Австралии об осуществлении Пекинской платформы действий (2000 год) и доклад Австралии об осуществлении Конвенции о ликвидации всех форм расовой дискриминации.</w:t>
      </w:r>
    </w:p>
    <w:p w:rsidR="00000000" w:rsidRDefault="00000000">
      <w:pPr>
        <w:pStyle w:val="1-1"/>
      </w:pPr>
      <w:r>
        <w:t>Женщины из различной культурной и языковой среды</w:t>
      </w:r>
    </w:p>
    <w:p w:rsidR="00000000" w:rsidRDefault="00000000">
      <w:pPr>
        <w:pStyle w:val="BodyText"/>
      </w:pPr>
      <w:r>
        <w:t>373.</w:t>
      </w:r>
      <w:r>
        <w:tab/>
        <w:t>В рамках своей просветительской деятельности организации, занимающиеся вопросами планирования размера семьи, работают с общинами, представляющими самые различные культуры. "Компания по охране здоровья трудящихся женщин, Инк." получает средства в рамках Программы по планированию размера семьи на просветительскую работу в области полового воспитания и охраны репродуктивного здоровья женщин из различной культурной и языковой среды, которые работают на фабриках или являются надомными работницами в штате Виктория.</w:t>
      </w:r>
    </w:p>
    <w:p w:rsidR="00000000" w:rsidRDefault="00000000">
      <w:pPr>
        <w:pStyle w:val="BodyText"/>
      </w:pPr>
      <w:r>
        <w:t>374.</w:t>
      </w:r>
      <w:r>
        <w:tab/>
        <w:t>Исследование под названием "Состояние здоровья женщин Австралии", которое направлено на выявление факторов, положительно и отрицательно влияющих на состояние здоровья женщин, завершает серию из двух исследований, охватывающих небольшие группы женщин из Филиппин и недавно прибывших иммигрантов из республик бывшей Югославии.</w:t>
      </w:r>
    </w:p>
    <w:p w:rsidR="00000000" w:rsidRDefault="00000000">
      <w:pPr>
        <w:pStyle w:val="1-1"/>
        <w:spacing w:before="120"/>
      </w:pPr>
      <w:r>
        <w:t>Женщины в сельских и труднодоступных районах</w:t>
      </w:r>
    </w:p>
    <w:p w:rsidR="00000000" w:rsidRDefault="00000000">
      <w:pPr>
        <w:pStyle w:val="BodyText"/>
      </w:pPr>
      <w:r>
        <w:t>375.</w:t>
      </w:r>
      <w:r>
        <w:tab/>
        <w:t>В области здравоохранения осуществляется целый ряд программ и инициатив, касающихся женщин, проживающих в сельских и труднодоступных районах. Служба по оказанию медицинских</w:t>
      </w:r>
      <w:r>
        <w:rPr>
          <w:i/>
        </w:rPr>
        <w:t xml:space="preserve"> </w:t>
      </w:r>
      <w:r>
        <w:t>услуг сельским женщинам</w:t>
      </w:r>
      <w:r>
        <w:rPr>
          <w:i/>
        </w:rPr>
        <w:t xml:space="preserve">, </w:t>
      </w:r>
      <w:r>
        <w:t>которая официально начала работать в марте 2000 года, занимается вопросами улучшения доступа к первичной и последующей медико-санитарной помощи для женщин в сельских районах Австралии, которые полностью или практически лишены доступа к женским консультациям. В бюджете на 2001/02 финансовый год были выделены дополнительные ассигнования для улучшения доступа пациентов, проживающих в сельских районах, к медицинским услугам путем предоставления поликлиникам общего профиля возможности задействовать медицинских сестер, занимающихся практической деятельностью в области женского здоровья.</w:t>
      </w:r>
    </w:p>
    <w:p w:rsidR="00000000" w:rsidRDefault="00000000">
      <w:pPr>
        <w:pStyle w:val="BodyText"/>
      </w:pPr>
      <w:r>
        <w:t>376.</w:t>
      </w:r>
      <w:r>
        <w:tab/>
        <w:t>Помимо этого, существуют целый ряд программ и инициатив, направленных на улучшение доступа сельских женщин к услугам в области первичной и последующей медико-санитарной помощи путем оказания поддержки институту сельских медицинских сестер. К их числу относятся: Программа</w:t>
      </w:r>
      <w:r>
        <w:rPr>
          <w:i/>
        </w:rPr>
        <w:t xml:space="preserve"> </w:t>
      </w:r>
      <w:r>
        <w:t>стипендий для жителей сельских и труднодоступных районов Австралии; поддержка, оказываемая Совету медицинских сестер из труднодоступных районов Австралии в организации курсов по оказанию экстренной медицинской помощи для медицинских сестер, работающих в труднодоступных районах, а также в проведении консультаций по вопросам поведения в чрезвычайных ситуациях для медицинских работников и их семей, проживающих в изолированных районах, с помощью горячей линии телефонной связи "Австралийский буш". В бюджете на 2001/02 финансовый год правительство выделило ассигнования на четырехлетний период для улучшения доступа студентов из сельских общин к обучению на курсах дипломированных медицинских сестер.</w:t>
      </w:r>
    </w:p>
    <w:p w:rsidR="00000000" w:rsidRDefault="00000000">
      <w:pPr>
        <w:pStyle w:val="1-1"/>
      </w:pPr>
      <w:r>
        <w:t>Пожилые женщины</w:t>
      </w:r>
    </w:p>
    <w:p w:rsidR="00000000" w:rsidRDefault="00000000">
      <w:pPr>
        <w:pStyle w:val="BodyText"/>
      </w:pPr>
      <w:r>
        <w:t>377.</w:t>
      </w:r>
      <w:r>
        <w:tab/>
        <w:t>В бюджете на 2001/02 финансовый год правительство выделило ассигнования на осуществление Расширенного пакета первичной медико-санитарной помощи, направленного на оказание помощи гражданам, испытывающим потребность в особом медицинском уходе (многие из которых являются пожилыми гражданами Австралии). Такая помощь включает покрытие расходов в связи с ежегодной диспансеризаций с целью раннего выявления у пожилых людей проблем со здоровьем; участие медицинских работников в планировании услуг в сотрудничестве с другими поставщиками медицинских и немедицинских услуг и покрытие расходов по планированию таких услуг и консультирования по индивидуальным историям болезни из фонда медицинского страхования "Медикер", а также разработка программы профессионального обучения, с тем чтобы помочь медицинским работникам в их практической деятельности; проведение дальнейшего испытания по координации медицинских услуг и более комплексных подходов к оказанию услуг, проверяя на деле новые улучшенные подходы к оказанию помощи; осуществление программ, обеспечивающих лицам, страдающим хроническими заболеваниями, возможность получать информацию о состоянии их здоровья и делиться опытом с другими аналогичными больными; и проведение дальнейших исследований и разработок в отношении новых видов использования информационных технологий для обеспечения более качественного ухода на основе обмена данными между поставщиками медицинских услуг.</w:t>
      </w:r>
    </w:p>
    <w:p w:rsidR="00000000" w:rsidRDefault="00000000">
      <w:pPr>
        <w:pStyle w:val="BodyText"/>
      </w:pPr>
      <w:r>
        <w:t>378.</w:t>
      </w:r>
      <w:r>
        <w:tab/>
        <w:t>В настоящее время ведется подготовка Национальной стратегии в интересах стареющего населения Австралии, цель которой состоит в разработке долгосрочного общенационального подхода в отношении проблемы старения населения страны. Стратегия будет включать четыре основные темы: самостоятельность и самодостаточность; качество ухода, отвечающее мировым стандартам; образ жизни и общинная поддержка; и охрана здоровья пожилых людей. Эта стратегия обеспечит основу для будущего решения вопросов, касающихся старения населения.</w:t>
      </w:r>
    </w:p>
    <w:p w:rsidR="00000000" w:rsidRDefault="00000000">
      <w:pPr>
        <w:pStyle w:val="BodyText"/>
      </w:pPr>
      <w:r>
        <w:t>379.</w:t>
      </w:r>
      <w:r>
        <w:tab/>
        <w:t>Как указывалось в комментариях по осуществлению статьи 7, правительство разработало новое законодательство, запрещающее дискриминацию по возрастному признаку. Законодательство увязывает необходимость ликвидации дискриминации по возрастному признаку с необходимостью обеспечения достаточной гибкости в ситуациях, в которых возрастные критерии имеют особое значение для политики. Для обеспечения такого равновесия правительство проводит консультации с большим числом предпринимательских ассоциаций и общинных организаций, включая организации, представляющие интересы пожилых женщин.</w:t>
      </w:r>
    </w:p>
    <w:p w:rsidR="00000000" w:rsidRDefault="00000000">
      <w:pPr>
        <w:pStyle w:val="1-1"/>
        <w:spacing w:before="120"/>
      </w:pPr>
      <w:r>
        <w:t>Женщины-инвалиды</w:t>
      </w:r>
    </w:p>
    <w:p w:rsidR="00000000" w:rsidRDefault="00000000">
      <w:pPr>
        <w:pStyle w:val="BodyText"/>
      </w:pPr>
      <w:r>
        <w:t>380.</w:t>
      </w:r>
      <w:r>
        <w:tab/>
        <w:t>В 2000/01 финансовом году Ассоциация женщин-инвалидов Австралии получила средства, выделенные в рамках Национальной программы по финансированию женских НПО, на осуществление проекта, касающегося стерилизации и охраны репродуктивного здоровья женщин-инвалидов.</w:t>
      </w:r>
    </w:p>
    <w:p w:rsidR="00000000" w:rsidRDefault="00000000">
      <w:pPr>
        <w:pStyle w:val="Article-ref"/>
      </w:pPr>
      <w:bookmarkStart w:id="475" w:name="_Toc70143007"/>
      <w:bookmarkStart w:id="476" w:name="_Toc70228734"/>
      <w:bookmarkStart w:id="477" w:name="_Toc70229135"/>
      <w:bookmarkStart w:id="478" w:name="_Toc70235401"/>
      <w:r>
        <w:t>Инициативы штатов и территорий</w:t>
      </w:r>
      <w:bookmarkEnd w:id="475"/>
      <w:bookmarkEnd w:id="476"/>
      <w:bookmarkEnd w:id="477"/>
      <w:bookmarkEnd w:id="478"/>
    </w:p>
    <w:p w:rsidR="00000000" w:rsidRDefault="00000000">
      <w:pPr>
        <w:pStyle w:val="Heading2"/>
      </w:pPr>
      <w:bookmarkStart w:id="479" w:name="_Toc70142834"/>
      <w:bookmarkStart w:id="480" w:name="_Toc70143008"/>
      <w:bookmarkStart w:id="481" w:name="_Toc70228735"/>
      <w:bookmarkStart w:id="482" w:name="_Toc70229136"/>
      <w:bookmarkStart w:id="483" w:name="_Toc70235402"/>
      <w:r>
        <w:t>Австралийская столичная территория</w:t>
      </w:r>
      <w:bookmarkEnd w:id="479"/>
      <w:bookmarkEnd w:id="480"/>
      <w:bookmarkEnd w:id="481"/>
      <w:bookmarkEnd w:id="482"/>
      <w:bookmarkEnd w:id="483"/>
    </w:p>
    <w:p w:rsidR="00000000" w:rsidRDefault="00000000">
      <w:pPr>
        <w:pStyle w:val="BodyText"/>
      </w:pPr>
      <w:r>
        <w:t>381.</w:t>
      </w:r>
      <w:r>
        <w:tab/>
        <w:t>Полномочия Комитета по изучению положения женщин при Законодательном собрании АСТ конкретно предусматривают изучение того, как воздействуют осуществляемые правительством программы на "доступ женщин к услугам, содействующим здоровому образу жизни". В ноябре 2002 года Комитет представил свои выводы по данному вопросу.</w:t>
      </w:r>
    </w:p>
    <w:p w:rsidR="00000000" w:rsidRDefault="00000000">
      <w:pPr>
        <w:pStyle w:val="BodyText"/>
        <w:spacing w:after="120"/>
      </w:pPr>
      <w:r>
        <w:t>382.</w:t>
      </w:r>
      <w:r>
        <w:tab/>
        <w:t>Правительство продолжает оказывать женщинам услуги в области охраны здоровья и поддержания их благополучия. К числу таких услуг относятся: Программа обследований (скрининг) для выявления рака молочной железы и рака шейки матки; услуги, предоставляемые женщинам-мигрантам Службой по охране здоровья мигрантов; программы просвещения и профилактики по вопросам калечащих операций на половых органах женщин; Программа подготовки акушерок в</w:t>
      </w:r>
      <w:r>
        <w:rPr>
          <w:i/>
        </w:rPr>
        <w:t xml:space="preserve"> </w:t>
      </w:r>
      <w:r>
        <w:t>Канберре; "Говорят женщины" – служба по оказанию женщинам доступных консультационных услуг по вопросам урегулирования различных бытовых ситуаций по принципу "женщины – женщинам"; Канберрский центр для жертв изнасилований; развитие и поддержка общин коренного населения и информационно-просветительская работа по вопросам сексуального насилия; Служба по оказанию судебно-медицинских услуг в связи с сексуальным насилием; Программа подготовки акушерок из</w:t>
      </w:r>
      <w:r>
        <w:rPr>
          <w:i/>
        </w:rPr>
        <w:t xml:space="preserve"> </w:t>
      </w:r>
      <w:r>
        <w:t>числа женщин-аборигенов и обеспечение альтернативных акушерских услуг для женщин-аборигенов; просветительско-профилактическая программа "Здоровые малыши"</w:t>
      </w:r>
      <w:r>
        <w:rPr>
          <w:i/>
        </w:rPr>
        <w:t xml:space="preserve"> </w:t>
      </w:r>
      <w:r>
        <w:t>по вопросам здравоохранения, ориентированная на женщин, находящихся в уязвимом с социальной точки зрения положении; и Служба по охране здоровья женщин, являющаяся службой общинного развития и поддержки для женщин, пострадавших в результате насилия. Правительство также оплачивает услуги ряда неправительственных организаций, включая: Женский центр по вопросам здравоохранения, представляющий собой информационный общинный центр; Службу АСТ по вопросам планирования семьи, занимающуюся вопросами сексуального и репродуктивного здоровья; Дом "Каринья" для матерей и малышей, обеспечивающий поддержку и кратковременный приют для бездомных женщин; и группу молодых матерей.</w:t>
      </w:r>
    </w:p>
    <w:p w:rsidR="00000000" w:rsidRDefault="00000000">
      <w:pPr>
        <w:pStyle w:val="Heading2"/>
        <w:spacing w:before="120"/>
      </w:pPr>
      <w:bookmarkStart w:id="484" w:name="_Toc70142835"/>
      <w:bookmarkStart w:id="485" w:name="_Toc70143009"/>
      <w:bookmarkStart w:id="486" w:name="_Toc70228736"/>
      <w:bookmarkStart w:id="487" w:name="_Toc70229137"/>
      <w:bookmarkStart w:id="488" w:name="_Toc70235403"/>
      <w:r>
        <w:t>Новый Южный Уэльс</w:t>
      </w:r>
      <w:bookmarkEnd w:id="484"/>
      <w:bookmarkEnd w:id="485"/>
      <w:bookmarkEnd w:id="486"/>
      <w:bookmarkEnd w:id="487"/>
      <w:bookmarkEnd w:id="488"/>
    </w:p>
    <w:p w:rsidR="00000000" w:rsidRDefault="00000000">
      <w:pPr>
        <w:pStyle w:val="BodyText"/>
      </w:pPr>
      <w:r>
        <w:t>383.</w:t>
      </w:r>
      <w:r>
        <w:rPr>
          <w:i/>
        </w:rPr>
        <w:tab/>
      </w:r>
      <w:r>
        <w:t>План действий в интересах женщин (на 2000–2002 годы) направлен на решение проблем, связанных с охраной здоровья женщин и повышением качества жизни, в соответствии с положениями КЛДЖ и Пекинской платформой действий. Департамент здравоохранения штата Новый Южный Уэльс финансирует соответствующие услуги с помощью Национальной программы по охране здоровья женщин и разработал Стратегическую рамочную программу штата Новый Южный Уэльс по улучшению состояния здоровья женщин, в которой содержатся руководящие принципы политики и практической деятельности в этой области, которыми могут пользоваться все работники системы здравоохранения. В центре внимания этой Рамочной программы – использование гендерного подхода в сфере здравоохранения на основе совместной работы с другими заинтересованными сторонами для устранения социальных факторов, негативно влияющих на состояние здоровья женщин, активизации исследований по вопросам охраны здоровья женщин и применения ориентированного на результаты подхода. Департамент здравоохранения штата Новый Южный Уэльс также принимает меры к тому, чтобы женщины из неанглоязычной среды имели доступ к информации и услугам в области здравоохранения.</w:t>
      </w:r>
    </w:p>
    <w:p w:rsidR="00000000" w:rsidRDefault="00000000">
      <w:pPr>
        <w:pStyle w:val="BodyText"/>
      </w:pPr>
      <w:r>
        <w:t>384.</w:t>
      </w:r>
      <w:r>
        <w:rPr>
          <w:i/>
        </w:rPr>
        <w:tab/>
      </w:r>
      <w:r>
        <w:t>Рамочная программа по охране материнства 2000 года</w:t>
      </w:r>
      <w:r>
        <w:rPr>
          <w:i/>
        </w:rPr>
        <w:t>,</w:t>
      </w:r>
      <w:r>
        <w:t xml:space="preserve"> рассчитанная на 5 лет, представляет собой основу для обеспечения гибкости в оказании учитывающих потребности женщин услуг в области охраны материнского здоровья. В целях улучшения качества акушерских услуг и услуг по охране здоровья матери и ребенка повсюду в Новом Южном Уэльсе выделены дополнительные ассигнования. Улучшение состояния здоровья женщин-аборигенов и их детей является целью осуществляемых шестью районными службами здравоохранения программ мероприятий непосредственно в общинах. Эти программы позволяют расширить доступ женщин-аборигенов к услугам в области дородового ухода, более эффективно выявлять и случаи беременности, связанные с повышенным риском, и осуществлять соответствующее сопровождение таких беременностей, оказывать большую поддержку матерям подросткового возраста.</w:t>
      </w:r>
    </w:p>
    <w:p w:rsidR="00000000" w:rsidRDefault="00000000">
      <w:pPr>
        <w:pStyle w:val="BodyText"/>
      </w:pPr>
      <w:r>
        <w:t>385.</w:t>
      </w:r>
      <w:r>
        <w:tab/>
        <w:t>Организация АПС, действующая в сфере здравоохранения при финансовой поддержке федерального правительства и правительства штата Новый Южный Уэльс, обеспечивает женщин новейшей информацией по вопросам ВИЧ/СПИДа. Среди женщин распространяются информационные бюллетени, организуются курсы подготовки медицинских работников-женщин, а также и по оказанию поддержки и просвещению. Информационные бюллетени переводятся на шесть языков, на которых говорят общины (арабский, тайский, кхмерский, вьетнамский, испанский и китайский), для обеспечения женщин из неанглоязычной среды соответствующей информацией с учетом их культурных традиций.</w:t>
      </w:r>
    </w:p>
    <w:p w:rsidR="00000000" w:rsidRDefault="00000000">
      <w:pPr>
        <w:pStyle w:val="BodyText"/>
      </w:pPr>
      <w:r>
        <w:t>386.</w:t>
      </w:r>
      <w:r>
        <w:tab/>
        <w:t>Был подготовлен информационный документ, посвященный проблеме депрессии и сопряженного с риском поведения среди молодых женщин, и проведен обзор деятельности, осуществляемой правительством и общинами для решения этих вопросов, а также подходов к предупреждению нездорового образа жизни и нарушений из-за неправильного питания.</w:t>
      </w:r>
    </w:p>
    <w:p w:rsidR="00000000" w:rsidRDefault="00000000">
      <w:pPr>
        <w:pStyle w:val="BodyText"/>
        <w:spacing w:after="120"/>
      </w:pPr>
      <w:r>
        <w:t>387.</w:t>
      </w:r>
      <w:r>
        <w:tab/>
        <w:t>Женщины являются одной из целевых групп в рамках программы под названием "Быть активной всегда: план по пропаганде физической культуры в штате Новый Южный Уэльс на 1998–2002 годы". Кроме того, План штата Новый Южный Уэльс по привлечению женщин к занятиям спортом и рекреационной деятельности на 1999–2002 годы направлен на обеспечение более активного участия женщин и девушек в занятиях спортом, рекреационной деятельности и занятиях физической культурой на всех уровнях и в любом качестве.</w:t>
      </w:r>
    </w:p>
    <w:p w:rsidR="00000000" w:rsidRDefault="00000000">
      <w:pPr>
        <w:pStyle w:val="Heading2"/>
        <w:spacing w:before="120"/>
      </w:pPr>
      <w:bookmarkStart w:id="489" w:name="_Toc70142836"/>
      <w:bookmarkStart w:id="490" w:name="_Toc70143010"/>
      <w:bookmarkStart w:id="491" w:name="_Toc70228737"/>
      <w:bookmarkStart w:id="492" w:name="_Toc70229138"/>
      <w:bookmarkStart w:id="493" w:name="_Toc70235404"/>
      <w:r>
        <w:t>Северная территория</w:t>
      </w:r>
      <w:bookmarkEnd w:id="489"/>
      <w:bookmarkEnd w:id="490"/>
      <w:bookmarkEnd w:id="491"/>
      <w:bookmarkEnd w:id="492"/>
      <w:bookmarkEnd w:id="493"/>
    </w:p>
    <w:p w:rsidR="00000000" w:rsidRDefault="00000000">
      <w:pPr>
        <w:pStyle w:val="BodyText"/>
      </w:pPr>
      <w:r>
        <w:t>388.</w:t>
      </w:r>
      <w:r>
        <w:tab/>
        <w:t>Женщины – работники системы здравоохранения, медицинские сестры, вспомогательный медицинский персонал и врачи играют важную роль в оказании первичной медико-санитарной помощи в общинах коренного населения, проживающих в труднодоступных районах. Медицинские работники из некоторых центров сотрудничали с организациями коренных общин с целью обеспечить женщинам, находящимся в стационарах, доступ к традиционным акушерским услугам и услугам в области послеродового ухода. Была разработана пилотная программа "совместного ухода", осуществляемая персоналом Катерининской больницы и сотрудниками местной службы по охране здоровья коренного населения.</w:t>
      </w:r>
    </w:p>
    <w:p w:rsidR="00000000" w:rsidRDefault="00000000">
      <w:pPr>
        <w:pStyle w:val="BodyText"/>
      </w:pPr>
      <w:r>
        <w:t>389.</w:t>
      </w:r>
      <w:r>
        <w:tab/>
        <w:t>В Дарвине два дома были переоборудованы под корпуса для кратковременного размещения пациентов больницы. Эти корпуса расположены рядом с больницей и предоставляют приют женщинам и их семьям из сельских и отдаленных районов. В корпусах могут размещаться родители с больными детьми, родственники тех лиц, которые были помещены в больницу, лица, нуждающиеся в специальных обследованиях и/или процедурах, или женщины в ожидании начала родов.</w:t>
      </w:r>
    </w:p>
    <w:p w:rsidR="00000000" w:rsidRDefault="00000000">
      <w:pPr>
        <w:pStyle w:val="BodyText"/>
        <w:spacing w:after="120"/>
      </w:pPr>
      <w:r>
        <w:t>390.</w:t>
      </w:r>
      <w:r>
        <w:tab/>
        <w:t>Для женщин Северной территории в возрасте старше 50 лет были открыты бесплатные центры маммографических обследований, а также организованы передвижные группы по проведению таких обследований, которые раз в год посещают некоторые крупные центры в целях заблаговременного выявления заболеваний раком молочной железы.</w:t>
      </w:r>
    </w:p>
    <w:p w:rsidR="00000000" w:rsidRDefault="00000000">
      <w:pPr>
        <w:pStyle w:val="Heading2"/>
        <w:spacing w:before="120"/>
      </w:pPr>
      <w:bookmarkStart w:id="494" w:name="_Toc70142837"/>
      <w:bookmarkStart w:id="495" w:name="_Toc70143011"/>
      <w:bookmarkStart w:id="496" w:name="_Toc70228738"/>
      <w:bookmarkStart w:id="497" w:name="_Toc70229139"/>
      <w:bookmarkStart w:id="498" w:name="_Toc70235405"/>
      <w:r>
        <w:t>Квинсленд</w:t>
      </w:r>
      <w:bookmarkEnd w:id="494"/>
      <w:bookmarkEnd w:id="495"/>
      <w:bookmarkEnd w:id="496"/>
      <w:bookmarkEnd w:id="497"/>
      <w:bookmarkEnd w:id="498"/>
    </w:p>
    <w:p w:rsidR="00000000" w:rsidRDefault="00000000">
      <w:pPr>
        <w:pStyle w:val="BodyText"/>
      </w:pPr>
      <w:r>
        <w:t>391.</w:t>
      </w:r>
      <w:r>
        <w:tab/>
        <w:t>Услуги в области здравоохранения для женщин и девушек обеспечиваются силами правительственных служб, неправительственных организаций и организаций частного сектора, в том числе медицинскими работниками общего профиля, помогающими решать многие вопросы в области репродуктивного здоровья, такие как регулирование менструального цикла, фертильность, практика безопасного секса, использование противозачаточных средств, аборты, бесплодие, деторождение, грудное вскармливание, болезни, передаваемые половым путем, заболевания репродуктивных органов и менопауза.</w:t>
      </w:r>
    </w:p>
    <w:p w:rsidR="00000000" w:rsidRDefault="00000000">
      <w:pPr>
        <w:pStyle w:val="BodyText"/>
      </w:pPr>
      <w:r>
        <w:t>392.</w:t>
      </w:r>
      <w:r>
        <w:tab/>
        <w:t>В Стратегическом плане штата Квинсленд в области здравоохранения на 2000–2010 годы главная задача системы здравоохранения штата определяется как оказание помощи в улучшении состояния здоровья населения и повышении его благополучия. Составной частью этой задачи является осуществление гендерных подходов в трех приоритетных областях данной стратегии: снижение уровня заболеваемости, улучшение состояния здоровья коренного населения и сбалансированность инвестиций, выделяемых на цели здравоохранения.</w:t>
      </w:r>
    </w:p>
    <w:p w:rsidR="00000000" w:rsidRDefault="00000000">
      <w:pPr>
        <w:pStyle w:val="BodyText"/>
        <w:spacing w:after="120"/>
      </w:pPr>
      <w:r>
        <w:t>393.</w:t>
      </w:r>
      <w:r>
        <w:tab/>
        <w:t>Департамент по вопросам здравоохранения штата Квинсленд уделяет повышенное внимание инновационным услугам и подходам в интересах детей, молодых людей и их семей. Некоторые из этих инициатив включают: Инициативу по борьбе с насилием в семье, которая направлена на расширение возможностей системы здравоохранения по более эффективному выявлению случаев насилия и оказания более конкретной помощи женщинам и детям, которые становятся жертвами насилия в семье; Инициативу в области принятия на раннем этапе мер по обеспечению безопасности и здоровья семей, которая объединяет Инициативу по борьбе с насилием в семье и Программу</w:t>
      </w:r>
      <w:r>
        <w:rPr>
          <w:i/>
        </w:rPr>
        <w:t xml:space="preserve"> </w:t>
      </w:r>
      <w:r>
        <w:t>посещения семей на дому; Программу по оказанию поддержки молодым родителям, в рамках которой предоставляется ряд услуг, в том числе посещения на дому, помощь молодым беременным женщинам, рискующим стать жертвами насилия в семье или жестокого обращения; Программу позитивного выполнения родительских обязанностей, которая направлена на оказание более конкретных медицинских услуг, обеспечения наставничества и поддержки для семей с детьми с поведенческими проблемами; и Программу поощрения здорового образа жизни в школах, которая призвана создать условия, обеспечивающие здоровье и благополучие всего школьного сообщества.</w:t>
      </w:r>
    </w:p>
    <w:p w:rsidR="00000000" w:rsidRDefault="00000000">
      <w:pPr>
        <w:pStyle w:val="BodyText"/>
        <w:spacing w:after="120"/>
      </w:pPr>
      <w:r>
        <w:t>394.</w:t>
      </w:r>
      <w:r>
        <w:tab/>
        <w:t>В контексте реализации Общенациональной программы по охране здоровья женщин Департамент по вопросам здравоохранения штата Квинсленд финансирует 8 центров по охране здоровья женщин и 2 сети (сети по охране здоровья женщин и пожилых женщин штата Квинсленд). Другими основными проектами по улучшению состояния здоровья женщин и расширению их доступа к соответствующим услугам являются: Программа штата Квинсленд "БрестСкрин"; Стратегия проведения цервикальных обследований среди женщин-аборигенов в штате Квинсленд и Программа</w:t>
      </w:r>
      <w:r>
        <w:rPr>
          <w:i/>
        </w:rPr>
        <w:t xml:space="preserve"> </w:t>
      </w:r>
      <w:r>
        <w:t>по проведению цервикальных обследований в штате Квинсленд; Программа по охране</w:t>
      </w:r>
      <w:r>
        <w:rPr>
          <w:i/>
        </w:rPr>
        <w:t xml:space="preserve"> </w:t>
      </w:r>
      <w:r>
        <w:t>репродуктивного здоровья женщин, которая помогает женщинам в известной степени самим контролировать процесс деторождения и выбирать средства для охраны своего репродуктивного здоровья; программа</w:t>
      </w:r>
      <w:r>
        <w:rPr>
          <w:i/>
        </w:rPr>
        <w:t xml:space="preserve"> </w:t>
      </w:r>
      <w:r>
        <w:t>"Забота о своем здоровье" для лиц, оказывающих платные сексуальные услуги в</w:t>
      </w:r>
      <w:r>
        <w:rPr>
          <w:i/>
        </w:rPr>
        <w:t xml:space="preserve"> </w:t>
      </w:r>
      <w:r>
        <w:t>штате Квинсленд, осуществление которой началось в 1997 году в целях предотвращения распространения ВИЧ и других болезней, передаваемых половым путем, среди лиц, оказывающих платные сексуальные услуги, их клиентов и партнеров; Программа финансирования общинных организаций психиатрической помощи, осуществляемая в интересах женщин силами Группы оказания поддержки в случае послеродовых дисфункций, Группы оказания поддержки в случае послеродового стресса, Информационного центра по проблемам в связи с неправильным питанием и Центра женщин по оказанию помощи в связи с проблемами питания; Политика в области охраны здоровья коренного населения и жителей островов Торресова пролива; Политика по охране здоровья граждан из различной культурной среды и Политика в области оказания лингвистических услуг, которые направлены на облегчение доступа к медицинской информации и медицинским услугам для людей из различной культурной и языковой среды; а также Десятилетний план строительства больниц и медицинских учреждений, который будет способствовать модернизации служб, занимающихся охраной здоровья женщин.</w:t>
      </w:r>
    </w:p>
    <w:p w:rsidR="00000000" w:rsidRDefault="00000000">
      <w:pPr>
        <w:pStyle w:val="Heading2"/>
        <w:spacing w:before="120"/>
      </w:pPr>
      <w:bookmarkStart w:id="499" w:name="_Toc70142838"/>
      <w:bookmarkStart w:id="500" w:name="_Toc70143012"/>
      <w:bookmarkStart w:id="501" w:name="_Toc70228739"/>
      <w:bookmarkStart w:id="502" w:name="_Toc70229140"/>
      <w:bookmarkStart w:id="503" w:name="_Toc70235406"/>
      <w:r>
        <w:t>Южная Австралия</w:t>
      </w:r>
      <w:bookmarkEnd w:id="499"/>
      <w:bookmarkEnd w:id="500"/>
      <w:bookmarkEnd w:id="501"/>
      <w:bookmarkEnd w:id="502"/>
      <w:bookmarkEnd w:id="503"/>
    </w:p>
    <w:p w:rsidR="00000000" w:rsidRDefault="00000000">
      <w:pPr>
        <w:pStyle w:val="BodyText"/>
      </w:pPr>
      <w:r>
        <w:t>395.</w:t>
      </w:r>
      <w:r>
        <w:tab/>
        <w:t>Правительство поддерживает ряд инициатив, направленных на удовлетворение потребностей женщин в области здравоохранения, и в настоящее время разрабатывает политику по охране здоровья и благополучия женщин в целях выявления проблем в области охраны здоровья женщин и определения стратегий для их решения. Некоторыми из основных мер являются:</w:t>
      </w:r>
    </w:p>
    <w:p w:rsidR="00000000" w:rsidRDefault="00000000">
      <w:pPr>
        <w:pStyle w:val="enumlev-2"/>
      </w:pPr>
      <w:r>
        <w:t>предоставляемые на базе общин услуги по охране здоровья, конкретно предназначенные для женщин в городских и сельских районах и для неправительственных организаций, работающих над проблемами улучшения состояния здоровья женщин;</w:t>
      </w:r>
    </w:p>
    <w:p w:rsidR="00000000" w:rsidRDefault="00000000">
      <w:pPr>
        <w:pStyle w:val="enumlev-2"/>
      </w:pPr>
      <w:r>
        <w:t>ряд услуг, отвечающих потребностям женщин, ставших жертвами насилия в семье, в том числе организация приютов, предоставление вспомогательных услуг, проведение консультаций в кризисных ситуациях и разработка стратегий профилактической работы в общинах. В рамках инициативы "Партнерства по борьбе с насилием в семье" выделены ассигнования на осуществление проекта "Все прошло, но память жива", который посвящен вопросам воздействия насилия на психическое здоровье женщин, и проекта "Безопасная жизнь в коренных общинах";</w:t>
      </w:r>
    </w:p>
    <w:p w:rsidR="00000000" w:rsidRDefault="00000000">
      <w:pPr>
        <w:pStyle w:val="enumlev-2"/>
      </w:pPr>
      <w:r>
        <w:t>Служба поддержки жертв изнасилований и сексуальных домогательств "Ярроу-плейс" оказывает непосредственные услуги женщинам, которые подверглись сексуальным домогательствам, обеспечивает профессиональную подготовку соответствующих работников и разрабатывает для них и их учреждений материалы и распространяет их повсюду в штате, а также осуществляет координацию в области политики, планирования и оказания услуг жертвам изнасилований и сексуальных домогательств;</w:t>
      </w:r>
    </w:p>
    <w:p w:rsidR="00000000" w:rsidRDefault="00000000">
      <w:pPr>
        <w:pStyle w:val="enumlev-2"/>
      </w:pPr>
      <w:r>
        <w:t>Программы штата Южная Австралия по выявлению рака молочной железы и рака шейки матки</w:t>
      </w:r>
      <w:r>
        <w:rPr>
          <w:i/>
        </w:rPr>
        <w:t xml:space="preserve"> </w:t>
      </w:r>
      <w:r>
        <w:t>направлены на сокращение женской смертности в результате онкологических заболеваний;</w:t>
      </w:r>
    </w:p>
    <w:p w:rsidR="00000000" w:rsidRDefault="00000000">
      <w:pPr>
        <w:pStyle w:val="enumlev-2"/>
      </w:pPr>
      <w:r>
        <w:t>специализированный консультационный центр по проблемам беременности обеспечивает безопасные, высококачественные и доступные услуги для женщин с нежелательной беременностью;</w:t>
      </w:r>
    </w:p>
    <w:p w:rsidR="00000000" w:rsidRDefault="00000000">
      <w:pPr>
        <w:pStyle w:val="enumlev-2"/>
      </w:pPr>
      <w:r>
        <w:t>Проект по повышению профессионального уровня акушерского персонала, который ориентирован на женщин-аборигенов и женщин, проживающих в сельских районах, предоставляет безопасные, надежные и качественные услуги по охране здоровья беременных женщин на базе общин путем обеспечения женщинам доступа к непрерывному уходу со стороны квалифицированного акушерского персонала в дородовый период, во время родов и после рождения ребенка; и</w:t>
      </w:r>
    </w:p>
    <w:p w:rsidR="00000000" w:rsidRDefault="00000000">
      <w:pPr>
        <w:pStyle w:val="enumlev-2"/>
        <w:spacing w:after="240"/>
      </w:pPr>
      <w:r>
        <w:t>оказание содействия нуждающимся женщинам в получении доступа к аренде государственного, частного и общинного жилья.</w:t>
      </w:r>
    </w:p>
    <w:p w:rsidR="00000000" w:rsidRDefault="00000000">
      <w:pPr>
        <w:pStyle w:val="BodyText"/>
        <w:spacing w:after="120"/>
      </w:pPr>
      <w:r>
        <w:t>396.</w:t>
      </w:r>
      <w:r>
        <w:tab/>
        <w:t>Разработаны стратегии для устранения неравенства в области здравоохранения и удовлетворения конкретных потребностей в области здравоохранения для женщин-аборигенов, женщин из различной культурной и языковой среды, малоимущих женщин, женщин, проживающих в сельских или труднодоступных районах, и т. п.</w:t>
      </w:r>
    </w:p>
    <w:p w:rsidR="00000000" w:rsidRDefault="00000000">
      <w:pPr>
        <w:pStyle w:val="Heading2"/>
        <w:spacing w:before="120"/>
      </w:pPr>
      <w:bookmarkStart w:id="504" w:name="_Toc70142839"/>
      <w:bookmarkStart w:id="505" w:name="_Toc70143013"/>
      <w:bookmarkStart w:id="506" w:name="_Toc70228740"/>
      <w:bookmarkStart w:id="507" w:name="_Toc70229141"/>
      <w:bookmarkStart w:id="508" w:name="_Toc70235407"/>
      <w:r>
        <w:t>Тасмания</w:t>
      </w:r>
      <w:bookmarkEnd w:id="504"/>
      <w:bookmarkEnd w:id="505"/>
      <w:bookmarkEnd w:id="506"/>
      <w:bookmarkEnd w:id="507"/>
      <w:bookmarkEnd w:id="508"/>
    </w:p>
    <w:p w:rsidR="00000000" w:rsidRDefault="00000000">
      <w:pPr>
        <w:pStyle w:val="BodyText"/>
      </w:pPr>
      <w:r>
        <w:t>397.</w:t>
      </w:r>
      <w:r>
        <w:tab/>
        <w:t>Правительство оказывает содействие в активном осуществлении Программы по охране здоровья женщин, которая включает: политику и планирование мероприятий в области охраны здоровья женщин; Программу обеспечения доступа женщин к услугам в области здравоохранения, которая предусматривает оказание информационных и акушерских услуг, проведение обследований (скрининга) для выявления онкологических заболеваний и содействие созданию инфраструктуры для решения вопросов, касающихся охраны здоровья женщин; выделение грантов и контроль за соблюдением соглашений о порядке работы служб и проектов в рамках неправительственного сектора, занимающихся вопросами охраны здоровья женщин, включая Женский медицинский центр Хобарта; инициативы, осуществляемые при финансовой поддержке федерального правительства, включая Национальную просветительскую программу по борьбе с практикой калечащих операций на половых органах женщин и Программу обеспечения альтернативных акушерских услуг; развитие отношений сотрудничества с другими учреждениями, действующими в смежных областях, и участие в проектах в связи с приоритетными задачами в области охраны здоровья женщин, например в проектах, финансируемых в рамках Федеральной программы "Партнерства по борьбе с насилием в</w:t>
      </w:r>
      <w:r>
        <w:rPr>
          <w:i/>
        </w:rPr>
        <w:t xml:space="preserve"> </w:t>
      </w:r>
      <w:r>
        <w:t>семье"; а также разработку нового Плана по охране здоровья женщин в консультации с женщинами и службами, которые занимаются охраной здоровья женщин.</w:t>
      </w:r>
    </w:p>
    <w:p w:rsidR="00000000" w:rsidRDefault="00000000">
      <w:pPr>
        <w:pStyle w:val="BodyText"/>
        <w:spacing w:after="120"/>
      </w:pPr>
      <w:r>
        <w:t>398.</w:t>
      </w:r>
      <w:r>
        <w:tab/>
        <w:t>В качестве примеров конкретных проектов, осуществляемых в рамках Программы по охране</w:t>
      </w:r>
      <w:r>
        <w:rPr>
          <w:i/>
        </w:rPr>
        <w:t xml:space="preserve"> </w:t>
      </w:r>
      <w:r>
        <w:t>здоровья женщин, можно привести: проект обучения силами местных инструкторов, ориентированный на женщин из суданской общины; проект в интересах пожилых женщин, посвященный исследованию вопросов жизни в сельской местности и труднодоступных районах; проект, направленный на поощрение грудного вскармливания, ориентированный на молодых женщин из северо-западной части штата; сеть поликлиник в сельских районах под названием "Здоровые женщины"; Обзор услуг, предоставляемых беременным женщинам, и их результаты; проект под названием "Альтернативы насилию"; проект "Женщины, психическое здоровье и насилие в семье"; семинары для пожилых женщин по половым вопросам; проект, посвященный женщинам-инвалидам; учебные интернет-занятия для пожилых женщин; передвижная выставка по вопросам охраны здоровья женщин; проект под названием "Женщины в тюрьмах"; и проект "Молодые женщины и членовредительство".</w:t>
      </w:r>
    </w:p>
    <w:p w:rsidR="00000000" w:rsidRDefault="00000000">
      <w:pPr>
        <w:pStyle w:val="Heading2"/>
        <w:spacing w:before="120"/>
      </w:pPr>
      <w:bookmarkStart w:id="509" w:name="_Toc70142840"/>
      <w:bookmarkStart w:id="510" w:name="_Toc70143014"/>
      <w:bookmarkStart w:id="511" w:name="_Toc70228741"/>
      <w:bookmarkStart w:id="512" w:name="_Toc70229142"/>
      <w:bookmarkStart w:id="513" w:name="_Toc70235408"/>
      <w:r>
        <w:t>Штат Виктория</w:t>
      </w:r>
      <w:bookmarkEnd w:id="509"/>
      <w:bookmarkEnd w:id="510"/>
      <w:bookmarkEnd w:id="511"/>
      <w:bookmarkEnd w:id="512"/>
      <w:bookmarkEnd w:id="513"/>
    </w:p>
    <w:p w:rsidR="00000000" w:rsidRDefault="00000000">
      <w:pPr>
        <w:pStyle w:val="BodyText"/>
      </w:pPr>
      <w:r>
        <w:t>399.</w:t>
      </w:r>
      <w:r>
        <w:tab/>
        <w:t>Правительство разработало Стратегию в области охраны здоровья и благополучия женщин. Эта стратегия основана на социальной модели здравоохранения и будет ориентироваться на улучшение состояния здоровья женщин на протяжении всей жизни. В качестве групп, которые ранее имели ограниченный доступ к консультационным услугам и которые требуют повышенного внимания со стороны общественности, были выделены женщины из числа коренного населения, лесбиянки, женщины, находящиеся в заключении и вышедшие на свободу, женщины-инвалиды и трудящиеся женщины. В процессе разработки стратегии повсюду в штате были проведены активные консультации. Другие инициативы включают: обзор программы руководящих принципов для служб по охране здоровья женщин, направленной на разъяснение роли местных, региональных служб и служб штатов и их функций в области пропаганды здорового образа жизни, раннего вмешательства и просветительской деятельности; проводимые раз в два года обследования для выявления раковых заболеваний молочной железы в целевой группе женщин в возрасте 50–69 лет; финансирование проводимых в школах для девушек программ, охватывающих вопросы здорового питания, употребления наркотических веществ и репродуктивного здоровья; и Программу услуг для</w:t>
      </w:r>
      <w:r>
        <w:rPr>
          <w:i/>
        </w:rPr>
        <w:t xml:space="preserve"> </w:t>
      </w:r>
      <w:r>
        <w:t>беременных женщин в целях улучшения доступа и обеспечения непрерывных ухода и поддержки для женщин и их семей, а также обеспечения дополнительной поддержки беременным женщинам из числа коренного населения в соответствии с их культурными традициями.</w:t>
      </w:r>
    </w:p>
    <w:p w:rsidR="00000000" w:rsidRDefault="00000000">
      <w:pPr>
        <w:pStyle w:val="Heading2"/>
      </w:pPr>
      <w:bookmarkStart w:id="514" w:name="_Toc70142841"/>
      <w:bookmarkStart w:id="515" w:name="_Toc70143015"/>
      <w:bookmarkStart w:id="516" w:name="_Toc70228742"/>
      <w:bookmarkStart w:id="517" w:name="_Toc70229143"/>
      <w:bookmarkStart w:id="518" w:name="_Toc70235409"/>
      <w:r>
        <w:t>Западная Австралия</w:t>
      </w:r>
      <w:bookmarkEnd w:id="514"/>
      <w:bookmarkEnd w:id="515"/>
      <w:bookmarkEnd w:id="516"/>
      <w:bookmarkEnd w:id="517"/>
      <w:bookmarkEnd w:id="518"/>
    </w:p>
    <w:p w:rsidR="00000000" w:rsidRDefault="00000000">
      <w:pPr>
        <w:pStyle w:val="BodyText"/>
      </w:pPr>
      <w:r>
        <w:t>400.</w:t>
      </w:r>
      <w:r>
        <w:tab/>
        <w:t>Начиная с 1999–2001 годов Управление по вопросам политики в отношении женщин сотрудничало с Департаментом здравоохранения в деле разработки правительственной стратегии, направленной на расширение доступа женщин к услугам в области здравоохранения. Инициативы включали: расширение доступа к медицинским услугам для малоимущих женщин; бесплатная линия телефонной связи для сельских женщин; стратегии в области набора персонала для увеличения охвата населения обследованиями в целях выявления рака молочной железы и рака шейки матки; поддержка женщин, осуществляющих уход за другими людьми; финансовая поддержка услуг, дающих женщинам возможность отдохнуть от своих обязанностей; повышение эффективности стратегий в области питания для женщин-аборигенов и малоимущих женщин; поощрение здорового образа жизни; удовлетворение потребностей в области охраны психического здоровья; и повышение качества информационных и консультационных услуг с помощью различных электронных средств массовой информации.</w:t>
      </w:r>
    </w:p>
    <w:p w:rsidR="00000000" w:rsidRDefault="00000000">
      <w:pPr>
        <w:pStyle w:val="BodyText"/>
      </w:pPr>
      <w:r>
        <w:t>401.</w:t>
      </w:r>
      <w:r>
        <w:tab/>
        <w:t>Правительство также выделяет ассигнования на модернизацию крупных женских и детских больниц; обеспечение услуг патронажных сестер для семей с младенцами и малолетними детьми; предоставление женщинам консультационных услуг на базе общин с уделением особого внимания проблеме послеродовой депрессии; Программу улучшения состояния здоровья, посвященную вопросам охраны здоровья и поощрения здорового образа жизни; разработку более эффективных стратегий в области здравоохранения с уделением особого внимания потребностям молодежи в охране психического здоровья; поощрение рождаемости путем улучшения доступа женщин к акушерским услугам; и создание медицинских центров для содействия грудному вскармливанию. В соответствии с докладом Административного комитета по обзору работы системы здравоохранения была сформирована рабочая группа для рассмотрения ситуации, связанной с предоставлением акушерских услуг на территории штата. Рабочая группа изучает проблемы, возникающие в сельских больницах и поликлиниках, пытаясь определить, каким образом система здравоохранения могла бы оказывать более эффективную поддержку врачам и пациентам, проживающим в сельской местности и труднодоступных районах. Кроме того, автоматически пересматриваются законы о порядке проведения абортов. В 1998 году по личной инициативе одного из депутатов был представлен законопроект о внесении поправок в Закон о порядке проведения абортов, который был принят на основе сознательного голосования.</w:t>
      </w:r>
    </w:p>
    <w:p w:rsidR="00000000" w:rsidRDefault="00000000">
      <w:pPr>
        <w:pStyle w:val="BodyText"/>
      </w:pPr>
      <w:r>
        <w:t>402.</w:t>
      </w:r>
      <w:r>
        <w:tab/>
        <w:t>Правительство признает, что в Австралии состояние здоровья мужчин и женщин из числа коренного населения вызывает наибольшее беспокойство, вследствие чего были внесены ряд коррективов в систему оказания медицинских услуг. Они включают: обеспечение соблюдения культурных традиций; специальные программы в области здравоохранения с учетом высокого процента курящих среди мужчин и женщин из числа коренного населения; и расширение общинных инициатив в области здравоохранения, осуществляемых в партнерстве с общинами коренного населения.</w:t>
      </w:r>
    </w:p>
    <w:p w:rsidR="00000000" w:rsidRDefault="00000000">
      <w:pPr>
        <w:pStyle w:val="Article"/>
        <w:spacing w:after="120"/>
      </w:pPr>
      <w:r>
        <w:br w:type="page"/>
      </w:r>
      <w:bookmarkStart w:id="519" w:name="_Toc70143016"/>
      <w:bookmarkStart w:id="520" w:name="_Toc70228743"/>
      <w:bookmarkStart w:id="521" w:name="_Toc70229144"/>
      <w:bookmarkStart w:id="522" w:name="_Toc70235410"/>
      <w:r>
        <w:t>Статья 13:  Экономические и социальные пособия</w:t>
      </w:r>
      <w:bookmarkEnd w:id="519"/>
      <w:bookmarkEnd w:id="520"/>
      <w:bookmarkEnd w:id="521"/>
      <w:bookmarkEnd w:id="522"/>
    </w:p>
    <w:p w:rsidR="00000000" w:rsidRDefault="00000000">
      <w:pPr>
        <w:pStyle w:val="Article-ref"/>
        <w:spacing w:before="120" w:after="120"/>
      </w:pPr>
      <w:bookmarkStart w:id="523" w:name="_Toc70143017"/>
      <w:bookmarkStart w:id="524" w:name="_Toc70228744"/>
      <w:bookmarkStart w:id="525" w:name="_Toc70229145"/>
      <w:bookmarkStart w:id="526" w:name="_Toc70235411"/>
      <w:r>
        <w:t>Инициативы федерального правительства</w:t>
      </w:r>
      <w:bookmarkEnd w:id="523"/>
      <w:bookmarkEnd w:id="524"/>
      <w:bookmarkEnd w:id="525"/>
      <w:bookmarkEnd w:id="526"/>
    </w:p>
    <w:p w:rsidR="00000000" w:rsidRDefault="00000000">
      <w:pPr>
        <w:pStyle w:val="1-1"/>
        <w:spacing w:before="120"/>
      </w:pPr>
      <w:r>
        <w:t>Реформа системы социального обеспечения</w:t>
      </w:r>
    </w:p>
    <w:p w:rsidR="00000000" w:rsidRDefault="00000000">
      <w:pPr>
        <w:pStyle w:val="BodyText"/>
      </w:pPr>
      <w:r>
        <w:t>403.</w:t>
      </w:r>
      <w:r>
        <w:tab/>
        <w:t>В 1999 году правительство провело обзор системы социального обеспечения и учредило специальную группу для изучения возможностей уменьшить зависимость трудоспособного населения от системы социального обеспечения и содействовать более активному участию этих граждан в социальной и экономической жизни. Специальная группа провела консультации повсюду в Австралии и проинформировала правительство о том, что система социальной поддержки должна способствовать более активному участию населения в социальной и экономической жизни. Ожидается, что в наибольшей степени от реформы системы социального обеспечения выиграют женщины. Реализация основных принципов реформы (индивидуальное оказание услуг; упрощенная процедура поддержки в получении доходов; более эффективные финансовые стимулы и помощь; взаимные обязательства и социальное партнерство) поможет женщинам активнее участвовать в социальной и экономической жизни. Женщины также должны извлечь пользу из укрепления городских и сельских общин и уменьшения зависимости от системы социального обеспечения и сокращения числа безработных – как отдельных граждан, так и семей.</w:t>
      </w:r>
    </w:p>
    <w:p w:rsidR="00000000" w:rsidRDefault="00000000">
      <w:pPr>
        <w:pStyle w:val="BodyText"/>
      </w:pPr>
      <w:r>
        <w:t>404.</w:t>
      </w:r>
      <w:r>
        <w:tab/>
        <w:t>Женщины, как имеющие, так и не имеющие детей, принимали участие в осуществлении пилотных проектов в области реформы системы социального обеспечения, ассигнования на которые в 2000 году были выделены в соответствии с Промежуточным докладом о реформе системы социального обеспечения. В рамках этих пилотных проектов предполагалось проверить пути обеспечения более эффективного доступа граждан к имеющимся услугам и помощи в максимальном использовании возможностей участия в экономической и социальной жизни. Результаты этих пилотных проектов используются в процессе непрерывной работы над политикой в отношении реформы системы социального обеспечения.</w:t>
      </w:r>
    </w:p>
    <w:p w:rsidR="00000000" w:rsidRDefault="00000000">
      <w:pPr>
        <w:pStyle w:val="BodyText"/>
        <w:spacing w:after="120"/>
      </w:pPr>
      <w:r>
        <w:t>405.</w:t>
      </w:r>
      <w:r>
        <w:tab/>
        <w:t>В 2001 году был утвержден проект под названием "Австралийцы, действуйте сообща!". Он предусматривает оказание более активной поддержки нуждающимся гражданам. В рамках этого проекта будут обеспечиваться стимулы, поддержка и инициативы в интересах всех граждан Австралии трудоспособного возраста с целью помочь им включиться в экономическую и социальную жизнь страны, найти работу, приобрести новые умения и навыки и стать полноправными членами своей общины. Некоторые из мер касаются конкретных потребностей женщин и включают оказание помощи имеющим детей в возвращении на работу; более эффективные услуги в области занятости; инициативу, поощряющую граждан, живущих на социальные пособия, устраиваться на временную работу; и инициативы в интересах трудящихся зрелого возраста. Проект осуществляется с 1 июля 2002 года.</w:t>
      </w:r>
    </w:p>
    <w:p w:rsidR="00000000" w:rsidRDefault="00000000">
      <w:pPr>
        <w:pStyle w:val="1-1"/>
        <w:spacing w:before="120"/>
      </w:pPr>
      <w:r>
        <w:t>Поддержка семей</w:t>
      </w:r>
    </w:p>
    <w:p w:rsidR="00000000" w:rsidRDefault="00000000">
      <w:pPr>
        <w:pStyle w:val="BodyText"/>
      </w:pPr>
      <w:r>
        <w:t>406.</w:t>
      </w:r>
      <w:r>
        <w:tab/>
        <w:t>После 1995 года увеличился объем помощи, предоставляемой семьям в таких областях, как уход за детьми, здравоохранение, образование, поддержка семейных отношений и вопросы молодежи.</w:t>
      </w:r>
    </w:p>
    <w:p w:rsidR="00000000" w:rsidRDefault="00000000">
      <w:pPr>
        <w:pStyle w:val="BodyText"/>
      </w:pPr>
      <w:r>
        <w:t>407.</w:t>
      </w:r>
      <w:r>
        <w:tab/>
        <w:t>Налоговые льготы помогают семьям в связи с расходами на воспитание детей. В рамках введенной в июле 2000 года новой системы поддержки семей было выделено около 2 млрд. долларов в качестве дополнительной помощи семьям, которым также был предоставлен более широкий выбор возможностей для получения этой поддержки. Семьи ежегодно получают примерно 11 млрд. долларов в виде налоговых льгот, что составляет пятую часть от всей суммы ассигнований, выделяемых правительством на цели социального обеспечения. Эту помощь получают более 90 процентов австралийских семей, в которых имеются дети-иждивенцы. Семейные пособия категории В, предоставляемые в виде налоговых льгот, обеспечивают дополнительную помощь семьям с одним кормильцем (в эту категорию включены одинокие родители, большинство из которых – женщины). Режим установления размера доходов был смягчен, с тем чтобы дать семьям возможность оставлять себе большую часть зарабатываемых ими средств.</w:t>
      </w:r>
    </w:p>
    <w:p w:rsidR="00000000" w:rsidRDefault="00000000">
      <w:pPr>
        <w:pStyle w:val="BodyText"/>
      </w:pPr>
      <w:r>
        <w:t>408.</w:t>
      </w:r>
      <w:r>
        <w:rPr>
          <w:i/>
        </w:rPr>
        <w:tab/>
      </w:r>
      <w:r>
        <w:t>Пособие по беременности и родам выплачивается семьям, имеющим право на получение семейных пособий категории А, предоставляемых в виде налоговых льгот семьям, независимо от участия женщины в рабочей силе до рождения ребенка. Это пособие помогает покрывать прямые и косвенные расходы, связанные с рождением ребенка.</w:t>
      </w:r>
    </w:p>
    <w:p w:rsidR="00000000" w:rsidRDefault="00000000">
      <w:pPr>
        <w:pStyle w:val="BodyText"/>
      </w:pPr>
      <w:r>
        <w:t>409.</w:t>
      </w:r>
      <w:r>
        <w:tab/>
        <w:t>Главным пособием, предоставляемым лицам, осуществляющим основной уход за детьми, является родительское пособие, которое было утверждено в марте 1998 года и на которое в 2000/2001 финансовом году было ассигновано 5,3 млрд. долларов Это пособие выплачивается лицу, осуществляющему основной уход за детьми в семье, или одинокому родителю. Данная инициатива обеспечивает получателей дополнительным источником дохода, помогает им совмещать семейные и производственные обязанности, обеспечивает возможность иметь бóльшую финансовую самостоятельность. Значительное большинство получателей родительского пособия</w:t>
      </w:r>
      <w:r>
        <w:rPr>
          <w:i/>
        </w:rPr>
        <w:t xml:space="preserve"> </w:t>
      </w:r>
      <w:r>
        <w:t>– женщины (в 2000 году их доля составляла 92 процента).</w:t>
      </w:r>
    </w:p>
    <w:p w:rsidR="00000000" w:rsidRDefault="00000000">
      <w:pPr>
        <w:pStyle w:val="BodyText"/>
      </w:pPr>
      <w:r>
        <w:t>410.</w:t>
      </w:r>
      <w:r>
        <w:tab/>
        <w:t>Меры, помогающие получателям родительского пособия вернуться на рынок труда и принимать более активное участие в приносящей доход деятельности, включают программу</w:t>
      </w:r>
      <w:r>
        <w:rPr>
          <w:i/>
        </w:rPr>
        <w:t xml:space="preserve"> </w:t>
      </w:r>
      <w:r>
        <w:t>"Рабочие</w:t>
      </w:r>
      <w:r>
        <w:rPr>
          <w:i/>
        </w:rPr>
        <w:t xml:space="preserve"> </w:t>
      </w:r>
      <w:r>
        <w:t>места, образование и профессиональная подготовка, Надбавка для обучения пенсионеров и Пособие для поступления в учебные заведения, а также пособие по трудоустройству, выплачиваемое одиноким родителям. Эти инициативы предназначены для целевых групп из числа получателей родительского</w:t>
      </w:r>
      <w:r>
        <w:rPr>
          <w:i/>
        </w:rPr>
        <w:t xml:space="preserve"> </w:t>
      </w:r>
      <w:r>
        <w:t>пособия и направлены на оказание им помощи в покрытии расходов, связанных с образованием или трудоустройством.</w:t>
      </w:r>
    </w:p>
    <w:p w:rsidR="00000000" w:rsidRDefault="00000000">
      <w:pPr>
        <w:pStyle w:val="BodyText"/>
      </w:pPr>
      <w:r>
        <w:t>411.</w:t>
      </w:r>
      <w:r>
        <w:rPr>
          <w:i/>
        </w:rPr>
        <w:tab/>
      </w:r>
      <w:r>
        <w:t>Программа поддержки детей представляет собой набор организационных механизмов, способствующих участию родителей в покрытии расходов по оказанию поддержки своим детям в соответствии с их возможностями и обеспечивающих надлежащую поддержку детям, живущим отдельно от родителей.</w:t>
      </w:r>
    </w:p>
    <w:p w:rsidR="00000000" w:rsidRDefault="00000000">
      <w:pPr>
        <w:pStyle w:val="BodyText"/>
        <w:spacing w:after="120"/>
      </w:pPr>
      <w:r>
        <w:t>412.</w:t>
      </w:r>
      <w:r>
        <w:rPr>
          <w:i/>
        </w:rPr>
        <w:tab/>
      </w:r>
      <w:r>
        <w:t>Утвержденная в 2000 году Стратегия создания более устойчивых семей и общин предусматривает создание новых партнерств для укрепления семей и общин, способствующих повышению экономической самостоятельности многих женщин, имеющих семьи. Основные меры по осуществлению данной стратегии включают: Фонд для более устойчивых семей – в целях стимулирования общин к разработке новых и более эффективных способов укрепления семей; инициатива "Раннее вмешательство, родительские обязанности и укрепление семейных отношений" – для оказания услуг и осуществления деятельности, включая поддержку родителей в воспитании детей, игровые группы, просвещение в вопросах брака и семейных отношений и формирование родительских навыков; пакет мер для повышения возможностей семей в получении и выборе тех видов услуг по уходу за детьми, которые отвечают их потребностям; Общенациональное лонгитюдное обследование австралийских детей – для разработки политики правительства в отношении малолетних детей и эффективных стратегий раннего вмешательства и предупреждения в таких областях, как здравоохранение, образование, уход за детьми и поддержка семей; и Национальная программа развития навыков добровольческой деятельности – для создания возможностей развития необходимых навыков у добровольцев, в первую очередь у работающих в сфере общинного обслуживания. Программа включает предоставление грантов организациям для подготовки добровольцев, многие из которых – женщины. Добровольцы могут пройти курсы подготовки для получения конкретных навыков, касающихся, в частности, консультирования, работы с инвалидами, методов проведения собеседований и финансового управления, которые откроют перед ними более широкие возможности в сфере занятости. Кроме того, инициатива в области подготовки руководящих работников в рамках данной стратегии направлена на выявление и поддержку неформальных лидеров в местных общинах. Среди получателей поддержки в рамках данной инициативы большое число женщин.</w:t>
      </w:r>
    </w:p>
    <w:p w:rsidR="00000000" w:rsidRDefault="00000000">
      <w:pPr>
        <w:pStyle w:val="1-1"/>
        <w:spacing w:before="120"/>
      </w:pPr>
      <w:r>
        <w:t>Помощь вдовам, вдовцам и ветеранам</w:t>
      </w:r>
    </w:p>
    <w:p w:rsidR="00000000" w:rsidRDefault="00000000">
      <w:pPr>
        <w:pStyle w:val="BodyText"/>
        <w:spacing w:after="120"/>
      </w:pPr>
      <w:r>
        <w:t>413.</w:t>
      </w:r>
      <w:r>
        <w:tab/>
        <w:t>С марта 1998 года размер пенсии, выплачиваемой вдовам и вдовцам участников войны, был установлен на уровне 25 процентов от средней в стране заработной платы работников-мужчин. Эта мера помогает гарантировать определенный уровень жизни и обеспечивать финансовую безопасность вдов участников войны. В рамках Программы развития системы ухода в стационарных социальных учреждениях организациям бывших военнослужащих и общинным организациям оказывается помощь в предоставлении пожилым ветеранам войны и их вдовам или вдовцам высококачественных услуг по уходу в стационарных социальных учреждениях, а также на базе общин устраняются пробелы в оказании услуг, расширяется ассортимент предоставляемых услуг.</w:t>
      </w:r>
    </w:p>
    <w:p w:rsidR="00000000" w:rsidRDefault="00000000">
      <w:pPr>
        <w:pStyle w:val="1-1"/>
        <w:spacing w:before="120"/>
      </w:pPr>
      <w:r>
        <w:t>Помощь лицам, осуществляющим уход за другими</w:t>
      </w:r>
    </w:p>
    <w:p w:rsidR="00000000" w:rsidRDefault="00000000">
      <w:pPr>
        <w:pStyle w:val="BodyText"/>
        <w:spacing w:after="120"/>
      </w:pPr>
      <w:r>
        <w:t>414.</w:t>
      </w:r>
      <w:r>
        <w:tab/>
        <w:t>Женщины являются главными бенефициарами пакета мер правительства Австралии под общим названием "Домашний труд – уход за пожилыми австралийцами и их поддержка". Этот пакет включает реформы системы социальной поддержки лиц, осуществляющих уход за другими, и предусматривает расширение сферы применения пособия по уходу. Это стало возможным благодаря увеличению с 1 июля 1998 года размера данного пособия на 29 процентов. В дополнение к указанной поддержке помощь теперь также оказывается лицам, осуществляющим уход за молодыми людьми с физическими или психическими недостатками, которые не могут получить доступ к действующей государственной системе ухода или помощи, предоставляемой в рамках федеральных инициатив, и которые испытывают краткосрочные или немедленные потребности в социальной поддержке.</w:t>
      </w:r>
    </w:p>
    <w:p w:rsidR="00000000" w:rsidRDefault="00000000">
      <w:pPr>
        <w:pStyle w:val="1-1"/>
        <w:spacing w:before="120"/>
      </w:pPr>
      <w:r>
        <w:t>Помощь инвалидам</w:t>
      </w:r>
    </w:p>
    <w:p w:rsidR="00000000" w:rsidRDefault="00000000">
      <w:pPr>
        <w:pStyle w:val="BodyText"/>
      </w:pPr>
      <w:r>
        <w:t>415.</w:t>
      </w:r>
      <w:r>
        <w:tab/>
        <w:t>Правительство объявило, что в федеральном бюджете на 2002/03 финансовый год оно планирует изменить порядок предоставления пенсии по инвалидности. В случае принятия нового законодательства лица, ходатайствующие о получении пенсии по инвалидности, с 1 июля 2003 года должны будут удовлетворять новым критериям, дающим право на получение такой пенсии. Граждане, которые имеют возможность работать в течение 15 или более часов в неделю по полной ставке заработной платы в сочетании с получением помощи, например в связи с реабилитацией или трудоустройством, потеряют право на получение пенсии по инвалидности. Большинство из них будут получать альтернативные выплаты и помощь в трудоустройстве. Для данной группы населения будет составлен план участия в рабочей силе, который будет учитывать их индивидуальные потребности, включая те препятствия, с которыми они сталкиваются по причине инвалидности. Новые правила не будут распространяться на лиц, получавших пенсию по инвалидности до 1 июля 2003 года, или лиц, обратившихся с просьбой о предоставлении им пенсии по инвалидности до указанной даты. Изменения в порядке выплаты пенсии по инвалидности будут сопровождаться ассигнованием дополнительных средств на создание большего числа рабочих мест в сфере услуг. Около 73 тыс. новых рабочих мест будут созданы в сфере реабилитации, занятости инвалидов, сети по трудоустройству, образования, профессиональной подготовки, и будет утверждена Программа</w:t>
      </w:r>
      <w:r>
        <w:rPr>
          <w:i/>
        </w:rPr>
        <w:t xml:space="preserve"> </w:t>
      </w:r>
      <w:r>
        <w:t>индивидуальной поддержки, которая поможет большому числу женщин-инвалидов развить свои навыки и найти работу.</w:t>
      </w:r>
    </w:p>
    <w:p w:rsidR="00000000" w:rsidRDefault="00000000">
      <w:pPr>
        <w:pStyle w:val="BodyText"/>
      </w:pPr>
      <w:r>
        <w:t>416.</w:t>
      </w:r>
      <w:r>
        <w:tab/>
        <w:t>Правительство планирует существенно увеличить расходы на осуществление Соглашения в отношении инвалидов между федеральным правительством и правительствами штатов и территорий</w:t>
      </w:r>
      <w:r>
        <w:rPr>
          <w:i/>
        </w:rPr>
        <w:t>,</w:t>
      </w:r>
      <w:r>
        <w:t xml:space="preserve"> для того чтобы помочь правительствам штатов и территорий обеспечивать такие виды услуг, как создание приютов для лиц с тяжелыми физическими или психическими недостатками. Эти меры помогут большому числу женщин-инвалидов получить работу и обеспечить более полное удовлетворение потребностей женщин-инвалидов, нуждающихся в особом внимании.</w:t>
      </w:r>
    </w:p>
    <w:p w:rsidR="00000000" w:rsidRDefault="00000000">
      <w:pPr>
        <w:pStyle w:val="1-1"/>
      </w:pPr>
      <w:r>
        <w:t>Консультации перед вступлением в брак</w:t>
      </w:r>
    </w:p>
    <w:p w:rsidR="00000000" w:rsidRDefault="00000000">
      <w:pPr>
        <w:pStyle w:val="BodyText"/>
      </w:pPr>
      <w:r>
        <w:t>417.</w:t>
      </w:r>
      <w:r>
        <w:tab/>
        <w:t>В июне 1999 года премьер-министр объявил о начале осуществления в трех регионах Австралии пилотной программы консультирования перед вступлением в брак. Цель этой пилотной программы заключалась в том, чтобы привлечь решившие вступить в брак пары к участию в консультационных занятиях и, в частности, помочь будущим супругам лучше понять основные факторы, обеспечивающие устойчивые семейные отношения, и обучить их навыкам, которые помогут им решать возможные проблемы в их семейных отношениях. Пилотный проект состоит из двух частей: выдачи молодым парам направления для посещения консультации перед вступлением в брак в одном из охватываемых проектом регионов; и распространения учебного пособия по вопросам семейных отношений для лиц, которые не могут или не хотят участвовать в индивидуальных консультациях.</w:t>
      </w:r>
    </w:p>
    <w:p w:rsidR="00000000" w:rsidRDefault="00000000">
      <w:pPr>
        <w:pStyle w:val="BodyText"/>
      </w:pPr>
      <w:r>
        <w:t>418.</w:t>
      </w:r>
      <w:r>
        <w:tab/>
        <w:t>Результаты пилотного проекта были проанализированы, и, в целом, был сделан вывод о том, что, хотя и направление на консультации, и учебное пособие, которое распространялось в рамках пилотного проекта, были встречены с достаточным пониманием, учебное пособие является более эффективным, а также более рентабельным инструментом для обучения семей. В июне 2002 года это пособие было утверждено в официальном порядке и теперь распространяется повсюду в стране.</w:t>
      </w:r>
    </w:p>
    <w:p w:rsidR="00000000" w:rsidRDefault="00000000">
      <w:pPr>
        <w:pStyle w:val="1-1"/>
      </w:pPr>
      <w:r>
        <w:t>Распад семьи и финансовая самостоятельность</w:t>
      </w:r>
    </w:p>
    <w:p w:rsidR="00000000" w:rsidRDefault="00000000">
      <w:pPr>
        <w:pStyle w:val="BodyText"/>
      </w:pPr>
      <w:r>
        <w:t>419.</w:t>
      </w:r>
      <w:r>
        <w:tab/>
        <w:t>Правительство признает, что после распада семьи многие женщины сталкиваются с финансовыми трудностями. Правительство приняло ряд мер, которые, как ожидается, должны помочь этой группе женщин. Например, в бюджете на 1999/2000 финансовый год были предусмотрены инициативы, касающиеся порядка расторжения брака и его последствий, в рамках которых основной упор был сделан на воссоединение семьи и консультационные услуги. При этом предусматривается создание общенациональной сети центров по восстановлению семейных отношений, а также консультационных и смежных служб. В рамках некоторых из этих инициатив женщинам предоставляется информация и консультации в отношении дополнительных источников дохода и других финансовых вопросов в целях обеспечения их экономической безопасности.</w:t>
      </w:r>
    </w:p>
    <w:p w:rsidR="00000000" w:rsidRDefault="00000000">
      <w:pPr>
        <w:pStyle w:val="BodyText"/>
      </w:pPr>
      <w:r>
        <w:t>420.</w:t>
      </w:r>
      <w:r>
        <w:tab/>
        <w:t>В 2000 году в Закон 1975 года о семейном праве были внесены поправки, позволяющие заключать обязательные для выполнения брачные контракты (или соглашения) перед вступлением в брак или в период брака, касающиеся порядка раздела общего имущества или финансовых активов в случае расторжения брака. Эти поправки также обеспечивают возможность сторонам, ранее состоявшим в браке, после развода заключать финансовые соглашения в отношении раздела имущества или финансовых активов. Эти соглашения являются обязательными для выполнения только в том случае, если перед заключением таких соглашений сторонам были предоставлены независимые консультации по юридическим вопросам. При определенных обстоятельствах соглашения могут быть аннулированы по решению суда, который также определяет средства правовой защиты и помощи в связи с этими соглашениями.</w:t>
      </w:r>
    </w:p>
    <w:p w:rsidR="00000000" w:rsidRDefault="00000000">
      <w:pPr>
        <w:pStyle w:val="1-1"/>
      </w:pPr>
      <w:r>
        <w:t>Пенсия по выслуге лет и расторжение брака</w:t>
      </w:r>
    </w:p>
    <w:p w:rsidR="00000000" w:rsidRDefault="00000000">
      <w:pPr>
        <w:pStyle w:val="BodyText"/>
      </w:pPr>
      <w:r>
        <w:t>421.</w:t>
      </w:r>
      <w:r>
        <w:tab/>
        <w:t>В части VIII В Закона 1975 года о семейном праве, которая была принята в июне 2001 года, предусматривается, что разводящиеся супруги должны поделить между собой средства, получаемые в рамках пенсии по выслуге лет, как и другие активы. Законодательство коренным образом изменяет режим выплаты пенсии по выслуге лет после расторжения брака, предоставляя разводящимся супругам возможность делить получаемые в рамках пенсии по выслуге лет средства по взаимному согласию или, при отсутствии такового, по решению суда. Такие соглашения и решения будут иметь обязательную силу для попечителей пенсионных фондов. Эта система поможет в долгосрочной перспективе повысить финансовую безопасность каждого члена распадающейся семейной пары.</w:t>
      </w:r>
    </w:p>
    <w:p w:rsidR="00000000" w:rsidRDefault="00000000">
      <w:pPr>
        <w:pStyle w:val="1-1"/>
      </w:pPr>
      <w:r>
        <w:t>Помощь в жилищном обеспечении</w:t>
      </w:r>
    </w:p>
    <w:p w:rsidR="00000000" w:rsidRDefault="00000000">
      <w:pPr>
        <w:pStyle w:val="BodyText"/>
      </w:pPr>
      <w:r>
        <w:t>422.</w:t>
      </w:r>
      <w:r>
        <w:tab/>
        <w:t>Соглашение между федеральным правительством и правительствами штатов по вопросам жилищного обеспечения (СЖО) является главной стратегией правительства, направленной на удовлетворение жилищных потребностей малоимущих слоев населения, которые не имеют возможности покупать жилье в собственность или сталкиваются с трудностями при аренде коммерческого жилья. Федеральное правительство будет выделять штатам и территориям финансовые средства на осуществление СЖО 1999 года в течение четырех лет. Федеральное правительство прилагает активные усилия для заключения нового СЖО, срок действия которого начнется в июле 2003 года и содержание которого в настоящее время обсуждается с правительствами штатов и территорий. Основными получателями жилья в рамках СЖО являются лица, подвергающиеся дискриминации на рынке жилья, в частности, аборигены, женщины, одинокие родители и их дети, молодежь, лица с физическими или психическими недостатками, и лица из неанглоязычной среды.</w:t>
      </w:r>
    </w:p>
    <w:p w:rsidR="00000000" w:rsidRDefault="00000000">
      <w:pPr>
        <w:pStyle w:val="BodyText"/>
      </w:pPr>
      <w:r>
        <w:t>423.</w:t>
      </w:r>
      <w:r>
        <w:tab/>
        <w:t>Ежегодно федеральное правительство и правительства штатов и территорий выделяют около 285 млн. долларов на Программу содействия предоставлению временного жилья. Эта Программа совместно осуществляется правительствами и обеспечивает для нуждающихся временную поддержку и жилье людям, потерявшим или рискующим потерять крышу над головой, многие из которых являются женщинами, ищущими спасение от насилия в семье. За счет выделяемых в рамках данной программы средств осуществляется финансирование 283 приютов для женщин. С правительствами штатов и территорий было заключено четвертое двустороннее соглашение в рамках Программы, которое вступило в силу с 1 июля 2000 года. Данное соглашение предусматривает выделение дополнительной суммы на покрытие текущих расходов в размере 15 млн. долларов в год в течение всего срока действия соглашения до 2005 года.</w:t>
      </w:r>
    </w:p>
    <w:p w:rsidR="00000000" w:rsidRDefault="00000000">
      <w:pPr>
        <w:pStyle w:val="BodyText"/>
      </w:pPr>
      <w:r>
        <w:t>424.</w:t>
      </w:r>
      <w:r>
        <w:tab/>
        <w:t>Программа предусматривает предоставление смежных услуг, таких как консультации, распространение информации и направление в соответствующие учреждения, для решения проблем, которые приводят к появлению бездомных, и для оказания помощи своим клиентам в достижении максимальной степени самообеспеченности и самостоятельности. В докладе о результатах осуществления Программы в 2000/01 финансовом году указывалось, что 33 процента средств в рамках Программы выделяется для финансирования учреждений, которые в своей работе ориентируются на одиноких женщин и женщин, спасающихся от насилия в семье, и что 54 процента клиентов Программы – женщины, 20 процентов среди которых составляют женщины-аборигены.</w:t>
      </w:r>
    </w:p>
    <w:p w:rsidR="00000000" w:rsidRDefault="00000000">
      <w:pPr>
        <w:pStyle w:val="1-1"/>
        <w:spacing w:before="0"/>
      </w:pPr>
      <w:r>
        <w:br w:type="page"/>
        <w:t>Целевая группа по осуществлению Плана действий в интересах молодежи</w:t>
      </w:r>
    </w:p>
    <w:p w:rsidR="00000000" w:rsidRDefault="00000000">
      <w:pPr>
        <w:pStyle w:val="BodyText"/>
        <w:spacing w:after="120"/>
      </w:pPr>
      <w:r>
        <w:t>425.</w:t>
      </w:r>
      <w:r>
        <w:tab/>
        <w:t>В 2001 году Целевая группа премьер-министра по осуществлению Плана действий в интересах молодежи опубликовала доклад под названием "Путь в будущее". В этом всеобъемлющем докладе рассматриваются пути и средства совершенствования поддержки, оказываемой молодым людям в процессе их перехода к самостоятельной жизни, и повышения возможностей для молодых людей, которые не поступают или вряд ли поступят в высшие учебные заведения, устроиться на курсы профессионального обучения или на работу на полный рабочий день сразу по окончании школы. В докладе были высказаны рекомендации, касающиеся сферы действия и направленности Плана</w:t>
      </w:r>
      <w:r>
        <w:rPr>
          <w:i/>
        </w:rPr>
        <w:t xml:space="preserve"> </w:t>
      </w:r>
      <w:r>
        <w:t>действий в интересах молодежи, ориентированные на улучшение перспектив для всех молодых людей путем укрепления имеющегося потенциала, совершенствования системы раннего вмешательства, оказания помощи лицам, оказавшимся в кризисной ситуации, в поиске быстрого выхода из такой ситуации и укрепление возможностей семей и общин по оказанию помощи молодежи. В докладе было отмечено, что правительство в рамках своей программы реформ уже прилагает активные усилия по расширению возможностей для молодежи. В докладе подчеркивалась особая важность таких инициатив, как Согласованные федеральным правительством и правительствами штатов и территорий национальные задачи в области школьного образования в XXI веке, Рамочная программа, озаглавленная "Профессиональное обучение и реорганизация в школах", организованное премьер-министром Партнерство общественных организаций и деловых кругов и Стратегия создания более устойчивых семей и общин. В докладе признавалось, что Общенациональная стратегия по обучению английскому языку и счету коренного населения будет способствовать уменьшению числа представителей коренных общин, не умеющих читать и считать.</w:t>
      </w:r>
    </w:p>
    <w:p w:rsidR="00000000" w:rsidRDefault="00000000">
      <w:pPr>
        <w:pStyle w:val="1-1"/>
        <w:spacing w:before="120"/>
      </w:pPr>
      <w:r>
        <w:t>Помощь в сфере занятости</w:t>
      </w:r>
    </w:p>
    <w:p w:rsidR="00000000" w:rsidRDefault="00000000">
      <w:pPr>
        <w:pStyle w:val="BodyText"/>
      </w:pPr>
      <w:r>
        <w:t>426.</w:t>
      </w:r>
      <w:r>
        <w:rPr>
          <w:i/>
        </w:rPr>
        <w:tab/>
      </w:r>
      <w:r>
        <w:t>Сеть по трудоустройству, которая была образована в 1996 году, представляет собой национальную сеть в составе около 200 частных, общинных и государственных организаций, учреждений, занимающихся вопросами трудоустройства безработных, в частности тех, кто является или рискует стать долгосрочным безработным.</w:t>
      </w:r>
    </w:p>
    <w:p w:rsidR="00000000" w:rsidRDefault="00000000">
      <w:pPr>
        <w:pStyle w:val="BodyText"/>
        <w:spacing w:after="120"/>
      </w:pPr>
      <w:r>
        <w:t>427.</w:t>
      </w:r>
      <w:r>
        <w:tab/>
        <w:t>В рамках Сети по трудоустройству у ищущих работу имеется широкий выбор организаций, помогающих им в трудоустройстве. В числе организаций, получивших лицензию на оказание услуг в области трудоустройства, имеется ряд учреждений, обладающих соответствующим опытом в оказании помощи женщинам и одиноким родителям. Сеть по трудоустройству состоит из пяти компонентов: предоставление работы по специальности, перепрофилирование для получения работы и интенсивная помощь (ИП) – эти услуги оказываются зарегистрированным безработным. Двумя другими компонентами Сети по трудоустройству являются Система стимулов для создания новых предприятий – для лиц, заинтересованных в самозанятости, и участие в проектах по контрактам – для лиц, у которых закончился срок контракта на выполнение сезонной работы. Право пользоваться различными услугами определяется с помощью Классификационного инструмента для ищущих работу, который определяет относительный уровень потенциальных трудностей, с которыми человек может столкнуться в процессе поиска работы. Все зарегистрированные безработные имеют право на услуги по предоставлению работы по специальности, а находящиеся в менее выгодном положении ищущие работу направляются в службы по перепрофилированию и интенсивной помощи.</w:t>
      </w:r>
    </w:p>
    <w:p w:rsidR="00000000" w:rsidRDefault="00000000">
      <w:pPr>
        <w:pStyle w:val="1-1"/>
        <w:spacing w:before="120"/>
      </w:pPr>
      <w:r>
        <w:t>Поддержка лиц, впервые прибывающих в страну</w:t>
      </w:r>
    </w:p>
    <w:p w:rsidR="00000000" w:rsidRDefault="00000000">
      <w:pPr>
        <w:pStyle w:val="BodyText"/>
      </w:pPr>
      <w:r>
        <w:t>428.</w:t>
      </w:r>
      <w:r>
        <w:tab/>
        <w:t>В рамках Программы услуг по переселению</w:t>
      </w:r>
      <w:r>
        <w:rPr>
          <w:i/>
        </w:rPr>
        <w:t xml:space="preserve"> </w:t>
      </w:r>
      <w:r>
        <w:t>и Комплексной стратегии переселения по</w:t>
      </w:r>
      <w:r>
        <w:rPr>
          <w:i/>
        </w:rPr>
        <w:t xml:space="preserve"> </w:t>
      </w:r>
      <w:r>
        <w:t>гуманитарным причинам правительство выделяет соответствующим организациям средства на осуществление проектов, многие из которых конкретно касаются проблем переселения женщин из различной культурной и языковой среды. Большая часть выделяемых средств используется на оплату услуг работников системы социального обеспечения, которые оказывают индивидуальные услуги, проводят консультации, распространяют информацию и направляют мигрантов, беженцев или переселенцев по линии гуманитарной помощи, в том числе женщин из целевых общин, в соответствующие службы. Средства также выделяются на мероприятия, осуществляемые в рамках проектов и направленные на решение проблем женщин, конкретно связанных с переселением.</w:t>
      </w:r>
    </w:p>
    <w:p w:rsidR="00000000" w:rsidRDefault="00000000">
      <w:pPr>
        <w:pStyle w:val="BodyText"/>
        <w:spacing w:after="120"/>
      </w:pPr>
      <w:r>
        <w:t>429.</w:t>
      </w:r>
      <w:r>
        <w:tab/>
        <w:t>В рамках Программы для женщин, относящихся к группе риска, обеспечивается помощь для переселения в Австралию женщин-беженцев, а также женщин, являющихся "предметом обеспокоенности" для УВКБ ООН, и лиц, находящихся на их иждивении, которые нуждаются в безопасности и защите из-за развала традиционных механизмов поддержки. В рамках этой инициативы помощь оказывается женщинам, которые подвергались пыткам, сексуальным домогательствам или иным преследованиям и которым особенно необходима помощь в переселении.</w:t>
      </w:r>
    </w:p>
    <w:p w:rsidR="00000000" w:rsidRDefault="00000000">
      <w:pPr>
        <w:pStyle w:val="1-1"/>
        <w:spacing w:before="120"/>
      </w:pPr>
      <w:r>
        <w:t>Женщины на руководящих должностях в области спорта</w:t>
      </w:r>
    </w:p>
    <w:p w:rsidR="00000000" w:rsidRDefault="00000000">
      <w:pPr>
        <w:pStyle w:val="BodyText"/>
      </w:pPr>
      <w:r>
        <w:t>430.</w:t>
      </w:r>
      <w:r>
        <w:tab/>
        <w:t>В апреле 2001 года премьер-министр объявил об утверждении беспрецедентного десятилетнего плана развития спорта в Австралии под названием "Поддержка спортивного</w:t>
      </w:r>
      <w:r>
        <w:rPr>
          <w:i/>
        </w:rPr>
        <w:t xml:space="preserve"> </w:t>
      </w:r>
      <w:r>
        <w:t>потенциала Австралии – за более активную Австралию". Этот план был подкреплен дополнительными ассигнованиями в размере 161,6 млн. долларов, выделенными правительством на цели развития австралийского спорта, в результате чего общий объем ассигнований на четырехлетний период начиная с 1 июля 2001 года достиг 547 млн. долларов. В плане конкретно предусматривается уделение повышенного внимания развитию массового спорта и содействие тому, чтобы все граждане Австралии, независимо от культуры, пола, расы, способностей или возраста, имели возможность принять участие в программе "За более активную Австралию". Путем дальнейшей реализации инициативы "Активная Австралия", которая осуществляется под руководством Австралийской комиссии по делам спорта (АКС), основное внимание будет уделяться улучшению качественных и количественных показателей участия женщин в занятиях спортом и физической культурой.</w:t>
      </w:r>
    </w:p>
    <w:p w:rsidR="00000000" w:rsidRDefault="00000000">
      <w:pPr>
        <w:pStyle w:val="BodyText"/>
      </w:pPr>
      <w:r>
        <w:t>431.</w:t>
      </w:r>
      <w:r>
        <w:tab/>
        <w:t>Были пересмотрены национальная политика Австралии и план по привлечению женщин и девушек к занятиям спортом и физической культурой. Пересмотренная политика под названием "</w:t>
      </w:r>
      <w:r>
        <w:rPr>
          <w:i/>
        </w:rPr>
        <w:t>Активные женщины</w:t>
      </w:r>
      <w:r>
        <w:t xml:space="preserve">" была провозглашена в сентябре 1999 года и включает практические стратегии, способствующие активному участию женщин и девушек в занятиях спортом, физической культурой и рекреационной деятельности в Австралии. В ней подчеркивается важный вклад женщин в процесс руководства и управления спортивной деятельностью и приводятся конкретные примеры привлечения женщин на руководящую работу в этой области. Подробнее о данной политике см. на сайте </w:t>
      </w:r>
      <w:r>
        <w:rPr>
          <w:u w:val="single"/>
        </w:rPr>
        <w:t>www.activeaustralia.org/women</w:t>
      </w:r>
      <w:r>
        <w:t>.</w:t>
      </w:r>
    </w:p>
    <w:p w:rsidR="00000000" w:rsidRDefault="00000000">
      <w:pPr>
        <w:pStyle w:val="BodyText"/>
      </w:pPr>
      <w:r>
        <w:t>432.</w:t>
      </w:r>
      <w:r>
        <w:tab/>
        <w:t xml:space="preserve">В период с 1996 по 1998 год АКС осуществляла национальный проект по вовлечению женщин в процесс руководства и управления спортивной деятельностью. Цель данного проекта состояла в том, чтобы разработать стратегии для увеличения доли женщин на руководящих и управленческих должностях в области спорта и предоставить женщинам программы поддержки, которые помогут им продвигаться по службе в области спорта. Главной стратегией, разработанной в контексте данного проекта, стала программа подготовки руководящих кадров "Лучший руководитель", которая осуществлялась повсюду в Австралии. Эта программа обеспечивает официальный механизм и инфраструктуру для формирования навыков руководящей работы среди женщин. </w:t>
      </w:r>
    </w:p>
    <w:p w:rsidR="00000000" w:rsidRDefault="00000000">
      <w:pPr>
        <w:pStyle w:val="BodyText"/>
      </w:pPr>
      <w:r>
        <w:t>433.</w:t>
      </w:r>
      <w:r>
        <w:tab/>
        <w:t>Проводившаяся в Сиднее Олимпиада 2000 года ознаменовала столетнюю годовщину с того момента, когда женщины впервые приняли участие в Олимпийских играх. Для празднования этого знаменательного события и для освещения вклада и достижений женщин в области спорта были осуществлены ряд проектов, включая: издание памятного учебного пособия на компакт-диске "Путь на Олимп: история участия женщин в Олимпийских играх"; обмен стипендиатами в области женского спорта между Австралией и Францией; и проведение совместно с правительством Франции торжественного мероприятия 20 мая 2000 года.</w:t>
      </w:r>
    </w:p>
    <w:p w:rsidR="00000000" w:rsidRDefault="00000000">
      <w:pPr>
        <w:pStyle w:val="1-1"/>
      </w:pPr>
      <w:r>
        <w:t>Стратегия по предупреждению притеснений и сексуальных домогательств в спорте</w:t>
      </w:r>
    </w:p>
    <w:p w:rsidR="00000000" w:rsidRDefault="00000000">
      <w:pPr>
        <w:pStyle w:val="BodyText"/>
      </w:pPr>
      <w:r>
        <w:t>434.</w:t>
      </w:r>
      <w:r>
        <w:tab/>
        <w:t>Стратегия по предупреждению притеснений и сексуальных домогательств в спорте направлена на пресечение притеснений и сексуальных домогательств, насилия и прочих форм неприемлемого поведения в области спорта; повышение терпимости, уважения и безопасности и создание более благоприятных условий в области спорта для всех, в частности, для женщин, коренного населения и инвалидов. Стратегия включает ряд новых мер, направленных на удовлетворение различных потребностей индустрии спорта и общества в целом. В 2001 году в контексте Стратегии по предупреждению притеснений и сексуальных домогательств в спорте были опубликованы восемь информационных материалов. В соответствии с данной Стратегией правительство взяло на себя ведущую роль в разработке руководящих принципов по борьбе с нетерпимостью и дискриминацией в области спорта по признаку пола. Эти руководящие принципы были опубликованы в августе 2001 года с целью обеспечить применение в индустрии спорта руководящих принципов по предупреждению нетерпимости и дискриминации по признаку пола и борьбе с ними. В 2001–2002 годах были приняты дополнительные меры в области политики, образования и профессиональной подготовки.</w:t>
      </w:r>
    </w:p>
    <w:p w:rsidR="00000000" w:rsidRDefault="00000000">
      <w:pPr>
        <w:pStyle w:val="1-1"/>
      </w:pPr>
      <w:r>
        <w:t>Беременность и спорт</w:t>
      </w:r>
    </w:p>
    <w:p w:rsidR="00000000" w:rsidRDefault="00000000">
      <w:pPr>
        <w:pStyle w:val="BodyText"/>
      </w:pPr>
      <w:r>
        <w:t>435.</w:t>
      </w:r>
      <w:r>
        <w:tab/>
        <w:t>В августе 2001 года АКС организовала Форум по проблеме беременности и спорта для обсуждения вопросов участия беременных спортсменок в спортивных состязаниях. В работе этого Форума активно участвовали специалисты в области медицины, по правовым вопросам, страхованию и этике, представители спортивных организаций, спортсмены и члены КПЧРВ. Участники Форума обсудили широкий круг вопросов, касающихся дискриминации в отношении беременных спортсменок и возможных последующих действий. После окончания Форума АКС создала рабочую группу для дальнейшего обсуждения указанных вопросов и пересмотра руководящих принципов Комиссии, касающихся беременности, спорта и права (1996 год). Эти руководящие принципы, опирающиеся на результаты работы Форума, были опубликованы в мае 2002 года.</w:t>
      </w:r>
    </w:p>
    <w:p w:rsidR="00000000" w:rsidRDefault="00000000">
      <w:pPr>
        <w:pStyle w:val="1-1"/>
      </w:pPr>
      <w:r>
        <w:t>Участие женщин-аборигенов в занятиях спортом</w:t>
      </w:r>
    </w:p>
    <w:p w:rsidR="00000000" w:rsidRDefault="00000000">
      <w:pPr>
        <w:pStyle w:val="BodyText"/>
      </w:pPr>
      <w:r>
        <w:t>436.</w:t>
      </w:r>
      <w:r>
        <w:tab/>
        <w:t>В рамках осуществляемой АКС в сотрудничестве с Женской группой по делам спорта Программы привлечения коренного населения к занятиям спортом в 2001 году была создана справочная служба для проведения консультаций по всем вопросам, касающимся участия женщин-аборигенов в занятиях спортом. В состав этой группы входит по одному представителю от каждого штата и территории, представляющему индустрию спорта и рекреации, а также представители общественности, заинтересованные в участии женщин-аборигенов в спортивной деятельности. В настоящее время Группа работает над составлением программы курсов, на которых женщины будут иметь возможность получить профессиональную подготовку по вопросам пресечения притеснений и домогательств в области спорта, средствам и методам индивидуальной защиты и повышения осведомленности общин с разными культурными традициями. Ожидается, что предлагаемые курсы помогут заострить внимание на этих вопросах и найти решения, которые будут способствовать более активному участию женщин-аборигенов в занятиях спортом.</w:t>
      </w:r>
    </w:p>
    <w:p w:rsidR="00000000" w:rsidRDefault="00000000">
      <w:pPr>
        <w:pStyle w:val="Article-ref"/>
        <w:spacing w:before="240" w:after="120"/>
      </w:pPr>
      <w:bookmarkStart w:id="527" w:name="_Toc70143018"/>
      <w:bookmarkStart w:id="528" w:name="_Toc70228745"/>
      <w:bookmarkStart w:id="529" w:name="_Toc70229146"/>
      <w:bookmarkStart w:id="530" w:name="_Toc70235412"/>
      <w:r>
        <w:t>Инициативы штатов и территорий</w:t>
      </w:r>
      <w:bookmarkEnd w:id="527"/>
      <w:bookmarkEnd w:id="528"/>
      <w:bookmarkEnd w:id="529"/>
      <w:bookmarkEnd w:id="530"/>
    </w:p>
    <w:p w:rsidR="00000000" w:rsidRDefault="00000000">
      <w:pPr>
        <w:pStyle w:val="Heading2"/>
        <w:spacing w:before="120"/>
      </w:pPr>
      <w:bookmarkStart w:id="531" w:name="_Toc70142842"/>
      <w:bookmarkStart w:id="532" w:name="_Toc70143019"/>
      <w:bookmarkStart w:id="533" w:name="_Toc70228746"/>
      <w:bookmarkStart w:id="534" w:name="_Toc70229147"/>
      <w:bookmarkStart w:id="535" w:name="_Toc70235413"/>
      <w:r>
        <w:t>Австралийская столичная территория</w:t>
      </w:r>
      <w:bookmarkEnd w:id="531"/>
      <w:bookmarkEnd w:id="532"/>
      <w:bookmarkEnd w:id="533"/>
      <w:bookmarkEnd w:id="534"/>
      <w:bookmarkEnd w:id="535"/>
    </w:p>
    <w:p w:rsidR="00000000" w:rsidRDefault="00000000">
      <w:pPr>
        <w:pStyle w:val="BodyText"/>
      </w:pPr>
      <w:r>
        <w:t>437.</w:t>
      </w:r>
      <w:r>
        <w:tab/>
        <w:t>Комитет по изучению положения женщин при Законодательном собрании АСТ анализирует программы, направленные на обеспечение более активного участия женщин в общественной и экономической жизни, и составляет доклады об этих программах.</w:t>
      </w:r>
    </w:p>
    <w:p w:rsidR="00000000" w:rsidRDefault="00000000">
      <w:pPr>
        <w:pStyle w:val="BodyText"/>
        <w:spacing w:after="120"/>
      </w:pPr>
      <w:r>
        <w:t>438.</w:t>
      </w:r>
      <w:r>
        <w:tab/>
        <w:t>В настоящее время правительство разрабатывает План действий для Канберры</w:t>
      </w:r>
      <w:r>
        <w:rPr>
          <w:i/>
        </w:rPr>
        <w:t>.</w:t>
      </w:r>
      <w:r>
        <w:t xml:space="preserve"> Основными компонентами этого Плана являются план социальных действий, экономическая программа и территориальный план Канберры. В этом Плане рассматриваются вопросы, касающиеся социальной инфраструктуры и экономики, включая особые потребности женщин. Проект раздела данного Плана, посвященного приоритетам в социальной сфере, см. на сайте </w:t>
      </w:r>
      <w:r>
        <w:rPr>
          <w:u w:val="single"/>
        </w:rPr>
        <w:t>http://www.cmd.act.gov.au/Documents/</w:t>
      </w:r>
      <w:r>
        <w:rPr>
          <w:u w:val="single"/>
        </w:rPr>
        <w:br/>
        <w:t>Social_Plan.pdf</w:t>
      </w:r>
      <w:r>
        <w:t>.</w:t>
      </w:r>
    </w:p>
    <w:p w:rsidR="00000000" w:rsidRDefault="00000000">
      <w:pPr>
        <w:pStyle w:val="Heading2"/>
        <w:spacing w:before="120"/>
      </w:pPr>
      <w:bookmarkStart w:id="536" w:name="_Toc70142843"/>
      <w:bookmarkStart w:id="537" w:name="_Toc70143020"/>
      <w:bookmarkStart w:id="538" w:name="_Toc70228747"/>
      <w:bookmarkStart w:id="539" w:name="_Toc70229148"/>
      <w:bookmarkStart w:id="540" w:name="_Toc70235414"/>
      <w:r>
        <w:t>Новый Южный Уэльс</w:t>
      </w:r>
      <w:bookmarkEnd w:id="536"/>
      <w:bookmarkEnd w:id="537"/>
      <w:bookmarkEnd w:id="538"/>
      <w:bookmarkEnd w:id="539"/>
      <w:bookmarkEnd w:id="540"/>
    </w:p>
    <w:p w:rsidR="00000000" w:rsidRDefault="00000000">
      <w:pPr>
        <w:pStyle w:val="BodyText"/>
      </w:pPr>
      <w:r>
        <w:t>439.</w:t>
      </w:r>
      <w:r>
        <w:tab/>
        <w:t>В Плане действий в интересах женщин (на 2000–2002 годы) вопросы, касающиеся семейной и общественной жизни женщин, рассматриваются в контексте КЛДЖ и Пекинской платформы действий. Программа "На первом месте семья" представляет собой сеть услуг по оказанию поддержки семьям, занимающимся воспитанием детей, призванную помочь семьям растить здоровых, приспособленных к жизни детей и совершенствовать умения и навыки, необходимые для выполнения родительских обязанностей. Программа ориентирована на семьи, имеющие малолетних детей, и обеспечивает услуги на ранней стадии развития ребенка в целях предотвращения возникновения долгосрочных проблем. Политика по оказанию услуг в раннем детском возрасте, осуществление которой началось в октябре 2000 года, рассматривает услуги в интересах детей как часть комплексной сети услуг по оказанию поддержки детям, семьям и общинам. Активное участие в разработке политики по оказанию услуг в раннем детском возрасте штата Южный Уэльс принимала учрежденная в 1998 году Консультационная группа планирования мероприятий по уходу за детьми.</w:t>
      </w:r>
    </w:p>
    <w:p w:rsidR="00000000" w:rsidRDefault="00000000">
      <w:pPr>
        <w:pStyle w:val="BodyText"/>
      </w:pPr>
      <w:r>
        <w:t>440.</w:t>
      </w:r>
      <w:r>
        <w:tab/>
        <w:t>Правительство предоставляет малоимущим гражданам помощь в области жилищного обеспечения. Две трети новых договоров об аренде заключены женщинами. В рамках Программы помощи путем предоставления субсидируемого жилья общинным организациям выделяются ресурсы на оказание содействия женщинам из находящихся в неблагоприятном положении общин в развитии профессиональных навыков и выявлении потребностей в помощи. Цель программы "Партнерство</w:t>
      </w:r>
      <w:r>
        <w:rPr>
          <w:i/>
        </w:rPr>
        <w:t xml:space="preserve"> </w:t>
      </w:r>
      <w:r>
        <w:t>против бездомности" состоит в том, чтобы повысить качество услуг, оказываемых бездомным гражданам, и усилить борьбу с таким явлением, как бездомность. В настоящее время разрабатывается проект, направленный на улучшение качества предоставляемых услуг молодым женщинам-аборигенам, выходящим из тюрем и исправительных учреждений для несовершеннолетних.</w:t>
      </w:r>
    </w:p>
    <w:p w:rsidR="00000000" w:rsidRDefault="00000000">
      <w:pPr>
        <w:pStyle w:val="BodyText"/>
      </w:pPr>
      <w:r>
        <w:t>441.</w:t>
      </w:r>
      <w:r>
        <w:tab/>
        <w:t>Департамент жилищного обеспечения и Управление по жилищному обеспечению коренного населения осуществляют ряд стратегий, направленных на улучшение качества жизни лиц, арендующих квартиры в жилом фонде государственного сектора, общин и коренного населения. Оба учреждения содействуют более активному участию своих квартиросъемщиков в принятии решений, влияющих на их жизнь (например, с помощью финансовой и иной поддержки групп квартиросъемщиков на уровне штата и на местном уровне). Основными участниками и бенефициарами этих усилий являются женщины. Квартиросъемщики-женщины могут также участвовать в различных проектах трудоустройства квартиросъемщиков для развития навыков трудовой деятельности.</w:t>
      </w:r>
    </w:p>
    <w:p w:rsidR="00000000" w:rsidRDefault="00000000">
      <w:pPr>
        <w:pStyle w:val="Heading2"/>
        <w:spacing w:before="0"/>
      </w:pPr>
      <w:bookmarkStart w:id="541" w:name="_Toc70142844"/>
      <w:bookmarkStart w:id="542" w:name="_Toc70143021"/>
      <w:bookmarkStart w:id="543" w:name="_Toc70228748"/>
      <w:bookmarkStart w:id="544" w:name="_Toc70229149"/>
      <w:bookmarkStart w:id="545" w:name="_Toc70235415"/>
      <w:r>
        <w:t>Северная территория</w:t>
      </w:r>
      <w:bookmarkEnd w:id="541"/>
      <w:bookmarkEnd w:id="542"/>
      <w:bookmarkEnd w:id="543"/>
      <w:bookmarkEnd w:id="544"/>
      <w:bookmarkEnd w:id="545"/>
    </w:p>
    <w:p w:rsidR="00000000" w:rsidRDefault="00000000">
      <w:pPr>
        <w:pStyle w:val="BodyText"/>
      </w:pPr>
      <w:r>
        <w:t>442.</w:t>
      </w:r>
      <w:r>
        <w:tab/>
        <w:t>Правительство сознает огромную важность осуществления согласованной экономической и социальной политики и эффективного финансового управления. Приоритетное внимание в рамках политики уделяется: экономическому развитию и созданию рабочих мест; вопросам образования и занятости; проблемам коренного населения; здравоохранению; судебной системе; и предупреждению преступности. Правительство придерживается подхода, предполагающего привлечение общин к осуществляемой им деятельности, для обеспечения более активного участия общества в процессе разработки политики и принятия решений, в частности, на самой ранней стадии.</w:t>
      </w:r>
    </w:p>
    <w:p w:rsidR="00000000" w:rsidRDefault="00000000">
      <w:pPr>
        <w:pStyle w:val="BodyText"/>
      </w:pPr>
      <w:r>
        <w:t>443.</w:t>
      </w:r>
      <w:r>
        <w:tab/>
        <w:t>В настоящее время с целью повышения эффективности планирования управления по вопросам политики в отношении женщин, по делам молодежи, этническим вопросам и пожилым гражданам в Северной территории находятся в помещениях Отдела по обеспечению участия общин при Департаменте премьер-министра. Каждая группа сохранит за собой свой конкретный мандат и при этом сможет использовать преимущества их расположения неподалеку друг от друга. В целом задача этих управлений состоит в обеспечении того, чтобы их политика и программы были непосредственно направлены на обеспечение равноправия мужчин и женщин.</w:t>
      </w:r>
    </w:p>
    <w:p w:rsidR="00000000" w:rsidRDefault="00000000">
      <w:pPr>
        <w:pStyle w:val="BodyText"/>
      </w:pPr>
      <w:r>
        <w:t>444.</w:t>
      </w:r>
      <w:r>
        <w:tab/>
        <w:t>В 2000–2001 годах правительство оказало содействие в проведении 14 форумов в интересах женщин, занятых в сфере предпринимательства, в которых приняли участие свыше 1000 женщин. Многие из этих форумов были организованы с помощью Сети женщин-предпринимателей в партнерстве с частным сектором и ассоциациями женщин-предпринимателей и включали мероприятия, запланированные для Месячника предпринимательства (октябрь), который проводился в Алис-Спрингсе и Дарвине. При содействии сети был опубликован доклад под названием "Женщины</w:t>
      </w:r>
      <w:r>
        <w:rPr>
          <w:i/>
        </w:rPr>
        <w:t>-</w:t>
      </w:r>
      <w:r>
        <w:t>предприниматели из Северной территории" и "Использование трудовых ресурсов в Северной территории – руководство для малых предприятий".</w:t>
      </w:r>
    </w:p>
    <w:p w:rsidR="00000000" w:rsidRDefault="00000000">
      <w:pPr>
        <w:pStyle w:val="BodyText"/>
      </w:pPr>
      <w:r>
        <w:t>445.</w:t>
      </w:r>
      <w:r>
        <w:tab/>
        <w:t>Правительственные учреждения поощряют присуждение местных и национальных премий в знак признания и в целях дальнейшего увеличения вклада женщин в предпринимательскую деятельность: премию премьер-министра для женщин в области образования; премию для женщин из Северной территории; премию премьер-министра за лучшее инновационное решение (которая присуждается женщинам, добившимся высоких результатов в осуществлении инновационных решений и новых идей в сфере предпринимательства); премия для молодых предпринимателей и специалистов-женщин в Дарвине (которая отмечает важные достижения молодых людей); премии "Телстра" для женщины-предпринимателя года и премия, присуждаемая сельским женщинам за их вклад в исследования и разработки в сельскохозяйственных отраслях</w:t>
      </w:r>
      <w:r>
        <w:rPr>
          <w:i/>
        </w:rPr>
        <w:t xml:space="preserve"> </w:t>
      </w:r>
      <w:r>
        <w:t>(которая способствует созданию сетей сельских женщин и поддерживает деятельность Сети женщин-предпринимателей Северной территории). Комиссия по туризму Северной территории является одним из спонсоров премий "Бролга" за достижения в сфере туризма, лауреатами которых нередко становятся предприятия, возглавляемые женщинами.</w:t>
      </w:r>
    </w:p>
    <w:p w:rsidR="00000000" w:rsidRDefault="00000000">
      <w:pPr>
        <w:pStyle w:val="BodyText"/>
      </w:pPr>
      <w:r>
        <w:t>446.</w:t>
      </w:r>
      <w:r>
        <w:tab/>
        <w:t>Правительство оказывает поддержку малоимущим семьям. В рамках Программы помощи в</w:t>
      </w:r>
      <w:r>
        <w:rPr>
          <w:i/>
        </w:rPr>
        <w:t xml:space="preserve"> </w:t>
      </w:r>
      <w:r>
        <w:t>виде бондов предоставляются беспроцентные ссуды в виде облигаций или, в некоторых случаях, в виде облигации или ренты со срочным погашением, и одинокие женщины, на иждивении которых находятся дети, составляют около 40 процентов получателей таких ссуд. Программа "Хоумнорс" предназначается для лиц с низким и средним доходом и предусматривает оказание помощи лицам, впервые покупающим жилье на рынке частного жилья, и арендаторам государственного жилья в покупке государственного жилья. За последний финансовый год 43 процента лиц, впервые покупающих частное жилье, и 35 процентов арендаторов государственного жилья были женщины. В настоящее время осуществляется проект, направленный на выявление потребностей граждан в возрасте от 18 до 25 лет в области финансового планирования и информации.</w:t>
      </w:r>
    </w:p>
    <w:p w:rsidR="00000000" w:rsidRDefault="00000000">
      <w:pPr>
        <w:pStyle w:val="BodyText"/>
        <w:spacing w:after="120"/>
      </w:pPr>
      <w:r>
        <w:t>447.</w:t>
      </w:r>
      <w:r>
        <w:tab/>
        <w:t>Спонсорская деятельность и поддержка со стороны Ассоциации деятелей искусств Северной территории приносит ощутимую пользу женщинам, занимающимся творческой деятельностью, и способствует повышению авторитета женщин в общественной жизни, искусстве и культуре. Женщины составляют приблизительно 51 процент лиц, работающих в сфере искусства и культуры. Женщины, работающие в сфере искусства, способствуют формированию образа удачливых и востребованных женщин. К числу женщин-аборигенов, которые занимают ведущие позиции в этой области, относятся Дороти Напангарди, Элис Нампиджимпа, Бесси Лиддл, Кэтлмн Уоллес, Пегги Напангарди Джоунс, Нэнси Макдинней, Китти Кантилла и Бандук Марика. Среди женщин также немало успешных художников и графиков, сценаристов и актеров, гончаров и певцов, и в 2001 году женщины-писатели получили большую часть премий на церемонии вручения премий Северной территории в области литературы.</w:t>
      </w:r>
    </w:p>
    <w:p w:rsidR="00000000" w:rsidRDefault="00000000">
      <w:pPr>
        <w:pStyle w:val="Heading2"/>
        <w:spacing w:before="120"/>
      </w:pPr>
      <w:bookmarkStart w:id="546" w:name="_Toc70142845"/>
      <w:bookmarkStart w:id="547" w:name="_Toc70143022"/>
      <w:bookmarkStart w:id="548" w:name="_Toc70228749"/>
      <w:bookmarkStart w:id="549" w:name="_Toc70229150"/>
      <w:bookmarkStart w:id="550" w:name="_Toc70235416"/>
      <w:r>
        <w:t>Квинсленд</w:t>
      </w:r>
      <w:bookmarkEnd w:id="546"/>
      <w:bookmarkEnd w:id="547"/>
      <w:bookmarkEnd w:id="548"/>
      <w:bookmarkEnd w:id="549"/>
      <w:bookmarkEnd w:id="550"/>
    </w:p>
    <w:p w:rsidR="00000000" w:rsidRDefault="00000000">
      <w:pPr>
        <w:pStyle w:val="BodyText"/>
      </w:pPr>
      <w:r>
        <w:t>448.</w:t>
      </w:r>
      <w:r>
        <w:tab/>
        <w:t>Стратегия под названием "На первом месте – семья" (2000 год) является первым шагом в процессе разработки долгосрочной политики правительства в отношении семьи. Она направлена на то, чтобы дать детям возможность удачно вступить в жизнь путем признания и поддержки воспитательной роли семьи и создания безопасных и благоприятных условий для семей. Повсюду в штате действует широкая сеть услуг по оказанию женщинам поддержки. Они включают: услуги социальных работников по оказанию поддержки молодым людям и семьям; проекты, осуществляемые в тех местах, где молодые люди относятся к группе риска из-за личных и семейных проблем; финансовую поддержку семей, осуществляющих уход за инвалидами; и программу "Родительские</w:t>
      </w:r>
      <w:r>
        <w:rPr>
          <w:i/>
        </w:rPr>
        <w:t xml:space="preserve"> </w:t>
      </w:r>
      <w:r>
        <w:t>функции", обеспечивающую информацию, касающуюся социальных и эмоциональных аспектов выполнения родительских обязанностей.</w:t>
      </w:r>
    </w:p>
    <w:p w:rsidR="00000000" w:rsidRDefault="00000000">
      <w:pPr>
        <w:pStyle w:val="BodyText"/>
      </w:pPr>
      <w:r>
        <w:t>449.</w:t>
      </w:r>
      <w:r>
        <w:tab/>
        <w:t>За последние пять лет правительство приняло ряд мер для обеспечения недорогостоящего и надлежащего жилья для женщин. К числу таких мер относятся:</w:t>
      </w:r>
    </w:p>
    <w:p w:rsidR="00000000" w:rsidRDefault="00000000">
      <w:pPr>
        <w:pStyle w:val="enumlev-2"/>
      </w:pPr>
      <w:r>
        <w:t>Программа услуг по уходу на дому и в общинных учреждениях Департамента здравоохранения штата Квинсленд обеспечивает базовые услуги и поддержку больным гражданам или пожилым лицам с физическими или психическими недостатками и ухаживающим за ними лицам, с тем чтобы дать им возможность сохранять некоторую степень самостоятельности в домашних условиях. Эта программа  ориентирована на женщин, поскольку именно женщины являются главными пользователями услуг по уходу за пожилыми людьми;</w:t>
      </w:r>
    </w:p>
    <w:p w:rsidR="00000000" w:rsidRDefault="00000000">
      <w:pPr>
        <w:pStyle w:val="enumlev-2"/>
      </w:pPr>
      <w:r>
        <w:t>Программа помощи на дому/безопасности помогает женщинам и мужчинам-инвалидам, а также пожилым гражданам чувствовать себя в безопасности у себя дома благодаря улучшению системы и техники безопасности в их жилищах; и</w:t>
      </w:r>
    </w:p>
    <w:p w:rsidR="00000000" w:rsidRDefault="00000000">
      <w:pPr>
        <w:pStyle w:val="enumlev-2"/>
        <w:spacing w:after="240"/>
      </w:pPr>
      <w:r>
        <w:t>Программа участия квартиросъемщиков поощряет женщин-квартиросъемщиков принимать участие в разработке местной политики, касающейся аренды государственного жилья.</w:t>
      </w:r>
    </w:p>
    <w:p w:rsidR="00000000" w:rsidRDefault="00000000">
      <w:pPr>
        <w:pStyle w:val="BodyText"/>
      </w:pPr>
      <w:r>
        <w:t>450.</w:t>
      </w:r>
      <w:r>
        <w:tab/>
        <w:t>В 2002 году Австралийская лига получателей пенсий по старости и выслуге лет при финансовой поддержке со стороны правительства подготовила доклад о пожилых женщинах и финансовых условиях под названием "Слишком занятые, слишком уставшие, слишком изнуренные". В настоящее время правительство выделяет Лиге финансовые средства для производства учебных модулей, посвященных вопросам, рассматриваемым в этом докладе. Департамент по делам семьи подготовил брошюру под названием "Руководство для пенсионеров – планируйте свой образ жизни" и поместил ее на соответствующий сайт в интернете.</w:t>
      </w:r>
    </w:p>
    <w:p w:rsidR="00000000" w:rsidRDefault="00000000">
      <w:pPr>
        <w:pStyle w:val="BodyText"/>
        <w:spacing w:after="120"/>
      </w:pPr>
      <w:r>
        <w:t>451.</w:t>
      </w:r>
      <w:r>
        <w:tab/>
        <w:t>В трех коренных общинах и одной общине жителей островов Торресова пролива были открыты четыре центра традиционной медицины. Посещать эти центры, которые занимаются вопросами предупреждения насилия, лечением травм и оказанием поддержки людям, жизнь которых омрачена проявлениями насилия, могут женщины-аборигены, дети и мужчины всех возрастов. С помощью этой инициативы правительство намерено помочь общинам самим обеспечивать лечение своих членов, способствуя тем самым решению их конкретных проблем на местах.</w:t>
      </w:r>
    </w:p>
    <w:p w:rsidR="00000000" w:rsidRDefault="00000000">
      <w:pPr>
        <w:pStyle w:val="Heading2"/>
        <w:spacing w:before="120"/>
      </w:pPr>
      <w:bookmarkStart w:id="551" w:name="_Toc70142846"/>
      <w:bookmarkStart w:id="552" w:name="_Toc70143023"/>
      <w:bookmarkStart w:id="553" w:name="_Toc70228750"/>
      <w:bookmarkStart w:id="554" w:name="_Toc70229151"/>
      <w:bookmarkStart w:id="555" w:name="_Toc70235417"/>
      <w:r>
        <w:t>Южная Австралия</w:t>
      </w:r>
      <w:bookmarkEnd w:id="551"/>
      <w:bookmarkEnd w:id="552"/>
      <w:bookmarkEnd w:id="553"/>
      <w:bookmarkEnd w:id="554"/>
      <w:bookmarkEnd w:id="555"/>
    </w:p>
    <w:p w:rsidR="00000000" w:rsidRDefault="00000000">
      <w:pPr>
        <w:pStyle w:val="BodyText"/>
      </w:pPr>
      <w:r>
        <w:t>452.</w:t>
      </w:r>
      <w:r>
        <w:tab/>
        <w:t>Опираясь на Брайтонскую декларацию (свод международных принципов, сформулированных в 1994 году в качестве руководства для расширения участия женщин в занятиях спортом на всех уровнях) и Виндхукский призыв к действиям (декларацию, в которой признается необходимость активизации сотрудничества и координации деятельности учреждений и организаций, занимающихся вопросами, касающимися женщин и девушек, и содержится призыв к дальнейшей работе по обеспечению равных возможностей для полноправного участия женщин и девушек в занятиях спортом, физической культурой и рекреационной деятельности, федеральное правительство и правительства штатов разработали национальную политику по вопросам участия женщин в занятиях</w:t>
      </w:r>
      <w:r>
        <w:rPr>
          <w:i/>
        </w:rPr>
        <w:t xml:space="preserve"> </w:t>
      </w:r>
      <w:r>
        <w:t>спортом и рекреационной деятельности. В основе этой политики – стратегический документ, содержащий тематические исследования и примеры наилучшей практики, которые могут быть использованы поставщиками услуг. Эта политика служит отправной точкой для каждого штата и территории в процессе работы над достижением общих целей и обеспечивает ассоциациям по вопросам спорта и рекреационной деятельности возможность сравнивать свои достижения с общенациональными показателями.</w:t>
      </w:r>
    </w:p>
    <w:p w:rsidR="00000000" w:rsidRDefault="00000000">
      <w:pPr>
        <w:pStyle w:val="BodyText"/>
      </w:pPr>
      <w:r>
        <w:t>453.</w:t>
      </w:r>
      <w:r>
        <w:tab/>
        <w:t>С учетом того, что число мужчин на тренерских и управленческих должностях по-прежнему превышает число женщин, были разработаны многочисленные стратегии для преодоления этого дисбаланса. Была разработана Национальная программа обучения, ориентированная на тренеров и администраторов-женщин, и женщинам предоставляются крупные стипендии, позволяющие им достигать вершин в тренерской карьере.</w:t>
      </w:r>
    </w:p>
    <w:p w:rsidR="00000000" w:rsidRDefault="00000000">
      <w:pPr>
        <w:pStyle w:val="BodyText"/>
      </w:pPr>
      <w:r>
        <w:t>454.</w:t>
      </w:r>
      <w:r>
        <w:tab/>
        <w:t>Через посредство Управления по делам искусств штата Южная Австралия правительство продолжало участвовать в многочисленных инициативах в сфере искусства и крупных культурных проектах, направленных на улучшение положения и повышение авторитета женщин. Средства были выделены организации "Вайтлстатистикс", женской театральной компании, занимающейся вопросам женского исполнительского искусства на национальной сцене. Помимо этого, ряд ведущих культурных заведений штата осуществляли проекты, ориентированные на женщин и их роль в искусстве и обществе. Например, Музей миграции в 2000 году организовал крупную выставку под названием "Невесты военного времени: наши истории". В этой выставке приняли участие члены Группы "Невесты военного времени", в состав которой входят женщины из Соединенного Королевства, стран Ближнего Востока, Японии и Соединенных Штатов, которые рассказали о своей жизни и роли в истории Южной Австралии.</w:t>
      </w:r>
    </w:p>
    <w:p w:rsidR="00000000" w:rsidRDefault="00000000">
      <w:pPr>
        <w:pStyle w:val="BodyText"/>
      </w:pPr>
      <w:r>
        <w:t>455.</w:t>
      </w:r>
      <w:r>
        <w:tab/>
        <w:t>Совет по делам пассажирского транспорта разработал Кодекс, в котором излагаются политика и руководящие принципы, касающиеся наружной рекламы, в целях недопущения дискриминации в отношении целевых групп, включая женщин. Это означает, что все компании, желающие принять участие в тендере на получение права размещать рекламу на государственных автобусах, автобусных станциях или в публикациях, должны соблюдать данный Кодекс.</w:t>
      </w:r>
    </w:p>
    <w:p w:rsidR="00000000" w:rsidRDefault="00000000">
      <w:pPr>
        <w:pStyle w:val="Heading2"/>
      </w:pPr>
      <w:bookmarkStart w:id="556" w:name="_Toc70142847"/>
      <w:bookmarkStart w:id="557" w:name="_Toc70143024"/>
      <w:bookmarkStart w:id="558" w:name="_Toc70228751"/>
      <w:bookmarkStart w:id="559" w:name="_Toc70229152"/>
      <w:bookmarkStart w:id="560" w:name="_Toc70235418"/>
      <w:r>
        <w:t>Тасмания</w:t>
      </w:r>
      <w:bookmarkEnd w:id="556"/>
      <w:bookmarkEnd w:id="557"/>
      <w:bookmarkEnd w:id="558"/>
      <w:bookmarkEnd w:id="559"/>
      <w:bookmarkEnd w:id="560"/>
    </w:p>
    <w:p w:rsidR="00000000" w:rsidRDefault="00000000">
      <w:pPr>
        <w:pStyle w:val="BodyText"/>
      </w:pPr>
      <w:r>
        <w:t>456.</w:t>
      </w:r>
      <w:r>
        <w:tab/>
        <w:t>Признавая, что бедность является одним из определяющих факторов плохого состояния здоровья населения, правительство финансирует целый ряд программ в наименее обеспеченных районах, которые направлены на улучшение социальных и экономических возможностей как отдельных людей, так и общин в целом. Правительство заключило с местными органами власти партнерские соглашения о создании местной инфраструктуры и организации поддержки.</w:t>
      </w:r>
    </w:p>
    <w:p w:rsidR="00000000" w:rsidRDefault="00000000">
      <w:pPr>
        <w:pStyle w:val="BodyText"/>
      </w:pPr>
      <w:r>
        <w:t>457.</w:t>
      </w:r>
      <w:r>
        <w:tab/>
        <w:t>Управление по делам женщин штата Тасмания осуществляет ряд программ и проектов, предназначенных для женщин из неблагополучных с экономической точки зрения групп и районов, включая:</w:t>
      </w:r>
    </w:p>
    <w:p w:rsidR="00000000" w:rsidRDefault="00000000">
      <w:pPr>
        <w:pStyle w:val="enumlev-2"/>
      </w:pPr>
      <w:r>
        <w:t>Программу мелких субсидий на цели развития женщин, которая предоставляет небольшие субсидии женским группам, оказывая им помощь в осуществлении проектов, направленных на удовлетворение выявленных местных потребностей;</w:t>
      </w:r>
    </w:p>
    <w:p w:rsidR="00000000" w:rsidRDefault="00000000">
      <w:pPr>
        <w:pStyle w:val="enumlev-2"/>
      </w:pPr>
      <w:r>
        <w:t>Программу развития женщин, которая направлена на обеспечение более активного участия женщин в жизни общества, особенно женщин из наименее обеспеченных и сельских общин, для выявления и использования имеющихся услуг, а также мобилизации ресурсов для решения общих проблем; и</w:t>
      </w:r>
    </w:p>
    <w:p w:rsidR="00000000" w:rsidRDefault="00000000">
      <w:pPr>
        <w:pStyle w:val="enumlev-2"/>
        <w:spacing w:after="240"/>
      </w:pPr>
      <w:r>
        <w:t>Программу по увеличению участия женщин в принятии решений и руководящей работе, которая включает обучение навыкам руководящей работы и программы инструктажа для молодых женщин из наименее обеспеченных районов.</w:t>
      </w:r>
    </w:p>
    <w:p w:rsidR="00000000" w:rsidRDefault="00000000">
      <w:pPr>
        <w:pStyle w:val="BodyText"/>
      </w:pPr>
      <w:r>
        <w:t>458.</w:t>
      </w:r>
      <w:r>
        <w:tab/>
        <w:t>Управление по делам женщин штата Тасмания также занимается вопросами, касающимися женщин из слаборазвитых в социальном и экономическом отношении и неблагополучных регионов, в рамках Соглашений о партнерстве с местными органами власти.</w:t>
      </w:r>
    </w:p>
    <w:p w:rsidR="00000000" w:rsidRDefault="00000000">
      <w:pPr>
        <w:pStyle w:val="BodyText"/>
      </w:pPr>
      <w:r>
        <w:t>459.</w:t>
      </w:r>
      <w:r>
        <w:tab/>
        <w:t>Правительство разрабатывает Стратегический план действий в интересах женщин, который будет включать расширенную программу информационных мероприятий и мероприятий в области развития в общинах, направленную на удовлетворение потребностей женщин в регионах, сельской местности и труднодоступных районах Тасмании, в частности, женщин из слаборазвитых в социальном и экономическом отношении и неблагополучных групп и регионов.</w:t>
      </w:r>
    </w:p>
    <w:p w:rsidR="00000000" w:rsidRDefault="00000000">
      <w:pPr>
        <w:pStyle w:val="BodyText"/>
      </w:pPr>
      <w:r>
        <w:t>460.</w:t>
      </w:r>
      <w:r>
        <w:tab/>
        <w:t>Служба по вопросам охраны здоровья семьи, детей и молодежи является правительственной службой, занимающейся на базе общин оказанием универсальных и специализированных услуг детям, молодым людям и их семьям в области предупреждения/раннего выявления заболеваний. Виды предоставляемых услуг включают поддержку, распространение информации, оценку физического состояния, поощрение здорового образа жизни, круглосуточную линию телефонной связи для родителей, услуги специализированного центра для родителей, нуждающихся в дополнительной поддержке, а также услуги в области охраны здоровья молодежи, включая два молодежных медицинских центра.</w:t>
      </w:r>
    </w:p>
    <w:p w:rsidR="00000000" w:rsidRDefault="00000000">
      <w:pPr>
        <w:pStyle w:val="Heading2"/>
      </w:pPr>
      <w:bookmarkStart w:id="561" w:name="_Toc70142848"/>
      <w:bookmarkStart w:id="562" w:name="_Toc70143025"/>
      <w:bookmarkStart w:id="563" w:name="_Toc70228752"/>
      <w:bookmarkStart w:id="564" w:name="_Toc70229153"/>
      <w:bookmarkStart w:id="565" w:name="_Toc70235419"/>
      <w:r>
        <w:t>Виктория</w:t>
      </w:r>
      <w:bookmarkEnd w:id="561"/>
      <w:bookmarkEnd w:id="562"/>
      <w:bookmarkEnd w:id="563"/>
      <w:bookmarkEnd w:id="564"/>
      <w:bookmarkEnd w:id="565"/>
    </w:p>
    <w:p w:rsidR="00000000" w:rsidRDefault="00000000">
      <w:pPr>
        <w:pStyle w:val="BodyText"/>
      </w:pPr>
      <w:r>
        <w:t>461.</w:t>
      </w:r>
      <w:r>
        <w:tab/>
        <w:t>Правительство считает, что всестороннее участие женщин в жизни общества можно обеспечить только в том случае, если на протяжении всей жизни они будут обладать экономической самостоятельностью. Для этого необходимо, чтобы женщины получали равное вознаграждение за труд равной ценности и имели устойчивое экономическое положение после выхода на пенсию. Основной упор правительство делает на мероприятия по укреплению общин, связанные с развитием или приобретением навыков, инструментов и ресурсов, необходимых для выявления и удовлетворения потребностей общин. Этот процесс укрепления общин направлен на то, чтобы как отдельные лица, так и местные группы могли сами управлять своей жизнью.</w:t>
      </w:r>
    </w:p>
    <w:p w:rsidR="00000000" w:rsidRDefault="00000000">
      <w:pPr>
        <w:pStyle w:val="BodyText"/>
      </w:pPr>
      <w:r>
        <w:t>462.</w:t>
      </w:r>
      <w:r>
        <w:tab/>
        <w:t>Инициативы, способствующие, достижению социальной и экономической самостоятельности, включают: выделение ассигнований 70 новым общинным центрам для обеспечения возможности скоординированной деятельности в течение 15 часов в неделю; подготовку информационного бюллетеня, рассказывающего женщинам о преимуществах получения пенсии по выслуге лет; разработку жилищной политики в интересах женщин; и создание руководящего представительного органа по оказанию жилищных услуг женщинам, который будет заниматься удовлетворением различных потребностей женщин и детей в области жилищного обеспечения. Была разработана Стратегия по оказанию помощи бездомным в штате Виктория, которая направлена на обеспечение всестороннего и скоординированного удовлетворения потребностей бездомных людей путем осуществления ряда инициатив в области предупреждения и раннего выявления, а также совершенствования работы существующей системы услуг.</w:t>
      </w:r>
    </w:p>
    <w:p w:rsidR="00000000" w:rsidRDefault="00000000">
      <w:pPr>
        <w:pStyle w:val="Heading2"/>
      </w:pPr>
      <w:bookmarkStart w:id="566" w:name="_Toc70142849"/>
      <w:bookmarkStart w:id="567" w:name="_Toc70143026"/>
      <w:bookmarkStart w:id="568" w:name="_Toc70228753"/>
      <w:bookmarkStart w:id="569" w:name="_Toc70229154"/>
      <w:bookmarkStart w:id="570" w:name="_Toc70235420"/>
      <w:r>
        <w:t>Западная Австралия</w:t>
      </w:r>
      <w:bookmarkEnd w:id="566"/>
      <w:bookmarkEnd w:id="567"/>
      <w:bookmarkEnd w:id="568"/>
      <w:bookmarkEnd w:id="569"/>
      <w:bookmarkEnd w:id="570"/>
    </w:p>
    <w:p w:rsidR="00000000" w:rsidRDefault="00000000">
      <w:pPr>
        <w:pStyle w:val="BodyText"/>
      </w:pPr>
      <w:r>
        <w:t>463.</w:t>
      </w:r>
      <w:r>
        <w:tab/>
        <w:t>В контексте Международного года борьбы за ликвидацию нищеты (1996 год) в штате Западная Австралия была создана правительственная/неправительственная целевая группа по ликвидации нищеты. Одной из приоритетных групп, которой данная Группа должна уделять самое пристальное внимание, являются женщины. Разработанные в связи с этим стратегии включают: финансирование исследований по ключевым вопросам, включая отношение общества к нищете; предоставление Черчиллевской стипендии для решения проблемы бедности; проведение общественного форума по вопросу о возможностях общества; и организация форума, посвященного результатам проведенных исследований.</w:t>
      </w:r>
    </w:p>
    <w:p w:rsidR="00000000" w:rsidRDefault="00000000">
      <w:pPr>
        <w:pStyle w:val="BodyText"/>
      </w:pPr>
      <w:r>
        <w:t>464.</w:t>
      </w:r>
      <w:r>
        <w:tab/>
        <w:t>Правительство заявило о своей приверженности разработке продуманного стратегического подхода к планированию и осуществлению гендерных инициатив в рамках проводимой им политики. Разрабатывается стратегический план действий на уровне штата. Этот план будет служить законодательной основой и включать показатели, по которым будет оцениваться достигнутый прогресс. В стратегическом плане действий на уровне штата будет предусмотрена процедура представления ежегодных докладов по вопросу об улучшении положения женщин.</w:t>
      </w:r>
    </w:p>
    <w:p w:rsidR="00000000" w:rsidRDefault="00000000">
      <w:pPr>
        <w:pStyle w:val="Article"/>
        <w:spacing w:after="120"/>
      </w:pPr>
      <w:r>
        <w:br w:type="page"/>
      </w:r>
      <w:bookmarkStart w:id="571" w:name="_Toc70143027"/>
      <w:bookmarkStart w:id="572" w:name="_Toc70228754"/>
      <w:bookmarkStart w:id="573" w:name="_Toc70229155"/>
      <w:bookmarkStart w:id="574" w:name="_Toc70235421"/>
      <w:r>
        <w:t>Статья 14:  Женщины, проживающие в сельских районах</w:t>
      </w:r>
      <w:bookmarkEnd w:id="571"/>
      <w:bookmarkEnd w:id="572"/>
      <w:bookmarkEnd w:id="573"/>
      <w:bookmarkEnd w:id="574"/>
    </w:p>
    <w:p w:rsidR="00000000" w:rsidRDefault="00000000">
      <w:pPr>
        <w:pStyle w:val="Article-ref"/>
        <w:spacing w:before="120" w:after="120"/>
      </w:pPr>
      <w:bookmarkStart w:id="575" w:name="_Toc70143028"/>
      <w:bookmarkStart w:id="576" w:name="_Toc70228755"/>
      <w:bookmarkStart w:id="577" w:name="_Toc70229156"/>
      <w:bookmarkStart w:id="578" w:name="_Toc70235422"/>
      <w:r>
        <w:t>Инициативы федерального правительства</w:t>
      </w:r>
      <w:bookmarkEnd w:id="575"/>
      <w:bookmarkEnd w:id="576"/>
      <w:bookmarkEnd w:id="577"/>
      <w:bookmarkEnd w:id="578"/>
    </w:p>
    <w:p w:rsidR="00000000" w:rsidRDefault="00000000">
      <w:pPr>
        <w:pStyle w:val="1-1"/>
        <w:spacing w:before="120"/>
      </w:pPr>
      <w:r>
        <w:t>Региональный консультативный совет по делам женщин</w:t>
      </w:r>
    </w:p>
    <w:p w:rsidR="00000000" w:rsidRDefault="00000000">
      <w:pPr>
        <w:pStyle w:val="BodyText"/>
      </w:pPr>
      <w:r>
        <w:t>465.</w:t>
      </w:r>
      <w:r>
        <w:tab/>
        <w:t>В сентябре 1999 года член парламента, заместитель премьер-министра и министр транспорта и региональных служб Джон Андерсон учредил Региональный консультативный совет по делам женщин в составе девяти членов. Члены Совета назначаются сроком на два года. Членами Совета являются женщины, проживающие и работающие в регионах, сельских или отдаленных районах, хорошо знающие ключевые проблемы регионов и имеющие возможность вносить существенный вклад в их решение и проведение соответствующих консультаций. Задача Совета состоит в том, чтобы служить форумом для обмена мнениями и обсуждения перспектив социального и экономического развития женщин в регионах и сельских и отдаленных районах Австралии. В лице министра Совет также участвует в процессе принятия правительственных решений, обеспечивая учет мнений женщин из регионов при разработке политики и программ, касающихся регионов Австралии.</w:t>
      </w:r>
    </w:p>
    <w:p w:rsidR="00000000" w:rsidRDefault="00000000">
      <w:pPr>
        <w:pStyle w:val="BodyText"/>
        <w:spacing w:after="120"/>
      </w:pPr>
      <w:r>
        <w:t>466.</w:t>
      </w:r>
      <w:r>
        <w:tab/>
        <w:t>Совет является одним из компонентов стратегии правительства, направленной на то, чтобы дать возможность женщинам в регионах, сельских и отдаленных районах Австралии быть услышанными. Совет осуществляет пилотный проект научных исследований, посвященных перспективам развития женщин и изучению общественной позиции, моделей поведения женщин и их профессиональных навыков и умений, которые помогают общинам работать по-новому во имя достижения позитивных результатов. Сделанные в результате данного исследования выводы послужили основой для пропаганды наилучшей практики в общинах и консультирования правительства в отношении путей и средств содействия формированию позитивных действий в связи с происходящими переменами. Заключительный доклад был опубликован в сентябре 2001 года.</w:t>
      </w:r>
    </w:p>
    <w:p w:rsidR="00000000" w:rsidRDefault="00000000">
      <w:pPr>
        <w:pStyle w:val="1-1"/>
        <w:spacing w:before="120"/>
      </w:pPr>
      <w:r>
        <w:t>Совещание "за круглым столом" по проблемам женщин из регионов и сельских районов</w:t>
      </w:r>
    </w:p>
    <w:p w:rsidR="00000000" w:rsidRDefault="00000000">
      <w:pPr>
        <w:pStyle w:val="BodyText"/>
        <w:spacing w:after="120"/>
      </w:pPr>
      <w:r>
        <w:t>467.</w:t>
      </w:r>
      <w:r>
        <w:tab/>
        <w:t>В июне 1999 года министр транспорта и региональных служб организовал в здании парламента совещание "за круглым столом" по проблемам женщин из регионов и сельских районов. В нем приняли участие 34 женщины, проживающие в регионах, сельских и отдаленных районах Австралии, из различных слоев общества, представляющие все штаты и территории. Цель совещания заключалась в том, чтобы выделить ключевые вопросы, волнующие женщин в регионах и сельских районах и их общины. В результате этих усилий были выделены 5 ключевых вопросов, включая: телекоммуникации; формирование социального капитала и социального единства; развитие экономики и предпринимательства; оказание услуг, в том числе в сфере здравоохранения, ухода за детьми, транспорта, консультирования и банковского дела; развитие умений и навыков и профессиональную подготовку. Участники рассмотрели указанные вопросы и представили министру рекомендации, выработанные в ходе совещания "за круглым столом".</w:t>
      </w:r>
    </w:p>
    <w:p w:rsidR="00000000" w:rsidRDefault="00000000">
      <w:pPr>
        <w:pStyle w:val="1-1"/>
        <w:spacing w:before="120"/>
      </w:pPr>
      <w:r>
        <w:t>Национальный план по привлечению женщин к управлению в области сельского хозяйства и ресурсов</w:t>
      </w:r>
    </w:p>
    <w:p w:rsidR="00000000" w:rsidRDefault="00000000">
      <w:pPr>
        <w:pStyle w:val="BodyText"/>
      </w:pPr>
      <w:r>
        <w:t>468.</w:t>
      </w:r>
      <w:r>
        <w:tab/>
        <w:t>В 1998 году Постоянный комитет федерального правительства/правительств штатов по вопросам управления в области сельского хозяйства и ресурсов опубликовал документ, озаглавленный "Курс на перемены: Национальный план по привлечению женщин к управлению в области сельского хозяйства и ресурсов". В этом Плане содержатся принципы, стратегии и результаты тематических исследований, посвященных изучению наилучшей практики, призванные помочь организациям шире привлекать женщин к управлению в области сельского хозяйства и ресурсов. План был одобрен 115 государственными, частными и общинными организациями и служит основой для разработки в штатах и территориях самостоятельных планов действий. Стратегия "Женщины в качестве объектов", являющаяся одним из элементов данного Плана, направлена на обеспечение учета потребностей сельских женщин в процессе разработки политики.</w:t>
      </w:r>
    </w:p>
    <w:p w:rsidR="00000000" w:rsidRDefault="00000000">
      <w:pPr>
        <w:pStyle w:val="1-1"/>
      </w:pPr>
      <w:r>
        <w:t>Экономическая безопасность и устойчивость</w:t>
      </w:r>
    </w:p>
    <w:p w:rsidR="00000000" w:rsidRDefault="00000000">
      <w:pPr>
        <w:pStyle w:val="BodyText"/>
      </w:pPr>
      <w:r>
        <w:t>469.</w:t>
      </w:r>
      <w:r>
        <w:tab/>
        <w:t>После 1995 года правительство выступило с рядом инициатив в целях содействия занятости и обеспечения экономической безопасности сельских женщин и семей, а также экономической устойчивости сельских общин. Утвержденная в 1997 году Программа поддержки сельской семьи является ведущей программой по оказанию более качественной социальной поддержки сельскохозяйственному сектору, а также помощи фермерам, которые хотят уйти из этой сферы деятельности и приспособиться к новой жизни. Программа имеет целый ряд ключевых направлений, таких как: возможности для поддержания доходов на определенном уровне; консультации специалистов по вопросам будущей жизнеспособности создаваемых предприятий; и, в случае необходимости, консультации по вопросам выбора последующей карьеры. В первые два года осуществления данной программы ее участникам также предоставлялись субсидии для освоения новых профессий.</w:t>
      </w:r>
    </w:p>
    <w:p w:rsidR="00000000" w:rsidRDefault="00000000">
      <w:pPr>
        <w:pStyle w:val="BodyText"/>
      </w:pPr>
      <w:r>
        <w:t>470.</w:t>
      </w:r>
      <w:r>
        <w:tab/>
        <w:t>Программа пособий для оказания помощи в исключительных ситуациях, утвержденная в 1998 году, помогает семьям покрывать убытки в связи с сильной засухой и другими стихийными бедствиями, которые выходят за рамки нормального управления риском; эта программа распространяется на фермеров, столкнувшихся с официально признанной чрезвычайной ситуацией. Выплаты в рамках этой программы способствуют поддержанию доходов на определенном уровне, включая пособие для партнеров, если это применимо; семьи фермеров, получающие такие выплаты, также имеют право на получение медицинской карточки и семейных надбавок.</w:t>
      </w:r>
    </w:p>
    <w:p w:rsidR="00000000" w:rsidRDefault="00000000">
      <w:pPr>
        <w:pStyle w:val="BodyText"/>
      </w:pPr>
      <w:r>
        <w:t>471.</w:t>
      </w:r>
      <w:r>
        <w:tab/>
        <w:t>В 1999 году была утверждена Программа по созданию операционных центров в сельских</w:t>
      </w:r>
      <w:r>
        <w:rPr>
          <w:i/>
        </w:rPr>
        <w:t xml:space="preserve"> </w:t>
      </w:r>
      <w:r>
        <w:t>районах, в рамках которой небольшим сельским общинам оказывалась помощь в создании центров, обеспечивающих доступ к различным услугам, включая банковские и почтовые услуги, телефонную и факсимильную связь, участие в программе "Медикер изиклейм", услуги в области образования и профессиональной подготовки. В общей сложности было открыто 34 таких центра. Предполагается, что объединение ряда услуг в рамках единого центра повысит функциональную жизнеспособность этих центров и сделает их устойчивыми в финансовом отношении. Эта инициатива поможет возродить в небольших сельских населенных пунктах традиционные услуги и внедрить новые виды услуг.</w:t>
      </w:r>
    </w:p>
    <w:p w:rsidR="00000000" w:rsidRDefault="00000000">
      <w:pPr>
        <w:pStyle w:val="BodyText"/>
      </w:pPr>
      <w:r>
        <w:t>472.</w:t>
      </w:r>
      <w:r>
        <w:tab/>
        <w:t>В 1999 году была утверждена Программа региональных форумов Австралии, призванная укрепить партнерские отношения между представителями деловых кругов, общинами и правительствами в целях повышения экономической жизнеспособности сельских общин.</w:t>
      </w:r>
    </w:p>
    <w:p w:rsidR="00000000" w:rsidRDefault="00000000">
      <w:pPr>
        <w:pStyle w:val="BodyText"/>
      </w:pPr>
      <w:r>
        <w:t>473.</w:t>
      </w:r>
      <w:r>
        <w:tab/>
        <w:t>Крупные ассигнования (на сумму 14,5 млн. долларов) были выделены Фонду обновления сельских районов и регионов в целях содействия строительству жизнеспособного социального и экономического будущего в регионах, сельской местности и отдаленных районах. Фонд занимается поощрением новых форм сотрудничества между представителями деловых кругов, общинами и правительством в сфере благотворительной деятельности, которая будет способствовать ускоренному развитию экономических и социальных ресурсов в регионах Австралии. Фонд осуществляет свою деятельность по следующим трем ключевым направлениям: создание потенциала в сельских районах, информационная и научно-исследовательская деятельность и распределение грантов на реализацию проектов в области развития. В своей работе Фонд уделяет основное внимание вопросам развития экономики, создания рабочих мест и стимулирования обновления регионов и сельских районов. Фонд провел ряд форумов для общинных фондов, с тем чтобы помочь им создать предпосылки для роста, и подготовил комплект пособий по работе общинных фондов для общин в Австралии, с тем чтобы помочь общинам лучше планировать свою работу и создавать собственные общинные фонды.</w:t>
      </w:r>
    </w:p>
    <w:p w:rsidR="00000000" w:rsidRDefault="00000000">
      <w:pPr>
        <w:pStyle w:val="BodyText"/>
      </w:pPr>
      <w:r>
        <w:t>474.</w:t>
      </w:r>
      <w:r>
        <w:rPr>
          <w:i/>
        </w:rPr>
        <w:tab/>
      </w:r>
      <w:r>
        <w:t>Программа поиска региональных решений призвана помочь региональным и сельским общинам находить решения местных проблем на местах. Данная инициатива основана на гибком подходе и исходит из того, что принцип "единообразия" неприемлем для создания потенциала в сельских районах Австралии. Общины получают ассигнования на реализацию проектов в области развития, которые будут способствовать укреплению местной экономики и улучшению доступа к различным услугам. Программа в первую очередь нацелена на работу с сельскими и региональными общинами, сталкивающимися с проблемами в области экономики, сокращения численности населения из-за реорганизации промышленности, отсутствия перспектив в плане развития или высокого уровня безработицы и неблагополучия в социальном плане. Эта программа является непосредственным итогом Регионального австралийского саммита и опирается на успехи, достигнутые в осуществлении Программы для сельских общин и Плана развития сельских районов. Участникам предлагается вносить в этот проект свой вклад в денежной или натуральной форме, а также получать поддержку из других источников, таких как правительства штатов или местные органы управления и частный сектор.</w:t>
      </w:r>
    </w:p>
    <w:p w:rsidR="00000000" w:rsidRDefault="00000000">
      <w:pPr>
        <w:pStyle w:val="BodyText"/>
      </w:pPr>
      <w:r>
        <w:t>475.</w:t>
      </w:r>
      <w:r>
        <w:tab/>
        <w:t>Одна из главных целей Пакета мер по улучшению ситуации в области сельского хозяйства Австралии состоит в том, чтобы расширить участие женщин в сельскохозяйственных отраслях, в частности, на руководящих постах и процессе принятия решений. Этот пакет мер предусматривает профессиональную подготовку женщин по вопросам управления, усиление партнерских отношений с женщинами при решении вопросов, касающихся сельскохозяйственных отраслей, и разработку стратегии, обеспечивающей признание роли молодежи и ее активное участие в профилирующих отраслях.</w:t>
      </w:r>
    </w:p>
    <w:p w:rsidR="00000000" w:rsidRDefault="00000000">
      <w:pPr>
        <w:pStyle w:val="1-1"/>
      </w:pPr>
      <w:r>
        <w:t>Образование и профессиональная подготовка</w:t>
      </w:r>
    </w:p>
    <w:p w:rsidR="00000000" w:rsidRDefault="00000000">
      <w:pPr>
        <w:pStyle w:val="BodyText"/>
      </w:pPr>
      <w:r>
        <w:t>476.</w:t>
      </w:r>
      <w:r>
        <w:tab/>
        <w:t>Австралийская сеть по вопросам образования (АСО) является общенациональной системой, координирующей использование интерактивных компьютерных сетей во всех секторах образования. Одна из главных задач состоит в том, чтобы улучшить доступ всех граждан Австралии независимо от их географического местонахождения к информационным технологиям. АСО обеспечивает информацию по вопросам образования и профессиональной подготовки и содействует гибкой организации курсов обучения. Женщины, проживающие в сельских районах, смогут извлечь большую пользу из услуг, оказываемых с помощью АСО.</w:t>
      </w:r>
    </w:p>
    <w:p w:rsidR="00000000" w:rsidRDefault="00000000">
      <w:pPr>
        <w:pStyle w:val="1-1"/>
      </w:pPr>
      <w:r>
        <w:t>Участие сельских женщин в принятии решений</w:t>
      </w:r>
    </w:p>
    <w:p w:rsidR="00000000" w:rsidRDefault="00000000">
      <w:pPr>
        <w:pStyle w:val="BodyText"/>
      </w:pPr>
      <w:r>
        <w:t>477.</w:t>
      </w:r>
      <w:r>
        <w:tab/>
        <w:t>В 1996 году Министерство сельского хозяйства, рыболовства и лесоводства Австралии создало базу данных "Баланс", в которую помещаются данные о женщинах, обладающих знаниями и опытом работы в сельских районах, в целях содействия более активному выдвижению женщин в состав советов и комитетов различных министерств. Министерство сельского хозяйства, рыболовства и лесоводства также участвовало в реализации программы УВПЖ под названием "Пилотная</w:t>
      </w:r>
      <w:r>
        <w:rPr>
          <w:i/>
        </w:rPr>
        <w:t xml:space="preserve"> </w:t>
      </w:r>
      <w:r>
        <w:t>программа поиска кандидатов на руководящие должности", цель которой – подбор женщин, подходящих для назначения в состав правительственных комитетов.</w:t>
      </w:r>
    </w:p>
    <w:p w:rsidR="00000000" w:rsidRDefault="00000000">
      <w:pPr>
        <w:pStyle w:val="BodyText"/>
        <w:spacing w:after="120"/>
      </w:pPr>
      <w:r>
        <w:t>478.</w:t>
      </w:r>
      <w:r>
        <w:tab/>
        <w:t>В 1999 году правительство учредило ежегодную национальную стипендию для участия одной из сельских женщин зрелого возраста в Австралийской программе подготовки руководителей в области сельского хозяйства. Данная программа представляет собой полуторагодовой курс профессиональной подготовки с выделением одной стипендии для каждого курса. К настоящему моменту этот курс окончили 4 женщины.</w:t>
      </w:r>
    </w:p>
    <w:p w:rsidR="00000000" w:rsidRDefault="00000000">
      <w:pPr>
        <w:pStyle w:val="1-1"/>
        <w:spacing w:before="120"/>
      </w:pPr>
      <w:r>
        <w:t>Здравоохранение</w:t>
      </w:r>
    </w:p>
    <w:p w:rsidR="00000000" w:rsidRDefault="00000000">
      <w:pPr>
        <w:pStyle w:val="BodyText"/>
      </w:pPr>
      <w:r>
        <w:t>479.</w:t>
      </w:r>
      <w:r>
        <w:tab/>
        <w:t>После 1995 года правительство выступило с целым рядом инициатив в целях обеспечения максимально высокого уровня услуг здравоохранения для всех граждан Австралии независимо от места их проживания, осуществляемых с помощью правительственных программ и крупных ассигнований, выделяемых штатам и территориям.</w:t>
      </w:r>
    </w:p>
    <w:p w:rsidR="00000000" w:rsidRDefault="00000000">
      <w:pPr>
        <w:pStyle w:val="BodyText"/>
      </w:pPr>
      <w:r>
        <w:t>480.</w:t>
      </w:r>
      <w:r>
        <w:tab/>
        <w:t>Учрежденная в марте 2000 года Служба медицинских работников общего профиля для сельских женщин работает над улучшением доступа сельских женщин, которые не имеют или практически не имеют возможности пользоваться женскими консультациями, к услугам в области первичной и специализированной медико-санитарной помощи. В рамках этой службы учитывается, что некоторые женщины предпочитают обращаться к врачам женского пола.</w:t>
      </w:r>
    </w:p>
    <w:p w:rsidR="00000000" w:rsidRDefault="00000000">
      <w:pPr>
        <w:pStyle w:val="BodyText"/>
      </w:pPr>
      <w:r>
        <w:t>481.</w:t>
      </w:r>
      <w:r>
        <w:tab/>
        <w:t>Ряд других программ поддержки сельских медицинских работников также оказывают услуги женщинам, в частности, Национальная программа улучшения качества акушерских услуг в сельских и отдаленных районах. В рамках данной программы штатам и территориям оказывается поддержка в улучшении качества планирования и оказания акушерских услуг и преодолении основных препятствий на пути организации системы акушерских услуг в сельских районах в среднесрочной и долгосрочной перспективах. Эта программа способствует совершенствованию системы оказания акушерских услуг и позволяет сельским женщинам рожать детей в максимально приближенных к домашним условиях.</w:t>
      </w:r>
    </w:p>
    <w:p w:rsidR="00000000" w:rsidRDefault="00000000">
      <w:pPr>
        <w:pStyle w:val="BodyText"/>
        <w:spacing w:after="120"/>
      </w:pPr>
      <w:r>
        <w:t>482.</w:t>
      </w:r>
      <w:r>
        <w:tab/>
        <w:t>В 2000 году была утверждена "Региональная стратегия в области здравоохранения: больше врачей, качественнее услуги". Эта стратегия содержит широкий и комплексный пакет мер, призванных увеличить число имеющихся врачей и повысить качество медицинского обслуживания в сельских районах. На реализацию этих мер в течение четырех лет выделено более 550 млн. долларов Многие из этих инициатив помогут улучшить доступ женщин, проживающих в сельских районах Австралии, к медицинскому обслуживанию.</w:t>
      </w:r>
    </w:p>
    <w:p w:rsidR="00000000" w:rsidRDefault="00000000">
      <w:pPr>
        <w:pStyle w:val="1-1"/>
        <w:spacing w:before="120"/>
      </w:pPr>
      <w:r>
        <w:t>Насилие</w:t>
      </w:r>
    </w:p>
    <w:p w:rsidR="00000000" w:rsidRDefault="00000000">
      <w:pPr>
        <w:pStyle w:val="BodyText"/>
      </w:pPr>
      <w:r>
        <w:t>483.</w:t>
      </w:r>
      <w:r>
        <w:tab/>
        <w:t>В рамках своей инициативы под названием "Партнерства по борьбе с насилием в семье" (ПБНС) правительство финансирует демонстрационные проекты по испытанию новых подходов к решению проблемы насилия в семье в сельских и отдаленных районах, а также в общинах коренного населения. Подробнее о таких проектах см. в комментариях по осуществлению статьи 16.</w:t>
      </w:r>
    </w:p>
    <w:p w:rsidR="00000000" w:rsidRDefault="00000000">
      <w:pPr>
        <w:pStyle w:val="BodyText"/>
      </w:pPr>
      <w:r>
        <w:t>484.</w:t>
      </w:r>
      <w:r>
        <w:tab/>
        <w:t>В рамках ПБНС были проведены исследования, в ходе которых стала очевидна актуальность проблемы насилия в семье для сельских и отдаленных районов. Проблемы, которые испытывают жертвы насилия, усугубляются изоляцией и отсутствием прямого доступа к средствам поддержки и услугам. Признавая конкретные препятствия, с которыми люди сталкиваются в сельских и отдаленных районах, ПБНС финансировала целый ряд проектов, направленных на совершенствование системы оказания услуг всем членам семьи – жертвам насилия в семье, содействие женщинам и детям в предупреждении ситуаций, сопряженных с насилием, и испытание моделей для более эффективного раннего вмешательства и предупреждения насилия.</w:t>
      </w:r>
    </w:p>
    <w:p w:rsidR="00000000" w:rsidRDefault="00000000">
      <w:pPr>
        <w:pStyle w:val="BodyText"/>
      </w:pPr>
      <w:r>
        <w:t>485.</w:t>
      </w:r>
      <w:r>
        <w:tab/>
        <w:t>Потребности страдающих от насилия в семье лиц из числа коренного населения в сельских и отдаленных районах являются предметами целого ряда инициатив, включающих обеспечение более эффективной защиты женщин-аборигенов в отдаленных районах, поощрение более эффективного удовлетворения со стороны социальных служб потребностей женщин и детей-аборигенов – жертв насилия в семье, разработку теоретических моделей общинных действий в связи с насилием в семье и испытание программ, направленных на изменение поведенческих моделей у лиц, прибегающих к такому насилию.</w:t>
      </w:r>
    </w:p>
    <w:p w:rsidR="00000000" w:rsidRDefault="00000000">
      <w:pPr>
        <w:pStyle w:val="BodyText"/>
      </w:pPr>
      <w:r>
        <w:t>486.</w:t>
      </w:r>
      <w:r>
        <w:tab/>
        <w:t>В рамках Общенациональной программы предупреждения преступности насилие в семье выделено в качестве одной из приоритетных областей, требующей инновационных и практических подходов для снижения уровня преступности. Одной из главных инициатив является осуществляемый в сельской общине пилотный проект по работе с подростками с целью предотвращения насилия в их нынешних и будущих взаимоотношениях. Результаты оценки указанного проекта свидетельствуют о положительном влиянии на представления учащихся о недопустимости насилия и возможности осуществления данного проекта в других районах, в которых сами общины заинтересованы в предотвращении насилия в семье. В контексте этой Программы был подготовлен доклад о крупном национальном исследовании, посвященном изучению характера и масштабов насилия в общинах коренного населения.</w:t>
      </w:r>
    </w:p>
    <w:p w:rsidR="00000000" w:rsidRDefault="00000000">
      <w:pPr>
        <w:pStyle w:val="BodyText"/>
      </w:pPr>
      <w:r>
        <w:t>487.</w:t>
      </w:r>
      <w:r>
        <w:rPr>
          <w:i/>
        </w:rPr>
        <w:tab/>
      </w:r>
      <w:r>
        <w:t>Инициатива по борьбе с насилием в семье в сельских и отдаленных районах (которая финансируется федеральным правительством и осуществляется правительствами штатов и территорий в рамках Программы содействия предоставлению временного жилья для нуждающихся) предполагает применение новых подходов в отношении женщин и детей, подвергающихся насилию в сельских и изолированных общинах. Эта инициатива направлена на расширение доступа и возможностей для обращения в службы поддержки и оказание консультационных услуг по вопросам жилищного обеспечения, финансов, правовой помощи и т. п.</w:t>
      </w:r>
    </w:p>
    <w:p w:rsidR="00000000" w:rsidRDefault="00000000">
      <w:pPr>
        <w:pStyle w:val="BodyText"/>
        <w:spacing w:after="120"/>
      </w:pPr>
      <w:r>
        <w:t>488.</w:t>
      </w:r>
      <w:r>
        <w:tab/>
        <w:t>Группы по предупреждению насилия в семье оказывают своим клиентам правовые услуги по вопросам такого насилия с учетом их культурных традиций, предоставляют консультационную помощь жертвам насилия, ведут просветительскую работу с их партнерами и внутри общин. Эти группы расположены в Северной территории (Алис-Спрингс, Дарвин, Катерин), Квинсленд (Кэрнс, район горы Иса), Западная Австралия (Фицрой-Кроссинг, Джералдтон), Южная Австралия (Калгурли, Порт-Огаста) и Новый Южный Уэльс (Кемпси, Мори, Уолгетт).</w:t>
      </w:r>
    </w:p>
    <w:p w:rsidR="00000000" w:rsidRDefault="00000000">
      <w:pPr>
        <w:pStyle w:val="1-1"/>
        <w:spacing w:before="120"/>
      </w:pPr>
      <w:r>
        <w:t>Доступ к правовой системе</w:t>
      </w:r>
    </w:p>
    <w:p w:rsidR="00000000" w:rsidRDefault="00000000">
      <w:pPr>
        <w:pStyle w:val="BodyText"/>
      </w:pPr>
      <w:r>
        <w:t>489.</w:t>
      </w:r>
      <w:r>
        <w:tab/>
        <w:t xml:space="preserve">Федеральная служба мировых судей обеспечивает относительно быстрый и рентабельный способ решения ряда общих для всей страны проблем. Эта служба имеет особую важность для женщин, которые нередко оказываются менее обеспеченной стороной после расторжения брака, и предоставляет им возможность урегулировать семейные споры без ощутимых затрат. За небольшую </w:t>
      </w:r>
      <w:r>
        <w:rPr>
          <w:spacing w:val="-2"/>
        </w:rPr>
        <w:t xml:space="preserve">плату данная служба также оказывает помощь женщинам, права которых по антидискриминационному </w:t>
      </w:r>
      <w:r>
        <w:t>законодательству были нарушены. Служба действует в каждом столичном городе Австралии, имеет постоянные отделения в некоторых региональных общинах и поддерживает тесную связь с регионами и сельскими районами.</w:t>
      </w:r>
    </w:p>
    <w:p w:rsidR="00000000" w:rsidRDefault="00000000">
      <w:pPr>
        <w:pStyle w:val="BodyText"/>
      </w:pPr>
      <w:r>
        <w:t>490.</w:t>
      </w:r>
      <w:r>
        <w:tab/>
        <w:t>В июне 2001 года была открыта консультационно-информационная линия "Помощь в вопросах австралийского законодательства в режиме он-лайн" по вопросам семейного законодательства и поддержки детей. Она обеспечивает конфиденциальные информационные услуги по телефону и в интернете, оказывая помощь людям, не имеющим возможности лично посещать юридические консультации. Консультационные услуги по правовым вопросам оказываются сельским общинам с помощью современных средств телефонной связи.</w:t>
      </w:r>
    </w:p>
    <w:p w:rsidR="00000000" w:rsidRDefault="00000000">
      <w:pPr>
        <w:pStyle w:val="BodyText"/>
      </w:pPr>
      <w:r>
        <w:t>491.</w:t>
      </w:r>
      <w:r>
        <w:tab/>
        <w:t>В 2000 году правительство расширило Федеральную программу по оказанию правовых услуг общинам,</w:t>
      </w:r>
      <w:r>
        <w:rPr>
          <w:i/>
        </w:rPr>
        <w:t xml:space="preserve"> </w:t>
      </w:r>
      <w:r>
        <w:t>что включало создание пяти новых региональных общинных служб по оказанию правовой помощи и расширило сферу охвата мероприятий, осуществляемых из центра в Дарвине. Данная инициатива дополнила инициативу по созданию шести новых региональных служб по оказанию правовой помощи и курсов юридического образования, которая была объявлена в 1999 году.</w:t>
      </w:r>
    </w:p>
    <w:p w:rsidR="00000000" w:rsidRDefault="00000000">
      <w:pPr>
        <w:pStyle w:val="BodyText"/>
        <w:spacing w:after="120"/>
      </w:pPr>
      <w:r>
        <w:t>492.</w:t>
      </w:r>
      <w:r>
        <w:tab/>
        <w:t>В 2000 году Национальной коалиции мировых судей по делам женщин были выделены ассигнования (в рамках Программы финансирования общенациональных женских НПО) на осуществление проекта по увеличению вклада политиков в решение правовых вопросов, касающихся женщин в регионах, сельских и отдаленных районах путем содействия обмену информацией между местными сетями и правительством; повышение осведомленности общественности о влиянии на сельских женщин законов и доступа к правовым услугам; и создание механизмов для непрерывного обмена информацией и опытом в целях поощрения поиска эффективных решений.</w:t>
      </w:r>
    </w:p>
    <w:p w:rsidR="00000000" w:rsidRDefault="00000000">
      <w:pPr>
        <w:pStyle w:val="1-1"/>
        <w:spacing w:before="120"/>
      </w:pPr>
      <w:r>
        <w:t>Доступ к средствам телекоммуникации</w:t>
      </w:r>
    </w:p>
    <w:p w:rsidR="00000000" w:rsidRDefault="00000000">
      <w:pPr>
        <w:pStyle w:val="BodyText"/>
      </w:pPr>
      <w:r>
        <w:t>493.</w:t>
      </w:r>
      <w:r>
        <w:tab/>
        <w:t>В 1997 году была образована Сеть, связывающая всю нацию, которая должна была способствовать экономическому и социальному развитию регионов, сельских и отдаленных районов Австралии. Эта программа дает женщинам из сельских районов возможность пользоваться преимуществами современных средств связи, современных средств информации и маркетинга во всемирных масштабах, а также осуществлять профессиональную подготовку в онлайновом режиме и работать на дому. К числу проектов, предназначенных для сельских женщин, относятся:</w:t>
      </w:r>
    </w:p>
    <w:p w:rsidR="00000000" w:rsidRDefault="00000000">
      <w:pPr>
        <w:pStyle w:val="enumlev-2"/>
      </w:pPr>
      <w:r>
        <w:t>проект под названием "Австралийский виртуальный центр по проблемам женщин и права", осуществляемый под руководством Национальной коалиции мировых судей по делам женщин и направленный на пропаганду использования все большим числом уязвимых групп населения и в первую очередь женщинами разнообразных дискуссионных групп и смежных услуг в онлайновом режиме. В этом проекте насчитывается более 5 тыс. участников, включая 600 общинных организаций, пользующихся услугами почти 170 групп электронной почты, созданных и поддерживаемых в рамках данного проекта;</w:t>
      </w:r>
    </w:p>
    <w:p w:rsidR="00000000" w:rsidRDefault="00000000">
      <w:pPr>
        <w:pStyle w:val="enumlev-2"/>
      </w:pPr>
      <w:r>
        <w:t>проект Сеть женщин из сельских районов штата Квинсленд "БриджИТ", обеспечивающий женщинам из сельских районов и их семьям услуги в области профессиональной подготовки и поддержки в связи с информационными технологиями и интернетом;</w:t>
      </w:r>
    </w:p>
    <w:p w:rsidR="00000000" w:rsidRDefault="00000000">
      <w:pPr>
        <w:pStyle w:val="enumlev-2"/>
        <w:ind w:left="346" w:hanging="346"/>
      </w:pPr>
      <w:r>
        <w:t>пилотный проект под названием "Сеть мировых судей по делам женщин", ориентированный на обеспечение правовой информации, консультаций и услуг, касающихся женщин, в юго-западных районах штата Квинсленд. Проект включает сеть общинных организаций и правовых консультаций, связанных между собой с помощью компьютерного видеооборудования и базы данных по правовым вопросам.</w:t>
      </w:r>
    </w:p>
    <w:p w:rsidR="00000000" w:rsidRDefault="00000000">
      <w:pPr>
        <w:pStyle w:val="1-1"/>
        <w:spacing w:before="120"/>
      </w:pPr>
      <w:r>
        <w:t>Альтернативная программа внесудебного рассмотрения дел о правонарушениях несовершеннолетних и Служба перевода для аборигенов</w:t>
      </w:r>
    </w:p>
    <w:p w:rsidR="00000000" w:rsidRDefault="00000000">
      <w:pPr>
        <w:pStyle w:val="BodyText"/>
      </w:pPr>
      <w:r>
        <w:t>494.</w:t>
      </w:r>
      <w:r>
        <w:tab/>
        <w:t>В марте 2000 года премьер-министр и главный министр Северной территории объявил о выделении Северной территории ассигнований из федерального бюджета (на сумму 20 млн. долларов) на цели альтернативной программы внесудебного рассмотрения дел о правонарушениях несовершеннолетних и создания совместно финансируемой Службы перевода для аборигенов. Соглашение между федеральным правительством и правительством Северной территории вступило в силу с 1 сентября 2000 года. Цель соглашения состоит в том, чтобы вывести несовершеннолетних из-под действия системы уголовного правосудия, а также снизить языковые барьеры, с которыми сталкиваются аборигены. Федеральное правительство выделяет средства на следующие цели: закупку оборудования и осуществление общинных альтернативных программ в отношении несовершеннолетних в городских, сельских и отдаленных общинах; создание группы по осуществлению альтернативных программ в отношении несовершеннолетних правонарушителей в рамках полицейской службы Северной территории, которая проводит программу альтернативных внесудебных рассмотрений дел в отношении несовершеннолетних, проводит конференции между правонарушителями и потерпевшими и выполняет другие программы; создание совместно финансируемой Службы перевода для аборигенов (финансирование в течение первого года подготовки переводчиков и периодическое финансирование курсов профессиональной подготовки).</w:t>
      </w:r>
    </w:p>
    <w:p w:rsidR="00000000" w:rsidRDefault="00000000">
      <w:pPr>
        <w:pStyle w:val="BodyText"/>
      </w:pPr>
      <w:r>
        <w:t>495.</w:t>
      </w:r>
      <w:r>
        <w:tab/>
        <w:t>Силами группы по осуществлению альтернативных программ в отношении несовершеннолетних правонарушителей полиция Северной территории проводит профилактические мероприятия среди несовершеннолетних, задержанных за различные правонарушения, в виде предупреждений, постановки на учет и направления в различные программы и группы. По итогам первого года реализации данной программы: 1215 дел в отношении задержанных несовершеннолетних правонарушителей были закрыты с вынесением устных или письменных предупреждений, что составляет 78 процентов от общего числа правонарушений, совершенных несовершеннолетними (в общей сложности 1548 дел); и общее число дел о правонарушениях несовершеннолетних, которые были доведены до суда, по сравнению с предыдущим годом сократилось на 31 процент.</w:t>
      </w:r>
    </w:p>
    <w:p w:rsidR="00000000" w:rsidRDefault="00000000">
      <w:pPr>
        <w:pStyle w:val="BodyText"/>
        <w:spacing w:after="120"/>
      </w:pPr>
      <w:r>
        <w:t>496.</w:t>
      </w:r>
      <w:r>
        <w:rPr>
          <w:i/>
        </w:rPr>
        <w:tab/>
      </w:r>
      <w:r>
        <w:t>Служба перевода для аборигенов (которая размещается в Территориальном управлении по вопросам развития аборигенов) ведет реестр переводчиков с языков коренного населения и обслуживает нуждающиеся в услугах переводчиков на местах государственные учреждения и неправительственные организации повсюду в Территории. Согласно действующим правилам государственные службы здравоохранения, правовые службы и правовые службы по делам коренного населения также получают ассигнования на приобретение услуг переводчиков. Альтернативная программа в отношении несовершеннолетних правонарушителей и создание службы перевода для аборигенов должны принести регионам и сельским районам реальную пользу.</w:t>
      </w:r>
    </w:p>
    <w:p w:rsidR="00000000" w:rsidRDefault="00000000">
      <w:pPr>
        <w:pStyle w:val="1-1"/>
        <w:spacing w:before="0"/>
      </w:pPr>
      <w:r>
        <w:t>Признание вклада женщин в сельских районах</w:t>
      </w:r>
    </w:p>
    <w:p w:rsidR="00000000" w:rsidRDefault="00000000">
      <w:pPr>
        <w:pStyle w:val="BodyText"/>
      </w:pPr>
      <w:r>
        <w:t>497.</w:t>
      </w:r>
      <w:r>
        <w:tab/>
        <w:t>В 1997 году правительство учредило беспрецедентный проект прикладных исследований под названием "Упущенные возможности: использование потенциала женщин в сельском хозяйстве Австралии". Этот проект был посвящен анализу финансового вклада женщин в сельскую экономику и проверке эффективности стратегий, способствующих более широкому признанию позитивной деятельности сельских организаций и оценке женщин как участников этой деятельности, членов советов и лиц, отвечающих за принятия решений. В результате реализации данного проекта был впервые подсчитан в долларовом эквиваленте вклад женщин в работу сельских предприятий и жизнь общин.</w:t>
      </w:r>
    </w:p>
    <w:p w:rsidR="00000000" w:rsidRDefault="00000000">
      <w:pPr>
        <w:pStyle w:val="BodyText"/>
      </w:pPr>
      <w:r>
        <w:t>498.</w:t>
      </w:r>
      <w:r>
        <w:tab/>
        <w:t>Присуждение Национальных премий за инновационную деятельность в сфере местного самоуправления содействует развитию и признанию такой деятельности в области руководства в местных органах управления. Эти премии присуждаются местным органам власти, ассоциациям и другим сотрудничающим организациям, которые разрабатывают и реализуют инновационные и творческие подходы, способствующие улучшению показателей работы местных органов управления и созданию устойчивых общин в Австралии. Премии присуждаются в областях, отличающихся высоким уровнем представленности женщин, например в области здравоохранения, ухода за престарелыми и общинных услуг.</w:t>
      </w:r>
    </w:p>
    <w:p w:rsidR="00000000" w:rsidRDefault="00000000">
      <w:pPr>
        <w:pStyle w:val="BodyText"/>
      </w:pPr>
      <w:r>
        <w:t>499.</w:t>
      </w:r>
      <w:r>
        <w:tab/>
        <w:t>По случаю Всемирного дня сельских женщин в 1999 году правительство выступило с инициативой в отношении женщин, проживающих в регионах и сельских районах. Премия "За участие женщин из сельских районов в исследованиях и разработках в сельскохозяйственных отраслях" присуждается в знак признания и поощрения жизненно важного вклада, который женщины вносят в жизнь сельских общин Австралии. Эта премия была учреждена после того успеха, который имела премия Австралийской радиовещательной комиссии (Эй-би-си) под названием "Женщина года из сельских районов Австралии", и может присуждаться всем женщинам, занимающимся сельским хозяйством, управлением природными ресурсами и смежными отраслями в области услуг.</w:t>
      </w:r>
    </w:p>
    <w:p w:rsidR="00000000" w:rsidRDefault="00000000">
      <w:pPr>
        <w:pStyle w:val="BodyText"/>
        <w:spacing w:after="120"/>
      </w:pPr>
      <w:r>
        <w:t>500.</w:t>
      </w:r>
      <w:r>
        <w:tab/>
        <w:t>Премия присуждается семи победителям от штатов и территорий. Каждый победитель получает чек на сумму 20 тыс. долларов, которая может быть использована на деятельность, связанную с развитием его управленческих, предпринимательских или руководящих навыков и умений, например на цели исследовательской поездки или получения формального образования. Лица, ставшие лауреатами в штатах и территориях, а также лица, занявшие вторые места, приняли участие в национальном семинаре по вопросам руководящей деятельности, который состоялся в марте 2002 года и был направлен на формирование у слушателей руководящих и управленческих навыков, умения общаться с представителями средств массовой информации, а также предоставление им возможностей для создания сетей.</w:t>
      </w:r>
    </w:p>
    <w:p w:rsidR="00000000" w:rsidRDefault="00000000">
      <w:pPr>
        <w:pStyle w:val="Article-ref"/>
        <w:spacing w:before="120" w:after="120"/>
      </w:pPr>
      <w:bookmarkStart w:id="579" w:name="_Toc70143029"/>
      <w:bookmarkStart w:id="580" w:name="_Toc70228756"/>
      <w:bookmarkStart w:id="581" w:name="_Toc70229157"/>
      <w:bookmarkStart w:id="582" w:name="_Toc70235423"/>
      <w:r>
        <w:t>Инициативы штатов и территорий</w:t>
      </w:r>
      <w:bookmarkEnd w:id="579"/>
      <w:bookmarkEnd w:id="580"/>
      <w:bookmarkEnd w:id="581"/>
      <w:bookmarkEnd w:id="582"/>
    </w:p>
    <w:p w:rsidR="00000000" w:rsidRDefault="00000000">
      <w:pPr>
        <w:pStyle w:val="Heading2"/>
        <w:spacing w:before="120"/>
      </w:pPr>
      <w:bookmarkStart w:id="583" w:name="_Toc70142850"/>
      <w:bookmarkStart w:id="584" w:name="_Toc70143030"/>
      <w:bookmarkStart w:id="585" w:name="_Toc70228757"/>
      <w:bookmarkStart w:id="586" w:name="_Toc70229158"/>
      <w:bookmarkStart w:id="587" w:name="_Toc70235424"/>
      <w:r>
        <w:t>Новый Южный Уэльс</w:t>
      </w:r>
      <w:bookmarkEnd w:id="583"/>
      <w:bookmarkEnd w:id="584"/>
      <w:bookmarkEnd w:id="585"/>
      <w:bookmarkEnd w:id="586"/>
      <w:bookmarkEnd w:id="587"/>
    </w:p>
    <w:p w:rsidR="00000000" w:rsidRDefault="00000000">
      <w:pPr>
        <w:pStyle w:val="BodyText"/>
      </w:pPr>
      <w:r>
        <w:t>501.</w:t>
      </w:r>
      <w:r>
        <w:rPr>
          <w:i/>
        </w:rPr>
        <w:tab/>
      </w:r>
      <w:r>
        <w:t>План действий в интересах женщин на 2000–2002 годы направлен на удовлетворение потребностей женщин из сельских районов и регионов в контексте КЛДЖ и Пекинской платформы действий. Особые потребности и проблемы  женщин, проживающих в сельских и изолированных районах, также затрагиваются в других важных программных документах, таких как Программа действий в интересах женщин в области ТПО на 1997–2000 годы.</w:t>
      </w:r>
    </w:p>
    <w:p w:rsidR="00000000" w:rsidRDefault="00000000">
      <w:pPr>
        <w:pStyle w:val="BodyText"/>
      </w:pPr>
      <w:r>
        <w:t>502.</w:t>
      </w:r>
      <w:r>
        <w:tab/>
        <w:t>Консультативная группа штата Новый Южный Уэльс по вопросам сельского хозяйства в партнерстве с Сетью женщин из сельских районов представила координационную программу под названием "Работаем по-новому: план действий в интересах женщин штата Нового Южного Уэльса в области сельского хозяйства и управления ресурсами". Эта программа направлена на обеспечение более активного участия женщин в процессе принятия решений, более широкого признания в рамках сельскохозяйственной отрасли и органов государственного управления женщин как полноправных клиентов и более активного участия женщин в деятельности сельскохозяйственного сектора.</w:t>
      </w:r>
    </w:p>
    <w:p w:rsidR="00000000" w:rsidRDefault="00000000">
      <w:pPr>
        <w:pStyle w:val="BodyText"/>
        <w:spacing w:after="120"/>
      </w:pPr>
      <w:r>
        <w:t>503.</w:t>
      </w:r>
      <w:r>
        <w:tab/>
        <w:t>В рамках Программы грантов для женщин ассигнования были выделены на осуществление двух партнерских проектов. Проект "Шопфрант" (осуществляемый в Сиднейском технологическом университете) призван разработать основу для устойчивого экономического, социального, экологического и культурного развития в интересах женщин в трех отдаленных и региональных общинах. Ориентированный на 3 общины проект в области создания возможностей для женщин в</w:t>
      </w:r>
      <w:r>
        <w:rPr>
          <w:i/>
        </w:rPr>
        <w:t xml:space="preserve"> </w:t>
      </w:r>
      <w:r>
        <w:t>сфере занятости осуществляется Региональным советом центрально-западной части штата по вопросам общинного образования и образования для взрослых. Он направлен на разработку учитывающей гендерную проблематику модели комплексного и скоординированного подхода на базе общин к развитию сферы занятости и предпринимательства. Эта модель будет использована в целях расширения возможностей для женщин в сфере занятости в этих общинах и оценки возможности применения этих стратегий в других общинах с аналогичными характеристиками в регионах штата Новый Южный Уэльс.</w:t>
      </w:r>
    </w:p>
    <w:p w:rsidR="00000000" w:rsidRDefault="00000000">
      <w:pPr>
        <w:pStyle w:val="Heading2"/>
        <w:spacing w:before="120"/>
      </w:pPr>
      <w:bookmarkStart w:id="588" w:name="_Toc70142851"/>
      <w:bookmarkStart w:id="589" w:name="_Toc70143031"/>
      <w:bookmarkStart w:id="590" w:name="_Toc70228758"/>
      <w:bookmarkStart w:id="591" w:name="_Toc70229159"/>
      <w:bookmarkStart w:id="592" w:name="_Toc70235425"/>
      <w:r>
        <w:t>Северная территория</w:t>
      </w:r>
      <w:bookmarkEnd w:id="588"/>
      <w:bookmarkEnd w:id="589"/>
      <w:bookmarkEnd w:id="590"/>
      <w:bookmarkEnd w:id="591"/>
      <w:bookmarkEnd w:id="592"/>
    </w:p>
    <w:p w:rsidR="00000000" w:rsidRDefault="00000000">
      <w:pPr>
        <w:pStyle w:val="BodyText"/>
      </w:pPr>
      <w:r>
        <w:t>504.</w:t>
      </w:r>
      <w:r>
        <w:tab/>
        <w:t>В марте 2000 года премьер-министр и главный министр Северной территории объявил о выделении ассигнований из федерального бюджета (на сумму 20 млн. долларов) для разработки альтернативной программы в отношении несовершеннолетних правонарушителей и создания совместно финансируемой Службы перевода для аборигенов. Соответствующее соглашение вступило в силу с 1 сентября 2000 года и преследовало цель вывести несовершеннолетних правонарушителей из системы уголовного правосудия и снизить языковые барьеры, с которыми сталкивается коренное население. Подробнее см. в пунктах 494–496.</w:t>
      </w:r>
    </w:p>
    <w:p w:rsidR="00000000" w:rsidRDefault="00000000">
      <w:pPr>
        <w:pStyle w:val="BodyText"/>
      </w:pPr>
      <w:r>
        <w:t>505.</w:t>
      </w:r>
      <w:r>
        <w:tab/>
        <w:t>Правительство внедряет новую модель по привлечению общин к участию в процессе разработки политики и принятия решений. Данная модель направлена на то, чтобы использовать предлагаемые в общинах идеи и рекомендации в рамках осуществляемой правительством деятельности в области планирования и оказания услуг; привлечь общины к несколько иному, более предметному и демократическому диалогу с правительством; и сделать осуществляемую правительством деятельность прозрачной для общины и всех заинтересованных сторон. Такой подход предусматривает: проведение сессий парламента в 2003 году в Алис-Спрингсе (впервые); создание Кабинета по делам общин (совещания которого будут проводиться в окрестностях Дарвина, в крупных населенных пунктах в сельских и отдаленных районах повсюду в Северной территории); и проведение встреч министров с представителями общин в связи с совещаниями Кабинета по делам общин.</w:t>
      </w:r>
    </w:p>
    <w:p w:rsidR="00000000" w:rsidRDefault="00000000">
      <w:pPr>
        <w:pStyle w:val="BodyText"/>
      </w:pPr>
      <w:r>
        <w:t>506.</w:t>
      </w:r>
      <w:r>
        <w:tab/>
        <w:t>В 2001–2002 годах правительство проводило консультации с представителями коренного населения во всех регионах для выработки новых приоритетов, имеющих важное значение для женщин-аборигенов во всех сферах жизни их общины и Территории в целом. Женщины-аборигены в Северной территории хотят играть более активную и значимую роль в жизни общества и вносить более существенный вклад в процесс планирования и оценку программ, осуществляемых на уровне общин и Северной территории в целом. Конкретные приоритеты в сфере политики, которые были выделены женщинами-аборигенами во всех регионах Северной территории, включают: усиление роли женщин в руководящей деятельности и процессе принятия решений; улучшение качества медицинского обслуживания и расширение доступа к связанным с этим услугам; повышение уровня образования, занятости и профессиональной подготовки, способствующее созданию рабочих мест и перспектив для продвижения по службе; совершенствование навыков в области экономического развития и создания потенциала; предотвращение насилия в семье и сексуального насилия, а также защиту потерпевших и их семей; меры по предупреждению злоупотребления алкоголем, наркотиками и другими психотропными веществами; защита детей и ликвидация насилия в отношении детей; обеспечение более широкого доступа к услугам; улучшение жилищного обеспечения и инфраструктуры; принятие более действенных мер для обеспечения равноправия и равных возможностей; и создание гибких условий труда с учетом культурных и иных требований.</w:t>
      </w:r>
    </w:p>
    <w:p w:rsidR="00000000" w:rsidRDefault="00000000">
      <w:pPr>
        <w:pStyle w:val="BodyText"/>
      </w:pPr>
      <w:r>
        <w:t>507.</w:t>
      </w:r>
      <w:r>
        <w:tab/>
        <w:t>Правительство штата в партнерстве с федеральным правительством создает различные стимулы, включая Программу "Cadetships and Farmbis" для аборигенов и жителей островов Торресова пролива. Программа "Cadetships" способствует оказанию финансовой помощи учащимся старших классов со стороны государственных учреждений для поступления в университеты и трудоустройства в периоды каникул. Учащиеся-девушки чаще пользуются этой возможностью, чем учащиеся-юноши. В рамках программы "Farmbis" производителям сельскохозяйственной продукции оказывается содействие в развитии навыков управления предпринимательской деятельностью с помощью проектов в области образования и профессиональной подготовки, причем одной из целевых групп для принятия дополнительных мер в рамках данной программы являются женщины.</w:t>
      </w:r>
    </w:p>
    <w:p w:rsidR="00000000" w:rsidRDefault="00000000">
      <w:pPr>
        <w:pStyle w:val="Heading2"/>
      </w:pPr>
      <w:bookmarkStart w:id="593" w:name="_Toc70142852"/>
      <w:bookmarkStart w:id="594" w:name="_Toc70143032"/>
      <w:bookmarkStart w:id="595" w:name="_Toc70228759"/>
      <w:bookmarkStart w:id="596" w:name="_Toc70229160"/>
      <w:bookmarkStart w:id="597" w:name="_Toc70235426"/>
      <w:r>
        <w:t>Квинсленд</w:t>
      </w:r>
      <w:bookmarkEnd w:id="593"/>
      <w:bookmarkEnd w:id="594"/>
      <w:bookmarkEnd w:id="595"/>
      <w:bookmarkEnd w:id="596"/>
      <w:bookmarkEnd w:id="597"/>
    </w:p>
    <w:p w:rsidR="00000000" w:rsidRDefault="00000000">
      <w:pPr>
        <w:pStyle w:val="BodyText"/>
      </w:pPr>
      <w:r>
        <w:t>508.</w:t>
      </w:r>
      <w:r>
        <w:tab/>
        <w:t>Тема "Женщины и руководящая деятельность" являлись одной из главных в программе УВПЖ под названием "Предоставление грантов женщинам в сельских районах", направленной на повышение возможностей участия женщин в целом ряде видов деятельности, связанных с руководством и принятием решений. Эта программа являлась частью Стратегии по оказанию содействия женщинам в сельских районах, направленной на улучшение качества жизни женщин в регионах, сельских и отдаленных районах штата Квинсленд путем обеспечения доступа к соответствующей информации, повышения уровня образования и профессиональной подготовки.</w:t>
      </w:r>
    </w:p>
    <w:p w:rsidR="00000000" w:rsidRDefault="00000000">
      <w:pPr>
        <w:pStyle w:val="BodyText"/>
      </w:pPr>
      <w:r>
        <w:t>509.</w:t>
      </w:r>
      <w:r>
        <w:tab/>
        <w:t>Управление по делам женщин образовало партнерство с Сетью женщин в сельских районах штата Квинсленд для расширения доступа к интернету и профессиональной подготовке для женщин по всей территории штата с помощью программы "БриджИТ".</w:t>
      </w:r>
    </w:p>
    <w:p w:rsidR="00000000" w:rsidRDefault="00000000">
      <w:pPr>
        <w:pStyle w:val="BodyText"/>
      </w:pPr>
      <w:r>
        <w:t>510.</w:t>
      </w:r>
      <w:r>
        <w:tab/>
        <w:t>Департамент сельского хозяйства разработал ряд стратегий в целях увеличения представленности женщин на руководящих должностях. Они включают: выделение ассигнований для участия 10 женщин, работающих в сельском хозяйстве, в третьем Конгрессе женщин из сельских районов, который состоялся в октябре 2002 года в Испании; профессиональную подготовку и развитие навыков с помощью программы "Формирование руководящих кадров в сельских районах" и стипендий для участия в курсах подготовки директоров компаний; публикацию документа под названием "Курс на перемены – женщины, работающие в сфере развития сельских районов штата Квинсленд, и привлечение женщин к руководящей работе: руководство по выдвижению, отбору и назначению женщин в состав сельских советов и комитетов", который обеспечивает поддержку и практические идеи для женщин, промышленных организаций и правительственных учреждений, касающиеся выдвижения женщин на руководящие должности и их участия в процессе принятия решений; празднование Всемирного дня сельских женщин; создание Министерского консультативного комитета для женщин, занимающихся сельским хозяйством и управлением ресурсами, в целях оказания министру практической поддержки в деле увеличения многообразия участников процесса принятия решений с помощью более активного вовлечения в этот процесс женщин и молодежи; участие в исследованиях и разработках, касающихся сельского хозяйства; и присуждение премии женщинам из сельских районов в целях признания достижений женщин и поощрения более активного участия женщин в жизни общины, отрасли и предприятия.</w:t>
      </w:r>
    </w:p>
    <w:p w:rsidR="00000000" w:rsidRDefault="00000000">
      <w:pPr>
        <w:pStyle w:val="BodyText"/>
      </w:pPr>
      <w:r>
        <w:t>511.</w:t>
      </w:r>
      <w:r>
        <w:tab/>
        <w:t>К числу служб, занимающихся оказанием помощи женщинам в сельских и отдаленных районах, относятся: Передвижная служба по охране здоровья женщин, которая представляет собой сеть, объединяющую 13 медицинских сестер и 4 медицинских работников из числа коренного населения, которые оказывают профилактические услуги женщинам, проживающим в сельских и отдаленных районах штата Квинсленд; Программа по охране здоровья женщин в сельских и отдаленных районах, которая осуществляется Королевской службой "Летающие врачи", направляющей врачей общего профиля для посещения женщин в сельских и отдаленных районах, и которая реализуется в сотрудничестве с Передвижной службой по охране здоровья женщин, обеспечивая в этих районах обследования женщин, не охваченных традиционной программой скрининга, для выявления заболеваний раком молочной железы и раком шейки матки; и Стратегия проведения цервикальных обследований среди женщин-аборигенов в штате Квинсленд (на 2000–2004 годы), которая направлена на сокращение смертности женщин-аборигенов от рака шейки матки.</w:t>
      </w:r>
    </w:p>
    <w:p w:rsidR="00000000" w:rsidRDefault="00000000">
      <w:pPr>
        <w:pStyle w:val="BodyText"/>
      </w:pPr>
      <w:r>
        <w:t>512.</w:t>
      </w:r>
      <w:r>
        <w:tab/>
        <w:t>Были выделены ассигнования на осуществление целого ряда инициатив, направленных на расширение возможностей для женщин из сельских и отдаленных районов в плане работы на руководящих должностях и оказания влияния на проводимую правительством политику. Эти инициативы включают: совещания Кабинета по делам общин, которые проводятся повсюду в штате Квинсленд с целью установления прямой связи между жителями штата, включая женщин, и правительством; в период с 1998 по 2000 год Управление по делам женщин организовало 16 форумов содействия общинам в целях расширения возможностей для совместной работы женщин и девушек, проживающих в различных районах штата, и правительства; Министерский консультативный совет штата Квинсленд по вопросам сельских районов, который содействует более широкому участию общин из сельских и отдаленных районов в процессе принятия правительственных решений. Совет консультирует правительство в вопросах, касающихся сельских и отдаленных районов. Девять из 24 членов Совета – женщины. Помимо этого, раз в квартал проводятся форумы для региональных общин, которые обеспечивают людям, проживающим в регионах штата Квинсленд, возможность принимать участие в процессах разработки правительственной политики и принятия решений (из 155 членов данного форума – 71 женщина).</w:t>
      </w:r>
    </w:p>
    <w:p w:rsidR="00000000" w:rsidRDefault="00000000">
      <w:pPr>
        <w:pStyle w:val="Heading2"/>
      </w:pPr>
      <w:bookmarkStart w:id="598" w:name="_Toc70142853"/>
      <w:bookmarkStart w:id="599" w:name="_Toc70143033"/>
      <w:bookmarkStart w:id="600" w:name="_Toc70228760"/>
      <w:bookmarkStart w:id="601" w:name="_Toc70229161"/>
      <w:bookmarkStart w:id="602" w:name="_Toc70235427"/>
      <w:r>
        <w:t>Южная Австралия</w:t>
      </w:r>
      <w:bookmarkEnd w:id="598"/>
      <w:bookmarkEnd w:id="599"/>
      <w:bookmarkEnd w:id="600"/>
      <w:bookmarkEnd w:id="601"/>
      <w:bookmarkEnd w:id="602"/>
    </w:p>
    <w:p w:rsidR="00000000" w:rsidRDefault="00000000">
      <w:pPr>
        <w:pStyle w:val="BodyText"/>
      </w:pPr>
      <w:r>
        <w:t>513.</w:t>
      </w:r>
      <w:r>
        <w:tab/>
        <w:t>Специальный уполномоченный по проблемам занятости в государственном секторе проводит обзор условий занятости работников государственного сектора в регионах в целях разработки стратегий по привлечению работников, предотвращения текучести кадров и оказанию поддержки государственным служащим в этих регионах. В рамках данного обзора рассматриваются вопросы, касающиеся потребностей и обязанностей женщин-служащих и членов семей государственных служащих.</w:t>
      </w:r>
    </w:p>
    <w:p w:rsidR="00000000" w:rsidRDefault="00000000">
      <w:pPr>
        <w:pStyle w:val="BodyText"/>
      </w:pPr>
      <w:r>
        <w:t>514.</w:t>
      </w:r>
      <w:r>
        <w:tab/>
        <w:t>Для анализа положения женщин, работающих в Департаменте сельского хозяйства и ресурсов штата Южная Австралия, была образована Группа по вопросам развития женщин для проведения соответствующих исследований. К их числу относится исследование, посвященное разработке руководящих принципов и программы профессиональной подготовки для совершенствования знаний и навыков, необходимых для оказания услуг клиентам-женщинам.</w:t>
      </w:r>
    </w:p>
    <w:p w:rsidR="00000000" w:rsidRDefault="00000000">
      <w:pPr>
        <w:pStyle w:val="BodyText"/>
      </w:pPr>
      <w:r>
        <w:t>515.</w:t>
      </w:r>
      <w:r>
        <w:tab/>
        <w:t>В 1996 году была учреждена Сеть штата Южная Австралия по делам сельских районов, которая объединяет сельские общинные организации и жителей сельских районов. Эта сеть играет важную роль в развитии устойчивых сельских общин, обеспечивая им возможности для обмена информацией. Она является форумом, с помощью которого жители сельских районов могут обсуждать важные для них вопросы, и открывает для них возможности повышения самооценки с помощью самообразования и самовоспитания. Правительство оказывает поддержку Ассамблее сельских женщин (впервые состоявшейся в 1996 году), которая создает возможности сетевой деятельности, способствует развитию навыков и поддержке женщин в сельских районах. Такие ассамблеи ежегодно проводятся в регионах и организуются региональными группами сельских женщин.</w:t>
      </w:r>
    </w:p>
    <w:p w:rsidR="00000000" w:rsidRDefault="00000000">
      <w:pPr>
        <w:pStyle w:val="BodyText"/>
      </w:pPr>
      <w:r>
        <w:t>516.</w:t>
      </w:r>
      <w:r>
        <w:tab/>
        <w:t>Раз в два года проводится форум под названием "Строим будущее: курсы воспитания руководящих кадров из числа сельских женщин". В работе этих курсов участвуют 25 женщин из различных регионов штата. Цель курсов – стимулировать и развивать у женщин в сельских районах соответствующие умения и навыки, обеспечивать их информацией и поощрять их к более активному участию в решении текущих и будущих проблем, затрагивающих сельские общины.</w:t>
      </w:r>
    </w:p>
    <w:p w:rsidR="00000000" w:rsidRDefault="00000000">
      <w:pPr>
        <w:pStyle w:val="Heading2"/>
      </w:pPr>
      <w:bookmarkStart w:id="603" w:name="_Toc70142854"/>
      <w:bookmarkStart w:id="604" w:name="_Toc70143034"/>
      <w:bookmarkStart w:id="605" w:name="_Toc70228761"/>
      <w:bookmarkStart w:id="606" w:name="_Toc70229162"/>
      <w:bookmarkStart w:id="607" w:name="_Toc70235428"/>
      <w:r>
        <w:t>Тасмания</w:t>
      </w:r>
      <w:bookmarkEnd w:id="603"/>
      <w:bookmarkEnd w:id="604"/>
      <w:bookmarkEnd w:id="605"/>
      <w:bookmarkEnd w:id="606"/>
      <w:bookmarkEnd w:id="607"/>
    </w:p>
    <w:p w:rsidR="00000000" w:rsidRDefault="00000000">
      <w:pPr>
        <w:pStyle w:val="BodyText"/>
      </w:pPr>
      <w:r>
        <w:t>517.</w:t>
      </w:r>
      <w:r>
        <w:tab/>
        <w:t>Управление по делам женщин штата Тасмания разрабатывает Стратегический план действий по удовлетворению потребностей женщин в сельских районах. Утвержденная в 1999 году Программа</w:t>
      </w:r>
      <w:r>
        <w:rPr>
          <w:i/>
        </w:rPr>
        <w:t xml:space="preserve"> </w:t>
      </w:r>
      <w:r>
        <w:t>развития женщин направлена на оказание содействия общинам и развитие женщин, проживающих в регионах, сельских и изолированных районах. Управление по делам женщин штата Тасмания продолжает расширять охват этих регионов и занимается осуществлением ряда проектов, включая проект создания Женской информационной сети, которая предусматривает открытие нескольких женских информационных центров в помещениях местных общинных центров повсюду в штате Тасмания. Эти информационные центры, укомплектованные добровольцами, получившими специальную подготовку, будут оказывать информационные услуги женщинам по самым разнообразным вопросам; и здесь женщины смогут собираться и сообща работать над проектами, направленными на удовлетворение выявленных местных потребностей.</w:t>
      </w:r>
    </w:p>
    <w:p w:rsidR="00000000" w:rsidRDefault="00000000">
      <w:pPr>
        <w:pStyle w:val="BodyText"/>
      </w:pPr>
      <w:r>
        <w:t>518.</w:t>
      </w:r>
      <w:r>
        <w:tab/>
        <w:t>Межведомственный комитет партнерств по борьбе с насилием в семье штата Тасмания разработал руководство по профессиональной подготовке специалистов в вопросах насилия в семье, которое поможет включать примеры наилучшей практики в данной области в программы подготовки сельских медицинских работников.</w:t>
      </w:r>
    </w:p>
    <w:p w:rsidR="00000000" w:rsidRDefault="00000000">
      <w:pPr>
        <w:pStyle w:val="BodyText"/>
      </w:pPr>
      <w:r>
        <w:t>519.</w:t>
      </w:r>
      <w:r>
        <w:tab/>
        <w:t>В северо-западной части штата, которая является преимущественно сельским регионом, осуществлялся крупный проект в интересах пожилых женщин. Этот проект способствует выяснению важных вопросов, влияющих на состояние здоровья и благополучие пожилых женщин, и помогает местным органам управления, предпринимателям, поставщикам услуг и группам пожилых женщин выполнять рекомендации, выработанные на основе консультаций.</w:t>
      </w:r>
    </w:p>
    <w:p w:rsidR="00000000" w:rsidRDefault="00000000">
      <w:pPr>
        <w:pStyle w:val="BodyText"/>
      </w:pPr>
      <w:r>
        <w:t>520.</w:t>
      </w:r>
      <w:r>
        <w:tab/>
        <w:t>С учетом выявленных потребностей Служба акушеров-женщин осуществляет программы по охране здоровья и благополучия женщин, проживающих в сельских общинах повсюду в штате Тасмания.</w:t>
      </w:r>
    </w:p>
    <w:p w:rsidR="00000000" w:rsidRDefault="00000000">
      <w:pPr>
        <w:pStyle w:val="BodyText"/>
      </w:pPr>
      <w:r>
        <w:t>521.</w:t>
      </w:r>
      <w:r>
        <w:tab/>
        <w:t>Отделы общей медицины осуществляют проект под названием "Учитывать практику</w:t>
      </w:r>
      <w:r>
        <w:rPr>
          <w:i/>
        </w:rPr>
        <w:t xml:space="preserve"> </w:t>
      </w:r>
      <w:r>
        <w:t>сельских районов", который финансируется службой по выявлению заболевания раком молочной железы и борьбы с ним. Проект предусматривает назначение заместителей-женщин для всех врачей общего профиля – мужчин в сельских медицинских учреждениях.</w:t>
      </w:r>
    </w:p>
    <w:p w:rsidR="00000000" w:rsidRDefault="00000000">
      <w:pPr>
        <w:pStyle w:val="BodyText"/>
      </w:pPr>
      <w:r>
        <w:t>522.</w:t>
      </w:r>
      <w:r>
        <w:tab/>
        <w:t>В большинстве сельских районов штата были созданы службы для оказания помощи в вопросах охраны здоровья по телефону и проведения видеоконференций, которые все активнее используются медицинскими работниками в сельских районах в целях диагностики, профессиональной подготовки и поддержки.</w:t>
      </w:r>
    </w:p>
    <w:p w:rsidR="00000000" w:rsidRDefault="00000000">
      <w:pPr>
        <w:pStyle w:val="Heading2"/>
      </w:pPr>
      <w:bookmarkStart w:id="608" w:name="_Toc70142855"/>
      <w:bookmarkStart w:id="609" w:name="_Toc70143035"/>
      <w:bookmarkStart w:id="610" w:name="_Toc70228762"/>
      <w:bookmarkStart w:id="611" w:name="_Toc70229163"/>
      <w:bookmarkStart w:id="612" w:name="_Toc70235429"/>
      <w:r>
        <w:t>Виктория</w:t>
      </w:r>
      <w:bookmarkEnd w:id="608"/>
      <w:bookmarkEnd w:id="609"/>
      <w:bookmarkEnd w:id="610"/>
      <w:bookmarkEnd w:id="611"/>
      <w:bookmarkEnd w:id="612"/>
    </w:p>
    <w:p w:rsidR="00000000" w:rsidRDefault="00000000">
      <w:pPr>
        <w:pStyle w:val="BodyText"/>
      </w:pPr>
      <w:r>
        <w:t>523.</w:t>
      </w:r>
      <w:r>
        <w:tab/>
        <w:t>Правительство выступило с рядом инициатив, направленных на удовлетворение потребностей женщин в сельских районах. К их числу относятся: Сеть женщин в сельских районах и соответствующий сайт в интернете; премия "За участие женщин в сельских районах в исследованиях и разработках по вопросам сельскохозяйственных отраслей", которая присуждается женщинам за вклад в области сельскохозяйственного производства, управления ресурсами или в смежных отраслях и помогает им развивать и планировать свои проекты; Программа стипендий для развития навыков руководящей работы у женщин в сельских районах; проект "Поощрение многообразия: сельские женщины в сфере предпринимательства и процессе принятия решений", направленный на улучшение возможностей женщин в сфере предпринимательства и руководящей работы путем выявления возникающих проблем, проведения исследований и определения наилучшей практики; реестр "Женщины, сельское хозяйство и управление ресурсами"; Справочник по вопросам подготовки женщин в сельских районах к предпринимательской деятельности и руководящей работе; проект "Сетевая деятельность в масштабах всей страны", который будет обеспечивать связь между большинством поставщиков услуг в сфере общинного образования и образования для взрослых и способствовать улучшению доступа женщин и девушек к различным технологиям; Программа поддержки женщин в сельских районах в сфере предпринимательства; и новые услуги в области борьбы с насилием в семье для оказания помощи женщинам-аборигенам и их семьям в сельских районах.</w:t>
      </w:r>
    </w:p>
    <w:p w:rsidR="00000000" w:rsidRDefault="00000000">
      <w:pPr>
        <w:pStyle w:val="Heading2"/>
      </w:pPr>
      <w:bookmarkStart w:id="613" w:name="_Toc70142856"/>
      <w:bookmarkStart w:id="614" w:name="_Toc70143036"/>
      <w:bookmarkStart w:id="615" w:name="_Toc70228763"/>
      <w:bookmarkStart w:id="616" w:name="_Toc70229164"/>
      <w:bookmarkStart w:id="617" w:name="_Toc70235430"/>
      <w:r>
        <w:t>Западная Австралия</w:t>
      </w:r>
      <w:bookmarkEnd w:id="613"/>
      <w:bookmarkEnd w:id="614"/>
      <w:bookmarkEnd w:id="615"/>
      <w:bookmarkEnd w:id="616"/>
      <w:bookmarkEnd w:id="617"/>
    </w:p>
    <w:p w:rsidR="00000000" w:rsidRDefault="00000000">
      <w:pPr>
        <w:pStyle w:val="BodyText"/>
      </w:pPr>
      <w:r>
        <w:t>524.</w:t>
      </w:r>
      <w:r>
        <w:tab/>
        <w:t>Для того чтобы общество могло услышать голоса женщин-аборигенов в сельских и отдаленных районах, Управление по вопросам политики в отношении женщин в 2002 году провело интенсивные консультации с женщинами</w:t>
      </w:r>
      <w:r>
        <w:noBreakHyphen/>
        <w:t>аборигенами. Координатор по вопросам связи с коренным населением проехал 18 200 км из Албани в Большом южном регионе до Уиндема в Кимберли и провел около 50 встреч, поговорив более чем с 600 женщинами-аборигенами в некоторых наиболее недоступных общинах. Консультации являются одним из главных компонентов осуществляемой Управлением Стратегии в интересах женщин-аборигенов на 2002–2003 годы</w:t>
      </w:r>
      <w:r>
        <w:rPr>
          <w:i/>
        </w:rPr>
        <w:t>,</w:t>
      </w:r>
      <w:r>
        <w:t xml:space="preserve"> которые должны стать основой для разработки будущей политики и программ. Собранная информация также составит компонент штата Западная Австралия в рамках Общенационального плана действий по проблемам женщин и примирения.</w:t>
      </w:r>
    </w:p>
    <w:p w:rsidR="00000000" w:rsidRDefault="00000000">
      <w:pPr>
        <w:pStyle w:val="BodyText"/>
      </w:pPr>
      <w:r>
        <w:t>525.</w:t>
      </w:r>
      <w:r>
        <w:tab/>
        <w:t>Другие инициативы, осуществляемые в интересах женщин из сельских и отдаленных районов, включают: Сеть для сельских, отдаленных районов и регионов, которая объединяет женщин из сельских, отдаленных районов и регионов, цель которой – обеспечение признания, поощрения и увеличения вклада женщин в жизнь своих общин; и конференцию для женщин по вопросам сельского хозяйства, отражающую различные формы участия женщин в сельскохозяйственной деятельности повсюду в штате Западная Австралия.</w:t>
      </w:r>
    </w:p>
    <w:p w:rsidR="00000000" w:rsidRDefault="00000000">
      <w:pPr>
        <w:pStyle w:val="Article"/>
        <w:spacing w:after="120"/>
      </w:pPr>
      <w:r>
        <w:br w:type="page"/>
      </w:r>
      <w:bookmarkStart w:id="618" w:name="_Toc70143037"/>
      <w:bookmarkStart w:id="619" w:name="_Toc70228764"/>
      <w:bookmarkStart w:id="620" w:name="_Toc70229165"/>
      <w:bookmarkStart w:id="621" w:name="_Toc70235431"/>
      <w:r>
        <w:t>Статья 15:  Равенство перед законом и в гражданских делах</w:t>
      </w:r>
      <w:bookmarkEnd w:id="618"/>
      <w:bookmarkEnd w:id="619"/>
      <w:bookmarkEnd w:id="620"/>
      <w:bookmarkEnd w:id="621"/>
    </w:p>
    <w:p w:rsidR="00000000" w:rsidRDefault="00000000">
      <w:pPr>
        <w:pStyle w:val="Article-ref"/>
        <w:spacing w:before="120" w:after="120"/>
      </w:pPr>
      <w:bookmarkStart w:id="622" w:name="_Toc70143038"/>
      <w:bookmarkStart w:id="623" w:name="_Toc70228765"/>
      <w:bookmarkStart w:id="624" w:name="_Toc70229166"/>
      <w:bookmarkStart w:id="625" w:name="_Toc70235432"/>
      <w:r>
        <w:t>инициативы</w:t>
      </w:r>
      <w:bookmarkEnd w:id="622"/>
      <w:bookmarkEnd w:id="623"/>
      <w:bookmarkEnd w:id="624"/>
      <w:bookmarkEnd w:id="625"/>
      <w:r>
        <w:t xml:space="preserve"> ФЕДЕРАЛЬНОГО ПРАВИТЕЛЬСТВА</w:t>
      </w:r>
    </w:p>
    <w:p w:rsidR="00000000" w:rsidRDefault="00000000">
      <w:pPr>
        <w:pStyle w:val="1-1"/>
        <w:spacing w:before="120"/>
      </w:pPr>
      <w:r>
        <w:t>Равенство перед законом</w:t>
      </w:r>
    </w:p>
    <w:p w:rsidR="00000000" w:rsidRDefault="00000000">
      <w:pPr>
        <w:pStyle w:val="BodyText"/>
      </w:pPr>
      <w:r>
        <w:t>526.</w:t>
      </w:r>
      <w:r>
        <w:tab/>
        <w:t>В 1994 году в ответ на запрос Генерального прокурора Комиссия по реформе законодательства подготовила доклад, посвященный вопросам дискриминации в отношении женщин в рамках правовой системы, под названием "Равенство перед законом: справедливость для женщин". Некоторые из содержащихся в этом докладе рекомендаций были выполнены, в том числе рекомендации, касающиеся ужесточения Закона 1984 года о борьбе с дискриминацией по признаку пола с помощью Закона 1995 года о внесении поправок в Закон о борьбе с дискриминацией по признаку пола, а также борьбы с насилием в отношении женщин с помощью Закона 1995 года о внесении поправок в Закон о семейном законодательстве и инициативы ПБНС, с которой выступило правительство.</w:t>
      </w:r>
    </w:p>
    <w:p w:rsidR="00000000" w:rsidRDefault="00000000">
      <w:pPr>
        <w:pStyle w:val="BodyText"/>
      </w:pPr>
      <w:r>
        <w:t>527.</w:t>
      </w:r>
      <w:r>
        <w:tab/>
        <w:t>Помимо этого, были утверждены рекомендации, касающиеся разработки Общенациональной стратегии по обеспечению равенства женщин в рамках судебной системы и создания национальной сети женских правовых служб, включающей специальные подразделения по делам женщин-аборигенов. Национальная сеть включает 11 специальных женских правовых служб, в большинстве из которых созданы специальные подразделения по делам женщин-аборигенов. Сельские женщины имеют доступ к правовым службам через программы по оказанию содействия женщинам в сельских районах.</w:t>
      </w:r>
    </w:p>
    <w:p w:rsidR="00000000" w:rsidRDefault="00000000">
      <w:pPr>
        <w:pStyle w:val="BodyText"/>
      </w:pPr>
      <w:r>
        <w:t>528.</w:t>
      </w:r>
      <w:r>
        <w:tab/>
        <w:t>В рамках Общенациональной стратегии по обеспечению равенства женщин в рамках судебной системы</w:t>
      </w:r>
      <w:r>
        <w:rPr>
          <w:i/>
        </w:rPr>
        <w:t xml:space="preserve"> </w:t>
      </w:r>
      <w:r>
        <w:t>осуществляется долгосрочный проект, в котором участвуют правительство и женские правовые службы и который направлен на улучшение работы женских правовых служб и совершенствование механизма оказания услуг этими службами, а также выявление наилучшей практики.</w:t>
      </w:r>
    </w:p>
    <w:p w:rsidR="00000000" w:rsidRDefault="00000000">
      <w:pPr>
        <w:pStyle w:val="1-1"/>
      </w:pPr>
      <w:r>
        <w:t>Пересмотр законодательства</w:t>
      </w:r>
    </w:p>
    <w:p w:rsidR="00000000" w:rsidRDefault="00000000">
      <w:pPr>
        <w:pStyle w:val="BodyText"/>
      </w:pPr>
      <w:r>
        <w:t>529.</w:t>
      </w:r>
      <w:r>
        <w:tab/>
        <w:t>Правительство активно проводит пересмотр действующего законодательства, в том числе инструментов, имеющих непосредственное отношение к женщинам. Активными участниками этого процесса являются национальные женские механизмы. Среди недавних примеров таких усилий можно отметить:</w:t>
      </w:r>
    </w:p>
    <w:p w:rsidR="00000000" w:rsidRDefault="00000000">
      <w:pPr>
        <w:pStyle w:val="enumlev-2"/>
      </w:pPr>
      <w:r>
        <w:t>изменение порядка раздела пенсионных накоплений в случае расторжения брака. Это позволило разрешить тупиковую ситуацию в этой области, которая наблюдалась в стране в течение 10 лет, улучшить доступ неработающих супругов к пенсионным накоплениям и обеспечить более гибкие финансовые возможности для супругов в случае расторжения брака;</w:t>
      </w:r>
    </w:p>
    <w:p w:rsidR="00000000" w:rsidRDefault="00000000">
      <w:pPr>
        <w:pStyle w:val="enumlev-2"/>
      </w:pPr>
      <w:r>
        <w:t>введение пакета реформ семейного законодательства, которые призваны помочь разводящимся родителям в определении и учете наилучших интересов их ребенка (детей) и обеспечить там, где это возможно, услуги по урегулированию споров, такие как консультации и посредничество вместо судебного разбирательства. В 1999 году правительство выделило ассигнования на цели расширения сети услуг в области консультаций и посредничества и помощи в организации посещений детей, а также создание консультационно-информационной линии телефонной связи по вопросам семейного права и вопросов, касающихся материального обеспечения детей. В 2002 году правительство выделило ассигнования для региональных служб, занимающихся урегулированием споров, примирением сторон и проведением консультаций и комиссий по оказанию правовой помощи, с тем чтобы содействовать сторонам в самостоятельном разрешении споров, возникающих в области семейного законодательства, не обращаясь в судебные органы. В 2003 году правительство объявило о продолжении финансирования программ по оказанию услуг, касающихся семейных отношений, и преобразовало в общенациональную программу пилотный проект по оказанию помощи гражданам, пострадавшим в результате нарушений судебных постановлений о контактах с детьми;</w:t>
      </w:r>
    </w:p>
    <w:p w:rsidR="00000000" w:rsidRDefault="00000000">
      <w:pPr>
        <w:pStyle w:val="enumlev-2"/>
      </w:pPr>
      <w:r>
        <w:t>разработка законодательства, позволяющего будущим супругам до вступления в брак, в период нахождения в браке и по расторжении брака заключать имеющие обязательную силу финансовые соглашения по вопросам их имущества. В случае расторжения брака имеющие обязательную силу финансовые соглашения позволят супругам разрешать свои споры во внесудебном порядке. Законодательство предусматривает гарантию того, что перед тем, как супружеская пара заключит подобное соглашение, каждый из супругов должен получить независимую юридическую консультацию в отношении того, каковы могут быть последствия этого соглашения для их прав, отвечает ли оно их интересам или же следует серьезно подумать, прежде чем заключать такое соглашение;</w:t>
      </w:r>
    </w:p>
    <w:p w:rsidR="00000000" w:rsidRDefault="00000000">
      <w:pPr>
        <w:pStyle w:val="enumlev-2"/>
      </w:pPr>
      <w:r>
        <w:t>введение в Уголовный кодекс понятий рабства, сексуального рабства и вовлечение в занятие проституцией обманным путем. Эти правонарушения, включающие некоторые из наиболее серьезных форм эксплуатации, связанной с торговлей людьми, квалифицируются как уголовно наказуемые преступления. В 2004 году правительство намерено ввести в уголовное законодательство ряд новых преступлений, связанных с торговлей людьми. В Австралии также предусматриваются наказания за правонарушения, связанные с детским сексуальным туризмом, которые применяются в отношении граждан Австралии и лиц, имеющих статус резидента, которые, находясь за рубежом, имеют сексуальные контакты с детьми; и</w:t>
      </w:r>
    </w:p>
    <w:p w:rsidR="00000000" w:rsidRDefault="00000000">
      <w:pPr>
        <w:pStyle w:val="enumlev-2"/>
        <w:spacing w:after="240"/>
      </w:pPr>
      <w:r>
        <w:t>разработка проекта типового Уголовного кодекса, который содержит типовые единые законы об уголовных правонарушениях и который должен быть введен всеми штатами и территориями.</w:t>
      </w:r>
    </w:p>
    <w:p w:rsidR="00000000" w:rsidRDefault="00000000">
      <w:pPr>
        <w:pStyle w:val="1-1"/>
        <w:spacing w:before="120"/>
      </w:pPr>
      <w:r>
        <w:t>Образование и реформа судебной системы</w:t>
      </w:r>
    </w:p>
    <w:p w:rsidR="00000000" w:rsidRDefault="00000000">
      <w:pPr>
        <w:pStyle w:val="BodyText"/>
      </w:pPr>
      <w:r>
        <w:t>530.</w:t>
      </w:r>
      <w:r>
        <w:tab/>
        <w:t>Правительство всячески стремится к тому, чтобы все участники судебной системы Австралии имели доступ к образовательным программам, которые направлены на повышение их информированности о настроениях в обществе и воздействии принимаемых ими решений на положение женщин. Образовательные программы для судейского корпуса финансируются правительством через посредство Австралийского института судебной администрации (АИСА). Первая конференция по гендерной проблематике, подготовленная АИСА, состоялась в октябре 1995 года. С тех пор правительство финансировало несколько образовательных программ для выявления и решения проблемы гендерных предубеждений в рамках правовой системы.</w:t>
      </w:r>
    </w:p>
    <w:p w:rsidR="00000000" w:rsidRDefault="00000000">
      <w:pPr>
        <w:pStyle w:val="BodyText"/>
      </w:pPr>
      <w:r>
        <w:t>531.</w:t>
      </w:r>
      <w:r>
        <w:tab/>
        <w:t>В июле 2001 года Постоянный комитет Генеральных прокуроров достиг принципиального соглашения о создании национального судейского колледжа для профессиональной подготовки судей, судебных служащих и мировых судей. Члены Комитета рекомендовали включить в программу колледжа курсы, содействующие более углубленному пониманию судебными служащими принципа многообразия в обществе и формированию у них навыков работы в условиях такого многообразия. Ожидается, что обучение в Национальном судейском колледже начнется в конце 2003 года.</w:t>
      </w:r>
    </w:p>
    <w:p w:rsidR="00000000" w:rsidRDefault="00000000">
      <w:pPr>
        <w:pStyle w:val="1-1"/>
        <w:spacing w:before="0"/>
      </w:pPr>
      <w:r>
        <w:br w:type="page"/>
        <w:t>Правовая помощь</w:t>
      </w:r>
    </w:p>
    <w:p w:rsidR="00000000" w:rsidRDefault="00000000">
      <w:pPr>
        <w:pStyle w:val="BodyText"/>
      </w:pPr>
      <w:r>
        <w:t>532.</w:t>
      </w:r>
      <w:r>
        <w:tab/>
        <w:t>В 2001/02 финансовом году правительство выделило 114,6 млн. долларов на цели оказания правовой помощи при рассмотрении дел в рамках федерального законодательства. Федеральная правовая помощь в основном предоставляется по вопросам семейного законодательства. В соглашениях между федеральным правительством и правительствами штатов и территорий или между федеральным правительством и комиссиями по оказанию правовой помощи предусматривается, что "при выделении субсидий на оказание правовой помощи по вопросам семейного законодательства первоочередное внимание должно уделяться защите безопасности ребенка или супруга, подвергающегося риску". Комиссии по оказанию правовой помощи штатов и территорий оказывают такую помощь гражданам, которые не имеют достаточно средств, чтобы обратиться в частные юридические конторы, которые подвергаются процедуре измерения уровня доходов и обстоятельства дела которых требуют получения помощи в процессе судебного разбирательства. Согласно федеральным руководящим принципам оказания правовой помощи жертвы насилия, которые обращаются за защитой в соответствии с судебным постановлением, вынесенным на основании Закона 1995 года о семейном законодательстве, могут получать правовую помощь за счет федерального бюджета. Кроме того, эти руководящие принципы предусматривают оказание помощи в чрезвычайных ситуациях, регулируемых семейным законодательством, по обращению с ходатайствами о вынесении временного приказа или запрета, если безопасность ходатайствующего лица находится под угрозой. Комиссии по оказанию правовой помощи могут отдавать приоритет ситуациям, регулируемым семейным законодательством, в которых имеет место насилие в семье или есть вероятность такого насилия. Комиссии по оказанию правовой помощи предоставляют свои услуги в процессе расследования дел, связанных с насилием в семье, в целях обеспечения последовательности процедур рассмотрения вопросов, касающихся такого насилия.</w:t>
      </w:r>
    </w:p>
    <w:p w:rsidR="00000000" w:rsidRDefault="00000000">
      <w:pPr>
        <w:pStyle w:val="BodyText"/>
      </w:pPr>
      <w:r>
        <w:t>533.</w:t>
      </w:r>
      <w:r>
        <w:tab/>
        <w:t>В 1999 году правительство выделило дополнительные ассигнования на четырехлетний период на цели оказания правовой помощи. Эти дополнительные ассигнования были распределены между штатами и территориями более равномерно, чем в предыдущие годы, с учетом опирающейся на реальные потребности модели планирования. Этот шаг обеспечивает более справедливый механизм финансирования правовой помощи.</w:t>
      </w:r>
    </w:p>
    <w:p w:rsidR="00000000" w:rsidRDefault="00000000">
      <w:pPr>
        <w:pStyle w:val="1-1"/>
      </w:pPr>
      <w:r>
        <w:t>Федеральная программа по оказанию правовых услуг общинам</w:t>
      </w:r>
    </w:p>
    <w:p w:rsidR="00000000" w:rsidRDefault="00000000">
      <w:pPr>
        <w:pStyle w:val="BodyText"/>
        <w:spacing w:after="120"/>
      </w:pPr>
      <w:r>
        <w:t>534.</w:t>
      </w:r>
      <w:r>
        <w:tab/>
        <w:t>В рамках Федеральной программы по оказанию правовых услуг общинам женским правовым службам выделяются ассигнования на проведение юридических консультаций и оказание справочно-информационных услуг в интересах женщин. Некоторые женские правовые службы получают целевые ассигнования на оказание специалистами правовых услуг женщинам-аборигенам в их общинах. После 1995 года в некоторых региональных центрах, особо нуждающихся в правовых услугах, был создан целый ряд новых правовых служб для поддержки общин; при этом была расширена сфера охвата расположенной в Дарвине службы по оказанию содействия общинам. Программа также способствует улучшению доступа женщин в сельских районах к юридическим консультациям и справочно-информационным услугам. Некоторые ассигнования выделяются службам общего профиля по предоставлению правовой помощи общинам для осуществления проектов в области оказания содействия сельским общинам на местах. Правовые службы по оказанию помощи общинам ведут просветительскую работу среди населения по вопросам, имеющим наибольшую важность для женщин, включая вопросы семейного законодательства, насилия в отношении женщин, дискриминации и занятости. В 1998 году был реализован консультационный проект, направленный на совершенствование управления и оказания услуг женскими правовыми службами. Консультанты посетили все женские правовые службы на местах и впоследствии подготовили комплект пособий для проекта по совершенствованию работы женских правовых служб.</w:t>
      </w:r>
    </w:p>
    <w:p w:rsidR="00000000" w:rsidRDefault="00000000">
      <w:pPr>
        <w:pStyle w:val="1-1"/>
        <w:spacing w:before="120"/>
      </w:pPr>
      <w:r>
        <w:t>Инициатива по реализации положений семейного законодательства</w:t>
      </w:r>
    </w:p>
    <w:p w:rsidR="00000000" w:rsidRDefault="00000000">
      <w:pPr>
        <w:pStyle w:val="BodyText"/>
      </w:pPr>
      <w:r>
        <w:t>535.</w:t>
      </w:r>
      <w:r>
        <w:tab/>
        <w:t>В мае 2000 года правительство создало Консультативную группу по реализации положений семейного законодательства для рассмотрения путей и средств улучшения положения членов семьи, особенно детей, после расторжения брака или прекращения супружеских отношений. Консультативная группа объединяет поставщиков услуг, специалистов по вопросам семейного законодательства, научных работников и представителей правительства, которые составляют экспертные заключения и представляют рекомендации правительству.</w:t>
      </w:r>
    </w:p>
    <w:p w:rsidR="00000000" w:rsidRDefault="00000000">
      <w:pPr>
        <w:pStyle w:val="BodyText"/>
        <w:spacing w:after="120"/>
      </w:pPr>
      <w:r>
        <w:t>536.</w:t>
      </w:r>
      <w:r>
        <w:tab/>
        <w:t>В августе 2001 года Консультативная группа опубликовала доклад под названием "Выход из</w:t>
      </w:r>
      <w:r>
        <w:rPr>
          <w:i/>
        </w:rPr>
        <w:t xml:space="preserve"> </w:t>
      </w:r>
      <w:r>
        <w:t>тупика – будущее семей, сталкивающихся с угрозой распада". В этом докладе содержатся ряд рекомендаций, направленных на усиление поддержки членов семьи и улучшение координации услуг по вопросам семейного законодательства. В настоящее время правительство изучает содержащиеся в докладе рекомендации.</w:t>
      </w:r>
    </w:p>
    <w:p w:rsidR="00000000" w:rsidRDefault="00000000">
      <w:pPr>
        <w:pStyle w:val="1-1"/>
        <w:spacing w:before="120"/>
      </w:pPr>
      <w:r>
        <w:t>Федеральная служба мировых судей</w:t>
      </w:r>
    </w:p>
    <w:p w:rsidR="00000000" w:rsidRDefault="00000000">
      <w:pPr>
        <w:pStyle w:val="BodyText"/>
      </w:pPr>
      <w:r>
        <w:t>537.</w:t>
      </w:r>
      <w:r>
        <w:tab/>
        <w:t>В 2000 году правительство образовало Федеральную службу мировых судей в качестве оперативного и недорогостоящего органа для решения целого ряда вопросов федерального значения. Эта Служба приносит женщинам конкретную пользу, обеспечивая недорогостоящие услуги по урегулированию споров, относящихся к сфере семейного законодательства. За небольшую плату Служба также оказывает услуги женщинам, обращающимся с просьбами о защите их прав по антидискриминационному законодательству. Служба действует в каждом столичном городе Австралии и некоторых городах регионального значения.</w:t>
      </w:r>
    </w:p>
    <w:p w:rsidR="00000000" w:rsidRDefault="00000000">
      <w:pPr>
        <w:pStyle w:val="1-1"/>
      </w:pPr>
      <w:r>
        <w:t>Правовое воспитание с помощью средств телекоммуникации</w:t>
      </w:r>
    </w:p>
    <w:p w:rsidR="00000000" w:rsidRDefault="00000000">
      <w:pPr>
        <w:pStyle w:val="BodyText"/>
      </w:pPr>
      <w:r>
        <w:t>538.</w:t>
      </w:r>
      <w:r>
        <w:tab/>
        <w:t>В июне 2001 года в Австралии была открыта линия по правовым вопросам, работающая в онлайновом режиме, обеспечивающая гражданам Австралии помощь по телефону и в интернете в решении их юридических проблем. Эту линию используют для получения юридической информации и помощи, включая консультации, посредничество и другие формы разрешения споров.</w:t>
      </w:r>
    </w:p>
    <w:p w:rsidR="00000000" w:rsidRDefault="00000000">
      <w:pPr>
        <w:pStyle w:val="1-1"/>
      </w:pPr>
      <w:r>
        <w:t>Служба по вопросам взаимоотношений с детьми</w:t>
      </w:r>
    </w:p>
    <w:p w:rsidR="00000000" w:rsidRDefault="00000000">
      <w:pPr>
        <w:pStyle w:val="BodyText"/>
      </w:pPr>
      <w:r>
        <w:t>539.</w:t>
      </w:r>
      <w:r>
        <w:tab/>
        <w:t>Повсюду в Австралии, в том числе в сельских, отдаленных и городских районах, были открыты 35 служб по вопросам взаимоотношений с детьми для оказания детям помощи в поддержании контактов с обоими родителями после прекращения супружеских отношений между ними или расторжения брака. Эти службы обеспечивают безопасные и спокойные условия для встреч детей с живущими отдельно от них родителями, которые происходят под надзором уполномоченных лиц, или услуги по переводу детей от одного родителя к другому. Данная программа была учреждена в мае 1997 года и расширена в июне 1999 года. В ходе проведенной в 1999 году оценки работы этих служб под названием "Службы по вопросам взаимоотношений с детьми в Австралии: проект исследований и оценки" было установлено, что они способствуют уменьшению чувства беспокойства и тревоги у детей, помогают строить отношения между детьми и родителями, уменьшают конфликты между родителями и содействуют эффективному выполнению постановлений о контактах с детьми и обязанностях по материальной поддержке детей.</w:t>
      </w:r>
    </w:p>
    <w:p w:rsidR="00000000" w:rsidRDefault="00000000">
      <w:pPr>
        <w:pStyle w:val="1-1"/>
      </w:pPr>
      <w:r>
        <w:t>Женщины из числа коренного населения</w:t>
      </w:r>
    </w:p>
    <w:p w:rsidR="00000000" w:rsidRDefault="00000000">
      <w:pPr>
        <w:pStyle w:val="BodyText"/>
      </w:pPr>
      <w:r>
        <w:t>540.</w:t>
      </w:r>
      <w:r>
        <w:tab/>
        <w:t>Правительство улучшило качество юридических услуг, предоставляемых женщинам из числа коренного населения правовыми службами по делам коренного населения и жителей островов Торресова пролива (АТСИЛС), и сделало их более доступными. В последние годы АТСИЛС принимали меры к тому, чтобы женщины-аборигены имели возможность в случае конфликта интересов с другими клиентами пользоваться частными правовыми услугами. Через АТСИЛС правительство финансирует 12 правовых групп по предотвращению насилия в семье, которые консультируют с учетом культурных особенностей своих клиентов по вопросам насилия в семье, потерпевших и их партнеров, ведут просветительскую работу в общинах. Дополнительные ассигнования выделяются федеральным специальным женским правовым службам, чтобы особые потребности женщин-аборигенов в правовых услугах могли быть удовлетворены непосредственно в общинах.</w:t>
      </w:r>
    </w:p>
    <w:p w:rsidR="00000000" w:rsidRDefault="00000000">
      <w:pPr>
        <w:pStyle w:val="1-1"/>
      </w:pPr>
      <w:r>
        <w:t>Женщины из неанглоязычной среды</w:t>
      </w:r>
    </w:p>
    <w:p w:rsidR="00000000" w:rsidRDefault="00000000">
      <w:pPr>
        <w:pStyle w:val="BodyText"/>
      </w:pPr>
      <w:r>
        <w:t>541.</w:t>
      </w:r>
      <w:r>
        <w:rPr>
          <w:i/>
        </w:rPr>
        <w:tab/>
      </w:r>
      <w:r>
        <w:t>Служба устного и письменного перевода (СУПП) круглосуточно обеспечивает услуги в области устного перевода по телефону. Специальные национальные средства коммуникации обеспечивают возможность трехсторонней связи между двумя сторонами, участвующими в телефонном разговоре при посредничестве устного переводчика СУПП. Другие услуги включают устный перевод в присутствии клиента и ограниченный набор услуг по письменному переводу документов в связи с процессом переселения.</w:t>
      </w:r>
    </w:p>
    <w:p w:rsidR="00000000" w:rsidRDefault="00000000">
      <w:pPr>
        <w:pStyle w:val="BodyText"/>
      </w:pPr>
      <w:r>
        <w:t>542.</w:t>
      </w:r>
      <w:r>
        <w:tab/>
        <w:t>Клиенты СУПП – женщины из неанглоязычной среды могут по желанию воспользоваться услугами устных переводчиков-женщин, особенно при обсуждении деликатных вопросов, например касающихся репродуктивного здоровья, пыток и травм, насилия в семье и т. п. Около 60 процентов профессиональных устных переводчиков СУПП – женщины. В качестве бесплатной социальной услуги правительство обеспечивает:</w:t>
      </w:r>
    </w:p>
    <w:p w:rsidR="00000000" w:rsidRDefault="00000000">
      <w:pPr>
        <w:pStyle w:val="enumlev-2"/>
      </w:pPr>
      <w:r>
        <w:t>устный перевод по телефону для частных лиц, обращающихся в правительственные службы или определенные общественные организации;</w:t>
      </w:r>
    </w:p>
    <w:p w:rsidR="00000000" w:rsidRDefault="00000000">
      <w:pPr>
        <w:pStyle w:val="enumlev-2"/>
      </w:pPr>
      <w:r>
        <w:t>ограниченные услуги по устному переводу в присутствии клиента для частных лиц, медицинских работников и некоторых общественных организаций по вопросам, касающимся переселения мигрантов, в тех случаях, когда устный перевод по телефону считается неприемлемым; и</w:t>
      </w:r>
    </w:p>
    <w:p w:rsidR="00000000" w:rsidRDefault="00000000">
      <w:pPr>
        <w:pStyle w:val="enumlev-2"/>
        <w:spacing w:after="240"/>
      </w:pPr>
      <w:r>
        <w:t>письменный перевод выдержек из некоторых личных документов для мигрантов/беженцев, которые являются постоянными жителями/гражданами Австралии, в течение первых двух лет пребывания в стране.</w:t>
      </w:r>
    </w:p>
    <w:p w:rsidR="00000000" w:rsidRDefault="00000000">
      <w:pPr>
        <w:pStyle w:val="Article-ref"/>
        <w:spacing w:before="120"/>
      </w:pPr>
      <w:bookmarkStart w:id="626" w:name="_Toc70143039"/>
      <w:bookmarkStart w:id="627" w:name="_Toc70228766"/>
      <w:bookmarkStart w:id="628" w:name="_Toc70229167"/>
      <w:bookmarkStart w:id="629" w:name="_Toc70235433"/>
      <w:r>
        <w:t>Инициативы штатов и территорий</w:t>
      </w:r>
      <w:bookmarkEnd w:id="626"/>
      <w:bookmarkEnd w:id="627"/>
      <w:bookmarkEnd w:id="628"/>
      <w:bookmarkEnd w:id="629"/>
    </w:p>
    <w:p w:rsidR="00000000" w:rsidRDefault="00000000">
      <w:pPr>
        <w:pStyle w:val="Heading2"/>
      </w:pPr>
      <w:bookmarkStart w:id="630" w:name="_Toc70142857"/>
      <w:bookmarkStart w:id="631" w:name="_Toc70143040"/>
      <w:bookmarkStart w:id="632" w:name="_Toc70228767"/>
      <w:bookmarkStart w:id="633" w:name="_Toc70229168"/>
      <w:bookmarkStart w:id="634" w:name="_Toc70235434"/>
      <w:r>
        <w:t>Австралийская столичная территория</w:t>
      </w:r>
      <w:bookmarkEnd w:id="630"/>
      <w:bookmarkEnd w:id="631"/>
      <w:bookmarkEnd w:id="632"/>
      <w:bookmarkEnd w:id="633"/>
      <w:bookmarkEnd w:id="634"/>
    </w:p>
    <w:p w:rsidR="00000000" w:rsidRDefault="00000000">
      <w:pPr>
        <w:pStyle w:val="BodyText"/>
      </w:pPr>
      <w:r>
        <w:t>543.</w:t>
      </w:r>
      <w:r>
        <w:tab/>
        <w:t>В рамках непрекращающихся усилий по обеспечению того, чтобы законодательство АСТ отвечало интересам женщин, правительство в настоящее время проводит обзор законодательства АСТ, касающегося выполнения судебных постановлений о защите.</w:t>
      </w:r>
    </w:p>
    <w:p w:rsidR="00000000" w:rsidRDefault="00000000">
      <w:pPr>
        <w:pStyle w:val="Heading2"/>
        <w:spacing w:before="0"/>
      </w:pPr>
      <w:r>
        <w:br w:type="page"/>
      </w:r>
      <w:bookmarkStart w:id="635" w:name="_Toc70142858"/>
      <w:bookmarkStart w:id="636" w:name="_Toc70143041"/>
      <w:bookmarkStart w:id="637" w:name="_Toc70228768"/>
      <w:bookmarkStart w:id="638" w:name="_Toc70229169"/>
      <w:bookmarkStart w:id="639" w:name="_Toc70235435"/>
      <w:r>
        <w:t>Новый Южный Уэльс</w:t>
      </w:r>
      <w:bookmarkEnd w:id="635"/>
      <w:bookmarkEnd w:id="636"/>
      <w:bookmarkEnd w:id="637"/>
      <w:bookmarkEnd w:id="638"/>
      <w:bookmarkEnd w:id="639"/>
    </w:p>
    <w:p w:rsidR="00000000" w:rsidRDefault="00000000">
      <w:pPr>
        <w:pStyle w:val="BodyText"/>
      </w:pPr>
      <w:r>
        <w:t>544.</w:t>
      </w:r>
      <w:r>
        <w:tab/>
        <w:t>Комиссия штата Новый Южный Уэльс по правовой помощи регулярно проводит в общинах семинары по правовым вопросам, ориентированные на пожилых женщин, женщин из числа коренного населения и женщин из неанглоязычной среды. Комиссия подготовила и широко распространила брошюру на английском языке под названием "Вы обращаетесь за судебным постановлением в связи с насилием?", в которой данная процедура разъясняется очень доходчиво и просто. В рамках совместной программы штатов и территорий по финансированию общинных юридических служб Комиссия выделяет ассигнования общинным правовым центрам.</w:t>
      </w:r>
    </w:p>
    <w:p w:rsidR="00000000" w:rsidRDefault="00000000">
      <w:pPr>
        <w:pStyle w:val="Heading2"/>
        <w:spacing w:before="120"/>
      </w:pPr>
      <w:bookmarkStart w:id="640" w:name="_Toc70142859"/>
      <w:bookmarkStart w:id="641" w:name="_Toc70143042"/>
      <w:bookmarkStart w:id="642" w:name="_Toc70228769"/>
      <w:bookmarkStart w:id="643" w:name="_Toc70229170"/>
      <w:bookmarkStart w:id="644" w:name="_Toc70235436"/>
      <w:r>
        <w:t>Северная территория</w:t>
      </w:r>
      <w:bookmarkEnd w:id="640"/>
      <w:bookmarkEnd w:id="641"/>
      <w:bookmarkEnd w:id="642"/>
      <w:bookmarkEnd w:id="643"/>
      <w:bookmarkEnd w:id="644"/>
    </w:p>
    <w:p w:rsidR="00000000" w:rsidRDefault="00000000">
      <w:pPr>
        <w:pStyle w:val="BodyText"/>
      </w:pPr>
      <w:r>
        <w:t>545.</w:t>
      </w:r>
      <w:r>
        <w:tab/>
        <w:t>В 2001 году в Уголовный кодекс, Закон об отправлении правосудия в отношении несовершеннолетних и Закон о наказаниях были внесены существенные поправки, для того чтобы провести четкое разграничение между имущественными преступлениями и преступлениями против личности и отменить обязательный режим тюремного заключения для виновных в совершении имущественных преступлений. Предусмотренный действующим законодательством режим наказаний за преступления сексуального характера и жестокие агрессивные действия, совершенные совершеннолетними, был оставлен без изменений. Законопроект о внесении поправок в Закон о полицейской администрации, который был представлен в 2001 году, обеспечивает полиции более эффективный механизм для привлечения к суду подозреваемых в совершении преступлений. Законопроект предусматривает включение в Закон о системе наказаний и Закон об отправлении правосудия в отношении несовершеннолетних положения относительно заявлений о последствиях для потерпевших, которые могут включать пожелания потерпевших в отношении того вида наказания, которого, по их мнению, заслуживает виновный. В 2001 году определение правонарушения, квалифицируемого как преследование, было расширено и распространено на такие действия, как преследование с помощью электронных средств связи, получившее в последнее время широкое распространение как вид преступной деятельности.</w:t>
      </w:r>
    </w:p>
    <w:p w:rsidR="00000000" w:rsidRDefault="00000000">
      <w:pPr>
        <w:pStyle w:val="BodyText"/>
      </w:pPr>
      <w:r>
        <w:t>546.</w:t>
      </w:r>
      <w:r>
        <w:tab/>
        <w:t>Поправки к законодательству являются одним из важных элементов нового правительственного подхода к предупреждению преступности в Северной территории. Они обеспечивают связь с осуществляемой в этой сфере политикой, включающей Стратегию борьбы с насилием в семье и Стратегию борьбы с насилием в семье среди аборигенов, и способствуют установлению более тесных партнерских отношений с коренным населением и более эффективной поддержке семей в трудных ситуациях. Новое Управление по предупреждению преступности (в составе Департамента юстиции) осуществляет различные программы (на сумму 6,7 млн. долларов в течение четырех лет), в том числе Программу грантов для общин на цели предупреждения преступности. Эта программа обеспечивает общинным группам возможность реализовывать и разрабатывать планы действий по предупреждению преступности и создавать региональные советы по предупреждению преступности.</w:t>
      </w:r>
    </w:p>
    <w:p w:rsidR="00000000" w:rsidRDefault="00000000">
      <w:pPr>
        <w:pStyle w:val="Heading2"/>
      </w:pPr>
      <w:bookmarkStart w:id="645" w:name="_Toc70142860"/>
      <w:bookmarkStart w:id="646" w:name="_Toc70143043"/>
      <w:bookmarkStart w:id="647" w:name="_Toc70228770"/>
      <w:bookmarkStart w:id="648" w:name="_Toc70229171"/>
      <w:bookmarkStart w:id="649" w:name="_Toc70235437"/>
      <w:r>
        <w:t>Квинсленд</w:t>
      </w:r>
      <w:bookmarkEnd w:id="645"/>
      <w:bookmarkEnd w:id="646"/>
      <w:bookmarkEnd w:id="647"/>
      <w:bookmarkEnd w:id="648"/>
      <w:bookmarkEnd w:id="649"/>
    </w:p>
    <w:p w:rsidR="00000000" w:rsidRDefault="00000000">
      <w:pPr>
        <w:pStyle w:val="BodyText"/>
      </w:pPr>
      <w:r>
        <w:t>547.</w:t>
      </w:r>
      <w:r>
        <w:tab/>
        <w:t>Обзор всей законодательной базы, организованный в штате Квинсленд для выявления прямых и косвенных форм дискриминации в отношении женщин, повлек за собой законодательные и иные реформы, которые были проведены в 1999–2000 годах. В 2001 году в парламент был внесен Законопроект о внесении поправок в антидискриминационное законодательство, который предусматривал включение положений, касающихся оскорблений по расовым и религиозным мотивам, в Закон 1991 года о недопущении дискриминации. Закон 1999 года о производственных отношениях</w:t>
      </w:r>
      <w:r>
        <w:rPr>
          <w:i/>
        </w:rPr>
        <w:t xml:space="preserve"> </w:t>
      </w:r>
      <w:r>
        <w:t>обеспечивает равное вознаграждение для мужчин и женщин и признает производственные права лиц, состоящих в гомосексуальных отношениях. В этот Закон было также включено положение о предоставлении неоплачиваемого отпуска по беременности и родам лицам, долгое время получающим лишь случайные заработки. Поправка, касающаяся преследований, обсуждается в статье 6, а поправки, связанные с насилием в семье, рассматриваются в статье 16.</w:t>
      </w:r>
    </w:p>
    <w:p w:rsidR="00000000" w:rsidRDefault="00000000">
      <w:pPr>
        <w:pStyle w:val="BodyText"/>
      </w:pPr>
      <w:r>
        <w:t>548.</w:t>
      </w:r>
      <w:r>
        <w:tab/>
        <w:t>Департамент по производственным отношениям (ДПО) проводит обзор системы премирования с целью обеспечить ее недискриминационный характер. С помощью системы премирования ДПО также решает проблемы, связанные с распространением нерегулярной занятости, которая оказывает значительное влияние на женщин. Принимаемые меры включают определение понятия нерегулярной занятости, механизмы преобразования нерегулярной занятости в постоянную, обеспечение надлежащей профессиональной подготовки и возможностей продвижения по службе.</w:t>
      </w:r>
    </w:p>
    <w:p w:rsidR="00000000" w:rsidRDefault="00000000">
      <w:pPr>
        <w:pStyle w:val="BodyText"/>
      </w:pPr>
      <w:r>
        <w:t>549.</w:t>
      </w:r>
      <w:r>
        <w:rPr>
          <w:i/>
        </w:rPr>
        <w:tab/>
      </w:r>
      <w:r>
        <w:t>Служба правовой помощи женщинам проводит консультации по правовым вопросам, оказывает информационные и представительские услуги, содействует расширению доступа женщин к услугам в области правовой помощи. В городском суде Брисбена Служба осуществляет Брисбенскую программу по оказанию помощи в суде; она также отвечает за разработку, осуществление и оценку Стратегии борьбы с насилием в отношении женщин. Сеть по вопросам правовой помощи женщинам стремится улучшить доступ женщин в сельских районах и женщин-аборигенов к юридическим консультациям и службам правовой помощи штата Квинсленд с помощью проведения видеоконференций.</w:t>
      </w:r>
    </w:p>
    <w:p w:rsidR="00000000" w:rsidRDefault="00000000">
      <w:pPr>
        <w:pStyle w:val="BodyText"/>
      </w:pPr>
      <w:r>
        <w:t>550.</w:t>
      </w:r>
      <w:r>
        <w:tab/>
        <w:t>Ряд инициатив были предприняты в целях обеспечения равенства перед законом женщин из числа коренного населения. Была разработана Комплексная стратегия в интересах аборигенов, направленная на оказание помощи женщинам-аборигенам – жертвам сексуального насилия, насилия в семье или других форм насилия путем улучшения их доступа к специализированным юридическим услугам. Был опубликован справочник под названием "Английский язык для аборигенов в судах", призванный помочь судебным служащим в общении с аборигенами.</w:t>
      </w:r>
    </w:p>
    <w:p w:rsidR="00000000" w:rsidRDefault="00000000">
      <w:pPr>
        <w:pStyle w:val="BodyText"/>
      </w:pPr>
      <w:r>
        <w:t>551.</w:t>
      </w:r>
      <w:r>
        <w:tab/>
        <w:t>В августе 2002 года в Брисбене будет открыт суд Мурри для рассмотрения дел совершеннолетних аборигенов, признавших себя виновными в совершении правонарушений. Основные задачи суда Мурри состоят в том, чтобы: избежать наказания в виде тюремного заключения, если имеется возможность вынести решение об альтернативном наказании, с тем чтобы уменьшить чрезмерный процент аборигенов в рамках пенитенциарной системы; уменьшить число случаев неявки в суд, когда такая мера, как содержание под стражей, избирается вследствие того, что обвиняемые часто не являются в суд или на заслушивание приговора; и уменьшить число случаев нарушения судебных приказов. Старейшины будут оказывать помощь, консультируя мировых судей по вопросам традиционной культуры и в отношении того, каким, по их мнению, должно быть наиболее приемлемое наказание или какое условие должно быть включено в выносимый обвиняемому приговор.</w:t>
      </w:r>
    </w:p>
    <w:p w:rsidR="00000000" w:rsidRDefault="00000000">
      <w:pPr>
        <w:pStyle w:val="BodyText"/>
      </w:pPr>
      <w:r>
        <w:t>552.</w:t>
      </w:r>
      <w:r>
        <w:tab/>
        <w:t>В программе Департамента исправительных учреждений, получившей название "Они тоже имеют права: пятилетняя рамочная программа по удовлетворению потребностей правонарушителей-женщин на 2001–2006 годы", которая основывается на выводах, сделанных в докладе "Портрет правонарушителей-женщин, находящихся под надзором в общинах или содержащихся под стражей в штате Квинсленд", изложены стратегии, направленные на удовлетворение потребностей правонарушителей-женщин.</w:t>
      </w:r>
    </w:p>
    <w:p w:rsidR="00000000" w:rsidRDefault="00000000">
      <w:pPr>
        <w:pStyle w:val="Heading2"/>
      </w:pPr>
      <w:r>
        <w:br w:type="page"/>
      </w:r>
      <w:bookmarkStart w:id="650" w:name="_Toc70142861"/>
      <w:bookmarkStart w:id="651" w:name="_Toc70143044"/>
      <w:bookmarkStart w:id="652" w:name="_Toc70228771"/>
      <w:bookmarkStart w:id="653" w:name="_Toc70229172"/>
      <w:bookmarkStart w:id="654" w:name="_Toc70235438"/>
      <w:r>
        <w:t>Южная Австралия</w:t>
      </w:r>
      <w:bookmarkEnd w:id="650"/>
      <w:bookmarkEnd w:id="651"/>
      <w:bookmarkEnd w:id="652"/>
      <w:bookmarkEnd w:id="653"/>
      <w:bookmarkEnd w:id="654"/>
    </w:p>
    <w:p w:rsidR="00000000" w:rsidRDefault="00000000">
      <w:pPr>
        <w:pStyle w:val="BodyText"/>
      </w:pPr>
      <w:r>
        <w:t>553.</w:t>
      </w:r>
      <w:r>
        <w:rPr>
          <w:i/>
        </w:rPr>
        <w:tab/>
      </w:r>
      <w:r>
        <w:t>Закон 1998 года о внесении поправок в Закон о доказательствах (конфиденциальных сообщениях) предусматривает режим, регулирующий использование в ходе судебных разбирательств записей, которые были сделаны во время консультаций по вопросам изнасилований и сексуального насилия. В соответствии с этим Законом суд определяет возможности защиты использовать эти записи в качестве доказательств.</w:t>
      </w:r>
    </w:p>
    <w:p w:rsidR="00000000" w:rsidRDefault="00000000">
      <w:pPr>
        <w:pStyle w:val="Heading2"/>
      </w:pPr>
      <w:bookmarkStart w:id="655" w:name="_Toc70142862"/>
      <w:bookmarkStart w:id="656" w:name="_Toc70143045"/>
      <w:bookmarkStart w:id="657" w:name="_Toc70228772"/>
      <w:bookmarkStart w:id="658" w:name="_Toc70229173"/>
      <w:bookmarkStart w:id="659" w:name="_Toc70235439"/>
      <w:r>
        <w:t>Тасмания</w:t>
      </w:r>
      <w:bookmarkEnd w:id="655"/>
      <w:bookmarkEnd w:id="656"/>
      <w:bookmarkEnd w:id="657"/>
      <w:bookmarkEnd w:id="658"/>
      <w:bookmarkEnd w:id="659"/>
    </w:p>
    <w:p w:rsidR="00000000" w:rsidRDefault="00000000">
      <w:pPr>
        <w:pStyle w:val="BodyText"/>
      </w:pPr>
      <w:r>
        <w:t>554.</w:t>
      </w:r>
      <w:r>
        <w:tab/>
        <w:t>В середине 90-х годов одна женщина в штате Тасмания выиграла дело о так называемом "долге, передаваемом по признаку пола" в отношении поставщика финансовых услуг. Впервые в решении суда была сделана ссылка на понятие "долга по признаку пола" и на то, насколько уязвимыми жены оказываются в тех случаях, когда банки и поставщики финансовых услуг в целом отказываются признать их самостоятельные права на получение информации и консультаций финансового характера, рассматривая их в качестве придатков к своим супругам.</w:t>
      </w:r>
    </w:p>
    <w:p w:rsidR="00000000" w:rsidRDefault="00000000">
      <w:pPr>
        <w:pStyle w:val="BodyText"/>
      </w:pPr>
      <w:r>
        <w:t>555.</w:t>
      </w:r>
      <w:r>
        <w:rPr>
          <w:i/>
        </w:rPr>
        <w:tab/>
      </w:r>
      <w:r>
        <w:t>Закон 1994 года о недопущении дискриминации по признаку пола ввел в перечень оснований для возможной дискриминации такие понятия, как "семейные обязанности" или "обязанности по уходу за членами семьи". В настоящее время эти основания присутствуют и в Законе 1998 года о</w:t>
      </w:r>
      <w:r>
        <w:rPr>
          <w:i/>
        </w:rPr>
        <w:t xml:space="preserve"> </w:t>
      </w:r>
      <w:r>
        <w:t>недопущении дискриминации</w:t>
      </w:r>
      <w:r>
        <w:rPr>
          <w:i/>
        </w:rPr>
        <w:t>.</w:t>
      </w:r>
      <w:r>
        <w:t xml:space="preserve"> По этой причине в штате Тасмания подается наибольшее количество исков в связи с проявлениями дискриминации, что свидетельствует о законодательном закреплении такого права женщин в штате Тасмания.</w:t>
      </w:r>
    </w:p>
    <w:p w:rsidR="00000000" w:rsidRDefault="00000000">
      <w:pPr>
        <w:pStyle w:val="Heading2"/>
      </w:pPr>
      <w:bookmarkStart w:id="660" w:name="_Toc70142863"/>
      <w:bookmarkStart w:id="661" w:name="_Toc70143046"/>
      <w:bookmarkStart w:id="662" w:name="_Toc70228773"/>
      <w:bookmarkStart w:id="663" w:name="_Toc70229174"/>
      <w:bookmarkStart w:id="664" w:name="_Toc70235440"/>
      <w:r>
        <w:t>Виктория</w:t>
      </w:r>
      <w:bookmarkEnd w:id="660"/>
      <w:bookmarkEnd w:id="661"/>
      <w:bookmarkEnd w:id="662"/>
      <w:bookmarkEnd w:id="663"/>
      <w:bookmarkEnd w:id="664"/>
    </w:p>
    <w:p w:rsidR="00000000" w:rsidRDefault="00000000">
      <w:pPr>
        <w:pStyle w:val="BodyText"/>
      </w:pPr>
      <w:r>
        <w:t>556.</w:t>
      </w:r>
      <w:r>
        <w:tab/>
        <w:t>Правительство осуществляет стратегии, направленные на повышение уровня информированности женщин в отношении правовой системы. Они включают курсы профессиональной подготовки для мировых судей, судей и судебных служащих по гендерной и межкультурной проблематике, а также обзор механизмов и эффективности адвокатских услуг для коренного населения с уделением особого внимания женщинам и их конкретным потребностям в связи с насилием в семье и правами детей.</w:t>
      </w:r>
    </w:p>
    <w:p w:rsidR="00000000" w:rsidRDefault="00000000">
      <w:pPr>
        <w:pStyle w:val="BodyText"/>
      </w:pPr>
      <w:r>
        <w:t>557.</w:t>
      </w:r>
      <w:r>
        <w:rPr>
          <w:i/>
        </w:rPr>
        <w:tab/>
      </w:r>
      <w:r>
        <w:t>Закон 2000 года об оказании помощи жертвам преступлений (поправка) восстанавливает право потерпевших на получение компенсации за причиненные им боль и страдания. С 1 июля 2000 года закон предусматривает новые права для лиц, определяемых как основные, второстепенные и другие жертвы преступлений, и будет иметь прямые последствия для потерпевших-женщин.</w:t>
      </w:r>
    </w:p>
    <w:p w:rsidR="00000000" w:rsidRDefault="00000000">
      <w:pPr>
        <w:pStyle w:val="Heading2"/>
      </w:pPr>
      <w:bookmarkStart w:id="665" w:name="_Toc70142864"/>
      <w:bookmarkStart w:id="666" w:name="_Toc70143047"/>
      <w:bookmarkStart w:id="667" w:name="_Toc70228774"/>
      <w:bookmarkStart w:id="668" w:name="_Toc70229175"/>
      <w:bookmarkStart w:id="669" w:name="_Toc70235441"/>
      <w:r>
        <w:t>Западная Австралия</w:t>
      </w:r>
      <w:bookmarkEnd w:id="665"/>
      <w:bookmarkEnd w:id="666"/>
      <w:bookmarkEnd w:id="667"/>
      <w:bookmarkEnd w:id="668"/>
      <w:bookmarkEnd w:id="669"/>
    </w:p>
    <w:p w:rsidR="00000000" w:rsidRDefault="00000000">
      <w:pPr>
        <w:pStyle w:val="BodyText"/>
      </w:pPr>
      <w:r>
        <w:t>558.</w:t>
      </w:r>
      <w:r>
        <w:tab/>
        <w:t>17 мая 2002 года был принят Закон о внесении поправок в действующее законодательство (пересмотр положений, касающихся гомосексуальных отношений). Этот Закон обеспечивает всем жителям Западной Австралии равенство перед законом независимо от их сексуальной ориентации.</w:t>
      </w:r>
    </w:p>
    <w:p w:rsidR="00000000" w:rsidRDefault="00000000">
      <w:pPr>
        <w:pStyle w:val="Article"/>
        <w:spacing w:after="0"/>
      </w:pPr>
      <w:r>
        <w:br w:type="page"/>
      </w:r>
      <w:bookmarkStart w:id="670" w:name="_Toc43102935"/>
      <w:bookmarkStart w:id="671" w:name="_Toc43106045"/>
      <w:bookmarkStart w:id="672" w:name="_Toc43106331"/>
      <w:bookmarkStart w:id="673" w:name="_Toc43106903"/>
      <w:bookmarkStart w:id="674" w:name="_Toc43107189"/>
      <w:bookmarkStart w:id="675" w:name="_Toc43107475"/>
      <w:bookmarkStart w:id="676" w:name="_Toc43107761"/>
      <w:bookmarkStart w:id="677" w:name="_Toc70143048"/>
      <w:bookmarkStart w:id="678" w:name="_Toc70228775"/>
      <w:bookmarkStart w:id="679" w:name="_Toc70229176"/>
      <w:bookmarkStart w:id="680" w:name="_Toc70235442"/>
      <w:r>
        <w:t>СТАТЬЯ 16:  Права женщин в браке и семейной жизни</w:t>
      </w:r>
      <w:bookmarkEnd w:id="677"/>
      <w:bookmarkEnd w:id="678"/>
      <w:bookmarkEnd w:id="679"/>
      <w:bookmarkEnd w:id="680"/>
    </w:p>
    <w:p w:rsidR="00000000" w:rsidRDefault="00000000">
      <w:pPr>
        <w:pStyle w:val="Article-ref"/>
        <w:spacing w:before="240" w:after="120"/>
      </w:pPr>
      <w:bookmarkStart w:id="681" w:name="_Toc70143049"/>
      <w:bookmarkStart w:id="682" w:name="_Toc70228776"/>
      <w:bookmarkStart w:id="683" w:name="_Toc70229177"/>
      <w:bookmarkStart w:id="684" w:name="_Toc70235443"/>
      <w:r>
        <w:t xml:space="preserve">ИНИЦИАТИВЫ </w:t>
      </w:r>
      <w:bookmarkEnd w:id="681"/>
      <w:bookmarkEnd w:id="682"/>
      <w:bookmarkEnd w:id="683"/>
      <w:bookmarkEnd w:id="684"/>
      <w:r>
        <w:t>ФЕДЕРАЛЬНОГО ПРАВИТЕЛЬСТВА</w:t>
      </w:r>
    </w:p>
    <w:p w:rsidR="00000000" w:rsidRDefault="00000000">
      <w:pPr>
        <w:pStyle w:val="1-1"/>
        <w:spacing w:before="120"/>
      </w:pPr>
      <w:r>
        <w:t>Законодательство о равенстве в браке и семье</w:t>
      </w:r>
    </w:p>
    <w:p w:rsidR="00000000" w:rsidRDefault="00000000">
      <w:pPr>
        <w:pStyle w:val="BodyText"/>
        <w:spacing w:after="120"/>
      </w:pPr>
      <w:r>
        <w:t>559.</w:t>
      </w:r>
      <w:r>
        <w:tab/>
        <w:t>В Австралии не существует более дискриминации между мужчинами и женщинами в сферах, указанных в пункте 1 статьи 16. Брак детей в Австралии является незаконным. Семейные отношения в Австралии регулируются гражданским правом, в рамках которого в отношении мужчин и женщин практикуется равное обращение. Кроме того, с 1995 года система семейного права претерпела существенные реформы, и созданы механизмы, альтернативные судебной системе, которые могут использоваться по желанию обеих сторон. Правительство поддерживает равное отношение к женщинам в семье как по закону, так и на практике. Правительство считает, что мужчины должны нести равную ответственность за воспитание детей и заботу о них.</w:t>
      </w:r>
    </w:p>
    <w:p w:rsidR="00000000" w:rsidRDefault="00000000">
      <w:pPr>
        <w:pStyle w:val="1-1"/>
        <w:spacing w:before="120"/>
      </w:pPr>
      <w:r>
        <w:t>Полное и свободное согласие на брак</w:t>
      </w:r>
    </w:p>
    <w:p w:rsidR="00000000" w:rsidRDefault="00000000">
      <w:pPr>
        <w:pStyle w:val="BodyText"/>
      </w:pPr>
      <w:r>
        <w:t>560.</w:t>
      </w:r>
      <w:r>
        <w:tab/>
        <w:t>Вопросы брака в Австралии регулируются Законом о браке 1961 года, который применяется к мужчинам и женщинам без каких-либо различий. Обычно вступление в брак запрещается до достижения сторонами 18-летнего возраста. В исключительных обстоятельствах, когда одна из сторон предполагаемого брака не достигла 18-летнего возраста, но уже достигла 16 лет, суд может предоставить разрешение такому лицу на вступление в брак с лицом в возрасте старше 18 лет.</w:t>
      </w:r>
    </w:p>
    <w:p w:rsidR="00000000" w:rsidRDefault="00000000">
      <w:pPr>
        <w:pStyle w:val="1-1"/>
        <w:spacing w:before="120"/>
      </w:pPr>
      <w:r>
        <w:t>Поддержка семей</w:t>
      </w:r>
    </w:p>
    <w:p w:rsidR="00000000" w:rsidRDefault="00000000">
      <w:pPr>
        <w:pStyle w:val="BodyText"/>
      </w:pPr>
      <w:r>
        <w:t>561.</w:t>
      </w:r>
      <w:r>
        <w:tab/>
        <w:t>В то время как обычная нуклеарная семья является наиболее распространенной формой семьи (что отвечает тенденциям в других западных странах), правительство поддерживает и уважает выбор австралийцев в определении характера их семей. Оно признает многообразие в формировании семей и их образа жизни, в частности, оно уважает расовые, этнические, культурные и религиозные различия и способствует самодостаточности семей и социальной ответственности их членов. Австралийский институт исследований по вопросам семьи изучает характер, потребности и многообразие форм семей и предоставляет большой объем данных, помогающих разрабатывать справедливую политику в отношении семьи.</w:t>
      </w:r>
    </w:p>
    <w:p w:rsidR="00000000" w:rsidRDefault="00000000">
      <w:pPr>
        <w:pStyle w:val="BodyText"/>
      </w:pPr>
      <w:r>
        <w:t>562.</w:t>
      </w:r>
      <w:r>
        <w:tab/>
        <w:t>Федеральное законодательство обеспечивает защиту и поддержку семей в Австралии самых различных форм (например, одиноких родителей, фактических родителей и гомосексуальных пар), и в целом они имеют доступ к широкому спектру финансовой и иных форм помощи.</w:t>
      </w:r>
    </w:p>
    <w:p w:rsidR="00000000" w:rsidRDefault="00000000">
      <w:pPr>
        <w:pStyle w:val="BodyText"/>
      </w:pPr>
      <w:r>
        <w:t>563.</w:t>
      </w:r>
      <w:r>
        <w:tab/>
        <w:t>Поправка к Закону о дискриминации по половому признаку (№ 1) 2000 года была принята Палатой представителей в апреле 2001 года и внесена на рассмотрение Сената, однако утратила силу, когда в ноябре 2001 года парламент объявил перерыв в работе в связи с проведением федеральных выборов. Цель законопроекта состояла в том, чтобы разрешить штатам и территориям по своему усмотрению ограничивать доступ семейных или фактических пар к искусственной репродуктивной технологии. Новый законопроект, содержащий те же меры, (Поправка к Закону о дискриминации по половому признаку 2002 года) был внесен в федеральный парламент в 2002 году.</w:t>
      </w:r>
    </w:p>
    <w:p w:rsidR="00000000" w:rsidRDefault="00000000">
      <w:pPr>
        <w:pStyle w:val="1-1"/>
      </w:pPr>
      <w:r>
        <w:t>Образование в вопросах брака и взаимоотношений</w:t>
      </w:r>
    </w:p>
    <w:p w:rsidR="00000000" w:rsidRDefault="00000000">
      <w:pPr>
        <w:pStyle w:val="BodyText"/>
        <w:spacing w:after="120"/>
      </w:pPr>
      <w:r>
        <w:t>564.</w:t>
      </w:r>
      <w:r>
        <w:tab/>
        <w:t>В 1996 году правительство выделило дополнительные ассигнования на трехлетний период на цели Программы образования в вопросах брака и взаимоотношений. Это – профилактическая программа, нацеленная на распространение информации и формирование навыков, способствующих развитию положительных и стабильных взаимоотношений.</w:t>
      </w:r>
    </w:p>
    <w:p w:rsidR="00000000" w:rsidRDefault="00000000">
      <w:pPr>
        <w:pStyle w:val="1-1"/>
        <w:spacing w:before="0"/>
      </w:pPr>
      <w:r>
        <w:t>Доступ к имуществу</w:t>
      </w:r>
    </w:p>
    <w:p w:rsidR="00000000" w:rsidRDefault="00000000">
      <w:pPr>
        <w:pStyle w:val="BodyText"/>
      </w:pPr>
      <w:r>
        <w:t>565.</w:t>
      </w:r>
      <w:r>
        <w:tab/>
        <w:t>Правительство поддерживает принципы равного доступа к имуществу и обладания имуществом мужчинами и женщинами, состоящими в законном или фактическом браке. В Австралии федеральное правительство наделено полномочиями вводить законы в отношении законных браков. Законодательство в отношении фактических браков относится к юрисдикции штатов и территорий.</w:t>
      </w:r>
    </w:p>
    <w:p w:rsidR="00000000" w:rsidRDefault="00000000">
      <w:pPr>
        <w:pStyle w:val="BodyText"/>
        <w:spacing w:after="120"/>
      </w:pPr>
      <w:r>
        <w:t>566.</w:t>
      </w:r>
      <w:r>
        <w:tab/>
        <w:t>Стороны в законном браке могут заключать между собой финансовые соглашения, имеющие обязательную юридическую силу, в отношении имущества сторон до брака, в период брака и после его расторжения. Подробнее см. комментарии об осуществлении статьи 13.</w:t>
      </w:r>
    </w:p>
    <w:p w:rsidR="00000000" w:rsidRDefault="00000000">
      <w:pPr>
        <w:pStyle w:val="1-1"/>
        <w:spacing w:before="120"/>
      </w:pPr>
      <w:r>
        <w:t>Изнасилование в браке</w:t>
      </w:r>
    </w:p>
    <w:p w:rsidR="00000000" w:rsidRDefault="00000000">
      <w:pPr>
        <w:pStyle w:val="BodyText"/>
        <w:spacing w:after="120"/>
      </w:pPr>
      <w:r>
        <w:t>567.</w:t>
      </w:r>
      <w:r>
        <w:tab/>
        <w:t>Изнасилование в браке является уголовно наказуемым преступлением по законам всех штатов и территорий. В 2001 году правительство представило Национальную инициативу по борьбе с сексуальным насилием. Одним из ключевых элементов стратегии является национальная образовательная программа на уровне общин, цель которой заключается в повышении информированности общин и изменении жизненных позиций для борьбы с сексуальным насилием, включая изнасилование в браке.</w:t>
      </w:r>
    </w:p>
    <w:p w:rsidR="00000000" w:rsidRDefault="00000000">
      <w:pPr>
        <w:pStyle w:val="1-1"/>
      </w:pPr>
      <w:r>
        <w:t>Жестокое обращение с детьми и невыполнение родительских обязанностей</w:t>
      </w:r>
    </w:p>
    <w:p w:rsidR="00000000" w:rsidRDefault="00000000">
      <w:pPr>
        <w:pStyle w:val="BodyText"/>
        <w:spacing w:after="120"/>
      </w:pPr>
      <w:r>
        <w:t>568.</w:t>
      </w:r>
      <w:r>
        <w:tab/>
        <w:t>В ответ на Всемирную декларацию Организации Объединенных Наций об обеспечении выживания, защиты и развития детей была принята Национальная стратегия предотвращения жестокого обращения с детьми и невыполнения родительских обязанностей. Основные заинтересованные группы работают над сокращением жестокого обращения с детьми и невыполнения родительских обязанностей, бездомности молодых людей и насилия в семье при обеспечении значительного финансирования на цели образования родителей.</w:t>
      </w:r>
    </w:p>
    <w:p w:rsidR="00000000" w:rsidRDefault="00000000">
      <w:pPr>
        <w:pStyle w:val="1-1"/>
        <w:spacing w:before="120"/>
      </w:pPr>
      <w:r>
        <w:t>Предупреждение преступности</w:t>
      </w:r>
    </w:p>
    <w:p w:rsidR="00000000" w:rsidRDefault="00000000">
      <w:pPr>
        <w:pStyle w:val="BodyText"/>
        <w:rPr>
          <w:snapToGrid w:val="0"/>
          <w:lang w:eastAsia="en-US"/>
        </w:rPr>
      </w:pPr>
      <w:r>
        <w:t>569.</w:t>
      </w:r>
      <w:r>
        <w:tab/>
        <w:t>Национальная программа предупреждения преступности (ранее Национальная кампания против насилия и преступности), учрежденная в 1997 году, ориентирована на определение и распространение новых способов уменьшения и предупреждения преступности и угрозы преступности. Программа включает проведение исследований и практическое осуществление инициатив, включая общенациональные пилотные проекты, местные превентивные меры и инициативы в отношении коммуникации и обучения.</w:t>
      </w:r>
    </w:p>
    <w:p w:rsidR="00000000" w:rsidRDefault="00000000">
      <w:pPr>
        <w:pStyle w:val="BodyText"/>
      </w:pPr>
      <w:r>
        <w:t>570.</w:t>
      </w:r>
      <w:r>
        <w:tab/>
        <w:t>Первоначальное финансирование Национальной кампании против насилия и преступности составило 13 млн. долларов и было рассчитано на трехлетний период. В 1999–2000 годах правительство выделило дополнительно 21 млн. долларов на четырехлетний период для закрепления успехов, достигнутых на первой стадии программы. К числу приоритетных проблем были отнесены имущественные преступления, преступления в частном секторе и против общественной безопасности, насилие в семье и бытовое насилие и насилие в общинах коренного населения. Значительная часть финансирования на цели Национальной программы предупреждения преступности предназначается для инициатив по раннему принятию действий в отношении молодых людей и их семей в рамках стратегии "Преступность среди молодых людей" и стратегии в отношении семей.</w:t>
      </w:r>
    </w:p>
    <w:p w:rsidR="00000000" w:rsidRDefault="00000000">
      <w:pPr>
        <w:pStyle w:val="1-1"/>
      </w:pPr>
      <w:r>
        <w:t>Контроль над оружием</w:t>
      </w:r>
    </w:p>
    <w:p w:rsidR="00000000" w:rsidRDefault="00000000">
      <w:pPr>
        <w:pStyle w:val="BodyText"/>
        <w:spacing w:after="120"/>
      </w:pPr>
      <w:r>
        <w:rPr>
          <w:snapToGrid w:val="0"/>
          <w:lang w:eastAsia="en-US"/>
        </w:rPr>
        <w:t>571.</w:t>
      </w:r>
      <w:r>
        <w:rPr>
          <w:snapToGrid w:val="0"/>
          <w:lang w:eastAsia="en-US"/>
        </w:rPr>
        <w:tab/>
        <w:t xml:space="preserve">В декабре 2002 года Совет австралийских правительств утвердил национальный подход к ограничению доступности и использования стрелкового оружия, в особенности скрыто носимого оружия. Достигнутое соглашение позволит существенно сократить количество оружия на руках населения и значительно усилить контроль над доступом к стрелковому оружию. См. также документ "Осуществление Австралией </w:t>
      </w:r>
      <w:r>
        <w:t>Пекинской платформы действий" (2000 год).</w:t>
      </w:r>
    </w:p>
    <w:p w:rsidR="00000000" w:rsidRDefault="00000000">
      <w:pPr>
        <w:pStyle w:val="1-1"/>
        <w:spacing w:before="120"/>
      </w:pPr>
      <w:bookmarkStart w:id="685" w:name="_Toc43102946"/>
      <w:bookmarkStart w:id="686" w:name="_Toc43106056"/>
      <w:bookmarkStart w:id="687" w:name="_Toc43106342"/>
      <w:bookmarkStart w:id="688" w:name="_Toc43106914"/>
      <w:bookmarkStart w:id="689" w:name="_Toc43107200"/>
      <w:bookmarkStart w:id="690" w:name="_Toc43107486"/>
      <w:bookmarkStart w:id="691" w:name="_Toc43107772"/>
      <w:bookmarkStart w:id="692" w:name="_Toc43263571"/>
      <w:bookmarkStart w:id="693" w:name="_Toc43263766"/>
      <w:bookmarkStart w:id="694" w:name="_Toc43538683"/>
      <w:bookmarkStart w:id="695" w:name="_Toc45342809"/>
      <w:bookmarkEnd w:id="670"/>
      <w:bookmarkEnd w:id="671"/>
      <w:bookmarkEnd w:id="672"/>
      <w:bookmarkEnd w:id="673"/>
      <w:bookmarkEnd w:id="674"/>
      <w:bookmarkEnd w:id="675"/>
      <w:bookmarkEnd w:id="676"/>
      <w:r>
        <w:t xml:space="preserve">Насилие в </w:t>
      </w:r>
      <w:bookmarkEnd w:id="685"/>
      <w:bookmarkEnd w:id="686"/>
      <w:bookmarkEnd w:id="687"/>
      <w:bookmarkEnd w:id="688"/>
      <w:bookmarkEnd w:id="689"/>
      <w:bookmarkEnd w:id="690"/>
      <w:bookmarkEnd w:id="691"/>
      <w:bookmarkEnd w:id="692"/>
      <w:bookmarkEnd w:id="693"/>
      <w:bookmarkEnd w:id="694"/>
      <w:bookmarkEnd w:id="695"/>
      <w:r>
        <w:t>семье</w:t>
      </w:r>
    </w:p>
    <w:p w:rsidR="00000000" w:rsidRDefault="00000000">
      <w:pPr>
        <w:pStyle w:val="BodyText"/>
      </w:pPr>
      <w:r>
        <w:t>572.</w:t>
      </w:r>
      <w:r>
        <w:tab/>
        <w:t>В ноябре 1997 года главы правительств Австралии договорились о совместных действиях в рамках программы "Партнерство по борьбе с насилием в семье" (ПБНС), направленной на предотвращение такого насилия повсюду в Австралии. Целью этой инициативы является разработка новаторских превентивных подходов и определение наилучшей практики, включающей сотрудничество на уровне Союза, штатов и территорий. Общие расходы Союза на ПБНС за период с 1997/98 по 2002/2003 финансовый год составят свыше 50 млн. долларов.</w:t>
      </w:r>
    </w:p>
    <w:p w:rsidR="00000000" w:rsidRDefault="00000000">
      <w:pPr>
        <w:pStyle w:val="BodyText"/>
      </w:pPr>
      <w:r>
        <w:t>573.</w:t>
      </w:r>
      <w:r>
        <w:tab/>
        <w:t>Приоритетными областями деятельности на первом этапе ПБНС были следующие: помочь взрослым отказаться от агрессивных поведенческих моделей; а детям и молодым людям – вырваться из порочного круга насилия, поколениями культивировавшегося в общинах; просветительская деятельность в общине по вопросам борьбы с насилием, защита лиц, оказавшихся в группе риска; распространение информации и образцов наилучшей практики в отношении эффективных методов ответных действий и предотвращения насилия в семье; и оказание помощи населению в сельских и отдаленных районах.</w:t>
      </w:r>
    </w:p>
    <w:p w:rsidR="00000000" w:rsidRDefault="00000000">
      <w:pPr>
        <w:pStyle w:val="BodyText"/>
      </w:pPr>
      <w:r>
        <w:t>574.</w:t>
      </w:r>
      <w:r>
        <w:tab/>
        <w:t>В рамках ПБНС профинансированы свыше 100 проектов, призванных удовлетворить потребности широких слоев населения. К числу национальных проектов относятся: образование в общинах; выработка стандартов в отношении компетентности работников, занимающихся проблемами лиц, подвергающихся насилию в семье; распространение соответствующей информации для женщин-инвалидов; и преодоление последствий насилия в семье для пожилых женщин. Издан ряд образовательных и информационных материалов с целью информирования общественности, поставщиков услуг, преподавателей и молодых людей о насилии в семье.</w:t>
      </w:r>
    </w:p>
    <w:p w:rsidR="00000000" w:rsidRDefault="00000000">
      <w:pPr>
        <w:pStyle w:val="BodyText"/>
      </w:pPr>
      <w:r>
        <w:t>575.</w:t>
      </w:r>
      <w:r>
        <w:tab/>
        <w:t>Исходя из успехов ПБНС правительство дополнительно выделило в рамках бюджета на 1999/2000 финансовый год 25 млн. долларов на осуществление второго этапа инициативы, который будет проходить с 1999 по 2003 год. Этот этап включает следующее:</w:t>
      </w:r>
    </w:p>
    <w:p w:rsidR="00000000" w:rsidRDefault="00000000">
      <w:pPr>
        <w:pStyle w:val="enumlev-2"/>
      </w:pPr>
      <w:r>
        <w:t>меры на уровне руководителей общин: использование потенциала церквей, благотворительных организаций и других учреждений, с тем чтобы они играли более существенную роль в руководстве пропагандистской деятельностью, направленной против насилия в семье;</w:t>
      </w:r>
    </w:p>
    <w:p w:rsidR="00000000" w:rsidRDefault="00000000">
      <w:pPr>
        <w:pStyle w:val="enumlev-2"/>
      </w:pPr>
      <w:r>
        <w:t>образовательная работа в общинах: проведение широкой общенациональной кампании информирования общин с уделением основного внимания таким ключевым проблемам, как пагубные последствия насилия в семье для детей и необходимость привлечения к ответственности лиц, совершающих насилие;</w:t>
      </w:r>
    </w:p>
    <w:p w:rsidR="00000000" w:rsidRDefault="00000000">
      <w:pPr>
        <w:pStyle w:val="enumlev-2"/>
      </w:pPr>
      <w:r>
        <w:t>Австралийское бюро сбора и распространения информации по вопросам насилия в семье: распространение информации о насилии в семье и внедрение наилучшей практики по борьбе с этим явлением, содействие лучшему согласованию действий на уровне политики и местных услуг;</w:t>
      </w:r>
    </w:p>
    <w:p w:rsidR="00000000" w:rsidRDefault="00000000">
      <w:pPr>
        <w:pStyle w:val="enumlev-2"/>
      </w:pPr>
      <w:r>
        <w:t>дети, затрагиваемые насилием в семье: основное внимание должно быть сосредоточено на мерах предотвращения и раннего вмешательства в целях улучшения положения детей, являющихся свидетелями насилия в семье;</w:t>
      </w:r>
    </w:p>
    <w:p w:rsidR="00000000" w:rsidRDefault="00000000">
      <w:pPr>
        <w:pStyle w:val="enumlev-2"/>
      </w:pPr>
      <w:r>
        <w:t>стратегия в отношении лиц, совершающих акты насилия в семье будет разрабатываться на основе результатов национального форума по программам в отношении лиц, совершающих акты насилия в семье, при обеспечении организационно-правовой поддержки, например, в форме выработки соответствующих норм и проведении оценок; и</w:t>
      </w:r>
    </w:p>
    <w:p w:rsidR="00000000" w:rsidRDefault="00000000">
      <w:pPr>
        <w:pStyle w:val="enumlev-2"/>
        <w:spacing w:after="240"/>
      </w:pPr>
      <w:r>
        <w:t>осуществление практичных, ориентированных на низовой уровень, проектов по укреплению усилий общин коренного населения по борьбе с насилием в семье.</w:t>
      </w:r>
    </w:p>
    <w:p w:rsidR="00000000" w:rsidRDefault="00000000">
      <w:pPr>
        <w:pStyle w:val="BodyText"/>
      </w:pPr>
      <w:r>
        <w:t>576.</w:t>
      </w:r>
      <w:r>
        <w:tab/>
        <w:t>Основные нынешние инициативы ПБНС включают вопросы воздействия насилия в семье на детей, усиления программ, призванных способствовать прекращению насилия в семье, и образовательной работы в общинах доминирующего населения, общинах коренного населения и общинах лиц из различной культурной и языковой среды.</w:t>
      </w:r>
    </w:p>
    <w:p w:rsidR="00000000" w:rsidRDefault="00000000">
      <w:pPr>
        <w:pStyle w:val="BodyText"/>
      </w:pPr>
      <w:r>
        <w:t>577.</w:t>
      </w:r>
      <w:r>
        <w:tab/>
        <w:t>Потребности сталкивающегося с насилием в семье коренного населения в сельских и отдаленных районах находятся в центре внимания ряда инициатив, которые включают принятие мер по улучшению основных услуг женщинам и детям из числа коренного населения, подвергающимся насилию в семье, определение моделей ответных действий на уровне общин в связи с насилием в семье и отработку программ, призванных изменить характер поведения лиц, совершающих насилие. Программа грантов обеспечивает финансирование общинных организаций коренного населения, призванных разрабатывать и внедрять собственные решения проблем насилия в семье.</w:t>
      </w:r>
    </w:p>
    <w:p w:rsidR="00000000" w:rsidRDefault="00000000">
      <w:pPr>
        <w:pStyle w:val="BodyText"/>
      </w:pPr>
      <w:r>
        <w:t>578.</w:t>
      </w:r>
      <w:r>
        <w:tab/>
        <w:t>Одной из ключевых инициатив является пилотный проект для сельских общин, в рамках которого ведется работа с подростками в целях предотвращения насилия в их нынешних и будущих отношениях. Оценка проекта показывает его положительное воздействие на понимание учащимися недопустимости насилия и свидетельствует о том, что проект может быть реализован и в других районах.</w:t>
      </w:r>
    </w:p>
    <w:p w:rsidR="00000000" w:rsidRDefault="00000000">
      <w:pPr>
        <w:pStyle w:val="BodyText"/>
      </w:pPr>
      <w:r>
        <w:t>579.</w:t>
      </w:r>
      <w:r>
        <w:tab/>
        <w:t>В 2001 году была учреждена Национальная программа грантов для противодействия насилию в семье среди коренного населения, призванная оказать помощь местным общинам коренного населения в снижении уровня насилия в семье. В соответствии с программой получателям грантов будет также оказана помощь через группу консультантов по вопросам управления проектами, самостоятельному ведению документации и самооценки.</w:t>
      </w:r>
    </w:p>
    <w:p w:rsidR="00000000" w:rsidRDefault="00000000">
      <w:pPr>
        <w:pStyle w:val="BodyText"/>
      </w:pPr>
      <w:r>
        <w:t>580.</w:t>
      </w:r>
      <w:r>
        <w:tab/>
        <w:t>В апреле 2001 года была начата Национальная кампания, направленная на улучшение осведомленности общин коренного населения в отношении насилия в семье, получившая название "Войти в двери". В рамках кампании были организованы выступления музыкантов из числа коренного населения, говоривших и певших о своем жизненном опыте, связанном с насилием, и о насилии в других семьях коренного населения. Серия семинаров позволила членам общин наладить контакты с поставщиками услуг и начать дискуссии по преодолению насилия в их общинах.</w:t>
      </w:r>
    </w:p>
    <w:p w:rsidR="00000000" w:rsidRDefault="00000000">
      <w:pPr>
        <w:pStyle w:val="BodyText"/>
        <w:spacing w:after="120"/>
      </w:pPr>
      <w:r>
        <w:t>581.</w:t>
      </w:r>
      <w:r>
        <w:tab/>
        <w:t>В ноябре 1997 года премьер-министр объявил о начале кампании "Бизнес против насилия в семье", цель которой – способствовать тому, чтобы предприниматели Австралии вместе со своими служащими и всем обществом в целом взялись за решение проблем насилия в семье. К числу ключевых достижений кампании "Бизнес против насилия в семье" относятся следующие: компания "Уэстерн майнинг корпорейшн резорсес лимитед" предоставила 50 тыс. долларов корпорации по оказанию коренному населению услуг в области здравоохранения в Калгурли на осуществление комплексной разъяснительной программы по проблеме насилия в семье в золотодобывающем регионе Западной Австралии; в декабре 1999 года "Фонд Уэстфилд" предоставил 45 500 долларов центру "Сентакеа Ньюкасл" для финансирования лагерей для мальчиков в возрасте от 7 до 15 лет, которые подвергались насилию в семье, физическому или сексуальному насилию, или которые демонстрировали экстремальное или агрессивное поведение; проект компании семейных ресторанов "Макдональдс" по информированию общественности включал такую меру, как использование салфеток на подносах для еды с информацией для лиц, испытывающих насилие в семье, и о способах получения помощи.</w:t>
      </w:r>
    </w:p>
    <w:p w:rsidR="00000000" w:rsidRDefault="00000000">
      <w:pPr>
        <w:pStyle w:val="BodyText"/>
        <w:spacing w:after="120"/>
      </w:pPr>
      <w:r>
        <w:t>582.</w:t>
      </w:r>
      <w:r>
        <w:tab/>
        <w:t>В 2001 году организация "Партнерство против насилия в семье – подход со стороны предпринимателей" начала кампанию распространения на рабочих местах информации о проблеме насилия в семье. Ее цель заключается в том, чтобы привлечь внимание работодателей к экономическим и социальным издержкам, связанным с насилием в семье. Недавние инициативы включают распространение информационного пакета для работодателей и формирование "мозгового центра" в целях информирования работодателей и поощрения их к проведению на рабочих местах мероприятий, направленных против насилия в семье.</w:t>
      </w:r>
    </w:p>
    <w:p w:rsidR="00000000" w:rsidRDefault="00000000">
      <w:pPr>
        <w:pStyle w:val="1-1"/>
        <w:spacing w:before="0"/>
      </w:pPr>
      <w:bookmarkStart w:id="696" w:name="_Toc43102947"/>
      <w:bookmarkStart w:id="697" w:name="_Toc43106057"/>
      <w:bookmarkStart w:id="698" w:name="_Toc43106343"/>
      <w:bookmarkStart w:id="699" w:name="_Toc43106915"/>
      <w:bookmarkStart w:id="700" w:name="_Toc43107201"/>
      <w:bookmarkStart w:id="701" w:name="_Toc43107487"/>
      <w:bookmarkStart w:id="702" w:name="_Toc43107773"/>
      <w:bookmarkStart w:id="703" w:name="_Toc43263572"/>
      <w:bookmarkStart w:id="704" w:name="_Toc43263767"/>
      <w:bookmarkStart w:id="705" w:name="_Toc43538684"/>
      <w:bookmarkStart w:id="706" w:name="_Toc45342810"/>
      <w:r>
        <w:t>Национальная целевая группа по обеспечению безопасности женщин</w:t>
      </w:r>
      <w:bookmarkEnd w:id="696"/>
      <w:bookmarkEnd w:id="697"/>
      <w:bookmarkEnd w:id="698"/>
      <w:bookmarkEnd w:id="699"/>
      <w:bookmarkEnd w:id="700"/>
      <w:bookmarkEnd w:id="701"/>
      <w:bookmarkEnd w:id="702"/>
      <w:bookmarkEnd w:id="703"/>
      <w:bookmarkEnd w:id="704"/>
      <w:bookmarkEnd w:id="705"/>
      <w:bookmarkEnd w:id="706"/>
    </w:p>
    <w:p w:rsidR="00000000" w:rsidRDefault="00000000">
      <w:pPr>
        <w:pStyle w:val="BodyText"/>
        <w:spacing w:after="120"/>
        <w:rPr>
          <w:snapToGrid w:val="0"/>
          <w:lang w:eastAsia="en-US"/>
        </w:rPr>
      </w:pPr>
      <w:r>
        <w:rPr>
          <w:snapToGrid w:val="0"/>
          <w:lang w:eastAsia="en-US"/>
        </w:rPr>
        <w:t>583.</w:t>
      </w:r>
      <w:r>
        <w:rPr>
          <w:snapToGrid w:val="0"/>
          <w:lang w:eastAsia="en-US"/>
        </w:rPr>
        <w:tab/>
        <w:t>В июне 2002 года министерским советом была создана Национальная целевая группа по обеспечению безопасности женщин для рассмотрения проблем сексуального насилия, бытового насилия и насилия в отдельных семьях. Перед группой были поставлены задачи: определить возможности стратегического сотрудничества между всеми юрисдикциями в целях распространения знаний и разработки наилучшей практики; содействовать обмену знаниями и распространению информации по предотвращению сексуального насилия, бытового насилия и насилия в отдельных семьях и противодействию этим явлениям; разработать систему мер, призванных облегчить и поддержать проведение совместных мероприятий и реализацию инициатив; и ежегодно докладывать через министерский совет главам правительств о положении женщин.</w:t>
      </w:r>
    </w:p>
    <w:p w:rsidR="00000000" w:rsidRDefault="00000000">
      <w:pPr>
        <w:pStyle w:val="1-1"/>
      </w:pPr>
      <w:bookmarkStart w:id="707" w:name="_Toc43102948"/>
      <w:bookmarkStart w:id="708" w:name="_Toc43106058"/>
      <w:bookmarkStart w:id="709" w:name="_Toc43106344"/>
      <w:bookmarkStart w:id="710" w:name="_Toc43106916"/>
      <w:bookmarkStart w:id="711" w:name="_Toc43107202"/>
      <w:bookmarkStart w:id="712" w:name="_Toc43107488"/>
      <w:bookmarkStart w:id="713" w:name="_Toc43107774"/>
      <w:bookmarkStart w:id="714" w:name="_Toc43263573"/>
      <w:bookmarkStart w:id="715" w:name="_Toc43263768"/>
      <w:bookmarkStart w:id="716" w:name="_Toc43538685"/>
      <w:bookmarkStart w:id="717" w:name="_Toc45342811"/>
      <w:r>
        <w:t>Министерский совет по делам аборигенов и жителей островов Торресова</w:t>
      </w:r>
      <w:bookmarkEnd w:id="707"/>
      <w:bookmarkEnd w:id="708"/>
      <w:bookmarkEnd w:id="709"/>
      <w:bookmarkEnd w:id="710"/>
      <w:bookmarkEnd w:id="711"/>
      <w:bookmarkEnd w:id="712"/>
      <w:bookmarkEnd w:id="713"/>
      <w:bookmarkEnd w:id="714"/>
      <w:bookmarkEnd w:id="715"/>
      <w:bookmarkEnd w:id="716"/>
      <w:bookmarkEnd w:id="717"/>
      <w:r>
        <w:t xml:space="preserve"> пролива</w:t>
      </w:r>
    </w:p>
    <w:p w:rsidR="00000000" w:rsidRDefault="00000000">
      <w:pPr>
        <w:pStyle w:val="BodyText"/>
        <w:spacing w:after="120"/>
      </w:pPr>
      <w:r>
        <w:t>584.</w:t>
      </w:r>
      <w:r>
        <w:tab/>
        <w:t>Правительство работает с правительствами штатов и территорий над проблемой насилия в семье среди коренного населения через министерский совет по делам аборигенов и жителей островов Торресова пролива. См. доклад Австралии об осуществлении Конвенции о ликвидации всех форм расовой дискриминации.</w:t>
      </w:r>
    </w:p>
    <w:p w:rsidR="00000000" w:rsidRDefault="00000000">
      <w:pPr>
        <w:pStyle w:val="1-1"/>
      </w:pPr>
      <w:bookmarkStart w:id="718" w:name="_Toc43102949"/>
      <w:bookmarkStart w:id="719" w:name="_Toc43106059"/>
      <w:bookmarkStart w:id="720" w:name="_Toc43106345"/>
      <w:bookmarkStart w:id="721" w:name="_Toc43106917"/>
      <w:bookmarkStart w:id="722" w:name="_Toc43107203"/>
      <w:bookmarkStart w:id="723" w:name="_Toc43107489"/>
      <w:bookmarkStart w:id="724" w:name="_Toc43107775"/>
      <w:bookmarkStart w:id="725" w:name="_Toc43263574"/>
      <w:bookmarkStart w:id="726" w:name="_Toc43263769"/>
      <w:bookmarkStart w:id="727" w:name="_Toc43538686"/>
      <w:bookmarkStart w:id="728" w:name="_Toc45342812"/>
      <w:r>
        <w:t>Выплаты</w:t>
      </w:r>
      <w:bookmarkEnd w:id="718"/>
      <w:bookmarkEnd w:id="719"/>
      <w:bookmarkEnd w:id="720"/>
      <w:bookmarkEnd w:id="721"/>
      <w:bookmarkEnd w:id="722"/>
      <w:bookmarkEnd w:id="723"/>
      <w:bookmarkEnd w:id="724"/>
      <w:bookmarkEnd w:id="725"/>
      <w:bookmarkEnd w:id="726"/>
      <w:bookmarkEnd w:id="727"/>
      <w:bookmarkEnd w:id="728"/>
      <w:r>
        <w:t xml:space="preserve"> в кризисных ситуациях</w:t>
      </w:r>
    </w:p>
    <w:p w:rsidR="00000000" w:rsidRDefault="00000000">
      <w:pPr>
        <w:pStyle w:val="BodyText"/>
      </w:pPr>
      <w:r>
        <w:t>585.</w:t>
      </w:r>
      <w:r>
        <w:tab/>
        <w:t>С 1 июля 1999 года правительство учредило одноразовые выплаты через систему социального обеспечения для оказания помощи тем, кто оказался в кризисной ситуации и испытывает финансовые трудности. В частности, выплаты предназначены для оказания помощи женщинам, которые были вынуждены покинуть свои места проживания и переехать на новое место жительства из-за насилия в семье.</w:t>
      </w:r>
    </w:p>
    <w:p w:rsidR="00000000" w:rsidRDefault="00000000">
      <w:pPr>
        <w:pStyle w:val="1-1"/>
        <w:spacing w:before="120"/>
      </w:pPr>
      <w:bookmarkStart w:id="729" w:name="_Toc43102950"/>
      <w:bookmarkStart w:id="730" w:name="_Toc43106060"/>
      <w:bookmarkStart w:id="731" w:name="_Toc43106346"/>
      <w:bookmarkStart w:id="732" w:name="_Toc43106918"/>
      <w:bookmarkStart w:id="733" w:name="_Toc43107204"/>
      <w:bookmarkStart w:id="734" w:name="_Toc43107490"/>
      <w:bookmarkStart w:id="735" w:name="_Toc43107776"/>
      <w:bookmarkStart w:id="736" w:name="_Toc43263575"/>
      <w:bookmarkStart w:id="737" w:name="_Toc43263770"/>
      <w:bookmarkStart w:id="738" w:name="_Toc43538687"/>
      <w:bookmarkStart w:id="739" w:name="_Toc45342813"/>
      <w:r>
        <w:t>Австралийский институт криминологии</w:t>
      </w:r>
      <w:bookmarkEnd w:id="729"/>
      <w:bookmarkEnd w:id="730"/>
      <w:bookmarkEnd w:id="731"/>
      <w:bookmarkEnd w:id="732"/>
      <w:bookmarkEnd w:id="733"/>
      <w:bookmarkEnd w:id="734"/>
      <w:bookmarkEnd w:id="735"/>
      <w:bookmarkEnd w:id="736"/>
      <w:bookmarkEnd w:id="737"/>
      <w:bookmarkEnd w:id="738"/>
      <w:bookmarkEnd w:id="739"/>
    </w:p>
    <w:p w:rsidR="00000000" w:rsidRDefault="00000000">
      <w:pPr>
        <w:pStyle w:val="BodyText"/>
      </w:pPr>
      <w:r>
        <w:t>586.</w:t>
      </w:r>
      <w:r>
        <w:tab/>
        <w:t>Правительство поручило Австралийскому институту криминологии (АИК) провести исследование о лицах, демонстрирующих признаки агрессивного поведения. В апреле 1997 года институт опубликовал доклад под названием "Индикаторы агрессивного поведения"</w:t>
      </w:r>
      <w:r>
        <w:rPr>
          <w:i/>
        </w:rPr>
        <w:t>.</w:t>
      </w:r>
      <w:r>
        <w:t xml:space="preserve"> В нем изучены пути оказания помощи тем, кто исходя из представленных описаний входит в группы риска.</w:t>
      </w:r>
    </w:p>
    <w:p w:rsidR="00000000" w:rsidRDefault="00000000">
      <w:pPr>
        <w:pStyle w:val="1-1"/>
      </w:pPr>
      <w:bookmarkStart w:id="740" w:name="_Toc43102951"/>
      <w:bookmarkStart w:id="741" w:name="_Toc43106061"/>
      <w:bookmarkStart w:id="742" w:name="_Toc43106347"/>
      <w:bookmarkStart w:id="743" w:name="_Toc43106919"/>
      <w:bookmarkStart w:id="744" w:name="_Toc43107205"/>
      <w:bookmarkStart w:id="745" w:name="_Toc43107491"/>
      <w:bookmarkStart w:id="746" w:name="_Toc43107777"/>
      <w:bookmarkStart w:id="747" w:name="_Toc43263576"/>
      <w:bookmarkStart w:id="748" w:name="_Toc43263771"/>
      <w:bookmarkStart w:id="749" w:name="_Toc43538688"/>
      <w:bookmarkStart w:id="750" w:name="_Toc45342814"/>
      <w:r>
        <w:t>Модели уголовного кодекс</w:t>
      </w:r>
      <w:bookmarkEnd w:id="740"/>
      <w:bookmarkEnd w:id="741"/>
      <w:bookmarkEnd w:id="742"/>
      <w:bookmarkEnd w:id="743"/>
      <w:bookmarkEnd w:id="744"/>
      <w:bookmarkEnd w:id="745"/>
      <w:bookmarkEnd w:id="746"/>
      <w:bookmarkEnd w:id="747"/>
      <w:bookmarkEnd w:id="748"/>
      <w:bookmarkEnd w:id="749"/>
      <w:bookmarkEnd w:id="750"/>
      <w:r>
        <w:t>а</w:t>
      </w:r>
    </w:p>
    <w:p w:rsidR="00000000" w:rsidRDefault="00000000">
      <w:pPr>
        <w:pStyle w:val="BodyText"/>
      </w:pPr>
      <w:r>
        <w:t>587.</w:t>
      </w:r>
      <w:r>
        <w:tab/>
        <w:t xml:space="preserve">Правительство определило сексуальное насилие, насилие в семье, рабство и сексуальное рабство в числе приоритетных статей моделей уголовного кодекса для австралийских юрисдикций, основанного на применении наилучшей практики. Информацию по имеющим важное значение моделям уголовного кодекса в областях, касающихся женщин, см. </w:t>
      </w:r>
      <w:r>
        <w:rPr>
          <w:snapToGrid w:val="0"/>
          <w:lang w:eastAsia="en-US"/>
        </w:rPr>
        <w:t xml:space="preserve">документ </w:t>
      </w:r>
      <w:r>
        <w:t>"</w:t>
      </w:r>
      <w:r>
        <w:rPr>
          <w:snapToGrid w:val="0"/>
          <w:lang w:eastAsia="en-US"/>
        </w:rPr>
        <w:t xml:space="preserve">Выполнение Австралией </w:t>
      </w:r>
      <w:r>
        <w:t>Пекинской платформы действий" (2000 год).</w:t>
      </w:r>
    </w:p>
    <w:p w:rsidR="00000000" w:rsidRDefault="00000000">
      <w:pPr>
        <w:pStyle w:val="BodyText"/>
      </w:pPr>
      <w:r>
        <w:t>588.</w:t>
      </w:r>
      <w:r>
        <w:tab/>
        <w:t>В последнее время общество начало осознавать всю серьезность проблемы "преследований", а именно домогательств, угроз и запугивания путем многократного совершения различного рода запугивающих действий. С распространением интернета и связанных с ним технологий появились опасения, что они могут использоваться "сталкерами". В докладе по модели уголовного кодекса "Нанесение ущерба и компьютерные правонарушения" определяются общие правонарушения, связанные с злоупотреблениями компьютерами и незаконным доступом к компьютерным данным. Такие правонарушения включают незаконный доступ с намерением совершения серьезного преступления. Потенциальный "сталкер", который злоупотребляет компьютерными системами и данными с целью преследования другого лица, обладает широкими возможностями получения конфиденциальных данных, касающихся избранной им жертвы. Данные законы послужат дополнением к уже существующим законам против "сталкеров".</w:t>
      </w:r>
    </w:p>
    <w:p w:rsidR="00000000" w:rsidRDefault="00000000">
      <w:pPr>
        <w:pStyle w:val="1-1"/>
      </w:pPr>
      <w:bookmarkStart w:id="751" w:name="_Toc43102952"/>
      <w:bookmarkStart w:id="752" w:name="_Toc43106062"/>
      <w:bookmarkStart w:id="753" w:name="_Toc43106348"/>
      <w:bookmarkStart w:id="754" w:name="_Toc43106920"/>
      <w:bookmarkStart w:id="755" w:name="_Toc43107206"/>
      <w:bookmarkStart w:id="756" w:name="_Toc43107492"/>
      <w:bookmarkStart w:id="757" w:name="_Toc43107778"/>
      <w:bookmarkStart w:id="758" w:name="_Toc43263577"/>
      <w:bookmarkStart w:id="759" w:name="_Toc43263772"/>
      <w:bookmarkStart w:id="760" w:name="_Toc43538689"/>
      <w:bookmarkStart w:id="761" w:name="_Toc45342815"/>
      <w:r>
        <w:t>ДНК – сексуальные преступления</w:t>
      </w:r>
      <w:bookmarkEnd w:id="751"/>
      <w:bookmarkEnd w:id="752"/>
      <w:bookmarkEnd w:id="753"/>
      <w:bookmarkEnd w:id="754"/>
      <w:bookmarkEnd w:id="755"/>
      <w:bookmarkEnd w:id="756"/>
      <w:bookmarkEnd w:id="757"/>
      <w:bookmarkEnd w:id="758"/>
      <w:bookmarkEnd w:id="759"/>
      <w:bookmarkEnd w:id="760"/>
      <w:bookmarkEnd w:id="761"/>
    </w:p>
    <w:p w:rsidR="00000000" w:rsidRDefault="00000000">
      <w:pPr>
        <w:pStyle w:val="BodyText"/>
      </w:pPr>
      <w:r>
        <w:t>589.</w:t>
      </w:r>
      <w:r>
        <w:tab/>
        <w:t>Последние достижения в области ДНК-технологий дают широкие возможности по улучшению раскрываемости и предотвращению особо тяжких преступлений, связанных с насилием, включая изнасилование. Для определения профиля ДНК в настоящее время может анализироваться значительно более широкий диапазон мельчайших проб, в том числе проб слюны и спермы. Такие пробы отбираются у жертв изнасилований и сексуального насилия. В рамках своей инициативы по созданию правоохранительной национальной базы данных ДНК правительство выделило 50 млн. долларов Эта база данных призвана помочь в борьбе с преступлениями против женщин. Как федеральное правительство, так и почти все правительства штатов и территорий приняли законы, наделяющие полицию повсюду в Австралии правом брать образцы ДНК у известных серьезных правонарушителей и у тех, кто подозревается в совершении тяжких преступлений, а также хранить информацию о ДНК в национальной базе данных. Профили будут доступны для сравнения с образцами, полученными на месте совершения преступления. Это должно послужить сильным сдерживающим фактором против повторных преступлений и помочь в расследовании случаев изнасилования.</w:t>
      </w:r>
    </w:p>
    <w:p w:rsidR="00000000" w:rsidRDefault="00000000">
      <w:pPr>
        <w:pStyle w:val="Article-ref"/>
      </w:pPr>
      <w:bookmarkStart w:id="762" w:name="_Toc43102953"/>
      <w:bookmarkStart w:id="763" w:name="_Toc43106063"/>
      <w:bookmarkStart w:id="764" w:name="_Toc43106349"/>
      <w:bookmarkStart w:id="765" w:name="_Toc43106921"/>
      <w:bookmarkStart w:id="766" w:name="_Toc43107207"/>
      <w:bookmarkStart w:id="767" w:name="_Toc43107493"/>
      <w:bookmarkStart w:id="768" w:name="_Toc43107779"/>
      <w:bookmarkStart w:id="769" w:name="_Toc43263578"/>
      <w:bookmarkStart w:id="770" w:name="_Toc43263773"/>
      <w:bookmarkStart w:id="771" w:name="_Toc43263976"/>
      <w:bookmarkStart w:id="772" w:name="_Toc43264059"/>
      <w:bookmarkStart w:id="773" w:name="_Toc43538690"/>
      <w:bookmarkStart w:id="774" w:name="_Toc43538737"/>
      <w:bookmarkStart w:id="775" w:name="_Toc43538832"/>
      <w:bookmarkStart w:id="776" w:name="_Toc44236171"/>
      <w:bookmarkStart w:id="777" w:name="_Toc45342816"/>
      <w:bookmarkStart w:id="778" w:name="_Toc45342864"/>
      <w:bookmarkStart w:id="779" w:name="_Toc45342912"/>
      <w:bookmarkStart w:id="780" w:name="_Toc45440564"/>
      <w:bookmarkStart w:id="781" w:name="_Toc45441031"/>
      <w:bookmarkStart w:id="782" w:name="_Toc46135947"/>
      <w:bookmarkStart w:id="783" w:name="_Toc46136192"/>
      <w:bookmarkStart w:id="784" w:name="_Toc52938315"/>
      <w:bookmarkStart w:id="785" w:name="_Toc58225435"/>
      <w:bookmarkStart w:id="786" w:name="_Toc70143050"/>
      <w:bookmarkStart w:id="787" w:name="_Toc70228777"/>
      <w:bookmarkStart w:id="788" w:name="_Toc70229178"/>
      <w:bookmarkStart w:id="789" w:name="_Toc70235444"/>
      <w:r>
        <w:t>ИНИЦИАТИВЫ ШТАТОВ И ТЕРРИТОРИЙ</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rsidR="00000000" w:rsidRDefault="00000000">
      <w:pPr>
        <w:pStyle w:val="Heading2"/>
      </w:pPr>
      <w:bookmarkStart w:id="790" w:name="_Toc70143051"/>
      <w:bookmarkStart w:id="791" w:name="_Toc70228778"/>
      <w:bookmarkStart w:id="792" w:name="_Toc70229179"/>
      <w:bookmarkStart w:id="793" w:name="_Toc70235445"/>
      <w:r>
        <w:t>АВСТРАЛИЙСКАЯ СТОЛИЧНАЯ ТЕРРИТОРИЯ</w:t>
      </w:r>
      <w:bookmarkEnd w:id="790"/>
      <w:bookmarkEnd w:id="791"/>
      <w:bookmarkEnd w:id="792"/>
      <w:bookmarkEnd w:id="793"/>
    </w:p>
    <w:p w:rsidR="00000000" w:rsidRDefault="00000000">
      <w:pPr>
        <w:pStyle w:val="BodyText"/>
      </w:pPr>
      <w:r>
        <w:t>590.</w:t>
      </w:r>
      <w:r>
        <w:tab/>
        <w:t>Специальные законодательные акты для защиты жертв насилия в семье действуют с 1986 года. Законодательные реформы, призванные обеспечить бóльшую защиту жертвам насилия, включают следующие положения: автоматическое изъятие или приостановление действия лицензии на огнестрельное оружие в случае издания охранного судебного приказа или временного охранного судебного приказа, что позволяет сотрудникам полиции изымать в таких случаях лицензию на огнестрельное оружие и боеприпасы; освобождение под залог лица, обвиненного в совершении правонарушения, связанного с насилием в семье, допускается лишь в случаях, когда обвиняемое лицо не представляет существенной угрозы для безопасности потерпевшего лица или связанного с ним лица; отмена всех оговорок, которые могли включаться в охранные судебные приказы, и обеспечение возможности получить охранный приказ в любое время, даже тогда, когда суд не заседает.</w:t>
      </w:r>
    </w:p>
    <w:p w:rsidR="00000000" w:rsidRDefault="00000000">
      <w:pPr>
        <w:pStyle w:val="BodyText"/>
      </w:pPr>
      <w:r>
        <w:t>591.</w:t>
      </w:r>
      <w:r>
        <w:tab/>
        <w:t>Совет по предотвращению насилия в семье дает консультации для выработки политики и программ по проблемам такого насилия. В Совете представлены как правительственный, так и неправительственный секторы, и он направляет отчеты генеральному прокурору Австралийской столичной территории.</w:t>
      </w:r>
    </w:p>
    <w:p w:rsidR="00000000" w:rsidRDefault="00000000">
      <w:pPr>
        <w:pStyle w:val="BodyText"/>
        <w:rPr>
          <w:snapToGrid w:val="0"/>
          <w:lang w:eastAsia="en-US"/>
        </w:rPr>
      </w:pPr>
      <w:r>
        <w:rPr>
          <w:snapToGrid w:val="0"/>
          <w:lang w:eastAsia="en-US"/>
        </w:rPr>
        <w:t>592.</w:t>
      </w:r>
      <w:r>
        <w:rPr>
          <w:snapToGrid w:val="0"/>
          <w:lang w:eastAsia="en-US"/>
        </w:rPr>
        <w:tab/>
        <w:t>Программа вмешательства в случае насилия в семье</w:t>
      </w:r>
      <w:r>
        <w:rPr>
          <w:i/>
          <w:snapToGrid w:val="0"/>
          <w:lang w:eastAsia="en-US"/>
        </w:rPr>
        <w:t xml:space="preserve">, </w:t>
      </w:r>
      <w:r>
        <w:rPr>
          <w:snapToGrid w:val="0"/>
          <w:lang w:eastAsia="en-US"/>
        </w:rPr>
        <w:t xml:space="preserve">координирующая совместные действия общественности и системы уголовного судопроизводства в ответ на проявления насилия в семье, финансировалась в период с 1998 по 2001 год правительством Союза в рамках ПБНС, а затем – правительством АСТ. В программе участвуют как государственные учреждения, так и неправительственные организации, и цель ее – достичь максимальной безопасности и защиты потерпевших и предусмотреть как ответственность, так и возможности реабилитации для правонарушителя. В числе ключевых инициатив – специальная подготовка полицейских; назначение специализирующихся по делам насилия в семье обвинителей и судей; ведение в магистратном суде отдельного списка дел по насилию в семье; обмен документацией между соответствующими учреждениями по вопросам политики и судопроизводства в связи с насилием в семье; обязательная образовательная программа для лиц, совершивших правонарушения. Программа привела к заметному улучшению в деятельности полиции и процедурах уголовного преследования; применение более скоординированных подходов с учетом последующих мер, в частности, в отношении безопасности потерпевших; существенному увеличению числа дел о насилии в семье, заканчивающихся на раннем этапе признанием правонарушителем своей вины (что способствует меньшему травмированию потерпевших); и к большей эффективности и последовательности в судебных разбирательствах по делам о насилии в семье. </w:t>
      </w:r>
    </w:p>
    <w:p w:rsidR="00000000" w:rsidRDefault="00000000">
      <w:pPr>
        <w:pStyle w:val="BodyText"/>
      </w:pPr>
      <w:r>
        <w:t>593.</w:t>
      </w:r>
      <w:r>
        <w:tab/>
        <w:t>Проект "Предотвращение насилия в отношении женщин-инвалидов"</w:t>
      </w:r>
      <w:r>
        <w:rPr>
          <w:i/>
        </w:rPr>
        <w:t xml:space="preserve"> </w:t>
      </w:r>
      <w:r>
        <w:t>стал одним из четырех национальных победителей при присуждении премий за проекты по предотвращению насилия в 1999 году. Этот проект был разработан в ответ на инициативу австралийского общества женщин-инвалидов, определивших свои потребности, и тем самым вложивших свой вклад в виде специальной информации в разработку и осуществление проекта.</w:t>
      </w:r>
    </w:p>
    <w:p w:rsidR="00000000" w:rsidRDefault="00000000">
      <w:pPr>
        <w:pStyle w:val="Heading2"/>
      </w:pPr>
      <w:bookmarkStart w:id="794" w:name="_Toc43102955"/>
      <w:bookmarkStart w:id="795" w:name="_Toc43106065"/>
      <w:bookmarkStart w:id="796" w:name="_Toc43106351"/>
      <w:bookmarkStart w:id="797" w:name="_Toc43106923"/>
      <w:bookmarkStart w:id="798" w:name="_Toc43107209"/>
      <w:bookmarkStart w:id="799" w:name="_Toc43107495"/>
      <w:bookmarkStart w:id="800" w:name="_Toc43107781"/>
      <w:bookmarkStart w:id="801" w:name="_Toc70143052"/>
      <w:bookmarkStart w:id="802" w:name="_Toc70228779"/>
      <w:bookmarkStart w:id="803" w:name="_Toc70229180"/>
      <w:bookmarkStart w:id="804" w:name="_Toc70235446"/>
      <w:r>
        <w:t>НОВЫЙ ЮЖНЫЙ УЭЛЬС</w:t>
      </w:r>
      <w:bookmarkEnd w:id="794"/>
      <w:bookmarkEnd w:id="795"/>
      <w:bookmarkEnd w:id="796"/>
      <w:bookmarkEnd w:id="797"/>
      <w:bookmarkEnd w:id="798"/>
      <w:bookmarkEnd w:id="799"/>
      <w:bookmarkEnd w:id="800"/>
      <w:bookmarkEnd w:id="801"/>
      <w:bookmarkEnd w:id="802"/>
      <w:bookmarkEnd w:id="803"/>
      <w:bookmarkEnd w:id="804"/>
    </w:p>
    <w:p w:rsidR="00000000" w:rsidRDefault="00000000">
      <w:pPr>
        <w:pStyle w:val="BodyText"/>
      </w:pPr>
      <w:r>
        <w:t>594.</w:t>
      </w:r>
      <w:r>
        <w:tab/>
        <w:t>Правительство осуществляет на территории всего штата политику сокращения насилия в отношении женщин</w:t>
      </w:r>
      <w:r>
        <w:rPr>
          <w:i/>
        </w:rPr>
        <w:t>,</w:t>
      </w:r>
      <w:r>
        <w:t xml:space="preserve"> направленную на разработку и распространение превентивных стратегий и улучшение доступа к соответствующим услугам. В рамках этой политики используются региональное партнерство, превентивный подход и дается широкое определение понятия насилия. Другие меры включают: совершенствование закона и процедур, касающихся выдачи ордеров на задержание виновного в совершении акта насилия; инициативу "Возможности для обучения в духе ненасилия" (1996 год), касающуюся таких действий, как запугивание и преследование, насилие в семье, сексуальное насилие, разрешение конфликтов и насилие в отношении гомосексуальных пар; "Общинный фонд помощи",</w:t>
      </w:r>
      <w:r>
        <w:rPr>
          <w:i/>
        </w:rPr>
        <w:t xml:space="preserve"> </w:t>
      </w:r>
      <w:r>
        <w:t>предоставляющий гранты для оказания помощи женщинам, ставшим жертвами насилия; Программу судебной помощи женщинам – жертвам насилия в семье, предусматривающую поддержку, юридическое представительство, обеспечение информации, передачу дел из местных судов в другую инстанцию; подготовку работников здравоохранения и общинных служащих по вопросам жестокого обращения с пожилыми людьми, инвалидами и лицами, осуществляющими за ними уход; и службу Нового Южного Уэльса по оказанию помощи свидетелям, имеющую профессиональный персонал в составе 14 человек для оказания помощи потерпевшим и свидетелям обвинения (в составе службы есть работник из числа коренного населения, в задачи которого входит способствовать большей информированности в вопросах культуры и заниматься потребностями потерпевших/свидетелей из числа коренного населения, в частности, вопросами насилия в семье).</w:t>
      </w:r>
    </w:p>
    <w:p w:rsidR="00000000" w:rsidRDefault="00000000">
      <w:pPr>
        <w:pStyle w:val="BodyText"/>
        <w:spacing w:after="0"/>
      </w:pPr>
      <w:r>
        <w:t>595.</w:t>
      </w:r>
      <w:r>
        <w:tab/>
        <w:t>Правительство взяло на себя обязательство продолжать осуществление Стратегии Нового Южного Уэльса по сокращению насилия в отношении женщин.</w:t>
      </w:r>
      <w:r>
        <w:rPr>
          <w:i/>
        </w:rPr>
        <w:t xml:space="preserve"> </w:t>
      </w:r>
      <w:r>
        <w:t>Схема предоставляет женщинам, подвергающимся насилию в семье, возможности более эффективно использовать судебную систему. Предусмотрена постоянная работа по предотвращению жестокого обращения с пожилыми людьми, инвалидами и лицами, осуществляющими за ними уход, а также по осуществлению ответных мер в связи с такими действиями, включая использование полицейских материалов для предотвращения насилия и агрессивных проявлений при оказании услуг инвалидам.</w:t>
      </w:r>
    </w:p>
    <w:p w:rsidR="00000000" w:rsidRDefault="00000000">
      <w:pPr>
        <w:pStyle w:val="Heading2"/>
      </w:pPr>
      <w:bookmarkStart w:id="805" w:name="_Toc43102956"/>
      <w:bookmarkStart w:id="806" w:name="_Toc43106066"/>
      <w:bookmarkStart w:id="807" w:name="_Toc43106352"/>
      <w:bookmarkStart w:id="808" w:name="_Toc43106924"/>
      <w:bookmarkStart w:id="809" w:name="_Toc43107210"/>
      <w:bookmarkStart w:id="810" w:name="_Toc43107496"/>
      <w:bookmarkStart w:id="811" w:name="_Toc43107782"/>
      <w:bookmarkStart w:id="812" w:name="_Toc70143053"/>
      <w:bookmarkStart w:id="813" w:name="_Toc70228780"/>
      <w:bookmarkStart w:id="814" w:name="_Toc70229181"/>
      <w:bookmarkStart w:id="815" w:name="_Toc70235447"/>
      <w:r>
        <w:t>СЕВЕРНАЯ ТЕРРИТОРИЯ</w:t>
      </w:r>
      <w:bookmarkEnd w:id="805"/>
      <w:bookmarkEnd w:id="806"/>
      <w:bookmarkEnd w:id="807"/>
      <w:bookmarkEnd w:id="808"/>
      <w:bookmarkEnd w:id="809"/>
      <w:bookmarkEnd w:id="810"/>
      <w:bookmarkEnd w:id="811"/>
      <w:bookmarkEnd w:id="812"/>
      <w:bookmarkEnd w:id="813"/>
      <w:bookmarkEnd w:id="814"/>
      <w:bookmarkEnd w:id="815"/>
    </w:p>
    <w:p w:rsidR="00000000" w:rsidRDefault="00000000">
      <w:pPr>
        <w:pStyle w:val="BodyText"/>
      </w:pPr>
      <w:r>
        <w:t>596.</w:t>
      </w:r>
      <w:r>
        <w:tab/>
        <w:t>Правительство имеет надежную основу для проведения политики предупреждения преступности, включающую стратегию против насилия в семье и стратегию против насилия в семье среди аборигенов</w:t>
      </w:r>
      <w:r>
        <w:rPr>
          <w:i/>
        </w:rPr>
        <w:t xml:space="preserve">. </w:t>
      </w:r>
      <w:r>
        <w:t>Правительство выступило инициатором пересмотра этих стратегий в сторону их усиления. В 2002 году были выделены средства (1,08 млн. долларов) на специальные программы, среди которых: правовые службы в Дарвине и Алис-Спрингсе; консультанты по вопросам насилия в семье и сексуального насилия в региональных зонах; общинные образовательные кампании по проблеме насилия в семье; и осуществление стратегии против насилия в семье среди аборигенов.</w:t>
      </w:r>
      <w:r>
        <w:rPr>
          <w:i/>
        </w:rPr>
        <w:t xml:space="preserve"> </w:t>
      </w:r>
      <w:r>
        <w:t>Государственные учреждения вносят дополнительно около 3 млн. долларов на инициативы, способствующие осуществлению целей стратегии, в частности, создание полицейских подразделений по борьбе с насилием в семье, действия в кризисных ситуациях, безопасные дома и комнаты, ночное патрулирование и подготовку работников в этой области.</w:t>
      </w:r>
    </w:p>
    <w:p w:rsidR="00000000" w:rsidRDefault="00000000">
      <w:pPr>
        <w:pStyle w:val="BodyText"/>
      </w:pPr>
      <w:r>
        <w:t>597.</w:t>
      </w:r>
      <w:r>
        <w:tab/>
        <w:t>Среди основных инициатив по борьбе с преступностью, в особенности затрагивающей женщин, можно назвать следующие: пилотная, образовательная программа, ориентированная на лиц из числа коренного населения, совершающих насилие в семье, и на их семьи; кризисная "чат лайн" для оказания поддержки и предоставления информации по вопросам насилия среди молодежи, бытового насилия, насилия в семье и сексуального насилия; расширение сферы охвата программ по борьбе с насилием в семье и сексуальным насилием и включение в них находящихся в исправительных лагерях и центрах содержания под стражей несовершеннолетних правонарушителей; расширение и усиление законодательных положений, касающихся запретительных судебных приказов в рамках Закона о насилии в семье</w:t>
      </w:r>
      <w:r>
        <w:rPr>
          <w:i/>
        </w:rPr>
        <w:t xml:space="preserve">, </w:t>
      </w:r>
      <w:r>
        <w:t>в частности, предоставление старшим сотрудникам полиции прав</w:t>
      </w:r>
      <w:r>
        <w:rPr>
          <w:i/>
        </w:rPr>
        <w:t xml:space="preserve"> </w:t>
      </w:r>
      <w:r>
        <w:t>издавать или</w:t>
      </w:r>
      <w:r>
        <w:rPr>
          <w:i/>
        </w:rPr>
        <w:t xml:space="preserve"> </w:t>
      </w:r>
      <w:r>
        <w:t>запрашивать временные запретительные приказы; кампании в средствах массовой информации, направленные на изменение поведенческих моделей; практика обмена документами и протоколами между сотрудниками полиции, здравоохранения и членами общинных советов; проекты по сбору данных о насилии в семье и сексуальном насилии; и расширение возможностей предоставления коммунального жилья для жертв бытового насилия и насилия в семье. Программам, осуществляемым в рамках стратегии против насилия в семье, были присуждены национальные премии.</w:t>
      </w:r>
    </w:p>
    <w:p w:rsidR="00000000" w:rsidRDefault="00000000">
      <w:pPr>
        <w:pStyle w:val="BodyText"/>
        <w:spacing w:after="120"/>
      </w:pPr>
      <w:r>
        <w:t>598.</w:t>
      </w:r>
      <w:r>
        <w:tab/>
        <w:t xml:space="preserve">Группа информации по насилию в семье среди коренного населения подготовила для правительства исследование по вопросам злоупотребления психотропными веществами, в котором особое внимание уделялось проблемам женщин из числа коренного населения, воздействию насилия на отдельных лиц, семьи и общины, а также взаимосвязи между злоупотреблением наркотиками, здоровьем и благополучием. Исследование будет представлено правительству в 2003 году. </w:t>
      </w:r>
    </w:p>
    <w:p w:rsidR="00000000" w:rsidRDefault="00000000">
      <w:pPr>
        <w:pStyle w:val="BodyText"/>
        <w:spacing w:after="0"/>
      </w:pPr>
      <w:r>
        <w:rPr>
          <w:snapToGrid w:val="0"/>
          <w:lang w:eastAsia="en-US"/>
        </w:rPr>
        <w:t>599.</w:t>
      </w:r>
      <w:r>
        <w:rPr>
          <w:snapToGrid w:val="0"/>
          <w:lang w:eastAsia="en-US"/>
        </w:rPr>
        <w:tab/>
        <w:t xml:space="preserve">Осуществляется также исследование по вопросам сексуального насилия с целью представить правительству рекомендации относительно выработки в 2002–2003 годах новой стратегии по проблеме сексуального насилия. Проблема роста числа сообщений о случаях сексуального насилия, спровоцированного употреблением наркотиков, рассматривается в программе, которая объединяет государственные учреждения и неправительственные организации с целью разработки общинной образовательной программы для информирования женщин. В рамках этой программы также будут разработаны рекомендации по принятию поправок к нынешнему законодательству с учетом правонарушений, связанных с употреблением спиртных напитков. Молодые женщины в возрасте </w:t>
      </w:r>
      <w:r>
        <w:rPr>
          <w:snapToGrid w:val="0"/>
          <w:lang w:eastAsia="en-US"/>
        </w:rPr>
        <w:br/>
        <w:t>18–30 лет находятся в центре внимания проекта под названием "Сексуальное здоровье молодых женщин", который предоставляет информацию о безопасных сексуальных контактах.</w:t>
      </w:r>
    </w:p>
    <w:p w:rsidR="00000000" w:rsidRDefault="00000000">
      <w:pPr>
        <w:pStyle w:val="Heading2"/>
        <w:spacing w:before="120"/>
      </w:pPr>
      <w:bookmarkStart w:id="816" w:name="_Toc43102957"/>
      <w:bookmarkStart w:id="817" w:name="_Toc43106067"/>
      <w:bookmarkStart w:id="818" w:name="_Toc43106353"/>
      <w:bookmarkStart w:id="819" w:name="_Toc43106925"/>
      <w:bookmarkStart w:id="820" w:name="_Toc43107211"/>
      <w:bookmarkStart w:id="821" w:name="_Toc43107497"/>
      <w:bookmarkStart w:id="822" w:name="_Toc43107783"/>
      <w:bookmarkStart w:id="823" w:name="_Toc70143054"/>
      <w:bookmarkStart w:id="824" w:name="_Toc70228781"/>
      <w:bookmarkStart w:id="825" w:name="_Toc70229182"/>
      <w:bookmarkStart w:id="826" w:name="_Toc70235448"/>
      <w:r>
        <w:t>КВИНСЛЕНД</w:t>
      </w:r>
      <w:bookmarkEnd w:id="816"/>
      <w:bookmarkEnd w:id="817"/>
      <w:bookmarkEnd w:id="818"/>
      <w:bookmarkEnd w:id="819"/>
      <w:bookmarkEnd w:id="820"/>
      <w:bookmarkEnd w:id="821"/>
      <w:bookmarkEnd w:id="822"/>
      <w:bookmarkEnd w:id="823"/>
      <w:bookmarkEnd w:id="824"/>
      <w:bookmarkEnd w:id="825"/>
      <w:bookmarkEnd w:id="826"/>
    </w:p>
    <w:p w:rsidR="00000000" w:rsidRDefault="00000000">
      <w:pPr>
        <w:pStyle w:val="BodyText"/>
        <w:rPr>
          <w:snapToGrid w:val="0"/>
        </w:rPr>
      </w:pPr>
      <w:r>
        <w:rPr>
          <w:snapToGrid w:val="0"/>
        </w:rPr>
        <w:t>600.</w:t>
      </w:r>
      <w:r>
        <w:rPr>
          <w:snapToGrid w:val="0"/>
        </w:rPr>
        <w:tab/>
        <w:t>В течение последних 5 лет правительство занималось целым рядом законодательных инициатив и программ в ответ на необходимость уменьшить число случаев насилия в отношении женщин и детей. В числе этих инициатив следующие:</w:t>
      </w:r>
    </w:p>
    <w:p w:rsidR="00000000" w:rsidRDefault="00000000">
      <w:pPr>
        <w:pStyle w:val="enumlev-2"/>
        <w:rPr>
          <w:snapToGrid w:val="0"/>
        </w:rPr>
      </w:pPr>
      <w:r>
        <w:t>стратегии, являющиеся основой для политики: Безопасность в семьях – более безопасная жизнь в общинах; Стратегия 2002 года по вопросам предоставления убежища жертвам насилия в семье и развития соответствующей службы поддержки; Стратегическая основа и план действий на 2002–2005 годы по координации усилий в борьбе с насилием в отношении женщин; Межведомственные руководства по оказанию помощи взрослым жертвам сексуального насилия;</w:t>
      </w:r>
    </w:p>
    <w:p w:rsidR="00000000" w:rsidRDefault="00000000">
      <w:pPr>
        <w:pStyle w:val="enumlev-2"/>
        <w:rPr>
          <w:snapToGrid w:val="0"/>
        </w:rPr>
      </w:pPr>
      <w:r>
        <w:t>Центр в Квинсленде по предупреждению бытового насилия и насилия в семье: исследования на основе свидетельских показаний, общинное образование и специфика оценок в отношении бытового насилия и насилия в семье;</w:t>
      </w:r>
    </w:p>
    <w:p w:rsidR="00000000" w:rsidRDefault="00000000">
      <w:pPr>
        <w:pStyle w:val="enumlev-2"/>
        <w:rPr>
          <w:snapToGrid w:val="0"/>
        </w:rPr>
      </w:pPr>
      <w:r>
        <w:t>Служба доступа и поддержки для лиц, подвергающихся насилию и насилию в семье: телефонная информационная линия для женщин, оказавшихся в кризисной ситуации, услуги поддержки и помощи, служба информации и поддержки для мужчин и консультационные услуги для трудящихся в изолированных районах;</w:t>
      </w:r>
    </w:p>
    <w:p w:rsidR="00000000" w:rsidRDefault="00000000">
      <w:pPr>
        <w:pStyle w:val="enumlev-2"/>
        <w:rPr>
          <w:snapToGrid w:val="0"/>
        </w:rPr>
      </w:pPr>
      <w:r>
        <w:t>Инициатива по предупреждению жестокого обращения с пожилыми людьми</w:t>
      </w:r>
      <w:r>
        <w:rPr>
          <w:snapToGrid w:val="0"/>
        </w:rPr>
        <w:t>: занимается вопросами жестокого обращения с пожилыми людьми, среди которых 70 процентов составляют женщины;</w:t>
      </w:r>
    </w:p>
    <w:p w:rsidR="00000000" w:rsidRDefault="00000000">
      <w:pPr>
        <w:pStyle w:val="enumlev-2"/>
        <w:rPr>
          <w:snapToGrid w:val="0"/>
        </w:rPr>
      </w:pPr>
      <w:r>
        <w:t>Кейп Йорк – исследование по вопросам правосудия: стратегия, направленная на уменьшение числа случаев нарушений закона, злоупотребления алкоголем и психотропными веществами и на защиту членов общины, в частности, женщин и детей, от насилия. Отклик правительства на исследование под названием "Решая проблемы, делая выбор"</w:t>
      </w:r>
      <w:r>
        <w:rPr>
          <w:i/>
        </w:rPr>
        <w:t xml:space="preserve"> </w:t>
      </w:r>
      <w:r>
        <w:t>был опубликован в апреле 2002 года;</w:t>
      </w:r>
    </w:p>
    <w:p w:rsidR="00000000" w:rsidRDefault="00000000">
      <w:pPr>
        <w:pStyle w:val="enumlev-2"/>
        <w:rPr>
          <w:snapToGrid w:val="0"/>
        </w:rPr>
      </w:pPr>
      <w:r>
        <w:rPr>
          <w:snapToGrid w:val="0"/>
        </w:rPr>
        <w:t>Комплексная стратегия для коренного населения 2000 года, разработанная службой правовой помощи Квинсленда расширила доступ женщин из числа коренного населения и их семей к правовой помощи специалистов, включая помощь женщинам из числа коренного населения, подвергшимся сексуальному насилию или насилию в семье;</w:t>
      </w:r>
    </w:p>
    <w:p w:rsidR="00000000" w:rsidRDefault="00000000">
      <w:pPr>
        <w:pStyle w:val="enumlev-2"/>
        <w:rPr>
          <w:snapToGrid w:val="0"/>
        </w:rPr>
      </w:pPr>
      <w:r>
        <w:rPr>
          <w:snapToGrid w:val="0"/>
        </w:rPr>
        <w:t>Стратегия предупреждения преступности</w:t>
      </w:r>
      <w:r>
        <w:rPr>
          <w:i/>
          <w:snapToGrid w:val="0"/>
        </w:rPr>
        <w:t xml:space="preserve">: </w:t>
      </w:r>
      <w:r>
        <w:rPr>
          <w:snapToGrid w:val="0"/>
        </w:rPr>
        <w:t>сосредоточена на причинах преступности и включает изучение различного опыта мужчин и женщин как виновных, так и потерпевших, а также осуществление надлежащих с гендерной точки зрения инициатив по предупреждению преступности;</w:t>
      </w:r>
    </w:p>
    <w:p w:rsidR="00000000" w:rsidRDefault="00000000">
      <w:pPr>
        <w:pStyle w:val="enumlev-2"/>
        <w:rPr>
          <w:snapToGrid w:val="0"/>
        </w:rPr>
      </w:pPr>
      <w:r>
        <w:t xml:space="preserve">Подразделение по вопросам </w:t>
      </w:r>
      <w:r>
        <w:rPr>
          <w:snapToGrid w:val="0"/>
        </w:rPr>
        <w:t>насилия в семье (через службу правовой помощи Квинсленда): информация специалистов по вопросам насилия в семье, консультации и адвокатская помощь преимущественно для женщин;</w:t>
      </w:r>
    </w:p>
    <w:p w:rsidR="00000000" w:rsidRDefault="00000000">
      <w:pPr>
        <w:pStyle w:val="enumlev-2"/>
        <w:rPr>
          <w:snapToGrid w:val="0"/>
        </w:rPr>
      </w:pPr>
      <w:r>
        <w:rPr>
          <w:snapToGrid w:val="0"/>
        </w:rPr>
        <w:t>Полицейская служба Квинсленда: развитие информационной сети и превентивных стратегий для решения проблем насилия в семье; подготовка сотрудников полиции по вопросам законодательства, политики и процедур, касающихся насилия в семье.</w:t>
      </w:r>
    </w:p>
    <w:p w:rsidR="00000000" w:rsidRDefault="00000000">
      <w:pPr>
        <w:pStyle w:val="enumlev-2"/>
        <w:ind w:left="346" w:hanging="346"/>
        <w:rPr>
          <w:snapToGrid w:val="0"/>
        </w:rPr>
      </w:pPr>
      <w:r>
        <w:t>Доклад женской целевой группы по проблеме насилия среди аборигенов и жителей островов Торресова пролива содержит 123 рекомендации. Публикация "Следующий шаг"</w:t>
      </w:r>
      <w:r>
        <w:rPr>
          <w:i/>
        </w:rPr>
        <w:t>,</w:t>
      </w:r>
      <w:r>
        <w:t xml:space="preserve"> являющаяся ответом на этот доклад, представляет собой описание стратегии, направленной на удовлетворение безотлагательных потребностей соответствующих лиц и оказание помощи общинам и правительству в составлении долгосрочных планов через рассчитанную на 10 лет инициативу под названием "Навстречу партнерству правительства Квинсленда, аборигенов и жителей островов Торресова пролива"</w:t>
      </w:r>
      <w:r>
        <w:rPr>
          <w:i/>
        </w:rPr>
        <w:t>.</w:t>
      </w:r>
    </w:p>
    <w:p w:rsidR="00000000" w:rsidRDefault="00000000">
      <w:pPr>
        <w:pStyle w:val="Heading2"/>
        <w:spacing w:before="120"/>
      </w:pPr>
      <w:bookmarkStart w:id="827" w:name="_Toc43102958"/>
      <w:bookmarkStart w:id="828" w:name="_Toc43106068"/>
      <w:bookmarkStart w:id="829" w:name="_Toc43106354"/>
      <w:bookmarkStart w:id="830" w:name="_Toc43106926"/>
      <w:bookmarkStart w:id="831" w:name="_Toc43107212"/>
      <w:bookmarkStart w:id="832" w:name="_Toc43107498"/>
      <w:bookmarkStart w:id="833" w:name="_Toc43107784"/>
      <w:bookmarkStart w:id="834" w:name="_Toc70143055"/>
      <w:bookmarkStart w:id="835" w:name="_Toc70228782"/>
      <w:bookmarkStart w:id="836" w:name="_Toc70229183"/>
      <w:bookmarkStart w:id="837" w:name="_Toc70235449"/>
      <w:r>
        <w:t>ЮЖНАЯ АВСТРАЛИЯ</w:t>
      </w:r>
      <w:bookmarkEnd w:id="827"/>
      <w:bookmarkEnd w:id="828"/>
      <w:bookmarkEnd w:id="829"/>
      <w:bookmarkEnd w:id="830"/>
      <w:bookmarkEnd w:id="831"/>
      <w:bookmarkEnd w:id="832"/>
      <w:bookmarkEnd w:id="833"/>
      <w:bookmarkEnd w:id="834"/>
      <w:bookmarkEnd w:id="835"/>
      <w:bookmarkEnd w:id="836"/>
      <w:bookmarkEnd w:id="837"/>
    </w:p>
    <w:p w:rsidR="00000000" w:rsidRDefault="00000000">
      <w:pPr>
        <w:pStyle w:val="BodyText"/>
      </w:pPr>
      <w:r>
        <w:t>601.</w:t>
      </w:r>
      <w:r>
        <w:tab/>
        <w:t>Для борьбы с насилием в семье правительство предприняло немало инициатив как в области оперативной деятельности, так и законодательной. Закон о насилии в семье 1994 года</w:t>
      </w:r>
      <w:r>
        <w:rPr>
          <w:i/>
        </w:rPr>
        <w:t xml:space="preserve"> </w:t>
      </w:r>
      <w:r>
        <w:t>был усилен в 1999 году и в настоящее время включает положения, позволяющие издавать запретительные судебные приказы, если то или иное лицо имеет основания опасаться, что в отношении него будет совершен акт насилия в семье, а также положение, в соответствии с которым обвиняемый должен получить разрешение суда на ходатайство об изменении или отмене запретительного приказа. Правительство также подготовило доклад "Реальные факты"</w:t>
      </w:r>
      <w:r>
        <w:rPr>
          <w:i/>
        </w:rPr>
        <w:t xml:space="preserve"> </w:t>
      </w:r>
      <w:r>
        <w:t>(аудиторский доклад об услугах для взрослых, подвергшихся изнасилованию или сексуальному насилию в сельских районах Южной Австралии за последний год, а также приблизительно 25 рекомендаций); Проект по предупреждению изнасилований, 1998–1999 годы, содержащий комплексную стратегию, направленную на сохранение здоровья, минимизацию причиняемого вреда и предупреждение преступности.</w:t>
      </w:r>
    </w:p>
    <w:p w:rsidR="00000000" w:rsidRDefault="00000000">
      <w:pPr>
        <w:pStyle w:val="BodyText"/>
      </w:pPr>
      <w:r>
        <w:t>602.</w:t>
      </w:r>
      <w:r>
        <w:tab/>
        <w:t xml:space="preserve">В 2000–2001 годах основное внимание уделялось развитию спланированного стратегического подхода в деле предупреждения насилия в семье. С помощью отдела по предупреждению насилия были осуществлены несколько мероприятий, в числе которых проведение министерского форума по предупреждению насилия в семье; развитие и осуществление сотрудничества в рамках штата и разработка стратегических путей осуществления программ предупреждения насилия в Южной Австралии. </w:t>
      </w:r>
    </w:p>
    <w:p w:rsidR="00000000" w:rsidRDefault="00000000">
      <w:pPr>
        <w:pStyle w:val="BodyText"/>
      </w:pPr>
      <w:r>
        <w:t>603.</w:t>
      </w:r>
      <w:r>
        <w:tab/>
        <w:t xml:space="preserve">В настоящее время в двух магистратных судах осуществляются пилотные программы, ориентированные на лиц, обвиняемых в совершении актов насилия в семье. "Северная программа предупреждения насилия" была разработана в ответ на потребности семей, затронутых насилием в семье в районе, который находится в юрисдикции магистратного суда Элизабет. За основу взята модель, в которую включены полиция, суд, специально созданный для рассмотрения дел о насилии в семье; специальная межведомственная группа, в которую входят сотрудники, занимающиеся отдельно мужчинами, женщинами и детьми; сотрудник исправительного учреждения и координатор. </w:t>
      </w:r>
    </w:p>
    <w:p w:rsidR="00000000" w:rsidRDefault="00000000">
      <w:pPr>
        <w:pStyle w:val="Heading2"/>
      </w:pPr>
      <w:bookmarkStart w:id="838" w:name="_Toc43102959"/>
      <w:bookmarkStart w:id="839" w:name="_Toc43106069"/>
      <w:bookmarkStart w:id="840" w:name="_Toc43106355"/>
      <w:bookmarkStart w:id="841" w:name="_Toc43106927"/>
      <w:bookmarkStart w:id="842" w:name="_Toc43107213"/>
      <w:bookmarkStart w:id="843" w:name="_Toc43107499"/>
      <w:bookmarkStart w:id="844" w:name="_Toc43107785"/>
      <w:bookmarkStart w:id="845" w:name="_Toc70143056"/>
      <w:bookmarkStart w:id="846" w:name="_Toc70228783"/>
      <w:bookmarkStart w:id="847" w:name="_Toc70229184"/>
      <w:bookmarkStart w:id="848" w:name="_Toc70235450"/>
      <w:r>
        <w:t>ТАСМАНИЯ</w:t>
      </w:r>
      <w:bookmarkEnd w:id="838"/>
      <w:bookmarkEnd w:id="839"/>
      <w:bookmarkEnd w:id="840"/>
      <w:bookmarkEnd w:id="841"/>
      <w:bookmarkEnd w:id="842"/>
      <w:bookmarkEnd w:id="843"/>
      <w:bookmarkEnd w:id="844"/>
      <w:bookmarkEnd w:id="845"/>
      <w:bookmarkEnd w:id="846"/>
      <w:bookmarkEnd w:id="847"/>
      <w:bookmarkEnd w:id="848"/>
    </w:p>
    <w:p w:rsidR="00000000" w:rsidRDefault="00000000">
      <w:pPr>
        <w:pStyle w:val="BodyText"/>
      </w:pPr>
      <w:r>
        <w:t>604.</w:t>
      </w:r>
      <w:r>
        <w:tab/>
        <w:t>Правительство взяло на себя обязательство улучшить положение с безопасностью женщин путем осуществления ряда инициатив, ориентированных на проблемы сексуального насилия, изнасилований, насилия в семье, а также на вопросы безопасности общины. Ключевые компоненты правительственной политики "Обеспечить женщинам безопасность"</w:t>
      </w:r>
      <w:r>
        <w:rPr>
          <w:i/>
        </w:rPr>
        <w:t xml:space="preserve"> </w:t>
      </w:r>
      <w:r>
        <w:t>следующие</w:t>
      </w:r>
      <w:r>
        <w:rPr>
          <w:i/>
        </w:rPr>
        <w:t xml:space="preserve">: </w:t>
      </w:r>
      <w:r>
        <w:t>разработка программ, которые помогали бы женщинам чувствовать себя в безопасности в их домах и общинах; создание комплексной системы оказания услуг в качестве ответа на насилие в семье; разработка более адекватных полицейских и судебных процедур; предоставление общинам больше информации о том, где можно получить помощь и консультацию; помощь в оказании консультативной помощи и содействии сотрудничеству между административными органами, поставщиками услуг и общинными группами путем восстановления консультативной структуры.</w:t>
      </w:r>
    </w:p>
    <w:p w:rsidR="00000000" w:rsidRDefault="00000000">
      <w:pPr>
        <w:pStyle w:val="BodyText"/>
      </w:pPr>
      <w:r>
        <w:t>605.</w:t>
      </w:r>
      <w:r>
        <w:tab/>
        <w:t>В настоящее время на рассмотрении правительства находится предложение об учреждении совместной политико-консультативной структуры на уровне общин "Женщины и безопасность", которая будет направлять и координировать действия правительства и общин в ответ на сексуальное насилие, насилие в семье и другие серьезные проблемы. Предложенная консультативная структура позволит создать механизм для выявления и удовлетворения потребностей детей, мужчин и женщин – жертв сексуального насилия и насилия в семье. Она также будет способствовать скоординированному подходу всех правительственных учреждений к разработке политики в области оказания услуг.</w:t>
      </w:r>
    </w:p>
    <w:p w:rsidR="00000000" w:rsidRDefault="00000000">
      <w:pPr>
        <w:pStyle w:val="BodyText"/>
      </w:pPr>
      <w:r>
        <w:t>606.</w:t>
      </w:r>
      <w:r>
        <w:tab/>
        <w:t>Ряд проектов в штате Тасмания финансировались в рамках программы ПБНС</w:t>
      </w:r>
      <w:r>
        <w:br/>
        <w:t>1997–2001 годов. Среди них Комплексный информационный проект по проблеме насилия в семье; проект, содержащий модель обучения по вопросам насилия в семье для работников здравоохранения в сельских районах; проект по проблеме насилия в семье среди коренного населения и проект под названием "Основные проблемы и пути их решения: женщины и насилие в семье".</w:t>
      </w:r>
    </w:p>
    <w:p w:rsidR="00000000" w:rsidRDefault="00000000">
      <w:pPr>
        <w:pStyle w:val="BodyText"/>
      </w:pPr>
      <w:r>
        <w:t>607.</w:t>
      </w:r>
      <w:r>
        <w:tab/>
        <w:t>Правительство проводит обследования уровня безопасности в общинах</w:t>
      </w:r>
      <w:r>
        <w:rPr>
          <w:i/>
        </w:rPr>
        <w:t xml:space="preserve">, </w:t>
      </w:r>
      <w:r>
        <w:t>используя качественные исследовательские методы, в частности, фокус-группы и индивидуальные интервью, для оценки уровня страха в связи с преступностью в местах скопления людей. Было также проведено обследование, касающееся отношения людей к полиции и страха оказаться жертвой преступления.</w:t>
      </w:r>
    </w:p>
    <w:p w:rsidR="00000000" w:rsidRDefault="00000000">
      <w:pPr>
        <w:pStyle w:val="Heading2"/>
      </w:pPr>
      <w:bookmarkStart w:id="849" w:name="_Toc43102960"/>
      <w:bookmarkStart w:id="850" w:name="_Toc43106070"/>
      <w:bookmarkStart w:id="851" w:name="_Toc43106356"/>
      <w:bookmarkStart w:id="852" w:name="_Toc43106928"/>
      <w:bookmarkStart w:id="853" w:name="_Toc43107214"/>
      <w:bookmarkStart w:id="854" w:name="_Toc43107500"/>
      <w:bookmarkStart w:id="855" w:name="_Toc43107786"/>
      <w:bookmarkStart w:id="856" w:name="_Toc70143057"/>
      <w:bookmarkStart w:id="857" w:name="_Toc70228784"/>
      <w:bookmarkStart w:id="858" w:name="_Toc70229185"/>
      <w:bookmarkStart w:id="859" w:name="_Toc70235451"/>
      <w:r>
        <w:t>ВИКТОРИЯ</w:t>
      </w:r>
      <w:bookmarkEnd w:id="849"/>
      <w:bookmarkEnd w:id="850"/>
      <w:bookmarkEnd w:id="851"/>
      <w:bookmarkEnd w:id="852"/>
      <w:bookmarkEnd w:id="853"/>
      <w:bookmarkEnd w:id="854"/>
      <w:bookmarkEnd w:id="855"/>
      <w:bookmarkEnd w:id="856"/>
      <w:bookmarkEnd w:id="857"/>
      <w:bookmarkEnd w:id="858"/>
      <w:bookmarkEnd w:id="859"/>
    </w:p>
    <w:p w:rsidR="00000000" w:rsidRDefault="00000000">
      <w:pPr>
        <w:pStyle w:val="BodyText"/>
      </w:pPr>
      <w:r>
        <w:t>608.</w:t>
      </w:r>
      <w:r>
        <w:tab/>
        <w:t>Правительство взяло на себя обязательство развивать стратегию обеспечения безопасности женщин путем осуществления скоординированных ответных действий всех правительственных учреждений в связи с насилием в отношении женщин. Правительство издало в 2002 году два ключевых документа, а именно "Основные направления в целях обеспечения безопасности женщин:</w:t>
      </w:r>
      <w:r>
        <w:rPr>
          <w:i/>
        </w:rPr>
        <w:t xml:space="preserve"> </w:t>
      </w:r>
      <w:r>
        <w:t>согласованный подход к снижению насилия в отношении женщин"; и "Взять на себя ответственность: основы для выработки наилучшей практики в программах, касающихся мужчин, совершающих насилие в отношении членов семьи"</w:t>
      </w:r>
      <w:r>
        <w:rPr>
          <w:i/>
        </w:rPr>
        <w:t xml:space="preserve">. </w:t>
      </w:r>
      <w:r>
        <w:t>Документы призваны подкрепить стратегию обеспечения безопасности женщин, рассчитанную до 2003 года. Правительство обязалось разработать стратегию в связи с проблемой насилия в семье среди коренного населения</w:t>
      </w:r>
      <w:r>
        <w:rPr>
          <w:i/>
        </w:rPr>
        <w:t xml:space="preserve"> </w:t>
      </w:r>
      <w:r>
        <w:t>для штата Виктория и работает над этим вместе с общинами коренного населения. В этих целях назначена целевая группа штата Виктория по проблеме насилия в семье среди коренного населения, которая начала консультации с общинами коренного населения.</w:t>
      </w:r>
    </w:p>
    <w:p w:rsidR="00000000" w:rsidRDefault="00000000">
      <w:pPr>
        <w:pStyle w:val="BodyText"/>
      </w:pPr>
      <w:r>
        <w:t>609.</w:t>
      </w:r>
      <w:r>
        <w:tab/>
        <w:t>Были выделены дополнительные ассигнования на цели улучшения и расширения возможностей решения жилищного вопроса для женщин, оказавшихся в обстановке насилия в семье, и для повышения потенциала местных общин в том, что касается предупреждения насилия в отношении женщин и ответных действий в связи с этим.</w:t>
      </w:r>
    </w:p>
    <w:p w:rsidR="00000000" w:rsidRDefault="00000000">
      <w:pPr>
        <w:pStyle w:val="Heading2"/>
      </w:pPr>
      <w:bookmarkStart w:id="860" w:name="_Toc43102961"/>
      <w:bookmarkStart w:id="861" w:name="_Toc43106071"/>
      <w:bookmarkStart w:id="862" w:name="_Toc43106357"/>
      <w:bookmarkStart w:id="863" w:name="_Toc43106929"/>
      <w:bookmarkStart w:id="864" w:name="_Toc43107215"/>
      <w:bookmarkStart w:id="865" w:name="_Toc43107501"/>
      <w:bookmarkStart w:id="866" w:name="_Toc43107787"/>
      <w:bookmarkStart w:id="867" w:name="_Toc70143058"/>
      <w:bookmarkStart w:id="868" w:name="_Toc70228785"/>
      <w:bookmarkStart w:id="869" w:name="_Toc70229186"/>
      <w:bookmarkStart w:id="870" w:name="_Toc70235452"/>
      <w:r>
        <w:t>ЗАПАДНАЯ АВСТРАЛИЯ</w:t>
      </w:r>
      <w:bookmarkEnd w:id="860"/>
      <w:bookmarkEnd w:id="861"/>
      <w:bookmarkEnd w:id="862"/>
      <w:bookmarkEnd w:id="863"/>
      <w:bookmarkEnd w:id="864"/>
      <w:bookmarkEnd w:id="865"/>
      <w:bookmarkEnd w:id="866"/>
      <w:bookmarkEnd w:id="867"/>
      <w:bookmarkEnd w:id="868"/>
      <w:bookmarkEnd w:id="869"/>
      <w:bookmarkEnd w:id="870"/>
    </w:p>
    <w:p w:rsidR="00000000" w:rsidRDefault="00000000">
      <w:pPr>
        <w:pStyle w:val="BodyText"/>
      </w:pPr>
      <w:r>
        <w:t>610.</w:t>
      </w:r>
      <w:r>
        <w:tab/>
        <w:t>Масштабы насилия в семье и сексуального насилия в общинах коренного населения являются важнейшим вопросом, вызывающим большую обеспокоенность правительства. Премьер объявил о "расследовании правительственными учреждениями жалоб по поводу насилия в семье и жестокого обращения с детьми в общинах аборигенов". Возглавить расследование поручено мировому судье Сью Гордону, чей доклад должен быть представлен в 2003 году. Министр по делам женщин учредил Координационный комитет по проблеме насилия в семье, в задачи которого входит развитие стратегических направлений в сфере предоставления услуг. Комитет представит доклад Постоянному комитету кабинета министров по социальной политике с учетом результатов расследования под председательством Гордона. Другие инициативы включают Двухлетний план в интересах женщин 1999–2001 годов и План действий в отношении бытового насилия и насилия в семье. На дальнейших этапах плана особое внимание будет уделено вопросам насилия в семье среди коренного населения.</w:t>
      </w:r>
    </w:p>
    <w:p w:rsidR="00000000" w:rsidRDefault="00000000">
      <w:pPr>
        <w:pStyle w:val="BodyText"/>
      </w:pPr>
      <w:r>
        <w:t>611.</w:t>
      </w:r>
      <w:r>
        <w:tab/>
        <w:t>Кампания под названием "Освободиться от страха перед насилием в семье" (1998 года) представляет собой долгосрочную общинную образовательную инициативу, ориентированную прежде всего на мужчин, совершивших правонарушения, и на тех, кто склонен к насилию в семье. Кампания призывает мужчин брать на себя ответственность за свое поведение и обращаться за помощью с целью его изменения. "Линия помощи для мужчин по вопросам насилия в семье"</w:t>
      </w:r>
      <w:r>
        <w:rPr>
          <w:i/>
        </w:rPr>
        <w:t xml:space="preserve"> </w:t>
      </w:r>
      <w:r>
        <w:t>предоставляет информацию, консультации и справочные услуги, касающиеся программы по изменению поведенческих моделей у мужчин. "Программа обучения по вопросам насилия в семье среди аборигенов"</w:t>
      </w:r>
      <w:r>
        <w:rPr>
          <w:i/>
        </w:rPr>
        <w:t xml:space="preserve"> </w:t>
      </w:r>
      <w:r>
        <w:t>будет осуществляться общинными организациями в 17 поселениях. Она будет способствовать росту понимания проблемы насилия в семье среди коренного населения и созданию сетей, объединяющих поставщиков услуг как из числа коренного, так и основного населения.</w:t>
      </w:r>
    </w:p>
    <w:p w:rsidR="00000000" w:rsidRDefault="00000000">
      <w:pPr>
        <w:pStyle w:val="BodyText"/>
        <w:spacing w:after="0" w:line="140" w:lineRule="exact"/>
      </w:pPr>
      <w:r>
        <w:br w:type="page"/>
      </w:r>
    </w:p>
    <w:tbl>
      <w:tblPr>
        <w:tblW w:w="0" w:type="auto"/>
        <w:tblInd w:w="-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8794"/>
      </w:tblGrid>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before="120"/>
              <w:ind w:left="113" w:right="113"/>
              <w:jc w:val="center"/>
              <w:rPr>
                <w:b/>
              </w:rPr>
            </w:pPr>
            <w:r>
              <w:rPr>
                <w:b/>
              </w:rPr>
              <w:t>О Конвенции о ликвидации всех форм дискриминации в отношении женщин (КЛДЖ)</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Конвенцию о ликвидации всех форм дискриминации в отношении женщин, которая была принята Генеральной Ассамблеей Организации Объединенных Наций в 1979 году, нередко называют международным биллем прав женщин. Конвенция состоит из преамбулы и 30 статей; в ней содержатся определение термина "дискриминация в отношении женщин", а также программа действий государств-участников в целях ликвидации такой дискриминации.</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Дискриминация в отношении женщин определяется в Конвенции как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Становясь участником Конвенции, государство берет на себя обязательство принять ряд мер, направленных на ликвидацию дискриминации в отношении женщин во всех ее формах, в частности:</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enumlev-2"/>
              <w:ind w:left="453" w:right="113"/>
            </w:pPr>
            <w:r>
              <w:tab/>
              <w:t>включить принцип равноправия мужчин и женщин в свои законодательные системы, аннулировать все дискриминационные законы и принять надлежащие законы, запрещающие дискриминацию в отношении женщин;</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enumlev-2"/>
              <w:ind w:left="453" w:right="113"/>
            </w:pPr>
            <w:r>
              <w:tab/>
              <w:t>создать трибуналы и другие государственные механизмы для обеспечения эффективной защиты женщин от дискриминации; и</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enumlev-2"/>
              <w:ind w:left="453" w:right="113"/>
            </w:pPr>
            <w:r>
              <w:tab/>
              <w:t>обеспечить ликвидацию всех форм дискриминации в отношении женщин со стороны физических лиц, организаций или предприятий.</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Конвенция служит основой для реализации принципа равноправия мужчин и женщин, обеспечивая женщинам равные доступ и возможности участия в политической и общественной жизни, включая право избирать и быть избранными, а также право на образование, охрану здоровья и занятость. Государства-участники обязуются принять все необходимые меры, в том числе законодательные и временные специальные меры, для того чтобы женщины могли пользоваться всеми правами человека и основными свободами.</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Конвенция является единственным договором по правам человека, в котором подтверждаются репродуктивные права женщин, а культура и традиции называются в числе важнейших факторов, влияющих на гендерные роли и формирующих семейные отношения. В Конвенции признаются права женщин на приобретение, изменение или сохранение своего гражданства и гражданства своих детей. Государства-участники также обязуются принять необходимые меры по борьбе со всеми формами торговли женщинами и эксплуатации женщин.</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pPr>
            <w:r>
              <w:t>Страны, ратифицировавшие Конвенцию или присоединившиеся к ней, берут на себя юридическое обязательство осуществлять ее положения на практике. Они также обязуются не реже, чем раз в четыре года, представлять национальные доклады о мерах, принятых ими для выполнения своих договорных обязательств.</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0"/>
              <w:ind w:left="113" w:right="113"/>
              <w:jc w:val="right"/>
            </w:pPr>
            <w:r>
              <w:t>Департамент по улучшению положения женщин</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0"/>
              <w:ind w:left="113" w:right="113"/>
              <w:jc w:val="right"/>
            </w:pPr>
            <w:r>
              <w:t>Организация Объединенных Наций</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jc w:val="right"/>
            </w:pPr>
            <w:r>
              <w:t>июнь 2003 года</w:t>
            </w:r>
          </w:p>
        </w:tc>
      </w:tr>
      <w:tr w:rsidR="00000000">
        <w:tblPrEx>
          <w:tblCellMar>
            <w:top w:w="0" w:type="dxa"/>
            <w:left w:w="0" w:type="dxa"/>
            <w:bottom w:w="0" w:type="dxa"/>
            <w:right w:w="0" w:type="dxa"/>
          </w:tblCellMar>
        </w:tblPrEx>
        <w:tc>
          <w:tcPr>
            <w:tcW w:w="8794" w:type="dxa"/>
            <w:shd w:val="clear" w:color="auto" w:fill="FFFFFF"/>
          </w:tcPr>
          <w:p w:rsidR="00000000" w:rsidRDefault="00000000">
            <w:pPr>
              <w:pStyle w:val="BodyText"/>
              <w:spacing w:after="120"/>
              <w:ind w:left="113" w:right="113"/>
              <w:jc w:val="right"/>
            </w:pPr>
            <w:r>
              <w:rPr>
                <w:u w:val="single"/>
              </w:rPr>
              <w:t>www.un.org/womenwatch/daw/cedaw</w:t>
            </w:r>
          </w:p>
        </w:tc>
      </w:tr>
    </w:tbl>
    <w:p w:rsidR="00000000" w:rsidRDefault="00000000">
      <w:pPr>
        <w:pStyle w:val="BodyText"/>
      </w:pPr>
    </w:p>
    <w:p w:rsidR="00000000" w:rsidRDefault="00000000">
      <w:pPr>
        <w:pStyle w:val="BodyText"/>
        <w:sectPr w:rsidR="00000000">
          <w:headerReference w:type="even" r:id="rId14"/>
          <w:pgSz w:w="12242" w:h="15842" w:code="1"/>
          <w:pgMar w:top="1304" w:right="1701" w:bottom="1701" w:left="1701" w:header="0" w:footer="851" w:gutter="0"/>
          <w:pgNumType w:start="2"/>
          <w:cols w:space="720"/>
          <w:noEndnote/>
        </w:sectPr>
      </w:pPr>
    </w:p>
    <w:p w:rsidR="00000000" w:rsidRDefault="00000000">
      <w:pPr>
        <w:tabs>
          <w:tab w:val="left" w:pos="-720"/>
        </w:tabs>
        <w:suppressAutoHyphens/>
        <w:jc w:val="both"/>
        <w:rPr>
          <w:rFonts w:ascii="Arial" w:hAnsi="Arial"/>
          <w:spacing w:val="-3"/>
          <w:sz w:val="22"/>
        </w:rPr>
      </w:pPr>
      <w:r>
        <w:rPr>
          <w:rFonts w:ascii="Arial" w:hAnsi="Arial"/>
          <w:b/>
          <w:spacing w:val="-3"/>
          <w:sz w:val="22"/>
        </w:rPr>
        <w:t>Статистическое приложение к докладу Австралии об осуществлении КЛДЖ за 2003 год</w:t>
      </w:r>
    </w:p>
    <w:p w:rsidR="00000000" w:rsidRDefault="00000000">
      <w:pPr>
        <w:pStyle w:val="Table-head"/>
        <w:spacing w:before="240" w:after="240"/>
      </w:pPr>
      <w:bookmarkStart w:id="871" w:name="_Toc70143059"/>
      <w:r>
        <w:t>Австралийский Союз</w:t>
      </w:r>
      <w:bookmarkEnd w:id="871"/>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widowControl w:val="0"/>
              <w:spacing w:after="120" w:line="240" w:lineRule="auto"/>
              <w:rPr>
                <w:rFonts w:ascii="Arial" w:hAnsi="Arial"/>
                <w:caps/>
              </w:rPr>
            </w:pPr>
            <w:r>
              <w:rPr>
                <w:rFonts w:ascii="Arial" w:hAnsi="Arial"/>
                <w:caps/>
              </w:rPr>
              <w:t>показатель</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12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widowControl w:val="0"/>
              <w:spacing w:after="120" w:line="240" w:lineRule="auto"/>
              <w:rPr>
                <w:rFonts w:ascii="Arial" w:hAnsi="Arial"/>
                <w:snapToGrid w:val="0"/>
                <w:lang w:eastAsia="en-US"/>
              </w:rPr>
            </w:pPr>
            <w:r>
              <w:rPr>
                <w:rFonts w:ascii="Arial" w:hAnsi="Arial"/>
                <w:snapToGrid w:val="0"/>
                <w:lang w:eastAsia="en-US"/>
              </w:rPr>
              <w:t>Рабочая сила</w:t>
            </w: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c>
          <w:tcPr>
            <w:tcW w:w="1021" w:type="dxa"/>
          </w:tcPr>
          <w:p w:rsidR="00000000" w:rsidRDefault="00000000">
            <w:pPr>
              <w:widowControl w:val="0"/>
              <w:spacing w:after="12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widowControl w:val="0"/>
              <w:spacing w:after="120" w:line="240" w:lineRule="auto"/>
              <w:rPr>
                <w:rFonts w:ascii="Arial" w:hAnsi="Arial"/>
                <w:spacing w:val="-2"/>
                <w:lang w:eastAsia="zh-CN"/>
              </w:rPr>
            </w:pPr>
            <w:r>
              <w:rPr>
                <w:rFonts w:ascii="Arial" w:hAnsi="Arial"/>
                <w:spacing w:val="-2"/>
                <w:lang w:eastAsia="zh-CN"/>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53,3</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52,6</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53,4</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53,2</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54,8</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55,8</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55,7</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Уровень женской безработицы</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7,6</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7,6</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7,1</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6,5</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6,5</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6,1</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34,8</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32,6</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33</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pStyle w:val="Header"/>
              <w:tabs>
                <w:tab w:val="clear" w:pos="4677"/>
                <w:tab w:val="clear" w:pos="9355"/>
                <w:tab w:val="left" w:pos="-720"/>
              </w:tabs>
              <w:suppressAutoHyphens/>
              <w:spacing w:after="12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599,4</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626,9</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653,1</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675,7</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710,9</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$751,10</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$789,40</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pStyle w:val="Header"/>
              <w:tabs>
                <w:tab w:val="clear" w:pos="4677"/>
                <w:tab w:val="clear" w:pos="9355"/>
                <w:tab w:val="left" w:pos="-720"/>
              </w:tabs>
              <w:suppressAutoHyphens/>
              <w:spacing w:after="12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719,8</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753,6</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784,3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796,2</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848,3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$888,30</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$929,10</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членов советов федеральных организаций государственного сектора</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31,5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30,7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30,3</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30,9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33,6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33,9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членов советов организаций частного сектора</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8,3</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10</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10</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депутатов парламентов штатов/территорий (по состоянию на 31 декабря)</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21,7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22,4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25,4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депутатов федерального парламента (по состоянию на 31 декабря)</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19,2</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25,4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24,6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28,3</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pStyle w:val="Header"/>
              <w:pageBreakBefore/>
              <w:tabs>
                <w:tab w:val="clear" w:pos="4677"/>
                <w:tab w:val="clear" w:pos="9355"/>
                <w:tab w:val="left" w:pos="-720"/>
              </w:tabs>
              <w:suppressAutoHyphens/>
              <w:spacing w:after="120" w:line="240" w:lineRule="auto"/>
              <w:rPr>
                <w:rFonts w:ascii="Arial" w:hAnsi="Arial"/>
                <w:spacing w:val="-2"/>
              </w:rPr>
            </w:pPr>
            <w:r>
              <w:rPr>
                <w:rFonts w:ascii="Arial" w:hAnsi="Arial"/>
                <w:spacing w:val="-2"/>
              </w:rPr>
              <w:t>Процент женщин – членов местных органов управления</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24,1</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pageBreakBefore/>
              <w:widowControl w:val="0"/>
              <w:spacing w:after="120" w:line="240" w:lineRule="auto"/>
              <w:jc w:val="right"/>
              <w:rPr>
                <w:rFonts w:ascii="Arial" w:hAnsi="Arial"/>
                <w:caps/>
              </w:rPr>
            </w:pPr>
            <w:r>
              <w:rPr>
                <w:rFonts w:ascii="Arial" w:hAnsi="Arial"/>
              </w:rPr>
              <w:t>нд</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менее 30%</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менее 30%</w:t>
            </w:r>
          </w:p>
        </w:tc>
        <w:tc>
          <w:tcPr>
            <w:tcW w:w="1021" w:type="dxa"/>
            <w:shd w:val="clear" w:color="C0C0C0" w:fill="C0C0C0"/>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менее 30%</w:t>
            </w:r>
          </w:p>
        </w:tc>
      </w:tr>
      <w:tr w:rsidR="00000000">
        <w:tblPrEx>
          <w:tblCellMar>
            <w:top w:w="0" w:type="dxa"/>
            <w:bottom w:w="0" w:type="dxa"/>
          </w:tblCellMar>
        </w:tblPrEx>
        <w:tc>
          <w:tcPr>
            <w:tcW w:w="5103" w:type="dxa"/>
            <w:shd w:val="clear" w:color="C0C0C0" w:fill="C0C0C0"/>
          </w:tcPr>
          <w:p w:rsidR="00000000" w:rsidRDefault="00000000">
            <w:pPr>
              <w:pStyle w:val="Header"/>
              <w:tabs>
                <w:tab w:val="clear" w:pos="4677"/>
                <w:tab w:val="clear" w:pos="9355"/>
                <w:tab w:val="left" w:pos="-720"/>
              </w:tabs>
              <w:suppressAutoHyphens/>
              <w:spacing w:after="120" w:line="240" w:lineRule="auto"/>
              <w:rPr>
                <w:rFonts w:ascii="Arial" w:hAnsi="Arial"/>
                <w:spacing w:val="-2"/>
              </w:rPr>
            </w:pPr>
            <w:r>
              <w:rPr>
                <w:rFonts w:ascii="Arial" w:hAnsi="Arial"/>
                <w:spacing w:val="-2"/>
              </w:rPr>
              <w:t>Процент федеральных правительственных наград, которых были удостоены женщины</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31,3</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30,1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28,9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30,1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33,8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35,5</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lang w:eastAsia="zh-CN"/>
              </w:rPr>
            </w:pPr>
            <w:r>
              <w:rPr>
                <w:rFonts w:ascii="Arial" w:hAnsi="Arial"/>
                <w:spacing w:val="-2"/>
                <w:lang w:eastAsia="zh-CN"/>
              </w:rPr>
              <w:t>Условия жизни</w:t>
            </w: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Неполные семьи с детьми-иждивенцами в возрасте до 15 лет, возглавляемые женщинами (процент всех семей с детьми-иждивенцами в возрасте до 15 лет)</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16,3</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17,7</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19,5</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19,3</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18,6</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19,5</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19,8</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120" w:line="240" w:lineRule="auto"/>
              <w:rPr>
                <w:rFonts w:ascii="Arial" w:hAnsi="Arial"/>
                <w:spacing w:val="-2"/>
              </w:rPr>
            </w:pPr>
            <w:r>
              <w:rPr>
                <w:rFonts w:ascii="Arial" w:hAnsi="Arial"/>
                <w:spacing w:val="-2"/>
              </w:rPr>
              <w:t>Неполные семьи с детьми-иждивенцами в возрасте до 15 лет, возглавляемые мужчинами (процент всех семей с детьми-иждивенцами в возрасте до 15 лет)</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2,9</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77,8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77,7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78,5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78,7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79,1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80,7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55,2</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55,2</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47,6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48,1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48,5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49,2</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48,7</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18,8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21,5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25,8</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32,5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34,4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36,1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lang w:eastAsia="zh-CN"/>
              </w:rPr>
            </w:pPr>
            <w:r>
              <w:rPr>
                <w:rFonts w:ascii="Arial" w:hAnsi="Arial"/>
                <w:spacing w:val="-2"/>
                <w:lang w:eastAsia="zh-CN"/>
              </w:rPr>
              <w:t>Здравоохранение</w:t>
            </w: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c>
          <w:tcPr>
            <w:tcW w:w="1021" w:type="dxa"/>
          </w:tcPr>
          <w:p w:rsidR="00000000" w:rsidRDefault="00000000">
            <w:pPr>
              <w:widowControl w:val="0"/>
              <w:spacing w:after="12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120" w:line="240" w:lineRule="auto"/>
              <w:rPr>
                <w:rFonts w:ascii="Arial" w:hAnsi="Arial"/>
                <w:spacing w:val="-2"/>
              </w:rPr>
            </w:pPr>
            <w:r>
              <w:rPr>
                <w:rFonts w:ascii="Arial" w:hAnsi="Arial"/>
                <w:spacing w:val="-2"/>
              </w:rPr>
              <w:t>Распространенность расстройств психики (включая депрессию) среди женщин</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7,4</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5,50%</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Распространенность расстройств психики (включая депрессию) среди мужчин</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4,2</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3,40%</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Распространенность обследований для выявления рака шейки матки (1995 год)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80,7</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57,2</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pStyle w:val="Header"/>
              <w:pageBreakBefore/>
              <w:tabs>
                <w:tab w:val="clear" w:pos="4677"/>
                <w:tab w:val="clear" w:pos="9355"/>
                <w:tab w:val="left" w:pos="-720"/>
              </w:tabs>
              <w:suppressAutoHyphens/>
              <w:spacing w:after="120" w:line="240" w:lineRule="auto"/>
              <w:rPr>
                <w:rFonts w:ascii="Arial" w:hAnsi="Arial"/>
                <w:spacing w:val="-2"/>
              </w:rPr>
            </w:pPr>
            <w:r>
              <w:rPr>
                <w:rFonts w:ascii="Arial" w:hAnsi="Arial"/>
                <w:spacing w:val="-2"/>
              </w:rPr>
              <w:t>Распространенность обследований для выявления рака молочной железы (только маммографические обследования)</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34,5</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35,6</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pageBreakBefore/>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20" w:line="240" w:lineRule="auto"/>
              <w:rPr>
                <w:rFonts w:ascii="Arial" w:hAnsi="Arial"/>
                <w:spacing w:val="-2"/>
              </w:rPr>
            </w:pPr>
            <w:r>
              <w:rPr>
                <w:rFonts w:ascii="Arial" w:hAnsi="Arial"/>
                <w:spacing w:val="-2"/>
              </w:rPr>
              <w:t>Коэффициент женщин, умерших от рака шейки матки (на 100 000 женщин)</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2,9</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37</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120" w:line="240" w:lineRule="auto"/>
              <w:rPr>
                <w:rFonts w:ascii="Arial" w:hAnsi="Arial"/>
                <w:spacing w:val="-2"/>
              </w:rPr>
            </w:pPr>
            <w:r>
              <w:rPr>
                <w:rFonts w:ascii="Arial" w:hAnsi="Arial"/>
                <w:spacing w:val="-2"/>
              </w:rPr>
              <w:t>Коэффициент женщин, умерших от рака молочной железы (на 100 000 женщин)</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25</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24</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22</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21,3</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жертв насилия в семье, сообщивших об этом в полицию</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 жертв насилия в семье</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2,6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подвергшихся сексуальному насилию, сообщивших об этом в полицию</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14,9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33</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20" w:line="240" w:lineRule="auto"/>
              <w:rPr>
                <w:rFonts w:ascii="Arial" w:hAnsi="Arial"/>
                <w:spacing w:val="-2"/>
              </w:rPr>
            </w:pPr>
            <w:r>
              <w:rPr>
                <w:rFonts w:ascii="Arial" w:hAnsi="Arial"/>
                <w:spacing w:val="-2"/>
              </w:rPr>
              <w:t>Процент женщин, подвергшихся сексуальному насилию**</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1,9</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0,4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270"/>
        </w:trPr>
        <w:tc>
          <w:tcPr>
            <w:tcW w:w="5103" w:type="dxa"/>
            <w:shd w:val="clear" w:color="C0C0C0" w:fill="C0C0C0"/>
          </w:tcPr>
          <w:p w:rsidR="00000000" w:rsidRDefault="00000000">
            <w:pPr>
              <w:pStyle w:val="Header"/>
              <w:tabs>
                <w:tab w:val="clear" w:pos="4677"/>
                <w:tab w:val="clear" w:pos="9355"/>
                <w:tab w:val="left" w:pos="-720"/>
              </w:tabs>
              <w:suppressAutoHyphens/>
              <w:spacing w:after="120" w:line="240" w:lineRule="auto"/>
              <w:rPr>
                <w:rFonts w:ascii="Arial" w:hAnsi="Arial"/>
                <w:spacing w:val="-2"/>
              </w:rPr>
            </w:pPr>
            <w:r>
              <w:rPr>
                <w:rFonts w:ascii="Arial" w:hAnsi="Arial"/>
                <w:spacing w:val="-2"/>
              </w:rPr>
              <w:t>Коэффициент женщин, подвергшихся сексуальным домогательствам и сообщивших об этом в полицию (на 100 000 человек)</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79,4</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77,5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76,6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74,5</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81,6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87,1</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90,6</w:t>
            </w:r>
          </w:p>
        </w:tc>
        <w:tc>
          <w:tcPr>
            <w:tcW w:w="1021" w:type="dxa"/>
            <w:shd w:val="clear" w:color="C0C0C0" w:fill="C0C0C0"/>
          </w:tcPr>
          <w:p w:rsidR="00000000" w:rsidRDefault="00000000">
            <w:pPr>
              <w:widowControl w:val="0"/>
              <w:spacing w:after="12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tabs>
          <w:tab w:val="clear" w:pos="680"/>
          <w:tab w:val="clear" w:pos="1021"/>
          <w:tab w:val="left" w:pos="340"/>
        </w:tabs>
        <w:suppressAutoHyphens/>
        <w:spacing w:before="120" w:after="120" w:line="240" w:lineRule="auto"/>
        <w:jc w:val="both"/>
        <w:rPr>
          <w:rFonts w:ascii="Arial" w:hAnsi="Arial"/>
          <w:spacing w:val="-2"/>
        </w:rPr>
      </w:pPr>
      <w:r>
        <w:rPr>
          <w:rFonts w:ascii="Arial" w:hAnsi="Arial"/>
          <w:spacing w:val="-2"/>
        </w:rPr>
        <w:t>*</w:t>
      </w:r>
      <w:r>
        <w:rPr>
          <w:rFonts w:ascii="Arial" w:hAnsi="Arial"/>
          <w:spacing w:val="-2"/>
        </w:rPr>
        <w:tab/>
        <w:t xml:space="preserve">Исходя из определения малых предприятий в Австралии </w:t>
      </w:r>
      <w:r>
        <w:rPr>
          <w:rFonts w:ascii="Arial" w:hAnsi="Arial"/>
          <w:snapToGrid w:val="0"/>
          <w:lang w:eastAsia="en-US"/>
        </w:rPr>
        <w:t>(ABS Catalogue No, 1321.0)</w:t>
      </w:r>
    </w:p>
    <w:p w:rsidR="00000000" w:rsidRDefault="00000000">
      <w:pPr>
        <w:tabs>
          <w:tab w:val="clear" w:pos="680"/>
          <w:tab w:val="clear" w:pos="1021"/>
          <w:tab w:val="left" w:pos="340"/>
        </w:tabs>
        <w:suppressAutoHyphens/>
        <w:spacing w:after="120" w:line="240" w:lineRule="auto"/>
        <w:jc w:val="both"/>
        <w:rPr>
          <w:rFonts w:ascii="Arial" w:hAnsi="Arial"/>
          <w:spacing w:val="-2"/>
        </w:rPr>
      </w:pPr>
      <w:r>
        <w:rPr>
          <w:rFonts w:ascii="Arial" w:hAnsi="Arial"/>
          <w:spacing w:val="-2"/>
        </w:rPr>
        <w:t>**</w:t>
      </w:r>
      <w:r>
        <w:rPr>
          <w:rFonts w:ascii="Arial" w:hAnsi="Arial"/>
          <w:spacing w:val="-2"/>
        </w:rPr>
        <w:tab/>
        <w:t>Преступления, зарегистрированные Австралийским бюро статистики, 4510.0</w:t>
      </w:r>
    </w:p>
    <w:p w:rsidR="00000000" w:rsidRDefault="00000000">
      <w:pPr>
        <w:tabs>
          <w:tab w:val="clear" w:pos="680"/>
          <w:tab w:val="clear" w:pos="1021"/>
          <w:tab w:val="left" w:pos="-720"/>
          <w:tab w:val="left" w:pos="227"/>
        </w:tabs>
        <w:suppressAutoHyphens/>
        <w:spacing w:line="240" w:lineRule="auto"/>
        <w:jc w:val="both"/>
        <w:rPr>
          <w:rFonts w:ascii="Arial" w:hAnsi="Arial"/>
          <w:spacing w:val="-2"/>
        </w:rPr>
      </w:pPr>
      <w:r>
        <w:rPr>
          <w:rFonts w:ascii="Arial" w:hAnsi="Arial"/>
          <w:spacing w:val="-2"/>
        </w:rPr>
        <w:t>Просьба учитывать, что большинство жертв сексуальных домогательств – женщины.</w:t>
      </w:r>
    </w:p>
    <w:p w:rsidR="00000000" w:rsidRDefault="00000000"/>
    <w:p w:rsidR="00000000" w:rsidRDefault="00000000">
      <w:pPr>
        <w:pStyle w:val="Table-head"/>
      </w:pPr>
      <w:r>
        <w:br w:type="page"/>
      </w:r>
      <w:bookmarkStart w:id="872" w:name="_Toc70143060"/>
      <w:r>
        <w:t>Австралийская столичная территория</w:t>
      </w:r>
      <w:bookmarkEnd w:id="872"/>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caps/>
                <w:spacing w:val="-2"/>
                <w:lang w:eastAsia="zh-CN"/>
              </w:rPr>
            </w:pPr>
            <w:r>
              <w:rPr>
                <w:rFonts w:ascii="Arial" w:hAnsi="Arial"/>
                <w:caps/>
                <w:spacing w:val="-2"/>
                <w:lang w:eastAsia="zh-CN"/>
              </w:rPr>
              <w:t>Показатель</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64,6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64,8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64,7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65,9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68,6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65,2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68,2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35,2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38,5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34,7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699,2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735,5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774,6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783,7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832,2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$866,80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$912,70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852,4</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859,1</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924,2</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899,4</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992,1</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$1 021,80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$1 058,30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35,3</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35,3</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11,8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11,8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11,8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11,8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35,3</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41,2</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91,2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89,1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47,2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31,8</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22,8</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36,3</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37,6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35,7</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27,9</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30,4</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31,5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56,1</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55,6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br w:type="page"/>
      </w:r>
      <w:bookmarkStart w:id="873" w:name="_Toc70143061"/>
      <w:r>
        <w:t>Новый Южный Уэльс</w:t>
      </w:r>
      <w:bookmarkEnd w:id="873"/>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caps/>
                <w:spacing w:val="-2"/>
                <w:lang w:eastAsia="zh-CN"/>
              </w:rPr>
            </w:pPr>
            <w:r>
              <w:rPr>
                <w:rFonts w:ascii="Arial" w:hAnsi="Arial"/>
                <w:caps/>
                <w:spacing w:val="-2"/>
                <w:lang w:eastAsia="zh-CN"/>
              </w:rPr>
              <w:t>Показатель</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53,5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55,2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54,1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33,6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30,9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627,8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653,6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679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704,5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729,2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$781,30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$813,20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764,6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780,5</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810,9</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840,5</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901,3</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$957,30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$976,70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19,9</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19,9</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19,3</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20,9</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20,4</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26,7</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75,5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75,2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75,4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73,7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75,1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54,5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54,6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54,8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51,2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26,8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29,4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32,1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33,1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solid" w:color="C0C0C0" w:fill="auto"/>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Насилие</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solid" w:color="C0C0C0" w:fill="auto"/>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81,2</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74,3</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71,1</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69,2</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92,4</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95,3</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97,2</w:t>
            </w:r>
          </w:p>
        </w:tc>
        <w:tc>
          <w:tcPr>
            <w:tcW w:w="1021" w:type="dxa"/>
            <w:shd w:val="solid" w:color="C0C0C0" w:fill="auto"/>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rPr>
          <w:caps w:val="0"/>
        </w:rPr>
        <w:br w:type="page"/>
      </w:r>
      <w:bookmarkStart w:id="874" w:name="_Toc70143062"/>
      <w:r>
        <w:t>Северная территория</w:t>
      </w:r>
      <w:bookmarkEnd w:id="874"/>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caps/>
                <w:spacing w:val="-2"/>
              </w:rPr>
            </w:pPr>
            <w:r>
              <w:rPr>
                <w:rFonts w:ascii="Arial" w:hAnsi="Arial"/>
                <w:caps/>
                <w:spacing w:val="-2"/>
              </w:rPr>
              <w:t>Показатель</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20" w:line="240" w:lineRule="auto"/>
              <w:rPr>
                <w:rFonts w:ascii="Arial" w:hAnsi="Arial"/>
                <w:spacing w:val="-2"/>
              </w:rPr>
            </w:pPr>
            <w:r>
              <w:rPr>
                <w:rFonts w:ascii="Arial" w:hAnsi="Arial"/>
                <w:spacing w:val="-2"/>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63,9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63,9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62,1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67,6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60,3</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68,2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67,9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36,7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28,2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613,1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639,2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680,6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711,6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723</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pStyle w:val="Header"/>
              <w:tabs>
                <w:tab w:val="clear" w:pos="4677"/>
                <w:tab w:val="clear" w:pos="9355"/>
                <w:tab w:val="left" w:pos="-720"/>
              </w:tabs>
              <w:suppressAutoHyphens/>
              <w:spacing w:after="2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723,5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763,5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788,4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816,6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857,4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$740,00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$788,70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2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$874,90</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$903,30</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w:t>
            </w:r>
            <w:r>
              <w:rPr>
                <w:rFonts w:ascii="Arial" w:hAnsi="Arial"/>
                <w:caps/>
                <w:spacing w:val="-2"/>
              </w:rPr>
              <w:t xml:space="preserve"> </w:t>
            </w:r>
            <w:r>
              <w:rPr>
                <w:rFonts w:ascii="Arial" w:hAnsi="Arial"/>
                <w:spacing w:val="-2"/>
              </w:rPr>
              <w:t>женщин – депутатов парламентов штатов/территорий</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16</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12</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12</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12</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16</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28</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28</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28</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 (процент отсева с 7/8 класса по 12 класс)</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57,9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57,1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63</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46,9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обучающихся в ремесленных училищах и школах (общее число учащихся)</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33,4</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33,9</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33,4</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2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154,5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143,9</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123,7</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85,1</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117,2</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144,1</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155,9</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br w:type="page"/>
      </w:r>
      <w:bookmarkStart w:id="875" w:name="_Toc70143063"/>
      <w:r>
        <w:t>Квинсленд</w:t>
      </w:r>
      <w:bookmarkEnd w:id="875"/>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caps/>
                <w:spacing w:val="-2"/>
                <w:lang w:eastAsia="zh-CN"/>
              </w:rPr>
            </w:pPr>
            <w:r>
              <w:rPr>
                <w:rFonts w:ascii="Arial" w:hAnsi="Arial"/>
                <w:caps/>
                <w:spacing w:val="-2"/>
                <w:lang w:eastAsia="zh-CN"/>
              </w:rPr>
              <w:t>Показатель</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5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c>
          <w:tcPr>
            <w:tcW w:w="1021" w:type="dxa"/>
          </w:tcPr>
          <w:p w:rsidR="00000000" w:rsidRDefault="00000000">
            <w:pPr>
              <w:widowControl w:val="0"/>
              <w:spacing w:after="5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50" w:line="240" w:lineRule="auto"/>
              <w:rPr>
                <w:rFonts w:ascii="Arial" w:hAnsi="Arial"/>
                <w:spacing w:val="-2"/>
              </w:rPr>
            </w:pPr>
            <w:r>
              <w:rPr>
                <w:rFonts w:ascii="Arial" w:hAnsi="Arial"/>
                <w:spacing w:val="-2"/>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54,4</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54,8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55</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55,2</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56,6</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57,4</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57,5</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38,3</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36,4</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35,7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5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569,8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591,2</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613,5</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631,7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670,4</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$711,60</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$747,90</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5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665,6</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702,6</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742,9</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740,3</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795,1</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$812,40</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$851,80</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5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pStyle w:val="Header"/>
              <w:tabs>
                <w:tab w:val="clear" w:pos="4677"/>
                <w:tab w:val="clear" w:pos="9355"/>
                <w:tab w:val="left" w:pos="-720"/>
              </w:tabs>
              <w:suppressAutoHyphens/>
              <w:spacing w:after="5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14,6</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14,6</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15,7</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18</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19,1</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37</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34,8</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37,1</w:t>
            </w: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c>
          <w:tcPr>
            <w:tcW w:w="1021" w:type="dxa"/>
          </w:tcPr>
          <w:p w:rsidR="00000000" w:rsidRDefault="00000000">
            <w:pPr>
              <w:widowControl w:val="0"/>
              <w:spacing w:after="5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75,4</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76,7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77,9</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78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83,2</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85,5</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56</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55,1</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54,7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5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50</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50</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49</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48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48,8</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48,7</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5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32,4</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33,5</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33,8</w:t>
            </w:r>
          </w:p>
        </w:tc>
        <w:tc>
          <w:tcPr>
            <w:tcW w:w="1021" w:type="dxa"/>
            <w:tcBorders>
              <w:bottom w:val="single" w:sz="6" w:space="0" w:color="auto"/>
            </w:tcBorders>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5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5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90,9</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98,1</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100,9</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101,2</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102,8</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112,6</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127,8</w:t>
            </w:r>
          </w:p>
        </w:tc>
        <w:tc>
          <w:tcPr>
            <w:tcW w:w="1021" w:type="dxa"/>
            <w:shd w:val="clear" w:color="C0C0C0" w:fill="C0C0C0"/>
          </w:tcPr>
          <w:p w:rsidR="00000000" w:rsidRDefault="00000000">
            <w:pPr>
              <w:widowControl w:val="0"/>
              <w:spacing w:after="5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br w:type="page"/>
      </w:r>
      <w:bookmarkStart w:id="876" w:name="_Toc70143064"/>
      <w:r>
        <w:t>Южная Австралия</w:t>
      </w:r>
      <w:bookmarkEnd w:id="876"/>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Показатель</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2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c>
          <w:tcPr>
            <w:tcW w:w="1021" w:type="dxa"/>
          </w:tcPr>
          <w:p w:rsidR="00000000" w:rsidRDefault="00000000">
            <w:pPr>
              <w:widowControl w:val="0"/>
              <w:spacing w:after="2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20" w:line="240" w:lineRule="auto"/>
              <w:rPr>
                <w:rFonts w:ascii="Arial" w:hAnsi="Arial"/>
                <w:spacing w:val="-2"/>
              </w:rPr>
            </w:pPr>
            <w:r>
              <w:rPr>
                <w:rFonts w:ascii="Arial" w:hAnsi="Arial"/>
                <w:spacing w:val="-2"/>
              </w:rPr>
              <w:t>Процент женщин в составе рабочей силы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52,7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51,5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51,9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51,8</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52,4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36,90%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34,80%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35,4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562,4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583,7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623,5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631,2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667,7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$714,50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$757,20</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2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666,7</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703,9</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737,5</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742,7</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791,6</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$832,60</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$829,90</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21,7</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13,4</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31,9</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вероятного отсева женщин с 7/8 по 12 класс средней школы</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71,8</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74,1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74,6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72,6</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вероятного отсева женщин с 10 по 12 класс средней школы</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75,7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77,9</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76,2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76,2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77,3</w:t>
            </w:r>
          </w:p>
        </w:tc>
        <w:tc>
          <w:tcPr>
            <w:tcW w:w="1021" w:type="dxa"/>
          </w:tcPr>
          <w:p w:rsidR="00000000" w:rsidRDefault="00000000">
            <w:pPr>
              <w:widowControl w:val="0"/>
              <w:spacing w:after="20" w:line="240" w:lineRule="auto"/>
              <w:jc w:val="right"/>
              <w:rPr>
                <w:rFonts w:ascii="Arial" w:hAnsi="Arial"/>
                <w:snapToGrid w:val="0"/>
                <w:lang w:eastAsia="en-US"/>
              </w:rPr>
            </w:pP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55,5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55,6 (b)</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55,7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56,7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55,1</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57,2</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2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52,4</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45,7</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50,5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52,5</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48,8</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50,3</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2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30</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32,1</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40,1</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42,4</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34,7</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33,5</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35,1</w:t>
            </w:r>
          </w:p>
        </w:tc>
        <w:tc>
          <w:tcPr>
            <w:tcW w:w="1021" w:type="dxa"/>
            <w:tcBorders>
              <w:bottom w:val="single" w:sz="6" w:space="0" w:color="auto"/>
            </w:tcBorders>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2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2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92,1</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82,3</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88,1</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88,4</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97,8</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104,4</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106,8</w:t>
            </w:r>
          </w:p>
        </w:tc>
        <w:tc>
          <w:tcPr>
            <w:tcW w:w="1021" w:type="dxa"/>
            <w:shd w:val="clear" w:color="C0C0C0" w:fill="C0C0C0"/>
          </w:tcPr>
          <w:p w:rsidR="00000000" w:rsidRDefault="00000000">
            <w:pPr>
              <w:widowControl w:val="0"/>
              <w:spacing w:after="2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br w:type="page"/>
      </w:r>
      <w:bookmarkStart w:id="877" w:name="_Toc70143065"/>
      <w:r>
        <w:t>ТАСМАНИЯ</w:t>
      </w:r>
      <w:bookmarkEnd w:id="877"/>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caps/>
                <w:spacing w:val="-2"/>
                <w:lang w:eastAsia="zh-CN"/>
              </w:rPr>
            </w:pPr>
            <w:r>
              <w:rPr>
                <w:rFonts w:ascii="Arial" w:hAnsi="Arial"/>
                <w:caps/>
                <w:spacing w:val="-2"/>
                <w:lang w:eastAsia="zh-CN"/>
              </w:rPr>
              <w:t>Показатель</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в составе трудовых ресурсов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49,4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47,9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49,7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48,6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50,3</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33,1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34,6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556,3</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583,9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613,4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619,1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645,4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$701,10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$748,90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666,9</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717,6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732,5</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749,7</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784,2</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$789,20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$841,60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pStyle w:val="Header"/>
              <w:tabs>
                <w:tab w:val="clear" w:pos="4677"/>
                <w:tab w:val="clear" w:pos="9355"/>
                <w:tab w:val="left" w:pos="-720"/>
              </w:tabs>
              <w:suppressAutoHyphens/>
              <w:spacing w:after="4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18,5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24,1</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20,5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27,5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26,6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37,1</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73,9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79,4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52,1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45,9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43,9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40,6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41,2</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42,1</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center"/>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34,1</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41,8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45,8</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42,1</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41,2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43,7</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50,7</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Table-head"/>
      </w:pPr>
      <w:r>
        <w:br w:type="page"/>
      </w:r>
      <w:bookmarkStart w:id="878" w:name="_Toc70143066"/>
      <w:r>
        <w:t>ВИКТОРИЯ</w:t>
      </w:r>
      <w:bookmarkEnd w:id="878"/>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caps/>
                <w:spacing w:val="-2"/>
              </w:rPr>
            </w:pPr>
            <w:r>
              <w:rPr>
                <w:rFonts w:ascii="Arial" w:hAnsi="Arial"/>
                <w:caps/>
                <w:spacing w:val="-2"/>
              </w:rPr>
              <w:t>Показатель</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widowControl w:val="0"/>
              <w:spacing w:after="180" w:line="240" w:lineRule="auto"/>
              <w:jc w:val="center"/>
              <w:rPr>
                <w:rFonts w:ascii="Arial" w:hAnsi="Arial"/>
                <w:b/>
                <w:snapToGrid w:val="0"/>
                <w:lang w:eastAsia="en-US"/>
              </w:rPr>
            </w:pPr>
            <w:r>
              <w:rPr>
                <w:rFonts w:ascii="Arial" w:hAnsi="Arial"/>
                <w:b/>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c>
          <w:tcPr>
            <w:tcW w:w="1021" w:type="dxa"/>
          </w:tcPr>
          <w:p w:rsidR="00000000" w:rsidRDefault="00000000">
            <w:pPr>
              <w:widowControl w:val="0"/>
              <w:spacing w:after="18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pStyle w:val="Header"/>
              <w:tabs>
                <w:tab w:val="clear" w:pos="4677"/>
                <w:tab w:val="clear" w:pos="9355"/>
                <w:tab w:val="left" w:pos="-720"/>
              </w:tabs>
              <w:suppressAutoHyphens/>
              <w:spacing w:after="180" w:line="240" w:lineRule="auto"/>
              <w:rPr>
                <w:rFonts w:ascii="Arial" w:hAnsi="Arial"/>
                <w:spacing w:val="-2"/>
              </w:rPr>
            </w:pPr>
            <w:r>
              <w:rPr>
                <w:rFonts w:ascii="Arial" w:hAnsi="Arial"/>
                <w:spacing w:val="-2"/>
              </w:rPr>
              <w:t>Процент женщин в составе трудовых ресурсов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53,1</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52,4</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54,6</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53,1</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54,5</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55,1</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56</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32,30%</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32,20%</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31,7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18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588</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625,8</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650,2</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685,2</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724,1</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$749,10</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$799,00</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18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697,6</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754,2</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770,9</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772,3</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813,1</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$853,80</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$938,20</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8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8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18,2</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24,1</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19,7</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25</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25,8</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25,8</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40</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30,3</w:t>
            </w: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c>
          <w:tcPr>
            <w:tcW w:w="1021" w:type="dxa"/>
          </w:tcPr>
          <w:p w:rsidR="00000000" w:rsidRDefault="00000000">
            <w:pPr>
              <w:widowControl w:val="0"/>
              <w:spacing w:after="18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86</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87,3</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86,9</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86,7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87,7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86,7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88,7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54,9</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54,5</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54,5</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54,5</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54,1</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18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45,2</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44,8</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45,5</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46,9</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47,8</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46,7</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pStyle w:val="Header"/>
              <w:tabs>
                <w:tab w:val="clear" w:pos="4677"/>
                <w:tab w:val="clear" w:pos="9355"/>
                <w:tab w:val="left" w:pos="-720"/>
              </w:tabs>
              <w:suppressAutoHyphens/>
              <w:spacing w:after="18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18,5</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21,1</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26,4</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33,5</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35,6</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37,4</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41</w:t>
            </w:r>
          </w:p>
        </w:tc>
        <w:tc>
          <w:tcPr>
            <w:tcW w:w="1021" w:type="dxa"/>
            <w:tcBorders>
              <w:bottom w:val="single" w:sz="6" w:space="0" w:color="auto"/>
            </w:tcBorders>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18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c>
          <w:tcPr>
            <w:tcW w:w="1021" w:type="dxa"/>
            <w:shd w:val="clear" w:color="C0C0C0" w:fill="C0C0C0"/>
          </w:tcPr>
          <w:p w:rsidR="00000000" w:rsidRDefault="00000000">
            <w:pPr>
              <w:widowControl w:val="0"/>
              <w:spacing w:after="180" w:line="240" w:lineRule="auto"/>
              <w:jc w:val="center"/>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18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61,4</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64,1</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64,2</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59,5</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51,9</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54,3</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54,3</w:t>
            </w:r>
          </w:p>
        </w:tc>
        <w:tc>
          <w:tcPr>
            <w:tcW w:w="1021" w:type="dxa"/>
            <w:shd w:val="clear" w:color="C0C0C0" w:fill="C0C0C0"/>
          </w:tcPr>
          <w:p w:rsidR="00000000" w:rsidRDefault="00000000">
            <w:pPr>
              <w:widowControl w:val="0"/>
              <w:spacing w:after="18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tabs>
          <w:tab w:val="clear" w:pos="680"/>
          <w:tab w:val="clear" w:pos="1021"/>
          <w:tab w:val="left" w:pos="-720"/>
          <w:tab w:val="left" w:pos="340"/>
        </w:tabs>
        <w:suppressAutoHyphens/>
        <w:spacing w:before="120" w:after="120" w:line="240" w:lineRule="auto"/>
        <w:jc w:val="both"/>
        <w:rPr>
          <w:rFonts w:ascii="Arial" w:hAnsi="Arial"/>
          <w:spacing w:val="-2"/>
        </w:rPr>
      </w:pPr>
      <w:r>
        <w:rPr>
          <w:rFonts w:ascii="Arial" w:hAnsi="Arial"/>
          <w:spacing w:val="-2"/>
        </w:rPr>
        <w:t>***</w:t>
      </w:r>
      <w:r>
        <w:rPr>
          <w:rFonts w:ascii="Arial" w:hAnsi="Arial"/>
          <w:spacing w:val="-2"/>
        </w:rPr>
        <w:tab/>
        <w:t>Данные проведенной в августе переписи учащихся 10–12 классов. Эти данные являются более низкими, но более точными, чем данные переписи, проведенной в феврале.</w:t>
      </w:r>
    </w:p>
    <w:p w:rsidR="00000000" w:rsidRDefault="00000000">
      <w:pPr>
        <w:tabs>
          <w:tab w:val="clear" w:pos="680"/>
          <w:tab w:val="clear" w:pos="1021"/>
          <w:tab w:val="left" w:pos="-720"/>
          <w:tab w:val="left" w:pos="340"/>
        </w:tabs>
        <w:suppressAutoHyphens/>
        <w:spacing w:before="120" w:after="120" w:line="240" w:lineRule="auto"/>
        <w:jc w:val="both"/>
        <w:rPr>
          <w:rFonts w:ascii="Arial" w:hAnsi="Arial"/>
          <w:spacing w:val="-2"/>
        </w:rPr>
      </w:pPr>
      <w:r>
        <w:rPr>
          <w:rFonts w:ascii="Arial" w:hAnsi="Arial"/>
          <w:spacing w:val="-2"/>
        </w:rPr>
        <w:t>****</w:t>
      </w:r>
      <w:r>
        <w:rPr>
          <w:rFonts w:ascii="Arial" w:hAnsi="Arial"/>
          <w:spacing w:val="-2"/>
        </w:rPr>
        <w:tab/>
        <w:t>Включает всех учащихся, в том числе проходящих обучение за рубежом или по линии обмена между штатами, число которых несколько ниже, чем число учащихся, обучающихся только в учебных заведениях штата Виктория.</w:t>
      </w:r>
    </w:p>
    <w:p w:rsidR="00000000" w:rsidRDefault="00000000">
      <w:pPr>
        <w:tabs>
          <w:tab w:val="left" w:pos="-720"/>
        </w:tabs>
        <w:suppressAutoHyphens/>
        <w:spacing w:line="360" w:lineRule="auto"/>
        <w:jc w:val="both"/>
        <w:rPr>
          <w:spacing w:val="-2"/>
        </w:rPr>
      </w:pPr>
    </w:p>
    <w:p w:rsidR="00000000" w:rsidRDefault="00000000">
      <w:pPr>
        <w:pStyle w:val="Table-head"/>
      </w:pPr>
      <w:r>
        <w:br w:type="page"/>
      </w:r>
      <w:bookmarkStart w:id="879" w:name="_Toc70143067"/>
      <w:r>
        <w:t>ЗАПАДНАЯ Австралия</w:t>
      </w:r>
      <w:bookmarkEnd w:id="879"/>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tblPr>
      <w:tblGrid>
        <w:gridCol w:w="5103"/>
        <w:gridCol w:w="1021"/>
        <w:gridCol w:w="1021"/>
        <w:gridCol w:w="1021"/>
        <w:gridCol w:w="1021"/>
        <w:gridCol w:w="1021"/>
        <w:gridCol w:w="1021"/>
        <w:gridCol w:w="1021"/>
        <w:gridCol w:w="1021"/>
      </w:tblGrid>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caps/>
                <w:spacing w:val="-2"/>
                <w:lang w:eastAsia="zh-CN"/>
              </w:rPr>
            </w:pPr>
            <w:r>
              <w:rPr>
                <w:rFonts w:ascii="Arial" w:hAnsi="Arial"/>
                <w:caps/>
                <w:spacing w:val="-2"/>
                <w:lang w:eastAsia="zh-CN"/>
              </w:rPr>
              <w:t>Показатель</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1996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1997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1998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1999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2000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2001 год</w:t>
            </w:r>
          </w:p>
        </w:tc>
        <w:tc>
          <w:tcPr>
            <w:tcW w:w="1021" w:type="dxa"/>
          </w:tcPr>
          <w:p w:rsidR="00000000" w:rsidRDefault="00000000">
            <w:pPr>
              <w:widowControl w:val="0"/>
              <w:spacing w:after="40" w:line="240" w:lineRule="auto"/>
              <w:jc w:val="center"/>
              <w:rPr>
                <w:rFonts w:ascii="Arial" w:hAnsi="Arial"/>
                <w:b/>
                <w:snapToGrid w:val="0"/>
                <w:lang w:eastAsia="en-US"/>
              </w:rPr>
            </w:pPr>
            <w:r>
              <w:rPr>
                <w:rFonts w:ascii="Arial" w:hAnsi="Arial"/>
                <w:b/>
                <w:snapToGrid w:val="0"/>
                <w:lang w:eastAsia="en-US"/>
              </w:rPr>
              <w:t>2002 год</w:t>
            </w:r>
          </w:p>
        </w:tc>
        <w:tc>
          <w:tcPr>
            <w:tcW w:w="1021" w:type="dxa"/>
          </w:tcPr>
          <w:p w:rsidR="00000000" w:rsidRDefault="00000000">
            <w:pPr>
              <w:pStyle w:val="1-1"/>
              <w:keepNext w:val="0"/>
              <w:widowControl w:val="0"/>
              <w:tabs>
                <w:tab w:val="clear" w:pos="397"/>
                <w:tab w:val="left" w:pos="680"/>
                <w:tab w:val="left" w:pos="1021"/>
              </w:tabs>
              <w:spacing w:before="0" w:after="40" w:line="240" w:lineRule="auto"/>
              <w:jc w:val="center"/>
              <w:outlineLvl w:val="9"/>
              <w:rPr>
                <w:snapToGrid w:val="0"/>
                <w:lang w:eastAsia="en-US"/>
              </w:rPr>
            </w:pPr>
            <w:r>
              <w:rPr>
                <w:snapToGrid w:val="0"/>
                <w:lang w:eastAsia="en-US"/>
              </w:rPr>
              <w:t>2003 год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Рабочая сила</w:t>
            </w: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c>
          <w:tcPr>
            <w:tcW w:w="1021" w:type="dxa"/>
          </w:tcPr>
          <w:p w:rsidR="00000000" w:rsidRDefault="00000000">
            <w:pPr>
              <w:widowControl w:val="0"/>
              <w:spacing w:after="40" w:line="240" w:lineRule="auto"/>
              <w:jc w:val="center"/>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в составе трудовых ресурсов (по состоянию на август месяц) – ряды, скорректированные с учетом сезонных колебаний</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55,2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57,4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58,1</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57,5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малых предприятий, владельцами которых являются женщины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36</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32,9</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34,5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женщин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582,2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604,7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627,7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637,5</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687,2</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$722,00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$746,90</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rPr>
          <w:trHeight w:val="510"/>
        </w:trPr>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Средненедельный заработок взрослых мужчин со стандартной занятостью в течение полного рабочего дня – поквартальные первоначальные ряды по состоянию на август месяц (в австралийских долларах)</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748,5</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776,4</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818,1</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832,6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878,7</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$911,60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$953,00</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Руководящие работники</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 депутатов парламентов штатов/территорий</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18,7</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24,1</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28,6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25,3</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Образование/профессиональная подготовка</w:t>
            </w: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c>
          <w:tcPr>
            <w:tcW w:w="1021" w:type="dxa"/>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вероятного отсева женщин до окончания 12 класса средней школы</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77,3</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78,3</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 учащихся высших учебных заведений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56,8</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56,7</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учебных заведениях системы ПТО (от общего числа учащихся)</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47,4</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46,3</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tcBorders>
              <w:bottom w:val="single" w:sz="6" w:space="0" w:color="auto"/>
            </w:tcBorders>
          </w:tcPr>
          <w:p w:rsidR="00000000" w:rsidRDefault="00000000">
            <w:pPr>
              <w:tabs>
                <w:tab w:val="left" w:pos="-720"/>
              </w:tabs>
              <w:suppressAutoHyphens/>
              <w:spacing w:after="40" w:line="240" w:lineRule="auto"/>
              <w:rPr>
                <w:rFonts w:ascii="Arial" w:hAnsi="Arial"/>
                <w:spacing w:val="-2"/>
              </w:rPr>
            </w:pPr>
            <w:r>
              <w:rPr>
                <w:rFonts w:ascii="Arial" w:hAnsi="Arial"/>
                <w:spacing w:val="-2"/>
              </w:rPr>
              <w:t>Процент женщин, обучающихся в ремесленных училищах и школах (от общего числа учащихся)</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26,6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28,3</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26</w:t>
            </w:r>
          </w:p>
        </w:tc>
        <w:tc>
          <w:tcPr>
            <w:tcW w:w="1021" w:type="dxa"/>
            <w:tcBorders>
              <w:bottom w:val="single" w:sz="6" w:space="0" w:color="auto"/>
            </w:tcBorders>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r w:rsidR="00000000">
        <w:tblPrEx>
          <w:tblCellMar>
            <w:top w:w="0" w:type="dxa"/>
            <w:bottom w:w="0" w:type="dxa"/>
          </w:tblCellMar>
        </w:tblPrEx>
        <w:tc>
          <w:tcPr>
            <w:tcW w:w="5103" w:type="dxa"/>
            <w:shd w:val="clear" w:color="C0C0C0" w:fill="C0C0C0"/>
          </w:tcPr>
          <w:p w:rsidR="00000000" w:rsidRDefault="00000000">
            <w:pPr>
              <w:tabs>
                <w:tab w:val="left" w:pos="-720"/>
              </w:tabs>
              <w:suppressAutoHyphens/>
              <w:spacing w:after="40" w:line="240" w:lineRule="auto"/>
              <w:rPr>
                <w:rFonts w:ascii="Arial" w:hAnsi="Arial"/>
                <w:spacing w:val="-2"/>
                <w:lang w:eastAsia="zh-CN"/>
              </w:rPr>
            </w:pPr>
            <w:r>
              <w:rPr>
                <w:rFonts w:ascii="Arial" w:hAnsi="Arial"/>
                <w:spacing w:val="-2"/>
                <w:lang w:eastAsia="zh-CN"/>
              </w:rPr>
              <w:t>Насилие</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p>
        </w:tc>
      </w:tr>
      <w:tr w:rsidR="00000000">
        <w:tblPrEx>
          <w:tblCellMar>
            <w:top w:w="0" w:type="dxa"/>
            <w:bottom w:w="0" w:type="dxa"/>
          </w:tblCellMar>
        </w:tblPrEx>
        <w:trPr>
          <w:trHeight w:val="270"/>
        </w:trPr>
        <w:tc>
          <w:tcPr>
            <w:tcW w:w="5103" w:type="dxa"/>
            <w:shd w:val="clear" w:color="C0C0C0" w:fill="C0C0C0"/>
          </w:tcPr>
          <w:p w:rsidR="00000000" w:rsidRDefault="00000000">
            <w:pPr>
              <w:tabs>
                <w:tab w:val="left" w:pos="-720"/>
              </w:tabs>
              <w:suppressAutoHyphens/>
              <w:spacing w:after="40" w:line="240" w:lineRule="auto"/>
              <w:rPr>
                <w:rFonts w:ascii="Arial" w:hAnsi="Arial"/>
                <w:spacing w:val="-2"/>
              </w:rPr>
            </w:pPr>
            <w:r>
              <w:rPr>
                <w:rFonts w:ascii="Arial" w:hAnsi="Arial"/>
                <w:spacing w:val="-2"/>
              </w:rPr>
              <w:t>Коэффициент женщин, подвергшихся сексуальному насилию и сообщивших об этом в полицию (на 100 000 человек)</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99,5</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89,6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82,7</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83,6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81,2</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88,6</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84</w:t>
            </w:r>
          </w:p>
        </w:tc>
        <w:tc>
          <w:tcPr>
            <w:tcW w:w="1021" w:type="dxa"/>
            <w:shd w:val="clear" w:color="C0C0C0" w:fill="C0C0C0"/>
          </w:tcPr>
          <w:p w:rsidR="00000000" w:rsidRDefault="00000000">
            <w:pPr>
              <w:widowControl w:val="0"/>
              <w:spacing w:after="40" w:line="240" w:lineRule="auto"/>
              <w:jc w:val="right"/>
              <w:rPr>
                <w:rFonts w:ascii="Arial" w:hAnsi="Arial"/>
                <w:snapToGrid w:val="0"/>
                <w:lang w:eastAsia="en-US"/>
              </w:rPr>
            </w:pPr>
            <w:r>
              <w:rPr>
                <w:rFonts w:ascii="Arial" w:hAnsi="Arial"/>
                <w:snapToGrid w:val="0"/>
                <w:lang w:eastAsia="en-US"/>
              </w:rPr>
              <w:t>нд</w:t>
            </w:r>
          </w:p>
        </w:tc>
      </w:tr>
    </w:tbl>
    <w:p w:rsidR="00000000" w:rsidRDefault="00000000">
      <w:pPr>
        <w:pStyle w:val="BodyText"/>
        <w:spacing w:after="0" w:line="240" w:lineRule="auto"/>
      </w:pPr>
    </w:p>
    <w:sectPr w:rsidR="00000000">
      <w:headerReference w:type="even" r:id="rId15"/>
      <w:footerReference w:type="even" r:id="rId16"/>
      <w:pgSz w:w="15842" w:h="12242" w:orient="landscape" w:code="1"/>
      <w:pgMar w:top="1418" w:right="1701" w:bottom="1531" w:left="1134" w:header="0" w:footer="851" w:gutter="0"/>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w:t>
      </w:r>
      <w:r>
        <w:rPr>
          <w:lang w:val="en-US"/>
        </w:rPr>
        <w:t>23373</w:t>
      </w:r>
      <w:r>
        <w:t>R&lt;&lt;ODS JOB NO&gt;&gt;</w:t>
      </w:r>
    </w:p>
    <w:p w:rsidR="00000000" w:rsidRDefault="00000000">
      <w:pPr>
        <w:pStyle w:val="CommentText"/>
      </w:pPr>
      <w:r>
        <w:t>&lt;&lt;ODS DOC SYMBOL1&gt;&gt;</w:t>
      </w:r>
      <w:r>
        <w:rPr>
          <w:lang w:val="en-US"/>
        </w:rPr>
        <w:t>CEDAW/C/AUL/4-5</w:t>
      </w:r>
      <w:r>
        <w:t>&lt;&lt;ODS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p w:rsidR="00000000" w:rsidRDefault="0000000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after="0" w:line="240" w:lineRule="auto"/>
    </w:pPr>
    <w:r>
      <w:t>0</w:t>
    </w:r>
    <w:r>
      <w:rPr>
        <w:lang w:val="en-US"/>
      </w:rPr>
      <w:t>4</w:t>
    </w:r>
    <w:r>
      <w:t>-</w:t>
    </w:r>
    <w:r>
      <w:rPr>
        <w:lang w:val="en-US"/>
      </w:rPr>
      <w:t>23373</w:t>
    </w:r>
    <w:r>
      <w:t xml:space="preserve"> (</w:t>
    </w:r>
    <w:r>
      <w:rPr>
        <w:lang w:val="en-US"/>
      </w:rPr>
      <w:t>R</w:t>
    </w:r>
    <w: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40" w:line="240" w:lineRule="auto"/>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tabs>
          <w:tab w:val="clear" w:pos="227"/>
          <w:tab w:val="left" w:pos="567"/>
        </w:tabs>
      </w:pPr>
      <w:r>
        <w:rPr>
          <w:rStyle w:val="FootnoteReference"/>
        </w:rPr>
        <w:t>*</w:t>
      </w:r>
      <w:r>
        <w:tab/>
        <w:t xml:space="preserve">Настоящий доклад издается без официального редактирования. </w:t>
      </w:r>
      <w:r>
        <w:rPr>
          <w:spacing w:val="-3"/>
        </w:rPr>
        <w:t>Первоначальный доклад, представленный правительством Австралии, см. в документе CEDAW/C/5/Add.40, рассмотренном Комитетом на его седьмом заседании. Второй периодический доклад, представленный правительством Австралии, см. в документе CEDAW/C/AUL/2, рассмотренном Комитетом на его тринадцатом заседании. Третий периодический доклад, представленный правительством Австралии, см. в документе CEDAW/C/AUL/3, рассмотренном Комитетом на его семнадцатом заседании.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right="360"/>
    </w:pPr>
  </w:p>
  <w:p w:rsidR="00000000" w:rsidRDefault="0000000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294F07"/>
    <w:multiLevelType w:val="singleLevel"/>
    <w:tmpl w:val="DE948AC4"/>
    <w:lvl w:ilvl="0">
      <w:start w:val="459"/>
      <w:numFmt w:val="decimal"/>
      <w:lvlText w:val="%1."/>
      <w:lvlJc w:val="left"/>
      <w:pPr>
        <w:tabs>
          <w:tab w:val="num" w:pos="360"/>
        </w:tabs>
        <w:ind w:left="360" w:hanging="360"/>
      </w:pPr>
    </w:lvl>
  </w:abstractNum>
  <w:abstractNum w:abstractNumId="2">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008221F2"/>
    <w:multiLevelType w:val="singleLevel"/>
    <w:tmpl w:val="2850F2E6"/>
    <w:lvl w:ilvl="0">
      <w:start w:val="471"/>
      <w:numFmt w:val="decimal"/>
      <w:lvlText w:val="%1."/>
      <w:lvlJc w:val="left"/>
      <w:pPr>
        <w:tabs>
          <w:tab w:val="num" w:pos="360"/>
        </w:tabs>
        <w:ind w:left="360" w:hanging="360"/>
      </w:pPr>
    </w:lvl>
  </w:abstractNum>
  <w:abstractNum w:abstractNumId="4">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
    <w:nsid w:val="00E1644A"/>
    <w:multiLevelType w:val="singleLevel"/>
    <w:tmpl w:val="755E186A"/>
    <w:lvl w:ilvl="0">
      <w:start w:val="110"/>
      <w:numFmt w:val="decimal"/>
      <w:lvlText w:val="%1."/>
      <w:lvlJc w:val="left"/>
      <w:pPr>
        <w:tabs>
          <w:tab w:val="num" w:pos="360"/>
        </w:tabs>
        <w:ind w:left="360" w:hanging="360"/>
      </w:pPr>
    </w:lvl>
  </w:abstractNum>
  <w:abstractNum w:abstractNumId="6">
    <w:nsid w:val="01216E17"/>
    <w:multiLevelType w:val="singleLevel"/>
    <w:tmpl w:val="BC9AD2DC"/>
    <w:lvl w:ilvl="0">
      <w:start w:val="425"/>
      <w:numFmt w:val="decimal"/>
      <w:lvlText w:val="%1."/>
      <w:lvlJc w:val="left"/>
      <w:pPr>
        <w:tabs>
          <w:tab w:val="num" w:pos="360"/>
        </w:tabs>
        <w:ind w:left="360" w:hanging="360"/>
      </w:pPr>
    </w:lvl>
  </w:abstractNum>
  <w:abstractNum w:abstractNumId="7">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014E4299"/>
    <w:multiLevelType w:val="singleLevel"/>
    <w:tmpl w:val="2B3E4394"/>
    <w:lvl w:ilvl="0">
      <w:start w:val="42"/>
      <w:numFmt w:val="decimal"/>
      <w:lvlText w:val="%1."/>
      <w:lvlJc w:val="left"/>
      <w:pPr>
        <w:tabs>
          <w:tab w:val="num" w:pos="360"/>
        </w:tabs>
        <w:ind w:left="360" w:hanging="360"/>
      </w:pPr>
    </w:lvl>
  </w:abstractNum>
  <w:abstractNum w:abstractNumId="9">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0">
    <w:nsid w:val="01DC7C88"/>
    <w:multiLevelType w:val="singleLevel"/>
    <w:tmpl w:val="D98C7C6A"/>
    <w:lvl w:ilvl="0">
      <w:numFmt w:val="bullet"/>
      <w:lvlText w:val="-"/>
      <w:lvlJc w:val="left"/>
      <w:pPr>
        <w:tabs>
          <w:tab w:val="num" w:pos="360"/>
        </w:tabs>
        <w:ind w:left="360" w:hanging="360"/>
      </w:pPr>
      <w:rPr>
        <w:rFonts w:hint="default"/>
      </w:rPr>
    </w:lvl>
  </w:abstractNum>
  <w:abstractNum w:abstractNumId="11">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02E4095A"/>
    <w:multiLevelType w:val="singleLevel"/>
    <w:tmpl w:val="0C8471B8"/>
    <w:lvl w:ilvl="0">
      <w:start w:val="60"/>
      <w:numFmt w:val="decimal"/>
      <w:lvlText w:val="%1."/>
      <w:lvlJc w:val="left"/>
      <w:pPr>
        <w:tabs>
          <w:tab w:val="num" w:pos="360"/>
        </w:tabs>
        <w:ind w:left="340" w:hanging="340"/>
      </w:pPr>
    </w:lvl>
  </w:abstractNum>
  <w:abstractNum w:abstractNumId="13">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4">
    <w:nsid w:val="03020784"/>
    <w:multiLevelType w:val="singleLevel"/>
    <w:tmpl w:val="0419000F"/>
    <w:lvl w:ilvl="0">
      <w:start w:val="1"/>
      <w:numFmt w:val="decimal"/>
      <w:lvlText w:val="%1."/>
      <w:lvlJc w:val="left"/>
      <w:pPr>
        <w:tabs>
          <w:tab w:val="num" w:pos="360"/>
        </w:tabs>
        <w:ind w:left="360" w:hanging="360"/>
      </w:pPr>
    </w:lvl>
  </w:abstractNum>
  <w:abstractNum w:abstractNumId="15">
    <w:nsid w:val="03300648"/>
    <w:multiLevelType w:val="singleLevel"/>
    <w:tmpl w:val="B45CB0C8"/>
    <w:lvl w:ilvl="0">
      <w:start w:val="220"/>
      <w:numFmt w:val="decimal"/>
      <w:lvlText w:val="%1."/>
      <w:lvlJc w:val="left"/>
      <w:pPr>
        <w:tabs>
          <w:tab w:val="num" w:pos="360"/>
        </w:tabs>
        <w:ind w:left="360" w:hanging="360"/>
      </w:pPr>
    </w:lvl>
  </w:abstractNum>
  <w:abstractNum w:abstractNumId="16">
    <w:nsid w:val="033953E4"/>
    <w:multiLevelType w:val="singleLevel"/>
    <w:tmpl w:val="7DEAE99E"/>
    <w:lvl w:ilvl="0">
      <w:start w:val="424"/>
      <w:numFmt w:val="decimal"/>
      <w:lvlText w:val="%1."/>
      <w:lvlJc w:val="left"/>
      <w:pPr>
        <w:tabs>
          <w:tab w:val="num" w:pos="360"/>
        </w:tabs>
        <w:ind w:left="360" w:hanging="360"/>
      </w:pPr>
    </w:lvl>
  </w:abstractNum>
  <w:abstractNum w:abstractNumId="17">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8">
    <w:nsid w:val="03712975"/>
    <w:multiLevelType w:val="singleLevel"/>
    <w:tmpl w:val="8B12959E"/>
    <w:lvl w:ilvl="0">
      <w:start w:val="101"/>
      <w:numFmt w:val="decimal"/>
      <w:lvlText w:val="%1."/>
      <w:lvlJc w:val="left"/>
      <w:pPr>
        <w:tabs>
          <w:tab w:val="num" w:pos="624"/>
        </w:tabs>
        <w:ind w:left="624" w:hanging="624"/>
      </w:pPr>
    </w:lvl>
  </w:abstractNum>
  <w:abstractNum w:abstractNumId="19">
    <w:nsid w:val="039A58AF"/>
    <w:multiLevelType w:val="singleLevel"/>
    <w:tmpl w:val="B1C45F64"/>
    <w:lvl w:ilvl="0">
      <w:start w:val="41"/>
      <w:numFmt w:val="decimal"/>
      <w:lvlText w:val="%1."/>
      <w:lvlJc w:val="left"/>
      <w:pPr>
        <w:tabs>
          <w:tab w:val="num" w:pos="360"/>
        </w:tabs>
        <w:ind w:left="360" w:hanging="360"/>
      </w:pPr>
    </w:lvl>
  </w:abstractNum>
  <w:abstractNum w:abstractNumId="20">
    <w:nsid w:val="03AA362D"/>
    <w:multiLevelType w:val="singleLevel"/>
    <w:tmpl w:val="D98C7C6A"/>
    <w:lvl w:ilvl="0">
      <w:numFmt w:val="bullet"/>
      <w:lvlText w:val="-"/>
      <w:lvlJc w:val="left"/>
      <w:pPr>
        <w:tabs>
          <w:tab w:val="num" w:pos="360"/>
        </w:tabs>
        <w:ind w:left="360" w:hanging="360"/>
      </w:pPr>
      <w:rPr>
        <w:rFonts w:hint="default"/>
      </w:rPr>
    </w:lvl>
  </w:abstractNum>
  <w:abstractNum w:abstractNumId="21">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2">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3">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nsid w:val="04777D89"/>
    <w:multiLevelType w:val="singleLevel"/>
    <w:tmpl w:val="98464852"/>
    <w:lvl w:ilvl="0">
      <w:start w:val="186"/>
      <w:numFmt w:val="decimal"/>
      <w:lvlText w:val="%1."/>
      <w:lvlJc w:val="left"/>
      <w:pPr>
        <w:tabs>
          <w:tab w:val="num" w:pos="360"/>
        </w:tabs>
        <w:ind w:left="360" w:hanging="360"/>
      </w:pPr>
    </w:lvl>
  </w:abstractNum>
  <w:abstractNum w:abstractNumId="25">
    <w:nsid w:val="04BC58F0"/>
    <w:multiLevelType w:val="singleLevel"/>
    <w:tmpl w:val="D98C7C6A"/>
    <w:lvl w:ilvl="0">
      <w:numFmt w:val="bullet"/>
      <w:lvlText w:val="-"/>
      <w:lvlJc w:val="left"/>
      <w:pPr>
        <w:tabs>
          <w:tab w:val="num" w:pos="360"/>
        </w:tabs>
        <w:ind w:left="360" w:hanging="360"/>
      </w:pPr>
      <w:rPr>
        <w:rFonts w:hint="default"/>
      </w:rPr>
    </w:lvl>
  </w:abstractNum>
  <w:abstractNum w:abstractNumId="26">
    <w:nsid w:val="053A4145"/>
    <w:multiLevelType w:val="singleLevel"/>
    <w:tmpl w:val="45EE22BC"/>
    <w:lvl w:ilvl="0">
      <w:start w:val="465"/>
      <w:numFmt w:val="decimal"/>
      <w:lvlText w:val="%1."/>
      <w:lvlJc w:val="left"/>
      <w:pPr>
        <w:tabs>
          <w:tab w:val="num" w:pos="360"/>
        </w:tabs>
        <w:ind w:left="360" w:hanging="360"/>
      </w:pPr>
    </w:lvl>
  </w:abstractNum>
  <w:abstractNum w:abstractNumId="27">
    <w:nsid w:val="05750455"/>
    <w:multiLevelType w:val="singleLevel"/>
    <w:tmpl w:val="6CD0C1CA"/>
    <w:lvl w:ilvl="0">
      <w:start w:val="301"/>
      <w:numFmt w:val="decimal"/>
      <w:lvlText w:val="%1."/>
      <w:lvlJc w:val="left"/>
      <w:pPr>
        <w:tabs>
          <w:tab w:val="num" w:pos="360"/>
        </w:tabs>
        <w:ind w:left="360" w:hanging="360"/>
      </w:pPr>
    </w:lvl>
  </w:abstractNum>
  <w:abstractNum w:abstractNumId="28">
    <w:nsid w:val="05C17620"/>
    <w:multiLevelType w:val="singleLevel"/>
    <w:tmpl w:val="83F6E720"/>
    <w:lvl w:ilvl="0">
      <w:start w:val="276"/>
      <w:numFmt w:val="decimal"/>
      <w:lvlText w:val="%1."/>
      <w:lvlJc w:val="left"/>
      <w:pPr>
        <w:tabs>
          <w:tab w:val="num" w:pos="360"/>
        </w:tabs>
        <w:ind w:left="360" w:hanging="360"/>
      </w:pPr>
    </w:lvl>
  </w:abstractNum>
  <w:abstractNum w:abstractNumId="29">
    <w:nsid w:val="05D8710C"/>
    <w:multiLevelType w:val="singleLevel"/>
    <w:tmpl w:val="11624234"/>
    <w:lvl w:ilvl="0">
      <w:start w:val="99"/>
      <w:numFmt w:val="decimal"/>
      <w:lvlText w:val="%1."/>
      <w:lvlJc w:val="left"/>
      <w:pPr>
        <w:tabs>
          <w:tab w:val="num" w:pos="360"/>
        </w:tabs>
        <w:ind w:left="360" w:hanging="360"/>
      </w:pPr>
    </w:lvl>
  </w:abstractNum>
  <w:abstractNum w:abstractNumId="30">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1">
    <w:nsid w:val="06966916"/>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
    <w:nsid w:val="06CB3F11"/>
    <w:multiLevelType w:val="singleLevel"/>
    <w:tmpl w:val="E28A6A80"/>
    <w:lvl w:ilvl="0">
      <w:start w:val="11"/>
      <w:numFmt w:val="decimal"/>
      <w:lvlText w:val="%1."/>
      <w:lvlJc w:val="left"/>
      <w:pPr>
        <w:tabs>
          <w:tab w:val="num" w:pos="360"/>
        </w:tabs>
        <w:ind w:left="360" w:hanging="360"/>
      </w:pPr>
    </w:lvl>
  </w:abstractNum>
  <w:abstractNum w:abstractNumId="33">
    <w:nsid w:val="07C1231B"/>
    <w:multiLevelType w:val="singleLevel"/>
    <w:tmpl w:val="D98C7C6A"/>
    <w:lvl w:ilvl="0">
      <w:numFmt w:val="bullet"/>
      <w:lvlText w:val="-"/>
      <w:lvlJc w:val="left"/>
      <w:pPr>
        <w:tabs>
          <w:tab w:val="num" w:pos="360"/>
        </w:tabs>
        <w:ind w:left="360" w:hanging="360"/>
      </w:pPr>
      <w:rPr>
        <w:rFonts w:hint="default"/>
      </w:rPr>
    </w:lvl>
  </w:abstractNum>
  <w:abstractNum w:abstractNumId="34">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
    <w:nsid w:val="07F3193D"/>
    <w:multiLevelType w:val="singleLevel"/>
    <w:tmpl w:val="876A867E"/>
    <w:lvl w:ilvl="0">
      <w:start w:val="67"/>
      <w:numFmt w:val="decimal"/>
      <w:lvlText w:val="%1."/>
      <w:lvlJc w:val="left"/>
      <w:pPr>
        <w:tabs>
          <w:tab w:val="num" w:pos="360"/>
        </w:tabs>
        <w:ind w:left="360" w:hanging="360"/>
      </w:pPr>
    </w:lvl>
  </w:abstractNum>
  <w:abstractNum w:abstractNumId="36">
    <w:nsid w:val="081A042B"/>
    <w:multiLevelType w:val="singleLevel"/>
    <w:tmpl w:val="D98C7C6A"/>
    <w:lvl w:ilvl="0">
      <w:numFmt w:val="bullet"/>
      <w:lvlText w:val="-"/>
      <w:lvlJc w:val="left"/>
      <w:pPr>
        <w:tabs>
          <w:tab w:val="num" w:pos="360"/>
        </w:tabs>
        <w:ind w:left="360" w:hanging="360"/>
      </w:pPr>
      <w:rPr>
        <w:rFonts w:hint="default"/>
      </w:rPr>
    </w:lvl>
  </w:abstractNum>
  <w:abstractNum w:abstractNumId="37">
    <w:nsid w:val="0901104C"/>
    <w:multiLevelType w:val="singleLevel"/>
    <w:tmpl w:val="4DDC6CAE"/>
    <w:lvl w:ilvl="0">
      <w:start w:val="396"/>
      <w:numFmt w:val="decimal"/>
      <w:lvlText w:val="%1."/>
      <w:lvlJc w:val="left"/>
      <w:pPr>
        <w:tabs>
          <w:tab w:val="num" w:pos="360"/>
        </w:tabs>
        <w:ind w:left="360" w:hanging="360"/>
      </w:pPr>
    </w:lvl>
  </w:abstractNum>
  <w:abstractNum w:abstractNumId="38">
    <w:nsid w:val="09036564"/>
    <w:multiLevelType w:val="singleLevel"/>
    <w:tmpl w:val="0419000F"/>
    <w:lvl w:ilvl="0">
      <w:start w:val="1"/>
      <w:numFmt w:val="decimal"/>
      <w:lvlText w:val="%1."/>
      <w:lvlJc w:val="left"/>
      <w:pPr>
        <w:tabs>
          <w:tab w:val="num" w:pos="360"/>
        </w:tabs>
        <w:ind w:left="360" w:hanging="360"/>
      </w:pPr>
    </w:lvl>
  </w:abstractNum>
  <w:abstractNum w:abstractNumId="39">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40">
    <w:nsid w:val="09F9506F"/>
    <w:multiLevelType w:val="singleLevel"/>
    <w:tmpl w:val="DE948AC4"/>
    <w:lvl w:ilvl="0">
      <w:start w:val="459"/>
      <w:numFmt w:val="decimal"/>
      <w:lvlText w:val="%1."/>
      <w:lvlJc w:val="left"/>
      <w:pPr>
        <w:tabs>
          <w:tab w:val="num" w:pos="360"/>
        </w:tabs>
        <w:ind w:left="360" w:hanging="360"/>
      </w:pPr>
    </w:lvl>
  </w:abstractNum>
  <w:abstractNum w:abstractNumId="41">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2">
    <w:nsid w:val="0AA05498"/>
    <w:multiLevelType w:val="singleLevel"/>
    <w:tmpl w:val="D98C7C6A"/>
    <w:lvl w:ilvl="0">
      <w:numFmt w:val="bullet"/>
      <w:lvlText w:val="-"/>
      <w:lvlJc w:val="left"/>
      <w:pPr>
        <w:tabs>
          <w:tab w:val="num" w:pos="360"/>
        </w:tabs>
        <w:ind w:left="360" w:hanging="360"/>
      </w:pPr>
      <w:rPr>
        <w:rFonts w:hint="default"/>
      </w:rPr>
    </w:lvl>
  </w:abstractNum>
  <w:abstractNum w:abstractNumId="43">
    <w:nsid w:val="0AAD310A"/>
    <w:multiLevelType w:val="singleLevel"/>
    <w:tmpl w:val="5EC4F830"/>
    <w:lvl w:ilvl="0">
      <w:start w:val="476"/>
      <w:numFmt w:val="decimal"/>
      <w:lvlText w:val="%1."/>
      <w:lvlJc w:val="left"/>
      <w:pPr>
        <w:tabs>
          <w:tab w:val="num" w:pos="360"/>
        </w:tabs>
        <w:ind w:left="360" w:hanging="360"/>
      </w:pPr>
    </w:lvl>
  </w:abstractNum>
  <w:abstractNum w:abstractNumId="44">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45">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6">
    <w:nsid w:val="0B520A42"/>
    <w:multiLevelType w:val="singleLevel"/>
    <w:tmpl w:val="11624234"/>
    <w:lvl w:ilvl="0">
      <w:start w:val="99"/>
      <w:numFmt w:val="decimal"/>
      <w:lvlText w:val="%1."/>
      <w:lvlJc w:val="left"/>
      <w:pPr>
        <w:tabs>
          <w:tab w:val="num" w:pos="360"/>
        </w:tabs>
        <w:ind w:left="360" w:hanging="360"/>
      </w:pPr>
    </w:lvl>
  </w:abstractNum>
  <w:abstractNum w:abstractNumId="47">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48">
    <w:nsid w:val="0BA31606"/>
    <w:multiLevelType w:val="singleLevel"/>
    <w:tmpl w:val="7DEAE99E"/>
    <w:lvl w:ilvl="0">
      <w:start w:val="424"/>
      <w:numFmt w:val="decimal"/>
      <w:lvlText w:val="%1."/>
      <w:lvlJc w:val="left"/>
      <w:pPr>
        <w:tabs>
          <w:tab w:val="num" w:pos="360"/>
        </w:tabs>
        <w:ind w:left="360" w:hanging="360"/>
      </w:pPr>
    </w:lvl>
  </w:abstractNum>
  <w:abstractNum w:abstractNumId="49">
    <w:nsid w:val="0BDC3695"/>
    <w:multiLevelType w:val="singleLevel"/>
    <w:tmpl w:val="3B082418"/>
    <w:lvl w:ilvl="0">
      <w:start w:val="1"/>
      <w:numFmt w:val="decimal"/>
      <w:lvlText w:val="%1."/>
      <w:lvlJc w:val="left"/>
      <w:pPr>
        <w:tabs>
          <w:tab w:val="num" w:pos="360"/>
        </w:tabs>
      </w:pPr>
    </w:lvl>
  </w:abstractNum>
  <w:abstractNum w:abstractNumId="50">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1">
    <w:nsid w:val="0D064241"/>
    <w:multiLevelType w:val="singleLevel"/>
    <w:tmpl w:val="0652F8F0"/>
    <w:lvl w:ilvl="0">
      <w:start w:val="197"/>
      <w:numFmt w:val="decimal"/>
      <w:lvlText w:val="%1."/>
      <w:lvlJc w:val="left"/>
      <w:pPr>
        <w:tabs>
          <w:tab w:val="num" w:pos="360"/>
        </w:tabs>
        <w:ind w:left="360" w:hanging="360"/>
      </w:pPr>
    </w:lvl>
  </w:abstractNum>
  <w:abstractNum w:abstractNumId="52">
    <w:nsid w:val="0D174D09"/>
    <w:multiLevelType w:val="singleLevel"/>
    <w:tmpl w:val="DA50B50C"/>
    <w:lvl w:ilvl="0">
      <w:start w:val="474"/>
      <w:numFmt w:val="decimal"/>
      <w:lvlText w:val="%1."/>
      <w:lvlJc w:val="left"/>
      <w:pPr>
        <w:tabs>
          <w:tab w:val="num" w:pos="360"/>
        </w:tabs>
        <w:ind w:left="360" w:hanging="360"/>
      </w:pPr>
    </w:lvl>
  </w:abstractNum>
  <w:abstractNum w:abstractNumId="53">
    <w:nsid w:val="0D62211F"/>
    <w:multiLevelType w:val="singleLevel"/>
    <w:tmpl w:val="B6E647CC"/>
    <w:lvl w:ilvl="0">
      <w:start w:val="233"/>
      <w:numFmt w:val="decimal"/>
      <w:lvlText w:val="%1."/>
      <w:lvlJc w:val="left"/>
      <w:pPr>
        <w:tabs>
          <w:tab w:val="num" w:pos="360"/>
        </w:tabs>
        <w:ind w:left="360" w:hanging="360"/>
      </w:pPr>
    </w:lvl>
  </w:abstractNum>
  <w:abstractNum w:abstractNumId="54">
    <w:nsid w:val="0D802714"/>
    <w:multiLevelType w:val="singleLevel"/>
    <w:tmpl w:val="83F6E720"/>
    <w:lvl w:ilvl="0">
      <w:start w:val="276"/>
      <w:numFmt w:val="decimal"/>
      <w:lvlText w:val="%1."/>
      <w:lvlJc w:val="left"/>
      <w:pPr>
        <w:tabs>
          <w:tab w:val="num" w:pos="360"/>
        </w:tabs>
        <w:ind w:left="360" w:hanging="360"/>
      </w:pPr>
    </w:lvl>
  </w:abstractNum>
  <w:abstractNum w:abstractNumId="55">
    <w:nsid w:val="0D9B18BC"/>
    <w:multiLevelType w:val="singleLevel"/>
    <w:tmpl w:val="876A867E"/>
    <w:lvl w:ilvl="0">
      <w:start w:val="67"/>
      <w:numFmt w:val="decimal"/>
      <w:lvlText w:val="%1."/>
      <w:lvlJc w:val="left"/>
      <w:pPr>
        <w:tabs>
          <w:tab w:val="num" w:pos="360"/>
        </w:tabs>
        <w:ind w:left="360" w:hanging="360"/>
      </w:pPr>
    </w:lvl>
  </w:abstractNum>
  <w:abstractNum w:abstractNumId="56">
    <w:nsid w:val="0DAF195A"/>
    <w:multiLevelType w:val="singleLevel"/>
    <w:tmpl w:val="54222EEE"/>
    <w:lvl w:ilvl="0">
      <w:start w:val="133"/>
      <w:numFmt w:val="decimal"/>
      <w:lvlText w:val="%1."/>
      <w:lvlJc w:val="left"/>
      <w:pPr>
        <w:tabs>
          <w:tab w:val="num" w:pos="360"/>
        </w:tabs>
        <w:ind w:left="360" w:hanging="360"/>
      </w:pPr>
    </w:lvl>
  </w:abstractNum>
  <w:abstractNum w:abstractNumId="57">
    <w:nsid w:val="0DFB0688"/>
    <w:multiLevelType w:val="singleLevel"/>
    <w:tmpl w:val="D98C7C6A"/>
    <w:lvl w:ilvl="0">
      <w:numFmt w:val="bullet"/>
      <w:lvlText w:val="-"/>
      <w:lvlJc w:val="left"/>
      <w:pPr>
        <w:tabs>
          <w:tab w:val="num" w:pos="360"/>
        </w:tabs>
        <w:ind w:left="360" w:hanging="360"/>
      </w:pPr>
      <w:rPr>
        <w:rFonts w:hint="default"/>
      </w:rPr>
    </w:lvl>
  </w:abstractNum>
  <w:abstractNum w:abstractNumId="58">
    <w:nsid w:val="0E0A4E80"/>
    <w:multiLevelType w:val="singleLevel"/>
    <w:tmpl w:val="20E6903C"/>
    <w:lvl w:ilvl="0">
      <w:start w:val="183"/>
      <w:numFmt w:val="decimal"/>
      <w:lvlText w:val="%1."/>
      <w:lvlJc w:val="left"/>
      <w:pPr>
        <w:tabs>
          <w:tab w:val="num" w:pos="360"/>
        </w:tabs>
        <w:ind w:left="360" w:hanging="360"/>
      </w:pPr>
    </w:lvl>
  </w:abstractNum>
  <w:abstractNum w:abstractNumId="59">
    <w:nsid w:val="0E2C5939"/>
    <w:multiLevelType w:val="singleLevel"/>
    <w:tmpl w:val="4B6CC44C"/>
    <w:lvl w:ilvl="0">
      <w:start w:val="151"/>
      <w:numFmt w:val="decimal"/>
      <w:lvlText w:val="%1."/>
      <w:lvlJc w:val="left"/>
      <w:pPr>
        <w:tabs>
          <w:tab w:val="num" w:pos="360"/>
        </w:tabs>
        <w:ind w:left="360" w:hanging="360"/>
      </w:pPr>
    </w:lvl>
  </w:abstractNum>
  <w:abstractNum w:abstractNumId="60">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61">
    <w:nsid w:val="0E766E67"/>
    <w:multiLevelType w:val="singleLevel"/>
    <w:tmpl w:val="2B082170"/>
    <w:lvl w:ilvl="0">
      <w:start w:val="420"/>
      <w:numFmt w:val="decimal"/>
      <w:lvlText w:val="%1."/>
      <w:lvlJc w:val="left"/>
      <w:pPr>
        <w:tabs>
          <w:tab w:val="num" w:pos="360"/>
        </w:tabs>
        <w:ind w:left="360" w:hanging="360"/>
      </w:pPr>
    </w:lvl>
  </w:abstractNum>
  <w:abstractNum w:abstractNumId="62">
    <w:nsid w:val="0F0436FA"/>
    <w:multiLevelType w:val="singleLevel"/>
    <w:tmpl w:val="0419000F"/>
    <w:lvl w:ilvl="0">
      <w:start w:val="1"/>
      <w:numFmt w:val="decimal"/>
      <w:lvlText w:val="%1."/>
      <w:lvlJc w:val="left"/>
      <w:pPr>
        <w:tabs>
          <w:tab w:val="num" w:pos="360"/>
        </w:tabs>
        <w:ind w:left="360" w:hanging="360"/>
      </w:pPr>
    </w:lvl>
  </w:abstractNum>
  <w:abstractNum w:abstractNumId="63">
    <w:nsid w:val="0F0E2D57"/>
    <w:multiLevelType w:val="singleLevel"/>
    <w:tmpl w:val="51349E1C"/>
    <w:lvl w:ilvl="0">
      <w:start w:val="92"/>
      <w:numFmt w:val="decimal"/>
      <w:lvlText w:val="%1."/>
      <w:lvlJc w:val="left"/>
      <w:pPr>
        <w:tabs>
          <w:tab w:val="num" w:pos="360"/>
        </w:tabs>
        <w:ind w:left="360" w:hanging="360"/>
      </w:pPr>
    </w:lvl>
  </w:abstractNum>
  <w:abstractNum w:abstractNumId="64">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5">
    <w:nsid w:val="0F6F494C"/>
    <w:multiLevelType w:val="singleLevel"/>
    <w:tmpl w:val="8B084C4A"/>
    <w:lvl w:ilvl="0">
      <w:start w:val="346"/>
      <w:numFmt w:val="decimal"/>
      <w:lvlText w:val="%1."/>
      <w:lvlJc w:val="left"/>
      <w:pPr>
        <w:tabs>
          <w:tab w:val="num" w:pos="360"/>
        </w:tabs>
        <w:ind w:left="360" w:hanging="360"/>
      </w:pPr>
    </w:lvl>
  </w:abstractNum>
  <w:abstractNum w:abstractNumId="66">
    <w:nsid w:val="0FD10723"/>
    <w:multiLevelType w:val="singleLevel"/>
    <w:tmpl w:val="B0FA0884"/>
    <w:lvl w:ilvl="0">
      <w:start w:val="401"/>
      <w:numFmt w:val="decimal"/>
      <w:lvlText w:val="%1."/>
      <w:lvlJc w:val="left"/>
      <w:pPr>
        <w:tabs>
          <w:tab w:val="num" w:pos="360"/>
        </w:tabs>
        <w:ind w:left="360" w:hanging="360"/>
      </w:pPr>
    </w:lvl>
  </w:abstractNum>
  <w:abstractNum w:abstractNumId="67">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68">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69">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70">
    <w:nsid w:val="108E53AF"/>
    <w:multiLevelType w:val="singleLevel"/>
    <w:tmpl w:val="67D01C16"/>
    <w:lvl w:ilvl="0">
      <w:start w:val="293"/>
      <w:numFmt w:val="decimal"/>
      <w:lvlText w:val="%1."/>
      <w:lvlJc w:val="left"/>
      <w:pPr>
        <w:tabs>
          <w:tab w:val="num" w:pos="360"/>
        </w:tabs>
        <w:ind w:left="360" w:hanging="360"/>
      </w:pPr>
    </w:lvl>
  </w:abstractNum>
  <w:abstractNum w:abstractNumId="71">
    <w:nsid w:val="10B640E4"/>
    <w:multiLevelType w:val="singleLevel"/>
    <w:tmpl w:val="163E87CC"/>
    <w:lvl w:ilvl="0">
      <w:start w:val="344"/>
      <w:numFmt w:val="decimal"/>
      <w:lvlText w:val="%1."/>
      <w:lvlJc w:val="left"/>
      <w:pPr>
        <w:tabs>
          <w:tab w:val="num" w:pos="360"/>
        </w:tabs>
        <w:ind w:left="360" w:hanging="360"/>
      </w:pPr>
    </w:lvl>
  </w:abstractNum>
  <w:abstractNum w:abstractNumId="72">
    <w:nsid w:val="10C51853"/>
    <w:multiLevelType w:val="singleLevel"/>
    <w:tmpl w:val="325E9D5C"/>
    <w:lvl w:ilvl="0">
      <w:start w:val="431"/>
      <w:numFmt w:val="decimal"/>
      <w:lvlText w:val="%1."/>
      <w:lvlJc w:val="left"/>
      <w:pPr>
        <w:tabs>
          <w:tab w:val="num" w:pos="360"/>
        </w:tabs>
        <w:ind w:left="360" w:hanging="360"/>
      </w:pPr>
    </w:lvl>
  </w:abstractNum>
  <w:abstractNum w:abstractNumId="73">
    <w:nsid w:val="10C765FE"/>
    <w:multiLevelType w:val="singleLevel"/>
    <w:tmpl w:val="B45CB0C8"/>
    <w:lvl w:ilvl="0">
      <w:start w:val="220"/>
      <w:numFmt w:val="decimal"/>
      <w:lvlText w:val="%1."/>
      <w:lvlJc w:val="left"/>
      <w:pPr>
        <w:tabs>
          <w:tab w:val="num" w:pos="360"/>
        </w:tabs>
        <w:ind w:left="360" w:hanging="360"/>
      </w:pPr>
    </w:lvl>
  </w:abstractNum>
  <w:abstractNum w:abstractNumId="74">
    <w:nsid w:val="112F6926"/>
    <w:multiLevelType w:val="singleLevel"/>
    <w:tmpl w:val="0419000F"/>
    <w:lvl w:ilvl="0">
      <w:start w:val="1"/>
      <w:numFmt w:val="decimal"/>
      <w:lvlText w:val="%1."/>
      <w:lvlJc w:val="left"/>
      <w:pPr>
        <w:tabs>
          <w:tab w:val="num" w:pos="360"/>
        </w:tabs>
        <w:ind w:left="360" w:hanging="360"/>
      </w:pPr>
    </w:lvl>
  </w:abstractNum>
  <w:abstractNum w:abstractNumId="75">
    <w:nsid w:val="11662A1D"/>
    <w:multiLevelType w:val="singleLevel"/>
    <w:tmpl w:val="9654B976"/>
    <w:lvl w:ilvl="0">
      <w:start w:val="154"/>
      <w:numFmt w:val="decimal"/>
      <w:lvlText w:val="%1."/>
      <w:lvlJc w:val="left"/>
      <w:pPr>
        <w:tabs>
          <w:tab w:val="num" w:pos="624"/>
        </w:tabs>
        <w:ind w:left="624" w:hanging="624"/>
      </w:pPr>
    </w:lvl>
  </w:abstractNum>
  <w:abstractNum w:abstractNumId="76">
    <w:nsid w:val="11DC62FD"/>
    <w:multiLevelType w:val="singleLevel"/>
    <w:tmpl w:val="28603432"/>
    <w:lvl w:ilvl="0">
      <w:start w:val="363"/>
      <w:numFmt w:val="decimal"/>
      <w:lvlText w:val="%1."/>
      <w:lvlJc w:val="left"/>
      <w:pPr>
        <w:tabs>
          <w:tab w:val="num" w:pos="360"/>
        </w:tabs>
        <w:ind w:left="360" w:hanging="360"/>
      </w:pPr>
    </w:lvl>
  </w:abstractNum>
  <w:abstractNum w:abstractNumId="77">
    <w:nsid w:val="12184540"/>
    <w:multiLevelType w:val="singleLevel"/>
    <w:tmpl w:val="940AB8B2"/>
    <w:lvl w:ilvl="0">
      <w:start w:val="94"/>
      <w:numFmt w:val="decimal"/>
      <w:lvlText w:val="%1."/>
      <w:lvlJc w:val="left"/>
      <w:pPr>
        <w:tabs>
          <w:tab w:val="num" w:pos="360"/>
        </w:tabs>
        <w:ind w:left="360" w:hanging="360"/>
      </w:pPr>
    </w:lvl>
  </w:abstractNum>
  <w:abstractNum w:abstractNumId="78">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128A76E3"/>
    <w:multiLevelType w:val="singleLevel"/>
    <w:tmpl w:val="2850F2E6"/>
    <w:lvl w:ilvl="0">
      <w:start w:val="471"/>
      <w:numFmt w:val="decimal"/>
      <w:lvlText w:val="%1."/>
      <w:lvlJc w:val="left"/>
      <w:pPr>
        <w:tabs>
          <w:tab w:val="num" w:pos="360"/>
        </w:tabs>
        <w:ind w:left="360" w:hanging="360"/>
      </w:pPr>
    </w:lvl>
  </w:abstractNum>
  <w:abstractNum w:abstractNumId="80">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1">
    <w:nsid w:val="13962072"/>
    <w:multiLevelType w:val="singleLevel"/>
    <w:tmpl w:val="D98C7C6A"/>
    <w:lvl w:ilvl="0">
      <w:numFmt w:val="bullet"/>
      <w:lvlText w:val="-"/>
      <w:lvlJc w:val="left"/>
      <w:pPr>
        <w:tabs>
          <w:tab w:val="num" w:pos="360"/>
        </w:tabs>
        <w:ind w:left="360" w:hanging="360"/>
      </w:pPr>
      <w:rPr>
        <w:rFonts w:hint="default"/>
      </w:rPr>
    </w:lvl>
  </w:abstractNum>
  <w:abstractNum w:abstractNumId="82">
    <w:nsid w:val="13D752B5"/>
    <w:multiLevelType w:val="singleLevel"/>
    <w:tmpl w:val="0419000F"/>
    <w:lvl w:ilvl="0">
      <w:start w:val="1"/>
      <w:numFmt w:val="decimal"/>
      <w:lvlText w:val="%1."/>
      <w:lvlJc w:val="left"/>
      <w:pPr>
        <w:tabs>
          <w:tab w:val="num" w:pos="360"/>
        </w:tabs>
        <w:ind w:left="360" w:hanging="360"/>
      </w:pPr>
    </w:lvl>
  </w:abstractNum>
  <w:abstractNum w:abstractNumId="83">
    <w:nsid w:val="14146902"/>
    <w:multiLevelType w:val="singleLevel"/>
    <w:tmpl w:val="88EC4D08"/>
    <w:lvl w:ilvl="0">
      <w:start w:val="1"/>
      <w:numFmt w:val="bullet"/>
      <w:lvlText w:val=""/>
      <w:lvlJc w:val="left"/>
      <w:pPr>
        <w:tabs>
          <w:tab w:val="num" w:pos="0"/>
        </w:tabs>
        <w:ind w:left="360" w:hanging="360"/>
      </w:pPr>
      <w:rPr>
        <w:rFonts w:ascii="Symbol" w:hAnsi="Symbol" w:hint="default"/>
      </w:rPr>
    </w:lvl>
  </w:abstractNum>
  <w:abstractNum w:abstractNumId="84">
    <w:nsid w:val="14C87F4D"/>
    <w:multiLevelType w:val="singleLevel"/>
    <w:tmpl w:val="0D6AE728"/>
    <w:lvl w:ilvl="0">
      <w:start w:val="72"/>
      <w:numFmt w:val="decimal"/>
      <w:lvlText w:val="%1."/>
      <w:lvlJc w:val="left"/>
      <w:pPr>
        <w:tabs>
          <w:tab w:val="num" w:pos="360"/>
        </w:tabs>
        <w:ind w:left="360" w:hanging="360"/>
      </w:pPr>
    </w:lvl>
  </w:abstractNum>
  <w:abstractNum w:abstractNumId="85">
    <w:nsid w:val="14DA3638"/>
    <w:multiLevelType w:val="singleLevel"/>
    <w:tmpl w:val="C91A934A"/>
    <w:lvl w:ilvl="0">
      <w:start w:val="88"/>
      <w:numFmt w:val="decimal"/>
      <w:lvlText w:val="%1."/>
      <w:lvlJc w:val="left"/>
      <w:pPr>
        <w:tabs>
          <w:tab w:val="num" w:pos="360"/>
        </w:tabs>
        <w:ind w:left="360" w:hanging="360"/>
      </w:pPr>
    </w:lvl>
  </w:abstractNum>
  <w:abstractNum w:abstractNumId="86">
    <w:nsid w:val="15841ECE"/>
    <w:multiLevelType w:val="singleLevel"/>
    <w:tmpl w:val="D6B09A80"/>
    <w:lvl w:ilvl="0">
      <w:start w:val="330"/>
      <w:numFmt w:val="decimal"/>
      <w:lvlText w:val="%1."/>
      <w:lvlJc w:val="left"/>
      <w:pPr>
        <w:tabs>
          <w:tab w:val="num" w:pos="360"/>
        </w:tabs>
        <w:ind w:left="360" w:hanging="360"/>
      </w:pPr>
    </w:lvl>
  </w:abstractNum>
  <w:abstractNum w:abstractNumId="87">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88">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9">
    <w:nsid w:val="17CF1789"/>
    <w:multiLevelType w:val="singleLevel"/>
    <w:tmpl w:val="CA940702"/>
    <w:lvl w:ilvl="0">
      <w:start w:val="71"/>
      <w:numFmt w:val="decimal"/>
      <w:lvlText w:val="%1."/>
      <w:lvlJc w:val="left"/>
      <w:pPr>
        <w:tabs>
          <w:tab w:val="num" w:pos="360"/>
        </w:tabs>
        <w:ind w:left="360" w:hanging="360"/>
      </w:pPr>
    </w:lvl>
  </w:abstractNum>
  <w:abstractNum w:abstractNumId="90">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91">
    <w:nsid w:val="17E13F70"/>
    <w:multiLevelType w:val="singleLevel"/>
    <w:tmpl w:val="D98C7C6A"/>
    <w:lvl w:ilvl="0">
      <w:numFmt w:val="bullet"/>
      <w:lvlText w:val="-"/>
      <w:lvlJc w:val="left"/>
      <w:pPr>
        <w:tabs>
          <w:tab w:val="num" w:pos="360"/>
        </w:tabs>
        <w:ind w:left="360" w:hanging="360"/>
      </w:pPr>
      <w:rPr>
        <w:rFonts w:hint="default"/>
      </w:rPr>
    </w:lvl>
  </w:abstractNum>
  <w:abstractNum w:abstractNumId="92">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3">
    <w:nsid w:val="18900757"/>
    <w:multiLevelType w:val="singleLevel"/>
    <w:tmpl w:val="EB78E1B4"/>
    <w:lvl w:ilvl="0">
      <w:start w:val="271"/>
      <w:numFmt w:val="decimal"/>
      <w:lvlText w:val="%1."/>
      <w:lvlJc w:val="left"/>
      <w:pPr>
        <w:tabs>
          <w:tab w:val="num" w:pos="360"/>
        </w:tabs>
        <w:ind w:left="360" w:hanging="360"/>
      </w:pPr>
    </w:lvl>
  </w:abstractNum>
  <w:abstractNum w:abstractNumId="94">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5">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96">
    <w:nsid w:val="190D3967"/>
    <w:multiLevelType w:val="singleLevel"/>
    <w:tmpl w:val="0419000F"/>
    <w:lvl w:ilvl="0">
      <w:start w:val="1"/>
      <w:numFmt w:val="decimal"/>
      <w:lvlText w:val="%1."/>
      <w:lvlJc w:val="left"/>
      <w:pPr>
        <w:tabs>
          <w:tab w:val="num" w:pos="360"/>
        </w:tabs>
        <w:ind w:left="360" w:hanging="360"/>
      </w:pPr>
    </w:lvl>
  </w:abstractNum>
  <w:abstractNum w:abstractNumId="97">
    <w:nsid w:val="1931103E"/>
    <w:multiLevelType w:val="singleLevel"/>
    <w:tmpl w:val="0419000F"/>
    <w:lvl w:ilvl="0">
      <w:start w:val="1"/>
      <w:numFmt w:val="decimal"/>
      <w:lvlText w:val="%1."/>
      <w:lvlJc w:val="left"/>
      <w:pPr>
        <w:tabs>
          <w:tab w:val="num" w:pos="360"/>
        </w:tabs>
        <w:ind w:left="360" w:hanging="360"/>
      </w:pPr>
    </w:lvl>
  </w:abstractNum>
  <w:abstractNum w:abstractNumId="98">
    <w:nsid w:val="1948032B"/>
    <w:multiLevelType w:val="singleLevel"/>
    <w:tmpl w:val="A7D41F14"/>
    <w:lvl w:ilvl="0">
      <w:start w:val="393"/>
      <w:numFmt w:val="decimal"/>
      <w:lvlText w:val="%1."/>
      <w:lvlJc w:val="left"/>
      <w:pPr>
        <w:tabs>
          <w:tab w:val="num" w:pos="360"/>
        </w:tabs>
        <w:ind w:left="360" w:hanging="360"/>
      </w:pPr>
    </w:lvl>
  </w:abstractNum>
  <w:abstractNum w:abstractNumId="99">
    <w:nsid w:val="19657B11"/>
    <w:multiLevelType w:val="singleLevel"/>
    <w:tmpl w:val="99E6BC32"/>
    <w:lvl w:ilvl="0">
      <w:start w:val="355"/>
      <w:numFmt w:val="decimal"/>
      <w:lvlText w:val="%1."/>
      <w:lvlJc w:val="left"/>
      <w:pPr>
        <w:tabs>
          <w:tab w:val="num" w:pos="360"/>
        </w:tabs>
        <w:ind w:left="360" w:hanging="360"/>
      </w:pPr>
    </w:lvl>
  </w:abstractNum>
  <w:abstractNum w:abstractNumId="100">
    <w:nsid w:val="198D79E4"/>
    <w:multiLevelType w:val="singleLevel"/>
    <w:tmpl w:val="C164CA86"/>
    <w:lvl w:ilvl="0">
      <w:start w:val="384"/>
      <w:numFmt w:val="decimal"/>
      <w:lvlText w:val="%1."/>
      <w:lvlJc w:val="left"/>
      <w:pPr>
        <w:tabs>
          <w:tab w:val="num" w:pos="360"/>
        </w:tabs>
        <w:ind w:left="0" w:firstLine="0"/>
      </w:pPr>
    </w:lvl>
  </w:abstractNum>
  <w:abstractNum w:abstractNumId="101">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02">
    <w:nsid w:val="19BC6E76"/>
    <w:multiLevelType w:val="singleLevel"/>
    <w:tmpl w:val="286887F8"/>
    <w:lvl w:ilvl="0">
      <w:start w:val="289"/>
      <w:numFmt w:val="decimal"/>
      <w:lvlText w:val="%1."/>
      <w:lvlJc w:val="left"/>
      <w:pPr>
        <w:tabs>
          <w:tab w:val="num" w:pos="360"/>
        </w:tabs>
        <w:ind w:left="360" w:hanging="360"/>
      </w:pPr>
    </w:lvl>
  </w:abstractNum>
  <w:abstractNum w:abstractNumId="103">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104">
    <w:nsid w:val="19EA4C1D"/>
    <w:multiLevelType w:val="singleLevel"/>
    <w:tmpl w:val="EB78E1B4"/>
    <w:lvl w:ilvl="0">
      <w:start w:val="271"/>
      <w:numFmt w:val="decimal"/>
      <w:lvlText w:val="%1."/>
      <w:lvlJc w:val="left"/>
      <w:pPr>
        <w:tabs>
          <w:tab w:val="num" w:pos="360"/>
        </w:tabs>
        <w:ind w:left="360" w:hanging="360"/>
      </w:pPr>
    </w:lvl>
  </w:abstractNum>
  <w:abstractNum w:abstractNumId="105">
    <w:nsid w:val="1AB125B3"/>
    <w:multiLevelType w:val="singleLevel"/>
    <w:tmpl w:val="D98C7C6A"/>
    <w:lvl w:ilvl="0">
      <w:numFmt w:val="bullet"/>
      <w:lvlText w:val="-"/>
      <w:lvlJc w:val="left"/>
      <w:pPr>
        <w:tabs>
          <w:tab w:val="num" w:pos="360"/>
        </w:tabs>
        <w:ind w:left="360" w:hanging="360"/>
      </w:pPr>
      <w:rPr>
        <w:rFonts w:hint="default"/>
      </w:rPr>
    </w:lvl>
  </w:abstractNum>
  <w:abstractNum w:abstractNumId="106">
    <w:nsid w:val="1ABE2D86"/>
    <w:multiLevelType w:val="singleLevel"/>
    <w:tmpl w:val="8B12959E"/>
    <w:lvl w:ilvl="0">
      <w:start w:val="101"/>
      <w:numFmt w:val="decimal"/>
      <w:lvlText w:val="%1."/>
      <w:lvlJc w:val="left"/>
      <w:pPr>
        <w:tabs>
          <w:tab w:val="num" w:pos="624"/>
        </w:tabs>
        <w:ind w:left="624" w:hanging="624"/>
      </w:pPr>
    </w:lvl>
  </w:abstractNum>
  <w:abstractNum w:abstractNumId="107">
    <w:nsid w:val="1AE87479"/>
    <w:multiLevelType w:val="singleLevel"/>
    <w:tmpl w:val="51349E1C"/>
    <w:lvl w:ilvl="0">
      <w:start w:val="92"/>
      <w:numFmt w:val="decimal"/>
      <w:lvlText w:val="%1."/>
      <w:lvlJc w:val="left"/>
      <w:pPr>
        <w:tabs>
          <w:tab w:val="num" w:pos="360"/>
        </w:tabs>
        <w:ind w:left="360" w:hanging="360"/>
      </w:pPr>
    </w:lvl>
  </w:abstractNum>
  <w:abstractNum w:abstractNumId="108">
    <w:nsid w:val="1B0006BE"/>
    <w:multiLevelType w:val="singleLevel"/>
    <w:tmpl w:val="6AE8CDD4"/>
    <w:lvl w:ilvl="0">
      <w:start w:val="260"/>
      <w:numFmt w:val="decimal"/>
      <w:lvlText w:val="%1."/>
      <w:lvlJc w:val="left"/>
      <w:pPr>
        <w:tabs>
          <w:tab w:val="num" w:pos="360"/>
        </w:tabs>
        <w:ind w:left="360" w:hanging="360"/>
      </w:pPr>
    </w:lvl>
  </w:abstractNum>
  <w:abstractNum w:abstractNumId="109">
    <w:nsid w:val="1B176AD4"/>
    <w:multiLevelType w:val="singleLevel"/>
    <w:tmpl w:val="44AE2E64"/>
    <w:lvl w:ilvl="0">
      <w:start w:val="181"/>
      <w:numFmt w:val="decimal"/>
      <w:lvlText w:val="%1."/>
      <w:lvlJc w:val="left"/>
      <w:pPr>
        <w:tabs>
          <w:tab w:val="num" w:pos="360"/>
        </w:tabs>
        <w:ind w:left="360" w:hanging="360"/>
      </w:pPr>
    </w:lvl>
  </w:abstractNum>
  <w:abstractNum w:abstractNumId="110">
    <w:nsid w:val="1B49745F"/>
    <w:multiLevelType w:val="singleLevel"/>
    <w:tmpl w:val="8C8AFE16"/>
    <w:lvl w:ilvl="0">
      <w:start w:val="463"/>
      <w:numFmt w:val="decimal"/>
      <w:lvlText w:val="%1."/>
      <w:lvlJc w:val="left"/>
      <w:pPr>
        <w:tabs>
          <w:tab w:val="num" w:pos="360"/>
        </w:tabs>
        <w:ind w:left="360" w:hanging="360"/>
      </w:pPr>
    </w:lvl>
  </w:abstractNum>
  <w:abstractNum w:abstractNumId="111">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12">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13">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114">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15">
    <w:nsid w:val="1CC62008"/>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16">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17">
    <w:nsid w:val="1D981614"/>
    <w:multiLevelType w:val="singleLevel"/>
    <w:tmpl w:val="8AD46BF0"/>
    <w:lvl w:ilvl="0">
      <w:start w:val="157"/>
      <w:numFmt w:val="decimal"/>
      <w:lvlText w:val="%1."/>
      <w:lvlJc w:val="left"/>
      <w:pPr>
        <w:tabs>
          <w:tab w:val="num" w:pos="624"/>
        </w:tabs>
        <w:ind w:left="624" w:hanging="624"/>
      </w:pPr>
    </w:lvl>
  </w:abstractNum>
  <w:abstractNum w:abstractNumId="118">
    <w:nsid w:val="1D9A499B"/>
    <w:multiLevelType w:val="singleLevel"/>
    <w:tmpl w:val="B3A8B37E"/>
    <w:lvl w:ilvl="0">
      <w:start w:val="100"/>
      <w:numFmt w:val="decimal"/>
      <w:lvlText w:val="%1."/>
      <w:lvlJc w:val="left"/>
      <w:pPr>
        <w:tabs>
          <w:tab w:val="num" w:pos="624"/>
        </w:tabs>
        <w:ind w:left="624" w:hanging="624"/>
      </w:pPr>
    </w:lvl>
  </w:abstractNum>
  <w:abstractNum w:abstractNumId="119">
    <w:nsid w:val="1DA61E60"/>
    <w:multiLevelType w:val="singleLevel"/>
    <w:tmpl w:val="70143DC6"/>
    <w:lvl w:ilvl="0">
      <w:start w:val="338"/>
      <w:numFmt w:val="decimal"/>
      <w:lvlText w:val="%1."/>
      <w:lvlJc w:val="left"/>
      <w:pPr>
        <w:tabs>
          <w:tab w:val="num" w:pos="360"/>
        </w:tabs>
        <w:ind w:left="360" w:hanging="360"/>
      </w:pPr>
    </w:lvl>
  </w:abstractNum>
  <w:abstractNum w:abstractNumId="120">
    <w:nsid w:val="1DAD3376"/>
    <w:multiLevelType w:val="singleLevel"/>
    <w:tmpl w:val="BDCCEA6E"/>
    <w:lvl w:ilvl="0">
      <w:start w:val="123"/>
      <w:numFmt w:val="decimal"/>
      <w:lvlText w:val="%1."/>
      <w:lvlJc w:val="left"/>
      <w:pPr>
        <w:tabs>
          <w:tab w:val="num" w:pos="360"/>
        </w:tabs>
        <w:ind w:left="360" w:hanging="360"/>
      </w:pPr>
    </w:lvl>
  </w:abstractNum>
  <w:abstractNum w:abstractNumId="121">
    <w:nsid w:val="1DB5545E"/>
    <w:multiLevelType w:val="singleLevel"/>
    <w:tmpl w:val="B5ACFCD2"/>
    <w:lvl w:ilvl="0">
      <w:start w:val="87"/>
      <w:numFmt w:val="decimal"/>
      <w:lvlText w:val="%1."/>
      <w:lvlJc w:val="left"/>
      <w:pPr>
        <w:tabs>
          <w:tab w:val="num" w:pos="360"/>
        </w:tabs>
        <w:ind w:left="360" w:hanging="360"/>
      </w:pPr>
    </w:lvl>
  </w:abstractNum>
  <w:abstractNum w:abstractNumId="122">
    <w:nsid w:val="1DE7569B"/>
    <w:multiLevelType w:val="singleLevel"/>
    <w:tmpl w:val="DA50B50C"/>
    <w:lvl w:ilvl="0">
      <w:start w:val="474"/>
      <w:numFmt w:val="decimal"/>
      <w:lvlText w:val="%1."/>
      <w:lvlJc w:val="left"/>
      <w:pPr>
        <w:tabs>
          <w:tab w:val="num" w:pos="360"/>
        </w:tabs>
        <w:ind w:left="360" w:hanging="360"/>
      </w:pPr>
    </w:lvl>
  </w:abstractNum>
  <w:abstractNum w:abstractNumId="123">
    <w:nsid w:val="1E403796"/>
    <w:multiLevelType w:val="singleLevel"/>
    <w:tmpl w:val="7C621A74"/>
    <w:lvl w:ilvl="0">
      <w:start w:val="100"/>
      <w:numFmt w:val="decimal"/>
      <w:lvlText w:val="%1."/>
      <w:lvlJc w:val="left"/>
      <w:pPr>
        <w:tabs>
          <w:tab w:val="num" w:pos="360"/>
        </w:tabs>
        <w:ind w:left="360" w:hanging="360"/>
      </w:pPr>
    </w:lvl>
  </w:abstractNum>
  <w:abstractNum w:abstractNumId="124">
    <w:nsid w:val="1EAE2F4C"/>
    <w:multiLevelType w:val="singleLevel"/>
    <w:tmpl w:val="6C8A8058"/>
    <w:lvl w:ilvl="0">
      <w:start w:val="292"/>
      <w:numFmt w:val="decimal"/>
      <w:lvlText w:val="%1."/>
      <w:lvlJc w:val="left"/>
      <w:pPr>
        <w:tabs>
          <w:tab w:val="num" w:pos="360"/>
        </w:tabs>
        <w:ind w:left="0" w:firstLine="0"/>
      </w:pPr>
    </w:lvl>
  </w:abstractNum>
  <w:abstractNum w:abstractNumId="125">
    <w:nsid w:val="1EAF50AC"/>
    <w:multiLevelType w:val="singleLevel"/>
    <w:tmpl w:val="BC9AD2DC"/>
    <w:lvl w:ilvl="0">
      <w:start w:val="425"/>
      <w:numFmt w:val="decimal"/>
      <w:lvlText w:val="%1."/>
      <w:lvlJc w:val="left"/>
      <w:pPr>
        <w:tabs>
          <w:tab w:val="num" w:pos="360"/>
        </w:tabs>
        <w:ind w:left="360" w:hanging="360"/>
      </w:pPr>
    </w:lvl>
  </w:abstractNum>
  <w:abstractNum w:abstractNumId="126">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27">
    <w:nsid w:val="1EC40937"/>
    <w:multiLevelType w:val="singleLevel"/>
    <w:tmpl w:val="13085D8C"/>
    <w:lvl w:ilvl="0">
      <w:start w:val="144"/>
      <w:numFmt w:val="decimal"/>
      <w:lvlText w:val="%1."/>
      <w:lvlJc w:val="left"/>
      <w:pPr>
        <w:tabs>
          <w:tab w:val="num" w:pos="360"/>
        </w:tabs>
        <w:ind w:left="360" w:hanging="360"/>
      </w:pPr>
    </w:lvl>
  </w:abstractNum>
  <w:abstractNum w:abstractNumId="128">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29">
    <w:nsid w:val="1F177E76"/>
    <w:multiLevelType w:val="singleLevel"/>
    <w:tmpl w:val="8D06AD0E"/>
    <w:lvl w:ilvl="0">
      <w:start w:val="99"/>
      <w:numFmt w:val="decimal"/>
      <w:lvlText w:val="%1."/>
      <w:lvlJc w:val="left"/>
      <w:pPr>
        <w:tabs>
          <w:tab w:val="num" w:pos="360"/>
        </w:tabs>
        <w:ind w:left="360" w:hanging="360"/>
      </w:pPr>
    </w:lvl>
  </w:abstractNum>
  <w:abstractNum w:abstractNumId="130">
    <w:nsid w:val="1F732C75"/>
    <w:multiLevelType w:val="singleLevel"/>
    <w:tmpl w:val="0419000F"/>
    <w:lvl w:ilvl="0">
      <w:start w:val="1"/>
      <w:numFmt w:val="decimal"/>
      <w:lvlText w:val="%1."/>
      <w:lvlJc w:val="left"/>
      <w:pPr>
        <w:tabs>
          <w:tab w:val="num" w:pos="360"/>
        </w:tabs>
        <w:ind w:left="360" w:hanging="360"/>
      </w:pPr>
    </w:lvl>
  </w:abstractNum>
  <w:abstractNum w:abstractNumId="131">
    <w:nsid w:val="205932F3"/>
    <w:multiLevelType w:val="singleLevel"/>
    <w:tmpl w:val="D98C7C6A"/>
    <w:lvl w:ilvl="0">
      <w:numFmt w:val="bullet"/>
      <w:lvlText w:val="-"/>
      <w:lvlJc w:val="left"/>
      <w:pPr>
        <w:tabs>
          <w:tab w:val="num" w:pos="360"/>
        </w:tabs>
        <w:ind w:left="360" w:hanging="360"/>
      </w:pPr>
      <w:rPr>
        <w:rFonts w:hint="default"/>
      </w:rPr>
    </w:lvl>
  </w:abstractNum>
  <w:abstractNum w:abstractNumId="132">
    <w:nsid w:val="20A20C97"/>
    <w:multiLevelType w:val="singleLevel"/>
    <w:tmpl w:val="344E0954"/>
    <w:lvl w:ilvl="0">
      <w:start w:val="176"/>
      <w:numFmt w:val="decimal"/>
      <w:lvlText w:val="%1."/>
      <w:lvlJc w:val="left"/>
      <w:pPr>
        <w:tabs>
          <w:tab w:val="num" w:pos="360"/>
        </w:tabs>
        <w:ind w:left="360" w:hanging="360"/>
      </w:pPr>
    </w:lvl>
  </w:abstractNum>
  <w:abstractNum w:abstractNumId="133">
    <w:nsid w:val="20C025DB"/>
    <w:multiLevelType w:val="singleLevel"/>
    <w:tmpl w:val="CBE49D04"/>
    <w:lvl w:ilvl="0">
      <w:start w:val="333"/>
      <w:numFmt w:val="decimal"/>
      <w:lvlText w:val="%1."/>
      <w:lvlJc w:val="left"/>
      <w:pPr>
        <w:tabs>
          <w:tab w:val="num" w:pos="360"/>
        </w:tabs>
        <w:ind w:left="360" w:hanging="360"/>
      </w:pPr>
    </w:lvl>
  </w:abstractNum>
  <w:abstractNum w:abstractNumId="134">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35">
    <w:nsid w:val="213F2CAB"/>
    <w:multiLevelType w:val="singleLevel"/>
    <w:tmpl w:val="EB2E02D0"/>
    <w:lvl w:ilvl="0">
      <w:start w:val="141"/>
      <w:numFmt w:val="decimal"/>
      <w:lvlText w:val="%1."/>
      <w:lvlJc w:val="left"/>
      <w:pPr>
        <w:tabs>
          <w:tab w:val="num" w:pos="360"/>
        </w:tabs>
        <w:ind w:left="360" w:hanging="360"/>
      </w:pPr>
    </w:lvl>
  </w:abstractNum>
  <w:abstractNum w:abstractNumId="136">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137">
    <w:nsid w:val="218063A6"/>
    <w:multiLevelType w:val="singleLevel"/>
    <w:tmpl w:val="62CA395A"/>
    <w:lvl w:ilvl="0">
      <w:start w:val="110"/>
      <w:numFmt w:val="decimal"/>
      <w:lvlText w:val="%1."/>
      <w:lvlJc w:val="left"/>
      <w:pPr>
        <w:tabs>
          <w:tab w:val="num" w:pos="360"/>
        </w:tabs>
        <w:ind w:left="360" w:hanging="360"/>
      </w:pPr>
    </w:lvl>
  </w:abstractNum>
  <w:abstractNum w:abstractNumId="138">
    <w:nsid w:val="21CC5464"/>
    <w:multiLevelType w:val="singleLevel"/>
    <w:tmpl w:val="ADAAEEB2"/>
    <w:lvl w:ilvl="0">
      <w:numFmt w:val="bullet"/>
      <w:lvlText w:val="–"/>
      <w:lvlJc w:val="left"/>
      <w:pPr>
        <w:tabs>
          <w:tab w:val="num" w:pos="360"/>
        </w:tabs>
        <w:ind w:left="360" w:hanging="360"/>
      </w:pPr>
      <w:rPr>
        <w:rFonts w:hint="default"/>
      </w:rPr>
    </w:lvl>
  </w:abstractNum>
  <w:abstractNum w:abstractNumId="139">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0">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41">
    <w:nsid w:val="22914D40"/>
    <w:multiLevelType w:val="singleLevel"/>
    <w:tmpl w:val="CA940702"/>
    <w:lvl w:ilvl="0">
      <w:start w:val="71"/>
      <w:numFmt w:val="decimal"/>
      <w:lvlText w:val="%1."/>
      <w:lvlJc w:val="left"/>
      <w:pPr>
        <w:tabs>
          <w:tab w:val="num" w:pos="360"/>
        </w:tabs>
        <w:ind w:left="360" w:hanging="360"/>
      </w:pPr>
    </w:lvl>
  </w:abstractNum>
  <w:abstractNum w:abstractNumId="142">
    <w:nsid w:val="229C6A84"/>
    <w:multiLevelType w:val="singleLevel"/>
    <w:tmpl w:val="B944E7A8"/>
    <w:lvl w:ilvl="0">
      <w:start w:val="30"/>
      <w:numFmt w:val="decimal"/>
      <w:lvlText w:val="%1."/>
      <w:lvlJc w:val="left"/>
      <w:pPr>
        <w:tabs>
          <w:tab w:val="num" w:pos="360"/>
        </w:tabs>
        <w:ind w:left="360" w:hanging="360"/>
      </w:pPr>
    </w:lvl>
  </w:abstractNum>
  <w:abstractNum w:abstractNumId="143">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44">
    <w:nsid w:val="233E3592"/>
    <w:multiLevelType w:val="singleLevel"/>
    <w:tmpl w:val="974853C6"/>
    <w:lvl w:ilvl="0">
      <w:start w:val="253"/>
      <w:numFmt w:val="decimal"/>
      <w:lvlText w:val="%1."/>
      <w:lvlJc w:val="left"/>
      <w:pPr>
        <w:tabs>
          <w:tab w:val="num" w:pos="360"/>
        </w:tabs>
        <w:ind w:left="360" w:hanging="360"/>
      </w:pPr>
    </w:lvl>
  </w:abstractNum>
  <w:abstractNum w:abstractNumId="145">
    <w:nsid w:val="236817BD"/>
    <w:multiLevelType w:val="multilevel"/>
    <w:tmpl w:val="D12AF090"/>
    <w:lvl w:ilvl="0">
      <w:start w:val="2"/>
      <w:numFmt w:val="none"/>
      <w:lvlText w:val="-"/>
      <w:legacy w:legacy="1" w:legacySpace="120" w:legacyIndent="720"/>
      <w:lvlJc w:val="left"/>
      <w:pPr>
        <w:ind w:left="720" w:hanging="720"/>
      </w:pPr>
    </w:lvl>
    <w:lvl w:ilvl="1">
      <w:start w:val="1"/>
      <w:numFmt w:val="none"/>
      <w:lvlText w:val="o"/>
      <w:legacy w:legacy="1" w:legacySpace="120" w:legacyIndent="360"/>
      <w:lvlJc w:val="left"/>
      <w:pPr>
        <w:ind w:left="1080" w:hanging="360"/>
      </w:pPr>
      <w:rPr>
        <w:rFonts w:ascii="Courier New" w:hAnsi="Courier New" w:hint="default"/>
      </w:rPr>
    </w:lvl>
    <w:lvl w:ilvl="2">
      <w:start w:val="1"/>
      <w:numFmt w:val="none"/>
      <w:lvlText w:val=""/>
      <w:legacy w:legacy="1" w:legacySpace="120" w:legacyIndent="360"/>
      <w:lvlJc w:val="left"/>
      <w:pPr>
        <w:ind w:left="1440" w:hanging="360"/>
      </w:pPr>
      <w:rPr>
        <w:rFonts w:ascii="Wingdings" w:hAnsi="Wingdings" w:hint="default"/>
      </w:rPr>
    </w:lvl>
    <w:lvl w:ilvl="3">
      <w:start w:val="1"/>
      <w:numFmt w:val="none"/>
      <w:lvlText w:val=""/>
      <w:legacy w:legacy="1" w:legacySpace="120" w:legacyIndent="360"/>
      <w:lvlJc w:val="left"/>
      <w:pPr>
        <w:ind w:left="1800" w:hanging="360"/>
      </w:pPr>
      <w:rPr>
        <w:rFonts w:ascii="Symbol" w:hAnsi="Symbol" w:hint="default"/>
      </w:rPr>
    </w:lvl>
    <w:lvl w:ilvl="4">
      <w:start w:val="1"/>
      <w:numFmt w:val="none"/>
      <w:lvlText w:val="o"/>
      <w:legacy w:legacy="1" w:legacySpace="120" w:legacyIndent="360"/>
      <w:lvlJc w:val="left"/>
      <w:pPr>
        <w:ind w:left="2160" w:hanging="360"/>
      </w:pPr>
      <w:rPr>
        <w:rFonts w:ascii="Courier New" w:hAnsi="Courier New" w:hint="default"/>
      </w:rPr>
    </w:lvl>
    <w:lvl w:ilvl="5">
      <w:start w:val="1"/>
      <w:numFmt w:val="none"/>
      <w:lvlText w:val=""/>
      <w:legacy w:legacy="1" w:legacySpace="120" w:legacyIndent="360"/>
      <w:lvlJc w:val="left"/>
      <w:pPr>
        <w:ind w:left="2520" w:hanging="360"/>
      </w:pPr>
      <w:rPr>
        <w:rFonts w:ascii="Wingdings" w:hAnsi="Wingdings" w:hint="default"/>
      </w:rPr>
    </w:lvl>
    <w:lvl w:ilvl="6">
      <w:start w:val="1"/>
      <w:numFmt w:val="none"/>
      <w:lvlText w:val=""/>
      <w:legacy w:legacy="1" w:legacySpace="120" w:legacyIndent="360"/>
      <w:lvlJc w:val="left"/>
      <w:pPr>
        <w:ind w:left="2880" w:hanging="360"/>
      </w:pPr>
      <w:rPr>
        <w:rFonts w:ascii="Symbol" w:hAnsi="Symbol" w:hint="default"/>
      </w:rPr>
    </w:lvl>
    <w:lvl w:ilvl="7">
      <w:start w:val="1"/>
      <w:numFmt w:val="none"/>
      <w:lvlText w:val="o"/>
      <w:legacy w:legacy="1" w:legacySpace="120" w:legacyIndent="360"/>
      <w:lvlJc w:val="left"/>
      <w:pPr>
        <w:ind w:left="3240" w:hanging="360"/>
      </w:pPr>
      <w:rPr>
        <w:rFonts w:ascii="Courier New" w:hAnsi="Courier New" w:hint="default"/>
      </w:rPr>
    </w:lvl>
    <w:lvl w:ilvl="8">
      <w:start w:val="1"/>
      <w:numFmt w:val="none"/>
      <w:lvlText w:val=""/>
      <w:legacy w:legacy="1" w:legacySpace="120" w:legacyIndent="360"/>
      <w:lvlJc w:val="left"/>
      <w:pPr>
        <w:ind w:left="3600" w:hanging="360"/>
      </w:pPr>
      <w:rPr>
        <w:rFonts w:ascii="Wingdings" w:hAnsi="Wingdings" w:hint="default"/>
      </w:rPr>
    </w:lvl>
  </w:abstractNum>
  <w:abstractNum w:abstractNumId="146">
    <w:nsid w:val="236B0423"/>
    <w:multiLevelType w:val="singleLevel"/>
    <w:tmpl w:val="0A5003C6"/>
    <w:lvl w:ilvl="0">
      <w:start w:val="165"/>
      <w:numFmt w:val="decimal"/>
      <w:lvlText w:val="%1."/>
      <w:lvlJc w:val="left"/>
      <w:pPr>
        <w:tabs>
          <w:tab w:val="num" w:pos="360"/>
        </w:tabs>
        <w:ind w:left="360" w:hanging="360"/>
      </w:pPr>
    </w:lvl>
  </w:abstractNum>
  <w:abstractNum w:abstractNumId="147">
    <w:nsid w:val="236F1F20"/>
    <w:multiLevelType w:val="singleLevel"/>
    <w:tmpl w:val="0D12DE58"/>
    <w:lvl w:ilvl="0">
      <w:start w:val="379"/>
      <w:numFmt w:val="decimal"/>
      <w:lvlText w:val="%1."/>
      <w:lvlJc w:val="left"/>
      <w:pPr>
        <w:tabs>
          <w:tab w:val="num" w:pos="360"/>
        </w:tabs>
        <w:ind w:left="360" w:hanging="360"/>
      </w:pPr>
    </w:lvl>
  </w:abstractNum>
  <w:abstractNum w:abstractNumId="148">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9">
    <w:nsid w:val="24464CC8"/>
    <w:multiLevelType w:val="singleLevel"/>
    <w:tmpl w:val="0644B848"/>
    <w:lvl w:ilvl="0">
      <w:start w:val="228"/>
      <w:numFmt w:val="decimal"/>
      <w:lvlText w:val="%1."/>
      <w:lvlJc w:val="left"/>
      <w:pPr>
        <w:tabs>
          <w:tab w:val="num" w:pos="360"/>
        </w:tabs>
        <w:ind w:left="360" w:hanging="360"/>
      </w:pPr>
    </w:lvl>
  </w:abstractNum>
  <w:abstractNum w:abstractNumId="150">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51">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2">
    <w:nsid w:val="248F4CD0"/>
    <w:multiLevelType w:val="singleLevel"/>
    <w:tmpl w:val="44AE2E64"/>
    <w:lvl w:ilvl="0">
      <w:start w:val="181"/>
      <w:numFmt w:val="decimal"/>
      <w:lvlText w:val="%1."/>
      <w:lvlJc w:val="left"/>
      <w:pPr>
        <w:tabs>
          <w:tab w:val="num" w:pos="360"/>
        </w:tabs>
        <w:ind w:left="360" w:hanging="360"/>
      </w:pPr>
    </w:lvl>
  </w:abstractNum>
  <w:abstractNum w:abstractNumId="153">
    <w:nsid w:val="24BB4707"/>
    <w:multiLevelType w:val="singleLevel"/>
    <w:tmpl w:val="70143DC6"/>
    <w:lvl w:ilvl="0">
      <w:start w:val="338"/>
      <w:numFmt w:val="decimal"/>
      <w:lvlText w:val="%1."/>
      <w:lvlJc w:val="left"/>
      <w:pPr>
        <w:tabs>
          <w:tab w:val="num" w:pos="360"/>
        </w:tabs>
        <w:ind w:left="360" w:hanging="360"/>
      </w:pPr>
    </w:lvl>
  </w:abstractNum>
  <w:abstractNum w:abstractNumId="154">
    <w:nsid w:val="24C37908"/>
    <w:multiLevelType w:val="singleLevel"/>
    <w:tmpl w:val="FBD0EE7A"/>
    <w:lvl w:ilvl="0">
      <w:start w:val="205"/>
      <w:numFmt w:val="decimal"/>
      <w:lvlText w:val="%1."/>
      <w:lvlJc w:val="left"/>
      <w:pPr>
        <w:tabs>
          <w:tab w:val="num" w:pos="360"/>
        </w:tabs>
        <w:ind w:left="360" w:hanging="360"/>
      </w:pPr>
    </w:lvl>
  </w:abstractNum>
  <w:abstractNum w:abstractNumId="155">
    <w:nsid w:val="25336028"/>
    <w:multiLevelType w:val="singleLevel"/>
    <w:tmpl w:val="3266C95E"/>
    <w:lvl w:ilvl="0">
      <w:start w:val="323"/>
      <w:numFmt w:val="decimal"/>
      <w:lvlText w:val="%1."/>
      <w:lvlJc w:val="left"/>
      <w:pPr>
        <w:tabs>
          <w:tab w:val="num" w:pos="360"/>
        </w:tabs>
        <w:ind w:left="360" w:hanging="360"/>
      </w:pPr>
    </w:lvl>
  </w:abstractNum>
  <w:abstractNum w:abstractNumId="156">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57">
    <w:nsid w:val="25846B8B"/>
    <w:multiLevelType w:val="singleLevel"/>
    <w:tmpl w:val="83F6E720"/>
    <w:lvl w:ilvl="0">
      <w:start w:val="276"/>
      <w:numFmt w:val="decimal"/>
      <w:lvlText w:val="%1."/>
      <w:lvlJc w:val="left"/>
      <w:pPr>
        <w:tabs>
          <w:tab w:val="num" w:pos="360"/>
        </w:tabs>
        <w:ind w:left="360" w:hanging="360"/>
      </w:pPr>
    </w:lvl>
  </w:abstractNum>
  <w:abstractNum w:abstractNumId="158">
    <w:nsid w:val="264D21EC"/>
    <w:multiLevelType w:val="singleLevel"/>
    <w:tmpl w:val="4C640D34"/>
    <w:lvl w:ilvl="0">
      <w:start w:val="224"/>
      <w:numFmt w:val="decimal"/>
      <w:lvlText w:val="%1."/>
      <w:lvlJc w:val="left"/>
      <w:pPr>
        <w:tabs>
          <w:tab w:val="num" w:pos="360"/>
        </w:tabs>
        <w:ind w:left="360" w:hanging="360"/>
      </w:pPr>
    </w:lvl>
  </w:abstractNum>
  <w:abstractNum w:abstractNumId="159">
    <w:nsid w:val="26CA416A"/>
    <w:multiLevelType w:val="singleLevel"/>
    <w:tmpl w:val="1FB0F7A6"/>
    <w:lvl w:ilvl="0">
      <w:start w:val="142"/>
      <w:numFmt w:val="decimal"/>
      <w:lvlText w:val="%1."/>
      <w:lvlJc w:val="left"/>
      <w:pPr>
        <w:tabs>
          <w:tab w:val="num" w:pos="360"/>
        </w:tabs>
        <w:ind w:left="360" w:hanging="360"/>
      </w:pPr>
    </w:lvl>
  </w:abstractNum>
  <w:abstractNum w:abstractNumId="160">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61">
    <w:nsid w:val="27080807"/>
    <w:multiLevelType w:val="singleLevel"/>
    <w:tmpl w:val="198C5FA4"/>
    <w:lvl w:ilvl="0">
      <w:start w:val="411"/>
      <w:numFmt w:val="decimal"/>
      <w:lvlText w:val="%1."/>
      <w:lvlJc w:val="left"/>
      <w:pPr>
        <w:tabs>
          <w:tab w:val="num" w:pos="360"/>
        </w:tabs>
        <w:ind w:left="360" w:hanging="360"/>
      </w:pPr>
    </w:lvl>
  </w:abstractNum>
  <w:abstractNum w:abstractNumId="162">
    <w:nsid w:val="27EB0DB8"/>
    <w:multiLevelType w:val="singleLevel"/>
    <w:tmpl w:val="18D04F30"/>
    <w:lvl w:ilvl="0">
      <w:start w:val="100"/>
      <w:numFmt w:val="decimal"/>
      <w:lvlText w:val="%1."/>
      <w:lvlJc w:val="left"/>
      <w:pPr>
        <w:tabs>
          <w:tab w:val="num" w:pos="624"/>
        </w:tabs>
        <w:ind w:left="624" w:hanging="624"/>
      </w:pPr>
    </w:lvl>
  </w:abstractNum>
  <w:abstractNum w:abstractNumId="163">
    <w:nsid w:val="27F05DB1"/>
    <w:multiLevelType w:val="singleLevel"/>
    <w:tmpl w:val="D98C7C6A"/>
    <w:lvl w:ilvl="0">
      <w:numFmt w:val="bullet"/>
      <w:lvlText w:val="-"/>
      <w:lvlJc w:val="left"/>
      <w:pPr>
        <w:tabs>
          <w:tab w:val="num" w:pos="360"/>
        </w:tabs>
        <w:ind w:left="360" w:hanging="360"/>
      </w:pPr>
      <w:rPr>
        <w:rFonts w:hint="default"/>
      </w:rPr>
    </w:lvl>
  </w:abstractNum>
  <w:abstractNum w:abstractNumId="164">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5">
    <w:nsid w:val="28755143"/>
    <w:multiLevelType w:val="singleLevel"/>
    <w:tmpl w:val="13564EEE"/>
    <w:lvl w:ilvl="0">
      <w:start w:val="257"/>
      <w:numFmt w:val="decimal"/>
      <w:lvlText w:val="%1."/>
      <w:lvlJc w:val="left"/>
      <w:pPr>
        <w:tabs>
          <w:tab w:val="num" w:pos="360"/>
        </w:tabs>
        <w:ind w:left="360" w:hanging="360"/>
      </w:pPr>
    </w:lvl>
  </w:abstractNum>
  <w:abstractNum w:abstractNumId="166">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67">
    <w:nsid w:val="28EE77FA"/>
    <w:multiLevelType w:val="singleLevel"/>
    <w:tmpl w:val="11624234"/>
    <w:lvl w:ilvl="0">
      <w:start w:val="99"/>
      <w:numFmt w:val="decimal"/>
      <w:lvlText w:val="%1."/>
      <w:lvlJc w:val="left"/>
      <w:pPr>
        <w:tabs>
          <w:tab w:val="num" w:pos="360"/>
        </w:tabs>
        <w:ind w:left="360" w:hanging="360"/>
      </w:pPr>
    </w:lvl>
  </w:abstractNum>
  <w:abstractNum w:abstractNumId="168">
    <w:nsid w:val="29944978"/>
    <w:multiLevelType w:val="singleLevel"/>
    <w:tmpl w:val="C5500D30"/>
    <w:lvl w:ilvl="0">
      <w:start w:val="83"/>
      <w:numFmt w:val="decimal"/>
      <w:lvlText w:val="%1."/>
      <w:lvlJc w:val="left"/>
      <w:pPr>
        <w:tabs>
          <w:tab w:val="num" w:pos="360"/>
        </w:tabs>
        <w:ind w:left="360" w:hanging="360"/>
      </w:pPr>
    </w:lvl>
  </w:abstractNum>
  <w:abstractNum w:abstractNumId="169">
    <w:nsid w:val="29AB5253"/>
    <w:multiLevelType w:val="singleLevel"/>
    <w:tmpl w:val="45EE22BC"/>
    <w:lvl w:ilvl="0">
      <w:start w:val="465"/>
      <w:numFmt w:val="decimal"/>
      <w:lvlText w:val="%1."/>
      <w:lvlJc w:val="left"/>
      <w:pPr>
        <w:tabs>
          <w:tab w:val="num" w:pos="360"/>
        </w:tabs>
        <w:ind w:left="360" w:hanging="360"/>
      </w:pPr>
    </w:lvl>
  </w:abstractNum>
  <w:abstractNum w:abstractNumId="170">
    <w:nsid w:val="29C9419D"/>
    <w:multiLevelType w:val="singleLevel"/>
    <w:tmpl w:val="CFEACC2C"/>
    <w:lvl w:ilvl="0">
      <w:start w:val="65"/>
      <w:numFmt w:val="decimal"/>
      <w:lvlText w:val="%1."/>
      <w:lvlJc w:val="left"/>
      <w:pPr>
        <w:tabs>
          <w:tab w:val="num" w:pos="360"/>
        </w:tabs>
        <w:ind w:left="340" w:hanging="340"/>
      </w:pPr>
    </w:lvl>
  </w:abstractNum>
  <w:abstractNum w:abstractNumId="171">
    <w:nsid w:val="29F67688"/>
    <w:multiLevelType w:val="singleLevel"/>
    <w:tmpl w:val="2A62519E"/>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2A094A65"/>
    <w:multiLevelType w:val="singleLevel"/>
    <w:tmpl w:val="51349E1C"/>
    <w:lvl w:ilvl="0">
      <w:start w:val="92"/>
      <w:numFmt w:val="decimal"/>
      <w:lvlText w:val="%1."/>
      <w:lvlJc w:val="left"/>
      <w:pPr>
        <w:tabs>
          <w:tab w:val="num" w:pos="360"/>
        </w:tabs>
        <w:ind w:left="360" w:hanging="360"/>
      </w:pPr>
    </w:lvl>
  </w:abstractNum>
  <w:abstractNum w:abstractNumId="173">
    <w:nsid w:val="2A0B222B"/>
    <w:multiLevelType w:val="singleLevel"/>
    <w:tmpl w:val="BE88F3D2"/>
    <w:lvl w:ilvl="0">
      <w:start w:val="348"/>
      <w:numFmt w:val="decimal"/>
      <w:lvlText w:val="%1."/>
      <w:lvlJc w:val="left"/>
      <w:pPr>
        <w:tabs>
          <w:tab w:val="num" w:pos="360"/>
        </w:tabs>
        <w:ind w:left="360" w:hanging="360"/>
      </w:pPr>
    </w:lvl>
  </w:abstractNum>
  <w:abstractNum w:abstractNumId="174">
    <w:nsid w:val="2AE84751"/>
    <w:multiLevelType w:val="singleLevel"/>
    <w:tmpl w:val="755E186A"/>
    <w:lvl w:ilvl="0">
      <w:start w:val="110"/>
      <w:numFmt w:val="decimal"/>
      <w:lvlText w:val="%1."/>
      <w:lvlJc w:val="left"/>
      <w:pPr>
        <w:tabs>
          <w:tab w:val="num" w:pos="360"/>
        </w:tabs>
        <w:ind w:left="360" w:hanging="360"/>
      </w:pPr>
    </w:lvl>
  </w:abstractNum>
  <w:abstractNum w:abstractNumId="175">
    <w:nsid w:val="2AF231CE"/>
    <w:multiLevelType w:val="singleLevel"/>
    <w:tmpl w:val="163E87CC"/>
    <w:lvl w:ilvl="0">
      <w:start w:val="344"/>
      <w:numFmt w:val="decimal"/>
      <w:lvlText w:val="%1."/>
      <w:lvlJc w:val="left"/>
      <w:pPr>
        <w:tabs>
          <w:tab w:val="num" w:pos="360"/>
        </w:tabs>
        <w:ind w:left="360" w:hanging="360"/>
      </w:pPr>
    </w:lvl>
  </w:abstractNum>
  <w:abstractNum w:abstractNumId="176">
    <w:nsid w:val="2B0D48E4"/>
    <w:multiLevelType w:val="singleLevel"/>
    <w:tmpl w:val="1D06BCB4"/>
    <w:lvl w:ilvl="0">
      <w:start w:val="308"/>
      <w:numFmt w:val="decimal"/>
      <w:lvlText w:val="%1."/>
      <w:lvlJc w:val="left"/>
      <w:pPr>
        <w:tabs>
          <w:tab w:val="num" w:pos="360"/>
        </w:tabs>
        <w:ind w:left="360" w:hanging="360"/>
      </w:pPr>
    </w:lvl>
  </w:abstractNum>
  <w:abstractNum w:abstractNumId="177">
    <w:nsid w:val="2B44147B"/>
    <w:multiLevelType w:val="singleLevel"/>
    <w:tmpl w:val="B0765612"/>
    <w:lvl w:ilvl="0">
      <w:start w:val="188"/>
      <w:numFmt w:val="decimal"/>
      <w:lvlText w:val="%1."/>
      <w:lvlJc w:val="left"/>
      <w:pPr>
        <w:tabs>
          <w:tab w:val="num" w:pos="360"/>
        </w:tabs>
        <w:ind w:left="360" w:hanging="360"/>
      </w:pPr>
    </w:lvl>
  </w:abstractNum>
  <w:abstractNum w:abstractNumId="178">
    <w:nsid w:val="2B784707"/>
    <w:multiLevelType w:val="singleLevel"/>
    <w:tmpl w:val="D98C7C6A"/>
    <w:lvl w:ilvl="0">
      <w:numFmt w:val="bullet"/>
      <w:lvlText w:val="-"/>
      <w:lvlJc w:val="left"/>
      <w:pPr>
        <w:tabs>
          <w:tab w:val="num" w:pos="360"/>
        </w:tabs>
        <w:ind w:left="360" w:hanging="360"/>
      </w:pPr>
      <w:rPr>
        <w:rFonts w:hint="default"/>
      </w:rPr>
    </w:lvl>
  </w:abstractNum>
  <w:abstractNum w:abstractNumId="179">
    <w:nsid w:val="2B9352A7"/>
    <w:multiLevelType w:val="singleLevel"/>
    <w:tmpl w:val="D98C7C6A"/>
    <w:lvl w:ilvl="0">
      <w:numFmt w:val="bullet"/>
      <w:lvlText w:val="-"/>
      <w:lvlJc w:val="left"/>
      <w:pPr>
        <w:tabs>
          <w:tab w:val="num" w:pos="360"/>
        </w:tabs>
        <w:ind w:left="360" w:hanging="360"/>
      </w:pPr>
      <w:rPr>
        <w:rFonts w:hint="default"/>
      </w:rPr>
    </w:lvl>
  </w:abstractNum>
  <w:abstractNum w:abstractNumId="180">
    <w:nsid w:val="2BA228B3"/>
    <w:multiLevelType w:val="singleLevel"/>
    <w:tmpl w:val="80D87F62"/>
    <w:lvl w:ilvl="0">
      <w:start w:val="334"/>
      <w:numFmt w:val="decimal"/>
      <w:lvlText w:val="%1."/>
      <w:lvlJc w:val="left"/>
      <w:pPr>
        <w:tabs>
          <w:tab w:val="num" w:pos="360"/>
        </w:tabs>
        <w:ind w:left="360" w:hanging="360"/>
      </w:pPr>
    </w:lvl>
  </w:abstractNum>
  <w:abstractNum w:abstractNumId="181">
    <w:nsid w:val="2BBE5120"/>
    <w:multiLevelType w:val="singleLevel"/>
    <w:tmpl w:val="42A06A96"/>
    <w:lvl w:ilvl="0">
      <w:start w:val="16"/>
      <w:numFmt w:val="decimal"/>
      <w:lvlText w:val="%1."/>
      <w:lvlJc w:val="left"/>
      <w:pPr>
        <w:tabs>
          <w:tab w:val="num" w:pos="360"/>
        </w:tabs>
        <w:ind w:left="360" w:hanging="360"/>
      </w:pPr>
    </w:lvl>
  </w:abstractNum>
  <w:abstractNum w:abstractNumId="182">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3">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4">
    <w:nsid w:val="2C666DD1"/>
    <w:multiLevelType w:val="singleLevel"/>
    <w:tmpl w:val="BE2056E8"/>
    <w:lvl w:ilvl="0">
      <w:start w:val="37"/>
      <w:numFmt w:val="decimal"/>
      <w:lvlText w:val="%1."/>
      <w:lvlJc w:val="left"/>
      <w:pPr>
        <w:tabs>
          <w:tab w:val="num" w:pos="360"/>
        </w:tabs>
        <w:ind w:left="360" w:hanging="360"/>
      </w:pPr>
    </w:lvl>
  </w:abstractNum>
  <w:abstractNum w:abstractNumId="185">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86">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87">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8">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89">
    <w:nsid w:val="2CDF263D"/>
    <w:multiLevelType w:val="singleLevel"/>
    <w:tmpl w:val="F2404A1A"/>
    <w:lvl w:ilvl="0">
      <w:start w:val="394"/>
      <w:numFmt w:val="decimal"/>
      <w:lvlText w:val="%1."/>
      <w:lvlJc w:val="left"/>
      <w:pPr>
        <w:tabs>
          <w:tab w:val="num" w:pos="360"/>
        </w:tabs>
        <w:ind w:left="0" w:firstLine="0"/>
      </w:pPr>
    </w:lvl>
  </w:abstractNum>
  <w:abstractNum w:abstractNumId="190">
    <w:nsid w:val="2CE038F9"/>
    <w:multiLevelType w:val="singleLevel"/>
    <w:tmpl w:val="80360294"/>
    <w:lvl w:ilvl="0">
      <w:start w:val="49"/>
      <w:numFmt w:val="decimal"/>
      <w:lvlText w:val="%1."/>
      <w:lvlJc w:val="left"/>
      <w:pPr>
        <w:tabs>
          <w:tab w:val="num" w:pos="360"/>
        </w:tabs>
        <w:ind w:left="360" w:hanging="360"/>
      </w:pPr>
    </w:lvl>
  </w:abstractNum>
  <w:abstractNum w:abstractNumId="191">
    <w:nsid w:val="2D6E06A3"/>
    <w:multiLevelType w:val="singleLevel"/>
    <w:tmpl w:val="0419000F"/>
    <w:lvl w:ilvl="0">
      <w:start w:val="1"/>
      <w:numFmt w:val="decimal"/>
      <w:lvlText w:val="%1."/>
      <w:lvlJc w:val="left"/>
      <w:pPr>
        <w:tabs>
          <w:tab w:val="num" w:pos="360"/>
        </w:tabs>
        <w:ind w:left="360" w:hanging="360"/>
      </w:pPr>
    </w:lvl>
  </w:abstractNum>
  <w:abstractNum w:abstractNumId="192">
    <w:nsid w:val="2DAC4E8A"/>
    <w:multiLevelType w:val="singleLevel"/>
    <w:tmpl w:val="8DFA31DE"/>
    <w:lvl w:ilvl="0">
      <w:start w:val="371"/>
      <w:numFmt w:val="decimal"/>
      <w:lvlText w:val="%1."/>
      <w:lvlJc w:val="left"/>
      <w:pPr>
        <w:tabs>
          <w:tab w:val="num" w:pos="360"/>
        </w:tabs>
        <w:ind w:left="360" w:hanging="360"/>
      </w:pPr>
    </w:lvl>
  </w:abstractNum>
  <w:abstractNum w:abstractNumId="193">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94">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5">
    <w:nsid w:val="2E39733B"/>
    <w:multiLevelType w:val="singleLevel"/>
    <w:tmpl w:val="0E9A76F6"/>
    <w:lvl w:ilvl="0">
      <w:start w:val="15"/>
      <w:numFmt w:val="decimal"/>
      <w:lvlText w:val="%1."/>
      <w:lvlJc w:val="left"/>
      <w:pPr>
        <w:tabs>
          <w:tab w:val="num" w:pos="360"/>
        </w:tabs>
        <w:ind w:left="360" w:hanging="360"/>
      </w:pPr>
    </w:lvl>
  </w:abstractNum>
  <w:abstractNum w:abstractNumId="196">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197">
    <w:nsid w:val="2F2140EF"/>
    <w:multiLevelType w:val="singleLevel"/>
    <w:tmpl w:val="5950EED0"/>
    <w:lvl w:ilvl="0">
      <w:start w:val="314"/>
      <w:numFmt w:val="decimal"/>
      <w:lvlText w:val="%1."/>
      <w:lvlJc w:val="left"/>
      <w:pPr>
        <w:tabs>
          <w:tab w:val="num" w:pos="360"/>
        </w:tabs>
        <w:ind w:left="360" w:hanging="360"/>
      </w:pPr>
    </w:lvl>
  </w:abstractNum>
  <w:abstractNum w:abstractNumId="198">
    <w:nsid w:val="2F76038E"/>
    <w:multiLevelType w:val="singleLevel"/>
    <w:tmpl w:val="0D38706E"/>
    <w:lvl w:ilvl="0">
      <w:start w:val="34"/>
      <w:numFmt w:val="decimal"/>
      <w:lvlText w:val="%1."/>
      <w:lvlJc w:val="left"/>
      <w:pPr>
        <w:tabs>
          <w:tab w:val="num" w:pos="360"/>
        </w:tabs>
        <w:ind w:left="360" w:hanging="360"/>
      </w:pPr>
    </w:lvl>
  </w:abstractNum>
  <w:abstractNum w:abstractNumId="199">
    <w:nsid w:val="30C9532F"/>
    <w:multiLevelType w:val="singleLevel"/>
    <w:tmpl w:val="67D01C16"/>
    <w:lvl w:ilvl="0">
      <w:start w:val="293"/>
      <w:numFmt w:val="decimal"/>
      <w:lvlText w:val="%1."/>
      <w:lvlJc w:val="left"/>
      <w:pPr>
        <w:tabs>
          <w:tab w:val="num" w:pos="360"/>
        </w:tabs>
        <w:ind w:left="360" w:hanging="360"/>
      </w:pPr>
    </w:lvl>
  </w:abstractNum>
  <w:abstractNum w:abstractNumId="200">
    <w:nsid w:val="31820C0B"/>
    <w:multiLevelType w:val="singleLevel"/>
    <w:tmpl w:val="798A0ED2"/>
    <w:lvl w:ilvl="0">
      <w:start w:val="281"/>
      <w:numFmt w:val="decimal"/>
      <w:lvlText w:val="%1."/>
      <w:lvlJc w:val="left"/>
      <w:pPr>
        <w:tabs>
          <w:tab w:val="num" w:pos="360"/>
        </w:tabs>
        <w:ind w:left="360" w:hanging="360"/>
      </w:pPr>
    </w:lvl>
  </w:abstractNum>
  <w:abstractNum w:abstractNumId="201">
    <w:nsid w:val="32080F9D"/>
    <w:multiLevelType w:val="singleLevel"/>
    <w:tmpl w:val="3CF27CAC"/>
    <w:lvl w:ilvl="0">
      <w:start w:val="353"/>
      <w:numFmt w:val="decimal"/>
      <w:lvlText w:val="%1."/>
      <w:lvlJc w:val="left"/>
      <w:pPr>
        <w:tabs>
          <w:tab w:val="num" w:pos="360"/>
        </w:tabs>
        <w:ind w:left="360" w:hanging="360"/>
      </w:pPr>
    </w:lvl>
  </w:abstractNum>
  <w:abstractNum w:abstractNumId="202">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203">
    <w:nsid w:val="32995E0E"/>
    <w:multiLevelType w:val="singleLevel"/>
    <w:tmpl w:val="B6E647CC"/>
    <w:lvl w:ilvl="0">
      <w:start w:val="233"/>
      <w:numFmt w:val="decimal"/>
      <w:lvlText w:val="%1."/>
      <w:lvlJc w:val="left"/>
      <w:pPr>
        <w:tabs>
          <w:tab w:val="num" w:pos="360"/>
        </w:tabs>
        <w:ind w:left="360" w:hanging="360"/>
      </w:pPr>
    </w:lvl>
  </w:abstractNum>
  <w:abstractNum w:abstractNumId="204">
    <w:nsid w:val="32AE0778"/>
    <w:multiLevelType w:val="singleLevel"/>
    <w:tmpl w:val="DDCA232C"/>
    <w:lvl w:ilvl="0">
      <w:start w:val="129"/>
      <w:numFmt w:val="decimal"/>
      <w:lvlText w:val="%1."/>
      <w:lvlJc w:val="left"/>
      <w:pPr>
        <w:tabs>
          <w:tab w:val="num" w:pos="360"/>
        </w:tabs>
        <w:ind w:left="360" w:hanging="360"/>
      </w:pPr>
    </w:lvl>
  </w:abstractNum>
  <w:abstractNum w:abstractNumId="205">
    <w:nsid w:val="32EC37F1"/>
    <w:multiLevelType w:val="singleLevel"/>
    <w:tmpl w:val="F5CC58DC"/>
    <w:lvl w:ilvl="0">
      <w:start w:val="238"/>
      <w:numFmt w:val="decimal"/>
      <w:lvlText w:val="%1."/>
      <w:lvlJc w:val="left"/>
      <w:pPr>
        <w:tabs>
          <w:tab w:val="num" w:pos="360"/>
        </w:tabs>
        <w:ind w:left="360" w:hanging="360"/>
      </w:pPr>
    </w:lvl>
  </w:abstractNum>
  <w:abstractNum w:abstractNumId="206">
    <w:nsid w:val="33102689"/>
    <w:multiLevelType w:val="singleLevel"/>
    <w:tmpl w:val="325E9D5C"/>
    <w:lvl w:ilvl="0">
      <w:start w:val="431"/>
      <w:numFmt w:val="decimal"/>
      <w:lvlText w:val="%1."/>
      <w:lvlJc w:val="left"/>
      <w:pPr>
        <w:tabs>
          <w:tab w:val="num" w:pos="360"/>
        </w:tabs>
        <w:ind w:left="360" w:hanging="360"/>
      </w:pPr>
    </w:lvl>
  </w:abstractNum>
  <w:abstractNum w:abstractNumId="207">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8">
    <w:nsid w:val="342D516E"/>
    <w:multiLevelType w:val="singleLevel"/>
    <w:tmpl w:val="89842F8C"/>
    <w:lvl w:ilvl="0">
      <w:start w:val="445"/>
      <w:numFmt w:val="decimal"/>
      <w:lvlText w:val="%1."/>
      <w:lvlJc w:val="left"/>
      <w:pPr>
        <w:tabs>
          <w:tab w:val="num" w:pos="360"/>
        </w:tabs>
        <w:ind w:left="360" w:hanging="360"/>
      </w:pPr>
    </w:lvl>
  </w:abstractNum>
  <w:abstractNum w:abstractNumId="209">
    <w:nsid w:val="34782523"/>
    <w:multiLevelType w:val="singleLevel"/>
    <w:tmpl w:val="05362BFC"/>
    <w:lvl w:ilvl="0">
      <w:start w:val="210"/>
      <w:numFmt w:val="decimal"/>
      <w:lvlText w:val="%1."/>
      <w:lvlJc w:val="left"/>
      <w:pPr>
        <w:tabs>
          <w:tab w:val="num" w:pos="360"/>
        </w:tabs>
        <w:ind w:left="360" w:hanging="360"/>
      </w:pPr>
    </w:lvl>
  </w:abstractNum>
  <w:abstractNum w:abstractNumId="210">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11">
    <w:nsid w:val="35DE494C"/>
    <w:multiLevelType w:val="singleLevel"/>
    <w:tmpl w:val="D98C7C6A"/>
    <w:lvl w:ilvl="0">
      <w:numFmt w:val="bullet"/>
      <w:lvlText w:val="-"/>
      <w:lvlJc w:val="left"/>
      <w:pPr>
        <w:tabs>
          <w:tab w:val="num" w:pos="360"/>
        </w:tabs>
        <w:ind w:left="360" w:hanging="360"/>
      </w:pPr>
      <w:rPr>
        <w:rFonts w:hint="default"/>
      </w:rPr>
    </w:lvl>
  </w:abstractNum>
  <w:abstractNum w:abstractNumId="212">
    <w:nsid w:val="35F41006"/>
    <w:multiLevelType w:val="hybridMultilevel"/>
    <w:tmpl w:val="D1264C92"/>
    <w:lvl w:ilvl="0">
      <w:start w:val="1"/>
      <w:numFmt w:val="bullet"/>
      <w:pStyle w:val="TOC9"/>
      <w:lvlText w:val=""/>
      <w:lvlJc w:val="left"/>
      <w:pPr>
        <w:tabs>
          <w:tab w:val="num" w:pos="700"/>
        </w:tabs>
        <w:ind w:left="680" w:hanging="34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36800BE2"/>
    <w:multiLevelType w:val="singleLevel"/>
    <w:tmpl w:val="009A67DE"/>
    <w:lvl w:ilvl="0">
      <w:start w:val="156"/>
      <w:numFmt w:val="decimal"/>
      <w:lvlText w:val="%1."/>
      <w:lvlJc w:val="left"/>
      <w:pPr>
        <w:tabs>
          <w:tab w:val="num" w:pos="624"/>
        </w:tabs>
        <w:ind w:left="624" w:hanging="624"/>
      </w:pPr>
    </w:lvl>
  </w:abstractNum>
  <w:abstractNum w:abstractNumId="214">
    <w:nsid w:val="36830CB9"/>
    <w:multiLevelType w:val="singleLevel"/>
    <w:tmpl w:val="D98C7C6A"/>
    <w:lvl w:ilvl="0">
      <w:numFmt w:val="bullet"/>
      <w:lvlText w:val="-"/>
      <w:lvlJc w:val="left"/>
      <w:pPr>
        <w:tabs>
          <w:tab w:val="num" w:pos="360"/>
        </w:tabs>
        <w:ind w:left="360" w:hanging="360"/>
      </w:pPr>
      <w:rPr>
        <w:rFonts w:hint="default"/>
      </w:rPr>
    </w:lvl>
  </w:abstractNum>
  <w:abstractNum w:abstractNumId="215">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16">
    <w:nsid w:val="36C555DC"/>
    <w:multiLevelType w:val="singleLevel"/>
    <w:tmpl w:val="5C92CB6A"/>
    <w:lvl w:ilvl="0">
      <w:start w:val="92"/>
      <w:numFmt w:val="decimal"/>
      <w:lvlText w:val="%1."/>
      <w:lvlJc w:val="left"/>
      <w:pPr>
        <w:tabs>
          <w:tab w:val="num" w:pos="349"/>
        </w:tabs>
        <w:ind w:left="349" w:hanging="360"/>
      </w:pPr>
      <w:rPr>
        <w:rFonts w:ascii="Times New Roman" w:hAnsi="Times New Roman" w:hint="default"/>
        <w:sz w:val="22"/>
      </w:rPr>
    </w:lvl>
  </w:abstractNum>
  <w:abstractNum w:abstractNumId="217">
    <w:nsid w:val="3759034F"/>
    <w:multiLevelType w:val="singleLevel"/>
    <w:tmpl w:val="344E0954"/>
    <w:lvl w:ilvl="0">
      <w:start w:val="176"/>
      <w:numFmt w:val="decimal"/>
      <w:lvlText w:val="%1."/>
      <w:lvlJc w:val="left"/>
      <w:pPr>
        <w:tabs>
          <w:tab w:val="num" w:pos="360"/>
        </w:tabs>
        <w:ind w:left="360" w:hanging="360"/>
      </w:pPr>
    </w:lvl>
  </w:abstractNum>
  <w:abstractNum w:abstractNumId="218">
    <w:nsid w:val="37A742A9"/>
    <w:multiLevelType w:val="singleLevel"/>
    <w:tmpl w:val="FF0ACA6E"/>
    <w:lvl w:ilvl="0">
      <w:start w:val="464"/>
      <w:numFmt w:val="decimal"/>
      <w:lvlText w:val="%1."/>
      <w:lvlJc w:val="left"/>
      <w:pPr>
        <w:tabs>
          <w:tab w:val="num" w:pos="360"/>
        </w:tabs>
        <w:ind w:left="360" w:hanging="360"/>
      </w:pPr>
    </w:lvl>
  </w:abstractNum>
  <w:abstractNum w:abstractNumId="219">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0">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21">
    <w:nsid w:val="37F5690B"/>
    <w:multiLevelType w:val="singleLevel"/>
    <w:tmpl w:val="EB78E1B4"/>
    <w:lvl w:ilvl="0">
      <w:start w:val="271"/>
      <w:numFmt w:val="decimal"/>
      <w:lvlText w:val="%1."/>
      <w:lvlJc w:val="left"/>
      <w:pPr>
        <w:tabs>
          <w:tab w:val="num" w:pos="360"/>
        </w:tabs>
        <w:ind w:left="360" w:hanging="360"/>
      </w:pPr>
    </w:lvl>
  </w:abstractNum>
  <w:abstractNum w:abstractNumId="222">
    <w:nsid w:val="384C7447"/>
    <w:multiLevelType w:val="singleLevel"/>
    <w:tmpl w:val="C27C9FF2"/>
    <w:lvl w:ilvl="0">
      <w:start w:val="462"/>
      <w:numFmt w:val="decimal"/>
      <w:lvlText w:val="%1."/>
      <w:lvlJc w:val="left"/>
      <w:pPr>
        <w:tabs>
          <w:tab w:val="num" w:pos="360"/>
        </w:tabs>
        <w:ind w:left="360" w:hanging="360"/>
      </w:pPr>
    </w:lvl>
  </w:abstractNum>
  <w:abstractNum w:abstractNumId="223">
    <w:nsid w:val="38530C3D"/>
    <w:multiLevelType w:val="singleLevel"/>
    <w:tmpl w:val="35B25B14"/>
    <w:lvl w:ilvl="0">
      <w:start w:val="108"/>
      <w:numFmt w:val="decimal"/>
      <w:lvlText w:val="%1."/>
      <w:lvlJc w:val="left"/>
      <w:pPr>
        <w:tabs>
          <w:tab w:val="num" w:pos="624"/>
        </w:tabs>
        <w:ind w:left="624" w:hanging="624"/>
      </w:pPr>
    </w:lvl>
  </w:abstractNum>
  <w:abstractNum w:abstractNumId="224">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25">
    <w:nsid w:val="38851727"/>
    <w:multiLevelType w:val="singleLevel"/>
    <w:tmpl w:val="4E848D5A"/>
    <w:lvl w:ilvl="0">
      <w:start w:val="379"/>
      <w:numFmt w:val="decimal"/>
      <w:lvlText w:val="%1."/>
      <w:lvlJc w:val="left"/>
      <w:pPr>
        <w:tabs>
          <w:tab w:val="num" w:pos="360"/>
        </w:tabs>
        <w:ind w:left="360" w:hanging="360"/>
      </w:pPr>
    </w:lvl>
  </w:abstractNum>
  <w:abstractNum w:abstractNumId="226">
    <w:nsid w:val="38FC65F0"/>
    <w:multiLevelType w:val="singleLevel"/>
    <w:tmpl w:val="D98C7C6A"/>
    <w:lvl w:ilvl="0">
      <w:numFmt w:val="bullet"/>
      <w:lvlText w:val="-"/>
      <w:lvlJc w:val="left"/>
      <w:pPr>
        <w:tabs>
          <w:tab w:val="num" w:pos="360"/>
        </w:tabs>
        <w:ind w:left="360" w:hanging="360"/>
      </w:pPr>
      <w:rPr>
        <w:rFonts w:hint="default"/>
      </w:rPr>
    </w:lvl>
  </w:abstractNum>
  <w:abstractNum w:abstractNumId="227">
    <w:nsid w:val="39041C85"/>
    <w:multiLevelType w:val="singleLevel"/>
    <w:tmpl w:val="B3A6698C"/>
    <w:lvl w:ilvl="0">
      <w:start w:val="350"/>
      <w:numFmt w:val="decimal"/>
      <w:lvlText w:val="%1."/>
      <w:lvlJc w:val="left"/>
      <w:pPr>
        <w:tabs>
          <w:tab w:val="num" w:pos="360"/>
        </w:tabs>
        <w:ind w:left="360" w:hanging="360"/>
      </w:pPr>
    </w:lvl>
  </w:abstractNum>
  <w:abstractNum w:abstractNumId="228">
    <w:nsid w:val="390E1657"/>
    <w:multiLevelType w:val="singleLevel"/>
    <w:tmpl w:val="FFBA5198"/>
    <w:lvl w:ilvl="0">
      <w:start w:val="100"/>
      <w:numFmt w:val="decimal"/>
      <w:lvlText w:val="%1."/>
      <w:lvlJc w:val="left"/>
      <w:pPr>
        <w:tabs>
          <w:tab w:val="num" w:pos="360"/>
        </w:tabs>
        <w:ind w:left="284" w:hanging="284"/>
      </w:pPr>
    </w:lvl>
  </w:abstractNum>
  <w:abstractNum w:abstractNumId="229">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30">
    <w:nsid w:val="39B52752"/>
    <w:multiLevelType w:val="singleLevel"/>
    <w:tmpl w:val="BE2056E8"/>
    <w:lvl w:ilvl="0">
      <w:start w:val="37"/>
      <w:numFmt w:val="decimal"/>
      <w:lvlText w:val="%1."/>
      <w:lvlJc w:val="left"/>
      <w:pPr>
        <w:tabs>
          <w:tab w:val="num" w:pos="360"/>
        </w:tabs>
        <w:ind w:left="360" w:hanging="360"/>
      </w:pPr>
    </w:lvl>
  </w:abstractNum>
  <w:abstractNum w:abstractNumId="231">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232">
    <w:nsid w:val="3A1B5CC7"/>
    <w:multiLevelType w:val="hybridMultilevel"/>
    <w:tmpl w:val="F12A68EA"/>
    <w:lvl w:ilvl="0">
      <w:start w:val="1"/>
      <w:numFmt w:val="bullet"/>
      <w:pStyle w:val="TOC3"/>
      <w:lvlText w:val=""/>
      <w:lvlJc w:val="left"/>
      <w:pPr>
        <w:tabs>
          <w:tab w:val="num" w:pos="360"/>
        </w:tabs>
        <w:ind w:left="340" w:hanging="340"/>
      </w:pPr>
      <w:rPr>
        <w:rFonts w:ascii="Symbol" w:hAnsi="Symbol"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3A8960C4"/>
    <w:multiLevelType w:val="singleLevel"/>
    <w:tmpl w:val="0D6AE728"/>
    <w:lvl w:ilvl="0">
      <w:start w:val="72"/>
      <w:numFmt w:val="decimal"/>
      <w:lvlText w:val="%1."/>
      <w:lvlJc w:val="left"/>
      <w:pPr>
        <w:tabs>
          <w:tab w:val="num" w:pos="360"/>
        </w:tabs>
        <w:ind w:left="360" w:hanging="360"/>
      </w:pPr>
    </w:lvl>
  </w:abstractNum>
  <w:abstractNum w:abstractNumId="234">
    <w:nsid w:val="3ADF29F5"/>
    <w:multiLevelType w:val="singleLevel"/>
    <w:tmpl w:val="D98C7C6A"/>
    <w:lvl w:ilvl="0">
      <w:numFmt w:val="bullet"/>
      <w:lvlText w:val="-"/>
      <w:lvlJc w:val="left"/>
      <w:pPr>
        <w:tabs>
          <w:tab w:val="num" w:pos="360"/>
        </w:tabs>
        <w:ind w:left="360" w:hanging="360"/>
      </w:pPr>
      <w:rPr>
        <w:rFonts w:hint="default"/>
      </w:rPr>
    </w:lvl>
  </w:abstractNum>
  <w:abstractNum w:abstractNumId="235">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36">
    <w:nsid w:val="3BC9512F"/>
    <w:multiLevelType w:val="singleLevel"/>
    <w:tmpl w:val="76065622"/>
    <w:lvl w:ilvl="0">
      <w:start w:val="100"/>
      <w:numFmt w:val="decimal"/>
      <w:lvlText w:val="%1."/>
      <w:lvlJc w:val="left"/>
      <w:pPr>
        <w:tabs>
          <w:tab w:val="num" w:pos="360"/>
        </w:tabs>
        <w:ind w:left="360" w:hanging="360"/>
      </w:pPr>
    </w:lvl>
  </w:abstractNum>
  <w:abstractNum w:abstractNumId="237">
    <w:nsid w:val="3BD22870"/>
    <w:multiLevelType w:val="singleLevel"/>
    <w:tmpl w:val="99E6BC32"/>
    <w:lvl w:ilvl="0">
      <w:start w:val="355"/>
      <w:numFmt w:val="decimal"/>
      <w:lvlText w:val="%1."/>
      <w:lvlJc w:val="left"/>
      <w:pPr>
        <w:tabs>
          <w:tab w:val="num" w:pos="360"/>
        </w:tabs>
        <w:ind w:left="360" w:hanging="360"/>
      </w:pPr>
    </w:lvl>
  </w:abstractNum>
  <w:abstractNum w:abstractNumId="238">
    <w:nsid w:val="3D082399"/>
    <w:multiLevelType w:val="singleLevel"/>
    <w:tmpl w:val="963A98AC"/>
    <w:lvl w:ilvl="0">
      <w:start w:val="79"/>
      <w:numFmt w:val="decimal"/>
      <w:lvlText w:val="%1."/>
      <w:lvlJc w:val="left"/>
      <w:pPr>
        <w:tabs>
          <w:tab w:val="num" w:pos="360"/>
        </w:tabs>
        <w:ind w:left="360" w:hanging="360"/>
      </w:pPr>
    </w:lvl>
  </w:abstractNum>
  <w:abstractNum w:abstractNumId="239">
    <w:nsid w:val="3D4304DB"/>
    <w:multiLevelType w:val="singleLevel"/>
    <w:tmpl w:val="D23CC508"/>
    <w:lvl w:ilvl="0">
      <w:start w:val="2"/>
      <w:numFmt w:val="lowerLetter"/>
      <w:lvlText w:val="%1)"/>
      <w:lvlJc w:val="left"/>
      <w:pPr>
        <w:tabs>
          <w:tab w:val="num" w:pos="360"/>
        </w:tabs>
        <w:ind w:left="360" w:hanging="360"/>
      </w:pPr>
    </w:lvl>
  </w:abstractNum>
  <w:abstractNum w:abstractNumId="240">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41">
    <w:nsid w:val="3DCB6756"/>
    <w:multiLevelType w:val="singleLevel"/>
    <w:tmpl w:val="B0AAE21A"/>
    <w:lvl w:ilvl="0">
      <w:start w:val="236"/>
      <w:numFmt w:val="decimal"/>
      <w:lvlText w:val="%1."/>
      <w:lvlJc w:val="left"/>
      <w:pPr>
        <w:tabs>
          <w:tab w:val="num" w:pos="360"/>
        </w:tabs>
        <w:ind w:left="360" w:hanging="360"/>
      </w:pPr>
    </w:lvl>
  </w:abstractNum>
  <w:abstractNum w:abstractNumId="242">
    <w:nsid w:val="3DFA52BE"/>
    <w:multiLevelType w:val="singleLevel"/>
    <w:tmpl w:val="C5500D30"/>
    <w:lvl w:ilvl="0">
      <w:start w:val="83"/>
      <w:numFmt w:val="decimal"/>
      <w:lvlText w:val="%1."/>
      <w:lvlJc w:val="left"/>
      <w:pPr>
        <w:tabs>
          <w:tab w:val="num" w:pos="360"/>
        </w:tabs>
        <w:ind w:left="360" w:hanging="360"/>
      </w:pPr>
    </w:lvl>
  </w:abstractNum>
  <w:abstractNum w:abstractNumId="243">
    <w:nsid w:val="3E43608B"/>
    <w:multiLevelType w:val="singleLevel"/>
    <w:tmpl w:val="B45CB0C8"/>
    <w:lvl w:ilvl="0">
      <w:start w:val="220"/>
      <w:numFmt w:val="decimal"/>
      <w:lvlText w:val="%1."/>
      <w:lvlJc w:val="left"/>
      <w:pPr>
        <w:tabs>
          <w:tab w:val="num" w:pos="360"/>
        </w:tabs>
        <w:ind w:left="360" w:hanging="360"/>
      </w:pPr>
    </w:lvl>
  </w:abstractNum>
  <w:abstractNum w:abstractNumId="244">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45">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46">
    <w:nsid w:val="3EB20177"/>
    <w:multiLevelType w:val="singleLevel"/>
    <w:tmpl w:val="710C5F5A"/>
    <w:lvl w:ilvl="0">
      <w:start w:val="100"/>
      <w:numFmt w:val="decimal"/>
      <w:lvlText w:val="%1."/>
      <w:lvlJc w:val="left"/>
      <w:pPr>
        <w:tabs>
          <w:tab w:val="num" w:pos="360"/>
        </w:tabs>
        <w:ind w:left="360" w:hanging="360"/>
      </w:pPr>
    </w:lvl>
  </w:abstractNum>
  <w:abstractNum w:abstractNumId="247">
    <w:nsid w:val="3FE1511D"/>
    <w:multiLevelType w:val="singleLevel"/>
    <w:tmpl w:val="B3A8B37E"/>
    <w:lvl w:ilvl="0">
      <w:start w:val="100"/>
      <w:numFmt w:val="decimal"/>
      <w:lvlText w:val="%1."/>
      <w:lvlJc w:val="left"/>
      <w:pPr>
        <w:tabs>
          <w:tab w:val="num" w:pos="624"/>
        </w:tabs>
        <w:ind w:left="624" w:hanging="624"/>
      </w:pPr>
    </w:lvl>
  </w:abstractNum>
  <w:abstractNum w:abstractNumId="248">
    <w:nsid w:val="40053E7C"/>
    <w:multiLevelType w:val="singleLevel"/>
    <w:tmpl w:val="3CF27CAC"/>
    <w:lvl w:ilvl="0">
      <w:start w:val="353"/>
      <w:numFmt w:val="decimal"/>
      <w:lvlText w:val="%1."/>
      <w:lvlJc w:val="left"/>
      <w:pPr>
        <w:tabs>
          <w:tab w:val="num" w:pos="360"/>
        </w:tabs>
        <w:ind w:left="360" w:hanging="360"/>
      </w:pPr>
    </w:lvl>
  </w:abstractNum>
  <w:abstractNum w:abstractNumId="249">
    <w:nsid w:val="40083AE2"/>
    <w:multiLevelType w:val="singleLevel"/>
    <w:tmpl w:val="13085D8C"/>
    <w:lvl w:ilvl="0">
      <w:start w:val="144"/>
      <w:numFmt w:val="decimal"/>
      <w:lvlText w:val="%1."/>
      <w:lvlJc w:val="left"/>
      <w:pPr>
        <w:tabs>
          <w:tab w:val="num" w:pos="360"/>
        </w:tabs>
        <w:ind w:left="360" w:hanging="360"/>
      </w:pPr>
    </w:lvl>
  </w:abstractNum>
  <w:abstractNum w:abstractNumId="250">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1">
    <w:nsid w:val="407101FD"/>
    <w:multiLevelType w:val="singleLevel"/>
    <w:tmpl w:val="5CCA3436"/>
    <w:lvl w:ilvl="0">
      <w:start w:val="119"/>
      <w:numFmt w:val="decimal"/>
      <w:lvlText w:val="%1."/>
      <w:lvlJc w:val="left"/>
      <w:pPr>
        <w:tabs>
          <w:tab w:val="num" w:pos="360"/>
        </w:tabs>
        <w:ind w:left="360" w:hanging="360"/>
      </w:pPr>
    </w:lvl>
  </w:abstractNum>
  <w:abstractNum w:abstractNumId="252">
    <w:nsid w:val="407E633E"/>
    <w:multiLevelType w:val="singleLevel"/>
    <w:tmpl w:val="93C46E88"/>
    <w:lvl w:ilvl="0">
      <w:start w:val="136"/>
      <w:numFmt w:val="decimal"/>
      <w:lvlText w:val="%1."/>
      <w:lvlJc w:val="left"/>
      <w:pPr>
        <w:tabs>
          <w:tab w:val="num" w:pos="360"/>
        </w:tabs>
        <w:ind w:left="360" w:hanging="360"/>
      </w:pPr>
    </w:lvl>
  </w:abstractNum>
  <w:abstractNum w:abstractNumId="253">
    <w:nsid w:val="416D25B3"/>
    <w:multiLevelType w:val="singleLevel"/>
    <w:tmpl w:val="DE948AC4"/>
    <w:lvl w:ilvl="0">
      <w:start w:val="459"/>
      <w:numFmt w:val="decimal"/>
      <w:lvlText w:val="%1."/>
      <w:lvlJc w:val="left"/>
      <w:pPr>
        <w:tabs>
          <w:tab w:val="num" w:pos="360"/>
        </w:tabs>
        <w:ind w:left="360" w:hanging="360"/>
      </w:pPr>
    </w:lvl>
  </w:abstractNum>
  <w:abstractNum w:abstractNumId="254">
    <w:nsid w:val="42213BA8"/>
    <w:multiLevelType w:val="singleLevel"/>
    <w:tmpl w:val="385C7538"/>
    <w:lvl w:ilvl="0">
      <w:start w:val="34"/>
      <w:numFmt w:val="decimal"/>
      <w:lvlText w:val="%1."/>
      <w:lvlJc w:val="left"/>
      <w:pPr>
        <w:tabs>
          <w:tab w:val="num" w:pos="360"/>
        </w:tabs>
        <w:ind w:left="360" w:hanging="360"/>
      </w:pPr>
    </w:lvl>
  </w:abstractNum>
  <w:abstractNum w:abstractNumId="255">
    <w:nsid w:val="426F5C1A"/>
    <w:multiLevelType w:val="singleLevel"/>
    <w:tmpl w:val="1FB0F7A6"/>
    <w:lvl w:ilvl="0">
      <w:start w:val="142"/>
      <w:numFmt w:val="decimal"/>
      <w:lvlText w:val="%1."/>
      <w:lvlJc w:val="left"/>
      <w:pPr>
        <w:tabs>
          <w:tab w:val="num" w:pos="360"/>
        </w:tabs>
        <w:ind w:left="360" w:hanging="360"/>
      </w:pPr>
    </w:lvl>
  </w:abstractNum>
  <w:abstractNum w:abstractNumId="256">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257">
    <w:nsid w:val="42AD3753"/>
    <w:multiLevelType w:val="singleLevel"/>
    <w:tmpl w:val="AB94BB4A"/>
    <w:lvl w:ilvl="0">
      <w:start w:val="89"/>
      <w:numFmt w:val="decimal"/>
      <w:lvlText w:val="%1."/>
      <w:lvlJc w:val="left"/>
      <w:pPr>
        <w:tabs>
          <w:tab w:val="num" w:pos="360"/>
        </w:tabs>
        <w:ind w:left="360" w:hanging="360"/>
      </w:pPr>
    </w:lvl>
  </w:abstractNum>
  <w:abstractNum w:abstractNumId="258">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59">
    <w:nsid w:val="43AB404E"/>
    <w:multiLevelType w:val="singleLevel"/>
    <w:tmpl w:val="FFBA5198"/>
    <w:lvl w:ilvl="0">
      <w:start w:val="100"/>
      <w:numFmt w:val="decimal"/>
      <w:lvlText w:val="%1."/>
      <w:lvlJc w:val="left"/>
      <w:pPr>
        <w:tabs>
          <w:tab w:val="num" w:pos="360"/>
        </w:tabs>
        <w:ind w:left="284" w:hanging="284"/>
      </w:pPr>
    </w:lvl>
  </w:abstractNum>
  <w:abstractNum w:abstractNumId="260">
    <w:nsid w:val="43D75987"/>
    <w:multiLevelType w:val="singleLevel"/>
    <w:tmpl w:val="0419000F"/>
    <w:lvl w:ilvl="0">
      <w:start w:val="1"/>
      <w:numFmt w:val="decimal"/>
      <w:lvlText w:val="%1."/>
      <w:lvlJc w:val="left"/>
      <w:pPr>
        <w:tabs>
          <w:tab w:val="num" w:pos="360"/>
        </w:tabs>
        <w:ind w:left="360" w:hanging="360"/>
      </w:pPr>
    </w:lvl>
  </w:abstractNum>
  <w:abstractNum w:abstractNumId="261">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62">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3">
    <w:nsid w:val="445B1C87"/>
    <w:multiLevelType w:val="singleLevel"/>
    <w:tmpl w:val="43824188"/>
    <w:lvl w:ilvl="0">
      <w:start w:val="448"/>
      <w:numFmt w:val="decimal"/>
      <w:lvlText w:val="%1."/>
      <w:lvlJc w:val="left"/>
      <w:pPr>
        <w:tabs>
          <w:tab w:val="num" w:pos="360"/>
        </w:tabs>
        <w:ind w:left="360" w:hanging="360"/>
      </w:pPr>
    </w:lvl>
  </w:abstractNum>
  <w:abstractNum w:abstractNumId="264">
    <w:nsid w:val="44890A07"/>
    <w:multiLevelType w:val="singleLevel"/>
    <w:tmpl w:val="934C392A"/>
    <w:lvl w:ilvl="0">
      <w:start w:val="9"/>
      <w:numFmt w:val="decimal"/>
      <w:lvlText w:val="%1."/>
      <w:lvlJc w:val="left"/>
      <w:pPr>
        <w:tabs>
          <w:tab w:val="num" w:pos="360"/>
        </w:tabs>
        <w:ind w:left="360" w:hanging="360"/>
      </w:pPr>
    </w:lvl>
  </w:abstractNum>
  <w:abstractNum w:abstractNumId="265">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66">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67">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8">
    <w:nsid w:val="45C60485"/>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70">
    <w:nsid w:val="462B184A"/>
    <w:multiLevelType w:val="singleLevel"/>
    <w:tmpl w:val="934C392A"/>
    <w:lvl w:ilvl="0">
      <w:start w:val="9"/>
      <w:numFmt w:val="decimal"/>
      <w:lvlText w:val="%1."/>
      <w:lvlJc w:val="left"/>
      <w:pPr>
        <w:tabs>
          <w:tab w:val="num" w:pos="360"/>
        </w:tabs>
        <w:ind w:left="360" w:hanging="360"/>
      </w:pPr>
    </w:lvl>
  </w:abstractNum>
  <w:abstractNum w:abstractNumId="271">
    <w:nsid w:val="47874BC1"/>
    <w:multiLevelType w:val="singleLevel"/>
    <w:tmpl w:val="6DEA3E5C"/>
    <w:lvl w:ilvl="0">
      <w:start w:val="326"/>
      <w:numFmt w:val="decimal"/>
      <w:lvlText w:val="%1."/>
      <w:lvlJc w:val="left"/>
      <w:pPr>
        <w:tabs>
          <w:tab w:val="num" w:pos="360"/>
        </w:tabs>
        <w:ind w:left="360" w:hanging="360"/>
      </w:pPr>
    </w:lvl>
  </w:abstractNum>
  <w:abstractNum w:abstractNumId="272">
    <w:nsid w:val="47CF2507"/>
    <w:multiLevelType w:val="singleLevel"/>
    <w:tmpl w:val="88FCB36E"/>
    <w:lvl w:ilvl="0">
      <w:start w:val="247"/>
      <w:numFmt w:val="decimal"/>
      <w:lvlText w:val="%1."/>
      <w:lvlJc w:val="left"/>
      <w:pPr>
        <w:tabs>
          <w:tab w:val="num" w:pos="360"/>
        </w:tabs>
        <w:ind w:left="360" w:hanging="360"/>
      </w:pPr>
    </w:lvl>
  </w:abstractNum>
  <w:abstractNum w:abstractNumId="273">
    <w:nsid w:val="47D864AE"/>
    <w:multiLevelType w:val="singleLevel"/>
    <w:tmpl w:val="3118B894"/>
    <w:lvl w:ilvl="0">
      <w:start w:val="175"/>
      <w:numFmt w:val="decimal"/>
      <w:lvlText w:val="%1."/>
      <w:lvlJc w:val="left"/>
      <w:pPr>
        <w:tabs>
          <w:tab w:val="num" w:pos="360"/>
        </w:tabs>
        <w:ind w:left="360" w:hanging="360"/>
      </w:pPr>
    </w:lvl>
  </w:abstractNum>
  <w:abstractNum w:abstractNumId="274">
    <w:nsid w:val="47F94EFB"/>
    <w:multiLevelType w:val="singleLevel"/>
    <w:tmpl w:val="385C7538"/>
    <w:lvl w:ilvl="0">
      <w:start w:val="34"/>
      <w:numFmt w:val="decimal"/>
      <w:lvlText w:val="%1."/>
      <w:lvlJc w:val="left"/>
      <w:pPr>
        <w:tabs>
          <w:tab w:val="num" w:pos="360"/>
        </w:tabs>
        <w:ind w:left="360" w:hanging="360"/>
      </w:pPr>
    </w:lvl>
  </w:abstractNum>
  <w:abstractNum w:abstractNumId="275">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276">
    <w:nsid w:val="487F7C9B"/>
    <w:multiLevelType w:val="singleLevel"/>
    <w:tmpl w:val="D98C7C6A"/>
    <w:lvl w:ilvl="0">
      <w:numFmt w:val="bullet"/>
      <w:lvlText w:val="-"/>
      <w:lvlJc w:val="left"/>
      <w:pPr>
        <w:tabs>
          <w:tab w:val="num" w:pos="360"/>
        </w:tabs>
        <w:ind w:left="360" w:hanging="360"/>
      </w:pPr>
      <w:rPr>
        <w:rFonts w:hint="default"/>
      </w:rPr>
    </w:lvl>
  </w:abstractNum>
  <w:abstractNum w:abstractNumId="277">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78">
    <w:nsid w:val="4918607C"/>
    <w:multiLevelType w:val="singleLevel"/>
    <w:tmpl w:val="AB94BB4A"/>
    <w:lvl w:ilvl="0">
      <w:start w:val="89"/>
      <w:numFmt w:val="decimal"/>
      <w:lvlText w:val="%1."/>
      <w:lvlJc w:val="left"/>
      <w:pPr>
        <w:tabs>
          <w:tab w:val="num" w:pos="360"/>
        </w:tabs>
        <w:ind w:left="360" w:hanging="360"/>
      </w:pPr>
    </w:lvl>
  </w:abstractNum>
  <w:abstractNum w:abstractNumId="279">
    <w:nsid w:val="497B3488"/>
    <w:multiLevelType w:val="singleLevel"/>
    <w:tmpl w:val="55EA754A"/>
    <w:lvl w:ilvl="0">
      <w:start w:val="284"/>
      <w:numFmt w:val="decimal"/>
      <w:lvlText w:val="%1."/>
      <w:lvlJc w:val="left"/>
      <w:pPr>
        <w:tabs>
          <w:tab w:val="num" w:pos="360"/>
        </w:tabs>
        <w:ind w:left="360" w:hanging="360"/>
      </w:pPr>
    </w:lvl>
  </w:abstractNum>
  <w:abstractNum w:abstractNumId="280">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281">
    <w:nsid w:val="4A1C650E"/>
    <w:multiLevelType w:val="singleLevel"/>
    <w:tmpl w:val="6AE8CDD4"/>
    <w:lvl w:ilvl="0">
      <w:start w:val="260"/>
      <w:numFmt w:val="decimal"/>
      <w:lvlText w:val="%1."/>
      <w:lvlJc w:val="left"/>
      <w:pPr>
        <w:tabs>
          <w:tab w:val="num" w:pos="360"/>
        </w:tabs>
        <w:ind w:left="360" w:hanging="360"/>
      </w:pPr>
    </w:lvl>
  </w:abstractNum>
  <w:abstractNum w:abstractNumId="282">
    <w:nsid w:val="4A5B49F4"/>
    <w:multiLevelType w:val="singleLevel"/>
    <w:tmpl w:val="F6E8C09C"/>
    <w:lvl w:ilvl="0">
      <w:start w:val="85"/>
      <w:numFmt w:val="decimal"/>
      <w:lvlText w:val="%1."/>
      <w:lvlJc w:val="left"/>
      <w:pPr>
        <w:tabs>
          <w:tab w:val="num" w:pos="360"/>
        </w:tabs>
        <w:ind w:left="360" w:hanging="360"/>
      </w:pPr>
    </w:lvl>
  </w:abstractNum>
  <w:abstractNum w:abstractNumId="283">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284">
    <w:nsid w:val="4B5E0BD0"/>
    <w:multiLevelType w:val="singleLevel"/>
    <w:tmpl w:val="B9A8F5FE"/>
    <w:lvl w:ilvl="0">
      <w:start w:val="264"/>
      <w:numFmt w:val="decimal"/>
      <w:lvlText w:val="%1."/>
      <w:lvlJc w:val="left"/>
      <w:pPr>
        <w:tabs>
          <w:tab w:val="num" w:pos="360"/>
        </w:tabs>
        <w:ind w:left="360" w:hanging="360"/>
      </w:pPr>
    </w:lvl>
  </w:abstractNum>
  <w:abstractNum w:abstractNumId="285">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86">
    <w:nsid w:val="4C0A6C37"/>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7">
    <w:nsid w:val="4C371B48"/>
    <w:multiLevelType w:val="singleLevel"/>
    <w:tmpl w:val="963A98AC"/>
    <w:lvl w:ilvl="0">
      <w:start w:val="79"/>
      <w:numFmt w:val="decimal"/>
      <w:lvlText w:val="%1."/>
      <w:lvlJc w:val="left"/>
      <w:pPr>
        <w:tabs>
          <w:tab w:val="num" w:pos="360"/>
        </w:tabs>
        <w:ind w:left="360" w:hanging="360"/>
      </w:pPr>
    </w:lvl>
  </w:abstractNum>
  <w:abstractNum w:abstractNumId="288">
    <w:nsid w:val="4C3A20B3"/>
    <w:multiLevelType w:val="singleLevel"/>
    <w:tmpl w:val="FF0ACA6E"/>
    <w:lvl w:ilvl="0">
      <w:start w:val="464"/>
      <w:numFmt w:val="decimal"/>
      <w:lvlText w:val="%1."/>
      <w:lvlJc w:val="left"/>
      <w:pPr>
        <w:tabs>
          <w:tab w:val="num" w:pos="360"/>
        </w:tabs>
        <w:ind w:left="360" w:hanging="360"/>
      </w:pPr>
    </w:lvl>
  </w:abstractNum>
  <w:abstractNum w:abstractNumId="289">
    <w:nsid w:val="4C466D16"/>
    <w:multiLevelType w:val="singleLevel"/>
    <w:tmpl w:val="13564EEE"/>
    <w:lvl w:ilvl="0">
      <w:start w:val="257"/>
      <w:numFmt w:val="decimal"/>
      <w:lvlText w:val="%1."/>
      <w:lvlJc w:val="left"/>
      <w:pPr>
        <w:tabs>
          <w:tab w:val="num" w:pos="360"/>
        </w:tabs>
        <w:ind w:left="360" w:hanging="360"/>
      </w:pPr>
    </w:lvl>
  </w:abstractNum>
  <w:abstractNum w:abstractNumId="290">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1">
    <w:nsid w:val="4C726630"/>
    <w:multiLevelType w:val="singleLevel"/>
    <w:tmpl w:val="A7D41F14"/>
    <w:lvl w:ilvl="0">
      <w:start w:val="393"/>
      <w:numFmt w:val="decimal"/>
      <w:lvlText w:val="%1."/>
      <w:lvlJc w:val="left"/>
      <w:pPr>
        <w:tabs>
          <w:tab w:val="num" w:pos="360"/>
        </w:tabs>
        <w:ind w:left="360" w:hanging="360"/>
      </w:pPr>
    </w:lvl>
  </w:abstractNum>
  <w:abstractNum w:abstractNumId="292">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3">
    <w:nsid w:val="4CF75F07"/>
    <w:multiLevelType w:val="singleLevel"/>
    <w:tmpl w:val="2758D1E4"/>
    <w:lvl w:ilvl="0">
      <w:start w:val="138"/>
      <w:numFmt w:val="decimal"/>
      <w:lvlText w:val="%1."/>
      <w:lvlJc w:val="left"/>
      <w:pPr>
        <w:tabs>
          <w:tab w:val="num" w:pos="360"/>
        </w:tabs>
        <w:ind w:left="360" w:hanging="360"/>
      </w:pPr>
    </w:lvl>
  </w:abstractNum>
  <w:abstractNum w:abstractNumId="294">
    <w:nsid w:val="4D78482A"/>
    <w:multiLevelType w:val="singleLevel"/>
    <w:tmpl w:val="6DEA3E5C"/>
    <w:lvl w:ilvl="0">
      <w:start w:val="326"/>
      <w:numFmt w:val="decimal"/>
      <w:lvlText w:val="%1."/>
      <w:lvlJc w:val="left"/>
      <w:pPr>
        <w:tabs>
          <w:tab w:val="num" w:pos="360"/>
        </w:tabs>
        <w:ind w:left="360" w:hanging="360"/>
      </w:pPr>
    </w:lvl>
  </w:abstractNum>
  <w:abstractNum w:abstractNumId="295">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296">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7">
    <w:nsid w:val="4FB75B28"/>
    <w:multiLevelType w:val="singleLevel"/>
    <w:tmpl w:val="F9086910"/>
    <w:lvl w:ilvl="0">
      <w:start w:val="75"/>
      <w:numFmt w:val="decimal"/>
      <w:lvlText w:val="%1."/>
      <w:lvlJc w:val="left"/>
      <w:pPr>
        <w:tabs>
          <w:tab w:val="num" w:pos="360"/>
        </w:tabs>
        <w:ind w:left="360" w:hanging="360"/>
      </w:pPr>
    </w:lvl>
  </w:abstractNum>
  <w:abstractNum w:abstractNumId="298">
    <w:nsid w:val="4FC57F64"/>
    <w:multiLevelType w:val="singleLevel"/>
    <w:tmpl w:val="5950EED0"/>
    <w:lvl w:ilvl="0">
      <w:start w:val="314"/>
      <w:numFmt w:val="decimal"/>
      <w:lvlText w:val="%1."/>
      <w:lvlJc w:val="left"/>
      <w:pPr>
        <w:tabs>
          <w:tab w:val="num" w:pos="360"/>
        </w:tabs>
        <w:ind w:left="360" w:hanging="360"/>
      </w:pPr>
    </w:lvl>
  </w:abstractNum>
  <w:abstractNum w:abstractNumId="299">
    <w:nsid w:val="502A2D43"/>
    <w:multiLevelType w:val="singleLevel"/>
    <w:tmpl w:val="0419000F"/>
    <w:lvl w:ilvl="0">
      <w:start w:val="1"/>
      <w:numFmt w:val="decimal"/>
      <w:lvlText w:val="%1."/>
      <w:lvlJc w:val="left"/>
      <w:pPr>
        <w:tabs>
          <w:tab w:val="num" w:pos="360"/>
        </w:tabs>
        <w:ind w:left="360" w:hanging="360"/>
      </w:pPr>
    </w:lvl>
  </w:abstractNum>
  <w:abstractNum w:abstractNumId="300">
    <w:nsid w:val="509226B4"/>
    <w:multiLevelType w:val="singleLevel"/>
    <w:tmpl w:val="F5CC58DC"/>
    <w:lvl w:ilvl="0">
      <w:start w:val="238"/>
      <w:numFmt w:val="decimal"/>
      <w:lvlText w:val="%1."/>
      <w:lvlJc w:val="left"/>
      <w:pPr>
        <w:tabs>
          <w:tab w:val="num" w:pos="360"/>
        </w:tabs>
        <w:ind w:left="360" w:hanging="360"/>
      </w:pPr>
    </w:lvl>
  </w:abstractNum>
  <w:abstractNum w:abstractNumId="301">
    <w:nsid w:val="50AD4DA6"/>
    <w:multiLevelType w:val="singleLevel"/>
    <w:tmpl w:val="C91A934A"/>
    <w:lvl w:ilvl="0">
      <w:start w:val="88"/>
      <w:numFmt w:val="decimal"/>
      <w:lvlText w:val="%1."/>
      <w:lvlJc w:val="left"/>
      <w:pPr>
        <w:tabs>
          <w:tab w:val="num" w:pos="360"/>
        </w:tabs>
        <w:ind w:left="360" w:hanging="360"/>
      </w:pPr>
    </w:lvl>
  </w:abstractNum>
  <w:abstractNum w:abstractNumId="302">
    <w:nsid w:val="50B90CFE"/>
    <w:multiLevelType w:val="singleLevel"/>
    <w:tmpl w:val="8DFA31DE"/>
    <w:lvl w:ilvl="0">
      <w:start w:val="371"/>
      <w:numFmt w:val="decimal"/>
      <w:lvlText w:val="%1."/>
      <w:lvlJc w:val="left"/>
      <w:pPr>
        <w:tabs>
          <w:tab w:val="num" w:pos="360"/>
        </w:tabs>
        <w:ind w:left="360" w:hanging="360"/>
      </w:pPr>
    </w:lvl>
  </w:abstractNum>
  <w:abstractNum w:abstractNumId="303">
    <w:nsid w:val="50C71F11"/>
    <w:multiLevelType w:val="singleLevel"/>
    <w:tmpl w:val="6D32A7BE"/>
    <w:lvl w:ilvl="0">
      <w:start w:val="170"/>
      <w:numFmt w:val="decimal"/>
      <w:lvlText w:val="%1."/>
      <w:lvlJc w:val="left"/>
      <w:pPr>
        <w:tabs>
          <w:tab w:val="num" w:pos="360"/>
        </w:tabs>
        <w:ind w:left="360" w:hanging="360"/>
      </w:pPr>
    </w:lvl>
  </w:abstractNum>
  <w:abstractNum w:abstractNumId="304">
    <w:nsid w:val="50E35F52"/>
    <w:multiLevelType w:val="singleLevel"/>
    <w:tmpl w:val="0652F8F0"/>
    <w:lvl w:ilvl="0">
      <w:start w:val="197"/>
      <w:numFmt w:val="decimal"/>
      <w:lvlText w:val="%1."/>
      <w:lvlJc w:val="left"/>
      <w:pPr>
        <w:tabs>
          <w:tab w:val="num" w:pos="360"/>
        </w:tabs>
        <w:ind w:left="360" w:hanging="360"/>
      </w:pPr>
    </w:lvl>
  </w:abstractNum>
  <w:abstractNum w:abstractNumId="305">
    <w:nsid w:val="514919FC"/>
    <w:multiLevelType w:val="singleLevel"/>
    <w:tmpl w:val="62CA395A"/>
    <w:lvl w:ilvl="0">
      <w:start w:val="110"/>
      <w:numFmt w:val="decimal"/>
      <w:lvlText w:val="%1."/>
      <w:lvlJc w:val="left"/>
      <w:pPr>
        <w:tabs>
          <w:tab w:val="num" w:pos="360"/>
        </w:tabs>
        <w:ind w:left="360" w:hanging="360"/>
      </w:pPr>
    </w:lvl>
  </w:abstractNum>
  <w:abstractNum w:abstractNumId="306">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307">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08">
    <w:nsid w:val="521C30FF"/>
    <w:multiLevelType w:val="singleLevel"/>
    <w:tmpl w:val="198C5FA4"/>
    <w:lvl w:ilvl="0">
      <w:start w:val="411"/>
      <w:numFmt w:val="decimal"/>
      <w:lvlText w:val="%1."/>
      <w:lvlJc w:val="left"/>
      <w:pPr>
        <w:tabs>
          <w:tab w:val="num" w:pos="360"/>
        </w:tabs>
        <w:ind w:left="360" w:hanging="360"/>
      </w:pPr>
    </w:lvl>
  </w:abstractNum>
  <w:abstractNum w:abstractNumId="309">
    <w:nsid w:val="52887B5A"/>
    <w:multiLevelType w:val="singleLevel"/>
    <w:tmpl w:val="974853C6"/>
    <w:lvl w:ilvl="0">
      <w:start w:val="253"/>
      <w:numFmt w:val="decimal"/>
      <w:lvlText w:val="%1."/>
      <w:lvlJc w:val="left"/>
      <w:pPr>
        <w:tabs>
          <w:tab w:val="num" w:pos="360"/>
        </w:tabs>
        <w:ind w:left="360" w:hanging="360"/>
      </w:pPr>
    </w:lvl>
  </w:abstractNum>
  <w:abstractNum w:abstractNumId="310">
    <w:nsid w:val="52A42B81"/>
    <w:multiLevelType w:val="singleLevel"/>
    <w:tmpl w:val="57EC715E"/>
    <w:lvl w:ilvl="0">
      <w:start w:val="174"/>
      <w:numFmt w:val="decimal"/>
      <w:lvlText w:val="%1."/>
      <w:lvlJc w:val="left"/>
      <w:pPr>
        <w:tabs>
          <w:tab w:val="num" w:pos="360"/>
        </w:tabs>
        <w:ind w:left="360" w:hanging="360"/>
      </w:pPr>
    </w:lvl>
  </w:abstractNum>
  <w:abstractNum w:abstractNumId="311">
    <w:nsid w:val="52C22487"/>
    <w:multiLevelType w:val="singleLevel"/>
    <w:tmpl w:val="D98C7C6A"/>
    <w:lvl w:ilvl="0">
      <w:numFmt w:val="bullet"/>
      <w:lvlText w:val="-"/>
      <w:lvlJc w:val="left"/>
      <w:pPr>
        <w:tabs>
          <w:tab w:val="num" w:pos="360"/>
        </w:tabs>
        <w:ind w:left="360" w:hanging="360"/>
      </w:pPr>
      <w:rPr>
        <w:rFonts w:hint="default"/>
      </w:rPr>
    </w:lvl>
  </w:abstractNum>
  <w:abstractNum w:abstractNumId="312">
    <w:nsid w:val="52F4270D"/>
    <w:multiLevelType w:val="singleLevel"/>
    <w:tmpl w:val="325E9D5C"/>
    <w:lvl w:ilvl="0">
      <w:start w:val="431"/>
      <w:numFmt w:val="decimal"/>
      <w:lvlText w:val="%1."/>
      <w:lvlJc w:val="left"/>
      <w:pPr>
        <w:tabs>
          <w:tab w:val="num" w:pos="360"/>
        </w:tabs>
        <w:ind w:left="360" w:hanging="360"/>
      </w:pPr>
    </w:lvl>
  </w:abstractNum>
  <w:abstractNum w:abstractNumId="313">
    <w:nsid w:val="531E7E0D"/>
    <w:multiLevelType w:val="singleLevel"/>
    <w:tmpl w:val="1E60BFEE"/>
    <w:lvl w:ilvl="0">
      <w:start w:val="176"/>
      <w:numFmt w:val="decimal"/>
      <w:lvlText w:val="%1."/>
      <w:lvlJc w:val="left"/>
      <w:pPr>
        <w:tabs>
          <w:tab w:val="num" w:pos="360"/>
        </w:tabs>
        <w:ind w:left="360" w:hanging="360"/>
      </w:pPr>
    </w:lvl>
  </w:abstractNum>
  <w:abstractNum w:abstractNumId="314">
    <w:nsid w:val="53B34997"/>
    <w:multiLevelType w:val="singleLevel"/>
    <w:tmpl w:val="100E6E1E"/>
    <w:lvl w:ilvl="0">
      <w:start w:val="268"/>
      <w:numFmt w:val="decimal"/>
      <w:lvlText w:val="%1."/>
      <w:lvlJc w:val="left"/>
      <w:pPr>
        <w:tabs>
          <w:tab w:val="num" w:pos="360"/>
        </w:tabs>
        <w:ind w:left="360" w:hanging="360"/>
      </w:pPr>
    </w:lvl>
  </w:abstractNum>
  <w:abstractNum w:abstractNumId="315">
    <w:nsid w:val="53EA7EE6"/>
    <w:multiLevelType w:val="singleLevel"/>
    <w:tmpl w:val="D98C7C6A"/>
    <w:lvl w:ilvl="0">
      <w:numFmt w:val="bullet"/>
      <w:lvlText w:val="-"/>
      <w:lvlJc w:val="left"/>
      <w:pPr>
        <w:tabs>
          <w:tab w:val="num" w:pos="360"/>
        </w:tabs>
        <w:ind w:left="360" w:hanging="360"/>
      </w:pPr>
      <w:rPr>
        <w:rFonts w:hint="default"/>
      </w:rPr>
    </w:lvl>
  </w:abstractNum>
  <w:abstractNum w:abstractNumId="316">
    <w:nsid w:val="53EF43B4"/>
    <w:multiLevelType w:val="singleLevel"/>
    <w:tmpl w:val="48FA23E0"/>
    <w:lvl w:ilvl="0">
      <w:start w:val="173"/>
      <w:numFmt w:val="decimal"/>
      <w:lvlText w:val="%1."/>
      <w:lvlJc w:val="left"/>
      <w:pPr>
        <w:tabs>
          <w:tab w:val="num" w:pos="360"/>
        </w:tabs>
        <w:ind w:left="360" w:hanging="360"/>
      </w:pPr>
    </w:lvl>
  </w:abstractNum>
  <w:abstractNum w:abstractNumId="317">
    <w:nsid w:val="54725FBB"/>
    <w:multiLevelType w:val="singleLevel"/>
    <w:tmpl w:val="82B49A10"/>
    <w:lvl w:ilvl="0">
      <w:start w:val="229"/>
      <w:numFmt w:val="decimal"/>
      <w:lvlText w:val="%1."/>
      <w:lvlJc w:val="left"/>
      <w:pPr>
        <w:tabs>
          <w:tab w:val="num" w:pos="360"/>
        </w:tabs>
        <w:ind w:left="360" w:hanging="360"/>
      </w:pPr>
    </w:lvl>
  </w:abstractNum>
  <w:abstractNum w:abstractNumId="318">
    <w:nsid w:val="54BD216D"/>
    <w:multiLevelType w:val="singleLevel"/>
    <w:tmpl w:val="FE140544"/>
    <w:lvl w:ilvl="0">
      <w:numFmt w:val="bullet"/>
      <w:lvlText w:val="-"/>
      <w:lvlJc w:val="left"/>
      <w:pPr>
        <w:tabs>
          <w:tab w:val="num" w:pos="720"/>
        </w:tabs>
        <w:ind w:left="720" w:hanging="720"/>
      </w:pPr>
      <w:rPr>
        <w:rFonts w:hint="default"/>
      </w:rPr>
    </w:lvl>
  </w:abstractNum>
  <w:abstractNum w:abstractNumId="319">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320">
    <w:nsid w:val="54F33BE2"/>
    <w:multiLevelType w:val="singleLevel"/>
    <w:tmpl w:val="B3A6698C"/>
    <w:lvl w:ilvl="0">
      <w:start w:val="350"/>
      <w:numFmt w:val="decimal"/>
      <w:lvlText w:val="%1."/>
      <w:lvlJc w:val="left"/>
      <w:pPr>
        <w:tabs>
          <w:tab w:val="num" w:pos="360"/>
        </w:tabs>
        <w:ind w:left="360" w:hanging="360"/>
      </w:pPr>
    </w:lvl>
  </w:abstractNum>
  <w:abstractNum w:abstractNumId="321">
    <w:nsid w:val="55055F1F"/>
    <w:multiLevelType w:val="singleLevel"/>
    <w:tmpl w:val="3B080650"/>
    <w:lvl w:ilvl="0">
      <w:start w:val="143"/>
      <w:numFmt w:val="decimal"/>
      <w:lvlText w:val="%1."/>
      <w:lvlJc w:val="left"/>
      <w:pPr>
        <w:tabs>
          <w:tab w:val="num" w:pos="360"/>
        </w:tabs>
        <w:ind w:left="360" w:hanging="360"/>
      </w:pPr>
    </w:lvl>
  </w:abstractNum>
  <w:abstractNum w:abstractNumId="322">
    <w:nsid w:val="556F51B4"/>
    <w:multiLevelType w:val="singleLevel"/>
    <w:tmpl w:val="B944E7A8"/>
    <w:lvl w:ilvl="0">
      <w:start w:val="30"/>
      <w:numFmt w:val="decimal"/>
      <w:lvlText w:val="%1."/>
      <w:lvlJc w:val="left"/>
      <w:pPr>
        <w:tabs>
          <w:tab w:val="num" w:pos="360"/>
        </w:tabs>
        <w:ind w:left="360" w:hanging="360"/>
      </w:pPr>
    </w:lvl>
  </w:abstractNum>
  <w:abstractNum w:abstractNumId="323">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24">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5">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26">
    <w:nsid w:val="569F61F0"/>
    <w:multiLevelType w:val="singleLevel"/>
    <w:tmpl w:val="623E5544"/>
    <w:lvl w:ilvl="0">
      <w:start w:val="97"/>
      <w:numFmt w:val="decimal"/>
      <w:lvlText w:val="%1."/>
      <w:lvlJc w:val="left"/>
      <w:pPr>
        <w:tabs>
          <w:tab w:val="num" w:pos="360"/>
        </w:tabs>
        <w:ind w:left="360" w:hanging="360"/>
      </w:pPr>
    </w:lvl>
  </w:abstractNum>
  <w:abstractNum w:abstractNumId="327">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28">
    <w:nsid w:val="57551293"/>
    <w:multiLevelType w:val="singleLevel"/>
    <w:tmpl w:val="AA8EA840"/>
    <w:lvl w:ilvl="0">
      <w:start w:val="351"/>
      <w:numFmt w:val="decimal"/>
      <w:lvlText w:val="%1."/>
      <w:lvlJc w:val="left"/>
      <w:pPr>
        <w:tabs>
          <w:tab w:val="num" w:pos="360"/>
        </w:tabs>
        <w:ind w:left="360" w:hanging="360"/>
      </w:pPr>
    </w:lvl>
  </w:abstractNum>
  <w:abstractNum w:abstractNumId="329">
    <w:nsid w:val="576D32FB"/>
    <w:multiLevelType w:val="singleLevel"/>
    <w:tmpl w:val="1A9AFF6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0">
    <w:nsid w:val="585B6AEE"/>
    <w:multiLevelType w:val="singleLevel"/>
    <w:tmpl w:val="4DDC6CAE"/>
    <w:lvl w:ilvl="0">
      <w:start w:val="396"/>
      <w:numFmt w:val="decimal"/>
      <w:lvlText w:val="%1."/>
      <w:lvlJc w:val="left"/>
      <w:pPr>
        <w:tabs>
          <w:tab w:val="num" w:pos="360"/>
        </w:tabs>
        <w:ind w:left="360" w:hanging="360"/>
      </w:pPr>
    </w:lvl>
  </w:abstractNum>
  <w:abstractNum w:abstractNumId="331">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32">
    <w:nsid w:val="58EF0861"/>
    <w:multiLevelType w:val="singleLevel"/>
    <w:tmpl w:val="755E186A"/>
    <w:lvl w:ilvl="0">
      <w:start w:val="110"/>
      <w:numFmt w:val="decimal"/>
      <w:lvlText w:val="%1."/>
      <w:lvlJc w:val="left"/>
      <w:pPr>
        <w:tabs>
          <w:tab w:val="num" w:pos="360"/>
        </w:tabs>
        <w:ind w:left="360" w:hanging="360"/>
      </w:pPr>
    </w:lvl>
  </w:abstractNum>
  <w:abstractNum w:abstractNumId="333">
    <w:nsid w:val="58F44E9E"/>
    <w:multiLevelType w:val="singleLevel"/>
    <w:tmpl w:val="B3A6698C"/>
    <w:lvl w:ilvl="0">
      <w:start w:val="350"/>
      <w:numFmt w:val="decimal"/>
      <w:lvlText w:val="%1."/>
      <w:lvlJc w:val="left"/>
      <w:pPr>
        <w:tabs>
          <w:tab w:val="num" w:pos="360"/>
        </w:tabs>
        <w:ind w:left="360" w:hanging="360"/>
      </w:pPr>
    </w:lvl>
  </w:abstractNum>
  <w:abstractNum w:abstractNumId="334">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335">
    <w:nsid w:val="5A861465"/>
    <w:multiLevelType w:val="singleLevel"/>
    <w:tmpl w:val="2758D1E4"/>
    <w:lvl w:ilvl="0">
      <w:start w:val="138"/>
      <w:numFmt w:val="decimal"/>
      <w:lvlText w:val="%1."/>
      <w:lvlJc w:val="left"/>
      <w:pPr>
        <w:tabs>
          <w:tab w:val="num" w:pos="360"/>
        </w:tabs>
        <w:ind w:left="360" w:hanging="360"/>
      </w:pPr>
    </w:lvl>
  </w:abstractNum>
  <w:abstractNum w:abstractNumId="336">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37">
    <w:nsid w:val="5B3A7E06"/>
    <w:multiLevelType w:val="singleLevel"/>
    <w:tmpl w:val="D98C7C6A"/>
    <w:lvl w:ilvl="0">
      <w:numFmt w:val="bullet"/>
      <w:lvlText w:val="-"/>
      <w:lvlJc w:val="left"/>
      <w:pPr>
        <w:tabs>
          <w:tab w:val="num" w:pos="360"/>
        </w:tabs>
        <w:ind w:left="360" w:hanging="360"/>
      </w:pPr>
      <w:rPr>
        <w:rFonts w:hint="default"/>
      </w:rPr>
    </w:lvl>
  </w:abstractNum>
  <w:abstractNum w:abstractNumId="338">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39">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40">
    <w:nsid w:val="5BFD4BF9"/>
    <w:multiLevelType w:val="singleLevel"/>
    <w:tmpl w:val="748A3BFC"/>
    <w:lvl w:ilvl="0">
      <w:start w:val="307"/>
      <w:numFmt w:val="decimal"/>
      <w:lvlText w:val="%1."/>
      <w:lvlJc w:val="left"/>
      <w:pPr>
        <w:tabs>
          <w:tab w:val="num" w:pos="360"/>
        </w:tabs>
        <w:ind w:left="360" w:hanging="360"/>
      </w:pPr>
    </w:lvl>
  </w:abstractNum>
  <w:abstractNum w:abstractNumId="341">
    <w:nsid w:val="5C4E5F36"/>
    <w:multiLevelType w:val="singleLevel"/>
    <w:tmpl w:val="464A0D82"/>
    <w:lvl w:ilvl="0">
      <w:start w:val="140"/>
      <w:numFmt w:val="decimal"/>
      <w:lvlText w:val="%1."/>
      <w:lvlJc w:val="left"/>
      <w:pPr>
        <w:tabs>
          <w:tab w:val="num" w:pos="360"/>
        </w:tabs>
        <w:ind w:left="360" w:hanging="360"/>
      </w:pPr>
    </w:lvl>
  </w:abstractNum>
  <w:abstractNum w:abstractNumId="342">
    <w:nsid w:val="5D20655E"/>
    <w:multiLevelType w:val="singleLevel"/>
    <w:tmpl w:val="28603432"/>
    <w:lvl w:ilvl="0">
      <w:start w:val="363"/>
      <w:numFmt w:val="decimal"/>
      <w:lvlText w:val="%1."/>
      <w:lvlJc w:val="left"/>
      <w:pPr>
        <w:tabs>
          <w:tab w:val="num" w:pos="360"/>
        </w:tabs>
        <w:ind w:left="360" w:hanging="360"/>
      </w:pPr>
    </w:lvl>
  </w:abstractNum>
  <w:abstractNum w:abstractNumId="343">
    <w:nsid w:val="5D4C7FD3"/>
    <w:multiLevelType w:val="singleLevel"/>
    <w:tmpl w:val="3266C95E"/>
    <w:lvl w:ilvl="0">
      <w:start w:val="323"/>
      <w:numFmt w:val="decimal"/>
      <w:lvlText w:val="%1."/>
      <w:lvlJc w:val="left"/>
      <w:pPr>
        <w:tabs>
          <w:tab w:val="num" w:pos="360"/>
        </w:tabs>
        <w:ind w:left="360" w:hanging="360"/>
      </w:pPr>
    </w:lvl>
  </w:abstractNum>
  <w:abstractNum w:abstractNumId="344">
    <w:nsid w:val="5D6824F7"/>
    <w:multiLevelType w:val="singleLevel"/>
    <w:tmpl w:val="BE88F3D2"/>
    <w:lvl w:ilvl="0">
      <w:start w:val="348"/>
      <w:numFmt w:val="decimal"/>
      <w:lvlText w:val="%1."/>
      <w:lvlJc w:val="left"/>
      <w:pPr>
        <w:tabs>
          <w:tab w:val="num" w:pos="360"/>
        </w:tabs>
        <w:ind w:left="360" w:hanging="360"/>
      </w:pPr>
    </w:lvl>
  </w:abstractNum>
  <w:abstractNum w:abstractNumId="345">
    <w:nsid w:val="5D8323DC"/>
    <w:multiLevelType w:val="singleLevel"/>
    <w:tmpl w:val="AE86E8AC"/>
    <w:lvl w:ilvl="0">
      <w:start w:val="198"/>
      <w:numFmt w:val="decimal"/>
      <w:lvlText w:val="%1."/>
      <w:lvlJc w:val="left"/>
      <w:pPr>
        <w:tabs>
          <w:tab w:val="num" w:pos="360"/>
        </w:tabs>
        <w:ind w:left="0" w:firstLine="0"/>
      </w:pPr>
    </w:lvl>
  </w:abstractNum>
  <w:abstractNum w:abstractNumId="346">
    <w:nsid w:val="5D8B65FF"/>
    <w:multiLevelType w:val="singleLevel"/>
    <w:tmpl w:val="93C46E88"/>
    <w:lvl w:ilvl="0">
      <w:start w:val="136"/>
      <w:numFmt w:val="decimal"/>
      <w:lvlText w:val="%1."/>
      <w:lvlJc w:val="left"/>
      <w:pPr>
        <w:tabs>
          <w:tab w:val="num" w:pos="360"/>
        </w:tabs>
        <w:ind w:left="360" w:hanging="360"/>
      </w:pPr>
    </w:lvl>
  </w:abstractNum>
  <w:abstractNum w:abstractNumId="347">
    <w:nsid w:val="5DE13FC6"/>
    <w:multiLevelType w:val="singleLevel"/>
    <w:tmpl w:val="89842F8C"/>
    <w:lvl w:ilvl="0">
      <w:start w:val="445"/>
      <w:numFmt w:val="decimal"/>
      <w:lvlText w:val="%1."/>
      <w:lvlJc w:val="left"/>
      <w:pPr>
        <w:tabs>
          <w:tab w:val="num" w:pos="360"/>
        </w:tabs>
        <w:ind w:left="360" w:hanging="360"/>
      </w:pPr>
    </w:lvl>
  </w:abstractNum>
  <w:abstractNum w:abstractNumId="348">
    <w:nsid w:val="5E4A76CA"/>
    <w:multiLevelType w:val="singleLevel"/>
    <w:tmpl w:val="711A8E62"/>
    <w:lvl w:ilvl="0">
      <w:start w:val="26"/>
      <w:numFmt w:val="decimal"/>
      <w:lvlText w:val="%1."/>
      <w:lvlJc w:val="left"/>
      <w:pPr>
        <w:tabs>
          <w:tab w:val="num" w:pos="360"/>
        </w:tabs>
        <w:ind w:left="360" w:hanging="360"/>
      </w:pPr>
    </w:lvl>
  </w:abstractNum>
  <w:abstractNum w:abstractNumId="349">
    <w:nsid w:val="5EA53D5B"/>
    <w:multiLevelType w:val="singleLevel"/>
    <w:tmpl w:val="D98C7C6A"/>
    <w:lvl w:ilvl="0">
      <w:numFmt w:val="bullet"/>
      <w:lvlText w:val="-"/>
      <w:lvlJc w:val="left"/>
      <w:pPr>
        <w:tabs>
          <w:tab w:val="num" w:pos="360"/>
        </w:tabs>
        <w:ind w:left="360" w:hanging="360"/>
      </w:pPr>
      <w:rPr>
        <w:rFonts w:hint="default"/>
      </w:rPr>
    </w:lvl>
  </w:abstractNum>
  <w:abstractNum w:abstractNumId="350">
    <w:nsid w:val="5EF9397A"/>
    <w:multiLevelType w:val="singleLevel"/>
    <w:tmpl w:val="3ED60002"/>
    <w:lvl w:ilvl="0">
      <w:start w:val="150"/>
      <w:numFmt w:val="decimal"/>
      <w:lvlText w:val="%1."/>
      <w:lvlJc w:val="left"/>
      <w:pPr>
        <w:tabs>
          <w:tab w:val="num" w:pos="360"/>
        </w:tabs>
        <w:ind w:left="360" w:hanging="360"/>
      </w:pPr>
    </w:lvl>
  </w:abstractNum>
  <w:abstractNum w:abstractNumId="351">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52">
    <w:nsid w:val="5F700877"/>
    <w:multiLevelType w:val="singleLevel"/>
    <w:tmpl w:val="0419000F"/>
    <w:lvl w:ilvl="0">
      <w:start w:val="1"/>
      <w:numFmt w:val="decimal"/>
      <w:lvlText w:val="%1."/>
      <w:lvlJc w:val="left"/>
      <w:pPr>
        <w:tabs>
          <w:tab w:val="num" w:pos="360"/>
        </w:tabs>
        <w:ind w:left="360" w:hanging="360"/>
      </w:pPr>
    </w:lvl>
  </w:abstractNum>
  <w:abstractNum w:abstractNumId="353">
    <w:nsid w:val="60270283"/>
    <w:multiLevelType w:val="singleLevel"/>
    <w:tmpl w:val="0E8EA210"/>
    <w:lvl w:ilvl="0">
      <w:start w:val="1"/>
      <w:numFmt w:val="lowerLetter"/>
      <w:lvlText w:val="%1)"/>
      <w:lvlJc w:val="left"/>
      <w:pPr>
        <w:tabs>
          <w:tab w:val="num" w:pos="360"/>
        </w:tabs>
        <w:ind w:left="360" w:hanging="360"/>
      </w:pPr>
    </w:lvl>
  </w:abstractNum>
  <w:abstractNum w:abstractNumId="354">
    <w:nsid w:val="60A56935"/>
    <w:multiLevelType w:val="singleLevel"/>
    <w:tmpl w:val="027CA574"/>
    <w:lvl w:ilvl="0">
      <w:start w:val="317"/>
      <w:numFmt w:val="decimal"/>
      <w:lvlText w:val="%1."/>
      <w:lvlJc w:val="left"/>
      <w:pPr>
        <w:tabs>
          <w:tab w:val="num" w:pos="360"/>
        </w:tabs>
        <w:ind w:left="360" w:hanging="360"/>
      </w:pPr>
    </w:lvl>
  </w:abstractNum>
  <w:abstractNum w:abstractNumId="355">
    <w:nsid w:val="60A97855"/>
    <w:multiLevelType w:val="singleLevel"/>
    <w:tmpl w:val="0419000F"/>
    <w:lvl w:ilvl="0">
      <w:start w:val="1"/>
      <w:numFmt w:val="decimal"/>
      <w:lvlText w:val="%1."/>
      <w:lvlJc w:val="left"/>
      <w:pPr>
        <w:tabs>
          <w:tab w:val="num" w:pos="360"/>
        </w:tabs>
        <w:ind w:left="360" w:hanging="360"/>
      </w:pPr>
    </w:lvl>
  </w:abstractNum>
  <w:abstractNum w:abstractNumId="356">
    <w:nsid w:val="60E746A1"/>
    <w:multiLevelType w:val="singleLevel"/>
    <w:tmpl w:val="271239D4"/>
    <w:lvl w:ilvl="0">
      <w:start w:val="291"/>
      <w:numFmt w:val="decimal"/>
      <w:lvlText w:val="%1."/>
      <w:lvlJc w:val="left"/>
      <w:pPr>
        <w:tabs>
          <w:tab w:val="num" w:pos="360"/>
        </w:tabs>
        <w:ind w:left="360" w:hanging="360"/>
      </w:pPr>
    </w:lvl>
  </w:abstractNum>
  <w:abstractNum w:abstractNumId="357">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8">
    <w:nsid w:val="61D56459"/>
    <w:multiLevelType w:val="singleLevel"/>
    <w:tmpl w:val="E5EC1932"/>
    <w:lvl w:ilvl="0">
      <w:start w:val="2"/>
      <w:numFmt w:val="decimal"/>
      <w:lvlText w:val="%1."/>
      <w:lvlJc w:val="left"/>
      <w:pPr>
        <w:tabs>
          <w:tab w:val="num" w:pos="360"/>
        </w:tabs>
        <w:ind w:left="360" w:hanging="360"/>
      </w:pPr>
    </w:lvl>
  </w:abstractNum>
  <w:abstractNum w:abstractNumId="359">
    <w:nsid w:val="61DA3877"/>
    <w:multiLevelType w:val="singleLevel"/>
    <w:tmpl w:val="23D62BDA"/>
    <w:lvl w:ilvl="0">
      <w:start w:val="168"/>
      <w:numFmt w:val="decimal"/>
      <w:lvlText w:val="%1."/>
      <w:lvlJc w:val="left"/>
      <w:pPr>
        <w:tabs>
          <w:tab w:val="num" w:pos="360"/>
        </w:tabs>
        <w:ind w:left="360" w:hanging="360"/>
      </w:pPr>
    </w:lvl>
  </w:abstractNum>
  <w:abstractNum w:abstractNumId="360">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61">
    <w:nsid w:val="6335316B"/>
    <w:multiLevelType w:val="singleLevel"/>
    <w:tmpl w:val="67F22938"/>
    <w:lvl w:ilvl="0">
      <w:start w:val="155"/>
      <w:numFmt w:val="decimal"/>
      <w:lvlText w:val="%1."/>
      <w:lvlJc w:val="left"/>
      <w:pPr>
        <w:tabs>
          <w:tab w:val="num" w:pos="624"/>
        </w:tabs>
        <w:ind w:left="624" w:hanging="624"/>
      </w:pPr>
    </w:lvl>
  </w:abstractNum>
  <w:abstractNum w:abstractNumId="362">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63">
    <w:nsid w:val="635B58F4"/>
    <w:multiLevelType w:val="singleLevel"/>
    <w:tmpl w:val="A766748E"/>
    <w:lvl w:ilvl="0">
      <w:start w:val="167"/>
      <w:numFmt w:val="decimal"/>
      <w:lvlText w:val="%1."/>
      <w:lvlJc w:val="left"/>
      <w:pPr>
        <w:tabs>
          <w:tab w:val="num" w:pos="360"/>
        </w:tabs>
        <w:ind w:left="360" w:hanging="360"/>
      </w:pPr>
    </w:lvl>
  </w:abstractNum>
  <w:abstractNum w:abstractNumId="364">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65">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6">
    <w:nsid w:val="646F4107"/>
    <w:multiLevelType w:val="singleLevel"/>
    <w:tmpl w:val="3AD68B42"/>
    <w:lvl w:ilvl="0">
      <w:start w:val="169"/>
      <w:numFmt w:val="decimal"/>
      <w:lvlText w:val="%1."/>
      <w:lvlJc w:val="left"/>
      <w:pPr>
        <w:tabs>
          <w:tab w:val="num" w:pos="360"/>
        </w:tabs>
        <w:ind w:left="360" w:hanging="360"/>
      </w:pPr>
    </w:lvl>
  </w:abstractNum>
  <w:abstractNum w:abstractNumId="367">
    <w:nsid w:val="64990DCE"/>
    <w:multiLevelType w:val="singleLevel"/>
    <w:tmpl w:val="7A1CE3FC"/>
    <w:lvl w:ilvl="0">
      <w:start w:val="46"/>
      <w:numFmt w:val="decimal"/>
      <w:lvlText w:val="%1."/>
      <w:lvlJc w:val="left"/>
      <w:pPr>
        <w:tabs>
          <w:tab w:val="num" w:pos="360"/>
        </w:tabs>
        <w:ind w:left="360" w:hanging="360"/>
      </w:pPr>
    </w:lvl>
  </w:abstractNum>
  <w:abstractNum w:abstractNumId="368">
    <w:nsid w:val="64B25C05"/>
    <w:multiLevelType w:val="singleLevel"/>
    <w:tmpl w:val="441A0002"/>
    <w:lvl w:ilvl="0">
      <w:start w:val="162"/>
      <w:numFmt w:val="decimal"/>
      <w:lvlText w:val="%1."/>
      <w:lvlJc w:val="left"/>
      <w:pPr>
        <w:tabs>
          <w:tab w:val="num" w:pos="360"/>
        </w:tabs>
        <w:ind w:left="360" w:hanging="360"/>
      </w:pPr>
    </w:lvl>
  </w:abstractNum>
  <w:abstractNum w:abstractNumId="369">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70">
    <w:nsid w:val="65151EC9"/>
    <w:multiLevelType w:val="singleLevel"/>
    <w:tmpl w:val="6AE8CDD4"/>
    <w:lvl w:ilvl="0">
      <w:start w:val="260"/>
      <w:numFmt w:val="decimal"/>
      <w:lvlText w:val="%1."/>
      <w:lvlJc w:val="left"/>
      <w:pPr>
        <w:tabs>
          <w:tab w:val="num" w:pos="360"/>
        </w:tabs>
        <w:ind w:left="360" w:hanging="360"/>
      </w:pPr>
    </w:lvl>
  </w:abstractNum>
  <w:abstractNum w:abstractNumId="371">
    <w:nsid w:val="65605DA2"/>
    <w:multiLevelType w:val="singleLevel"/>
    <w:tmpl w:val="AB0EC75C"/>
    <w:lvl w:ilvl="0">
      <w:start w:val="208"/>
      <w:numFmt w:val="decimal"/>
      <w:lvlText w:val="%1."/>
      <w:lvlJc w:val="left"/>
      <w:pPr>
        <w:tabs>
          <w:tab w:val="num" w:pos="360"/>
        </w:tabs>
        <w:ind w:left="360" w:hanging="360"/>
      </w:pPr>
    </w:lvl>
  </w:abstractNum>
  <w:abstractNum w:abstractNumId="372">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3">
    <w:nsid w:val="656B11E4"/>
    <w:multiLevelType w:val="singleLevel"/>
    <w:tmpl w:val="6B669F24"/>
    <w:lvl w:ilvl="0">
      <w:start w:val="40"/>
      <w:numFmt w:val="decimal"/>
      <w:lvlText w:val="%1."/>
      <w:lvlJc w:val="left"/>
      <w:pPr>
        <w:tabs>
          <w:tab w:val="num" w:pos="360"/>
        </w:tabs>
        <w:ind w:left="360" w:hanging="360"/>
      </w:pPr>
    </w:lvl>
  </w:abstractNum>
  <w:abstractNum w:abstractNumId="374">
    <w:nsid w:val="6653573A"/>
    <w:multiLevelType w:val="singleLevel"/>
    <w:tmpl w:val="9274F460"/>
    <w:lvl w:ilvl="0">
      <w:start w:val="433"/>
      <w:numFmt w:val="decimal"/>
      <w:lvlText w:val="%1."/>
      <w:lvlJc w:val="left"/>
      <w:pPr>
        <w:tabs>
          <w:tab w:val="num" w:pos="360"/>
        </w:tabs>
        <w:ind w:left="360" w:hanging="360"/>
      </w:pPr>
    </w:lvl>
  </w:abstractNum>
  <w:abstractNum w:abstractNumId="375">
    <w:nsid w:val="66686379"/>
    <w:multiLevelType w:val="singleLevel"/>
    <w:tmpl w:val="7A0460F2"/>
    <w:lvl w:ilvl="0">
      <w:start w:val="393"/>
      <w:numFmt w:val="decimal"/>
      <w:lvlText w:val="%1."/>
      <w:lvlJc w:val="left"/>
      <w:pPr>
        <w:tabs>
          <w:tab w:val="num" w:pos="360"/>
        </w:tabs>
        <w:ind w:left="360" w:hanging="360"/>
      </w:pPr>
    </w:lvl>
  </w:abstractNum>
  <w:abstractNum w:abstractNumId="376">
    <w:nsid w:val="67CA0BA7"/>
    <w:multiLevelType w:val="singleLevel"/>
    <w:tmpl w:val="F73EB5C4"/>
    <w:lvl w:ilvl="0">
      <w:start w:val="23"/>
      <w:numFmt w:val="decimal"/>
      <w:lvlText w:val="%1."/>
      <w:lvlJc w:val="left"/>
      <w:pPr>
        <w:tabs>
          <w:tab w:val="num" w:pos="360"/>
        </w:tabs>
        <w:ind w:left="360" w:hanging="360"/>
      </w:pPr>
    </w:lvl>
  </w:abstractNum>
  <w:abstractNum w:abstractNumId="377">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78">
    <w:nsid w:val="68777C5B"/>
    <w:multiLevelType w:val="singleLevel"/>
    <w:tmpl w:val="0A5003C6"/>
    <w:lvl w:ilvl="0">
      <w:start w:val="165"/>
      <w:numFmt w:val="decimal"/>
      <w:lvlText w:val="%1."/>
      <w:lvlJc w:val="left"/>
      <w:pPr>
        <w:tabs>
          <w:tab w:val="num" w:pos="360"/>
        </w:tabs>
        <w:ind w:left="360" w:hanging="360"/>
      </w:pPr>
    </w:lvl>
  </w:abstractNum>
  <w:abstractNum w:abstractNumId="379">
    <w:nsid w:val="68AE2258"/>
    <w:multiLevelType w:val="singleLevel"/>
    <w:tmpl w:val="6CD0C1CA"/>
    <w:lvl w:ilvl="0">
      <w:start w:val="301"/>
      <w:numFmt w:val="decimal"/>
      <w:lvlText w:val="%1."/>
      <w:lvlJc w:val="left"/>
      <w:pPr>
        <w:tabs>
          <w:tab w:val="num" w:pos="360"/>
        </w:tabs>
        <w:ind w:left="360" w:hanging="360"/>
      </w:pPr>
    </w:lvl>
  </w:abstractNum>
  <w:abstractNum w:abstractNumId="380">
    <w:nsid w:val="68BE1FF2"/>
    <w:multiLevelType w:val="singleLevel"/>
    <w:tmpl w:val="1D06BCB4"/>
    <w:lvl w:ilvl="0">
      <w:start w:val="308"/>
      <w:numFmt w:val="decimal"/>
      <w:lvlText w:val="%1."/>
      <w:lvlJc w:val="left"/>
      <w:pPr>
        <w:tabs>
          <w:tab w:val="num" w:pos="360"/>
        </w:tabs>
        <w:ind w:left="360" w:hanging="360"/>
      </w:pPr>
    </w:lvl>
  </w:abstractNum>
  <w:abstractNum w:abstractNumId="381">
    <w:nsid w:val="68F30B0E"/>
    <w:multiLevelType w:val="singleLevel"/>
    <w:tmpl w:val="8DFA31DE"/>
    <w:lvl w:ilvl="0">
      <w:start w:val="371"/>
      <w:numFmt w:val="decimal"/>
      <w:lvlText w:val="%1."/>
      <w:lvlJc w:val="left"/>
      <w:pPr>
        <w:tabs>
          <w:tab w:val="num" w:pos="360"/>
        </w:tabs>
        <w:ind w:left="360" w:hanging="360"/>
      </w:pPr>
    </w:lvl>
  </w:abstractNum>
  <w:abstractNum w:abstractNumId="382">
    <w:nsid w:val="693022F6"/>
    <w:multiLevelType w:val="singleLevel"/>
    <w:tmpl w:val="F45E5A54"/>
    <w:lvl w:ilvl="0">
      <w:start w:val="52"/>
      <w:numFmt w:val="decimal"/>
      <w:lvlText w:val="%1."/>
      <w:lvlJc w:val="left"/>
      <w:pPr>
        <w:tabs>
          <w:tab w:val="num" w:pos="360"/>
        </w:tabs>
        <w:ind w:left="360" w:hanging="360"/>
      </w:pPr>
    </w:lvl>
  </w:abstractNum>
  <w:abstractNum w:abstractNumId="383">
    <w:nsid w:val="69453D5D"/>
    <w:multiLevelType w:val="singleLevel"/>
    <w:tmpl w:val="5CCA3436"/>
    <w:lvl w:ilvl="0">
      <w:start w:val="119"/>
      <w:numFmt w:val="decimal"/>
      <w:lvlText w:val="%1."/>
      <w:lvlJc w:val="left"/>
      <w:pPr>
        <w:tabs>
          <w:tab w:val="num" w:pos="360"/>
        </w:tabs>
        <w:ind w:left="360" w:hanging="360"/>
      </w:pPr>
    </w:lvl>
  </w:abstractNum>
  <w:abstractNum w:abstractNumId="384">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385">
    <w:nsid w:val="69B1779D"/>
    <w:multiLevelType w:val="singleLevel"/>
    <w:tmpl w:val="0419000F"/>
    <w:lvl w:ilvl="0">
      <w:start w:val="1"/>
      <w:numFmt w:val="decimal"/>
      <w:lvlText w:val="%1."/>
      <w:lvlJc w:val="left"/>
      <w:pPr>
        <w:tabs>
          <w:tab w:val="num" w:pos="360"/>
        </w:tabs>
        <w:ind w:left="360" w:hanging="360"/>
      </w:pPr>
    </w:lvl>
  </w:abstractNum>
  <w:abstractNum w:abstractNumId="386">
    <w:nsid w:val="6A824451"/>
    <w:multiLevelType w:val="singleLevel"/>
    <w:tmpl w:val="4C640D34"/>
    <w:lvl w:ilvl="0">
      <w:start w:val="224"/>
      <w:numFmt w:val="decimal"/>
      <w:lvlText w:val="%1."/>
      <w:lvlJc w:val="left"/>
      <w:pPr>
        <w:tabs>
          <w:tab w:val="num" w:pos="360"/>
        </w:tabs>
        <w:ind w:left="360" w:hanging="360"/>
      </w:pPr>
    </w:lvl>
  </w:abstractNum>
  <w:abstractNum w:abstractNumId="387">
    <w:nsid w:val="6A906862"/>
    <w:multiLevelType w:val="singleLevel"/>
    <w:tmpl w:val="710C5F5A"/>
    <w:lvl w:ilvl="0">
      <w:start w:val="100"/>
      <w:numFmt w:val="decimal"/>
      <w:lvlText w:val="%1."/>
      <w:lvlJc w:val="left"/>
      <w:pPr>
        <w:tabs>
          <w:tab w:val="num" w:pos="360"/>
        </w:tabs>
        <w:ind w:left="360" w:hanging="360"/>
      </w:pPr>
    </w:lvl>
  </w:abstractNum>
  <w:abstractNum w:abstractNumId="388">
    <w:nsid w:val="6AAD2E90"/>
    <w:multiLevelType w:val="singleLevel"/>
    <w:tmpl w:val="0419000F"/>
    <w:lvl w:ilvl="0">
      <w:start w:val="1"/>
      <w:numFmt w:val="decimal"/>
      <w:lvlText w:val="%1."/>
      <w:lvlJc w:val="left"/>
      <w:pPr>
        <w:tabs>
          <w:tab w:val="num" w:pos="360"/>
        </w:tabs>
        <w:ind w:left="360" w:hanging="360"/>
      </w:pPr>
    </w:lvl>
  </w:abstractNum>
  <w:abstractNum w:abstractNumId="389">
    <w:nsid w:val="6ACD0A38"/>
    <w:multiLevelType w:val="singleLevel"/>
    <w:tmpl w:val="798A0ED2"/>
    <w:lvl w:ilvl="0">
      <w:start w:val="281"/>
      <w:numFmt w:val="decimal"/>
      <w:lvlText w:val="%1."/>
      <w:lvlJc w:val="left"/>
      <w:pPr>
        <w:tabs>
          <w:tab w:val="num" w:pos="360"/>
        </w:tabs>
        <w:ind w:left="360" w:hanging="360"/>
      </w:pPr>
    </w:lvl>
  </w:abstractNum>
  <w:abstractNum w:abstractNumId="390">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91">
    <w:nsid w:val="6B310637"/>
    <w:multiLevelType w:val="singleLevel"/>
    <w:tmpl w:val="61F69BBC"/>
    <w:lvl w:ilvl="0">
      <w:start w:val="114"/>
      <w:numFmt w:val="decimal"/>
      <w:lvlText w:val="%1."/>
      <w:lvlJc w:val="left"/>
      <w:pPr>
        <w:tabs>
          <w:tab w:val="num" w:pos="360"/>
        </w:tabs>
        <w:ind w:left="360" w:hanging="360"/>
      </w:pPr>
    </w:lvl>
  </w:abstractNum>
  <w:abstractNum w:abstractNumId="392">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393">
    <w:nsid w:val="6B7A00B4"/>
    <w:multiLevelType w:val="singleLevel"/>
    <w:tmpl w:val="45149E4C"/>
    <w:lvl w:ilvl="0">
      <w:numFmt w:val="bullet"/>
      <w:lvlText w:val="–"/>
      <w:lvlJc w:val="left"/>
      <w:pPr>
        <w:tabs>
          <w:tab w:val="num" w:pos="360"/>
        </w:tabs>
        <w:ind w:left="360" w:hanging="360"/>
      </w:pPr>
      <w:rPr>
        <w:rFonts w:hint="default"/>
      </w:rPr>
    </w:lvl>
  </w:abstractNum>
  <w:abstractNum w:abstractNumId="394">
    <w:nsid w:val="6B8A519D"/>
    <w:multiLevelType w:val="singleLevel"/>
    <w:tmpl w:val="DDCA232C"/>
    <w:lvl w:ilvl="0">
      <w:start w:val="129"/>
      <w:numFmt w:val="decimal"/>
      <w:lvlText w:val="%1."/>
      <w:lvlJc w:val="left"/>
      <w:pPr>
        <w:tabs>
          <w:tab w:val="num" w:pos="360"/>
        </w:tabs>
        <w:ind w:left="360" w:hanging="360"/>
      </w:pPr>
    </w:lvl>
  </w:abstractNum>
  <w:abstractNum w:abstractNumId="395">
    <w:nsid w:val="6C5B34B2"/>
    <w:multiLevelType w:val="singleLevel"/>
    <w:tmpl w:val="4E848D5A"/>
    <w:lvl w:ilvl="0">
      <w:start w:val="379"/>
      <w:numFmt w:val="decimal"/>
      <w:lvlText w:val="%1."/>
      <w:lvlJc w:val="left"/>
      <w:pPr>
        <w:tabs>
          <w:tab w:val="num" w:pos="360"/>
        </w:tabs>
        <w:ind w:left="360" w:hanging="360"/>
      </w:pPr>
    </w:lvl>
  </w:abstractNum>
  <w:abstractNum w:abstractNumId="396">
    <w:nsid w:val="6C5C463C"/>
    <w:multiLevelType w:val="singleLevel"/>
    <w:tmpl w:val="940AB8B2"/>
    <w:lvl w:ilvl="0">
      <w:start w:val="94"/>
      <w:numFmt w:val="decimal"/>
      <w:lvlText w:val="%1."/>
      <w:lvlJc w:val="left"/>
      <w:pPr>
        <w:tabs>
          <w:tab w:val="num" w:pos="360"/>
        </w:tabs>
        <w:ind w:left="360" w:hanging="360"/>
      </w:pPr>
    </w:lvl>
  </w:abstractNum>
  <w:abstractNum w:abstractNumId="397">
    <w:nsid w:val="6C7D57CA"/>
    <w:multiLevelType w:val="singleLevel"/>
    <w:tmpl w:val="286887F8"/>
    <w:lvl w:ilvl="0">
      <w:start w:val="289"/>
      <w:numFmt w:val="decimal"/>
      <w:lvlText w:val="%1."/>
      <w:lvlJc w:val="left"/>
      <w:pPr>
        <w:tabs>
          <w:tab w:val="num" w:pos="360"/>
        </w:tabs>
        <w:ind w:left="360" w:hanging="360"/>
      </w:pPr>
    </w:lvl>
  </w:abstractNum>
  <w:abstractNum w:abstractNumId="398">
    <w:nsid w:val="6CEB4C5D"/>
    <w:multiLevelType w:val="singleLevel"/>
    <w:tmpl w:val="0419000F"/>
    <w:lvl w:ilvl="0">
      <w:start w:val="1"/>
      <w:numFmt w:val="decimal"/>
      <w:lvlText w:val="%1."/>
      <w:lvlJc w:val="left"/>
      <w:pPr>
        <w:tabs>
          <w:tab w:val="num" w:pos="360"/>
        </w:tabs>
        <w:ind w:left="360" w:hanging="360"/>
      </w:pPr>
    </w:lvl>
  </w:abstractNum>
  <w:abstractNum w:abstractNumId="399">
    <w:nsid w:val="6CF9613C"/>
    <w:multiLevelType w:val="singleLevel"/>
    <w:tmpl w:val="05EA60FE"/>
    <w:lvl w:ilvl="0">
      <w:start w:val="332"/>
      <w:numFmt w:val="decimal"/>
      <w:lvlText w:val="%1."/>
      <w:lvlJc w:val="left"/>
      <w:pPr>
        <w:tabs>
          <w:tab w:val="num" w:pos="360"/>
        </w:tabs>
        <w:ind w:left="360" w:hanging="360"/>
      </w:pPr>
    </w:lvl>
  </w:abstractNum>
  <w:abstractNum w:abstractNumId="400">
    <w:nsid w:val="6D565C60"/>
    <w:multiLevelType w:val="singleLevel"/>
    <w:tmpl w:val="D2E6750C"/>
    <w:lvl w:ilvl="0">
      <w:start w:val="4"/>
      <w:numFmt w:val="lowerLetter"/>
      <w:lvlText w:val="%1)"/>
      <w:lvlJc w:val="left"/>
      <w:pPr>
        <w:tabs>
          <w:tab w:val="num" w:pos="360"/>
        </w:tabs>
        <w:ind w:left="360" w:hanging="360"/>
      </w:pPr>
    </w:lvl>
  </w:abstractNum>
  <w:abstractNum w:abstractNumId="401">
    <w:nsid w:val="6D900E37"/>
    <w:multiLevelType w:val="singleLevel"/>
    <w:tmpl w:val="EA72D116"/>
    <w:lvl w:ilvl="0">
      <w:start w:val="320"/>
      <w:numFmt w:val="decimal"/>
      <w:lvlText w:val="%1."/>
      <w:lvlJc w:val="left"/>
      <w:pPr>
        <w:tabs>
          <w:tab w:val="num" w:pos="360"/>
        </w:tabs>
        <w:ind w:left="360" w:hanging="360"/>
      </w:pPr>
    </w:lvl>
  </w:abstractNum>
  <w:abstractNum w:abstractNumId="402">
    <w:nsid w:val="6DE07D9B"/>
    <w:multiLevelType w:val="singleLevel"/>
    <w:tmpl w:val="42A06A96"/>
    <w:lvl w:ilvl="0">
      <w:start w:val="16"/>
      <w:numFmt w:val="decimal"/>
      <w:lvlText w:val="%1."/>
      <w:lvlJc w:val="left"/>
      <w:pPr>
        <w:tabs>
          <w:tab w:val="num" w:pos="360"/>
        </w:tabs>
        <w:ind w:left="360" w:hanging="360"/>
      </w:pPr>
    </w:lvl>
  </w:abstractNum>
  <w:abstractNum w:abstractNumId="403">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4">
    <w:nsid w:val="6E0049AA"/>
    <w:multiLevelType w:val="singleLevel"/>
    <w:tmpl w:val="0419000F"/>
    <w:lvl w:ilvl="0">
      <w:start w:val="1"/>
      <w:numFmt w:val="decimal"/>
      <w:lvlText w:val="%1."/>
      <w:lvlJc w:val="left"/>
      <w:pPr>
        <w:tabs>
          <w:tab w:val="num" w:pos="360"/>
        </w:tabs>
        <w:ind w:left="360" w:hanging="360"/>
      </w:pPr>
    </w:lvl>
  </w:abstractNum>
  <w:abstractNum w:abstractNumId="405">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406">
    <w:nsid w:val="6EE8030D"/>
    <w:multiLevelType w:val="singleLevel"/>
    <w:tmpl w:val="05362BFC"/>
    <w:lvl w:ilvl="0">
      <w:start w:val="210"/>
      <w:numFmt w:val="decimal"/>
      <w:lvlText w:val="%1."/>
      <w:lvlJc w:val="left"/>
      <w:pPr>
        <w:tabs>
          <w:tab w:val="num" w:pos="360"/>
        </w:tabs>
        <w:ind w:left="360" w:hanging="360"/>
      </w:pPr>
    </w:lvl>
  </w:abstractNum>
  <w:abstractNum w:abstractNumId="407">
    <w:nsid w:val="70536272"/>
    <w:multiLevelType w:val="singleLevel"/>
    <w:tmpl w:val="027CA574"/>
    <w:lvl w:ilvl="0">
      <w:start w:val="317"/>
      <w:numFmt w:val="decimal"/>
      <w:lvlText w:val="%1."/>
      <w:lvlJc w:val="left"/>
      <w:pPr>
        <w:tabs>
          <w:tab w:val="num" w:pos="360"/>
        </w:tabs>
        <w:ind w:left="360" w:hanging="360"/>
      </w:pPr>
    </w:lvl>
  </w:abstractNum>
  <w:abstractNum w:abstractNumId="408">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9">
    <w:nsid w:val="71203B80"/>
    <w:multiLevelType w:val="singleLevel"/>
    <w:tmpl w:val="F9086910"/>
    <w:lvl w:ilvl="0">
      <w:start w:val="75"/>
      <w:numFmt w:val="decimal"/>
      <w:lvlText w:val="%1."/>
      <w:lvlJc w:val="left"/>
      <w:pPr>
        <w:tabs>
          <w:tab w:val="num" w:pos="360"/>
        </w:tabs>
        <w:ind w:left="360" w:hanging="360"/>
      </w:pPr>
    </w:lvl>
  </w:abstractNum>
  <w:abstractNum w:abstractNumId="410">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1">
    <w:nsid w:val="729621E3"/>
    <w:multiLevelType w:val="singleLevel"/>
    <w:tmpl w:val="D98C7C6A"/>
    <w:lvl w:ilvl="0">
      <w:numFmt w:val="bullet"/>
      <w:lvlText w:val="-"/>
      <w:lvlJc w:val="left"/>
      <w:pPr>
        <w:tabs>
          <w:tab w:val="num" w:pos="360"/>
        </w:tabs>
        <w:ind w:left="360" w:hanging="360"/>
      </w:pPr>
      <w:rPr>
        <w:rFonts w:hint="default"/>
      </w:rPr>
    </w:lvl>
  </w:abstractNum>
  <w:abstractNum w:abstractNumId="412">
    <w:nsid w:val="72A86A28"/>
    <w:multiLevelType w:val="singleLevel"/>
    <w:tmpl w:val="710C5F5A"/>
    <w:lvl w:ilvl="0">
      <w:start w:val="100"/>
      <w:numFmt w:val="decimal"/>
      <w:lvlText w:val="%1."/>
      <w:lvlJc w:val="left"/>
      <w:pPr>
        <w:tabs>
          <w:tab w:val="num" w:pos="360"/>
        </w:tabs>
        <w:ind w:left="360" w:hanging="360"/>
      </w:pPr>
    </w:lvl>
  </w:abstractNum>
  <w:abstractNum w:abstractNumId="413">
    <w:nsid w:val="730A1EC4"/>
    <w:multiLevelType w:val="singleLevel"/>
    <w:tmpl w:val="54222EEE"/>
    <w:lvl w:ilvl="0">
      <w:start w:val="133"/>
      <w:numFmt w:val="decimal"/>
      <w:lvlText w:val="%1."/>
      <w:lvlJc w:val="left"/>
      <w:pPr>
        <w:tabs>
          <w:tab w:val="num" w:pos="360"/>
        </w:tabs>
        <w:ind w:left="360" w:hanging="360"/>
      </w:pPr>
    </w:lvl>
  </w:abstractNum>
  <w:abstractNum w:abstractNumId="414">
    <w:nsid w:val="732F14C8"/>
    <w:multiLevelType w:val="singleLevel"/>
    <w:tmpl w:val="0419000F"/>
    <w:lvl w:ilvl="0">
      <w:start w:val="1"/>
      <w:numFmt w:val="decimal"/>
      <w:lvlText w:val="%1."/>
      <w:lvlJc w:val="left"/>
      <w:pPr>
        <w:tabs>
          <w:tab w:val="num" w:pos="360"/>
        </w:tabs>
        <w:ind w:left="360" w:hanging="360"/>
      </w:pPr>
    </w:lvl>
  </w:abstractNum>
  <w:abstractNum w:abstractNumId="415">
    <w:nsid w:val="7372224D"/>
    <w:multiLevelType w:val="singleLevel"/>
    <w:tmpl w:val="D98C7C6A"/>
    <w:lvl w:ilvl="0">
      <w:numFmt w:val="bullet"/>
      <w:lvlText w:val="-"/>
      <w:lvlJc w:val="left"/>
      <w:pPr>
        <w:tabs>
          <w:tab w:val="num" w:pos="360"/>
        </w:tabs>
        <w:ind w:left="360" w:hanging="360"/>
      </w:pPr>
      <w:rPr>
        <w:rFonts w:hint="default"/>
      </w:rPr>
    </w:lvl>
  </w:abstractNum>
  <w:abstractNum w:abstractNumId="416">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417">
    <w:nsid w:val="74715624"/>
    <w:multiLevelType w:val="singleLevel"/>
    <w:tmpl w:val="7E5E5BDE"/>
    <w:lvl w:ilvl="0">
      <w:start w:val="347"/>
      <w:numFmt w:val="decimal"/>
      <w:lvlText w:val="%1."/>
      <w:lvlJc w:val="left"/>
      <w:pPr>
        <w:tabs>
          <w:tab w:val="num" w:pos="360"/>
        </w:tabs>
        <w:ind w:left="360" w:hanging="360"/>
      </w:pPr>
    </w:lvl>
  </w:abstractNum>
  <w:abstractNum w:abstractNumId="418">
    <w:nsid w:val="749D6991"/>
    <w:multiLevelType w:val="singleLevel"/>
    <w:tmpl w:val="48D47A94"/>
    <w:lvl w:ilvl="0">
      <w:start w:val="1"/>
      <w:numFmt w:val="decimal"/>
      <w:lvlText w:val="%1)"/>
      <w:lvlJc w:val="left"/>
      <w:pPr>
        <w:tabs>
          <w:tab w:val="num" w:pos="360"/>
        </w:tabs>
        <w:ind w:left="284" w:hanging="284"/>
      </w:pPr>
    </w:lvl>
  </w:abstractNum>
  <w:abstractNum w:abstractNumId="419">
    <w:nsid w:val="74B047D4"/>
    <w:multiLevelType w:val="singleLevel"/>
    <w:tmpl w:val="0419000F"/>
    <w:lvl w:ilvl="0">
      <w:start w:val="1"/>
      <w:numFmt w:val="decimal"/>
      <w:lvlText w:val="%1."/>
      <w:lvlJc w:val="left"/>
      <w:pPr>
        <w:tabs>
          <w:tab w:val="num" w:pos="360"/>
        </w:tabs>
        <w:ind w:left="360" w:hanging="360"/>
      </w:pPr>
    </w:lvl>
  </w:abstractNum>
  <w:abstractNum w:abstractNumId="420">
    <w:nsid w:val="756616D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421">
    <w:nsid w:val="75936514"/>
    <w:multiLevelType w:val="singleLevel"/>
    <w:tmpl w:val="67D01C16"/>
    <w:lvl w:ilvl="0">
      <w:start w:val="293"/>
      <w:numFmt w:val="decimal"/>
      <w:lvlText w:val="%1."/>
      <w:lvlJc w:val="left"/>
      <w:pPr>
        <w:tabs>
          <w:tab w:val="num" w:pos="360"/>
        </w:tabs>
        <w:ind w:left="360" w:hanging="360"/>
      </w:pPr>
    </w:lvl>
  </w:abstractNum>
  <w:abstractNum w:abstractNumId="422">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423">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24">
    <w:nsid w:val="75FC0CBD"/>
    <w:multiLevelType w:val="singleLevel"/>
    <w:tmpl w:val="D98C7C6A"/>
    <w:lvl w:ilvl="0">
      <w:numFmt w:val="bullet"/>
      <w:lvlText w:val="-"/>
      <w:lvlJc w:val="left"/>
      <w:pPr>
        <w:tabs>
          <w:tab w:val="num" w:pos="360"/>
        </w:tabs>
        <w:ind w:left="360" w:hanging="360"/>
      </w:pPr>
      <w:rPr>
        <w:rFonts w:hint="default"/>
      </w:rPr>
    </w:lvl>
  </w:abstractNum>
  <w:abstractNum w:abstractNumId="425">
    <w:nsid w:val="75FE575E"/>
    <w:multiLevelType w:val="singleLevel"/>
    <w:tmpl w:val="0419000F"/>
    <w:lvl w:ilvl="0">
      <w:start w:val="1"/>
      <w:numFmt w:val="decimal"/>
      <w:lvlText w:val="%1."/>
      <w:lvlJc w:val="left"/>
      <w:pPr>
        <w:tabs>
          <w:tab w:val="num" w:pos="360"/>
        </w:tabs>
        <w:ind w:left="360" w:hanging="360"/>
      </w:pPr>
    </w:lvl>
  </w:abstractNum>
  <w:abstractNum w:abstractNumId="426">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7">
    <w:nsid w:val="761C51BE"/>
    <w:multiLevelType w:val="singleLevel"/>
    <w:tmpl w:val="7C52DBE2"/>
    <w:lvl w:ilvl="0">
      <w:start w:val="159"/>
      <w:numFmt w:val="decimal"/>
      <w:lvlText w:val="%1."/>
      <w:lvlJc w:val="left"/>
      <w:pPr>
        <w:tabs>
          <w:tab w:val="num" w:pos="360"/>
        </w:tabs>
        <w:ind w:left="360" w:hanging="360"/>
      </w:pPr>
    </w:lvl>
  </w:abstractNum>
  <w:abstractNum w:abstractNumId="428">
    <w:nsid w:val="761E2CFF"/>
    <w:multiLevelType w:val="singleLevel"/>
    <w:tmpl w:val="FAB823DA"/>
    <w:lvl w:ilvl="0">
      <w:start w:val="328"/>
      <w:numFmt w:val="decimal"/>
      <w:lvlText w:val="%1."/>
      <w:lvlJc w:val="left"/>
      <w:pPr>
        <w:tabs>
          <w:tab w:val="num" w:pos="360"/>
        </w:tabs>
        <w:ind w:left="360" w:hanging="360"/>
      </w:pPr>
    </w:lvl>
  </w:abstractNum>
  <w:abstractNum w:abstractNumId="429">
    <w:nsid w:val="762670AA"/>
    <w:multiLevelType w:val="singleLevel"/>
    <w:tmpl w:val="11ECFD04"/>
    <w:lvl w:ilvl="0">
      <w:numFmt w:val="bullet"/>
      <w:lvlText w:val="–"/>
      <w:lvlJc w:val="left"/>
      <w:pPr>
        <w:tabs>
          <w:tab w:val="num" w:pos="360"/>
        </w:tabs>
        <w:ind w:left="360" w:hanging="360"/>
      </w:pPr>
      <w:rPr>
        <w:rFonts w:hint="default"/>
      </w:rPr>
    </w:lvl>
  </w:abstractNum>
  <w:abstractNum w:abstractNumId="430">
    <w:nsid w:val="76336711"/>
    <w:multiLevelType w:val="singleLevel"/>
    <w:tmpl w:val="B6E647CC"/>
    <w:lvl w:ilvl="0">
      <w:start w:val="233"/>
      <w:numFmt w:val="decimal"/>
      <w:lvlText w:val="%1."/>
      <w:lvlJc w:val="left"/>
      <w:pPr>
        <w:tabs>
          <w:tab w:val="num" w:pos="360"/>
        </w:tabs>
        <w:ind w:left="360" w:hanging="360"/>
      </w:pPr>
    </w:lvl>
  </w:abstractNum>
  <w:abstractNum w:abstractNumId="431">
    <w:nsid w:val="765A3F49"/>
    <w:multiLevelType w:val="singleLevel"/>
    <w:tmpl w:val="0419000F"/>
    <w:lvl w:ilvl="0">
      <w:start w:val="1"/>
      <w:numFmt w:val="decimal"/>
      <w:lvlText w:val="%1."/>
      <w:lvlJc w:val="left"/>
      <w:pPr>
        <w:tabs>
          <w:tab w:val="num" w:pos="360"/>
        </w:tabs>
        <w:ind w:left="360" w:hanging="360"/>
      </w:pPr>
    </w:lvl>
  </w:abstractNum>
  <w:abstractNum w:abstractNumId="432">
    <w:nsid w:val="76B1386D"/>
    <w:multiLevelType w:val="singleLevel"/>
    <w:tmpl w:val="B3A6698C"/>
    <w:lvl w:ilvl="0">
      <w:start w:val="350"/>
      <w:numFmt w:val="decimal"/>
      <w:lvlText w:val="%1."/>
      <w:lvlJc w:val="left"/>
      <w:pPr>
        <w:tabs>
          <w:tab w:val="num" w:pos="360"/>
        </w:tabs>
        <w:ind w:left="360" w:hanging="360"/>
      </w:pPr>
    </w:lvl>
  </w:abstractNum>
  <w:abstractNum w:abstractNumId="433">
    <w:nsid w:val="76B30109"/>
    <w:multiLevelType w:val="singleLevel"/>
    <w:tmpl w:val="0419000F"/>
    <w:lvl w:ilvl="0">
      <w:start w:val="1"/>
      <w:numFmt w:val="decimal"/>
      <w:lvlText w:val="%1."/>
      <w:lvlJc w:val="left"/>
      <w:pPr>
        <w:tabs>
          <w:tab w:val="num" w:pos="360"/>
        </w:tabs>
        <w:ind w:left="360" w:hanging="360"/>
      </w:pPr>
    </w:lvl>
  </w:abstractNum>
  <w:abstractNum w:abstractNumId="434">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35">
    <w:nsid w:val="772A65CB"/>
    <w:multiLevelType w:val="singleLevel"/>
    <w:tmpl w:val="BDCCEA6E"/>
    <w:lvl w:ilvl="0">
      <w:start w:val="123"/>
      <w:numFmt w:val="decimal"/>
      <w:lvlText w:val="%1."/>
      <w:lvlJc w:val="left"/>
      <w:pPr>
        <w:tabs>
          <w:tab w:val="num" w:pos="360"/>
        </w:tabs>
        <w:ind w:left="360" w:hanging="360"/>
      </w:pPr>
    </w:lvl>
  </w:abstractNum>
  <w:abstractNum w:abstractNumId="436">
    <w:nsid w:val="77524E97"/>
    <w:multiLevelType w:val="singleLevel"/>
    <w:tmpl w:val="0C8471B8"/>
    <w:lvl w:ilvl="0">
      <w:start w:val="60"/>
      <w:numFmt w:val="decimal"/>
      <w:lvlText w:val="%1."/>
      <w:lvlJc w:val="left"/>
      <w:pPr>
        <w:tabs>
          <w:tab w:val="num" w:pos="360"/>
        </w:tabs>
        <w:ind w:left="340" w:hanging="340"/>
      </w:pPr>
    </w:lvl>
  </w:abstractNum>
  <w:abstractNum w:abstractNumId="437">
    <w:nsid w:val="77F0144B"/>
    <w:multiLevelType w:val="singleLevel"/>
    <w:tmpl w:val="D98C7C6A"/>
    <w:lvl w:ilvl="0">
      <w:numFmt w:val="bullet"/>
      <w:lvlText w:val="-"/>
      <w:lvlJc w:val="left"/>
      <w:pPr>
        <w:tabs>
          <w:tab w:val="num" w:pos="360"/>
        </w:tabs>
        <w:ind w:left="360" w:hanging="360"/>
      </w:pPr>
      <w:rPr>
        <w:rFonts w:hint="default"/>
      </w:rPr>
    </w:lvl>
  </w:abstractNum>
  <w:abstractNum w:abstractNumId="438">
    <w:nsid w:val="78121EF6"/>
    <w:multiLevelType w:val="singleLevel"/>
    <w:tmpl w:val="20E6903C"/>
    <w:lvl w:ilvl="0">
      <w:start w:val="183"/>
      <w:numFmt w:val="decimal"/>
      <w:lvlText w:val="%1."/>
      <w:lvlJc w:val="left"/>
      <w:pPr>
        <w:tabs>
          <w:tab w:val="num" w:pos="360"/>
        </w:tabs>
        <w:ind w:left="360" w:hanging="360"/>
      </w:pPr>
    </w:lvl>
  </w:abstractNum>
  <w:abstractNum w:abstractNumId="439">
    <w:nsid w:val="78175D7F"/>
    <w:multiLevelType w:val="singleLevel"/>
    <w:tmpl w:val="1484923E"/>
    <w:lvl w:ilvl="0">
      <w:start w:val="36"/>
      <w:numFmt w:val="decimal"/>
      <w:lvlText w:val="%1."/>
      <w:lvlJc w:val="left"/>
      <w:pPr>
        <w:tabs>
          <w:tab w:val="num" w:pos="360"/>
        </w:tabs>
        <w:ind w:left="360" w:hanging="360"/>
      </w:pPr>
    </w:lvl>
  </w:abstractNum>
  <w:abstractNum w:abstractNumId="440">
    <w:nsid w:val="786F1A4B"/>
    <w:multiLevelType w:val="singleLevel"/>
    <w:tmpl w:val="F45E5A54"/>
    <w:lvl w:ilvl="0">
      <w:start w:val="52"/>
      <w:numFmt w:val="decimal"/>
      <w:lvlText w:val="%1."/>
      <w:lvlJc w:val="left"/>
      <w:pPr>
        <w:tabs>
          <w:tab w:val="num" w:pos="360"/>
        </w:tabs>
        <w:ind w:left="360" w:hanging="360"/>
      </w:pPr>
    </w:lvl>
  </w:abstractNum>
  <w:abstractNum w:abstractNumId="441">
    <w:nsid w:val="78B46F49"/>
    <w:multiLevelType w:val="singleLevel"/>
    <w:tmpl w:val="286887F8"/>
    <w:lvl w:ilvl="0">
      <w:start w:val="289"/>
      <w:numFmt w:val="decimal"/>
      <w:lvlText w:val="%1."/>
      <w:lvlJc w:val="left"/>
      <w:pPr>
        <w:tabs>
          <w:tab w:val="num" w:pos="360"/>
        </w:tabs>
        <w:ind w:left="360" w:hanging="360"/>
      </w:pPr>
    </w:lvl>
  </w:abstractNum>
  <w:abstractNum w:abstractNumId="442">
    <w:nsid w:val="791D19CD"/>
    <w:multiLevelType w:val="singleLevel"/>
    <w:tmpl w:val="67D01C16"/>
    <w:lvl w:ilvl="0">
      <w:start w:val="293"/>
      <w:numFmt w:val="decimal"/>
      <w:lvlText w:val="%1."/>
      <w:lvlJc w:val="left"/>
      <w:pPr>
        <w:tabs>
          <w:tab w:val="num" w:pos="360"/>
        </w:tabs>
        <w:ind w:left="360" w:hanging="360"/>
      </w:pPr>
    </w:lvl>
  </w:abstractNum>
  <w:abstractNum w:abstractNumId="443">
    <w:nsid w:val="793D5898"/>
    <w:multiLevelType w:val="singleLevel"/>
    <w:tmpl w:val="B0765612"/>
    <w:lvl w:ilvl="0">
      <w:start w:val="188"/>
      <w:numFmt w:val="decimal"/>
      <w:lvlText w:val="%1."/>
      <w:lvlJc w:val="left"/>
      <w:pPr>
        <w:tabs>
          <w:tab w:val="num" w:pos="360"/>
        </w:tabs>
        <w:ind w:left="360" w:hanging="360"/>
      </w:pPr>
    </w:lvl>
  </w:abstractNum>
  <w:abstractNum w:abstractNumId="444">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445">
    <w:nsid w:val="7A764853"/>
    <w:multiLevelType w:val="singleLevel"/>
    <w:tmpl w:val="82B49A10"/>
    <w:lvl w:ilvl="0">
      <w:start w:val="229"/>
      <w:numFmt w:val="decimal"/>
      <w:lvlText w:val="%1."/>
      <w:lvlJc w:val="left"/>
      <w:pPr>
        <w:tabs>
          <w:tab w:val="num" w:pos="360"/>
        </w:tabs>
        <w:ind w:left="360" w:hanging="360"/>
      </w:pPr>
    </w:lvl>
  </w:abstractNum>
  <w:abstractNum w:abstractNumId="446">
    <w:nsid w:val="7AB721D4"/>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447">
    <w:nsid w:val="7ABE2788"/>
    <w:multiLevelType w:val="singleLevel"/>
    <w:tmpl w:val="100E6E1E"/>
    <w:lvl w:ilvl="0">
      <w:start w:val="268"/>
      <w:numFmt w:val="decimal"/>
      <w:lvlText w:val="%1."/>
      <w:lvlJc w:val="left"/>
      <w:pPr>
        <w:tabs>
          <w:tab w:val="num" w:pos="360"/>
        </w:tabs>
        <w:ind w:left="360" w:hanging="360"/>
      </w:pPr>
    </w:lvl>
  </w:abstractNum>
  <w:abstractNum w:abstractNumId="448">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49">
    <w:nsid w:val="7B3451D5"/>
    <w:multiLevelType w:val="singleLevel"/>
    <w:tmpl w:val="B0FA0884"/>
    <w:lvl w:ilvl="0">
      <w:start w:val="401"/>
      <w:numFmt w:val="decimal"/>
      <w:lvlText w:val="%1."/>
      <w:lvlJc w:val="left"/>
      <w:pPr>
        <w:tabs>
          <w:tab w:val="num" w:pos="360"/>
        </w:tabs>
        <w:ind w:left="360" w:hanging="360"/>
      </w:pPr>
    </w:lvl>
  </w:abstractNum>
  <w:abstractNum w:abstractNumId="450">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451">
    <w:nsid w:val="7C022BFC"/>
    <w:multiLevelType w:val="singleLevel"/>
    <w:tmpl w:val="2B4C8064"/>
    <w:lvl w:ilvl="0">
      <w:start w:val="305"/>
      <w:numFmt w:val="decimal"/>
      <w:lvlText w:val="%1."/>
      <w:lvlJc w:val="left"/>
      <w:pPr>
        <w:tabs>
          <w:tab w:val="num" w:pos="360"/>
        </w:tabs>
        <w:ind w:left="360" w:hanging="360"/>
      </w:pPr>
    </w:lvl>
  </w:abstractNum>
  <w:abstractNum w:abstractNumId="452">
    <w:nsid w:val="7C6B6DBF"/>
    <w:multiLevelType w:val="singleLevel"/>
    <w:tmpl w:val="0419000F"/>
    <w:lvl w:ilvl="0">
      <w:start w:val="1"/>
      <w:numFmt w:val="decimal"/>
      <w:lvlText w:val="%1."/>
      <w:lvlJc w:val="left"/>
      <w:pPr>
        <w:tabs>
          <w:tab w:val="num" w:pos="360"/>
        </w:tabs>
        <w:ind w:left="360" w:hanging="360"/>
      </w:pPr>
    </w:lvl>
  </w:abstractNum>
  <w:abstractNum w:abstractNumId="453">
    <w:nsid w:val="7D46307E"/>
    <w:multiLevelType w:val="singleLevel"/>
    <w:tmpl w:val="9AEA7A36"/>
    <w:lvl w:ilvl="0">
      <w:start w:val="1"/>
      <w:numFmt w:val="lowerLetter"/>
      <w:lvlText w:val="%1)"/>
      <w:lvlJc w:val="left"/>
      <w:pPr>
        <w:tabs>
          <w:tab w:val="num" w:pos="360"/>
        </w:tabs>
        <w:ind w:left="360" w:hanging="360"/>
      </w:pPr>
    </w:lvl>
  </w:abstractNum>
  <w:abstractNum w:abstractNumId="454">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55">
    <w:nsid w:val="7DAE56FE"/>
    <w:multiLevelType w:val="singleLevel"/>
    <w:tmpl w:val="0419000F"/>
    <w:lvl w:ilvl="0">
      <w:start w:val="1"/>
      <w:numFmt w:val="decimal"/>
      <w:lvlText w:val="%1."/>
      <w:lvlJc w:val="left"/>
      <w:pPr>
        <w:tabs>
          <w:tab w:val="num" w:pos="360"/>
        </w:tabs>
        <w:ind w:left="360" w:hanging="360"/>
      </w:pPr>
    </w:lvl>
  </w:abstractNum>
  <w:abstractNum w:abstractNumId="456">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457">
    <w:nsid w:val="7E7B1307"/>
    <w:multiLevelType w:val="singleLevel"/>
    <w:tmpl w:val="80D87F62"/>
    <w:lvl w:ilvl="0">
      <w:start w:val="334"/>
      <w:numFmt w:val="decimal"/>
      <w:lvlText w:val="%1."/>
      <w:lvlJc w:val="left"/>
      <w:pPr>
        <w:tabs>
          <w:tab w:val="num" w:pos="360"/>
        </w:tabs>
        <w:ind w:left="360" w:hanging="360"/>
      </w:pPr>
    </w:lvl>
  </w:abstractNum>
  <w:abstractNum w:abstractNumId="458">
    <w:nsid w:val="7E901B9C"/>
    <w:multiLevelType w:val="singleLevel"/>
    <w:tmpl w:val="0419000F"/>
    <w:lvl w:ilvl="0">
      <w:start w:val="1"/>
      <w:numFmt w:val="decimal"/>
      <w:lvlText w:val="%1."/>
      <w:lvlJc w:val="left"/>
      <w:pPr>
        <w:tabs>
          <w:tab w:val="num" w:pos="360"/>
        </w:tabs>
        <w:ind w:left="360" w:hanging="360"/>
      </w:pPr>
    </w:lvl>
  </w:abstractNum>
  <w:abstractNum w:abstractNumId="459">
    <w:nsid w:val="7EA37FAB"/>
    <w:multiLevelType w:val="singleLevel"/>
    <w:tmpl w:val="EA72D116"/>
    <w:lvl w:ilvl="0">
      <w:start w:val="320"/>
      <w:numFmt w:val="decimal"/>
      <w:lvlText w:val="%1."/>
      <w:lvlJc w:val="left"/>
      <w:pPr>
        <w:tabs>
          <w:tab w:val="num" w:pos="360"/>
        </w:tabs>
        <w:ind w:left="360" w:hanging="360"/>
      </w:pPr>
    </w:lvl>
  </w:abstractNum>
  <w:abstractNum w:abstractNumId="460">
    <w:nsid w:val="7EED12A5"/>
    <w:multiLevelType w:val="singleLevel"/>
    <w:tmpl w:val="755E186A"/>
    <w:lvl w:ilvl="0">
      <w:start w:val="110"/>
      <w:numFmt w:val="decimal"/>
      <w:lvlText w:val="%1."/>
      <w:lvlJc w:val="left"/>
      <w:pPr>
        <w:tabs>
          <w:tab w:val="num" w:pos="360"/>
        </w:tabs>
        <w:ind w:left="360" w:hanging="360"/>
      </w:pPr>
    </w:lvl>
  </w:abstractNum>
  <w:abstractNum w:abstractNumId="461">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462">
    <w:nsid w:val="7F4425FD"/>
    <w:multiLevelType w:val="singleLevel"/>
    <w:tmpl w:val="98B265B2"/>
    <w:lvl w:ilvl="0">
      <w:start w:val="424"/>
      <w:numFmt w:val="decimal"/>
      <w:lvlText w:val="%1."/>
      <w:lvlJc w:val="left"/>
      <w:pPr>
        <w:tabs>
          <w:tab w:val="num" w:pos="360"/>
        </w:tabs>
        <w:ind w:left="360" w:hanging="360"/>
      </w:pPr>
    </w:lvl>
  </w:abstractNum>
  <w:abstractNum w:abstractNumId="463">
    <w:nsid w:val="7F5D701A"/>
    <w:multiLevelType w:val="singleLevel"/>
    <w:tmpl w:val="FBD0EE7A"/>
    <w:lvl w:ilvl="0">
      <w:start w:val="205"/>
      <w:numFmt w:val="decimal"/>
      <w:lvlText w:val="%1."/>
      <w:lvlJc w:val="left"/>
      <w:pPr>
        <w:tabs>
          <w:tab w:val="num" w:pos="360"/>
        </w:tabs>
        <w:ind w:left="360" w:hanging="360"/>
      </w:pPr>
    </w:lvl>
  </w:abstractNum>
  <w:abstractNum w:abstractNumId="464">
    <w:nsid w:val="7F8B39E2"/>
    <w:multiLevelType w:val="singleLevel"/>
    <w:tmpl w:val="55EA754A"/>
    <w:lvl w:ilvl="0">
      <w:start w:val="284"/>
      <w:numFmt w:val="decimal"/>
      <w:lvlText w:val="%1."/>
      <w:lvlJc w:val="left"/>
      <w:pPr>
        <w:tabs>
          <w:tab w:val="num" w:pos="360"/>
        </w:tabs>
        <w:ind w:left="360" w:hanging="360"/>
      </w:pPr>
    </w:lvl>
  </w:abstractNum>
  <w:abstractNum w:abstractNumId="465">
    <w:nsid w:val="7F8B4C22"/>
    <w:multiLevelType w:val="singleLevel"/>
    <w:tmpl w:val="61F69BBC"/>
    <w:lvl w:ilvl="0">
      <w:start w:val="114"/>
      <w:numFmt w:val="decimal"/>
      <w:lvlText w:val="%1."/>
      <w:lvlJc w:val="left"/>
      <w:pPr>
        <w:tabs>
          <w:tab w:val="num" w:pos="360"/>
        </w:tabs>
        <w:ind w:left="360" w:hanging="360"/>
      </w:pPr>
    </w:lvl>
  </w:abstractNum>
  <w:num w:numId="1">
    <w:abstractNumId w:val="355"/>
  </w:num>
  <w:num w:numId="2">
    <w:abstractNumId w:val="39"/>
  </w:num>
  <w:num w:numId="3">
    <w:abstractNumId w:val="285"/>
  </w:num>
  <w:num w:numId="4">
    <w:abstractNumId w:val="90"/>
  </w:num>
  <w:num w:numId="5">
    <w:abstractNumId w:val="426"/>
  </w:num>
  <w:num w:numId="6">
    <w:abstractNumId w:val="324"/>
  </w:num>
  <w:num w:numId="7">
    <w:abstractNumId w:val="7"/>
  </w:num>
  <w:num w:numId="8">
    <w:abstractNumId w:val="45"/>
  </w:num>
  <w:num w:numId="9">
    <w:abstractNumId w:val="267"/>
  </w:num>
  <w:num w:numId="10">
    <w:abstractNumId w:val="11"/>
  </w:num>
  <w:num w:numId="11">
    <w:abstractNumId w:val="151"/>
  </w:num>
  <w:num w:numId="12">
    <w:abstractNumId w:val="372"/>
  </w:num>
  <w:num w:numId="13">
    <w:abstractNumId w:val="23"/>
  </w:num>
  <w:num w:numId="14">
    <w:abstractNumId w:val="398"/>
  </w:num>
  <w:num w:numId="15">
    <w:abstractNumId w:val="92"/>
  </w:num>
  <w:num w:numId="16">
    <w:abstractNumId w:val="164"/>
  </w:num>
  <w:num w:numId="17">
    <w:abstractNumId w:val="64"/>
  </w:num>
  <w:num w:numId="18">
    <w:abstractNumId w:val="404"/>
  </w:num>
  <w:num w:numId="19">
    <w:abstractNumId w:val="264"/>
  </w:num>
  <w:num w:numId="20">
    <w:abstractNumId w:val="403"/>
  </w:num>
  <w:num w:numId="21">
    <w:abstractNumId w:val="270"/>
  </w:num>
  <w:num w:numId="22">
    <w:abstractNumId w:val="32"/>
  </w:num>
  <w:num w:numId="23">
    <w:abstractNumId w:val="194"/>
  </w:num>
  <w:num w:numId="24">
    <w:abstractNumId w:val="408"/>
  </w:num>
  <w:num w:numId="25">
    <w:abstractNumId w:val="88"/>
  </w:num>
  <w:num w:numId="26">
    <w:abstractNumId w:val="181"/>
  </w:num>
  <w:num w:numId="27">
    <w:abstractNumId w:val="50"/>
  </w:num>
  <w:num w:numId="28">
    <w:abstractNumId w:val="402"/>
  </w:num>
  <w:num w:numId="29">
    <w:abstractNumId w:val="376"/>
  </w:num>
  <w:num w:numId="30">
    <w:abstractNumId w:val="219"/>
  </w:num>
  <w:num w:numId="31">
    <w:abstractNumId w:val="150"/>
  </w:num>
  <w:num w:numId="32">
    <w:abstractNumId w:val="453"/>
  </w:num>
  <w:num w:numId="33">
    <w:abstractNumId w:val="13"/>
  </w:num>
  <w:num w:numId="34">
    <w:abstractNumId w:val="348"/>
  </w:num>
  <w:num w:numId="35">
    <w:abstractNumId w:val="260"/>
  </w:num>
  <w:num w:numId="36">
    <w:abstractNumId w:val="322"/>
  </w:num>
  <w:num w:numId="37">
    <w:abstractNumId w:val="142"/>
  </w:num>
  <w:num w:numId="38">
    <w:abstractNumId w:val="274"/>
  </w:num>
  <w:num w:numId="39">
    <w:abstractNumId w:val="198"/>
  </w:num>
  <w:num w:numId="40">
    <w:abstractNumId w:val="439"/>
  </w:num>
  <w:num w:numId="41">
    <w:abstractNumId w:val="254"/>
  </w:num>
  <w:num w:numId="42">
    <w:abstractNumId w:val="230"/>
  </w:num>
  <w:num w:numId="43">
    <w:abstractNumId w:val="184"/>
  </w:num>
  <w:num w:numId="44">
    <w:abstractNumId w:val="373"/>
  </w:num>
  <w:num w:numId="45">
    <w:abstractNumId w:val="458"/>
  </w:num>
  <w:num w:numId="46">
    <w:abstractNumId w:val="19"/>
  </w:num>
  <w:num w:numId="47">
    <w:abstractNumId w:val="353"/>
  </w:num>
  <w:num w:numId="48">
    <w:abstractNumId w:val="8"/>
  </w:num>
  <w:num w:numId="49">
    <w:abstractNumId w:val="239"/>
  </w:num>
  <w:num w:numId="50">
    <w:abstractNumId w:val="367"/>
  </w:num>
  <w:num w:numId="51">
    <w:abstractNumId w:val="190"/>
  </w:num>
  <w:num w:numId="52">
    <w:abstractNumId w:val="400"/>
  </w:num>
  <w:num w:numId="53">
    <w:abstractNumId w:val="352"/>
  </w:num>
  <w:num w:numId="54">
    <w:abstractNumId w:val="414"/>
  </w:num>
  <w:num w:numId="55">
    <w:abstractNumId w:val="382"/>
  </w:num>
  <w:num w:numId="56">
    <w:abstractNumId w:val="440"/>
  </w:num>
  <w:num w:numId="57">
    <w:abstractNumId w:val="436"/>
  </w:num>
  <w:num w:numId="58">
    <w:abstractNumId w:val="12"/>
  </w:num>
  <w:num w:numId="59">
    <w:abstractNumId w:val="170"/>
  </w:num>
  <w:num w:numId="60">
    <w:abstractNumId w:val="97"/>
  </w:num>
  <w:num w:numId="61">
    <w:abstractNumId w:val="55"/>
  </w:num>
  <w:num w:numId="62">
    <w:abstractNumId w:val="35"/>
  </w:num>
  <w:num w:numId="63">
    <w:abstractNumId w:val="141"/>
  </w:num>
  <w:num w:numId="64">
    <w:abstractNumId w:val="349"/>
  </w:num>
  <w:num w:numId="65">
    <w:abstractNumId w:val="89"/>
  </w:num>
  <w:num w:numId="66">
    <w:abstractNumId w:val="233"/>
  </w:num>
  <w:num w:numId="67">
    <w:abstractNumId w:val="84"/>
  </w:num>
  <w:num w:numId="68">
    <w:abstractNumId w:val="409"/>
  </w:num>
  <w:num w:numId="69">
    <w:abstractNumId w:val="297"/>
  </w:num>
  <w:num w:numId="70">
    <w:abstractNumId w:val="238"/>
  </w:num>
  <w:num w:numId="71">
    <w:abstractNumId w:val="287"/>
  </w:num>
  <w:num w:numId="72">
    <w:abstractNumId w:val="168"/>
  </w:num>
  <w:num w:numId="73">
    <w:abstractNumId w:val="242"/>
  </w:num>
  <w:num w:numId="74">
    <w:abstractNumId w:val="282"/>
  </w:num>
  <w:num w:numId="75">
    <w:abstractNumId w:val="258"/>
  </w:num>
  <w:num w:numId="76">
    <w:abstractNumId w:val="276"/>
  </w:num>
  <w:num w:numId="77">
    <w:abstractNumId w:val="419"/>
  </w:num>
  <w:num w:numId="78">
    <w:abstractNumId w:val="85"/>
  </w:num>
  <w:num w:numId="79">
    <w:abstractNumId w:val="301"/>
  </w:num>
  <w:num w:numId="80">
    <w:abstractNumId w:val="121"/>
  </w:num>
  <w:num w:numId="81">
    <w:abstractNumId w:val="278"/>
  </w:num>
  <w:num w:numId="82">
    <w:abstractNumId w:val="257"/>
  </w:num>
  <w:num w:numId="83">
    <w:abstractNumId w:val="63"/>
  </w:num>
  <w:num w:numId="84">
    <w:abstractNumId w:val="107"/>
  </w:num>
  <w:num w:numId="85">
    <w:abstractNumId w:val="172"/>
  </w:num>
  <w:num w:numId="86">
    <w:abstractNumId w:val="77"/>
  </w:num>
  <w:num w:numId="87">
    <w:abstractNumId w:val="396"/>
  </w:num>
  <w:num w:numId="88">
    <w:abstractNumId w:val="326"/>
  </w:num>
  <w:num w:numId="89">
    <w:abstractNumId w:val="38"/>
  </w:num>
  <w:num w:numId="90">
    <w:abstractNumId w:val="167"/>
  </w:num>
  <w:num w:numId="91">
    <w:abstractNumId w:val="29"/>
  </w:num>
  <w:num w:numId="92">
    <w:abstractNumId w:val="129"/>
  </w:num>
  <w:num w:numId="93">
    <w:abstractNumId w:val="46"/>
  </w:num>
  <w:num w:numId="94">
    <w:abstractNumId w:val="18"/>
  </w:num>
  <w:num w:numId="95">
    <w:abstractNumId w:val="431"/>
  </w:num>
  <w:num w:numId="96">
    <w:abstractNumId w:val="162"/>
  </w:num>
  <w:num w:numId="97">
    <w:abstractNumId w:val="118"/>
  </w:num>
  <w:num w:numId="98">
    <w:abstractNumId w:val="247"/>
  </w:num>
  <w:num w:numId="99">
    <w:abstractNumId w:val="259"/>
  </w:num>
  <w:num w:numId="100">
    <w:abstractNumId w:val="228"/>
  </w:num>
  <w:num w:numId="101">
    <w:abstractNumId w:val="123"/>
  </w:num>
  <w:num w:numId="102">
    <w:abstractNumId w:val="236"/>
  </w:num>
  <w:num w:numId="103">
    <w:abstractNumId w:val="412"/>
  </w:num>
  <w:num w:numId="104">
    <w:abstractNumId w:val="246"/>
  </w:num>
  <w:num w:numId="105">
    <w:abstractNumId w:val="387"/>
  </w:num>
  <w:num w:numId="106">
    <w:abstractNumId w:val="106"/>
  </w:num>
  <w:num w:numId="107">
    <w:abstractNumId w:val="223"/>
  </w:num>
  <w:num w:numId="108">
    <w:abstractNumId w:val="388"/>
  </w:num>
  <w:num w:numId="109">
    <w:abstractNumId w:val="74"/>
  </w:num>
  <w:num w:numId="110">
    <w:abstractNumId w:val="305"/>
  </w:num>
  <w:num w:numId="111">
    <w:abstractNumId w:val="137"/>
  </w:num>
  <w:num w:numId="112">
    <w:abstractNumId w:val="465"/>
  </w:num>
  <w:num w:numId="113">
    <w:abstractNumId w:val="391"/>
  </w:num>
  <w:num w:numId="114">
    <w:abstractNumId w:val="251"/>
  </w:num>
  <w:num w:numId="115">
    <w:abstractNumId w:val="383"/>
  </w:num>
  <w:num w:numId="116">
    <w:abstractNumId w:val="120"/>
  </w:num>
  <w:num w:numId="117">
    <w:abstractNumId w:val="435"/>
  </w:num>
  <w:num w:numId="118">
    <w:abstractNumId w:val="394"/>
  </w:num>
  <w:num w:numId="119">
    <w:abstractNumId w:val="204"/>
  </w:num>
  <w:num w:numId="120">
    <w:abstractNumId w:val="413"/>
  </w:num>
  <w:num w:numId="121">
    <w:abstractNumId w:val="56"/>
  </w:num>
  <w:num w:numId="122">
    <w:abstractNumId w:val="346"/>
  </w:num>
  <w:num w:numId="123">
    <w:abstractNumId w:val="252"/>
  </w:num>
  <w:num w:numId="124">
    <w:abstractNumId w:val="293"/>
  </w:num>
  <w:num w:numId="125">
    <w:abstractNumId w:val="335"/>
  </w:num>
  <w:num w:numId="126">
    <w:abstractNumId w:val="341"/>
  </w:num>
  <w:num w:numId="127">
    <w:abstractNumId w:val="159"/>
  </w:num>
  <w:num w:numId="128">
    <w:abstractNumId w:val="255"/>
  </w:num>
  <w:num w:numId="129">
    <w:abstractNumId w:val="135"/>
  </w:num>
  <w:num w:numId="130">
    <w:abstractNumId w:val="321"/>
  </w:num>
  <w:num w:numId="131">
    <w:abstractNumId w:val="415"/>
  </w:num>
  <w:num w:numId="132">
    <w:abstractNumId w:val="105"/>
  </w:num>
  <w:num w:numId="133">
    <w:abstractNumId w:val="34"/>
  </w:num>
  <w:num w:numId="134">
    <w:abstractNumId w:val="455"/>
  </w:num>
  <w:num w:numId="135">
    <w:abstractNumId w:val="127"/>
  </w:num>
  <w:num w:numId="136">
    <w:abstractNumId w:val="249"/>
  </w:num>
  <w:num w:numId="137">
    <w:abstractNumId w:val="350"/>
  </w:num>
  <w:num w:numId="138">
    <w:abstractNumId w:val="299"/>
  </w:num>
  <w:num w:numId="139">
    <w:abstractNumId w:val="59"/>
  </w:num>
  <w:num w:numId="140">
    <w:abstractNumId w:val="361"/>
  </w:num>
  <w:num w:numId="141">
    <w:abstractNumId w:val="75"/>
  </w:num>
  <w:num w:numId="142">
    <w:abstractNumId w:val="117"/>
  </w:num>
  <w:num w:numId="143">
    <w:abstractNumId w:val="213"/>
  </w:num>
  <w:num w:numId="144">
    <w:abstractNumId w:val="191"/>
  </w:num>
  <w:num w:numId="145">
    <w:abstractNumId w:val="427"/>
  </w:num>
  <w:num w:numId="146">
    <w:abstractNumId w:val="138"/>
  </w:num>
  <w:num w:numId="147">
    <w:abstractNumId w:val="429"/>
  </w:num>
  <w:num w:numId="148">
    <w:abstractNumId w:val="368"/>
  </w:num>
  <w:num w:numId="149">
    <w:abstractNumId w:val="146"/>
  </w:num>
  <w:num w:numId="150">
    <w:abstractNumId w:val="378"/>
  </w:num>
  <w:num w:numId="151">
    <w:abstractNumId w:val="359"/>
  </w:num>
  <w:num w:numId="152">
    <w:abstractNumId w:val="363"/>
  </w:num>
  <w:num w:numId="153">
    <w:abstractNumId w:val="22"/>
  </w:num>
  <w:num w:numId="154">
    <w:abstractNumId w:val="366"/>
  </w:num>
  <w:num w:numId="155">
    <w:abstractNumId w:val="130"/>
  </w:num>
  <w:num w:numId="156">
    <w:abstractNumId w:val="303"/>
  </w:num>
  <w:num w:numId="157">
    <w:abstractNumId w:val="313"/>
  </w:num>
  <w:num w:numId="158">
    <w:abstractNumId w:val="273"/>
  </w:num>
  <w:num w:numId="159">
    <w:abstractNumId w:val="310"/>
  </w:num>
  <w:num w:numId="160">
    <w:abstractNumId w:val="316"/>
  </w:num>
  <w:num w:numId="161">
    <w:abstractNumId w:val="132"/>
  </w:num>
  <w:num w:numId="162">
    <w:abstractNumId w:val="234"/>
  </w:num>
  <w:num w:numId="163">
    <w:abstractNumId w:val="323"/>
  </w:num>
  <w:num w:numId="164">
    <w:abstractNumId w:val="217"/>
  </w:num>
  <w:num w:numId="165">
    <w:abstractNumId w:val="109"/>
  </w:num>
  <w:num w:numId="166">
    <w:abstractNumId w:val="152"/>
  </w:num>
  <w:num w:numId="167">
    <w:abstractNumId w:val="438"/>
  </w:num>
  <w:num w:numId="168">
    <w:abstractNumId w:val="58"/>
  </w:num>
  <w:num w:numId="169">
    <w:abstractNumId w:val="24"/>
  </w:num>
  <w:num w:numId="170">
    <w:abstractNumId w:val="96"/>
  </w:num>
  <w:num w:numId="171">
    <w:abstractNumId w:val="177"/>
  </w:num>
  <w:num w:numId="172">
    <w:abstractNumId w:val="443"/>
  </w:num>
  <w:num w:numId="173">
    <w:abstractNumId w:val="304"/>
  </w:num>
  <w:num w:numId="174">
    <w:abstractNumId w:val="51"/>
  </w:num>
  <w:num w:numId="175">
    <w:abstractNumId w:val="154"/>
  </w:num>
  <w:num w:numId="176">
    <w:abstractNumId w:val="463"/>
  </w:num>
  <w:num w:numId="177">
    <w:abstractNumId w:val="371"/>
  </w:num>
  <w:num w:numId="178">
    <w:abstractNumId w:val="425"/>
  </w:num>
  <w:num w:numId="179">
    <w:abstractNumId w:val="406"/>
  </w:num>
  <w:num w:numId="180">
    <w:abstractNumId w:val="209"/>
  </w:num>
  <w:num w:numId="181">
    <w:abstractNumId w:val="243"/>
  </w:num>
  <w:num w:numId="182">
    <w:abstractNumId w:val="73"/>
  </w:num>
  <w:num w:numId="183">
    <w:abstractNumId w:val="15"/>
  </w:num>
  <w:num w:numId="184">
    <w:abstractNumId w:val="386"/>
  </w:num>
  <w:num w:numId="185">
    <w:abstractNumId w:val="158"/>
  </w:num>
  <w:num w:numId="186">
    <w:abstractNumId w:val="149"/>
  </w:num>
  <w:num w:numId="187">
    <w:abstractNumId w:val="82"/>
  </w:num>
  <w:num w:numId="188">
    <w:abstractNumId w:val="445"/>
  </w:num>
  <w:num w:numId="189">
    <w:abstractNumId w:val="317"/>
  </w:num>
  <w:num w:numId="190">
    <w:abstractNumId w:val="430"/>
  </w:num>
  <w:num w:numId="191">
    <w:abstractNumId w:val="203"/>
  </w:num>
  <w:num w:numId="192">
    <w:abstractNumId w:val="53"/>
  </w:num>
  <w:num w:numId="193">
    <w:abstractNumId w:val="241"/>
  </w:num>
  <w:num w:numId="194">
    <w:abstractNumId w:val="266"/>
  </w:num>
  <w:num w:numId="195">
    <w:abstractNumId w:val="250"/>
  </w:num>
  <w:num w:numId="196">
    <w:abstractNumId w:val="205"/>
  </w:num>
  <w:num w:numId="197">
    <w:abstractNumId w:val="300"/>
  </w:num>
  <w:num w:numId="198">
    <w:abstractNumId w:val="272"/>
  </w:num>
  <w:num w:numId="199">
    <w:abstractNumId w:val="62"/>
  </w:num>
  <w:num w:numId="200">
    <w:abstractNumId w:val="144"/>
  </w:num>
  <w:num w:numId="201">
    <w:abstractNumId w:val="309"/>
  </w:num>
  <w:num w:numId="202">
    <w:abstractNumId w:val="165"/>
  </w:num>
  <w:num w:numId="203">
    <w:abstractNumId w:val="289"/>
  </w:num>
  <w:num w:numId="204">
    <w:abstractNumId w:val="370"/>
  </w:num>
  <w:num w:numId="205">
    <w:abstractNumId w:val="281"/>
  </w:num>
  <w:num w:numId="206">
    <w:abstractNumId w:val="108"/>
  </w:num>
  <w:num w:numId="207">
    <w:abstractNumId w:val="284"/>
  </w:num>
  <w:num w:numId="208">
    <w:abstractNumId w:val="385"/>
  </w:num>
  <w:num w:numId="209">
    <w:abstractNumId w:val="447"/>
  </w:num>
  <w:num w:numId="210">
    <w:abstractNumId w:val="314"/>
  </w:num>
  <w:num w:numId="211">
    <w:abstractNumId w:val="104"/>
  </w:num>
  <w:num w:numId="212">
    <w:abstractNumId w:val="221"/>
  </w:num>
  <w:num w:numId="213">
    <w:abstractNumId w:val="93"/>
  </w:num>
  <w:num w:numId="214">
    <w:abstractNumId w:val="157"/>
  </w:num>
  <w:num w:numId="215">
    <w:abstractNumId w:val="28"/>
  </w:num>
  <w:num w:numId="216">
    <w:abstractNumId w:val="54"/>
  </w:num>
  <w:num w:numId="217">
    <w:abstractNumId w:val="200"/>
  </w:num>
  <w:num w:numId="218">
    <w:abstractNumId w:val="389"/>
  </w:num>
  <w:num w:numId="219">
    <w:abstractNumId w:val="464"/>
  </w:num>
  <w:num w:numId="220">
    <w:abstractNumId w:val="279"/>
  </w:num>
  <w:num w:numId="221">
    <w:abstractNumId w:val="397"/>
  </w:num>
  <w:num w:numId="222">
    <w:abstractNumId w:val="102"/>
  </w:num>
  <w:num w:numId="223">
    <w:abstractNumId w:val="441"/>
  </w:num>
  <w:num w:numId="224">
    <w:abstractNumId w:val="195"/>
  </w:num>
  <w:num w:numId="225">
    <w:abstractNumId w:val="14"/>
  </w:num>
  <w:num w:numId="226">
    <w:abstractNumId w:val="356"/>
  </w:num>
  <w:num w:numId="227">
    <w:abstractNumId w:val="358"/>
  </w:num>
  <w:num w:numId="228">
    <w:abstractNumId w:val="5"/>
  </w:num>
  <w:num w:numId="229">
    <w:abstractNumId w:val="174"/>
  </w:num>
  <w:num w:numId="230">
    <w:abstractNumId w:val="460"/>
  </w:num>
  <w:num w:numId="231">
    <w:abstractNumId w:val="36"/>
  </w:num>
  <w:num w:numId="232">
    <w:abstractNumId w:val="81"/>
  </w:num>
  <w:num w:numId="233">
    <w:abstractNumId w:val="424"/>
  </w:num>
  <w:num w:numId="234">
    <w:abstractNumId w:val="332"/>
  </w:num>
  <w:num w:numId="235">
    <w:abstractNumId w:val="393"/>
  </w:num>
  <w:num w:numId="236">
    <w:abstractNumId w:val="70"/>
  </w:num>
  <w:num w:numId="237">
    <w:abstractNumId w:val="410"/>
  </w:num>
  <w:num w:numId="238">
    <w:abstractNumId w:val="182"/>
  </w:num>
  <w:num w:numId="239">
    <w:abstractNumId w:val="199"/>
  </w:num>
  <w:num w:numId="240">
    <w:abstractNumId w:val="442"/>
  </w:num>
  <w:num w:numId="241">
    <w:abstractNumId w:val="421"/>
  </w:num>
  <w:num w:numId="242">
    <w:abstractNumId w:val="422"/>
  </w:num>
  <w:num w:numId="243">
    <w:abstractNumId w:val="27"/>
  </w:num>
  <w:num w:numId="244">
    <w:abstractNumId w:val="379"/>
  </w:num>
  <w:num w:numId="245">
    <w:abstractNumId w:val="340"/>
  </w:num>
  <w:num w:numId="246">
    <w:abstractNumId w:val="176"/>
  </w:num>
  <w:num w:numId="247">
    <w:abstractNumId w:val="380"/>
  </w:num>
  <w:num w:numId="248">
    <w:abstractNumId w:val="197"/>
  </w:num>
  <w:num w:numId="249">
    <w:abstractNumId w:val="298"/>
  </w:num>
  <w:num w:numId="250">
    <w:abstractNumId w:val="354"/>
  </w:num>
  <w:num w:numId="251">
    <w:abstractNumId w:val="407"/>
  </w:num>
  <w:num w:numId="252">
    <w:abstractNumId w:val="401"/>
  </w:num>
  <w:num w:numId="253">
    <w:abstractNumId w:val="459"/>
  </w:num>
  <w:num w:numId="254">
    <w:abstractNumId w:val="343"/>
  </w:num>
  <w:num w:numId="255">
    <w:abstractNumId w:val="155"/>
  </w:num>
  <w:num w:numId="256">
    <w:abstractNumId w:val="294"/>
  </w:num>
  <w:num w:numId="257">
    <w:abstractNumId w:val="271"/>
  </w:num>
  <w:num w:numId="258">
    <w:abstractNumId w:val="428"/>
  </w:num>
  <w:num w:numId="259">
    <w:abstractNumId w:val="133"/>
  </w:num>
  <w:num w:numId="260">
    <w:abstractNumId w:val="399"/>
  </w:num>
  <w:num w:numId="261">
    <w:abstractNumId w:val="180"/>
  </w:num>
  <w:num w:numId="262">
    <w:abstractNumId w:val="457"/>
  </w:num>
  <w:num w:numId="263">
    <w:abstractNumId w:val="153"/>
  </w:num>
  <w:num w:numId="264">
    <w:abstractNumId w:val="119"/>
  </w:num>
  <w:num w:numId="265">
    <w:abstractNumId w:val="71"/>
  </w:num>
  <w:num w:numId="266">
    <w:abstractNumId w:val="175"/>
  </w:num>
  <w:num w:numId="267">
    <w:abstractNumId w:val="173"/>
  </w:num>
  <w:num w:numId="268">
    <w:abstractNumId w:val="4"/>
  </w:num>
  <w:num w:numId="269">
    <w:abstractNumId w:val="344"/>
  </w:num>
  <w:num w:numId="270">
    <w:abstractNumId w:val="16"/>
  </w:num>
  <w:num w:numId="271">
    <w:abstractNumId w:val="48"/>
  </w:num>
  <w:num w:numId="272">
    <w:abstractNumId w:val="206"/>
  </w:num>
  <w:num w:numId="273">
    <w:abstractNumId w:val="72"/>
  </w:num>
  <w:num w:numId="274">
    <w:abstractNumId w:val="312"/>
  </w:num>
  <w:num w:numId="275">
    <w:abstractNumId w:val="374"/>
  </w:num>
  <w:num w:numId="276">
    <w:abstractNumId w:val="347"/>
  </w:num>
  <w:num w:numId="277">
    <w:abstractNumId w:val="208"/>
  </w:num>
  <w:num w:numId="278">
    <w:abstractNumId w:val="263"/>
  </w:num>
  <w:num w:numId="279">
    <w:abstractNumId w:val="253"/>
  </w:num>
  <w:num w:numId="280">
    <w:abstractNumId w:val="40"/>
  </w:num>
  <w:num w:numId="281">
    <w:abstractNumId w:val="1"/>
  </w:num>
  <w:num w:numId="282">
    <w:abstractNumId w:val="218"/>
  </w:num>
  <w:num w:numId="283">
    <w:abstractNumId w:val="288"/>
  </w:num>
  <w:num w:numId="284">
    <w:abstractNumId w:val="222"/>
  </w:num>
  <w:num w:numId="285">
    <w:abstractNumId w:val="110"/>
  </w:num>
  <w:num w:numId="286">
    <w:abstractNumId w:val="26"/>
  </w:num>
  <w:num w:numId="287">
    <w:abstractNumId w:val="169"/>
  </w:num>
  <w:num w:numId="288">
    <w:abstractNumId w:val="79"/>
  </w:num>
  <w:num w:numId="289">
    <w:abstractNumId w:val="207"/>
  </w:num>
  <w:num w:numId="290">
    <w:abstractNumId w:val="3"/>
  </w:num>
  <w:num w:numId="291">
    <w:abstractNumId w:val="52"/>
  </w:num>
  <w:num w:numId="292">
    <w:abstractNumId w:val="122"/>
  </w:num>
  <w:num w:numId="293">
    <w:abstractNumId w:val="43"/>
  </w:num>
  <w:num w:numId="294">
    <w:abstractNumId w:val="325"/>
  </w:num>
  <w:num w:numId="295">
    <w:abstractNumId w:val="364"/>
  </w:num>
  <w:num w:numId="296">
    <w:abstractNumId w:val="434"/>
  </w:num>
  <w:num w:numId="297">
    <w:abstractNumId w:val="183"/>
  </w:num>
  <w:num w:numId="298">
    <w:abstractNumId w:val="357"/>
  </w:num>
  <w:num w:numId="299">
    <w:abstractNumId w:val="235"/>
  </w:num>
  <w:num w:numId="300">
    <w:abstractNumId w:val="202"/>
  </w:num>
  <w:num w:numId="301">
    <w:abstractNumId w:val="450"/>
  </w:num>
  <w:num w:numId="302">
    <w:abstractNumId w:val="433"/>
  </w:num>
  <w:num w:numId="303">
    <w:abstractNumId w:val="432"/>
  </w:num>
  <w:num w:numId="304">
    <w:abstractNumId w:val="333"/>
  </w:num>
  <w:num w:numId="305">
    <w:abstractNumId w:val="227"/>
  </w:num>
  <w:num w:numId="306">
    <w:abstractNumId w:val="320"/>
  </w:num>
  <w:num w:numId="307">
    <w:abstractNumId w:val="201"/>
  </w:num>
  <w:num w:numId="308">
    <w:abstractNumId w:val="248"/>
  </w:num>
  <w:num w:numId="309">
    <w:abstractNumId w:val="237"/>
  </w:num>
  <w:num w:numId="310">
    <w:abstractNumId w:val="99"/>
  </w:num>
  <w:num w:numId="311">
    <w:abstractNumId w:val="342"/>
  </w:num>
  <w:num w:numId="312">
    <w:abstractNumId w:val="76"/>
  </w:num>
  <w:num w:numId="313">
    <w:abstractNumId w:val="192"/>
  </w:num>
  <w:num w:numId="314">
    <w:abstractNumId w:val="302"/>
  </w:num>
  <w:num w:numId="315">
    <w:abstractNumId w:val="147"/>
  </w:num>
  <w:num w:numId="316">
    <w:abstractNumId w:val="225"/>
  </w:num>
  <w:num w:numId="317">
    <w:abstractNumId w:val="395"/>
  </w:num>
  <w:num w:numId="318">
    <w:abstractNumId w:val="291"/>
  </w:num>
  <w:num w:numId="319">
    <w:abstractNumId w:val="98"/>
  </w:num>
  <w:num w:numId="320">
    <w:abstractNumId w:val="330"/>
  </w:num>
  <w:num w:numId="321">
    <w:abstractNumId w:val="37"/>
  </w:num>
  <w:num w:numId="322">
    <w:abstractNumId w:val="449"/>
  </w:num>
  <w:num w:numId="323">
    <w:abstractNumId w:val="66"/>
  </w:num>
  <w:num w:numId="324">
    <w:abstractNumId w:val="308"/>
  </w:num>
  <w:num w:numId="325">
    <w:abstractNumId w:val="405"/>
  </w:num>
  <w:num w:numId="326">
    <w:abstractNumId w:val="87"/>
  </w:num>
  <w:num w:numId="327">
    <w:abstractNumId w:val="126"/>
  </w:num>
  <w:num w:numId="328">
    <w:abstractNumId w:val="306"/>
  </w:num>
  <w:num w:numId="329">
    <w:abstractNumId w:val="392"/>
  </w:num>
  <w:num w:numId="330">
    <w:abstractNumId w:val="161"/>
  </w:num>
  <w:num w:numId="331">
    <w:abstractNumId w:val="61"/>
  </w:num>
  <w:num w:numId="332">
    <w:abstractNumId w:val="451"/>
  </w:num>
  <w:num w:numId="333">
    <w:abstractNumId w:val="86"/>
  </w:num>
  <w:num w:numId="334">
    <w:abstractNumId w:val="65"/>
  </w:num>
  <w:num w:numId="335">
    <w:abstractNumId w:val="417"/>
  </w:num>
  <w:num w:numId="336">
    <w:abstractNumId w:val="381"/>
  </w:num>
  <w:num w:numId="337">
    <w:abstractNumId w:val="331"/>
  </w:num>
  <w:num w:numId="338">
    <w:abstractNumId w:val="186"/>
  </w:num>
  <w:num w:numId="339">
    <w:abstractNumId w:val="9"/>
  </w:num>
  <w:num w:numId="340">
    <w:abstractNumId w:val="211"/>
  </w:num>
  <w:num w:numId="341">
    <w:abstractNumId w:val="214"/>
  </w:num>
  <w:num w:numId="342">
    <w:abstractNumId w:val="226"/>
  </w:num>
  <w:num w:numId="343">
    <w:abstractNumId w:val="411"/>
  </w:num>
  <w:num w:numId="344">
    <w:abstractNumId w:val="328"/>
  </w:num>
  <w:num w:numId="345">
    <w:abstractNumId w:val="224"/>
  </w:num>
  <w:num w:numId="346">
    <w:abstractNumId w:val="156"/>
  </w:num>
  <w:num w:numId="347">
    <w:abstractNumId w:val="95"/>
  </w:num>
  <w:num w:numId="348">
    <w:abstractNumId w:val="375"/>
  </w:num>
  <w:num w:numId="349">
    <w:abstractNumId w:val="362"/>
  </w:num>
  <w:num w:numId="350">
    <w:abstractNumId w:val="351"/>
  </w:num>
  <w:num w:numId="351">
    <w:abstractNumId w:val="245"/>
  </w:num>
  <w:num w:numId="352">
    <w:abstractNumId w:val="462"/>
  </w:num>
  <w:num w:numId="353">
    <w:abstractNumId w:val="125"/>
  </w:num>
  <w:num w:numId="354">
    <w:abstractNumId w:val="6"/>
  </w:num>
  <w:num w:numId="355">
    <w:abstractNumId w:val="178"/>
  </w:num>
  <w:num w:numId="356">
    <w:abstractNumId w:val="131"/>
  </w:num>
  <w:num w:numId="357">
    <w:abstractNumId w:val="337"/>
  </w:num>
  <w:num w:numId="358">
    <w:abstractNumId w:val="33"/>
  </w:num>
  <w:num w:numId="359">
    <w:abstractNumId w:val="20"/>
  </w:num>
  <w:num w:numId="360">
    <w:abstractNumId w:val="57"/>
  </w:num>
  <w:num w:numId="361">
    <w:abstractNumId w:val="311"/>
  </w:num>
  <w:num w:numId="362">
    <w:abstractNumId w:val="10"/>
  </w:num>
  <w:num w:numId="363">
    <w:abstractNumId w:val="315"/>
  </w:num>
  <w:num w:numId="364">
    <w:abstractNumId w:val="42"/>
  </w:num>
  <w:num w:numId="365">
    <w:abstractNumId w:val="25"/>
  </w:num>
  <w:num w:numId="366">
    <w:abstractNumId w:val="179"/>
  </w:num>
  <w:num w:numId="367">
    <w:abstractNumId w:val="163"/>
  </w:num>
  <w:num w:numId="368">
    <w:abstractNumId w:val="49"/>
  </w:num>
  <w:num w:numId="369">
    <w:abstractNumId w:val="196"/>
  </w:num>
  <w:num w:numId="370">
    <w:abstractNumId w:val="277"/>
  </w:num>
  <w:num w:numId="371">
    <w:abstractNumId w:val="160"/>
  </w:num>
  <w:num w:numId="372">
    <w:abstractNumId w:val="377"/>
  </w:num>
  <w:num w:numId="373">
    <w:abstractNumId w:val="101"/>
  </w:num>
  <w:num w:numId="374">
    <w:abstractNumId w:val="456"/>
  </w:num>
  <w:num w:numId="375">
    <w:abstractNumId w:val="91"/>
  </w:num>
  <w:num w:numId="376">
    <w:abstractNumId w:val="437"/>
  </w:num>
  <w:num w:numId="377">
    <w:abstractNumId w:val="114"/>
  </w:num>
  <w:num w:numId="378">
    <w:abstractNumId w:val="269"/>
  </w:num>
  <w:num w:numId="379">
    <w:abstractNumId w:val="128"/>
  </w:num>
  <w:num w:numId="380">
    <w:abstractNumId w:val="140"/>
  </w:num>
  <w:num w:numId="381">
    <w:abstractNumId w:val="240"/>
  </w:num>
  <w:num w:numId="382">
    <w:abstractNumId w:val="336"/>
  </w:num>
  <w:num w:numId="383">
    <w:abstractNumId w:val="166"/>
  </w:num>
  <w:num w:numId="384">
    <w:abstractNumId w:val="418"/>
  </w:num>
  <w:num w:numId="385">
    <w:abstractNumId w:val="345"/>
  </w:num>
  <w:num w:numId="386">
    <w:abstractNumId w:val="334"/>
  </w:num>
  <w:num w:numId="387">
    <w:abstractNumId w:val="124"/>
  </w:num>
  <w:num w:numId="388">
    <w:abstractNumId w:val="215"/>
  </w:num>
  <w:num w:numId="389">
    <w:abstractNumId w:val="100"/>
  </w:num>
  <w:num w:numId="390">
    <w:abstractNumId w:val="189"/>
  </w:num>
  <w:num w:numId="391">
    <w:abstractNumId w:val="78"/>
  </w:num>
  <w:num w:numId="392">
    <w:abstractNumId w:val="30"/>
  </w:num>
  <w:num w:numId="393">
    <w:abstractNumId w:val="229"/>
  </w:num>
  <w:num w:numId="394">
    <w:abstractNumId w:val="229"/>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1"/>
  </w:num>
  <w:num w:numId="396">
    <w:abstractNumId w:val="21"/>
    <w:lvlOverride w:ilvl="0">
      <w:lvl w:ilvl="0">
        <w:start w:val="1"/>
        <w:numFmt w:val="decimal"/>
        <w:lvlText w:val="%1. "/>
        <w:legacy w:legacy="1" w:legacySpace="0" w:legacyIndent="283"/>
        <w:lvlJc w:val="left"/>
        <w:pPr>
          <w:ind w:left="283" w:hanging="283"/>
        </w:pPr>
        <w:rPr>
          <w:b w:val="0"/>
          <w:i w:val="0"/>
          <w:sz w:val="24"/>
        </w:rPr>
      </w:lvl>
    </w:lvlOverride>
  </w:num>
  <w:num w:numId="397">
    <w:abstractNumId w:val="111"/>
  </w:num>
  <w:num w:numId="398">
    <w:abstractNumId w:val="111"/>
    <w:lvlOverride w:ilvl="0">
      <w:lvl w:ilvl="0">
        <w:start w:val="1"/>
        <w:numFmt w:val="decimal"/>
        <w:lvlText w:val="%1. "/>
        <w:legacy w:legacy="1" w:legacySpace="0" w:legacyIndent="283"/>
        <w:lvlJc w:val="left"/>
        <w:pPr>
          <w:ind w:left="283" w:hanging="283"/>
        </w:pPr>
        <w:rPr>
          <w:b w:val="0"/>
          <w:i w:val="0"/>
          <w:sz w:val="24"/>
        </w:rPr>
      </w:lvl>
    </w:lvlOverride>
  </w:num>
  <w:num w:numId="399">
    <w:abstractNumId w:val="185"/>
  </w:num>
  <w:num w:numId="400">
    <w:abstractNumId w:val="369"/>
  </w:num>
  <w:num w:numId="401">
    <w:abstractNumId w:val="307"/>
  </w:num>
  <w:num w:numId="402">
    <w:abstractNumId w:val="390"/>
  </w:num>
  <w:num w:numId="403">
    <w:abstractNumId w:val="134"/>
  </w:num>
  <w:num w:numId="404">
    <w:abstractNumId w:val="69"/>
  </w:num>
  <w:num w:numId="405">
    <w:abstractNumId w:val="444"/>
  </w:num>
  <w:num w:numId="406">
    <w:abstractNumId w:val="41"/>
  </w:num>
  <w:num w:numId="407">
    <w:abstractNumId w:val="187"/>
  </w:num>
  <w:num w:numId="408">
    <w:abstractNumId w:val="188"/>
  </w:num>
  <w:num w:numId="409">
    <w:abstractNumId w:val="365"/>
  </w:num>
  <w:num w:numId="410">
    <w:abstractNumId w:val="452"/>
  </w:num>
  <w:num w:numId="411">
    <w:abstractNumId w:val="47"/>
  </w:num>
  <w:num w:numId="412">
    <w:abstractNumId w:val="244"/>
  </w:num>
  <w:num w:numId="413">
    <w:abstractNumId w:val="461"/>
  </w:num>
  <w:num w:numId="414">
    <w:abstractNumId w:val="318"/>
  </w:num>
  <w:num w:numId="415">
    <w:abstractNumId w:val="256"/>
  </w:num>
  <w:num w:numId="416">
    <w:abstractNumId w:val="2"/>
  </w:num>
  <w:num w:numId="417">
    <w:abstractNumId w:val="220"/>
  </w:num>
  <w:num w:numId="418">
    <w:abstractNumId w:val="338"/>
  </w:num>
  <w:num w:numId="419">
    <w:abstractNumId w:val="143"/>
  </w:num>
  <w:num w:numId="420">
    <w:abstractNumId w:val="193"/>
  </w:num>
  <w:num w:numId="421">
    <w:abstractNumId w:val="327"/>
  </w:num>
  <w:num w:numId="422">
    <w:abstractNumId w:val="283"/>
  </w:num>
  <w:num w:numId="423">
    <w:abstractNumId w:val="67"/>
  </w:num>
  <w:num w:numId="424">
    <w:abstractNumId w:val="295"/>
  </w:num>
  <w:num w:numId="425">
    <w:abstractNumId w:val="112"/>
  </w:num>
  <w:num w:numId="426">
    <w:abstractNumId w:val="454"/>
  </w:num>
  <w:num w:numId="427">
    <w:abstractNumId w:val="31"/>
  </w:num>
  <w:num w:numId="428">
    <w:abstractNumId w:val="171"/>
  </w:num>
  <w:num w:numId="429">
    <w:abstractNumId w:val="329"/>
  </w:num>
  <w:num w:numId="430">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31">
    <w:abstractNumId w:val="286"/>
  </w:num>
  <w:num w:numId="43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433">
    <w:abstractNumId w:val="268"/>
  </w:num>
  <w:num w:numId="434">
    <w:abstractNumId w:val="115"/>
  </w:num>
  <w:num w:numId="435">
    <w:abstractNumId w:val="446"/>
  </w:num>
  <w:num w:numId="436">
    <w:abstractNumId w:val="420"/>
  </w:num>
  <w:num w:numId="437">
    <w:abstractNumId w:val="145"/>
  </w:num>
  <w:num w:numId="438">
    <w:abstractNumId w:val="212"/>
  </w:num>
  <w:num w:numId="439">
    <w:abstractNumId w:val="232"/>
  </w:num>
  <w:num w:numId="440">
    <w:abstractNumId w:val="60"/>
  </w:num>
  <w:num w:numId="441">
    <w:abstractNumId w:val="296"/>
  </w:num>
  <w:num w:numId="442">
    <w:abstractNumId w:val="94"/>
  </w:num>
  <w:num w:numId="443">
    <w:abstractNumId w:val="265"/>
  </w:num>
  <w:num w:numId="444">
    <w:abstractNumId w:val="0"/>
    <w:lvlOverride w:ilvl="0">
      <w:lvl w:ilvl="0">
        <w:numFmt w:val="bullet"/>
        <w:lvlText w:val=""/>
        <w:legacy w:legacy="1" w:legacySpace="0" w:legacyIndent="360"/>
        <w:lvlJc w:val="left"/>
        <w:rPr>
          <w:rFonts w:ascii="Symbol" w:hAnsi="Symbol" w:hint="default"/>
        </w:rPr>
      </w:lvl>
    </w:lvlOverride>
  </w:num>
  <w:num w:numId="445">
    <w:abstractNumId w:val="83"/>
  </w:num>
  <w:num w:numId="446">
    <w:abstractNumId w:val="103"/>
  </w:num>
  <w:num w:numId="447">
    <w:abstractNumId w:val="262"/>
  </w:num>
  <w:num w:numId="448">
    <w:abstractNumId w:val="0"/>
    <w:lvlOverride w:ilvl="0">
      <w:lvl w:ilvl="0">
        <w:numFmt w:val="bullet"/>
        <w:lvlText w:val=""/>
        <w:legacy w:legacy="1" w:legacySpace="0" w:legacyIndent="360"/>
        <w:lvlJc w:val="left"/>
        <w:pPr>
          <w:ind w:left="720" w:hanging="360"/>
        </w:pPr>
        <w:rPr>
          <w:rFonts w:ascii="Symbol" w:hAnsi="Symbol" w:hint="default"/>
        </w:rPr>
      </w:lvl>
    </w:lvlOverride>
  </w:num>
  <w:num w:numId="449">
    <w:abstractNumId w:val="319"/>
  </w:num>
  <w:num w:numId="450">
    <w:abstractNumId w:val="339"/>
  </w:num>
  <w:num w:numId="451">
    <w:abstractNumId w:val="290"/>
  </w:num>
  <w:num w:numId="452">
    <w:abstractNumId w:val="17"/>
  </w:num>
  <w:num w:numId="453">
    <w:abstractNumId w:val="292"/>
  </w:num>
  <w:num w:numId="454">
    <w:abstractNumId w:val="360"/>
  </w:num>
  <w:num w:numId="455">
    <w:abstractNumId w:val="423"/>
  </w:num>
  <w:num w:numId="456">
    <w:abstractNumId w:val="448"/>
  </w:num>
  <w:num w:numId="457">
    <w:abstractNumId w:val="261"/>
  </w:num>
  <w:num w:numId="458">
    <w:abstractNumId w:val="139"/>
  </w:num>
  <w:num w:numId="459">
    <w:abstractNumId w:val="80"/>
  </w:num>
  <w:num w:numId="460">
    <w:abstractNumId w:val="148"/>
  </w:num>
  <w:num w:numId="461">
    <w:abstractNumId w:val="210"/>
  </w:num>
  <w:num w:numId="462">
    <w:abstractNumId w:val="136"/>
  </w:num>
  <w:num w:numId="463">
    <w:abstractNumId w:val="416"/>
  </w:num>
  <w:num w:numId="464">
    <w:abstractNumId w:val="116"/>
  </w:num>
  <w:num w:numId="465">
    <w:abstractNumId w:val="113"/>
  </w:num>
  <w:num w:numId="466">
    <w:abstractNumId w:val="275"/>
  </w:num>
  <w:num w:numId="467">
    <w:abstractNumId w:val="216"/>
  </w:num>
  <w:num w:numId="468">
    <w:abstractNumId w:val="68"/>
  </w:num>
  <w:num w:numId="469">
    <w:abstractNumId w:val="280"/>
  </w:num>
  <w:num w:numId="470">
    <w:abstractNumId w:val="231"/>
  </w:num>
  <w:num w:numId="471">
    <w:abstractNumId w:val="384"/>
  </w:num>
  <w:num w:numId="472">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ctiveWritingStyle w:appName="MSWord" w:lang="en-US" w:vendorID="8" w:dllVersion="513" w:checkStyle="1"/>
  <w:doNotTrackMoves/>
  <w:defaultTabStop w:val="68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2b2b2,silver,#777,#ddd"/>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pPr>
    <w:rPr>
      <w:lang w:val="ru-RU" w:eastAsia="ru-RU"/>
    </w:rPr>
  </w:style>
  <w:style w:type="paragraph" w:styleId="Heading1">
    <w:name w:val="heading 1"/>
    <w:basedOn w:val="Normal"/>
    <w:next w:val="Normal"/>
    <w:qFormat/>
    <w:pPr>
      <w:keepNext/>
      <w:tabs>
        <w:tab w:val="clear" w:pos="680"/>
        <w:tab w:val="clear" w:pos="1021"/>
        <w:tab w:val="left" w:pos="397"/>
      </w:tabs>
      <w:spacing w:before="240" w:line="260" w:lineRule="exact"/>
      <w:outlineLvl w:val="0"/>
    </w:pPr>
    <w:rPr>
      <w:rFonts w:ascii="Arial" w:hAnsi="Arial"/>
      <w:b/>
    </w:rPr>
  </w:style>
  <w:style w:type="paragraph" w:styleId="Heading2">
    <w:name w:val="heading 2"/>
    <w:basedOn w:val="Heading1"/>
    <w:next w:val="Normal"/>
    <w:qFormat/>
    <w:pPr>
      <w:tabs>
        <w:tab w:val="clear" w:pos="397"/>
        <w:tab w:val="left" w:pos="454"/>
      </w:tabs>
      <w:spacing w:before="360" w:after="120"/>
      <w:outlineLvl w:val="1"/>
    </w:pPr>
    <w:rPr>
      <w:b w:val="0"/>
      <w:caps/>
    </w:rPr>
  </w:style>
  <w:style w:type="paragraph" w:styleId="Heading3">
    <w:name w:val="heading 3"/>
    <w:next w:val="Normal"/>
    <w:qFormat/>
    <w:pPr>
      <w:tabs>
        <w:tab w:val="left" w:pos="680"/>
      </w:tabs>
      <w:spacing w:before="240" w:after="240" w:line="260" w:lineRule="exact"/>
      <w:outlineLvl w:val="2"/>
    </w:pPr>
    <w:rPr>
      <w:rFonts w:ascii="Arial" w:hAnsi="Arial"/>
      <w:b/>
      <w:noProof/>
      <w:lang w:val="ru-RU" w:eastAsia="ru-RU"/>
    </w:rPr>
  </w:style>
  <w:style w:type="paragraph" w:styleId="Heading4">
    <w:name w:val="heading 4"/>
    <w:basedOn w:val="Normal"/>
    <w:next w:val="Normal"/>
    <w:qFormat/>
    <w:pPr>
      <w:keepNext/>
      <w:tabs>
        <w:tab w:val="clear" w:pos="680"/>
        <w:tab w:val="clear" w:pos="1021"/>
        <w:tab w:val="left" w:pos="340"/>
      </w:tabs>
      <w:spacing w:line="240" w:lineRule="auto"/>
      <w:outlineLvl w:val="3"/>
    </w:pPr>
    <w:rPr>
      <w:b/>
      <w:i/>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 w:val="clear" w:pos="1021"/>
      </w:tabs>
      <w:spacing w:before="40" w:after="0" w:line="240" w:lineRule="auto"/>
      <w:ind w:firstLine="275"/>
      <w:outlineLvl w:val="5"/>
    </w:pPr>
    <w:rPr>
      <w:b/>
    </w:rPr>
  </w:style>
  <w:style w:type="paragraph" w:styleId="Heading7">
    <w:name w:val="heading 7"/>
    <w:basedOn w:val="Normal"/>
    <w:next w:val="Normal"/>
    <w:qFormat/>
    <w:pPr>
      <w:keepNext/>
      <w:spacing w:line="240" w:lineRule="auto"/>
      <w:jc w:val="center"/>
      <w:outlineLvl w:val="6"/>
    </w:pPr>
    <w:rPr>
      <w:b/>
      <w:sz w:val="40"/>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tabs>
        <w:tab w:val="clear" w:pos="680"/>
        <w:tab w:val="clear" w:pos="1021"/>
        <w:tab w:val="left" w:pos="1701"/>
      </w:tabs>
      <w:spacing w:after="120" w:line="240" w:lineRule="auto"/>
      <w:ind w:left="1247" w:right="1247" w:firstLine="709"/>
      <w:jc w:val="right"/>
      <w:outlineLvl w:val="8"/>
    </w:pPr>
    <w:rPr>
      <w:sz w:val="24"/>
      <w:szCs w:val="24"/>
      <w:lang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Normal"/>
    <w:basedOn w:val="Normal"/>
    <w:semiHidden/>
    <w:pPr>
      <w:spacing w:line="260" w:lineRule="exact"/>
    </w:p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Indent">
    <w:name w:val="Body Text Indent"/>
    <w:basedOn w:val="Normal"/>
    <w:semiHidden/>
    <w:pPr>
      <w:jc w:val="both"/>
    </w:pPr>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next w:val="Normal"/>
    <w:semiHidden/>
    <w:pPr>
      <w:tabs>
        <w:tab w:val="left" w:pos="227"/>
      </w:tabs>
    </w:pPr>
    <w:rPr>
      <w:sz w:val="18"/>
      <w:lang w:val="ru-RU" w:eastAsia="ru-RU"/>
    </w:rPr>
  </w:style>
  <w:style w:type="paragraph" w:styleId="BodyText3">
    <w:name w:val="Body Text 3"/>
    <w:basedOn w:val="Normal"/>
    <w:semiHidden/>
    <w:pPr>
      <w:spacing w:line="480" w:lineRule="auto"/>
    </w:pPr>
    <w:rPr>
      <w:i/>
      <w:color w:val="000000"/>
      <w:sz w:val="24"/>
    </w:rPr>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rPr>
  </w:style>
  <w:style w:type="paragraph" w:customStyle="1" w:styleId="enumlev-2">
    <w:name w:val="enumlev-2"/>
    <w:basedOn w:val="BodyText"/>
    <w:pPr>
      <w:numPr>
        <w:numId w:val="439"/>
      </w:numPr>
      <w:spacing w:after="120"/>
    </w:pPr>
  </w:style>
  <w:style w:type="paragraph" w:customStyle="1" w:styleId="Table">
    <w:name w:val="Table"/>
    <w:basedOn w:val="Normal"/>
    <w:pPr>
      <w:tabs>
        <w:tab w:val="clear" w:pos="680"/>
        <w:tab w:val="clear" w:pos="1021"/>
      </w:tabs>
      <w:spacing w:after="0" w:line="240" w:lineRule="auto"/>
    </w:pPr>
    <w:rPr>
      <w:iCs/>
    </w:rPr>
  </w:style>
  <w:style w:type="paragraph" w:customStyle="1" w:styleId="enumlev-1">
    <w:name w:val="enumlev-1"/>
    <w:basedOn w:val="BodyText"/>
    <w:pPr>
      <w:numPr>
        <w:numId w:val="438"/>
      </w:numPr>
      <w:spacing w:after="120"/>
    </w:pPr>
  </w:style>
  <w:style w:type="paragraph" w:styleId="TOC2">
    <w:name w:val="toc 2"/>
    <w:basedOn w:val="Normal"/>
    <w:next w:val="Normal"/>
    <w:semiHidden/>
    <w:pPr>
      <w:tabs>
        <w:tab w:val="clear" w:pos="680"/>
        <w:tab w:val="clear" w:pos="1021"/>
        <w:tab w:val="right" w:leader="dot" w:pos="8845"/>
      </w:tabs>
      <w:spacing w:after="120" w:line="260" w:lineRule="exact"/>
    </w:pPr>
  </w:style>
  <w:style w:type="paragraph" w:customStyle="1" w:styleId="Article">
    <w:name w:val="Article"/>
    <w:basedOn w:val="BodyText"/>
    <w:rPr>
      <w:rFonts w:ascii="Arial" w:hAnsi="Arial"/>
      <w:b/>
      <w:sz w:val="22"/>
    </w:rPr>
  </w:style>
  <w:style w:type="paragraph" w:styleId="TOC1">
    <w:name w:val="toc 1"/>
    <w:basedOn w:val="Normal"/>
    <w:next w:val="Normal"/>
    <w:semiHidden/>
    <w:pPr>
      <w:tabs>
        <w:tab w:val="clear" w:pos="680"/>
        <w:tab w:val="clear" w:pos="1021"/>
        <w:tab w:val="right" w:leader="dot" w:pos="8845"/>
      </w:tabs>
      <w:spacing w:after="120" w:line="260" w:lineRule="exact"/>
    </w:pPr>
    <w:rPr>
      <w:caps/>
    </w:rPr>
  </w:style>
  <w:style w:type="paragraph" w:styleId="TOC3">
    <w:name w:val="toc 3"/>
    <w:basedOn w:val="Normal"/>
    <w:next w:val="Normal"/>
    <w:semiHidden/>
    <w:pPr>
      <w:tabs>
        <w:tab w:val="clear" w:pos="680"/>
        <w:tab w:val="clear" w:pos="1021"/>
        <w:tab w:val="right" w:leader="dot" w:pos="8845"/>
      </w:tabs>
      <w:spacing w:after="120" w:line="260" w:lineRule="exact"/>
    </w:pPr>
    <w:rPr>
      <w:b/>
    </w:rPr>
  </w:style>
  <w:style w:type="paragraph" w:styleId="TOC4">
    <w:name w:val="toc 4"/>
    <w:basedOn w:val="Normal"/>
    <w:next w:val="Normal"/>
    <w:autoRedefine/>
    <w:semiHidden/>
    <w:pPr>
      <w:tabs>
        <w:tab w:val="clear" w:pos="680"/>
        <w:tab w:val="clear" w:pos="1021"/>
        <w:tab w:val="right" w:leader="dot" w:pos="8845"/>
      </w:tabs>
      <w:spacing w:after="120" w:line="260" w:lineRule="exact"/>
    </w:pPr>
    <w:rPr>
      <w:noProof/>
    </w:rPr>
  </w:style>
  <w:style w:type="paragraph" w:styleId="TOC5">
    <w:name w:val="toc 5"/>
    <w:basedOn w:val="Normal"/>
    <w:next w:val="Normal"/>
    <w:autoRedefine/>
    <w:semiHidden/>
    <w:pPr>
      <w:tabs>
        <w:tab w:val="clear" w:pos="680"/>
        <w:tab w:val="clear" w:pos="1021"/>
      </w:tabs>
      <w:ind w:left="800"/>
    </w:pPr>
  </w:style>
  <w:style w:type="paragraph" w:styleId="TOC6">
    <w:name w:val="toc 6"/>
    <w:basedOn w:val="Normal"/>
    <w:next w:val="Normal"/>
    <w:autoRedefine/>
    <w:semiHidden/>
    <w:pPr>
      <w:tabs>
        <w:tab w:val="clear" w:pos="680"/>
        <w:tab w:val="clear" w:pos="1021"/>
      </w:tabs>
      <w:ind w:left="1000"/>
    </w:pPr>
  </w:style>
  <w:style w:type="paragraph" w:styleId="TOC7">
    <w:name w:val="toc 7"/>
    <w:basedOn w:val="Normal"/>
    <w:next w:val="Normal"/>
    <w:autoRedefine/>
    <w:semiHidden/>
    <w:pPr>
      <w:tabs>
        <w:tab w:val="clear" w:pos="680"/>
        <w:tab w:val="clear" w:pos="1021"/>
      </w:tabs>
      <w:ind w:left="1200"/>
    </w:pPr>
  </w:style>
  <w:style w:type="paragraph" w:styleId="TOC8">
    <w:name w:val="toc 8"/>
    <w:basedOn w:val="Normal"/>
    <w:next w:val="Normal"/>
    <w:autoRedefine/>
    <w:semiHidden/>
    <w:pPr>
      <w:tabs>
        <w:tab w:val="clear" w:pos="680"/>
        <w:tab w:val="clear" w:pos="1021"/>
      </w:tabs>
      <w:ind w:left="1400"/>
    </w:pPr>
  </w:style>
  <w:style w:type="paragraph" w:styleId="TOC9">
    <w:name w:val="toc 9"/>
    <w:basedOn w:val="Normal"/>
    <w:next w:val="Normal"/>
    <w:autoRedefine/>
    <w:semiHidden/>
    <w:pPr>
      <w:tabs>
        <w:tab w:val="clear" w:pos="680"/>
        <w:tab w:val="clear" w:pos="1021"/>
      </w:tabs>
      <w:ind w:left="1600"/>
    </w:pPr>
  </w:style>
  <w:style w:type="character" w:styleId="Hyperlink">
    <w:name w:val="Hyperlink"/>
    <w:basedOn w:val="DefaultParagraphFont"/>
    <w:semiHidden/>
    <w:rPr>
      <w:color w:val="0000FF"/>
      <w:u w:val="none"/>
    </w:rPr>
  </w:style>
  <w:style w:type="paragraph" w:customStyle="1" w:styleId="Article-ref">
    <w:name w:val="Article-ref"/>
    <w:basedOn w:val="Article"/>
    <w:pPr>
      <w:spacing w:before="360"/>
    </w:pPr>
    <w:rPr>
      <w:b w:val="0"/>
      <w:bCs/>
      <w:caps/>
    </w:rPr>
  </w:style>
  <w:style w:type="paragraph" w:customStyle="1" w:styleId="1-1">
    <w:name w:val="Заголовок 1-1"/>
    <w:basedOn w:val="Heading1"/>
    <w:pPr>
      <w:spacing w:before="320" w:after="120"/>
    </w:pPr>
  </w:style>
  <w:style w:type="paragraph" w:styleId="CommentText">
    <w:name w:val="annotation text"/>
    <w:basedOn w:val="Normal"/>
    <w:semiHidden/>
    <w:pPr>
      <w:tabs>
        <w:tab w:val="clear" w:pos="680"/>
        <w:tab w:val="clear" w:pos="1021"/>
      </w:tabs>
      <w:spacing w:after="0"/>
    </w:pPr>
    <w:rPr>
      <w:spacing w:val="4"/>
      <w:w w:val="103"/>
      <w:kern w:val="14"/>
    </w:rPr>
  </w:style>
  <w:style w:type="paragraph" w:customStyle="1" w:styleId="Table-head">
    <w:name w:val="Table-head"/>
    <w:basedOn w:val="Heading2"/>
    <w:pPr>
      <w:spacing w:before="0"/>
    </w:pPr>
    <w:rPr>
      <w:b/>
      <w:bCs/>
    </w:rPr>
  </w:style>
  <w:style w:type="paragraph" w:customStyle="1" w:styleId="Contents">
    <w:name w:val="Contents"/>
    <w:basedOn w:val="TOC3"/>
    <w:rPr>
      <w:b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3</Pages>
  <Words>68845</Words>
  <Characters>392420</Characters>
  <Application>Microsoft Office Outlook</Application>
  <DocSecurity>4</DocSecurity>
  <Lines>3270</Lines>
  <Paragraphs>784</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481919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DGAACS User</cp:lastModifiedBy>
  <cp:revision>14</cp:revision>
  <cp:lastPrinted>2004-04-20T15:05:00Z</cp:lastPrinted>
  <dcterms:created xsi:type="dcterms:W3CDTF">2004-04-29T10:09:00Z</dcterms:created>
  <dcterms:modified xsi:type="dcterms:W3CDTF">2004-05-03T12:22:00Z</dcterms:modified>
</cp:coreProperties>
</file>