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2E2FCE" w:rsidTr="00DD35CF">
        <w:trPr>
          <w:trHeight w:hRule="exact" w:val="851"/>
        </w:trPr>
        <w:tc>
          <w:tcPr>
            <w:tcW w:w="1276" w:type="dxa"/>
            <w:tcBorders>
              <w:bottom w:val="single" w:sz="4" w:space="0" w:color="auto"/>
            </w:tcBorders>
          </w:tcPr>
          <w:p w:rsidR="003D7914" w:rsidRPr="002E2FCE" w:rsidRDefault="003D7914" w:rsidP="00AB6672"/>
        </w:tc>
        <w:tc>
          <w:tcPr>
            <w:tcW w:w="2268" w:type="dxa"/>
            <w:tcBorders>
              <w:bottom w:val="single" w:sz="4" w:space="0" w:color="auto"/>
            </w:tcBorders>
            <w:vAlign w:val="bottom"/>
          </w:tcPr>
          <w:p w:rsidR="003D7914" w:rsidRPr="002E2FCE" w:rsidRDefault="003D7914" w:rsidP="00DD35CF">
            <w:pPr>
              <w:spacing w:after="80" w:line="300" w:lineRule="exact"/>
              <w:rPr>
                <w:sz w:val="28"/>
              </w:rPr>
            </w:pPr>
            <w:r w:rsidRPr="002E2FCE">
              <w:rPr>
                <w:sz w:val="28"/>
              </w:rPr>
              <w:t>Nations Unies</w:t>
            </w:r>
          </w:p>
        </w:tc>
        <w:tc>
          <w:tcPr>
            <w:tcW w:w="6095" w:type="dxa"/>
            <w:gridSpan w:val="2"/>
            <w:tcBorders>
              <w:bottom w:val="single" w:sz="4" w:space="0" w:color="auto"/>
            </w:tcBorders>
            <w:vAlign w:val="bottom"/>
          </w:tcPr>
          <w:p w:rsidR="003D7914" w:rsidRPr="002E2FCE" w:rsidRDefault="00AB6672" w:rsidP="00AB6672">
            <w:pPr>
              <w:jc w:val="right"/>
            </w:pPr>
            <w:r w:rsidRPr="002E2FCE">
              <w:rPr>
                <w:sz w:val="40"/>
              </w:rPr>
              <w:t>CMW</w:t>
            </w:r>
            <w:r w:rsidRPr="002E2FCE">
              <w:t>/C/31/1</w:t>
            </w:r>
          </w:p>
        </w:tc>
      </w:tr>
      <w:tr w:rsidR="003D7914" w:rsidRPr="002E2FCE" w:rsidTr="00DD35CF">
        <w:trPr>
          <w:trHeight w:hRule="exact" w:val="2835"/>
        </w:trPr>
        <w:tc>
          <w:tcPr>
            <w:tcW w:w="1276" w:type="dxa"/>
            <w:tcBorders>
              <w:top w:val="single" w:sz="4" w:space="0" w:color="auto"/>
              <w:bottom w:val="single" w:sz="12" w:space="0" w:color="auto"/>
            </w:tcBorders>
          </w:tcPr>
          <w:p w:rsidR="003D7914" w:rsidRPr="002E2FCE" w:rsidRDefault="003D7914" w:rsidP="00DD35CF">
            <w:pPr>
              <w:spacing w:before="120"/>
              <w:jc w:val="center"/>
            </w:pPr>
            <w:r w:rsidRPr="002E2FCE">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2E2FCE" w:rsidRDefault="003D7914" w:rsidP="00DD35CF">
            <w:pPr>
              <w:spacing w:before="120" w:line="380" w:lineRule="exact"/>
              <w:rPr>
                <w:b/>
                <w:sz w:val="40"/>
                <w:szCs w:val="40"/>
              </w:rPr>
            </w:pPr>
            <w:r w:rsidRPr="002E2FCE">
              <w:rPr>
                <w:b/>
                <w:sz w:val="34"/>
                <w:szCs w:val="34"/>
              </w:rPr>
              <w:t>Convention internationale</w:t>
            </w:r>
            <w:r w:rsidRPr="002E2FCE">
              <w:rPr>
                <w:b/>
                <w:sz w:val="34"/>
                <w:szCs w:val="34"/>
              </w:rPr>
              <w:br/>
              <w:t>sur la protection des droits</w:t>
            </w:r>
            <w:r w:rsidRPr="002E2FCE">
              <w:rPr>
                <w:b/>
                <w:sz w:val="34"/>
                <w:szCs w:val="34"/>
              </w:rPr>
              <w:br/>
              <w:t>de tous les travailleurs</w:t>
            </w:r>
            <w:r w:rsidRPr="002E2FCE">
              <w:rPr>
                <w:b/>
                <w:sz w:val="34"/>
                <w:szCs w:val="34"/>
              </w:rPr>
              <w:br/>
              <w:t>migrants et des membres</w:t>
            </w:r>
            <w:r w:rsidRPr="002E2FCE">
              <w:rPr>
                <w:b/>
                <w:sz w:val="34"/>
                <w:szCs w:val="34"/>
              </w:rPr>
              <w:br/>
              <w:t>de leur famille</w:t>
            </w:r>
          </w:p>
        </w:tc>
        <w:tc>
          <w:tcPr>
            <w:tcW w:w="2835" w:type="dxa"/>
            <w:tcBorders>
              <w:top w:val="single" w:sz="4" w:space="0" w:color="auto"/>
              <w:bottom w:val="single" w:sz="12" w:space="0" w:color="auto"/>
            </w:tcBorders>
          </w:tcPr>
          <w:p w:rsidR="003D7914" w:rsidRPr="002E2FCE" w:rsidRDefault="00AB6672" w:rsidP="00DD35CF">
            <w:pPr>
              <w:spacing w:before="240"/>
            </w:pPr>
            <w:r w:rsidRPr="002E2FCE">
              <w:t>Distr. générale</w:t>
            </w:r>
          </w:p>
          <w:p w:rsidR="00AB6672" w:rsidRPr="002E2FCE" w:rsidRDefault="006E22E7" w:rsidP="00AB6672">
            <w:pPr>
              <w:spacing w:line="240" w:lineRule="exact"/>
            </w:pPr>
            <w:r w:rsidRPr="002E2FCE">
              <w:t>4</w:t>
            </w:r>
            <w:r w:rsidR="00AB6672" w:rsidRPr="002E2FCE">
              <w:t xml:space="preserve"> juillet 2019</w:t>
            </w:r>
          </w:p>
          <w:p w:rsidR="00AB6672" w:rsidRPr="002E2FCE" w:rsidRDefault="00AB6672" w:rsidP="00AB6672">
            <w:pPr>
              <w:spacing w:line="240" w:lineRule="exact"/>
            </w:pPr>
            <w:r w:rsidRPr="002E2FCE">
              <w:t>Français</w:t>
            </w:r>
          </w:p>
          <w:p w:rsidR="00AB6672" w:rsidRPr="002E2FCE" w:rsidRDefault="00AB6672" w:rsidP="00AB6672">
            <w:pPr>
              <w:spacing w:line="240" w:lineRule="exact"/>
            </w:pPr>
            <w:r w:rsidRPr="002E2FCE">
              <w:t>Original</w:t>
            </w:r>
            <w:r w:rsidR="001328C4">
              <w:t> :</w:t>
            </w:r>
            <w:r w:rsidRPr="002E2FCE">
              <w:t xml:space="preserve"> anglais</w:t>
            </w:r>
          </w:p>
          <w:p w:rsidR="00AB6672" w:rsidRPr="002E2FCE" w:rsidRDefault="00AB6672" w:rsidP="00AB6672">
            <w:pPr>
              <w:spacing w:line="240" w:lineRule="exact"/>
            </w:pPr>
            <w:r w:rsidRPr="002E2FCE">
              <w:t>Anglais, espagnol et français seulement</w:t>
            </w:r>
          </w:p>
        </w:tc>
      </w:tr>
    </w:tbl>
    <w:p w:rsidR="002E2FCE" w:rsidRPr="00C14658" w:rsidRDefault="002E2FCE" w:rsidP="002E2FCE">
      <w:pPr>
        <w:spacing w:before="120"/>
        <w:rPr>
          <w:b/>
          <w:bCs/>
          <w:sz w:val="24"/>
          <w:szCs w:val="24"/>
        </w:rPr>
      </w:pPr>
      <w:r w:rsidRPr="00C14658">
        <w:rPr>
          <w:b/>
          <w:bCs/>
          <w:sz w:val="24"/>
          <w:szCs w:val="24"/>
        </w:rPr>
        <w:t>Comité pour la protection des droits de tous les travailleurs</w:t>
      </w:r>
      <w:r w:rsidRPr="00C14658">
        <w:rPr>
          <w:b/>
          <w:bCs/>
          <w:sz w:val="24"/>
          <w:szCs w:val="24"/>
        </w:rPr>
        <w:br/>
        <w:t>migrants et des membres de leur famille</w:t>
      </w:r>
    </w:p>
    <w:p w:rsidR="002E2FCE" w:rsidRPr="002E2FCE" w:rsidRDefault="002E2FCE" w:rsidP="002E2FCE">
      <w:pPr>
        <w:rPr>
          <w:b/>
          <w:bCs/>
        </w:rPr>
      </w:pPr>
      <w:r w:rsidRPr="002E2FCE">
        <w:rPr>
          <w:b/>
          <w:bCs/>
        </w:rPr>
        <w:t>Trente et unième session</w:t>
      </w:r>
    </w:p>
    <w:p w:rsidR="002E2FCE" w:rsidRPr="002E2FCE" w:rsidRDefault="002E2FCE" w:rsidP="002E2FCE">
      <w:pPr>
        <w:spacing w:line="240" w:lineRule="auto"/>
      </w:pPr>
      <w:r w:rsidRPr="002E2FCE">
        <w:t>2-11 septembre 2019</w:t>
      </w:r>
    </w:p>
    <w:p w:rsidR="002E2FCE" w:rsidRPr="002E2FCE" w:rsidRDefault="002E2FCE" w:rsidP="002E2FCE">
      <w:pPr>
        <w:spacing w:line="240" w:lineRule="auto"/>
      </w:pPr>
      <w:r w:rsidRPr="002E2FCE">
        <w:t>Point 2 de l’ordre du jour provisoire</w:t>
      </w:r>
    </w:p>
    <w:p w:rsidR="002E2FCE" w:rsidRPr="002E2FCE" w:rsidRDefault="002E2FCE" w:rsidP="002E2FCE">
      <w:pPr>
        <w:spacing w:line="240" w:lineRule="auto"/>
        <w:rPr>
          <w:b/>
          <w:bCs/>
          <w:szCs w:val="24"/>
        </w:rPr>
      </w:pPr>
      <w:r w:rsidRPr="002E2FCE">
        <w:rPr>
          <w:b/>
        </w:rPr>
        <w:t>Adoption de l’ordre du jour</w:t>
      </w:r>
    </w:p>
    <w:p w:rsidR="002E2FCE" w:rsidRPr="002E2FCE" w:rsidRDefault="002E2FCE" w:rsidP="007E72B4">
      <w:pPr>
        <w:pStyle w:val="HChG"/>
      </w:pPr>
      <w:r w:rsidRPr="002E2FCE">
        <w:tab/>
      </w:r>
      <w:r w:rsidRPr="002E2FCE">
        <w:tab/>
        <w:t>Ordre du jour provisoire annoté</w:t>
      </w:r>
    </w:p>
    <w:p w:rsidR="002E2FCE" w:rsidRPr="002E2FCE" w:rsidRDefault="002E2FCE" w:rsidP="007E72B4">
      <w:pPr>
        <w:pStyle w:val="H1G"/>
      </w:pPr>
      <w:r w:rsidRPr="002E2FCE">
        <w:tab/>
      </w:r>
      <w:r w:rsidRPr="002E2FCE">
        <w:tab/>
        <w:t>Ordre du jour provisoire</w:t>
      </w:r>
    </w:p>
    <w:p w:rsidR="002E2FCE" w:rsidRPr="002E2FCE" w:rsidRDefault="002E2FCE" w:rsidP="002E2FCE">
      <w:pPr>
        <w:pStyle w:val="SingleTxtG"/>
        <w:jc w:val="left"/>
        <w:rPr>
          <w:lang w:eastAsia="zh-CN"/>
        </w:rPr>
      </w:pPr>
      <w:r w:rsidRPr="002E2FCE">
        <w:rPr>
          <w:lang w:eastAsia="zh-CN"/>
        </w:rPr>
        <w:t>1.</w:t>
      </w:r>
      <w:r w:rsidRPr="002E2FCE">
        <w:rPr>
          <w:lang w:eastAsia="zh-CN"/>
        </w:rPr>
        <w:tab/>
        <w:t>Ouverture de la session.</w:t>
      </w:r>
    </w:p>
    <w:p w:rsidR="002E2FCE" w:rsidRPr="002E2FCE" w:rsidRDefault="002E2FCE" w:rsidP="002E2FCE">
      <w:pPr>
        <w:pStyle w:val="SingleTxtG"/>
        <w:jc w:val="left"/>
        <w:rPr>
          <w:lang w:eastAsia="zh-CN"/>
        </w:rPr>
      </w:pPr>
      <w:r w:rsidRPr="002E2FCE">
        <w:rPr>
          <w:lang w:eastAsia="zh-CN"/>
        </w:rPr>
        <w:t>2.</w:t>
      </w:r>
      <w:r w:rsidRPr="002E2FCE">
        <w:rPr>
          <w:lang w:eastAsia="zh-CN"/>
        </w:rPr>
        <w:tab/>
        <w:t>Adoption de l’ordre du jour.</w:t>
      </w:r>
    </w:p>
    <w:p w:rsidR="002E2FCE" w:rsidRPr="002E2FCE" w:rsidRDefault="002E2FCE" w:rsidP="002E2FCE">
      <w:pPr>
        <w:pStyle w:val="SingleTxtG"/>
        <w:jc w:val="left"/>
        <w:rPr>
          <w:lang w:eastAsia="zh-CN"/>
        </w:rPr>
      </w:pPr>
      <w:r w:rsidRPr="002E2FCE">
        <w:rPr>
          <w:lang w:eastAsia="zh-CN"/>
        </w:rPr>
        <w:t>3.</w:t>
      </w:r>
      <w:r w:rsidRPr="002E2FCE">
        <w:rPr>
          <w:lang w:eastAsia="zh-CN"/>
        </w:rPr>
        <w:tab/>
        <w:t>Questions d’organisation.</w:t>
      </w:r>
    </w:p>
    <w:p w:rsidR="002E2FCE" w:rsidRPr="002E2FCE" w:rsidRDefault="002E2FCE" w:rsidP="002E2FCE">
      <w:pPr>
        <w:pStyle w:val="SingleTxtG"/>
        <w:jc w:val="left"/>
        <w:rPr>
          <w:lang w:eastAsia="zh-CN"/>
        </w:rPr>
      </w:pPr>
      <w:r w:rsidRPr="002E2FCE">
        <w:rPr>
          <w:lang w:eastAsia="zh-CN"/>
        </w:rPr>
        <w:t>4.</w:t>
      </w:r>
      <w:r w:rsidRPr="002E2FCE">
        <w:rPr>
          <w:lang w:eastAsia="zh-CN"/>
        </w:rPr>
        <w:tab/>
        <w:t>Soumission des rapports par les États parties.</w:t>
      </w:r>
    </w:p>
    <w:p w:rsidR="002E2FCE" w:rsidRPr="002E2FCE" w:rsidRDefault="002E2FCE" w:rsidP="002E2FCE">
      <w:pPr>
        <w:pStyle w:val="SingleTxtG"/>
        <w:ind w:left="1701" w:hanging="567"/>
        <w:jc w:val="left"/>
        <w:rPr>
          <w:lang w:eastAsia="zh-CN"/>
        </w:rPr>
      </w:pPr>
      <w:r w:rsidRPr="002E2FCE">
        <w:rPr>
          <w:lang w:eastAsia="zh-CN"/>
        </w:rPr>
        <w:t>5.</w:t>
      </w:r>
      <w:r w:rsidRPr="002E2FCE">
        <w:rPr>
          <w:lang w:eastAsia="zh-CN"/>
        </w:rPr>
        <w:tab/>
        <w:t xml:space="preserve">Examen des rapports soumis par les États parties en application de l’article 73 </w:t>
      </w:r>
      <w:r w:rsidR="001328C4">
        <w:rPr>
          <w:lang w:eastAsia="zh-CN"/>
        </w:rPr>
        <w:br/>
      </w:r>
      <w:r w:rsidRPr="002E2FCE">
        <w:rPr>
          <w:lang w:eastAsia="zh-CN"/>
        </w:rPr>
        <w:t>de la Convention.</w:t>
      </w:r>
    </w:p>
    <w:p w:rsidR="002E2FCE" w:rsidRPr="002E2FCE" w:rsidRDefault="002E2FCE" w:rsidP="002E2FCE">
      <w:pPr>
        <w:pStyle w:val="SingleTxtG"/>
        <w:jc w:val="left"/>
        <w:rPr>
          <w:lang w:eastAsia="zh-CN"/>
        </w:rPr>
      </w:pPr>
      <w:r w:rsidRPr="002E2FCE">
        <w:rPr>
          <w:lang w:eastAsia="zh-CN"/>
        </w:rPr>
        <w:t>6.</w:t>
      </w:r>
      <w:r w:rsidRPr="002E2FCE">
        <w:rPr>
          <w:lang w:eastAsia="zh-CN"/>
        </w:rPr>
        <w:tab/>
        <w:t>Méthodes de travail du Comité.</w:t>
      </w:r>
    </w:p>
    <w:p w:rsidR="002E2FCE" w:rsidRPr="002E2FCE" w:rsidRDefault="002E2FCE" w:rsidP="002E2FCE">
      <w:pPr>
        <w:pStyle w:val="SingleTxtG"/>
        <w:jc w:val="left"/>
        <w:rPr>
          <w:lang w:eastAsia="zh-CN"/>
        </w:rPr>
      </w:pPr>
      <w:r w:rsidRPr="002E2FCE">
        <w:rPr>
          <w:lang w:eastAsia="zh-CN"/>
        </w:rPr>
        <w:t>7.</w:t>
      </w:r>
      <w:r w:rsidRPr="002E2FCE">
        <w:rPr>
          <w:lang w:eastAsia="zh-CN"/>
        </w:rPr>
        <w:tab/>
        <w:t>Promotion de la Convention.</w:t>
      </w:r>
    </w:p>
    <w:p w:rsidR="002E2FCE" w:rsidRPr="002E2FCE" w:rsidRDefault="002E2FCE" w:rsidP="002E2FCE">
      <w:pPr>
        <w:pStyle w:val="HChG"/>
      </w:pPr>
      <w:r w:rsidRPr="002E2FCE">
        <w:tab/>
      </w:r>
      <w:r w:rsidRPr="002E2FCE">
        <w:tab/>
        <w:t>Annotations</w:t>
      </w:r>
    </w:p>
    <w:p w:rsidR="002E2FCE" w:rsidRPr="002E2FCE" w:rsidRDefault="002E2FCE" w:rsidP="002E2FCE">
      <w:pPr>
        <w:pStyle w:val="H23G"/>
      </w:pPr>
      <w:r w:rsidRPr="002E2FCE">
        <w:tab/>
        <w:t>1.</w:t>
      </w:r>
      <w:r w:rsidRPr="002E2FCE">
        <w:tab/>
        <w:t>Ouverture de la session</w:t>
      </w:r>
    </w:p>
    <w:p w:rsidR="002E2FCE" w:rsidRPr="002E2FCE" w:rsidRDefault="002E2FCE" w:rsidP="002E2FCE">
      <w:pPr>
        <w:pStyle w:val="SingleTxtG"/>
        <w:ind w:firstLine="567"/>
      </w:pPr>
      <w:r w:rsidRPr="002E2FCE">
        <w:rPr>
          <w:lang w:eastAsia="zh-CN"/>
        </w:rPr>
        <w:t xml:space="preserve">Le </w:t>
      </w:r>
      <w:r w:rsidRPr="002E2FCE">
        <w:t>représentant</w:t>
      </w:r>
      <w:r w:rsidRPr="002E2FCE">
        <w:rPr>
          <w:lang w:eastAsia="zh-CN"/>
        </w:rPr>
        <w:t xml:space="preserve"> </w:t>
      </w:r>
      <w:r w:rsidRPr="002E2FCE">
        <w:t>du</w:t>
      </w:r>
      <w:r w:rsidRPr="002E2FCE">
        <w:rPr>
          <w:lang w:eastAsia="zh-CN"/>
        </w:rPr>
        <w:t xml:space="preserve"> Secrétaire général ouvrira la trentième </w:t>
      </w:r>
      <w:r w:rsidR="001328C4">
        <w:rPr>
          <w:lang w:eastAsia="zh-CN"/>
        </w:rPr>
        <w:t xml:space="preserve">et unième </w:t>
      </w:r>
      <w:r w:rsidRPr="002E2FCE">
        <w:rPr>
          <w:lang w:eastAsia="zh-CN"/>
        </w:rPr>
        <w:t>session du</w:t>
      </w:r>
      <w:r w:rsidR="001328C4">
        <w:rPr>
          <w:lang w:eastAsia="zh-CN"/>
        </w:rPr>
        <w:t> </w:t>
      </w:r>
      <w:r w:rsidRPr="002E2FCE">
        <w:rPr>
          <w:lang w:eastAsia="zh-CN"/>
        </w:rPr>
        <w:t>Comité.</w:t>
      </w:r>
    </w:p>
    <w:p w:rsidR="002E2FCE" w:rsidRPr="002E2FCE" w:rsidRDefault="002E2FCE" w:rsidP="002E2FCE">
      <w:pPr>
        <w:pStyle w:val="H23G"/>
      </w:pPr>
      <w:r w:rsidRPr="002E2FCE">
        <w:tab/>
        <w:t>2.</w:t>
      </w:r>
      <w:r w:rsidRPr="002E2FCE">
        <w:tab/>
        <w:t>Adoption de l’ordre du jour</w:t>
      </w:r>
    </w:p>
    <w:p w:rsidR="002E2FCE" w:rsidRPr="002E2FCE" w:rsidRDefault="002E2FCE" w:rsidP="002E2FCE">
      <w:pPr>
        <w:pStyle w:val="SingleTxtG"/>
        <w:ind w:firstLine="567"/>
        <w:rPr>
          <w:lang w:eastAsia="zh-CN"/>
        </w:rPr>
      </w:pPr>
      <w:r w:rsidRPr="002E2FCE">
        <w:rPr>
          <w:lang w:eastAsia="zh-CN"/>
        </w:rPr>
        <w:t xml:space="preserve">Conformément à l’article 5 du Règlement intérieur du Comité, le présent ordre du jour provisoire </w:t>
      </w:r>
      <w:r w:rsidRPr="002E2FCE">
        <w:t>annoté</w:t>
      </w:r>
      <w:r w:rsidRPr="002E2FCE">
        <w:rPr>
          <w:lang w:eastAsia="zh-CN"/>
        </w:rPr>
        <w:t xml:space="preserve"> a été établi par le Secrétaire général en consultation avec le Président du Comité.</w:t>
      </w:r>
    </w:p>
    <w:p w:rsidR="002E2FCE" w:rsidRPr="002E2FCE" w:rsidRDefault="002E2FCE" w:rsidP="002E2FCE">
      <w:pPr>
        <w:pStyle w:val="SingleTxtG"/>
        <w:ind w:firstLine="567"/>
      </w:pPr>
      <w:r w:rsidRPr="002E2FCE">
        <w:rPr>
          <w:lang w:eastAsia="zh-CN"/>
        </w:rPr>
        <w:t>Conformément à l’article</w:t>
      </w:r>
      <w:r w:rsidR="00C14658">
        <w:rPr>
          <w:lang w:eastAsia="zh-CN"/>
        </w:rPr>
        <w:t xml:space="preserve"> </w:t>
      </w:r>
      <w:r w:rsidRPr="002E2FCE">
        <w:rPr>
          <w:lang w:eastAsia="zh-CN"/>
        </w:rPr>
        <w:t>6 du Règlement intérieur du Comité, l’adoption de l’ordre du jour constitue le premier point de l’ordre du jour provisoire d’une session, sauf s’il y a lieu d’élire les membres du Bureau conformément à l’article 13 du règlement. Conformément à l’article 7, le Comité peut réviser l’ordre du jour au cours d’une session et, s’il y a lieu, ajourner ou supprimer des points.</w:t>
      </w:r>
    </w:p>
    <w:p w:rsidR="002E2FCE" w:rsidRPr="002E2FCE" w:rsidRDefault="002E2FCE" w:rsidP="002E2FCE">
      <w:pPr>
        <w:pStyle w:val="H23G"/>
      </w:pPr>
      <w:r w:rsidRPr="002E2FCE">
        <w:tab/>
        <w:t>3.</w:t>
      </w:r>
      <w:r w:rsidRPr="002E2FCE">
        <w:tab/>
        <w:t>Questions d’organisation</w:t>
      </w:r>
    </w:p>
    <w:p w:rsidR="002E2FCE" w:rsidRPr="002E2FCE" w:rsidRDefault="002E2FCE" w:rsidP="002E2FCE">
      <w:pPr>
        <w:pStyle w:val="SingleTxtG"/>
        <w:ind w:firstLine="567"/>
        <w:rPr>
          <w:lang w:eastAsia="zh-CN"/>
        </w:rPr>
      </w:pPr>
      <w:r w:rsidRPr="002E2FCE">
        <w:rPr>
          <w:lang w:eastAsia="zh-CN"/>
        </w:rPr>
        <w:t>La trente et unième session du Comité se tiendra à l’Office des Nations Unies à Genève (Palais Wilson) du 2 au 11</w:t>
      </w:r>
      <w:r>
        <w:rPr>
          <w:lang w:eastAsia="zh-CN"/>
        </w:rPr>
        <w:t> </w:t>
      </w:r>
      <w:r w:rsidRPr="002E2FCE">
        <w:rPr>
          <w:lang w:eastAsia="zh-CN"/>
        </w:rPr>
        <w:t>septembre 2019. Elle s’ouvrira le lundi 2</w:t>
      </w:r>
      <w:r>
        <w:rPr>
          <w:lang w:eastAsia="zh-CN"/>
        </w:rPr>
        <w:t> </w:t>
      </w:r>
      <w:r w:rsidRPr="002E2FCE">
        <w:rPr>
          <w:lang w:eastAsia="zh-CN"/>
        </w:rPr>
        <w:t>septembre, à 10 heures.</w:t>
      </w:r>
    </w:p>
    <w:p w:rsidR="002E2FCE" w:rsidRPr="002E2FCE" w:rsidRDefault="002E2FCE" w:rsidP="002E2FCE">
      <w:pPr>
        <w:pStyle w:val="SingleTxtG"/>
        <w:ind w:firstLine="567"/>
        <w:rPr>
          <w:lang w:eastAsia="zh-CN"/>
        </w:rPr>
      </w:pPr>
      <w:r w:rsidRPr="002E2FCE">
        <w:rPr>
          <w:lang w:eastAsia="zh-CN"/>
        </w:rPr>
        <w:lastRenderedPageBreak/>
        <w:t>Le Comité examinera son programme de travail (voir annexe), ainsi que d’autres questions qui relèvent de son mandat, notamment les dates de ses sessions suivantes.</w:t>
      </w:r>
    </w:p>
    <w:p w:rsidR="002E2FCE" w:rsidRPr="002E2FCE" w:rsidRDefault="002E2FCE" w:rsidP="002E2FCE">
      <w:pPr>
        <w:pStyle w:val="H23G"/>
      </w:pPr>
      <w:r w:rsidRPr="002E2FCE">
        <w:tab/>
        <w:t>4.</w:t>
      </w:r>
      <w:r w:rsidRPr="002E2FCE">
        <w:tab/>
        <w:t>Soumission des rapports par les États parties</w:t>
      </w:r>
    </w:p>
    <w:p w:rsidR="002E2FCE" w:rsidRPr="002E2FCE" w:rsidRDefault="002E2FCE" w:rsidP="002E2FCE">
      <w:pPr>
        <w:pStyle w:val="SingleTxtG"/>
        <w:ind w:firstLine="567"/>
        <w:rPr>
          <w:lang w:eastAsia="zh-CN"/>
        </w:rPr>
      </w:pPr>
      <w:r w:rsidRPr="002E2FCE">
        <w:rPr>
          <w:lang w:eastAsia="zh-CN"/>
        </w:rPr>
        <w:t>Dans le cadre de sa procédure simplifiée de présentation des rapports et conformément à l’article</w:t>
      </w:r>
      <w:r>
        <w:rPr>
          <w:lang w:eastAsia="zh-CN"/>
        </w:rPr>
        <w:t xml:space="preserve"> </w:t>
      </w:r>
      <w:r w:rsidRPr="002E2FCE">
        <w:rPr>
          <w:lang w:eastAsia="zh-CN"/>
        </w:rPr>
        <w:t>31 </w:t>
      </w:r>
      <w:r w:rsidRPr="002E2FCE">
        <w:rPr>
          <w:i/>
          <w:lang w:eastAsia="zh-CN"/>
        </w:rPr>
        <w:t>bis</w:t>
      </w:r>
      <w:r w:rsidRPr="002E2FCE">
        <w:rPr>
          <w:lang w:eastAsia="zh-CN"/>
        </w:rPr>
        <w:t xml:space="preserve"> de son règlement intérieur provisoire </w:t>
      </w:r>
      <w:r w:rsidRPr="002E2FCE">
        <w:t>(A/67/48 et Corr.1, par.</w:t>
      </w:r>
      <w:r>
        <w:t> </w:t>
      </w:r>
      <w:r w:rsidRPr="002E2FCE">
        <w:t>26)</w:t>
      </w:r>
      <w:r w:rsidRPr="002E2FCE">
        <w:rPr>
          <w:lang w:eastAsia="zh-CN"/>
        </w:rPr>
        <w:t>, le Comité a adopté une liste de points établie avant la soumission du rapport pour chacun des États parties ci-après, dont il examinera le rapport à sa trente et unième session.</w:t>
      </w:r>
    </w:p>
    <w:tbl>
      <w:tblPr>
        <w:tblW w:w="7370" w:type="dxa"/>
        <w:tblInd w:w="1134" w:type="dxa"/>
        <w:tblLayout w:type="fixed"/>
        <w:tblCellMar>
          <w:left w:w="0" w:type="dxa"/>
          <w:right w:w="0" w:type="dxa"/>
        </w:tblCellMar>
        <w:tblLook w:val="01E0" w:firstRow="1" w:lastRow="1" w:firstColumn="1" w:lastColumn="1" w:noHBand="0" w:noVBand="0"/>
      </w:tblPr>
      <w:tblGrid>
        <w:gridCol w:w="1842"/>
        <w:gridCol w:w="1843"/>
        <w:gridCol w:w="1842"/>
        <w:gridCol w:w="1843"/>
      </w:tblGrid>
      <w:tr w:rsidR="002E2FCE" w:rsidRPr="002E2FCE" w:rsidTr="002E2FCE">
        <w:trPr>
          <w:tblHeader/>
        </w:trPr>
        <w:tc>
          <w:tcPr>
            <w:tcW w:w="1842"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État partie</w:t>
            </w:r>
          </w:p>
        </w:tc>
        <w:tc>
          <w:tcPr>
            <w:tcW w:w="1843"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Rapport attendu le</w:t>
            </w:r>
          </w:p>
        </w:tc>
        <w:tc>
          <w:tcPr>
            <w:tcW w:w="1842"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Rapport reçu le</w:t>
            </w:r>
          </w:p>
        </w:tc>
        <w:tc>
          <w:tcPr>
            <w:tcW w:w="1843"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Cote</w:t>
            </w:r>
          </w:p>
        </w:tc>
      </w:tr>
      <w:tr w:rsidR="002E2FCE" w:rsidRPr="002E2FCE" w:rsidTr="002E2FCE">
        <w:trPr>
          <w:trHeight w:hRule="exact" w:val="113"/>
          <w:tblHeader/>
        </w:trPr>
        <w:tc>
          <w:tcPr>
            <w:tcW w:w="1842" w:type="dxa"/>
            <w:tcBorders>
              <w:top w:val="single" w:sz="12" w:space="0" w:color="auto"/>
            </w:tcBorders>
            <w:shd w:val="clear" w:color="auto" w:fill="auto"/>
          </w:tcPr>
          <w:p w:rsidR="002E2FCE" w:rsidRPr="002E2FCE" w:rsidRDefault="002E2FCE" w:rsidP="002E2FCE">
            <w:pPr>
              <w:spacing w:before="40" w:after="120"/>
              <w:ind w:right="113"/>
            </w:pPr>
          </w:p>
        </w:tc>
        <w:tc>
          <w:tcPr>
            <w:tcW w:w="1843" w:type="dxa"/>
            <w:tcBorders>
              <w:top w:val="single" w:sz="12" w:space="0" w:color="auto"/>
            </w:tcBorders>
            <w:shd w:val="clear" w:color="auto" w:fill="auto"/>
          </w:tcPr>
          <w:p w:rsidR="002E2FCE" w:rsidRPr="002E2FCE" w:rsidRDefault="002E2FCE" w:rsidP="002E2FCE">
            <w:pPr>
              <w:spacing w:before="40" w:after="120"/>
              <w:ind w:right="113"/>
            </w:pPr>
          </w:p>
        </w:tc>
        <w:tc>
          <w:tcPr>
            <w:tcW w:w="1842" w:type="dxa"/>
            <w:tcBorders>
              <w:top w:val="single" w:sz="12" w:space="0" w:color="auto"/>
            </w:tcBorders>
            <w:shd w:val="clear" w:color="auto" w:fill="auto"/>
          </w:tcPr>
          <w:p w:rsidR="002E2FCE" w:rsidRPr="002E2FCE" w:rsidRDefault="002E2FCE" w:rsidP="002E2FCE">
            <w:pPr>
              <w:spacing w:before="40" w:after="120"/>
              <w:ind w:right="113"/>
            </w:pPr>
          </w:p>
        </w:tc>
        <w:tc>
          <w:tcPr>
            <w:tcW w:w="1843" w:type="dxa"/>
            <w:tcBorders>
              <w:top w:val="single" w:sz="12" w:space="0" w:color="auto"/>
            </w:tcBorders>
            <w:shd w:val="clear" w:color="auto" w:fill="auto"/>
          </w:tcPr>
          <w:p w:rsidR="002E2FCE" w:rsidRPr="002E2FCE" w:rsidRDefault="002E2FCE" w:rsidP="002E2FCE">
            <w:pPr>
              <w:spacing w:before="40" w:after="120"/>
              <w:ind w:right="113"/>
            </w:pPr>
          </w:p>
        </w:tc>
      </w:tr>
      <w:tr w:rsidR="002E2FCE" w:rsidRPr="002E2FCE" w:rsidTr="002E2FCE">
        <w:tc>
          <w:tcPr>
            <w:tcW w:w="1842" w:type="dxa"/>
            <w:tcBorders>
              <w:bottom w:val="single" w:sz="12" w:space="0" w:color="auto"/>
            </w:tcBorders>
            <w:shd w:val="clear" w:color="auto" w:fill="auto"/>
          </w:tcPr>
          <w:p w:rsidR="002E2FCE" w:rsidRPr="002E2FCE" w:rsidRDefault="002E2FCE" w:rsidP="002E2FCE">
            <w:pPr>
              <w:spacing w:before="40" w:after="120"/>
              <w:ind w:right="113"/>
            </w:pPr>
            <w:proofErr w:type="spellStart"/>
            <w:r w:rsidRPr="002E2FCE">
              <w:t>Argentine</w:t>
            </w:r>
            <w:r w:rsidRPr="002E2FCE">
              <w:rPr>
                <w:i/>
                <w:vertAlign w:val="superscript"/>
              </w:rPr>
              <w:t>a</w:t>
            </w:r>
            <w:proofErr w:type="spellEnd"/>
          </w:p>
        </w:tc>
        <w:tc>
          <w:tcPr>
            <w:tcW w:w="1843" w:type="dxa"/>
            <w:tcBorders>
              <w:bottom w:val="single" w:sz="12" w:space="0" w:color="auto"/>
            </w:tcBorders>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octobre 2016</w:t>
            </w:r>
          </w:p>
        </w:tc>
        <w:tc>
          <w:tcPr>
            <w:tcW w:w="1842" w:type="dxa"/>
            <w:tcBorders>
              <w:bottom w:val="single" w:sz="12" w:space="0" w:color="auto"/>
            </w:tcBorders>
            <w:shd w:val="clear" w:color="auto" w:fill="auto"/>
          </w:tcPr>
          <w:p w:rsidR="002E2FCE" w:rsidRPr="002E2FCE" w:rsidRDefault="002E2FCE" w:rsidP="002E2FCE">
            <w:pPr>
              <w:spacing w:before="40" w:after="120"/>
              <w:ind w:right="113"/>
            </w:pPr>
            <w:r w:rsidRPr="002E2FCE">
              <w:t>Non reçu</w:t>
            </w:r>
          </w:p>
        </w:tc>
        <w:tc>
          <w:tcPr>
            <w:tcW w:w="1843" w:type="dxa"/>
            <w:tcBorders>
              <w:bottom w:val="single" w:sz="12" w:space="0" w:color="auto"/>
            </w:tcBorders>
            <w:shd w:val="clear" w:color="auto" w:fill="auto"/>
          </w:tcPr>
          <w:p w:rsidR="002E2FCE" w:rsidRPr="002E2FCE" w:rsidRDefault="002E2FCE" w:rsidP="002E2FCE">
            <w:pPr>
              <w:spacing w:before="40" w:after="120"/>
              <w:ind w:right="113"/>
            </w:pPr>
            <w:r w:rsidRPr="002E2FCE">
              <w:t>-</w:t>
            </w:r>
          </w:p>
        </w:tc>
      </w:tr>
    </w:tbl>
    <w:p w:rsidR="002E2FCE" w:rsidRPr="002E2FCE" w:rsidRDefault="002E2FCE" w:rsidP="002E2FCE">
      <w:pPr>
        <w:pStyle w:val="SingleTxtG"/>
        <w:spacing w:before="120" w:after="240" w:line="220" w:lineRule="atLeast"/>
        <w:ind w:firstLine="170"/>
        <w:jc w:val="left"/>
        <w:rPr>
          <w:sz w:val="18"/>
          <w:szCs w:val="18"/>
        </w:rPr>
      </w:pPr>
      <w:proofErr w:type="spellStart"/>
      <w:r w:rsidRPr="002E2FCE">
        <w:rPr>
          <w:i/>
          <w:sz w:val="18"/>
          <w:szCs w:val="18"/>
          <w:vertAlign w:val="superscript"/>
        </w:rPr>
        <w:t>a</w:t>
      </w:r>
      <w:proofErr w:type="spellEnd"/>
      <w:r w:rsidRPr="002E2FCE">
        <w:rPr>
          <w:sz w:val="18"/>
          <w:szCs w:val="18"/>
        </w:rPr>
        <w:t xml:space="preserve"> </w:t>
      </w:r>
      <w:r>
        <w:rPr>
          <w:sz w:val="18"/>
          <w:szCs w:val="18"/>
        </w:rPr>
        <w:t xml:space="preserve"> L</w:t>
      </w:r>
      <w:r w:rsidRPr="002E2FCE">
        <w:rPr>
          <w:sz w:val="18"/>
          <w:szCs w:val="18"/>
        </w:rPr>
        <w:t>a liste de points établie avant la soumission du rapport a été adoptée par le Comité à sa vingt-huitième session.</w:t>
      </w:r>
    </w:p>
    <w:p w:rsidR="002E2FCE" w:rsidRPr="002E2FCE" w:rsidRDefault="002E2FCE" w:rsidP="002E2FCE">
      <w:pPr>
        <w:pStyle w:val="SingleTxtG"/>
        <w:ind w:firstLine="567"/>
        <w:rPr>
          <w:lang w:eastAsia="zh-CN"/>
        </w:rPr>
      </w:pPr>
      <w:r w:rsidRPr="002E2FCE">
        <w:rPr>
          <w:lang w:eastAsia="zh-CN"/>
        </w:rPr>
        <w:t>On trouvera ci-après la liste des États parties dont le rapport initial était attendu mais n’avait pas été reçu au 1</w:t>
      </w:r>
      <w:r w:rsidRPr="002E2FCE">
        <w:rPr>
          <w:vertAlign w:val="superscript"/>
          <w:lang w:eastAsia="zh-CN"/>
        </w:rPr>
        <w:t>er</w:t>
      </w:r>
      <w:r w:rsidRPr="002E2FCE">
        <w:rPr>
          <w:lang w:eastAsia="zh-CN"/>
        </w:rPr>
        <w:t> juin 2019</w:t>
      </w:r>
      <w:r w:rsidR="001328C4">
        <w:rPr>
          <w:lang w:eastAsia="zh-CN"/>
        </w:rPr>
        <w:t> :</w:t>
      </w:r>
    </w:p>
    <w:tbl>
      <w:tblPr>
        <w:tblW w:w="7370" w:type="dxa"/>
        <w:tblInd w:w="1134" w:type="dxa"/>
        <w:tblLayout w:type="fixed"/>
        <w:tblCellMar>
          <w:left w:w="0" w:type="dxa"/>
          <w:right w:w="0" w:type="dxa"/>
        </w:tblCellMar>
        <w:tblLook w:val="0000" w:firstRow="0" w:lastRow="0" w:firstColumn="0" w:lastColumn="0" w:noHBand="0" w:noVBand="0"/>
      </w:tblPr>
      <w:tblGrid>
        <w:gridCol w:w="3682"/>
        <w:gridCol w:w="3688"/>
      </w:tblGrid>
      <w:tr w:rsidR="002E2FCE" w:rsidRPr="002E2FCE" w:rsidTr="002E2FCE">
        <w:trPr>
          <w:tblHeader/>
        </w:trPr>
        <w:tc>
          <w:tcPr>
            <w:tcW w:w="3682"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État partie</w:t>
            </w:r>
          </w:p>
        </w:tc>
        <w:tc>
          <w:tcPr>
            <w:tcW w:w="3688"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Rapport attendu le</w:t>
            </w:r>
          </w:p>
        </w:tc>
      </w:tr>
      <w:tr w:rsidR="002E2FCE" w:rsidRPr="002E2FCE" w:rsidTr="002E2FCE">
        <w:trPr>
          <w:trHeight w:hRule="exact" w:val="113"/>
          <w:tblHeader/>
        </w:trPr>
        <w:tc>
          <w:tcPr>
            <w:tcW w:w="3682" w:type="dxa"/>
            <w:tcBorders>
              <w:top w:val="single" w:sz="12" w:space="0" w:color="auto"/>
            </w:tcBorders>
            <w:shd w:val="clear" w:color="auto" w:fill="auto"/>
          </w:tcPr>
          <w:p w:rsidR="002E2FCE" w:rsidRPr="002E2FCE" w:rsidRDefault="002E2FCE" w:rsidP="002E2FCE">
            <w:pPr>
              <w:spacing w:before="40" w:after="120"/>
              <w:ind w:right="113"/>
            </w:pPr>
          </w:p>
        </w:tc>
        <w:tc>
          <w:tcPr>
            <w:tcW w:w="3688" w:type="dxa"/>
            <w:tcBorders>
              <w:top w:val="single" w:sz="12" w:space="0" w:color="auto"/>
            </w:tcBorders>
            <w:shd w:val="clear" w:color="auto" w:fill="auto"/>
          </w:tcPr>
          <w:p w:rsidR="002E2FCE" w:rsidRPr="002E2FCE" w:rsidRDefault="002E2FCE" w:rsidP="002E2FCE">
            <w:pPr>
              <w:spacing w:before="40" w:after="120"/>
              <w:ind w:right="113"/>
            </w:pPr>
          </w:p>
        </w:tc>
      </w:tr>
      <w:tr w:rsidR="002E2FCE" w:rsidRPr="002E2FCE" w:rsidTr="002E2FCE">
        <w:tc>
          <w:tcPr>
            <w:tcW w:w="3682" w:type="dxa"/>
            <w:shd w:val="clear" w:color="auto" w:fill="auto"/>
          </w:tcPr>
          <w:p w:rsidR="002E2FCE" w:rsidRPr="002E2FCE" w:rsidRDefault="002E2FCE" w:rsidP="002E2FCE">
            <w:pPr>
              <w:spacing w:before="40" w:after="120"/>
              <w:ind w:right="113"/>
            </w:pPr>
            <w:r w:rsidRPr="002E2FCE">
              <w:t>Congo</w:t>
            </w:r>
          </w:p>
        </w:tc>
        <w:tc>
          <w:tcPr>
            <w:tcW w:w="3688"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juillet 2018</w:t>
            </w:r>
          </w:p>
        </w:tc>
      </w:tr>
      <w:tr w:rsidR="002E2FCE" w:rsidRPr="002E2FCE" w:rsidTr="002E2FCE">
        <w:tc>
          <w:tcPr>
            <w:tcW w:w="3682" w:type="dxa"/>
            <w:shd w:val="clear" w:color="auto" w:fill="auto"/>
          </w:tcPr>
          <w:p w:rsidR="002E2FCE" w:rsidRPr="002E2FCE" w:rsidRDefault="002E2FCE" w:rsidP="002E2FCE">
            <w:pPr>
              <w:spacing w:before="40" w:after="120"/>
              <w:ind w:right="113"/>
            </w:pPr>
            <w:r w:rsidRPr="002E2FCE">
              <w:t>Sao Tomé-et-</w:t>
            </w:r>
            <w:proofErr w:type="spellStart"/>
            <w:r w:rsidRPr="002E2FCE">
              <w:t>Principe</w:t>
            </w:r>
            <w:r w:rsidRPr="002E2FCE">
              <w:rPr>
                <w:i/>
                <w:vertAlign w:val="superscript"/>
              </w:rPr>
              <w:t>a</w:t>
            </w:r>
            <w:proofErr w:type="spellEnd"/>
          </w:p>
        </w:tc>
        <w:tc>
          <w:tcPr>
            <w:tcW w:w="3688"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mai 2018</w:t>
            </w:r>
          </w:p>
        </w:tc>
      </w:tr>
      <w:tr w:rsidR="002E2FCE" w:rsidRPr="002E2FCE" w:rsidTr="002E2FCE">
        <w:tc>
          <w:tcPr>
            <w:tcW w:w="3682" w:type="dxa"/>
            <w:tcBorders>
              <w:bottom w:val="single" w:sz="12" w:space="0" w:color="auto"/>
            </w:tcBorders>
            <w:shd w:val="clear" w:color="auto" w:fill="auto"/>
          </w:tcPr>
          <w:p w:rsidR="002E2FCE" w:rsidRPr="002E2FCE" w:rsidRDefault="002E2FCE" w:rsidP="002E2FCE">
            <w:pPr>
              <w:spacing w:before="40" w:after="120"/>
              <w:ind w:right="113"/>
            </w:pPr>
            <w:r w:rsidRPr="002E2FCE">
              <w:t>Venezuela (République bolivarienne du)</w:t>
            </w:r>
            <w:r w:rsidRPr="002E2FCE">
              <w:rPr>
                <w:i/>
                <w:vertAlign w:val="superscript"/>
              </w:rPr>
              <w:t>b</w:t>
            </w:r>
          </w:p>
        </w:tc>
        <w:tc>
          <w:tcPr>
            <w:tcW w:w="3688" w:type="dxa"/>
            <w:tcBorders>
              <w:bottom w:val="single" w:sz="12" w:space="0" w:color="auto"/>
            </w:tcBorders>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février 2018</w:t>
            </w:r>
          </w:p>
        </w:tc>
      </w:tr>
    </w:tbl>
    <w:p w:rsidR="002E2FCE" w:rsidRPr="002E2FCE" w:rsidRDefault="002E2FCE" w:rsidP="002E2FCE">
      <w:pPr>
        <w:pStyle w:val="SingleTxtG"/>
        <w:spacing w:before="120" w:after="0" w:line="220" w:lineRule="atLeast"/>
        <w:ind w:firstLine="170"/>
        <w:jc w:val="left"/>
        <w:rPr>
          <w:sz w:val="18"/>
          <w:szCs w:val="18"/>
        </w:rPr>
      </w:pPr>
      <w:proofErr w:type="spellStart"/>
      <w:r w:rsidRPr="002E2FCE">
        <w:rPr>
          <w:i/>
          <w:sz w:val="18"/>
          <w:szCs w:val="18"/>
          <w:vertAlign w:val="superscript"/>
        </w:rPr>
        <w:t>a</w:t>
      </w:r>
      <w:proofErr w:type="spellEnd"/>
      <w:r w:rsidRPr="002E2FCE">
        <w:rPr>
          <w:sz w:val="18"/>
          <w:szCs w:val="18"/>
        </w:rPr>
        <w:t xml:space="preserve"> </w:t>
      </w:r>
      <w:r>
        <w:rPr>
          <w:sz w:val="18"/>
          <w:szCs w:val="18"/>
        </w:rPr>
        <w:t xml:space="preserve"> </w:t>
      </w:r>
      <w:r w:rsidRPr="002E2FCE">
        <w:rPr>
          <w:sz w:val="18"/>
          <w:szCs w:val="18"/>
        </w:rPr>
        <w:t>La liste de points établie avant la soumission du rapport a été adoptée par le Comité à sa trentième session.</w:t>
      </w:r>
    </w:p>
    <w:p w:rsidR="002E2FCE" w:rsidRPr="002E2FCE" w:rsidRDefault="002E2FCE" w:rsidP="002E2FCE">
      <w:pPr>
        <w:pStyle w:val="SingleTxtG"/>
        <w:spacing w:after="240" w:line="220" w:lineRule="atLeast"/>
        <w:ind w:firstLine="170"/>
        <w:jc w:val="left"/>
        <w:rPr>
          <w:sz w:val="18"/>
          <w:szCs w:val="18"/>
          <w:lang w:eastAsia="zh-CN"/>
        </w:rPr>
      </w:pPr>
      <w:r w:rsidRPr="002E2FCE">
        <w:rPr>
          <w:i/>
          <w:sz w:val="18"/>
          <w:szCs w:val="18"/>
          <w:vertAlign w:val="superscript"/>
          <w:lang w:eastAsia="zh-CN"/>
        </w:rPr>
        <w:t>b</w:t>
      </w:r>
      <w:r w:rsidRPr="0073008B">
        <w:rPr>
          <w:sz w:val="18"/>
          <w:szCs w:val="18"/>
        </w:rPr>
        <w:t xml:space="preserve">  </w:t>
      </w:r>
      <w:r w:rsidRPr="002E2FCE">
        <w:rPr>
          <w:sz w:val="18"/>
          <w:szCs w:val="18"/>
          <w:lang w:eastAsia="zh-CN"/>
        </w:rPr>
        <w:t>La liste de points établie avant la soumission du rapport a été adoptée par le Comité à sa vingt</w:t>
      </w:r>
      <w:r w:rsidRPr="002E2FCE">
        <w:rPr>
          <w:sz w:val="18"/>
          <w:szCs w:val="18"/>
          <w:lang w:eastAsia="zh-CN"/>
        </w:rPr>
        <w:noBreakHyphen/>
        <w:t>neuvième session.</w:t>
      </w:r>
    </w:p>
    <w:p w:rsidR="002E2FCE" w:rsidRPr="002E2FCE" w:rsidRDefault="002E2FCE" w:rsidP="002E2FCE">
      <w:pPr>
        <w:pStyle w:val="SingleTxtG"/>
        <w:keepNext/>
        <w:ind w:firstLine="567"/>
        <w:rPr>
          <w:lang w:eastAsia="zh-CN"/>
        </w:rPr>
      </w:pPr>
      <w:r w:rsidRPr="002E2FCE">
        <w:rPr>
          <w:lang w:eastAsia="zh-CN"/>
        </w:rPr>
        <w:t>Le Comité a reçu le deuxième rapport périodique du Chili le 15 mai 2019. On trouvera ci-après la liste des États parties dont le deuxième rapport périodique était attendu mais n’avait pas encore été reçu au 1</w:t>
      </w:r>
      <w:r w:rsidRPr="002E2FCE">
        <w:rPr>
          <w:vertAlign w:val="superscript"/>
          <w:lang w:eastAsia="zh-CN"/>
        </w:rPr>
        <w:t>er</w:t>
      </w:r>
      <w:r w:rsidRPr="002E2FCE">
        <w:rPr>
          <w:lang w:eastAsia="zh-CN"/>
        </w:rPr>
        <w:t> juin 2019</w:t>
      </w:r>
      <w:r w:rsidR="001328C4">
        <w:rPr>
          <w:lang w:eastAsia="zh-CN"/>
        </w:rPr>
        <w:t> :</w:t>
      </w:r>
    </w:p>
    <w:tbl>
      <w:tblPr>
        <w:tblW w:w="7370" w:type="dxa"/>
        <w:tblInd w:w="1134" w:type="dxa"/>
        <w:tblLayout w:type="fixed"/>
        <w:tblCellMar>
          <w:left w:w="0" w:type="dxa"/>
          <w:right w:w="0" w:type="dxa"/>
        </w:tblCellMar>
        <w:tblLook w:val="01E0" w:firstRow="1" w:lastRow="1" w:firstColumn="1" w:lastColumn="1" w:noHBand="0" w:noVBand="0"/>
      </w:tblPr>
      <w:tblGrid>
        <w:gridCol w:w="3686"/>
        <w:gridCol w:w="3684"/>
      </w:tblGrid>
      <w:tr w:rsidR="002E2FCE" w:rsidRPr="002E2FCE" w:rsidTr="002E2FCE">
        <w:trPr>
          <w:tblHeader/>
        </w:trPr>
        <w:tc>
          <w:tcPr>
            <w:tcW w:w="3686" w:type="dxa"/>
            <w:tcBorders>
              <w:top w:val="single" w:sz="4" w:space="0" w:color="auto"/>
              <w:bottom w:val="single" w:sz="12" w:space="0" w:color="auto"/>
            </w:tcBorders>
            <w:shd w:val="clear" w:color="auto" w:fill="auto"/>
            <w:vAlign w:val="bottom"/>
          </w:tcPr>
          <w:p w:rsidR="002E2FCE" w:rsidRPr="002E2FCE" w:rsidRDefault="002E2FCE" w:rsidP="002E2FCE">
            <w:pPr>
              <w:keepNext/>
              <w:spacing w:before="80" w:after="80" w:line="200" w:lineRule="exact"/>
              <w:ind w:right="113"/>
              <w:rPr>
                <w:i/>
                <w:sz w:val="16"/>
              </w:rPr>
            </w:pPr>
            <w:r w:rsidRPr="002E2FCE">
              <w:rPr>
                <w:i/>
                <w:sz w:val="16"/>
              </w:rPr>
              <w:t>État partie</w:t>
            </w:r>
          </w:p>
        </w:tc>
        <w:tc>
          <w:tcPr>
            <w:tcW w:w="3684" w:type="dxa"/>
            <w:tcBorders>
              <w:top w:val="single" w:sz="4" w:space="0" w:color="auto"/>
              <w:bottom w:val="single" w:sz="12" w:space="0" w:color="auto"/>
            </w:tcBorders>
            <w:shd w:val="clear" w:color="auto" w:fill="auto"/>
            <w:vAlign w:val="bottom"/>
          </w:tcPr>
          <w:p w:rsidR="002E2FCE" w:rsidRPr="002E2FCE" w:rsidRDefault="002E2FCE" w:rsidP="002E2FCE">
            <w:pPr>
              <w:keepNext/>
              <w:spacing w:before="80" w:after="80" w:line="200" w:lineRule="exact"/>
              <w:ind w:right="113"/>
              <w:rPr>
                <w:i/>
                <w:sz w:val="16"/>
              </w:rPr>
            </w:pPr>
            <w:r w:rsidRPr="002E2FCE">
              <w:rPr>
                <w:i/>
                <w:sz w:val="16"/>
              </w:rPr>
              <w:t>Rapport attendu le</w:t>
            </w:r>
          </w:p>
        </w:tc>
      </w:tr>
      <w:tr w:rsidR="002E2FCE" w:rsidRPr="002E2FCE" w:rsidTr="002E2FCE">
        <w:trPr>
          <w:trHeight w:hRule="exact" w:val="113"/>
          <w:tblHeader/>
        </w:trPr>
        <w:tc>
          <w:tcPr>
            <w:tcW w:w="3686" w:type="dxa"/>
            <w:tcBorders>
              <w:top w:val="single" w:sz="12" w:space="0" w:color="auto"/>
            </w:tcBorders>
            <w:shd w:val="clear" w:color="auto" w:fill="auto"/>
          </w:tcPr>
          <w:p w:rsidR="002E2FCE" w:rsidRPr="002E2FCE" w:rsidRDefault="002E2FCE" w:rsidP="002E2FCE">
            <w:pPr>
              <w:keepNext/>
              <w:spacing w:before="40" w:after="120"/>
              <w:ind w:right="113"/>
            </w:pPr>
          </w:p>
        </w:tc>
        <w:tc>
          <w:tcPr>
            <w:tcW w:w="3684" w:type="dxa"/>
            <w:tcBorders>
              <w:top w:val="single" w:sz="12" w:space="0" w:color="auto"/>
            </w:tcBorders>
            <w:shd w:val="clear" w:color="auto" w:fill="auto"/>
          </w:tcPr>
          <w:p w:rsidR="002E2FCE" w:rsidRPr="002E2FCE" w:rsidRDefault="002E2FCE" w:rsidP="002E2FCE">
            <w:pPr>
              <w:keepNext/>
              <w:spacing w:before="40" w:after="120"/>
              <w:ind w:right="113"/>
            </w:pPr>
          </w:p>
        </w:tc>
      </w:tr>
      <w:tr w:rsidR="002E2FCE" w:rsidRPr="002E2FCE" w:rsidTr="002E2FCE">
        <w:tc>
          <w:tcPr>
            <w:tcW w:w="3686" w:type="dxa"/>
            <w:shd w:val="clear" w:color="auto" w:fill="auto"/>
          </w:tcPr>
          <w:p w:rsidR="002E2FCE" w:rsidRPr="002E2FCE" w:rsidRDefault="002E2FCE" w:rsidP="002E2FCE">
            <w:pPr>
              <w:spacing w:before="40" w:after="120"/>
              <w:ind w:right="113"/>
            </w:pPr>
            <w:r w:rsidRPr="002E2FCE">
              <w:t xml:space="preserve">Burkina </w:t>
            </w:r>
            <w:proofErr w:type="spellStart"/>
            <w:r w:rsidRPr="002E2FCE">
              <w:t>Faso</w:t>
            </w:r>
            <w:r w:rsidRPr="002E2FCE">
              <w:rPr>
                <w:i/>
                <w:vertAlign w:val="superscript"/>
              </w:rPr>
              <w:t>a</w:t>
            </w:r>
            <w:proofErr w:type="spellEnd"/>
          </w:p>
        </w:tc>
        <w:tc>
          <w:tcPr>
            <w:tcW w:w="3684" w:type="dxa"/>
            <w:shd w:val="clear" w:color="auto" w:fill="auto"/>
          </w:tcPr>
          <w:p w:rsidR="002E2FCE" w:rsidRPr="002E2FCE" w:rsidRDefault="002E2FCE" w:rsidP="002E2FCE">
            <w:pPr>
              <w:spacing w:before="40" w:after="120"/>
              <w:ind w:right="113"/>
            </w:pPr>
            <w:r w:rsidRPr="002E2FCE">
              <w:t>13 septembre 2018</w:t>
            </w:r>
          </w:p>
        </w:tc>
      </w:tr>
      <w:tr w:rsidR="002E2FCE" w:rsidRPr="002E2FCE" w:rsidTr="002E2FCE">
        <w:tc>
          <w:tcPr>
            <w:tcW w:w="3686" w:type="dxa"/>
            <w:shd w:val="clear" w:color="auto" w:fill="auto"/>
          </w:tcPr>
          <w:p w:rsidR="002E2FCE" w:rsidRPr="002E2FCE" w:rsidRDefault="002E2FCE" w:rsidP="002E2FCE">
            <w:pPr>
              <w:spacing w:before="40" w:after="120"/>
              <w:ind w:right="113"/>
            </w:pPr>
            <w:proofErr w:type="spellStart"/>
            <w:r w:rsidRPr="002E2FCE">
              <w:t>Égypte</w:t>
            </w:r>
            <w:r w:rsidRPr="002E2FCE">
              <w:rPr>
                <w:i/>
                <w:vertAlign w:val="superscript"/>
              </w:rPr>
              <w:t>b</w:t>
            </w:r>
            <w:proofErr w:type="spellEnd"/>
          </w:p>
        </w:tc>
        <w:tc>
          <w:tcPr>
            <w:tcW w:w="3684"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juillet 2009</w:t>
            </w:r>
          </w:p>
        </w:tc>
      </w:tr>
      <w:tr w:rsidR="002E2FCE" w:rsidRPr="002E2FCE" w:rsidTr="002E2FCE">
        <w:tc>
          <w:tcPr>
            <w:tcW w:w="3686" w:type="dxa"/>
            <w:shd w:val="clear" w:color="auto" w:fill="auto"/>
          </w:tcPr>
          <w:p w:rsidR="002E2FCE" w:rsidRPr="002E2FCE" w:rsidRDefault="002E2FCE" w:rsidP="002E2FCE">
            <w:pPr>
              <w:spacing w:before="40" w:after="120"/>
              <w:ind w:right="113"/>
            </w:pPr>
            <w:r w:rsidRPr="002E2FCE">
              <w:t>Maroc</w:t>
            </w:r>
          </w:p>
        </w:tc>
        <w:tc>
          <w:tcPr>
            <w:tcW w:w="3684" w:type="dxa"/>
            <w:shd w:val="clear" w:color="auto" w:fill="auto"/>
          </w:tcPr>
          <w:p w:rsidR="002E2FCE" w:rsidRPr="002E2FCE" w:rsidRDefault="002E2FCE" w:rsidP="002E2FCE">
            <w:pPr>
              <w:spacing w:before="40" w:after="120"/>
              <w:ind w:right="113"/>
            </w:pPr>
            <w:r w:rsidRPr="002E2FCE">
              <w:t>13 septembre 2018</w:t>
            </w:r>
          </w:p>
        </w:tc>
      </w:tr>
      <w:tr w:rsidR="002E2FCE" w:rsidRPr="002E2FCE" w:rsidTr="002E2FCE">
        <w:tc>
          <w:tcPr>
            <w:tcW w:w="3686" w:type="dxa"/>
            <w:shd w:val="clear" w:color="auto" w:fill="auto"/>
          </w:tcPr>
          <w:p w:rsidR="002E2FCE" w:rsidRPr="002E2FCE" w:rsidRDefault="002E2FCE" w:rsidP="002E2FCE">
            <w:pPr>
              <w:spacing w:before="40" w:after="120"/>
              <w:ind w:right="113"/>
            </w:pPr>
            <w:proofErr w:type="spellStart"/>
            <w:r w:rsidRPr="002E2FCE">
              <w:t>Paraguay</w:t>
            </w:r>
            <w:r w:rsidRPr="002E2FCE">
              <w:rPr>
                <w:i/>
                <w:vertAlign w:val="superscript"/>
              </w:rPr>
              <w:t>c</w:t>
            </w:r>
            <w:proofErr w:type="spellEnd"/>
          </w:p>
        </w:tc>
        <w:tc>
          <w:tcPr>
            <w:tcW w:w="3684"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mai 2017</w:t>
            </w:r>
          </w:p>
        </w:tc>
      </w:tr>
      <w:tr w:rsidR="002E2FCE" w:rsidRPr="002E2FCE" w:rsidTr="002E2FCE">
        <w:tc>
          <w:tcPr>
            <w:tcW w:w="3686" w:type="dxa"/>
            <w:shd w:val="clear" w:color="auto" w:fill="auto"/>
          </w:tcPr>
          <w:p w:rsidR="002E2FCE" w:rsidRPr="002E2FCE" w:rsidRDefault="002E2FCE" w:rsidP="002E2FCE">
            <w:pPr>
              <w:spacing w:before="40" w:after="120"/>
              <w:ind w:right="113"/>
            </w:pPr>
            <w:proofErr w:type="spellStart"/>
            <w:r w:rsidRPr="002E2FCE">
              <w:t>Rwanda</w:t>
            </w:r>
            <w:r w:rsidRPr="002E2FCE">
              <w:rPr>
                <w:i/>
                <w:vertAlign w:val="superscript"/>
              </w:rPr>
              <w:t>c</w:t>
            </w:r>
            <w:proofErr w:type="spellEnd"/>
          </w:p>
        </w:tc>
        <w:tc>
          <w:tcPr>
            <w:tcW w:w="3684"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octobre 2017</w:t>
            </w:r>
          </w:p>
        </w:tc>
      </w:tr>
      <w:tr w:rsidR="002E2FCE" w:rsidRPr="002E2FCE" w:rsidTr="002E2FCE">
        <w:tc>
          <w:tcPr>
            <w:tcW w:w="3686" w:type="dxa"/>
            <w:shd w:val="clear" w:color="auto" w:fill="auto"/>
          </w:tcPr>
          <w:p w:rsidR="002E2FCE" w:rsidRPr="002E2FCE" w:rsidRDefault="002E2FCE" w:rsidP="002E2FCE">
            <w:pPr>
              <w:spacing w:before="40" w:after="120"/>
              <w:ind w:right="113"/>
            </w:pPr>
            <w:r w:rsidRPr="002E2FCE">
              <w:t>République arabe syrienne</w:t>
            </w:r>
          </w:p>
        </w:tc>
        <w:tc>
          <w:tcPr>
            <w:tcW w:w="3684"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octobre 2011</w:t>
            </w:r>
          </w:p>
        </w:tc>
      </w:tr>
      <w:tr w:rsidR="002E2FCE" w:rsidRPr="002E2FCE" w:rsidTr="002E2FCE">
        <w:tc>
          <w:tcPr>
            <w:tcW w:w="3686" w:type="dxa"/>
            <w:tcBorders>
              <w:bottom w:val="single" w:sz="12" w:space="0" w:color="auto"/>
            </w:tcBorders>
            <w:shd w:val="clear" w:color="auto" w:fill="auto"/>
          </w:tcPr>
          <w:p w:rsidR="002E2FCE" w:rsidRPr="002E2FCE" w:rsidRDefault="002E2FCE" w:rsidP="002E2FCE">
            <w:pPr>
              <w:spacing w:before="40" w:after="120"/>
              <w:ind w:right="113"/>
            </w:pPr>
            <w:r w:rsidRPr="002E2FCE">
              <w:t>Uruguay</w:t>
            </w:r>
          </w:p>
        </w:tc>
        <w:tc>
          <w:tcPr>
            <w:tcW w:w="3684" w:type="dxa"/>
            <w:tcBorders>
              <w:bottom w:val="single" w:sz="12" w:space="0" w:color="auto"/>
            </w:tcBorders>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xml:space="preserve"> mai 2019</w:t>
            </w:r>
          </w:p>
        </w:tc>
      </w:tr>
    </w:tbl>
    <w:p w:rsidR="002E2FCE" w:rsidRPr="002E2FCE" w:rsidRDefault="002E2FCE" w:rsidP="002E2FCE">
      <w:pPr>
        <w:pStyle w:val="SingleTxtG"/>
        <w:spacing w:before="120" w:after="0" w:line="220" w:lineRule="atLeast"/>
        <w:ind w:firstLine="170"/>
        <w:jc w:val="left"/>
        <w:rPr>
          <w:sz w:val="18"/>
          <w:szCs w:val="18"/>
          <w:lang w:eastAsia="zh-CN"/>
        </w:rPr>
      </w:pPr>
      <w:proofErr w:type="spellStart"/>
      <w:r w:rsidRPr="002E2FCE">
        <w:rPr>
          <w:i/>
          <w:sz w:val="18"/>
          <w:szCs w:val="18"/>
          <w:vertAlign w:val="superscript"/>
          <w:lang w:eastAsia="zh-CN"/>
        </w:rPr>
        <w:t>a</w:t>
      </w:r>
      <w:proofErr w:type="spellEnd"/>
      <w:r w:rsidRPr="002E2FCE">
        <w:rPr>
          <w:sz w:val="18"/>
          <w:szCs w:val="18"/>
          <w:lang w:eastAsia="zh-CN"/>
        </w:rPr>
        <w:t xml:space="preserve"> </w:t>
      </w:r>
      <w:r>
        <w:rPr>
          <w:sz w:val="18"/>
          <w:szCs w:val="18"/>
          <w:lang w:eastAsia="zh-CN"/>
        </w:rPr>
        <w:t xml:space="preserve"> </w:t>
      </w:r>
      <w:r w:rsidRPr="002E2FCE">
        <w:rPr>
          <w:sz w:val="18"/>
          <w:szCs w:val="18"/>
          <w:lang w:eastAsia="zh-CN"/>
        </w:rPr>
        <w:t>La liste de points établie avant la soumission du rapport doit être adoptée par le Comité à sa trente et unième session.</w:t>
      </w:r>
    </w:p>
    <w:p w:rsidR="002E2FCE" w:rsidRPr="002E2FCE" w:rsidRDefault="002E2FCE" w:rsidP="002E2FCE">
      <w:pPr>
        <w:pStyle w:val="SingleTxtG"/>
        <w:spacing w:after="0" w:line="220" w:lineRule="atLeast"/>
        <w:ind w:firstLine="170"/>
        <w:jc w:val="left"/>
        <w:rPr>
          <w:sz w:val="18"/>
          <w:szCs w:val="18"/>
        </w:rPr>
      </w:pPr>
      <w:r w:rsidRPr="002E2FCE">
        <w:rPr>
          <w:i/>
          <w:sz w:val="18"/>
          <w:szCs w:val="18"/>
          <w:vertAlign w:val="superscript"/>
        </w:rPr>
        <w:t>b</w:t>
      </w:r>
      <w:r w:rsidRPr="002E2FCE">
        <w:rPr>
          <w:sz w:val="18"/>
          <w:szCs w:val="18"/>
        </w:rPr>
        <w:t xml:space="preserve"> </w:t>
      </w:r>
      <w:r>
        <w:rPr>
          <w:sz w:val="18"/>
          <w:szCs w:val="18"/>
        </w:rPr>
        <w:t xml:space="preserve"> </w:t>
      </w:r>
      <w:r w:rsidRPr="002E2FCE">
        <w:rPr>
          <w:sz w:val="18"/>
          <w:szCs w:val="18"/>
        </w:rPr>
        <w:t xml:space="preserve">La liste de </w:t>
      </w:r>
      <w:r w:rsidRPr="002E2FCE">
        <w:rPr>
          <w:sz w:val="18"/>
          <w:szCs w:val="18"/>
          <w:lang w:eastAsia="zh-CN"/>
        </w:rPr>
        <w:t>points</w:t>
      </w:r>
      <w:r w:rsidRPr="002E2FCE">
        <w:rPr>
          <w:sz w:val="18"/>
          <w:szCs w:val="18"/>
        </w:rPr>
        <w:t xml:space="preserve"> établie avant la soumission du rapport a été adoptée par le Comité à sa vingt</w:t>
      </w:r>
      <w:r w:rsidRPr="002E2FCE">
        <w:rPr>
          <w:sz w:val="18"/>
          <w:szCs w:val="18"/>
        </w:rPr>
        <w:noBreakHyphen/>
        <w:t>sixième session. L’Égypte a informé le Comité de son intention de soumettre son deuxième rapport périodique en 2019.</w:t>
      </w:r>
    </w:p>
    <w:p w:rsidR="002E2FCE" w:rsidRPr="002E2FCE" w:rsidRDefault="002E2FCE" w:rsidP="002E2FCE">
      <w:pPr>
        <w:pStyle w:val="SingleTxtG"/>
        <w:spacing w:after="240" w:line="220" w:lineRule="atLeast"/>
        <w:ind w:firstLine="170"/>
        <w:jc w:val="left"/>
        <w:rPr>
          <w:sz w:val="18"/>
          <w:szCs w:val="18"/>
        </w:rPr>
      </w:pPr>
      <w:r w:rsidRPr="002E2FCE">
        <w:rPr>
          <w:i/>
          <w:sz w:val="18"/>
          <w:szCs w:val="18"/>
          <w:vertAlign w:val="superscript"/>
        </w:rPr>
        <w:t>c</w:t>
      </w:r>
      <w:r w:rsidRPr="002E2FCE">
        <w:rPr>
          <w:sz w:val="18"/>
          <w:szCs w:val="18"/>
        </w:rPr>
        <w:t xml:space="preserve"> </w:t>
      </w:r>
      <w:r>
        <w:rPr>
          <w:sz w:val="18"/>
          <w:szCs w:val="18"/>
        </w:rPr>
        <w:t xml:space="preserve"> </w:t>
      </w:r>
      <w:r w:rsidRPr="002E2FCE">
        <w:rPr>
          <w:sz w:val="18"/>
          <w:szCs w:val="18"/>
        </w:rPr>
        <w:t>La liste de points établie avant la soumission du rapport a été adoptée par le Comité à sa vingt</w:t>
      </w:r>
      <w:r w:rsidRPr="002E2FCE">
        <w:rPr>
          <w:sz w:val="18"/>
          <w:szCs w:val="18"/>
        </w:rPr>
        <w:noBreakHyphen/>
        <w:t>huitième session.</w:t>
      </w:r>
    </w:p>
    <w:p w:rsidR="002E2FCE" w:rsidRPr="002E2FCE" w:rsidRDefault="002E2FCE" w:rsidP="002E2FCE">
      <w:pPr>
        <w:pStyle w:val="SingleTxtG"/>
        <w:ind w:firstLine="567"/>
      </w:pPr>
      <w:r w:rsidRPr="002E2FCE">
        <w:t>On trouvera ci-après la liste des États parties dont le troisième rapport périodique était attendu mais n’avait pas encore été reçu au 1</w:t>
      </w:r>
      <w:r w:rsidRPr="002E2FCE">
        <w:rPr>
          <w:vertAlign w:val="superscript"/>
        </w:rPr>
        <w:t>er</w:t>
      </w:r>
      <w:r w:rsidRPr="002E2FCE">
        <w:t> juin 2019</w:t>
      </w:r>
      <w:r w:rsidR="001328C4">
        <w:t> :</w:t>
      </w:r>
    </w:p>
    <w:tbl>
      <w:tblPr>
        <w:tblW w:w="7370" w:type="dxa"/>
        <w:tblInd w:w="1134" w:type="dxa"/>
        <w:tblLayout w:type="fixed"/>
        <w:tblCellMar>
          <w:left w:w="0" w:type="dxa"/>
          <w:right w:w="0" w:type="dxa"/>
        </w:tblCellMar>
        <w:tblLook w:val="01E0" w:firstRow="1" w:lastRow="1" w:firstColumn="1" w:lastColumn="1" w:noHBand="0" w:noVBand="0"/>
      </w:tblPr>
      <w:tblGrid>
        <w:gridCol w:w="3686"/>
        <w:gridCol w:w="3684"/>
      </w:tblGrid>
      <w:tr w:rsidR="002E2FCE" w:rsidRPr="002E2FCE" w:rsidTr="007C3FD4">
        <w:trPr>
          <w:tblHeader/>
        </w:trPr>
        <w:tc>
          <w:tcPr>
            <w:tcW w:w="3686"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lang w:eastAsia="zh-CN"/>
              </w:rPr>
            </w:pPr>
            <w:r w:rsidRPr="002E2FCE">
              <w:rPr>
                <w:i/>
                <w:sz w:val="16"/>
                <w:lang w:eastAsia="zh-CN"/>
              </w:rPr>
              <w:t>État partie</w:t>
            </w:r>
          </w:p>
        </w:tc>
        <w:tc>
          <w:tcPr>
            <w:tcW w:w="3684"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lang w:eastAsia="zh-CN"/>
              </w:rPr>
            </w:pPr>
            <w:r w:rsidRPr="002E2FCE">
              <w:rPr>
                <w:i/>
                <w:sz w:val="16"/>
                <w:lang w:eastAsia="zh-CN"/>
              </w:rPr>
              <w:t>Rapport attendu le</w:t>
            </w:r>
          </w:p>
        </w:tc>
      </w:tr>
      <w:tr w:rsidR="002E2FCE" w:rsidRPr="002E2FCE" w:rsidTr="007C3FD4">
        <w:trPr>
          <w:trHeight w:hRule="exact" w:val="113"/>
          <w:tblHeader/>
        </w:trPr>
        <w:tc>
          <w:tcPr>
            <w:tcW w:w="3686" w:type="dxa"/>
            <w:tcBorders>
              <w:top w:val="single" w:sz="12" w:space="0" w:color="auto"/>
            </w:tcBorders>
            <w:shd w:val="clear" w:color="auto" w:fill="auto"/>
          </w:tcPr>
          <w:p w:rsidR="002E2FCE" w:rsidRPr="002E2FCE" w:rsidRDefault="002E2FCE" w:rsidP="002E2FCE">
            <w:pPr>
              <w:spacing w:before="40" w:after="120"/>
              <w:ind w:right="113"/>
              <w:rPr>
                <w:lang w:eastAsia="zh-CN"/>
              </w:rPr>
            </w:pPr>
          </w:p>
        </w:tc>
        <w:tc>
          <w:tcPr>
            <w:tcW w:w="3684" w:type="dxa"/>
            <w:tcBorders>
              <w:top w:val="single" w:sz="12" w:space="0" w:color="auto"/>
            </w:tcBorders>
            <w:shd w:val="clear" w:color="auto" w:fill="auto"/>
          </w:tcPr>
          <w:p w:rsidR="002E2FCE" w:rsidRPr="002E2FCE" w:rsidRDefault="002E2FCE" w:rsidP="002E2FCE">
            <w:pPr>
              <w:spacing w:before="40" w:after="120"/>
              <w:ind w:right="113"/>
              <w:rPr>
                <w:lang w:eastAsia="zh-CN"/>
              </w:rPr>
            </w:pPr>
          </w:p>
        </w:tc>
      </w:tr>
      <w:tr w:rsidR="002E2FCE" w:rsidRPr="002E2FCE" w:rsidTr="007C3FD4">
        <w:tc>
          <w:tcPr>
            <w:tcW w:w="3686" w:type="dxa"/>
            <w:shd w:val="clear" w:color="auto" w:fill="auto"/>
          </w:tcPr>
          <w:p w:rsidR="002E2FCE" w:rsidRPr="002E2FCE" w:rsidRDefault="002E2FCE" w:rsidP="002E2FCE">
            <w:pPr>
              <w:spacing w:before="40" w:after="120"/>
              <w:ind w:right="113"/>
              <w:rPr>
                <w:lang w:eastAsia="zh-CN"/>
              </w:rPr>
            </w:pPr>
            <w:proofErr w:type="spellStart"/>
            <w:r w:rsidRPr="002E2FCE">
              <w:rPr>
                <w:lang w:eastAsia="zh-CN"/>
              </w:rPr>
              <w:t>Azerbaïdjan</w:t>
            </w:r>
            <w:r w:rsidRPr="002E2FCE">
              <w:rPr>
                <w:i/>
                <w:vertAlign w:val="superscript"/>
                <w:lang w:eastAsia="zh-CN"/>
              </w:rPr>
              <w:t>a</w:t>
            </w:r>
            <w:proofErr w:type="spellEnd"/>
          </w:p>
        </w:tc>
        <w:tc>
          <w:tcPr>
            <w:tcW w:w="3684" w:type="dxa"/>
            <w:shd w:val="clear" w:color="auto" w:fill="auto"/>
          </w:tcPr>
          <w:p w:rsidR="002E2FCE" w:rsidRPr="002E2FCE" w:rsidRDefault="002E2FCE" w:rsidP="002E2FCE">
            <w:pPr>
              <w:spacing w:before="40" w:after="120"/>
              <w:ind w:right="113"/>
              <w:rPr>
                <w:lang w:eastAsia="zh-CN"/>
              </w:rPr>
            </w:pPr>
            <w:r w:rsidRPr="002E2FCE">
              <w:rPr>
                <w:lang w:eastAsia="zh-CN"/>
              </w:rPr>
              <w:t>1</w:t>
            </w:r>
            <w:r w:rsidRPr="002E2FCE">
              <w:rPr>
                <w:vertAlign w:val="superscript"/>
                <w:lang w:eastAsia="zh-CN"/>
              </w:rPr>
              <w:t>er</w:t>
            </w:r>
            <w:r w:rsidRPr="002E2FCE">
              <w:rPr>
                <w:lang w:eastAsia="zh-CN"/>
              </w:rPr>
              <w:t> mai 2018</w:t>
            </w:r>
          </w:p>
        </w:tc>
      </w:tr>
      <w:tr w:rsidR="002E2FCE" w:rsidRPr="002E2FCE" w:rsidTr="007C3FD4">
        <w:tc>
          <w:tcPr>
            <w:tcW w:w="3686" w:type="dxa"/>
            <w:shd w:val="clear" w:color="auto" w:fill="auto"/>
          </w:tcPr>
          <w:p w:rsidR="002E2FCE" w:rsidRPr="002E2FCE" w:rsidRDefault="002E2FCE" w:rsidP="002E2FCE">
            <w:pPr>
              <w:spacing w:before="40" w:after="120"/>
              <w:ind w:right="113"/>
              <w:rPr>
                <w:lang w:eastAsia="zh-CN"/>
              </w:rPr>
            </w:pPr>
            <w:r w:rsidRPr="002E2FCE">
              <w:rPr>
                <w:lang w:eastAsia="zh-CN"/>
              </w:rPr>
              <w:t>El Salvador</w:t>
            </w:r>
          </w:p>
        </w:tc>
        <w:tc>
          <w:tcPr>
            <w:tcW w:w="3684" w:type="dxa"/>
            <w:shd w:val="clear" w:color="auto" w:fill="auto"/>
          </w:tcPr>
          <w:p w:rsidR="002E2FCE" w:rsidRPr="002E2FCE" w:rsidRDefault="002E2FCE" w:rsidP="002E2FCE">
            <w:pPr>
              <w:spacing w:before="40" w:after="120"/>
              <w:ind w:right="113"/>
              <w:rPr>
                <w:lang w:eastAsia="zh-CN"/>
              </w:rPr>
            </w:pPr>
            <w:r w:rsidRPr="002E2FCE">
              <w:rPr>
                <w:lang w:eastAsia="zh-CN"/>
              </w:rPr>
              <w:t>1</w:t>
            </w:r>
            <w:r w:rsidRPr="002E2FCE">
              <w:rPr>
                <w:vertAlign w:val="superscript"/>
                <w:lang w:eastAsia="zh-CN"/>
              </w:rPr>
              <w:t>er</w:t>
            </w:r>
            <w:r>
              <w:rPr>
                <w:lang w:eastAsia="zh-CN"/>
              </w:rPr>
              <w:t> </w:t>
            </w:r>
            <w:r w:rsidRPr="002E2FCE">
              <w:rPr>
                <w:lang w:eastAsia="zh-CN"/>
              </w:rPr>
              <w:t>mai 2019</w:t>
            </w:r>
          </w:p>
        </w:tc>
      </w:tr>
      <w:tr w:rsidR="002E2FCE" w:rsidRPr="002E2FCE" w:rsidTr="007C3FD4">
        <w:tc>
          <w:tcPr>
            <w:tcW w:w="3686" w:type="dxa"/>
            <w:shd w:val="clear" w:color="auto" w:fill="auto"/>
          </w:tcPr>
          <w:p w:rsidR="002E2FCE" w:rsidRPr="002E2FCE" w:rsidRDefault="002E2FCE" w:rsidP="002E2FCE">
            <w:pPr>
              <w:spacing w:before="40" w:after="120"/>
              <w:ind w:right="113"/>
              <w:rPr>
                <w:lang w:eastAsia="zh-CN"/>
              </w:rPr>
            </w:pPr>
            <w:r w:rsidRPr="002E2FCE">
              <w:rPr>
                <w:lang w:eastAsia="zh-CN"/>
              </w:rPr>
              <w:t>Mali</w:t>
            </w:r>
          </w:p>
        </w:tc>
        <w:tc>
          <w:tcPr>
            <w:tcW w:w="3684" w:type="dxa"/>
            <w:shd w:val="clear" w:color="auto" w:fill="auto"/>
          </w:tcPr>
          <w:p w:rsidR="002E2FCE" w:rsidRPr="002E2FCE" w:rsidRDefault="002E2FCE" w:rsidP="002E2FCE">
            <w:pPr>
              <w:spacing w:before="40" w:after="120"/>
              <w:ind w:right="113"/>
              <w:rPr>
                <w:lang w:eastAsia="zh-CN"/>
              </w:rPr>
            </w:pPr>
            <w:r w:rsidRPr="002E2FCE">
              <w:rPr>
                <w:lang w:eastAsia="zh-CN"/>
              </w:rPr>
              <w:t>1</w:t>
            </w:r>
            <w:r w:rsidRPr="002E2FCE">
              <w:rPr>
                <w:vertAlign w:val="superscript"/>
                <w:lang w:eastAsia="zh-CN"/>
              </w:rPr>
              <w:t>er</w:t>
            </w:r>
            <w:r>
              <w:rPr>
                <w:lang w:eastAsia="zh-CN"/>
              </w:rPr>
              <w:t> </w:t>
            </w:r>
            <w:r w:rsidRPr="002E2FCE">
              <w:rPr>
                <w:lang w:eastAsia="zh-CN"/>
              </w:rPr>
              <w:t>mai 2019</w:t>
            </w:r>
          </w:p>
        </w:tc>
      </w:tr>
      <w:tr w:rsidR="002E2FCE" w:rsidRPr="002E2FCE" w:rsidTr="007C3FD4">
        <w:tc>
          <w:tcPr>
            <w:tcW w:w="3686" w:type="dxa"/>
            <w:tcBorders>
              <w:bottom w:val="single" w:sz="12" w:space="0" w:color="auto"/>
            </w:tcBorders>
            <w:shd w:val="clear" w:color="auto" w:fill="auto"/>
          </w:tcPr>
          <w:p w:rsidR="002E2FCE" w:rsidRPr="002E2FCE" w:rsidRDefault="002E2FCE" w:rsidP="002E2FCE">
            <w:pPr>
              <w:spacing w:before="40" w:after="120"/>
              <w:ind w:right="113"/>
              <w:rPr>
                <w:lang w:eastAsia="zh-CN"/>
              </w:rPr>
            </w:pPr>
            <w:r w:rsidRPr="002E2FCE">
              <w:rPr>
                <w:lang w:eastAsia="zh-CN"/>
              </w:rPr>
              <w:t>Philippines</w:t>
            </w:r>
          </w:p>
        </w:tc>
        <w:tc>
          <w:tcPr>
            <w:tcW w:w="3684" w:type="dxa"/>
            <w:tcBorders>
              <w:bottom w:val="single" w:sz="12" w:space="0" w:color="auto"/>
            </w:tcBorders>
            <w:shd w:val="clear" w:color="auto" w:fill="auto"/>
          </w:tcPr>
          <w:p w:rsidR="002E2FCE" w:rsidRPr="002E2FCE" w:rsidRDefault="002E2FCE" w:rsidP="002E2FCE">
            <w:pPr>
              <w:spacing w:before="40" w:after="120"/>
              <w:ind w:right="113"/>
              <w:rPr>
                <w:lang w:eastAsia="zh-CN"/>
              </w:rPr>
            </w:pPr>
            <w:r w:rsidRPr="002E2FCE">
              <w:rPr>
                <w:lang w:eastAsia="zh-CN"/>
              </w:rPr>
              <w:t>1</w:t>
            </w:r>
            <w:r w:rsidRPr="002E2FCE">
              <w:rPr>
                <w:vertAlign w:val="superscript"/>
                <w:lang w:eastAsia="zh-CN"/>
              </w:rPr>
              <w:t>er</w:t>
            </w:r>
            <w:r>
              <w:rPr>
                <w:lang w:eastAsia="zh-CN"/>
              </w:rPr>
              <w:t> </w:t>
            </w:r>
            <w:r w:rsidRPr="002E2FCE">
              <w:rPr>
                <w:lang w:eastAsia="zh-CN"/>
              </w:rPr>
              <w:t>mai 2019</w:t>
            </w:r>
          </w:p>
        </w:tc>
      </w:tr>
    </w:tbl>
    <w:p w:rsidR="002E2FCE" w:rsidRPr="002E2FCE" w:rsidRDefault="002E2FCE" w:rsidP="002E2FCE">
      <w:pPr>
        <w:pStyle w:val="SingleTxtG"/>
        <w:spacing w:before="120" w:after="240" w:line="220" w:lineRule="atLeast"/>
        <w:ind w:firstLine="170"/>
        <w:jc w:val="left"/>
        <w:rPr>
          <w:sz w:val="18"/>
        </w:rPr>
      </w:pPr>
      <w:proofErr w:type="spellStart"/>
      <w:r w:rsidRPr="002E2FCE">
        <w:rPr>
          <w:i/>
          <w:sz w:val="18"/>
          <w:vertAlign w:val="superscript"/>
        </w:rPr>
        <w:t>a</w:t>
      </w:r>
      <w:proofErr w:type="spellEnd"/>
      <w:r w:rsidRPr="002E2FCE">
        <w:rPr>
          <w:sz w:val="18"/>
        </w:rPr>
        <w:t xml:space="preserve"> </w:t>
      </w:r>
      <w:r>
        <w:rPr>
          <w:sz w:val="18"/>
        </w:rPr>
        <w:t xml:space="preserve"> </w:t>
      </w:r>
      <w:r w:rsidRPr="002E2FCE">
        <w:rPr>
          <w:sz w:val="18"/>
          <w:szCs w:val="18"/>
          <w:lang w:eastAsia="zh-CN"/>
        </w:rPr>
        <w:t>La liste de points établie avant la soumission du rapport a été adoptée par le Comité à sa vingt</w:t>
      </w:r>
      <w:r w:rsidRPr="002E2FCE">
        <w:rPr>
          <w:sz w:val="18"/>
          <w:szCs w:val="18"/>
          <w:lang w:eastAsia="zh-CN"/>
        </w:rPr>
        <w:noBreakHyphen/>
        <w:t>neuvième</w:t>
      </w:r>
      <w:r w:rsidRPr="002E2FCE">
        <w:rPr>
          <w:sz w:val="18"/>
        </w:rPr>
        <w:t xml:space="preserve"> session.</w:t>
      </w:r>
    </w:p>
    <w:p w:rsidR="002E2FCE" w:rsidRPr="002E2FCE" w:rsidRDefault="002E2FCE" w:rsidP="002E2FCE">
      <w:pPr>
        <w:pStyle w:val="SingleTxtG"/>
        <w:ind w:firstLine="567"/>
        <w:rPr>
          <w:lang w:eastAsia="zh-CN"/>
        </w:rPr>
      </w:pPr>
      <w:r w:rsidRPr="002E2FCE">
        <w:rPr>
          <w:lang w:eastAsia="zh-CN"/>
        </w:rPr>
        <w:t>On trouvera ci-après la liste des États parties dont le Comité a examiné la situation en l’absence de rapport et qu’il a prié de soumettre un rapport valant rapport initial et rapports périodiques</w:t>
      </w:r>
      <w:r w:rsidR="001328C4">
        <w:rPr>
          <w:lang w:eastAsia="zh-CN"/>
        </w:rPr>
        <w:t> :</w:t>
      </w:r>
    </w:p>
    <w:tbl>
      <w:tblPr>
        <w:tblW w:w="7370" w:type="dxa"/>
        <w:tblInd w:w="1134" w:type="dxa"/>
        <w:tblLayout w:type="fixed"/>
        <w:tblCellMar>
          <w:left w:w="0" w:type="dxa"/>
          <w:right w:w="0" w:type="dxa"/>
        </w:tblCellMar>
        <w:tblLook w:val="01E0" w:firstRow="1" w:lastRow="1" w:firstColumn="1" w:lastColumn="1" w:noHBand="0" w:noVBand="0"/>
      </w:tblPr>
      <w:tblGrid>
        <w:gridCol w:w="2835"/>
        <w:gridCol w:w="2267"/>
        <w:gridCol w:w="2268"/>
      </w:tblGrid>
      <w:tr w:rsidR="002E2FCE" w:rsidRPr="002E2FCE" w:rsidTr="002E2FCE">
        <w:trPr>
          <w:tblHeader/>
        </w:trPr>
        <w:tc>
          <w:tcPr>
            <w:tcW w:w="2835"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État partie</w:t>
            </w:r>
          </w:p>
        </w:tc>
        <w:tc>
          <w:tcPr>
            <w:tcW w:w="2267"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Rapport initial attendu le</w:t>
            </w:r>
          </w:p>
        </w:tc>
        <w:tc>
          <w:tcPr>
            <w:tcW w:w="2268"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Rapport valant rapport initial et rapports périodiques attendu le</w:t>
            </w:r>
          </w:p>
        </w:tc>
      </w:tr>
      <w:tr w:rsidR="002E2FCE" w:rsidRPr="002E2FCE" w:rsidTr="002E2FCE">
        <w:trPr>
          <w:trHeight w:hRule="exact" w:val="113"/>
          <w:tblHeader/>
        </w:trPr>
        <w:tc>
          <w:tcPr>
            <w:tcW w:w="2835" w:type="dxa"/>
            <w:tcBorders>
              <w:top w:val="single" w:sz="12" w:space="0" w:color="auto"/>
            </w:tcBorders>
            <w:shd w:val="clear" w:color="auto" w:fill="auto"/>
          </w:tcPr>
          <w:p w:rsidR="002E2FCE" w:rsidRPr="002E2FCE" w:rsidRDefault="002E2FCE" w:rsidP="002E2FCE">
            <w:pPr>
              <w:spacing w:before="40" w:after="120"/>
              <w:ind w:right="113"/>
            </w:pPr>
          </w:p>
        </w:tc>
        <w:tc>
          <w:tcPr>
            <w:tcW w:w="2267" w:type="dxa"/>
            <w:tcBorders>
              <w:top w:val="single" w:sz="12" w:space="0" w:color="auto"/>
            </w:tcBorders>
            <w:shd w:val="clear" w:color="auto" w:fill="auto"/>
          </w:tcPr>
          <w:p w:rsidR="002E2FCE" w:rsidRPr="002E2FCE" w:rsidRDefault="002E2FCE" w:rsidP="002E2FCE">
            <w:pPr>
              <w:spacing w:before="40" w:after="120"/>
              <w:ind w:right="113"/>
            </w:pPr>
          </w:p>
        </w:tc>
        <w:tc>
          <w:tcPr>
            <w:tcW w:w="2268" w:type="dxa"/>
            <w:tcBorders>
              <w:top w:val="single" w:sz="12" w:space="0" w:color="auto"/>
            </w:tcBorders>
            <w:shd w:val="clear" w:color="auto" w:fill="auto"/>
          </w:tcPr>
          <w:p w:rsidR="002E2FCE" w:rsidRPr="002E2FCE" w:rsidRDefault="002E2FCE" w:rsidP="002E2FCE">
            <w:pPr>
              <w:spacing w:before="40" w:after="120"/>
              <w:ind w:right="113"/>
            </w:pPr>
          </w:p>
        </w:tc>
      </w:tr>
      <w:tr w:rsidR="002E2FCE" w:rsidRPr="002E2FCE" w:rsidTr="002E2FCE">
        <w:tc>
          <w:tcPr>
            <w:tcW w:w="2835" w:type="dxa"/>
            <w:shd w:val="clear" w:color="auto" w:fill="auto"/>
          </w:tcPr>
          <w:p w:rsidR="002E2FCE" w:rsidRPr="002E2FCE" w:rsidRDefault="002E2FCE" w:rsidP="002E2FCE">
            <w:pPr>
              <w:spacing w:before="40" w:after="120"/>
              <w:ind w:right="113"/>
            </w:pPr>
            <w:proofErr w:type="spellStart"/>
            <w:r w:rsidRPr="002E2FCE">
              <w:t>Belize</w:t>
            </w:r>
            <w:r w:rsidRPr="002E2FCE">
              <w:rPr>
                <w:i/>
                <w:vertAlign w:val="superscript"/>
              </w:rPr>
              <w:t>a</w:t>
            </w:r>
            <w:proofErr w:type="spellEnd"/>
          </w:p>
        </w:tc>
        <w:tc>
          <w:tcPr>
            <w:tcW w:w="2267"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juillet 2004</w:t>
            </w:r>
          </w:p>
        </w:tc>
        <w:tc>
          <w:tcPr>
            <w:tcW w:w="2268" w:type="dxa"/>
            <w:shd w:val="clear" w:color="auto" w:fill="auto"/>
          </w:tcPr>
          <w:p w:rsidR="002E2FCE" w:rsidRPr="002E2FCE" w:rsidRDefault="002E2FCE" w:rsidP="002E2FCE">
            <w:pPr>
              <w:spacing w:before="40" w:after="120"/>
              <w:ind w:right="113"/>
            </w:pPr>
            <w:r w:rsidRPr="002E2FCE">
              <w:t>5 septembre 2016</w:t>
            </w:r>
          </w:p>
        </w:tc>
      </w:tr>
      <w:tr w:rsidR="002E2FCE" w:rsidRPr="002E2FCE" w:rsidTr="002E2FCE">
        <w:tc>
          <w:tcPr>
            <w:tcW w:w="2835" w:type="dxa"/>
            <w:shd w:val="clear" w:color="auto" w:fill="auto"/>
          </w:tcPr>
          <w:p w:rsidR="002E2FCE" w:rsidRPr="002E2FCE" w:rsidRDefault="002E2FCE" w:rsidP="002E2FCE">
            <w:pPr>
              <w:spacing w:before="40" w:after="120"/>
              <w:ind w:right="113"/>
            </w:pPr>
            <w:proofErr w:type="spellStart"/>
            <w:r w:rsidRPr="002E2FCE">
              <w:t>Jamaïque</w:t>
            </w:r>
            <w:r w:rsidRPr="002E2FCE">
              <w:rPr>
                <w:i/>
                <w:vertAlign w:val="superscript"/>
              </w:rPr>
              <w:t>b</w:t>
            </w:r>
            <w:proofErr w:type="spellEnd"/>
          </w:p>
        </w:tc>
        <w:tc>
          <w:tcPr>
            <w:tcW w:w="2267"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janvier 2010</w:t>
            </w:r>
          </w:p>
        </w:tc>
        <w:tc>
          <w:tcPr>
            <w:tcW w:w="2268"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mai 2019</w:t>
            </w:r>
          </w:p>
        </w:tc>
      </w:tr>
      <w:tr w:rsidR="002E2FCE" w:rsidRPr="002E2FCE" w:rsidTr="002E2FCE">
        <w:tc>
          <w:tcPr>
            <w:tcW w:w="2835" w:type="dxa"/>
            <w:shd w:val="clear" w:color="auto" w:fill="auto"/>
          </w:tcPr>
          <w:p w:rsidR="002E2FCE" w:rsidRPr="002E2FCE" w:rsidRDefault="002E2FCE" w:rsidP="002E2FCE">
            <w:pPr>
              <w:spacing w:before="40" w:after="120"/>
              <w:ind w:right="113"/>
            </w:pPr>
            <w:proofErr w:type="spellStart"/>
            <w:r w:rsidRPr="002E2FCE">
              <w:t>Nigéria</w:t>
            </w:r>
            <w:r w:rsidRPr="002E2FCE">
              <w:rPr>
                <w:i/>
                <w:vertAlign w:val="superscript"/>
              </w:rPr>
              <w:t>b</w:t>
            </w:r>
            <w:proofErr w:type="spellEnd"/>
          </w:p>
        </w:tc>
        <w:tc>
          <w:tcPr>
            <w:tcW w:w="2267"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novembre 2010</w:t>
            </w:r>
          </w:p>
        </w:tc>
        <w:tc>
          <w:tcPr>
            <w:tcW w:w="2268" w:type="dxa"/>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mai 2018</w:t>
            </w:r>
          </w:p>
        </w:tc>
      </w:tr>
      <w:tr w:rsidR="002E2FCE" w:rsidRPr="002E2FCE" w:rsidTr="002E2FCE">
        <w:tc>
          <w:tcPr>
            <w:tcW w:w="2835" w:type="dxa"/>
            <w:tcBorders>
              <w:bottom w:val="single" w:sz="12" w:space="0" w:color="auto"/>
            </w:tcBorders>
            <w:shd w:val="clear" w:color="auto" w:fill="auto"/>
          </w:tcPr>
          <w:p w:rsidR="002E2FCE" w:rsidRPr="002E2FCE" w:rsidRDefault="002E2FCE" w:rsidP="002E2FCE">
            <w:pPr>
              <w:spacing w:before="40" w:after="120"/>
              <w:ind w:right="113"/>
            </w:pPr>
            <w:r w:rsidRPr="002E2FCE">
              <w:t xml:space="preserve">Saint-Vincent-et-les </w:t>
            </w:r>
            <w:proofErr w:type="spellStart"/>
            <w:r w:rsidRPr="002E2FCE">
              <w:t>Grenadines</w:t>
            </w:r>
            <w:r w:rsidRPr="002E2FCE">
              <w:rPr>
                <w:i/>
                <w:vertAlign w:val="superscript"/>
              </w:rPr>
              <w:t>c</w:t>
            </w:r>
            <w:proofErr w:type="spellEnd"/>
          </w:p>
        </w:tc>
        <w:tc>
          <w:tcPr>
            <w:tcW w:w="2267" w:type="dxa"/>
            <w:tcBorders>
              <w:bottom w:val="single" w:sz="12" w:space="0" w:color="auto"/>
            </w:tcBorders>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février 2012</w:t>
            </w:r>
          </w:p>
        </w:tc>
        <w:tc>
          <w:tcPr>
            <w:tcW w:w="2268" w:type="dxa"/>
            <w:tcBorders>
              <w:bottom w:val="single" w:sz="12" w:space="0" w:color="auto"/>
            </w:tcBorders>
            <w:shd w:val="clear" w:color="auto" w:fill="auto"/>
          </w:tcPr>
          <w:p w:rsidR="002E2FCE" w:rsidRPr="002E2FCE" w:rsidRDefault="002E2FCE" w:rsidP="002E2FCE">
            <w:pPr>
              <w:spacing w:before="40" w:after="120"/>
              <w:ind w:right="113"/>
            </w:pPr>
            <w:r w:rsidRPr="002E2FCE">
              <w:t>1</w:t>
            </w:r>
            <w:r w:rsidRPr="002E2FCE">
              <w:rPr>
                <w:vertAlign w:val="superscript"/>
              </w:rPr>
              <w:t>er</w:t>
            </w:r>
            <w:r w:rsidRPr="002E2FCE">
              <w:t xml:space="preserve"> mai 2019</w:t>
            </w:r>
          </w:p>
        </w:tc>
      </w:tr>
    </w:tbl>
    <w:p w:rsidR="002E2FCE" w:rsidRPr="002E2FCE" w:rsidRDefault="002E2FCE" w:rsidP="002E2FCE">
      <w:pPr>
        <w:pStyle w:val="SingleTxtG"/>
        <w:spacing w:before="120" w:after="0" w:line="220" w:lineRule="atLeast"/>
        <w:ind w:firstLine="170"/>
        <w:jc w:val="left"/>
        <w:rPr>
          <w:sz w:val="18"/>
          <w:szCs w:val="18"/>
          <w:lang w:eastAsia="zh-CN"/>
        </w:rPr>
      </w:pPr>
      <w:r w:rsidRPr="002E2FCE">
        <w:rPr>
          <w:i/>
          <w:sz w:val="18"/>
          <w:szCs w:val="18"/>
          <w:vertAlign w:val="superscript"/>
          <w:lang w:eastAsia="zh-CN"/>
        </w:rPr>
        <w:t>a</w:t>
      </w:r>
      <w:r w:rsidRPr="002E2FCE">
        <w:rPr>
          <w:sz w:val="18"/>
          <w:szCs w:val="18"/>
          <w:lang w:eastAsia="zh-CN"/>
        </w:rPr>
        <w:t xml:space="preserve"> </w:t>
      </w:r>
      <w:r>
        <w:rPr>
          <w:sz w:val="18"/>
          <w:szCs w:val="18"/>
          <w:lang w:eastAsia="zh-CN"/>
        </w:rPr>
        <w:t xml:space="preserve"> </w:t>
      </w:r>
      <w:r w:rsidRPr="002E2FCE">
        <w:rPr>
          <w:sz w:val="18"/>
          <w:szCs w:val="18"/>
          <w:lang w:eastAsia="zh-CN"/>
        </w:rPr>
        <w:t>Le Comité a examiné la situation dans l’État partie en l’absence de rapport à sa vingt et unième session. À la même session, le Belize a été prié de soumettre un rapport valant rapport initial et deuxième et troisième rapports périodiques. Une liste de points établie avant la soumission du rapport doit être adoptée par le Comité à sa trente</w:t>
      </w:r>
      <w:r w:rsidR="009E6EEF">
        <w:rPr>
          <w:sz w:val="18"/>
          <w:szCs w:val="18"/>
          <w:lang w:eastAsia="zh-CN"/>
        </w:rPr>
        <w:t xml:space="preserve"> </w:t>
      </w:r>
      <w:r w:rsidRPr="002E2FCE">
        <w:rPr>
          <w:sz w:val="18"/>
          <w:szCs w:val="18"/>
          <w:lang w:eastAsia="zh-CN"/>
        </w:rPr>
        <w:t>et</w:t>
      </w:r>
      <w:r w:rsidR="009E6EEF">
        <w:rPr>
          <w:sz w:val="18"/>
          <w:szCs w:val="18"/>
          <w:lang w:eastAsia="zh-CN"/>
        </w:rPr>
        <w:t xml:space="preserve"> </w:t>
      </w:r>
      <w:r w:rsidRPr="002E2FCE">
        <w:rPr>
          <w:sz w:val="18"/>
          <w:szCs w:val="18"/>
          <w:lang w:eastAsia="zh-CN"/>
        </w:rPr>
        <w:t xml:space="preserve">unième </w:t>
      </w:r>
      <w:r w:rsidRPr="002E2FCE">
        <w:rPr>
          <w:sz w:val="18"/>
        </w:rPr>
        <w:t>session.</w:t>
      </w:r>
    </w:p>
    <w:p w:rsidR="002E2FCE" w:rsidRPr="002E2FCE" w:rsidRDefault="002E2FCE" w:rsidP="002E2FCE">
      <w:pPr>
        <w:pStyle w:val="SingleTxtG"/>
        <w:spacing w:after="0" w:line="220" w:lineRule="atLeast"/>
        <w:ind w:firstLine="170"/>
        <w:jc w:val="left"/>
        <w:rPr>
          <w:sz w:val="18"/>
          <w:szCs w:val="18"/>
          <w:lang w:eastAsia="zh-CN"/>
        </w:rPr>
      </w:pPr>
      <w:r w:rsidRPr="002E2FCE">
        <w:rPr>
          <w:i/>
          <w:sz w:val="18"/>
          <w:szCs w:val="18"/>
          <w:vertAlign w:val="superscript"/>
          <w:lang w:eastAsia="zh-CN"/>
        </w:rPr>
        <w:t>b</w:t>
      </w:r>
      <w:r w:rsidRPr="002E2FCE">
        <w:rPr>
          <w:sz w:val="18"/>
          <w:szCs w:val="18"/>
          <w:lang w:eastAsia="zh-CN"/>
        </w:rPr>
        <w:t xml:space="preserve"> </w:t>
      </w:r>
      <w:r>
        <w:rPr>
          <w:sz w:val="18"/>
          <w:szCs w:val="18"/>
          <w:lang w:eastAsia="zh-CN"/>
        </w:rPr>
        <w:t xml:space="preserve"> </w:t>
      </w:r>
      <w:r w:rsidRPr="002E2FCE">
        <w:rPr>
          <w:sz w:val="18"/>
          <w:szCs w:val="18"/>
          <w:lang w:eastAsia="zh-CN"/>
        </w:rPr>
        <w:t>Le Comité a examiné la situation dans l’État partie en l’absence de rapport à sa vingt-sixième session. À la même session, la Jamaïque et le Nigéria ont chacun été priés de soumettre un rapport valant rapport initial et deuxième rapport périodique.</w:t>
      </w:r>
    </w:p>
    <w:p w:rsidR="002E2FCE" w:rsidRPr="002E2FCE" w:rsidRDefault="002E2FCE" w:rsidP="002E2FCE">
      <w:pPr>
        <w:pStyle w:val="SingleTxtG"/>
        <w:spacing w:after="240" w:line="220" w:lineRule="atLeast"/>
        <w:ind w:firstLine="170"/>
        <w:jc w:val="left"/>
        <w:rPr>
          <w:sz w:val="18"/>
          <w:szCs w:val="18"/>
          <w:lang w:eastAsia="zh-CN"/>
        </w:rPr>
      </w:pPr>
      <w:r w:rsidRPr="002E2FCE">
        <w:rPr>
          <w:i/>
          <w:sz w:val="18"/>
          <w:vertAlign w:val="superscript"/>
        </w:rPr>
        <w:t>c</w:t>
      </w:r>
      <w:r w:rsidRPr="002E2FCE">
        <w:rPr>
          <w:sz w:val="18"/>
        </w:rPr>
        <w:t xml:space="preserve"> </w:t>
      </w:r>
      <w:r>
        <w:rPr>
          <w:sz w:val="18"/>
        </w:rPr>
        <w:t xml:space="preserve"> </w:t>
      </w:r>
      <w:r w:rsidRPr="002E2FCE">
        <w:rPr>
          <w:sz w:val="18"/>
        </w:rPr>
        <w:t>Le Comité a examiné la situation dans l’État partie en l’absence de rapport à sa vingt-huitième session. À la même session, Saint-Vincent-et-les Grenadines a été priée de soumettre un rapport valant rapport initial et deuxième rapport périodique.</w:t>
      </w:r>
    </w:p>
    <w:p w:rsidR="002E2FCE" w:rsidRPr="002E2FCE" w:rsidRDefault="002E2FCE" w:rsidP="002E2FCE">
      <w:pPr>
        <w:pStyle w:val="H23G"/>
      </w:pPr>
      <w:r w:rsidRPr="002E2FCE">
        <w:tab/>
        <w:t>5.</w:t>
      </w:r>
      <w:r w:rsidRPr="002E2FCE">
        <w:tab/>
        <w:t xml:space="preserve">Examen des rapports soumis par les États parties en application de l’article 73 </w:t>
      </w:r>
      <w:r>
        <w:br/>
      </w:r>
      <w:r w:rsidRPr="002E2FCE">
        <w:t>de la Convention</w:t>
      </w:r>
    </w:p>
    <w:p w:rsidR="002E2FCE" w:rsidRPr="002E2FCE" w:rsidRDefault="002E2FCE" w:rsidP="002E2FCE">
      <w:pPr>
        <w:pStyle w:val="SingleTxtG"/>
        <w:ind w:firstLine="567"/>
        <w:rPr>
          <w:lang w:eastAsia="zh-CN"/>
        </w:rPr>
      </w:pPr>
      <w:r w:rsidRPr="002E2FCE">
        <w:rPr>
          <w:lang w:eastAsia="zh-CN"/>
        </w:rPr>
        <w:t xml:space="preserve">À sa trente et unième session, le Comité examinera le deuxième rapport périodique de l’Argentine et le troisième rapport périodique de la </w:t>
      </w:r>
      <w:r w:rsidRPr="002E2FCE">
        <w:t>Bosnie-Herzégovine (CMW/C/BIH/3) et de la Colombie (CMW/C/COL/3).</w:t>
      </w:r>
    </w:p>
    <w:p w:rsidR="002E2FCE" w:rsidRPr="002E2FCE" w:rsidRDefault="002E2FCE" w:rsidP="002E2FCE">
      <w:pPr>
        <w:pStyle w:val="SingleTxtG"/>
        <w:ind w:firstLine="567"/>
        <w:rPr>
          <w:lang w:eastAsia="zh-CN"/>
        </w:rPr>
      </w:pPr>
      <w:r w:rsidRPr="002E2FCE">
        <w:rPr>
          <w:lang w:eastAsia="zh-CN"/>
        </w:rPr>
        <w:t xml:space="preserve">Le Comité adoptera des observations finales concernant les rapports des États parties susmentionnés. </w:t>
      </w:r>
      <w:bookmarkStart w:id="0" w:name="_GoBack"/>
      <w:bookmarkEnd w:id="0"/>
      <w:r w:rsidRPr="002E2FCE">
        <w:rPr>
          <w:lang w:eastAsia="zh-CN"/>
        </w:rPr>
        <w:t>Il adoptera également des listes de points établies avant la soumission du rapport pour le Belize et le Burkina Faso.</w:t>
      </w:r>
    </w:p>
    <w:p w:rsidR="002E2FCE" w:rsidRPr="002E2FCE" w:rsidRDefault="002E2FCE" w:rsidP="002E2FCE">
      <w:pPr>
        <w:pStyle w:val="SingleTxtG"/>
        <w:ind w:firstLine="567"/>
        <w:rPr>
          <w:lang w:eastAsia="zh-CN"/>
        </w:rPr>
      </w:pPr>
      <w:r w:rsidRPr="002E2FCE">
        <w:rPr>
          <w:lang w:eastAsia="zh-CN"/>
        </w:rPr>
        <w:t>À sa quatorzième session, en avril 2011, le Comité a élaboré une procédure simplifiée de présentation des rapports (voir A/66/48 et Corr.1, par. 26), qui consiste à établir et adopter une liste de points à traiter puis à transmettre cette liste à l’État partie concerné avant que celui-ci ne soumette le rapport attendu, les réponses de l’État partie à cette liste constituant son rapport au titre du paragraphe 1 de l’article 73 de la Convention. Conformément à l’article 34 du règlement intérieur (voir A/67/48 et Corr.1, par. 26), une liste de points peut également être transmise à un État partie dans le cas où le Comité décide d’examiner l’application de la Convention par cet État en l’absence de rapport.</w:t>
      </w:r>
    </w:p>
    <w:p w:rsidR="002E2FCE" w:rsidRPr="002E2FCE" w:rsidRDefault="002E2FCE" w:rsidP="002E2FCE">
      <w:pPr>
        <w:pStyle w:val="SingleTxtG"/>
        <w:ind w:firstLine="567"/>
        <w:rPr>
          <w:spacing w:val="-1"/>
          <w:lang w:eastAsia="zh-CN"/>
        </w:rPr>
      </w:pPr>
      <w:r w:rsidRPr="002E2FCE">
        <w:rPr>
          <w:spacing w:val="-1"/>
          <w:lang w:eastAsia="zh-CN"/>
        </w:rPr>
        <w:t>Le Secrétaire général a informé les États parties concernés des dates retenues pour l’examen de leurs rapports par le Comité, conformément au programme de travail provisoire.</w:t>
      </w:r>
    </w:p>
    <w:p w:rsidR="002E2FCE" w:rsidRPr="002E2FCE" w:rsidRDefault="002E2FCE" w:rsidP="002E2FCE">
      <w:pPr>
        <w:pStyle w:val="H23G"/>
      </w:pPr>
      <w:r w:rsidRPr="002E2FCE">
        <w:tab/>
        <w:t>6.</w:t>
      </w:r>
      <w:r w:rsidRPr="002E2FCE">
        <w:tab/>
        <w:t>Méthodes de travail du Comité</w:t>
      </w:r>
    </w:p>
    <w:p w:rsidR="002E2FCE" w:rsidRPr="002E2FCE" w:rsidRDefault="002E2FCE" w:rsidP="002E2FCE">
      <w:pPr>
        <w:pStyle w:val="SingleTxtG"/>
        <w:ind w:firstLine="567"/>
        <w:rPr>
          <w:lang w:eastAsia="zh-CN"/>
        </w:rPr>
      </w:pPr>
      <w:r w:rsidRPr="002E2FCE">
        <w:rPr>
          <w:lang w:eastAsia="zh-CN"/>
        </w:rPr>
        <w:t>Le Comité examinera ses méthodes de travail, l’harmonisation des méthodes de travail des organes conventionnels et d’autres questions découlant de la résolution 68/268 de l’Assemblée générale sur le renforcement et l’amélioration du fonctionnement de l’ensemble des organes conventionnels des droits de l’homme.</w:t>
      </w:r>
    </w:p>
    <w:p w:rsidR="002E2FCE" w:rsidRPr="002E2FCE" w:rsidRDefault="002E2FCE" w:rsidP="002E2FCE">
      <w:pPr>
        <w:pStyle w:val="H23G"/>
      </w:pPr>
      <w:r w:rsidRPr="002E2FCE">
        <w:tab/>
        <w:t>7.</w:t>
      </w:r>
      <w:r w:rsidRPr="002E2FCE">
        <w:tab/>
        <w:t>Promotion de la Convention</w:t>
      </w:r>
    </w:p>
    <w:p w:rsidR="002E2FCE" w:rsidRPr="002E2FCE" w:rsidRDefault="002E2FCE" w:rsidP="002E2FCE">
      <w:pPr>
        <w:pStyle w:val="SingleTxtG"/>
        <w:ind w:firstLine="567"/>
        <w:rPr>
          <w:lang w:eastAsia="zh-CN"/>
        </w:rPr>
      </w:pPr>
      <w:r w:rsidRPr="002E2FCE">
        <w:rPr>
          <w:lang w:eastAsia="zh-CN"/>
        </w:rPr>
        <w:t>Le Comité examinera les modalités de sa participation et de son soutien à diverses manifestations et initiatives ayant pour but de continuer à promouvoir la Convention, notamment les réunions avec les parties prenantes, les journées de débat général et l’élaboration d’observations générales.</w:t>
      </w:r>
    </w:p>
    <w:p w:rsidR="002E2FCE" w:rsidRPr="002E2FCE" w:rsidRDefault="002E2FCE" w:rsidP="002E2FCE">
      <w:pPr>
        <w:pStyle w:val="HChG"/>
      </w:pPr>
      <w:r w:rsidRPr="002E2FCE">
        <w:rPr>
          <w:lang w:eastAsia="zh-CN"/>
        </w:rPr>
        <w:br w:type="page"/>
      </w:r>
      <w:r w:rsidRPr="002E2FCE">
        <w:t>Annexe</w:t>
      </w:r>
    </w:p>
    <w:p w:rsidR="002E2FCE" w:rsidRPr="002E2FCE" w:rsidRDefault="002E2FCE" w:rsidP="002E2FCE">
      <w:pPr>
        <w:pStyle w:val="HChG"/>
      </w:pPr>
      <w:r w:rsidRPr="002E2FCE">
        <w:tab/>
      </w:r>
      <w:r w:rsidRPr="002E2FCE">
        <w:tab/>
        <w:t>Programme de travail provisoire</w:t>
      </w:r>
    </w:p>
    <w:tbl>
      <w:tblPr>
        <w:tblW w:w="7370" w:type="dxa"/>
        <w:tblInd w:w="1134" w:type="dxa"/>
        <w:tblLayout w:type="fixed"/>
        <w:tblCellMar>
          <w:left w:w="0" w:type="dxa"/>
          <w:right w:w="0" w:type="dxa"/>
        </w:tblCellMar>
        <w:tblLook w:val="0000" w:firstRow="0" w:lastRow="0" w:firstColumn="0" w:lastColumn="0" w:noHBand="0" w:noVBand="0"/>
      </w:tblPr>
      <w:tblGrid>
        <w:gridCol w:w="2324"/>
        <w:gridCol w:w="1092"/>
        <w:gridCol w:w="3954"/>
      </w:tblGrid>
      <w:tr w:rsidR="002E2FCE" w:rsidRPr="002E2FCE" w:rsidTr="002E2FCE">
        <w:trPr>
          <w:tblHeader/>
        </w:trPr>
        <w:tc>
          <w:tcPr>
            <w:tcW w:w="2324"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Date/heure</w:t>
            </w:r>
          </w:p>
        </w:tc>
        <w:tc>
          <w:tcPr>
            <w:tcW w:w="1092"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ind w:right="113"/>
              <w:rPr>
                <w:i/>
                <w:sz w:val="16"/>
              </w:rPr>
            </w:pPr>
            <w:r w:rsidRPr="002E2FCE">
              <w:rPr>
                <w:i/>
                <w:sz w:val="16"/>
              </w:rPr>
              <w:t>Point de l’ordre du jour</w:t>
            </w:r>
          </w:p>
        </w:tc>
        <w:tc>
          <w:tcPr>
            <w:tcW w:w="3954" w:type="dxa"/>
            <w:tcBorders>
              <w:top w:val="single" w:sz="4" w:space="0" w:color="auto"/>
              <w:bottom w:val="single" w:sz="12" w:space="0" w:color="auto"/>
            </w:tcBorders>
            <w:shd w:val="clear" w:color="auto" w:fill="auto"/>
            <w:vAlign w:val="bottom"/>
          </w:tcPr>
          <w:p w:rsidR="002E2FCE" w:rsidRPr="002E2FCE" w:rsidRDefault="002E2FCE" w:rsidP="002E2FCE">
            <w:pPr>
              <w:spacing w:before="80" w:after="80" w:line="200" w:lineRule="exact"/>
              <w:rPr>
                <w:i/>
                <w:sz w:val="16"/>
              </w:rPr>
            </w:pPr>
            <w:r w:rsidRPr="002E2FCE">
              <w:rPr>
                <w:i/>
                <w:sz w:val="16"/>
              </w:rPr>
              <w:t>Programme</w:t>
            </w:r>
          </w:p>
        </w:tc>
      </w:tr>
      <w:tr w:rsidR="002E2FCE" w:rsidRPr="002E2FCE" w:rsidTr="002E2FCE">
        <w:trPr>
          <w:trHeight w:hRule="exact" w:val="113"/>
          <w:tblHeader/>
        </w:trPr>
        <w:tc>
          <w:tcPr>
            <w:tcW w:w="2324" w:type="dxa"/>
            <w:tcBorders>
              <w:top w:val="single" w:sz="12" w:space="0" w:color="auto"/>
            </w:tcBorders>
            <w:shd w:val="clear" w:color="auto" w:fill="auto"/>
          </w:tcPr>
          <w:p w:rsidR="002E2FCE" w:rsidRPr="002E2FCE" w:rsidRDefault="002E2FCE" w:rsidP="002E2FCE">
            <w:pPr>
              <w:spacing w:before="40" w:after="120"/>
              <w:ind w:right="113"/>
            </w:pPr>
          </w:p>
        </w:tc>
        <w:tc>
          <w:tcPr>
            <w:tcW w:w="1092" w:type="dxa"/>
            <w:tcBorders>
              <w:top w:val="single" w:sz="12" w:space="0" w:color="auto"/>
            </w:tcBorders>
            <w:shd w:val="clear" w:color="auto" w:fill="auto"/>
          </w:tcPr>
          <w:p w:rsidR="002E2FCE" w:rsidRPr="002E2FCE" w:rsidRDefault="002E2FCE" w:rsidP="002E2FCE">
            <w:pPr>
              <w:spacing w:before="40" w:after="120"/>
              <w:ind w:right="113"/>
            </w:pPr>
          </w:p>
        </w:tc>
        <w:tc>
          <w:tcPr>
            <w:tcW w:w="3954" w:type="dxa"/>
            <w:tcBorders>
              <w:top w:val="single" w:sz="12" w:space="0" w:color="auto"/>
            </w:tcBorders>
            <w:shd w:val="clear" w:color="auto" w:fill="auto"/>
          </w:tcPr>
          <w:p w:rsidR="002E2FCE" w:rsidRPr="002E2FCE" w:rsidRDefault="002E2FCE" w:rsidP="002E2FCE">
            <w:pPr>
              <w:spacing w:before="40" w:after="120"/>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Lundi 2 septembre 2019</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rPr>
                <w:lang w:eastAsia="zh-CN"/>
              </w:rPr>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430</w:t>
            </w:r>
            <w:r w:rsidRPr="002E2FCE">
              <w:rPr>
                <w:vertAlign w:val="superscript"/>
              </w:rPr>
              <w:t>e</w:t>
            </w:r>
            <w:r w:rsidRPr="002E2FCE">
              <w:t xml:space="preserve"> séance </w:t>
            </w:r>
            <w:r w:rsidRPr="002E2FCE">
              <w:br/>
              <w:t>10 heures-10 h 30</w:t>
            </w:r>
          </w:p>
        </w:tc>
        <w:tc>
          <w:tcPr>
            <w:tcW w:w="1092" w:type="dxa"/>
            <w:shd w:val="clear" w:color="auto" w:fill="auto"/>
          </w:tcPr>
          <w:p w:rsidR="002E2FCE" w:rsidRPr="002E2FCE" w:rsidRDefault="002E2FCE" w:rsidP="002E2FCE">
            <w:pPr>
              <w:spacing w:before="40" w:after="120"/>
              <w:ind w:right="113"/>
            </w:pPr>
            <w:r w:rsidRPr="002E2FCE">
              <w:t>1</w:t>
            </w:r>
          </w:p>
        </w:tc>
        <w:tc>
          <w:tcPr>
            <w:tcW w:w="3954" w:type="dxa"/>
            <w:shd w:val="clear" w:color="auto" w:fill="auto"/>
          </w:tcPr>
          <w:p w:rsidR="002E2FCE" w:rsidRPr="002E2FCE" w:rsidRDefault="002E2FCE" w:rsidP="002E2FCE">
            <w:pPr>
              <w:spacing w:before="40" w:after="120"/>
            </w:pPr>
            <w:r w:rsidRPr="002E2FCE">
              <w:t xml:space="preserve">Ouverture de la session </w:t>
            </w:r>
            <w:r w:rsidRPr="002E2FCE">
              <w:br/>
              <w:t>(séance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rPr>
                <w:lang w:eastAsia="zh-CN"/>
              </w:rPr>
            </w:pPr>
          </w:p>
        </w:tc>
        <w:tc>
          <w:tcPr>
            <w:tcW w:w="1092" w:type="dxa"/>
            <w:shd w:val="clear" w:color="auto" w:fill="auto"/>
          </w:tcPr>
          <w:p w:rsidR="002E2FCE" w:rsidRPr="002E2FCE" w:rsidRDefault="002E2FCE" w:rsidP="002E2FCE">
            <w:pPr>
              <w:spacing w:before="40" w:after="120"/>
              <w:ind w:right="113"/>
            </w:pPr>
            <w:r w:rsidRPr="002E2FCE">
              <w:t>2-3</w:t>
            </w:r>
          </w:p>
        </w:tc>
        <w:tc>
          <w:tcPr>
            <w:tcW w:w="3954" w:type="dxa"/>
            <w:shd w:val="clear" w:color="auto" w:fill="auto"/>
          </w:tcPr>
          <w:p w:rsidR="002E2FCE" w:rsidRPr="002E2FCE" w:rsidRDefault="002E2FCE" w:rsidP="002E2FCE">
            <w:pPr>
              <w:spacing w:before="40" w:after="120"/>
            </w:pPr>
            <w:r w:rsidRPr="002E2FCE">
              <w:t>Adoption de l’ordre du jour et examen du programme de travail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rPr>
                <w:lang w:eastAsia="zh-CN"/>
              </w:rPr>
            </w:pPr>
          </w:p>
        </w:tc>
        <w:tc>
          <w:tcPr>
            <w:tcW w:w="1092" w:type="dxa"/>
            <w:shd w:val="clear" w:color="auto" w:fill="auto"/>
          </w:tcPr>
          <w:p w:rsidR="002E2FCE" w:rsidRPr="002E2FCE" w:rsidRDefault="002E2FCE" w:rsidP="002E2FCE">
            <w:pPr>
              <w:spacing w:before="40" w:after="120"/>
              <w:ind w:right="113"/>
            </w:pPr>
            <w:r w:rsidRPr="002E2FCE">
              <w:t>7</w:t>
            </w:r>
          </w:p>
        </w:tc>
        <w:tc>
          <w:tcPr>
            <w:tcW w:w="3954" w:type="dxa"/>
            <w:shd w:val="clear" w:color="auto" w:fill="auto"/>
          </w:tcPr>
          <w:p w:rsidR="002E2FCE" w:rsidRPr="002E2FCE" w:rsidRDefault="002E2FCE" w:rsidP="002E2FCE">
            <w:pPr>
              <w:spacing w:before="40" w:after="120"/>
            </w:pPr>
            <w:r w:rsidRPr="002E2FCE">
              <w:t>Activités de promotion de la Convention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10 h 30-11 h 30</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pPr>
            <w:r w:rsidRPr="002E2FCE">
              <w:t>Réunion informelle avec des représentants d’organisations non gouvernementales et d’institutions nationales des droits de l’homme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 xml:space="preserve">11 h 30-13 heures </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pPr>
            <w:r w:rsidRPr="002E2FCE">
              <w:t>Réunion informelle avec des représentants d’organismes et d’institutions spécialisées des Nations Unies (séance privée)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431</w:t>
            </w:r>
            <w:r w:rsidRPr="002E2FCE">
              <w:rPr>
                <w:vertAlign w:val="superscript"/>
              </w:rPr>
              <w:t>e</w:t>
            </w:r>
            <w:r w:rsidRPr="002E2FCE">
              <w:t xml:space="preserve"> séance </w:t>
            </w:r>
            <w:r w:rsidRPr="002E2FCE">
              <w:br/>
              <w:t>15 heures-18 heures</w:t>
            </w:r>
          </w:p>
        </w:tc>
        <w:tc>
          <w:tcPr>
            <w:tcW w:w="1092" w:type="dxa"/>
            <w:shd w:val="clear" w:color="auto" w:fill="auto"/>
          </w:tcPr>
          <w:p w:rsidR="002E2FCE" w:rsidRPr="002E2FCE" w:rsidRDefault="002E2FCE" w:rsidP="002E2FCE">
            <w:pPr>
              <w:spacing w:before="40" w:after="120"/>
              <w:ind w:right="113"/>
            </w:pPr>
            <w:r w:rsidRPr="002E2FCE">
              <w:t>5</w:t>
            </w:r>
          </w:p>
        </w:tc>
        <w:tc>
          <w:tcPr>
            <w:tcW w:w="3954" w:type="dxa"/>
            <w:shd w:val="clear" w:color="auto" w:fill="auto"/>
          </w:tcPr>
          <w:p w:rsidR="002E2FCE" w:rsidRPr="002E2FCE" w:rsidRDefault="002E2FCE" w:rsidP="002E2FCE">
            <w:pPr>
              <w:spacing w:before="40" w:after="120"/>
            </w:pPr>
            <w:r w:rsidRPr="002E2FCE">
              <w:t>Examen des rapports soumis par les États parties en application de l’article 73 de la Convention</w:t>
            </w:r>
            <w:r w:rsidR="001328C4">
              <w:t> :</w:t>
            </w:r>
            <w:r w:rsidRPr="002E2FCE">
              <w:t xml:space="preserve"> deuxième rapport périodique de l’Argentine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Mardi 3 septembre</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rPr>
                <w:lang w:eastAsia="zh-CN"/>
              </w:rPr>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432</w:t>
            </w:r>
            <w:r w:rsidRPr="002E2FCE">
              <w:rPr>
                <w:vertAlign w:val="superscript"/>
              </w:rPr>
              <w:t>e</w:t>
            </w:r>
            <w:r w:rsidRPr="002E2FCE">
              <w:t xml:space="preserve"> séance </w:t>
            </w:r>
            <w:r w:rsidRPr="002E2FCE">
              <w:br/>
              <w:t>10 heures-13 heures</w:t>
            </w:r>
          </w:p>
        </w:tc>
        <w:tc>
          <w:tcPr>
            <w:tcW w:w="1092" w:type="dxa"/>
            <w:shd w:val="clear" w:color="auto" w:fill="auto"/>
          </w:tcPr>
          <w:p w:rsidR="002E2FCE" w:rsidRPr="002E2FCE" w:rsidRDefault="002E2FCE" w:rsidP="002E2FCE">
            <w:pPr>
              <w:spacing w:before="40" w:after="120"/>
              <w:ind w:right="113"/>
            </w:pPr>
            <w:r w:rsidRPr="002E2FCE">
              <w:t>5</w:t>
            </w:r>
          </w:p>
        </w:tc>
        <w:tc>
          <w:tcPr>
            <w:tcW w:w="3954" w:type="dxa"/>
            <w:shd w:val="clear" w:color="auto" w:fill="auto"/>
          </w:tcPr>
          <w:p w:rsidR="002E2FCE" w:rsidRPr="002E2FCE" w:rsidRDefault="002E2FCE" w:rsidP="002E2FCE">
            <w:pPr>
              <w:spacing w:before="40" w:after="120"/>
            </w:pPr>
            <w:r w:rsidRPr="002E2FCE">
              <w:t>Examen des rapports soumis par les États parties en application de l’article 73 de la Convention</w:t>
            </w:r>
            <w:r w:rsidR="001328C4">
              <w:t> :</w:t>
            </w:r>
            <w:r w:rsidRPr="002E2FCE">
              <w:t xml:space="preserve"> deuxième rapport périodique de l’Argentine (</w:t>
            </w:r>
            <w:r w:rsidRPr="007C3FD4">
              <w:rPr>
                <w:i/>
              </w:rPr>
              <w:t>suite</w:t>
            </w:r>
            <w:r w:rsidRPr="002E2FCE">
              <w:t xml:space="preserve">) (séance publique) </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433</w:t>
            </w:r>
            <w:r w:rsidRPr="002E2FCE">
              <w:rPr>
                <w:vertAlign w:val="superscript"/>
              </w:rPr>
              <w:t>e</w:t>
            </w:r>
            <w:r w:rsidRPr="002E2FCE">
              <w:t xml:space="preserve"> séance </w:t>
            </w:r>
            <w:r w:rsidRPr="002E2FCE">
              <w:br/>
              <w:t>15 heures-18 heures</w:t>
            </w:r>
          </w:p>
        </w:tc>
        <w:tc>
          <w:tcPr>
            <w:tcW w:w="1092" w:type="dxa"/>
            <w:shd w:val="clear" w:color="auto" w:fill="auto"/>
          </w:tcPr>
          <w:p w:rsidR="002E2FCE" w:rsidRPr="002E2FCE" w:rsidRDefault="002E2FCE" w:rsidP="002E2FCE">
            <w:pPr>
              <w:spacing w:before="40" w:after="120"/>
              <w:ind w:right="113"/>
            </w:pPr>
            <w:r w:rsidRPr="002E2FCE">
              <w:t>5</w:t>
            </w:r>
          </w:p>
        </w:tc>
        <w:tc>
          <w:tcPr>
            <w:tcW w:w="3954" w:type="dxa"/>
            <w:shd w:val="clear" w:color="auto" w:fill="auto"/>
          </w:tcPr>
          <w:p w:rsidR="002E2FCE" w:rsidRPr="002E2FCE" w:rsidRDefault="002E2FCE" w:rsidP="002E2FCE">
            <w:pPr>
              <w:spacing w:before="40" w:after="120"/>
            </w:pPr>
            <w:r w:rsidRPr="002E2FCE">
              <w:t>Examen des rapports soumis par les États parties en application de l’article 73 de la Convention</w:t>
            </w:r>
            <w:r w:rsidR="001328C4">
              <w:t> :</w:t>
            </w:r>
            <w:r w:rsidRPr="002E2FCE">
              <w:t xml:space="preserve"> troisième rapport périodique de la Bosnie-Herzégovine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Mercredi 4 septembre</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rPr>
                <w:lang w:eastAsia="zh-CN"/>
              </w:rPr>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434</w:t>
            </w:r>
            <w:r w:rsidRPr="002E2FCE">
              <w:rPr>
                <w:vertAlign w:val="superscript"/>
              </w:rPr>
              <w:t>e</w:t>
            </w:r>
            <w:r w:rsidRPr="002E2FCE">
              <w:t xml:space="preserve"> séance </w:t>
            </w:r>
            <w:r w:rsidRPr="002E2FCE">
              <w:br/>
              <w:t>10 heures-13 heures</w:t>
            </w:r>
          </w:p>
        </w:tc>
        <w:tc>
          <w:tcPr>
            <w:tcW w:w="1092" w:type="dxa"/>
            <w:shd w:val="clear" w:color="auto" w:fill="auto"/>
          </w:tcPr>
          <w:p w:rsidR="002E2FCE" w:rsidRPr="002E2FCE" w:rsidRDefault="002E2FCE" w:rsidP="002E2FCE">
            <w:pPr>
              <w:spacing w:before="40" w:after="120"/>
              <w:ind w:right="113"/>
            </w:pPr>
            <w:r w:rsidRPr="002E2FCE">
              <w:t>5</w:t>
            </w:r>
          </w:p>
        </w:tc>
        <w:tc>
          <w:tcPr>
            <w:tcW w:w="3954" w:type="dxa"/>
            <w:shd w:val="clear" w:color="auto" w:fill="auto"/>
          </w:tcPr>
          <w:p w:rsidR="002E2FCE" w:rsidRPr="002E2FCE" w:rsidRDefault="002E2FCE" w:rsidP="002E2FCE">
            <w:pPr>
              <w:spacing w:before="40" w:after="120"/>
            </w:pPr>
            <w:r w:rsidRPr="002E2FCE">
              <w:t>Examen des rapports soumis par les États parties en application de l’article 73 de la Convention</w:t>
            </w:r>
            <w:r w:rsidR="001328C4">
              <w:t> :</w:t>
            </w:r>
            <w:r w:rsidRPr="002E2FCE">
              <w:t xml:space="preserve"> deuxième rapport périodique de la Bosnie-Herzégovine (</w:t>
            </w:r>
            <w:r w:rsidRPr="007C3FD4">
              <w:rPr>
                <w:i/>
              </w:rPr>
              <w:t>suite</w:t>
            </w:r>
            <w:r w:rsidRPr="002E2FCE">
              <w:t>)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435</w:t>
            </w:r>
            <w:r w:rsidRPr="002E2FCE">
              <w:rPr>
                <w:vertAlign w:val="superscript"/>
              </w:rPr>
              <w:t>e</w:t>
            </w:r>
            <w:r w:rsidRPr="002E2FCE">
              <w:t xml:space="preserve"> séance </w:t>
            </w:r>
            <w:r w:rsidRPr="002E2FCE">
              <w:br/>
              <w:t>15 heures-18 heures</w:t>
            </w:r>
          </w:p>
        </w:tc>
        <w:tc>
          <w:tcPr>
            <w:tcW w:w="1092" w:type="dxa"/>
            <w:shd w:val="clear" w:color="auto" w:fill="auto"/>
          </w:tcPr>
          <w:p w:rsidR="002E2FCE" w:rsidRPr="002E2FCE" w:rsidRDefault="002E2FCE" w:rsidP="002E2FCE">
            <w:pPr>
              <w:spacing w:before="40" w:after="120"/>
              <w:ind w:right="113"/>
            </w:pPr>
            <w:r w:rsidRPr="002E2FCE">
              <w:t>7</w:t>
            </w:r>
          </w:p>
        </w:tc>
        <w:tc>
          <w:tcPr>
            <w:tcW w:w="3954" w:type="dxa"/>
            <w:shd w:val="clear" w:color="auto" w:fill="auto"/>
          </w:tcPr>
          <w:p w:rsidR="002E2FCE" w:rsidRPr="002E2FCE" w:rsidRDefault="002E2FCE" w:rsidP="002E2FCE">
            <w:pPr>
              <w:spacing w:before="40" w:after="120"/>
            </w:pPr>
            <w:r w:rsidRPr="002E2FCE">
              <w:t>Réunion avec les États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Jeudi 5 septembre</w:t>
            </w:r>
          </w:p>
        </w:tc>
        <w:tc>
          <w:tcPr>
            <w:tcW w:w="1092" w:type="dxa"/>
            <w:shd w:val="clear" w:color="auto" w:fill="auto"/>
          </w:tcPr>
          <w:p w:rsidR="002E2FCE" w:rsidRPr="002E2FCE" w:rsidRDefault="002E2FCE" w:rsidP="002E2FCE">
            <w:pPr>
              <w:spacing w:before="40" w:after="120"/>
              <w:ind w:right="113"/>
            </w:pPr>
          </w:p>
        </w:tc>
        <w:tc>
          <w:tcPr>
            <w:tcW w:w="3954" w:type="dxa"/>
            <w:shd w:val="clear" w:color="auto" w:fill="auto"/>
          </w:tcPr>
          <w:p w:rsidR="002E2FCE" w:rsidRPr="002E2FCE" w:rsidRDefault="002E2FCE" w:rsidP="002E2FCE">
            <w:pPr>
              <w:spacing w:before="40" w:after="120"/>
            </w:pPr>
            <w:r w:rsidRPr="002E2FCE">
              <w:t>Jour férié (Jeûne genevois)</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Vendredi 6 septembre</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rPr>
                <w:lang w:eastAsia="zh-CN"/>
              </w:rPr>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436</w:t>
            </w:r>
            <w:r w:rsidRPr="002E2FCE">
              <w:rPr>
                <w:vertAlign w:val="superscript"/>
              </w:rPr>
              <w:t>e</w:t>
            </w:r>
            <w:r w:rsidRPr="002E2FCE">
              <w:t> séance</w:t>
            </w:r>
            <w:r w:rsidRPr="002E2FCE">
              <w:br/>
              <w:t>10 heures-13 heures</w:t>
            </w:r>
          </w:p>
        </w:tc>
        <w:tc>
          <w:tcPr>
            <w:tcW w:w="1092" w:type="dxa"/>
            <w:shd w:val="clear" w:color="auto" w:fill="auto"/>
          </w:tcPr>
          <w:p w:rsidR="002E2FCE" w:rsidRPr="002E2FCE" w:rsidRDefault="002E2FCE" w:rsidP="002E2FCE">
            <w:pPr>
              <w:spacing w:before="40" w:after="120"/>
              <w:ind w:right="113"/>
              <w:rPr>
                <w:lang w:eastAsia="zh-CN"/>
              </w:rPr>
            </w:pPr>
            <w:r w:rsidRPr="002E2FCE">
              <w:rPr>
                <w:lang w:eastAsia="zh-CN"/>
              </w:rPr>
              <w:t>5</w:t>
            </w:r>
          </w:p>
        </w:tc>
        <w:tc>
          <w:tcPr>
            <w:tcW w:w="3954" w:type="dxa"/>
            <w:shd w:val="clear" w:color="auto" w:fill="auto"/>
          </w:tcPr>
          <w:p w:rsidR="002E2FCE" w:rsidRPr="002E2FCE" w:rsidRDefault="002E2FCE" w:rsidP="002E2FCE">
            <w:pPr>
              <w:spacing w:before="40" w:after="120"/>
              <w:rPr>
                <w:lang w:eastAsia="zh-CN"/>
              </w:rPr>
            </w:pPr>
            <w:r w:rsidRPr="002E2FCE">
              <w:t>Examen des rapports soumis par les États parties en application de l’article 73 de la Convention</w:t>
            </w:r>
            <w:r w:rsidR="001328C4">
              <w:t> :</w:t>
            </w:r>
            <w:r w:rsidRPr="002E2FCE">
              <w:t xml:space="preserve"> troisième rapport périodique de la Colombie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437</w:t>
            </w:r>
            <w:r w:rsidRPr="002E2FCE">
              <w:rPr>
                <w:vertAlign w:val="superscript"/>
              </w:rPr>
              <w:t>e</w:t>
            </w:r>
            <w:r w:rsidRPr="002E2FCE">
              <w:t xml:space="preserve"> séance </w:t>
            </w:r>
            <w:r w:rsidRPr="002E2FCE">
              <w:br/>
              <w:t>15 heures-18 heures</w:t>
            </w:r>
          </w:p>
        </w:tc>
        <w:tc>
          <w:tcPr>
            <w:tcW w:w="1092" w:type="dxa"/>
            <w:shd w:val="clear" w:color="auto" w:fill="auto"/>
          </w:tcPr>
          <w:p w:rsidR="002E2FCE" w:rsidRPr="002E2FCE" w:rsidRDefault="002E2FCE" w:rsidP="002E2FCE">
            <w:pPr>
              <w:spacing w:before="40" w:after="120"/>
              <w:ind w:right="113"/>
            </w:pPr>
            <w:r w:rsidRPr="002E2FCE">
              <w:t>5</w:t>
            </w:r>
          </w:p>
        </w:tc>
        <w:tc>
          <w:tcPr>
            <w:tcW w:w="3954" w:type="dxa"/>
            <w:shd w:val="clear" w:color="auto" w:fill="auto"/>
          </w:tcPr>
          <w:p w:rsidR="002E2FCE" w:rsidRPr="002E2FCE" w:rsidRDefault="002E2FCE" w:rsidP="002E2FCE">
            <w:pPr>
              <w:spacing w:before="40" w:after="120"/>
            </w:pPr>
            <w:r w:rsidRPr="002E2FCE">
              <w:t>Examen des rapports soumis par les États parties en application de l’article 73 de la Convention</w:t>
            </w:r>
            <w:r w:rsidR="001328C4">
              <w:t> :</w:t>
            </w:r>
            <w:r w:rsidRPr="002E2FCE">
              <w:t xml:space="preserve"> troisième rapport périodique de la Colombie (</w:t>
            </w:r>
            <w:r w:rsidRPr="007C3FD4">
              <w:rPr>
                <w:i/>
              </w:rPr>
              <w:t>suite</w:t>
            </w:r>
            <w:r w:rsidRPr="002E2FCE">
              <w:t>) (séance publique)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Lundi 9 septembre</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rPr>
                <w:lang w:eastAsia="zh-CN"/>
              </w:rPr>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438</w:t>
            </w:r>
            <w:r w:rsidRPr="002E2FCE">
              <w:rPr>
                <w:vertAlign w:val="superscript"/>
              </w:rPr>
              <w:t>e</w:t>
            </w:r>
            <w:r w:rsidRPr="002E2FCE">
              <w:t xml:space="preserve"> séance </w:t>
            </w:r>
            <w:r w:rsidRPr="002E2FCE">
              <w:br/>
              <w:t>10 heures-13 heures</w:t>
            </w:r>
          </w:p>
        </w:tc>
        <w:tc>
          <w:tcPr>
            <w:tcW w:w="1092" w:type="dxa"/>
            <w:shd w:val="clear" w:color="auto" w:fill="auto"/>
          </w:tcPr>
          <w:p w:rsidR="002E2FCE" w:rsidRPr="002E2FCE" w:rsidRDefault="002E2FCE" w:rsidP="002E2FCE">
            <w:pPr>
              <w:spacing w:before="40" w:after="120"/>
              <w:ind w:right="113"/>
            </w:pPr>
            <w:r w:rsidRPr="002E2FCE">
              <w:t>3-7</w:t>
            </w:r>
          </w:p>
        </w:tc>
        <w:tc>
          <w:tcPr>
            <w:tcW w:w="3954" w:type="dxa"/>
            <w:shd w:val="clear" w:color="auto" w:fill="auto"/>
          </w:tcPr>
          <w:p w:rsidR="002E2FCE" w:rsidRPr="002E2FCE" w:rsidRDefault="002E2FCE" w:rsidP="002E2FCE">
            <w:pPr>
              <w:spacing w:before="40" w:after="120"/>
            </w:pPr>
            <w:r w:rsidRPr="002E2FCE">
              <w:t xml:space="preserve">Groupe de travail plénier </w:t>
            </w:r>
            <w:r w:rsidRPr="002E2FCE">
              <w:br/>
              <w:t>(séance privée)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439</w:t>
            </w:r>
            <w:r w:rsidRPr="002E2FCE">
              <w:rPr>
                <w:vertAlign w:val="superscript"/>
              </w:rPr>
              <w:t>e</w:t>
            </w:r>
            <w:r w:rsidRPr="002E2FCE">
              <w:t xml:space="preserve"> séance </w:t>
            </w:r>
            <w:r w:rsidRPr="002E2FCE">
              <w:br/>
              <w:t>15 heures-18 heures</w:t>
            </w:r>
          </w:p>
        </w:tc>
        <w:tc>
          <w:tcPr>
            <w:tcW w:w="1092" w:type="dxa"/>
            <w:shd w:val="clear" w:color="auto" w:fill="auto"/>
          </w:tcPr>
          <w:p w:rsidR="002E2FCE" w:rsidRPr="002E2FCE" w:rsidRDefault="002E2FCE" w:rsidP="002E2FCE">
            <w:pPr>
              <w:spacing w:before="40" w:after="120"/>
              <w:ind w:right="113"/>
            </w:pPr>
            <w:r w:rsidRPr="002E2FCE">
              <w:t>3-7</w:t>
            </w:r>
          </w:p>
        </w:tc>
        <w:tc>
          <w:tcPr>
            <w:tcW w:w="3954" w:type="dxa"/>
            <w:shd w:val="clear" w:color="auto" w:fill="auto"/>
          </w:tcPr>
          <w:p w:rsidR="002E2FCE" w:rsidRPr="002E2FCE" w:rsidRDefault="002E2FCE" w:rsidP="002E2FCE">
            <w:pPr>
              <w:spacing w:before="40" w:after="120"/>
            </w:pPr>
            <w:r w:rsidRPr="002E2FCE">
              <w:t>Groupe de travail plénier (</w:t>
            </w:r>
            <w:r w:rsidRPr="007C3FD4">
              <w:rPr>
                <w:i/>
              </w:rPr>
              <w:t>suite</w:t>
            </w:r>
            <w:r w:rsidRPr="002E2FCE">
              <w:t xml:space="preserve">) </w:t>
            </w:r>
            <w:r w:rsidRPr="002E2FCE">
              <w:br/>
              <w:t>(séance privée)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Mardi 10 septembre</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rPr>
                <w:lang w:eastAsia="zh-CN"/>
              </w:rPr>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440</w:t>
            </w:r>
            <w:r w:rsidRPr="002E2FCE">
              <w:rPr>
                <w:vertAlign w:val="superscript"/>
              </w:rPr>
              <w:t>e</w:t>
            </w:r>
            <w:r w:rsidRPr="002E2FCE">
              <w:t xml:space="preserve"> séance </w:t>
            </w:r>
            <w:r w:rsidRPr="002E2FCE">
              <w:br/>
              <w:t>10 heures-13 heures</w:t>
            </w:r>
          </w:p>
        </w:tc>
        <w:tc>
          <w:tcPr>
            <w:tcW w:w="1092" w:type="dxa"/>
            <w:shd w:val="clear" w:color="auto" w:fill="auto"/>
          </w:tcPr>
          <w:p w:rsidR="002E2FCE" w:rsidRPr="002E2FCE" w:rsidRDefault="002E2FCE" w:rsidP="002E2FCE">
            <w:pPr>
              <w:spacing w:before="40" w:after="120"/>
              <w:ind w:right="113"/>
            </w:pPr>
            <w:r w:rsidRPr="002E2FCE">
              <w:t>3-7</w:t>
            </w:r>
          </w:p>
        </w:tc>
        <w:tc>
          <w:tcPr>
            <w:tcW w:w="3954" w:type="dxa"/>
            <w:shd w:val="clear" w:color="auto" w:fill="auto"/>
          </w:tcPr>
          <w:p w:rsidR="002E2FCE" w:rsidRPr="002E2FCE" w:rsidRDefault="002E2FCE" w:rsidP="002E2FCE">
            <w:pPr>
              <w:spacing w:before="40" w:after="120"/>
            </w:pPr>
            <w:r w:rsidRPr="002E2FCE">
              <w:t>Groupe de travail plénier (</w:t>
            </w:r>
            <w:r w:rsidRPr="007C3FD4">
              <w:rPr>
                <w:i/>
              </w:rPr>
              <w:t>suite</w:t>
            </w:r>
            <w:r w:rsidRPr="002E2FCE">
              <w:t xml:space="preserve">) </w:t>
            </w:r>
            <w:r w:rsidRPr="002E2FCE">
              <w:br/>
              <w:t>(séance privée)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441</w:t>
            </w:r>
            <w:r w:rsidRPr="002E2FCE">
              <w:rPr>
                <w:vertAlign w:val="superscript"/>
              </w:rPr>
              <w:t>e</w:t>
            </w:r>
            <w:r w:rsidRPr="002E2FCE">
              <w:t xml:space="preserve"> séance </w:t>
            </w:r>
            <w:r w:rsidRPr="002E2FCE">
              <w:br/>
              <w:t>15 heures-18 heures</w:t>
            </w:r>
          </w:p>
        </w:tc>
        <w:tc>
          <w:tcPr>
            <w:tcW w:w="1092" w:type="dxa"/>
            <w:shd w:val="clear" w:color="auto" w:fill="auto"/>
          </w:tcPr>
          <w:p w:rsidR="002E2FCE" w:rsidRPr="002E2FCE" w:rsidRDefault="002E2FCE" w:rsidP="002E2FCE">
            <w:pPr>
              <w:spacing w:before="40" w:after="120"/>
              <w:ind w:right="113"/>
            </w:pPr>
            <w:r w:rsidRPr="002E2FCE">
              <w:t>3-7</w:t>
            </w:r>
          </w:p>
        </w:tc>
        <w:tc>
          <w:tcPr>
            <w:tcW w:w="3954" w:type="dxa"/>
            <w:shd w:val="clear" w:color="auto" w:fill="auto"/>
          </w:tcPr>
          <w:p w:rsidR="002E2FCE" w:rsidRPr="002E2FCE" w:rsidRDefault="002E2FCE" w:rsidP="002E2FCE">
            <w:pPr>
              <w:spacing w:before="40" w:after="120"/>
            </w:pPr>
            <w:r w:rsidRPr="002E2FCE">
              <w:t>Groupe de travail plénier (</w:t>
            </w:r>
            <w:r w:rsidRPr="007C3FD4">
              <w:rPr>
                <w:i/>
              </w:rPr>
              <w:t>suite</w:t>
            </w:r>
            <w:r w:rsidRPr="002E2FCE">
              <w:t xml:space="preserve">) </w:t>
            </w:r>
            <w:r w:rsidRPr="002E2FCE">
              <w:br/>
              <w:t>(séance privée)</w:t>
            </w: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Mercredi 11 septembre</w:t>
            </w:r>
          </w:p>
        </w:tc>
        <w:tc>
          <w:tcPr>
            <w:tcW w:w="1092" w:type="dxa"/>
            <w:shd w:val="clear" w:color="auto" w:fill="auto"/>
          </w:tcPr>
          <w:p w:rsidR="002E2FCE" w:rsidRPr="002E2FCE" w:rsidRDefault="002E2FCE" w:rsidP="002E2FCE">
            <w:pPr>
              <w:spacing w:before="40" w:after="120"/>
              <w:ind w:right="113"/>
              <w:rPr>
                <w:lang w:eastAsia="zh-CN"/>
              </w:rPr>
            </w:pPr>
          </w:p>
        </w:tc>
        <w:tc>
          <w:tcPr>
            <w:tcW w:w="3954" w:type="dxa"/>
            <w:shd w:val="clear" w:color="auto" w:fill="auto"/>
          </w:tcPr>
          <w:p w:rsidR="002E2FCE" w:rsidRPr="002E2FCE" w:rsidRDefault="002E2FCE" w:rsidP="002E2FCE">
            <w:pPr>
              <w:spacing w:before="40" w:after="120"/>
              <w:rPr>
                <w:lang w:eastAsia="zh-CN"/>
              </w:rPr>
            </w:pPr>
          </w:p>
        </w:tc>
      </w:tr>
      <w:tr w:rsidR="002E2FCE" w:rsidRPr="002E2FCE" w:rsidTr="002E2FCE">
        <w:tc>
          <w:tcPr>
            <w:tcW w:w="2324" w:type="dxa"/>
            <w:shd w:val="clear" w:color="auto" w:fill="auto"/>
          </w:tcPr>
          <w:p w:rsidR="002E2FCE" w:rsidRPr="002E2FCE" w:rsidRDefault="002E2FCE" w:rsidP="002E2FCE">
            <w:pPr>
              <w:spacing w:before="40" w:after="120"/>
              <w:ind w:right="113"/>
            </w:pPr>
            <w:r w:rsidRPr="002E2FCE">
              <w:t>442</w:t>
            </w:r>
            <w:r w:rsidRPr="002E2FCE">
              <w:rPr>
                <w:vertAlign w:val="superscript"/>
              </w:rPr>
              <w:t>e</w:t>
            </w:r>
            <w:r w:rsidRPr="002E2FCE">
              <w:t xml:space="preserve"> séance </w:t>
            </w:r>
            <w:r w:rsidRPr="002E2FCE">
              <w:br/>
              <w:t>10 heures-13 heures</w:t>
            </w:r>
          </w:p>
        </w:tc>
        <w:tc>
          <w:tcPr>
            <w:tcW w:w="1092" w:type="dxa"/>
            <w:shd w:val="clear" w:color="auto" w:fill="auto"/>
          </w:tcPr>
          <w:p w:rsidR="002E2FCE" w:rsidRPr="002E2FCE" w:rsidRDefault="002E2FCE" w:rsidP="002E2FCE">
            <w:pPr>
              <w:spacing w:before="40" w:after="120"/>
              <w:ind w:right="113"/>
            </w:pPr>
            <w:r w:rsidRPr="002E2FCE">
              <w:t>3-7</w:t>
            </w:r>
          </w:p>
        </w:tc>
        <w:tc>
          <w:tcPr>
            <w:tcW w:w="3954" w:type="dxa"/>
            <w:shd w:val="clear" w:color="auto" w:fill="auto"/>
          </w:tcPr>
          <w:p w:rsidR="002E2FCE" w:rsidRPr="002E2FCE" w:rsidRDefault="002E2FCE" w:rsidP="002E2FCE">
            <w:pPr>
              <w:spacing w:before="40" w:after="120"/>
            </w:pPr>
            <w:r w:rsidRPr="002E2FCE">
              <w:t>Groupe de travail plénier (</w:t>
            </w:r>
            <w:r w:rsidRPr="007C3FD4">
              <w:rPr>
                <w:i/>
              </w:rPr>
              <w:t>suite</w:t>
            </w:r>
            <w:r w:rsidRPr="002E2FCE">
              <w:t xml:space="preserve">) </w:t>
            </w:r>
            <w:r w:rsidRPr="002E2FCE">
              <w:br/>
              <w:t>(séance privée)</w:t>
            </w:r>
          </w:p>
        </w:tc>
      </w:tr>
      <w:tr w:rsidR="002E2FCE" w:rsidRPr="002E2FCE" w:rsidTr="002E2FCE">
        <w:tc>
          <w:tcPr>
            <w:tcW w:w="2324" w:type="dxa"/>
            <w:tcBorders>
              <w:bottom w:val="single" w:sz="12" w:space="0" w:color="auto"/>
            </w:tcBorders>
            <w:shd w:val="clear" w:color="auto" w:fill="auto"/>
          </w:tcPr>
          <w:p w:rsidR="002E2FCE" w:rsidRPr="002E2FCE" w:rsidRDefault="002E2FCE" w:rsidP="002E2FCE">
            <w:pPr>
              <w:spacing w:before="40" w:after="120"/>
              <w:ind w:right="113"/>
            </w:pPr>
            <w:r w:rsidRPr="002E2FCE">
              <w:t>443</w:t>
            </w:r>
            <w:r w:rsidRPr="002E2FCE">
              <w:rPr>
                <w:vertAlign w:val="superscript"/>
              </w:rPr>
              <w:t>e</w:t>
            </w:r>
            <w:r w:rsidRPr="002E2FCE">
              <w:t xml:space="preserve"> séance </w:t>
            </w:r>
            <w:r w:rsidRPr="002E2FCE">
              <w:br/>
              <w:t>15 heures-18 heures</w:t>
            </w:r>
          </w:p>
        </w:tc>
        <w:tc>
          <w:tcPr>
            <w:tcW w:w="1092" w:type="dxa"/>
            <w:tcBorders>
              <w:bottom w:val="single" w:sz="12" w:space="0" w:color="auto"/>
            </w:tcBorders>
            <w:shd w:val="clear" w:color="auto" w:fill="auto"/>
          </w:tcPr>
          <w:p w:rsidR="002E2FCE" w:rsidRPr="002E2FCE" w:rsidRDefault="002E2FCE" w:rsidP="002E2FCE">
            <w:pPr>
              <w:spacing w:before="40" w:after="120"/>
              <w:ind w:right="113"/>
            </w:pPr>
            <w:r w:rsidRPr="002E2FCE">
              <w:t>3-7</w:t>
            </w:r>
          </w:p>
        </w:tc>
        <w:tc>
          <w:tcPr>
            <w:tcW w:w="3954" w:type="dxa"/>
            <w:tcBorders>
              <w:bottom w:val="single" w:sz="12" w:space="0" w:color="auto"/>
            </w:tcBorders>
            <w:shd w:val="clear" w:color="auto" w:fill="auto"/>
          </w:tcPr>
          <w:p w:rsidR="002E2FCE" w:rsidRPr="002E2FCE" w:rsidRDefault="002E2FCE" w:rsidP="002E2FCE">
            <w:pPr>
              <w:spacing w:before="40" w:after="120"/>
            </w:pPr>
            <w:r w:rsidRPr="002E2FCE">
              <w:t>Groupe de travail plénier (</w:t>
            </w:r>
            <w:r w:rsidRPr="007C3FD4">
              <w:rPr>
                <w:i/>
              </w:rPr>
              <w:t>suite</w:t>
            </w:r>
            <w:r w:rsidRPr="002E2FCE">
              <w:t xml:space="preserve">) </w:t>
            </w:r>
            <w:r w:rsidRPr="002E2FCE">
              <w:br/>
              <w:t>(séance privée) et clôture de la session (séance publique)</w:t>
            </w:r>
          </w:p>
        </w:tc>
      </w:tr>
    </w:tbl>
    <w:p w:rsidR="00AB6672" w:rsidRPr="002E2FCE" w:rsidRDefault="002E2FCE" w:rsidP="002E2FCE">
      <w:pPr>
        <w:pStyle w:val="SingleTxtG"/>
        <w:spacing w:before="240" w:after="0"/>
        <w:jc w:val="center"/>
        <w:rPr>
          <w:u w:val="single"/>
        </w:rPr>
      </w:pPr>
      <w:r w:rsidRPr="002E2FCE">
        <w:rPr>
          <w:u w:val="single"/>
        </w:rPr>
        <w:tab/>
      </w:r>
      <w:r w:rsidRPr="002E2FCE">
        <w:rPr>
          <w:u w:val="single"/>
        </w:rPr>
        <w:tab/>
      </w:r>
      <w:r w:rsidRPr="002E2FCE">
        <w:rPr>
          <w:u w:val="single"/>
        </w:rPr>
        <w:tab/>
      </w:r>
    </w:p>
    <w:sectPr w:rsidR="00AB6672" w:rsidRPr="002E2FCE" w:rsidSect="00AB66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2FCE" w:rsidRDefault="002E2FCE" w:rsidP="00F95C08">
      <w:pPr>
        <w:spacing w:line="240" w:lineRule="auto"/>
      </w:pPr>
    </w:p>
  </w:endnote>
  <w:endnote w:type="continuationSeparator" w:id="0">
    <w:p w:rsidR="002E2FCE" w:rsidRPr="00AC3823" w:rsidRDefault="002E2FCE" w:rsidP="00AC3823">
      <w:pPr>
        <w:pStyle w:val="Pieddepage"/>
      </w:pPr>
    </w:p>
  </w:endnote>
  <w:endnote w:type="continuationNotice" w:id="1">
    <w:p w:rsidR="002E2FCE" w:rsidRDefault="002E2F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FCE" w:rsidRPr="00AB6672" w:rsidRDefault="002E2FCE" w:rsidP="00AB6672">
    <w:pPr>
      <w:pStyle w:val="Pieddepage"/>
      <w:tabs>
        <w:tab w:val="right" w:pos="9638"/>
      </w:tabs>
    </w:pPr>
    <w:r w:rsidRPr="00AB6672">
      <w:rPr>
        <w:b/>
        <w:sz w:val="18"/>
      </w:rPr>
      <w:fldChar w:fldCharType="begin"/>
    </w:r>
    <w:r w:rsidRPr="00AB6672">
      <w:rPr>
        <w:b/>
        <w:sz w:val="18"/>
      </w:rPr>
      <w:instrText xml:space="preserve"> PAGE  \* MERGEFORMAT </w:instrText>
    </w:r>
    <w:r w:rsidRPr="00AB6672">
      <w:rPr>
        <w:b/>
        <w:sz w:val="18"/>
      </w:rPr>
      <w:fldChar w:fldCharType="separate"/>
    </w:r>
    <w:r w:rsidRPr="00AB6672">
      <w:rPr>
        <w:b/>
        <w:noProof/>
        <w:sz w:val="18"/>
      </w:rPr>
      <w:t>2</w:t>
    </w:r>
    <w:r w:rsidRPr="00AB6672">
      <w:rPr>
        <w:b/>
        <w:sz w:val="18"/>
      </w:rPr>
      <w:fldChar w:fldCharType="end"/>
    </w:r>
    <w:r>
      <w:rPr>
        <w:b/>
        <w:sz w:val="18"/>
      </w:rPr>
      <w:tab/>
    </w:r>
    <w:r>
      <w:t>GE.19-11271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FCE" w:rsidRPr="00AB6672" w:rsidRDefault="002E2FCE" w:rsidP="00AB6672">
    <w:pPr>
      <w:pStyle w:val="Pieddepage"/>
      <w:tabs>
        <w:tab w:val="right" w:pos="9638"/>
      </w:tabs>
      <w:rPr>
        <w:b/>
        <w:sz w:val="18"/>
      </w:rPr>
    </w:pPr>
    <w:r>
      <w:t>GE.19-11271</w:t>
    </w:r>
    <w:r>
      <w:tab/>
    </w:r>
    <w:r w:rsidRPr="00AB6672">
      <w:rPr>
        <w:b/>
        <w:sz w:val="18"/>
      </w:rPr>
      <w:fldChar w:fldCharType="begin"/>
    </w:r>
    <w:r w:rsidRPr="00AB6672">
      <w:rPr>
        <w:b/>
        <w:sz w:val="18"/>
      </w:rPr>
      <w:instrText xml:space="preserve"> PAGE  \* MERGEFORMAT </w:instrText>
    </w:r>
    <w:r w:rsidRPr="00AB6672">
      <w:rPr>
        <w:b/>
        <w:sz w:val="18"/>
      </w:rPr>
      <w:fldChar w:fldCharType="separate"/>
    </w:r>
    <w:r w:rsidRPr="00AB6672">
      <w:rPr>
        <w:b/>
        <w:noProof/>
        <w:sz w:val="18"/>
      </w:rPr>
      <w:t>3</w:t>
    </w:r>
    <w:r w:rsidRPr="00AB66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FCE" w:rsidRPr="00AB6672" w:rsidRDefault="002E2FCE" w:rsidP="00AB667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19-11271  (F)    090719    110719</w:t>
    </w:r>
    <w:r>
      <w:rPr>
        <w:sz w:val="20"/>
      </w:rPr>
      <w:br/>
    </w:r>
    <w:r w:rsidRPr="00AB6672">
      <w:rPr>
        <w:rFonts w:ascii="C39T30Lfz" w:hAnsi="C39T30Lfz"/>
        <w:sz w:val="56"/>
      </w:rPr>
      <w:t></w:t>
    </w:r>
    <w:r w:rsidRPr="00AB6672">
      <w:rPr>
        <w:rFonts w:ascii="C39T30Lfz" w:hAnsi="C39T30Lfz"/>
        <w:sz w:val="56"/>
      </w:rPr>
      <w:t></w:t>
    </w:r>
    <w:r w:rsidRPr="00AB6672">
      <w:rPr>
        <w:rFonts w:ascii="C39T30Lfz" w:hAnsi="C39T30Lfz"/>
        <w:sz w:val="56"/>
      </w:rPr>
      <w:t></w:t>
    </w:r>
    <w:r w:rsidRPr="00AB6672">
      <w:rPr>
        <w:rFonts w:ascii="C39T30Lfz" w:hAnsi="C39T30Lfz"/>
        <w:sz w:val="56"/>
      </w:rPr>
      <w:t></w:t>
    </w:r>
    <w:r w:rsidRPr="00AB6672">
      <w:rPr>
        <w:rFonts w:ascii="C39T30Lfz" w:hAnsi="C39T30Lfz"/>
        <w:sz w:val="56"/>
      </w:rPr>
      <w:t></w:t>
    </w:r>
    <w:r w:rsidRPr="00AB6672">
      <w:rPr>
        <w:rFonts w:ascii="C39T30Lfz" w:hAnsi="C39T30Lfz"/>
        <w:sz w:val="56"/>
      </w:rPr>
      <w:t></w:t>
    </w:r>
    <w:r w:rsidRPr="00AB6672">
      <w:rPr>
        <w:rFonts w:ascii="C39T30Lfz" w:hAnsi="C39T30Lfz"/>
        <w:sz w:val="56"/>
      </w:rPr>
      <w:t></w:t>
    </w:r>
    <w:r w:rsidRPr="00AB6672">
      <w:rPr>
        <w:rFonts w:ascii="C39T30Lfz" w:hAnsi="C39T30Lfz"/>
        <w:sz w:val="56"/>
      </w:rPr>
      <w:t></w:t>
    </w:r>
    <w:r w:rsidRPr="00AB667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3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3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2FCE" w:rsidRPr="00AC3823" w:rsidRDefault="002E2FCE" w:rsidP="00AC3823">
      <w:pPr>
        <w:pStyle w:val="Pieddepage"/>
        <w:tabs>
          <w:tab w:val="right" w:pos="2155"/>
        </w:tabs>
        <w:spacing w:after="80" w:line="240" w:lineRule="atLeast"/>
        <w:ind w:left="680"/>
        <w:rPr>
          <w:u w:val="single"/>
        </w:rPr>
      </w:pPr>
      <w:r>
        <w:rPr>
          <w:u w:val="single"/>
        </w:rPr>
        <w:tab/>
      </w:r>
    </w:p>
  </w:footnote>
  <w:footnote w:type="continuationSeparator" w:id="0">
    <w:p w:rsidR="002E2FCE" w:rsidRPr="00AC3823" w:rsidRDefault="002E2FCE" w:rsidP="00AC3823">
      <w:pPr>
        <w:pStyle w:val="Pieddepage"/>
        <w:tabs>
          <w:tab w:val="right" w:pos="2155"/>
        </w:tabs>
        <w:spacing w:after="80" w:line="240" w:lineRule="atLeast"/>
        <w:ind w:left="680"/>
        <w:rPr>
          <w:u w:val="single"/>
        </w:rPr>
      </w:pPr>
      <w:r>
        <w:rPr>
          <w:u w:val="single"/>
        </w:rPr>
        <w:tab/>
      </w:r>
    </w:p>
  </w:footnote>
  <w:footnote w:type="continuationNotice" w:id="1">
    <w:p w:rsidR="002E2FCE" w:rsidRPr="00AC3823" w:rsidRDefault="002E2FC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FCE" w:rsidRPr="00AB6672" w:rsidRDefault="002E2FCE">
    <w:pPr>
      <w:pStyle w:val="En-tte"/>
    </w:pPr>
    <w:fldSimple w:instr=" TITLE  \* MERGEFORMAT ">
      <w:r w:rsidR="003B75F8">
        <w:t>CMW/C/31/1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2FCE" w:rsidRPr="00AB6672" w:rsidRDefault="002E2FCE" w:rsidP="00AB6672">
    <w:pPr>
      <w:pStyle w:val="En-tte"/>
      <w:jc w:val="right"/>
    </w:pPr>
    <w:fldSimple w:instr=" TITLE  \* MERGEFORMAT ">
      <w:r w:rsidR="003B75F8">
        <w:t>CMW/C/31/1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5199D"/>
    <w:rsid w:val="00017F94"/>
    <w:rsid w:val="00023842"/>
    <w:rsid w:val="000334F9"/>
    <w:rsid w:val="00045960"/>
    <w:rsid w:val="0007796D"/>
    <w:rsid w:val="000B7790"/>
    <w:rsid w:val="00111F2F"/>
    <w:rsid w:val="001328C4"/>
    <w:rsid w:val="0014365E"/>
    <w:rsid w:val="00176178"/>
    <w:rsid w:val="001925B4"/>
    <w:rsid w:val="001F525A"/>
    <w:rsid w:val="002001BB"/>
    <w:rsid w:val="00223272"/>
    <w:rsid w:val="0024779E"/>
    <w:rsid w:val="002E2FCE"/>
    <w:rsid w:val="003B75F8"/>
    <w:rsid w:val="003D7914"/>
    <w:rsid w:val="00446FE5"/>
    <w:rsid w:val="00452396"/>
    <w:rsid w:val="005505B7"/>
    <w:rsid w:val="00573BE5"/>
    <w:rsid w:val="00586ED3"/>
    <w:rsid w:val="00596AA9"/>
    <w:rsid w:val="006E22E7"/>
    <w:rsid w:val="0071601D"/>
    <w:rsid w:val="0073008B"/>
    <w:rsid w:val="007A62E6"/>
    <w:rsid w:val="007C3FD4"/>
    <w:rsid w:val="007E72B4"/>
    <w:rsid w:val="0080684C"/>
    <w:rsid w:val="00871C75"/>
    <w:rsid w:val="008776DC"/>
    <w:rsid w:val="008F572B"/>
    <w:rsid w:val="0092121E"/>
    <w:rsid w:val="009705C8"/>
    <w:rsid w:val="009E6EEF"/>
    <w:rsid w:val="00A23C3E"/>
    <w:rsid w:val="00A30353"/>
    <w:rsid w:val="00AA06AE"/>
    <w:rsid w:val="00AB6672"/>
    <w:rsid w:val="00AC3823"/>
    <w:rsid w:val="00AE323C"/>
    <w:rsid w:val="00B00181"/>
    <w:rsid w:val="00B5199D"/>
    <w:rsid w:val="00B765F7"/>
    <w:rsid w:val="00BA0CA9"/>
    <w:rsid w:val="00C02897"/>
    <w:rsid w:val="00C14658"/>
    <w:rsid w:val="00D3439C"/>
    <w:rsid w:val="00D54656"/>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D53127"/>
  <w15:docId w15:val="{0CC3D770-4F0C-45D4-AFCC-ECE1B4A04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1575</Words>
  <Characters>8982</Characters>
  <Application>Microsoft Office Word</Application>
  <DocSecurity>0</DocSecurity>
  <Lines>816</Lines>
  <Paragraphs>182</Paragraphs>
  <ScaleCrop>false</ScaleCrop>
  <HeadingPairs>
    <vt:vector size="2" baseType="variant">
      <vt:variant>
        <vt:lpstr>Titre</vt:lpstr>
      </vt:variant>
      <vt:variant>
        <vt:i4>1</vt:i4>
      </vt:variant>
    </vt:vector>
  </HeadingPairs>
  <TitlesOfParts>
    <vt:vector size="1" baseType="lpstr">
      <vt:lpstr>CMW/C/31/1</vt:lpstr>
    </vt:vector>
  </TitlesOfParts>
  <Company>DCM</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CMW/C/31/1</dc:title>
  <dc:subject/>
  <dc:creator>Nicolas MORIN</dc:creator>
  <cp:keywords/>
  <cp:lastModifiedBy>Nicolas MORIN</cp:lastModifiedBy>
  <cp:revision>2</cp:revision>
  <cp:lastPrinted>2019-07-11T07:36:00Z</cp:lastPrinted>
  <dcterms:created xsi:type="dcterms:W3CDTF">2019-07-11T08:52:00Z</dcterms:created>
  <dcterms:modified xsi:type="dcterms:W3CDTF">2019-07-11T08:52:00Z</dcterms:modified>
</cp:coreProperties>
</file>