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hAnsi="SimSu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Ansi="SimSun" w:hint="eastAsia"/>
          <w:vanish/>
        </w:rPr>
        <w:commentReference w:id="0"/>
      </w:r>
    </w:p>
    <w:p w:rsidR="00000000" w:rsidRDefault="00000000">
      <w:pPr>
        <w:spacing w:line="60" w:lineRule="exact"/>
        <w:rPr>
          <w:rFonts w:hAnsi="SimSun"/>
          <w:sz w:val="6"/>
        </w:rPr>
      </w:pPr>
    </w:p>
    <w:p w:rsidR="00000000" w:rsidRDefault="00000000">
      <w:pPr>
        <w:pStyle w:val="H1"/>
        <w:rPr>
          <w:rFonts w:ascii="SimSun" w:eastAsia="SimSun" w:hAnsi="SimSun" w:hint="eastAsia"/>
        </w:rPr>
      </w:pPr>
      <w:r>
        <w:rPr>
          <w:rFonts w:ascii="SimSun" w:eastAsia="SimSun" w:hAnsi="SimSun" w:hint="eastAsia"/>
        </w:rPr>
        <w:t>消除对妇女歧视委员会</w:t>
      </w:r>
    </w:p>
    <w:p w:rsidR="00000000" w:rsidRDefault="00000000">
      <w:pPr>
        <w:pStyle w:val="H23"/>
        <w:rPr>
          <w:rFonts w:ascii="SimSun" w:eastAsia="SimSun" w:hAnsi="SimSun" w:hint="eastAsia"/>
        </w:rPr>
      </w:pPr>
      <w:r>
        <w:rPr>
          <w:rFonts w:ascii="SimSun" w:eastAsia="SimSun" w:hAnsi="SimSun" w:hint="eastAsia"/>
        </w:rPr>
        <w:t>第二十六届会议</w:t>
      </w:r>
    </w:p>
    <w:p w:rsidR="00000000" w:rsidRDefault="00000000">
      <w:pPr>
        <w:pStyle w:val="H23"/>
        <w:rPr>
          <w:rFonts w:ascii="SimSun" w:eastAsia="SimSun" w:hAnsi="SimSun" w:hint="eastAsia"/>
        </w:rPr>
      </w:pPr>
      <w:r>
        <w:rPr>
          <w:rFonts w:ascii="SimSun" w:eastAsia="SimSun" w:hAnsi="SimSun" w:hint="eastAsia"/>
        </w:rPr>
        <w:t>第531次会议简要记录</w:t>
      </w:r>
    </w:p>
    <w:p w:rsidR="00000000" w:rsidRDefault="00000000">
      <w:pPr>
        <w:rPr>
          <w:rFonts w:hAnsi="SimSun" w:hint="eastAsia"/>
        </w:rPr>
      </w:pPr>
      <w:r>
        <w:rPr>
          <w:rFonts w:hAnsi="SimSun" w:hint="eastAsia"/>
        </w:rPr>
        <w:t>2002年1月16日，星期三，下午3时在纽约总部举行</w:t>
      </w:r>
    </w:p>
    <w:p w:rsidR="00000000" w:rsidRDefault="00000000">
      <w:pPr>
        <w:spacing w:line="120" w:lineRule="exact"/>
        <w:rPr>
          <w:rFonts w:hAnsi="SimSun" w:hint="eastAsia"/>
          <w:sz w:val="10"/>
        </w:rPr>
      </w:pPr>
    </w:p>
    <w:p w:rsidR="00000000" w:rsidRDefault="00000000">
      <w:pPr>
        <w:tabs>
          <w:tab w:val="left" w:pos="1267"/>
          <w:tab w:val="right" w:leader="dot" w:pos="8568"/>
        </w:tabs>
        <w:ind w:right="1267"/>
        <w:rPr>
          <w:rFonts w:hAnsi="SimSun"/>
          <w:color w:val="000000"/>
        </w:rPr>
      </w:pPr>
      <w:r>
        <w:rPr>
          <w:rFonts w:ascii="KaiTi_GB2312" w:eastAsia="KaiTi_GB2312" w:hAnsi="SimSun" w:hint="eastAsia"/>
          <w:color w:val="0000FF"/>
        </w:rPr>
        <w:t>主席</w:t>
      </w:r>
      <w:r>
        <w:rPr>
          <w:rFonts w:hAnsi="SimSun" w:hint="eastAsia"/>
          <w:color w:val="0000FF"/>
        </w:rPr>
        <w:t>：</w:t>
      </w:r>
      <w:r>
        <w:rPr>
          <w:rFonts w:hAnsi="SimSun"/>
          <w:color w:val="000000"/>
        </w:rPr>
        <w:tab/>
      </w:r>
      <w:r>
        <w:rPr>
          <w:rFonts w:hAnsi="SimSun" w:hint="eastAsia"/>
          <w:color w:val="000000"/>
        </w:rPr>
        <w:t>阿巴卡女士</w:t>
      </w:r>
    </w:p>
    <w:p w:rsidR="00000000" w:rsidRDefault="00000000">
      <w:pPr>
        <w:tabs>
          <w:tab w:val="left" w:pos="1267"/>
          <w:tab w:val="right" w:leader="dot" w:pos="8568"/>
        </w:tabs>
        <w:spacing w:line="120" w:lineRule="exact"/>
        <w:ind w:right="1267"/>
        <w:rPr>
          <w:rFonts w:hAnsi="SimSun"/>
          <w:color w:val="000000"/>
          <w:sz w:val="10"/>
        </w:rPr>
      </w:pPr>
    </w:p>
    <w:p w:rsidR="00000000" w:rsidRDefault="00000000">
      <w:pPr>
        <w:tabs>
          <w:tab w:val="left" w:pos="1267"/>
          <w:tab w:val="right" w:leader="dot" w:pos="8568"/>
        </w:tabs>
        <w:spacing w:line="120" w:lineRule="exact"/>
        <w:ind w:right="1267"/>
        <w:rPr>
          <w:rFonts w:hAnsi="SimSun"/>
          <w:color w:val="000000"/>
          <w:sz w:val="10"/>
        </w:rPr>
      </w:pPr>
    </w:p>
    <w:p w:rsidR="00000000" w:rsidRDefault="00000000">
      <w:pPr>
        <w:tabs>
          <w:tab w:val="left" w:pos="1267"/>
          <w:tab w:val="right" w:leader="dot" w:pos="8568"/>
        </w:tabs>
        <w:spacing w:line="120" w:lineRule="exact"/>
        <w:ind w:right="1267"/>
        <w:rPr>
          <w:rFonts w:hAnsi="SimSun"/>
          <w:color w:val="000000"/>
          <w:sz w:val="10"/>
        </w:rPr>
      </w:pPr>
    </w:p>
    <w:p w:rsidR="00000000" w:rsidRDefault="00000000">
      <w:pPr>
        <w:pStyle w:val="HCh"/>
        <w:rPr>
          <w:rFonts w:ascii="SimSun" w:eastAsia="SimSun" w:hAnsi="SimSun" w:hint="eastAsia"/>
        </w:rPr>
      </w:pPr>
      <w:r>
        <w:rPr>
          <w:rFonts w:ascii="SimSun" w:eastAsia="SimSun" w:hAnsi="SimSun" w:hint="eastAsia"/>
        </w:rPr>
        <w:t>目录</w:t>
      </w:r>
    </w:p>
    <w:p w:rsidR="00000000" w:rsidRDefault="00000000">
      <w:pPr>
        <w:pStyle w:val="HCh"/>
        <w:spacing w:line="240" w:lineRule="auto"/>
        <w:rPr>
          <w:rFonts w:ascii="SimSun" w:eastAsia="SimSun" w:hAnsi="SimSun"/>
          <w:sz w:val="14"/>
        </w:rPr>
      </w:pPr>
    </w:p>
    <w:p w:rsidR="00000000" w:rsidRDefault="00000000">
      <w:pPr>
        <w:pStyle w:val="SingleTxt"/>
        <w:rPr>
          <w:rFonts w:hAnsi="SimSun" w:hint="eastAsia"/>
        </w:rPr>
      </w:pPr>
      <w:r>
        <w:rPr>
          <w:rFonts w:hAnsi="SimSun" w:hint="eastAsia"/>
        </w:rPr>
        <w:t>审议缔约国根据公约第18条提出的报告（</w:t>
      </w:r>
      <w:r>
        <w:rPr>
          <w:rFonts w:ascii="KaiTi_GB2312" w:eastAsia="KaiTi_GB2312" w:hAnsi="SimSun" w:hint="eastAsia"/>
          <w:color w:val="0000FF"/>
        </w:rPr>
        <w:t>续</w:t>
      </w:r>
      <w:r>
        <w:rPr>
          <w:rFonts w:hAnsi="SimSun" w:hint="eastAsia"/>
        </w:rPr>
        <w:t>）</w:t>
      </w:r>
    </w:p>
    <w:p w:rsidR="00000000" w:rsidRDefault="00000000">
      <w:pPr>
        <w:pStyle w:val="SingleTxt"/>
        <w:rPr>
          <w:rFonts w:hAnsi="SimSun"/>
        </w:rPr>
      </w:pPr>
      <w:r>
        <w:rPr>
          <w:rFonts w:hAnsi="SimSun" w:hint="eastAsia"/>
        </w:rPr>
        <w:t>斐济的初次报告</w:t>
      </w:r>
    </w:p>
    <w:p w:rsidR="00000000" w:rsidRDefault="00000000">
      <w:pPr>
        <w:pStyle w:val="SingleTxt"/>
        <w:spacing w:after="40"/>
        <w:rPr>
          <w:rFonts w:hAnsi="SimSun"/>
        </w:rPr>
        <w:sectPr w:rsidR="00000000">
          <w:endnotePr>
            <w:numFmt w:val="decimal"/>
          </w:endnotePr>
          <w:type w:val="continuous"/>
          <w:pgSz w:w="12242" w:h="15842" w:code="1"/>
          <w:pgMar w:top="1742" w:right="1195" w:bottom="1898" w:left="1195" w:header="576" w:footer="1030" w:gutter="0"/>
          <w:cols w:space="425"/>
          <w:noEndnote/>
          <w:docGrid w:type="lines" w:linePitch="312"/>
        </w:sectPr>
      </w:pPr>
      <w:r>
        <w:rPr>
          <w:rFonts w:hAnsi="SimSun"/>
        </w:rPr>
        <w:br w:type="page"/>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下午3时05分宣布开会</w:t>
      </w:r>
    </w:p>
    <w:p w:rsidR="00000000" w:rsidRDefault="00000000">
      <w:pPr>
        <w:pStyle w:val="DualTxt"/>
        <w:rPr>
          <w:rFonts w:hint="eastAsia"/>
        </w:rPr>
      </w:pPr>
      <w:r>
        <w:rPr>
          <w:rFonts w:hint="eastAsia"/>
          <w:color w:val="FF0000"/>
        </w:rPr>
        <w:t>审议缔约国根据公约第18条提出的报告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ab/>
        <w:t>斐济的初次报告（</w:t>
      </w:r>
      <w:r>
        <w:rPr>
          <w:rFonts w:ascii="KaiTi_GB2312" w:eastAsia="KaiTi_GB2312" w:hint="eastAsia"/>
          <w:color w:val="0000FF"/>
        </w:rPr>
        <w:t>续</w:t>
      </w:r>
      <w:r>
        <w:rPr>
          <w:rFonts w:hint="eastAsia"/>
        </w:rPr>
        <w:t>）（CEDAW/C/FJI/1）</w:t>
      </w:r>
    </w:p>
    <w:p w:rsidR="00000000" w:rsidRDefault="00000000">
      <w:pPr>
        <w:pStyle w:val="DualTxt"/>
        <w:rPr>
          <w:rFonts w:hint="eastAsia"/>
        </w:rPr>
      </w:pPr>
      <w:r>
        <w:rPr>
          <w:rFonts w:hint="eastAsia"/>
        </w:rPr>
        <w:t>1.</w:t>
      </w:r>
      <w:r>
        <w:rPr>
          <w:rFonts w:hint="eastAsia"/>
        </w:rPr>
        <w:tab/>
        <w:t>应主席之请，斐济代表团成员在议席就座。</w:t>
      </w:r>
    </w:p>
    <w:p w:rsidR="00000000" w:rsidRDefault="00000000">
      <w:pPr>
        <w:pStyle w:val="DualTxt"/>
        <w:spacing w:after="160"/>
        <w:rPr>
          <w:rFonts w:hint="eastAsia"/>
        </w:rPr>
      </w:pPr>
      <w:r>
        <w:rPr>
          <w:rFonts w:hint="eastAsia"/>
        </w:rPr>
        <w:t>2.</w:t>
      </w:r>
      <w:r>
        <w:rPr>
          <w:rFonts w:hint="eastAsia"/>
        </w:rPr>
        <w:tab/>
      </w:r>
      <w:r>
        <w:rPr>
          <w:rFonts w:ascii="SimHei" w:eastAsia="SimHei" w:hint="eastAsia"/>
          <w:color w:val="FF0000"/>
        </w:rPr>
        <w:t>主席</w:t>
      </w:r>
      <w:r>
        <w:rPr>
          <w:rFonts w:hint="eastAsia"/>
        </w:rPr>
        <w:t>请委员会成员继续其问题和评论。</w:t>
      </w:r>
    </w:p>
    <w:p w:rsidR="00000000" w:rsidRDefault="00000000">
      <w:pPr>
        <w:pStyle w:val="DualTxt"/>
        <w:spacing w:after="160"/>
        <w:rPr>
          <w:rFonts w:ascii="KaiTi_GB2312" w:eastAsia="KaiTi_GB2312" w:hint="eastAsia"/>
          <w:color w:val="0000FF"/>
        </w:rPr>
      </w:pPr>
      <w:r>
        <w:rPr>
          <w:rFonts w:ascii="KaiTi_GB2312" w:eastAsia="KaiTi_GB2312" w:hint="eastAsia"/>
          <w:color w:val="0000FF"/>
        </w:rPr>
        <w:t>第5条</w:t>
      </w:r>
    </w:p>
    <w:p w:rsidR="00000000" w:rsidRDefault="00000000">
      <w:pPr>
        <w:pStyle w:val="DualTxt"/>
        <w:spacing w:after="160"/>
        <w:rPr>
          <w:rFonts w:hint="eastAsia"/>
        </w:rPr>
      </w:pPr>
      <w:r>
        <w:rPr>
          <w:rFonts w:hint="eastAsia"/>
        </w:rPr>
        <w:t>3.</w:t>
      </w:r>
      <w:r>
        <w:rPr>
          <w:rFonts w:hint="eastAsia"/>
        </w:rPr>
        <w:tab/>
      </w:r>
      <w:r>
        <w:rPr>
          <w:rFonts w:hint="eastAsia"/>
          <w:color w:val="FF0000"/>
        </w:rPr>
        <w:t>G</w:t>
      </w:r>
      <w:r>
        <w:rPr>
          <w:color w:val="FF0000"/>
        </w:rPr>
        <w:t>aspard</w:t>
      </w:r>
      <w:r>
        <w:rPr>
          <w:rFonts w:hint="eastAsia"/>
          <w:color w:val="FF0000"/>
        </w:rPr>
        <w:t>女士</w:t>
      </w:r>
      <w:r>
        <w:rPr>
          <w:rFonts w:hint="eastAsia"/>
        </w:rPr>
        <w:t>说，教育、特别是教师培训将有助于改变定型观念和促进平等，警察接受性别培训将使妇女较容易提出关于家庭暴力的控诉。她问在全体警察中女警占的比例，是否在每个警察局都有女警，以及是否鼓励妇女成为警察。</w:t>
      </w:r>
    </w:p>
    <w:p w:rsidR="00000000" w:rsidRDefault="00000000">
      <w:pPr>
        <w:pStyle w:val="DualTxt"/>
        <w:spacing w:after="160"/>
        <w:rPr>
          <w:rFonts w:hint="eastAsia"/>
        </w:rPr>
      </w:pPr>
      <w:r>
        <w:rPr>
          <w:rFonts w:hint="eastAsia"/>
        </w:rPr>
        <w:t>4.</w:t>
      </w:r>
      <w:r>
        <w:rPr>
          <w:rFonts w:hint="eastAsia"/>
        </w:rPr>
        <w:tab/>
      </w:r>
      <w:r>
        <w:rPr>
          <w:rFonts w:hint="eastAsia"/>
          <w:color w:val="FF0000"/>
        </w:rPr>
        <w:t>主席</w:t>
      </w:r>
      <w:r>
        <w:rPr>
          <w:rFonts w:hint="eastAsia"/>
        </w:rPr>
        <w:t>对报告第5段第4分段提供的很令人不安的资料表示关切，并且问宪法是否载有关于生命权的规定，以及是否正在采取紧急措施以保障妇女基本的生命权。</w:t>
      </w:r>
    </w:p>
    <w:p w:rsidR="00000000" w:rsidRDefault="00000000">
      <w:pPr>
        <w:pStyle w:val="DualTxt"/>
        <w:spacing w:after="160"/>
        <w:rPr>
          <w:rFonts w:hint="eastAsia"/>
        </w:rPr>
      </w:pPr>
      <w:r>
        <w:rPr>
          <w:rFonts w:hint="eastAsia"/>
        </w:rPr>
        <w:t>5.</w:t>
      </w:r>
      <w:r>
        <w:rPr>
          <w:rFonts w:hint="eastAsia"/>
        </w:rPr>
        <w:tab/>
      </w:r>
      <w:r>
        <w:rPr>
          <w:rFonts w:ascii="SimHei" w:eastAsia="SimHei" w:hint="eastAsia"/>
          <w:color w:val="FF0000"/>
        </w:rPr>
        <w:t>T</w:t>
      </w:r>
      <w:r>
        <w:rPr>
          <w:rFonts w:ascii="SimHei" w:eastAsia="SimHei"/>
          <w:color w:val="FF0000"/>
        </w:rPr>
        <w:t>avares da Silva</w:t>
      </w:r>
      <w:r>
        <w:rPr>
          <w:rFonts w:ascii="SimHei" w:eastAsia="SimHei" w:hint="eastAsia"/>
          <w:color w:val="FF0000"/>
        </w:rPr>
        <w:t>女士</w:t>
      </w:r>
      <w:r>
        <w:rPr>
          <w:rFonts w:hint="eastAsia"/>
        </w:rPr>
        <w:t>指出对妇女的暴力是性别定型观察引起的，她说，虽然必须尊重媒体，但媒体有义务提高公众认识这种定型观念产生的不公正。家庭教育极重要，因为儿童在家庭中学习其社会和家庭的角色。这整个范围极广的问题必须以政治措施的方法处理。</w:t>
      </w:r>
    </w:p>
    <w:p w:rsidR="00000000" w:rsidRDefault="00000000">
      <w:pPr>
        <w:pStyle w:val="DualTxt"/>
        <w:spacing w:after="160"/>
        <w:rPr>
          <w:rFonts w:hint="eastAsia"/>
        </w:rPr>
      </w:pPr>
      <w:r>
        <w:rPr>
          <w:rFonts w:hint="eastAsia"/>
        </w:rPr>
        <w:t>6.</w:t>
      </w:r>
      <w:r>
        <w:rPr>
          <w:rFonts w:hint="eastAsia"/>
        </w:rPr>
        <w:tab/>
      </w:r>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hint="eastAsia"/>
        </w:rPr>
        <w:t>问，任何具体的定型观念是否与在斐济的族裔或某种族裔传统有关。</w:t>
      </w:r>
    </w:p>
    <w:p w:rsidR="00000000" w:rsidRDefault="00000000">
      <w:pPr>
        <w:pStyle w:val="DualTxt"/>
        <w:spacing w:after="160"/>
        <w:rPr>
          <w:rFonts w:hint="eastAsia"/>
        </w:rPr>
      </w:pPr>
      <w:r>
        <w:rPr>
          <w:rFonts w:ascii="KaiTi_GB2312" w:eastAsia="KaiTi_GB2312" w:hint="eastAsia"/>
          <w:color w:val="0000FF"/>
        </w:rPr>
        <w:t>第6条</w:t>
      </w:r>
    </w:p>
    <w:p w:rsidR="00000000" w:rsidRDefault="00000000">
      <w:pPr>
        <w:pStyle w:val="DualTxt"/>
        <w:spacing w:after="160"/>
        <w:rPr>
          <w:rFonts w:hint="eastAsia"/>
        </w:rPr>
      </w:pPr>
      <w:r>
        <w:rPr>
          <w:rFonts w:hint="eastAsia"/>
        </w:rPr>
        <w:t>7.</w:t>
      </w:r>
      <w:r>
        <w:rPr>
          <w:rFonts w:hint="eastAsia"/>
        </w:rPr>
        <w:tab/>
      </w:r>
      <w:r>
        <w:rPr>
          <w:rFonts w:ascii="SimHei" w:eastAsia="SimHei" w:hint="eastAsia"/>
          <w:color w:val="FF0000"/>
        </w:rPr>
        <w:t>T</w:t>
      </w:r>
      <w:r>
        <w:rPr>
          <w:rFonts w:ascii="SimHei" w:eastAsia="SimHei"/>
          <w:color w:val="FF0000"/>
        </w:rPr>
        <w:t>avares da Silva</w:t>
      </w:r>
      <w:r>
        <w:rPr>
          <w:rFonts w:ascii="SimHei" w:eastAsia="SimHei" w:hint="eastAsia"/>
          <w:color w:val="FF0000"/>
        </w:rPr>
        <w:t>女士</w:t>
      </w:r>
      <w:r>
        <w:rPr>
          <w:rFonts w:hint="eastAsia"/>
        </w:rPr>
        <w:t>问为什么处罚妓女而不处罚其主顾，还问法律改革委员会对这件事的态度如何。</w:t>
      </w:r>
    </w:p>
    <w:p w:rsidR="00000000" w:rsidRDefault="00000000">
      <w:pPr>
        <w:pStyle w:val="DualTxt"/>
        <w:spacing w:after="160"/>
        <w:rPr>
          <w:rFonts w:hint="eastAsia"/>
        </w:rPr>
      </w:pPr>
      <w:r>
        <w:rPr>
          <w:rFonts w:hint="eastAsia"/>
        </w:rPr>
        <w:t>8.</w:t>
      </w:r>
      <w:r>
        <w:rPr>
          <w:rFonts w:hint="eastAsia"/>
        </w:rPr>
        <w:tab/>
      </w:r>
      <w:r>
        <w:rPr>
          <w:rFonts w:ascii="SimHei" w:eastAsia="SimHei" w:hint="eastAsia"/>
          <w:color w:val="FF0000"/>
        </w:rPr>
        <w:t>G</w:t>
      </w:r>
      <w:r>
        <w:rPr>
          <w:rFonts w:ascii="SimHei" w:eastAsia="SimHei"/>
          <w:color w:val="FF0000"/>
        </w:rPr>
        <w:t>oonesekere</w:t>
      </w:r>
      <w:r>
        <w:rPr>
          <w:rFonts w:ascii="SimHei" w:eastAsia="SimHei" w:hint="eastAsia"/>
          <w:color w:val="FF0000"/>
        </w:rPr>
        <w:t>女士</w:t>
      </w:r>
      <w:r>
        <w:rPr>
          <w:rFonts w:hint="eastAsia"/>
        </w:rPr>
        <w:t>说，斐济的刑法典溯自1944年，因此或许会反映殖民时期过时的态度，例如，在那时期视从事卖淫的妇女为罪犯，她们和拉皮条者都受处罚，但主顾不受处罚。她想知道为什么为了促进两性平等和妇女权利而提出的许多新法律都没有矫正这种情况，她猜想《性犯罪法》也没有讨论对妇女的性剥削。似乎卖淫的增加大部分是由于经济困难；她惊异地得知女生有时候用性换取被载到学校。她问为什么没有采取行动以根除这个问题的根本原因，并表示担心虽然目前在斐济不存在贩运妇女，但将来可能会发生。</w:t>
      </w:r>
    </w:p>
    <w:p w:rsidR="00000000" w:rsidRDefault="00000000">
      <w:pPr>
        <w:pStyle w:val="DualTxt"/>
        <w:rPr>
          <w:rFonts w:hint="eastAsia"/>
        </w:rPr>
      </w:pPr>
      <w:r>
        <w:rPr>
          <w:rFonts w:hint="eastAsia"/>
        </w:rPr>
        <w:t>9.</w:t>
      </w:r>
      <w:r>
        <w:rPr>
          <w:rFonts w:hint="eastAsia"/>
        </w:rPr>
        <w:tab/>
      </w:r>
      <w:r>
        <w:rPr>
          <w:rFonts w:ascii="SimHei" w:eastAsia="SimHei" w:hint="eastAsia"/>
          <w:color w:val="FF0000"/>
        </w:rPr>
        <w:t>G</w:t>
      </w:r>
      <w:r>
        <w:rPr>
          <w:rFonts w:ascii="SimHei" w:eastAsia="SimHei"/>
          <w:color w:val="FF0000"/>
        </w:rPr>
        <w:t>onz</w:t>
      </w:r>
      <w:r>
        <w:rPr>
          <w:rFonts w:ascii="MS Mincho" w:eastAsia="MS Mincho" w:hAnsi="MS Mincho" w:cs="Arial Unicode MS" w:hint="eastAsia"/>
          <w:color w:val="FF0000"/>
        </w:rPr>
        <w:t>á</w:t>
      </w:r>
      <w:r>
        <w:rPr>
          <w:rFonts w:ascii="SimHei" w:eastAsia="SimHei"/>
          <w:color w:val="FF0000"/>
        </w:rPr>
        <w:t>lez</w:t>
      </w:r>
      <w:r>
        <w:rPr>
          <w:rFonts w:ascii="SimHei" w:eastAsia="SimHei" w:hint="eastAsia"/>
          <w:color w:val="FF0000"/>
        </w:rPr>
        <w:t>女士</w:t>
      </w:r>
      <w:r>
        <w:rPr>
          <w:rFonts w:hint="eastAsia"/>
        </w:rPr>
        <w:t>说，令她震惊的是报告中提到乱伦和针对妇女的犯罪增加了，她问政府是否采取步骤来教育人民，以防止这种犯罪。她问，对罪犯施以何种惩罚，以及受害人能否获得复健治疗。她还想知道在斐济是否存在着儿童卖淫。是否有关于这个题目的数据。如果确实存在着儿童卖淫，是否由犯罪帮派经营？她询问是否向妓女提供培训，以便能改行。她要求提供更多关于对妇女的暴力行为的数据，最后想知道谁照顾报告中提到的经常的暴力行为的受害人。</w:t>
      </w:r>
    </w:p>
    <w:p w:rsidR="00000000" w:rsidRDefault="00000000">
      <w:pPr>
        <w:pStyle w:val="DualTxt"/>
        <w:rPr>
          <w:rFonts w:ascii="KaiTi_GB2312" w:eastAsia="KaiTi_GB2312" w:hint="eastAsia"/>
          <w:color w:val="0000FF"/>
        </w:rPr>
      </w:pPr>
      <w:r>
        <w:rPr>
          <w:rFonts w:ascii="KaiTi_GB2312" w:eastAsia="KaiTi_GB2312" w:hint="eastAsia"/>
          <w:color w:val="0000FF"/>
        </w:rPr>
        <w:t>第7条</w:t>
      </w:r>
    </w:p>
    <w:p w:rsidR="00000000" w:rsidRDefault="00000000">
      <w:pPr>
        <w:pStyle w:val="DualTxt"/>
        <w:rPr>
          <w:rFonts w:hint="eastAsia"/>
        </w:rPr>
      </w:pPr>
      <w:r>
        <w:rPr>
          <w:rFonts w:hint="eastAsia"/>
        </w:rPr>
        <w:t>10.</w:t>
      </w:r>
      <w:r>
        <w:rPr>
          <w:rFonts w:hint="eastAsia"/>
        </w:rPr>
        <w:tab/>
      </w:r>
      <w:r>
        <w:rPr>
          <w:rFonts w:ascii="SimHei" w:eastAsia="SimHei" w:hint="eastAsia"/>
          <w:color w:val="FF0000"/>
        </w:rPr>
        <w:t>G</w:t>
      </w:r>
      <w:r>
        <w:rPr>
          <w:rFonts w:ascii="SimHei" w:eastAsia="SimHei"/>
          <w:color w:val="FF0000"/>
        </w:rPr>
        <w:t>aspard</w:t>
      </w:r>
      <w:r>
        <w:rPr>
          <w:rFonts w:ascii="SimHei" w:eastAsia="SimHei" w:hint="eastAsia"/>
          <w:color w:val="FF0000"/>
        </w:rPr>
        <w:t>女士</w:t>
      </w:r>
      <w:r>
        <w:rPr>
          <w:rFonts w:hint="eastAsia"/>
        </w:rPr>
        <w:t>注意到斐济正在订正宪法，问是否曾想到以宪法和立法措施来促进妇女参与决策进程。如果妇女在作出决定的机构任职，则能最有效地促进两性平等。</w:t>
      </w:r>
    </w:p>
    <w:p w:rsidR="00000000" w:rsidRDefault="00000000">
      <w:pPr>
        <w:pStyle w:val="DualTxt"/>
        <w:rPr>
          <w:rFonts w:hint="eastAsia"/>
        </w:rPr>
      </w:pPr>
      <w:r>
        <w:rPr>
          <w:rFonts w:ascii="KaiTi_GB2312" w:eastAsia="KaiTi_GB2312" w:hint="eastAsia"/>
          <w:color w:val="0000FF"/>
        </w:rPr>
        <w:t>第10条</w:t>
      </w:r>
    </w:p>
    <w:p w:rsidR="00000000" w:rsidRDefault="00000000">
      <w:pPr>
        <w:pStyle w:val="DualTxt"/>
        <w:rPr>
          <w:rFonts w:hint="eastAsia"/>
        </w:rPr>
      </w:pPr>
      <w:r>
        <w:rPr>
          <w:rFonts w:hint="eastAsia"/>
        </w:rPr>
        <w:t>11.</w:t>
      </w:r>
      <w:r>
        <w:rPr>
          <w:rFonts w:hint="eastAsia"/>
        </w:rPr>
        <w:tab/>
      </w:r>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hint="eastAsia"/>
        </w:rPr>
        <w:t>问政府是否有权力管制宗教学校的课程，那些学校是否由政府资助。她要求</w:t>
      </w:r>
      <w:r>
        <w:t>,</w:t>
      </w:r>
      <w:r>
        <w:rPr>
          <w:rFonts w:hint="eastAsia"/>
        </w:rPr>
        <w:t>提供更多细节，说明已采取什么行动来提高获得留学的奖学金的妇女人数。是否鼓励女孩申请？有无除去在考试中的性别偏见？甄选委员会是否接受过有性别意识的培训？是否优待女孩？她还要求提供资料，说明关于增加担任高级或决策职位的女教师人数的计划。最后，她询问是否因文化或宗教因素妨碍女孩参加体育活动。</w:t>
      </w:r>
    </w:p>
    <w:p w:rsidR="00000000" w:rsidRDefault="00000000">
      <w:pPr>
        <w:pStyle w:val="DualTxt"/>
        <w:rPr>
          <w:rFonts w:hint="eastAsia"/>
        </w:rPr>
      </w:pPr>
      <w:r>
        <w:rPr>
          <w:rFonts w:hint="eastAsia"/>
        </w:rPr>
        <w:t>12.</w:t>
      </w:r>
      <w:r>
        <w:rPr>
          <w:rFonts w:hint="eastAsia"/>
        </w:rPr>
        <w:tab/>
      </w:r>
      <w:r>
        <w:rPr>
          <w:rFonts w:ascii="SimHei" w:eastAsia="SimHei" w:hint="eastAsia"/>
          <w:color w:val="FF0000"/>
        </w:rPr>
        <w:t>M</w:t>
      </w:r>
      <w:r>
        <w:rPr>
          <w:rFonts w:ascii="SimHei" w:eastAsia="SimHei"/>
          <w:color w:val="FF0000"/>
        </w:rPr>
        <w:t>analo</w:t>
      </w:r>
      <w:r>
        <w:rPr>
          <w:rFonts w:ascii="SimHei" w:eastAsia="SimHei" w:hint="eastAsia"/>
          <w:color w:val="FF0000"/>
        </w:rPr>
        <w:t>女士</w:t>
      </w:r>
      <w:r>
        <w:rPr>
          <w:rFonts w:hint="eastAsia"/>
        </w:rPr>
        <w:t>欢迎在报告第10段第5分段提到在中学重视价值教育一事，但认为课程过份狭窄。应将它扩大到包括非歧视和机会平等。</w:t>
      </w:r>
    </w:p>
    <w:p w:rsidR="00000000" w:rsidRDefault="00000000">
      <w:pPr>
        <w:pStyle w:val="DualTxt"/>
        <w:rPr>
          <w:rFonts w:hint="eastAsia"/>
        </w:rPr>
      </w:pPr>
      <w:r>
        <w:rPr>
          <w:rFonts w:hint="eastAsia"/>
        </w:rPr>
        <w:t>13.</w:t>
      </w:r>
      <w:r>
        <w:rPr>
          <w:rFonts w:hint="eastAsia"/>
        </w:rPr>
        <w:tab/>
      </w:r>
      <w:r>
        <w:rPr>
          <w:rFonts w:ascii="SimHei" w:eastAsia="SimHei" w:hint="eastAsia"/>
          <w:color w:val="FF0000"/>
        </w:rPr>
        <w:t>G</w:t>
      </w:r>
      <w:r>
        <w:rPr>
          <w:rFonts w:ascii="SimHei" w:eastAsia="SimHei"/>
          <w:color w:val="FF0000"/>
        </w:rPr>
        <w:t>aspard</w:t>
      </w:r>
      <w:r>
        <w:rPr>
          <w:rFonts w:ascii="SimHei" w:eastAsia="SimHei" w:hint="eastAsia"/>
          <w:color w:val="FF0000"/>
        </w:rPr>
        <w:t>女士</w:t>
      </w:r>
      <w:r>
        <w:rPr>
          <w:rFonts w:hint="eastAsia"/>
        </w:rPr>
        <w:t>希望知道正在采取什么措施来劝使更多女孩选择科学、技术或职业方面的科目。</w:t>
      </w:r>
    </w:p>
    <w:p w:rsidR="00000000" w:rsidRDefault="00000000">
      <w:pPr>
        <w:pStyle w:val="DualTxt"/>
        <w:spacing w:after="160"/>
        <w:rPr>
          <w:rFonts w:hint="eastAsia"/>
        </w:rPr>
      </w:pPr>
      <w:r>
        <w:rPr>
          <w:rFonts w:hint="eastAsia"/>
        </w:rPr>
        <w:t>14.</w:t>
      </w:r>
      <w:r>
        <w:rPr>
          <w:rFonts w:hint="eastAsia"/>
        </w:rPr>
        <w:tab/>
      </w:r>
      <w:r>
        <w:rPr>
          <w:rFonts w:ascii="SimHei" w:eastAsia="SimHei" w:hint="eastAsia"/>
          <w:color w:val="FF0000"/>
        </w:rPr>
        <w:t>A</w:t>
      </w:r>
      <w:r>
        <w:rPr>
          <w:rFonts w:ascii="SimHei" w:eastAsia="SimHei"/>
          <w:color w:val="FF0000"/>
        </w:rPr>
        <w:t>chmad</w:t>
      </w:r>
      <w:r>
        <w:rPr>
          <w:rFonts w:ascii="SimHei" w:eastAsia="SimHei" w:hint="eastAsia"/>
          <w:color w:val="FF0000"/>
        </w:rPr>
        <w:t>女士</w:t>
      </w:r>
      <w:r>
        <w:rPr>
          <w:rFonts w:hint="eastAsia"/>
        </w:rPr>
        <w:t>称赞在立法改革和建立机制以确保平等方面取得了进展。她指出教育对于消除一切形式的性别歧视的工作极其重要，还说，向公务员提供性别培训是重要的进步。她问何时将性别培训纳入对公务员的讲授中，这种做法对他们的态度是否发生影响。有无计划要将这种培训扩大到立法者、司法人员、警察、检察官、教育家、政治家、工会人员和媒体？</w:t>
      </w:r>
    </w:p>
    <w:p w:rsidR="00000000" w:rsidRDefault="00000000">
      <w:pPr>
        <w:pStyle w:val="DualTxt"/>
        <w:spacing w:after="160"/>
        <w:rPr>
          <w:rFonts w:hint="eastAsia"/>
        </w:rPr>
      </w:pPr>
      <w:r>
        <w:rPr>
          <w:rFonts w:hint="eastAsia"/>
        </w:rPr>
        <w:t>15.</w:t>
      </w:r>
      <w:r>
        <w:rPr>
          <w:rFonts w:hint="eastAsia"/>
        </w:rPr>
        <w:tab/>
      </w:r>
      <w:r>
        <w:rPr>
          <w:rFonts w:ascii="SimHei" w:eastAsia="SimHei" w:hint="eastAsia"/>
          <w:color w:val="FF0000"/>
        </w:rPr>
        <w:t>S</w:t>
      </w:r>
      <w:r>
        <w:rPr>
          <w:rFonts w:ascii="SimHei" w:eastAsia="SimHei"/>
          <w:color w:val="FF0000"/>
        </w:rPr>
        <w:t>hin</w:t>
      </w:r>
      <w:r>
        <w:rPr>
          <w:rFonts w:ascii="SimHei" w:eastAsia="SimHei" w:hint="eastAsia"/>
          <w:color w:val="FF0000"/>
        </w:rPr>
        <w:t>女士</w:t>
      </w:r>
      <w:r>
        <w:rPr>
          <w:rFonts w:hint="eastAsia"/>
        </w:rPr>
        <w:t>问，在学校是否提供关于两性平等和性教育的教育方案，妇女问题部门间委员会是否根据性别角色的定型观念讨论这种题目。她还想知道在中学是否教妇女研究方面的课，是否有为成年男子和妇女开班讲授改变关于传统角色的想法的重要。</w:t>
      </w:r>
    </w:p>
    <w:p w:rsidR="00000000" w:rsidRDefault="00000000">
      <w:pPr>
        <w:pStyle w:val="DualTxt"/>
        <w:spacing w:after="160"/>
        <w:rPr>
          <w:rFonts w:hint="eastAsia"/>
        </w:rPr>
      </w:pPr>
      <w:r>
        <w:rPr>
          <w:rFonts w:ascii="KaiTi_GB2312" w:eastAsia="KaiTi_GB2312" w:hint="eastAsia"/>
          <w:color w:val="0000FF"/>
        </w:rPr>
        <w:t>第11条</w:t>
      </w:r>
    </w:p>
    <w:p w:rsidR="00000000" w:rsidRDefault="00000000">
      <w:pPr>
        <w:pStyle w:val="DualTxt"/>
        <w:spacing w:after="160"/>
        <w:rPr>
          <w:rFonts w:hint="eastAsia"/>
        </w:rPr>
      </w:pPr>
      <w:r>
        <w:rPr>
          <w:rFonts w:hint="eastAsia"/>
        </w:rPr>
        <w:t>16.</w:t>
      </w:r>
      <w:r>
        <w:rPr>
          <w:rFonts w:hint="eastAsia"/>
        </w:rPr>
        <w:tab/>
      </w:r>
      <w:r>
        <w:rPr>
          <w:rFonts w:ascii="SimHei" w:eastAsia="SimHei" w:hint="eastAsia"/>
          <w:color w:val="FF0000"/>
        </w:rPr>
        <w:t>G</w:t>
      </w:r>
      <w:r>
        <w:rPr>
          <w:rFonts w:ascii="SimHei" w:eastAsia="SimHei"/>
          <w:color w:val="FF0000"/>
        </w:rPr>
        <w:t>onz</w:t>
      </w:r>
      <w:r>
        <w:rPr>
          <w:rFonts w:ascii="MS Mincho" w:eastAsia="MS Mincho" w:hAnsi="MS Mincho" w:cs="Arial Unicode MS" w:hint="eastAsia"/>
          <w:color w:val="FF0000"/>
        </w:rPr>
        <w:t>á</w:t>
      </w:r>
      <w:r>
        <w:rPr>
          <w:rFonts w:ascii="SimHei" w:eastAsia="SimHei"/>
          <w:color w:val="FF0000"/>
        </w:rPr>
        <w:t>lez</w:t>
      </w:r>
      <w:r>
        <w:rPr>
          <w:rFonts w:ascii="SimHei" w:eastAsia="SimHei" w:hint="eastAsia"/>
          <w:color w:val="FF0000"/>
        </w:rPr>
        <w:t>女士</w:t>
      </w:r>
      <w:r>
        <w:rPr>
          <w:rFonts w:hint="eastAsia"/>
        </w:rPr>
        <w:t>指出报告第11段第1分段和第11段第2分段概述的现行立法似乎不符合公约或国际劳动公约关于保护女工的规定，还问政府是否考虑改变《1996年工作场所卫生和安全法》，以便改善工作条件和确保妇女在工作场所的安全和卫生。</w:t>
      </w:r>
    </w:p>
    <w:p w:rsidR="00000000" w:rsidRDefault="00000000">
      <w:pPr>
        <w:pStyle w:val="DualTxt"/>
        <w:spacing w:after="160"/>
        <w:rPr>
          <w:rFonts w:hint="eastAsia"/>
        </w:rPr>
      </w:pPr>
      <w:r>
        <w:rPr>
          <w:rFonts w:hint="eastAsia"/>
        </w:rPr>
        <w:t>17.</w:t>
      </w:r>
      <w:r>
        <w:rPr>
          <w:rFonts w:hint="eastAsia"/>
        </w:rPr>
        <w:tab/>
        <w:t>她从该报告第11段第9分段注意到妇女的工资等于男子的88％，而且没有全国性的基本最低工资，也没有任何立法可管制报酬平等，她敦促政府修订其劳动立法，以提供关于平等的适当框架。同样地，她表示希望斐济执行载于第11段第18分段的国际劳工组织（劳工组织）提出的一连串建议，以改善妇女的就业情况和消除歧视性做法。</w:t>
      </w:r>
    </w:p>
    <w:p w:rsidR="00000000" w:rsidRDefault="00000000">
      <w:pPr>
        <w:pStyle w:val="DualTxt"/>
        <w:spacing w:after="160"/>
        <w:rPr>
          <w:rFonts w:hint="eastAsia"/>
        </w:rPr>
      </w:pPr>
      <w:r>
        <w:rPr>
          <w:rFonts w:hint="eastAsia"/>
        </w:rPr>
        <w:t>18.</w:t>
      </w:r>
      <w:r>
        <w:rPr>
          <w:rFonts w:hint="eastAsia"/>
        </w:rPr>
        <w:tab/>
      </w:r>
      <w:r>
        <w:rPr>
          <w:rFonts w:ascii="SimHei" w:eastAsia="SimHei" w:hint="eastAsia"/>
          <w:color w:val="FF0000"/>
        </w:rPr>
        <w:t>G</w:t>
      </w:r>
      <w:r>
        <w:rPr>
          <w:rFonts w:ascii="SimHei" w:eastAsia="SimHei"/>
          <w:color w:val="FF0000"/>
        </w:rPr>
        <w:t>oonesekere</w:t>
      </w:r>
      <w:r>
        <w:rPr>
          <w:rFonts w:ascii="SimHei" w:eastAsia="SimHei" w:hint="eastAsia"/>
          <w:color w:val="FF0000"/>
        </w:rPr>
        <w:t>女士</w:t>
      </w:r>
      <w:r>
        <w:rPr>
          <w:rFonts w:hint="eastAsia"/>
        </w:rPr>
        <w:t>想知道关于改革继承自斐济殖民主义的过去的就业法的情况，还要求提供关于《工业关系法》的进一步详情，该法是否是为了消除早些时候劳工法的歧视性方面而拟订的。她还想知道是否执行劳工法，是否监测在自由贸易投资促进区里的情况，是否采取步骤来矫正在正规经济部门的薪资差别，以及有什么法律规定可使妇女免于性骚扰。</w:t>
      </w:r>
    </w:p>
    <w:p w:rsidR="00000000" w:rsidRDefault="00000000">
      <w:pPr>
        <w:pStyle w:val="DualTxt"/>
        <w:rPr>
          <w:rFonts w:hint="eastAsia"/>
        </w:rPr>
      </w:pPr>
      <w:r>
        <w:rPr>
          <w:rFonts w:hint="eastAsia"/>
        </w:rPr>
        <w:t>19.</w:t>
      </w:r>
      <w:r>
        <w:rPr>
          <w:rFonts w:hint="eastAsia"/>
        </w:rPr>
        <w:tab/>
      </w:r>
      <w:r>
        <w:rPr>
          <w:rFonts w:ascii="SimHei" w:eastAsia="SimHei"/>
          <w:color w:val="FF0000"/>
        </w:rPr>
        <w:t>Kapalata</w:t>
      </w:r>
      <w:r>
        <w:rPr>
          <w:rFonts w:ascii="SimHei" w:eastAsia="SimHei" w:hint="eastAsia"/>
          <w:color w:val="FF0000"/>
        </w:rPr>
        <w:t>女士</w:t>
      </w:r>
      <w:r>
        <w:rPr>
          <w:rFonts w:hint="eastAsia"/>
        </w:rPr>
        <w:t>指出，委员会需要知道关于这种行动正在制订什么立法以及设想的时限。她同意在第11段第19分段叙述的政府的立场，并且强调迫切需要批准劳工组织关于同酬和歧视问题的公约。</w:t>
      </w:r>
    </w:p>
    <w:p w:rsidR="00000000" w:rsidRDefault="00000000">
      <w:pPr>
        <w:pStyle w:val="DualTxt"/>
        <w:rPr>
          <w:rFonts w:hint="eastAsia"/>
        </w:rPr>
      </w:pPr>
      <w:r>
        <w:rPr>
          <w:rFonts w:hint="eastAsia"/>
        </w:rPr>
        <w:t>20.</w:t>
      </w:r>
      <w:r>
        <w:rPr>
          <w:rFonts w:hint="eastAsia"/>
        </w:rPr>
        <w:tab/>
      </w:r>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hint="eastAsia"/>
        </w:rPr>
        <w:t>说，需要认真研究关于执行第11条的规定的措施。关键时刻可提高对需要立法改革的认识及导致制订使妇女尽量发挥潜在的贡献的方案。她特别提及在出口促进区工作的妇女的情况，她说，虽然她了解鼓励这种商业冒险的诱惑力，但必须通过保障尊重人权的道德标准。</w:t>
      </w:r>
    </w:p>
    <w:p w:rsidR="00000000" w:rsidRDefault="00000000">
      <w:pPr>
        <w:pStyle w:val="DualTxt"/>
        <w:rPr>
          <w:rFonts w:hint="eastAsia"/>
        </w:rPr>
      </w:pPr>
      <w:r>
        <w:rPr>
          <w:rFonts w:hint="eastAsia"/>
        </w:rPr>
        <w:t>21.</w:t>
      </w:r>
      <w:r>
        <w:rPr>
          <w:rFonts w:hint="eastAsia"/>
        </w:rPr>
        <w:tab/>
        <w:t>在公共部门提升妇女的问题也涉及功劳的观念以及衡量功劳的方法。往往以不大重视在非正规经济部门工作或持家——这是妇女传统上工作的领域——的方式狭窄地衡量功劳。</w:t>
      </w:r>
    </w:p>
    <w:p w:rsidR="00000000" w:rsidRDefault="00000000">
      <w:pPr>
        <w:pStyle w:val="DualTxt"/>
        <w:rPr>
          <w:rFonts w:hint="eastAsia"/>
        </w:rPr>
      </w:pPr>
      <w:r>
        <w:rPr>
          <w:rFonts w:hint="eastAsia"/>
        </w:rPr>
        <w:t>22.</w:t>
      </w:r>
      <w:r>
        <w:rPr>
          <w:rFonts w:hint="eastAsia"/>
        </w:rPr>
        <w:tab/>
      </w:r>
      <w:r>
        <w:rPr>
          <w:rFonts w:ascii="SimHei" w:eastAsia="SimHei"/>
          <w:color w:val="FF0000"/>
        </w:rPr>
        <w:t>Livingstone</w:t>
      </w:r>
      <w:r>
        <w:rPr>
          <w:rFonts w:ascii="SimHei" w:eastAsia="SimHei" w:hint="eastAsia"/>
          <w:color w:val="FF0000"/>
        </w:rPr>
        <w:t xml:space="preserve"> Raday女士</w:t>
      </w:r>
      <w:r>
        <w:rPr>
          <w:rFonts w:hint="eastAsia"/>
        </w:rPr>
        <w:t>问，什么造成无法通过《工业关系法》，该法是否载有关于非歧视就业和同酬的规定。她问为什么劳动队伍中妇女这么少，正在做什么来增加其人数。她还设法进一步澄清薪资差异，想知道工资的比较是否根据付给同类型工作的工资。一般而言，她想知道正在设想什么措施来提高在公务制度中提升妇女的机会以及在性骚扰案件中寻求民事赔偿的可能性。</w:t>
      </w:r>
    </w:p>
    <w:p w:rsidR="00000000" w:rsidRDefault="00000000">
      <w:pPr>
        <w:pStyle w:val="DualTxt"/>
        <w:rPr>
          <w:rFonts w:hint="eastAsia"/>
        </w:rPr>
      </w:pPr>
      <w:r>
        <w:rPr>
          <w:rFonts w:hint="eastAsia"/>
        </w:rPr>
        <w:t>23.</w:t>
      </w:r>
      <w:r>
        <w:rPr>
          <w:rFonts w:hint="eastAsia"/>
        </w:rPr>
        <w:tab/>
      </w:r>
      <w:r>
        <w:rPr>
          <w:rFonts w:ascii="SimHei" w:eastAsia="SimHei" w:hint="eastAsia"/>
          <w:color w:val="FF0000"/>
        </w:rPr>
        <w:t>S</w:t>
      </w:r>
      <w:r>
        <w:rPr>
          <w:rFonts w:ascii="SimHei" w:eastAsia="SimHei"/>
          <w:color w:val="FF0000"/>
        </w:rPr>
        <w:t>hin</w:t>
      </w:r>
      <w:r>
        <w:rPr>
          <w:rFonts w:ascii="SimHei" w:eastAsia="SimHei" w:hint="eastAsia"/>
          <w:color w:val="FF0000"/>
        </w:rPr>
        <w:t>女士</w:t>
      </w:r>
      <w:r>
        <w:rPr>
          <w:rFonts w:hint="eastAsia"/>
        </w:rPr>
        <w:t>强调迫切需要立法战略以确保在一切就业领域的平等。</w:t>
      </w:r>
    </w:p>
    <w:p w:rsidR="00000000" w:rsidRDefault="00000000">
      <w:pPr>
        <w:pStyle w:val="DualTxt"/>
        <w:rPr>
          <w:rFonts w:hint="eastAsia"/>
        </w:rPr>
      </w:pPr>
      <w:r>
        <w:rPr>
          <w:rFonts w:ascii="KaiTi_GB2312" w:eastAsia="KaiTi_GB2312" w:hint="eastAsia"/>
          <w:color w:val="0000FF"/>
        </w:rPr>
        <w:t>第12条</w:t>
      </w:r>
    </w:p>
    <w:p w:rsidR="00000000" w:rsidRDefault="00000000">
      <w:pPr>
        <w:pStyle w:val="DualTxt"/>
        <w:rPr>
          <w:rFonts w:hint="eastAsia"/>
        </w:rPr>
      </w:pPr>
      <w:r>
        <w:rPr>
          <w:rFonts w:hint="eastAsia"/>
        </w:rPr>
        <w:t>24.</w:t>
      </w:r>
      <w:r>
        <w:rPr>
          <w:rFonts w:hint="eastAsia"/>
        </w:rPr>
        <w:tab/>
      </w:r>
      <w:r>
        <w:rPr>
          <w:rFonts w:ascii="SimHei" w:eastAsia="SimHei" w:hint="eastAsia"/>
          <w:color w:val="FF0000"/>
        </w:rPr>
        <w:t>主席</w:t>
      </w:r>
      <w:r>
        <w:rPr>
          <w:rFonts w:hint="eastAsia"/>
        </w:rPr>
        <w:t>对于报告中对“人才外流”的影响所表示的关切有同感，认为征聘外国专业人员是昂贵的做法。政府应认真研究本地专业人员的报酬以及改善设施和基本建设的方法，以鼓励专业人员留在斐济。她称赞在1998年通过关于管制香烟的法案，她说，她欢迎提供关于该法案内容的资料。</w:t>
      </w:r>
    </w:p>
    <w:p w:rsidR="00000000" w:rsidRDefault="00000000">
      <w:pPr>
        <w:pStyle w:val="DualTxt"/>
        <w:rPr>
          <w:rFonts w:hint="eastAsia"/>
        </w:rPr>
      </w:pPr>
      <w:r>
        <w:rPr>
          <w:rFonts w:hint="eastAsia"/>
        </w:rPr>
        <w:t>25.</w:t>
      </w:r>
      <w:r>
        <w:rPr>
          <w:rFonts w:hint="eastAsia"/>
        </w:rPr>
        <w:tab/>
        <w:t>她想知道是否文化因素影响到男子较妇女不愿意接受永久性的绝育手术，是否有关于患艾滋病毒/艾滋病和肺结核的人数及其预期寿命的统计资料。</w:t>
      </w:r>
    </w:p>
    <w:p w:rsidR="00000000" w:rsidRDefault="00000000">
      <w:pPr>
        <w:pStyle w:val="DualTxt"/>
        <w:rPr>
          <w:rFonts w:hint="eastAsia"/>
        </w:rPr>
      </w:pPr>
      <w:r>
        <w:rPr>
          <w:rFonts w:ascii="KaiTi_GB2312" w:eastAsia="KaiTi_GB2312" w:hint="eastAsia"/>
          <w:color w:val="0000FF"/>
        </w:rPr>
        <w:t>第13条</w:t>
      </w:r>
    </w:p>
    <w:p w:rsidR="00000000" w:rsidRDefault="00000000">
      <w:pPr>
        <w:pStyle w:val="DualTxt"/>
        <w:rPr>
          <w:rFonts w:hint="eastAsia"/>
        </w:rPr>
      </w:pPr>
      <w:r>
        <w:rPr>
          <w:rFonts w:hint="eastAsia"/>
        </w:rPr>
        <w:t>26.</w:t>
      </w:r>
      <w:r>
        <w:rPr>
          <w:rFonts w:hint="eastAsia"/>
        </w:rPr>
        <w:tab/>
      </w:r>
      <w:r>
        <w:rPr>
          <w:rFonts w:ascii="SimHei" w:eastAsia="SimHei"/>
          <w:color w:val="FF0000"/>
        </w:rPr>
        <w:t>Kwaku</w:t>
      </w:r>
      <w:r>
        <w:rPr>
          <w:rFonts w:ascii="SimHei" w:eastAsia="SimHei" w:hint="eastAsia"/>
          <w:color w:val="FF0000"/>
        </w:rPr>
        <w:t>女士</w:t>
      </w:r>
      <w:r>
        <w:rPr>
          <w:rFonts w:hint="eastAsia"/>
        </w:rPr>
        <w:t>对于政府已采取积极措施来改善农村妇女的命运感到高兴，还说她期望收到关于那些工作的成果的反馈。关于该报告第13段第5分段，她很想知道在获得银行核可的贷款的577名妇女中多少是来自农村地区。</w:t>
      </w:r>
    </w:p>
    <w:p w:rsidR="00000000" w:rsidRDefault="00000000">
      <w:pPr>
        <w:pStyle w:val="DualTxt"/>
        <w:rPr>
          <w:rFonts w:hint="eastAsia"/>
        </w:rPr>
      </w:pPr>
      <w:r>
        <w:rPr>
          <w:rFonts w:hint="eastAsia"/>
        </w:rPr>
        <w:t>27.</w:t>
      </w:r>
      <w:r>
        <w:rPr>
          <w:rFonts w:hint="eastAsia"/>
        </w:rPr>
        <w:tab/>
      </w:r>
      <w:r>
        <w:rPr>
          <w:rFonts w:ascii="SimHei" w:eastAsia="SimHei" w:hint="eastAsia"/>
          <w:color w:val="FF0000"/>
        </w:rPr>
        <w:t>L</w:t>
      </w:r>
      <w:r>
        <w:rPr>
          <w:rFonts w:ascii="SimHei" w:eastAsia="SimHei"/>
          <w:color w:val="FF0000"/>
        </w:rPr>
        <w:t>ivingstone Raday</w:t>
      </w:r>
      <w:r>
        <w:rPr>
          <w:rFonts w:ascii="SimHei" w:eastAsia="SimHei" w:hint="eastAsia"/>
          <w:color w:val="FF0000"/>
        </w:rPr>
        <w:t>女士</w:t>
      </w:r>
      <w:r>
        <w:rPr>
          <w:rFonts w:hint="eastAsia"/>
        </w:rPr>
        <w:t>要求确实地比较全国节约储金支付的养恤金和社会福利部支付的款项，以及按照性别详列此种付款的领取人。此外，她希望知道已拨出多少经费来减少老龄妇女的贫穷。</w:t>
      </w:r>
    </w:p>
    <w:p w:rsidR="00000000" w:rsidRDefault="00000000">
      <w:pPr>
        <w:pStyle w:val="DualTxt"/>
        <w:rPr>
          <w:rFonts w:hint="eastAsia"/>
        </w:rPr>
      </w:pPr>
      <w:r>
        <w:rPr>
          <w:rFonts w:hint="eastAsia"/>
        </w:rPr>
        <w:t>28.</w:t>
      </w:r>
      <w:r>
        <w:rPr>
          <w:rFonts w:hint="eastAsia"/>
        </w:rPr>
        <w:tab/>
      </w:r>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w:t>
      </w:r>
      <w:r>
        <w:rPr>
          <w:rFonts w:ascii="SimHei" w:eastAsia="SimHei" w:hint="eastAsia"/>
          <w:color w:val="FF0000"/>
        </w:rPr>
        <w:t>-</w:t>
      </w:r>
      <w:r>
        <w:rPr>
          <w:rFonts w:ascii="SimHei" w:eastAsia="SimHei"/>
          <w:color w:val="FF0000"/>
        </w:rPr>
        <w:t>Schilling</w:t>
      </w:r>
      <w:r>
        <w:rPr>
          <w:rFonts w:ascii="SimHei" w:eastAsia="SimHei" w:hint="eastAsia"/>
          <w:color w:val="FF0000"/>
        </w:rPr>
        <w:t>女士</w:t>
      </w:r>
      <w:r>
        <w:rPr>
          <w:rFonts w:hint="eastAsia"/>
        </w:rPr>
        <w:t>问，农村妇女拥有多少土地以及有多少妇女以捕鱼为职业。</w:t>
      </w:r>
    </w:p>
    <w:p w:rsidR="00000000" w:rsidRDefault="00000000">
      <w:pPr>
        <w:pStyle w:val="DualTxt"/>
        <w:rPr>
          <w:rFonts w:hint="eastAsia"/>
        </w:rPr>
      </w:pPr>
      <w:r>
        <w:rPr>
          <w:rFonts w:hint="eastAsia"/>
        </w:rPr>
        <w:t>29.</w:t>
      </w:r>
      <w:r>
        <w:rPr>
          <w:rFonts w:hint="eastAsia"/>
        </w:rPr>
        <w:tab/>
      </w:r>
      <w:r>
        <w:rPr>
          <w:rFonts w:ascii="SimHei" w:eastAsia="SimHei" w:hint="eastAsia"/>
          <w:color w:val="FF0000"/>
        </w:rPr>
        <w:t>T</w:t>
      </w:r>
      <w:r>
        <w:rPr>
          <w:rFonts w:ascii="SimHei" w:eastAsia="SimHei"/>
          <w:color w:val="FF0000"/>
        </w:rPr>
        <w:t>avares da Silva</w:t>
      </w:r>
      <w:r>
        <w:rPr>
          <w:rFonts w:ascii="SimHei" w:eastAsia="SimHei" w:hint="eastAsia"/>
          <w:color w:val="FF0000"/>
        </w:rPr>
        <w:t>女士</w:t>
      </w:r>
      <w:r>
        <w:rPr>
          <w:rFonts w:hint="eastAsia"/>
        </w:rPr>
        <w:t>说，似乎解释和应用法律的方式妨碍男子和妇女在法律之前的平等（1997年宪法第38节）。她问是否不打算展开识字或提高认识运动，以克服对法律的无知——或传统做法加予它的限制，以确保真正平等。</w:t>
      </w:r>
    </w:p>
    <w:p w:rsidR="00000000" w:rsidRDefault="00000000">
      <w:pPr>
        <w:pStyle w:val="DualTxt"/>
        <w:rPr>
          <w:rFonts w:hint="eastAsia"/>
        </w:rPr>
      </w:pPr>
      <w:r>
        <w:rPr>
          <w:rFonts w:hint="eastAsia"/>
        </w:rPr>
        <w:t>30.</w:t>
      </w:r>
      <w:r>
        <w:rPr>
          <w:rFonts w:hint="eastAsia"/>
        </w:rPr>
        <w:tab/>
      </w:r>
      <w:r>
        <w:rPr>
          <w:rFonts w:ascii="SimHei" w:eastAsia="SimHei" w:hint="eastAsia"/>
          <w:color w:val="FF0000"/>
        </w:rPr>
        <w:t>M</w:t>
      </w:r>
      <w:r>
        <w:rPr>
          <w:rFonts w:ascii="SimHei" w:eastAsia="SimHei"/>
          <w:color w:val="FF0000"/>
        </w:rPr>
        <w:t>analo</w:t>
      </w:r>
      <w:r>
        <w:rPr>
          <w:rFonts w:ascii="SimHei" w:eastAsia="SimHei" w:hint="eastAsia"/>
          <w:color w:val="FF0000"/>
        </w:rPr>
        <w:t>女士</w:t>
      </w:r>
      <w:r>
        <w:rPr>
          <w:rFonts w:hint="eastAsia"/>
        </w:rPr>
        <w:t>还提到第15条，询问正在设想改变现行法律或拟订新的法律吗？以便将宪法关于法律之前平等的规定变成事实。关于卖淫的歧视性刑事法律仍留在书上，她迄今未看到证据证明妇女可以因夫对妻的强奸或在工作场所的骚扰提出控诉。</w:t>
      </w:r>
    </w:p>
    <w:p w:rsidR="00000000" w:rsidRDefault="00000000">
      <w:pPr>
        <w:pStyle w:val="DualTxt"/>
        <w:rPr>
          <w:rFonts w:hint="eastAsia"/>
        </w:rPr>
      </w:pPr>
      <w:r>
        <w:rPr>
          <w:rFonts w:ascii="KaiTi_GB2312" w:eastAsia="KaiTi_GB2312" w:hint="eastAsia"/>
          <w:color w:val="0000FF"/>
        </w:rPr>
        <w:t>第16条</w:t>
      </w:r>
    </w:p>
    <w:p w:rsidR="00000000" w:rsidRDefault="00000000">
      <w:pPr>
        <w:pStyle w:val="DualTxt"/>
        <w:rPr>
          <w:rFonts w:hint="eastAsia"/>
        </w:rPr>
      </w:pPr>
      <w:r>
        <w:rPr>
          <w:rFonts w:hint="eastAsia"/>
        </w:rPr>
        <w:t>31.</w:t>
      </w:r>
      <w:r>
        <w:rPr>
          <w:rFonts w:hint="eastAsia"/>
        </w:rPr>
        <w:tab/>
      </w:r>
      <w:r>
        <w:rPr>
          <w:rFonts w:ascii="SimHei" w:eastAsia="SimHei" w:hint="eastAsia"/>
          <w:color w:val="FF0000"/>
        </w:rPr>
        <w:t>C</w:t>
      </w:r>
      <w:r>
        <w:rPr>
          <w:rFonts w:ascii="SimHei" w:eastAsia="SimHei"/>
          <w:color w:val="FF0000"/>
        </w:rPr>
        <w:t>orti</w:t>
      </w:r>
      <w:r>
        <w:rPr>
          <w:rFonts w:ascii="SimHei" w:eastAsia="SimHei" w:hint="eastAsia"/>
          <w:color w:val="FF0000"/>
        </w:rPr>
        <w:t>女士</w:t>
      </w:r>
      <w:r>
        <w:rPr>
          <w:rFonts w:hint="eastAsia"/>
        </w:rPr>
        <w:t>说，她意外地发现斐济的家庭法不仅与公约第16条不一致，并且与它自己关于将性别观点纳入主流的一般政策不一致。这种不一致涉及重要事项，诸如结婚年龄、离婚、婚姻财产和抚养费。由于经济理由，离婚给妇女带来的困难比给男子的多。妇女在举出离婚理由方面也有更大的困难，而且冒多至三年法律不咎的暴力行为，然后才能考虑离婚。依靠普通法分配婚姻财产意味着法官可以用传统的性别定型观念来否认妻子在经济上对婚姻的贡献。事实上妻子无法获得抚养费。除了男子和妇女间存在的歧视，她遗憾的是私生子处于劣势，以及印第安妇女面临较大的障碍。</w:t>
      </w:r>
    </w:p>
    <w:p w:rsidR="00000000" w:rsidRDefault="00000000">
      <w:pPr>
        <w:pStyle w:val="DualTxt"/>
        <w:spacing w:after="180" w:line="340" w:lineRule="exact"/>
        <w:rPr>
          <w:rFonts w:hint="eastAsia"/>
        </w:rPr>
      </w:pPr>
      <w:r>
        <w:rPr>
          <w:rFonts w:hint="eastAsia"/>
        </w:rPr>
        <w:t>32.</w:t>
      </w:r>
      <w:r>
        <w:rPr>
          <w:rFonts w:hint="eastAsia"/>
        </w:rPr>
        <w:tab/>
        <w:t>她深信婚姻和家庭法的改革不是取决于一国的情况，而是取决于其政治意志。考虑到斐济已建立的机制以及声明决心将性别观点纳入主流及执行公约，因此改革是可能的。改革必须从家庭内的关系开始，因为家庭是社会的基础。除非斐济改革其家庭法，否则它不能声称它在该区域在两性平等方面起带头作用。</w:t>
      </w:r>
    </w:p>
    <w:p w:rsidR="00000000" w:rsidRDefault="00000000">
      <w:pPr>
        <w:pStyle w:val="DualTxt"/>
        <w:spacing w:after="180"/>
        <w:rPr>
          <w:rFonts w:hint="eastAsia"/>
        </w:rPr>
      </w:pPr>
      <w:r>
        <w:rPr>
          <w:rFonts w:hint="eastAsia"/>
        </w:rPr>
        <w:t>33.</w:t>
      </w:r>
      <w:r>
        <w:rPr>
          <w:rFonts w:hint="eastAsia"/>
        </w:rPr>
        <w:tab/>
      </w:r>
      <w:r>
        <w:rPr>
          <w:rFonts w:ascii="SimHei" w:eastAsia="SimHei"/>
          <w:color w:val="FF0000"/>
        </w:rPr>
        <w:t>Goonesekere</w:t>
      </w:r>
      <w:r>
        <w:rPr>
          <w:rFonts w:ascii="SimHei" w:eastAsia="SimHei" w:hint="eastAsia"/>
          <w:color w:val="FF0000"/>
        </w:rPr>
        <w:t>女士</w:t>
      </w:r>
      <w:r>
        <w:rPr>
          <w:rFonts w:hint="eastAsia"/>
        </w:rPr>
        <w:t>同意前一个发言人关于迫切需要改革家庭法的看法。部分由于斐济的殖民遗产，因此其性别政策和实际情况之间有矛盾。例如，伙伴在其结婚后获得的财产按理应放进共同财产里，在离婚时均分。她相信新的家庭法将作出关于扣押薪资和执行抚养责任的规定。还有，关于抚养问题，不应该区别婚生子女和私生子。她想知道传统习惯法对私生子是否有积极的方面，因为在发展中国家有时候是有的。</w:t>
      </w:r>
    </w:p>
    <w:p w:rsidR="00000000" w:rsidRDefault="00000000">
      <w:pPr>
        <w:pStyle w:val="DualTxt"/>
        <w:spacing w:after="160" w:line="340" w:lineRule="exact"/>
        <w:rPr>
          <w:rFonts w:hint="eastAsia"/>
        </w:rPr>
      </w:pPr>
      <w:r>
        <w:rPr>
          <w:rFonts w:hint="eastAsia"/>
        </w:rPr>
        <w:t>34.</w:t>
      </w:r>
      <w:r>
        <w:rPr>
          <w:rFonts w:hint="eastAsia"/>
        </w:rPr>
        <w:tab/>
        <w:t>这不光是妇女的平等问题，而是其健康和生存的问题。斐济在平等方面继续存在的矛盾正在破坏其在妇女健康方面的努力，因为女孩早婚导致更多辍学和产妇死亡率。此外，家庭暴力和自杀也是健康问题。</w:t>
      </w:r>
    </w:p>
    <w:p w:rsidR="00000000" w:rsidRDefault="00000000">
      <w:pPr>
        <w:pStyle w:val="DualTxt"/>
        <w:spacing w:after="160" w:line="340" w:lineRule="exact"/>
        <w:rPr>
          <w:rFonts w:hint="eastAsia"/>
        </w:rPr>
      </w:pPr>
      <w:r>
        <w:rPr>
          <w:rFonts w:hint="eastAsia"/>
        </w:rPr>
        <w:t>35.</w:t>
      </w:r>
      <w:r>
        <w:rPr>
          <w:rFonts w:hint="eastAsia"/>
        </w:rPr>
        <w:tab/>
      </w:r>
      <w:r>
        <w:rPr>
          <w:rFonts w:ascii="SimHei" w:eastAsia="SimHei" w:hint="eastAsia"/>
          <w:color w:val="FF0000"/>
        </w:rPr>
        <w:t>K</w:t>
      </w:r>
      <w:r>
        <w:rPr>
          <w:rFonts w:ascii="SimHei" w:eastAsia="SimHei"/>
          <w:color w:val="FF0000"/>
        </w:rPr>
        <w:t>apalata</w:t>
      </w:r>
      <w:r>
        <w:rPr>
          <w:rFonts w:ascii="SimHei" w:eastAsia="SimHei" w:hint="eastAsia"/>
          <w:color w:val="FF0000"/>
        </w:rPr>
        <w:t>女士</w:t>
      </w:r>
      <w:r>
        <w:rPr>
          <w:rFonts w:hint="eastAsia"/>
        </w:rPr>
        <w:t>说，她同意前两位发言人的看法，她呼吁立即采取行动。她特别关切对私生子的歧视，这也是殖民法律的遗产，她认为非政府组织能协助对付它。</w:t>
      </w:r>
    </w:p>
    <w:p w:rsidR="00000000" w:rsidRDefault="00000000">
      <w:pPr>
        <w:pStyle w:val="DualTxt"/>
        <w:spacing w:after="180" w:line="340" w:lineRule="exact"/>
        <w:rPr>
          <w:rFonts w:hint="eastAsia"/>
        </w:rPr>
      </w:pPr>
      <w:r>
        <w:rPr>
          <w:rFonts w:hint="eastAsia"/>
        </w:rPr>
        <w:t>36.</w:t>
      </w:r>
      <w:r>
        <w:rPr>
          <w:rFonts w:hint="eastAsia"/>
        </w:rPr>
        <w:tab/>
      </w:r>
      <w:r>
        <w:rPr>
          <w:rFonts w:ascii="SimHei" w:eastAsia="SimHei"/>
          <w:color w:val="FF0000"/>
        </w:rPr>
        <w:t>Livingstone Raday</w:t>
      </w:r>
      <w:r>
        <w:rPr>
          <w:rFonts w:ascii="SimHei" w:eastAsia="SimHei" w:hint="eastAsia"/>
          <w:color w:val="FF0000"/>
        </w:rPr>
        <w:t>女士</w:t>
      </w:r>
      <w:r>
        <w:rPr>
          <w:rFonts w:hint="eastAsia"/>
        </w:rPr>
        <w:t>表示希望政府能最优先重视通过这项改革法案。</w:t>
      </w:r>
    </w:p>
    <w:p w:rsidR="00000000" w:rsidRDefault="00000000">
      <w:pPr>
        <w:pStyle w:val="DualTxt"/>
        <w:spacing w:after="180" w:line="340" w:lineRule="exact"/>
        <w:rPr>
          <w:rFonts w:hint="eastAsia"/>
        </w:rPr>
      </w:pPr>
      <w:r>
        <w:rPr>
          <w:rFonts w:hint="eastAsia"/>
        </w:rPr>
        <w:t>37.</w:t>
      </w:r>
      <w:r>
        <w:rPr>
          <w:rFonts w:hint="eastAsia"/>
        </w:rPr>
        <w:tab/>
        <w:t>在第16条下的关键问题是家庭暴力。她称赞该报告坦白承认大部分家庭经历过的一些暴力。不清楚的是是否禁止夫对妻的强奸以及是否发给家庭的受害人保护令。在不追咎家庭暴力的文化中，应同时通过教育和惩罚来处理这个问题。教育应从学术开始，应为儿童设计特别方案。应向警察、检察官和司法人员提供关于家庭暴力问题的培训。应起诉和惩罚犯罪者，以证明社会不再容忍家庭暴力。</w:t>
      </w:r>
    </w:p>
    <w:p w:rsidR="00000000" w:rsidRDefault="00000000">
      <w:pPr>
        <w:pStyle w:val="DualTxt"/>
        <w:rPr>
          <w:rFonts w:hint="eastAsia"/>
        </w:rPr>
      </w:pPr>
      <w:r>
        <w:rPr>
          <w:rFonts w:hint="eastAsia"/>
        </w:rPr>
        <w:t>38.</w:t>
      </w:r>
      <w:r>
        <w:rPr>
          <w:rFonts w:hint="eastAsia"/>
        </w:rPr>
        <w:tab/>
      </w:r>
      <w:r>
        <w:rPr>
          <w:rFonts w:ascii="SimHei" w:eastAsia="SimHei"/>
          <w:color w:val="FF0000"/>
        </w:rPr>
        <w:t>Shin</w:t>
      </w:r>
      <w:r>
        <w:rPr>
          <w:rFonts w:ascii="SimHei" w:eastAsia="SimHei" w:hint="eastAsia"/>
          <w:color w:val="FF0000"/>
        </w:rPr>
        <w:t>女士</w:t>
      </w:r>
      <w:r>
        <w:rPr>
          <w:rFonts w:hint="eastAsia"/>
        </w:rPr>
        <w:t>说，由于公开叙述在男子和妇女间存在的令人担心的不公平现象，斐济已采取了解决这个问题的第一步。她相信会在提议改革与家庭法有关的立法方面处理这种情况，并希望尽快进行那些改革。她希望获得关于继承法的资料，该报告未提及继承法，特别是关于性别或婚姻状况是否影响儿童继承其父母的财产的权利。</w:t>
      </w:r>
    </w:p>
    <w:p w:rsidR="00000000" w:rsidRDefault="00000000">
      <w:pPr>
        <w:pStyle w:val="DualTxt"/>
        <w:rPr>
          <w:rFonts w:hint="eastAsia"/>
        </w:rPr>
      </w:pPr>
      <w:r>
        <w:rPr>
          <w:rFonts w:hint="eastAsia"/>
        </w:rPr>
        <w:t>39.</w:t>
      </w:r>
      <w:r>
        <w:rPr>
          <w:rFonts w:hint="eastAsia"/>
        </w:rPr>
        <w:tab/>
      </w:r>
      <w:r>
        <w:rPr>
          <w:rFonts w:ascii="SimHei" w:eastAsia="SimHei"/>
          <w:color w:val="FF0000"/>
        </w:rPr>
        <w:t>Salabula</w:t>
      </w:r>
      <w:r>
        <w:rPr>
          <w:rFonts w:ascii="SimHei" w:eastAsia="SimHei" w:hint="eastAsia"/>
          <w:color w:val="FF0000"/>
        </w:rPr>
        <w:t>女士</w:t>
      </w:r>
      <w:r>
        <w:rPr>
          <w:rFonts w:hint="eastAsia"/>
        </w:rPr>
        <w:t>（斐济）感谢委员会成员认真地读斐济的初次报告，她说斐济代表团将在下周回答他们的问题。</w:t>
      </w:r>
    </w:p>
    <w:p w:rsidR="00000000" w:rsidRDefault="00000000">
      <w:pPr>
        <w:pStyle w:val="DualTxt"/>
        <w:rPr>
          <w:rFonts w:hint="eastAsia"/>
        </w:rPr>
      </w:pPr>
      <w:r>
        <w:rPr>
          <w:rFonts w:ascii="KaiTi_GB2312" w:eastAsia="KaiTi_GB2312" w:hint="eastAsia"/>
          <w:color w:val="0000FF"/>
        </w:rPr>
        <w:t>会前工作组的报告</w:t>
      </w:r>
      <w:r>
        <w:br/>
      </w:r>
      <w:r>
        <w:rPr>
          <w:rFonts w:hint="eastAsia"/>
        </w:rPr>
        <w:t>（CEDAW/PSWG/2002/I/CRP</w:t>
      </w:r>
      <w:r>
        <w:t>.1</w:t>
      </w:r>
      <w:r>
        <w:rPr>
          <w:rFonts w:hint="eastAsia"/>
        </w:rPr>
        <w:t>）</w:t>
      </w:r>
    </w:p>
    <w:p w:rsidR="00000000" w:rsidRDefault="00000000">
      <w:pPr>
        <w:pStyle w:val="DualTxt"/>
        <w:rPr>
          <w:rFonts w:hint="eastAsia"/>
        </w:rPr>
      </w:pPr>
      <w:r>
        <w:rPr>
          <w:rFonts w:hint="eastAsia"/>
        </w:rPr>
        <w:t>40.</w:t>
      </w:r>
      <w:r>
        <w:rPr>
          <w:rFonts w:hint="eastAsia"/>
        </w:rPr>
        <w:tab/>
      </w:r>
      <w:r>
        <w:rPr>
          <w:rFonts w:ascii="SimHei" w:eastAsia="SimHei"/>
          <w:color w:val="FF0000"/>
        </w:rPr>
        <w:t>Regazzoli</w:t>
      </w:r>
      <w:r>
        <w:rPr>
          <w:rFonts w:ascii="SimHei" w:eastAsia="SimHei" w:hint="eastAsia"/>
          <w:color w:val="FF0000"/>
        </w:rPr>
        <w:t>女士</w:t>
      </w:r>
      <w:r>
        <w:rPr>
          <w:rFonts w:hint="eastAsia"/>
        </w:rPr>
        <w:t>以会前工作组主席身份发言，介绍了后面的报告（CEDAW/PSWG/2002/I/CRP</w:t>
      </w:r>
      <w:r>
        <w:t>.1</w:t>
      </w:r>
      <w:r>
        <w:rPr>
          <w:rFonts w:hint="eastAsia"/>
        </w:rPr>
        <w:t>），说会前工作组已审议了冰岛、葡萄牙、俄罗斯联邦、斯里兰卡和乌拉圭的报告，并且编制了关于每个国家的问题清单。它的工作根据的是国际劳工组织和联合国儿童基金会的报告（它们帮它看出若干具体问题）、委员会关于执行《公约》和《北京行动纲要》的建议、以及其他条约机构的评论。</w:t>
      </w:r>
    </w:p>
    <w:p w:rsidR="00000000" w:rsidRDefault="00000000">
      <w:pPr>
        <w:pStyle w:val="DualTxt"/>
        <w:spacing w:after="160" w:line="340" w:lineRule="exact"/>
        <w:rPr>
          <w:rFonts w:hint="eastAsia"/>
        </w:rPr>
      </w:pPr>
      <w:r>
        <w:rPr>
          <w:rFonts w:hint="eastAsia"/>
        </w:rPr>
        <w:t>41.</w:t>
      </w:r>
      <w:r>
        <w:rPr>
          <w:rFonts w:hint="eastAsia"/>
        </w:rPr>
        <w:tab/>
        <w:t>工作组已设法把要向缔约国提出的问题弄成几个组，已设法使其数目减少到30。在所有五份报告中，执行《公约》的首要障碍是关于男子和妇女各自角色的定型观念持续存在；结构调整及由此而产生的失业和就业不足（它们总是使妇女受到最重的打击），以及妇女担任决策职位的人数不够。贩卖妇女和卖淫的增加是执行《公约》的另一个障碍。会前工作组已注意到本国机制常常缺乏财政资源来处理这种复杂的问题。</w:t>
      </w:r>
    </w:p>
    <w:p w:rsidR="00000000" w:rsidRDefault="00000000">
      <w:pPr>
        <w:pStyle w:val="DualTxt"/>
        <w:rPr>
          <w:rFonts w:hint="eastAsia"/>
        </w:rPr>
      </w:pPr>
      <w:r>
        <w:rPr>
          <w:rFonts w:hint="eastAsia"/>
        </w:rPr>
        <w:t>42.</w:t>
      </w:r>
      <w:r>
        <w:rPr>
          <w:rFonts w:hint="eastAsia"/>
        </w:rPr>
        <w:tab/>
        <w:t>必须以严厉的立法以及使妇女认识她们有权向专门机构提出控诉来控制对妇女增加的暴力行为。在一些国家，酗酒也在增加。会前工作组发现，大体上必须更有效地的执行公约，以便确保妇女法律上的平等成为事实上的平等。贫穷妇女人数日增与她叙述的所有现象是同时存在的。</w:t>
      </w:r>
    </w:p>
    <w:p w:rsidR="00000000" w:rsidRDefault="00000000">
      <w:pPr>
        <w:pStyle w:val="DualTxt"/>
        <w:rPr>
          <w:rFonts w:hint="eastAsia"/>
        </w:rPr>
      </w:pPr>
      <w:r>
        <w:rPr>
          <w:rFonts w:hint="eastAsia"/>
        </w:rPr>
        <w:t>43.</w:t>
      </w:r>
      <w:r>
        <w:rPr>
          <w:rFonts w:hint="eastAsia"/>
        </w:rPr>
        <w:tab/>
      </w:r>
      <w:r>
        <w:rPr>
          <w:rFonts w:ascii="SimHei" w:eastAsia="SimHei" w:hint="eastAsia"/>
          <w:color w:val="FF0000"/>
        </w:rPr>
        <w:t>主席</w:t>
      </w:r>
      <w:r>
        <w:rPr>
          <w:rFonts w:hint="eastAsia"/>
        </w:rPr>
        <w:t>说，她认为委员会成员希望通过会前工作组的报告。</w:t>
      </w:r>
    </w:p>
    <w:p w:rsidR="00000000" w:rsidRDefault="00000000">
      <w:pPr>
        <w:pStyle w:val="DualTxt"/>
        <w:rPr>
          <w:rFonts w:hint="eastAsia"/>
        </w:rPr>
      </w:pPr>
      <w:r>
        <w:rPr>
          <w:rFonts w:hint="eastAsia"/>
        </w:rPr>
        <w:t>44.</w:t>
      </w:r>
      <w:r>
        <w:rPr>
          <w:rFonts w:hint="eastAsia"/>
        </w:rPr>
        <w:tab/>
        <w:t>会前工作组的报告获得通过。</w:t>
      </w:r>
    </w:p>
    <w:p w:rsidR="00000000" w:rsidRDefault="00000000">
      <w:pPr>
        <w:pStyle w:val="DualTxt"/>
        <w:rPr>
          <w:rFonts w:hint="eastAsia"/>
        </w:rPr>
      </w:pPr>
      <w:r>
        <w:rPr>
          <w:rFonts w:hint="eastAsia"/>
        </w:rPr>
        <w:tab/>
      </w:r>
      <w:r>
        <w:rPr>
          <w:rFonts w:ascii="KaiTi_GB2312" w:eastAsia="KaiTi_GB2312" w:hint="eastAsia"/>
          <w:color w:val="0000FF"/>
        </w:rPr>
        <w:t>下午4时50分散会</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rPr>
          <w:rFonts w:hint="eastAsia"/>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NO&gt;&gt;N0221521C&lt;&lt;ODS JOB NO&gt;&gt;</w:t>
      </w:r>
    </w:p>
    <w:p w:rsidR="00000000" w:rsidRDefault="00000000">
      <w:pPr>
        <w:pStyle w:val="CommentText"/>
      </w:pPr>
      <w:r>
        <w:t>&lt;&lt;ODS DOC SYMBOL1&gt;&gt;CEDAW/C/SR.531&lt;&lt;ODS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02-21521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CEDAW/C/SR.531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CEDAW/C/SR.531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/C/SR.531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16 April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4/2002 2:59: PM"/>
    <w:docVar w:name="DocCategory" w:val="SROthers"/>
    <w:docVar w:name="DocType" w:val="Final"/>
    <w:docVar w:name="JobNo" w:val="0221521C"/>
    <w:docVar w:name="OandT" w:val="huang"/>
    <w:docVar w:name="Symbol1" w:val="CEDAW/C/SR.53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157</TotalTime>
  <Pages>1</Pages>
  <Words>763</Words>
  <Characters>4352</Characters>
  <Application>Microsoft Office Word</Application>
  <DocSecurity>4</DocSecurity>
  <Lines>36</Lines>
  <Paragraphs>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5344</CharactersWithSpaces>
  <SharedDoc>false</SharedDoc>
  <HLinks>
    <vt:vector size="6" baseType="variant">
      <vt:variant>
        <vt:i4>4522087</vt:i4>
      </vt:variant>
      <vt:variant>
        <vt:i4>11762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8</cp:revision>
  <cp:lastPrinted>2002-04-16T13:41:00Z</cp:lastPrinted>
  <dcterms:created xsi:type="dcterms:W3CDTF">2002-04-15T13:59:00Z</dcterms:created>
  <dcterms:modified xsi:type="dcterms:W3CDTF">2002-04-16T13:44:00Z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0221521</vt:lpwstr>
  </property>
  <property fmtid="{D5CDD505-2E9C-101B-9397-08002B2CF9AE}" pid="3" name="Symbol1">
    <vt:lpwstr>CEDAW/C/SR.531</vt:lpwstr>
  </property>
  <property fmtid="{D5CDD505-2E9C-101B-9397-08002B2CF9AE}" pid="4" name="Symbol2">
    <vt:lpwstr/>
  </property>
  <property fmtid="{D5CDD505-2E9C-101B-9397-08002B2CF9AE}" pid="5" name="Translator">
    <vt:lpwstr/>
  </property>
  <property fmtid="{D5CDD505-2E9C-101B-9397-08002B2CF9AE}" pid="6" name="Operator">
    <vt:lpwstr>huang</vt:lpwstr>
  </property>
  <property fmtid="{D5CDD505-2E9C-101B-9397-08002B2CF9AE}" pid="7" name="DraftPages">
    <vt:lpwstr> </vt:lpwstr>
  </property>
  <property fmtid="{D5CDD505-2E9C-101B-9397-08002B2CF9AE}" pid="8" name="Comment">
    <vt:lpwstr/>
  </property>
</Properties>
</file>