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480" w:lineRule="auto"/>
      </w:pPr>
      <w:r>
        <w:rPr>
          <w:rFonts w:hint="eastAsia"/>
        </w:rPr>
        <w:t>2006</w:t>
      </w:r>
      <w:r>
        <w:rPr>
          <w:rFonts w:hint="eastAsia"/>
        </w:rPr>
        <w:t>年实务会议</w:t>
      </w:r>
    </w:p>
    <w:p w:rsidR="00000000" w:rsidRDefault="00000000">
      <w:pPr>
        <w:pStyle w:val="a6"/>
        <w:spacing w:after="240" w:line="480" w:lineRule="auto"/>
        <w:rPr>
          <w:rFonts w:eastAsia="SimSun"/>
        </w:rPr>
      </w:pPr>
    </w:p>
    <w:p w:rsidR="00000000" w:rsidRDefault="00000000">
      <w:pPr>
        <w:pStyle w:val="Heading2"/>
        <w:rPr>
          <w:rFonts w:eastAsia="SimHei" w:hint="eastAsia"/>
        </w:rPr>
      </w:pPr>
      <w:r>
        <w:rPr>
          <w:rFonts w:eastAsia="SimHei" w:hint="eastAsia"/>
        </w:rPr>
        <w:t>《经济、社会、文化权利国际公约》执行情况</w:t>
      </w:r>
    </w:p>
    <w:p w:rsidR="00000000" w:rsidRDefault="00000000">
      <w:pPr>
        <w:pStyle w:val="Heading3"/>
        <w:rPr>
          <w:rFonts w:eastAsia="SimHei" w:hint="eastAsia"/>
          <w:u w:val="none"/>
        </w:rPr>
      </w:pPr>
      <w:r>
        <w:rPr>
          <w:rFonts w:eastAsia="SimHei" w:hint="eastAsia"/>
          <w:u w:val="none"/>
        </w:rPr>
        <w:t>缔约国根据《公约》第</w:t>
      </w:r>
      <w:r>
        <w:rPr>
          <w:rFonts w:eastAsia="SimHei" w:hint="eastAsia"/>
          <w:b/>
          <w:u w:val="none"/>
        </w:rPr>
        <w:t>16</w:t>
      </w:r>
      <w:r>
        <w:rPr>
          <w:rFonts w:eastAsia="SimHei" w:hint="eastAsia"/>
          <w:u w:val="none"/>
        </w:rPr>
        <w:t>和第</w:t>
      </w:r>
      <w:r>
        <w:rPr>
          <w:rFonts w:eastAsia="SimHei" w:hint="eastAsia"/>
          <w:b/>
          <w:u w:val="none"/>
        </w:rPr>
        <w:t>17</w:t>
      </w:r>
      <w:r>
        <w:rPr>
          <w:rFonts w:eastAsia="SimHei" w:hint="eastAsia"/>
          <w:u w:val="none"/>
        </w:rPr>
        <w:t>条提交的</w:t>
      </w:r>
      <w:r>
        <w:rPr>
          <w:rFonts w:eastAsia="SimHei"/>
          <w:u w:val="none"/>
        </w:rPr>
        <w:br/>
      </w:r>
      <w:r>
        <w:rPr>
          <w:rFonts w:eastAsia="SimHei" w:hint="eastAsia"/>
          <w:u w:val="none"/>
        </w:rPr>
        <w:t>第三次定期报告</w:t>
      </w:r>
    </w:p>
    <w:p w:rsidR="00000000" w:rsidRDefault="00000000">
      <w:pPr>
        <w:pStyle w:val="Heading3"/>
        <w:rPr>
          <w:rFonts w:eastAsia="SimHei" w:hint="eastAsia"/>
          <w:u w:val="none"/>
        </w:rPr>
      </w:pPr>
      <w:r>
        <w:rPr>
          <w:rFonts w:eastAsia="SimHei" w:hint="eastAsia"/>
          <w:u w:val="none"/>
        </w:rPr>
        <w:t>增</w:t>
      </w:r>
      <w:r>
        <w:rPr>
          <w:rFonts w:eastAsia="SimHei" w:hint="eastAsia"/>
          <w:u w:val="none"/>
        </w:rPr>
        <w:t xml:space="preserve">   </w:t>
      </w:r>
      <w:r>
        <w:rPr>
          <w:rFonts w:eastAsia="SimHei" w:hint="eastAsia"/>
          <w:u w:val="none"/>
        </w:rPr>
        <w:t>编</w:t>
      </w:r>
    </w:p>
    <w:p w:rsidR="00000000" w:rsidRDefault="00000000">
      <w:pPr>
        <w:pStyle w:val="Heading3"/>
        <w:rPr>
          <w:rFonts w:eastAsia="SimHei" w:hint="eastAsia"/>
          <w:bCs/>
          <w:u w:val="none"/>
        </w:rPr>
      </w:pPr>
      <w:r>
        <w:rPr>
          <w:rFonts w:eastAsia="SimHei"/>
          <w:u w:val="none"/>
        </w:rPr>
        <w:t xml:space="preserve"> </w:t>
      </w:r>
      <w:r>
        <w:rPr>
          <w:rFonts w:eastAsia="SimHei" w:hint="eastAsia"/>
          <w:u w:val="none"/>
        </w:rPr>
        <w:t>荷属安的列斯群岛</w:t>
      </w:r>
      <w:r>
        <w:rPr>
          <w:rStyle w:val="FootnoteReference"/>
          <w:rFonts w:eastAsia="SimHei"/>
          <w:b w:val="0"/>
          <w:bCs/>
          <w:u w:val="none"/>
          <w:vertAlign w:val="baseline"/>
        </w:rPr>
        <w:footnoteReference w:customMarkFollows="1" w:id="1"/>
        <w:t>*</w:t>
      </w:r>
    </w:p>
    <w:p w:rsidR="00000000" w:rsidRDefault="00000000">
      <w:pPr>
        <w:pStyle w:val="a7"/>
        <w:keepNext/>
        <w:tabs>
          <w:tab w:val="clear" w:pos="7201"/>
          <w:tab w:val="clear" w:pos="8618"/>
          <w:tab w:val="left" w:pos="7088"/>
          <w:tab w:val="left" w:pos="8080"/>
          <w:tab w:val="left" w:pos="8640"/>
        </w:tabs>
        <w:spacing w:after="120" w:line="336" w:lineRule="auto"/>
        <w:jc w:val="center"/>
        <w:rPr>
          <w:kern w:val="24"/>
          <w:sz w:val="26"/>
        </w:rPr>
      </w:pPr>
      <w:r>
        <w:rPr>
          <w:rFonts w:eastAsia="SimHei" w:hint="eastAsia"/>
          <w:bCs/>
        </w:rPr>
        <w:br w:type="page"/>
      </w:r>
      <w:r>
        <w:rPr>
          <w:rFonts w:hint="eastAsia"/>
          <w:kern w:val="24"/>
          <w:sz w:val="26"/>
        </w:rPr>
        <w:t>目</w:t>
      </w:r>
      <w:r>
        <w:rPr>
          <w:kern w:val="24"/>
          <w:sz w:val="26"/>
        </w:rPr>
        <w:tab/>
      </w:r>
      <w:r>
        <w:rPr>
          <w:rFonts w:hint="eastAsia"/>
          <w:kern w:val="24"/>
          <w:sz w:val="26"/>
        </w:rPr>
        <w:t>录</w:t>
      </w:r>
    </w:p>
    <w:p w:rsidR="00000000" w:rsidRDefault="00000000">
      <w:pPr>
        <w:pStyle w:val="a7"/>
        <w:keepNext/>
        <w:tabs>
          <w:tab w:val="clear" w:pos="7201"/>
          <w:tab w:val="clear" w:pos="8618"/>
          <w:tab w:val="left" w:pos="7088"/>
          <w:tab w:val="left" w:pos="8080"/>
          <w:tab w:val="left" w:pos="8640"/>
        </w:tabs>
        <w:spacing w:after="120" w:line="336" w:lineRule="auto"/>
        <w:rPr>
          <w:rFonts w:eastAsia="长城楷体"/>
          <w:kern w:val="24"/>
          <w:sz w:val="26"/>
          <w:u w:val="single"/>
        </w:rPr>
      </w:pPr>
      <w:r>
        <w:rPr>
          <w:rFonts w:hint="eastAsia"/>
          <w:kern w:val="24"/>
          <w:sz w:val="26"/>
        </w:rPr>
        <w:tab/>
      </w:r>
      <w:r>
        <w:rPr>
          <w:rFonts w:hint="eastAsia"/>
          <w:kern w:val="24"/>
          <w:sz w:val="26"/>
        </w:rPr>
        <w:tab/>
      </w:r>
      <w:r>
        <w:rPr>
          <w:rFonts w:hint="eastAsia"/>
          <w:kern w:val="24"/>
          <w:sz w:val="26"/>
          <w:u w:val="single"/>
        </w:rPr>
        <w:t>段</w:t>
      </w:r>
      <w:r>
        <w:rPr>
          <w:kern w:val="24"/>
          <w:sz w:val="26"/>
          <w:u w:val="single"/>
        </w:rPr>
        <w:tab/>
      </w:r>
      <w:r>
        <w:rPr>
          <w:rFonts w:hint="eastAsia"/>
          <w:kern w:val="24"/>
          <w:sz w:val="26"/>
          <w:u w:val="single"/>
        </w:rPr>
        <w:t>次</w:t>
      </w:r>
      <w:r>
        <w:rPr>
          <w:kern w:val="24"/>
          <w:sz w:val="26"/>
        </w:rPr>
        <w:tab/>
      </w:r>
      <w:r>
        <w:rPr>
          <w:kern w:val="24"/>
          <w:sz w:val="26"/>
        </w:rPr>
        <w:tab/>
      </w:r>
      <w:r>
        <w:rPr>
          <w:rFonts w:hint="eastAsia"/>
          <w:kern w:val="24"/>
          <w:sz w:val="26"/>
          <w:u w:val="single"/>
        </w:rPr>
        <w:t>页</w:t>
      </w:r>
      <w:r>
        <w:rPr>
          <w:kern w:val="24"/>
          <w:sz w:val="26"/>
          <w:u w:val="single"/>
        </w:rPr>
        <w:tab/>
      </w:r>
      <w:r>
        <w:rPr>
          <w:rFonts w:hint="eastAsia"/>
          <w:kern w:val="24"/>
          <w:sz w:val="26"/>
          <w:u w:val="single"/>
        </w:rPr>
        <w:t>次</w:t>
      </w:r>
    </w:p>
    <w:p w:rsidR="00000000" w:rsidRDefault="00000000">
      <w:pPr>
        <w:pStyle w:val="a9"/>
        <w:rPr>
          <w:rFonts w:hint="eastAsia"/>
          <w:snapToGrid/>
        </w:rPr>
      </w:pPr>
      <w:r>
        <w:rPr>
          <w:rFonts w:hint="eastAsia"/>
          <w:snapToGrid/>
        </w:rPr>
        <w:t>导</w:t>
      </w:r>
      <w:r>
        <w:rPr>
          <w:snapToGrid/>
        </w:rPr>
        <w:t xml:space="preserve">  </w:t>
      </w:r>
      <w:r>
        <w:rPr>
          <w:rFonts w:hint="eastAsia"/>
          <w:snapToGrid/>
        </w:rPr>
        <w:t>言</w:t>
      </w:r>
      <w:r>
        <w:rPr>
          <w:rFonts w:hint="eastAsia"/>
          <w:snapToGrid/>
        </w:rPr>
        <w:t>.....................................</w:t>
      </w:r>
      <w:r>
        <w:rPr>
          <w:rFonts w:hint="eastAsia"/>
          <w:snapToGrid/>
        </w:rPr>
        <w:tab/>
      </w:r>
      <w:r>
        <w:rPr>
          <w:rFonts w:hint="eastAsia"/>
          <w:snapToGrid/>
        </w:rPr>
        <w:tab/>
      </w:r>
      <w:r>
        <w:rPr>
          <w:rFonts w:hint="eastAsia"/>
          <w:snapToGrid/>
        </w:rPr>
        <w:tab/>
        <w:t>1</w:t>
      </w:r>
      <w:r>
        <w:rPr>
          <w:rFonts w:hint="eastAsia"/>
          <w:snapToGrid/>
        </w:rPr>
        <w:tab/>
      </w:r>
      <w:r>
        <w:rPr>
          <w:rFonts w:hint="eastAsia"/>
          <w:snapToGrid/>
        </w:rPr>
        <w:tab/>
        <w:t>3</w:t>
      </w:r>
    </w:p>
    <w:p w:rsidR="00000000" w:rsidRDefault="00000000">
      <w:pPr>
        <w:pStyle w:val="a9"/>
        <w:rPr>
          <w:rFonts w:hint="eastAsia"/>
          <w:snapToGrid/>
        </w:rPr>
      </w:pPr>
      <w:r>
        <w:rPr>
          <w:rFonts w:hint="eastAsia"/>
          <w:snapToGrid/>
        </w:rPr>
        <w:t>对于委员会结论性意见的反应</w:t>
      </w:r>
      <w:r>
        <w:rPr>
          <w:rFonts w:hint="eastAsia"/>
          <w:snapToGrid/>
        </w:rPr>
        <w:tab/>
      </w:r>
      <w:r>
        <w:rPr>
          <w:rFonts w:hint="eastAsia"/>
          <w:snapToGrid/>
        </w:rPr>
        <w:tab/>
      </w:r>
      <w:r>
        <w:rPr>
          <w:rFonts w:hint="eastAsia"/>
          <w:snapToGrid/>
        </w:rPr>
        <w:tab/>
        <w:t>2</w:t>
      </w:r>
      <w:r>
        <w:rPr>
          <w:rFonts w:hint="eastAsia"/>
          <w:snapToGrid/>
        </w:rPr>
        <w:tab/>
      </w:r>
      <w:r>
        <w:rPr>
          <w:rFonts w:hint="eastAsia"/>
          <w:snapToGrid/>
        </w:rPr>
        <w:tab/>
        <w:t>3</w:t>
      </w:r>
    </w:p>
    <w:p w:rsidR="00000000" w:rsidRDefault="00000000">
      <w:pPr>
        <w:pStyle w:val="a9"/>
        <w:rPr>
          <w:snapToGrid/>
        </w:rPr>
      </w:pPr>
      <w:r>
        <w:rPr>
          <w:rFonts w:hint="eastAsia"/>
          <w:snapToGrid/>
        </w:rPr>
        <w:t>第一条</w:t>
      </w:r>
      <w:r>
        <w:rPr>
          <w:rFonts w:hint="eastAsia"/>
          <w:snapToGrid/>
        </w:rPr>
        <w:t>......................</w:t>
      </w:r>
      <w:r>
        <w:rPr>
          <w:rFonts w:hint="eastAsia"/>
          <w:snapToGrid/>
        </w:rPr>
        <w:tab/>
      </w:r>
      <w:r>
        <w:rPr>
          <w:rFonts w:hint="eastAsia"/>
          <w:snapToGrid/>
        </w:rPr>
        <w:tab/>
        <w:t>3</w:t>
      </w:r>
      <w:r>
        <w:rPr>
          <w:rFonts w:hint="eastAsia"/>
          <w:snapToGrid/>
        </w:rPr>
        <w:tab/>
        <w:t>-</w:t>
      </w:r>
      <w:r>
        <w:rPr>
          <w:rFonts w:hint="eastAsia"/>
          <w:snapToGrid/>
        </w:rPr>
        <w:tab/>
        <w:t>4</w:t>
      </w:r>
      <w:r>
        <w:rPr>
          <w:rFonts w:hint="eastAsia"/>
          <w:snapToGrid/>
        </w:rPr>
        <w:tab/>
      </w:r>
      <w:r>
        <w:rPr>
          <w:snapToGrid/>
        </w:rPr>
        <w:t>3</w:t>
      </w:r>
    </w:p>
    <w:p w:rsidR="00000000" w:rsidRDefault="00000000">
      <w:pPr>
        <w:pStyle w:val="a9"/>
        <w:rPr>
          <w:rFonts w:hint="eastAsia"/>
          <w:snapToGrid/>
        </w:rPr>
      </w:pPr>
      <w:r>
        <w:rPr>
          <w:rFonts w:hint="eastAsia"/>
          <w:snapToGrid/>
        </w:rPr>
        <w:t>第二条</w:t>
      </w:r>
      <w:r>
        <w:rPr>
          <w:rFonts w:hint="eastAsia"/>
          <w:snapToGrid/>
        </w:rPr>
        <w:t>......................</w:t>
      </w:r>
      <w:r>
        <w:rPr>
          <w:rFonts w:hint="eastAsia"/>
          <w:snapToGrid/>
        </w:rPr>
        <w:tab/>
      </w:r>
      <w:r>
        <w:rPr>
          <w:rFonts w:hint="eastAsia"/>
          <w:snapToGrid/>
        </w:rPr>
        <w:tab/>
      </w:r>
      <w:r>
        <w:rPr>
          <w:rFonts w:hint="eastAsia"/>
          <w:snapToGrid/>
        </w:rPr>
        <w:tab/>
        <w:t>5</w:t>
      </w:r>
      <w:r>
        <w:rPr>
          <w:rFonts w:hint="eastAsia"/>
          <w:snapToGrid/>
        </w:rPr>
        <w:tab/>
      </w:r>
      <w:r>
        <w:rPr>
          <w:rFonts w:hint="eastAsia"/>
          <w:snapToGrid/>
        </w:rPr>
        <w:tab/>
        <w:t>4</w:t>
      </w:r>
    </w:p>
    <w:p w:rsidR="00000000" w:rsidRDefault="00000000">
      <w:pPr>
        <w:pStyle w:val="a9"/>
        <w:rPr>
          <w:snapToGrid/>
        </w:rPr>
      </w:pPr>
      <w:r>
        <w:rPr>
          <w:rFonts w:hint="eastAsia"/>
          <w:snapToGrid/>
        </w:rPr>
        <w:t>第三条</w:t>
      </w:r>
      <w:r>
        <w:rPr>
          <w:rFonts w:hint="eastAsia"/>
          <w:snapToGrid/>
        </w:rPr>
        <w:t>......................</w:t>
      </w:r>
      <w:r>
        <w:rPr>
          <w:rFonts w:hint="eastAsia"/>
          <w:snapToGrid/>
        </w:rPr>
        <w:tab/>
      </w:r>
      <w:r>
        <w:rPr>
          <w:rFonts w:hint="eastAsia"/>
          <w:snapToGrid/>
        </w:rPr>
        <w:tab/>
        <w:t>6</w:t>
      </w:r>
      <w:r>
        <w:rPr>
          <w:rFonts w:hint="eastAsia"/>
          <w:snapToGrid/>
        </w:rPr>
        <w:tab/>
        <w:t>-</w:t>
      </w:r>
      <w:r>
        <w:rPr>
          <w:rFonts w:hint="eastAsia"/>
          <w:snapToGrid/>
        </w:rPr>
        <w:tab/>
        <w:t>9</w:t>
      </w:r>
      <w:r>
        <w:rPr>
          <w:rFonts w:hint="eastAsia"/>
          <w:snapToGrid/>
        </w:rPr>
        <w:tab/>
      </w:r>
      <w:r>
        <w:rPr>
          <w:snapToGrid/>
        </w:rPr>
        <w:t>4</w:t>
      </w:r>
    </w:p>
    <w:p w:rsidR="00000000" w:rsidRDefault="00000000">
      <w:pPr>
        <w:pStyle w:val="a9"/>
        <w:rPr>
          <w:rFonts w:hint="eastAsia"/>
          <w:snapToGrid/>
        </w:rPr>
      </w:pPr>
      <w:r>
        <w:rPr>
          <w:rFonts w:hint="eastAsia"/>
          <w:snapToGrid/>
        </w:rPr>
        <w:t>第四条</w:t>
      </w:r>
      <w:r>
        <w:rPr>
          <w:rFonts w:hint="eastAsia"/>
          <w:snapToGrid/>
        </w:rPr>
        <w:t>......................</w:t>
      </w:r>
      <w:r>
        <w:rPr>
          <w:rFonts w:hint="eastAsia"/>
          <w:snapToGrid/>
        </w:rPr>
        <w:tab/>
      </w:r>
      <w:r>
        <w:rPr>
          <w:rFonts w:hint="eastAsia"/>
          <w:snapToGrid/>
        </w:rPr>
        <w:tab/>
      </w:r>
      <w:r>
        <w:rPr>
          <w:rFonts w:hint="eastAsia"/>
          <w:snapToGrid/>
        </w:rPr>
        <w:tab/>
        <w:t>10</w:t>
      </w:r>
      <w:r>
        <w:rPr>
          <w:rFonts w:hint="eastAsia"/>
          <w:snapToGrid/>
        </w:rPr>
        <w:tab/>
      </w:r>
      <w:r>
        <w:rPr>
          <w:rFonts w:hint="eastAsia"/>
          <w:snapToGrid/>
        </w:rPr>
        <w:tab/>
        <w:t>5</w:t>
      </w:r>
    </w:p>
    <w:p w:rsidR="00000000" w:rsidRDefault="00000000">
      <w:pPr>
        <w:pStyle w:val="a9"/>
        <w:rPr>
          <w:rFonts w:hint="eastAsia"/>
          <w:snapToGrid/>
        </w:rPr>
      </w:pPr>
      <w:r>
        <w:rPr>
          <w:rFonts w:hint="eastAsia"/>
          <w:snapToGrid/>
        </w:rPr>
        <w:t>第五条</w:t>
      </w:r>
      <w:r>
        <w:rPr>
          <w:rFonts w:hint="eastAsia"/>
          <w:snapToGrid/>
        </w:rPr>
        <w:t>......................</w:t>
      </w:r>
      <w:r>
        <w:rPr>
          <w:rFonts w:hint="eastAsia"/>
          <w:snapToGrid/>
        </w:rPr>
        <w:tab/>
      </w:r>
      <w:r>
        <w:rPr>
          <w:rFonts w:hint="eastAsia"/>
          <w:snapToGrid/>
        </w:rPr>
        <w:tab/>
      </w:r>
      <w:r>
        <w:rPr>
          <w:rFonts w:hint="eastAsia"/>
          <w:snapToGrid/>
        </w:rPr>
        <w:tab/>
        <w:t>11</w:t>
      </w:r>
      <w:r>
        <w:rPr>
          <w:rFonts w:hint="eastAsia"/>
          <w:snapToGrid/>
        </w:rPr>
        <w:tab/>
      </w:r>
      <w:r>
        <w:rPr>
          <w:rFonts w:hint="eastAsia"/>
          <w:snapToGrid/>
        </w:rPr>
        <w:tab/>
        <w:t>5</w:t>
      </w:r>
    </w:p>
    <w:p w:rsidR="00000000" w:rsidRDefault="00000000">
      <w:pPr>
        <w:pStyle w:val="a9"/>
        <w:rPr>
          <w:snapToGrid/>
        </w:rPr>
      </w:pPr>
      <w:r>
        <w:rPr>
          <w:rFonts w:hint="eastAsia"/>
          <w:snapToGrid/>
        </w:rPr>
        <w:t>第六条</w:t>
      </w:r>
      <w:r>
        <w:rPr>
          <w:rFonts w:hint="eastAsia"/>
          <w:snapToGrid/>
        </w:rPr>
        <w:t>......................</w:t>
      </w:r>
      <w:r>
        <w:rPr>
          <w:rFonts w:hint="eastAsia"/>
          <w:snapToGrid/>
        </w:rPr>
        <w:tab/>
      </w:r>
      <w:r>
        <w:rPr>
          <w:rFonts w:hint="eastAsia"/>
          <w:snapToGrid/>
        </w:rPr>
        <w:tab/>
        <w:t>12</w:t>
      </w:r>
      <w:r>
        <w:rPr>
          <w:rFonts w:hint="eastAsia"/>
          <w:snapToGrid/>
        </w:rPr>
        <w:tab/>
        <w:t>-</w:t>
      </w:r>
      <w:r>
        <w:rPr>
          <w:rFonts w:hint="eastAsia"/>
          <w:snapToGrid/>
        </w:rPr>
        <w:tab/>
        <w:t>34</w:t>
      </w:r>
      <w:r>
        <w:rPr>
          <w:rFonts w:hint="eastAsia"/>
          <w:snapToGrid/>
        </w:rPr>
        <w:tab/>
      </w:r>
      <w:r>
        <w:rPr>
          <w:snapToGrid/>
        </w:rPr>
        <w:t>5</w:t>
      </w:r>
    </w:p>
    <w:p w:rsidR="00000000" w:rsidRDefault="00000000">
      <w:pPr>
        <w:pStyle w:val="a9"/>
        <w:rPr>
          <w:snapToGrid/>
        </w:rPr>
      </w:pPr>
      <w:r>
        <w:rPr>
          <w:rFonts w:hint="eastAsia"/>
          <w:snapToGrid/>
        </w:rPr>
        <w:t>第七条</w:t>
      </w:r>
      <w:r>
        <w:rPr>
          <w:rFonts w:hint="eastAsia"/>
          <w:snapToGrid/>
        </w:rPr>
        <w:t>......................</w:t>
      </w:r>
      <w:r>
        <w:rPr>
          <w:rFonts w:hint="eastAsia"/>
          <w:snapToGrid/>
        </w:rPr>
        <w:tab/>
      </w:r>
      <w:r>
        <w:rPr>
          <w:rFonts w:hint="eastAsia"/>
          <w:snapToGrid/>
        </w:rPr>
        <w:tab/>
        <w:t>35</w:t>
      </w:r>
      <w:r>
        <w:rPr>
          <w:rFonts w:hint="eastAsia"/>
          <w:snapToGrid/>
        </w:rPr>
        <w:tab/>
        <w:t>-</w:t>
      </w:r>
      <w:r>
        <w:rPr>
          <w:rFonts w:hint="eastAsia"/>
          <w:snapToGrid/>
        </w:rPr>
        <w:tab/>
        <w:t>46</w:t>
      </w:r>
      <w:r>
        <w:rPr>
          <w:snapToGrid/>
        </w:rPr>
        <w:tab/>
        <w:t>11</w:t>
      </w:r>
    </w:p>
    <w:p w:rsidR="00000000" w:rsidRDefault="00000000">
      <w:pPr>
        <w:pStyle w:val="a9"/>
        <w:rPr>
          <w:snapToGrid/>
        </w:rPr>
      </w:pPr>
      <w:r>
        <w:rPr>
          <w:rFonts w:hint="eastAsia"/>
          <w:snapToGrid/>
        </w:rPr>
        <w:t>第八条</w:t>
      </w:r>
      <w:r>
        <w:rPr>
          <w:rFonts w:hint="eastAsia"/>
          <w:snapToGrid/>
        </w:rPr>
        <w:t>......................</w:t>
      </w:r>
      <w:r>
        <w:rPr>
          <w:rFonts w:hint="eastAsia"/>
          <w:snapToGrid/>
        </w:rPr>
        <w:tab/>
      </w:r>
      <w:r>
        <w:rPr>
          <w:rFonts w:hint="eastAsia"/>
          <w:snapToGrid/>
        </w:rPr>
        <w:tab/>
        <w:t>47</w:t>
      </w:r>
      <w:r>
        <w:rPr>
          <w:rFonts w:hint="eastAsia"/>
          <w:snapToGrid/>
        </w:rPr>
        <w:tab/>
        <w:t>-</w:t>
      </w:r>
      <w:r>
        <w:rPr>
          <w:rFonts w:hint="eastAsia"/>
          <w:snapToGrid/>
        </w:rPr>
        <w:tab/>
        <w:t>53</w:t>
      </w:r>
      <w:r>
        <w:rPr>
          <w:snapToGrid/>
        </w:rPr>
        <w:tab/>
        <w:t>15</w:t>
      </w:r>
    </w:p>
    <w:p w:rsidR="00000000" w:rsidRDefault="00000000">
      <w:pPr>
        <w:pStyle w:val="a9"/>
        <w:rPr>
          <w:snapToGrid/>
        </w:rPr>
      </w:pPr>
      <w:r>
        <w:rPr>
          <w:rFonts w:hint="eastAsia"/>
          <w:snapToGrid/>
        </w:rPr>
        <w:t>第九条</w:t>
      </w:r>
      <w:r>
        <w:rPr>
          <w:rFonts w:hint="eastAsia"/>
          <w:snapToGrid/>
        </w:rPr>
        <w:t>......................</w:t>
      </w:r>
      <w:r>
        <w:rPr>
          <w:rFonts w:hint="eastAsia"/>
          <w:snapToGrid/>
        </w:rPr>
        <w:tab/>
      </w:r>
      <w:r>
        <w:rPr>
          <w:rFonts w:hint="eastAsia"/>
          <w:snapToGrid/>
        </w:rPr>
        <w:tab/>
        <w:t>54</w:t>
      </w:r>
      <w:r>
        <w:rPr>
          <w:rFonts w:hint="eastAsia"/>
          <w:snapToGrid/>
        </w:rPr>
        <w:tab/>
        <w:t>-</w:t>
      </w:r>
      <w:r>
        <w:rPr>
          <w:rFonts w:hint="eastAsia"/>
          <w:snapToGrid/>
        </w:rPr>
        <w:tab/>
        <w:t>78</w:t>
      </w:r>
      <w:r>
        <w:rPr>
          <w:snapToGrid/>
        </w:rPr>
        <w:tab/>
        <w:t>17</w:t>
      </w:r>
    </w:p>
    <w:p w:rsidR="00000000" w:rsidRDefault="00000000">
      <w:pPr>
        <w:pStyle w:val="a9"/>
        <w:rPr>
          <w:snapToGrid/>
        </w:rPr>
      </w:pPr>
      <w:r>
        <w:rPr>
          <w:rFonts w:hint="eastAsia"/>
          <w:snapToGrid/>
        </w:rPr>
        <w:t>第十条</w:t>
      </w:r>
      <w:r>
        <w:rPr>
          <w:rFonts w:hint="eastAsia"/>
          <w:snapToGrid/>
        </w:rPr>
        <w:t>......................</w:t>
      </w:r>
      <w:r>
        <w:rPr>
          <w:rFonts w:hint="eastAsia"/>
          <w:snapToGrid/>
        </w:rPr>
        <w:tab/>
      </w:r>
      <w:r>
        <w:rPr>
          <w:rFonts w:hint="eastAsia"/>
          <w:snapToGrid/>
        </w:rPr>
        <w:tab/>
        <w:t>79</w:t>
      </w:r>
      <w:r>
        <w:rPr>
          <w:rFonts w:hint="eastAsia"/>
          <w:snapToGrid/>
        </w:rPr>
        <w:tab/>
        <w:t>-</w:t>
      </w:r>
      <w:r>
        <w:rPr>
          <w:rFonts w:hint="eastAsia"/>
          <w:snapToGrid/>
        </w:rPr>
        <w:tab/>
        <w:t>89</w:t>
      </w:r>
      <w:r>
        <w:rPr>
          <w:snapToGrid/>
        </w:rPr>
        <w:tab/>
        <w:t>20</w:t>
      </w:r>
    </w:p>
    <w:p w:rsidR="00000000" w:rsidRDefault="00000000">
      <w:pPr>
        <w:pStyle w:val="a9"/>
        <w:rPr>
          <w:snapToGrid/>
        </w:rPr>
      </w:pPr>
      <w:r>
        <w:rPr>
          <w:rFonts w:hint="eastAsia"/>
          <w:snapToGrid/>
        </w:rPr>
        <w:t>第十一条</w:t>
      </w:r>
      <w:r>
        <w:rPr>
          <w:rFonts w:hint="eastAsia"/>
          <w:snapToGrid/>
        </w:rPr>
        <w:t>......................</w:t>
      </w:r>
      <w:r>
        <w:rPr>
          <w:rFonts w:hint="eastAsia"/>
          <w:snapToGrid/>
        </w:rPr>
        <w:tab/>
      </w:r>
      <w:r>
        <w:rPr>
          <w:rFonts w:hint="eastAsia"/>
          <w:snapToGrid/>
        </w:rPr>
        <w:tab/>
        <w:t>90</w:t>
      </w:r>
      <w:r>
        <w:rPr>
          <w:rFonts w:hint="eastAsia"/>
          <w:snapToGrid/>
        </w:rPr>
        <w:tab/>
        <w:t>-</w:t>
      </w:r>
      <w:r>
        <w:rPr>
          <w:rFonts w:hint="eastAsia"/>
          <w:snapToGrid/>
        </w:rPr>
        <w:tab/>
        <w:t>124</w:t>
      </w:r>
      <w:r>
        <w:rPr>
          <w:snapToGrid/>
        </w:rPr>
        <w:tab/>
        <w:t>25</w:t>
      </w:r>
    </w:p>
    <w:p w:rsidR="00000000" w:rsidRDefault="00000000">
      <w:pPr>
        <w:pStyle w:val="a9"/>
        <w:rPr>
          <w:snapToGrid/>
        </w:rPr>
      </w:pPr>
      <w:r>
        <w:rPr>
          <w:rFonts w:hint="eastAsia"/>
          <w:snapToGrid/>
        </w:rPr>
        <w:t>第十二条</w:t>
      </w:r>
      <w:r>
        <w:rPr>
          <w:rFonts w:hint="eastAsia"/>
          <w:snapToGrid/>
        </w:rPr>
        <w:t>......................</w:t>
      </w:r>
      <w:r>
        <w:rPr>
          <w:rFonts w:hint="eastAsia"/>
          <w:snapToGrid/>
        </w:rPr>
        <w:tab/>
      </w:r>
      <w:r>
        <w:rPr>
          <w:rFonts w:hint="eastAsia"/>
          <w:snapToGrid/>
        </w:rPr>
        <w:tab/>
      </w:r>
      <w:r>
        <w:rPr>
          <w:rFonts w:hint="eastAsia"/>
          <w:snapToGrid/>
        </w:rPr>
        <w:tab/>
        <w:t>125</w:t>
      </w:r>
      <w:r>
        <w:rPr>
          <w:snapToGrid/>
        </w:rPr>
        <w:tab/>
        <w:t>30</w:t>
      </w:r>
    </w:p>
    <w:p w:rsidR="00000000" w:rsidRDefault="00000000">
      <w:pPr>
        <w:pStyle w:val="a9"/>
        <w:rPr>
          <w:snapToGrid/>
        </w:rPr>
      </w:pPr>
      <w:r>
        <w:rPr>
          <w:rFonts w:hint="eastAsia"/>
          <w:snapToGrid/>
        </w:rPr>
        <w:t>第十三条</w:t>
      </w:r>
      <w:r>
        <w:rPr>
          <w:rFonts w:hint="eastAsia"/>
          <w:snapToGrid/>
        </w:rPr>
        <w:t>......................</w:t>
      </w:r>
      <w:r>
        <w:rPr>
          <w:rFonts w:hint="eastAsia"/>
          <w:snapToGrid/>
        </w:rPr>
        <w:tab/>
      </w:r>
      <w:r>
        <w:rPr>
          <w:rFonts w:hint="eastAsia"/>
          <w:snapToGrid/>
        </w:rPr>
        <w:tab/>
        <w:t>126</w:t>
      </w:r>
      <w:r>
        <w:rPr>
          <w:rFonts w:hint="eastAsia"/>
          <w:snapToGrid/>
        </w:rPr>
        <w:tab/>
        <w:t>-</w:t>
      </w:r>
      <w:r>
        <w:rPr>
          <w:rFonts w:hint="eastAsia"/>
          <w:snapToGrid/>
        </w:rPr>
        <w:tab/>
        <w:t>170</w:t>
      </w:r>
      <w:r>
        <w:rPr>
          <w:snapToGrid/>
        </w:rPr>
        <w:tab/>
        <w:t>31</w:t>
      </w:r>
    </w:p>
    <w:p w:rsidR="00000000" w:rsidRDefault="00000000">
      <w:pPr>
        <w:pStyle w:val="a9"/>
        <w:rPr>
          <w:snapToGrid/>
        </w:rPr>
      </w:pPr>
      <w:r>
        <w:rPr>
          <w:rFonts w:hint="eastAsia"/>
          <w:snapToGrid/>
        </w:rPr>
        <w:t>第十五条</w:t>
      </w:r>
      <w:r>
        <w:rPr>
          <w:rFonts w:hint="eastAsia"/>
          <w:snapToGrid/>
        </w:rPr>
        <w:t>......................</w:t>
      </w:r>
      <w:r>
        <w:rPr>
          <w:rFonts w:hint="eastAsia"/>
          <w:snapToGrid/>
        </w:rPr>
        <w:tab/>
      </w:r>
      <w:r>
        <w:rPr>
          <w:rFonts w:hint="eastAsia"/>
          <w:snapToGrid/>
        </w:rPr>
        <w:tab/>
        <w:t>171</w:t>
      </w:r>
      <w:r>
        <w:rPr>
          <w:rFonts w:hint="eastAsia"/>
          <w:snapToGrid/>
        </w:rPr>
        <w:tab/>
        <w:t>-</w:t>
      </w:r>
      <w:r>
        <w:rPr>
          <w:rFonts w:hint="eastAsia"/>
          <w:snapToGrid/>
        </w:rPr>
        <w:tab/>
        <w:t>204</w:t>
      </w:r>
      <w:r>
        <w:rPr>
          <w:snapToGrid/>
        </w:rPr>
        <w:tab/>
        <w:t>41</w:t>
      </w:r>
    </w:p>
    <w:p w:rsidR="00000000" w:rsidRDefault="00000000">
      <w:pPr>
        <w:pStyle w:val="Heading2"/>
        <w:spacing w:line="336" w:lineRule="auto"/>
        <w:rPr>
          <w:rFonts w:ascii="Time New Roman" w:eastAsia="SimHei" w:hAnsi="Time New Roman" w:hint="eastAsia"/>
          <w:snapToGrid/>
          <w:sz w:val="24"/>
        </w:rPr>
      </w:pPr>
      <w:r>
        <w:rPr>
          <w:snapToGrid/>
        </w:rPr>
        <w:br w:type="page"/>
      </w:r>
      <w:r>
        <w:rPr>
          <w:rFonts w:ascii="Time New Roman" w:eastAsia="SimHei" w:hAnsi="Time New Roman" w:hint="eastAsia"/>
          <w:snapToGrid/>
          <w:sz w:val="24"/>
        </w:rPr>
        <w:t>导</w:t>
      </w:r>
      <w:r>
        <w:rPr>
          <w:rFonts w:ascii="Time New Roman" w:eastAsia="SimHei" w:hAnsi="Time New Roman" w:hint="eastAsia"/>
          <w:snapToGrid/>
          <w:sz w:val="24"/>
        </w:rPr>
        <w:t xml:space="preserve">  </w:t>
      </w:r>
      <w:r>
        <w:rPr>
          <w:rFonts w:ascii="Time New Roman" w:eastAsia="SimHei" w:hAnsi="Time New Roman" w:hint="eastAsia"/>
          <w:snapToGrid/>
          <w:sz w:val="24"/>
        </w:rPr>
        <w:t>言</w:t>
      </w:r>
    </w:p>
    <w:p w:rsidR="00000000" w:rsidRDefault="00000000">
      <w:pPr>
        <w:spacing w:after="320"/>
        <w:rPr>
          <w:rFonts w:hint="eastAsia"/>
        </w:rPr>
      </w:pPr>
      <w:r>
        <w:rPr>
          <w:rFonts w:hint="eastAsia"/>
        </w:rPr>
        <w:tab/>
        <w:t xml:space="preserve">1.  </w:t>
      </w:r>
      <w:r>
        <w:rPr>
          <w:rFonts w:hint="eastAsia"/>
        </w:rPr>
        <w:t>关于荷属安的列斯群岛的第三次定期报告是根据于</w:t>
      </w:r>
      <w:r>
        <w:rPr>
          <w:rFonts w:hint="eastAsia"/>
        </w:rPr>
        <w:t>1979</w:t>
      </w:r>
      <w:r>
        <w:rPr>
          <w:rFonts w:hint="eastAsia"/>
        </w:rPr>
        <w:t>年</w:t>
      </w:r>
      <w:r>
        <w:rPr>
          <w:rFonts w:hint="eastAsia"/>
        </w:rPr>
        <w:t>3</w:t>
      </w:r>
      <w:r>
        <w:rPr>
          <w:rFonts w:hint="eastAsia"/>
        </w:rPr>
        <w:t>月</w:t>
      </w:r>
      <w:r>
        <w:rPr>
          <w:rFonts w:hint="eastAsia"/>
        </w:rPr>
        <w:t>11</w:t>
      </w:r>
      <w:r>
        <w:rPr>
          <w:rFonts w:hint="eastAsia"/>
        </w:rPr>
        <w:t>日对于荷兰王国生效的《经济、社会、文化权利国际公约》的第</w:t>
      </w:r>
      <w:r>
        <w:rPr>
          <w:rFonts w:hint="eastAsia"/>
        </w:rPr>
        <w:t>19</w:t>
      </w:r>
      <w:r>
        <w:rPr>
          <w:rFonts w:hint="eastAsia"/>
        </w:rPr>
        <w:t>条提交的。在编写这份报告的过程中尽可能遵循了有关定期报告的形式和内容的一般性准则。报告所涉时期为</w:t>
      </w:r>
      <w:r>
        <w:rPr>
          <w:rFonts w:hint="eastAsia"/>
        </w:rPr>
        <w:t>1995</w:t>
      </w:r>
      <w:r>
        <w:rPr>
          <w:rFonts w:hint="eastAsia"/>
        </w:rPr>
        <w:t>年</w:t>
      </w:r>
      <w:r>
        <w:rPr>
          <w:rFonts w:hint="eastAsia"/>
        </w:rPr>
        <w:t>7</w:t>
      </w:r>
      <w:r>
        <w:rPr>
          <w:rFonts w:hint="eastAsia"/>
        </w:rPr>
        <w:t>月至</w:t>
      </w:r>
      <w:r>
        <w:rPr>
          <w:rFonts w:hint="eastAsia"/>
        </w:rPr>
        <w:t>2003</w:t>
      </w:r>
      <w:r>
        <w:rPr>
          <w:rFonts w:hint="eastAsia"/>
        </w:rPr>
        <w:t>年</w:t>
      </w:r>
      <w:r>
        <w:rPr>
          <w:rFonts w:hint="eastAsia"/>
        </w:rPr>
        <w:t>6</w:t>
      </w:r>
      <w:r>
        <w:rPr>
          <w:rFonts w:hint="eastAsia"/>
        </w:rPr>
        <w:t>月。报告提供了第二次定期报告</w:t>
      </w:r>
      <w:r>
        <w:rPr>
          <w:rFonts w:hint="eastAsia"/>
        </w:rPr>
        <w:t>(E/1990/6/</w:t>
      </w:r>
      <w:r>
        <w:t>Add.1</w:t>
      </w:r>
      <w:r>
        <w:rPr>
          <w:rFonts w:hint="eastAsia"/>
        </w:rPr>
        <w:t>2)</w:t>
      </w:r>
      <w:r>
        <w:rPr>
          <w:rFonts w:hint="eastAsia"/>
        </w:rPr>
        <w:t>中所讨论问题的最新资料，并且载有关于剩余障碍的信息。</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对于委员会结论性意见的反应</w:t>
      </w:r>
    </w:p>
    <w:p w:rsidR="00000000" w:rsidRDefault="00000000">
      <w:pPr>
        <w:rPr>
          <w:rFonts w:hint="eastAsia"/>
        </w:rPr>
      </w:pPr>
      <w:r>
        <w:rPr>
          <w:rFonts w:hint="eastAsia"/>
        </w:rPr>
        <w:tab/>
        <w:t xml:space="preserve">2.  </w:t>
      </w:r>
      <w:r>
        <w:rPr>
          <w:rFonts w:hint="eastAsia"/>
        </w:rPr>
        <w:t>委员会在审议了上次定期报告以后提出了一些关注问题</w:t>
      </w:r>
      <w:r>
        <w:rPr>
          <w:rFonts w:hint="eastAsia"/>
        </w:rPr>
        <w:t>(</w:t>
      </w:r>
      <w:r>
        <w:rPr>
          <w:rFonts w:hint="eastAsia"/>
        </w:rPr>
        <w:t>见</w:t>
      </w:r>
      <w:r>
        <w:rPr>
          <w:rFonts w:hint="eastAsia"/>
        </w:rPr>
        <w:t>E/C.12/1/</w:t>
      </w:r>
      <w:r>
        <w:t xml:space="preserve"> Add.25)</w:t>
      </w:r>
      <w:r>
        <w:t>，</w:t>
      </w:r>
      <w:r>
        <w:rPr>
          <w:rFonts w:hint="eastAsia"/>
        </w:rPr>
        <w:t>以下是对这些关注问题的反应：</w:t>
      </w:r>
    </w:p>
    <w:p w:rsidR="00000000" w:rsidRDefault="00000000">
      <w:pPr>
        <w:pStyle w:val="a0"/>
        <w:ind w:left="1550"/>
        <w:rPr>
          <w:rFonts w:hint="eastAsia"/>
        </w:rPr>
      </w:pPr>
      <w:r>
        <w:rPr>
          <w:rFonts w:hint="eastAsia"/>
        </w:rPr>
        <w:t>直接运用性</w:t>
      </w:r>
      <w:r>
        <w:rPr>
          <w:rFonts w:hint="eastAsia"/>
        </w:rPr>
        <w:t>(</w:t>
      </w:r>
      <w:r>
        <w:rPr>
          <w:rFonts w:hint="eastAsia"/>
        </w:rPr>
        <w:t>第</w:t>
      </w:r>
      <w:r>
        <w:rPr>
          <w:rFonts w:hint="eastAsia"/>
        </w:rPr>
        <w:t>55</w:t>
      </w:r>
      <w:r>
        <w:rPr>
          <w:rFonts w:hint="eastAsia"/>
        </w:rPr>
        <w:t>段</w:t>
      </w:r>
      <w:r>
        <w:rPr>
          <w:rFonts w:hint="eastAsia"/>
        </w:rPr>
        <w:t>)</w:t>
      </w:r>
      <w:r>
        <w:rPr>
          <w:rFonts w:hint="eastAsia"/>
        </w:rPr>
        <w:t>。政府将考虑直接运用性的问题；</w:t>
      </w:r>
    </w:p>
    <w:p w:rsidR="00000000" w:rsidRDefault="00000000">
      <w:pPr>
        <w:pStyle w:val="a0"/>
        <w:ind w:left="1550"/>
        <w:rPr>
          <w:rFonts w:hint="eastAsia"/>
        </w:rPr>
      </w:pPr>
      <w:r>
        <w:rPr>
          <w:rFonts w:hint="eastAsia"/>
        </w:rPr>
        <w:t>男女同工同酬以及享有同等就业机会</w:t>
      </w:r>
      <w:r>
        <w:rPr>
          <w:rFonts w:hint="eastAsia"/>
        </w:rPr>
        <w:t>(</w:t>
      </w:r>
      <w:r>
        <w:rPr>
          <w:rFonts w:hint="eastAsia"/>
        </w:rPr>
        <w:t>第</w:t>
      </w:r>
      <w:r>
        <w:rPr>
          <w:rFonts w:hint="eastAsia"/>
        </w:rPr>
        <w:t>56</w:t>
      </w:r>
      <w:r>
        <w:rPr>
          <w:rFonts w:hint="eastAsia"/>
        </w:rPr>
        <w:t>段</w:t>
      </w:r>
      <w:r>
        <w:rPr>
          <w:rFonts w:hint="eastAsia"/>
        </w:rPr>
        <w:t>)</w:t>
      </w:r>
      <w:r>
        <w:rPr>
          <w:rFonts w:hint="eastAsia"/>
        </w:rPr>
        <w:t>。没有阻碍男女同工同酬以及享有同等就业机会的法律规定；</w:t>
      </w:r>
    </w:p>
    <w:p w:rsidR="00000000" w:rsidRDefault="00000000">
      <w:pPr>
        <w:pStyle w:val="a0"/>
        <w:ind w:left="1550"/>
        <w:rPr>
          <w:rFonts w:hint="eastAsia"/>
        </w:rPr>
      </w:pPr>
      <w:r>
        <w:rPr>
          <w:rFonts w:hint="eastAsia"/>
        </w:rPr>
        <w:t>处理退学问题；已就第</w:t>
      </w:r>
      <w:r>
        <w:rPr>
          <w:rFonts w:hint="eastAsia"/>
        </w:rPr>
        <w:t>14</w:t>
      </w:r>
      <w:r>
        <w:rPr>
          <w:rFonts w:hint="eastAsia"/>
        </w:rPr>
        <w:t>条所规定的免费义务初等教育的问题通过了一项行动计划</w:t>
      </w:r>
      <w:r>
        <w:rPr>
          <w:rFonts w:hint="eastAsia"/>
        </w:rPr>
        <w:t>(</w:t>
      </w:r>
      <w:r>
        <w:rPr>
          <w:rFonts w:hint="eastAsia"/>
        </w:rPr>
        <w:t>第</w:t>
      </w:r>
      <w:r>
        <w:rPr>
          <w:rFonts w:hint="eastAsia"/>
        </w:rPr>
        <w:t>57</w:t>
      </w:r>
      <w:r>
        <w:rPr>
          <w:rFonts w:hint="eastAsia"/>
        </w:rPr>
        <w:t>段</w:t>
      </w:r>
      <w:r>
        <w:rPr>
          <w:rFonts w:hint="eastAsia"/>
        </w:rPr>
        <w:t>)</w:t>
      </w:r>
      <w:r>
        <w:rPr>
          <w:rFonts w:hint="eastAsia"/>
        </w:rPr>
        <w:t>。退学问题是很难彻底解决的。政府致力于尽可能不让学生退学。对于</w:t>
      </w:r>
      <w:r>
        <w:rPr>
          <w:rFonts w:hint="eastAsia"/>
        </w:rPr>
        <w:t>6</w:t>
      </w:r>
      <w:r>
        <w:rPr>
          <w:rFonts w:hint="eastAsia"/>
        </w:rPr>
        <w:t>岁至</w:t>
      </w:r>
      <w:r>
        <w:rPr>
          <w:rFonts w:hint="eastAsia"/>
        </w:rPr>
        <w:t>15</w:t>
      </w:r>
      <w:r>
        <w:rPr>
          <w:rFonts w:hint="eastAsia"/>
        </w:rPr>
        <w:t>岁的儿童，这一点比较容易做到，因为按照法律规定，他们必须上学。但是要阻止年龄更大的学生退学就会困难得多。对于这些学生，已经制订计划要实施强制性培训。在荷属安的列斯群岛初级教育是免费的，也是义务制的；</w:t>
      </w:r>
    </w:p>
    <w:p w:rsidR="00000000" w:rsidRDefault="00000000">
      <w:pPr>
        <w:pStyle w:val="a0"/>
        <w:ind w:left="1550"/>
        <w:rPr>
          <w:rFonts w:hint="eastAsia"/>
        </w:rPr>
      </w:pPr>
      <w:r>
        <w:rPr>
          <w:rFonts w:hint="eastAsia"/>
        </w:rPr>
        <w:t>实施有关统一最低工资的规定</w:t>
      </w:r>
      <w:r>
        <w:rPr>
          <w:rFonts w:hint="eastAsia"/>
        </w:rPr>
        <w:t>(</w:t>
      </w:r>
      <w:r>
        <w:rPr>
          <w:rFonts w:hint="eastAsia"/>
        </w:rPr>
        <w:t>第</w:t>
      </w:r>
      <w:r>
        <w:rPr>
          <w:rFonts w:hint="eastAsia"/>
        </w:rPr>
        <w:t>58</w:t>
      </w:r>
      <w:r>
        <w:rPr>
          <w:rFonts w:hint="eastAsia"/>
        </w:rPr>
        <w:t>段</w:t>
      </w:r>
      <w:r>
        <w:rPr>
          <w:rFonts w:hint="eastAsia"/>
        </w:rPr>
        <w:t>)</w:t>
      </w:r>
      <w:r>
        <w:rPr>
          <w:rFonts w:hint="eastAsia"/>
        </w:rPr>
        <w:t>。从</w:t>
      </w:r>
      <w:r>
        <w:rPr>
          <w:rFonts w:hint="eastAsia"/>
        </w:rPr>
        <w:t>2004</w:t>
      </w:r>
      <w:r>
        <w:rPr>
          <w:rFonts w:hint="eastAsia"/>
        </w:rPr>
        <w:t>年</w:t>
      </w:r>
      <w:r>
        <w:rPr>
          <w:rFonts w:hint="eastAsia"/>
        </w:rPr>
        <w:t>12</w:t>
      </w:r>
      <w:r>
        <w:rPr>
          <w:rFonts w:hint="eastAsia"/>
        </w:rPr>
        <w:t>月</w:t>
      </w:r>
      <w:r>
        <w:rPr>
          <w:rFonts w:hint="eastAsia"/>
        </w:rPr>
        <w:t>1</w:t>
      </w:r>
      <w:r>
        <w:rPr>
          <w:rFonts w:hint="eastAsia"/>
        </w:rPr>
        <w:t>日起，已经在荷属安的列斯群岛上实行统一的最低工资。关于详细情况，请看本报告第</w:t>
      </w:r>
      <w:r>
        <w:rPr>
          <w:rFonts w:hint="eastAsia"/>
        </w:rPr>
        <w:t>7</w:t>
      </w:r>
      <w:r>
        <w:rPr>
          <w:rFonts w:hint="eastAsia"/>
        </w:rPr>
        <w:t>条项下所提到的信息；</w:t>
      </w:r>
    </w:p>
    <w:p w:rsidR="00000000" w:rsidRDefault="00000000">
      <w:pPr>
        <w:pStyle w:val="a0"/>
        <w:spacing w:after="240"/>
        <w:ind w:left="1550"/>
        <w:rPr>
          <w:rFonts w:hint="eastAsia"/>
        </w:rPr>
      </w:pPr>
      <w:r>
        <w:rPr>
          <w:rFonts w:hint="eastAsia"/>
        </w:rPr>
        <w:t>撤回有关罢工权利的保留意见</w:t>
      </w:r>
      <w:r>
        <w:rPr>
          <w:rFonts w:hint="eastAsia"/>
        </w:rPr>
        <w:t>(</w:t>
      </w:r>
      <w:r>
        <w:rPr>
          <w:rFonts w:hint="eastAsia"/>
        </w:rPr>
        <w:t>第</w:t>
      </w:r>
      <w:r>
        <w:rPr>
          <w:rFonts w:hint="eastAsia"/>
        </w:rPr>
        <w:t>59</w:t>
      </w:r>
      <w:r>
        <w:rPr>
          <w:rFonts w:hint="eastAsia"/>
        </w:rPr>
        <w:t>段</w:t>
      </w:r>
      <w:r>
        <w:rPr>
          <w:rFonts w:hint="eastAsia"/>
        </w:rPr>
        <w:t>)</w:t>
      </w:r>
      <w:r>
        <w:rPr>
          <w:rFonts w:hint="eastAsia"/>
        </w:rPr>
        <w:t>。目前政府仍然在审议这个问题。</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一</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widowControl w:val="0"/>
        <w:rPr>
          <w:rFonts w:hint="eastAsia"/>
        </w:rPr>
      </w:pPr>
      <w:r>
        <w:rPr>
          <w:rFonts w:hint="eastAsia"/>
        </w:rPr>
        <w:tab/>
        <w:t xml:space="preserve">3.  </w:t>
      </w:r>
      <w:r>
        <w:rPr>
          <w:rFonts w:hint="eastAsia"/>
        </w:rPr>
        <w:t>在</w:t>
      </w:r>
      <w:r>
        <w:rPr>
          <w:rFonts w:hint="eastAsia"/>
        </w:rPr>
        <w:t>2000</w:t>
      </w:r>
      <w:r>
        <w:rPr>
          <w:rFonts w:hint="eastAsia"/>
        </w:rPr>
        <w:t>年</w:t>
      </w:r>
      <w:r>
        <w:rPr>
          <w:rFonts w:hint="eastAsia"/>
        </w:rPr>
        <w:t>6</w:t>
      </w:r>
      <w:r>
        <w:rPr>
          <w:rFonts w:hint="eastAsia"/>
        </w:rPr>
        <w:t>月</w:t>
      </w:r>
      <w:r>
        <w:rPr>
          <w:rFonts w:hint="eastAsia"/>
        </w:rPr>
        <w:t>23</w:t>
      </w:r>
      <w:r>
        <w:rPr>
          <w:rFonts w:hint="eastAsia"/>
        </w:rPr>
        <w:t>日举行的公民投票中，</w:t>
      </w:r>
      <w:r>
        <w:t>Sint Maarten</w:t>
      </w:r>
      <w:r>
        <w:rPr>
          <w:rFonts w:hint="eastAsia"/>
        </w:rPr>
        <w:t>的民众投票赞成改变这个岛屿在荷属安的列斯群岛以及荷兰王国中的地位。大多数人</w:t>
      </w:r>
      <w:r>
        <w:rPr>
          <w:rFonts w:hint="eastAsia"/>
        </w:rPr>
        <w:t>(68.9%</w:t>
      </w:r>
      <w:r>
        <w:rPr>
          <w:rFonts w:hint="eastAsia"/>
        </w:rPr>
        <w:t>的民众或者说</w:t>
      </w:r>
      <w:r>
        <w:rPr>
          <w:rFonts w:hint="eastAsia"/>
        </w:rPr>
        <w:t>6,212</w:t>
      </w:r>
      <w:r>
        <w:rPr>
          <w:rFonts w:hint="eastAsia"/>
        </w:rPr>
        <w:t>名选民</w:t>
      </w:r>
      <w:r>
        <w:rPr>
          <w:rFonts w:hint="eastAsia"/>
        </w:rPr>
        <w:t>)</w:t>
      </w:r>
      <w:r>
        <w:rPr>
          <w:rFonts w:hint="eastAsia"/>
        </w:rPr>
        <w:t>投票赞成第</w:t>
      </w:r>
      <w:r>
        <w:rPr>
          <w:rFonts w:hint="eastAsia"/>
        </w:rPr>
        <w:t>3</w:t>
      </w:r>
      <w:r>
        <w:rPr>
          <w:rFonts w:hint="eastAsia"/>
        </w:rPr>
        <w:t>种选择，也即在荷兰王国中的独特地位。</w:t>
      </w:r>
    </w:p>
    <w:p w:rsidR="00000000" w:rsidRDefault="00000000">
      <w:pPr>
        <w:spacing w:after="320"/>
        <w:rPr>
          <w:rFonts w:hint="eastAsia"/>
        </w:rPr>
      </w:pPr>
      <w:r>
        <w:rPr>
          <w:rFonts w:hint="eastAsia"/>
        </w:rPr>
        <w:tab/>
        <w:t>4.  2002</w:t>
      </w:r>
      <w:r>
        <w:rPr>
          <w:rFonts w:hint="eastAsia"/>
        </w:rPr>
        <w:t>年</w:t>
      </w:r>
      <w:r>
        <w:rPr>
          <w:rFonts w:hint="eastAsia"/>
        </w:rPr>
        <w:t>6</w:t>
      </w:r>
      <w:r>
        <w:rPr>
          <w:rFonts w:hint="eastAsia"/>
        </w:rPr>
        <w:t>月</w:t>
      </w:r>
      <w:r>
        <w:rPr>
          <w:rFonts w:hint="eastAsia"/>
        </w:rPr>
        <w:t>3</w:t>
      </w:r>
      <w:r>
        <w:rPr>
          <w:rFonts w:hint="eastAsia"/>
        </w:rPr>
        <w:t>日，新政府在荷属安的列斯群岛就职。作为联合政府政治合作基础的</w:t>
      </w:r>
      <w:r>
        <w:rPr>
          <w:rFonts w:hint="eastAsia"/>
        </w:rPr>
        <w:t>2002</w:t>
      </w:r>
      <w:r>
        <w:rPr>
          <w:rFonts w:hint="eastAsia"/>
        </w:rPr>
        <w:t>年至</w:t>
      </w:r>
      <w:r>
        <w:rPr>
          <w:rFonts w:hint="eastAsia"/>
        </w:rPr>
        <w:t>2006</w:t>
      </w:r>
      <w:r>
        <w:rPr>
          <w:rFonts w:hint="eastAsia"/>
        </w:rPr>
        <w:t>年政府政策协定指出，将在这届政府的任职期间修改宪法。这将导致</w:t>
      </w:r>
      <w:r>
        <w:t>Sint Maarten</w:t>
      </w:r>
      <w:r>
        <w:rPr>
          <w:rFonts w:hint="eastAsia"/>
        </w:rPr>
        <w:t>退出荷属安的列斯群岛的管治，而有关的宪法修正案将在群岛的其他领土</w:t>
      </w:r>
      <w:r>
        <w:rPr>
          <w:rFonts w:hint="eastAsia"/>
        </w:rPr>
        <w:t>(</w:t>
      </w:r>
      <w:r>
        <w:rPr>
          <w:rFonts w:hint="eastAsia"/>
        </w:rPr>
        <w:t>例如，</w:t>
      </w:r>
      <w:r>
        <w:t>Curacao</w:t>
      </w:r>
      <w:r>
        <w:rPr>
          <w:rFonts w:hint="eastAsia"/>
        </w:rPr>
        <w:t>、</w:t>
      </w:r>
      <w:r>
        <w:t>Bonaire</w:t>
      </w:r>
      <w:r>
        <w:rPr>
          <w:rFonts w:hint="eastAsia"/>
        </w:rPr>
        <w:t>、</w:t>
      </w:r>
      <w:r>
        <w:t>Saba</w:t>
      </w:r>
      <w:r>
        <w:rPr>
          <w:rFonts w:hint="eastAsia"/>
        </w:rPr>
        <w:t>以及在</w:t>
      </w:r>
      <w:r>
        <w:t>Sint Eustatius</w:t>
      </w:r>
      <w:r>
        <w:rPr>
          <w:rFonts w:hint="eastAsia"/>
        </w:rPr>
        <w:t>)</w:t>
      </w:r>
      <w:r>
        <w:rPr>
          <w:rFonts w:hint="eastAsia"/>
        </w:rPr>
        <w:t>上实施。在编写这份报告时，荷属安的列斯群岛的所有岛屿都已经举行公民投票，其目标是要在</w:t>
      </w:r>
      <w:r>
        <w:rPr>
          <w:rFonts w:hint="eastAsia"/>
        </w:rPr>
        <w:t>2007</w:t>
      </w:r>
      <w:r>
        <w:rPr>
          <w:rFonts w:hint="eastAsia"/>
        </w:rPr>
        <w:t>年</w:t>
      </w:r>
      <w:r>
        <w:rPr>
          <w:rFonts w:hint="eastAsia"/>
        </w:rPr>
        <w:t>7</w:t>
      </w:r>
      <w:r>
        <w:rPr>
          <w:rFonts w:hint="eastAsia"/>
        </w:rPr>
        <w:t>月之前制订一部新的宪法。</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二</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spacing w:after="320"/>
        <w:rPr>
          <w:rFonts w:hint="eastAsia"/>
        </w:rPr>
      </w:pPr>
      <w:r>
        <w:rPr>
          <w:rFonts w:hint="eastAsia"/>
        </w:rPr>
        <w:tab/>
        <w:t xml:space="preserve">5.  </w:t>
      </w:r>
      <w:r>
        <w:rPr>
          <w:rFonts w:hint="eastAsia"/>
        </w:rPr>
        <w:t>从上次报告以来，没有发生任何新的情况。</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三</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6.  </w:t>
      </w:r>
      <w:r>
        <w:rPr>
          <w:rFonts w:hint="eastAsia"/>
        </w:rPr>
        <w:t>《消除对妇女一切形式歧视公约》应于</w:t>
      </w:r>
      <w:r>
        <w:rPr>
          <w:rFonts w:hint="eastAsia"/>
        </w:rPr>
        <w:t>1991</w:t>
      </w:r>
      <w:r>
        <w:rPr>
          <w:rFonts w:hint="eastAsia"/>
        </w:rPr>
        <w:t>年</w:t>
      </w:r>
      <w:r>
        <w:rPr>
          <w:rFonts w:hint="eastAsia"/>
        </w:rPr>
        <w:t>8</w:t>
      </w:r>
      <w:r>
        <w:rPr>
          <w:rFonts w:hint="eastAsia"/>
        </w:rPr>
        <w:t>月对荷属安的列斯群岛正式生效；《任择议定书》也已经于</w:t>
      </w:r>
      <w:r>
        <w:rPr>
          <w:rFonts w:hint="eastAsia"/>
        </w:rPr>
        <w:t>2002</w:t>
      </w:r>
      <w:r>
        <w:rPr>
          <w:rFonts w:hint="eastAsia"/>
        </w:rPr>
        <w:t>年</w:t>
      </w:r>
      <w:r>
        <w:rPr>
          <w:rFonts w:hint="eastAsia"/>
        </w:rPr>
        <w:t>8</w:t>
      </w:r>
      <w:r>
        <w:rPr>
          <w:rFonts w:hint="eastAsia"/>
        </w:rPr>
        <w:t>月正式生效。</w:t>
      </w:r>
    </w:p>
    <w:p w:rsidR="00000000" w:rsidRDefault="00000000">
      <w:pPr>
        <w:spacing w:after="240"/>
        <w:rPr>
          <w:rFonts w:hint="eastAsia"/>
        </w:rPr>
      </w:pPr>
      <w:r>
        <w:rPr>
          <w:rFonts w:hint="eastAsia"/>
        </w:rPr>
        <w:tab/>
        <w:t xml:space="preserve">7.  </w:t>
      </w:r>
      <w:r>
        <w:rPr>
          <w:rFonts w:hint="eastAsia"/>
        </w:rPr>
        <w:t>社会发展司负责拟订荷属安的列斯群岛的性别政策。作为全面战略发展的一部分，该司已经建立了由有关的政府和非政府机构组成的政策网络，并且已在</w:t>
      </w:r>
      <w:r>
        <w:rPr>
          <w:rFonts w:hint="eastAsia"/>
        </w:rPr>
        <w:t>2003</w:t>
      </w:r>
      <w:r>
        <w:rPr>
          <w:rFonts w:hint="eastAsia"/>
        </w:rPr>
        <w:t>年</w:t>
      </w:r>
      <w:r>
        <w:rPr>
          <w:rFonts w:hint="eastAsia"/>
        </w:rPr>
        <w:t>1</w:t>
      </w:r>
      <w:r>
        <w:rPr>
          <w:rFonts w:hint="eastAsia"/>
        </w:rPr>
        <w:t>月于</w:t>
      </w:r>
      <w:r>
        <w:t>Curacao</w:t>
      </w:r>
      <w:r>
        <w:rPr>
          <w:rFonts w:hint="eastAsia"/>
        </w:rPr>
        <w:t>启动。建立网络之目的是要就政策决定对于男子和妇女的不同影响告知、培训和教育政府官员和一般公众，同时在政府一级推动性别公平观。妇女事务局和主要的妇女组织都是</w:t>
      </w:r>
      <w:r>
        <w:t>Curacao</w:t>
      </w:r>
      <w:r>
        <w:rPr>
          <w:rFonts w:hint="eastAsia"/>
        </w:rPr>
        <w:t>网络的成员。社会发展司计划在</w:t>
      </w:r>
      <w:r>
        <w:rPr>
          <w:rFonts w:hint="eastAsia"/>
        </w:rPr>
        <w:t>2003</w:t>
      </w:r>
      <w:r>
        <w:rPr>
          <w:rFonts w:hint="eastAsia"/>
        </w:rPr>
        <w:t>年年底以前在荷属安的列斯群岛的其他岛屿上建立性别政策网络。</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税法规定的妇女独立地位</w:t>
      </w:r>
    </w:p>
    <w:p w:rsidR="00000000" w:rsidRDefault="00000000">
      <w:pPr>
        <w:rPr>
          <w:rFonts w:hint="eastAsia"/>
        </w:rPr>
      </w:pPr>
      <w:r>
        <w:rPr>
          <w:rFonts w:hint="eastAsia"/>
        </w:rPr>
        <w:tab/>
        <w:t xml:space="preserve">8.  </w:t>
      </w:r>
      <w:r>
        <w:rPr>
          <w:rFonts w:hint="eastAsia"/>
        </w:rPr>
        <w:t>从</w:t>
      </w:r>
      <w:r>
        <w:rPr>
          <w:rFonts w:hint="eastAsia"/>
        </w:rPr>
        <w:t>1992</w:t>
      </w:r>
      <w:r>
        <w:rPr>
          <w:rFonts w:hint="eastAsia"/>
        </w:rPr>
        <w:t>年已经开始分阶段修订关于有两份收入的夫妇的税法细则。问题在于这两份收入是放在一起计算的，因此累进税制使得有两份收入的夫妇处于不利地位。</w:t>
      </w:r>
    </w:p>
    <w:p w:rsidR="00000000" w:rsidRDefault="00000000">
      <w:pPr>
        <w:spacing w:after="160"/>
        <w:rPr>
          <w:rFonts w:hint="eastAsia"/>
        </w:rPr>
      </w:pPr>
      <w:r>
        <w:rPr>
          <w:rFonts w:hint="eastAsia"/>
        </w:rPr>
        <w:tab/>
        <w:t xml:space="preserve">9.  </w:t>
      </w:r>
      <w:r>
        <w:rPr>
          <w:rFonts w:hint="eastAsia"/>
          <w:spacing w:val="6"/>
        </w:rPr>
        <w:t>已经生效的《</w:t>
      </w:r>
      <w:r>
        <w:rPr>
          <w:rFonts w:hint="eastAsia"/>
          <w:spacing w:val="6"/>
        </w:rPr>
        <w:t>1997</w:t>
      </w:r>
      <w:r>
        <w:rPr>
          <w:rFonts w:hint="eastAsia"/>
          <w:spacing w:val="6"/>
        </w:rPr>
        <w:t>年</w:t>
      </w:r>
      <w:r>
        <w:rPr>
          <w:rFonts w:hint="eastAsia"/>
          <w:spacing w:val="6"/>
        </w:rPr>
        <w:t>12</w:t>
      </w:r>
      <w:r>
        <w:rPr>
          <w:rFonts w:hint="eastAsia"/>
          <w:spacing w:val="6"/>
        </w:rPr>
        <w:t>月</w:t>
      </w:r>
      <w:r>
        <w:rPr>
          <w:rFonts w:hint="eastAsia"/>
          <w:spacing w:val="6"/>
        </w:rPr>
        <w:t>23</w:t>
      </w:r>
      <w:r>
        <w:rPr>
          <w:rFonts w:hint="eastAsia"/>
          <w:spacing w:val="6"/>
        </w:rPr>
        <w:t>日国家法令》</w:t>
      </w:r>
      <w:r>
        <w:rPr>
          <w:rFonts w:hint="eastAsia"/>
          <w:spacing w:val="6"/>
        </w:rPr>
        <w:t>(</w:t>
      </w:r>
      <w:r>
        <w:rPr>
          <w:rFonts w:hint="eastAsia"/>
          <w:spacing w:val="6"/>
        </w:rPr>
        <w:t>政府公报，</w:t>
      </w:r>
      <w:r>
        <w:rPr>
          <w:rFonts w:hint="eastAsia"/>
          <w:spacing w:val="6"/>
        </w:rPr>
        <w:t>(PB)1997,</w:t>
      </w:r>
      <w:r>
        <w:rPr>
          <w:spacing w:val="6"/>
        </w:rPr>
        <w:t xml:space="preserve"> </w:t>
      </w:r>
      <w:r>
        <w:rPr>
          <w:rFonts w:hint="eastAsia"/>
          <w:spacing w:val="6"/>
        </w:rPr>
        <w:t>N</w:t>
      </w:r>
      <w:r>
        <w:rPr>
          <w:spacing w:val="6"/>
        </w:rPr>
        <w:t>o.333)</w:t>
      </w:r>
      <w:r>
        <w:rPr>
          <w:rFonts w:hint="eastAsia"/>
          <w:spacing w:val="6"/>
        </w:rPr>
        <w:t>修订了《</w:t>
      </w:r>
      <w:r>
        <w:rPr>
          <w:rFonts w:hint="eastAsia"/>
          <w:spacing w:val="6"/>
        </w:rPr>
        <w:t>1943</w:t>
      </w:r>
      <w:r>
        <w:rPr>
          <w:rFonts w:hint="eastAsia"/>
          <w:spacing w:val="6"/>
        </w:rPr>
        <w:t>年国家所得税法令》</w:t>
      </w:r>
      <w:r>
        <w:rPr>
          <w:rFonts w:hint="eastAsia"/>
          <w:spacing w:val="6"/>
        </w:rPr>
        <w:t>(PB 1956,</w:t>
      </w:r>
      <w:r>
        <w:rPr>
          <w:spacing w:val="6"/>
        </w:rPr>
        <w:t xml:space="preserve"> </w:t>
      </w:r>
      <w:r>
        <w:rPr>
          <w:rFonts w:hint="eastAsia"/>
          <w:spacing w:val="6"/>
        </w:rPr>
        <w:t>N</w:t>
      </w:r>
      <w:r>
        <w:rPr>
          <w:spacing w:val="6"/>
        </w:rPr>
        <w:t>o.</w:t>
      </w:r>
      <w:r>
        <w:rPr>
          <w:rFonts w:hint="eastAsia"/>
          <w:spacing w:val="6"/>
        </w:rPr>
        <w:t>9)</w:t>
      </w:r>
      <w:r>
        <w:rPr>
          <w:rFonts w:hint="eastAsia"/>
          <w:spacing w:val="6"/>
        </w:rPr>
        <w:t>以及《</w:t>
      </w:r>
      <w:r>
        <w:rPr>
          <w:rFonts w:hint="eastAsia"/>
          <w:spacing w:val="6"/>
        </w:rPr>
        <w:t>1976</w:t>
      </w:r>
      <w:r>
        <w:rPr>
          <w:rFonts w:hint="eastAsia"/>
          <w:spacing w:val="6"/>
        </w:rPr>
        <w:t>年国家薪金税法》</w:t>
      </w:r>
      <w:r>
        <w:rPr>
          <w:rFonts w:hint="eastAsia"/>
          <w:spacing w:val="6"/>
        </w:rPr>
        <w:t>(PB 1995,</w:t>
      </w:r>
      <w:r>
        <w:rPr>
          <w:spacing w:val="6"/>
        </w:rPr>
        <w:t xml:space="preserve"> No.</w:t>
      </w:r>
      <w:r>
        <w:rPr>
          <w:rFonts w:hint="eastAsia"/>
          <w:spacing w:val="6"/>
        </w:rPr>
        <w:t>254)</w:t>
      </w:r>
      <w:r>
        <w:rPr>
          <w:rFonts w:hint="eastAsia"/>
          <w:spacing w:val="6"/>
        </w:rPr>
        <w:t>，从而圆满地完成了由《</w:t>
      </w:r>
      <w:r>
        <w:rPr>
          <w:rFonts w:hint="eastAsia"/>
          <w:spacing w:val="6"/>
        </w:rPr>
        <w:t>1994</w:t>
      </w:r>
      <w:r>
        <w:rPr>
          <w:rFonts w:hint="eastAsia"/>
          <w:spacing w:val="6"/>
        </w:rPr>
        <w:t>年</w:t>
      </w:r>
      <w:r>
        <w:rPr>
          <w:rFonts w:hint="eastAsia"/>
          <w:spacing w:val="6"/>
        </w:rPr>
        <w:t>12</w:t>
      </w:r>
      <w:r>
        <w:rPr>
          <w:rFonts w:hint="eastAsia"/>
          <w:spacing w:val="6"/>
        </w:rPr>
        <w:t>月</w:t>
      </w:r>
      <w:r>
        <w:rPr>
          <w:rFonts w:hint="eastAsia"/>
          <w:spacing w:val="6"/>
        </w:rPr>
        <w:t>28</w:t>
      </w:r>
      <w:r>
        <w:rPr>
          <w:rFonts w:hint="eastAsia"/>
          <w:spacing w:val="6"/>
        </w:rPr>
        <w:t>日国家法令》</w:t>
      </w:r>
      <w:r>
        <w:rPr>
          <w:rFonts w:hint="eastAsia"/>
          <w:spacing w:val="6"/>
        </w:rPr>
        <w:t>(PB 1994,</w:t>
      </w:r>
      <w:r>
        <w:rPr>
          <w:spacing w:val="6"/>
        </w:rPr>
        <w:t xml:space="preserve"> No</w:t>
      </w:r>
      <w:r>
        <w:rPr>
          <w:rFonts w:hint="eastAsia"/>
          <w:spacing w:val="6"/>
        </w:rPr>
        <w:t>.142)</w:t>
      </w:r>
      <w:r>
        <w:rPr>
          <w:rFonts w:hint="eastAsia"/>
          <w:spacing w:val="6"/>
        </w:rPr>
        <w:t>开始的有关授予妇女独立纳税地位的进程。从</w:t>
      </w:r>
      <w:r>
        <w:rPr>
          <w:rFonts w:hint="eastAsia"/>
          <w:spacing w:val="6"/>
        </w:rPr>
        <w:t>1998</w:t>
      </w:r>
      <w:r>
        <w:rPr>
          <w:rFonts w:hint="eastAsia"/>
          <w:spacing w:val="6"/>
        </w:rPr>
        <w:t>年</w:t>
      </w:r>
      <w:r>
        <w:rPr>
          <w:rFonts w:hint="eastAsia"/>
          <w:spacing w:val="6"/>
        </w:rPr>
        <w:t>1</w:t>
      </w:r>
      <w:r>
        <w:rPr>
          <w:rFonts w:hint="eastAsia"/>
          <w:spacing w:val="6"/>
        </w:rPr>
        <w:t>月</w:t>
      </w:r>
      <w:r>
        <w:rPr>
          <w:rFonts w:hint="eastAsia"/>
          <w:spacing w:val="6"/>
        </w:rPr>
        <w:t>1</w:t>
      </w:r>
      <w:r>
        <w:rPr>
          <w:rFonts w:hint="eastAsia"/>
          <w:spacing w:val="6"/>
        </w:rPr>
        <w:t>日开始，夫妇的就业收入就不再放在一起计算纳税。换句话说，丈夫或者妻子的个人收入</w:t>
      </w:r>
      <w:r>
        <w:rPr>
          <w:rFonts w:hint="eastAsia"/>
          <w:spacing w:val="6"/>
        </w:rPr>
        <w:t>(</w:t>
      </w:r>
      <w:r>
        <w:rPr>
          <w:rFonts w:hint="eastAsia"/>
          <w:spacing w:val="6"/>
        </w:rPr>
        <w:t>就业和商业活动的收入加上经常性福利</w:t>
      </w:r>
      <w:r>
        <w:rPr>
          <w:rFonts w:hint="eastAsia"/>
          <w:spacing w:val="6"/>
        </w:rPr>
        <w:t>(</w:t>
      </w:r>
      <w:r>
        <w:rPr>
          <w:rFonts w:hint="eastAsia"/>
          <w:spacing w:val="6"/>
        </w:rPr>
        <w:t>退休金、寡妇津贴以及孤儿津贴减去有关的保险费</w:t>
      </w:r>
      <w:r>
        <w:rPr>
          <w:rFonts w:hint="eastAsia"/>
          <w:spacing w:val="6"/>
        </w:rPr>
        <w:t>)</w:t>
      </w:r>
      <w:r>
        <w:rPr>
          <w:rFonts w:hint="eastAsia"/>
          <w:spacing w:val="6"/>
        </w:rPr>
        <w:t>均应单独纳税。</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四</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spacing w:after="320"/>
        <w:rPr>
          <w:rFonts w:hint="eastAsia"/>
        </w:rPr>
      </w:pPr>
      <w:r>
        <w:rPr>
          <w:rFonts w:hint="eastAsia"/>
        </w:rPr>
        <w:tab/>
        <w:t xml:space="preserve">10.  </w:t>
      </w:r>
      <w:r>
        <w:rPr>
          <w:rFonts w:hint="eastAsia"/>
        </w:rPr>
        <w:t>自从上次报告以来没有发生任何新的情况。</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五</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spacing w:after="320"/>
        <w:rPr>
          <w:rFonts w:hint="eastAsia"/>
        </w:rPr>
      </w:pPr>
      <w:r>
        <w:rPr>
          <w:rFonts w:hint="eastAsia"/>
        </w:rPr>
        <w:tab/>
        <w:t xml:space="preserve">11.  </w:t>
      </w:r>
      <w:r>
        <w:rPr>
          <w:rFonts w:hint="eastAsia"/>
        </w:rPr>
        <w:t>自从上次报告以来没有发生任何新的情况。</w:t>
      </w:r>
    </w:p>
    <w:p w:rsidR="00000000" w:rsidRDefault="00000000">
      <w:pPr>
        <w:pStyle w:val="Heading3"/>
        <w:spacing w:after="24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六</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szCs w:val="24"/>
        </w:rPr>
      </w:pPr>
      <w:r>
        <w:rPr>
          <w:rFonts w:hint="eastAsia"/>
        </w:rPr>
        <w:tab/>
        <w:t xml:space="preserve">12.  </w:t>
      </w:r>
      <w:r>
        <w:rPr>
          <w:rFonts w:hint="eastAsia"/>
        </w:rPr>
        <w:t>在报告所涉时期，只有关于</w:t>
      </w:r>
      <w:r>
        <w:rPr>
          <w:rFonts w:hint="eastAsia"/>
        </w:rPr>
        <w:t>2000</w:t>
      </w:r>
      <w:r>
        <w:rPr>
          <w:rFonts w:hint="eastAsia"/>
        </w:rPr>
        <w:t>年</w:t>
      </w:r>
      <w:r>
        <w:rPr>
          <w:rFonts w:hint="eastAsia"/>
        </w:rPr>
        <w:t>6</w:t>
      </w:r>
      <w:r>
        <w:rPr>
          <w:rFonts w:hint="eastAsia"/>
        </w:rPr>
        <w:t>月举行的试验普查的数据，而且只有三个大岛</w:t>
      </w:r>
      <w:r>
        <w:rPr>
          <w:rFonts w:hint="eastAsia"/>
        </w:rPr>
        <w:t>(</w:t>
      </w:r>
      <w:r>
        <w:rPr>
          <w:szCs w:val="24"/>
        </w:rPr>
        <w:t>Curaçao, Sint Maarten and Bonaire)</w:t>
      </w:r>
      <w:r>
        <w:rPr>
          <w:rFonts w:hint="eastAsia"/>
          <w:szCs w:val="24"/>
        </w:rPr>
        <w:t>的数据。在</w:t>
      </w:r>
      <w:r>
        <w:rPr>
          <w:rFonts w:hint="eastAsia"/>
          <w:szCs w:val="24"/>
        </w:rPr>
        <w:t>1998</w:t>
      </w:r>
      <w:r>
        <w:rPr>
          <w:rFonts w:hint="eastAsia"/>
          <w:szCs w:val="24"/>
        </w:rPr>
        <w:t>年以前，在</w:t>
      </w:r>
      <w:r>
        <w:rPr>
          <w:szCs w:val="24"/>
        </w:rPr>
        <w:t>Curaçao</w:t>
      </w:r>
      <w:r>
        <w:rPr>
          <w:rFonts w:hint="eastAsia"/>
          <w:szCs w:val="24"/>
        </w:rPr>
        <w:t>每年举行一次劳动力抽样调查</w:t>
      </w:r>
      <w:r>
        <w:rPr>
          <w:rFonts w:hint="eastAsia"/>
          <w:szCs w:val="24"/>
        </w:rPr>
        <w:t>(LFSS)</w:t>
      </w:r>
      <w:r>
        <w:rPr>
          <w:rFonts w:hint="eastAsia"/>
          <w:szCs w:val="24"/>
        </w:rPr>
        <w:t>，而在</w:t>
      </w:r>
      <w:r>
        <w:rPr>
          <w:szCs w:val="24"/>
        </w:rPr>
        <w:t>Sint Maarten and Bonaire</w:t>
      </w:r>
      <w:r>
        <w:rPr>
          <w:rFonts w:hint="eastAsia"/>
          <w:szCs w:val="24"/>
        </w:rPr>
        <w:t>是每两年进行一次。关于</w:t>
      </w:r>
      <w:r>
        <w:rPr>
          <w:szCs w:val="24"/>
        </w:rPr>
        <w:t>Saba</w:t>
      </w:r>
      <w:r>
        <w:rPr>
          <w:rFonts w:hint="eastAsia"/>
          <w:szCs w:val="24"/>
        </w:rPr>
        <w:t>和</w:t>
      </w:r>
      <w:r>
        <w:rPr>
          <w:szCs w:val="24"/>
        </w:rPr>
        <w:t>Sint Eustatius</w:t>
      </w:r>
      <w:r>
        <w:rPr>
          <w:rFonts w:hint="eastAsia"/>
          <w:szCs w:val="24"/>
        </w:rPr>
        <w:t>这两个小岛，通常只有关于普查的数据，但是在</w:t>
      </w:r>
      <w:r>
        <w:rPr>
          <w:rFonts w:hint="eastAsia"/>
          <w:szCs w:val="24"/>
        </w:rPr>
        <w:t>1997</w:t>
      </w:r>
      <w:r>
        <w:rPr>
          <w:rFonts w:hint="eastAsia"/>
          <w:szCs w:val="24"/>
        </w:rPr>
        <w:t>年在这两个岛上进行了一次中期普查。由于预算紧缩的原因，劳动力抽样调查不再按时进行。因此，没有</w:t>
      </w:r>
      <w:r>
        <w:rPr>
          <w:szCs w:val="24"/>
        </w:rPr>
        <w:t>Bonaire</w:t>
      </w:r>
      <w:r>
        <w:rPr>
          <w:rFonts w:hint="eastAsia"/>
          <w:szCs w:val="24"/>
        </w:rPr>
        <w:t>岛从</w:t>
      </w:r>
      <w:r>
        <w:rPr>
          <w:rFonts w:hint="eastAsia"/>
          <w:szCs w:val="24"/>
        </w:rPr>
        <w:t>1996</w:t>
      </w:r>
      <w:r>
        <w:rPr>
          <w:rFonts w:hint="eastAsia"/>
          <w:szCs w:val="24"/>
        </w:rPr>
        <w:t>年至</w:t>
      </w:r>
      <w:r>
        <w:rPr>
          <w:rFonts w:hint="eastAsia"/>
          <w:szCs w:val="24"/>
        </w:rPr>
        <w:t>2000</w:t>
      </w:r>
      <w:r>
        <w:rPr>
          <w:rFonts w:hint="eastAsia"/>
          <w:szCs w:val="24"/>
        </w:rPr>
        <w:t>年的数据；没有</w:t>
      </w:r>
      <w:r>
        <w:rPr>
          <w:szCs w:val="24"/>
        </w:rPr>
        <w:t>Curaçao</w:t>
      </w:r>
      <w:r>
        <w:rPr>
          <w:rFonts w:hint="eastAsia"/>
          <w:szCs w:val="24"/>
        </w:rPr>
        <w:t>岛</w:t>
      </w:r>
      <w:r>
        <w:rPr>
          <w:rFonts w:hint="eastAsia"/>
          <w:szCs w:val="24"/>
        </w:rPr>
        <w:t>1999</w:t>
      </w:r>
      <w:r>
        <w:rPr>
          <w:rFonts w:hint="eastAsia"/>
          <w:szCs w:val="24"/>
        </w:rPr>
        <w:t>年的数据；也没有</w:t>
      </w:r>
      <w:r>
        <w:rPr>
          <w:szCs w:val="24"/>
        </w:rPr>
        <w:t>Sint Maarten</w:t>
      </w:r>
      <w:r>
        <w:rPr>
          <w:rFonts w:hint="eastAsia"/>
          <w:szCs w:val="24"/>
        </w:rPr>
        <w:t>岛</w:t>
      </w:r>
      <w:r>
        <w:rPr>
          <w:rFonts w:hint="eastAsia"/>
          <w:szCs w:val="24"/>
        </w:rPr>
        <w:t>1997</w:t>
      </w:r>
      <w:r>
        <w:rPr>
          <w:rFonts w:hint="eastAsia"/>
          <w:szCs w:val="24"/>
        </w:rPr>
        <w:t>年到</w:t>
      </w:r>
      <w:r>
        <w:rPr>
          <w:rFonts w:hint="eastAsia"/>
          <w:szCs w:val="24"/>
        </w:rPr>
        <w:t>2000</w:t>
      </w:r>
      <w:r>
        <w:rPr>
          <w:rFonts w:hint="eastAsia"/>
          <w:szCs w:val="24"/>
        </w:rPr>
        <w:t>年的数据。在下文的表格中，将对最后的劳动力抽样调查</w:t>
      </w:r>
      <w:r>
        <w:rPr>
          <w:rFonts w:hint="eastAsia"/>
          <w:szCs w:val="24"/>
        </w:rPr>
        <w:t>(</w:t>
      </w:r>
      <w:r>
        <w:rPr>
          <w:rFonts w:hint="eastAsia"/>
          <w:szCs w:val="24"/>
        </w:rPr>
        <w:t>中期普查</w:t>
      </w:r>
      <w:r>
        <w:rPr>
          <w:rFonts w:hint="eastAsia"/>
          <w:szCs w:val="24"/>
        </w:rPr>
        <w:t>)</w:t>
      </w:r>
      <w:r>
        <w:rPr>
          <w:rFonts w:hint="eastAsia"/>
          <w:szCs w:val="24"/>
        </w:rPr>
        <w:t>的数据和</w:t>
      </w:r>
      <w:r>
        <w:rPr>
          <w:rFonts w:hint="eastAsia"/>
          <w:szCs w:val="24"/>
        </w:rPr>
        <w:t>2000</w:t>
      </w:r>
      <w:r>
        <w:rPr>
          <w:rFonts w:hint="eastAsia"/>
          <w:szCs w:val="24"/>
        </w:rPr>
        <w:t>年试验普查的数据进行比较。这次普查的变数是十分有限的。在</w:t>
      </w:r>
      <w:r>
        <w:rPr>
          <w:rFonts w:hint="eastAsia"/>
          <w:szCs w:val="24"/>
        </w:rPr>
        <w:t>2001</w:t>
      </w:r>
      <w:r>
        <w:rPr>
          <w:rFonts w:hint="eastAsia"/>
          <w:szCs w:val="24"/>
        </w:rPr>
        <w:t>年的</w:t>
      </w:r>
      <w:r>
        <w:rPr>
          <w:rFonts w:hint="eastAsia"/>
          <w:szCs w:val="24"/>
        </w:rPr>
        <w:t>2</w:t>
      </w:r>
      <w:r>
        <w:rPr>
          <w:rFonts w:hint="eastAsia"/>
          <w:szCs w:val="24"/>
        </w:rPr>
        <w:t>月，进行了一次全面普查。</w:t>
      </w:r>
    </w:p>
    <w:p w:rsidR="00000000" w:rsidRDefault="00000000">
      <w:pPr>
        <w:rPr>
          <w:rFonts w:hint="eastAsia"/>
          <w:szCs w:val="24"/>
        </w:rPr>
      </w:pPr>
      <w:r>
        <w:rPr>
          <w:rFonts w:hint="eastAsia"/>
          <w:szCs w:val="24"/>
        </w:rPr>
        <w:tab/>
        <w:t xml:space="preserve">13.  </w:t>
      </w:r>
      <w:r>
        <w:rPr>
          <w:rFonts w:hint="eastAsia"/>
          <w:szCs w:val="24"/>
        </w:rPr>
        <w:t>下文表</w:t>
      </w:r>
      <w:r>
        <w:rPr>
          <w:rFonts w:hint="eastAsia"/>
          <w:szCs w:val="24"/>
        </w:rPr>
        <w:t>1</w:t>
      </w:r>
      <w:r>
        <w:rPr>
          <w:rFonts w:hint="eastAsia"/>
          <w:szCs w:val="24"/>
        </w:rPr>
        <w:t>显示，</w:t>
      </w:r>
      <w:r>
        <w:rPr>
          <w:szCs w:val="24"/>
        </w:rPr>
        <w:t>Bonaire</w:t>
      </w:r>
      <w:r>
        <w:rPr>
          <w:rFonts w:hint="eastAsia"/>
          <w:szCs w:val="24"/>
        </w:rPr>
        <w:t>岛和</w:t>
      </w:r>
      <w:r>
        <w:rPr>
          <w:szCs w:val="24"/>
        </w:rPr>
        <w:t>Curaçao</w:t>
      </w:r>
      <w:r>
        <w:rPr>
          <w:rFonts w:hint="eastAsia"/>
          <w:szCs w:val="24"/>
        </w:rPr>
        <w:t>岛的就业率几乎是稳定的</w:t>
      </w:r>
      <w:r>
        <w:rPr>
          <w:rFonts w:hint="eastAsia"/>
          <w:szCs w:val="24"/>
        </w:rPr>
        <w:t>(</w:t>
      </w:r>
      <w:r>
        <w:rPr>
          <w:rFonts w:hint="eastAsia"/>
          <w:szCs w:val="24"/>
        </w:rPr>
        <w:t>只有略微下降</w:t>
      </w:r>
      <w:r>
        <w:rPr>
          <w:rFonts w:hint="eastAsia"/>
          <w:szCs w:val="24"/>
        </w:rPr>
        <w:t>)</w:t>
      </w:r>
      <w:r>
        <w:rPr>
          <w:rFonts w:hint="eastAsia"/>
          <w:szCs w:val="24"/>
        </w:rPr>
        <w:t>；而</w:t>
      </w:r>
      <w:r>
        <w:rPr>
          <w:szCs w:val="24"/>
        </w:rPr>
        <w:t>Sint Maarten</w:t>
      </w:r>
      <w:r>
        <w:rPr>
          <w:rFonts w:hint="eastAsia"/>
          <w:szCs w:val="24"/>
        </w:rPr>
        <w:t>岛的就业率有很大增长</w:t>
      </w:r>
      <w:r>
        <w:rPr>
          <w:rFonts w:hint="eastAsia"/>
          <w:szCs w:val="24"/>
        </w:rPr>
        <w:t>(</w:t>
      </w:r>
      <w:r>
        <w:rPr>
          <w:rFonts w:hint="eastAsia"/>
          <w:szCs w:val="24"/>
        </w:rPr>
        <w:t>在经历了几次摧毁性的飓风以后经济开始复苏</w:t>
      </w:r>
      <w:r>
        <w:rPr>
          <w:rFonts w:hint="eastAsia"/>
          <w:szCs w:val="24"/>
        </w:rPr>
        <w:t>)</w:t>
      </w:r>
      <w:r>
        <w:rPr>
          <w:rFonts w:hint="eastAsia"/>
          <w:szCs w:val="24"/>
        </w:rPr>
        <w:t>。在所有这三个岛上失业情况都有所改善；从而导致失业率的降低，只有</w:t>
      </w:r>
      <w:r>
        <w:rPr>
          <w:szCs w:val="24"/>
        </w:rPr>
        <w:t>Bonaire</w:t>
      </w:r>
      <w:r>
        <w:rPr>
          <w:rFonts w:hint="eastAsia"/>
          <w:szCs w:val="24"/>
        </w:rPr>
        <w:t>岛的男子属于例外。</w:t>
      </w:r>
      <w:r>
        <w:rPr>
          <w:szCs w:val="24"/>
        </w:rPr>
        <w:t>Curaçao</w:t>
      </w:r>
      <w:r>
        <w:rPr>
          <w:rFonts w:hint="eastAsia"/>
          <w:szCs w:val="24"/>
        </w:rPr>
        <w:t>岛有大量人口移居外国，因此，一些地区的就业率下降，但是在另外一些地区，失业率有下降趋势。</w:t>
      </w:r>
    </w:p>
    <w:p w:rsidR="00000000" w:rsidRDefault="00000000">
      <w:pPr>
        <w:widowControl w:val="0"/>
        <w:rPr>
          <w:rFonts w:hint="eastAsia"/>
          <w:szCs w:val="24"/>
        </w:rPr>
      </w:pPr>
      <w:r>
        <w:rPr>
          <w:rFonts w:hint="eastAsia"/>
          <w:szCs w:val="24"/>
        </w:rPr>
        <w:tab/>
        <w:t xml:space="preserve">14.  </w:t>
      </w:r>
      <w:r>
        <w:rPr>
          <w:rFonts w:hint="eastAsia"/>
          <w:szCs w:val="24"/>
        </w:rPr>
        <w:t>表</w:t>
      </w:r>
      <w:r>
        <w:rPr>
          <w:rFonts w:hint="eastAsia"/>
          <w:szCs w:val="24"/>
        </w:rPr>
        <w:t>2</w:t>
      </w:r>
      <w:r>
        <w:rPr>
          <w:rFonts w:hint="eastAsia"/>
          <w:szCs w:val="24"/>
        </w:rPr>
        <w:t>提供了根据年龄组分列的同样数据。这个表格显示，在</w:t>
      </w:r>
      <w:r>
        <w:rPr>
          <w:szCs w:val="24"/>
        </w:rPr>
        <w:t>Curaçao</w:t>
      </w:r>
      <w:r>
        <w:rPr>
          <w:rFonts w:hint="eastAsia"/>
          <w:szCs w:val="24"/>
        </w:rPr>
        <w:t>岛和</w:t>
      </w:r>
      <w:r>
        <w:rPr>
          <w:szCs w:val="24"/>
        </w:rPr>
        <w:t>Sint Maarten</w:t>
      </w:r>
      <w:r>
        <w:rPr>
          <w:rFonts w:hint="eastAsia"/>
          <w:szCs w:val="24"/>
        </w:rPr>
        <w:t>岛青年的失业率大幅度下降。该表格还显示，劳动力的平均年龄正在令人吃惊地上升，因为比较年轻的年龄组正在减少，而年龄较大的年龄组正在增加，即使在整体就业率下降的</w:t>
      </w:r>
      <w:r>
        <w:rPr>
          <w:szCs w:val="24"/>
        </w:rPr>
        <w:t>Curaçao</w:t>
      </w:r>
      <w:r>
        <w:rPr>
          <w:rFonts w:hint="eastAsia"/>
          <w:szCs w:val="24"/>
        </w:rPr>
        <w:t>岛，也是如此。</w:t>
      </w:r>
    </w:p>
    <w:p w:rsidR="00000000" w:rsidRDefault="00000000">
      <w:pPr>
        <w:widowControl w:val="0"/>
        <w:rPr>
          <w:rFonts w:hint="eastAsia"/>
          <w:szCs w:val="24"/>
        </w:rPr>
      </w:pPr>
      <w:r>
        <w:rPr>
          <w:rFonts w:hint="eastAsia"/>
          <w:szCs w:val="24"/>
        </w:rPr>
        <w:tab/>
        <w:t xml:space="preserve">15.  </w:t>
      </w:r>
      <w:r>
        <w:rPr>
          <w:rFonts w:hint="eastAsia"/>
          <w:szCs w:val="24"/>
        </w:rPr>
        <w:t>关于职位空缺的数目，没有新的数据。每隔四年至六年进行一次职位空缺调查。上次调查是在</w:t>
      </w:r>
      <w:r>
        <w:rPr>
          <w:rFonts w:hint="eastAsia"/>
          <w:szCs w:val="24"/>
        </w:rPr>
        <w:t>1998</w:t>
      </w:r>
      <w:r>
        <w:rPr>
          <w:rFonts w:hint="eastAsia"/>
          <w:szCs w:val="24"/>
        </w:rPr>
        <w:t>年进行的。新的调查暂时安排在</w:t>
      </w:r>
      <w:r>
        <w:rPr>
          <w:rFonts w:hint="eastAsia"/>
          <w:szCs w:val="24"/>
        </w:rPr>
        <w:t>2003</w:t>
      </w:r>
      <w:r>
        <w:rPr>
          <w:rFonts w:hint="eastAsia"/>
          <w:szCs w:val="24"/>
        </w:rPr>
        <w:t>年。</w:t>
      </w:r>
    </w:p>
    <w:p w:rsidR="00000000" w:rsidRDefault="00000000">
      <w:pPr>
        <w:spacing w:after="240"/>
        <w:rPr>
          <w:szCs w:val="24"/>
        </w:rPr>
      </w:pPr>
      <w:r>
        <w:rPr>
          <w:rFonts w:hint="eastAsia"/>
          <w:szCs w:val="24"/>
        </w:rPr>
        <w:tab/>
        <w:t xml:space="preserve">16.  </w:t>
      </w:r>
      <w:r>
        <w:rPr>
          <w:szCs w:val="24"/>
        </w:rPr>
        <w:t>Curaçao</w:t>
      </w:r>
      <w:r>
        <w:rPr>
          <w:rFonts w:hint="eastAsia"/>
          <w:szCs w:val="24"/>
        </w:rPr>
        <w:t>岛的职业介绍中心</w:t>
      </w:r>
      <w:r>
        <w:rPr>
          <w:rFonts w:hint="eastAsia"/>
          <w:szCs w:val="24"/>
        </w:rPr>
        <w:t>(</w:t>
      </w:r>
      <w:r>
        <w:rPr>
          <w:rFonts w:hint="eastAsia"/>
          <w:szCs w:val="24"/>
        </w:rPr>
        <w:t>就业服务</w:t>
      </w:r>
      <w:r>
        <w:rPr>
          <w:rFonts w:hint="eastAsia"/>
          <w:szCs w:val="24"/>
        </w:rPr>
        <w:t>)</w:t>
      </w:r>
      <w:r>
        <w:rPr>
          <w:rFonts w:hint="eastAsia"/>
          <w:szCs w:val="24"/>
        </w:rPr>
        <w:t>于</w:t>
      </w:r>
      <w:r>
        <w:rPr>
          <w:rFonts w:hint="eastAsia"/>
          <w:szCs w:val="24"/>
        </w:rPr>
        <w:t>2000</w:t>
      </w:r>
      <w:r>
        <w:rPr>
          <w:rFonts w:hint="eastAsia"/>
          <w:szCs w:val="24"/>
        </w:rPr>
        <w:t>年年底关闭。该中心的活动和人员已经被该岛政府的另外一个局</w:t>
      </w:r>
      <w:r>
        <w:rPr>
          <w:rFonts w:hint="eastAsia"/>
          <w:szCs w:val="24"/>
        </w:rPr>
        <w:t>(</w:t>
      </w:r>
      <w:r>
        <w:rPr>
          <w:rFonts w:hint="eastAsia"/>
          <w:szCs w:val="24"/>
        </w:rPr>
        <w:t>劳动和收入局</w:t>
      </w:r>
      <w:r>
        <w:rPr>
          <w:rFonts w:hint="eastAsia"/>
          <w:szCs w:val="24"/>
        </w:rPr>
        <w:t>)</w:t>
      </w:r>
      <w:r>
        <w:rPr>
          <w:rFonts w:hint="eastAsia"/>
          <w:szCs w:val="24"/>
        </w:rPr>
        <w:t>接管，目前政府经管着六个返回邻里办公室。之所以要成立这个新的局，是为了要提供有关劳动和收入的综合性服务。这就意味着将向服务对象提供一种方案，帮助他们充分发挥其独立工作能力。这可能涉及他们在社会上的工作能力，但是同时也致力于帮助他们就业。分别负责劳动和收入的两名顾问同其服务对象一起确定他们的最佳方案。已经充分考虑到了影响实现这一目标的各种因素</w:t>
      </w:r>
      <w:r>
        <w:rPr>
          <w:rFonts w:hint="eastAsia"/>
          <w:szCs w:val="24"/>
        </w:rPr>
        <w:t>(</w:t>
      </w:r>
      <w:r>
        <w:rPr>
          <w:rFonts w:hint="eastAsia"/>
          <w:szCs w:val="24"/>
        </w:rPr>
        <w:t>教育、培训、照料孩子</w:t>
      </w:r>
      <w:r>
        <w:rPr>
          <w:rFonts w:hint="eastAsia"/>
          <w:szCs w:val="24"/>
        </w:rPr>
        <w:t>)</w:t>
      </w:r>
      <w:r>
        <w:rPr>
          <w:rFonts w:hint="eastAsia"/>
          <w:szCs w:val="24"/>
        </w:rPr>
        <w:t>。</w:t>
      </w:r>
    </w:p>
    <w:p w:rsidR="00000000" w:rsidRDefault="00000000">
      <w:pPr>
        <w:pStyle w:val="Heading3"/>
        <w:spacing w:after="160"/>
        <w:rPr>
          <w:rFonts w:eastAsia="SimHei" w:hint="eastAsia"/>
          <w:u w:val="none"/>
        </w:rPr>
      </w:pPr>
      <w:r>
        <w:rPr>
          <w:rFonts w:eastAsia="SimHei" w:hint="eastAsia"/>
          <w:sz w:val="22"/>
          <w:u w:val="none"/>
        </w:rPr>
        <w:t>表</w:t>
      </w:r>
      <w:r>
        <w:rPr>
          <w:rFonts w:eastAsia="SimHei"/>
          <w:sz w:val="22"/>
          <w:u w:val="none"/>
        </w:rPr>
        <w:t xml:space="preserve">  </w:t>
      </w:r>
      <w:r>
        <w:rPr>
          <w:rFonts w:eastAsia="SimHei" w:hint="eastAsia"/>
          <w:b/>
          <w:sz w:val="22"/>
          <w:u w:val="none"/>
        </w:rPr>
        <w:t>1</w:t>
      </w:r>
      <w:r>
        <w:rPr>
          <w:rFonts w:eastAsia="SimHei"/>
          <w:sz w:val="22"/>
          <w:u w:val="none"/>
        </w:rPr>
        <w:br/>
      </w:r>
      <w:r>
        <w:rPr>
          <w:rFonts w:eastAsia="SimHei" w:hint="eastAsia"/>
          <w:sz w:val="22"/>
          <w:u w:val="none"/>
        </w:rPr>
        <w:t>核心劳动力数据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0"/>
        <w:gridCol w:w="1180"/>
        <w:gridCol w:w="1180"/>
        <w:gridCol w:w="1180"/>
        <w:gridCol w:w="1180"/>
        <w:gridCol w:w="1180"/>
        <w:gridCol w:w="1180"/>
      </w:tblGrid>
      <w:tr w:rsidR="00000000">
        <w:tblPrEx>
          <w:tblCellMar>
            <w:top w:w="0" w:type="dxa"/>
            <w:bottom w:w="0" w:type="dxa"/>
          </w:tblCellMar>
        </w:tblPrEx>
        <w:tc>
          <w:tcPr>
            <w:tcW w:w="2280" w:type="dxa"/>
            <w:tcBorders>
              <w:bottom w:val="single" w:sz="4" w:space="0" w:color="auto"/>
            </w:tcBorders>
          </w:tcPr>
          <w:p w:rsidR="00000000" w:rsidRDefault="00000000">
            <w:pPr>
              <w:spacing w:before="100" w:after="60" w:line="240" w:lineRule="auto"/>
              <w:jc w:val="center"/>
              <w:rPr>
                <w:sz w:val="21"/>
              </w:rPr>
            </w:pPr>
          </w:p>
        </w:tc>
        <w:tc>
          <w:tcPr>
            <w:tcW w:w="1180" w:type="dxa"/>
            <w:tcBorders>
              <w:bottom w:val="single" w:sz="4" w:space="0" w:color="auto"/>
            </w:tcBorders>
          </w:tcPr>
          <w:p w:rsidR="00000000" w:rsidRDefault="00000000">
            <w:pPr>
              <w:spacing w:before="100" w:after="60" w:line="240" w:lineRule="auto"/>
              <w:jc w:val="center"/>
              <w:rPr>
                <w:rFonts w:hint="eastAsia"/>
                <w:sz w:val="21"/>
              </w:rPr>
            </w:pPr>
            <w:r>
              <w:rPr>
                <w:rFonts w:hint="eastAsia"/>
                <w:sz w:val="21"/>
              </w:rPr>
              <w:t>男子</w:t>
            </w:r>
          </w:p>
        </w:tc>
        <w:tc>
          <w:tcPr>
            <w:tcW w:w="1180" w:type="dxa"/>
            <w:tcBorders>
              <w:bottom w:val="single" w:sz="4" w:space="0" w:color="auto"/>
            </w:tcBorders>
          </w:tcPr>
          <w:p w:rsidR="00000000" w:rsidRDefault="00000000">
            <w:pPr>
              <w:spacing w:before="100" w:after="60" w:line="240" w:lineRule="auto"/>
              <w:jc w:val="center"/>
              <w:rPr>
                <w:rFonts w:hint="eastAsia"/>
                <w:sz w:val="21"/>
              </w:rPr>
            </w:pPr>
            <w:r>
              <w:rPr>
                <w:rFonts w:hint="eastAsia"/>
                <w:sz w:val="21"/>
              </w:rPr>
              <w:t>妇女</w:t>
            </w:r>
          </w:p>
        </w:tc>
        <w:tc>
          <w:tcPr>
            <w:tcW w:w="2360" w:type="dxa"/>
            <w:gridSpan w:val="2"/>
            <w:tcBorders>
              <w:bottom w:val="single" w:sz="4" w:space="0" w:color="auto"/>
            </w:tcBorders>
          </w:tcPr>
          <w:p w:rsidR="00000000" w:rsidRDefault="00000000">
            <w:pPr>
              <w:spacing w:before="100" w:after="60" w:line="240" w:lineRule="auto"/>
              <w:jc w:val="center"/>
              <w:rPr>
                <w:rFonts w:hint="eastAsia"/>
                <w:sz w:val="21"/>
              </w:rPr>
            </w:pPr>
            <w:r>
              <w:rPr>
                <w:rFonts w:hint="eastAsia"/>
                <w:sz w:val="21"/>
              </w:rPr>
              <w:t>男</w:t>
            </w:r>
            <w:r>
              <w:rPr>
                <w:rFonts w:hint="eastAsia"/>
                <w:sz w:val="21"/>
              </w:rPr>
              <w:t xml:space="preserve">  </w:t>
            </w:r>
            <w:r>
              <w:rPr>
                <w:rFonts w:hint="eastAsia"/>
                <w:sz w:val="21"/>
              </w:rPr>
              <w:t>子</w:t>
            </w:r>
          </w:p>
        </w:tc>
        <w:tc>
          <w:tcPr>
            <w:tcW w:w="2360" w:type="dxa"/>
            <w:gridSpan w:val="2"/>
            <w:tcBorders>
              <w:bottom w:val="single" w:sz="4" w:space="0" w:color="auto"/>
            </w:tcBorders>
          </w:tcPr>
          <w:p w:rsidR="00000000" w:rsidRDefault="00000000">
            <w:pPr>
              <w:spacing w:before="100" w:after="60" w:line="240" w:lineRule="auto"/>
              <w:jc w:val="center"/>
              <w:rPr>
                <w:rFonts w:hint="eastAsia"/>
                <w:sz w:val="21"/>
              </w:rPr>
            </w:pPr>
            <w:r>
              <w:rPr>
                <w:rFonts w:hint="eastAsia"/>
                <w:sz w:val="21"/>
              </w:rPr>
              <w:t>妇</w:t>
            </w:r>
            <w:r>
              <w:rPr>
                <w:rFonts w:hint="eastAsia"/>
                <w:sz w:val="21"/>
              </w:rPr>
              <w:t xml:space="preserve">  </w:t>
            </w:r>
            <w:r>
              <w:rPr>
                <w:rFonts w:hint="eastAsia"/>
                <w:sz w:val="21"/>
              </w:rPr>
              <w:t>女</w:t>
            </w:r>
          </w:p>
        </w:tc>
      </w:tr>
      <w:tr w:rsidR="00000000">
        <w:tblPrEx>
          <w:tblCellMar>
            <w:top w:w="0" w:type="dxa"/>
            <w:bottom w:w="0" w:type="dxa"/>
          </w:tblCellMar>
        </w:tblPrEx>
        <w:tc>
          <w:tcPr>
            <w:tcW w:w="2280" w:type="dxa"/>
            <w:tcBorders>
              <w:bottom w:val="single" w:sz="4" w:space="0" w:color="auto"/>
            </w:tcBorders>
          </w:tcPr>
          <w:p w:rsidR="00000000" w:rsidRDefault="00000000">
            <w:pPr>
              <w:spacing w:before="40" w:after="20" w:line="240" w:lineRule="auto"/>
              <w:jc w:val="center"/>
              <w:rPr>
                <w:rFonts w:hint="eastAsia"/>
                <w:sz w:val="21"/>
              </w:rPr>
            </w:pPr>
            <w:r>
              <w:rPr>
                <w:sz w:val="21"/>
              </w:rPr>
              <w:t>Bonaire</w:t>
            </w:r>
            <w:r>
              <w:rPr>
                <w:rFonts w:hint="eastAsia"/>
                <w:sz w:val="21"/>
              </w:rPr>
              <w:t>岛</w:t>
            </w:r>
          </w:p>
        </w:tc>
        <w:tc>
          <w:tcPr>
            <w:tcW w:w="1180" w:type="dxa"/>
            <w:tcBorders>
              <w:bottom w:val="single" w:sz="4" w:space="0" w:color="auto"/>
            </w:tcBorders>
          </w:tcPr>
          <w:p w:rsidR="00000000" w:rsidRDefault="00000000">
            <w:pPr>
              <w:pStyle w:val="Header"/>
              <w:spacing w:before="40" w:after="20" w:line="240" w:lineRule="auto"/>
              <w:jc w:val="center"/>
              <w:rPr>
                <w:rFonts w:ascii="Times New Roman" w:hAnsi="Times New Roman"/>
                <w:sz w:val="21"/>
              </w:rPr>
            </w:pPr>
            <w:r>
              <w:rPr>
                <w:rFonts w:ascii="Times New Roman" w:hAnsi="Times New Roman"/>
                <w:sz w:val="21"/>
              </w:rPr>
              <w:t>1996</w:t>
            </w:r>
          </w:p>
        </w:tc>
        <w:tc>
          <w:tcPr>
            <w:tcW w:w="1180" w:type="dxa"/>
            <w:tcBorders>
              <w:bottom w:val="single" w:sz="4" w:space="0" w:color="auto"/>
            </w:tcBorders>
          </w:tcPr>
          <w:p w:rsidR="00000000" w:rsidRDefault="00000000">
            <w:pPr>
              <w:spacing w:before="40" w:after="20" w:line="240" w:lineRule="auto"/>
              <w:jc w:val="center"/>
              <w:rPr>
                <w:sz w:val="21"/>
              </w:rPr>
            </w:pPr>
            <w:r>
              <w:rPr>
                <w:sz w:val="21"/>
              </w:rPr>
              <w:t>2000</w:t>
            </w:r>
          </w:p>
        </w:tc>
        <w:tc>
          <w:tcPr>
            <w:tcW w:w="1180" w:type="dxa"/>
            <w:tcBorders>
              <w:bottom w:val="single" w:sz="4" w:space="0" w:color="auto"/>
            </w:tcBorders>
          </w:tcPr>
          <w:p w:rsidR="00000000" w:rsidRDefault="00000000">
            <w:pPr>
              <w:spacing w:before="40" w:after="20" w:line="240" w:lineRule="auto"/>
              <w:jc w:val="center"/>
              <w:rPr>
                <w:sz w:val="21"/>
              </w:rPr>
            </w:pPr>
            <w:r>
              <w:rPr>
                <w:sz w:val="21"/>
              </w:rPr>
              <w:t>1996</w:t>
            </w:r>
          </w:p>
        </w:tc>
        <w:tc>
          <w:tcPr>
            <w:tcW w:w="1180" w:type="dxa"/>
            <w:tcBorders>
              <w:bottom w:val="single" w:sz="4" w:space="0" w:color="auto"/>
            </w:tcBorders>
          </w:tcPr>
          <w:p w:rsidR="00000000" w:rsidRDefault="00000000">
            <w:pPr>
              <w:spacing w:before="40" w:after="20" w:line="240" w:lineRule="auto"/>
              <w:jc w:val="center"/>
              <w:rPr>
                <w:sz w:val="21"/>
              </w:rPr>
            </w:pPr>
            <w:r>
              <w:rPr>
                <w:sz w:val="21"/>
              </w:rPr>
              <w:t>2000</w:t>
            </w:r>
          </w:p>
        </w:tc>
        <w:tc>
          <w:tcPr>
            <w:tcW w:w="1180" w:type="dxa"/>
            <w:tcBorders>
              <w:bottom w:val="single" w:sz="4" w:space="0" w:color="auto"/>
            </w:tcBorders>
          </w:tcPr>
          <w:p w:rsidR="00000000" w:rsidRDefault="00000000">
            <w:pPr>
              <w:spacing w:before="40" w:after="20" w:line="240" w:lineRule="auto"/>
              <w:jc w:val="center"/>
              <w:rPr>
                <w:sz w:val="21"/>
              </w:rPr>
            </w:pPr>
            <w:r>
              <w:rPr>
                <w:sz w:val="21"/>
              </w:rPr>
              <w:t>1996</w:t>
            </w:r>
          </w:p>
        </w:tc>
        <w:tc>
          <w:tcPr>
            <w:tcW w:w="1180" w:type="dxa"/>
            <w:tcBorders>
              <w:bottom w:val="single" w:sz="4" w:space="0" w:color="auto"/>
            </w:tcBorders>
          </w:tcPr>
          <w:p w:rsidR="00000000" w:rsidRDefault="00000000">
            <w:pPr>
              <w:spacing w:before="40" w:after="20" w:line="240" w:lineRule="auto"/>
              <w:jc w:val="center"/>
              <w:rPr>
                <w:sz w:val="21"/>
              </w:rPr>
            </w:pPr>
            <w:r>
              <w:rPr>
                <w:sz w:val="21"/>
              </w:rPr>
              <w:t>2000</w:t>
            </w:r>
          </w:p>
        </w:tc>
      </w:tr>
      <w:tr w:rsidR="00000000">
        <w:tblPrEx>
          <w:tblCellMar>
            <w:top w:w="0" w:type="dxa"/>
            <w:bottom w:w="0" w:type="dxa"/>
          </w:tblCellMar>
        </w:tblPrEx>
        <w:tc>
          <w:tcPr>
            <w:tcW w:w="2280" w:type="dxa"/>
            <w:tcBorders>
              <w:top w:val="single" w:sz="4" w:space="0" w:color="auto"/>
              <w:bottom w:val="nil"/>
            </w:tcBorders>
          </w:tcPr>
          <w:p w:rsidR="00000000" w:rsidRDefault="00000000">
            <w:pPr>
              <w:pStyle w:val="Header"/>
              <w:spacing w:before="40" w:line="240" w:lineRule="auto"/>
              <w:rPr>
                <w:rFonts w:ascii="Times New Roman" w:hAnsi="Times New Roman" w:hint="eastAsia"/>
                <w:sz w:val="21"/>
              </w:rPr>
            </w:pPr>
            <w:r>
              <w:rPr>
                <w:rFonts w:ascii="Times New Roman" w:hAnsi="Times New Roman" w:hint="eastAsia"/>
                <w:sz w:val="21"/>
              </w:rPr>
              <w:t>就业</w:t>
            </w:r>
          </w:p>
        </w:tc>
        <w:tc>
          <w:tcPr>
            <w:tcW w:w="1180" w:type="dxa"/>
            <w:tcBorders>
              <w:top w:val="single" w:sz="4" w:space="0" w:color="auto"/>
              <w:bottom w:val="nil"/>
            </w:tcBorders>
          </w:tcPr>
          <w:p w:rsidR="00000000" w:rsidRDefault="00000000">
            <w:pPr>
              <w:pStyle w:val="Header"/>
              <w:spacing w:before="40" w:line="240" w:lineRule="auto"/>
              <w:ind w:right="112"/>
              <w:jc w:val="right"/>
              <w:rPr>
                <w:rFonts w:ascii="Times New Roman" w:hAnsi="Times New Roman"/>
                <w:sz w:val="21"/>
              </w:rPr>
            </w:pPr>
            <w:r>
              <w:rPr>
                <w:rFonts w:ascii="Times New Roman" w:hAnsi="Times New Roman"/>
                <w:sz w:val="21"/>
              </w:rPr>
              <w:t>7 274</w:t>
            </w:r>
          </w:p>
        </w:tc>
        <w:tc>
          <w:tcPr>
            <w:tcW w:w="1180" w:type="dxa"/>
            <w:tcBorders>
              <w:top w:val="single" w:sz="4" w:space="0" w:color="auto"/>
              <w:bottom w:val="nil"/>
            </w:tcBorders>
          </w:tcPr>
          <w:p w:rsidR="00000000" w:rsidRDefault="00000000">
            <w:pPr>
              <w:spacing w:before="40" w:line="240" w:lineRule="auto"/>
              <w:ind w:right="112"/>
              <w:jc w:val="right"/>
              <w:rPr>
                <w:sz w:val="21"/>
              </w:rPr>
            </w:pPr>
            <w:r>
              <w:rPr>
                <w:sz w:val="21"/>
              </w:rPr>
              <w:t>7 206</w:t>
            </w:r>
          </w:p>
        </w:tc>
        <w:tc>
          <w:tcPr>
            <w:tcW w:w="1180" w:type="dxa"/>
            <w:tcBorders>
              <w:top w:val="single" w:sz="4" w:space="0" w:color="auto"/>
              <w:bottom w:val="nil"/>
            </w:tcBorders>
          </w:tcPr>
          <w:p w:rsidR="00000000" w:rsidRDefault="00000000">
            <w:pPr>
              <w:spacing w:before="40" w:line="240" w:lineRule="auto"/>
              <w:ind w:right="112"/>
              <w:jc w:val="right"/>
              <w:rPr>
                <w:sz w:val="21"/>
              </w:rPr>
            </w:pPr>
            <w:r>
              <w:rPr>
                <w:sz w:val="21"/>
              </w:rPr>
              <w:t>4 259</w:t>
            </w:r>
          </w:p>
        </w:tc>
        <w:tc>
          <w:tcPr>
            <w:tcW w:w="1180" w:type="dxa"/>
            <w:tcBorders>
              <w:top w:val="single" w:sz="4" w:space="0" w:color="auto"/>
              <w:bottom w:val="nil"/>
            </w:tcBorders>
          </w:tcPr>
          <w:p w:rsidR="00000000" w:rsidRDefault="00000000">
            <w:pPr>
              <w:spacing w:before="40" w:line="240" w:lineRule="auto"/>
              <w:ind w:right="112"/>
              <w:jc w:val="right"/>
              <w:rPr>
                <w:sz w:val="21"/>
              </w:rPr>
            </w:pPr>
            <w:r>
              <w:rPr>
                <w:sz w:val="21"/>
              </w:rPr>
              <w:t>4 161</w:t>
            </w:r>
          </w:p>
        </w:tc>
        <w:tc>
          <w:tcPr>
            <w:tcW w:w="1180" w:type="dxa"/>
            <w:tcBorders>
              <w:top w:val="single" w:sz="4" w:space="0" w:color="auto"/>
              <w:bottom w:val="nil"/>
            </w:tcBorders>
          </w:tcPr>
          <w:p w:rsidR="00000000" w:rsidRDefault="00000000">
            <w:pPr>
              <w:spacing w:before="40" w:line="240" w:lineRule="auto"/>
              <w:ind w:right="112"/>
              <w:jc w:val="right"/>
              <w:rPr>
                <w:sz w:val="21"/>
              </w:rPr>
            </w:pPr>
            <w:r>
              <w:rPr>
                <w:sz w:val="21"/>
              </w:rPr>
              <w:t>3 015</w:t>
            </w:r>
          </w:p>
        </w:tc>
        <w:tc>
          <w:tcPr>
            <w:tcW w:w="1180" w:type="dxa"/>
            <w:tcBorders>
              <w:top w:val="single" w:sz="4" w:space="0" w:color="auto"/>
              <w:bottom w:val="nil"/>
            </w:tcBorders>
          </w:tcPr>
          <w:p w:rsidR="00000000" w:rsidRDefault="00000000">
            <w:pPr>
              <w:spacing w:before="40" w:line="240" w:lineRule="auto"/>
              <w:ind w:right="112"/>
              <w:jc w:val="right"/>
              <w:rPr>
                <w:sz w:val="21"/>
              </w:rPr>
            </w:pPr>
            <w:r>
              <w:rPr>
                <w:sz w:val="21"/>
              </w:rPr>
              <w:t>3 045</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失业</w:t>
            </w:r>
          </w:p>
        </w:tc>
        <w:tc>
          <w:tcPr>
            <w:tcW w:w="1180" w:type="dxa"/>
            <w:tcBorders>
              <w:top w:val="nil"/>
              <w:bottom w:val="nil"/>
            </w:tcBorders>
          </w:tcPr>
          <w:p w:rsidR="00000000" w:rsidRDefault="00000000">
            <w:pPr>
              <w:spacing w:line="240" w:lineRule="auto"/>
              <w:ind w:right="112"/>
              <w:jc w:val="right"/>
              <w:rPr>
                <w:sz w:val="21"/>
              </w:rPr>
            </w:pPr>
            <w:r>
              <w:rPr>
                <w:sz w:val="21"/>
              </w:rPr>
              <w:t>467</w:t>
            </w:r>
          </w:p>
        </w:tc>
        <w:tc>
          <w:tcPr>
            <w:tcW w:w="1180" w:type="dxa"/>
            <w:tcBorders>
              <w:top w:val="nil"/>
              <w:bottom w:val="nil"/>
            </w:tcBorders>
          </w:tcPr>
          <w:p w:rsidR="00000000" w:rsidRDefault="00000000">
            <w:pPr>
              <w:spacing w:line="240" w:lineRule="auto"/>
              <w:ind w:right="112"/>
              <w:jc w:val="right"/>
              <w:rPr>
                <w:sz w:val="21"/>
              </w:rPr>
            </w:pPr>
            <w:r>
              <w:rPr>
                <w:sz w:val="21"/>
              </w:rPr>
              <w:t>436</w:t>
            </w:r>
          </w:p>
        </w:tc>
        <w:tc>
          <w:tcPr>
            <w:tcW w:w="1180" w:type="dxa"/>
            <w:tcBorders>
              <w:top w:val="nil"/>
              <w:bottom w:val="nil"/>
            </w:tcBorders>
          </w:tcPr>
          <w:p w:rsidR="00000000" w:rsidRDefault="00000000">
            <w:pPr>
              <w:spacing w:line="240" w:lineRule="auto"/>
              <w:ind w:right="112"/>
              <w:jc w:val="right"/>
              <w:rPr>
                <w:sz w:val="21"/>
              </w:rPr>
            </w:pPr>
            <w:r>
              <w:rPr>
                <w:sz w:val="21"/>
              </w:rPr>
              <w:t>209</w:t>
            </w:r>
          </w:p>
        </w:tc>
        <w:tc>
          <w:tcPr>
            <w:tcW w:w="1180" w:type="dxa"/>
            <w:tcBorders>
              <w:top w:val="nil"/>
              <w:bottom w:val="nil"/>
            </w:tcBorders>
          </w:tcPr>
          <w:p w:rsidR="00000000" w:rsidRDefault="00000000">
            <w:pPr>
              <w:spacing w:line="240" w:lineRule="auto"/>
              <w:ind w:right="112"/>
              <w:jc w:val="right"/>
              <w:rPr>
                <w:sz w:val="21"/>
              </w:rPr>
            </w:pPr>
            <w:r>
              <w:rPr>
                <w:sz w:val="21"/>
              </w:rPr>
              <w:t>274</w:t>
            </w:r>
          </w:p>
        </w:tc>
        <w:tc>
          <w:tcPr>
            <w:tcW w:w="1180" w:type="dxa"/>
            <w:tcBorders>
              <w:top w:val="nil"/>
              <w:bottom w:val="nil"/>
            </w:tcBorders>
          </w:tcPr>
          <w:p w:rsidR="00000000" w:rsidRDefault="00000000">
            <w:pPr>
              <w:spacing w:line="240" w:lineRule="auto"/>
              <w:ind w:right="112"/>
              <w:jc w:val="right"/>
              <w:rPr>
                <w:sz w:val="21"/>
              </w:rPr>
            </w:pPr>
            <w:r>
              <w:rPr>
                <w:sz w:val="21"/>
              </w:rPr>
              <w:t>258</w:t>
            </w:r>
          </w:p>
        </w:tc>
        <w:tc>
          <w:tcPr>
            <w:tcW w:w="1180" w:type="dxa"/>
            <w:tcBorders>
              <w:top w:val="nil"/>
              <w:bottom w:val="nil"/>
            </w:tcBorders>
          </w:tcPr>
          <w:p w:rsidR="00000000" w:rsidRDefault="00000000">
            <w:pPr>
              <w:spacing w:line="240" w:lineRule="auto"/>
              <w:ind w:right="112"/>
              <w:jc w:val="right"/>
              <w:rPr>
                <w:sz w:val="21"/>
              </w:rPr>
            </w:pPr>
            <w:r>
              <w:rPr>
                <w:sz w:val="21"/>
              </w:rPr>
              <w:t>162</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劳动力</w:t>
            </w:r>
          </w:p>
        </w:tc>
        <w:tc>
          <w:tcPr>
            <w:tcW w:w="1180" w:type="dxa"/>
            <w:tcBorders>
              <w:top w:val="nil"/>
              <w:bottom w:val="nil"/>
            </w:tcBorders>
          </w:tcPr>
          <w:p w:rsidR="00000000" w:rsidRDefault="00000000">
            <w:pPr>
              <w:spacing w:line="240" w:lineRule="auto"/>
              <w:ind w:right="112"/>
              <w:jc w:val="right"/>
              <w:rPr>
                <w:sz w:val="21"/>
              </w:rPr>
            </w:pPr>
            <w:r>
              <w:rPr>
                <w:sz w:val="21"/>
              </w:rPr>
              <w:t>7 741</w:t>
            </w:r>
          </w:p>
        </w:tc>
        <w:tc>
          <w:tcPr>
            <w:tcW w:w="1180" w:type="dxa"/>
            <w:tcBorders>
              <w:top w:val="nil"/>
              <w:bottom w:val="nil"/>
            </w:tcBorders>
          </w:tcPr>
          <w:p w:rsidR="00000000" w:rsidRDefault="00000000">
            <w:pPr>
              <w:spacing w:line="240" w:lineRule="auto"/>
              <w:ind w:right="112"/>
              <w:jc w:val="right"/>
              <w:rPr>
                <w:sz w:val="21"/>
              </w:rPr>
            </w:pPr>
            <w:r>
              <w:rPr>
                <w:sz w:val="21"/>
              </w:rPr>
              <w:t>7 642</w:t>
            </w:r>
          </w:p>
        </w:tc>
        <w:tc>
          <w:tcPr>
            <w:tcW w:w="1180" w:type="dxa"/>
            <w:tcBorders>
              <w:top w:val="nil"/>
              <w:bottom w:val="nil"/>
            </w:tcBorders>
          </w:tcPr>
          <w:p w:rsidR="00000000" w:rsidRDefault="00000000">
            <w:pPr>
              <w:spacing w:line="240" w:lineRule="auto"/>
              <w:ind w:right="112"/>
              <w:jc w:val="right"/>
              <w:rPr>
                <w:sz w:val="21"/>
              </w:rPr>
            </w:pPr>
            <w:r>
              <w:rPr>
                <w:sz w:val="21"/>
              </w:rPr>
              <w:t>4 468</w:t>
            </w:r>
          </w:p>
        </w:tc>
        <w:tc>
          <w:tcPr>
            <w:tcW w:w="1180" w:type="dxa"/>
            <w:tcBorders>
              <w:top w:val="nil"/>
              <w:bottom w:val="nil"/>
            </w:tcBorders>
          </w:tcPr>
          <w:p w:rsidR="00000000" w:rsidRDefault="00000000">
            <w:pPr>
              <w:spacing w:line="240" w:lineRule="auto"/>
              <w:ind w:right="112"/>
              <w:jc w:val="right"/>
              <w:rPr>
                <w:sz w:val="21"/>
              </w:rPr>
            </w:pPr>
            <w:r>
              <w:rPr>
                <w:sz w:val="21"/>
              </w:rPr>
              <w:t>4 435</w:t>
            </w:r>
          </w:p>
        </w:tc>
        <w:tc>
          <w:tcPr>
            <w:tcW w:w="1180" w:type="dxa"/>
            <w:tcBorders>
              <w:top w:val="nil"/>
              <w:bottom w:val="nil"/>
            </w:tcBorders>
          </w:tcPr>
          <w:p w:rsidR="00000000" w:rsidRDefault="00000000">
            <w:pPr>
              <w:spacing w:line="240" w:lineRule="auto"/>
              <w:ind w:right="112"/>
              <w:jc w:val="right"/>
              <w:rPr>
                <w:sz w:val="21"/>
              </w:rPr>
            </w:pPr>
            <w:r>
              <w:rPr>
                <w:sz w:val="21"/>
              </w:rPr>
              <w:t>3 273</w:t>
            </w:r>
          </w:p>
        </w:tc>
        <w:tc>
          <w:tcPr>
            <w:tcW w:w="1180" w:type="dxa"/>
            <w:tcBorders>
              <w:top w:val="nil"/>
              <w:bottom w:val="nil"/>
            </w:tcBorders>
          </w:tcPr>
          <w:p w:rsidR="00000000" w:rsidRDefault="00000000">
            <w:pPr>
              <w:spacing w:line="240" w:lineRule="auto"/>
              <w:ind w:right="112"/>
              <w:jc w:val="right"/>
              <w:rPr>
                <w:sz w:val="21"/>
              </w:rPr>
            </w:pPr>
            <w:r>
              <w:rPr>
                <w:sz w:val="21"/>
              </w:rPr>
              <w:t>3 207</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sz w:val="21"/>
              </w:rPr>
              <w:t>14</w:t>
            </w:r>
            <w:r>
              <w:rPr>
                <w:rFonts w:hint="eastAsia"/>
                <w:sz w:val="21"/>
              </w:rPr>
              <w:t>岁以上人口</w:t>
            </w:r>
          </w:p>
        </w:tc>
        <w:tc>
          <w:tcPr>
            <w:tcW w:w="1180" w:type="dxa"/>
            <w:tcBorders>
              <w:top w:val="nil"/>
              <w:bottom w:val="nil"/>
            </w:tcBorders>
          </w:tcPr>
          <w:p w:rsidR="00000000" w:rsidRDefault="00000000">
            <w:pPr>
              <w:spacing w:line="240" w:lineRule="auto"/>
              <w:ind w:right="112"/>
              <w:jc w:val="right"/>
              <w:rPr>
                <w:sz w:val="21"/>
              </w:rPr>
            </w:pPr>
            <w:r>
              <w:rPr>
                <w:sz w:val="21"/>
              </w:rPr>
              <w:t>10 649</w:t>
            </w:r>
          </w:p>
        </w:tc>
        <w:tc>
          <w:tcPr>
            <w:tcW w:w="1180" w:type="dxa"/>
            <w:tcBorders>
              <w:top w:val="nil"/>
              <w:bottom w:val="nil"/>
            </w:tcBorders>
          </w:tcPr>
          <w:p w:rsidR="00000000" w:rsidRDefault="00000000">
            <w:pPr>
              <w:spacing w:line="240" w:lineRule="auto"/>
              <w:ind w:right="112"/>
              <w:jc w:val="right"/>
              <w:rPr>
                <w:sz w:val="21"/>
              </w:rPr>
            </w:pPr>
            <w:r>
              <w:rPr>
                <w:sz w:val="21"/>
              </w:rPr>
              <w:t xml:space="preserve">10 668 </w:t>
            </w:r>
          </w:p>
        </w:tc>
        <w:tc>
          <w:tcPr>
            <w:tcW w:w="1180" w:type="dxa"/>
            <w:tcBorders>
              <w:top w:val="nil"/>
              <w:bottom w:val="nil"/>
            </w:tcBorders>
          </w:tcPr>
          <w:p w:rsidR="00000000" w:rsidRDefault="00000000">
            <w:pPr>
              <w:spacing w:line="240" w:lineRule="auto"/>
              <w:ind w:right="112"/>
              <w:jc w:val="right"/>
              <w:rPr>
                <w:sz w:val="21"/>
              </w:rPr>
            </w:pPr>
            <w:r>
              <w:rPr>
                <w:sz w:val="21"/>
              </w:rPr>
              <w:t>5 613</w:t>
            </w:r>
          </w:p>
        </w:tc>
        <w:tc>
          <w:tcPr>
            <w:tcW w:w="1180" w:type="dxa"/>
            <w:tcBorders>
              <w:top w:val="nil"/>
              <w:bottom w:val="nil"/>
            </w:tcBorders>
          </w:tcPr>
          <w:p w:rsidR="00000000" w:rsidRDefault="00000000">
            <w:pPr>
              <w:spacing w:line="240" w:lineRule="auto"/>
              <w:ind w:right="112"/>
              <w:jc w:val="right"/>
              <w:rPr>
                <w:sz w:val="21"/>
              </w:rPr>
            </w:pPr>
            <w:r>
              <w:rPr>
                <w:sz w:val="21"/>
              </w:rPr>
              <w:t>5 584</w:t>
            </w:r>
          </w:p>
        </w:tc>
        <w:tc>
          <w:tcPr>
            <w:tcW w:w="1180" w:type="dxa"/>
            <w:tcBorders>
              <w:top w:val="nil"/>
              <w:bottom w:val="nil"/>
            </w:tcBorders>
          </w:tcPr>
          <w:p w:rsidR="00000000" w:rsidRDefault="00000000">
            <w:pPr>
              <w:spacing w:line="240" w:lineRule="auto"/>
              <w:ind w:right="112"/>
              <w:jc w:val="right"/>
              <w:rPr>
                <w:sz w:val="21"/>
              </w:rPr>
            </w:pPr>
            <w:r>
              <w:rPr>
                <w:sz w:val="21"/>
              </w:rPr>
              <w:t>5 036</w:t>
            </w:r>
          </w:p>
        </w:tc>
        <w:tc>
          <w:tcPr>
            <w:tcW w:w="1180" w:type="dxa"/>
            <w:tcBorders>
              <w:top w:val="nil"/>
              <w:bottom w:val="nil"/>
            </w:tcBorders>
          </w:tcPr>
          <w:p w:rsidR="00000000" w:rsidRDefault="00000000">
            <w:pPr>
              <w:spacing w:line="240" w:lineRule="auto"/>
              <w:ind w:right="112"/>
              <w:jc w:val="right"/>
              <w:rPr>
                <w:sz w:val="21"/>
              </w:rPr>
            </w:pPr>
            <w:r>
              <w:rPr>
                <w:sz w:val="21"/>
              </w:rPr>
              <w:t>5 084</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就业率</w:t>
            </w:r>
          </w:p>
        </w:tc>
        <w:tc>
          <w:tcPr>
            <w:tcW w:w="1180" w:type="dxa"/>
            <w:tcBorders>
              <w:top w:val="nil"/>
              <w:bottom w:val="nil"/>
            </w:tcBorders>
          </w:tcPr>
          <w:p w:rsidR="00000000" w:rsidRDefault="00000000">
            <w:pPr>
              <w:spacing w:line="240" w:lineRule="auto"/>
              <w:ind w:right="112"/>
              <w:jc w:val="right"/>
              <w:rPr>
                <w:sz w:val="21"/>
              </w:rPr>
            </w:pPr>
            <w:r>
              <w:rPr>
                <w:sz w:val="21"/>
              </w:rPr>
              <w:t>68.3%</w:t>
            </w:r>
          </w:p>
        </w:tc>
        <w:tc>
          <w:tcPr>
            <w:tcW w:w="1180" w:type="dxa"/>
            <w:tcBorders>
              <w:top w:val="nil"/>
              <w:bottom w:val="nil"/>
            </w:tcBorders>
          </w:tcPr>
          <w:p w:rsidR="00000000" w:rsidRDefault="00000000">
            <w:pPr>
              <w:spacing w:line="240" w:lineRule="auto"/>
              <w:ind w:right="112"/>
              <w:jc w:val="right"/>
              <w:rPr>
                <w:sz w:val="21"/>
              </w:rPr>
            </w:pPr>
            <w:r>
              <w:rPr>
                <w:sz w:val="21"/>
              </w:rPr>
              <w:t>67.5%</w:t>
            </w:r>
          </w:p>
        </w:tc>
        <w:tc>
          <w:tcPr>
            <w:tcW w:w="1180" w:type="dxa"/>
            <w:tcBorders>
              <w:top w:val="nil"/>
              <w:bottom w:val="nil"/>
            </w:tcBorders>
          </w:tcPr>
          <w:p w:rsidR="00000000" w:rsidRDefault="00000000">
            <w:pPr>
              <w:spacing w:line="240" w:lineRule="auto"/>
              <w:ind w:right="112"/>
              <w:jc w:val="right"/>
              <w:rPr>
                <w:sz w:val="21"/>
              </w:rPr>
            </w:pPr>
            <w:r>
              <w:rPr>
                <w:sz w:val="21"/>
              </w:rPr>
              <w:t>75.9%</w:t>
            </w:r>
          </w:p>
        </w:tc>
        <w:tc>
          <w:tcPr>
            <w:tcW w:w="1180" w:type="dxa"/>
            <w:tcBorders>
              <w:top w:val="nil"/>
              <w:bottom w:val="nil"/>
            </w:tcBorders>
          </w:tcPr>
          <w:p w:rsidR="00000000" w:rsidRDefault="00000000">
            <w:pPr>
              <w:spacing w:line="240" w:lineRule="auto"/>
              <w:ind w:right="112"/>
              <w:jc w:val="right"/>
              <w:rPr>
                <w:sz w:val="21"/>
              </w:rPr>
            </w:pPr>
            <w:r>
              <w:rPr>
                <w:sz w:val="21"/>
              </w:rPr>
              <w:t>74.5%</w:t>
            </w:r>
          </w:p>
        </w:tc>
        <w:tc>
          <w:tcPr>
            <w:tcW w:w="1180" w:type="dxa"/>
            <w:tcBorders>
              <w:top w:val="nil"/>
              <w:bottom w:val="nil"/>
            </w:tcBorders>
          </w:tcPr>
          <w:p w:rsidR="00000000" w:rsidRDefault="00000000">
            <w:pPr>
              <w:spacing w:line="240" w:lineRule="auto"/>
              <w:ind w:right="112"/>
              <w:jc w:val="right"/>
              <w:rPr>
                <w:sz w:val="21"/>
              </w:rPr>
            </w:pPr>
            <w:r>
              <w:rPr>
                <w:sz w:val="21"/>
              </w:rPr>
              <w:t>59.9%</w:t>
            </w:r>
          </w:p>
        </w:tc>
        <w:tc>
          <w:tcPr>
            <w:tcW w:w="1180" w:type="dxa"/>
            <w:tcBorders>
              <w:top w:val="nil"/>
              <w:bottom w:val="nil"/>
            </w:tcBorders>
          </w:tcPr>
          <w:p w:rsidR="00000000" w:rsidRDefault="00000000">
            <w:pPr>
              <w:spacing w:line="240" w:lineRule="auto"/>
              <w:ind w:right="112"/>
              <w:jc w:val="right"/>
              <w:rPr>
                <w:sz w:val="21"/>
              </w:rPr>
            </w:pPr>
            <w:r>
              <w:rPr>
                <w:sz w:val="21"/>
              </w:rPr>
              <w:t>59.9%</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失业率</w:t>
            </w:r>
          </w:p>
        </w:tc>
        <w:tc>
          <w:tcPr>
            <w:tcW w:w="1180" w:type="dxa"/>
            <w:tcBorders>
              <w:top w:val="nil"/>
              <w:bottom w:val="nil"/>
            </w:tcBorders>
          </w:tcPr>
          <w:p w:rsidR="00000000" w:rsidRDefault="00000000">
            <w:pPr>
              <w:spacing w:line="240" w:lineRule="auto"/>
              <w:ind w:right="112"/>
              <w:jc w:val="right"/>
              <w:rPr>
                <w:sz w:val="21"/>
              </w:rPr>
            </w:pPr>
            <w:r>
              <w:rPr>
                <w:sz w:val="21"/>
              </w:rPr>
              <w:t>6.0%</w:t>
            </w:r>
          </w:p>
        </w:tc>
        <w:tc>
          <w:tcPr>
            <w:tcW w:w="1180" w:type="dxa"/>
            <w:tcBorders>
              <w:top w:val="nil"/>
              <w:bottom w:val="nil"/>
            </w:tcBorders>
          </w:tcPr>
          <w:p w:rsidR="00000000" w:rsidRDefault="00000000">
            <w:pPr>
              <w:spacing w:line="240" w:lineRule="auto"/>
              <w:ind w:right="112"/>
              <w:jc w:val="right"/>
              <w:rPr>
                <w:sz w:val="21"/>
              </w:rPr>
            </w:pPr>
            <w:r>
              <w:rPr>
                <w:sz w:val="21"/>
              </w:rPr>
              <w:t>5.7%</w:t>
            </w:r>
          </w:p>
        </w:tc>
        <w:tc>
          <w:tcPr>
            <w:tcW w:w="1180" w:type="dxa"/>
            <w:tcBorders>
              <w:top w:val="nil"/>
              <w:bottom w:val="nil"/>
            </w:tcBorders>
          </w:tcPr>
          <w:p w:rsidR="00000000" w:rsidRDefault="00000000">
            <w:pPr>
              <w:spacing w:line="240" w:lineRule="auto"/>
              <w:ind w:right="112"/>
              <w:jc w:val="right"/>
              <w:rPr>
                <w:sz w:val="21"/>
              </w:rPr>
            </w:pPr>
            <w:r>
              <w:rPr>
                <w:sz w:val="21"/>
              </w:rPr>
              <w:t>4.7%</w:t>
            </w:r>
          </w:p>
        </w:tc>
        <w:tc>
          <w:tcPr>
            <w:tcW w:w="1180" w:type="dxa"/>
            <w:tcBorders>
              <w:top w:val="nil"/>
              <w:bottom w:val="nil"/>
            </w:tcBorders>
          </w:tcPr>
          <w:p w:rsidR="00000000" w:rsidRDefault="00000000">
            <w:pPr>
              <w:spacing w:line="240" w:lineRule="auto"/>
              <w:ind w:right="112"/>
              <w:jc w:val="right"/>
              <w:rPr>
                <w:sz w:val="21"/>
              </w:rPr>
            </w:pPr>
            <w:r>
              <w:rPr>
                <w:sz w:val="21"/>
              </w:rPr>
              <w:t>6.2%</w:t>
            </w:r>
          </w:p>
        </w:tc>
        <w:tc>
          <w:tcPr>
            <w:tcW w:w="1180" w:type="dxa"/>
            <w:tcBorders>
              <w:top w:val="nil"/>
              <w:bottom w:val="nil"/>
            </w:tcBorders>
          </w:tcPr>
          <w:p w:rsidR="00000000" w:rsidRDefault="00000000">
            <w:pPr>
              <w:spacing w:line="240" w:lineRule="auto"/>
              <w:ind w:right="112"/>
              <w:jc w:val="right"/>
              <w:rPr>
                <w:sz w:val="21"/>
              </w:rPr>
            </w:pPr>
            <w:r>
              <w:rPr>
                <w:sz w:val="21"/>
              </w:rPr>
              <w:t>7.9%</w:t>
            </w:r>
          </w:p>
        </w:tc>
        <w:tc>
          <w:tcPr>
            <w:tcW w:w="1180" w:type="dxa"/>
            <w:tcBorders>
              <w:top w:val="nil"/>
              <w:bottom w:val="nil"/>
            </w:tcBorders>
          </w:tcPr>
          <w:p w:rsidR="00000000" w:rsidRDefault="00000000">
            <w:pPr>
              <w:spacing w:line="240" w:lineRule="auto"/>
              <w:ind w:right="112"/>
              <w:jc w:val="right"/>
              <w:rPr>
                <w:sz w:val="21"/>
              </w:rPr>
            </w:pPr>
            <w:r>
              <w:rPr>
                <w:sz w:val="21"/>
              </w:rPr>
              <w:t>5.1%</w:t>
            </w:r>
          </w:p>
        </w:tc>
      </w:tr>
      <w:tr w:rsidR="00000000">
        <w:tblPrEx>
          <w:tblCellMar>
            <w:top w:w="0" w:type="dxa"/>
            <w:bottom w:w="0" w:type="dxa"/>
          </w:tblCellMar>
        </w:tblPrEx>
        <w:tc>
          <w:tcPr>
            <w:tcW w:w="2280" w:type="dxa"/>
            <w:tcBorders>
              <w:top w:val="nil"/>
              <w:bottom w:val="single" w:sz="4" w:space="0" w:color="auto"/>
            </w:tcBorders>
          </w:tcPr>
          <w:p w:rsidR="00000000" w:rsidRDefault="00000000">
            <w:pPr>
              <w:pStyle w:val="a2"/>
              <w:spacing w:after="40" w:line="240" w:lineRule="auto"/>
              <w:rPr>
                <w:rFonts w:hint="eastAsia"/>
              </w:rPr>
            </w:pPr>
            <w:r>
              <w:rPr>
                <w:rFonts w:hint="eastAsia"/>
              </w:rPr>
              <w:t>参与率</w:t>
            </w:r>
          </w:p>
        </w:tc>
        <w:tc>
          <w:tcPr>
            <w:tcW w:w="1180" w:type="dxa"/>
            <w:tcBorders>
              <w:top w:val="nil"/>
              <w:bottom w:val="single" w:sz="4" w:space="0" w:color="auto"/>
            </w:tcBorders>
          </w:tcPr>
          <w:p w:rsidR="00000000" w:rsidRDefault="00000000">
            <w:pPr>
              <w:spacing w:after="40" w:line="240" w:lineRule="auto"/>
              <w:ind w:right="112"/>
              <w:jc w:val="right"/>
              <w:rPr>
                <w:sz w:val="21"/>
              </w:rPr>
            </w:pPr>
            <w:r>
              <w:rPr>
                <w:sz w:val="21"/>
              </w:rPr>
              <w:t>72.7%</w:t>
            </w:r>
          </w:p>
        </w:tc>
        <w:tc>
          <w:tcPr>
            <w:tcW w:w="1180" w:type="dxa"/>
            <w:tcBorders>
              <w:top w:val="nil"/>
              <w:bottom w:val="single" w:sz="4" w:space="0" w:color="auto"/>
            </w:tcBorders>
          </w:tcPr>
          <w:p w:rsidR="00000000" w:rsidRDefault="00000000">
            <w:pPr>
              <w:spacing w:after="40" w:line="240" w:lineRule="auto"/>
              <w:ind w:right="112"/>
              <w:jc w:val="right"/>
              <w:rPr>
                <w:sz w:val="21"/>
              </w:rPr>
            </w:pPr>
            <w:r>
              <w:rPr>
                <w:sz w:val="21"/>
              </w:rPr>
              <w:t>71.6%</w:t>
            </w:r>
          </w:p>
        </w:tc>
        <w:tc>
          <w:tcPr>
            <w:tcW w:w="1180" w:type="dxa"/>
            <w:tcBorders>
              <w:top w:val="nil"/>
              <w:bottom w:val="single" w:sz="4" w:space="0" w:color="auto"/>
            </w:tcBorders>
          </w:tcPr>
          <w:p w:rsidR="00000000" w:rsidRDefault="00000000">
            <w:pPr>
              <w:spacing w:after="40" w:line="240" w:lineRule="auto"/>
              <w:ind w:right="112"/>
              <w:jc w:val="right"/>
              <w:rPr>
                <w:sz w:val="21"/>
              </w:rPr>
            </w:pPr>
            <w:r>
              <w:rPr>
                <w:sz w:val="21"/>
              </w:rPr>
              <w:t>79.6%</w:t>
            </w:r>
          </w:p>
        </w:tc>
        <w:tc>
          <w:tcPr>
            <w:tcW w:w="1180" w:type="dxa"/>
            <w:tcBorders>
              <w:top w:val="nil"/>
              <w:bottom w:val="single" w:sz="4" w:space="0" w:color="auto"/>
            </w:tcBorders>
          </w:tcPr>
          <w:p w:rsidR="00000000" w:rsidRDefault="00000000">
            <w:pPr>
              <w:spacing w:after="40" w:line="240" w:lineRule="auto"/>
              <w:ind w:right="112"/>
              <w:jc w:val="right"/>
              <w:rPr>
                <w:sz w:val="21"/>
              </w:rPr>
            </w:pPr>
            <w:r>
              <w:rPr>
                <w:sz w:val="21"/>
              </w:rPr>
              <w:t>79.4%</w:t>
            </w:r>
          </w:p>
        </w:tc>
        <w:tc>
          <w:tcPr>
            <w:tcW w:w="1180" w:type="dxa"/>
            <w:tcBorders>
              <w:top w:val="nil"/>
              <w:bottom w:val="single" w:sz="4" w:space="0" w:color="auto"/>
            </w:tcBorders>
          </w:tcPr>
          <w:p w:rsidR="00000000" w:rsidRDefault="00000000">
            <w:pPr>
              <w:spacing w:after="40" w:line="240" w:lineRule="auto"/>
              <w:ind w:right="112"/>
              <w:jc w:val="right"/>
              <w:rPr>
                <w:sz w:val="21"/>
              </w:rPr>
            </w:pPr>
            <w:r>
              <w:rPr>
                <w:sz w:val="21"/>
              </w:rPr>
              <w:t>65.0%</w:t>
            </w:r>
          </w:p>
        </w:tc>
        <w:tc>
          <w:tcPr>
            <w:tcW w:w="1180" w:type="dxa"/>
            <w:tcBorders>
              <w:top w:val="nil"/>
              <w:bottom w:val="single" w:sz="4" w:space="0" w:color="auto"/>
            </w:tcBorders>
          </w:tcPr>
          <w:p w:rsidR="00000000" w:rsidRDefault="00000000">
            <w:pPr>
              <w:spacing w:after="40" w:line="240" w:lineRule="auto"/>
              <w:ind w:right="112"/>
              <w:jc w:val="right"/>
              <w:rPr>
                <w:sz w:val="21"/>
              </w:rPr>
            </w:pPr>
            <w:r>
              <w:rPr>
                <w:sz w:val="21"/>
              </w:rPr>
              <w:t>63.1%</w:t>
            </w:r>
          </w:p>
        </w:tc>
      </w:tr>
      <w:tr w:rsidR="00000000">
        <w:tblPrEx>
          <w:tblCellMar>
            <w:top w:w="0" w:type="dxa"/>
            <w:bottom w:w="0" w:type="dxa"/>
          </w:tblCellMar>
        </w:tblPrEx>
        <w:tc>
          <w:tcPr>
            <w:tcW w:w="2280" w:type="dxa"/>
            <w:tcBorders>
              <w:top w:val="single" w:sz="4" w:space="0" w:color="auto"/>
              <w:bottom w:val="single" w:sz="4" w:space="0" w:color="auto"/>
            </w:tcBorders>
          </w:tcPr>
          <w:p w:rsidR="00000000" w:rsidRDefault="00000000">
            <w:pPr>
              <w:spacing w:before="40" w:after="20" w:line="240" w:lineRule="auto"/>
              <w:jc w:val="center"/>
              <w:rPr>
                <w:rFonts w:hint="eastAsia"/>
                <w:sz w:val="21"/>
              </w:rPr>
            </w:pPr>
            <w:r>
              <w:rPr>
                <w:sz w:val="21"/>
              </w:rPr>
              <w:t>Curaçao</w:t>
            </w:r>
            <w:r>
              <w:rPr>
                <w:rFonts w:hint="eastAsia"/>
                <w:sz w:val="21"/>
              </w:rPr>
              <w:t>岛</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1998</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2000</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1998</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2000</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1998</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2000</w:t>
            </w:r>
          </w:p>
        </w:tc>
      </w:tr>
      <w:tr w:rsidR="00000000">
        <w:tblPrEx>
          <w:tblCellMar>
            <w:top w:w="0" w:type="dxa"/>
            <w:bottom w:w="0" w:type="dxa"/>
          </w:tblCellMar>
        </w:tblPrEx>
        <w:tc>
          <w:tcPr>
            <w:tcW w:w="2280" w:type="dxa"/>
            <w:tcBorders>
              <w:top w:val="single" w:sz="4" w:space="0" w:color="auto"/>
              <w:bottom w:val="nil"/>
            </w:tcBorders>
          </w:tcPr>
          <w:p w:rsidR="00000000" w:rsidRDefault="00000000">
            <w:pPr>
              <w:pStyle w:val="Header"/>
              <w:spacing w:before="40" w:line="240" w:lineRule="auto"/>
              <w:rPr>
                <w:rFonts w:ascii="Times New Roman" w:hAnsi="Times New Roman" w:hint="eastAsia"/>
                <w:sz w:val="21"/>
              </w:rPr>
            </w:pPr>
            <w:r>
              <w:rPr>
                <w:rFonts w:ascii="Times New Roman" w:hAnsi="Times New Roman" w:hint="eastAsia"/>
                <w:sz w:val="21"/>
              </w:rPr>
              <w:t>就业</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52 962</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52 236</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28 806</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27 347</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24 156</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24 889</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失业</w:t>
            </w:r>
          </w:p>
        </w:tc>
        <w:tc>
          <w:tcPr>
            <w:tcW w:w="1180" w:type="dxa"/>
            <w:tcBorders>
              <w:top w:val="nil"/>
              <w:bottom w:val="nil"/>
            </w:tcBorders>
          </w:tcPr>
          <w:p w:rsidR="00000000" w:rsidRDefault="00000000">
            <w:pPr>
              <w:spacing w:line="240" w:lineRule="auto"/>
              <w:ind w:right="112"/>
              <w:jc w:val="right"/>
              <w:rPr>
                <w:sz w:val="21"/>
              </w:rPr>
            </w:pPr>
            <w:r>
              <w:rPr>
                <w:sz w:val="21"/>
              </w:rPr>
              <w:t>10 543</w:t>
            </w:r>
          </w:p>
        </w:tc>
        <w:tc>
          <w:tcPr>
            <w:tcW w:w="1180" w:type="dxa"/>
            <w:tcBorders>
              <w:top w:val="nil"/>
              <w:bottom w:val="nil"/>
            </w:tcBorders>
          </w:tcPr>
          <w:p w:rsidR="00000000" w:rsidRDefault="00000000">
            <w:pPr>
              <w:spacing w:line="240" w:lineRule="auto"/>
              <w:ind w:right="112"/>
              <w:jc w:val="right"/>
              <w:rPr>
                <w:sz w:val="21"/>
              </w:rPr>
            </w:pPr>
            <w:r>
              <w:rPr>
                <w:sz w:val="21"/>
              </w:rPr>
              <w:t>8 531</w:t>
            </w:r>
          </w:p>
        </w:tc>
        <w:tc>
          <w:tcPr>
            <w:tcW w:w="1180" w:type="dxa"/>
            <w:tcBorders>
              <w:top w:val="nil"/>
              <w:bottom w:val="nil"/>
            </w:tcBorders>
          </w:tcPr>
          <w:p w:rsidR="00000000" w:rsidRDefault="00000000">
            <w:pPr>
              <w:spacing w:line="240" w:lineRule="auto"/>
              <w:ind w:right="112"/>
              <w:jc w:val="right"/>
              <w:rPr>
                <w:sz w:val="21"/>
              </w:rPr>
            </w:pPr>
            <w:r>
              <w:rPr>
                <w:sz w:val="21"/>
              </w:rPr>
              <w:t>4 699</w:t>
            </w:r>
          </w:p>
        </w:tc>
        <w:tc>
          <w:tcPr>
            <w:tcW w:w="1180" w:type="dxa"/>
            <w:tcBorders>
              <w:top w:val="nil"/>
              <w:bottom w:val="nil"/>
            </w:tcBorders>
          </w:tcPr>
          <w:p w:rsidR="00000000" w:rsidRDefault="00000000">
            <w:pPr>
              <w:spacing w:line="240" w:lineRule="auto"/>
              <w:ind w:right="112"/>
              <w:jc w:val="right"/>
              <w:rPr>
                <w:sz w:val="21"/>
              </w:rPr>
            </w:pPr>
            <w:r>
              <w:rPr>
                <w:sz w:val="21"/>
              </w:rPr>
              <w:t>3 721</w:t>
            </w:r>
          </w:p>
        </w:tc>
        <w:tc>
          <w:tcPr>
            <w:tcW w:w="1180" w:type="dxa"/>
            <w:tcBorders>
              <w:top w:val="nil"/>
              <w:bottom w:val="nil"/>
            </w:tcBorders>
          </w:tcPr>
          <w:p w:rsidR="00000000" w:rsidRDefault="00000000">
            <w:pPr>
              <w:spacing w:line="240" w:lineRule="auto"/>
              <w:ind w:right="112"/>
              <w:jc w:val="right"/>
              <w:rPr>
                <w:sz w:val="21"/>
              </w:rPr>
            </w:pPr>
            <w:r>
              <w:rPr>
                <w:sz w:val="21"/>
              </w:rPr>
              <w:t>5 844</w:t>
            </w:r>
          </w:p>
        </w:tc>
        <w:tc>
          <w:tcPr>
            <w:tcW w:w="1180" w:type="dxa"/>
            <w:tcBorders>
              <w:top w:val="nil"/>
              <w:bottom w:val="nil"/>
            </w:tcBorders>
          </w:tcPr>
          <w:p w:rsidR="00000000" w:rsidRDefault="00000000">
            <w:pPr>
              <w:spacing w:line="240" w:lineRule="auto"/>
              <w:ind w:right="112"/>
              <w:jc w:val="right"/>
              <w:rPr>
                <w:sz w:val="21"/>
              </w:rPr>
            </w:pPr>
            <w:r>
              <w:rPr>
                <w:sz w:val="21"/>
              </w:rPr>
              <w:t>4 810</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劳动力</w:t>
            </w:r>
          </w:p>
        </w:tc>
        <w:tc>
          <w:tcPr>
            <w:tcW w:w="1180" w:type="dxa"/>
            <w:tcBorders>
              <w:top w:val="nil"/>
              <w:bottom w:val="nil"/>
            </w:tcBorders>
          </w:tcPr>
          <w:p w:rsidR="00000000" w:rsidRDefault="00000000">
            <w:pPr>
              <w:spacing w:line="240" w:lineRule="auto"/>
              <w:ind w:right="112"/>
              <w:jc w:val="right"/>
              <w:rPr>
                <w:sz w:val="21"/>
              </w:rPr>
            </w:pPr>
            <w:r>
              <w:rPr>
                <w:sz w:val="21"/>
              </w:rPr>
              <w:t>63 505</w:t>
            </w:r>
          </w:p>
        </w:tc>
        <w:tc>
          <w:tcPr>
            <w:tcW w:w="1180" w:type="dxa"/>
            <w:tcBorders>
              <w:top w:val="nil"/>
              <w:bottom w:val="nil"/>
            </w:tcBorders>
          </w:tcPr>
          <w:p w:rsidR="00000000" w:rsidRDefault="00000000">
            <w:pPr>
              <w:spacing w:line="240" w:lineRule="auto"/>
              <w:ind w:right="112"/>
              <w:jc w:val="right"/>
              <w:rPr>
                <w:sz w:val="21"/>
              </w:rPr>
            </w:pPr>
            <w:r>
              <w:rPr>
                <w:sz w:val="21"/>
              </w:rPr>
              <w:t>60 767</w:t>
            </w:r>
          </w:p>
        </w:tc>
        <w:tc>
          <w:tcPr>
            <w:tcW w:w="1180" w:type="dxa"/>
            <w:tcBorders>
              <w:top w:val="nil"/>
              <w:bottom w:val="nil"/>
            </w:tcBorders>
          </w:tcPr>
          <w:p w:rsidR="00000000" w:rsidRDefault="00000000">
            <w:pPr>
              <w:spacing w:line="240" w:lineRule="auto"/>
              <w:ind w:right="112"/>
              <w:jc w:val="right"/>
              <w:rPr>
                <w:sz w:val="21"/>
              </w:rPr>
            </w:pPr>
            <w:r>
              <w:rPr>
                <w:sz w:val="21"/>
              </w:rPr>
              <w:t>33 505</w:t>
            </w:r>
          </w:p>
        </w:tc>
        <w:tc>
          <w:tcPr>
            <w:tcW w:w="1180" w:type="dxa"/>
            <w:tcBorders>
              <w:top w:val="nil"/>
              <w:bottom w:val="nil"/>
            </w:tcBorders>
          </w:tcPr>
          <w:p w:rsidR="00000000" w:rsidRDefault="00000000">
            <w:pPr>
              <w:spacing w:line="240" w:lineRule="auto"/>
              <w:ind w:right="112"/>
              <w:jc w:val="right"/>
              <w:rPr>
                <w:sz w:val="21"/>
              </w:rPr>
            </w:pPr>
            <w:r>
              <w:rPr>
                <w:sz w:val="21"/>
              </w:rPr>
              <w:t>31 068</w:t>
            </w:r>
          </w:p>
        </w:tc>
        <w:tc>
          <w:tcPr>
            <w:tcW w:w="1180" w:type="dxa"/>
            <w:tcBorders>
              <w:top w:val="nil"/>
              <w:bottom w:val="nil"/>
            </w:tcBorders>
          </w:tcPr>
          <w:p w:rsidR="00000000" w:rsidRDefault="00000000">
            <w:pPr>
              <w:spacing w:line="240" w:lineRule="auto"/>
              <w:ind w:right="112"/>
              <w:jc w:val="right"/>
              <w:rPr>
                <w:sz w:val="21"/>
              </w:rPr>
            </w:pPr>
            <w:r>
              <w:rPr>
                <w:sz w:val="21"/>
              </w:rPr>
              <w:t>30 000</w:t>
            </w:r>
          </w:p>
        </w:tc>
        <w:tc>
          <w:tcPr>
            <w:tcW w:w="1180" w:type="dxa"/>
            <w:tcBorders>
              <w:top w:val="nil"/>
              <w:bottom w:val="nil"/>
            </w:tcBorders>
          </w:tcPr>
          <w:p w:rsidR="00000000" w:rsidRDefault="00000000">
            <w:pPr>
              <w:spacing w:line="240" w:lineRule="auto"/>
              <w:ind w:right="112"/>
              <w:jc w:val="right"/>
              <w:rPr>
                <w:sz w:val="21"/>
              </w:rPr>
            </w:pPr>
            <w:r>
              <w:rPr>
                <w:sz w:val="21"/>
              </w:rPr>
              <w:t>29 699</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sz w:val="21"/>
              </w:rPr>
              <w:t>14</w:t>
            </w:r>
            <w:r>
              <w:rPr>
                <w:rFonts w:hint="eastAsia"/>
                <w:sz w:val="21"/>
              </w:rPr>
              <w:t>岁以上人口</w:t>
            </w:r>
          </w:p>
        </w:tc>
        <w:tc>
          <w:tcPr>
            <w:tcW w:w="1180" w:type="dxa"/>
            <w:tcBorders>
              <w:top w:val="nil"/>
              <w:bottom w:val="nil"/>
            </w:tcBorders>
          </w:tcPr>
          <w:p w:rsidR="00000000" w:rsidRDefault="00000000">
            <w:pPr>
              <w:spacing w:line="240" w:lineRule="auto"/>
              <w:ind w:right="113"/>
              <w:jc w:val="right"/>
              <w:rPr>
                <w:sz w:val="21"/>
              </w:rPr>
            </w:pPr>
            <w:r>
              <w:rPr>
                <w:sz w:val="21"/>
              </w:rPr>
              <w:t>108 167</w:t>
            </w:r>
          </w:p>
        </w:tc>
        <w:tc>
          <w:tcPr>
            <w:tcW w:w="1180" w:type="dxa"/>
            <w:tcBorders>
              <w:top w:val="nil"/>
              <w:bottom w:val="nil"/>
            </w:tcBorders>
          </w:tcPr>
          <w:p w:rsidR="00000000" w:rsidRDefault="00000000">
            <w:pPr>
              <w:spacing w:line="240" w:lineRule="auto"/>
              <w:ind w:right="112"/>
              <w:jc w:val="right"/>
              <w:rPr>
                <w:sz w:val="21"/>
              </w:rPr>
            </w:pPr>
            <w:r>
              <w:rPr>
                <w:sz w:val="21"/>
              </w:rPr>
              <w:t>102 548</w:t>
            </w:r>
          </w:p>
        </w:tc>
        <w:tc>
          <w:tcPr>
            <w:tcW w:w="1180" w:type="dxa"/>
            <w:tcBorders>
              <w:top w:val="nil"/>
              <w:bottom w:val="nil"/>
            </w:tcBorders>
          </w:tcPr>
          <w:p w:rsidR="00000000" w:rsidRDefault="00000000">
            <w:pPr>
              <w:spacing w:line="240" w:lineRule="auto"/>
              <w:ind w:right="112"/>
              <w:jc w:val="right"/>
              <w:rPr>
                <w:sz w:val="21"/>
              </w:rPr>
            </w:pPr>
            <w:r>
              <w:rPr>
                <w:sz w:val="21"/>
              </w:rPr>
              <w:t>49 336</w:t>
            </w:r>
          </w:p>
        </w:tc>
        <w:tc>
          <w:tcPr>
            <w:tcW w:w="1180" w:type="dxa"/>
            <w:tcBorders>
              <w:top w:val="nil"/>
              <w:bottom w:val="nil"/>
            </w:tcBorders>
          </w:tcPr>
          <w:p w:rsidR="00000000" w:rsidRDefault="00000000">
            <w:pPr>
              <w:spacing w:line="240" w:lineRule="auto"/>
              <w:ind w:right="112"/>
              <w:jc w:val="right"/>
              <w:rPr>
                <w:sz w:val="21"/>
              </w:rPr>
            </w:pPr>
            <w:r>
              <w:rPr>
                <w:sz w:val="21"/>
              </w:rPr>
              <w:t>46 612</w:t>
            </w:r>
          </w:p>
        </w:tc>
        <w:tc>
          <w:tcPr>
            <w:tcW w:w="1180" w:type="dxa"/>
            <w:tcBorders>
              <w:top w:val="nil"/>
              <w:bottom w:val="nil"/>
            </w:tcBorders>
          </w:tcPr>
          <w:p w:rsidR="00000000" w:rsidRDefault="00000000">
            <w:pPr>
              <w:spacing w:line="240" w:lineRule="auto"/>
              <w:ind w:right="112"/>
              <w:jc w:val="right"/>
              <w:rPr>
                <w:sz w:val="21"/>
              </w:rPr>
            </w:pPr>
            <w:r>
              <w:rPr>
                <w:sz w:val="21"/>
              </w:rPr>
              <w:t>58 831</w:t>
            </w:r>
          </w:p>
        </w:tc>
        <w:tc>
          <w:tcPr>
            <w:tcW w:w="1180" w:type="dxa"/>
            <w:tcBorders>
              <w:top w:val="nil"/>
              <w:bottom w:val="nil"/>
            </w:tcBorders>
          </w:tcPr>
          <w:p w:rsidR="00000000" w:rsidRDefault="00000000">
            <w:pPr>
              <w:spacing w:line="240" w:lineRule="auto"/>
              <w:ind w:right="112"/>
              <w:jc w:val="right"/>
              <w:rPr>
                <w:sz w:val="21"/>
              </w:rPr>
            </w:pPr>
            <w:r>
              <w:rPr>
                <w:sz w:val="21"/>
              </w:rPr>
              <w:t>55 936</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就业率</w:t>
            </w:r>
          </w:p>
        </w:tc>
        <w:tc>
          <w:tcPr>
            <w:tcW w:w="1180" w:type="dxa"/>
            <w:tcBorders>
              <w:top w:val="nil"/>
              <w:bottom w:val="nil"/>
            </w:tcBorders>
          </w:tcPr>
          <w:p w:rsidR="00000000" w:rsidRDefault="00000000">
            <w:pPr>
              <w:spacing w:line="240" w:lineRule="auto"/>
              <w:ind w:right="112"/>
              <w:jc w:val="right"/>
              <w:rPr>
                <w:sz w:val="21"/>
              </w:rPr>
            </w:pPr>
            <w:r>
              <w:rPr>
                <w:sz w:val="21"/>
              </w:rPr>
              <w:t>49.0%</w:t>
            </w:r>
          </w:p>
        </w:tc>
        <w:tc>
          <w:tcPr>
            <w:tcW w:w="1180" w:type="dxa"/>
            <w:tcBorders>
              <w:top w:val="nil"/>
              <w:bottom w:val="nil"/>
            </w:tcBorders>
          </w:tcPr>
          <w:p w:rsidR="00000000" w:rsidRDefault="00000000">
            <w:pPr>
              <w:spacing w:line="240" w:lineRule="auto"/>
              <w:ind w:right="112"/>
              <w:jc w:val="right"/>
              <w:rPr>
                <w:sz w:val="21"/>
              </w:rPr>
            </w:pPr>
            <w:r>
              <w:rPr>
                <w:sz w:val="21"/>
              </w:rPr>
              <w:t>50.9%</w:t>
            </w:r>
          </w:p>
        </w:tc>
        <w:tc>
          <w:tcPr>
            <w:tcW w:w="1180" w:type="dxa"/>
            <w:tcBorders>
              <w:top w:val="nil"/>
              <w:bottom w:val="nil"/>
            </w:tcBorders>
          </w:tcPr>
          <w:p w:rsidR="00000000" w:rsidRDefault="00000000">
            <w:pPr>
              <w:spacing w:line="240" w:lineRule="auto"/>
              <w:ind w:right="112"/>
              <w:jc w:val="right"/>
              <w:rPr>
                <w:sz w:val="21"/>
              </w:rPr>
            </w:pPr>
            <w:r>
              <w:rPr>
                <w:sz w:val="21"/>
              </w:rPr>
              <w:t>58.4%</w:t>
            </w:r>
          </w:p>
        </w:tc>
        <w:tc>
          <w:tcPr>
            <w:tcW w:w="1180" w:type="dxa"/>
            <w:tcBorders>
              <w:top w:val="nil"/>
              <w:bottom w:val="nil"/>
            </w:tcBorders>
          </w:tcPr>
          <w:p w:rsidR="00000000" w:rsidRDefault="00000000">
            <w:pPr>
              <w:spacing w:line="240" w:lineRule="auto"/>
              <w:ind w:right="112"/>
              <w:jc w:val="right"/>
              <w:rPr>
                <w:sz w:val="21"/>
              </w:rPr>
            </w:pPr>
            <w:r>
              <w:rPr>
                <w:sz w:val="21"/>
              </w:rPr>
              <w:t>58.7%</w:t>
            </w:r>
          </w:p>
        </w:tc>
        <w:tc>
          <w:tcPr>
            <w:tcW w:w="1180" w:type="dxa"/>
            <w:tcBorders>
              <w:top w:val="nil"/>
              <w:bottom w:val="nil"/>
            </w:tcBorders>
          </w:tcPr>
          <w:p w:rsidR="00000000" w:rsidRDefault="00000000">
            <w:pPr>
              <w:spacing w:line="240" w:lineRule="auto"/>
              <w:ind w:right="112"/>
              <w:jc w:val="right"/>
              <w:rPr>
                <w:sz w:val="21"/>
              </w:rPr>
            </w:pPr>
            <w:r>
              <w:rPr>
                <w:sz w:val="21"/>
              </w:rPr>
              <w:t>41.1%</w:t>
            </w:r>
          </w:p>
        </w:tc>
        <w:tc>
          <w:tcPr>
            <w:tcW w:w="1180" w:type="dxa"/>
            <w:tcBorders>
              <w:top w:val="nil"/>
              <w:bottom w:val="nil"/>
            </w:tcBorders>
          </w:tcPr>
          <w:p w:rsidR="00000000" w:rsidRDefault="00000000">
            <w:pPr>
              <w:spacing w:line="240" w:lineRule="auto"/>
              <w:ind w:right="112"/>
              <w:jc w:val="right"/>
              <w:rPr>
                <w:sz w:val="21"/>
              </w:rPr>
            </w:pPr>
            <w:r>
              <w:rPr>
                <w:sz w:val="21"/>
              </w:rPr>
              <w:t>44.5%</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失业率</w:t>
            </w:r>
          </w:p>
        </w:tc>
        <w:tc>
          <w:tcPr>
            <w:tcW w:w="1180" w:type="dxa"/>
            <w:tcBorders>
              <w:top w:val="nil"/>
              <w:bottom w:val="nil"/>
            </w:tcBorders>
          </w:tcPr>
          <w:p w:rsidR="00000000" w:rsidRDefault="00000000">
            <w:pPr>
              <w:spacing w:line="240" w:lineRule="auto"/>
              <w:ind w:right="112"/>
              <w:jc w:val="right"/>
              <w:rPr>
                <w:sz w:val="21"/>
              </w:rPr>
            </w:pPr>
            <w:r>
              <w:rPr>
                <w:sz w:val="21"/>
              </w:rPr>
              <w:t>16.6%</w:t>
            </w:r>
          </w:p>
        </w:tc>
        <w:tc>
          <w:tcPr>
            <w:tcW w:w="1180" w:type="dxa"/>
            <w:tcBorders>
              <w:top w:val="nil"/>
              <w:bottom w:val="nil"/>
            </w:tcBorders>
          </w:tcPr>
          <w:p w:rsidR="00000000" w:rsidRDefault="00000000">
            <w:pPr>
              <w:spacing w:line="240" w:lineRule="auto"/>
              <w:ind w:right="112"/>
              <w:jc w:val="right"/>
              <w:rPr>
                <w:sz w:val="21"/>
              </w:rPr>
            </w:pPr>
            <w:r>
              <w:rPr>
                <w:sz w:val="21"/>
              </w:rPr>
              <w:t>14.0%</w:t>
            </w:r>
          </w:p>
        </w:tc>
        <w:tc>
          <w:tcPr>
            <w:tcW w:w="1180" w:type="dxa"/>
            <w:tcBorders>
              <w:top w:val="nil"/>
              <w:bottom w:val="nil"/>
            </w:tcBorders>
          </w:tcPr>
          <w:p w:rsidR="00000000" w:rsidRDefault="00000000">
            <w:pPr>
              <w:spacing w:line="240" w:lineRule="auto"/>
              <w:ind w:right="112"/>
              <w:jc w:val="right"/>
              <w:rPr>
                <w:sz w:val="21"/>
              </w:rPr>
            </w:pPr>
            <w:r>
              <w:rPr>
                <w:sz w:val="21"/>
              </w:rPr>
              <w:t>14.0%</w:t>
            </w:r>
          </w:p>
        </w:tc>
        <w:tc>
          <w:tcPr>
            <w:tcW w:w="1180" w:type="dxa"/>
            <w:tcBorders>
              <w:top w:val="nil"/>
              <w:bottom w:val="nil"/>
            </w:tcBorders>
          </w:tcPr>
          <w:p w:rsidR="00000000" w:rsidRDefault="00000000">
            <w:pPr>
              <w:spacing w:line="240" w:lineRule="auto"/>
              <w:ind w:right="112"/>
              <w:jc w:val="right"/>
              <w:rPr>
                <w:sz w:val="21"/>
              </w:rPr>
            </w:pPr>
            <w:r>
              <w:rPr>
                <w:sz w:val="21"/>
              </w:rPr>
              <w:t>12.0%</w:t>
            </w:r>
          </w:p>
        </w:tc>
        <w:tc>
          <w:tcPr>
            <w:tcW w:w="1180" w:type="dxa"/>
            <w:tcBorders>
              <w:top w:val="nil"/>
              <w:bottom w:val="nil"/>
            </w:tcBorders>
          </w:tcPr>
          <w:p w:rsidR="00000000" w:rsidRDefault="00000000">
            <w:pPr>
              <w:spacing w:line="240" w:lineRule="auto"/>
              <w:ind w:right="112"/>
              <w:jc w:val="right"/>
              <w:rPr>
                <w:sz w:val="21"/>
              </w:rPr>
            </w:pPr>
            <w:r>
              <w:rPr>
                <w:sz w:val="21"/>
              </w:rPr>
              <w:t>19.5%</w:t>
            </w:r>
          </w:p>
        </w:tc>
        <w:tc>
          <w:tcPr>
            <w:tcW w:w="1180" w:type="dxa"/>
            <w:tcBorders>
              <w:top w:val="nil"/>
              <w:bottom w:val="nil"/>
            </w:tcBorders>
          </w:tcPr>
          <w:p w:rsidR="00000000" w:rsidRDefault="00000000">
            <w:pPr>
              <w:spacing w:line="240" w:lineRule="auto"/>
              <w:ind w:right="113"/>
              <w:jc w:val="right"/>
              <w:rPr>
                <w:sz w:val="21"/>
              </w:rPr>
            </w:pPr>
            <w:r>
              <w:rPr>
                <w:sz w:val="21"/>
              </w:rPr>
              <w:t>16.2%</w:t>
            </w:r>
          </w:p>
        </w:tc>
      </w:tr>
      <w:tr w:rsidR="00000000">
        <w:tblPrEx>
          <w:tblCellMar>
            <w:top w:w="0" w:type="dxa"/>
            <w:bottom w:w="0" w:type="dxa"/>
          </w:tblCellMar>
        </w:tblPrEx>
        <w:tc>
          <w:tcPr>
            <w:tcW w:w="2280" w:type="dxa"/>
            <w:tcBorders>
              <w:top w:val="nil"/>
              <w:bottom w:val="single" w:sz="4" w:space="0" w:color="auto"/>
            </w:tcBorders>
          </w:tcPr>
          <w:p w:rsidR="00000000" w:rsidRDefault="00000000">
            <w:pPr>
              <w:spacing w:line="240" w:lineRule="auto"/>
              <w:rPr>
                <w:rFonts w:hint="eastAsia"/>
                <w:sz w:val="21"/>
              </w:rPr>
            </w:pPr>
            <w:r>
              <w:rPr>
                <w:rFonts w:hint="eastAsia"/>
                <w:sz w:val="21"/>
              </w:rPr>
              <w:t>参与率</w:t>
            </w:r>
          </w:p>
        </w:tc>
        <w:tc>
          <w:tcPr>
            <w:tcW w:w="1180" w:type="dxa"/>
            <w:tcBorders>
              <w:top w:val="nil"/>
              <w:bottom w:val="single" w:sz="4" w:space="0" w:color="auto"/>
            </w:tcBorders>
          </w:tcPr>
          <w:p w:rsidR="00000000" w:rsidRDefault="00000000">
            <w:pPr>
              <w:spacing w:line="240" w:lineRule="auto"/>
              <w:ind w:right="112"/>
              <w:jc w:val="right"/>
              <w:rPr>
                <w:sz w:val="21"/>
              </w:rPr>
            </w:pPr>
            <w:r>
              <w:rPr>
                <w:sz w:val="21"/>
              </w:rPr>
              <w:t>58.7%</w:t>
            </w:r>
          </w:p>
        </w:tc>
        <w:tc>
          <w:tcPr>
            <w:tcW w:w="1180" w:type="dxa"/>
            <w:tcBorders>
              <w:top w:val="nil"/>
              <w:bottom w:val="single" w:sz="4" w:space="0" w:color="auto"/>
            </w:tcBorders>
          </w:tcPr>
          <w:p w:rsidR="00000000" w:rsidRDefault="00000000">
            <w:pPr>
              <w:spacing w:line="240" w:lineRule="auto"/>
              <w:ind w:right="112"/>
              <w:jc w:val="right"/>
              <w:rPr>
                <w:sz w:val="21"/>
              </w:rPr>
            </w:pPr>
            <w:r>
              <w:rPr>
                <w:sz w:val="21"/>
              </w:rPr>
              <w:t>59.3%</w:t>
            </w:r>
          </w:p>
        </w:tc>
        <w:tc>
          <w:tcPr>
            <w:tcW w:w="1180" w:type="dxa"/>
            <w:tcBorders>
              <w:top w:val="nil"/>
              <w:bottom w:val="single" w:sz="4" w:space="0" w:color="auto"/>
            </w:tcBorders>
          </w:tcPr>
          <w:p w:rsidR="00000000" w:rsidRDefault="00000000">
            <w:pPr>
              <w:spacing w:line="240" w:lineRule="auto"/>
              <w:ind w:right="112"/>
              <w:jc w:val="right"/>
              <w:rPr>
                <w:sz w:val="21"/>
              </w:rPr>
            </w:pPr>
            <w:r>
              <w:rPr>
                <w:sz w:val="21"/>
              </w:rPr>
              <w:t>67.9%</w:t>
            </w:r>
          </w:p>
        </w:tc>
        <w:tc>
          <w:tcPr>
            <w:tcW w:w="1180" w:type="dxa"/>
            <w:tcBorders>
              <w:top w:val="nil"/>
              <w:bottom w:val="single" w:sz="4" w:space="0" w:color="auto"/>
            </w:tcBorders>
          </w:tcPr>
          <w:p w:rsidR="00000000" w:rsidRDefault="00000000">
            <w:pPr>
              <w:spacing w:line="240" w:lineRule="auto"/>
              <w:ind w:right="112"/>
              <w:jc w:val="right"/>
              <w:rPr>
                <w:sz w:val="21"/>
              </w:rPr>
            </w:pPr>
            <w:r>
              <w:rPr>
                <w:sz w:val="21"/>
              </w:rPr>
              <w:t>66.7%</w:t>
            </w:r>
          </w:p>
        </w:tc>
        <w:tc>
          <w:tcPr>
            <w:tcW w:w="1180" w:type="dxa"/>
            <w:tcBorders>
              <w:top w:val="nil"/>
              <w:bottom w:val="single" w:sz="4" w:space="0" w:color="auto"/>
            </w:tcBorders>
          </w:tcPr>
          <w:p w:rsidR="00000000" w:rsidRDefault="00000000">
            <w:pPr>
              <w:spacing w:line="240" w:lineRule="auto"/>
              <w:ind w:right="112"/>
              <w:jc w:val="right"/>
              <w:rPr>
                <w:sz w:val="21"/>
              </w:rPr>
            </w:pPr>
            <w:r>
              <w:rPr>
                <w:sz w:val="21"/>
              </w:rPr>
              <w:t>51.0%</w:t>
            </w:r>
          </w:p>
        </w:tc>
        <w:tc>
          <w:tcPr>
            <w:tcW w:w="1180" w:type="dxa"/>
            <w:tcBorders>
              <w:top w:val="nil"/>
              <w:bottom w:val="single" w:sz="4" w:space="0" w:color="auto"/>
            </w:tcBorders>
          </w:tcPr>
          <w:p w:rsidR="00000000" w:rsidRDefault="00000000">
            <w:pPr>
              <w:spacing w:line="240" w:lineRule="auto"/>
              <w:ind w:right="112"/>
              <w:jc w:val="right"/>
              <w:rPr>
                <w:sz w:val="21"/>
              </w:rPr>
            </w:pPr>
            <w:r>
              <w:rPr>
                <w:sz w:val="21"/>
              </w:rPr>
              <w:t>53.1%</w:t>
            </w:r>
          </w:p>
        </w:tc>
      </w:tr>
      <w:tr w:rsidR="00000000">
        <w:tblPrEx>
          <w:tblCellMar>
            <w:top w:w="0" w:type="dxa"/>
            <w:bottom w:w="0" w:type="dxa"/>
          </w:tblCellMar>
        </w:tblPrEx>
        <w:tc>
          <w:tcPr>
            <w:tcW w:w="2280" w:type="dxa"/>
            <w:tcBorders>
              <w:top w:val="single" w:sz="4" w:space="0" w:color="auto"/>
              <w:bottom w:val="single" w:sz="4" w:space="0" w:color="auto"/>
            </w:tcBorders>
          </w:tcPr>
          <w:p w:rsidR="00000000" w:rsidRDefault="00000000">
            <w:pPr>
              <w:spacing w:before="40" w:after="20" w:line="240" w:lineRule="auto"/>
              <w:jc w:val="center"/>
              <w:rPr>
                <w:rFonts w:hint="eastAsia"/>
                <w:sz w:val="21"/>
              </w:rPr>
            </w:pPr>
            <w:r>
              <w:rPr>
                <w:sz w:val="21"/>
              </w:rPr>
              <w:t>Sint Maarten</w:t>
            </w:r>
            <w:r>
              <w:rPr>
                <w:rFonts w:hint="eastAsia"/>
                <w:sz w:val="21"/>
              </w:rPr>
              <w:t>岛屿</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1997</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2000</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1997</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2000</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1997</w:t>
            </w:r>
          </w:p>
        </w:tc>
        <w:tc>
          <w:tcPr>
            <w:tcW w:w="1180" w:type="dxa"/>
            <w:tcBorders>
              <w:top w:val="single" w:sz="4" w:space="0" w:color="auto"/>
              <w:bottom w:val="single" w:sz="4" w:space="0" w:color="auto"/>
            </w:tcBorders>
          </w:tcPr>
          <w:p w:rsidR="00000000" w:rsidRDefault="00000000">
            <w:pPr>
              <w:spacing w:before="40" w:after="20" w:line="240" w:lineRule="auto"/>
              <w:jc w:val="center"/>
              <w:rPr>
                <w:sz w:val="21"/>
              </w:rPr>
            </w:pPr>
            <w:r>
              <w:rPr>
                <w:sz w:val="21"/>
              </w:rPr>
              <w:t>2000</w:t>
            </w:r>
          </w:p>
        </w:tc>
      </w:tr>
      <w:tr w:rsidR="00000000">
        <w:tblPrEx>
          <w:tblCellMar>
            <w:top w:w="0" w:type="dxa"/>
            <w:bottom w:w="0" w:type="dxa"/>
          </w:tblCellMar>
        </w:tblPrEx>
        <w:tc>
          <w:tcPr>
            <w:tcW w:w="2280" w:type="dxa"/>
            <w:tcBorders>
              <w:top w:val="single" w:sz="4" w:space="0" w:color="auto"/>
              <w:bottom w:val="nil"/>
            </w:tcBorders>
          </w:tcPr>
          <w:p w:rsidR="00000000" w:rsidRDefault="00000000">
            <w:pPr>
              <w:pStyle w:val="Header"/>
              <w:spacing w:before="40" w:line="240" w:lineRule="auto"/>
              <w:rPr>
                <w:rFonts w:ascii="Times New Roman" w:hAnsi="Times New Roman" w:hint="eastAsia"/>
                <w:sz w:val="21"/>
              </w:rPr>
            </w:pPr>
            <w:r>
              <w:rPr>
                <w:rFonts w:ascii="Times New Roman" w:hAnsi="Times New Roman" w:hint="eastAsia"/>
                <w:sz w:val="21"/>
              </w:rPr>
              <w:t>就业</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18 896</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22 626</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10 828</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12 810</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8 068</w:t>
            </w:r>
          </w:p>
        </w:tc>
        <w:tc>
          <w:tcPr>
            <w:tcW w:w="1180" w:type="dxa"/>
            <w:tcBorders>
              <w:top w:val="single" w:sz="4" w:space="0" w:color="auto"/>
              <w:bottom w:val="nil"/>
            </w:tcBorders>
          </w:tcPr>
          <w:p w:rsidR="00000000" w:rsidRDefault="00000000">
            <w:pPr>
              <w:spacing w:before="40" w:line="240" w:lineRule="auto"/>
              <w:ind w:right="113"/>
              <w:jc w:val="right"/>
              <w:rPr>
                <w:sz w:val="21"/>
              </w:rPr>
            </w:pPr>
            <w:r>
              <w:rPr>
                <w:sz w:val="21"/>
              </w:rPr>
              <w:t>9 816</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失业</w:t>
            </w:r>
          </w:p>
        </w:tc>
        <w:tc>
          <w:tcPr>
            <w:tcW w:w="1180" w:type="dxa"/>
            <w:tcBorders>
              <w:top w:val="nil"/>
              <w:bottom w:val="nil"/>
            </w:tcBorders>
          </w:tcPr>
          <w:p w:rsidR="00000000" w:rsidRDefault="00000000">
            <w:pPr>
              <w:spacing w:line="240" w:lineRule="auto"/>
              <w:ind w:right="112"/>
              <w:jc w:val="right"/>
              <w:rPr>
                <w:sz w:val="21"/>
              </w:rPr>
            </w:pPr>
            <w:r>
              <w:rPr>
                <w:sz w:val="21"/>
              </w:rPr>
              <w:t>3 931</w:t>
            </w:r>
          </w:p>
        </w:tc>
        <w:tc>
          <w:tcPr>
            <w:tcW w:w="1180" w:type="dxa"/>
            <w:tcBorders>
              <w:top w:val="nil"/>
              <w:bottom w:val="nil"/>
            </w:tcBorders>
          </w:tcPr>
          <w:p w:rsidR="00000000" w:rsidRDefault="00000000">
            <w:pPr>
              <w:spacing w:line="240" w:lineRule="auto"/>
              <w:ind w:right="112"/>
              <w:jc w:val="right"/>
              <w:rPr>
                <w:sz w:val="21"/>
              </w:rPr>
            </w:pPr>
            <w:r>
              <w:rPr>
                <w:sz w:val="21"/>
              </w:rPr>
              <w:t>3 337</w:t>
            </w:r>
          </w:p>
        </w:tc>
        <w:tc>
          <w:tcPr>
            <w:tcW w:w="1180" w:type="dxa"/>
            <w:tcBorders>
              <w:top w:val="nil"/>
              <w:bottom w:val="nil"/>
            </w:tcBorders>
          </w:tcPr>
          <w:p w:rsidR="00000000" w:rsidRDefault="00000000">
            <w:pPr>
              <w:spacing w:line="240" w:lineRule="auto"/>
              <w:ind w:right="112"/>
              <w:jc w:val="right"/>
              <w:rPr>
                <w:sz w:val="21"/>
              </w:rPr>
            </w:pPr>
            <w:r>
              <w:rPr>
                <w:sz w:val="21"/>
              </w:rPr>
              <w:t>1 616</w:t>
            </w:r>
          </w:p>
        </w:tc>
        <w:tc>
          <w:tcPr>
            <w:tcW w:w="1180" w:type="dxa"/>
            <w:tcBorders>
              <w:top w:val="nil"/>
              <w:bottom w:val="nil"/>
            </w:tcBorders>
          </w:tcPr>
          <w:p w:rsidR="00000000" w:rsidRDefault="00000000">
            <w:pPr>
              <w:spacing w:line="240" w:lineRule="auto"/>
              <w:ind w:right="112"/>
              <w:jc w:val="right"/>
              <w:rPr>
                <w:sz w:val="21"/>
              </w:rPr>
            </w:pPr>
            <w:r>
              <w:rPr>
                <w:sz w:val="21"/>
              </w:rPr>
              <w:t>1 384</w:t>
            </w:r>
          </w:p>
        </w:tc>
        <w:tc>
          <w:tcPr>
            <w:tcW w:w="1180" w:type="dxa"/>
            <w:tcBorders>
              <w:top w:val="nil"/>
              <w:bottom w:val="nil"/>
            </w:tcBorders>
          </w:tcPr>
          <w:p w:rsidR="00000000" w:rsidRDefault="00000000">
            <w:pPr>
              <w:spacing w:line="240" w:lineRule="auto"/>
              <w:ind w:right="112"/>
              <w:jc w:val="right"/>
              <w:rPr>
                <w:sz w:val="21"/>
              </w:rPr>
            </w:pPr>
            <w:r>
              <w:rPr>
                <w:sz w:val="21"/>
              </w:rPr>
              <w:t>2 315</w:t>
            </w:r>
          </w:p>
        </w:tc>
        <w:tc>
          <w:tcPr>
            <w:tcW w:w="1180" w:type="dxa"/>
            <w:tcBorders>
              <w:top w:val="nil"/>
              <w:bottom w:val="nil"/>
            </w:tcBorders>
          </w:tcPr>
          <w:p w:rsidR="00000000" w:rsidRDefault="00000000">
            <w:pPr>
              <w:spacing w:line="240" w:lineRule="auto"/>
              <w:ind w:right="112"/>
              <w:jc w:val="right"/>
              <w:rPr>
                <w:sz w:val="21"/>
              </w:rPr>
            </w:pPr>
            <w:r>
              <w:rPr>
                <w:sz w:val="21"/>
              </w:rPr>
              <w:t>1 953</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劳动力</w:t>
            </w:r>
          </w:p>
        </w:tc>
        <w:tc>
          <w:tcPr>
            <w:tcW w:w="1180" w:type="dxa"/>
            <w:tcBorders>
              <w:top w:val="nil"/>
              <w:bottom w:val="nil"/>
            </w:tcBorders>
          </w:tcPr>
          <w:p w:rsidR="00000000" w:rsidRDefault="00000000">
            <w:pPr>
              <w:spacing w:line="240" w:lineRule="auto"/>
              <w:ind w:right="112"/>
              <w:jc w:val="right"/>
              <w:rPr>
                <w:sz w:val="21"/>
              </w:rPr>
            </w:pPr>
            <w:r>
              <w:rPr>
                <w:sz w:val="21"/>
              </w:rPr>
              <w:t>22 827</w:t>
            </w:r>
          </w:p>
        </w:tc>
        <w:tc>
          <w:tcPr>
            <w:tcW w:w="1180" w:type="dxa"/>
            <w:tcBorders>
              <w:top w:val="nil"/>
              <w:bottom w:val="nil"/>
            </w:tcBorders>
          </w:tcPr>
          <w:p w:rsidR="00000000" w:rsidRDefault="00000000">
            <w:pPr>
              <w:spacing w:line="240" w:lineRule="auto"/>
              <w:ind w:right="112"/>
              <w:jc w:val="right"/>
              <w:rPr>
                <w:sz w:val="21"/>
              </w:rPr>
            </w:pPr>
            <w:r>
              <w:rPr>
                <w:sz w:val="21"/>
              </w:rPr>
              <w:t>25 963</w:t>
            </w:r>
          </w:p>
        </w:tc>
        <w:tc>
          <w:tcPr>
            <w:tcW w:w="1180" w:type="dxa"/>
            <w:tcBorders>
              <w:top w:val="nil"/>
              <w:bottom w:val="nil"/>
            </w:tcBorders>
          </w:tcPr>
          <w:p w:rsidR="00000000" w:rsidRDefault="00000000">
            <w:pPr>
              <w:spacing w:line="240" w:lineRule="auto"/>
              <w:ind w:right="112"/>
              <w:jc w:val="right"/>
              <w:rPr>
                <w:sz w:val="21"/>
              </w:rPr>
            </w:pPr>
            <w:r>
              <w:rPr>
                <w:sz w:val="21"/>
              </w:rPr>
              <w:t>12 444</w:t>
            </w:r>
          </w:p>
        </w:tc>
        <w:tc>
          <w:tcPr>
            <w:tcW w:w="1180" w:type="dxa"/>
            <w:tcBorders>
              <w:top w:val="nil"/>
              <w:bottom w:val="nil"/>
            </w:tcBorders>
          </w:tcPr>
          <w:p w:rsidR="00000000" w:rsidRDefault="00000000">
            <w:pPr>
              <w:spacing w:line="240" w:lineRule="auto"/>
              <w:ind w:right="112"/>
              <w:jc w:val="right"/>
              <w:rPr>
                <w:sz w:val="21"/>
              </w:rPr>
            </w:pPr>
            <w:r>
              <w:rPr>
                <w:sz w:val="21"/>
              </w:rPr>
              <w:t>14 194</w:t>
            </w:r>
          </w:p>
        </w:tc>
        <w:tc>
          <w:tcPr>
            <w:tcW w:w="1180" w:type="dxa"/>
            <w:tcBorders>
              <w:top w:val="nil"/>
              <w:bottom w:val="nil"/>
            </w:tcBorders>
          </w:tcPr>
          <w:p w:rsidR="00000000" w:rsidRDefault="00000000">
            <w:pPr>
              <w:spacing w:line="240" w:lineRule="auto"/>
              <w:ind w:right="112"/>
              <w:jc w:val="right"/>
              <w:rPr>
                <w:sz w:val="21"/>
              </w:rPr>
            </w:pPr>
            <w:r>
              <w:rPr>
                <w:sz w:val="21"/>
              </w:rPr>
              <w:t>10 383</w:t>
            </w:r>
          </w:p>
        </w:tc>
        <w:tc>
          <w:tcPr>
            <w:tcW w:w="1180" w:type="dxa"/>
            <w:tcBorders>
              <w:top w:val="nil"/>
              <w:bottom w:val="nil"/>
            </w:tcBorders>
          </w:tcPr>
          <w:p w:rsidR="00000000" w:rsidRDefault="00000000">
            <w:pPr>
              <w:spacing w:line="240" w:lineRule="auto"/>
              <w:ind w:right="112"/>
              <w:jc w:val="right"/>
              <w:rPr>
                <w:sz w:val="21"/>
              </w:rPr>
            </w:pPr>
            <w:r>
              <w:rPr>
                <w:sz w:val="21"/>
              </w:rPr>
              <w:t>11 769</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sz w:val="21"/>
              </w:rPr>
              <w:t>14</w:t>
            </w:r>
            <w:r>
              <w:rPr>
                <w:rFonts w:hint="eastAsia"/>
                <w:sz w:val="21"/>
              </w:rPr>
              <w:t>岁以上人口</w:t>
            </w:r>
          </w:p>
        </w:tc>
        <w:tc>
          <w:tcPr>
            <w:tcW w:w="1180" w:type="dxa"/>
            <w:tcBorders>
              <w:top w:val="nil"/>
              <w:bottom w:val="nil"/>
            </w:tcBorders>
          </w:tcPr>
          <w:p w:rsidR="00000000" w:rsidRDefault="00000000">
            <w:pPr>
              <w:spacing w:line="240" w:lineRule="auto"/>
              <w:ind w:right="112"/>
              <w:jc w:val="right"/>
              <w:rPr>
                <w:sz w:val="21"/>
              </w:rPr>
            </w:pPr>
            <w:r>
              <w:rPr>
                <w:sz w:val="21"/>
              </w:rPr>
              <w:t>27 970</w:t>
            </w:r>
          </w:p>
        </w:tc>
        <w:tc>
          <w:tcPr>
            <w:tcW w:w="1180" w:type="dxa"/>
            <w:tcBorders>
              <w:top w:val="nil"/>
              <w:bottom w:val="nil"/>
            </w:tcBorders>
          </w:tcPr>
          <w:p w:rsidR="00000000" w:rsidRDefault="00000000">
            <w:pPr>
              <w:spacing w:line="240" w:lineRule="auto"/>
              <w:ind w:right="112"/>
              <w:jc w:val="right"/>
              <w:rPr>
                <w:sz w:val="21"/>
              </w:rPr>
            </w:pPr>
            <w:r>
              <w:rPr>
                <w:sz w:val="21"/>
              </w:rPr>
              <w:t>32 903</w:t>
            </w:r>
          </w:p>
        </w:tc>
        <w:tc>
          <w:tcPr>
            <w:tcW w:w="1180" w:type="dxa"/>
            <w:tcBorders>
              <w:top w:val="nil"/>
              <w:bottom w:val="nil"/>
            </w:tcBorders>
          </w:tcPr>
          <w:p w:rsidR="00000000" w:rsidRDefault="00000000">
            <w:pPr>
              <w:spacing w:line="240" w:lineRule="auto"/>
              <w:ind w:right="112"/>
              <w:jc w:val="right"/>
              <w:rPr>
                <w:sz w:val="21"/>
              </w:rPr>
            </w:pPr>
            <w:r>
              <w:rPr>
                <w:sz w:val="21"/>
              </w:rPr>
              <w:t>14 029</w:t>
            </w:r>
          </w:p>
        </w:tc>
        <w:tc>
          <w:tcPr>
            <w:tcW w:w="1180" w:type="dxa"/>
            <w:tcBorders>
              <w:top w:val="nil"/>
              <w:bottom w:val="nil"/>
            </w:tcBorders>
          </w:tcPr>
          <w:p w:rsidR="00000000" w:rsidRDefault="00000000">
            <w:pPr>
              <w:spacing w:line="240" w:lineRule="auto"/>
              <w:ind w:right="112"/>
              <w:jc w:val="right"/>
              <w:rPr>
                <w:sz w:val="21"/>
              </w:rPr>
            </w:pPr>
            <w:r>
              <w:rPr>
                <w:sz w:val="21"/>
              </w:rPr>
              <w:t>16 440</w:t>
            </w:r>
          </w:p>
        </w:tc>
        <w:tc>
          <w:tcPr>
            <w:tcW w:w="1180" w:type="dxa"/>
            <w:tcBorders>
              <w:top w:val="nil"/>
              <w:bottom w:val="nil"/>
            </w:tcBorders>
          </w:tcPr>
          <w:p w:rsidR="00000000" w:rsidRDefault="00000000">
            <w:pPr>
              <w:spacing w:line="240" w:lineRule="auto"/>
              <w:ind w:right="112"/>
              <w:jc w:val="right"/>
              <w:rPr>
                <w:sz w:val="21"/>
              </w:rPr>
            </w:pPr>
            <w:r>
              <w:rPr>
                <w:sz w:val="21"/>
              </w:rPr>
              <w:t>13 917</w:t>
            </w:r>
          </w:p>
        </w:tc>
        <w:tc>
          <w:tcPr>
            <w:tcW w:w="1180" w:type="dxa"/>
            <w:tcBorders>
              <w:top w:val="nil"/>
              <w:bottom w:val="nil"/>
            </w:tcBorders>
          </w:tcPr>
          <w:p w:rsidR="00000000" w:rsidRDefault="00000000">
            <w:pPr>
              <w:spacing w:line="240" w:lineRule="auto"/>
              <w:ind w:right="112"/>
              <w:jc w:val="right"/>
              <w:rPr>
                <w:sz w:val="21"/>
              </w:rPr>
            </w:pPr>
            <w:r>
              <w:rPr>
                <w:sz w:val="21"/>
              </w:rPr>
              <w:t>16 525</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就业率</w:t>
            </w:r>
          </w:p>
        </w:tc>
        <w:tc>
          <w:tcPr>
            <w:tcW w:w="1180" w:type="dxa"/>
            <w:tcBorders>
              <w:top w:val="nil"/>
              <w:bottom w:val="nil"/>
            </w:tcBorders>
          </w:tcPr>
          <w:p w:rsidR="00000000" w:rsidRDefault="00000000">
            <w:pPr>
              <w:spacing w:line="240" w:lineRule="auto"/>
              <w:ind w:right="112"/>
              <w:jc w:val="right"/>
              <w:rPr>
                <w:sz w:val="21"/>
              </w:rPr>
            </w:pPr>
            <w:r>
              <w:rPr>
                <w:sz w:val="21"/>
              </w:rPr>
              <w:t>67.6%</w:t>
            </w:r>
          </w:p>
        </w:tc>
        <w:tc>
          <w:tcPr>
            <w:tcW w:w="1180" w:type="dxa"/>
            <w:tcBorders>
              <w:top w:val="nil"/>
              <w:bottom w:val="nil"/>
            </w:tcBorders>
          </w:tcPr>
          <w:p w:rsidR="00000000" w:rsidRDefault="00000000">
            <w:pPr>
              <w:spacing w:line="240" w:lineRule="auto"/>
              <w:ind w:right="112"/>
              <w:jc w:val="right"/>
              <w:rPr>
                <w:sz w:val="21"/>
              </w:rPr>
            </w:pPr>
            <w:r>
              <w:rPr>
                <w:sz w:val="21"/>
              </w:rPr>
              <w:t>68.8%</w:t>
            </w:r>
          </w:p>
        </w:tc>
        <w:tc>
          <w:tcPr>
            <w:tcW w:w="1180" w:type="dxa"/>
            <w:tcBorders>
              <w:top w:val="nil"/>
              <w:bottom w:val="nil"/>
            </w:tcBorders>
          </w:tcPr>
          <w:p w:rsidR="00000000" w:rsidRDefault="00000000">
            <w:pPr>
              <w:spacing w:line="240" w:lineRule="auto"/>
              <w:ind w:right="112"/>
              <w:jc w:val="right"/>
              <w:rPr>
                <w:sz w:val="21"/>
              </w:rPr>
            </w:pPr>
            <w:r>
              <w:rPr>
                <w:sz w:val="21"/>
              </w:rPr>
              <w:t>77.2%</w:t>
            </w:r>
          </w:p>
        </w:tc>
        <w:tc>
          <w:tcPr>
            <w:tcW w:w="1180" w:type="dxa"/>
            <w:tcBorders>
              <w:top w:val="nil"/>
              <w:bottom w:val="nil"/>
            </w:tcBorders>
          </w:tcPr>
          <w:p w:rsidR="00000000" w:rsidRDefault="00000000">
            <w:pPr>
              <w:spacing w:line="240" w:lineRule="auto"/>
              <w:ind w:right="112"/>
              <w:jc w:val="right"/>
              <w:rPr>
                <w:sz w:val="21"/>
              </w:rPr>
            </w:pPr>
            <w:r>
              <w:rPr>
                <w:sz w:val="21"/>
              </w:rPr>
              <w:t>77.9%</w:t>
            </w:r>
          </w:p>
        </w:tc>
        <w:tc>
          <w:tcPr>
            <w:tcW w:w="1180" w:type="dxa"/>
            <w:tcBorders>
              <w:top w:val="nil"/>
              <w:bottom w:val="nil"/>
            </w:tcBorders>
          </w:tcPr>
          <w:p w:rsidR="00000000" w:rsidRDefault="00000000">
            <w:pPr>
              <w:spacing w:line="240" w:lineRule="auto"/>
              <w:ind w:right="112"/>
              <w:jc w:val="right"/>
              <w:rPr>
                <w:sz w:val="21"/>
              </w:rPr>
            </w:pPr>
            <w:r>
              <w:rPr>
                <w:sz w:val="21"/>
              </w:rPr>
              <w:t>58.0%</w:t>
            </w:r>
          </w:p>
        </w:tc>
        <w:tc>
          <w:tcPr>
            <w:tcW w:w="1180" w:type="dxa"/>
            <w:tcBorders>
              <w:top w:val="nil"/>
              <w:bottom w:val="nil"/>
            </w:tcBorders>
          </w:tcPr>
          <w:p w:rsidR="00000000" w:rsidRDefault="00000000">
            <w:pPr>
              <w:spacing w:line="240" w:lineRule="auto"/>
              <w:ind w:right="112"/>
              <w:jc w:val="right"/>
              <w:rPr>
                <w:sz w:val="21"/>
              </w:rPr>
            </w:pPr>
            <w:r>
              <w:rPr>
                <w:sz w:val="21"/>
              </w:rPr>
              <w:t>59.4%</w:t>
            </w:r>
          </w:p>
        </w:tc>
      </w:tr>
      <w:tr w:rsidR="00000000">
        <w:tblPrEx>
          <w:tblCellMar>
            <w:top w:w="0" w:type="dxa"/>
            <w:bottom w:w="0" w:type="dxa"/>
          </w:tblCellMar>
        </w:tblPrEx>
        <w:tc>
          <w:tcPr>
            <w:tcW w:w="2280" w:type="dxa"/>
            <w:tcBorders>
              <w:top w:val="nil"/>
              <w:bottom w:val="nil"/>
            </w:tcBorders>
          </w:tcPr>
          <w:p w:rsidR="00000000" w:rsidRDefault="00000000">
            <w:pPr>
              <w:spacing w:line="240" w:lineRule="auto"/>
              <w:rPr>
                <w:rFonts w:hint="eastAsia"/>
                <w:sz w:val="21"/>
              </w:rPr>
            </w:pPr>
            <w:r>
              <w:rPr>
                <w:rFonts w:hint="eastAsia"/>
                <w:sz w:val="21"/>
              </w:rPr>
              <w:t>失业率</w:t>
            </w:r>
          </w:p>
        </w:tc>
        <w:tc>
          <w:tcPr>
            <w:tcW w:w="1180" w:type="dxa"/>
            <w:tcBorders>
              <w:top w:val="nil"/>
              <w:bottom w:val="nil"/>
            </w:tcBorders>
          </w:tcPr>
          <w:p w:rsidR="00000000" w:rsidRDefault="00000000">
            <w:pPr>
              <w:spacing w:line="240" w:lineRule="auto"/>
              <w:ind w:right="113"/>
              <w:jc w:val="right"/>
              <w:rPr>
                <w:sz w:val="21"/>
              </w:rPr>
            </w:pPr>
            <w:r>
              <w:rPr>
                <w:sz w:val="21"/>
              </w:rPr>
              <w:t>17.2%</w:t>
            </w:r>
          </w:p>
        </w:tc>
        <w:tc>
          <w:tcPr>
            <w:tcW w:w="1180" w:type="dxa"/>
            <w:tcBorders>
              <w:top w:val="nil"/>
              <w:bottom w:val="nil"/>
            </w:tcBorders>
          </w:tcPr>
          <w:p w:rsidR="00000000" w:rsidRDefault="00000000">
            <w:pPr>
              <w:spacing w:line="240" w:lineRule="auto"/>
              <w:ind w:right="112"/>
              <w:jc w:val="right"/>
              <w:rPr>
                <w:sz w:val="21"/>
              </w:rPr>
            </w:pPr>
            <w:r>
              <w:rPr>
                <w:sz w:val="21"/>
              </w:rPr>
              <w:t>12.9%</w:t>
            </w:r>
          </w:p>
        </w:tc>
        <w:tc>
          <w:tcPr>
            <w:tcW w:w="1180" w:type="dxa"/>
            <w:tcBorders>
              <w:top w:val="nil"/>
              <w:bottom w:val="nil"/>
            </w:tcBorders>
          </w:tcPr>
          <w:p w:rsidR="00000000" w:rsidRDefault="00000000">
            <w:pPr>
              <w:spacing w:line="240" w:lineRule="auto"/>
              <w:ind w:right="112"/>
              <w:jc w:val="right"/>
              <w:rPr>
                <w:sz w:val="21"/>
              </w:rPr>
            </w:pPr>
            <w:r>
              <w:rPr>
                <w:sz w:val="21"/>
              </w:rPr>
              <w:t>13.0%</w:t>
            </w:r>
          </w:p>
        </w:tc>
        <w:tc>
          <w:tcPr>
            <w:tcW w:w="1180" w:type="dxa"/>
            <w:tcBorders>
              <w:top w:val="nil"/>
              <w:bottom w:val="nil"/>
            </w:tcBorders>
          </w:tcPr>
          <w:p w:rsidR="00000000" w:rsidRDefault="00000000">
            <w:pPr>
              <w:spacing w:line="240" w:lineRule="auto"/>
              <w:ind w:right="112"/>
              <w:jc w:val="right"/>
              <w:rPr>
                <w:sz w:val="21"/>
              </w:rPr>
            </w:pPr>
            <w:r>
              <w:rPr>
                <w:sz w:val="21"/>
              </w:rPr>
              <w:t>9.8%</w:t>
            </w:r>
          </w:p>
        </w:tc>
        <w:tc>
          <w:tcPr>
            <w:tcW w:w="1180" w:type="dxa"/>
            <w:tcBorders>
              <w:top w:val="nil"/>
              <w:bottom w:val="nil"/>
            </w:tcBorders>
          </w:tcPr>
          <w:p w:rsidR="00000000" w:rsidRDefault="00000000">
            <w:pPr>
              <w:spacing w:line="240" w:lineRule="auto"/>
              <w:ind w:right="112"/>
              <w:jc w:val="right"/>
              <w:rPr>
                <w:sz w:val="21"/>
              </w:rPr>
            </w:pPr>
            <w:r>
              <w:rPr>
                <w:sz w:val="21"/>
              </w:rPr>
              <w:t>22.3%</w:t>
            </w:r>
          </w:p>
        </w:tc>
        <w:tc>
          <w:tcPr>
            <w:tcW w:w="1180" w:type="dxa"/>
            <w:tcBorders>
              <w:top w:val="nil"/>
              <w:bottom w:val="nil"/>
            </w:tcBorders>
          </w:tcPr>
          <w:p w:rsidR="00000000" w:rsidRDefault="00000000">
            <w:pPr>
              <w:spacing w:line="240" w:lineRule="auto"/>
              <w:ind w:right="112"/>
              <w:jc w:val="right"/>
              <w:rPr>
                <w:sz w:val="21"/>
              </w:rPr>
            </w:pPr>
            <w:r>
              <w:rPr>
                <w:sz w:val="21"/>
              </w:rPr>
              <w:t>16.6%</w:t>
            </w:r>
          </w:p>
        </w:tc>
      </w:tr>
      <w:tr w:rsidR="00000000">
        <w:tblPrEx>
          <w:tblCellMar>
            <w:top w:w="0" w:type="dxa"/>
            <w:bottom w:w="0" w:type="dxa"/>
          </w:tblCellMar>
        </w:tblPrEx>
        <w:tc>
          <w:tcPr>
            <w:tcW w:w="2280" w:type="dxa"/>
            <w:tcBorders>
              <w:top w:val="nil"/>
            </w:tcBorders>
          </w:tcPr>
          <w:p w:rsidR="00000000" w:rsidRDefault="00000000">
            <w:pPr>
              <w:spacing w:line="240" w:lineRule="auto"/>
              <w:rPr>
                <w:rFonts w:hint="eastAsia"/>
                <w:sz w:val="21"/>
              </w:rPr>
            </w:pPr>
            <w:r>
              <w:rPr>
                <w:rFonts w:hint="eastAsia"/>
                <w:sz w:val="21"/>
              </w:rPr>
              <w:t>参与率</w:t>
            </w:r>
          </w:p>
        </w:tc>
        <w:tc>
          <w:tcPr>
            <w:tcW w:w="1180" w:type="dxa"/>
            <w:tcBorders>
              <w:top w:val="nil"/>
            </w:tcBorders>
          </w:tcPr>
          <w:p w:rsidR="00000000" w:rsidRDefault="00000000">
            <w:pPr>
              <w:spacing w:line="240" w:lineRule="auto"/>
              <w:ind w:right="112"/>
              <w:jc w:val="right"/>
              <w:rPr>
                <w:sz w:val="21"/>
              </w:rPr>
            </w:pPr>
            <w:r>
              <w:rPr>
                <w:sz w:val="21"/>
              </w:rPr>
              <w:t>81.6%</w:t>
            </w:r>
          </w:p>
        </w:tc>
        <w:tc>
          <w:tcPr>
            <w:tcW w:w="1180" w:type="dxa"/>
            <w:tcBorders>
              <w:top w:val="nil"/>
            </w:tcBorders>
          </w:tcPr>
          <w:p w:rsidR="00000000" w:rsidRDefault="00000000">
            <w:pPr>
              <w:spacing w:line="240" w:lineRule="auto"/>
              <w:ind w:right="112"/>
              <w:jc w:val="right"/>
              <w:rPr>
                <w:sz w:val="21"/>
              </w:rPr>
            </w:pPr>
            <w:r>
              <w:rPr>
                <w:sz w:val="21"/>
              </w:rPr>
              <w:t>78.9%</w:t>
            </w:r>
          </w:p>
        </w:tc>
        <w:tc>
          <w:tcPr>
            <w:tcW w:w="1180" w:type="dxa"/>
            <w:tcBorders>
              <w:top w:val="nil"/>
            </w:tcBorders>
          </w:tcPr>
          <w:p w:rsidR="00000000" w:rsidRDefault="00000000">
            <w:pPr>
              <w:spacing w:line="240" w:lineRule="auto"/>
              <w:ind w:right="112"/>
              <w:jc w:val="right"/>
              <w:rPr>
                <w:sz w:val="21"/>
              </w:rPr>
            </w:pPr>
            <w:r>
              <w:rPr>
                <w:sz w:val="21"/>
              </w:rPr>
              <w:t>88.7%</w:t>
            </w:r>
          </w:p>
        </w:tc>
        <w:tc>
          <w:tcPr>
            <w:tcW w:w="1180" w:type="dxa"/>
            <w:tcBorders>
              <w:top w:val="nil"/>
            </w:tcBorders>
          </w:tcPr>
          <w:p w:rsidR="00000000" w:rsidRDefault="00000000">
            <w:pPr>
              <w:spacing w:line="240" w:lineRule="auto"/>
              <w:ind w:right="112"/>
              <w:jc w:val="right"/>
              <w:rPr>
                <w:sz w:val="21"/>
              </w:rPr>
            </w:pPr>
            <w:r>
              <w:rPr>
                <w:sz w:val="21"/>
              </w:rPr>
              <w:t>86.3%</w:t>
            </w:r>
          </w:p>
        </w:tc>
        <w:tc>
          <w:tcPr>
            <w:tcW w:w="1180" w:type="dxa"/>
            <w:tcBorders>
              <w:top w:val="nil"/>
            </w:tcBorders>
          </w:tcPr>
          <w:p w:rsidR="00000000" w:rsidRDefault="00000000">
            <w:pPr>
              <w:spacing w:line="240" w:lineRule="auto"/>
              <w:ind w:right="112"/>
              <w:jc w:val="right"/>
              <w:rPr>
                <w:sz w:val="21"/>
              </w:rPr>
            </w:pPr>
            <w:r>
              <w:rPr>
                <w:sz w:val="21"/>
              </w:rPr>
              <w:t>74.6%</w:t>
            </w:r>
          </w:p>
        </w:tc>
        <w:tc>
          <w:tcPr>
            <w:tcW w:w="1180" w:type="dxa"/>
            <w:tcBorders>
              <w:top w:val="nil"/>
            </w:tcBorders>
          </w:tcPr>
          <w:p w:rsidR="00000000" w:rsidRDefault="00000000">
            <w:pPr>
              <w:spacing w:line="240" w:lineRule="auto"/>
              <w:ind w:right="112"/>
              <w:jc w:val="right"/>
              <w:rPr>
                <w:sz w:val="21"/>
              </w:rPr>
            </w:pPr>
            <w:r>
              <w:rPr>
                <w:sz w:val="21"/>
              </w:rPr>
              <w:t>71.2%</w:t>
            </w:r>
          </w:p>
        </w:tc>
      </w:tr>
    </w:tbl>
    <w:p w:rsidR="00000000" w:rsidRDefault="00000000">
      <w:pPr>
        <w:spacing w:before="200"/>
        <w:rPr>
          <w:rFonts w:eastAsia="KaiTi_GB2312" w:hint="eastAsia"/>
          <w:snapToGrid/>
          <w:spacing w:val="0"/>
          <w:sz w:val="22"/>
          <w:szCs w:val="24"/>
        </w:rPr>
      </w:pPr>
      <w:r>
        <w:rPr>
          <w:rFonts w:eastAsia="KaiTi_GB2312"/>
          <w:snapToGrid/>
          <w:spacing w:val="0"/>
          <w:sz w:val="22"/>
          <w:szCs w:val="24"/>
        </w:rPr>
        <w:t xml:space="preserve">  </w:t>
      </w:r>
      <w:r>
        <w:rPr>
          <w:rFonts w:eastAsia="KaiTi_GB2312" w:hint="eastAsia"/>
          <w:snapToGrid/>
          <w:spacing w:val="0"/>
          <w:sz w:val="22"/>
          <w:szCs w:val="24"/>
          <w:u w:val="single"/>
        </w:rPr>
        <w:t>资料来源</w:t>
      </w:r>
      <w:r>
        <w:rPr>
          <w:rFonts w:eastAsia="KaiTi_GB2312" w:hint="eastAsia"/>
          <w:snapToGrid/>
          <w:spacing w:val="0"/>
          <w:sz w:val="22"/>
          <w:szCs w:val="24"/>
        </w:rPr>
        <w:t>：中央统计局，劳动力抽样调查</w:t>
      </w:r>
      <w:r>
        <w:rPr>
          <w:rFonts w:eastAsia="KaiTi_GB2312" w:hint="eastAsia"/>
          <w:snapToGrid/>
          <w:spacing w:val="0"/>
          <w:sz w:val="22"/>
          <w:szCs w:val="24"/>
        </w:rPr>
        <w:t>(1996</w:t>
      </w:r>
      <w:r>
        <w:rPr>
          <w:rFonts w:eastAsia="KaiTi_GB2312" w:hint="eastAsia"/>
          <w:snapToGrid/>
          <w:spacing w:val="0"/>
          <w:sz w:val="22"/>
          <w:szCs w:val="24"/>
        </w:rPr>
        <w:t>年、</w:t>
      </w:r>
      <w:r>
        <w:rPr>
          <w:rFonts w:eastAsia="KaiTi_GB2312" w:hint="eastAsia"/>
          <w:snapToGrid/>
          <w:spacing w:val="0"/>
          <w:sz w:val="22"/>
          <w:szCs w:val="24"/>
        </w:rPr>
        <w:t>1997</w:t>
      </w:r>
      <w:r>
        <w:rPr>
          <w:rFonts w:eastAsia="KaiTi_GB2312" w:hint="eastAsia"/>
          <w:snapToGrid/>
          <w:spacing w:val="0"/>
          <w:sz w:val="22"/>
          <w:szCs w:val="24"/>
        </w:rPr>
        <w:t>年以及</w:t>
      </w:r>
      <w:r>
        <w:rPr>
          <w:rFonts w:eastAsia="KaiTi_GB2312" w:hint="eastAsia"/>
          <w:snapToGrid/>
          <w:spacing w:val="0"/>
          <w:sz w:val="22"/>
          <w:szCs w:val="24"/>
        </w:rPr>
        <w:t>1998</w:t>
      </w:r>
      <w:r>
        <w:rPr>
          <w:rFonts w:eastAsia="KaiTi_GB2312" w:hint="eastAsia"/>
          <w:snapToGrid/>
          <w:spacing w:val="0"/>
          <w:sz w:val="22"/>
          <w:szCs w:val="24"/>
        </w:rPr>
        <w:t>年</w:t>
      </w:r>
      <w:r>
        <w:rPr>
          <w:rFonts w:eastAsia="KaiTi_GB2312" w:hint="eastAsia"/>
          <w:snapToGrid/>
          <w:spacing w:val="0"/>
          <w:sz w:val="22"/>
          <w:szCs w:val="24"/>
        </w:rPr>
        <w:t>)</w:t>
      </w:r>
      <w:r>
        <w:rPr>
          <w:rFonts w:eastAsia="KaiTi_GB2312" w:hint="eastAsia"/>
          <w:snapToGrid/>
          <w:spacing w:val="0"/>
          <w:sz w:val="22"/>
          <w:szCs w:val="24"/>
        </w:rPr>
        <w:t>和</w:t>
      </w:r>
      <w:r>
        <w:rPr>
          <w:rFonts w:eastAsia="KaiTi_GB2312" w:hint="eastAsia"/>
          <w:snapToGrid/>
          <w:spacing w:val="0"/>
          <w:sz w:val="22"/>
          <w:szCs w:val="24"/>
        </w:rPr>
        <w:t>2000</w:t>
      </w:r>
      <w:r>
        <w:rPr>
          <w:rFonts w:eastAsia="KaiTi_GB2312" w:hint="eastAsia"/>
          <w:snapToGrid/>
          <w:spacing w:val="0"/>
          <w:sz w:val="22"/>
          <w:szCs w:val="24"/>
        </w:rPr>
        <w:t>年试验普查。</w:t>
      </w:r>
    </w:p>
    <w:p w:rsidR="00000000" w:rsidRDefault="00000000">
      <w:pPr>
        <w:spacing w:before="200"/>
        <w:rPr>
          <w:rFonts w:eastAsia="KaiTi_GB2312" w:hint="eastAsia"/>
          <w:snapToGrid/>
          <w:spacing w:val="0"/>
          <w:sz w:val="22"/>
          <w:szCs w:val="24"/>
        </w:rPr>
      </w:pPr>
    </w:p>
    <w:p w:rsidR="00000000" w:rsidRDefault="00000000">
      <w:pPr>
        <w:pStyle w:val="Heading3"/>
        <w:spacing w:after="160"/>
        <w:rPr>
          <w:rFonts w:eastAsia="SimHei" w:hint="eastAsia"/>
          <w:sz w:val="22"/>
          <w:u w:val="none"/>
        </w:rPr>
      </w:pPr>
      <w:r>
        <w:rPr>
          <w:rFonts w:eastAsia="SimHei" w:hint="eastAsia"/>
          <w:snapToGrid/>
          <w:kern w:val="0"/>
          <w:sz w:val="22"/>
          <w:u w:val="none"/>
        </w:rPr>
        <w:t>表</w:t>
      </w:r>
      <w:r>
        <w:rPr>
          <w:rFonts w:eastAsia="SimHei" w:hint="eastAsia"/>
          <w:snapToGrid/>
          <w:kern w:val="0"/>
          <w:sz w:val="22"/>
          <w:u w:val="none"/>
        </w:rPr>
        <w:t xml:space="preserve">  </w:t>
      </w:r>
      <w:r>
        <w:rPr>
          <w:rFonts w:eastAsia="SimHei" w:hint="eastAsia"/>
          <w:b/>
          <w:snapToGrid/>
          <w:kern w:val="0"/>
          <w:sz w:val="22"/>
          <w:u w:val="none"/>
        </w:rPr>
        <w:t>2</w:t>
      </w:r>
      <w:r>
        <w:rPr>
          <w:rFonts w:eastAsia="SimHei"/>
          <w:snapToGrid/>
          <w:kern w:val="0"/>
          <w:sz w:val="22"/>
          <w:u w:val="none"/>
        </w:rPr>
        <w:br/>
      </w:r>
      <w:r>
        <w:rPr>
          <w:rFonts w:eastAsia="SimHei" w:hint="eastAsia"/>
          <w:sz w:val="22"/>
          <w:u w:val="none"/>
        </w:rPr>
        <w:t>按年龄组分列的劳动力数据</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910"/>
        <w:gridCol w:w="1040"/>
        <w:gridCol w:w="1105"/>
        <w:gridCol w:w="1495"/>
        <w:gridCol w:w="1040"/>
        <w:gridCol w:w="1170"/>
        <w:gridCol w:w="1010"/>
      </w:tblGrid>
      <w:tr w:rsidR="00000000">
        <w:tblPrEx>
          <w:tblCellMar>
            <w:top w:w="0" w:type="dxa"/>
            <w:bottom w:w="0" w:type="dxa"/>
          </w:tblCellMar>
        </w:tblPrEx>
        <w:tc>
          <w:tcPr>
            <w:tcW w:w="1560" w:type="dxa"/>
          </w:tcPr>
          <w:p w:rsidR="00000000" w:rsidRDefault="00000000">
            <w:pPr>
              <w:spacing w:before="80"/>
              <w:jc w:val="center"/>
              <w:rPr>
                <w:rFonts w:eastAsia="Arial Unicode MS"/>
                <w:sz w:val="20"/>
                <w:szCs w:val="24"/>
              </w:rPr>
            </w:pPr>
          </w:p>
        </w:tc>
        <w:tc>
          <w:tcPr>
            <w:tcW w:w="910" w:type="dxa"/>
          </w:tcPr>
          <w:p w:rsidR="00000000" w:rsidRDefault="00000000">
            <w:pPr>
              <w:spacing w:before="80"/>
              <w:jc w:val="center"/>
              <w:rPr>
                <w:rFonts w:eastAsia="Arial Unicode MS" w:hint="eastAsia"/>
                <w:sz w:val="20"/>
                <w:szCs w:val="24"/>
              </w:rPr>
            </w:pPr>
            <w:r>
              <w:rPr>
                <w:rFonts w:hint="eastAsia"/>
                <w:sz w:val="20"/>
                <w:szCs w:val="24"/>
              </w:rPr>
              <w:t>就</w:t>
            </w:r>
            <w:r>
              <w:rPr>
                <w:rFonts w:hint="eastAsia"/>
                <w:sz w:val="20"/>
                <w:szCs w:val="24"/>
              </w:rPr>
              <w:t xml:space="preserve"> </w:t>
            </w:r>
            <w:r>
              <w:rPr>
                <w:rFonts w:hint="eastAsia"/>
                <w:sz w:val="20"/>
                <w:szCs w:val="24"/>
              </w:rPr>
              <w:t>业</w:t>
            </w:r>
          </w:p>
        </w:tc>
        <w:tc>
          <w:tcPr>
            <w:tcW w:w="1040" w:type="dxa"/>
          </w:tcPr>
          <w:p w:rsidR="00000000" w:rsidRDefault="00000000">
            <w:pPr>
              <w:spacing w:before="80"/>
              <w:jc w:val="center"/>
              <w:rPr>
                <w:rFonts w:eastAsia="Arial Unicode MS" w:hint="eastAsia"/>
                <w:sz w:val="20"/>
                <w:szCs w:val="24"/>
              </w:rPr>
            </w:pPr>
            <w:r>
              <w:rPr>
                <w:rFonts w:hint="eastAsia"/>
                <w:sz w:val="20"/>
                <w:szCs w:val="24"/>
              </w:rPr>
              <w:t>失</w:t>
            </w:r>
            <w:r>
              <w:rPr>
                <w:rFonts w:hint="eastAsia"/>
                <w:sz w:val="20"/>
                <w:szCs w:val="24"/>
              </w:rPr>
              <w:t xml:space="preserve"> </w:t>
            </w:r>
            <w:r>
              <w:rPr>
                <w:rFonts w:hint="eastAsia"/>
                <w:sz w:val="20"/>
                <w:szCs w:val="24"/>
              </w:rPr>
              <w:t>业</w:t>
            </w:r>
          </w:p>
        </w:tc>
        <w:tc>
          <w:tcPr>
            <w:tcW w:w="1105" w:type="dxa"/>
          </w:tcPr>
          <w:p w:rsidR="00000000" w:rsidRDefault="00000000">
            <w:pPr>
              <w:spacing w:before="80"/>
              <w:jc w:val="center"/>
              <w:rPr>
                <w:rFonts w:eastAsia="Arial Unicode MS" w:hint="eastAsia"/>
                <w:sz w:val="20"/>
                <w:szCs w:val="24"/>
              </w:rPr>
            </w:pPr>
            <w:r>
              <w:rPr>
                <w:rFonts w:hint="eastAsia"/>
                <w:sz w:val="20"/>
                <w:szCs w:val="24"/>
              </w:rPr>
              <w:t>劳动力</w:t>
            </w:r>
          </w:p>
        </w:tc>
        <w:tc>
          <w:tcPr>
            <w:tcW w:w="1495" w:type="dxa"/>
          </w:tcPr>
          <w:p w:rsidR="00000000" w:rsidRDefault="00000000">
            <w:pPr>
              <w:spacing w:before="80"/>
              <w:jc w:val="center"/>
              <w:rPr>
                <w:rFonts w:eastAsia="Arial Unicode MS" w:hint="eastAsia"/>
                <w:spacing w:val="0"/>
                <w:sz w:val="20"/>
                <w:szCs w:val="24"/>
              </w:rPr>
            </w:pPr>
            <w:r>
              <w:rPr>
                <w:rFonts w:hint="eastAsia"/>
                <w:spacing w:val="0"/>
                <w:sz w:val="20"/>
                <w:szCs w:val="24"/>
              </w:rPr>
              <w:t>14</w:t>
            </w:r>
            <w:r>
              <w:rPr>
                <w:rFonts w:hint="eastAsia"/>
                <w:spacing w:val="0"/>
                <w:sz w:val="20"/>
                <w:szCs w:val="24"/>
              </w:rPr>
              <w:t>岁以上人口</w:t>
            </w:r>
          </w:p>
        </w:tc>
        <w:tc>
          <w:tcPr>
            <w:tcW w:w="1040" w:type="dxa"/>
          </w:tcPr>
          <w:p w:rsidR="00000000" w:rsidRDefault="00000000">
            <w:pPr>
              <w:spacing w:before="80"/>
              <w:jc w:val="center"/>
              <w:rPr>
                <w:rFonts w:eastAsia="Arial Unicode MS" w:hint="eastAsia"/>
                <w:sz w:val="20"/>
                <w:szCs w:val="24"/>
              </w:rPr>
            </w:pPr>
            <w:r>
              <w:rPr>
                <w:rFonts w:hint="eastAsia"/>
                <w:sz w:val="20"/>
                <w:szCs w:val="24"/>
              </w:rPr>
              <w:t>就业率</w:t>
            </w:r>
          </w:p>
        </w:tc>
        <w:tc>
          <w:tcPr>
            <w:tcW w:w="1170" w:type="dxa"/>
          </w:tcPr>
          <w:p w:rsidR="00000000" w:rsidRDefault="00000000">
            <w:pPr>
              <w:spacing w:before="80"/>
              <w:jc w:val="center"/>
              <w:rPr>
                <w:rFonts w:eastAsia="Arial Unicode MS" w:hint="eastAsia"/>
                <w:sz w:val="20"/>
                <w:szCs w:val="24"/>
              </w:rPr>
            </w:pPr>
            <w:r>
              <w:rPr>
                <w:rFonts w:hint="eastAsia"/>
                <w:sz w:val="20"/>
                <w:szCs w:val="24"/>
              </w:rPr>
              <w:t>失业率</w:t>
            </w:r>
          </w:p>
        </w:tc>
        <w:tc>
          <w:tcPr>
            <w:tcW w:w="1010" w:type="dxa"/>
          </w:tcPr>
          <w:p w:rsidR="00000000" w:rsidRDefault="00000000">
            <w:pPr>
              <w:spacing w:before="80"/>
              <w:jc w:val="center"/>
              <w:rPr>
                <w:rFonts w:eastAsia="Arial Unicode MS" w:hint="eastAsia"/>
                <w:sz w:val="20"/>
                <w:szCs w:val="24"/>
              </w:rPr>
            </w:pPr>
            <w:r>
              <w:rPr>
                <w:rFonts w:hint="eastAsia"/>
                <w:sz w:val="20"/>
                <w:szCs w:val="24"/>
              </w:rPr>
              <w:t>参与率</w:t>
            </w:r>
          </w:p>
        </w:tc>
      </w:tr>
      <w:tr w:rsidR="00000000">
        <w:tblPrEx>
          <w:tblCellMar>
            <w:top w:w="0" w:type="dxa"/>
            <w:bottom w:w="0" w:type="dxa"/>
          </w:tblCellMar>
        </w:tblPrEx>
        <w:tc>
          <w:tcPr>
            <w:tcW w:w="1560" w:type="dxa"/>
            <w:tcBorders>
              <w:bottom w:val="single" w:sz="4" w:space="0" w:color="auto"/>
            </w:tcBorders>
          </w:tcPr>
          <w:p w:rsidR="00000000" w:rsidRDefault="00000000">
            <w:pPr>
              <w:spacing w:before="60" w:after="20" w:line="288" w:lineRule="auto"/>
              <w:jc w:val="center"/>
              <w:rPr>
                <w:rFonts w:hint="eastAsia"/>
                <w:sz w:val="18"/>
                <w:szCs w:val="24"/>
              </w:rPr>
            </w:pPr>
            <w:r>
              <w:rPr>
                <w:sz w:val="18"/>
                <w:szCs w:val="24"/>
              </w:rPr>
              <w:t>Bonaire</w:t>
            </w:r>
            <w:r>
              <w:rPr>
                <w:rFonts w:hint="eastAsia"/>
                <w:sz w:val="18"/>
                <w:szCs w:val="24"/>
              </w:rPr>
              <w:t>岛</w:t>
            </w:r>
          </w:p>
        </w:tc>
        <w:tc>
          <w:tcPr>
            <w:tcW w:w="910" w:type="dxa"/>
            <w:tcBorders>
              <w:bottom w:val="single" w:sz="4" w:space="0" w:color="auto"/>
            </w:tcBorders>
          </w:tcPr>
          <w:p w:rsidR="00000000" w:rsidRDefault="00000000">
            <w:pPr>
              <w:spacing w:before="60" w:after="20" w:line="288" w:lineRule="auto"/>
              <w:rPr>
                <w:rFonts w:eastAsia="Arial Unicode MS"/>
                <w:sz w:val="18"/>
                <w:szCs w:val="24"/>
              </w:rPr>
            </w:pPr>
          </w:p>
        </w:tc>
        <w:tc>
          <w:tcPr>
            <w:tcW w:w="1040" w:type="dxa"/>
            <w:tcBorders>
              <w:bottom w:val="single" w:sz="4" w:space="0" w:color="auto"/>
            </w:tcBorders>
          </w:tcPr>
          <w:p w:rsidR="00000000" w:rsidRDefault="00000000">
            <w:pPr>
              <w:spacing w:before="60" w:after="20" w:line="288" w:lineRule="auto"/>
              <w:rPr>
                <w:rFonts w:eastAsia="Arial Unicode MS"/>
                <w:sz w:val="18"/>
                <w:szCs w:val="24"/>
              </w:rPr>
            </w:pPr>
          </w:p>
        </w:tc>
        <w:tc>
          <w:tcPr>
            <w:tcW w:w="1105" w:type="dxa"/>
            <w:tcBorders>
              <w:bottom w:val="single" w:sz="4" w:space="0" w:color="auto"/>
            </w:tcBorders>
          </w:tcPr>
          <w:p w:rsidR="00000000" w:rsidRDefault="00000000">
            <w:pPr>
              <w:spacing w:before="60" w:after="20" w:line="288" w:lineRule="auto"/>
              <w:rPr>
                <w:rFonts w:eastAsia="Arial Unicode MS"/>
                <w:sz w:val="18"/>
                <w:szCs w:val="24"/>
              </w:rPr>
            </w:pPr>
          </w:p>
        </w:tc>
        <w:tc>
          <w:tcPr>
            <w:tcW w:w="1495" w:type="dxa"/>
            <w:tcBorders>
              <w:bottom w:val="single" w:sz="4" w:space="0" w:color="auto"/>
            </w:tcBorders>
          </w:tcPr>
          <w:p w:rsidR="00000000" w:rsidRDefault="00000000">
            <w:pPr>
              <w:spacing w:before="60" w:after="20" w:line="288" w:lineRule="auto"/>
              <w:rPr>
                <w:rFonts w:eastAsia="Arial Unicode MS"/>
                <w:sz w:val="18"/>
                <w:szCs w:val="24"/>
              </w:rPr>
            </w:pPr>
          </w:p>
        </w:tc>
        <w:tc>
          <w:tcPr>
            <w:tcW w:w="1040" w:type="dxa"/>
            <w:tcBorders>
              <w:bottom w:val="single" w:sz="4" w:space="0" w:color="auto"/>
            </w:tcBorders>
          </w:tcPr>
          <w:p w:rsidR="00000000" w:rsidRDefault="00000000">
            <w:pPr>
              <w:spacing w:before="60" w:after="20" w:line="288" w:lineRule="auto"/>
              <w:rPr>
                <w:rFonts w:eastAsia="Arial Unicode MS"/>
                <w:sz w:val="18"/>
                <w:szCs w:val="24"/>
              </w:rPr>
            </w:pPr>
          </w:p>
        </w:tc>
        <w:tc>
          <w:tcPr>
            <w:tcW w:w="1170" w:type="dxa"/>
            <w:tcBorders>
              <w:bottom w:val="single" w:sz="4" w:space="0" w:color="auto"/>
            </w:tcBorders>
          </w:tcPr>
          <w:p w:rsidR="00000000" w:rsidRDefault="00000000">
            <w:pPr>
              <w:spacing w:before="60" w:after="20" w:line="288" w:lineRule="auto"/>
              <w:rPr>
                <w:rFonts w:eastAsia="Arial Unicode MS"/>
                <w:sz w:val="18"/>
                <w:szCs w:val="24"/>
              </w:rPr>
            </w:pPr>
          </w:p>
        </w:tc>
        <w:tc>
          <w:tcPr>
            <w:tcW w:w="1010" w:type="dxa"/>
            <w:tcBorders>
              <w:bottom w:val="single" w:sz="4" w:space="0" w:color="auto"/>
            </w:tcBorders>
          </w:tcPr>
          <w:p w:rsidR="00000000" w:rsidRDefault="00000000">
            <w:pPr>
              <w:spacing w:before="60" w:after="20" w:line="288" w:lineRule="auto"/>
              <w:rPr>
                <w:rFonts w:eastAsia="Arial Unicode MS"/>
                <w:sz w:val="18"/>
                <w:szCs w:val="24"/>
              </w:rPr>
            </w:pPr>
          </w:p>
        </w:tc>
      </w:tr>
      <w:tr w:rsidR="00000000">
        <w:tblPrEx>
          <w:tblCellMar>
            <w:top w:w="0" w:type="dxa"/>
            <w:bottom w:w="0" w:type="dxa"/>
          </w:tblCellMar>
        </w:tblPrEx>
        <w:tc>
          <w:tcPr>
            <w:tcW w:w="1560" w:type="dxa"/>
            <w:tcBorders>
              <w:bottom w:val="nil"/>
            </w:tcBorders>
          </w:tcPr>
          <w:p w:rsidR="00000000" w:rsidRDefault="00000000">
            <w:pPr>
              <w:spacing w:before="80" w:line="264" w:lineRule="auto"/>
              <w:rPr>
                <w:rFonts w:eastAsia="Arial Unicode MS"/>
                <w:sz w:val="18"/>
                <w:szCs w:val="24"/>
              </w:rPr>
            </w:pPr>
            <w:r>
              <w:rPr>
                <w:sz w:val="18"/>
                <w:szCs w:val="24"/>
              </w:rPr>
              <w:t>15</w:t>
            </w:r>
            <w:r>
              <w:rPr>
                <w:rFonts w:hint="eastAsia"/>
                <w:sz w:val="18"/>
                <w:szCs w:val="24"/>
              </w:rPr>
              <w:t>岁至</w:t>
            </w:r>
            <w:r>
              <w:rPr>
                <w:sz w:val="18"/>
                <w:szCs w:val="24"/>
              </w:rPr>
              <w:t>24</w:t>
            </w:r>
            <w:r>
              <w:rPr>
                <w:rFonts w:hint="eastAsia"/>
                <w:sz w:val="18"/>
                <w:szCs w:val="24"/>
              </w:rPr>
              <w:t>岁</w:t>
            </w:r>
            <w:r>
              <w:rPr>
                <w:sz w:val="18"/>
                <w:szCs w:val="24"/>
              </w:rPr>
              <w:t>：</w:t>
            </w:r>
            <w:r>
              <w:rPr>
                <w:sz w:val="18"/>
                <w:szCs w:val="24"/>
              </w:rPr>
              <w:t xml:space="preserve"> </w:t>
            </w:r>
          </w:p>
        </w:tc>
        <w:tc>
          <w:tcPr>
            <w:tcW w:w="910" w:type="dxa"/>
            <w:tcBorders>
              <w:bottom w:val="nil"/>
            </w:tcBorders>
          </w:tcPr>
          <w:p w:rsidR="00000000" w:rsidRDefault="00000000">
            <w:pPr>
              <w:spacing w:before="80" w:line="264" w:lineRule="auto"/>
              <w:rPr>
                <w:rFonts w:eastAsia="Arial Unicode MS"/>
                <w:sz w:val="18"/>
                <w:szCs w:val="24"/>
              </w:rPr>
            </w:pPr>
          </w:p>
        </w:tc>
        <w:tc>
          <w:tcPr>
            <w:tcW w:w="1040" w:type="dxa"/>
            <w:tcBorders>
              <w:bottom w:val="nil"/>
            </w:tcBorders>
          </w:tcPr>
          <w:p w:rsidR="00000000" w:rsidRDefault="00000000">
            <w:pPr>
              <w:spacing w:before="80" w:line="264" w:lineRule="auto"/>
              <w:rPr>
                <w:rFonts w:eastAsia="Arial Unicode MS"/>
                <w:sz w:val="18"/>
                <w:szCs w:val="24"/>
              </w:rPr>
            </w:pPr>
          </w:p>
        </w:tc>
        <w:tc>
          <w:tcPr>
            <w:tcW w:w="1105" w:type="dxa"/>
            <w:tcBorders>
              <w:bottom w:val="nil"/>
            </w:tcBorders>
          </w:tcPr>
          <w:p w:rsidR="00000000" w:rsidRDefault="00000000">
            <w:pPr>
              <w:spacing w:before="80" w:line="264" w:lineRule="auto"/>
              <w:rPr>
                <w:rFonts w:eastAsia="Arial Unicode MS"/>
                <w:sz w:val="18"/>
                <w:szCs w:val="24"/>
              </w:rPr>
            </w:pPr>
          </w:p>
        </w:tc>
        <w:tc>
          <w:tcPr>
            <w:tcW w:w="1495" w:type="dxa"/>
            <w:tcBorders>
              <w:bottom w:val="nil"/>
            </w:tcBorders>
          </w:tcPr>
          <w:p w:rsidR="00000000" w:rsidRDefault="00000000">
            <w:pPr>
              <w:spacing w:before="80" w:line="264" w:lineRule="auto"/>
              <w:rPr>
                <w:rFonts w:eastAsia="Arial Unicode MS"/>
                <w:sz w:val="18"/>
                <w:szCs w:val="24"/>
              </w:rPr>
            </w:pPr>
          </w:p>
        </w:tc>
        <w:tc>
          <w:tcPr>
            <w:tcW w:w="1040" w:type="dxa"/>
            <w:tcBorders>
              <w:bottom w:val="nil"/>
            </w:tcBorders>
          </w:tcPr>
          <w:p w:rsidR="00000000" w:rsidRDefault="00000000">
            <w:pPr>
              <w:spacing w:before="80" w:line="264" w:lineRule="auto"/>
              <w:rPr>
                <w:rFonts w:eastAsia="Arial Unicode MS"/>
                <w:sz w:val="18"/>
                <w:szCs w:val="24"/>
              </w:rPr>
            </w:pPr>
          </w:p>
        </w:tc>
        <w:tc>
          <w:tcPr>
            <w:tcW w:w="1170" w:type="dxa"/>
            <w:tcBorders>
              <w:bottom w:val="nil"/>
            </w:tcBorders>
          </w:tcPr>
          <w:p w:rsidR="00000000" w:rsidRDefault="00000000">
            <w:pPr>
              <w:spacing w:before="80" w:line="264" w:lineRule="auto"/>
              <w:rPr>
                <w:rFonts w:eastAsia="Arial Unicode MS"/>
                <w:sz w:val="18"/>
                <w:szCs w:val="24"/>
              </w:rPr>
            </w:pPr>
          </w:p>
        </w:tc>
        <w:tc>
          <w:tcPr>
            <w:tcW w:w="1010" w:type="dxa"/>
            <w:tcBorders>
              <w:bottom w:val="nil"/>
            </w:tcBorders>
          </w:tcPr>
          <w:p w:rsidR="00000000" w:rsidRDefault="00000000">
            <w:pPr>
              <w:spacing w:before="80" w:line="264" w:lineRule="auto"/>
              <w:rPr>
                <w:rFonts w:eastAsia="Arial Unicode MS"/>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1996</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1 127</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216</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1 343</w:t>
            </w:r>
          </w:p>
        </w:tc>
        <w:tc>
          <w:tcPr>
            <w:tcW w:w="1495" w:type="dxa"/>
            <w:tcBorders>
              <w:top w:val="nil"/>
              <w:bottom w:val="nil"/>
            </w:tcBorders>
          </w:tcPr>
          <w:p w:rsidR="00000000" w:rsidRDefault="00000000">
            <w:pPr>
              <w:spacing w:before="60" w:line="264" w:lineRule="auto"/>
              <w:ind w:right="329"/>
              <w:jc w:val="right"/>
              <w:rPr>
                <w:rFonts w:eastAsia="Arial Unicode MS"/>
                <w:sz w:val="18"/>
                <w:szCs w:val="24"/>
              </w:rPr>
            </w:pPr>
            <w:r>
              <w:rPr>
                <w:sz w:val="18"/>
                <w:szCs w:val="24"/>
              </w:rPr>
              <w:t>2 096</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53.8%</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16.1%</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64.1%</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line="264" w:lineRule="auto"/>
              <w:jc w:val="center"/>
              <w:rPr>
                <w:rFonts w:eastAsia="Arial Unicode MS"/>
                <w:sz w:val="18"/>
                <w:szCs w:val="24"/>
              </w:rPr>
            </w:pPr>
            <w:r>
              <w:rPr>
                <w:sz w:val="18"/>
                <w:szCs w:val="24"/>
              </w:rPr>
              <w:t xml:space="preserve"> </w:t>
            </w:r>
            <w:r>
              <w:rPr>
                <w:sz w:val="18"/>
                <w:szCs w:val="24"/>
                <w:vertAlign w:val="superscript"/>
              </w:rPr>
              <w:t xml:space="preserve"> </w:t>
            </w:r>
            <w:r>
              <w:rPr>
                <w:sz w:val="18"/>
                <w:szCs w:val="24"/>
              </w:rPr>
              <w:t>961</w:t>
            </w:r>
          </w:p>
        </w:tc>
        <w:tc>
          <w:tcPr>
            <w:tcW w:w="1040" w:type="dxa"/>
            <w:tcBorders>
              <w:top w:val="nil"/>
              <w:bottom w:val="nil"/>
            </w:tcBorders>
          </w:tcPr>
          <w:p w:rsidR="00000000" w:rsidRDefault="00000000">
            <w:pPr>
              <w:spacing w:line="264" w:lineRule="auto"/>
              <w:jc w:val="center"/>
              <w:rPr>
                <w:rFonts w:eastAsia="Arial Unicode MS"/>
                <w:sz w:val="18"/>
                <w:szCs w:val="24"/>
              </w:rPr>
            </w:pPr>
            <w:r>
              <w:rPr>
                <w:sz w:val="18"/>
                <w:szCs w:val="24"/>
              </w:rPr>
              <w:t>165</w:t>
            </w:r>
          </w:p>
        </w:tc>
        <w:tc>
          <w:tcPr>
            <w:tcW w:w="1105" w:type="dxa"/>
            <w:tcBorders>
              <w:top w:val="nil"/>
              <w:bottom w:val="nil"/>
            </w:tcBorders>
          </w:tcPr>
          <w:p w:rsidR="00000000" w:rsidRDefault="00000000">
            <w:pPr>
              <w:spacing w:line="264" w:lineRule="auto"/>
              <w:jc w:val="center"/>
              <w:rPr>
                <w:rFonts w:eastAsia="Arial Unicode MS"/>
                <w:sz w:val="18"/>
                <w:szCs w:val="24"/>
              </w:rPr>
            </w:pPr>
            <w:r>
              <w:rPr>
                <w:sz w:val="18"/>
                <w:szCs w:val="24"/>
              </w:rPr>
              <w:t>1 126</w:t>
            </w:r>
          </w:p>
        </w:tc>
        <w:tc>
          <w:tcPr>
            <w:tcW w:w="1495" w:type="dxa"/>
            <w:tcBorders>
              <w:top w:val="nil"/>
              <w:bottom w:val="nil"/>
            </w:tcBorders>
          </w:tcPr>
          <w:p w:rsidR="00000000" w:rsidRDefault="00000000">
            <w:pPr>
              <w:spacing w:after="60" w:line="264" w:lineRule="auto"/>
              <w:ind w:right="329"/>
              <w:jc w:val="right"/>
              <w:rPr>
                <w:rFonts w:eastAsia="Arial Unicode MS"/>
                <w:sz w:val="18"/>
                <w:szCs w:val="24"/>
              </w:rPr>
            </w:pPr>
            <w:r>
              <w:rPr>
                <w:sz w:val="18"/>
                <w:szCs w:val="24"/>
              </w:rPr>
              <w:t xml:space="preserve">1 </w:t>
            </w:r>
            <w:r>
              <w:rPr>
                <w:rFonts w:eastAsia="Arial Unicode MS"/>
                <w:sz w:val="18"/>
                <w:szCs w:val="24"/>
              </w:rPr>
              <w:t>932</w:t>
            </w:r>
          </w:p>
        </w:tc>
        <w:tc>
          <w:tcPr>
            <w:tcW w:w="1040" w:type="dxa"/>
            <w:tcBorders>
              <w:top w:val="nil"/>
              <w:bottom w:val="nil"/>
            </w:tcBorders>
          </w:tcPr>
          <w:p w:rsidR="00000000" w:rsidRDefault="00000000">
            <w:pPr>
              <w:spacing w:line="264" w:lineRule="auto"/>
              <w:jc w:val="center"/>
              <w:rPr>
                <w:rFonts w:eastAsia="Arial Unicode MS"/>
                <w:sz w:val="18"/>
                <w:szCs w:val="24"/>
              </w:rPr>
            </w:pPr>
            <w:r>
              <w:rPr>
                <w:sz w:val="18"/>
                <w:szCs w:val="24"/>
              </w:rPr>
              <w:t>49.7%</w:t>
            </w:r>
          </w:p>
        </w:tc>
        <w:tc>
          <w:tcPr>
            <w:tcW w:w="1170" w:type="dxa"/>
            <w:tcBorders>
              <w:top w:val="nil"/>
              <w:bottom w:val="nil"/>
            </w:tcBorders>
          </w:tcPr>
          <w:p w:rsidR="00000000" w:rsidRDefault="00000000">
            <w:pPr>
              <w:spacing w:line="264" w:lineRule="auto"/>
              <w:jc w:val="center"/>
              <w:rPr>
                <w:rFonts w:eastAsia="Arial Unicode MS"/>
                <w:sz w:val="18"/>
                <w:szCs w:val="24"/>
              </w:rPr>
            </w:pPr>
            <w:r>
              <w:rPr>
                <w:sz w:val="18"/>
                <w:szCs w:val="24"/>
              </w:rPr>
              <w:t>14.7%</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58.3%</w:t>
            </w:r>
          </w:p>
        </w:tc>
      </w:tr>
      <w:tr w:rsidR="00000000">
        <w:tblPrEx>
          <w:tblCellMar>
            <w:top w:w="0" w:type="dxa"/>
            <w:bottom w:w="0" w:type="dxa"/>
          </w:tblCellMar>
        </w:tblPrEx>
        <w:tc>
          <w:tcPr>
            <w:tcW w:w="1560" w:type="dxa"/>
            <w:tcBorders>
              <w:top w:val="nil"/>
              <w:bottom w:val="nil"/>
            </w:tcBorders>
          </w:tcPr>
          <w:p w:rsidR="00000000" w:rsidRDefault="00000000">
            <w:pPr>
              <w:spacing w:line="264" w:lineRule="auto"/>
              <w:rPr>
                <w:rFonts w:eastAsia="Arial Unicode MS"/>
                <w:sz w:val="18"/>
                <w:szCs w:val="24"/>
              </w:rPr>
            </w:pPr>
            <w:r>
              <w:rPr>
                <w:sz w:val="18"/>
                <w:szCs w:val="24"/>
              </w:rPr>
              <w:t>25</w:t>
            </w:r>
            <w:r>
              <w:rPr>
                <w:rFonts w:hint="eastAsia"/>
                <w:sz w:val="18"/>
                <w:szCs w:val="24"/>
              </w:rPr>
              <w:t>岁至</w:t>
            </w:r>
            <w:r>
              <w:rPr>
                <w:sz w:val="18"/>
                <w:szCs w:val="24"/>
              </w:rPr>
              <w:t>44</w:t>
            </w:r>
            <w:r>
              <w:rPr>
                <w:rFonts w:hint="eastAsia"/>
                <w:sz w:val="18"/>
                <w:szCs w:val="24"/>
              </w:rPr>
              <w:t>岁</w:t>
            </w:r>
            <w:r>
              <w:rPr>
                <w:sz w:val="18"/>
                <w:szCs w:val="24"/>
              </w:rPr>
              <w:t>：</w:t>
            </w:r>
          </w:p>
        </w:tc>
        <w:tc>
          <w:tcPr>
            <w:tcW w:w="910" w:type="dxa"/>
            <w:tcBorders>
              <w:top w:val="nil"/>
              <w:bottom w:val="nil"/>
            </w:tcBorders>
          </w:tcPr>
          <w:p w:rsidR="00000000" w:rsidRDefault="00000000">
            <w:pPr>
              <w:spacing w:line="264" w:lineRule="auto"/>
              <w:ind w:right="230"/>
              <w:jc w:val="right"/>
              <w:rPr>
                <w:rFonts w:eastAsia="Arial Unicode MS"/>
                <w:sz w:val="18"/>
                <w:szCs w:val="24"/>
              </w:rPr>
            </w:pPr>
          </w:p>
        </w:tc>
        <w:tc>
          <w:tcPr>
            <w:tcW w:w="1040" w:type="dxa"/>
            <w:tcBorders>
              <w:top w:val="nil"/>
              <w:bottom w:val="nil"/>
            </w:tcBorders>
          </w:tcPr>
          <w:p w:rsidR="00000000" w:rsidRDefault="00000000">
            <w:pPr>
              <w:spacing w:line="264" w:lineRule="auto"/>
              <w:ind w:right="209"/>
              <w:jc w:val="right"/>
              <w:rPr>
                <w:rFonts w:eastAsia="Arial Unicode MS"/>
                <w:sz w:val="18"/>
                <w:szCs w:val="24"/>
              </w:rPr>
            </w:pPr>
          </w:p>
        </w:tc>
        <w:tc>
          <w:tcPr>
            <w:tcW w:w="1105" w:type="dxa"/>
            <w:tcBorders>
              <w:top w:val="nil"/>
              <w:bottom w:val="nil"/>
            </w:tcBorders>
          </w:tcPr>
          <w:p w:rsidR="00000000" w:rsidRDefault="00000000">
            <w:pPr>
              <w:spacing w:line="264" w:lineRule="auto"/>
              <w:ind w:right="142"/>
              <w:jc w:val="right"/>
              <w:rPr>
                <w:rFonts w:eastAsia="Arial Unicode MS"/>
                <w:sz w:val="18"/>
                <w:szCs w:val="24"/>
              </w:rPr>
            </w:pPr>
          </w:p>
        </w:tc>
        <w:tc>
          <w:tcPr>
            <w:tcW w:w="1495" w:type="dxa"/>
            <w:tcBorders>
              <w:top w:val="nil"/>
              <w:bottom w:val="nil"/>
            </w:tcBorders>
          </w:tcPr>
          <w:p w:rsidR="00000000" w:rsidRDefault="00000000">
            <w:pPr>
              <w:spacing w:line="264" w:lineRule="auto"/>
              <w:ind w:right="142"/>
              <w:jc w:val="right"/>
              <w:rPr>
                <w:rFonts w:eastAsia="Arial Unicode MS"/>
                <w:sz w:val="18"/>
                <w:szCs w:val="24"/>
              </w:rPr>
            </w:pPr>
          </w:p>
        </w:tc>
        <w:tc>
          <w:tcPr>
            <w:tcW w:w="1040" w:type="dxa"/>
            <w:tcBorders>
              <w:top w:val="nil"/>
              <w:bottom w:val="nil"/>
            </w:tcBorders>
          </w:tcPr>
          <w:p w:rsidR="00000000" w:rsidRDefault="00000000">
            <w:pPr>
              <w:tabs>
                <w:tab w:val="decimal" w:pos="458"/>
              </w:tabs>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1996</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4 171</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219</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4 390</w:t>
            </w:r>
          </w:p>
        </w:tc>
        <w:tc>
          <w:tcPr>
            <w:tcW w:w="1495" w:type="dxa"/>
            <w:tcBorders>
              <w:top w:val="nil"/>
              <w:bottom w:val="nil"/>
            </w:tcBorders>
          </w:tcPr>
          <w:p w:rsidR="00000000" w:rsidRDefault="00000000">
            <w:pPr>
              <w:spacing w:before="60" w:line="264" w:lineRule="auto"/>
              <w:ind w:right="329"/>
              <w:jc w:val="right"/>
              <w:rPr>
                <w:rFonts w:eastAsia="Arial Unicode MS"/>
                <w:sz w:val="18"/>
                <w:szCs w:val="24"/>
              </w:rPr>
            </w:pPr>
            <w:r>
              <w:rPr>
                <w:sz w:val="18"/>
                <w:szCs w:val="24"/>
              </w:rPr>
              <w:t xml:space="preserve">4 </w:t>
            </w:r>
            <w:r>
              <w:rPr>
                <w:rFonts w:eastAsia="Arial Unicode MS"/>
                <w:sz w:val="18"/>
                <w:szCs w:val="24"/>
              </w:rPr>
              <w:t>940</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84.4%</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5.0%</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88.9%</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line="264" w:lineRule="auto"/>
              <w:jc w:val="center"/>
              <w:rPr>
                <w:rFonts w:eastAsia="Arial Unicode MS"/>
                <w:sz w:val="18"/>
                <w:szCs w:val="24"/>
              </w:rPr>
            </w:pPr>
            <w:r>
              <w:rPr>
                <w:sz w:val="18"/>
                <w:szCs w:val="24"/>
              </w:rPr>
              <w:t>3 991</w:t>
            </w:r>
          </w:p>
        </w:tc>
        <w:tc>
          <w:tcPr>
            <w:tcW w:w="1040" w:type="dxa"/>
            <w:tcBorders>
              <w:top w:val="nil"/>
              <w:bottom w:val="nil"/>
            </w:tcBorders>
          </w:tcPr>
          <w:p w:rsidR="00000000" w:rsidRDefault="00000000">
            <w:pPr>
              <w:spacing w:line="264" w:lineRule="auto"/>
              <w:jc w:val="center"/>
              <w:rPr>
                <w:rFonts w:eastAsia="Arial Unicode MS"/>
                <w:sz w:val="18"/>
                <w:szCs w:val="24"/>
              </w:rPr>
            </w:pPr>
            <w:r>
              <w:rPr>
                <w:sz w:val="18"/>
                <w:szCs w:val="24"/>
              </w:rPr>
              <w:t>175</w:t>
            </w:r>
          </w:p>
        </w:tc>
        <w:tc>
          <w:tcPr>
            <w:tcW w:w="1105" w:type="dxa"/>
            <w:tcBorders>
              <w:top w:val="nil"/>
              <w:bottom w:val="nil"/>
            </w:tcBorders>
          </w:tcPr>
          <w:p w:rsidR="00000000" w:rsidRDefault="00000000">
            <w:pPr>
              <w:spacing w:line="264" w:lineRule="auto"/>
              <w:jc w:val="center"/>
              <w:rPr>
                <w:rFonts w:eastAsia="Arial Unicode MS"/>
                <w:sz w:val="18"/>
                <w:szCs w:val="24"/>
              </w:rPr>
            </w:pPr>
            <w:r>
              <w:rPr>
                <w:sz w:val="18"/>
                <w:szCs w:val="24"/>
              </w:rPr>
              <w:t>4 166</w:t>
            </w:r>
          </w:p>
        </w:tc>
        <w:tc>
          <w:tcPr>
            <w:tcW w:w="1495" w:type="dxa"/>
            <w:tcBorders>
              <w:top w:val="nil"/>
              <w:bottom w:val="nil"/>
            </w:tcBorders>
          </w:tcPr>
          <w:p w:rsidR="00000000" w:rsidRDefault="00000000">
            <w:pPr>
              <w:spacing w:after="60" w:line="264" w:lineRule="auto"/>
              <w:ind w:right="329"/>
              <w:jc w:val="right"/>
              <w:rPr>
                <w:rFonts w:eastAsia="Arial Unicode MS"/>
                <w:sz w:val="18"/>
                <w:szCs w:val="24"/>
              </w:rPr>
            </w:pPr>
            <w:r>
              <w:rPr>
                <w:sz w:val="18"/>
                <w:szCs w:val="24"/>
              </w:rPr>
              <w:t xml:space="preserve">4 </w:t>
            </w:r>
            <w:r>
              <w:rPr>
                <w:rFonts w:eastAsia="Arial Unicode MS"/>
                <w:sz w:val="18"/>
                <w:szCs w:val="24"/>
              </w:rPr>
              <w:t>570</w:t>
            </w:r>
          </w:p>
        </w:tc>
        <w:tc>
          <w:tcPr>
            <w:tcW w:w="1040" w:type="dxa"/>
            <w:tcBorders>
              <w:top w:val="nil"/>
              <w:bottom w:val="nil"/>
            </w:tcBorders>
          </w:tcPr>
          <w:p w:rsidR="00000000" w:rsidRDefault="00000000">
            <w:pPr>
              <w:spacing w:line="264" w:lineRule="auto"/>
              <w:jc w:val="center"/>
              <w:rPr>
                <w:rFonts w:eastAsia="Arial Unicode MS"/>
                <w:sz w:val="18"/>
                <w:szCs w:val="24"/>
              </w:rPr>
            </w:pPr>
            <w:r>
              <w:rPr>
                <w:sz w:val="18"/>
                <w:szCs w:val="24"/>
              </w:rPr>
              <w:t>87.3%</w:t>
            </w:r>
          </w:p>
        </w:tc>
        <w:tc>
          <w:tcPr>
            <w:tcW w:w="1170" w:type="dxa"/>
            <w:tcBorders>
              <w:top w:val="nil"/>
              <w:bottom w:val="nil"/>
            </w:tcBorders>
          </w:tcPr>
          <w:p w:rsidR="00000000" w:rsidRDefault="00000000">
            <w:pPr>
              <w:spacing w:line="264" w:lineRule="auto"/>
              <w:jc w:val="center"/>
              <w:rPr>
                <w:rFonts w:eastAsia="Arial Unicode MS"/>
                <w:sz w:val="18"/>
                <w:szCs w:val="24"/>
              </w:rPr>
            </w:pPr>
            <w:r>
              <w:rPr>
                <w:sz w:val="18"/>
                <w:szCs w:val="24"/>
              </w:rPr>
              <w:t>4.2%</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91.2%</w:t>
            </w:r>
          </w:p>
        </w:tc>
      </w:tr>
      <w:tr w:rsidR="00000000">
        <w:tblPrEx>
          <w:tblCellMar>
            <w:top w:w="0" w:type="dxa"/>
            <w:bottom w:w="0" w:type="dxa"/>
          </w:tblCellMar>
        </w:tblPrEx>
        <w:tc>
          <w:tcPr>
            <w:tcW w:w="1560" w:type="dxa"/>
            <w:tcBorders>
              <w:top w:val="nil"/>
              <w:bottom w:val="nil"/>
            </w:tcBorders>
          </w:tcPr>
          <w:p w:rsidR="00000000" w:rsidRDefault="00000000">
            <w:pPr>
              <w:spacing w:line="264" w:lineRule="auto"/>
              <w:rPr>
                <w:rFonts w:eastAsia="Arial Unicode MS"/>
                <w:sz w:val="18"/>
                <w:szCs w:val="24"/>
              </w:rPr>
            </w:pPr>
            <w:r>
              <w:rPr>
                <w:sz w:val="18"/>
                <w:szCs w:val="24"/>
              </w:rPr>
              <w:t>44</w:t>
            </w:r>
            <w:r>
              <w:rPr>
                <w:rFonts w:hint="eastAsia"/>
                <w:sz w:val="18"/>
                <w:szCs w:val="24"/>
              </w:rPr>
              <w:t>岁以上</w:t>
            </w:r>
            <w:r>
              <w:rPr>
                <w:sz w:val="18"/>
                <w:szCs w:val="24"/>
              </w:rPr>
              <w:t>：</w:t>
            </w:r>
          </w:p>
        </w:tc>
        <w:tc>
          <w:tcPr>
            <w:tcW w:w="910" w:type="dxa"/>
            <w:tcBorders>
              <w:top w:val="nil"/>
              <w:bottom w:val="nil"/>
            </w:tcBorders>
          </w:tcPr>
          <w:p w:rsidR="00000000" w:rsidRDefault="00000000">
            <w:pPr>
              <w:spacing w:line="264" w:lineRule="auto"/>
              <w:ind w:right="230"/>
              <w:jc w:val="right"/>
              <w:rPr>
                <w:rFonts w:eastAsia="Arial Unicode MS"/>
                <w:sz w:val="18"/>
                <w:szCs w:val="24"/>
              </w:rPr>
            </w:pPr>
          </w:p>
        </w:tc>
        <w:tc>
          <w:tcPr>
            <w:tcW w:w="1040" w:type="dxa"/>
            <w:tcBorders>
              <w:top w:val="nil"/>
              <w:bottom w:val="nil"/>
            </w:tcBorders>
          </w:tcPr>
          <w:p w:rsidR="00000000" w:rsidRDefault="00000000">
            <w:pPr>
              <w:spacing w:line="264" w:lineRule="auto"/>
              <w:ind w:right="209"/>
              <w:jc w:val="right"/>
              <w:rPr>
                <w:rFonts w:eastAsia="Arial Unicode MS"/>
                <w:sz w:val="18"/>
                <w:szCs w:val="24"/>
              </w:rPr>
            </w:pPr>
          </w:p>
        </w:tc>
        <w:tc>
          <w:tcPr>
            <w:tcW w:w="1105" w:type="dxa"/>
            <w:tcBorders>
              <w:top w:val="nil"/>
              <w:bottom w:val="nil"/>
            </w:tcBorders>
          </w:tcPr>
          <w:p w:rsidR="00000000" w:rsidRDefault="00000000">
            <w:pPr>
              <w:spacing w:line="264" w:lineRule="auto"/>
              <w:ind w:right="142"/>
              <w:jc w:val="right"/>
              <w:rPr>
                <w:rFonts w:eastAsia="Arial Unicode MS"/>
                <w:sz w:val="18"/>
                <w:szCs w:val="24"/>
              </w:rPr>
            </w:pPr>
          </w:p>
        </w:tc>
        <w:tc>
          <w:tcPr>
            <w:tcW w:w="1495" w:type="dxa"/>
            <w:tcBorders>
              <w:top w:val="nil"/>
              <w:bottom w:val="nil"/>
            </w:tcBorders>
          </w:tcPr>
          <w:p w:rsidR="00000000" w:rsidRDefault="00000000">
            <w:pPr>
              <w:spacing w:line="264" w:lineRule="auto"/>
              <w:ind w:right="142"/>
              <w:jc w:val="right"/>
              <w:rPr>
                <w:rFonts w:eastAsia="Arial Unicode MS"/>
                <w:sz w:val="18"/>
                <w:szCs w:val="24"/>
              </w:rPr>
            </w:pPr>
          </w:p>
        </w:tc>
        <w:tc>
          <w:tcPr>
            <w:tcW w:w="1040" w:type="dxa"/>
            <w:tcBorders>
              <w:top w:val="nil"/>
              <w:bottom w:val="nil"/>
            </w:tcBorders>
          </w:tcPr>
          <w:p w:rsidR="00000000" w:rsidRDefault="00000000">
            <w:pPr>
              <w:tabs>
                <w:tab w:val="decimal" w:pos="458"/>
              </w:tabs>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1996</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1 976</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 xml:space="preserve"> 32</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 xml:space="preserve">2 </w:t>
            </w:r>
            <w:r>
              <w:rPr>
                <w:rFonts w:eastAsia="Arial Unicode MS"/>
                <w:sz w:val="18"/>
                <w:szCs w:val="24"/>
              </w:rPr>
              <w:t>008</w:t>
            </w:r>
          </w:p>
        </w:tc>
        <w:tc>
          <w:tcPr>
            <w:tcW w:w="1495" w:type="dxa"/>
            <w:tcBorders>
              <w:top w:val="nil"/>
              <w:bottom w:val="nil"/>
            </w:tcBorders>
          </w:tcPr>
          <w:p w:rsidR="00000000" w:rsidRDefault="00000000">
            <w:pPr>
              <w:spacing w:before="60" w:line="264" w:lineRule="auto"/>
              <w:ind w:right="329"/>
              <w:jc w:val="right"/>
              <w:rPr>
                <w:rFonts w:eastAsia="Arial Unicode MS"/>
                <w:sz w:val="18"/>
                <w:szCs w:val="24"/>
              </w:rPr>
            </w:pPr>
            <w:r>
              <w:rPr>
                <w:sz w:val="18"/>
                <w:szCs w:val="24"/>
              </w:rPr>
              <w:t>3 613</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54.7%</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1.6%</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55.6%</w:t>
            </w:r>
          </w:p>
        </w:tc>
      </w:tr>
      <w:tr w:rsidR="00000000">
        <w:tblPrEx>
          <w:tblCellMar>
            <w:top w:w="0" w:type="dxa"/>
            <w:bottom w:w="0" w:type="dxa"/>
          </w:tblCellMar>
        </w:tblPrEx>
        <w:tc>
          <w:tcPr>
            <w:tcW w:w="1560" w:type="dxa"/>
            <w:tcBorders>
              <w:top w:val="nil"/>
            </w:tcBorders>
          </w:tcPr>
          <w:p w:rsidR="00000000" w:rsidRDefault="00000000">
            <w:pPr>
              <w:spacing w:line="264" w:lineRule="auto"/>
              <w:rPr>
                <w:rFonts w:eastAsia="Arial Unicode MS"/>
                <w:sz w:val="18"/>
                <w:szCs w:val="24"/>
              </w:rPr>
            </w:pPr>
            <w:r>
              <w:rPr>
                <w:sz w:val="18"/>
                <w:szCs w:val="24"/>
              </w:rPr>
              <w:t xml:space="preserve">  2000</w:t>
            </w:r>
          </w:p>
        </w:tc>
        <w:tc>
          <w:tcPr>
            <w:tcW w:w="910" w:type="dxa"/>
            <w:tcBorders>
              <w:top w:val="nil"/>
            </w:tcBorders>
          </w:tcPr>
          <w:p w:rsidR="00000000" w:rsidRDefault="00000000">
            <w:pPr>
              <w:spacing w:line="264" w:lineRule="auto"/>
              <w:jc w:val="center"/>
              <w:rPr>
                <w:rFonts w:eastAsia="Arial Unicode MS"/>
                <w:sz w:val="18"/>
                <w:szCs w:val="24"/>
              </w:rPr>
            </w:pPr>
            <w:r>
              <w:rPr>
                <w:sz w:val="18"/>
                <w:szCs w:val="24"/>
              </w:rPr>
              <w:t>2 254</w:t>
            </w:r>
          </w:p>
        </w:tc>
        <w:tc>
          <w:tcPr>
            <w:tcW w:w="1040" w:type="dxa"/>
            <w:tcBorders>
              <w:top w:val="nil"/>
            </w:tcBorders>
          </w:tcPr>
          <w:p w:rsidR="00000000" w:rsidRDefault="00000000">
            <w:pPr>
              <w:spacing w:line="264" w:lineRule="auto"/>
              <w:jc w:val="center"/>
              <w:rPr>
                <w:rFonts w:eastAsia="Arial Unicode MS"/>
                <w:sz w:val="18"/>
                <w:szCs w:val="24"/>
              </w:rPr>
            </w:pPr>
            <w:r>
              <w:rPr>
                <w:sz w:val="18"/>
                <w:szCs w:val="24"/>
              </w:rPr>
              <w:t xml:space="preserve"> 96</w:t>
            </w:r>
          </w:p>
        </w:tc>
        <w:tc>
          <w:tcPr>
            <w:tcW w:w="1105" w:type="dxa"/>
            <w:tcBorders>
              <w:top w:val="nil"/>
            </w:tcBorders>
          </w:tcPr>
          <w:p w:rsidR="00000000" w:rsidRDefault="00000000">
            <w:pPr>
              <w:spacing w:line="264" w:lineRule="auto"/>
              <w:jc w:val="center"/>
              <w:rPr>
                <w:rFonts w:eastAsia="Arial Unicode MS"/>
                <w:sz w:val="18"/>
                <w:szCs w:val="24"/>
              </w:rPr>
            </w:pPr>
            <w:r>
              <w:rPr>
                <w:sz w:val="18"/>
                <w:szCs w:val="24"/>
              </w:rPr>
              <w:t>2 350</w:t>
            </w:r>
          </w:p>
        </w:tc>
        <w:tc>
          <w:tcPr>
            <w:tcW w:w="1495" w:type="dxa"/>
            <w:tcBorders>
              <w:top w:val="nil"/>
            </w:tcBorders>
          </w:tcPr>
          <w:p w:rsidR="00000000" w:rsidRDefault="00000000">
            <w:pPr>
              <w:spacing w:line="264" w:lineRule="auto"/>
              <w:ind w:right="329"/>
              <w:jc w:val="right"/>
              <w:rPr>
                <w:rFonts w:eastAsia="Arial Unicode MS"/>
                <w:sz w:val="18"/>
                <w:szCs w:val="24"/>
              </w:rPr>
            </w:pPr>
            <w:r>
              <w:rPr>
                <w:sz w:val="18"/>
                <w:szCs w:val="24"/>
              </w:rPr>
              <w:t>4 166</w:t>
            </w:r>
          </w:p>
        </w:tc>
        <w:tc>
          <w:tcPr>
            <w:tcW w:w="1040" w:type="dxa"/>
            <w:tcBorders>
              <w:top w:val="nil"/>
            </w:tcBorders>
          </w:tcPr>
          <w:p w:rsidR="00000000" w:rsidRDefault="00000000">
            <w:pPr>
              <w:spacing w:line="264" w:lineRule="auto"/>
              <w:jc w:val="center"/>
              <w:rPr>
                <w:rFonts w:eastAsia="Arial Unicode MS"/>
                <w:sz w:val="18"/>
                <w:szCs w:val="24"/>
              </w:rPr>
            </w:pPr>
            <w:r>
              <w:rPr>
                <w:sz w:val="18"/>
                <w:szCs w:val="24"/>
              </w:rPr>
              <w:t>54.1%</w:t>
            </w:r>
          </w:p>
        </w:tc>
        <w:tc>
          <w:tcPr>
            <w:tcW w:w="1170" w:type="dxa"/>
            <w:tcBorders>
              <w:top w:val="nil"/>
            </w:tcBorders>
          </w:tcPr>
          <w:p w:rsidR="00000000" w:rsidRDefault="00000000">
            <w:pPr>
              <w:spacing w:line="264" w:lineRule="auto"/>
              <w:jc w:val="center"/>
              <w:rPr>
                <w:rFonts w:eastAsia="Arial Unicode MS"/>
                <w:sz w:val="18"/>
                <w:szCs w:val="24"/>
              </w:rPr>
            </w:pPr>
            <w:r>
              <w:rPr>
                <w:sz w:val="18"/>
                <w:szCs w:val="24"/>
              </w:rPr>
              <w:t>4.1%</w:t>
            </w:r>
          </w:p>
        </w:tc>
        <w:tc>
          <w:tcPr>
            <w:tcW w:w="1010" w:type="dxa"/>
            <w:tcBorders>
              <w:top w:val="nil"/>
            </w:tcBorders>
          </w:tcPr>
          <w:p w:rsidR="00000000" w:rsidRDefault="00000000">
            <w:pPr>
              <w:spacing w:line="264" w:lineRule="auto"/>
              <w:jc w:val="center"/>
              <w:rPr>
                <w:rFonts w:eastAsia="Arial Unicode MS"/>
                <w:sz w:val="18"/>
                <w:szCs w:val="24"/>
              </w:rPr>
            </w:pPr>
            <w:r>
              <w:rPr>
                <w:sz w:val="18"/>
                <w:szCs w:val="24"/>
              </w:rPr>
              <w:t>56.4%</w:t>
            </w:r>
          </w:p>
        </w:tc>
      </w:tr>
      <w:tr w:rsidR="00000000">
        <w:tblPrEx>
          <w:tblCellMar>
            <w:top w:w="0" w:type="dxa"/>
            <w:bottom w:w="0" w:type="dxa"/>
          </w:tblCellMar>
        </w:tblPrEx>
        <w:tc>
          <w:tcPr>
            <w:tcW w:w="1560" w:type="dxa"/>
            <w:tcBorders>
              <w:bottom w:val="single" w:sz="4" w:space="0" w:color="auto"/>
            </w:tcBorders>
          </w:tcPr>
          <w:p w:rsidR="00000000" w:rsidRDefault="00000000">
            <w:pPr>
              <w:spacing w:before="60" w:after="20" w:line="288" w:lineRule="auto"/>
              <w:jc w:val="center"/>
              <w:rPr>
                <w:rFonts w:hint="eastAsia"/>
                <w:sz w:val="18"/>
                <w:szCs w:val="24"/>
              </w:rPr>
            </w:pPr>
            <w:r>
              <w:rPr>
                <w:sz w:val="18"/>
                <w:szCs w:val="24"/>
              </w:rPr>
              <w:t>Curaçao</w:t>
            </w:r>
            <w:r>
              <w:rPr>
                <w:rFonts w:hint="eastAsia"/>
                <w:sz w:val="18"/>
                <w:szCs w:val="24"/>
              </w:rPr>
              <w:t>岛</w:t>
            </w:r>
          </w:p>
        </w:tc>
        <w:tc>
          <w:tcPr>
            <w:tcW w:w="910" w:type="dxa"/>
            <w:tcBorders>
              <w:bottom w:val="single" w:sz="4" w:space="0" w:color="auto"/>
            </w:tcBorders>
          </w:tcPr>
          <w:p w:rsidR="00000000" w:rsidRDefault="00000000">
            <w:pPr>
              <w:spacing w:before="60" w:after="20" w:line="288" w:lineRule="auto"/>
              <w:jc w:val="center"/>
              <w:rPr>
                <w:sz w:val="18"/>
                <w:szCs w:val="24"/>
              </w:rPr>
            </w:pPr>
          </w:p>
        </w:tc>
        <w:tc>
          <w:tcPr>
            <w:tcW w:w="1040" w:type="dxa"/>
            <w:tcBorders>
              <w:bottom w:val="single" w:sz="4" w:space="0" w:color="auto"/>
            </w:tcBorders>
          </w:tcPr>
          <w:p w:rsidR="00000000" w:rsidRDefault="00000000">
            <w:pPr>
              <w:spacing w:before="60" w:after="20" w:line="288" w:lineRule="auto"/>
              <w:jc w:val="center"/>
              <w:rPr>
                <w:sz w:val="18"/>
                <w:szCs w:val="24"/>
              </w:rPr>
            </w:pPr>
          </w:p>
        </w:tc>
        <w:tc>
          <w:tcPr>
            <w:tcW w:w="1105" w:type="dxa"/>
            <w:tcBorders>
              <w:bottom w:val="single" w:sz="4" w:space="0" w:color="auto"/>
            </w:tcBorders>
          </w:tcPr>
          <w:p w:rsidR="00000000" w:rsidRDefault="00000000">
            <w:pPr>
              <w:spacing w:before="60" w:after="20" w:line="288" w:lineRule="auto"/>
              <w:jc w:val="center"/>
              <w:rPr>
                <w:sz w:val="18"/>
                <w:szCs w:val="24"/>
              </w:rPr>
            </w:pPr>
          </w:p>
        </w:tc>
        <w:tc>
          <w:tcPr>
            <w:tcW w:w="1495" w:type="dxa"/>
            <w:tcBorders>
              <w:bottom w:val="single" w:sz="4" w:space="0" w:color="auto"/>
            </w:tcBorders>
          </w:tcPr>
          <w:p w:rsidR="00000000" w:rsidRDefault="00000000">
            <w:pPr>
              <w:spacing w:before="60" w:after="20" w:line="288" w:lineRule="auto"/>
              <w:jc w:val="center"/>
              <w:rPr>
                <w:sz w:val="18"/>
                <w:szCs w:val="24"/>
              </w:rPr>
            </w:pPr>
          </w:p>
        </w:tc>
        <w:tc>
          <w:tcPr>
            <w:tcW w:w="1040" w:type="dxa"/>
            <w:tcBorders>
              <w:bottom w:val="single" w:sz="4" w:space="0" w:color="auto"/>
            </w:tcBorders>
          </w:tcPr>
          <w:p w:rsidR="00000000" w:rsidRDefault="00000000">
            <w:pPr>
              <w:spacing w:before="60" w:after="20" w:line="288" w:lineRule="auto"/>
              <w:jc w:val="center"/>
              <w:rPr>
                <w:sz w:val="18"/>
                <w:szCs w:val="24"/>
              </w:rPr>
            </w:pPr>
          </w:p>
        </w:tc>
        <w:tc>
          <w:tcPr>
            <w:tcW w:w="1170" w:type="dxa"/>
            <w:tcBorders>
              <w:bottom w:val="single" w:sz="4" w:space="0" w:color="auto"/>
            </w:tcBorders>
          </w:tcPr>
          <w:p w:rsidR="00000000" w:rsidRDefault="00000000">
            <w:pPr>
              <w:spacing w:before="60" w:after="20" w:line="288" w:lineRule="auto"/>
              <w:jc w:val="center"/>
              <w:rPr>
                <w:sz w:val="18"/>
                <w:szCs w:val="24"/>
              </w:rPr>
            </w:pPr>
          </w:p>
        </w:tc>
        <w:tc>
          <w:tcPr>
            <w:tcW w:w="1010" w:type="dxa"/>
            <w:tcBorders>
              <w:bottom w:val="single" w:sz="4" w:space="0" w:color="auto"/>
            </w:tcBorders>
          </w:tcPr>
          <w:p w:rsidR="00000000" w:rsidRDefault="00000000">
            <w:pPr>
              <w:spacing w:before="60" w:after="20" w:line="288" w:lineRule="auto"/>
              <w:jc w:val="center"/>
              <w:rPr>
                <w:sz w:val="18"/>
                <w:szCs w:val="24"/>
              </w:rPr>
            </w:pPr>
          </w:p>
        </w:tc>
      </w:tr>
      <w:tr w:rsidR="00000000">
        <w:tblPrEx>
          <w:tblCellMar>
            <w:top w:w="0" w:type="dxa"/>
            <w:bottom w:w="0" w:type="dxa"/>
          </w:tblCellMar>
        </w:tblPrEx>
        <w:trPr>
          <w:trHeight w:val="255"/>
        </w:trPr>
        <w:tc>
          <w:tcPr>
            <w:tcW w:w="1560" w:type="dxa"/>
            <w:tcBorders>
              <w:bottom w:val="nil"/>
            </w:tcBorders>
          </w:tcPr>
          <w:p w:rsidR="00000000" w:rsidRDefault="00000000">
            <w:pPr>
              <w:spacing w:before="80" w:line="264" w:lineRule="auto"/>
              <w:rPr>
                <w:sz w:val="18"/>
                <w:szCs w:val="24"/>
              </w:rPr>
            </w:pPr>
            <w:r>
              <w:rPr>
                <w:sz w:val="18"/>
                <w:szCs w:val="24"/>
              </w:rPr>
              <w:t>15</w:t>
            </w:r>
            <w:r>
              <w:rPr>
                <w:rFonts w:hint="eastAsia"/>
                <w:sz w:val="18"/>
                <w:szCs w:val="24"/>
              </w:rPr>
              <w:t>岁至</w:t>
            </w:r>
            <w:r>
              <w:rPr>
                <w:sz w:val="18"/>
                <w:szCs w:val="24"/>
              </w:rPr>
              <w:t>24</w:t>
            </w:r>
            <w:r>
              <w:rPr>
                <w:rFonts w:hint="eastAsia"/>
                <w:sz w:val="18"/>
                <w:szCs w:val="24"/>
              </w:rPr>
              <w:t>岁</w:t>
            </w:r>
            <w:r>
              <w:rPr>
                <w:sz w:val="18"/>
                <w:szCs w:val="24"/>
              </w:rPr>
              <w:t>：</w:t>
            </w:r>
          </w:p>
        </w:tc>
        <w:tc>
          <w:tcPr>
            <w:tcW w:w="910" w:type="dxa"/>
            <w:tcBorders>
              <w:bottom w:val="nil"/>
            </w:tcBorders>
          </w:tcPr>
          <w:p w:rsidR="00000000" w:rsidRDefault="00000000">
            <w:pPr>
              <w:spacing w:before="80" w:line="264" w:lineRule="auto"/>
              <w:rPr>
                <w:sz w:val="18"/>
                <w:szCs w:val="24"/>
              </w:rPr>
            </w:pPr>
          </w:p>
        </w:tc>
        <w:tc>
          <w:tcPr>
            <w:tcW w:w="1040" w:type="dxa"/>
            <w:tcBorders>
              <w:bottom w:val="nil"/>
            </w:tcBorders>
          </w:tcPr>
          <w:p w:rsidR="00000000" w:rsidRDefault="00000000">
            <w:pPr>
              <w:spacing w:before="80" w:line="264" w:lineRule="auto"/>
              <w:rPr>
                <w:sz w:val="18"/>
                <w:szCs w:val="24"/>
              </w:rPr>
            </w:pPr>
          </w:p>
        </w:tc>
        <w:tc>
          <w:tcPr>
            <w:tcW w:w="1105" w:type="dxa"/>
            <w:tcBorders>
              <w:bottom w:val="nil"/>
            </w:tcBorders>
          </w:tcPr>
          <w:p w:rsidR="00000000" w:rsidRDefault="00000000">
            <w:pPr>
              <w:spacing w:before="80" w:line="264" w:lineRule="auto"/>
              <w:rPr>
                <w:sz w:val="18"/>
                <w:szCs w:val="24"/>
              </w:rPr>
            </w:pPr>
          </w:p>
        </w:tc>
        <w:tc>
          <w:tcPr>
            <w:tcW w:w="1495" w:type="dxa"/>
            <w:tcBorders>
              <w:bottom w:val="nil"/>
            </w:tcBorders>
          </w:tcPr>
          <w:p w:rsidR="00000000" w:rsidRDefault="00000000">
            <w:pPr>
              <w:spacing w:before="80" w:line="264" w:lineRule="auto"/>
              <w:rPr>
                <w:sz w:val="18"/>
                <w:szCs w:val="24"/>
              </w:rPr>
            </w:pPr>
          </w:p>
        </w:tc>
        <w:tc>
          <w:tcPr>
            <w:tcW w:w="1040" w:type="dxa"/>
            <w:tcBorders>
              <w:bottom w:val="nil"/>
            </w:tcBorders>
          </w:tcPr>
          <w:p w:rsidR="00000000" w:rsidRDefault="00000000">
            <w:pPr>
              <w:spacing w:before="80" w:line="264" w:lineRule="auto"/>
              <w:rPr>
                <w:sz w:val="18"/>
                <w:szCs w:val="24"/>
              </w:rPr>
            </w:pPr>
          </w:p>
        </w:tc>
        <w:tc>
          <w:tcPr>
            <w:tcW w:w="1170" w:type="dxa"/>
            <w:tcBorders>
              <w:bottom w:val="nil"/>
            </w:tcBorders>
          </w:tcPr>
          <w:p w:rsidR="00000000" w:rsidRDefault="00000000">
            <w:pPr>
              <w:spacing w:before="80" w:line="264" w:lineRule="auto"/>
              <w:rPr>
                <w:sz w:val="18"/>
                <w:szCs w:val="24"/>
              </w:rPr>
            </w:pPr>
          </w:p>
        </w:tc>
        <w:tc>
          <w:tcPr>
            <w:tcW w:w="1010" w:type="dxa"/>
            <w:tcBorders>
              <w:bottom w:val="nil"/>
            </w:tcBorders>
          </w:tcPr>
          <w:p w:rsidR="00000000" w:rsidRDefault="00000000">
            <w:pPr>
              <w:spacing w:before="80" w:line="264" w:lineRule="auto"/>
              <w:rPr>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1998</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4 192</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2 315</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6 507</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18 735</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22.4%</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35.6%</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rFonts w:eastAsia="Arial Unicode MS"/>
                <w:sz w:val="18"/>
                <w:szCs w:val="24"/>
              </w:rPr>
              <w:t>34.7%</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4 108</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1 535</w:t>
            </w:r>
          </w:p>
        </w:tc>
        <w:tc>
          <w:tcPr>
            <w:tcW w:w="110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5 643</w:t>
            </w:r>
          </w:p>
        </w:tc>
        <w:tc>
          <w:tcPr>
            <w:tcW w:w="149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16 832</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24.4%</w:t>
            </w:r>
          </w:p>
        </w:tc>
        <w:tc>
          <w:tcPr>
            <w:tcW w:w="117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27.2%</w:t>
            </w:r>
          </w:p>
        </w:tc>
        <w:tc>
          <w:tcPr>
            <w:tcW w:w="10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33.5%</w:t>
            </w:r>
          </w:p>
        </w:tc>
      </w:tr>
      <w:tr w:rsidR="00000000">
        <w:tblPrEx>
          <w:tblCellMar>
            <w:top w:w="0" w:type="dxa"/>
            <w:bottom w:w="0" w:type="dxa"/>
          </w:tblCellMar>
        </w:tblPrEx>
        <w:tc>
          <w:tcPr>
            <w:tcW w:w="1560" w:type="dxa"/>
            <w:tcBorders>
              <w:top w:val="nil"/>
              <w:bottom w:val="nil"/>
            </w:tcBorders>
          </w:tcPr>
          <w:p w:rsidR="00000000" w:rsidRDefault="00000000">
            <w:pPr>
              <w:spacing w:line="264" w:lineRule="auto"/>
              <w:rPr>
                <w:rFonts w:eastAsia="Arial Unicode MS"/>
                <w:sz w:val="18"/>
                <w:szCs w:val="24"/>
              </w:rPr>
            </w:pPr>
            <w:r>
              <w:rPr>
                <w:sz w:val="18"/>
                <w:szCs w:val="24"/>
              </w:rPr>
              <w:t>25</w:t>
            </w:r>
            <w:r>
              <w:rPr>
                <w:rFonts w:hint="eastAsia"/>
                <w:sz w:val="18"/>
                <w:szCs w:val="24"/>
              </w:rPr>
              <w:t>岁至</w:t>
            </w:r>
            <w:r>
              <w:rPr>
                <w:sz w:val="18"/>
                <w:szCs w:val="24"/>
              </w:rPr>
              <w:t>34</w:t>
            </w:r>
            <w:r>
              <w:rPr>
                <w:rFonts w:hint="eastAsia"/>
                <w:sz w:val="18"/>
                <w:szCs w:val="24"/>
              </w:rPr>
              <w:t>岁</w:t>
            </w:r>
            <w:r>
              <w:rPr>
                <w:sz w:val="18"/>
                <w:szCs w:val="24"/>
              </w:rPr>
              <w:t>：</w:t>
            </w:r>
            <w:r>
              <w:rPr>
                <w:sz w:val="18"/>
                <w:szCs w:val="24"/>
              </w:rPr>
              <w:t xml:space="preserve"> </w:t>
            </w:r>
          </w:p>
        </w:tc>
        <w:tc>
          <w:tcPr>
            <w:tcW w:w="910"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05" w:type="dxa"/>
            <w:tcBorders>
              <w:top w:val="nil"/>
              <w:bottom w:val="nil"/>
            </w:tcBorders>
          </w:tcPr>
          <w:p w:rsidR="00000000" w:rsidRDefault="00000000">
            <w:pPr>
              <w:spacing w:line="264" w:lineRule="auto"/>
              <w:rPr>
                <w:rFonts w:eastAsia="Arial Unicode MS"/>
                <w:sz w:val="18"/>
                <w:szCs w:val="24"/>
              </w:rPr>
            </w:pPr>
          </w:p>
        </w:tc>
        <w:tc>
          <w:tcPr>
            <w:tcW w:w="1495"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1998</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12 918</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3 177</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16 095</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19 004</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68.0%</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19.7%</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84.7%</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11 639</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2 085</w:t>
            </w:r>
          </w:p>
        </w:tc>
        <w:tc>
          <w:tcPr>
            <w:tcW w:w="110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13 724</w:t>
            </w:r>
          </w:p>
        </w:tc>
        <w:tc>
          <w:tcPr>
            <w:tcW w:w="149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16 053</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72.5%</w:t>
            </w:r>
          </w:p>
        </w:tc>
        <w:tc>
          <w:tcPr>
            <w:tcW w:w="117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15.2%</w:t>
            </w:r>
          </w:p>
        </w:tc>
        <w:tc>
          <w:tcPr>
            <w:tcW w:w="10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85.5%</w:t>
            </w:r>
          </w:p>
        </w:tc>
      </w:tr>
      <w:tr w:rsidR="00000000">
        <w:tblPrEx>
          <w:tblCellMar>
            <w:top w:w="0" w:type="dxa"/>
            <w:bottom w:w="0" w:type="dxa"/>
          </w:tblCellMar>
        </w:tblPrEx>
        <w:tc>
          <w:tcPr>
            <w:tcW w:w="1560" w:type="dxa"/>
            <w:tcBorders>
              <w:top w:val="nil"/>
              <w:bottom w:val="nil"/>
            </w:tcBorders>
          </w:tcPr>
          <w:p w:rsidR="00000000" w:rsidRDefault="00000000">
            <w:pPr>
              <w:spacing w:line="264" w:lineRule="auto"/>
              <w:rPr>
                <w:rFonts w:eastAsia="Arial Unicode MS"/>
                <w:sz w:val="18"/>
                <w:szCs w:val="24"/>
              </w:rPr>
            </w:pPr>
            <w:r>
              <w:rPr>
                <w:sz w:val="18"/>
                <w:szCs w:val="24"/>
              </w:rPr>
              <w:t>35</w:t>
            </w:r>
            <w:r>
              <w:rPr>
                <w:rFonts w:hint="eastAsia"/>
                <w:sz w:val="18"/>
                <w:szCs w:val="24"/>
              </w:rPr>
              <w:t>岁至</w:t>
            </w:r>
            <w:r>
              <w:rPr>
                <w:sz w:val="18"/>
                <w:szCs w:val="24"/>
              </w:rPr>
              <w:t>44</w:t>
            </w:r>
            <w:r>
              <w:rPr>
                <w:rFonts w:hint="eastAsia"/>
                <w:sz w:val="18"/>
                <w:szCs w:val="24"/>
              </w:rPr>
              <w:t>岁</w:t>
            </w:r>
            <w:r>
              <w:rPr>
                <w:sz w:val="18"/>
                <w:szCs w:val="24"/>
              </w:rPr>
              <w:t>：</w:t>
            </w:r>
            <w:r>
              <w:rPr>
                <w:sz w:val="18"/>
                <w:szCs w:val="24"/>
              </w:rPr>
              <w:t xml:space="preserve"> </w:t>
            </w:r>
          </w:p>
        </w:tc>
        <w:tc>
          <w:tcPr>
            <w:tcW w:w="910"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05" w:type="dxa"/>
            <w:tcBorders>
              <w:top w:val="nil"/>
              <w:bottom w:val="nil"/>
            </w:tcBorders>
          </w:tcPr>
          <w:p w:rsidR="00000000" w:rsidRDefault="00000000">
            <w:pPr>
              <w:spacing w:line="264" w:lineRule="auto"/>
              <w:rPr>
                <w:rFonts w:eastAsia="Arial Unicode MS"/>
                <w:sz w:val="18"/>
                <w:szCs w:val="24"/>
              </w:rPr>
            </w:pPr>
          </w:p>
        </w:tc>
        <w:tc>
          <w:tcPr>
            <w:tcW w:w="1495"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1998</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17 469</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3 043</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20 512</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24 633</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70.9%</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14.8%</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83.3%</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16 676</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2 712</w:t>
            </w:r>
          </w:p>
        </w:tc>
        <w:tc>
          <w:tcPr>
            <w:tcW w:w="110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19 388</w:t>
            </w:r>
          </w:p>
        </w:tc>
        <w:tc>
          <w:tcPr>
            <w:tcW w:w="149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23 452</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71.1%</w:t>
            </w:r>
          </w:p>
        </w:tc>
        <w:tc>
          <w:tcPr>
            <w:tcW w:w="117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14.0%</w:t>
            </w:r>
          </w:p>
        </w:tc>
        <w:tc>
          <w:tcPr>
            <w:tcW w:w="10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82.7%</w:t>
            </w:r>
          </w:p>
        </w:tc>
      </w:tr>
      <w:tr w:rsidR="00000000">
        <w:tblPrEx>
          <w:tblCellMar>
            <w:top w:w="0" w:type="dxa"/>
            <w:bottom w:w="0" w:type="dxa"/>
          </w:tblCellMar>
        </w:tblPrEx>
        <w:tc>
          <w:tcPr>
            <w:tcW w:w="1560" w:type="dxa"/>
            <w:tcBorders>
              <w:top w:val="nil"/>
              <w:bottom w:val="nil"/>
            </w:tcBorders>
          </w:tcPr>
          <w:p w:rsidR="00000000" w:rsidRDefault="00000000">
            <w:pPr>
              <w:spacing w:line="264" w:lineRule="auto"/>
              <w:rPr>
                <w:rFonts w:eastAsia="Arial Unicode MS"/>
                <w:sz w:val="18"/>
                <w:szCs w:val="24"/>
              </w:rPr>
            </w:pPr>
            <w:r>
              <w:rPr>
                <w:sz w:val="18"/>
                <w:szCs w:val="24"/>
              </w:rPr>
              <w:t>45</w:t>
            </w:r>
            <w:r>
              <w:rPr>
                <w:rFonts w:hint="eastAsia"/>
                <w:sz w:val="18"/>
                <w:szCs w:val="24"/>
              </w:rPr>
              <w:t>岁至</w:t>
            </w:r>
            <w:r>
              <w:rPr>
                <w:sz w:val="18"/>
                <w:szCs w:val="24"/>
              </w:rPr>
              <w:t>54</w:t>
            </w:r>
            <w:r>
              <w:rPr>
                <w:rFonts w:hint="eastAsia"/>
                <w:sz w:val="18"/>
                <w:szCs w:val="24"/>
              </w:rPr>
              <w:t>岁</w:t>
            </w:r>
            <w:r>
              <w:rPr>
                <w:sz w:val="18"/>
                <w:szCs w:val="24"/>
              </w:rPr>
              <w:t>：</w:t>
            </w:r>
            <w:r>
              <w:rPr>
                <w:sz w:val="18"/>
                <w:szCs w:val="24"/>
              </w:rPr>
              <w:t xml:space="preserve"> </w:t>
            </w:r>
          </w:p>
        </w:tc>
        <w:tc>
          <w:tcPr>
            <w:tcW w:w="910"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05" w:type="dxa"/>
            <w:tcBorders>
              <w:top w:val="nil"/>
              <w:bottom w:val="nil"/>
            </w:tcBorders>
          </w:tcPr>
          <w:p w:rsidR="00000000" w:rsidRDefault="00000000">
            <w:pPr>
              <w:spacing w:line="264" w:lineRule="auto"/>
              <w:rPr>
                <w:rFonts w:eastAsia="Arial Unicode MS"/>
                <w:sz w:val="18"/>
                <w:szCs w:val="24"/>
              </w:rPr>
            </w:pPr>
          </w:p>
        </w:tc>
        <w:tc>
          <w:tcPr>
            <w:tcW w:w="1495"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1998</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13 142</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1 482</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14 624</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20 187</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65.1%</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10.1%</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72.4%</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13 627</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1 580</w:t>
            </w:r>
          </w:p>
        </w:tc>
        <w:tc>
          <w:tcPr>
            <w:tcW w:w="110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15 207</w:t>
            </w:r>
          </w:p>
        </w:tc>
        <w:tc>
          <w:tcPr>
            <w:tcW w:w="149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20 274</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67.2%</w:t>
            </w:r>
          </w:p>
        </w:tc>
        <w:tc>
          <w:tcPr>
            <w:tcW w:w="1170" w:type="dxa"/>
            <w:tcBorders>
              <w:top w:val="nil"/>
              <w:bottom w:val="nil"/>
              <w:right w:val="single" w:sz="4" w:space="0" w:color="auto"/>
            </w:tcBorders>
          </w:tcPr>
          <w:p w:rsidR="00000000" w:rsidRDefault="00000000">
            <w:pPr>
              <w:spacing w:after="60" w:line="264" w:lineRule="auto"/>
              <w:jc w:val="center"/>
              <w:rPr>
                <w:rFonts w:eastAsia="Arial Unicode MS"/>
                <w:sz w:val="18"/>
                <w:szCs w:val="24"/>
              </w:rPr>
            </w:pPr>
            <w:r>
              <w:rPr>
                <w:sz w:val="18"/>
                <w:szCs w:val="24"/>
              </w:rPr>
              <w:t>10.4%</w:t>
            </w:r>
          </w:p>
        </w:tc>
        <w:tc>
          <w:tcPr>
            <w:tcW w:w="1010" w:type="dxa"/>
            <w:tcBorders>
              <w:top w:val="nil"/>
              <w:left w:val="single" w:sz="4" w:space="0" w:color="auto"/>
              <w:bottom w:val="nil"/>
            </w:tcBorders>
          </w:tcPr>
          <w:p w:rsidR="00000000" w:rsidRDefault="00000000">
            <w:pPr>
              <w:spacing w:after="60" w:line="264" w:lineRule="auto"/>
              <w:jc w:val="center"/>
              <w:rPr>
                <w:rFonts w:eastAsia="Arial Unicode MS"/>
                <w:sz w:val="18"/>
                <w:szCs w:val="24"/>
              </w:rPr>
            </w:pPr>
            <w:r>
              <w:rPr>
                <w:sz w:val="18"/>
                <w:szCs w:val="24"/>
              </w:rPr>
              <w:t>75.0%</w:t>
            </w:r>
          </w:p>
        </w:tc>
      </w:tr>
      <w:tr w:rsidR="00000000">
        <w:tblPrEx>
          <w:tblCellMar>
            <w:top w:w="0" w:type="dxa"/>
            <w:bottom w:w="0" w:type="dxa"/>
          </w:tblCellMar>
        </w:tblPrEx>
        <w:tc>
          <w:tcPr>
            <w:tcW w:w="1560" w:type="dxa"/>
            <w:tcBorders>
              <w:top w:val="nil"/>
              <w:bottom w:val="nil"/>
            </w:tcBorders>
          </w:tcPr>
          <w:p w:rsidR="00000000" w:rsidRDefault="00000000">
            <w:pPr>
              <w:spacing w:line="264" w:lineRule="auto"/>
              <w:rPr>
                <w:rFonts w:eastAsia="Arial Unicode MS"/>
                <w:sz w:val="18"/>
                <w:szCs w:val="24"/>
              </w:rPr>
            </w:pPr>
            <w:r>
              <w:rPr>
                <w:sz w:val="18"/>
                <w:szCs w:val="24"/>
              </w:rPr>
              <w:t xml:space="preserve"> 54</w:t>
            </w:r>
            <w:r>
              <w:rPr>
                <w:rFonts w:hint="eastAsia"/>
                <w:sz w:val="18"/>
                <w:szCs w:val="24"/>
              </w:rPr>
              <w:t>岁以上</w:t>
            </w:r>
            <w:r>
              <w:rPr>
                <w:sz w:val="18"/>
                <w:szCs w:val="24"/>
              </w:rPr>
              <w:t>：</w:t>
            </w:r>
          </w:p>
        </w:tc>
        <w:tc>
          <w:tcPr>
            <w:tcW w:w="910"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05" w:type="dxa"/>
            <w:tcBorders>
              <w:top w:val="nil"/>
              <w:bottom w:val="nil"/>
            </w:tcBorders>
          </w:tcPr>
          <w:p w:rsidR="00000000" w:rsidRDefault="00000000">
            <w:pPr>
              <w:spacing w:line="264" w:lineRule="auto"/>
              <w:rPr>
                <w:rFonts w:eastAsia="Arial Unicode MS"/>
                <w:sz w:val="18"/>
                <w:szCs w:val="24"/>
              </w:rPr>
            </w:pPr>
          </w:p>
        </w:tc>
        <w:tc>
          <w:tcPr>
            <w:tcW w:w="1495"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1998</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5 241</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526</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5 767</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25 608</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20.5%</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9.1%</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22.5%</w:t>
            </w:r>
          </w:p>
        </w:tc>
      </w:tr>
      <w:tr w:rsidR="00000000">
        <w:tblPrEx>
          <w:tblCellMar>
            <w:top w:w="0" w:type="dxa"/>
            <w:bottom w:w="0" w:type="dxa"/>
          </w:tblCellMar>
        </w:tblPrEx>
        <w:tc>
          <w:tcPr>
            <w:tcW w:w="1560" w:type="dxa"/>
            <w:tcBorders>
              <w:top w:val="nil"/>
            </w:tcBorders>
          </w:tcPr>
          <w:p w:rsidR="00000000" w:rsidRDefault="00000000">
            <w:pPr>
              <w:spacing w:line="264" w:lineRule="auto"/>
              <w:rPr>
                <w:rFonts w:eastAsia="Arial Unicode MS"/>
                <w:sz w:val="18"/>
                <w:szCs w:val="24"/>
              </w:rPr>
            </w:pPr>
            <w:r>
              <w:rPr>
                <w:sz w:val="18"/>
                <w:szCs w:val="24"/>
              </w:rPr>
              <w:t xml:space="preserve">  2000</w:t>
            </w:r>
          </w:p>
        </w:tc>
        <w:tc>
          <w:tcPr>
            <w:tcW w:w="910" w:type="dxa"/>
            <w:tcBorders>
              <w:top w:val="nil"/>
            </w:tcBorders>
          </w:tcPr>
          <w:p w:rsidR="00000000" w:rsidRDefault="00000000">
            <w:pPr>
              <w:spacing w:line="264" w:lineRule="auto"/>
              <w:jc w:val="center"/>
              <w:rPr>
                <w:rFonts w:eastAsia="Arial Unicode MS"/>
                <w:sz w:val="18"/>
                <w:szCs w:val="24"/>
              </w:rPr>
            </w:pPr>
            <w:r>
              <w:rPr>
                <w:sz w:val="18"/>
                <w:szCs w:val="24"/>
              </w:rPr>
              <w:t>6 186</w:t>
            </w:r>
          </w:p>
        </w:tc>
        <w:tc>
          <w:tcPr>
            <w:tcW w:w="1040" w:type="dxa"/>
            <w:tcBorders>
              <w:top w:val="nil"/>
            </w:tcBorders>
          </w:tcPr>
          <w:p w:rsidR="00000000" w:rsidRDefault="00000000">
            <w:pPr>
              <w:spacing w:line="264" w:lineRule="auto"/>
              <w:jc w:val="center"/>
              <w:rPr>
                <w:rFonts w:eastAsia="Arial Unicode MS"/>
                <w:sz w:val="18"/>
                <w:szCs w:val="24"/>
              </w:rPr>
            </w:pPr>
            <w:r>
              <w:rPr>
                <w:sz w:val="18"/>
                <w:szCs w:val="24"/>
              </w:rPr>
              <w:t>619</w:t>
            </w:r>
          </w:p>
        </w:tc>
        <w:tc>
          <w:tcPr>
            <w:tcW w:w="1105" w:type="dxa"/>
            <w:tcBorders>
              <w:top w:val="nil"/>
            </w:tcBorders>
          </w:tcPr>
          <w:p w:rsidR="00000000" w:rsidRDefault="00000000">
            <w:pPr>
              <w:spacing w:line="264" w:lineRule="auto"/>
              <w:jc w:val="center"/>
              <w:rPr>
                <w:rFonts w:eastAsia="Arial Unicode MS"/>
                <w:sz w:val="18"/>
                <w:szCs w:val="24"/>
              </w:rPr>
            </w:pPr>
            <w:r>
              <w:rPr>
                <w:sz w:val="18"/>
                <w:szCs w:val="24"/>
              </w:rPr>
              <w:t>6 805</w:t>
            </w:r>
          </w:p>
        </w:tc>
        <w:tc>
          <w:tcPr>
            <w:tcW w:w="1495" w:type="dxa"/>
            <w:tcBorders>
              <w:top w:val="nil"/>
            </w:tcBorders>
          </w:tcPr>
          <w:p w:rsidR="00000000" w:rsidRDefault="00000000">
            <w:pPr>
              <w:spacing w:line="264" w:lineRule="auto"/>
              <w:jc w:val="center"/>
              <w:rPr>
                <w:rFonts w:eastAsia="Arial Unicode MS"/>
                <w:sz w:val="18"/>
                <w:szCs w:val="24"/>
              </w:rPr>
            </w:pPr>
            <w:r>
              <w:rPr>
                <w:sz w:val="18"/>
                <w:szCs w:val="24"/>
              </w:rPr>
              <w:t>25 937</w:t>
            </w:r>
          </w:p>
        </w:tc>
        <w:tc>
          <w:tcPr>
            <w:tcW w:w="1040" w:type="dxa"/>
            <w:tcBorders>
              <w:top w:val="nil"/>
            </w:tcBorders>
          </w:tcPr>
          <w:p w:rsidR="00000000" w:rsidRDefault="00000000">
            <w:pPr>
              <w:spacing w:line="264" w:lineRule="auto"/>
              <w:jc w:val="center"/>
              <w:rPr>
                <w:rFonts w:eastAsia="Arial Unicode MS"/>
                <w:sz w:val="18"/>
                <w:szCs w:val="24"/>
              </w:rPr>
            </w:pPr>
            <w:r>
              <w:rPr>
                <w:sz w:val="18"/>
                <w:szCs w:val="24"/>
              </w:rPr>
              <w:t>23.9%</w:t>
            </w:r>
          </w:p>
        </w:tc>
        <w:tc>
          <w:tcPr>
            <w:tcW w:w="1170" w:type="dxa"/>
            <w:tcBorders>
              <w:top w:val="nil"/>
            </w:tcBorders>
          </w:tcPr>
          <w:p w:rsidR="00000000" w:rsidRDefault="00000000">
            <w:pPr>
              <w:spacing w:line="264" w:lineRule="auto"/>
              <w:jc w:val="center"/>
              <w:rPr>
                <w:rFonts w:eastAsia="Arial Unicode MS"/>
                <w:sz w:val="18"/>
                <w:szCs w:val="24"/>
              </w:rPr>
            </w:pPr>
            <w:r>
              <w:rPr>
                <w:sz w:val="18"/>
                <w:szCs w:val="24"/>
              </w:rPr>
              <w:t>9.1%</w:t>
            </w:r>
          </w:p>
        </w:tc>
        <w:tc>
          <w:tcPr>
            <w:tcW w:w="1010" w:type="dxa"/>
            <w:tcBorders>
              <w:top w:val="nil"/>
            </w:tcBorders>
          </w:tcPr>
          <w:p w:rsidR="00000000" w:rsidRDefault="00000000">
            <w:pPr>
              <w:spacing w:line="264" w:lineRule="auto"/>
              <w:jc w:val="center"/>
              <w:rPr>
                <w:rFonts w:eastAsia="Arial Unicode MS"/>
                <w:sz w:val="18"/>
                <w:szCs w:val="24"/>
              </w:rPr>
            </w:pPr>
            <w:r>
              <w:rPr>
                <w:sz w:val="18"/>
                <w:szCs w:val="24"/>
              </w:rPr>
              <w:t>26.2%</w:t>
            </w:r>
          </w:p>
        </w:tc>
      </w:tr>
      <w:tr w:rsidR="00000000">
        <w:tblPrEx>
          <w:tblCellMar>
            <w:top w:w="0" w:type="dxa"/>
            <w:bottom w:w="0" w:type="dxa"/>
          </w:tblCellMar>
        </w:tblPrEx>
        <w:tc>
          <w:tcPr>
            <w:tcW w:w="1560" w:type="dxa"/>
            <w:tcBorders>
              <w:bottom w:val="single" w:sz="4" w:space="0" w:color="auto"/>
            </w:tcBorders>
          </w:tcPr>
          <w:p w:rsidR="00000000" w:rsidRDefault="00000000">
            <w:pPr>
              <w:spacing w:before="60" w:after="20" w:line="288" w:lineRule="auto"/>
              <w:jc w:val="center"/>
              <w:rPr>
                <w:rFonts w:hint="eastAsia"/>
                <w:sz w:val="18"/>
                <w:szCs w:val="24"/>
              </w:rPr>
            </w:pPr>
            <w:r>
              <w:rPr>
                <w:sz w:val="18"/>
                <w:szCs w:val="24"/>
              </w:rPr>
              <w:t>Sint Maarten</w:t>
            </w:r>
            <w:r>
              <w:rPr>
                <w:rFonts w:hint="eastAsia"/>
                <w:sz w:val="18"/>
                <w:szCs w:val="24"/>
              </w:rPr>
              <w:t>岛</w:t>
            </w:r>
          </w:p>
        </w:tc>
        <w:tc>
          <w:tcPr>
            <w:tcW w:w="910" w:type="dxa"/>
            <w:tcBorders>
              <w:bottom w:val="single" w:sz="4" w:space="0" w:color="auto"/>
            </w:tcBorders>
          </w:tcPr>
          <w:p w:rsidR="00000000" w:rsidRDefault="00000000">
            <w:pPr>
              <w:spacing w:before="60" w:after="20" w:line="288" w:lineRule="auto"/>
              <w:jc w:val="center"/>
              <w:rPr>
                <w:sz w:val="18"/>
                <w:szCs w:val="24"/>
              </w:rPr>
            </w:pPr>
          </w:p>
        </w:tc>
        <w:tc>
          <w:tcPr>
            <w:tcW w:w="1040" w:type="dxa"/>
            <w:tcBorders>
              <w:bottom w:val="single" w:sz="4" w:space="0" w:color="auto"/>
            </w:tcBorders>
          </w:tcPr>
          <w:p w:rsidR="00000000" w:rsidRDefault="00000000">
            <w:pPr>
              <w:spacing w:before="60" w:after="20" w:line="288" w:lineRule="auto"/>
              <w:jc w:val="center"/>
              <w:rPr>
                <w:sz w:val="18"/>
                <w:szCs w:val="24"/>
              </w:rPr>
            </w:pPr>
          </w:p>
        </w:tc>
        <w:tc>
          <w:tcPr>
            <w:tcW w:w="1105" w:type="dxa"/>
            <w:tcBorders>
              <w:bottom w:val="single" w:sz="4" w:space="0" w:color="auto"/>
            </w:tcBorders>
          </w:tcPr>
          <w:p w:rsidR="00000000" w:rsidRDefault="00000000">
            <w:pPr>
              <w:spacing w:before="60" w:after="20" w:line="288" w:lineRule="auto"/>
              <w:jc w:val="center"/>
              <w:rPr>
                <w:sz w:val="18"/>
                <w:szCs w:val="24"/>
              </w:rPr>
            </w:pPr>
          </w:p>
        </w:tc>
        <w:tc>
          <w:tcPr>
            <w:tcW w:w="1495" w:type="dxa"/>
            <w:tcBorders>
              <w:bottom w:val="single" w:sz="4" w:space="0" w:color="auto"/>
            </w:tcBorders>
          </w:tcPr>
          <w:p w:rsidR="00000000" w:rsidRDefault="00000000">
            <w:pPr>
              <w:spacing w:before="60" w:after="20" w:line="288" w:lineRule="auto"/>
              <w:jc w:val="center"/>
              <w:rPr>
                <w:sz w:val="18"/>
                <w:szCs w:val="24"/>
              </w:rPr>
            </w:pPr>
          </w:p>
        </w:tc>
        <w:tc>
          <w:tcPr>
            <w:tcW w:w="1040" w:type="dxa"/>
            <w:tcBorders>
              <w:bottom w:val="single" w:sz="4" w:space="0" w:color="auto"/>
            </w:tcBorders>
          </w:tcPr>
          <w:p w:rsidR="00000000" w:rsidRDefault="00000000">
            <w:pPr>
              <w:spacing w:before="60" w:after="20" w:line="288" w:lineRule="auto"/>
              <w:jc w:val="center"/>
              <w:rPr>
                <w:sz w:val="18"/>
                <w:szCs w:val="24"/>
              </w:rPr>
            </w:pPr>
          </w:p>
        </w:tc>
        <w:tc>
          <w:tcPr>
            <w:tcW w:w="1170" w:type="dxa"/>
            <w:tcBorders>
              <w:bottom w:val="single" w:sz="4" w:space="0" w:color="auto"/>
            </w:tcBorders>
          </w:tcPr>
          <w:p w:rsidR="00000000" w:rsidRDefault="00000000">
            <w:pPr>
              <w:spacing w:before="60" w:after="20" w:line="288" w:lineRule="auto"/>
              <w:jc w:val="center"/>
              <w:rPr>
                <w:sz w:val="18"/>
                <w:szCs w:val="24"/>
              </w:rPr>
            </w:pPr>
          </w:p>
        </w:tc>
        <w:tc>
          <w:tcPr>
            <w:tcW w:w="1010" w:type="dxa"/>
            <w:tcBorders>
              <w:bottom w:val="single" w:sz="4" w:space="0" w:color="auto"/>
            </w:tcBorders>
          </w:tcPr>
          <w:p w:rsidR="00000000" w:rsidRDefault="00000000">
            <w:pPr>
              <w:spacing w:before="60" w:after="20" w:line="288" w:lineRule="auto"/>
              <w:jc w:val="center"/>
              <w:rPr>
                <w:sz w:val="18"/>
                <w:szCs w:val="24"/>
              </w:rPr>
            </w:pPr>
          </w:p>
        </w:tc>
      </w:tr>
      <w:tr w:rsidR="00000000">
        <w:tblPrEx>
          <w:tblCellMar>
            <w:top w:w="0" w:type="dxa"/>
            <w:bottom w:w="0" w:type="dxa"/>
          </w:tblCellMar>
        </w:tblPrEx>
        <w:tc>
          <w:tcPr>
            <w:tcW w:w="1560" w:type="dxa"/>
            <w:tcBorders>
              <w:bottom w:val="nil"/>
            </w:tcBorders>
          </w:tcPr>
          <w:p w:rsidR="00000000" w:rsidRDefault="00000000">
            <w:pPr>
              <w:spacing w:before="80" w:line="264" w:lineRule="auto"/>
              <w:rPr>
                <w:sz w:val="18"/>
                <w:szCs w:val="24"/>
              </w:rPr>
            </w:pPr>
            <w:r>
              <w:rPr>
                <w:sz w:val="18"/>
                <w:szCs w:val="24"/>
              </w:rPr>
              <w:t>15</w:t>
            </w:r>
            <w:r>
              <w:rPr>
                <w:rFonts w:hint="eastAsia"/>
                <w:sz w:val="18"/>
                <w:szCs w:val="24"/>
              </w:rPr>
              <w:t>岁至</w:t>
            </w:r>
            <w:r>
              <w:rPr>
                <w:sz w:val="18"/>
                <w:szCs w:val="24"/>
              </w:rPr>
              <w:t>24</w:t>
            </w:r>
            <w:r>
              <w:rPr>
                <w:rFonts w:hint="eastAsia"/>
                <w:sz w:val="18"/>
                <w:szCs w:val="24"/>
              </w:rPr>
              <w:t>岁</w:t>
            </w:r>
            <w:r>
              <w:rPr>
                <w:sz w:val="18"/>
                <w:szCs w:val="24"/>
              </w:rPr>
              <w:t>：</w:t>
            </w:r>
            <w:r>
              <w:rPr>
                <w:sz w:val="18"/>
                <w:szCs w:val="24"/>
              </w:rPr>
              <w:t xml:space="preserve"> </w:t>
            </w:r>
          </w:p>
        </w:tc>
        <w:tc>
          <w:tcPr>
            <w:tcW w:w="910" w:type="dxa"/>
            <w:tcBorders>
              <w:bottom w:val="nil"/>
            </w:tcBorders>
          </w:tcPr>
          <w:p w:rsidR="00000000" w:rsidRDefault="00000000">
            <w:pPr>
              <w:spacing w:before="80" w:line="264" w:lineRule="auto"/>
              <w:rPr>
                <w:sz w:val="18"/>
                <w:szCs w:val="24"/>
              </w:rPr>
            </w:pPr>
          </w:p>
        </w:tc>
        <w:tc>
          <w:tcPr>
            <w:tcW w:w="1040" w:type="dxa"/>
            <w:tcBorders>
              <w:bottom w:val="nil"/>
            </w:tcBorders>
          </w:tcPr>
          <w:p w:rsidR="00000000" w:rsidRDefault="00000000">
            <w:pPr>
              <w:spacing w:before="80" w:line="264" w:lineRule="auto"/>
              <w:rPr>
                <w:sz w:val="18"/>
                <w:szCs w:val="24"/>
              </w:rPr>
            </w:pPr>
          </w:p>
        </w:tc>
        <w:tc>
          <w:tcPr>
            <w:tcW w:w="1105" w:type="dxa"/>
            <w:tcBorders>
              <w:bottom w:val="nil"/>
            </w:tcBorders>
          </w:tcPr>
          <w:p w:rsidR="00000000" w:rsidRDefault="00000000">
            <w:pPr>
              <w:spacing w:before="80" w:line="264" w:lineRule="auto"/>
              <w:rPr>
                <w:sz w:val="18"/>
                <w:szCs w:val="24"/>
              </w:rPr>
            </w:pPr>
          </w:p>
        </w:tc>
        <w:tc>
          <w:tcPr>
            <w:tcW w:w="1495" w:type="dxa"/>
            <w:tcBorders>
              <w:bottom w:val="nil"/>
            </w:tcBorders>
          </w:tcPr>
          <w:p w:rsidR="00000000" w:rsidRDefault="00000000">
            <w:pPr>
              <w:spacing w:before="80" w:line="264" w:lineRule="auto"/>
              <w:rPr>
                <w:sz w:val="18"/>
                <w:szCs w:val="24"/>
              </w:rPr>
            </w:pPr>
          </w:p>
        </w:tc>
        <w:tc>
          <w:tcPr>
            <w:tcW w:w="1040" w:type="dxa"/>
            <w:tcBorders>
              <w:bottom w:val="nil"/>
            </w:tcBorders>
          </w:tcPr>
          <w:p w:rsidR="00000000" w:rsidRDefault="00000000">
            <w:pPr>
              <w:spacing w:before="80" w:line="264" w:lineRule="auto"/>
              <w:rPr>
                <w:sz w:val="18"/>
                <w:szCs w:val="24"/>
              </w:rPr>
            </w:pPr>
          </w:p>
        </w:tc>
        <w:tc>
          <w:tcPr>
            <w:tcW w:w="1170" w:type="dxa"/>
            <w:tcBorders>
              <w:bottom w:val="nil"/>
            </w:tcBorders>
          </w:tcPr>
          <w:p w:rsidR="00000000" w:rsidRDefault="00000000">
            <w:pPr>
              <w:spacing w:before="80" w:line="264" w:lineRule="auto"/>
              <w:rPr>
                <w:sz w:val="18"/>
                <w:szCs w:val="24"/>
              </w:rPr>
            </w:pPr>
          </w:p>
        </w:tc>
        <w:tc>
          <w:tcPr>
            <w:tcW w:w="1010" w:type="dxa"/>
            <w:tcBorders>
              <w:bottom w:val="nil"/>
            </w:tcBorders>
          </w:tcPr>
          <w:p w:rsidR="00000000" w:rsidRDefault="00000000">
            <w:pPr>
              <w:spacing w:before="80" w:line="264" w:lineRule="auto"/>
              <w:rPr>
                <w:sz w:val="18"/>
                <w:szCs w:val="24"/>
              </w:rPr>
            </w:pPr>
          </w:p>
        </w:tc>
      </w:tr>
      <w:tr w:rsidR="00000000">
        <w:tblPrEx>
          <w:tblCellMar>
            <w:top w:w="0" w:type="dxa"/>
            <w:bottom w:w="0" w:type="dxa"/>
          </w:tblCellMar>
        </w:tblPrEx>
        <w:tc>
          <w:tcPr>
            <w:tcW w:w="1560" w:type="dxa"/>
            <w:tcBorders>
              <w:top w:val="nil"/>
              <w:bottom w:val="nil"/>
            </w:tcBorders>
          </w:tcPr>
          <w:p w:rsidR="00000000" w:rsidRDefault="00000000">
            <w:pPr>
              <w:spacing w:before="60" w:line="264" w:lineRule="auto"/>
              <w:rPr>
                <w:sz w:val="18"/>
                <w:szCs w:val="24"/>
              </w:rPr>
            </w:pPr>
            <w:r>
              <w:rPr>
                <w:sz w:val="18"/>
                <w:szCs w:val="24"/>
              </w:rPr>
              <w:t xml:space="preserve">  1997</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2 006</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765</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2 771</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4 515</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44.4%</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27.6%</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61.4%</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1 799</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730</w:t>
            </w:r>
          </w:p>
        </w:tc>
        <w:tc>
          <w:tcPr>
            <w:tcW w:w="110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2 529</w:t>
            </w:r>
          </w:p>
        </w:tc>
        <w:tc>
          <w:tcPr>
            <w:tcW w:w="149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4 810</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37.4%</w:t>
            </w:r>
          </w:p>
        </w:tc>
        <w:tc>
          <w:tcPr>
            <w:tcW w:w="117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28.9%</w:t>
            </w:r>
          </w:p>
        </w:tc>
        <w:tc>
          <w:tcPr>
            <w:tcW w:w="10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52.6%</w:t>
            </w:r>
          </w:p>
        </w:tc>
      </w:tr>
      <w:tr w:rsidR="00000000">
        <w:tblPrEx>
          <w:tblCellMar>
            <w:top w:w="0" w:type="dxa"/>
            <w:bottom w:w="0" w:type="dxa"/>
          </w:tblCellMar>
        </w:tblPrEx>
        <w:trPr>
          <w:trHeight w:val="255"/>
        </w:trPr>
        <w:tc>
          <w:tcPr>
            <w:tcW w:w="1560" w:type="dxa"/>
            <w:tcBorders>
              <w:top w:val="nil"/>
              <w:bottom w:val="nil"/>
            </w:tcBorders>
          </w:tcPr>
          <w:p w:rsidR="00000000" w:rsidRDefault="00000000">
            <w:pPr>
              <w:spacing w:line="264" w:lineRule="auto"/>
              <w:rPr>
                <w:rFonts w:eastAsia="Arial Unicode MS"/>
                <w:sz w:val="18"/>
                <w:szCs w:val="24"/>
              </w:rPr>
            </w:pPr>
            <w:r>
              <w:rPr>
                <w:sz w:val="18"/>
                <w:szCs w:val="24"/>
              </w:rPr>
              <w:t>25</w:t>
            </w:r>
            <w:r>
              <w:rPr>
                <w:rFonts w:hint="eastAsia"/>
                <w:sz w:val="18"/>
                <w:szCs w:val="24"/>
              </w:rPr>
              <w:t>岁至</w:t>
            </w:r>
            <w:r>
              <w:rPr>
                <w:sz w:val="18"/>
                <w:szCs w:val="24"/>
              </w:rPr>
              <w:t>44</w:t>
            </w:r>
            <w:r>
              <w:rPr>
                <w:rFonts w:hint="eastAsia"/>
                <w:sz w:val="18"/>
                <w:szCs w:val="24"/>
              </w:rPr>
              <w:t>岁</w:t>
            </w:r>
            <w:r>
              <w:rPr>
                <w:sz w:val="18"/>
                <w:szCs w:val="24"/>
              </w:rPr>
              <w:t>：</w:t>
            </w:r>
            <w:r>
              <w:rPr>
                <w:sz w:val="18"/>
                <w:szCs w:val="24"/>
              </w:rPr>
              <w:t xml:space="preserve"> </w:t>
            </w:r>
          </w:p>
        </w:tc>
        <w:tc>
          <w:tcPr>
            <w:tcW w:w="910"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05" w:type="dxa"/>
            <w:tcBorders>
              <w:top w:val="nil"/>
              <w:bottom w:val="nil"/>
            </w:tcBorders>
          </w:tcPr>
          <w:p w:rsidR="00000000" w:rsidRDefault="00000000">
            <w:pPr>
              <w:spacing w:line="264" w:lineRule="auto"/>
              <w:rPr>
                <w:rFonts w:eastAsia="Arial Unicode MS"/>
                <w:sz w:val="18"/>
                <w:szCs w:val="24"/>
              </w:rPr>
            </w:pPr>
          </w:p>
        </w:tc>
        <w:tc>
          <w:tcPr>
            <w:tcW w:w="1495"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rPr>
          <w:trHeight w:val="255"/>
        </w:trPr>
        <w:tc>
          <w:tcPr>
            <w:tcW w:w="1560" w:type="dxa"/>
            <w:tcBorders>
              <w:top w:val="nil"/>
              <w:bottom w:val="nil"/>
            </w:tcBorders>
          </w:tcPr>
          <w:p w:rsidR="00000000" w:rsidRDefault="00000000">
            <w:pPr>
              <w:spacing w:before="60" w:line="264" w:lineRule="auto"/>
              <w:rPr>
                <w:sz w:val="18"/>
                <w:szCs w:val="24"/>
              </w:rPr>
            </w:pPr>
            <w:r>
              <w:rPr>
                <w:sz w:val="18"/>
                <w:szCs w:val="24"/>
              </w:rPr>
              <w:t xml:space="preserve">  1997</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12 769</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2 245</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15 014</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16 423</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77.8%</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15.0%</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91.4%</w:t>
            </w:r>
          </w:p>
        </w:tc>
      </w:tr>
      <w:tr w:rsidR="00000000">
        <w:tblPrEx>
          <w:tblCellMar>
            <w:top w:w="0" w:type="dxa"/>
            <w:bottom w:w="0" w:type="dxa"/>
          </w:tblCellMar>
        </w:tblPrEx>
        <w:tc>
          <w:tcPr>
            <w:tcW w:w="1560" w:type="dxa"/>
            <w:tcBorders>
              <w:top w:val="nil"/>
              <w:bottom w:val="nil"/>
            </w:tcBorders>
          </w:tcPr>
          <w:p w:rsidR="00000000" w:rsidRDefault="00000000">
            <w:pPr>
              <w:spacing w:after="60" w:line="264" w:lineRule="auto"/>
              <w:rPr>
                <w:rFonts w:eastAsia="Arial Unicode MS"/>
                <w:sz w:val="18"/>
                <w:szCs w:val="24"/>
              </w:rPr>
            </w:pPr>
            <w:r>
              <w:rPr>
                <w:sz w:val="18"/>
                <w:szCs w:val="24"/>
              </w:rPr>
              <w:t xml:space="preserve">  2000</w:t>
            </w:r>
          </w:p>
        </w:tc>
        <w:tc>
          <w:tcPr>
            <w:tcW w:w="9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14 378</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1 847</w:t>
            </w:r>
          </w:p>
        </w:tc>
        <w:tc>
          <w:tcPr>
            <w:tcW w:w="110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16 225</w:t>
            </w:r>
          </w:p>
        </w:tc>
        <w:tc>
          <w:tcPr>
            <w:tcW w:w="1495"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18 326</w:t>
            </w:r>
          </w:p>
        </w:tc>
        <w:tc>
          <w:tcPr>
            <w:tcW w:w="104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78.5%</w:t>
            </w:r>
          </w:p>
        </w:tc>
        <w:tc>
          <w:tcPr>
            <w:tcW w:w="117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11.4%</w:t>
            </w:r>
          </w:p>
        </w:tc>
        <w:tc>
          <w:tcPr>
            <w:tcW w:w="1010" w:type="dxa"/>
            <w:tcBorders>
              <w:top w:val="nil"/>
              <w:bottom w:val="nil"/>
            </w:tcBorders>
          </w:tcPr>
          <w:p w:rsidR="00000000" w:rsidRDefault="00000000">
            <w:pPr>
              <w:spacing w:after="60" w:line="264" w:lineRule="auto"/>
              <w:jc w:val="center"/>
              <w:rPr>
                <w:rFonts w:eastAsia="Arial Unicode MS"/>
                <w:sz w:val="18"/>
                <w:szCs w:val="24"/>
              </w:rPr>
            </w:pPr>
            <w:r>
              <w:rPr>
                <w:sz w:val="18"/>
                <w:szCs w:val="24"/>
              </w:rPr>
              <w:t>88.5%</w:t>
            </w:r>
          </w:p>
        </w:tc>
      </w:tr>
      <w:tr w:rsidR="00000000">
        <w:tblPrEx>
          <w:tblCellMar>
            <w:top w:w="0" w:type="dxa"/>
            <w:bottom w:w="0" w:type="dxa"/>
          </w:tblCellMar>
        </w:tblPrEx>
        <w:tc>
          <w:tcPr>
            <w:tcW w:w="1560" w:type="dxa"/>
            <w:tcBorders>
              <w:top w:val="nil"/>
              <w:bottom w:val="nil"/>
            </w:tcBorders>
          </w:tcPr>
          <w:p w:rsidR="00000000" w:rsidRDefault="00000000">
            <w:pPr>
              <w:spacing w:line="264" w:lineRule="auto"/>
              <w:rPr>
                <w:rFonts w:eastAsia="Arial Unicode MS"/>
                <w:sz w:val="18"/>
                <w:szCs w:val="24"/>
              </w:rPr>
            </w:pPr>
            <w:r>
              <w:rPr>
                <w:sz w:val="18"/>
                <w:szCs w:val="24"/>
              </w:rPr>
              <w:t>44</w:t>
            </w:r>
            <w:r>
              <w:rPr>
                <w:rFonts w:hint="eastAsia"/>
                <w:sz w:val="18"/>
                <w:szCs w:val="24"/>
              </w:rPr>
              <w:t>岁以上</w:t>
            </w:r>
            <w:r>
              <w:rPr>
                <w:sz w:val="18"/>
                <w:szCs w:val="24"/>
              </w:rPr>
              <w:t>：</w:t>
            </w:r>
          </w:p>
        </w:tc>
        <w:tc>
          <w:tcPr>
            <w:tcW w:w="910"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05" w:type="dxa"/>
            <w:tcBorders>
              <w:top w:val="nil"/>
              <w:bottom w:val="nil"/>
            </w:tcBorders>
          </w:tcPr>
          <w:p w:rsidR="00000000" w:rsidRDefault="00000000">
            <w:pPr>
              <w:spacing w:line="264" w:lineRule="auto"/>
              <w:rPr>
                <w:rFonts w:eastAsia="Arial Unicode MS"/>
                <w:sz w:val="18"/>
                <w:szCs w:val="24"/>
              </w:rPr>
            </w:pPr>
          </w:p>
        </w:tc>
        <w:tc>
          <w:tcPr>
            <w:tcW w:w="1495" w:type="dxa"/>
            <w:tcBorders>
              <w:top w:val="nil"/>
              <w:bottom w:val="nil"/>
            </w:tcBorders>
          </w:tcPr>
          <w:p w:rsidR="00000000" w:rsidRDefault="00000000">
            <w:pPr>
              <w:spacing w:line="264" w:lineRule="auto"/>
              <w:rPr>
                <w:rFonts w:eastAsia="Arial Unicode MS"/>
                <w:sz w:val="18"/>
                <w:szCs w:val="24"/>
              </w:rPr>
            </w:pPr>
          </w:p>
        </w:tc>
        <w:tc>
          <w:tcPr>
            <w:tcW w:w="1040" w:type="dxa"/>
            <w:tcBorders>
              <w:top w:val="nil"/>
              <w:bottom w:val="nil"/>
            </w:tcBorders>
          </w:tcPr>
          <w:p w:rsidR="00000000" w:rsidRDefault="00000000">
            <w:pPr>
              <w:spacing w:line="264" w:lineRule="auto"/>
              <w:rPr>
                <w:rFonts w:eastAsia="Arial Unicode MS"/>
                <w:sz w:val="18"/>
                <w:szCs w:val="24"/>
              </w:rPr>
            </w:pPr>
          </w:p>
        </w:tc>
        <w:tc>
          <w:tcPr>
            <w:tcW w:w="1170" w:type="dxa"/>
            <w:tcBorders>
              <w:top w:val="nil"/>
              <w:bottom w:val="nil"/>
            </w:tcBorders>
          </w:tcPr>
          <w:p w:rsidR="00000000" w:rsidRDefault="00000000">
            <w:pPr>
              <w:spacing w:line="264" w:lineRule="auto"/>
              <w:rPr>
                <w:rFonts w:eastAsia="Arial Unicode MS"/>
                <w:sz w:val="18"/>
                <w:szCs w:val="24"/>
              </w:rPr>
            </w:pPr>
          </w:p>
        </w:tc>
        <w:tc>
          <w:tcPr>
            <w:tcW w:w="1010" w:type="dxa"/>
            <w:tcBorders>
              <w:top w:val="nil"/>
              <w:bottom w:val="nil"/>
            </w:tcBorders>
          </w:tcPr>
          <w:p w:rsidR="00000000" w:rsidRDefault="00000000">
            <w:pPr>
              <w:spacing w:line="264" w:lineRule="auto"/>
              <w:rPr>
                <w:rFonts w:eastAsia="Arial Unicode MS"/>
                <w:sz w:val="18"/>
                <w:szCs w:val="24"/>
              </w:rPr>
            </w:pPr>
          </w:p>
        </w:tc>
      </w:tr>
      <w:tr w:rsidR="00000000">
        <w:tblPrEx>
          <w:tblCellMar>
            <w:top w:w="0" w:type="dxa"/>
            <w:bottom w:w="0" w:type="dxa"/>
          </w:tblCellMar>
        </w:tblPrEx>
        <w:trPr>
          <w:trHeight w:val="255"/>
        </w:trPr>
        <w:tc>
          <w:tcPr>
            <w:tcW w:w="1560" w:type="dxa"/>
            <w:tcBorders>
              <w:top w:val="nil"/>
              <w:bottom w:val="nil"/>
            </w:tcBorders>
          </w:tcPr>
          <w:p w:rsidR="00000000" w:rsidRDefault="00000000">
            <w:pPr>
              <w:spacing w:before="60" w:line="264" w:lineRule="auto"/>
              <w:rPr>
                <w:sz w:val="18"/>
                <w:szCs w:val="24"/>
              </w:rPr>
            </w:pPr>
            <w:r>
              <w:rPr>
                <w:sz w:val="18"/>
                <w:szCs w:val="24"/>
              </w:rPr>
              <w:t xml:space="preserve">  1997</w:t>
            </w:r>
          </w:p>
        </w:tc>
        <w:tc>
          <w:tcPr>
            <w:tcW w:w="9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4 121</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921</w:t>
            </w:r>
          </w:p>
        </w:tc>
        <w:tc>
          <w:tcPr>
            <w:tcW w:w="110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5 042</w:t>
            </w:r>
          </w:p>
        </w:tc>
        <w:tc>
          <w:tcPr>
            <w:tcW w:w="1495"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7 008</w:t>
            </w:r>
          </w:p>
        </w:tc>
        <w:tc>
          <w:tcPr>
            <w:tcW w:w="104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58.8%</w:t>
            </w:r>
          </w:p>
        </w:tc>
        <w:tc>
          <w:tcPr>
            <w:tcW w:w="117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18.3%</w:t>
            </w:r>
          </w:p>
        </w:tc>
        <w:tc>
          <w:tcPr>
            <w:tcW w:w="1010" w:type="dxa"/>
            <w:tcBorders>
              <w:top w:val="nil"/>
              <w:bottom w:val="nil"/>
            </w:tcBorders>
          </w:tcPr>
          <w:p w:rsidR="00000000" w:rsidRDefault="00000000">
            <w:pPr>
              <w:spacing w:before="60" w:line="264" w:lineRule="auto"/>
              <w:jc w:val="center"/>
              <w:rPr>
                <w:rFonts w:eastAsia="Arial Unicode MS"/>
                <w:sz w:val="18"/>
                <w:szCs w:val="24"/>
              </w:rPr>
            </w:pPr>
            <w:r>
              <w:rPr>
                <w:sz w:val="18"/>
                <w:szCs w:val="24"/>
              </w:rPr>
              <w:t>71.9%</w:t>
            </w:r>
          </w:p>
        </w:tc>
      </w:tr>
      <w:tr w:rsidR="00000000">
        <w:tblPrEx>
          <w:tblCellMar>
            <w:top w:w="0" w:type="dxa"/>
            <w:bottom w:w="0" w:type="dxa"/>
          </w:tblCellMar>
        </w:tblPrEx>
        <w:trPr>
          <w:trHeight w:val="255"/>
        </w:trPr>
        <w:tc>
          <w:tcPr>
            <w:tcW w:w="1560" w:type="dxa"/>
            <w:tcBorders>
              <w:top w:val="nil"/>
            </w:tcBorders>
          </w:tcPr>
          <w:p w:rsidR="00000000" w:rsidRDefault="00000000">
            <w:pPr>
              <w:spacing w:line="264" w:lineRule="auto"/>
              <w:rPr>
                <w:rFonts w:eastAsia="Arial Unicode MS"/>
                <w:sz w:val="18"/>
                <w:szCs w:val="24"/>
              </w:rPr>
            </w:pPr>
            <w:r>
              <w:rPr>
                <w:sz w:val="18"/>
                <w:szCs w:val="24"/>
              </w:rPr>
              <w:t xml:space="preserve">  2000</w:t>
            </w:r>
          </w:p>
        </w:tc>
        <w:tc>
          <w:tcPr>
            <w:tcW w:w="910" w:type="dxa"/>
            <w:tcBorders>
              <w:top w:val="nil"/>
            </w:tcBorders>
          </w:tcPr>
          <w:p w:rsidR="00000000" w:rsidRDefault="00000000">
            <w:pPr>
              <w:spacing w:line="264" w:lineRule="auto"/>
              <w:jc w:val="center"/>
              <w:rPr>
                <w:rFonts w:eastAsia="Arial Unicode MS"/>
                <w:sz w:val="18"/>
                <w:szCs w:val="24"/>
              </w:rPr>
            </w:pPr>
            <w:r>
              <w:rPr>
                <w:sz w:val="18"/>
                <w:szCs w:val="24"/>
              </w:rPr>
              <w:t>6 449</w:t>
            </w:r>
          </w:p>
        </w:tc>
        <w:tc>
          <w:tcPr>
            <w:tcW w:w="1040" w:type="dxa"/>
            <w:tcBorders>
              <w:top w:val="nil"/>
            </w:tcBorders>
          </w:tcPr>
          <w:p w:rsidR="00000000" w:rsidRDefault="00000000">
            <w:pPr>
              <w:spacing w:line="264" w:lineRule="auto"/>
              <w:jc w:val="center"/>
              <w:rPr>
                <w:rFonts w:eastAsia="Arial Unicode MS"/>
                <w:sz w:val="18"/>
                <w:szCs w:val="24"/>
              </w:rPr>
            </w:pPr>
            <w:r>
              <w:rPr>
                <w:sz w:val="18"/>
                <w:szCs w:val="24"/>
              </w:rPr>
              <w:t>760</w:t>
            </w:r>
          </w:p>
        </w:tc>
        <w:tc>
          <w:tcPr>
            <w:tcW w:w="1105" w:type="dxa"/>
            <w:tcBorders>
              <w:top w:val="nil"/>
            </w:tcBorders>
          </w:tcPr>
          <w:p w:rsidR="00000000" w:rsidRDefault="00000000">
            <w:pPr>
              <w:spacing w:line="264" w:lineRule="auto"/>
              <w:jc w:val="center"/>
              <w:rPr>
                <w:rFonts w:eastAsia="Arial Unicode MS"/>
                <w:sz w:val="18"/>
                <w:szCs w:val="24"/>
              </w:rPr>
            </w:pPr>
            <w:r>
              <w:rPr>
                <w:sz w:val="18"/>
                <w:szCs w:val="24"/>
              </w:rPr>
              <w:t>7 209</w:t>
            </w:r>
          </w:p>
        </w:tc>
        <w:tc>
          <w:tcPr>
            <w:tcW w:w="1495" w:type="dxa"/>
            <w:tcBorders>
              <w:top w:val="nil"/>
            </w:tcBorders>
          </w:tcPr>
          <w:p w:rsidR="00000000" w:rsidRDefault="00000000">
            <w:pPr>
              <w:spacing w:line="264" w:lineRule="auto"/>
              <w:jc w:val="center"/>
              <w:rPr>
                <w:rFonts w:eastAsia="Arial Unicode MS"/>
                <w:sz w:val="18"/>
                <w:szCs w:val="24"/>
              </w:rPr>
            </w:pPr>
            <w:r>
              <w:rPr>
                <w:sz w:val="18"/>
                <w:szCs w:val="24"/>
              </w:rPr>
              <w:t>9 829</w:t>
            </w:r>
          </w:p>
        </w:tc>
        <w:tc>
          <w:tcPr>
            <w:tcW w:w="1040" w:type="dxa"/>
            <w:tcBorders>
              <w:top w:val="nil"/>
            </w:tcBorders>
          </w:tcPr>
          <w:p w:rsidR="00000000" w:rsidRDefault="00000000">
            <w:pPr>
              <w:spacing w:line="264" w:lineRule="auto"/>
              <w:jc w:val="center"/>
              <w:rPr>
                <w:rFonts w:eastAsia="Arial Unicode MS"/>
                <w:sz w:val="18"/>
                <w:szCs w:val="24"/>
              </w:rPr>
            </w:pPr>
            <w:r>
              <w:rPr>
                <w:sz w:val="18"/>
                <w:szCs w:val="24"/>
              </w:rPr>
              <w:t>65.6%</w:t>
            </w:r>
          </w:p>
        </w:tc>
        <w:tc>
          <w:tcPr>
            <w:tcW w:w="1170" w:type="dxa"/>
            <w:tcBorders>
              <w:top w:val="nil"/>
            </w:tcBorders>
          </w:tcPr>
          <w:p w:rsidR="00000000" w:rsidRDefault="00000000">
            <w:pPr>
              <w:spacing w:line="264" w:lineRule="auto"/>
              <w:jc w:val="center"/>
              <w:rPr>
                <w:rFonts w:eastAsia="Arial Unicode MS"/>
                <w:sz w:val="18"/>
                <w:szCs w:val="24"/>
              </w:rPr>
            </w:pPr>
            <w:r>
              <w:rPr>
                <w:sz w:val="18"/>
                <w:szCs w:val="24"/>
              </w:rPr>
              <w:t>10.5%</w:t>
            </w:r>
          </w:p>
        </w:tc>
        <w:tc>
          <w:tcPr>
            <w:tcW w:w="1010" w:type="dxa"/>
            <w:tcBorders>
              <w:top w:val="nil"/>
            </w:tcBorders>
          </w:tcPr>
          <w:p w:rsidR="00000000" w:rsidRDefault="00000000">
            <w:pPr>
              <w:spacing w:line="264" w:lineRule="auto"/>
              <w:jc w:val="center"/>
              <w:rPr>
                <w:rFonts w:eastAsia="Arial Unicode MS"/>
                <w:sz w:val="18"/>
                <w:szCs w:val="24"/>
              </w:rPr>
            </w:pPr>
            <w:r>
              <w:rPr>
                <w:sz w:val="18"/>
                <w:szCs w:val="24"/>
              </w:rPr>
              <w:t>73.3%</w:t>
            </w:r>
          </w:p>
        </w:tc>
      </w:tr>
    </w:tbl>
    <w:p w:rsidR="00000000" w:rsidRDefault="00000000">
      <w:pPr>
        <w:spacing w:before="240"/>
        <w:rPr>
          <w:rFonts w:eastAsia="KaiTi_GB2312" w:hint="eastAsia"/>
          <w:snapToGrid/>
          <w:spacing w:val="0"/>
          <w:sz w:val="20"/>
          <w:szCs w:val="24"/>
        </w:rPr>
      </w:pPr>
      <w:r>
        <w:rPr>
          <w:szCs w:val="24"/>
        </w:rPr>
        <w:t xml:space="preserve">  </w:t>
      </w:r>
      <w:r>
        <w:rPr>
          <w:rFonts w:eastAsia="KaiTi_GB2312" w:hint="eastAsia"/>
          <w:snapToGrid/>
          <w:spacing w:val="0"/>
          <w:sz w:val="20"/>
          <w:szCs w:val="24"/>
          <w:u w:val="single"/>
        </w:rPr>
        <w:t>资料来源</w:t>
      </w:r>
      <w:r>
        <w:rPr>
          <w:rFonts w:eastAsia="KaiTi_GB2312" w:hint="eastAsia"/>
          <w:snapToGrid/>
          <w:spacing w:val="0"/>
          <w:sz w:val="20"/>
          <w:szCs w:val="24"/>
        </w:rPr>
        <w:t>：见表</w:t>
      </w:r>
      <w:r>
        <w:rPr>
          <w:rFonts w:eastAsia="KaiTi_GB2312" w:hint="eastAsia"/>
          <w:snapToGrid/>
          <w:spacing w:val="0"/>
          <w:sz w:val="20"/>
          <w:szCs w:val="24"/>
        </w:rPr>
        <w:t>1</w:t>
      </w:r>
      <w:r>
        <w:rPr>
          <w:rFonts w:eastAsia="KaiTi_GB2312" w:hint="eastAsia"/>
          <w:snapToGrid/>
          <w:spacing w:val="0"/>
          <w:sz w:val="20"/>
          <w:szCs w:val="24"/>
        </w:rPr>
        <w:t>。</w:t>
      </w:r>
    </w:p>
    <w:p w:rsidR="00000000" w:rsidRDefault="00000000">
      <w:pPr>
        <w:rPr>
          <w:rFonts w:hint="eastAsia"/>
          <w:snapToGrid/>
          <w:szCs w:val="24"/>
        </w:rPr>
      </w:pPr>
      <w:r>
        <w:rPr>
          <w:rFonts w:hint="eastAsia"/>
          <w:snapToGrid/>
          <w:szCs w:val="24"/>
        </w:rPr>
        <w:tab/>
        <w:t xml:space="preserve">17.  </w:t>
      </w:r>
      <w:r>
        <w:rPr>
          <w:rFonts w:hint="eastAsia"/>
          <w:snapToGrid/>
          <w:szCs w:val="24"/>
        </w:rPr>
        <w:t>劳动和收入局的服务对象可分为四类：</w:t>
      </w:r>
    </w:p>
    <w:p w:rsidR="00000000" w:rsidRDefault="00000000">
      <w:pPr>
        <w:pStyle w:val="a0"/>
        <w:ind w:left="1550"/>
        <w:rPr>
          <w:rFonts w:hint="eastAsia"/>
          <w:snapToGrid/>
        </w:rPr>
      </w:pPr>
      <w:r>
        <w:rPr>
          <w:rFonts w:hint="eastAsia"/>
          <w:snapToGrid/>
        </w:rPr>
        <w:t>最小的一个类别</w:t>
      </w:r>
      <w:r>
        <w:rPr>
          <w:rFonts w:hint="eastAsia"/>
          <w:snapToGrid/>
        </w:rPr>
        <w:t>(</w:t>
      </w:r>
      <w:r>
        <w:rPr>
          <w:rFonts w:hint="eastAsia"/>
          <w:snapToGrid/>
        </w:rPr>
        <w:t>占总数的</w:t>
      </w:r>
      <w:r>
        <w:rPr>
          <w:rFonts w:hint="eastAsia"/>
          <w:snapToGrid/>
        </w:rPr>
        <w:t>5%)</w:t>
      </w:r>
      <w:r>
        <w:rPr>
          <w:rFonts w:hint="eastAsia"/>
          <w:snapToGrid/>
        </w:rPr>
        <w:t>是那些经过帮助可以立即找到工作的人；</w:t>
      </w:r>
    </w:p>
    <w:p w:rsidR="00000000" w:rsidRDefault="00000000">
      <w:pPr>
        <w:pStyle w:val="a0"/>
        <w:ind w:left="1550"/>
        <w:rPr>
          <w:rFonts w:hint="eastAsia"/>
          <w:snapToGrid/>
        </w:rPr>
      </w:pPr>
      <w:r>
        <w:rPr>
          <w:rFonts w:hint="eastAsia"/>
          <w:snapToGrid/>
        </w:rPr>
        <w:t>第二类</w:t>
      </w:r>
      <w:r>
        <w:rPr>
          <w:rFonts w:hint="eastAsia"/>
          <w:snapToGrid/>
        </w:rPr>
        <w:t>(</w:t>
      </w:r>
      <w:r>
        <w:rPr>
          <w:rFonts w:hint="eastAsia"/>
          <w:snapToGrid/>
        </w:rPr>
        <w:t>约占总数的</w:t>
      </w:r>
      <w:r>
        <w:rPr>
          <w:rFonts w:hint="eastAsia"/>
          <w:snapToGrid/>
        </w:rPr>
        <w:t>20%)</w:t>
      </w:r>
      <w:r>
        <w:rPr>
          <w:rFonts w:hint="eastAsia"/>
          <w:snapToGrid/>
        </w:rPr>
        <w:t>是那些经过短期强化指导和</w:t>
      </w:r>
      <w:r>
        <w:rPr>
          <w:rFonts w:hint="eastAsia"/>
          <w:snapToGrid/>
        </w:rPr>
        <w:t>/</w:t>
      </w:r>
      <w:r>
        <w:rPr>
          <w:rFonts w:hint="eastAsia"/>
          <w:snapToGrid/>
        </w:rPr>
        <w:t>或培训能够很快找到工作的人或者那些可以列入就业方案的人；</w:t>
      </w:r>
    </w:p>
    <w:p w:rsidR="00000000" w:rsidRDefault="00000000">
      <w:pPr>
        <w:pStyle w:val="a0"/>
        <w:ind w:left="1550"/>
        <w:rPr>
          <w:rFonts w:hint="eastAsia"/>
          <w:snapToGrid/>
        </w:rPr>
      </w:pPr>
      <w:r>
        <w:rPr>
          <w:rFonts w:hint="eastAsia"/>
          <w:snapToGrid/>
        </w:rPr>
        <w:t>最大的一个类别</w:t>
      </w:r>
      <w:r>
        <w:rPr>
          <w:rFonts w:hint="eastAsia"/>
          <w:snapToGrid/>
        </w:rPr>
        <w:t>(</w:t>
      </w:r>
      <w:r>
        <w:rPr>
          <w:rFonts w:hint="eastAsia"/>
          <w:snapToGrid/>
        </w:rPr>
        <w:t>约占总数的</w:t>
      </w:r>
      <w:r>
        <w:rPr>
          <w:rFonts w:hint="eastAsia"/>
          <w:snapToGrid/>
        </w:rPr>
        <w:t>40%)</w:t>
      </w:r>
      <w:r>
        <w:rPr>
          <w:rFonts w:hint="eastAsia"/>
          <w:snapToGrid/>
        </w:rPr>
        <w:t>是那些很难调解，而且严重依赖福利服务的服务对象；</w:t>
      </w:r>
    </w:p>
    <w:p w:rsidR="00000000" w:rsidRDefault="00000000">
      <w:pPr>
        <w:pStyle w:val="a0"/>
        <w:ind w:left="1548"/>
        <w:rPr>
          <w:rFonts w:hint="eastAsia"/>
          <w:snapToGrid/>
        </w:rPr>
      </w:pPr>
      <w:r>
        <w:rPr>
          <w:rFonts w:hint="eastAsia"/>
          <w:snapToGrid/>
        </w:rPr>
        <w:t>最后一个类别</w:t>
      </w:r>
      <w:r>
        <w:rPr>
          <w:rFonts w:hint="eastAsia"/>
          <w:snapToGrid/>
        </w:rPr>
        <w:t>(</w:t>
      </w:r>
      <w:r>
        <w:rPr>
          <w:rFonts w:hint="eastAsia"/>
          <w:snapToGrid/>
        </w:rPr>
        <w:t>约占总数的</w:t>
      </w:r>
      <w:r>
        <w:rPr>
          <w:rFonts w:hint="eastAsia"/>
          <w:snapToGrid/>
        </w:rPr>
        <w:t>35%)</w:t>
      </w:r>
      <w:r>
        <w:rPr>
          <w:rFonts w:hint="eastAsia"/>
          <w:snapToGrid/>
        </w:rPr>
        <w:t>是那些由于年龄、残疾、医疗或者社会等方面原因而被视为无法参加工作的人。</w:t>
      </w:r>
    </w:p>
    <w:p w:rsidR="00000000" w:rsidRDefault="00000000">
      <w:pPr>
        <w:rPr>
          <w:rFonts w:hint="eastAsia"/>
          <w:snapToGrid/>
        </w:rPr>
      </w:pPr>
      <w:r>
        <w:rPr>
          <w:rFonts w:hint="eastAsia"/>
          <w:snapToGrid/>
        </w:rPr>
        <w:t>根据以上分类制定了一项方案，其中内容包括：就业调解、指导、从业动机、求职培训以及职业培训。凡是希望领取补助的属于第一类至第三类的服务对象必须参加培训和</w:t>
      </w:r>
      <w:r>
        <w:rPr>
          <w:rFonts w:hint="eastAsia"/>
          <w:snapToGrid/>
        </w:rPr>
        <w:t>/</w:t>
      </w:r>
      <w:r>
        <w:rPr>
          <w:rFonts w:hint="eastAsia"/>
          <w:snapToGrid/>
        </w:rPr>
        <w:t>或劳动力市场方案。</w:t>
      </w:r>
    </w:p>
    <w:p w:rsidR="00000000" w:rsidRDefault="00000000">
      <w:pPr>
        <w:rPr>
          <w:rFonts w:hint="eastAsia"/>
          <w:snapToGrid/>
        </w:rPr>
      </w:pPr>
      <w:r>
        <w:rPr>
          <w:rFonts w:hint="eastAsia"/>
          <w:snapToGrid/>
        </w:rPr>
        <w:tab/>
        <w:t xml:space="preserve">18.  </w:t>
      </w:r>
      <w:r>
        <w:rPr>
          <w:rFonts w:hint="eastAsia"/>
          <w:snapToGrid/>
        </w:rPr>
        <w:t>由于组织方面的所有变动，因此没有</w:t>
      </w:r>
      <w:r>
        <w:rPr>
          <w:rFonts w:hint="eastAsia"/>
          <w:snapToGrid/>
        </w:rPr>
        <w:t>1999</w:t>
      </w:r>
      <w:r>
        <w:rPr>
          <w:rFonts w:hint="eastAsia"/>
          <w:snapToGrid/>
        </w:rPr>
        <w:t>年的数据。在</w:t>
      </w:r>
      <w:r>
        <w:rPr>
          <w:rFonts w:hint="eastAsia"/>
          <w:snapToGrid/>
        </w:rPr>
        <w:t>2000</w:t>
      </w:r>
      <w:r>
        <w:rPr>
          <w:rFonts w:hint="eastAsia"/>
          <w:snapToGrid/>
        </w:rPr>
        <w:t>年，在职业介绍中心</w:t>
      </w:r>
      <w:r>
        <w:rPr>
          <w:rFonts w:hint="eastAsia"/>
          <w:snapToGrid/>
        </w:rPr>
        <w:t>/</w:t>
      </w:r>
      <w:r>
        <w:rPr>
          <w:rFonts w:hint="eastAsia"/>
          <w:snapToGrid/>
        </w:rPr>
        <w:t>返回邻里联合办公室总共登记了</w:t>
      </w:r>
      <w:r>
        <w:rPr>
          <w:rFonts w:hint="eastAsia"/>
          <w:snapToGrid/>
        </w:rPr>
        <w:t>373</w:t>
      </w:r>
      <w:r>
        <w:rPr>
          <w:rFonts w:hint="eastAsia"/>
          <w:snapToGrid/>
        </w:rPr>
        <w:t>个职位空缺。共有</w:t>
      </w:r>
      <w:r>
        <w:rPr>
          <w:rFonts w:hint="eastAsia"/>
          <w:snapToGrid/>
        </w:rPr>
        <w:t>426</w:t>
      </w:r>
      <w:r>
        <w:rPr>
          <w:rFonts w:hint="eastAsia"/>
          <w:snapToGrid/>
        </w:rPr>
        <w:t>名失业人士应聘这些空缺，其中</w:t>
      </w:r>
      <w:r>
        <w:rPr>
          <w:rFonts w:hint="eastAsia"/>
          <w:snapToGrid/>
        </w:rPr>
        <w:t>112</w:t>
      </w:r>
      <w:r>
        <w:rPr>
          <w:rFonts w:hint="eastAsia"/>
          <w:snapToGrid/>
        </w:rPr>
        <w:t>人被立即聘用，</w:t>
      </w:r>
      <w:r>
        <w:rPr>
          <w:rFonts w:hint="eastAsia"/>
          <w:snapToGrid/>
        </w:rPr>
        <w:t>79</w:t>
      </w:r>
      <w:r>
        <w:rPr>
          <w:rFonts w:hint="eastAsia"/>
          <w:snapToGrid/>
        </w:rPr>
        <w:t>人通过方案调解聘用，还有</w:t>
      </w:r>
      <w:r>
        <w:rPr>
          <w:rFonts w:hint="eastAsia"/>
          <w:snapToGrid/>
        </w:rPr>
        <w:t>6</w:t>
      </w:r>
      <w:r>
        <w:rPr>
          <w:rFonts w:hint="eastAsia"/>
          <w:snapToGrid/>
        </w:rPr>
        <w:t>人通过特别小组调解聘用。这就意味着职业介绍所填补了</w:t>
      </w:r>
      <w:r>
        <w:rPr>
          <w:rFonts w:hint="eastAsia"/>
          <w:snapToGrid/>
        </w:rPr>
        <w:t>46%</w:t>
      </w:r>
      <w:r>
        <w:rPr>
          <w:rFonts w:hint="eastAsia"/>
          <w:snapToGrid/>
        </w:rPr>
        <w:t>的职位空缺。</w:t>
      </w:r>
    </w:p>
    <w:p w:rsidR="00000000" w:rsidRDefault="00000000">
      <w:pPr>
        <w:rPr>
          <w:rFonts w:hint="eastAsia"/>
          <w:snapToGrid/>
        </w:rPr>
      </w:pPr>
      <w:r>
        <w:rPr>
          <w:rFonts w:hint="eastAsia"/>
          <w:snapToGrid/>
        </w:rPr>
        <w:tab/>
        <w:t xml:space="preserve">19.  </w:t>
      </w:r>
      <w:r>
        <w:rPr>
          <w:rFonts w:hint="eastAsia"/>
          <w:snapToGrid/>
        </w:rPr>
        <w:t>没有采取特别措施来推动在就业方面的男女平等。在过去</w:t>
      </w:r>
      <w:r>
        <w:rPr>
          <w:rFonts w:hint="eastAsia"/>
          <w:snapToGrid/>
        </w:rPr>
        <w:t>20</w:t>
      </w:r>
      <w:r>
        <w:rPr>
          <w:rFonts w:hint="eastAsia"/>
          <w:snapToGrid/>
        </w:rPr>
        <w:t>年中在这个领域中的发展是如此迅速，以致政府不能确定采取有关这种内容的特别政策是否明智。妇女进入劳动力市场的整体比例从</w:t>
      </w:r>
      <w:r>
        <w:rPr>
          <w:rFonts w:hint="eastAsia"/>
          <w:snapToGrid/>
        </w:rPr>
        <w:t>1981</w:t>
      </w:r>
      <w:r>
        <w:rPr>
          <w:rFonts w:hint="eastAsia"/>
          <w:snapToGrid/>
        </w:rPr>
        <w:t>年的</w:t>
      </w:r>
      <w:r>
        <w:rPr>
          <w:rFonts w:hint="eastAsia"/>
          <w:snapToGrid/>
        </w:rPr>
        <w:t>32.1%</w:t>
      </w:r>
      <w:r>
        <w:rPr>
          <w:rFonts w:hint="eastAsia"/>
          <w:snapToGrid/>
        </w:rPr>
        <w:t>上升到</w:t>
      </w:r>
      <w:r>
        <w:rPr>
          <w:rFonts w:hint="eastAsia"/>
          <w:snapToGrid/>
        </w:rPr>
        <w:t>1992</w:t>
      </w:r>
      <w:r>
        <w:rPr>
          <w:rFonts w:hint="eastAsia"/>
          <w:snapToGrid/>
        </w:rPr>
        <w:t>年的</w:t>
      </w:r>
      <w:r>
        <w:rPr>
          <w:rFonts w:hint="eastAsia"/>
          <w:snapToGrid/>
        </w:rPr>
        <w:t>40.1%</w:t>
      </w:r>
      <w:r>
        <w:rPr>
          <w:rFonts w:hint="eastAsia"/>
          <w:snapToGrid/>
        </w:rPr>
        <w:t>，在</w:t>
      </w:r>
      <w:r>
        <w:rPr>
          <w:rFonts w:hint="eastAsia"/>
          <w:snapToGrid/>
        </w:rPr>
        <w:t>2000</w:t>
      </w:r>
      <w:r>
        <w:rPr>
          <w:rFonts w:hint="eastAsia"/>
          <w:snapToGrid/>
        </w:rPr>
        <w:t>年又进一步提高到</w:t>
      </w:r>
      <w:r>
        <w:rPr>
          <w:rFonts w:hint="eastAsia"/>
          <w:snapToGrid/>
        </w:rPr>
        <w:t>43.7%</w:t>
      </w:r>
      <w:r>
        <w:rPr>
          <w:rFonts w:hint="eastAsia"/>
          <w:snapToGrid/>
        </w:rPr>
        <w:t>。在同样这三个试验普查年份，男子的相关比例分别为：</w:t>
      </w:r>
      <w:r>
        <w:rPr>
          <w:rFonts w:hint="eastAsia"/>
          <w:snapToGrid/>
        </w:rPr>
        <w:t>50.3%</w:t>
      </w:r>
      <w:r>
        <w:rPr>
          <w:rFonts w:hint="eastAsia"/>
          <w:snapToGrid/>
        </w:rPr>
        <w:t>、</w:t>
      </w:r>
      <w:r>
        <w:rPr>
          <w:rFonts w:hint="eastAsia"/>
          <w:snapToGrid/>
        </w:rPr>
        <w:t>53.1%</w:t>
      </w:r>
      <w:r>
        <w:rPr>
          <w:rFonts w:hint="eastAsia"/>
          <w:snapToGrid/>
        </w:rPr>
        <w:t>以及</w:t>
      </w:r>
      <w:r>
        <w:rPr>
          <w:rFonts w:hint="eastAsia"/>
          <w:snapToGrid/>
        </w:rPr>
        <w:t>52.7%</w:t>
      </w:r>
      <w:r>
        <w:rPr>
          <w:rFonts w:hint="eastAsia"/>
          <w:snapToGrid/>
        </w:rPr>
        <w:t>。男女之间的差别从</w:t>
      </w:r>
      <w:r>
        <w:rPr>
          <w:rFonts w:hint="eastAsia"/>
          <w:snapToGrid/>
        </w:rPr>
        <w:t>1981</w:t>
      </w:r>
      <w:r>
        <w:rPr>
          <w:rFonts w:hint="eastAsia"/>
          <w:snapToGrid/>
        </w:rPr>
        <w:t>年的</w:t>
      </w:r>
      <w:r>
        <w:rPr>
          <w:rFonts w:hint="eastAsia"/>
          <w:snapToGrid/>
        </w:rPr>
        <w:t>18.2%</w:t>
      </w:r>
      <w:r>
        <w:rPr>
          <w:rFonts w:hint="eastAsia"/>
          <w:snapToGrid/>
        </w:rPr>
        <w:t>下降到</w:t>
      </w:r>
      <w:r>
        <w:rPr>
          <w:rFonts w:hint="eastAsia"/>
          <w:snapToGrid/>
        </w:rPr>
        <w:t>1992</w:t>
      </w:r>
      <w:r>
        <w:rPr>
          <w:rFonts w:hint="eastAsia"/>
          <w:snapToGrid/>
        </w:rPr>
        <w:t>年的</w:t>
      </w:r>
      <w:r>
        <w:rPr>
          <w:rFonts w:hint="eastAsia"/>
          <w:snapToGrid/>
        </w:rPr>
        <w:t>13.0%</w:t>
      </w:r>
      <w:r>
        <w:rPr>
          <w:rFonts w:hint="eastAsia"/>
          <w:snapToGrid/>
        </w:rPr>
        <w:t>，在</w:t>
      </w:r>
      <w:r>
        <w:rPr>
          <w:rFonts w:hint="eastAsia"/>
          <w:snapToGrid/>
        </w:rPr>
        <w:t>2000</w:t>
      </w:r>
      <w:r>
        <w:rPr>
          <w:rFonts w:hint="eastAsia"/>
          <w:snapToGrid/>
        </w:rPr>
        <w:t>年又进一步减少到</w:t>
      </w:r>
      <w:r>
        <w:rPr>
          <w:rFonts w:hint="eastAsia"/>
          <w:snapToGrid/>
        </w:rPr>
        <w:t>9.1%</w:t>
      </w:r>
      <w:r>
        <w:rPr>
          <w:rFonts w:hint="eastAsia"/>
          <w:snapToGrid/>
        </w:rPr>
        <w:t>。如果我们只看劳动人口的比例，男女差别则分别为：</w:t>
      </w:r>
      <w:r>
        <w:rPr>
          <w:rFonts w:hint="eastAsia"/>
          <w:snapToGrid/>
        </w:rPr>
        <w:t>20%</w:t>
      </w:r>
      <w:r>
        <w:rPr>
          <w:rFonts w:hint="eastAsia"/>
          <w:snapToGrid/>
        </w:rPr>
        <w:t>、</w:t>
      </w:r>
      <w:r>
        <w:rPr>
          <w:rFonts w:hint="eastAsia"/>
          <w:snapToGrid/>
        </w:rPr>
        <w:t>14.3%</w:t>
      </w:r>
      <w:r>
        <w:rPr>
          <w:rFonts w:hint="eastAsia"/>
          <w:snapToGrid/>
        </w:rPr>
        <w:t>以及</w:t>
      </w:r>
      <w:r>
        <w:rPr>
          <w:rFonts w:hint="eastAsia"/>
          <w:snapToGrid/>
        </w:rPr>
        <w:t>10.1%</w:t>
      </w:r>
      <w:r>
        <w:rPr>
          <w:rFonts w:hint="eastAsia"/>
          <w:snapToGrid/>
        </w:rPr>
        <w:t>。</w:t>
      </w:r>
    </w:p>
    <w:p w:rsidR="00000000" w:rsidRDefault="00000000">
      <w:pPr>
        <w:rPr>
          <w:rFonts w:hint="eastAsia"/>
          <w:snapToGrid/>
        </w:rPr>
      </w:pPr>
      <w:r>
        <w:rPr>
          <w:rFonts w:hint="eastAsia"/>
          <w:snapToGrid/>
        </w:rPr>
        <w:tab/>
        <w:t>20.  2000</w:t>
      </w:r>
      <w:r>
        <w:rPr>
          <w:rFonts w:hint="eastAsia"/>
          <w:snapToGrid/>
        </w:rPr>
        <w:t>年的上述数字不包括</w:t>
      </w:r>
      <w:r>
        <w:rPr>
          <w:snapToGrid/>
        </w:rPr>
        <w:t>Saba</w:t>
      </w:r>
      <w:r>
        <w:rPr>
          <w:rFonts w:hint="eastAsia"/>
          <w:snapToGrid/>
        </w:rPr>
        <w:t>岛和</w:t>
      </w:r>
      <w:r>
        <w:rPr>
          <w:snapToGrid/>
        </w:rPr>
        <w:t>Eustatius</w:t>
      </w:r>
      <w:r>
        <w:rPr>
          <w:rFonts w:hint="eastAsia"/>
          <w:snapToGrid/>
        </w:rPr>
        <w:t>岛，但是包括对于</w:t>
      </w:r>
      <w:r>
        <w:rPr>
          <w:rFonts w:hint="eastAsia"/>
          <w:snapToGrid/>
        </w:rPr>
        <w:t>98%</w:t>
      </w:r>
      <w:r>
        <w:rPr>
          <w:rFonts w:hint="eastAsia"/>
          <w:snapToGrid/>
        </w:rPr>
        <w:t>人口的估计数。</w:t>
      </w:r>
    </w:p>
    <w:p w:rsidR="00000000" w:rsidRDefault="00000000">
      <w:pPr>
        <w:rPr>
          <w:rFonts w:hint="eastAsia"/>
          <w:szCs w:val="24"/>
        </w:rPr>
      </w:pPr>
      <w:r>
        <w:rPr>
          <w:rFonts w:hint="eastAsia"/>
          <w:snapToGrid/>
        </w:rPr>
        <w:tab/>
        <w:t xml:space="preserve">21.  </w:t>
      </w:r>
      <w:r>
        <w:rPr>
          <w:rFonts w:hint="eastAsia"/>
          <w:snapToGrid/>
        </w:rPr>
        <w:t>职业指导是由职业顾问提供的，这些人大多数在中学工作，并且接受过有关这个领域的某些培训。在</w:t>
      </w:r>
      <w:r>
        <w:rPr>
          <w:szCs w:val="24"/>
        </w:rPr>
        <w:t>Curaçao</w:t>
      </w:r>
      <w:r>
        <w:rPr>
          <w:rFonts w:hint="eastAsia"/>
          <w:szCs w:val="24"/>
        </w:rPr>
        <w:t>岛还有一些独立的职业顾问。</w:t>
      </w:r>
    </w:p>
    <w:p w:rsidR="00000000" w:rsidRDefault="00000000">
      <w:pPr>
        <w:widowControl w:val="0"/>
        <w:rPr>
          <w:rFonts w:hint="eastAsia"/>
          <w:szCs w:val="24"/>
        </w:rPr>
      </w:pPr>
      <w:r>
        <w:rPr>
          <w:rFonts w:hint="eastAsia"/>
          <w:szCs w:val="24"/>
        </w:rPr>
        <w:tab/>
        <w:t xml:space="preserve">22.  </w:t>
      </w:r>
      <w:r>
        <w:rPr>
          <w:szCs w:val="24"/>
        </w:rPr>
        <w:t>FEFFIK</w:t>
      </w:r>
      <w:r>
        <w:rPr>
          <w:rFonts w:hint="eastAsia"/>
          <w:szCs w:val="24"/>
        </w:rPr>
        <w:t>是</w:t>
      </w:r>
      <w:r>
        <w:rPr>
          <w:szCs w:val="24"/>
        </w:rPr>
        <w:t>Curaçao</w:t>
      </w:r>
      <w:r>
        <w:rPr>
          <w:rFonts w:hint="eastAsia"/>
          <w:szCs w:val="24"/>
        </w:rPr>
        <w:t>岛的国家职业培训中心。之所以要设立这个中心，是为了要满足政府、工会以及企业联合会有关重新培训被大量解雇的矿工的要求。从</w:t>
      </w:r>
      <w:r>
        <w:rPr>
          <w:rFonts w:hint="eastAsia"/>
          <w:szCs w:val="24"/>
        </w:rPr>
        <w:t>1980</w:t>
      </w:r>
      <w:r>
        <w:rPr>
          <w:rFonts w:hint="eastAsia"/>
          <w:szCs w:val="24"/>
        </w:rPr>
        <w:t>年成立至今，</w:t>
      </w:r>
      <w:r>
        <w:rPr>
          <w:szCs w:val="24"/>
        </w:rPr>
        <w:t>FEFFIK</w:t>
      </w:r>
      <w:r>
        <w:rPr>
          <w:rFonts w:hint="eastAsia"/>
          <w:szCs w:val="24"/>
        </w:rPr>
        <w:t>已经为</w:t>
      </w:r>
      <w:r>
        <w:rPr>
          <w:szCs w:val="24"/>
        </w:rPr>
        <w:t>Curaçao</w:t>
      </w:r>
      <w:r>
        <w:rPr>
          <w:rFonts w:hint="eastAsia"/>
          <w:szCs w:val="24"/>
        </w:rPr>
        <w:t>岛与荷属安的列斯群岛举办了各种培训班。</w:t>
      </w:r>
    </w:p>
    <w:p w:rsidR="00000000" w:rsidRDefault="00000000">
      <w:pPr>
        <w:rPr>
          <w:rFonts w:hint="eastAsia"/>
          <w:szCs w:val="24"/>
        </w:rPr>
      </w:pPr>
      <w:r>
        <w:rPr>
          <w:rFonts w:hint="eastAsia"/>
          <w:szCs w:val="24"/>
        </w:rPr>
        <w:tab/>
        <w:t xml:space="preserve">23.  </w:t>
      </w:r>
      <w:r>
        <w:rPr>
          <w:szCs w:val="24"/>
        </w:rPr>
        <w:t>FEFFIK</w:t>
      </w:r>
      <w:r>
        <w:rPr>
          <w:rFonts w:hint="eastAsia"/>
          <w:szCs w:val="24"/>
        </w:rPr>
        <w:t>共有九个系、</w:t>
      </w:r>
      <w:r>
        <w:rPr>
          <w:rFonts w:hint="eastAsia"/>
          <w:szCs w:val="24"/>
        </w:rPr>
        <w:t>90</w:t>
      </w:r>
      <w:r>
        <w:rPr>
          <w:rFonts w:hint="eastAsia"/>
          <w:szCs w:val="24"/>
        </w:rPr>
        <w:t>名全职雇员以及</w:t>
      </w:r>
      <w:r>
        <w:rPr>
          <w:rFonts w:hint="eastAsia"/>
          <w:szCs w:val="24"/>
        </w:rPr>
        <w:t>110</w:t>
      </w:r>
      <w:r>
        <w:rPr>
          <w:rFonts w:hint="eastAsia"/>
          <w:szCs w:val="24"/>
        </w:rPr>
        <w:t>名非全日制的教员。这个培训中心的各种培训方案总共招收了</w:t>
      </w:r>
      <w:r>
        <w:rPr>
          <w:rFonts w:hint="eastAsia"/>
          <w:szCs w:val="24"/>
        </w:rPr>
        <w:t>1,500</w:t>
      </w:r>
      <w:r>
        <w:rPr>
          <w:rFonts w:hint="eastAsia"/>
          <w:szCs w:val="24"/>
        </w:rPr>
        <w:t>名学生，对于自己作为地区职业培训中心的重要性它是十分清楚的。该中心致力于帮助学生提高本身技能，办法是在以下领域中提供基本技能培训、实施学徒方案和举办继续教育培训班：电脑培训和行政管理、建筑、旅馆和旅游业培训、汽车技术培训、针对失业人士的电子技术培训和冶金技术培训、人类发展培训</w:t>
      </w:r>
      <w:r>
        <w:rPr>
          <w:rFonts w:hint="eastAsia"/>
          <w:szCs w:val="24"/>
        </w:rPr>
        <w:t>(</w:t>
      </w:r>
      <w:r>
        <w:rPr>
          <w:rFonts w:hint="eastAsia"/>
          <w:szCs w:val="24"/>
        </w:rPr>
        <w:t>保安、仓库和后勤培训</w:t>
      </w:r>
      <w:r>
        <w:rPr>
          <w:rFonts w:hint="eastAsia"/>
          <w:szCs w:val="24"/>
        </w:rPr>
        <w:t>)</w:t>
      </w:r>
      <w:r>
        <w:rPr>
          <w:rFonts w:hint="eastAsia"/>
          <w:szCs w:val="24"/>
        </w:rPr>
        <w:t>以及时装设计。</w:t>
      </w:r>
    </w:p>
    <w:p w:rsidR="00000000" w:rsidRDefault="00000000">
      <w:pPr>
        <w:rPr>
          <w:rFonts w:hint="eastAsia"/>
          <w:szCs w:val="24"/>
        </w:rPr>
      </w:pPr>
      <w:r>
        <w:rPr>
          <w:rFonts w:hint="eastAsia"/>
          <w:szCs w:val="24"/>
        </w:rPr>
        <w:tab/>
        <w:t xml:space="preserve">24.  </w:t>
      </w:r>
      <w:r>
        <w:rPr>
          <w:rFonts w:hint="eastAsia"/>
          <w:szCs w:val="24"/>
        </w:rPr>
        <w:t>从其成立之日起，</w:t>
      </w:r>
      <w:r>
        <w:rPr>
          <w:szCs w:val="24"/>
        </w:rPr>
        <w:t>FEFFIK</w:t>
      </w:r>
      <w:r>
        <w:rPr>
          <w:rFonts w:hint="eastAsia"/>
          <w:szCs w:val="24"/>
        </w:rPr>
        <w:t>就一直同企业界保持了紧密的联系，以便满足企业界对高质量职工的需求。该培训中心建立了一个有效的、以需求驱动的以及适合这个岛屿的社会和经济环境的职业培训体系。该培训中心的成功指标是：整体职位安排率达到</w:t>
      </w:r>
      <w:r>
        <w:rPr>
          <w:rFonts w:hint="eastAsia"/>
          <w:szCs w:val="24"/>
        </w:rPr>
        <w:t>98%</w:t>
      </w:r>
      <w:r>
        <w:rPr>
          <w:rFonts w:hint="eastAsia"/>
          <w:szCs w:val="24"/>
        </w:rPr>
        <w:t>。这就意味着这个中心</w:t>
      </w:r>
      <w:r>
        <w:rPr>
          <w:rFonts w:hint="eastAsia"/>
          <w:szCs w:val="24"/>
        </w:rPr>
        <w:t>98%</w:t>
      </w:r>
      <w:r>
        <w:rPr>
          <w:rFonts w:hint="eastAsia"/>
          <w:szCs w:val="24"/>
        </w:rPr>
        <w:t>的毕业生都能在毕业时或者毕业不久找到工作。</w:t>
      </w:r>
    </w:p>
    <w:p w:rsidR="00000000" w:rsidRDefault="00000000">
      <w:pPr>
        <w:rPr>
          <w:rFonts w:hint="eastAsia"/>
          <w:szCs w:val="24"/>
        </w:rPr>
      </w:pPr>
      <w:r>
        <w:rPr>
          <w:rFonts w:hint="eastAsia"/>
          <w:szCs w:val="24"/>
        </w:rPr>
        <w:tab/>
        <w:t xml:space="preserve">25.  </w:t>
      </w:r>
      <w:r>
        <w:rPr>
          <w:rFonts w:hint="eastAsia"/>
          <w:szCs w:val="24"/>
        </w:rPr>
        <w:t>为了跟上工业趋势和需求，所有实施学徒方案的系都有一个由专业工作者组成的监督委员会，他们帮助确保职业培训方案的针对性。边学边干，或者说边培训边实践，是</w:t>
      </w:r>
      <w:r>
        <w:rPr>
          <w:szCs w:val="24"/>
        </w:rPr>
        <w:t>FEFFIK</w:t>
      </w:r>
      <w:r>
        <w:rPr>
          <w:rFonts w:hint="eastAsia"/>
          <w:szCs w:val="24"/>
        </w:rPr>
        <w:t>的主要教育理念。许多方案都强调在课堂里和实习岗位上向学生传授宝贵的职业经验。实检设施、实习以及脱产培训都使得学生置身于真实的情景，帮助他们进一步提高自己的知识和技能。</w:t>
      </w:r>
    </w:p>
    <w:p w:rsidR="00000000" w:rsidRDefault="00000000">
      <w:pPr>
        <w:rPr>
          <w:rFonts w:hint="eastAsia"/>
          <w:szCs w:val="24"/>
        </w:rPr>
      </w:pPr>
      <w:r>
        <w:rPr>
          <w:rFonts w:hint="eastAsia"/>
          <w:szCs w:val="24"/>
        </w:rPr>
        <w:tab/>
        <w:t>26.  1995</w:t>
      </w:r>
      <w:r>
        <w:rPr>
          <w:rFonts w:hint="eastAsia"/>
          <w:szCs w:val="24"/>
        </w:rPr>
        <w:t>年岛上政府宣布，</w:t>
      </w:r>
      <w:r>
        <w:rPr>
          <w:szCs w:val="24"/>
        </w:rPr>
        <w:t>FEFFIK</w:t>
      </w:r>
      <w:r>
        <w:rPr>
          <w:rFonts w:hint="eastAsia"/>
          <w:szCs w:val="24"/>
        </w:rPr>
        <w:t>负责</w:t>
      </w:r>
      <w:r>
        <w:rPr>
          <w:szCs w:val="24"/>
        </w:rPr>
        <w:t>Curaçao</w:t>
      </w:r>
      <w:r>
        <w:rPr>
          <w:rFonts w:hint="eastAsia"/>
          <w:szCs w:val="24"/>
        </w:rPr>
        <w:t>全岛的职业培训事务。从那时以来，这个培训中心就一直同教育部紧密合作，使自己成为整个荷属安的列斯群岛正式核准的一个职业培训机构。它得到各个欧洲教育中心的正式批准，可以使用他们的计划和产品，从而确保教育质量。因此，在实习体制内颁发的所有文凭都是获得充分承认的。</w:t>
      </w:r>
    </w:p>
    <w:p w:rsidR="00000000" w:rsidRDefault="00000000">
      <w:pPr>
        <w:rPr>
          <w:rFonts w:hint="eastAsia"/>
          <w:szCs w:val="24"/>
        </w:rPr>
      </w:pPr>
      <w:r>
        <w:rPr>
          <w:rFonts w:hint="eastAsia"/>
          <w:szCs w:val="24"/>
        </w:rPr>
        <w:tab/>
        <w:t xml:space="preserve">27.  </w:t>
      </w:r>
      <w:r>
        <w:rPr>
          <w:rFonts w:hint="eastAsia"/>
          <w:szCs w:val="24"/>
        </w:rPr>
        <w:t>保证所有对</w:t>
      </w:r>
      <w:r>
        <w:rPr>
          <w:szCs w:val="24"/>
        </w:rPr>
        <w:t>FEFFIK</w:t>
      </w:r>
      <w:r>
        <w:rPr>
          <w:rFonts w:hint="eastAsia"/>
          <w:szCs w:val="24"/>
        </w:rPr>
        <w:t>的培训计划感兴趣的女孩和妇女</w:t>
      </w:r>
      <w:r>
        <w:rPr>
          <w:rFonts w:hint="eastAsia"/>
          <w:szCs w:val="24"/>
        </w:rPr>
        <w:t>(</w:t>
      </w:r>
      <w:r>
        <w:rPr>
          <w:rFonts w:hint="eastAsia"/>
          <w:szCs w:val="24"/>
        </w:rPr>
        <w:t>包括其他领地的国民</w:t>
      </w:r>
      <w:r>
        <w:rPr>
          <w:rFonts w:hint="eastAsia"/>
          <w:szCs w:val="24"/>
        </w:rPr>
        <w:t>)</w:t>
      </w:r>
      <w:r>
        <w:rPr>
          <w:rFonts w:hint="eastAsia"/>
          <w:szCs w:val="24"/>
        </w:rPr>
        <w:t>获得同等机会。这个培训中心的政策是：它们必须是荷属安的列斯群岛的合法居民，并且必须听得懂授课语言</w:t>
      </w:r>
      <w:r>
        <w:rPr>
          <w:rFonts w:hint="eastAsia"/>
          <w:szCs w:val="24"/>
        </w:rPr>
        <w:t>(</w:t>
      </w:r>
      <w:r>
        <w:rPr>
          <w:szCs w:val="24"/>
        </w:rPr>
        <w:t>Papiamentu</w:t>
      </w:r>
      <w:r>
        <w:rPr>
          <w:rFonts w:hint="eastAsia"/>
          <w:szCs w:val="24"/>
        </w:rPr>
        <w:t>语</w:t>
      </w:r>
      <w:r>
        <w:rPr>
          <w:szCs w:val="24"/>
        </w:rPr>
        <w:t>，</w:t>
      </w:r>
      <w:r>
        <w:rPr>
          <w:rFonts w:hint="eastAsia"/>
          <w:szCs w:val="24"/>
        </w:rPr>
        <w:t>或者</w:t>
      </w:r>
      <w:r>
        <w:rPr>
          <w:szCs w:val="24"/>
        </w:rPr>
        <w:t>Papiamentu</w:t>
      </w:r>
      <w:r>
        <w:rPr>
          <w:rFonts w:hint="eastAsia"/>
          <w:szCs w:val="24"/>
        </w:rPr>
        <w:t>语和荷兰语</w:t>
      </w:r>
      <w:r>
        <w:rPr>
          <w:szCs w:val="24"/>
        </w:rPr>
        <w:t>)</w:t>
      </w:r>
      <w:r>
        <w:rPr>
          <w:rFonts w:hint="eastAsia"/>
          <w:szCs w:val="24"/>
        </w:rPr>
        <w:t>。</w:t>
      </w:r>
      <w:r>
        <w:rPr>
          <w:szCs w:val="24"/>
        </w:rPr>
        <w:t>FEFFIK</w:t>
      </w:r>
      <w:r>
        <w:rPr>
          <w:rFonts w:hint="eastAsia"/>
          <w:szCs w:val="24"/>
        </w:rPr>
        <w:t>没有专门为残疾人举办职业技能培训。然而，在</w:t>
      </w:r>
      <w:r>
        <w:rPr>
          <w:szCs w:val="24"/>
        </w:rPr>
        <w:t>Sint Maarten</w:t>
      </w:r>
      <w:r>
        <w:rPr>
          <w:rFonts w:hint="eastAsia"/>
          <w:szCs w:val="24"/>
        </w:rPr>
        <w:t>岛的残疾人中心，</w:t>
      </w:r>
      <w:r>
        <w:rPr>
          <w:szCs w:val="24"/>
        </w:rPr>
        <w:t>FEFFIK</w:t>
      </w:r>
      <w:r>
        <w:rPr>
          <w:rFonts w:hint="eastAsia"/>
          <w:szCs w:val="24"/>
        </w:rPr>
        <w:t>提供的一般性课程中包括</w:t>
      </w:r>
      <w:r>
        <w:rPr>
          <w:szCs w:val="24"/>
        </w:rPr>
        <w:t>Papiamentu</w:t>
      </w:r>
      <w:r>
        <w:rPr>
          <w:rFonts w:hint="eastAsia"/>
          <w:szCs w:val="24"/>
        </w:rPr>
        <w:t>语、算术和从业动机。</w:t>
      </w:r>
    </w:p>
    <w:p w:rsidR="00000000" w:rsidRDefault="00000000">
      <w:pPr>
        <w:widowControl w:val="0"/>
        <w:rPr>
          <w:rFonts w:hint="eastAsia"/>
          <w:szCs w:val="24"/>
        </w:rPr>
      </w:pPr>
      <w:r>
        <w:rPr>
          <w:rFonts w:hint="eastAsia"/>
          <w:szCs w:val="24"/>
        </w:rPr>
        <w:tab/>
        <w:t xml:space="preserve">28.  </w:t>
      </w:r>
      <w:r>
        <w:rPr>
          <w:rFonts w:hint="eastAsia"/>
          <w:szCs w:val="24"/>
        </w:rPr>
        <w:t>在</w:t>
      </w:r>
      <w:r>
        <w:rPr>
          <w:szCs w:val="24"/>
        </w:rPr>
        <w:t>Bonaire</w:t>
      </w:r>
      <w:r>
        <w:rPr>
          <w:rFonts w:hint="eastAsia"/>
          <w:szCs w:val="24"/>
        </w:rPr>
        <w:t>岛，主要是由</w:t>
      </w:r>
      <w:r>
        <w:rPr>
          <w:szCs w:val="24"/>
        </w:rPr>
        <w:t>Formashon pa Mayan</w:t>
      </w:r>
      <w:r>
        <w:rPr>
          <w:rFonts w:hint="eastAsia"/>
          <w:szCs w:val="24"/>
        </w:rPr>
        <w:t>(FORMA)</w:t>
      </w:r>
      <w:r>
        <w:rPr>
          <w:rFonts w:hint="eastAsia"/>
          <w:szCs w:val="24"/>
        </w:rPr>
        <w:t>基金会提供有限的职业培训，重点是基础水平和中等水平的技术培训。近年来，学校共同体</w:t>
      </w:r>
      <w:r>
        <w:rPr>
          <w:rFonts w:hint="eastAsia"/>
          <w:szCs w:val="24"/>
        </w:rPr>
        <w:t>(SGB)</w:t>
      </w:r>
      <w:r>
        <w:rPr>
          <w:rFonts w:hint="eastAsia"/>
          <w:szCs w:val="24"/>
        </w:rPr>
        <w:t>已经开始使用其他的中级水平培训设施。除此以外，</w:t>
      </w:r>
      <w:r>
        <w:rPr>
          <w:szCs w:val="24"/>
        </w:rPr>
        <w:t xml:space="preserve">FORMA </w:t>
      </w:r>
      <w:r>
        <w:rPr>
          <w:rFonts w:hint="eastAsia"/>
          <w:szCs w:val="24"/>
        </w:rPr>
        <w:t>和</w:t>
      </w:r>
      <w:r>
        <w:rPr>
          <w:szCs w:val="24"/>
        </w:rPr>
        <w:t>FEFFIK</w:t>
      </w:r>
      <w:r>
        <w:rPr>
          <w:rFonts w:hint="eastAsia"/>
          <w:szCs w:val="24"/>
        </w:rPr>
        <w:t xml:space="preserve"> </w:t>
      </w:r>
      <w:r>
        <w:rPr>
          <w:szCs w:val="24"/>
        </w:rPr>
        <w:t>Curaçao</w:t>
      </w:r>
      <w:r>
        <w:rPr>
          <w:rFonts w:hint="eastAsia"/>
          <w:szCs w:val="24"/>
        </w:rPr>
        <w:t>不久将在培训补助计划的框架内举办其他的短期培训班。</w:t>
      </w:r>
    </w:p>
    <w:p w:rsidR="00000000" w:rsidRDefault="00000000">
      <w:pPr>
        <w:rPr>
          <w:rFonts w:hint="eastAsia"/>
          <w:szCs w:val="24"/>
        </w:rPr>
      </w:pPr>
      <w:r>
        <w:rPr>
          <w:rFonts w:hint="eastAsia"/>
          <w:szCs w:val="24"/>
        </w:rPr>
        <w:tab/>
        <w:t xml:space="preserve">29.  </w:t>
      </w:r>
      <w:r>
        <w:rPr>
          <w:szCs w:val="24"/>
        </w:rPr>
        <w:t>Curaçao</w:t>
      </w:r>
      <w:r>
        <w:rPr>
          <w:rFonts w:hint="eastAsia"/>
          <w:szCs w:val="24"/>
        </w:rPr>
        <w:t>岛</w:t>
      </w:r>
      <w:r>
        <w:rPr>
          <w:szCs w:val="24"/>
        </w:rPr>
        <w:t>Mgr. P. I. Verriet</w:t>
      </w:r>
      <w:r>
        <w:rPr>
          <w:rFonts w:hint="eastAsia"/>
          <w:szCs w:val="24"/>
        </w:rPr>
        <w:t>残疾儿童护理中心每年指导大约</w:t>
      </w:r>
      <w:r>
        <w:rPr>
          <w:rFonts w:hint="eastAsia"/>
          <w:szCs w:val="24"/>
        </w:rPr>
        <w:t>20</w:t>
      </w:r>
      <w:r>
        <w:rPr>
          <w:rFonts w:hint="eastAsia"/>
          <w:szCs w:val="24"/>
        </w:rPr>
        <w:t>人重返工作岗位。由于意外事故、疾病或者残疾而需要康复的人士正在通过以下方法接受治疗和指导：物理治疗、运动疗法、语言疗法、社会工作、心理学加护理以及矫形外科讲习班。如果在康复的过程中发现确实有可能返回工作岗位，运动理疗师和社会工作者将坚持这个选择。</w:t>
      </w:r>
    </w:p>
    <w:p w:rsidR="00000000" w:rsidRDefault="00000000">
      <w:pPr>
        <w:rPr>
          <w:rFonts w:hint="eastAsia"/>
          <w:szCs w:val="24"/>
        </w:rPr>
      </w:pPr>
      <w:r>
        <w:rPr>
          <w:rFonts w:hint="eastAsia"/>
          <w:szCs w:val="24"/>
        </w:rPr>
        <w:tab/>
        <w:t xml:space="preserve">30.  </w:t>
      </w:r>
      <w:r>
        <w:rPr>
          <w:rFonts w:hint="eastAsia"/>
          <w:szCs w:val="24"/>
        </w:rPr>
        <w:t>回到工作岗位可能包括：返回原先的工作岗位、返回原先的工作岗位但在形式上作些改变以及寻找其他工作。为此目的，运动理疗师进行人类工程学分析，主要是测试康复对象和分析工作场所和有关活动。社会工作者在雇主和雇员之间发挥了协调作用。在荷属安的列斯群岛，成功在很大程度上取决于雇主是否愿意在改变工作地点和活动方面进行合作，因为实际上在这一方面没有任何法律规定，也没有任何政府的激励政策。</w:t>
      </w:r>
    </w:p>
    <w:p w:rsidR="00000000" w:rsidRDefault="00000000">
      <w:pPr>
        <w:rPr>
          <w:rFonts w:hint="eastAsia"/>
          <w:szCs w:val="24"/>
        </w:rPr>
      </w:pPr>
      <w:r>
        <w:rPr>
          <w:rFonts w:hint="eastAsia"/>
          <w:szCs w:val="24"/>
        </w:rPr>
        <w:tab/>
        <w:t xml:space="preserve">31.  </w:t>
      </w:r>
      <w:r>
        <w:rPr>
          <w:rFonts w:hint="eastAsia"/>
          <w:szCs w:val="24"/>
        </w:rPr>
        <w:t>从</w:t>
      </w:r>
      <w:r>
        <w:rPr>
          <w:rFonts w:hint="eastAsia"/>
          <w:szCs w:val="24"/>
        </w:rPr>
        <w:t>1980</w:t>
      </w:r>
      <w:r>
        <w:rPr>
          <w:rFonts w:hint="eastAsia"/>
          <w:szCs w:val="24"/>
        </w:rPr>
        <w:t>年代上半期以来，荷属安的列斯群岛政府的财政状况十分糟糕，在货币基金会的帮助下，它于</w:t>
      </w:r>
      <w:r>
        <w:rPr>
          <w:rFonts w:hint="eastAsia"/>
          <w:szCs w:val="24"/>
        </w:rPr>
        <w:t>1990</w:t>
      </w:r>
      <w:r>
        <w:rPr>
          <w:rFonts w:hint="eastAsia"/>
          <w:szCs w:val="24"/>
        </w:rPr>
        <w:t>年代中期制定了所谓的《</w:t>
      </w:r>
      <w:r>
        <w:rPr>
          <w:rFonts w:hint="eastAsia"/>
          <w:szCs w:val="24"/>
        </w:rPr>
        <w:t>1996</w:t>
      </w:r>
      <w:r>
        <w:rPr>
          <w:rFonts w:hint="eastAsia"/>
          <w:szCs w:val="24"/>
        </w:rPr>
        <w:t>年至</w:t>
      </w:r>
      <w:r>
        <w:rPr>
          <w:rFonts w:hint="eastAsia"/>
          <w:szCs w:val="24"/>
        </w:rPr>
        <w:t>2000</w:t>
      </w:r>
      <w:r>
        <w:rPr>
          <w:rFonts w:hint="eastAsia"/>
          <w:szCs w:val="24"/>
        </w:rPr>
        <w:t>年结构调整方案》。然而，这个方案规定了许多本来可能会大大增加公众负担的措施。由于这个问题，中央政府采取了根本的解决办法，并且部分根据政府的财政和经济政策于</w:t>
      </w:r>
      <w:r>
        <w:rPr>
          <w:rFonts w:hint="eastAsia"/>
          <w:szCs w:val="24"/>
        </w:rPr>
        <w:t>1998</w:t>
      </w:r>
      <w:r>
        <w:rPr>
          <w:rFonts w:hint="eastAsia"/>
          <w:szCs w:val="24"/>
        </w:rPr>
        <w:t>年提出了《</w:t>
      </w:r>
      <w:r>
        <w:rPr>
          <w:rFonts w:hint="eastAsia"/>
          <w:szCs w:val="24"/>
        </w:rPr>
        <w:t>1998</w:t>
      </w:r>
      <w:r>
        <w:rPr>
          <w:rFonts w:hint="eastAsia"/>
          <w:szCs w:val="24"/>
        </w:rPr>
        <w:t>年至</w:t>
      </w:r>
      <w:r>
        <w:rPr>
          <w:rFonts w:hint="eastAsia"/>
          <w:szCs w:val="24"/>
        </w:rPr>
        <w:t>2002</w:t>
      </w:r>
      <w:r>
        <w:rPr>
          <w:rFonts w:hint="eastAsia"/>
          <w:szCs w:val="24"/>
        </w:rPr>
        <w:t>年财政</w:t>
      </w:r>
      <w:r>
        <w:rPr>
          <w:rFonts w:hint="eastAsia"/>
          <w:spacing w:val="-50"/>
          <w:szCs w:val="24"/>
        </w:rPr>
        <w:t>―</w:t>
      </w:r>
      <w:r>
        <w:rPr>
          <w:rFonts w:hint="eastAsia"/>
          <w:szCs w:val="24"/>
        </w:rPr>
        <w:t>―经济复苏方案备忘录》。之所以要制定这个备忘录，是因为严峻的财政状况对于许多地区都产生了直接影响，而且使得荷属安的列斯群岛以及各个岛屿的经济雪上加霜。经济衰退导致政府开支的削减，在政府投资和结构性供给方面尤其如此。</w:t>
      </w:r>
    </w:p>
    <w:p w:rsidR="00000000" w:rsidRDefault="00000000">
      <w:pPr>
        <w:rPr>
          <w:rFonts w:hint="eastAsia"/>
          <w:spacing w:val="6"/>
          <w:szCs w:val="24"/>
        </w:rPr>
      </w:pPr>
      <w:r>
        <w:rPr>
          <w:rFonts w:hint="eastAsia"/>
          <w:szCs w:val="24"/>
        </w:rPr>
        <w:tab/>
        <w:t xml:space="preserve">32.  </w:t>
      </w:r>
      <w:r>
        <w:rPr>
          <w:rFonts w:hint="eastAsia"/>
          <w:spacing w:val="6"/>
          <w:szCs w:val="24"/>
        </w:rPr>
        <w:t>为了符合市场规则，对政府的退休金计划进行了改革。每年各个岛屿政府因此而节省的经费估计为</w:t>
      </w:r>
      <w:r>
        <w:rPr>
          <w:rFonts w:hint="eastAsia"/>
          <w:spacing w:val="6"/>
          <w:szCs w:val="24"/>
        </w:rPr>
        <w:t>4,000</w:t>
      </w:r>
      <w:r>
        <w:rPr>
          <w:rFonts w:hint="eastAsia"/>
          <w:spacing w:val="6"/>
          <w:szCs w:val="24"/>
        </w:rPr>
        <w:t>万荷属安的列斯群岛盾。通过提高效率、继续冻结人员招聘、裁员、实行非全日制工作以及取消非紧迫性政务，可以进一步减少政府开支。</w:t>
      </w:r>
    </w:p>
    <w:p w:rsidR="00000000" w:rsidRDefault="00000000">
      <w:pPr>
        <w:rPr>
          <w:rFonts w:hint="eastAsia"/>
          <w:szCs w:val="24"/>
        </w:rPr>
      </w:pPr>
      <w:r>
        <w:rPr>
          <w:rFonts w:hint="eastAsia"/>
          <w:szCs w:val="24"/>
        </w:rPr>
        <w:tab/>
        <w:t xml:space="preserve">33.  </w:t>
      </w:r>
      <w:r>
        <w:rPr>
          <w:rFonts w:hint="eastAsia"/>
          <w:szCs w:val="24"/>
        </w:rPr>
        <w:t>为了建设高效和有效的政府机构，于</w:t>
      </w:r>
      <w:r>
        <w:rPr>
          <w:rFonts w:hint="eastAsia"/>
          <w:szCs w:val="24"/>
        </w:rPr>
        <w:t>2000</w:t>
      </w:r>
      <w:r>
        <w:rPr>
          <w:rFonts w:hint="eastAsia"/>
          <w:szCs w:val="24"/>
        </w:rPr>
        <w:t>年建立了一个新的政府结构。这个新的组织机构不那么等级分明，目前新的政府正在执行诸如：决定政策、通过法律和规章以及实行监督等主要任务。在重组的过程中，根据《解雇费规定》</w:t>
      </w:r>
      <w:r>
        <w:rPr>
          <w:rFonts w:hint="eastAsia"/>
          <w:szCs w:val="24"/>
        </w:rPr>
        <w:t>(PB 1986,N</w:t>
      </w:r>
      <w:r>
        <w:rPr>
          <w:szCs w:val="24"/>
        </w:rPr>
        <w:t>o.83)</w:t>
      </w:r>
      <w:r>
        <w:rPr>
          <w:rFonts w:hint="eastAsia"/>
          <w:szCs w:val="24"/>
        </w:rPr>
        <w:t>向那些已经不再适合新的组织结构的雇员发放解雇费。解雇费是被解雇的公务员在重新找到工作之前的一定阶段内领取的薪水。</w:t>
      </w:r>
    </w:p>
    <w:p w:rsidR="00000000" w:rsidRDefault="00000000">
      <w:pPr>
        <w:spacing w:after="320"/>
        <w:rPr>
          <w:rFonts w:hint="eastAsia"/>
          <w:szCs w:val="24"/>
        </w:rPr>
      </w:pPr>
      <w:r>
        <w:rPr>
          <w:rFonts w:hint="eastAsia"/>
          <w:szCs w:val="24"/>
        </w:rPr>
        <w:tab/>
        <w:t xml:space="preserve">34.  </w:t>
      </w:r>
      <w:r>
        <w:rPr>
          <w:rFonts w:hint="eastAsia"/>
          <w:szCs w:val="24"/>
        </w:rPr>
        <w:t>新政府还制定了各种旨在提升公务员素质的计划</w:t>
      </w:r>
      <w:r>
        <w:rPr>
          <w:rFonts w:hint="eastAsia"/>
          <w:szCs w:val="24"/>
        </w:rPr>
        <w:t>(</w:t>
      </w:r>
      <w:r>
        <w:rPr>
          <w:rFonts w:hint="eastAsia"/>
          <w:szCs w:val="24"/>
        </w:rPr>
        <w:t>例如，人员培训班</w:t>
      </w:r>
      <w:r>
        <w:rPr>
          <w:rFonts w:hint="eastAsia"/>
          <w:szCs w:val="24"/>
        </w:rPr>
        <w:t>)</w:t>
      </w:r>
      <w:r>
        <w:rPr>
          <w:rFonts w:hint="eastAsia"/>
          <w:szCs w:val="24"/>
        </w:rPr>
        <w:t>。除此以外，新政府还于</w:t>
      </w:r>
      <w:r>
        <w:rPr>
          <w:rFonts w:hint="eastAsia"/>
          <w:szCs w:val="24"/>
        </w:rPr>
        <w:t>1998</w:t>
      </w:r>
      <w:r>
        <w:rPr>
          <w:rFonts w:hint="eastAsia"/>
          <w:szCs w:val="24"/>
        </w:rPr>
        <w:t>年开始实施一种更为具体的考绩制度和一种新的工作评估制度。在</w:t>
      </w:r>
      <w:r>
        <w:rPr>
          <w:rFonts w:hint="eastAsia"/>
          <w:szCs w:val="24"/>
        </w:rPr>
        <w:t>1980</w:t>
      </w:r>
      <w:r>
        <w:rPr>
          <w:rFonts w:hint="eastAsia"/>
          <w:szCs w:val="24"/>
        </w:rPr>
        <w:t>年代暂缓执行的定期增加薪水和假期的办法也于</w:t>
      </w:r>
      <w:r>
        <w:rPr>
          <w:rFonts w:hint="eastAsia"/>
          <w:szCs w:val="24"/>
        </w:rPr>
        <w:t>2000</w:t>
      </w:r>
      <w:r>
        <w:rPr>
          <w:rFonts w:hint="eastAsia"/>
          <w:szCs w:val="24"/>
        </w:rPr>
        <w:t>年重新实施。</w:t>
      </w:r>
    </w:p>
    <w:p w:rsidR="00000000" w:rsidRDefault="00000000">
      <w:pPr>
        <w:pStyle w:val="Heading3"/>
        <w:spacing w:after="160"/>
        <w:rPr>
          <w:rFonts w:ascii="Time New Roman" w:eastAsia="SimHei" w:hAnsi="Time New Roman" w:hint="eastAsia"/>
          <w:snapToGrid/>
          <w:u w:val="none"/>
        </w:rPr>
      </w:pPr>
      <w:r>
        <w:rPr>
          <w:rFonts w:ascii="Time New Roman" w:eastAsia="SimHei" w:hAnsi="Time New Roman" w:hint="eastAsia"/>
          <w:snapToGrid/>
          <w:u w:val="none"/>
        </w:rPr>
        <w:t>第</w:t>
      </w:r>
      <w:r>
        <w:rPr>
          <w:rFonts w:ascii="Time New Roman" w:eastAsia="SimHei" w:hAnsi="Time New Roman" w:hint="eastAsia"/>
          <w:snapToGrid/>
          <w:u w:val="none"/>
        </w:rPr>
        <w:t xml:space="preserve"> </w:t>
      </w:r>
      <w:r>
        <w:rPr>
          <w:rFonts w:ascii="Time New Roman" w:eastAsia="SimHei" w:hAnsi="Time New Roman" w:hint="eastAsia"/>
          <w:snapToGrid/>
          <w:u w:val="none"/>
        </w:rPr>
        <w:t>七</w:t>
      </w:r>
      <w:r>
        <w:rPr>
          <w:rFonts w:ascii="Time New Roman" w:eastAsia="SimHei" w:hAnsi="Time New Roman" w:hint="eastAsia"/>
          <w:snapToGrid/>
          <w:u w:val="none"/>
        </w:rPr>
        <w:t xml:space="preserve"> </w:t>
      </w:r>
      <w:r>
        <w:rPr>
          <w:rFonts w:ascii="Time New Roman" w:eastAsia="SimHei" w:hAnsi="Time New Roman" w:hint="eastAsia"/>
          <w:snapToGrid/>
          <w:u w:val="none"/>
        </w:rPr>
        <w:t>条</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同工同酬</w:t>
      </w:r>
    </w:p>
    <w:p w:rsidR="00000000" w:rsidRDefault="00000000">
      <w:pPr>
        <w:spacing w:after="240"/>
      </w:pPr>
      <w:r>
        <w:rPr>
          <w:rFonts w:hint="eastAsia"/>
        </w:rPr>
        <w:tab/>
        <w:t xml:space="preserve">35.  </w:t>
      </w:r>
      <w:r>
        <w:rPr>
          <w:rFonts w:hint="eastAsia"/>
        </w:rPr>
        <w:t>在一个涉及安的列斯群岛的案件中，最高法院</w:t>
      </w:r>
      <w:r>
        <w:rPr>
          <w:rFonts w:hint="eastAsia"/>
        </w:rPr>
        <w:t>(</w:t>
      </w:r>
      <w:r>
        <w:rPr>
          <w:iCs/>
        </w:rPr>
        <w:t>Hoge Raa</w:t>
      </w:r>
      <w:r>
        <w:t>d HR)</w:t>
      </w:r>
      <w:r>
        <w:rPr>
          <w:rFonts w:hint="eastAsia"/>
        </w:rPr>
        <w:t>认为，在工资方面区分已婚人士和未婚人士是违反《公约》第</w:t>
      </w:r>
      <w:r>
        <w:rPr>
          <w:rFonts w:hint="eastAsia"/>
        </w:rPr>
        <w:t>7</w:t>
      </w:r>
      <w:r>
        <w:rPr>
          <w:rFonts w:hint="eastAsia"/>
        </w:rPr>
        <w:t>条的。判例法</w:t>
      </w:r>
      <w:r>
        <w:rPr>
          <w:rFonts w:hint="eastAsia"/>
        </w:rPr>
        <w:t>(</w:t>
      </w:r>
      <w:r>
        <w:t>HR1993</w:t>
      </w:r>
      <w:r>
        <w:rPr>
          <w:rFonts w:hint="eastAsia"/>
        </w:rPr>
        <w:t>年</w:t>
      </w:r>
      <w:r>
        <w:rPr>
          <w:rFonts w:hint="eastAsia"/>
        </w:rPr>
        <w:t>5</w:t>
      </w:r>
      <w:r>
        <w:rPr>
          <w:rFonts w:hint="eastAsia"/>
        </w:rPr>
        <w:t>月</w:t>
      </w:r>
      <w:r>
        <w:t>7</w:t>
      </w:r>
      <w:r>
        <w:rPr>
          <w:rFonts w:hint="eastAsia"/>
        </w:rPr>
        <w:t>日</w:t>
      </w:r>
      <w:r>
        <w:t>，</w:t>
      </w:r>
      <w:r>
        <w:t>No. 259</w:t>
      </w:r>
      <w:r>
        <w:rPr>
          <w:rFonts w:hint="eastAsia"/>
        </w:rPr>
        <w:t>)</w:t>
      </w:r>
      <w:r>
        <w:rPr>
          <w:rFonts w:hint="eastAsia"/>
        </w:rPr>
        <w:t>显示，第</w:t>
      </w:r>
      <w:r>
        <w:rPr>
          <w:rFonts w:hint="eastAsia"/>
        </w:rPr>
        <w:t>7</w:t>
      </w:r>
      <w:r>
        <w:rPr>
          <w:rFonts w:hint="eastAsia"/>
        </w:rPr>
        <w:t>条并非直接适用的，但是保证同工同酬是政府必须致力于实现的一个目标。因此，不应轻易认为，在工资差别方面存在合理和客观的原因。婚姻作为维持性义务的一个指标是非常不可靠的，因而不能仅仅因为某个雇员已经结婚，而认为已有足够理由为相同的工作支付较高的工资。</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妇女就业的同等条件</w:t>
      </w:r>
    </w:p>
    <w:p w:rsidR="00000000" w:rsidRDefault="00000000">
      <w:pPr>
        <w:rPr>
          <w:rFonts w:hint="eastAsia"/>
        </w:rPr>
      </w:pPr>
      <w:r>
        <w:rPr>
          <w:rFonts w:hint="eastAsia"/>
        </w:rPr>
        <w:tab/>
        <w:t xml:space="preserve">36.  </w:t>
      </w:r>
      <w:r>
        <w:rPr>
          <w:rFonts w:hint="eastAsia"/>
        </w:rPr>
        <w:t>在荷属安的列斯群岛，《公民权利和政治权利国际公约》第二十六条以及《保护人权和基本自由公约》第</w:t>
      </w:r>
      <w:r>
        <w:rPr>
          <w:rFonts w:hint="eastAsia"/>
        </w:rPr>
        <w:t>14</w:t>
      </w:r>
      <w:r>
        <w:rPr>
          <w:rFonts w:hint="eastAsia"/>
        </w:rPr>
        <w:t>条所载的禁止歧视的原则直接适用于法律制度，从而保障了平等待遇的权利。根据已经确定的判例法，《公民权利和政治权利国际公约》第二十六条是明确规定的和无条件的。这就意味着，法院可以直接援用这条规定，也即法院可以审议某项法律规定是否违反第二十六条；如果违反的话，这项规定是否有约束力。</w:t>
      </w:r>
    </w:p>
    <w:p w:rsidR="00000000" w:rsidRDefault="00000000">
      <w:pPr>
        <w:spacing w:after="240"/>
        <w:rPr>
          <w:rFonts w:hint="eastAsia"/>
        </w:rPr>
      </w:pPr>
      <w:r>
        <w:rPr>
          <w:rFonts w:hint="eastAsia"/>
        </w:rPr>
        <w:tab/>
        <w:t xml:space="preserve">37.  </w:t>
      </w:r>
      <w:r>
        <w:rPr>
          <w:rFonts w:hint="eastAsia"/>
        </w:rPr>
        <w:t>在</w:t>
      </w:r>
      <w:r>
        <w:rPr>
          <w:rFonts w:hint="eastAsia"/>
        </w:rPr>
        <w:t>1990</w:t>
      </w:r>
      <w:r>
        <w:rPr>
          <w:rFonts w:hint="eastAsia"/>
        </w:rPr>
        <w:t>年，在政府机构中工作的已婚男子、未婚之人以及已婚妇女在薪水方面的差别已被取消，追溯期至</w:t>
      </w:r>
      <w:r>
        <w:rPr>
          <w:rFonts w:hint="eastAsia"/>
        </w:rPr>
        <w:t>1986</w:t>
      </w:r>
      <w:r>
        <w:rPr>
          <w:rFonts w:hint="eastAsia"/>
        </w:rPr>
        <w:t>年</w:t>
      </w:r>
      <w:r>
        <w:rPr>
          <w:rFonts w:hint="eastAsia"/>
        </w:rPr>
        <w:t>8</w:t>
      </w:r>
      <w:r>
        <w:rPr>
          <w:rFonts w:hint="eastAsia"/>
        </w:rPr>
        <w:t>月。</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合理的工作时间</w:t>
      </w:r>
    </w:p>
    <w:p w:rsidR="00000000" w:rsidRDefault="00000000">
      <w:pPr>
        <w:widowControl w:val="0"/>
        <w:spacing w:after="240"/>
        <w:rPr>
          <w:rFonts w:hint="eastAsia"/>
        </w:rPr>
      </w:pPr>
      <w:r>
        <w:rPr>
          <w:rFonts w:hint="eastAsia"/>
        </w:rPr>
        <w:tab/>
        <w:t xml:space="preserve">38. </w:t>
      </w:r>
      <w:r>
        <w:rPr>
          <w:rFonts w:hint="eastAsia"/>
          <w:vertAlign w:val="superscript"/>
        </w:rPr>
        <w:t xml:space="preserve"> </w:t>
      </w:r>
      <w:r>
        <w:rPr>
          <w:rFonts w:hint="eastAsia"/>
        </w:rPr>
        <w:t>《</w:t>
      </w:r>
      <w:r>
        <w:rPr>
          <w:rFonts w:hint="eastAsia"/>
        </w:rPr>
        <w:t>1998</w:t>
      </w:r>
      <w:r>
        <w:rPr>
          <w:rFonts w:hint="eastAsia"/>
        </w:rPr>
        <w:t>年</w:t>
      </w:r>
      <w:r>
        <w:rPr>
          <w:rFonts w:hint="eastAsia"/>
        </w:rPr>
        <w:t>12</w:t>
      </w:r>
      <w:r>
        <w:rPr>
          <w:rFonts w:hint="eastAsia"/>
        </w:rPr>
        <w:t>月</w:t>
      </w:r>
      <w:r>
        <w:rPr>
          <w:rFonts w:hint="eastAsia"/>
        </w:rPr>
        <w:t>4</w:t>
      </w:r>
      <w:r>
        <w:rPr>
          <w:rFonts w:hint="eastAsia"/>
        </w:rPr>
        <w:t>日国家法令》</w:t>
      </w:r>
      <w:r>
        <w:rPr>
          <w:rFonts w:hint="eastAsia"/>
        </w:rPr>
        <w:t>(PB1998, N</w:t>
      </w:r>
      <w:r>
        <w:t>o</w:t>
      </w:r>
      <w:r>
        <w:rPr>
          <w:rFonts w:hint="eastAsia"/>
        </w:rPr>
        <w:t>.229)</w:t>
      </w:r>
      <w:r>
        <w:rPr>
          <w:rFonts w:hint="eastAsia"/>
        </w:rPr>
        <w:t>的正式生效修订了《</w:t>
      </w:r>
      <w:r>
        <w:rPr>
          <w:rFonts w:hint="eastAsia"/>
        </w:rPr>
        <w:t>1952</w:t>
      </w:r>
      <w:r>
        <w:rPr>
          <w:rFonts w:hint="eastAsia"/>
        </w:rPr>
        <w:t>年劳工规章》</w:t>
      </w:r>
      <w:r>
        <w:rPr>
          <w:rFonts w:hint="eastAsia"/>
        </w:rPr>
        <w:t>(PB1958, No.24)</w:t>
      </w:r>
      <w:r>
        <w:rPr>
          <w:rFonts w:hint="eastAsia"/>
        </w:rPr>
        <w:t>，从此在每周工作</w:t>
      </w:r>
      <w:r>
        <w:rPr>
          <w:rFonts w:hint="eastAsia"/>
        </w:rPr>
        <w:t>5</w:t>
      </w:r>
      <w:r>
        <w:rPr>
          <w:rFonts w:hint="eastAsia"/>
        </w:rPr>
        <w:t>天制度的基础上将每周工作时间缩短到</w:t>
      </w:r>
      <w:r>
        <w:rPr>
          <w:rFonts w:hint="eastAsia"/>
        </w:rPr>
        <w:t>40</w:t>
      </w:r>
      <w:r>
        <w:rPr>
          <w:rFonts w:hint="eastAsia"/>
        </w:rPr>
        <w:t>小时。</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最低工资的差别</w:t>
      </w:r>
    </w:p>
    <w:p w:rsidR="00000000" w:rsidRDefault="00000000">
      <w:pPr>
        <w:rPr>
          <w:rFonts w:hint="eastAsia"/>
        </w:rPr>
      </w:pPr>
      <w:r>
        <w:rPr>
          <w:rFonts w:hint="eastAsia"/>
        </w:rPr>
        <w:tab/>
        <w:t xml:space="preserve">39.  </w:t>
      </w:r>
      <w:r>
        <w:rPr>
          <w:rFonts w:hint="eastAsia"/>
        </w:rPr>
        <w:t>关于委员会对于每个岛上都存在三种最低工资所表示的关注</w:t>
      </w:r>
      <w:r>
        <w:rPr>
          <w:rFonts w:hint="eastAsia"/>
        </w:rPr>
        <w:t>(</w:t>
      </w:r>
      <w:r>
        <w:rPr>
          <w:rFonts w:hint="eastAsia"/>
        </w:rPr>
        <w:t>这种情况可能会引起或者反映出歧视</w:t>
      </w:r>
      <w:r>
        <w:rPr>
          <w:rFonts w:hint="eastAsia"/>
        </w:rPr>
        <w:t>)</w:t>
      </w:r>
      <w:r>
        <w:rPr>
          <w:rFonts w:hint="eastAsia"/>
        </w:rPr>
        <w:t>，政府想作以下说明。各种不同的最低工资来自“支付能力”的原则，根据这项原则，凡是被认为有能力支付较高工资的工业部门必须这么做。这就意味着，同只有一种最低工资的情况相比，三种最低工资为很大一部分人提供了更好的保护，因为统一的最低工资本来只能依照最弱的工业部门的水平加以确定。因此，不能将这种最低工资视为仅供糊口的收入。政府还认为，这种情况并非歧视性的。</w:t>
      </w:r>
    </w:p>
    <w:p w:rsidR="00000000" w:rsidRDefault="00000000">
      <w:pPr>
        <w:rPr>
          <w:rFonts w:hint="eastAsia"/>
        </w:rPr>
      </w:pPr>
      <w:r>
        <w:rPr>
          <w:rFonts w:hint="eastAsia"/>
        </w:rPr>
        <w:tab/>
        <w:t xml:space="preserve">40.  </w:t>
      </w:r>
      <w:r>
        <w:rPr>
          <w:rFonts w:hint="eastAsia"/>
        </w:rPr>
        <w:t>无论如何，个人有自由在具有较高最低工资的部门寻找工作。有些人可能的找不到工作，但是这也可能受到诸如教育水平等其他因素的影响。一些雇员没有获得毕业证书，因此收入就要低一些。一般来说，这不能算是歧视。</w:t>
      </w:r>
    </w:p>
    <w:p w:rsidR="00000000" w:rsidRDefault="00000000">
      <w:pPr>
        <w:rPr>
          <w:rFonts w:hint="eastAsia"/>
          <w:szCs w:val="24"/>
        </w:rPr>
      </w:pPr>
      <w:r>
        <w:rPr>
          <w:rFonts w:hint="eastAsia"/>
        </w:rPr>
        <w:tab/>
        <w:t xml:space="preserve">41.  </w:t>
      </w:r>
      <w:r>
        <w:rPr>
          <w:rFonts w:hint="eastAsia"/>
        </w:rPr>
        <w:t>然而，多年来政府一直在尝试减少以至最终消除各类最低工资之间的差别。在</w:t>
      </w:r>
      <w:r>
        <w:rPr>
          <w:rFonts w:hint="eastAsia"/>
        </w:rPr>
        <w:t>1991</w:t>
      </w:r>
      <w:r>
        <w:rPr>
          <w:rFonts w:hint="eastAsia"/>
        </w:rPr>
        <w:t>年，在</w:t>
      </w:r>
      <w:r>
        <w:rPr>
          <w:szCs w:val="24"/>
        </w:rPr>
        <w:t>Curaçao</w:t>
      </w:r>
      <w:r>
        <w:rPr>
          <w:rFonts w:hint="eastAsia"/>
          <w:szCs w:val="24"/>
        </w:rPr>
        <w:t>岛、</w:t>
      </w:r>
      <w:r>
        <w:rPr>
          <w:szCs w:val="24"/>
        </w:rPr>
        <w:t>Bonaire</w:t>
      </w:r>
      <w:r>
        <w:rPr>
          <w:rFonts w:hint="eastAsia"/>
          <w:szCs w:val="24"/>
        </w:rPr>
        <w:t>岛以及</w:t>
      </w:r>
      <w:r>
        <w:rPr>
          <w:szCs w:val="24"/>
        </w:rPr>
        <w:t>Sint</w:t>
      </w:r>
      <w:r>
        <w:rPr>
          <w:rFonts w:hint="eastAsia"/>
          <w:szCs w:val="24"/>
        </w:rPr>
        <w:t xml:space="preserve"> </w:t>
      </w:r>
      <w:r>
        <w:rPr>
          <w:szCs w:val="24"/>
        </w:rPr>
        <w:t>Maarten</w:t>
      </w:r>
      <w:r>
        <w:rPr>
          <w:rFonts w:hint="eastAsia"/>
          <w:szCs w:val="24"/>
        </w:rPr>
        <w:t>岛上第二类和第三类最低工资之间的差别已被废除。在</w:t>
      </w:r>
      <w:r>
        <w:rPr>
          <w:szCs w:val="24"/>
        </w:rPr>
        <w:t>Sint Maarten</w:t>
      </w:r>
      <w:r>
        <w:rPr>
          <w:rFonts w:hint="eastAsia"/>
          <w:szCs w:val="24"/>
        </w:rPr>
        <w:t>岛，第一类、第二类以及第三类最低工资之间的差别已经于</w:t>
      </w:r>
      <w:r>
        <w:rPr>
          <w:rFonts w:hint="eastAsia"/>
          <w:szCs w:val="24"/>
        </w:rPr>
        <w:t>1994</w:t>
      </w:r>
      <w:r>
        <w:rPr>
          <w:rFonts w:hint="eastAsia"/>
          <w:szCs w:val="24"/>
        </w:rPr>
        <w:t>年废除。更为重要的是，剩余各类之间的差别已经减少。从</w:t>
      </w:r>
      <w:r>
        <w:rPr>
          <w:rFonts w:hint="eastAsia"/>
          <w:szCs w:val="24"/>
        </w:rPr>
        <w:t>2001</w:t>
      </w:r>
      <w:r>
        <w:rPr>
          <w:rFonts w:hint="eastAsia"/>
          <w:szCs w:val="24"/>
        </w:rPr>
        <w:t>年</w:t>
      </w:r>
      <w:r>
        <w:rPr>
          <w:rFonts w:hint="eastAsia"/>
          <w:szCs w:val="24"/>
        </w:rPr>
        <w:t>8</w:t>
      </w:r>
      <w:r>
        <w:rPr>
          <w:rFonts w:hint="eastAsia"/>
          <w:szCs w:val="24"/>
        </w:rPr>
        <w:t>月</w:t>
      </w:r>
      <w:r>
        <w:rPr>
          <w:rFonts w:hint="eastAsia"/>
          <w:szCs w:val="24"/>
        </w:rPr>
        <w:t>1</w:t>
      </w:r>
      <w:r>
        <w:rPr>
          <w:rFonts w:hint="eastAsia"/>
          <w:szCs w:val="24"/>
        </w:rPr>
        <w:t>日起，所有最低工资都被转换成每小时最低工资，而与此同时，又大幅度地增加了第四类职工的每小时最低工资，其中的全日制职工尤其如此。这是旨在拉平各个岛上最低工资水平的三个阶段进程的第一阶段。至所以要决定分为三个阶段，是因为一些岛上最低工资之间的差别是如此巨大，以至于一次性消除差别会给该岛的经济造成严重影响。有关法律</w:t>
      </w:r>
      <w:r>
        <w:rPr>
          <w:rFonts w:hint="eastAsia"/>
          <w:szCs w:val="24"/>
        </w:rPr>
        <w:t>(PB2003,</w:t>
      </w:r>
      <w:r>
        <w:rPr>
          <w:szCs w:val="24"/>
        </w:rPr>
        <w:t xml:space="preserve"> </w:t>
      </w:r>
      <w:r>
        <w:rPr>
          <w:rFonts w:hint="eastAsia"/>
          <w:szCs w:val="24"/>
        </w:rPr>
        <w:t>No.25)</w:t>
      </w:r>
      <w:r>
        <w:rPr>
          <w:rFonts w:hint="eastAsia"/>
          <w:szCs w:val="24"/>
        </w:rPr>
        <w:t>于</w:t>
      </w:r>
      <w:r>
        <w:rPr>
          <w:rFonts w:hint="eastAsia"/>
          <w:szCs w:val="24"/>
        </w:rPr>
        <w:t>2003</w:t>
      </w:r>
      <w:r>
        <w:rPr>
          <w:rFonts w:hint="eastAsia"/>
          <w:szCs w:val="24"/>
        </w:rPr>
        <w:t>年</w:t>
      </w:r>
      <w:r>
        <w:rPr>
          <w:rFonts w:hint="eastAsia"/>
          <w:szCs w:val="24"/>
        </w:rPr>
        <w:t>3</w:t>
      </w:r>
      <w:r>
        <w:rPr>
          <w:rFonts w:hint="eastAsia"/>
          <w:szCs w:val="24"/>
        </w:rPr>
        <w:t>月</w:t>
      </w:r>
      <w:r>
        <w:rPr>
          <w:rFonts w:hint="eastAsia"/>
          <w:szCs w:val="24"/>
        </w:rPr>
        <w:t>1</w:t>
      </w:r>
      <w:r>
        <w:rPr>
          <w:rFonts w:hint="eastAsia"/>
          <w:szCs w:val="24"/>
        </w:rPr>
        <w:t>日正式生效，随着新的每小时最低工资制度的实施，第二阶段也就此开始。政府计划从</w:t>
      </w:r>
      <w:r>
        <w:rPr>
          <w:rFonts w:hint="eastAsia"/>
          <w:szCs w:val="24"/>
        </w:rPr>
        <w:t>2004</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日开始启动第三阶段。除此以外，由于对</w:t>
      </w:r>
      <w:r>
        <w:rPr>
          <w:rFonts w:hint="eastAsia"/>
          <w:szCs w:val="24"/>
        </w:rPr>
        <w:t>2001</w:t>
      </w:r>
      <w:r>
        <w:rPr>
          <w:rFonts w:hint="eastAsia"/>
          <w:szCs w:val="24"/>
        </w:rPr>
        <w:t>年</w:t>
      </w:r>
      <w:r>
        <w:rPr>
          <w:rFonts w:hint="eastAsia"/>
          <w:szCs w:val="24"/>
        </w:rPr>
        <w:t>8</w:t>
      </w:r>
      <w:r>
        <w:rPr>
          <w:rFonts w:hint="eastAsia"/>
          <w:szCs w:val="24"/>
        </w:rPr>
        <w:t>月的最低工资制度进行了改革，这就使得工作时间低于三分之一正常上班时间的雇员也适用于有关法律。</w:t>
      </w:r>
    </w:p>
    <w:p w:rsidR="00000000" w:rsidRDefault="00000000">
      <w:pPr>
        <w:rPr>
          <w:rFonts w:hint="eastAsia"/>
          <w:szCs w:val="24"/>
        </w:rPr>
      </w:pPr>
      <w:r>
        <w:rPr>
          <w:rFonts w:hint="eastAsia"/>
          <w:szCs w:val="24"/>
        </w:rPr>
        <w:tab/>
        <w:t xml:space="preserve">42.  </w:t>
      </w:r>
      <w:r>
        <w:rPr>
          <w:rFonts w:hint="eastAsia"/>
          <w:szCs w:val="24"/>
        </w:rPr>
        <w:t>由劳工事务局散发的并且附于本报告的一本手册概要地说明了从</w:t>
      </w:r>
      <w:r>
        <w:rPr>
          <w:rFonts w:hint="eastAsia"/>
          <w:szCs w:val="24"/>
        </w:rPr>
        <w:t>2003</w:t>
      </w:r>
      <w:r>
        <w:rPr>
          <w:rFonts w:hint="eastAsia"/>
          <w:szCs w:val="24"/>
        </w:rPr>
        <w:t>年</w:t>
      </w:r>
      <w:r>
        <w:rPr>
          <w:rFonts w:hint="eastAsia"/>
          <w:szCs w:val="24"/>
        </w:rPr>
        <w:t>3</w:t>
      </w:r>
      <w:r>
        <w:rPr>
          <w:rFonts w:hint="eastAsia"/>
          <w:szCs w:val="24"/>
        </w:rPr>
        <w:t>月</w:t>
      </w:r>
      <w:r>
        <w:rPr>
          <w:rFonts w:hint="eastAsia"/>
          <w:szCs w:val="24"/>
        </w:rPr>
        <w:t>1</w:t>
      </w:r>
      <w:r>
        <w:rPr>
          <w:rFonts w:hint="eastAsia"/>
          <w:szCs w:val="24"/>
        </w:rPr>
        <w:t>日起实施的荷属安的列斯群岛的每小时最低工资。</w:t>
      </w:r>
    </w:p>
    <w:p w:rsidR="00000000" w:rsidRDefault="00000000">
      <w:pPr>
        <w:rPr>
          <w:rFonts w:hint="eastAsia"/>
          <w:szCs w:val="24"/>
        </w:rPr>
      </w:pPr>
      <w:r>
        <w:rPr>
          <w:rFonts w:hint="eastAsia"/>
          <w:szCs w:val="24"/>
        </w:rPr>
        <w:tab/>
        <w:t xml:space="preserve">43.  </w:t>
      </w:r>
      <w:r>
        <w:rPr>
          <w:rFonts w:hint="eastAsia"/>
          <w:szCs w:val="24"/>
        </w:rPr>
        <w:t>在</w:t>
      </w:r>
      <w:r>
        <w:rPr>
          <w:rFonts w:hint="eastAsia"/>
          <w:szCs w:val="24"/>
        </w:rPr>
        <w:t>2000</w:t>
      </w:r>
      <w:r>
        <w:rPr>
          <w:rFonts w:hint="eastAsia"/>
          <w:szCs w:val="24"/>
        </w:rPr>
        <w:t>年对于就业法进行的修订是十分重要的发展。雇主们多年来一直抱怨说，有关法律过于严格，结果使得效率低下的雇员受到过份的保护，也影响到新的投资。其中一些比较重要的修订包括：取消了</w:t>
      </w:r>
      <w:r>
        <w:rPr>
          <w:szCs w:val="24"/>
        </w:rPr>
        <w:t>Curaçao</w:t>
      </w:r>
      <w:r>
        <w:rPr>
          <w:rFonts w:hint="eastAsia"/>
          <w:szCs w:val="24"/>
        </w:rPr>
        <w:t>岛上大多数行业有关必须取得解雇许可的义务、增加了工作时间的灵活性、开始使用短期雇佣合同以及聘用由职业介绍机构所提供的临时人员。关于加班必须取得许可证的义务也已经被取消。与此同时，为雇员实施了一些新的保障措施。有关在疾病的第一年、在怀孕</w:t>
      </w:r>
      <w:r>
        <w:rPr>
          <w:rFonts w:hint="eastAsia"/>
          <w:szCs w:val="24"/>
        </w:rPr>
        <w:t>/</w:t>
      </w:r>
      <w:r>
        <w:rPr>
          <w:rFonts w:hint="eastAsia"/>
          <w:szCs w:val="24"/>
        </w:rPr>
        <w:t>产假期间或者在准备结婚期间雇员必须通知雇主的规定被认为已经失效。雇主也不能因为工人参加了工会或者工会活动而终止其雇佣合同，除非这些活动是在工作时间进行的而且雇主已经以合理的原因拒绝其申请。</w:t>
      </w:r>
    </w:p>
    <w:p w:rsidR="00000000" w:rsidRDefault="00000000">
      <w:pPr>
        <w:rPr>
          <w:rFonts w:hint="eastAsia"/>
          <w:szCs w:val="24"/>
        </w:rPr>
      </w:pPr>
      <w:r>
        <w:rPr>
          <w:rFonts w:hint="eastAsia"/>
          <w:szCs w:val="24"/>
        </w:rPr>
        <w:tab/>
        <w:t xml:space="preserve">44.  </w:t>
      </w:r>
      <w:r>
        <w:rPr>
          <w:rFonts w:hint="eastAsia"/>
          <w:szCs w:val="24"/>
        </w:rPr>
        <w:t>在就业法律方面的另外一项重要变革是实施了一些有关家庭佣工的保护性规定，例如：最长工作时间、休息时间、加班以及有薪假期。最后，童工禁令的适用范围已经扩大了</w:t>
      </w:r>
      <w:r>
        <w:rPr>
          <w:rFonts w:hint="eastAsia"/>
          <w:szCs w:val="24"/>
        </w:rPr>
        <w:t>14</w:t>
      </w:r>
      <w:r>
        <w:rPr>
          <w:rFonts w:hint="eastAsia"/>
          <w:szCs w:val="24"/>
        </w:rPr>
        <w:t>岁儿童。</w:t>
      </w:r>
    </w:p>
    <w:p w:rsidR="00000000" w:rsidRDefault="00000000">
      <w:pPr>
        <w:rPr>
          <w:rFonts w:hint="eastAsia"/>
          <w:szCs w:val="24"/>
        </w:rPr>
      </w:pPr>
      <w:r>
        <w:rPr>
          <w:rFonts w:hint="eastAsia"/>
          <w:szCs w:val="24"/>
        </w:rPr>
        <w:tab/>
        <w:t xml:space="preserve">45. </w:t>
      </w:r>
      <w:r>
        <w:rPr>
          <w:rFonts w:hint="eastAsia"/>
          <w:szCs w:val="24"/>
          <w:vertAlign w:val="superscript"/>
        </w:rPr>
        <w:t xml:space="preserve"> </w:t>
      </w:r>
      <w:r>
        <w:rPr>
          <w:rFonts w:hint="eastAsia"/>
          <w:szCs w:val="24"/>
        </w:rPr>
        <w:t>《</w:t>
      </w:r>
      <w:r>
        <w:rPr>
          <w:rFonts w:hint="eastAsia"/>
          <w:szCs w:val="24"/>
        </w:rPr>
        <w:t>1997</w:t>
      </w:r>
      <w:r>
        <w:rPr>
          <w:rFonts w:hint="eastAsia"/>
          <w:szCs w:val="24"/>
        </w:rPr>
        <w:t>年</w:t>
      </w:r>
      <w:r>
        <w:rPr>
          <w:rFonts w:hint="eastAsia"/>
          <w:szCs w:val="24"/>
        </w:rPr>
        <w:t>12</w:t>
      </w:r>
      <w:r>
        <w:rPr>
          <w:rFonts w:hint="eastAsia"/>
          <w:szCs w:val="24"/>
        </w:rPr>
        <w:t>月</w:t>
      </w:r>
      <w:r>
        <w:rPr>
          <w:rFonts w:hint="eastAsia"/>
          <w:szCs w:val="24"/>
        </w:rPr>
        <w:t>23</w:t>
      </w:r>
      <w:r>
        <w:rPr>
          <w:rFonts w:hint="eastAsia"/>
          <w:szCs w:val="24"/>
        </w:rPr>
        <w:t>日法令》</w:t>
      </w:r>
      <w:r>
        <w:rPr>
          <w:rFonts w:hint="eastAsia"/>
          <w:szCs w:val="24"/>
        </w:rPr>
        <w:t>(PB1997, N</w:t>
      </w:r>
      <w:r>
        <w:rPr>
          <w:szCs w:val="24"/>
        </w:rPr>
        <w:t>o.313)</w:t>
      </w:r>
      <w:r>
        <w:rPr>
          <w:rFonts w:hint="eastAsia"/>
          <w:szCs w:val="24"/>
        </w:rPr>
        <w:t>使得具有长期雇佣合同的公务员可以选择非全日制工作。这样就改善了妇女在劳工市场上的地位，使她们能够同时充当劳动者和生育者。现在男性公务员也可选择非全日制工作，以便腾出更多时间来尽自己做父亲的责任。</w:t>
      </w:r>
    </w:p>
    <w:p w:rsidR="00000000" w:rsidRDefault="00000000">
      <w:pPr>
        <w:spacing w:after="320"/>
        <w:rPr>
          <w:rFonts w:hint="eastAsia"/>
          <w:szCs w:val="24"/>
        </w:rPr>
      </w:pPr>
      <w:r>
        <w:rPr>
          <w:rFonts w:hint="eastAsia"/>
          <w:szCs w:val="24"/>
        </w:rPr>
        <w:tab/>
        <w:t xml:space="preserve">46.  </w:t>
      </w:r>
      <w:r>
        <w:rPr>
          <w:rFonts w:hint="eastAsia"/>
          <w:szCs w:val="24"/>
        </w:rPr>
        <w:t>下面这个表格概述了男子和妇女的平均每月工资及其差别。有关数据来自最近的三次人口普查。男子和妇女在工资收入方面存在很大差别。在</w:t>
      </w:r>
      <w:r>
        <w:rPr>
          <w:rFonts w:hint="eastAsia"/>
          <w:szCs w:val="24"/>
        </w:rPr>
        <w:t>1981</w:t>
      </w:r>
      <w:r>
        <w:rPr>
          <w:rFonts w:hint="eastAsia"/>
          <w:szCs w:val="24"/>
        </w:rPr>
        <w:t>年，妇女的收入平均要比男子低</w:t>
      </w:r>
      <w:r>
        <w:rPr>
          <w:rFonts w:hint="eastAsia"/>
          <w:szCs w:val="24"/>
        </w:rPr>
        <w:t>40.7%</w:t>
      </w:r>
      <w:r>
        <w:rPr>
          <w:rFonts w:hint="eastAsia"/>
          <w:szCs w:val="24"/>
        </w:rPr>
        <w:t>。在这以后的一些年中，收入差别略有缩小，但是最新的统计数字表明，妇女的收入平均要比男子少</w:t>
      </w:r>
      <w:r>
        <w:rPr>
          <w:rFonts w:hint="eastAsia"/>
          <w:szCs w:val="24"/>
        </w:rPr>
        <w:t>27.4%</w:t>
      </w:r>
      <w:r>
        <w:rPr>
          <w:rFonts w:hint="eastAsia"/>
          <w:szCs w:val="24"/>
        </w:rPr>
        <w:t>。所以，在这些年中，工资差别大幅度地缩小了。然而，应该十分关注这种趋势，并在政策方面给予更大的重视。</w:t>
      </w:r>
    </w:p>
    <w:p w:rsidR="00000000" w:rsidRDefault="00000000">
      <w:pPr>
        <w:pStyle w:val="Heading3"/>
        <w:spacing w:after="240"/>
        <w:rPr>
          <w:rFonts w:ascii="Time New Roman" w:eastAsia="SimHei" w:hAnsi="Time New Roman" w:hint="eastAsia"/>
          <w:sz w:val="22"/>
          <w:u w:val="none"/>
        </w:rPr>
      </w:pP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3</w:t>
      </w:r>
      <w:r>
        <w:rPr>
          <w:rFonts w:ascii="Time New Roman" w:eastAsia="SimHei" w:hAnsi="Time New Roman"/>
          <w:sz w:val="22"/>
          <w:u w:val="none"/>
        </w:rPr>
        <w:br/>
      </w:r>
      <w:r>
        <w:rPr>
          <w:rFonts w:ascii="Time New Roman" w:eastAsia="SimHei" w:hAnsi="Time New Roman" w:hint="eastAsia"/>
          <w:sz w:val="22"/>
          <w:u w:val="none"/>
        </w:rPr>
        <w:t>根据性别分列的平均每月收入</w:t>
      </w:r>
      <w:r>
        <w:rPr>
          <w:rFonts w:ascii="Time New Roman" w:eastAsia="SimHei" w:hAnsi="Time New Roman" w:hint="eastAsia"/>
          <w:sz w:val="22"/>
          <w:u w:val="none"/>
        </w:rPr>
        <w:t>(</w:t>
      </w:r>
      <w:r>
        <w:rPr>
          <w:rFonts w:ascii="Time New Roman" w:eastAsia="SimHei" w:hAnsi="Time New Roman" w:hint="eastAsia"/>
          <w:sz w:val="22"/>
          <w:u w:val="none"/>
        </w:rPr>
        <w:t>荷属安的列斯群岛</w:t>
      </w:r>
      <w:r>
        <w:rPr>
          <w:rFonts w:ascii="Time New Roman" w:eastAsia="SimHei" w:hAnsi="Time New Roman" w:hint="eastAsia"/>
          <w:sz w:val="22"/>
          <w:u w: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8"/>
        <w:gridCol w:w="1733"/>
        <w:gridCol w:w="1733"/>
        <w:gridCol w:w="1734"/>
        <w:gridCol w:w="2362"/>
      </w:tblGrid>
      <w:tr w:rsidR="00000000">
        <w:tblPrEx>
          <w:tblCellMar>
            <w:top w:w="0" w:type="dxa"/>
            <w:bottom w:w="0" w:type="dxa"/>
          </w:tblCellMar>
        </w:tblPrEx>
        <w:tc>
          <w:tcPr>
            <w:tcW w:w="1848" w:type="dxa"/>
          </w:tcPr>
          <w:p w:rsidR="00000000" w:rsidRDefault="00000000">
            <w:pPr>
              <w:pStyle w:val="a2"/>
              <w:spacing w:before="40" w:after="40"/>
              <w:jc w:val="center"/>
              <w:rPr>
                <w:rFonts w:eastAsia="SimHei" w:hint="eastAsia"/>
              </w:rPr>
            </w:pPr>
          </w:p>
        </w:tc>
        <w:tc>
          <w:tcPr>
            <w:tcW w:w="1733" w:type="dxa"/>
          </w:tcPr>
          <w:p w:rsidR="00000000" w:rsidRDefault="00000000">
            <w:pPr>
              <w:pStyle w:val="a2"/>
              <w:spacing w:before="40" w:after="40"/>
              <w:jc w:val="center"/>
              <w:rPr>
                <w:rFonts w:eastAsia="SimHei" w:hint="eastAsia"/>
              </w:rPr>
            </w:pPr>
            <w:r>
              <w:rPr>
                <w:rFonts w:eastAsia="SimHei" w:hint="eastAsia"/>
              </w:rPr>
              <w:t>男</w:t>
            </w:r>
            <w:r>
              <w:rPr>
                <w:rFonts w:eastAsia="SimHei" w:hint="eastAsia"/>
              </w:rPr>
              <w:t xml:space="preserve">  </w:t>
            </w:r>
            <w:r>
              <w:rPr>
                <w:rFonts w:eastAsia="SimHei" w:hint="eastAsia"/>
              </w:rPr>
              <w:t>子</w:t>
            </w:r>
          </w:p>
        </w:tc>
        <w:tc>
          <w:tcPr>
            <w:tcW w:w="1733" w:type="dxa"/>
          </w:tcPr>
          <w:p w:rsidR="00000000" w:rsidRDefault="00000000">
            <w:pPr>
              <w:pStyle w:val="a2"/>
              <w:spacing w:before="40" w:after="40"/>
              <w:jc w:val="center"/>
              <w:rPr>
                <w:rFonts w:eastAsia="SimHei" w:hint="eastAsia"/>
              </w:rPr>
            </w:pPr>
            <w:r>
              <w:rPr>
                <w:rFonts w:eastAsia="SimHei" w:hint="eastAsia"/>
              </w:rPr>
              <w:t>妇</w:t>
            </w:r>
            <w:r>
              <w:rPr>
                <w:rFonts w:eastAsia="SimHei" w:hint="eastAsia"/>
              </w:rPr>
              <w:t xml:space="preserve">  </w:t>
            </w:r>
            <w:r>
              <w:rPr>
                <w:rFonts w:eastAsia="SimHei" w:hint="eastAsia"/>
              </w:rPr>
              <w:t>女</w:t>
            </w:r>
          </w:p>
        </w:tc>
        <w:tc>
          <w:tcPr>
            <w:tcW w:w="1734" w:type="dxa"/>
          </w:tcPr>
          <w:p w:rsidR="00000000" w:rsidRDefault="00000000">
            <w:pPr>
              <w:pStyle w:val="a2"/>
              <w:spacing w:before="40" w:after="40"/>
              <w:jc w:val="center"/>
              <w:rPr>
                <w:rFonts w:eastAsia="SimHei" w:hint="eastAsia"/>
              </w:rPr>
            </w:pPr>
            <w:r>
              <w:rPr>
                <w:rFonts w:eastAsia="SimHei" w:hint="eastAsia"/>
              </w:rPr>
              <w:t>差</w:t>
            </w:r>
            <w:r>
              <w:rPr>
                <w:rFonts w:eastAsia="SimHei" w:hint="eastAsia"/>
              </w:rPr>
              <w:t xml:space="preserve">  </w:t>
            </w:r>
            <w:r>
              <w:rPr>
                <w:rFonts w:eastAsia="SimHei" w:hint="eastAsia"/>
              </w:rPr>
              <w:t>额</w:t>
            </w:r>
          </w:p>
        </w:tc>
        <w:tc>
          <w:tcPr>
            <w:tcW w:w="2362" w:type="dxa"/>
          </w:tcPr>
          <w:p w:rsidR="00000000" w:rsidRDefault="00000000">
            <w:pPr>
              <w:pStyle w:val="a2"/>
              <w:spacing w:before="40" w:after="40"/>
              <w:jc w:val="center"/>
              <w:rPr>
                <w:rFonts w:eastAsia="SimHei" w:hint="eastAsia"/>
              </w:rPr>
            </w:pPr>
            <w:r>
              <w:rPr>
                <w:rFonts w:eastAsia="SimHei" w:hint="eastAsia"/>
              </w:rPr>
              <w:t>妇女占男子的百分比</w:t>
            </w:r>
          </w:p>
        </w:tc>
      </w:tr>
      <w:tr w:rsidR="00000000">
        <w:tblPrEx>
          <w:tblCellMar>
            <w:top w:w="0" w:type="dxa"/>
            <w:bottom w:w="0" w:type="dxa"/>
          </w:tblCellMar>
        </w:tblPrEx>
        <w:tc>
          <w:tcPr>
            <w:tcW w:w="1848" w:type="dxa"/>
            <w:tcBorders>
              <w:bottom w:val="nil"/>
            </w:tcBorders>
          </w:tcPr>
          <w:p w:rsidR="00000000" w:rsidRDefault="00000000">
            <w:pPr>
              <w:pStyle w:val="a2"/>
              <w:rPr>
                <w:rFonts w:hint="eastAsia"/>
              </w:rPr>
            </w:pPr>
            <w:r>
              <w:t>1981</w:t>
            </w:r>
            <w:r>
              <w:rPr>
                <w:rFonts w:hint="eastAsia"/>
              </w:rPr>
              <w:t>人口普查</w:t>
            </w:r>
          </w:p>
        </w:tc>
        <w:tc>
          <w:tcPr>
            <w:tcW w:w="1733" w:type="dxa"/>
            <w:tcBorders>
              <w:bottom w:val="nil"/>
            </w:tcBorders>
          </w:tcPr>
          <w:p w:rsidR="00000000" w:rsidRDefault="00000000">
            <w:pPr>
              <w:pStyle w:val="a2"/>
              <w:ind w:right="567"/>
              <w:jc w:val="right"/>
            </w:pPr>
            <w:r>
              <w:t>1 488</w:t>
            </w:r>
          </w:p>
        </w:tc>
        <w:tc>
          <w:tcPr>
            <w:tcW w:w="1733" w:type="dxa"/>
            <w:tcBorders>
              <w:bottom w:val="nil"/>
            </w:tcBorders>
          </w:tcPr>
          <w:p w:rsidR="00000000" w:rsidRDefault="00000000">
            <w:pPr>
              <w:pStyle w:val="a2"/>
              <w:ind w:right="567"/>
              <w:jc w:val="right"/>
            </w:pPr>
            <w:r>
              <w:t>882</w:t>
            </w:r>
          </w:p>
        </w:tc>
        <w:tc>
          <w:tcPr>
            <w:tcW w:w="1734" w:type="dxa"/>
            <w:tcBorders>
              <w:bottom w:val="nil"/>
            </w:tcBorders>
          </w:tcPr>
          <w:p w:rsidR="00000000" w:rsidRDefault="00000000">
            <w:pPr>
              <w:pStyle w:val="a2"/>
              <w:ind w:right="567"/>
              <w:jc w:val="right"/>
            </w:pPr>
            <w:r>
              <w:t>606</w:t>
            </w:r>
          </w:p>
        </w:tc>
        <w:tc>
          <w:tcPr>
            <w:tcW w:w="2362" w:type="dxa"/>
            <w:tcBorders>
              <w:bottom w:val="nil"/>
            </w:tcBorders>
          </w:tcPr>
          <w:p w:rsidR="00000000" w:rsidRDefault="00000000">
            <w:pPr>
              <w:pStyle w:val="a2"/>
              <w:jc w:val="center"/>
            </w:pPr>
            <w:r>
              <w:t>59.3%</w:t>
            </w:r>
          </w:p>
        </w:tc>
      </w:tr>
      <w:tr w:rsidR="00000000">
        <w:tblPrEx>
          <w:tblCellMar>
            <w:top w:w="0" w:type="dxa"/>
            <w:bottom w:w="0" w:type="dxa"/>
          </w:tblCellMar>
        </w:tblPrEx>
        <w:tc>
          <w:tcPr>
            <w:tcW w:w="1848" w:type="dxa"/>
            <w:tcBorders>
              <w:top w:val="nil"/>
              <w:bottom w:val="nil"/>
            </w:tcBorders>
          </w:tcPr>
          <w:p w:rsidR="00000000" w:rsidRDefault="00000000">
            <w:pPr>
              <w:pStyle w:val="a2"/>
              <w:rPr>
                <w:rFonts w:hint="eastAsia"/>
              </w:rPr>
            </w:pPr>
            <w:r>
              <w:t>1992</w:t>
            </w:r>
            <w:r>
              <w:rPr>
                <w:rFonts w:hint="eastAsia"/>
              </w:rPr>
              <w:t>人口普查</w:t>
            </w:r>
          </w:p>
        </w:tc>
        <w:tc>
          <w:tcPr>
            <w:tcW w:w="1733" w:type="dxa"/>
            <w:tcBorders>
              <w:top w:val="nil"/>
              <w:bottom w:val="nil"/>
            </w:tcBorders>
          </w:tcPr>
          <w:p w:rsidR="00000000" w:rsidRDefault="00000000">
            <w:pPr>
              <w:pStyle w:val="a2"/>
              <w:ind w:right="567"/>
              <w:jc w:val="right"/>
            </w:pPr>
            <w:r>
              <w:t>2 609</w:t>
            </w:r>
          </w:p>
        </w:tc>
        <w:tc>
          <w:tcPr>
            <w:tcW w:w="1733" w:type="dxa"/>
            <w:tcBorders>
              <w:top w:val="nil"/>
              <w:bottom w:val="nil"/>
            </w:tcBorders>
          </w:tcPr>
          <w:p w:rsidR="00000000" w:rsidRDefault="00000000">
            <w:pPr>
              <w:pStyle w:val="a2"/>
              <w:ind w:right="567"/>
              <w:jc w:val="right"/>
            </w:pPr>
            <w:r>
              <w:t>1 639</w:t>
            </w:r>
          </w:p>
        </w:tc>
        <w:tc>
          <w:tcPr>
            <w:tcW w:w="1734" w:type="dxa"/>
            <w:tcBorders>
              <w:top w:val="nil"/>
              <w:bottom w:val="nil"/>
            </w:tcBorders>
          </w:tcPr>
          <w:p w:rsidR="00000000" w:rsidRDefault="00000000">
            <w:pPr>
              <w:pStyle w:val="a2"/>
              <w:ind w:right="567"/>
              <w:jc w:val="right"/>
            </w:pPr>
            <w:r>
              <w:t>970</w:t>
            </w:r>
          </w:p>
        </w:tc>
        <w:tc>
          <w:tcPr>
            <w:tcW w:w="2362" w:type="dxa"/>
            <w:tcBorders>
              <w:top w:val="nil"/>
              <w:bottom w:val="nil"/>
            </w:tcBorders>
          </w:tcPr>
          <w:p w:rsidR="00000000" w:rsidRDefault="00000000">
            <w:pPr>
              <w:pStyle w:val="a2"/>
              <w:jc w:val="center"/>
            </w:pPr>
            <w:r>
              <w:t>62.8%</w:t>
            </w:r>
          </w:p>
        </w:tc>
      </w:tr>
      <w:tr w:rsidR="00000000">
        <w:tblPrEx>
          <w:tblCellMar>
            <w:top w:w="0" w:type="dxa"/>
            <w:bottom w:w="0" w:type="dxa"/>
          </w:tblCellMar>
        </w:tblPrEx>
        <w:tc>
          <w:tcPr>
            <w:tcW w:w="1848" w:type="dxa"/>
            <w:tcBorders>
              <w:top w:val="nil"/>
            </w:tcBorders>
          </w:tcPr>
          <w:p w:rsidR="00000000" w:rsidRDefault="00000000">
            <w:pPr>
              <w:pStyle w:val="a2"/>
              <w:spacing w:after="40"/>
              <w:rPr>
                <w:rFonts w:hint="eastAsia"/>
              </w:rPr>
            </w:pPr>
            <w:r>
              <w:t>2001</w:t>
            </w:r>
            <w:r>
              <w:rPr>
                <w:rFonts w:hint="eastAsia"/>
              </w:rPr>
              <w:t>人口普查</w:t>
            </w:r>
          </w:p>
        </w:tc>
        <w:tc>
          <w:tcPr>
            <w:tcW w:w="1733" w:type="dxa"/>
            <w:tcBorders>
              <w:top w:val="nil"/>
            </w:tcBorders>
          </w:tcPr>
          <w:p w:rsidR="00000000" w:rsidRDefault="00000000">
            <w:pPr>
              <w:pStyle w:val="a2"/>
              <w:spacing w:after="40"/>
              <w:ind w:right="567"/>
              <w:jc w:val="right"/>
            </w:pPr>
            <w:r>
              <w:t>3 146</w:t>
            </w:r>
          </w:p>
        </w:tc>
        <w:tc>
          <w:tcPr>
            <w:tcW w:w="1733" w:type="dxa"/>
            <w:tcBorders>
              <w:top w:val="nil"/>
            </w:tcBorders>
          </w:tcPr>
          <w:p w:rsidR="00000000" w:rsidRDefault="00000000">
            <w:pPr>
              <w:pStyle w:val="a2"/>
              <w:spacing w:after="40"/>
              <w:ind w:right="567"/>
              <w:jc w:val="right"/>
            </w:pPr>
            <w:r>
              <w:t>2 135</w:t>
            </w:r>
          </w:p>
        </w:tc>
        <w:tc>
          <w:tcPr>
            <w:tcW w:w="1734" w:type="dxa"/>
            <w:tcBorders>
              <w:top w:val="nil"/>
            </w:tcBorders>
          </w:tcPr>
          <w:p w:rsidR="00000000" w:rsidRDefault="00000000">
            <w:pPr>
              <w:pStyle w:val="a2"/>
              <w:spacing w:after="40"/>
              <w:ind w:right="567"/>
              <w:jc w:val="right"/>
            </w:pPr>
            <w:r>
              <w:t>1 011</w:t>
            </w:r>
          </w:p>
        </w:tc>
        <w:tc>
          <w:tcPr>
            <w:tcW w:w="2362" w:type="dxa"/>
            <w:tcBorders>
              <w:top w:val="nil"/>
            </w:tcBorders>
          </w:tcPr>
          <w:p w:rsidR="00000000" w:rsidRDefault="00000000">
            <w:pPr>
              <w:pStyle w:val="a2"/>
              <w:spacing w:after="40"/>
              <w:jc w:val="center"/>
            </w:pPr>
            <w:r>
              <w:t>67.9%</w:t>
            </w:r>
          </w:p>
        </w:tc>
      </w:tr>
    </w:tbl>
    <w:p w:rsidR="00000000" w:rsidRDefault="00000000">
      <w:pPr>
        <w:spacing w:before="240" w:after="320"/>
        <w:rPr>
          <w:rFonts w:eastAsia="KaiTi_GB2312" w:hint="eastAsia"/>
          <w:spacing w:val="0"/>
          <w:sz w:val="22"/>
        </w:rPr>
      </w:pPr>
      <w:r>
        <w:t xml:space="preserve">  </w:t>
      </w:r>
      <w:r>
        <w:rPr>
          <w:rFonts w:eastAsia="KaiTi_GB2312" w:hint="eastAsia"/>
          <w:spacing w:val="0"/>
          <w:sz w:val="22"/>
          <w:u w:val="single"/>
        </w:rPr>
        <w:t>资料来源</w:t>
      </w:r>
      <w:r>
        <w:rPr>
          <w:rFonts w:eastAsia="KaiTi_GB2312" w:hint="eastAsia"/>
          <w:spacing w:val="0"/>
          <w:sz w:val="22"/>
        </w:rPr>
        <w:t>：中央统计局。</w:t>
      </w:r>
    </w:p>
    <w:p w:rsidR="00000000" w:rsidRDefault="00000000">
      <w:pPr>
        <w:pStyle w:val="Heading3"/>
        <w:spacing w:after="240"/>
        <w:rPr>
          <w:rFonts w:ascii="Time New Roman" w:eastAsia="SimHei" w:hAnsi="Time New Roman" w:hint="eastAsia"/>
          <w:sz w:val="22"/>
          <w:u w:val="none"/>
        </w:rPr>
      </w:pPr>
      <w:r>
        <w:rPr>
          <w:u w:val="none"/>
        </w:rPr>
        <w:br w:type="page"/>
      </w: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4</w:t>
      </w:r>
      <w:r>
        <w:rPr>
          <w:rFonts w:ascii="Time New Roman" w:eastAsia="SimHei" w:hAnsi="Time New Roman"/>
          <w:sz w:val="22"/>
          <w:u w:val="none"/>
        </w:rPr>
        <w:br/>
      </w:r>
      <w:r>
        <w:rPr>
          <w:rFonts w:ascii="Time New Roman" w:eastAsia="SimHei" w:hAnsi="Time New Roman" w:hint="eastAsia"/>
          <w:sz w:val="22"/>
          <w:u w:val="none"/>
        </w:rPr>
        <w:t>社会保险银行所记录的工业意外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28"/>
        <w:gridCol w:w="1300"/>
        <w:gridCol w:w="1582"/>
      </w:tblGrid>
      <w:tr w:rsidR="00000000">
        <w:tblPrEx>
          <w:tblCellMar>
            <w:top w:w="0" w:type="dxa"/>
            <w:bottom w:w="0" w:type="dxa"/>
          </w:tblCellMar>
        </w:tblPrEx>
        <w:tc>
          <w:tcPr>
            <w:tcW w:w="6528" w:type="dxa"/>
          </w:tcPr>
          <w:p w:rsidR="00000000" w:rsidRDefault="00000000">
            <w:pPr>
              <w:pStyle w:val="a2"/>
              <w:spacing w:before="40" w:after="40"/>
              <w:jc w:val="center"/>
              <w:rPr>
                <w:rFonts w:eastAsia="SimHei" w:hint="eastAsia"/>
                <w:bCs/>
              </w:rPr>
            </w:pPr>
          </w:p>
        </w:tc>
        <w:tc>
          <w:tcPr>
            <w:tcW w:w="1300" w:type="dxa"/>
          </w:tcPr>
          <w:p w:rsidR="00000000" w:rsidRDefault="00000000">
            <w:pPr>
              <w:pStyle w:val="a2"/>
              <w:spacing w:before="40" w:after="40"/>
              <w:jc w:val="center"/>
              <w:rPr>
                <w:rFonts w:eastAsia="SimHei" w:hint="eastAsia"/>
                <w:bCs/>
              </w:rPr>
            </w:pPr>
            <w:r>
              <w:rPr>
                <w:rFonts w:eastAsia="SimHei" w:hint="eastAsia"/>
                <w:bCs/>
              </w:rPr>
              <w:t>1994</w:t>
            </w:r>
          </w:p>
        </w:tc>
        <w:tc>
          <w:tcPr>
            <w:tcW w:w="1582" w:type="dxa"/>
          </w:tcPr>
          <w:p w:rsidR="00000000" w:rsidRDefault="00000000">
            <w:pPr>
              <w:pStyle w:val="a2"/>
              <w:spacing w:before="40" w:after="40"/>
              <w:jc w:val="center"/>
              <w:rPr>
                <w:rFonts w:eastAsia="SimHei" w:hint="eastAsia"/>
                <w:bCs/>
              </w:rPr>
            </w:pPr>
            <w:r>
              <w:rPr>
                <w:rFonts w:eastAsia="SimHei" w:hint="eastAsia"/>
                <w:bCs/>
              </w:rPr>
              <w:t>2000</w:t>
            </w:r>
          </w:p>
        </w:tc>
      </w:tr>
      <w:tr w:rsidR="00000000">
        <w:tblPrEx>
          <w:tblCellMar>
            <w:top w:w="0" w:type="dxa"/>
            <w:bottom w:w="0" w:type="dxa"/>
          </w:tblCellMar>
        </w:tblPrEx>
        <w:tc>
          <w:tcPr>
            <w:tcW w:w="6528" w:type="dxa"/>
            <w:tcBorders>
              <w:bottom w:val="single" w:sz="4" w:space="0" w:color="auto"/>
            </w:tcBorders>
          </w:tcPr>
          <w:p w:rsidR="00000000" w:rsidRDefault="00000000">
            <w:pPr>
              <w:pStyle w:val="a2"/>
              <w:spacing w:before="40" w:after="40"/>
              <w:jc w:val="center"/>
              <w:rPr>
                <w:rFonts w:eastAsia="SimHei"/>
                <w:bCs/>
              </w:rPr>
            </w:pPr>
            <w:r>
              <w:rPr>
                <w:rFonts w:eastAsia="SimHei"/>
                <w:bCs/>
              </w:rPr>
              <w:t>Curaçao</w:t>
            </w:r>
          </w:p>
        </w:tc>
        <w:tc>
          <w:tcPr>
            <w:tcW w:w="1300" w:type="dxa"/>
            <w:tcBorders>
              <w:bottom w:val="single" w:sz="4" w:space="0" w:color="auto"/>
            </w:tcBorders>
          </w:tcPr>
          <w:p w:rsidR="00000000" w:rsidRDefault="00000000">
            <w:pPr>
              <w:pStyle w:val="a2"/>
              <w:spacing w:before="40" w:after="40"/>
              <w:jc w:val="center"/>
              <w:rPr>
                <w:rFonts w:eastAsia="SimHei" w:hint="eastAsia"/>
                <w:bCs/>
              </w:rPr>
            </w:pPr>
          </w:p>
        </w:tc>
        <w:tc>
          <w:tcPr>
            <w:tcW w:w="1582" w:type="dxa"/>
            <w:tcBorders>
              <w:bottom w:val="single" w:sz="4" w:space="0" w:color="auto"/>
            </w:tcBorders>
          </w:tcPr>
          <w:p w:rsidR="00000000" w:rsidRDefault="00000000">
            <w:pPr>
              <w:pStyle w:val="a2"/>
              <w:spacing w:before="40" w:after="40"/>
              <w:jc w:val="center"/>
              <w:rPr>
                <w:rFonts w:eastAsia="SimHei" w:hint="eastAsia"/>
                <w:bCs/>
              </w:rPr>
            </w:pPr>
          </w:p>
        </w:tc>
      </w:tr>
      <w:tr w:rsidR="00000000">
        <w:tblPrEx>
          <w:tblCellMar>
            <w:top w:w="0" w:type="dxa"/>
            <w:bottom w:w="0" w:type="dxa"/>
          </w:tblCellMar>
        </w:tblPrEx>
        <w:tc>
          <w:tcPr>
            <w:tcW w:w="6528" w:type="dxa"/>
            <w:tcBorders>
              <w:bottom w:val="nil"/>
            </w:tcBorders>
          </w:tcPr>
          <w:p w:rsidR="00000000" w:rsidRDefault="00000000">
            <w:pPr>
              <w:pStyle w:val="a2"/>
              <w:spacing w:before="40"/>
              <w:ind w:left="113"/>
              <w:rPr>
                <w:rFonts w:hint="eastAsia"/>
              </w:rPr>
            </w:pPr>
            <w:r>
              <w:rPr>
                <w:rFonts w:hint="eastAsia"/>
              </w:rPr>
              <w:t>建筑公司</w:t>
            </w:r>
          </w:p>
        </w:tc>
        <w:tc>
          <w:tcPr>
            <w:tcW w:w="1300" w:type="dxa"/>
            <w:tcBorders>
              <w:bottom w:val="nil"/>
            </w:tcBorders>
          </w:tcPr>
          <w:p w:rsidR="00000000" w:rsidRDefault="00000000">
            <w:pPr>
              <w:pStyle w:val="a2"/>
              <w:spacing w:before="40"/>
              <w:rPr>
                <w:rFonts w:hint="eastAsia"/>
              </w:rPr>
            </w:pPr>
          </w:p>
        </w:tc>
        <w:tc>
          <w:tcPr>
            <w:tcW w:w="1582" w:type="dxa"/>
            <w:tcBorders>
              <w:bottom w:val="nil"/>
            </w:tcBorders>
            <w:vAlign w:val="bottom"/>
          </w:tcPr>
          <w:p w:rsidR="00000000" w:rsidRDefault="00000000">
            <w:pPr>
              <w:pStyle w:val="a2"/>
              <w:spacing w:before="40"/>
              <w:ind w:right="567"/>
              <w:jc w:val="right"/>
              <w:rPr>
                <w:rFonts w:eastAsia="Arial Unicode MS"/>
              </w:rPr>
            </w:pPr>
            <w:r>
              <w:t>152</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rPr>
            </w:pPr>
            <w:r>
              <w:rPr>
                <w:rFonts w:hint="eastAsia"/>
              </w:rPr>
              <w:t>旅馆</w:t>
            </w:r>
            <w:r>
              <w:rPr>
                <w:rFonts w:hint="eastAsia"/>
              </w:rPr>
              <w:t>/</w:t>
            </w:r>
            <w:r>
              <w:rPr>
                <w:rFonts w:hint="eastAsia"/>
              </w:rPr>
              <w:t>赌场</w:t>
            </w:r>
            <w:r>
              <w:rPr>
                <w:rFonts w:hint="eastAsia"/>
              </w:rPr>
              <w:t>/</w:t>
            </w:r>
            <w:r>
              <w:rPr>
                <w:rFonts w:hint="eastAsia"/>
              </w:rPr>
              <w:t>饭店</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rPr>
                <w:rFonts w:eastAsia="Arial Unicode MS"/>
              </w:rPr>
            </w:pPr>
            <w:r>
              <w:t>146</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rPr>
            </w:pPr>
            <w:r>
              <w:rPr>
                <w:rFonts w:hint="eastAsia"/>
              </w:rPr>
              <w:t>服务行业</w:t>
            </w:r>
            <w:r>
              <w:rPr>
                <w:rFonts w:hint="eastAsia"/>
              </w:rPr>
              <w:t>/</w:t>
            </w:r>
            <w:r>
              <w:rPr>
                <w:rFonts w:hint="eastAsia"/>
              </w:rPr>
              <w:t>清洁公司</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rPr>
                <w:rFonts w:eastAsia="Arial Unicode MS"/>
              </w:rPr>
            </w:pPr>
            <w:r>
              <w:t>85</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rPr>
            </w:pPr>
            <w:r>
              <w:rPr>
                <w:rFonts w:hint="eastAsia"/>
              </w:rPr>
              <w:t>贸易公司</w:t>
            </w:r>
            <w:r>
              <w:rPr>
                <w:rFonts w:hint="eastAsia"/>
              </w:rPr>
              <w:t>/</w:t>
            </w:r>
            <w:r>
              <w:rPr>
                <w:rFonts w:hint="eastAsia"/>
              </w:rPr>
              <w:t>五金公司</w:t>
            </w:r>
            <w:r>
              <w:rPr>
                <w:rFonts w:hint="eastAsia"/>
              </w:rPr>
              <w:t>/</w:t>
            </w:r>
            <w:r>
              <w:rPr>
                <w:rFonts w:hint="eastAsia"/>
              </w:rPr>
              <w:t>百货公司</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rPr>
                <w:rFonts w:eastAsia="Arial Unicode MS"/>
              </w:rPr>
            </w:pPr>
            <w:r>
              <w:t>81</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rPr>
            </w:pPr>
            <w:r>
              <w:rPr>
                <w:rFonts w:hint="eastAsia"/>
              </w:rPr>
              <w:t>托儿所</w:t>
            </w:r>
            <w:r>
              <w:rPr>
                <w:rFonts w:hint="eastAsia"/>
              </w:rPr>
              <w:t>/</w:t>
            </w:r>
            <w:r>
              <w:rPr>
                <w:rFonts w:hint="eastAsia"/>
              </w:rPr>
              <w:t>医院</w:t>
            </w:r>
            <w:r>
              <w:rPr>
                <w:rFonts w:hint="eastAsia"/>
              </w:rPr>
              <w:t>/</w:t>
            </w:r>
            <w:r>
              <w:rPr>
                <w:rFonts w:hint="eastAsia"/>
              </w:rPr>
              <w:t>老人院</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rPr>
                <w:rFonts w:eastAsia="Arial Unicode MS"/>
              </w:rPr>
            </w:pPr>
            <w:r>
              <w:t>58</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rPr>
            </w:pPr>
            <w:r>
              <w:rPr>
                <w:bCs/>
                <w:szCs w:val="24"/>
              </w:rPr>
              <w:t>Curaçao</w:t>
            </w:r>
            <w:r>
              <w:rPr>
                <w:rFonts w:hint="eastAsia"/>
                <w:bCs/>
                <w:szCs w:val="24"/>
              </w:rPr>
              <w:t>岛干船坞公司</w:t>
            </w:r>
            <w:r>
              <w:rPr>
                <w:rFonts w:hint="eastAsia"/>
                <w:bCs/>
                <w:szCs w:val="24"/>
              </w:rPr>
              <w:t>(</w:t>
            </w:r>
            <w:r>
              <w:rPr>
                <w:rFonts w:hint="eastAsia"/>
                <w:bCs/>
                <w:szCs w:val="24"/>
              </w:rPr>
              <w:t>船坞业</w:t>
            </w:r>
            <w:r>
              <w:rPr>
                <w:rFonts w:hint="eastAsia"/>
                <w:bCs/>
                <w:szCs w:val="24"/>
              </w:rPr>
              <w:t>)/</w:t>
            </w:r>
            <w:r>
              <w:rPr>
                <w:rFonts w:hint="eastAsia"/>
                <w:bCs/>
                <w:szCs w:val="24"/>
              </w:rPr>
              <w:t>岛屿炼油厂</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rPr>
                <w:rFonts w:eastAsia="Arial Unicode MS"/>
              </w:rPr>
            </w:pPr>
            <w:r>
              <w:t>60</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超级商场</w:t>
            </w:r>
            <w:r>
              <w:rPr>
                <w:rFonts w:hint="eastAsia"/>
                <w:bCs/>
                <w:szCs w:val="24"/>
              </w:rPr>
              <w:t>/</w:t>
            </w:r>
            <w:r>
              <w:rPr>
                <w:rFonts w:hint="eastAsia"/>
                <w:bCs/>
                <w:szCs w:val="24"/>
              </w:rPr>
              <w:t>面包铺</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rPr>
                <w:rFonts w:eastAsia="Arial Unicode MS"/>
              </w:rPr>
            </w:pPr>
            <w:r>
              <w:t>53</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造纸厂</w:t>
            </w:r>
            <w:r>
              <w:rPr>
                <w:rFonts w:hint="eastAsia"/>
                <w:bCs/>
                <w:szCs w:val="24"/>
              </w:rPr>
              <w:t>/</w:t>
            </w:r>
            <w:r>
              <w:rPr>
                <w:rFonts w:hint="eastAsia"/>
                <w:bCs/>
                <w:szCs w:val="24"/>
              </w:rPr>
              <w:t>塑料厂</w:t>
            </w:r>
            <w:r>
              <w:rPr>
                <w:rFonts w:hint="eastAsia"/>
                <w:bCs/>
                <w:szCs w:val="24"/>
              </w:rPr>
              <w:t>/</w:t>
            </w:r>
            <w:r>
              <w:rPr>
                <w:rFonts w:hint="eastAsia"/>
                <w:bCs/>
                <w:szCs w:val="24"/>
              </w:rPr>
              <w:t>汽水厂</w:t>
            </w:r>
            <w:r>
              <w:rPr>
                <w:rFonts w:hint="eastAsia"/>
                <w:bCs/>
                <w:szCs w:val="24"/>
              </w:rPr>
              <w:t>/</w:t>
            </w:r>
            <w:r>
              <w:rPr>
                <w:rFonts w:hint="eastAsia"/>
                <w:bCs/>
                <w:szCs w:val="24"/>
              </w:rPr>
              <w:t>啤酒厂</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42</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保安公司</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41</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土木工程</w:t>
            </w:r>
            <w:r>
              <w:rPr>
                <w:rFonts w:hint="eastAsia"/>
                <w:bCs/>
                <w:szCs w:val="24"/>
              </w:rPr>
              <w:t>/</w:t>
            </w:r>
            <w:r>
              <w:rPr>
                <w:rFonts w:hint="eastAsia"/>
                <w:bCs/>
                <w:szCs w:val="24"/>
              </w:rPr>
              <w:t>装配公司</w:t>
            </w:r>
            <w:r>
              <w:rPr>
                <w:rFonts w:hint="eastAsia"/>
                <w:bCs/>
                <w:szCs w:val="24"/>
              </w:rPr>
              <w:t>/</w:t>
            </w:r>
            <w:r>
              <w:rPr>
                <w:rFonts w:hint="eastAsia"/>
                <w:bCs/>
                <w:szCs w:val="24"/>
              </w:rPr>
              <w:t>电工</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31</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电力公司</w:t>
            </w:r>
            <w:r>
              <w:rPr>
                <w:rFonts w:hint="eastAsia"/>
                <w:bCs/>
                <w:szCs w:val="24"/>
              </w:rPr>
              <w:t>/</w:t>
            </w:r>
            <w:r>
              <w:rPr>
                <w:rFonts w:hint="eastAsia"/>
                <w:bCs/>
                <w:szCs w:val="24"/>
              </w:rPr>
              <w:t>公用事业</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29</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旅行社</w:t>
            </w:r>
            <w:r>
              <w:rPr>
                <w:rFonts w:hint="eastAsia"/>
                <w:bCs/>
                <w:szCs w:val="24"/>
              </w:rPr>
              <w:t>/</w:t>
            </w:r>
            <w:r>
              <w:rPr>
                <w:rFonts w:hint="eastAsia"/>
                <w:bCs/>
                <w:szCs w:val="24"/>
              </w:rPr>
              <w:t>运输公司</w:t>
            </w:r>
            <w:r>
              <w:rPr>
                <w:rFonts w:hint="eastAsia"/>
                <w:bCs/>
                <w:szCs w:val="24"/>
              </w:rPr>
              <w:t>/</w:t>
            </w:r>
            <w:r>
              <w:rPr>
                <w:rFonts w:hint="eastAsia"/>
                <w:bCs/>
                <w:szCs w:val="24"/>
              </w:rPr>
              <w:t>货运公司</w:t>
            </w:r>
            <w:r>
              <w:rPr>
                <w:rFonts w:hint="eastAsia"/>
                <w:bCs/>
                <w:szCs w:val="24"/>
              </w:rPr>
              <w:t>/</w:t>
            </w:r>
            <w:r>
              <w:rPr>
                <w:rFonts w:hint="eastAsia"/>
                <w:bCs/>
                <w:szCs w:val="24"/>
              </w:rPr>
              <w:t>集装箱装卸</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26</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汽车零售</w:t>
            </w:r>
            <w:r>
              <w:rPr>
                <w:rFonts w:hint="eastAsia"/>
                <w:bCs/>
                <w:szCs w:val="24"/>
              </w:rPr>
              <w:t>/</w:t>
            </w:r>
            <w:r>
              <w:rPr>
                <w:rFonts w:hint="eastAsia"/>
                <w:bCs/>
                <w:szCs w:val="24"/>
              </w:rPr>
              <w:t>车行</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22</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乳制品</w:t>
            </w:r>
            <w:r>
              <w:rPr>
                <w:rFonts w:hint="eastAsia"/>
                <w:bCs/>
                <w:szCs w:val="24"/>
              </w:rPr>
              <w:t>/</w:t>
            </w:r>
            <w:r>
              <w:rPr>
                <w:rFonts w:hint="eastAsia"/>
                <w:bCs/>
                <w:szCs w:val="24"/>
              </w:rPr>
              <w:t>报纸发行</w:t>
            </w:r>
            <w:r>
              <w:rPr>
                <w:rFonts w:hint="eastAsia"/>
                <w:bCs/>
                <w:szCs w:val="24"/>
              </w:rPr>
              <w:t>/</w:t>
            </w:r>
            <w:r>
              <w:rPr>
                <w:rFonts w:hint="eastAsia"/>
                <w:bCs/>
                <w:szCs w:val="24"/>
              </w:rPr>
              <w:t>维修</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27</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港口业</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19</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码头工人</w:t>
            </w:r>
            <w:r>
              <w:rPr>
                <w:rFonts w:hint="eastAsia"/>
                <w:bCs/>
                <w:szCs w:val="24"/>
              </w:rPr>
              <w:t>/</w:t>
            </w:r>
            <w:r>
              <w:rPr>
                <w:rFonts w:hint="eastAsia"/>
                <w:bCs/>
                <w:szCs w:val="24"/>
              </w:rPr>
              <w:t>出口</w:t>
            </w:r>
            <w:r>
              <w:rPr>
                <w:rFonts w:hint="eastAsia"/>
                <w:bCs/>
                <w:szCs w:val="24"/>
              </w:rPr>
              <w:t>/</w:t>
            </w:r>
            <w:r>
              <w:rPr>
                <w:rFonts w:hint="eastAsia"/>
                <w:bCs/>
                <w:szCs w:val="24"/>
              </w:rPr>
              <w:t>进口</w:t>
            </w:r>
            <w:r>
              <w:rPr>
                <w:rFonts w:hint="eastAsia"/>
                <w:bCs/>
                <w:szCs w:val="24"/>
              </w:rPr>
              <w:t>/</w:t>
            </w:r>
            <w:r>
              <w:rPr>
                <w:rFonts w:hint="eastAsia"/>
                <w:bCs/>
                <w:szCs w:val="24"/>
              </w:rPr>
              <w:t>航运代理商</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16</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其他</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16</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时装店</w:t>
            </w:r>
            <w:r>
              <w:rPr>
                <w:rFonts w:hint="eastAsia"/>
                <w:bCs/>
                <w:szCs w:val="24"/>
              </w:rPr>
              <w:t>/</w:t>
            </w:r>
            <w:r>
              <w:rPr>
                <w:rFonts w:hint="eastAsia"/>
                <w:bCs/>
                <w:szCs w:val="24"/>
              </w:rPr>
              <w:t>鞋店</w:t>
            </w:r>
            <w:r>
              <w:rPr>
                <w:rFonts w:hint="eastAsia"/>
                <w:bCs/>
                <w:szCs w:val="24"/>
              </w:rPr>
              <w:t>/</w:t>
            </w:r>
            <w:r>
              <w:rPr>
                <w:rFonts w:hint="eastAsia"/>
                <w:bCs/>
                <w:szCs w:val="24"/>
              </w:rPr>
              <w:t>运动服装店</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11</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银行业</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10</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金属品制作</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8</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彩票销售</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7</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代理人</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5</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保险公司</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4</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矿业公司</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4</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加油站</w:t>
            </w:r>
            <w:r>
              <w:rPr>
                <w:rFonts w:hint="eastAsia"/>
                <w:bCs/>
                <w:szCs w:val="24"/>
              </w:rPr>
              <w:t>/</w:t>
            </w:r>
            <w:r>
              <w:rPr>
                <w:rFonts w:hint="eastAsia"/>
                <w:bCs/>
                <w:szCs w:val="24"/>
              </w:rPr>
              <w:t>石油公司</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3</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制造商</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3</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农业</w:t>
            </w:r>
            <w:r>
              <w:rPr>
                <w:rFonts w:hint="eastAsia"/>
                <w:bCs/>
                <w:szCs w:val="24"/>
              </w:rPr>
              <w:t>/</w:t>
            </w:r>
            <w:r>
              <w:rPr>
                <w:rFonts w:hint="eastAsia"/>
                <w:bCs/>
                <w:szCs w:val="24"/>
              </w:rPr>
              <w:t>谷物碾磨</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2</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工业</w:t>
            </w:r>
            <w:r>
              <w:rPr>
                <w:rFonts w:hint="eastAsia"/>
                <w:bCs/>
                <w:szCs w:val="24"/>
              </w:rPr>
              <w:t>/</w:t>
            </w:r>
            <w:r>
              <w:rPr>
                <w:rFonts w:hint="eastAsia"/>
                <w:bCs/>
                <w:szCs w:val="24"/>
              </w:rPr>
              <w:t>细木工业</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2</w:t>
            </w:r>
          </w:p>
        </w:tc>
      </w:tr>
      <w:tr w:rsidR="00000000">
        <w:tblPrEx>
          <w:tblCellMar>
            <w:top w:w="0" w:type="dxa"/>
            <w:bottom w:w="0" w:type="dxa"/>
          </w:tblCellMar>
        </w:tblPrEx>
        <w:tc>
          <w:tcPr>
            <w:tcW w:w="6528" w:type="dxa"/>
            <w:tcBorders>
              <w:top w:val="nil"/>
              <w:bottom w:val="nil"/>
            </w:tcBorders>
          </w:tcPr>
          <w:p w:rsidR="00000000" w:rsidRDefault="00000000">
            <w:pPr>
              <w:pStyle w:val="a2"/>
              <w:ind w:left="113"/>
              <w:rPr>
                <w:rFonts w:hint="eastAsia"/>
                <w:bCs/>
                <w:szCs w:val="24"/>
              </w:rPr>
            </w:pPr>
            <w:r>
              <w:rPr>
                <w:rFonts w:hint="eastAsia"/>
                <w:bCs/>
                <w:szCs w:val="24"/>
              </w:rPr>
              <w:t>戏院</w:t>
            </w:r>
            <w:r>
              <w:rPr>
                <w:rFonts w:hint="eastAsia"/>
                <w:bCs/>
                <w:szCs w:val="24"/>
              </w:rPr>
              <w:t>/</w:t>
            </w:r>
            <w:r>
              <w:rPr>
                <w:rFonts w:hint="eastAsia"/>
                <w:bCs/>
                <w:szCs w:val="24"/>
              </w:rPr>
              <w:t>电视业</w:t>
            </w:r>
          </w:p>
        </w:tc>
        <w:tc>
          <w:tcPr>
            <w:tcW w:w="1300" w:type="dxa"/>
            <w:tcBorders>
              <w:top w:val="nil"/>
              <w:bottom w:val="nil"/>
            </w:tcBorders>
          </w:tcPr>
          <w:p w:rsidR="00000000" w:rsidRDefault="00000000">
            <w:pPr>
              <w:pStyle w:val="a2"/>
              <w:rPr>
                <w:rFonts w:hint="eastAsia"/>
              </w:rPr>
            </w:pPr>
          </w:p>
        </w:tc>
        <w:tc>
          <w:tcPr>
            <w:tcW w:w="1582" w:type="dxa"/>
            <w:tcBorders>
              <w:top w:val="nil"/>
              <w:bottom w:val="nil"/>
            </w:tcBorders>
            <w:vAlign w:val="bottom"/>
          </w:tcPr>
          <w:p w:rsidR="00000000" w:rsidRDefault="00000000">
            <w:pPr>
              <w:pStyle w:val="a2"/>
              <w:ind w:right="567"/>
              <w:jc w:val="right"/>
            </w:pPr>
            <w:r>
              <w:t>2</w:t>
            </w:r>
          </w:p>
        </w:tc>
      </w:tr>
      <w:tr w:rsidR="00000000">
        <w:tblPrEx>
          <w:tblCellMar>
            <w:top w:w="0" w:type="dxa"/>
            <w:bottom w:w="0" w:type="dxa"/>
          </w:tblCellMar>
        </w:tblPrEx>
        <w:tc>
          <w:tcPr>
            <w:tcW w:w="6528" w:type="dxa"/>
            <w:tcBorders>
              <w:top w:val="nil"/>
            </w:tcBorders>
          </w:tcPr>
          <w:p w:rsidR="00000000" w:rsidRDefault="00000000">
            <w:pPr>
              <w:pStyle w:val="a2"/>
              <w:spacing w:after="40"/>
              <w:ind w:left="113"/>
              <w:rPr>
                <w:rFonts w:hint="eastAsia"/>
                <w:bCs/>
                <w:szCs w:val="24"/>
              </w:rPr>
            </w:pPr>
            <w:r>
              <w:rPr>
                <w:rFonts w:hint="eastAsia"/>
                <w:bCs/>
                <w:szCs w:val="24"/>
              </w:rPr>
              <w:t>重型机械</w:t>
            </w:r>
          </w:p>
        </w:tc>
        <w:tc>
          <w:tcPr>
            <w:tcW w:w="1300" w:type="dxa"/>
            <w:tcBorders>
              <w:top w:val="nil"/>
            </w:tcBorders>
          </w:tcPr>
          <w:p w:rsidR="00000000" w:rsidRDefault="00000000">
            <w:pPr>
              <w:pStyle w:val="a2"/>
              <w:spacing w:after="40"/>
              <w:rPr>
                <w:rFonts w:hint="eastAsia"/>
              </w:rPr>
            </w:pPr>
          </w:p>
        </w:tc>
        <w:tc>
          <w:tcPr>
            <w:tcW w:w="1582" w:type="dxa"/>
            <w:tcBorders>
              <w:top w:val="nil"/>
            </w:tcBorders>
            <w:vAlign w:val="bottom"/>
          </w:tcPr>
          <w:p w:rsidR="00000000" w:rsidRDefault="00000000">
            <w:pPr>
              <w:pStyle w:val="a2"/>
              <w:spacing w:after="40"/>
              <w:ind w:right="567"/>
              <w:jc w:val="right"/>
            </w:pPr>
            <w:r>
              <w:t>1</w:t>
            </w:r>
          </w:p>
        </w:tc>
      </w:tr>
      <w:tr w:rsidR="00000000">
        <w:tblPrEx>
          <w:tblCellMar>
            <w:top w:w="0" w:type="dxa"/>
            <w:bottom w:w="0" w:type="dxa"/>
          </w:tblCellMar>
        </w:tblPrEx>
        <w:tc>
          <w:tcPr>
            <w:tcW w:w="6528" w:type="dxa"/>
          </w:tcPr>
          <w:p w:rsidR="00000000" w:rsidRDefault="00000000">
            <w:pPr>
              <w:pStyle w:val="a2"/>
              <w:rPr>
                <w:rFonts w:hint="eastAsia"/>
                <w:bCs/>
                <w:snapToGrid/>
                <w:szCs w:val="24"/>
              </w:rPr>
            </w:pPr>
            <w:r>
              <w:rPr>
                <w:rFonts w:eastAsia="SimHei"/>
                <w:bCs/>
                <w:szCs w:val="24"/>
              </w:rPr>
              <w:tab/>
            </w:r>
            <w:r>
              <w:rPr>
                <w:rFonts w:hint="eastAsia"/>
                <w:bCs/>
                <w:snapToGrid/>
                <w:szCs w:val="24"/>
              </w:rPr>
              <w:t>总</w:t>
            </w:r>
            <w:r>
              <w:rPr>
                <w:rFonts w:hint="eastAsia"/>
                <w:bCs/>
                <w:snapToGrid/>
                <w:szCs w:val="24"/>
              </w:rPr>
              <w:t xml:space="preserve">  </w:t>
            </w:r>
            <w:r>
              <w:rPr>
                <w:rFonts w:hint="eastAsia"/>
                <w:bCs/>
                <w:snapToGrid/>
                <w:szCs w:val="24"/>
              </w:rPr>
              <w:t>计</w:t>
            </w:r>
          </w:p>
        </w:tc>
        <w:tc>
          <w:tcPr>
            <w:tcW w:w="1300" w:type="dxa"/>
          </w:tcPr>
          <w:p w:rsidR="00000000" w:rsidRDefault="00000000">
            <w:pPr>
              <w:pStyle w:val="a2"/>
              <w:jc w:val="center"/>
              <w:rPr>
                <w:rFonts w:eastAsia="SimHei" w:hint="eastAsia"/>
                <w:bCs/>
              </w:rPr>
            </w:pPr>
            <w:r>
              <w:rPr>
                <w:rFonts w:eastAsia="SimHei" w:hint="eastAsia"/>
                <w:bCs/>
              </w:rPr>
              <w:t>1 328</w:t>
            </w:r>
          </w:p>
        </w:tc>
        <w:tc>
          <w:tcPr>
            <w:tcW w:w="1582" w:type="dxa"/>
            <w:vAlign w:val="bottom"/>
          </w:tcPr>
          <w:p w:rsidR="00000000" w:rsidRDefault="00000000">
            <w:pPr>
              <w:pStyle w:val="a2"/>
              <w:ind w:right="567"/>
              <w:jc w:val="right"/>
              <w:rPr>
                <w:rFonts w:eastAsia="SimHei"/>
                <w:bCs/>
              </w:rPr>
            </w:pPr>
            <w:r>
              <w:rPr>
                <w:rFonts w:eastAsia="SimHei"/>
                <w:bCs/>
              </w:rPr>
              <w:t>966</w:t>
            </w:r>
          </w:p>
        </w:tc>
      </w:tr>
    </w:tbl>
    <w:p w:rsidR="00000000" w:rsidRDefault="00000000">
      <w:pPr>
        <w:pStyle w:val="Heading3"/>
        <w:spacing w:after="160"/>
        <w:rPr>
          <w:rFonts w:hint="eastAsia"/>
          <w:sz w:val="22"/>
          <w:u w:val="none"/>
        </w:rPr>
      </w:pPr>
      <w:r>
        <w:rPr>
          <w:u w:val="none"/>
        </w:rPr>
        <w:br w:type="page"/>
      </w:r>
      <w:r>
        <w:rPr>
          <w:rFonts w:ascii="Time New Roman" w:eastAsia="SimHei" w:hAnsi="Time New Roman" w:hint="eastAsia"/>
          <w:sz w:val="22"/>
          <w:u w:val="none"/>
        </w:rPr>
        <w:t>表</w:t>
      </w:r>
      <w:r>
        <w:rPr>
          <w:rFonts w:ascii="Time New Roman" w:eastAsia="SimHei" w:hAnsi="Time New Roman" w:hint="eastAsia"/>
          <w:sz w:val="22"/>
          <w:u w:val="none"/>
        </w:rPr>
        <w:t xml:space="preserve">  </w:t>
      </w:r>
      <w:r>
        <w:rPr>
          <w:rFonts w:ascii="Time New Roman" w:eastAsia="SimHei" w:hAnsi="Time New Roman" w:hint="eastAsia"/>
          <w:b/>
          <w:sz w:val="22"/>
          <w:u w:val="none"/>
        </w:rPr>
        <w:t>4</w:t>
      </w:r>
      <w:r>
        <w:rPr>
          <w:rFonts w:hint="eastAsia"/>
          <w:sz w:val="22"/>
          <w:u w:val="none"/>
        </w:rPr>
        <w:t xml:space="preserve"> </w:t>
      </w:r>
      <w:r>
        <w:rPr>
          <w:sz w:val="22"/>
          <w:u w:val="none"/>
        </w:rPr>
        <w:t>(</w:t>
      </w:r>
      <w:r>
        <w:rPr>
          <w:rFonts w:eastAsia="KaiTi_GB2312" w:hint="eastAsia"/>
          <w:spacing w:val="0"/>
          <w:kern w:val="0"/>
          <w:sz w:val="22"/>
        </w:rPr>
        <w:t>续</w:t>
      </w:r>
      <w:r>
        <w:rPr>
          <w:sz w:val="22"/>
          <w:u w:val="non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79"/>
        <w:gridCol w:w="1820"/>
        <w:gridCol w:w="1711"/>
      </w:tblGrid>
      <w:tr w:rsidR="00000000">
        <w:tblPrEx>
          <w:tblCellMar>
            <w:top w:w="0" w:type="dxa"/>
            <w:bottom w:w="0" w:type="dxa"/>
          </w:tblCellMar>
        </w:tblPrEx>
        <w:tc>
          <w:tcPr>
            <w:tcW w:w="3124" w:type="pct"/>
            <w:tcBorders>
              <w:bottom w:val="single" w:sz="4" w:space="0" w:color="auto"/>
            </w:tcBorders>
          </w:tcPr>
          <w:p w:rsidR="00000000" w:rsidRDefault="00000000">
            <w:pPr>
              <w:pStyle w:val="a2"/>
              <w:spacing w:after="40"/>
              <w:rPr>
                <w:rFonts w:eastAsia="SimHei" w:hint="eastAsia"/>
              </w:rPr>
            </w:pPr>
          </w:p>
        </w:tc>
        <w:tc>
          <w:tcPr>
            <w:tcW w:w="967" w:type="pct"/>
            <w:tcBorders>
              <w:bottom w:val="single" w:sz="4" w:space="0" w:color="auto"/>
            </w:tcBorders>
            <w:vAlign w:val="bottom"/>
          </w:tcPr>
          <w:p w:rsidR="00000000" w:rsidRDefault="00000000">
            <w:pPr>
              <w:pStyle w:val="a2"/>
              <w:spacing w:after="40"/>
              <w:ind w:right="851"/>
              <w:jc w:val="right"/>
              <w:rPr>
                <w:rFonts w:eastAsia="SimHei"/>
                <w:bCs/>
              </w:rPr>
            </w:pPr>
            <w:r>
              <w:rPr>
                <w:rFonts w:eastAsia="SimHei"/>
                <w:bCs/>
              </w:rPr>
              <w:t>1994</w:t>
            </w:r>
          </w:p>
        </w:tc>
        <w:tc>
          <w:tcPr>
            <w:tcW w:w="909" w:type="pct"/>
            <w:tcBorders>
              <w:bottom w:val="single" w:sz="4" w:space="0" w:color="auto"/>
            </w:tcBorders>
            <w:vAlign w:val="bottom"/>
          </w:tcPr>
          <w:p w:rsidR="00000000" w:rsidRDefault="00000000">
            <w:pPr>
              <w:pStyle w:val="a2"/>
              <w:spacing w:after="40"/>
              <w:ind w:right="851"/>
              <w:jc w:val="right"/>
              <w:rPr>
                <w:rFonts w:eastAsia="SimHei"/>
                <w:bCs/>
              </w:rPr>
            </w:pPr>
            <w:r>
              <w:rPr>
                <w:rFonts w:eastAsia="SimHei"/>
                <w:bCs/>
              </w:rPr>
              <w:t>2000</w:t>
            </w:r>
          </w:p>
        </w:tc>
      </w:tr>
      <w:tr w:rsidR="00000000">
        <w:tblPrEx>
          <w:tblCellMar>
            <w:top w:w="0" w:type="dxa"/>
            <w:bottom w:w="0" w:type="dxa"/>
          </w:tblCellMar>
        </w:tblPrEx>
        <w:tc>
          <w:tcPr>
            <w:tcW w:w="3124" w:type="pct"/>
            <w:tcBorders>
              <w:bottom w:val="single" w:sz="4" w:space="0" w:color="auto"/>
            </w:tcBorders>
          </w:tcPr>
          <w:p w:rsidR="00000000" w:rsidRDefault="00000000">
            <w:pPr>
              <w:pStyle w:val="a2"/>
              <w:spacing w:after="40"/>
              <w:jc w:val="center"/>
              <w:rPr>
                <w:rFonts w:eastAsia="SimHei" w:hint="eastAsia"/>
              </w:rPr>
            </w:pPr>
            <w:r>
              <w:rPr>
                <w:rFonts w:eastAsia="SimHei"/>
                <w:szCs w:val="24"/>
              </w:rPr>
              <w:t>Bonaire</w:t>
            </w:r>
            <w:r>
              <w:rPr>
                <w:rFonts w:eastAsia="SimHei" w:hint="eastAsia"/>
                <w:szCs w:val="24"/>
              </w:rPr>
              <w:t>群岛</w:t>
            </w:r>
          </w:p>
        </w:tc>
        <w:tc>
          <w:tcPr>
            <w:tcW w:w="967" w:type="pct"/>
            <w:tcBorders>
              <w:bottom w:val="single" w:sz="4" w:space="0" w:color="auto"/>
            </w:tcBorders>
            <w:vAlign w:val="bottom"/>
          </w:tcPr>
          <w:p w:rsidR="00000000" w:rsidRDefault="00000000">
            <w:pPr>
              <w:pStyle w:val="a2"/>
              <w:spacing w:after="40"/>
              <w:ind w:right="851"/>
              <w:jc w:val="right"/>
              <w:rPr>
                <w:bCs/>
              </w:rPr>
            </w:pPr>
          </w:p>
        </w:tc>
        <w:tc>
          <w:tcPr>
            <w:tcW w:w="909" w:type="pct"/>
            <w:tcBorders>
              <w:bottom w:val="single" w:sz="4" w:space="0" w:color="auto"/>
            </w:tcBorders>
            <w:vAlign w:val="bottom"/>
          </w:tcPr>
          <w:p w:rsidR="00000000" w:rsidRDefault="00000000">
            <w:pPr>
              <w:pStyle w:val="a2"/>
              <w:spacing w:after="40"/>
              <w:ind w:right="851"/>
              <w:jc w:val="right"/>
              <w:rPr>
                <w:rFonts w:hint="eastAsia"/>
                <w:bCs/>
              </w:rPr>
            </w:pPr>
          </w:p>
        </w:tc>
      </w:tr>
      <w:tr w:rsidR="00000000">
        <w:tblPrEx>
          <w:tblCellMar>
            <w:top w:w="0" w:type="dxa"/>
            <w:bottom w:w="0" w:type="dxa"/>
          </w:tblCellMar>
        </w:tblPrEx>
        <w:tc>
          <w:tcPr>
            <w:tcW w:w="3124" w:type="pct"/>
            <w:tcBorders>
              <w:top w:val="single" w:sz="4" w:space="0" w:color="auto"/>
              <w:bottom w:val="nil"/>
            </w:tcBorders>
          </w:tcPr>
          <w:p w:rsidR="00000000" w:rsidRDefault="00000000">
            <w:pPr>
              <w:pStyle w:val="a2"/>
              <w:spacing w:before="40"/>
              <w:ind w:left="113"/>
              <w:rPr>
                <w:rFonts w:hint="eastAsia"/>
              </w:rPr>
            </w:pPr>
            <w:r>
              <w:rPr>
                <w:rFonts w:hint="eastAsia"/>
              </w:rPr>
              <w:t>建筑公司</w:t>
            </w:r>
          </w:p>
        </w:tc>
        <w:tc>
          <w:tcPr>
            <w:tcW w:w="967" w:type="pct"/>
            <w:tcBorders>
              <w:top w:val="single" w:sz="4" w:space="0" w:color="auto"/>
              <w:bottom w:val="nil"/>
            </w:tcBorders>
            <w:vAlign w:val="bottom"/>
          </w:tcPr>
          <w:p w:rsidR="00000000" w:rsidRDefault="00000000">
            <w:pPr>
              <w:pStyle w:val="a2"/>
              <w:spacing w:before="40"/>
              <w:ind w:right="851"/>
              <w:jc w:val="right"/>
            </w:pPr>
          </w:p>
        </w:tc>
        <w:tc>
          <w:tcPr>
            <w:tcW w:w="909" w:type="pct"/>
            <w:tcBorders>
              <w:top w:val="single" w:sz="4" w:space="0" w:color="auto"/>
              <w:bottom w:val="nil"/>
            </w:tcBorders>
            <w:vAlign w:val="bottom"/>
          </w:tcPr>
          <w:p w:rsidR="00000000" w:rsidRDefault="00000000">
            <w:pPr>
              <w:pStyle w:val="a2"/>
              <w:spacing w:before="40"/>
              <w:ind w:right="851"/>
              <w:jc w:val="right"/>
            </w:pPr>
            <w:r>
              <w:t>33</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接待业</w:t>
            </w:r>
            <w:r>
              <w:rPr>
                <w:rFonts w:hint="eastAsia"/>
              </w:rPr>
              <w:t>/</w:t>
            </w:r>
            <w:r>
              <w:rPr>
                <w:rFonts w:hint="eastAsia"/>
              </w:rPr>
              <w:t>饭店</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30</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租车</w:t>
            </w:r>
            <w:r>
              <w:rPr>
                <w:rFonts w:hint="eastAsia"/>
              </w:rPr>
              <w:t>/</w:t>
            </w:r>
            <w:r>
              <w:rPr>
                <w:rFonts w:hint="eastAsia"/>
              </w:rPr>
              <w:t>车行</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5</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老人院</w:t>
            </w:r>
            <w:r>
              <w:rPr>
                <w:rFonts w:hint="eastAsia"/>
              </w:rPr>
              <w:t>/</w:t>
            </w:r>
            <w:r>
              <w:rPr>
                <w:rFonts w:hint="eastAsia"/>
              </w:rPr>
              <w:t>医院</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4</w:t>
            </w:r>
          </w:p>
        </w:tc>
      </w:tr>
      <w:tr w:rsidR="00000000">
        <w:tblPrEx>
          <w:tblCellMar>
            <w:top w:w="0" w:type="dxa"/>
            <w:bottom w:w="0" w:type="dxa"/>
          </w:tblCellMar>
        </w:tblPrEx>
        <w:tc>
          <w:tcPr>
            <w:tcW w:w="3124" w:type="pct"/>
            <w:tcBorders>
              <w:top w:val="nil"/>
            </w:tcBorders>
          </w:tcPr>
          <w:p w:rsidR="00000000" w:rsidRDefault="00000000">
            <w:pPr>
              <w:pStyle w:val="a2"/>
              <w:spacing w:after="40"/>
              <w:ind w:left="113"/>
              <w:rPr>
                <w:rFonts w:hint="eastAsia"/>
              </w:rPr>
            </w:pPr>
            <w:r>
              <w:rPr>
                <w:rFonts w:hint="eastAsia"/>
              </w:rPr>
              <w:t>批发业</w:t>
            </w:r>
          </w:p>
        </w:tc>
        <w:tc>
          <w:tcPr>
            <w:tcW w:w="967" w:type="pct"/>
            <w:tcBorders>
              <w:top w:val="nil"/>
            </w:tcBorders>
            <w:vAlign w:val="bottom"/>
          </w:tcPr>
          <w:p w:rsidR="00000000" w:rsidRDefault="00000000">
            <w:pPr>
              <w:pStyle w:val="a2"/>
              <w:spacing w:after="40"/>
              <w:ind w:right="851"/>
              <w:jc w:val="right"/>
            </w:pPr>
          </w:p>
        </w:tc>
        <w:tc>
          <w:tcPr>
            <w:tcW w:w="909" w:type="pct"/>
            <w:tcBorders>
              <w:top w:val="nil"/>
            </w:tcBorders>
            <w:vAlign w:val="bottom"/>
          </w:tcPr>
          <w:p w:rsidR="00000000" w:rsidRDefault="00000000">
            <w:pPr>
              <w:pStyle w:val="a2"/>
              <w:spacing w:after="40"/>
              <w:ind w:right="851"/>
              <w:jc w:val="right"/>
            </w:pPr>
            <w:r>
              <w:t>4</w:t>
            </w:r>
          </w:p>
        </w:tc>
      </w:tr>
      <w:tr w:rsidR="00000000">
        <w:tblPrEx>
          <w:tblCellMar>
            <w:top w:w="0" w:type="dxa"/>
            <w:bottom w:w="0" w:type="dxa"/>
          </w:tblCellMar>
        </w:tblPrEx>
        <w:tc>
          <w:tcPr>
            <w:tcW w:w="3124" w:type="pct"/>
          </w:tcPr>
          <w:p w:rsidR="00000000" w:rsidRDefault="00000000">
            <w:pPr>
              <w:pStyle w:val="a2"/>
              <w:rPr>
                <w:rFonts w:hint="eastAsia"/>
                <w:snapToGrid/>
              </w:rPr>
            </w:pPr>
            <w:r>
              <w:rPr>
                <w:rFonts w:eastAsia="SimHei"/>
              </w:rPr>
              <w:tab/>
            </w:r>
            <w:r>
              <w:rPr>
                <w:rFonts w:hint="eastAsia"/>
                <w:snapToGrid/>
              </w:rPr>
              <w:t>总</w:t>
            </w:r>
            <w:r>
              <w:rPr>
                <w:rFonts w:hint="eastAsia"/>
                <w:snapToGrid/>
              </w:rPr>
              <w:t xml:space="preserve">  </w:t>
            </w:r>
            <w:r>
              <w:rPr>
                <w:rFonts w:hint="eastAsia"/>
                <w:snapToGrid/>
              </w:rPr>
              <w:t>计</w:t>
            </w:r>
          </w:p>
        </w:tc>
        <w:tc>
          <w:tcPr>
            <w:tcW w:w="967" w:type="pct"/>
            <w:vAlign w:val="bottom"/>
          </w:tcPr>
          <w:p w:rsidR="00000000" w:rsidRDefault="00000000">
            <w:pPr>
              <w:pStyle w:val="a2"/>
              <w:ind w:right="851"/>
              <w:jc w:val="right"/>
              <w:rPr>
                <w:rFonts w:eastAsia="SimHei"/>
                <w:bCs/>
              </w:rPr>
            </w:pPr>
            <w:r>
              <w:rPr>
                <w:rFonts w:eastAsia="SimHei"/>
                <w:bCs/>
              </w:rPr>
              <w:t>100</w:t>
            </w:r>
          </w:p>
        </w:tc>
        <w:tc>
          <w:tcPr>
            <w:tcW w:w="909" w:type="pct"/>
            <w:vAlign w:val="bottom"/>
          </w:tcPr>
          <w:p w:rsidR="00000000" w:rsidRDefault="00000000">
            <w:pPr>
              <w:pStyle w:val="a2"/>
              <w:ind w:right="851"/>
              <w:jc w:val="right"/>
              <w:rPr>
                <w:rFonts w:eastAsia="SimHei"/>
                <w:bCs/>
              </w:rPr>
            </w:pPr>
            <w:r>
              <w:rPr>
                <w:rFonts w:eastAsia="SimHei"/>
                <w:bCs/>
              </w:rPr>
              <w:t>76</w:t>
            </w:r>
          </w:p>
        </w:tc>
      </w:tr>
      <w:tr w:rsidR="00000000">
        <w:tblPrEx>
          <w:tblCellMar>
            <w:top w:w="0" w:type="dxa"/>
            <w:bottom w:w="0" w:type="dxa"/>
          </w:tblCellMar>
        </w:tblPrEx>
        <w:tc>
          <w:tcPr>
            <w:tcW w:w="3124" w:type="pct"/>
            <w:tcBorders>
              <w:bottom w:val="single" w:sz="4" w:space="0" w:color="auto"/>
            </w:tcBorders>
          </w:tcPr>
          <w:p w:rsidR="00000000" w:rsidRDefault="00000000">
            <w:pPr>
              <w:pStyle w:val="a2"/>
              <w:spacing w:after="40"/>
              <w:jc w:val="center"/>
              <w:rPr>
                <w:rFonts w:eastAsia="SimHei" w:hint="eastAsia"/>
              </w:rPr>
            </w:pPr>
            <w:r>
              <w:rPr>
                <w:rFonts w:eastAsia="SimHei" w:hint="eastAsia"/>
              </w:rPr>
              <w:t>向风群岛</w:t>
            </w:r>
          </w:p>
        </w:tc>
        <w:tc>
          <w:tcPr>
            <w:tcW w:w="967" w:type="pct"/>
            <w:tcBorders>
              <w:bottom w:val="single" w:sz="4" w:space="0" w:color="auto"/>
            </w:tcBorders>
            <w:vAlign w:val="bottom"/>
          </w:tcPr>
          <w:p w:rsidR="00000000" w:rsidRDefault="00000000">
            <w:pPr>
              <w:pStyle w:val="a2"/>
              <w:spacing w:after="40"/>
              <w:ind w:right="851"/>
              <w:jc w:val="center"/>
              <w:rPr>
                <w:rFonts w:eastAsia="SimHei"/>
              </w:rPr>
            </w:pPr>
          </w:p>
        </w:tc>
        <w:tc>
          <w:tcPr>
            <w:tcW w:w="909" w:type="pct"/>
            <w:tcBorders>
              <w:bottom w:val="single" w:sz="4" w:space="0" w:color="auto"/>
            </w:tcBorders>
            <w:vAlign w:val="bottom"/>
          </w:tcPr>
          <w:p w:rsidR="00000000" w:rsidRDefault="00000000">
            <w:pPr>
              <w:pStyle w:val="a2"/>
              <w:spacing w:after="40"/>
              <w:ind w:right="851"/>
              <w:jc w:val="center"/>
              <w:rPr>
                <w:rFonts w:eastAsia="SimHei" w:hint="eastAsia"/>
              </w:rPr>
            </w:pPr>
          </w:p>
        </w:tc>
      </w:tr>
      <w:tr w:rsidR="00000000">
        <w:tblPrEx>
          <w:tblCellMar>
            <w:top w:w="0" w:type="dxa"/>
            <w:bottom w:w="0" w:type="dxa"/>
          </w:tblCellMar>
        </w:tblPrEx>
        <w:tc>
          <w:tcPr>
            <w:tcW w:w="3124" w:type="pct"/>
            <w:tcBorders>
              <w:bottom w:val="nil"/>
            </w:tcBorders>
          </w:tcPr>
          <w:p w:rsidR="00000000" w:rsidRDefault="00000000">
            <w:pPr>
              <w:pStyle w:val="a2"/>
              <w:spacing w:before="40"/>
              <w:ind w:left="113"/>
              <w:rPr>
                <w:rFonts w:hint="eastAsia"/>
              </w:rPr>
            </w:pPr>
            <w:r>
              <w:rPr>
                <w:rFonts w:hint="eastAsia"/>
              </w:rPr>
              <w:t>旅馆</w:t>
            </w:r>
            <w:r>
              <w:rPr>
                <w:rFonts w:hint="eastAsia"/>
              </w:rPr>
              <w:t>/</w:t>
            </w:r>
            <w:r>
              <w:rPr>
                <w:rFonts w:hint="eastAsia"/>
              </w:rPr>
              <w:t>分时度假酒店</w:t>
            </w:r>
            <w:r>
              <w:rPr>
                <w:rFonts w:hint="eastAsia"/>
              </w:rPr>
              <w:t>/</w:t>
            </w:r>
            <w:r>
              <w:rPr>
                <w:rFonts w:hint="eastAsia"/>
              </w:rPr>
              <w:t>赌场</w:t>
            </w:r>
            <w:r>
              <w:rPr>
                <w:rFonts w:hint="eastAsia"/>
              </w:rPr>
              <w:t>/</w:t>
            </w:r>
            <w:r>
              <w:rPr>
                <w:rFonts w:hint="eastAsia"/>
              </w:rPr>
              <w:t>游艇停泊港</w:t>
            </w:r>
          </w:p>
        </w:tc>
        <w:tc>
          <w:tcPr>
            <w:tcW w:w="967" w:type="pct"/>
            <w:tcBorders>
              <w:bottom w:val="nil"/>
            </w:tcBorders>
            <w:vAlign w:val="bottom"/>
          </w:tcPr>
          <w:p w:rsidR="00000000" w:rsidRDefault="00000000">
            <w:pPr>
              <w:pStyle w:val="a2"/>
              <w:spacing w:before="40"/>
              <w:ind w:left="113"/>
            </w:pPr>
          </w:p>
        </w:tc>
        <w:tc>
          <w:tcPr>
            <w:tcW w:w="909" w:type="pct"/>
            <w:tcBorders>
              <w:bottom w:val="nil"/>
            </w:tcBorders>
            <w:vAlign w:val="bottom"/>
          </w:tcPr>
          <w:p w:rsidR="00000000" w:rsidRDefault="00000000">
            <w:pPr>
              <w:pStyle w:val="a2"/>
              <w:ind w:right="851"/>
              <w:jc w:val="right"/>
            </w:pPr>
            <w:r>
              <w:t>75</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建筑承包商</w:t>
            </w:r>
            <w:r>
              <w:rPr>
                <w:rFonts w:hint="eastAsia"/>
              </w:rPr>
              <w:t>/</w:t>
            </w:r>
            <w:r>
              <w:rPr>
                <w:rFonts w:hint="eastAsia"/>
              </w:rPr>
              <w:t>建筑公司</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58</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服务业</w:t>
            </w:r>
            <w:r>
              <w:rPr>
                <w:rFonts w:hint="eastAsia"/>
              </w:rPr>
              <w:t>/</w:t>
            </w:r>
            <w:r>
              <w:rPr>
                <w:rFonts w:hint="eastAsia"/>
              </w:rPr>
              <w:t>清洁公司</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29</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超级商场</w:t>
            </w:r>
            <w:r>
              <w:rPr>
                <w:rFonts w:hint="eastAsia"/>
              </w:rPr>
              <w:t>/</w:t>
            </w:r>
            <w:r>
              <w:rPr>
                <w:rFonts w:hint="eastAsia"/>
              </w:rPr>
              <w:t>面包铺</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18</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公用事来</w:t>
            </w:r>
            <w:r>
              <w:rPr>
                <w:rFonts w:hint="eastAsia"/>
              </w:rPr>
              <w:t>/</w:t>
            </w:r>
            <w:r>
              <w:rPr>
                <w:rFonts w:hint="eastAsia"/>
              </w:rPr>
              <w:t>能源公司</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9</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保险公司</w:t>
            </w:r>
            <w:r>
              <w:rPr>
                <w:rFonts w:hint="eastAsia"/>
              </w:rPr>
              <w:t>/</w:t>
            </w:r>
            <w:r>
              <w:rPr>
                <w:rFonts w:hint="eastAsia"/>
              </w:rPr>
              <w:t>五金公司</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8</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工业</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8</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港口业</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7</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汽车零售</w:t>
            </w:r>
            <w:r>
              <w:rPr>
                <w:rFonts w:hint="eastAsia"/>
              </w:rPr>
              <w:t>/</w:t>
            </w:r>
            <w:r>
              <w:rPr>
                <w:rFonts w:hint="eastAsia"/>
              </w:rPr>
              <w:t>车行</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6</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保安公司</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4</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托儿所</w:t>
            </w:r>
            <w:r>
              <w:rPr>
                <w:rFonts w:hint="eastAsia"/>
              </w:rPr>
              <w:t>/</w:t>
            </w:r>
            <w:r>
              <w:rPr>
                <w:rFonts w:hint="eastAsia"/>
              </w:rPr>
              <w:t>医院</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3</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报纸发行</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2</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服装店</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2</w:t>
            </w:r>
          </w:p>
        </w:tc>
      </w:tr>
      <w:tr w:rsidR="00000000">
        <w:tblPrEx>
          <w:tblCellMar>
            <w:top w:w="0" w:type="dxa"/>
            <w:bottom w:w="0" w:type="dxa"/>
          </w:tblCellMar>
        </w:tblPrEx>
        <w:tc>
          <w:tcPr>
            <w:tcW w:w="3124" w:type="pct"/>
            <w:tcBorders>
              <w:top w:val="nil"/>
              <w:bottom w:val="nil"/>
            </w:tcBorders>
          </w:tcPr>
          <w:p w:rsidR="00000000" w:rsidRDefault="00000000">
            <w:pPr>
              <w:pStyle w:val="a2"/>
              <w:ind w:left="113"/>
              <w:rPr>
                <w:rFonts w:hint="eastAsia"/>
              </w:rPr>
            </w:pPr>
            <w:r>
              <w:rPr>
                <w:rFonts w:hint="eastAsia"/>
              </w:rPr>
              <w:t>金属品制作</w:t>
            </w:r>
          </w:p>
        </w:tc>
        <w:tc>
          <w:tcPr>
            <w:tcW w:w="967" w:type="pct"/>
            <w:tcBorders>
              <w:top w:val="nil"/>
              <w:bottom w:val="nil"/>
            </w:tcBorders>
            <w:vAlign w:val="bottom"/>
          </w:tcPr>
          <w:p w:rsidR="00000000" w:rsidRDefault="00000000">
            <w:pPr>
              <w:pStyle w:val="a2"/>
              <w:ind w:right="851"/>
              <w:jc w:val="right"/>
            </w:pPr>
          </w:p>
        </w:tc>
        <w:tc>
          <w:tcPr>
            <w:tcW w:w="909" w:type="pct"/>
            <w:tcBorders>
              <w:top w:val="nil"/>
              <w:bottom w:val="nil"/>
            </w:tcBorders>
            <w:vAlign w:val="bottom"/>
          </w:tcPr>
          <w:p w:rsidR="00000000" w:rsidRDefault="00000000">
            <w:pPr>
              <w:pStyle w:val="a2"/>
              <w:ind w:right="851"/>
              <w:jc w:val="right"/>
            </w:pPr>
            <w:r>
              <w:t>2</w:t>
            </w:r>
          </w:p>
        </w:tc>
      </w:tr>
      <w:tr w:rsidR="00000000">
        <w:tblPrEx>
          <w:tblCellMar>
            <w:top w:w="0" w:type="dxa"/>
            <w:bottom w:w="0" w:type="dxa"/>
          </w:tblCellMar>
        </w:tblPrEx>
        <w:tc>
          <w:tcPr>
            <w:tcW w:w="3124" w:type="pct"/>
            <w:tcBorders>
              <w:top w:val="nil"/>
            </w:tcBorders>
          </w:tcPr>
          <w:p w:rsidR="00000000" w:rsidRDefault="00000000">
            <w:pPr>
              <w:pStyle w:val="a2"/>
              <w:spacing w:after="40"/>
              <w:ind w:left="113"/>
              <w:rPr>
                <w:rFonts w:hint="eastAsia"/>
              </w:rPr>
            </w:pPr>
            <w:r>
              <w:rPr>
                <w:rFonts w:hint="eastAsia"/>
              </w:rPr>
              <w:t>其他</w:t>
            </w:r>
          </w:p>
        </w:tc>
        <w:tc>
          <w:tcPr>
            <w:tcW w:w="967" w:type="pct"/>
            <w:tcBorders>
              <w:top w:val="nil"/>
            </w:tcBorders>
            <w:vAlign w:val="bottom"/>
          </w:tcPr>
          <w:p w:rsidR="00000000" w:rsidRDefault="00000000">
            <w:pPr>
              <w:pStyle w:val="a2"/>
              <w:spacing w:after="40"/>
              <w:ind w:right="851"/>
              <w:jc w:val="right"/>
            </w:pPr>
          </w:p>
        </w:tc>
        <w:tc>
          <w:tcPr>
            <w:tcW w:w="909" w:type="pct"/>
            <w:tcBorders>
              <w:top w:val="nil"/>
            </w:tcBorders>
            <w:vAlign w:val="bottom"/>
          </w:tcPr>
          <w:p w:rsidR="00000000" w:rsidRDefault="00000000">
            <w:pPr>
              <w:pStyle w:val="a2"/>
              <w:spacing w:after="40"/>
              <w:ind w:right="851"/>
              <w:jc w:val="right"/>
            </w:pPr>
            <w:r>
              <w:t>5</w:t>
            </w:r>
          </w:p>
        </w:tc>
      </w:tr>
      <w:tr w:rsidR="00000000">
        <w:tblPrEx>
          <w:tblCellMar>
            <w:top w:w="0" w:type="dxa"/>
            <w:bottom w:w="0" w:type="dxa"/>
          </w:tblCellMar>
        </w:tblPrEx>
        <w:tc>
          <w:tcPr>
            <w:tcW w:w="3124" w:type="pct"/>
          </w:tcPr>
          <w:p w:rsidR="00000000" w:rsidRDefault="00000000">
            <w:pPr>
              <w:pStyle w:val="a2"/>
              <w:spacing w:after="40"/>
              <w:rPr>
                <w:rFonts w:hint="eastAsia"/>
                <w:snapToGrid/>
              </w:rPr>
            </w:pPr>
            <w:r>
              <w:rPr>
                <w:snapToGrid/>
              </w:rPr>
              <w:tab/>
            </w:r>
            <w:r>
              <w:rPr>
                <w:rFonts w:hint="eastAsia"/>
                <w:snapToGrid/>
              </w:rPr>
              <w:t>总</w:t>
            </w:r>
            <w:r>
              <w:rPr>
                <w:rFonts w:hint="eastAsia"/>
                <w:snapToGrid/>
              </w:rPr>
              <w:t xml:space="preserve">  </w:t>
            </w:r>
            <w:r>
              <w:rPr>
                <w:rFonts w:hint="eastAsia"/>
                <w:snapToGrid/>
              </w:rPr>
              <w:t>计</w:t>
            </w:r>
          </w:p>
        </w:tc>
        <w:tc>
          <w:tcPr>
            <w:tcW w:w="967" w:type="pct"/>
            <w:vAlign w:val="bottom"/>
          </w:tcPr>
          <w:p w:rsidR="00000000" w:rsidRDefault="00000000">
            <w:pPr>
              <w:pStyle w:val="a2"/>
              <w:spacing w:after="40"/>
              <w:ind w:right="851"/>
              <w:jc w:val="right"/>
              <w:rPr>
                <w:rFonts w:eastAsia="SimHei"/>
                <w:bCs/>
              </w:rPr>
            </w:pPr>
            <w:r>
              <w:rPr>
                <w:rFonts w:eastAsia="SimHei"/>
                <w:bCs/>
              </w:rPr>
              <w:t>300</w:t>
            </w:r>
          </w:p>
        </w:tc>
        <w:tc>
          <w:tcPr>
            <w:tcW w:w="909" w:type="pct"/>
            <w:vAlign w:val="bottom"/>
          </w:tcPr>
          <w:p w:rsidR="00000000" w:rsidRDefault="00000000">
            <w:pPr>
              <w:pStyle w:val="a2"/>
              <w:spacing w:after="40"/>
              <w:ind w:right="851"/>
              <w:jc w:val="right"/>
              <w:rPr>
                <w:rFonts w:eastAsia="SimHei"/>
                <w:bCs/>
              </w:rPr>
            </w:pPr>
            <w:r>
              <w:rPr>
                <w:rFonts w:eastAsia="SimHei"/>
                <w:bCs/>
              </w:rPr>
              <w:t>236</w:t>
            </w:r>
          </w:p>
        </w:tc>
      </w:tr>
      <w:tr w:rsidR="00000000">
        <w:tblPrEx>
          <w:tblCellMar>
            <w:top w:w="0" w:type="dxa"/>
            <w:bottom w:w="0" w:type="dxa"/>
          </w:tblCellMar>
        </w:tblPrEx>
        <w:tc>
          <w:tcPr>
            <w:tcW w:w="3124" w:type="pct"/>
          </w:tcPr>
          <w:p w:rsidR="00000000" w:rsidRDefault="00000000">
            <w:pPr>
              <w:pStyle w:val="a2"/>
              <w:spacing w:after="40"/>
              <w:rPr>
                <w:rFonts w:hint="eastAsia"/>
                <w:snapToGrid/>
              </w:rPr>
            </w:pPr>
            <w:r>
              <w:rPr>
                <w:rFonts w:eastAsia="SimHei"/>
              </w:rPr>
              <w:tab/>
            </w:r>
            <w:r>
              <w:rPr>
                <w:rFonts w:eastAsia="SimHei"/>
              </w:rPr>
              <w:tab/>
            </w:r>
            <w:r>
              <w:rPr>
                <w:rFonts w:eastAsia="SimHei"/>
              </w:rPr>
              <w:tab/>
            </w:r>
            <w:r>
              <w:rPr>
                <w:rFonts w:hint="eastAsia"/>
                <w:snapToGrid/>
              </w:rPr>
              <w:t>荷属安的列斯群岛总计</w:t>
            </w:r>
          </w:p>
        </w:tc>
        <w:tc>
          <w:tcPr>
            <w:tcW w:w="967" w:type="pct"/>
            <w:vAlign w:val="bottom"/>
          </w:tcPr>
          <w:p w:rsidR="00000000" w:rsidRDefault="00000000">
            <w:pPr>
              <w:pStyle w:val="a2"/>
              <w:spacing w:after="40"/>
              <w:ind w:right="851"/>
              <w:jc w:val="right"/>
              <w:rPr>
                <w:rFonts w:eastAsia="SimHei"/>
                <w:bCs/>
              </w:rPr>
            </w:pPr>
            <w:r>
              <w:rPr>
                <w:rFonts w:eastAsia="SimHei"/>
                <w:bCs/>
              </w:rPr>
              <w:t>1 728</w:t>
            </w:r>
          </w:p>
        </w:tc>
        <w:tc>
          <w:tcPr>
            <w:tcW w:w="909" w:type="pct"/>
            <w:vAlign w:val="bottom"/>
          </w:tcPr>
          <w:p w:rsidR="00000000" w:rsidRDefault="00000000">
            <w:pPr>
              <w:pStyle w:val="a2"/>
              <w:spacing w:after="40"/>
              <w:ind w:right="851"/>
              <w:jc w:val="right"/>
              <w:rPr>
                <w:rFonts w:eastAsia="SimHei"/>
                <w:bCs/>
              </w:rPr>
            </w:pPr>
            <w:r>
              <w:rPr>
                <w:rFonts w:eastAsia="SimHei"/>
                <w:bCs/>
              </w:rPr>
              <w:t>1 278</w:t>
            </w:r>
          </w:p>
        </w:tc>
      </w:tr>
    </w:tbl>
    <w:p w:rsidR="00000000" w:rsidRDefault="00000000">
      <w:pPr>
        <w:spacing w:after="160"/>
        <w:rPr>
          <w:rFonts w:hint="eastAsia"/>
        </w:rPr>
      </w:pP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八</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结社自由</w:t>
      </w:r>
    </w:p>
    <w:p w:rsidR="00000000" w:rsidRDefault="00000000">
      <w:pPr>
        <w:rPr>
          <w:rFonts w:hint="eastAsia"/>
        </w:rPr>
      </w:pPr>
      <w:r>
        <w:rPr>
          <w:rFonts w:hint="eastAsia"/>
        </w:rPr>
        <w:tab/>
        <w:t xml:space="preserve">47.  </w:t>
      </w:r>
      <w:r>
        <w:rPr>
          <w:rFonts w:hint="eastAsia"/>
        </w:rPr>
        <w:t>结社自由的权利得到承认。《荷属安的列斯群岛宪法》第</w:t>
      </w:r>
      <w:r>
        <w:rPr>
          <w:rFonts w:hint="eastAsia"/>
        </w:rPr>
        <w:t>10</w:t>
      </w:r>
      <w:r>
        <w:rPr>
          <w:rFonts w:hint="eastAsia"/>
        </w:rPr>
        <w:t>条规定：“为维护公共秩序、道德或者公共卫生，根据国家法律可以管制和限制结社和集会自由权利的行使。”</w:t>
      </w:r>
    </w:p>
    <w:p w:rsidR="00000000" w:rsidRDefault="00000000">
      <w:pPr>
        <w:widowControl w:val="0"/>
        <w:rPr>
          <w:rFonts w:hint="eastAsia"/>
        </w:rPr>
      </w:pPr>
      <w:r>
        <w:rPr>
          <w:rFonts w:hint="eastAsia"/>
        </w:rPr>
        <w:tab/>
        <w:t xml:space="preserve">48.  </w:t>
      </w:r>
      <w:r>
        <w:rPr>
          <w:rFonts w:hint="eastAsia"/>
        </w:rPr>
        <w:t>结社、示威以及集会的自由是通过具有法律实体地位的雇员协会加以保障的。如果这些雇员协会希望保持其法人资格，就必须遵守《荷属安的列斯刑法》的有关规定。</w:t>
      </w:r>
    </w:p>
    <w:p w:rsidR="00000000" w:rsidRDefault="00000000">
      <w:pPr>
        <w:rPr>
          <w:rFonts w:hint="eastAsia"/>
        </w:rPr>
      </w:pPr>
      <w:r>
        <w:rPr>
          <w:rFonts w:hint="eastAsia"/>
        </w:rPr>
        <w:tab/>
        <w:t xml:space="preserve">49.  </w:t>
      </w:r>
      <w:r>
        <w:rPr>
          <w:rFonts w:hint="eastAsia"/>
        </w:rPr>
        <w:t>公务员可以自由参加工会。关于罢工问题，如果公务员在工作时间擅离职守，就不得领取这段时间的工资，除非其雇主给予机会说明离开工作岗位的原因。</w:t>
      </w:r>
    </w:p>
    <w:p w:rsidR="00000000" w:rsidRDefault="00000000">
      <w:pPr>
        <w:rPr>
          <w:rFonts w:hint="eastAsia"/>
        </w:rPr>
      </w:pPr>
      <w:r>
        <w:rPr>
          <w:rFonts w:hint="eastAsia"/>
        </w:rPr>
        <w:tab/>
        <w:t xml:space="preserve">50.  </w:t>
      </w:r>
      <w:r>
        <w:rPr>
          <w:rFonts w:hint="eastAsia"/>
        </w:rPr>
        <w:t>公务员的法律地位将由有组织劳工理事会中央委员会加以审议。各个工会的代表将参加这次会议。参加有组织会议的工会代表人数是根据各个工会的会员人数加以确定的。代表人数是根据各个工会在会员总数中所占比例计算的。</w:t>
      </w:r>
    </w:p>
    <w:p w:rsidR="00000000" w:rsidRDefault="00000000">
      <w:pPr>
        <w:rPr>
          <w:rFonts w:hint="eastAsia"/>
        </w:rPr>
      </w:pPr>
      <w:r>
        <w:rPr>
          <w:rFonts w:hint="eastAsia"/>
        </w:rPr>
        <w:tab/>
        <w:t xml:space="preserve">51.  </w:t>
      </w:r>
      <w:r>
        <w:rPr>
          <w:rFonts w:hint="eastAsia"/>
        </w:rPr>
        <w:t>根据《公务员假期和请假规定》，公务员可以特殊情况为由申请领取全薪的事假，但是不得侵犯其所在部门的利益。批准这种事假的理由包括：有关雇员必须参加根据公法建立的机构</w:t>
      </w:r>
      <w:r>
        <w:rPr>
          <w:rFonts w:hint="eastAsia"/>
        </w:rPr>
        <w:t>(</w:t>
      </w:r>
      <w:r>
        <w:rPr>
          <w:rFonts w:hint="eastAsia"/>
        </w:rPr>
        <w:t>委员会等</w:t>
      </w:r>
      <w:r>
        <w:rPr>
          <w:rFonts w:hint="eastAsia"/>
        </w:rPr>
        <w:t>)</w:t>
      </w:r>
      <w:r>
        <w:rPr>
          <w:rFonts w:hint="eastAsia"/>
        </w:rPr>
        <w:t>的会议；或者必须在其工作时间开展这种机构的活动。《规定》还指出，除非同所在部门的利益发生冲突，否则公务员可以特殊情况为由每年一次以口头或者书面的方式申请不超过两周的事假。同样，在事假期间也可领取全薪，而且批假的理由是为了让有关公务员参加正式的公务员协会、这种协会所附属的联合会或者国际公务员组织的会议，但是有关公务员必须是：</w:t>
      </w:r>
    </w:p>
    <w:p w:rsidR="00000000" w:rsidRDefault="00000000">
      <w:pPr>
        <w:pStyle w:val="a0"/>
        <w:tabs>
          <w:tab w:val="num" w:pos="1540"/>
        </w:tabs>
        <w:ind w:left="1540"/>
        <w:rPr>
          <w:rFonts w:hint="eastAsia"/>
        </w:rPr>
      </w:pPr>
      <w:r>
        <w:rPr>
          <w:rFonts w:hint="eastAsia"/>
        </w:rPr>
        <w:t>有关公务员协会理事会的委员，或者是参加公务员协会会议的基层组织代表或者理事会成员；</w:t>
      </w:r>
    </w:p>
    <w:p w:rsidR="00000000" w:rsidRDefault="00000000">
      <w:pPr>
        <w:pStyle w:val="a0"/>
        <w:tabs>
          <w:tab w:val="num" w:pos="1540"/>
        </w:tabs>
        <w:ind w:left="1540"/>
        <w:rPr>
          <w:rFonts w:hint="eastAsia"/>
        </w:rPr>
      </w:pPr>
      <w:r>
        <w:rPr>
          <w:rFonts w:hint="eastAsia"/>
        </w:rPr>
        <w:t>联合会理事会的成员，或者是参加联合会会议的有关联合会下属的公务员协会的代表或者理事会成员；</w:t>
      </w:r>
    </w:p>
    <w:p w:rsidR="00000000" w:rsidRDefault="00000000">
      <w:pPr>
        <w:pStyle w:val="a0"/>
        <w:tabs>
          <w:tab w:val="num" w:pos="1540"/>
        </w:tabs>
        <w:ind w:left="1540"/>
        <w:rPr>
          <w:rFonts w:hint="eastAsia"/>
        </w:rPr>
      </w:pPr>
      <w:r>
        <w:rPr>
          <w:rFonts w:hint="eastAsia"/>
        </w:rPr>
        <w:t>国际组织理事会的成员，或者是参加国际劳工组织会议的有关组织下属的公务员协会的代表或者理事会成员。</w:t>
      </w:r>
    </w:p>
    <w:p w:rsidR="00000000" w:rsidRDefault="00000000">
      <w:pPr>
        <w:spacing w:after="240"/>
        <w:rPr>
          <w:rFonts w:hint="eastAsia"/>
        </w:rPr>
      </w:pPr>
      <w:r>
        <w:rPr>
          <w:rFonts w:hint="eastAsia"/>
        </w:rPr>
        <w:tab/>
        <w:t xml:space="preserve">52.  </w:t>
      </w:r>
      <w:r>
        <w:rPr>
          <w:rFonts w:hint="eastAsia"/>
        </w:rPr>
        <w:t>应当指出，以特殊情况为由申请事假的公务员必须是在集体谈判委员会</w:t>
      </w:r>
      <w:r>
        <w:rPr>
          <w:rFonts w:hint="eastAsia"/>
        </w:rPr>
        <w:t>(</w:t>
      </w:r>
      <w:r>
        <w:rPr>
          <w:rFonts w:hint="eastAsia"/>
        </w:rPr>
        <w:t>公共部门</w:t>
      </w:r>
      <w:r>
        <w:rPr>
          <w:rFonts w:hint="eastAsia"/>
        </w:rPr>
        <w:t>)</w:t>
      </w:r>
      <w:r>
        <w:rPr>
          <w:rFonts w:hint="eastAsia"/>
        </w:rPr>
        <w:t>中有代表的公务员协会的成员。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罢工的权利</w:t>
      </w:r>
    </w:p>
    <w:p w:rsidR="00000000" w:rsidRDefault="00000000">
      <w:pPr>
        <w:spacing w:after="320"/>
        <w:rPr>
          <w:rFonts w:hint="eastAsia"/>
          <w:iCs/>
          <w:szCs w:val="24"/>
        </w:rPr>
      </w:pPr>
      <w:r>
        <w:rPr>
          <w:rFonts w:hint="eastAsia"/>
        </w:rPr>
        <w:tab/>
        <w:t xml:space="preserve">53.  </w:t>
      </w:r>
      <w:r>
        <w:rPr>
          <w:rFonts w:hint="eastAsia"/>
        </w:rPr>
        <w:t>在荷属安的列斯群岛，罢工是得到容忍的，被视为合法行使《公约》第</w:t>
      </w:r>
      <w:r>
        <w:rPr>
          <w:rFonts w:hint="eastAsia"/>
        </w:rPr>
        <w:t>8</w:t>
      </w:r>
      <w:r>
        <w:rPr>
          <w:rFonts w:hint="eastAsia"/>
        </w:rPr>
        <w:t>条所确认的权利的一种表现。最高法院认为，只有在强制性的议事规则被置之不理，或者在考虑到《欧洲社会宪章》第</w:t>
      </w:r>
      <w:r>
        <w:rPr>
          <w:rFonts w:hint="eastAsia"/>
        </w:rPr>
        <w:t>31</w:t>
      </w:r>
      <w:r>
        <w:rPr>
          <w:rFonts w:hint="eastAsia"/>
        </w:rPr>
        <w:t>条所规定的限制的情况下得出结论认为，在某种情况下举行罢工是不合理的时候，才能将罢工行动视为不合法的。有关议事规则也规定，只有在将罢工作为最后手段时，罢工才是合法。各个法院在评估是否属于最后手段这个问题时应当十分谨慎</w:t>
      </w:r>
      <w:r>
        <w:rPr>
          <w:rFonts w:hint="eastAsia"/>
        </w:rPr>
        <w:t>(</w:t>
      </w:r>
      <w:r>
        <w:rPr>
          <w:rFonts w:hint="eastAsia"/>
        </w:rPr>
        <w:t>见</w:t>
      </w:r>
      <w:r>
        <w:rPr>
          <w:rFonts w:hint="eastAsia"/>
        </w:rPr>
        <w:t>HR 2000</w:t>
      </w:r>
      <w:r>
        <w:rPr>
          <w:rFonts w:hint="eastAsia"/>
        </w:rPr>
        <w:t>年</w:t>
      </w:r>
      <w:r>
        <w:rPr>
          <w:rFonts w:hint="eastAsia"/>
        </w:rPr>
        <w:t>1</w:t>
      </w:r>
      <w:r>
        <w:rPr>
          <w:rFonts w:hint="eastAsia"/>
        </w:rPr>
        <w:t>月</w:t>
      </w:r>
      <w:r>
        <w:rPr>
          <w:rFonts w:hint="eastAsia"/>
        </w:rPr>
        <w:t>28</w:t>
      </w:r>
      <w:r>
        <w:rPr>
          <w:rFonts w:hint="eastAsia"/>
        </w:rPr>
        <w:t>日，</w:t>
      </w:r>
      <w:r>
        <w:rPr>
          <w:iCs/>
          <w:szCs w:val="24"/>
        </w:rPr>
        <w:t>Nederlandse Jurisprudentie (NJ) 2000, 292)</w:t>
      </w:r>
      <w:r>
        <w:rPr>
          <w:rFonts w:hint="eastAsia"/>
          <w:iCs/>
          <w:szCs w:val="24"/>
        </w:rPr>
        <w:t>。根据判例法，如果公共卫生部门的集体行动导致医疗服务的减少，也即由于检验和治疗的延误，使得病人遭到无法弥补的损害，这种行动就是非法的</w:t>
      </w:r>
      <w:r>
        <w:rPr>
          <w:iCs/>
          <w:szCs w:val="24"/>
        </w:rPr>
        <w:t>(HR 1991</w:t>
      </w:r>
      <w:r>
        <w:rPr>
          <w:rFonts w:hint="eastAsia"/>
          <w:iCs/>
          <w:szCs w:val="24"/>
        </w:rPr>
        <w:t>年</w:t>
      </w:r>
      <w:r>
        <w:rPr>
          <w:rFonts w:hint="eastAsia"/>
          <w:iCs/>
          <w:szCs w:val="24"/>
        </w:rPr>
        <w:t>11</w:t>
      </w:r>
      <w:r>
        <w:rPr>
          <w:rFonts w:hint="eastAsia"/>
          <w:iCs/>
          <w:szCs w:val="24"/>
        </w:rPr>
        <w:t>月</w:t>
      </w:r>
      <w:r>
        <w:rPr>
          <w:rFonts w:hint="eastAsia"/>
          <w:iCs/>
          <w:szCs w:val="24"/>
        </w:rPr>
        <w:t>22</w:t>
      </w:r>
      <w:r>
        <w:rPr>
          <w:rFonts w:hint="eastAsia"/>
          <w:iCs/>
          <w:szCs w:val="24"/>
        </w:rPr>
        <w:t>日</w:t>
      </w:r>
      <w:r>
        <w:rPr>
          <w:iCs/>
          <w:szCs w:val="24"/>
        </w:rPr>
        <w:t>，</w:t>
      </w:r>
      <w:r>
        <w:rPr>
          <w:iCs/>
          <w:szCs w:val="24"/>
        </w:rPr>
        <w:t>NJ 1992, 508)</w:t>
      </w:r>
      <w:r>
        <w:rPr>
          <w:rFonts w:hint="eastAsia"/>
          <w:iCs/>
          <w:szCs w:val="24"/>
        </w:rPr>
        <w:t>。</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九</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54.  </w:t>
      </w:r>
      <w:r>
        <w:rPr>
          <w:rFonts w:hint="eastAsia"/>
        </w:rPr>
        <w:t>《疾病保险法》适用于所有收入低于一定限额的雇员。在</w:t>
      </w:r>
      <w:r>
        <w:rPr>
          <w:rFonts w:hint="eastAsia"/>
        </w:rPr>
        <w:t>1993</w:t>
      </w:r>
      <w:r>
        <w:rPr>
          <w:rFonts w:hint="eastAsia"/>
        </w:rPr>
        <w:t>年，有关的工资限额为</w:t>
      </w:r>
      <w:r>
        <w:rPr>
          <w:rFonts w:hint="eastAsia"/>
        </w:rPr>
        <w:t>2,771.60</w:t>
      </w:r>
      <w:r>
        <w:rPr>
          <w:rFonts w:hint="eastAsia"/>
        </w:rPr>
        <w:t>荷属安的列斯群岛盾。</w:t>
      </w:r>
      <w:r>
        <w:rPr>
          <w:rFonts w:hint="eastAsia"/>
        </w:rPr>
        <w:t>2003</w:t>
      </w:r>
      <w:r>
        <w:rPr>
          <w:rFonts w:hint="eastAsia"/>
        </w:rPr>
        <w:t>年的限额为</w:t>
      </w:r>
      <w:r>
        <w:rPr>
          <w:rFonts w:hint="eastAsia"/>
        </w:rPr>
        <w:t>3,758.60</w:t>
      </w:r>
      <w:r>
        <w:rPr>
          <w:rFonts w:hint="eastAsia"/>
        </w:rPr>
        <w:t>盾</w:t>
      </w:r>
      <w:r>
        <w:rPr>
          <w:rFonts w:hint="eastAsia"/>
        </w:rPr>
        <w:t>(2,080</w:t>
      </w:r>
      <w:r>
        <w:rPr>
          <w:rFonts w:hint="eastAsia"/>
        </w:rPr>
        <w:t>美元</w:t>
      </w:r>
      <w:r>
        <w:rPr>
          <w:rFonts w:hint="eastAsia"/>
        </w:rPr>
        <w:t>)</w:t>
      </w:r>
      <w:r>
        <w:rPr>
          <w:rFonts w:hint="eastAsia"/>
        </w:rPr>
        <w:t>。</w:t>
      </w:r>
    </w:p>
    <w:p w:rsidR="00000000" w:rsidRDefault="00000000">
      <w:pPr>
        <w:rPr>
          <w:rFonts w:hint="eastAsia"/>
        </w:rPr>
      </w:pPr>
      <w:r>
        <w:rPr>
          <w:rFonts w:hint="eastAsia"/>
        </w:rPr>
        <w:tab/>
        <w:t xml:space="preserve">55.  </w:t>
      </w:r>
      <w:r>
        <w:rPr>
          <w:rFonts w:hint="eastAsia"/>
        </w:rPr>
        <w:t>如果投保人生病，保险公司提供包括助产服务在内的免费医疗，同时还开病假单。从雇员报告生病之日起，提供为期两年的医疗服务。这些服务包括：全科医生和专科医生的医疗检查和治疗、护理以及报销同疾病直接有关的所有不可避免的开支。</w:t>
      </w:r>
      <w:r>
        <w:rPr>
          <w:rFonts w:hint="eastAsia"/>
        </w:rPr>
        <w:t>1996</w:t>
      </w:r>
      <w:r>
        <w:rPr>
          <w:rFonts w:hint="eastAsia"/>
        </w:rPr>
        <w:t>年</w:t>
      </w:r>
      <w:r>
        <w:rPr>
          <w:rFonts w:hint="eastAsia"/>
        </w:rPr>
        <w:t>1</w:t>
      </w:r>
      <w:r>
        <w:rPr>
          <w:rFonts w:hint="eastAsia"/>
        </w:rPr>
        <w:t>月</w:t>
      </w:r>
      <w:r>
        <w:rPr>
          <w:rFonts w:hint="eastAsia"/>
        </w:rPr>
        <w:t>1</w:t>
      </w:r>
      <w:r>
        <w:rPr>
          <w:rFonts w:hint="eastAsia"/>
        </w:rPr>
        <w:t>日，有关医疗服务两年期限的规定被取消了。牙科手术也在保险范围之内，但是不包括蛀牙手术。</w:t>
      </w:r>
    </w:p>
    <w:p w:rsidR="00000000" w:rsidRDefault="00000000">
      <w:pPr>
        <w:rPr>
          <w:rFonts w:hint="eastAsia"/>
        </w:rPr>
      </w:pPr>
      <w:r>
        <w:rPr>
          <w:rFonts w:hint="eastAsia"/>
        </w:rPr>
        <w:tab/>
        <w:t xml:space="preserve">56.  </w:t>
      </w:r>
      <w:r>
        <w:rPr>
          <w:rFonts w:hint="eastAsia"/>
        </w:rPr>
        <w:t>从雇员报告生病之日起发放为期两年的病假工资。从</w:t>
      </w:r>
      <w:r>
        <w:rPr>
          <w:rFonts w:hint="eastAsia"/>
        </w:rPr>
        <w:t>1996</w:t>
      </w:r>
      <w:r>
        <w:rPr>
          <w:rFonts w:hint="eastAsia"/>
        </w:rPr>
        <w:t>年</w:t>
      </w:r>
      <w:r>
        <w:rPr>
          <w:rFonts w:hint="eastAsia"/>
        </w:rPr>
        <w:t>1</w:t>
      </w:r>
      <w:r>
        <w:rPr>
          <w:rFonts w:hint="eastAsia"/>
        </w:rPr>
        <w:t>月</w:t>
      </w:r>
      <w:r>
        <w:rPr>
          <w:rFonts w:hint="eastAsia"/>
        </w:rPr>
        <w:t>1</w:t>
      </w:r>
      <w:r>
        <w:rPr>
          <w:rFonts w:hint="eastAsia"/>
        </w:rPr>
        <w:t>日开始，议会规定，无论雇员是男是女，也无论是否在医院进行治疗，病假工资均应为正常工资的</w:t>
      </w:r>
      <w:r>
        <w:rPr>
          <w:rFonts w:hint="eastAsia"/>
        </w:rPr>
        <w:t>80%</w:t>
      </w:r>
      <w:r>
        <w:rPr>
          <w:rFonts w:hint="eastAsia"/>
        </w:rPr>
        <w:t>。</w:t>
      </w:r>
    </w:p>
    <w:p w:rsidR="00000000" w:rsidRDefault="00000000">
      <w:pPr>
        <w:rPr>
          <w:rFonts w:hint="eastAsia"/>
        </w:rPr>
      </w:pPr>
      <w:r>
        <w:rPr>
          <w:rFonts w:hint="eastAsia"/>
        </w:rPr>
        <w:tab/>
        <w:t xml:space="preserve">57.  </w:t>
      </w:r>
      <w:r>
        <w:rPr>
          <w:rFonts w:hint="eastAsia"/>
        </w:rPr>
        <w:t>议会于</w:t>
      </w:r>
      <w:r>
        <w:rPr>
          <w:rFonts w:hint="eastAsia"/>
        </w:rPr>
        <w:t>1996</w:t>
      </w:r>
      <w:r>
        <w:rPr>
          <w:rFonts w:hint="eastAsia"/>
        </w:rPr>
        <w:t>年批准了下列在社会保险方面的一些改革。</w:t>
      </w:r>
    </w:p>
    <w:p w:rsidR="00000000" w:rsidRDefault="00000000">
      <w:pPr>
        <w:rPr>
          <w:rFonts w:hint="eastAsia"/>
        </w:rPr>
      </w:pPr>
      <w:r>
        <w:rPr>
          <w:rFonts w:hint="eastAsia"/>
        </w:rPr>
        <w:tab/>
        <w:t xml:space="preserve">58.  </w:t>
      </w:r>
      <w:r>
        <w:rPr>
          <w:rFonts w:hint="eastAsia"/>
        </w:rPr>
        <w:t>从</w:t>
      </w:r>
      <w:r>
        <w:rPr>
          <w:rFonts w:hint="eastAsia"/>
        </w:rPr>
        <w:t>1996</w:t>
      </w:r>
      <w:r>
        <w:rPr>
          <w:rFonts w:hint="eastAsia"/>
        </w:rPr>
        <w:t>年</w:t>
      </w:r>
      <w:r>
        <w:rPr>
          <w:rFonts w:hint="eastAsia"/>
        </w:rPr>
        <w:t>1</w:t>
      </w:r>
      <w:r>
        <w:rPr>
          <w:rFonts w:hint="eastAsia"/>
        </w:rPr>
        <w:t>月</w:t>
      </w:r>
      <w:r>
        <w:rPr>
          <w:rFonts w:hint="eastAsia"/>
        </w:rPr>
        <w:t>1</w:t>
      </w:r>
      <w:r>
        <w:rPr>
          <w:rFonts w:hint="eastAsia"/>
        </w:rPr>
        <w:t>日起，因为某种原因而被解雇的雇员也能享受医疗保险。雇员的家人</w:t>
      </w:r>
      <w:r>
        <w:rPr>
          <w:rFonts w:hint="eastAsia"/>
        </w:rPr>
        <w:t>(</w:t>
      </w:r>
      <w:r>
        <w:rPr>
          <w:rFonts w:hint="eastAsia"/>
        </w:rPr>
        <w:t>配偶和儿女</w:t>
      </w:r>
      <w:r>
        <w:rPr>
          <w:rFonts w:hint="eastAsia"/>
        </w:rPr>
        <w:t>)</w:t>
      </w:r>
      <w:r>
        <w:rPr>
          <w:rFonts w:hint="eastAsia"/>
        </w:rPr>
        <w:t>通过养家之人享受医疗保险。</w:t>
      </w:r>
    </w:p>
    <w:p w:rsidR="00000000" w:rsidRDefault="00000000">
      <w:pPr>
        <w:rPr>
          <w:rFonts w:hint="eastAsia"/>
        </w:rPr>
      </w:pPr>
      <w:r>
        <w:rPr>
          <w:rFonts w:hint="eastAsia"/>
        </w:rPr>
        <w:tab/>
        <w:t xml:space="preserve">59.  </w:t>
      </w:r>
      <w:r>
        <w:rPr>
          <w:rFonts w:hint="eastAsia"/>
        </w:rPr>
        <w:t>保险费由雇主全额交纳，数额为雇员工资的</w:t>
      </w:r>
      <w:r>
        <w:rPr>
          <w:rFonts w:hint="eastAsia"/>
        </w:rPr>
        <w:t>8.3%</w:t>
      </w:r>
      <w:r>
        <w:rPr>
          <w:rFonts w:hint="eastAsia"/>
        </w:rPr>
        <w:t>。雇员还须交纳其工资的</w:t>
      </w:r>
      <w:r>
        <w:rPr>
          <w:rFonts w:hint="eastAsia"/>
        </w:rPr>
        <w:t>2.1%</w:t>
      </w:r>
      <w:r>
        <w:rPr>
          <w:rFonts w:hint="eastAsia"/>
        </w:rPr>
        <w:t>，为家人购买保险。岛上政府将所有雇员的工资总额的</w:t>
      </w:r>
      <w:r>
        <w:rPr>
          <w:rFonts w:hint="eastAsia"/>
        </w:rPr>
        <w:t>2.1%</w:t>
      </w:r>
      <w:r>
        <w:rPr>
          <w:rFonts w:hint="eastAsia"/>
        </w:rPr>
        <w:t>用作前雇员及其家人的保险费。</w:t>
      </w:r>
    </w:p>
    <w:p w:rsidR="00000000" w:rsidRDefault="00000000">
      <w:pPr>
        <w:widowControl w:val="0"/>
        <w:rPr>
          <w:rFonts w:hint="eastAsia"/>
          <w:szCs w:val="24"/>
        </w:rPr>
      </w:pPr>
      <w:r>
        <w:rPr>
          <w:rFonts w:hint="eastAsia"/>
        </w:rPr>
        <w:tab/>
        <w:t xml:space="preserve">60.  </w:t>
      </w:r>
      <w:r>
        <w:rPr>
          <w:rFonts w:hint="eastAsia"/>
        </w:rPr>
        <w:t>雇员、前雇员及其家人可就社会保险银行</w:t>
      </w:r>
      <w:r>
        <w:rPr>
          <w:rFonts w:hint="eastAsia"/>
        </w:rPr>
        <w:t>(SVB)</w:t>
      </w:r>
      <w:r>
        <w:rPr>
          <w:rFonts w:hint="eastAsia"/>
        </w:rPr>
        <w:t>所作出的任何决定提出上诉。从</w:t>
      </w:r>
      <w:r>
        <w:rPr>
          <w:rFonts w:hint="eastAsia"/>
        </w:rPr>
        <w:t>1996</w:t>
      </w:r>
      <w:r>
        <w:rPr>
          <w:rFonts w:hint="eastAsia"/>
        </w:rPr>
        <w:t>年起，他们首先必须对该银行的决定提出反对意见。如果他们认为银行的答复是不能令人满意的，或者答复遭到延误，他们可在社会保险银行发出决定之日起的</w:t>
      </w:r>
      <w:r>
        <w:rPr>
          <w:rFonts w:hint="eastAsia"/>
        </w:rPr>
        <w:t>6</w:t>
      </w:r>
      <w:r>
        <w:rPr>
          <w:rFonts w:hint="eastAsia"/>
        </w:rPr>
        <w:t>周内，根据《联邦行政诉讼法》向社会保险银行行长发出书面抗议。该银行的地址为：</w:t>
      </w:r>
      <w:r>
        <w:rPr>
          <w:szCs w:val="24"/>
        </w:rPr>
        <w:t>Pater Euwensweg 9, Curaçao, Netherlands Antilles</w:t>
      </w:r>
      <w:r>
        <w:rPr>
          <w:rFonts w:hint="eastAsia"/>
          <w:szCs w:val="24"/>
        </w:rPr>
        <w:t>。申诉人也可在所在岛上申请司法复核。申请必须于社会保险银行的决定发出之日起的</w:t>
      </w:r>
      <w:r>
        <w:rPr>
          <w:rFonts w:hint="eastAsia"/>
          <w:szCs w:val="24"/>
        </w:rPr>
        <w:t>6</w:t>
      </w:r>
      <w:r>
        <w:rPr>
          <w:rFonts w:hint="eastAsia"/>
          <w:szCs w:val="24"/>
        </w:rPr>
        <w:t>周内提交。</w:t>
      </w:r>
    </w:p>
    <w:p w:rsidR="00000000" w:rsidRDefault="00000000">
      <w:pPr>
        <w:rPr>
          <w:rFonts w:hint="eastAsia"/>
        </w:rPr>
      </w:pPr>
      <w:r>
        <w:rPr>
          <w:rFonts w:hint="eastAsia"/>
          <w:szCs w:val="24"/>
        </w:rPr>
        <w:tab/>
        <w:t xml:space="preserve">61.  </w:t>
      </w:r>
      <w:r>
        <w:rPr>
          <w:rFonts w:hint="eastAsia"/>
          <w:szCs w:val="24"/>
        </w:rPr>
        <w:t>《老年保险法》规定，</w:t>
      </w:r>
      <w:r>
        <w:rPr>
          <w:rFonts w:hint="eastAsia"/>
        </w:rPr>
        <w:t>荷属安的列斯群岛的所有居民都必须为确保老年生活来源而购买保险。根据这项法律的规定，投保人在年满</w:t>
      </w:r>
      <w:r>
        <w:rPr>
          <w:rFonts w:hint="eastAsia"/>
        </w:rPr>
        <w:t>60</w:t>
      </w:r>
      <w:r>
        <w:rPr>
          <w:rFonts w:hint="eastAsia"/>
        </w:rPr>
        <w:t>岁时可以领取老年养恤金。</w:t>
      </w:r>
    </w:p>
    <w:p w:rsidR="00000000" w:rsidRDefault="00000000">
      <w:pPr>
        <w:rPr>
          <w:rFonts w:hint="eastAsia"/>
        </w:rPr>
      </w:pPr>
      <w:r>
        <w:rPr>
          <w:rFonts w:hint="eastAsia"/>
        </w:rPr>
        <w:tab/>
        <w:t xml:space="preserve">62.  </w:t>
      </w:r>
      <w:r>
        <w:rPr>
          <w:rFonts w:hint="eastAsia"/>
        </w:rPr>
        <w:t>于</w:t>
      </w:r>
      <w:r>
        <w:rPr>
          <w:rFonts w:hint="eastAsia"/>
        </w:rPr>
        <w:t>1996</w:t>
      </w:r>
      <w:r>
        <w:rPr>
          <w:rFonts w:hint="eastAsia"/>
        </w:rPr>
        <w:t>年</w:t>
      </w:r>
      <w:r>
        <w:rPr>
          <w:rFonts w:hint="eastAsia"/>
        </w:rPr>
        <w:t>1</w:t>
      </w:r>
      <w:r>
        <w:rPr>
          <w:rFonts w:hint="eastAsia"/>
        </w:rPr>
        <w:t>月</w:t>
      </w:r>
      <w:r>
        <w:rPr>
          <w:rFonts w:hint="eastAsia"/>
        </w:rPr>
        <w:t>1</w:t>
      </w:r>
      <w:r>
        <w:rPr>
          <w:rFonts w:hint="eastAsia"/>
        </w:rPr>
        <w:t>日生效的《老年保险法》的修正案规定，凡是年满</w:t>
      </w:r>
      <w:r>
        <w:rPr>
          <w:rFonts w:hint="eastAsia"/>
        </w:rPr>
        <w:t>60</w:t>
      </w:r>
      <w:r>
        <w:rPr>
          <w:rFonts w:hint="eastAsia"/>
        </w:rPr>
        <w:t>岁的投保人，无论其公民地位如何，均有权独立领取养恤金。如果有权领取养恤金的人已经超过</w:t>
      </w:r>
      <w:r>
        <w:rPr>
          <w:rFonts w:hint="eastAsia"/>
        </w:rPr>
        <w:t>60</w:t>
      </w:r>
      <w:r>
        <w:rPr>
          <w:rFonts w:hint="eastAsia"/>
        </w:rPr>
        <w:t>岁，但其配偶尚未到达这一年龄，根据有关规定，其配偶可以领取津贴，但是夫妇两人的年收入不得超过</w:t>
      </w:r>
      <w:r>
        <w:rPr>
          <w:rFonts w:hint="eastAsia"/>
        </w:rPr>
        <w:t>12,000</w:t>
      </w:r>
      <w:r>
        <w:rPr>
          <w:rFonts w:hint="eastAsia"/>
        </w:rPr>
        <w:t>盾。</w:t>
      </w:r>
    </w:p>
    <w:p w:rsidR="00000000" w:rsidRDefault="00000000">
      <w:pPr>
        <w:rPr>
          <w:rFonts w:hint="eastAsia"/>
        </w:rPr>
      </w:pPr>
      <w:r>
        <w:rPr>
          <w:rFonts w:hint="eastAsia"/>
        </w:rPr>
        <w:tab/>
        <w:t xml:space="preserve">63.  </w:t>
      </w:r>
      <w:r>
        <w:rPr>
          <w:rFonts w:hint="eastAsia"/>
        </w:rPr>
        <w:t>如果有权领取养恤金</w:t>
      </w:r>
      <w:r>
        <w:rPr>
          <w:rFonts w:hint="eastAsia"/>
        </w:rPr>
        <w:t>/</w:t>
      </w:r>
      <w:r>
        <w:rPr>
          <w:rFonts w:hint="eastAsia"/>
        </w:rPr>
        <w:t>津贴的人去世，将根据公平原则将相当于</w:t>
      </w:r>
      <w:r>
        <w:rPr>
          <w:rFonts w:hint="eastAsia"/>
        </w:rPr>
        <w:t>4</w:t>
      </w:r>
      <w:r>
        <w:rPr>
          <w:rFonts w:hint="eastAsia"/>
        </w:rPr>
        <w:t>个月老年养恤金的款项一次性分发给符合条件的家属。凡是有资格领取养恤金的人在每年</w:t>
      </w:r>
      <w:r>
        <w:rPr>
          <w:rFonts w:hint="eastAsia"/>
        </w:rPr>
        <w:t>12</w:t>
      </w:r>
      <w:r>
        <w:rPr>
          <w:rFonts w:hint="eastAsia"/>
        </w:rPr>
        <w:t>月都能收到圣诞节红包，从</w:t>
      </w:r>
      <w:r>
        <w:rPr>
          <w:rFonts w:hint="eastAsia"/>
        </w:rPr>
        <w:t>2001</w:t>
      </w:r>
      <w:r>
        <w:rPr>
          <w:rFonts w:hint="eastAsia"/>
        </w:rPr>
        <w:t>年起，红包的金额相当于该年</w:t>
      </w:r>
      <w:r>
        <w:rPr>
          <w:rFonts w:hint="eastAsia"/>
        </w:rPr>
        <w:t>9</w:t>
      </w:r>
      <w:r>
        <w:rPr>
          <w:rFonts w:hint="eastAsia"/>
        </w:rPr>
        <w:t>月份之前他们有权领取的每月养恤金的数额。</w:t>
      </w:r>
    </w:p>
    <w:p w:rsidR="00000000" w:rsidRDefault="00000000">
      <w:pPr>
        <w:rPr>
          <w:rFonts w:hint="eastAsia"/>
        </w:rPr>
      </w:pPr>
      <w:r>
        <w:rPr>
          <w:rFonts w:hint="eastAsia"/>
        </w:rPr>
        <w:tab/>
        <w:t xml:space="preserve">64.  </w:t>
      </w:r>
      <w:r>
        <w:rPr>
          <w:rFonts w:hint="eastAsia"/>
        </w:rPr>
        <w:t>老年保险费为雇员收入的</w:t>
      </w:r>
      <w:r>
        <w:rPr>
          <w:rFonts w:hint="eastAsia"/>
        </w:rPr>
        <w:t>4.5%</w:t>
      </w:r>
      <w:r>
        <w:rPr>
          <w:rFonts w:hint="eastAsia"/>
        </w:rPr>
        <w:t>，但有一项谅解，每年收入超出</w:t>
      </w:r>
      <w:r>
        <w:rPr>
          <w:rFonts w:hint="eastAsia"/>
        </w:rPr>
        <w:t>45,427.20</w:t>
      </w:r>
      <w:r>
        <w:rPr>
          <w:rFonts w:hint="eastAsia"/>
        </w:rPr>
        <w:t>盾的部分不用交纳保险费。雇主负责扣减保险费并且汇款到社会保险银行。可在岛上的法院提出有关复核的申请。</w:t>
      </w:r>
    </w:p>
    <w:p w:rsidR="00000000" w:rsidRDefault="00000000">
      <w:pPr>
        <w:rPr>
          <w:rFonts w:hint="eastAsia"/>
          <w:spacing w:val="7"/>
        </w:rPr>
      </w:pPr>
      <w:r>
        <w:rPr>
          <w:rFonts w:hint="eastAsia"/>
        </w:rPr>
        <w:tab/>
        <w:t xml:space="preserve">65.  </w:t>
      </w:r>
      <w:r>
        <w:rPr>
          <w:rFonts w:hint="eastAsia"/>
          <w:spacing w:val="7"/>
        </w:rPr>
        <w:t>鳏寡恤金的数额取决于年龄，大约在</w:t>
      </w:r>
      <w:r>
        <w:rPr>
          <w:rFonts w:hint="eastAsia"/>
          <w:spacing w:val="7"/>
        </w:rPr>
        <w:t>240</w:t>
      </w:r>
      <w:r>
        <w:rPr>
          <w:rFonts w:hint="eastAsia"/>
          <w:spacing w:val="7"/>
        </w:rPr>
        <w:t>盾至</w:t>
      </w:r>
      <w:r>
        <w:rPr>
          <w:rFonts w:hint="eastAsia"/>
          <w:spacing w:val="7"/>
        </w:rPr>
        <w:t>520</w:t>
      </w:r>
      <w:r>
        <w:rPr>
          <w:rFonts w:hint="eastAsia"/>
          <w:spacing w:val="7"/>
        </w:rPr>
        <w:t>盾之间。有一个以上孩子的寡妇</w:t>
      </w:r>
      <w:r>
        <w:rPr>
          <w:rFonts w:hint="eastAsia"/>
          <w:spacing w:val="7"/>
        </w:rPr>
        <w:t>/</w:t>
      </w:r>
      <w:r>
        <w:rPr>
          <w:rFonts w:hint="eastAsia"/>
          <w:spacing w:val="7"/>
        </w:rPr>
        <w:t>鳏夫可以领取最高数额的恤金。孤儿恤金的数额大约在</w:t>
      </w:r>
      <w:r>
        <w:rPr>
          <w:rFonts w:hint="eastAsia"/>
          <w:spacing w:val="7"/>
        </w:rPr>
        <w:t>174</w:t>
      </w:r>
      <w:r>
        <w:rPr>
          <w:rFonts w:hint="eastAsia"/>
          <w:spacing w:val="7"/>
        </w:rPr>
        <w:t>盾至</w:t>
      </w:r>
      <w:r>
        <w:rPr>
          <w:rFonts w:hint="eastAsia"/>
          <w:spacing w:val="7"/>
        </w:rPr>
        <w:t>240</w:t>
      </w:r>
      <w:r>
        <w:rPr>
          <w:rFonts w:hint="eastAsia"/>
          <w:spacing w:val="7"/>
        </w:rPr>
        <w:t>盾之间，取决于：年龄、是否有残疾、是否在全日制的学校中读书以及是否父母双亡。有权领取恤金的寡妇</w:t>
      </w:r>
      <w:r>
        <w:rPr>
          <w:rFonts w:hint="eastAsia"/>
          <w:spacing w:val="7"/>
        </w:rPr>
        <w:t>/</w:t>
      </w:r>
      <w:r>
        <w:rPr>
          <w:rFonts w:hint="eastAsia"/>
          <w:spacing w:val="7"/>
        </w:rPr>
        <w:t>鳏夫在再婚时可以获得一笔相当于一年养恤金数额的款项。如果领取养恤金的寡妇</w:t>
      </w:r>
      <w:r>
        <w:rPr>
          <w:rFonts w:hint="eastAsia"/>
          <w:spacing w:val="7"/>
        </w:rPr>
        <w:t>/</w:t>
      </w:r>
      <w:r>
        <w:rPr>
          <w:rFonts w:hint="eastAsia"/>
          <w:spacing w:val="7"/>
        </w:rPr>
        <w:t>鳏夫去世，其合格家属可以领取一笔相当于三个月恤金数额的款项。</w:t>
      </w:r>
    </w:p>
    <w:p w:rsidR="00000000" w:rsidRDefault="00000000">
      <w:pPr>
        <w:rPr>
          <w:rFonts w:hint="eastAsia"/>
        </w:rPr>
      </w:pPr>
      <w:r>
        <w:rPr>
          <w:rFonts w:hint="eastAsia"/>
        </w:rPr>
        <w:tab/>
        <w:t xml:space="preserve">66.  </w:t>
      </w:r>
      <w:r>
        <w:rPr>
          <w:rFonts w:hint="eastAsia"/>
        </w:rPr>
        <w:t>恤金保险费由雇主和雇员各交一半，相当于雇员收入的</w:t>
      </w:r>
      <w:r>
        <w:rPr>
          <w:rFonts w:hint="eastAsia"/>
        </w:rPr>
        <w:t>1%</w:t>
      </w:r>
      <w:r>
        <w:rPr>
          <w:rFonts w:hint="eastAsia"/>
        </w:rPr>
        <w:t>。每年收入超出</w:t>
      </w:r>
      <w:r>
        <w:rPr>
          <w:rFonts w:hint="eastAsia"/>
        </w:rPr>
        <w:t>45,427.20</w:t>
      </w:r>
      <w:r>
        <w:rPr>
          <w:rFonts w:hint="eastAsia"/>
        </w:rPr>
        <w:t>盾的部分不用交纳保险费。雇主负责扣减保险费并且汇款至社会保险银行。政府养恤金基金负责支付政府雇员和公务员的寡妇、鳏夫以及孤儿的恤金。恤金的数额取决于最后领取的工资，同时还发给生活费津贴。</w:t>
      </w:r>
    </w:p>
    <w:p w:rsidR="00000000" w:rsidRDefault="00000000">
      <w:pPr>
        <w:widowControl w:val="0"/>
        <w:rPr>
          <w:rFonts w:hint="eastAsia"/>
          <w:szCs w:val="24"/>
        </w:rPr>
      </w:pPr>
      <w:r>
        <w:rPr>
          <w:rFonts w:hint="eastAsia"/>
        </w:rPr>
        <w:tab/>
        <w:t xml:space="preserve">67.  </w:t>
      </w:r>
      <w:r>
        <w:rPr>
          <w:rFonts w:hint="eastAsia"/>
        </w:rPr>
        <w:t>《</w:t>
      </w:r>
      <w:r>
        <w:rPr>
          <w:szCs w:val="24"/>
        </w:rPr>
        <w:t>Cessantia</w:t>
      </w:r>
      <w:r>
        <w:rPr>
          <w:rFonts w:hint="eastAsia"/>
          <w:szCs w:val="24"/>
        </w:rPr>
        <w:t>法》规定，如果雇佣合同的终止并非因为雇员而引起，雇员有权领取解雇费。这项法律适用于公务员、教师以及根据定期合同受雇的职工。解雇费的数额取决于雇员的工资以及服务年限。如果雇员因为雇佣合同的终止而领取养恤金，而且其数额又高于老年恤金，该雇员就没有资格领取解雇费。如果雇主因为某种原因而不支付解雇费，由社会保险银行代付。银行有权向该雇主收回该款项。</w:t>
      </w:r>
    </w:p>
    <w:p w:rsidR="00000000" w:rsidRDefault="00000000">
      <w:pPr>
        <w:rPr>
          <w:rFonts w:hint="eastAsia"/>
          <w:szCs w:val="24"/>
        </w:rPr>
      </w:pPr>
      <w:r>
        <w:rPr>
          <w:rFonts w:hint="eastAsia"/>
          <w:szCs w:val="24"/>
        </w:rPr>
        <w:tab/>
        <w:t xml:space="preserve">68.  </w:t>
      </w:r>
      <w:r>
        <w:rPr>
          <w:rFonts w:hint="eastAsia"/>
          <w:szCs w:val="24"/>
        </w:rPr>
        <w:t>《</w:t>
      </w:r>
      <w:r>
        <w:rPr>
          <w:szCs w:val="24"/>
        </w:rPr>
        <w:t>Cessantia</w:t>
      </w:r>
      <w:r>
        <w:rPr>
          <w:rFonts w:hint="eastAsia"/>
          <w:szCs w:val="24"/>
        </w:rPr>
        <w:t>法》规定，雇主必须每年为下属的每一名雇员向一项基金会交纳一定数额的款项。应雇员的请求，社会保险银行的行长将决定该雇员是否有资格领取解雇费。可以向岛上的法院提出有关对这项决定进行复核的申请。</w:t>
      </w:r>
    </w:p>
    <w:p w:rsidR="00000000" w:rsidRDefault="00000000">
      <w:pPr>
        <w:rPr>
          <w:rFonts w:hint="eastAsia"/>
          <w:szCs w:val="24"/>
        </w:rPr>
      </w:pPr>
      <w:r>
        <w:rPr>
          <w:rFonts w:hint="eastAsia"/>
          <w:szCs w:val="24"/>
        </w:rPr>
        <w:tab/>
        <w:t xml:space="preserve">69.  </w:t>
      </w:r>
      <w:r>
        <w:rPr>
          <w:rFonts w:hint="eastAsia"/>
          <w:szCs w:val="24"/>
        </w:rPr>
        <w:t>凡是因为在工作岗位上或是在上下班途中发生意外受伤</w:t>
      </w:r>
      <w:r>
        <w:rPr>
          <w:rFonts w:hint="eastAsia"/>
          <w:szCs w:val="24"/>
        </w:rPr>
        <w:t>(</w:t>
      </w:r>
      <w:r>
        <w:rPr>
          <w:rFonts w:hint="eastAsia"/>
          <w:szCs w:val="24"/>
        </w:rPr>
        <w:t>考虑到走近路和发生意外的时间</w:t>
      </w:r>
      <w:r>
        <w:rPr>
          <w:rFonts w:hint="eastAsia"/>
          <w:szCs w:val="24"/>
        </w:rPr>
        <w:t>)</w:t>
      </w:r>
      <w:r>
        <w:rPr>
          <w:rFonts w:hint="eastAsia"/>
          <w:szCs w:val="24"/>
        </w:rPr>
        <w:t>而被宣布为不适合工作的雇员均可领取工伤补贴。如果完全不能工作，在第一年中将发放</w:t>
      </w:r>
      <w:r>
        <w:rPr>
          <w:rFonts w:hint="eastAsia"/>
          <w:szCs w:val="24"/>
        </w:rPr>
        <w:t>100%</w:t>
      </w:r>
      <w:r>
        <w:rPr>
          <w:rFonts w:hint="eastAsia"/>
          <w:szCs w:val="24"/>
        </w:rPr>
        <w:t>的工资。如果丧失部分工作能力，有关雇员可以领取一定比例的工资。</w:t>
      </w:r>
    </w:p>
    <w:p w:rsidR="00000000" w:rsidRDefault="00000000">
      <w:pPr>
        <w:rPr>
          <w:rFonts w:hint="eastAsia"/>
          <w:szCs w:val="24"/>
        </w:rPr>
      </w:pPr>
      <w:r>
        <w:rPr>
          <w:rFonts w:hint="eastAsia"/>
          <w:szCs w:val="24"/>
        </w:rPr>
        <w:tab/>
        <w:t xml:space="preserve">70.  </w:t>
      </w:r>
      <w:r>
        <w:rPr>
          <w:rFonts w:hint="eastAsia"/>
          <w:szCs w:val="24"/>
        </w:rPr>
        <w:t>从</w:t>
      </w:r>
      <w:r>
        <w:rPr>
          <w:rFonts w:hint="eastAsia"/>
          <w:szCs w:val="24"/>
        </w:rPr>
        <w:t>1999</w:t>
      </w:r>
      <w:r>
        <w:rPr>
          <w:rFonts w:hint="eastAsia"/>
          <w:szCs w:val="24"/>
        </w:rPr>
        <w:t>年起，怀孕的雇员有权在预产期前领取至少</w:t>
      </w:r>
      <w:r>
        <w:rPr>
          <w:rFonts w:hint="eastAsia"/>
          <w:szCs w:val="24"/>
        </w:rPr>
        <w:t>6</w:t>
      </w:r>
      <w:r>
        <w:rPr>
          <w:rFonts w:hint="eastAsia"/>
          <w:szCs w:val="24"/>
        </w:rPr>
        <w:t>周的疾病补助，在分娩</w:t>
      </w:r>
      <w:r>
        <w:rPr>
          <w:rFonts w:hint="eastAsia"/>
          <w:szCs w:val="24"/>
        </w:rPr>
        <w:t>(</w:t>
      </w:r>
      <w:r>
        <w:rPr>
          <w:rFonts w:hint="eastAsia"/>
          <w:szCs w:val="24"/>
        </w:rPr>
        <w:t>产假</w:t>
      </w:r>
      <w:r>
        <w:rPr>
          <w:rFonts w:hint="eastAsia"/>
          <w:szCs w:val="24"/>
        </w:rPr>
        <w:t>)</w:t>
      </w:r>
      <w:r>
        <w:rPr>
          <w:rFonts w:hint="eastAsia"/>
          <w:szCs w:val="24"/>
        </w:rPr>
        <w:t>以后还能领取</w:t>
      </w:r>
      <w:r>
        <w:rPr>
          <w:rFonts w:hint="eastAsia"/>
          <w:szCs w:val="24"/>
        </w:rPr>
        <w:t>6</w:t>
      </w:r>
      <w:r>
        <w:rPr>
          <w:rFonts w:hint="eastAsia"/>
          <w:szCs w:val="24"/>
        </w:rPr>
        <w:t>周的疾病补助。在这个时期，雇主必须支付该雇员</w:t>
      </w:r>
      <w:r>
        <w:rPr>
          <w:rFonts w:hint="eastAsia"/>
          <w:szCs w:val="24"/>
        </w:rPr>
        <w:t>100%</w:t>
      </w:r>
      <w:r>
        <w:rPr>
          <w:rFonts w:hint="eastAsia"/>
          <w:szCs w:val="24"/>
        </w:rPr>
        <w:t>的工资。社会保险银行有法定责任偿还这种工资的</w:t>
      </w:r>
      <w:r>
        <w:rPr>
          <w:rFonts w:hint="eastAsia"/>
          <w:szCs w:val="24"/>
        </w:rPr>
        <w:t>80%</w:t>
      </w:r>
      <w:r>
        <w:rPr>
          <w:rFonts w:hint="eastAsia"/>
          <w:szCs w:val="24"/>
        </w:rPr>
        <w:t>。</w:t>
      </w:r>
    </w:p>
    <w:p w:rsidR="00000000" w:rsidRDefault="00000000">
      <w:pPr>
        <w:rPr>
          <w:rFonts w:hint="eastAsia"/>
          <w:szCs w:val="24"/>
        </w:rPr>
      </w:pPr>
      <w:r>
        <w:rPr>
          <w:rFonts w:hint="eastAsia"/>
          <w:szCs w:val="24"/>
        </w:rPr>
        <w:tab/>
        <w:t>71.  2001</w:t>
      </w:r>
      <w:r>
        <w:rPr>
          <w:rFonts w:hint="eastAsia"/>
          <w:szCs w:val="24"/>
        </w:rPr>
        <w:t>年</w:t>
      </w:r>
      <w:r>
        <w:rPr>
          <w:rFonts w:hint="eastAsia"/>
          <w:szCs w:val="24"/>
        </w:rPr>
        <w:t>12</w:t>
      </w:r>
      <w:r>
        <w:rPr>
          <w:rFonts w:hint="eastAsia"/>
          <w:szCs w:val="24"/>
        </w:rPr>
        <w:t>月</w:t>
      </w:r>
      <w:r>
        <w:rPr>
          <w:rFonts w:hint="eastAsia"/>
          <w:szCs w:val="24"/>
        </w:rPr>
        <w:t>1</w:t>
      </w:r>
      <w:r>
        <w:rPr>
          <w:rFonts w:hint="eastAsia"/>
          <w:szCs w:val="24"/>
        </w:rPr>
        <w:t>日，《国家行政法》正式生效。这对社会保险银行的上诉审裁处产生了影响。</w:t>
      </w:r>
    </w:p>
    <w:p w:rsidR="00000000" w:rsidRDefault="00000000">
      <w:pPr>
        <w:rPr>
          <w:rFonts w:hint="eastAsia"/>
          <w:szCs w:val="24"/>
        </w:rPr>
      </w:pPr>
      <w:r>
        <w:rPr>
          <w:rFonts w:hint="eastAsia"/>
          <w:szCs w:val="24"/>
        </w:rPr>
        <w:tab/>
        <w:t xml:space="preserve">72.  </w:t>
      </w:r>
      <w:r>
        <w:rPr>
          <w:rFonts w:hint="eastAsia"/>
          <w:szCs w:val="24"/>
        </w:rPr>
        <w:t>公务员及其家人有权报销医疗、护理以及其他有关的费用。政府支付</w:t>
      </w:r>
      <w:r>
        <w:rPr>
          <w:rFonts w:hint="eastAsia"/>
          <w:szCs w:val="24"/>
        </w:rPr>
        <w:t>90%</w:t>
      </w:r>
      <w:r>
        <w:rPr>
          <w:rFonts w:hint="eastAsia"/>
          <w:szCs w:val="24"/>
        </w:rPr>
        <w:t>的有关费用，雇员承担</w:t>
      </w:r>
      <w:r>
        <w:rPr>
          <w:rFonts w:hint="eastAsia"/>
          <w:szCs w:val="24"/>
        </w:rPr>
        <w:t>10%</w:t>
      </w:r>
      <w:r>
        <w:rPr>
          <w:rFonts w:hint="eastAsia"/>
          <w:szCs w:val="24"/>
        </w:rPr>
        <w:t>。</w:t>
      </w:r>
    </w:p>
    <w:p w:rsidR="00000000" w:rsidRDefault="00000000">
      <w:pPr>
        <w:rPr>
          <w:rFonts w:hint="eastAsia"/>
          <w:szCs w:val="24"/>
        </w:rPr>
      </w:pPr>
      <w:r>
        <w:rPr>
          <w:rFonts w:hint="eastAsia"/>
          <w:szCs w:val="24"/>
        </w:rPr>
        <w:tab/>
        <w:t xml:space="preserve">73.  </w:t>
      </w:r>
      <w:r>
        <w:rPr>
          <w:rFonts w:hint="eastAsia"/>
          <w:szCs w:val="24"/>
        </w:rPr>
        <w:t>关于政府机构的重组，将根据中央政府的解雇费计划向有关雇员发放解雇费</w:t>
      </w:r>
      <w:r>
        <w:rPr>
          <w:rFonts w:hint="eastAsia"/>
          <w:szCs w:val="24"/>
        </w:rPr>
        <w:t>(1986</w:t>
      </w:r>
      <w:r>
        <w:rPr>
          <w:rFonts w:hint="eastAsia"/>
          <w:szCs w:val="24"/>
        </w:rPr>
        <w:t>年政府公报，第</w:t>
      </w:r>
      <w:r>
        <w:rPr>
          <w:rFonts w:hint="eastAsia"/>
          <w:szCs w:val="24"/>
        </w:rPr>
        <w:t>83</w:t>
      </w:r>
      <w:r>
        <w:rPr>
          <w:rFonts w:hint="eastAsia"/>
          <w:szCs w:val="24"/>
        </w:rPr>
        <w:t>期</w:t>
      </w:r>
      <w:r>
        <w:rPr>
          <w:rFonts w:hint="eastAsia"/>
          <w:szCs w:val="24"/>
        </w:rPr>
        <w:t>)</w:t>
      </w:r>
      <w:r>
        <w:rPr>
          <w:rFonts w:hint="eastAsia"/>
          <w:szCs w:val="24"/>
        </w:rPr>
        <w:t>。在</w:t>
      </w:r>
      <w:r>
        <w:rPr>
          <w:rFonts w:hint="eastAsia"/>
          <w:szCs w:val="24"/>
        </w:rPr>
        <w:t>2000</w:t>
      </w:r>
      <w:r>
        <w:rPr>
          <w:rFonts w:hint="eastAsia"/>
          <w:szCs w:val="24"/>
        </w:rPr>
        <w:t>年</w:t>
      </w:r>
      <w:r>
        <w:rPr>
          <w:rFonts w:hint="eastAsia"/>
          <w:szCs w:val="24"/>
        </w:rPr>
        <w:t>1</w:t>
      </w:r>
      <w:r>
        <w:rPr>
          <w:rFonts w:hint="eastAsia"/>
          <w:szCs w:val="24"/>
        </w:rPr>
        <w:t>月之前，被解雇的雇员可以最多领取</w:t>
      </w:r>
      <w:r>
        <w:rPr>
          <w:rFonts w:hint="eastAsia"/>
          <w:szCs w:val="24"/>
        </w:rPr>
        <w:t>4</w:t>
      </w:r>
      <w:r>
        <w:rPr>
          <w:rFonts w:hint="eastAsia"/>
          <w:szCs w:val="24"/>
        </w:rPr>
        <w:t>年解雇费。从</w:t>
      </w:r>
      <w:r>
        <w:rPr>
          <w:rFonts w:hint="eastAsia"/>
          <w:szCs w:val="24"/>
        </w:rPr>
        <w:t>2000</w:t>
      </w:r>
      <w:r>
        <w:rPr>
          <w:rFonts w:hint="eastAsia"/>
          <w:szCs w:val="24"/>
        </w:rPr>
        <w:t>年开始，领取解雇费的时间缩短为最多两年。解雇费的数额取决于服务年限。每工作一年，就可领取两个月的解雇费，最高不得超过</w:t>
      </w:r>
      <w:r>
        <w:rPr>
          <w:rFonts w:hint="eastAsia"/>
          <w:szCs w:val="24"/>
        </w:rPr>
        <w:t>24</w:t>
      </w:r>
      <w:r>
        <w:rPr>
          <w:rFonts w:hint="eastAsia"/>
          <w:szCs w:val="24"/>
        </w:rPr>
        <w:t>个月。在领取解雇费的头</w:t>
      </w:r>
      <w:r>
        <w:rPr>
          <w:rFonts w:hint="eastAsia"/>
          <w:szCs w:val="24"/>
        </w:rPr>
        <w:t>3</w:t>
      </w:r>
      <w:r>
        <w:rPr>
          <w:rFonts w:hint="eastAsia"/>
          <w:szCs w:val="24"/>
        </w:rPr>
        <w:t>个月中，将支付雇员最后工资的</w:t>
      </w:r>
      <w:r>
        <w:rPr>
          <w:rFonts w:hint="eastAsia"/>
          <w:szCs w:val="24"/>
        </w:rPr>
        <w:t>95%</w:t>
      </w:r>
      <w:r>
        <w:rPr>
          <w:rFonts w:hint="eastAsia"/>
          <w:szCs w:val="24"/>
        </w:rPr>
        <w:t>。在随后的</w:t>
      </w:r>
      <w:r>
        <w:rPr>
          <w:rFonts w:hint="eastAsia"/>
          <w:szCs w:val="24"/>
        </w:rPr>
        <w:t>7</w:t>
      </w:r>
      <w:r>
        <w:rPr>
          <w:rFonts w:hint="eastAsia"/>
          <w:szCs w:val="24"/>
        </w:rPr>
        <w:t>个月中，支付</w:t>
      </w:r>
      <w:r>
        <w:rPr>
          <w:rFonts w:hint="eastAsia"/>
          <w:szCs w:val="24"/>
        </w:rPr>
        <w:t>85%</w:t>
      </w:r>
      <w:r>
        <w:rPr>
          <w:rFonts w:hint="eastAsia"/>
          <w:szCs w:val="24"/>
        </w:rPr>
        <w:t>。在这以后的</w:t>
      </w:r>
      <w:r>
        <w:rPr>
          <w:rFonts w:hint="eastAsia"/>
          <w:szCs w:val="24"/>
        </w:rPr>
        <w:t>10</w:t>
      </w:r>
      <w:r>
        <w:rPr>
          <w:rFonts w:hint="eastAsia"/>
          <w:szCs w:val="24"/>
        </w:rPr>
        <w:t>个月中，将支付最后工资的</w:t>
      </w:r>
      <w:r>
        <w:rPr>
          <w:rFonts w:hint="eastAsia"/>
          <w:szCs w:val="24"/>
        </w:rPr>
        <w:t>75%</w:t>
      </w:r>
      <w:r>
        <w:rPr>
          <w:rFonts w:hint="eastAsia"/>
          <w:szCs w:val="24"/>
        </w:rPr>
        <w:t>。在领取解雇费的最后</w:t>
      </w:r>
      <w:r>
        <w:rPr>
          <w:rFonts w:hint="eastAsia"/>
          <w:szCs w:val="24"/>
        </w:rPr>
        <w:t>4</w:t>
      </w:r>
      <w:r>
        <w:rPr>
          <w:rFonts w:hint="eastAsia"/>
          <w:szCs w:val="24"/>
        </w:rPr>
        <w:t>个月中，被解雇的雇员可以领取其最后工资的</w:t>
      </w:r>
      <w:r>
        <w:rPr>
          <w:rFonts w:hint="eastAsia"/>
          <w:szCs w:val="24"/>
        </w:rPr>
        <w:t>70%</w:t>
      </w:r>
      <w:r>
        <w:rPr>
          <w:rFonts w:hint="eastAsia"/>
          <w:szCs w:val="24"/>
        </w:rPr>
        <w:t>。</w:t>
      </w:r>
    </w:p>
    <w:p w:rsidR="00000000" w:rsidRDefault="00000000">
      <w:pPr>
        <w:rPr>
          <w:rFonts w:hint="eastAsia"/>
          <w:szCs w:val="24"/>
        </w:rPr>
      </w:pPr>
      <w:r>
        <w:rPr>
          <w:rFonts w:hint="eastAsia"/>
          <w:szCs w:val="24"/>
        </w:rPr>
        <w:tab/>
        <w:t xml:space="preserve">74.  </w:t>
      </w:r>
      <w:r>
        <w:rPr>
          <w:rFonts w:hint="eastAsia"/>
          <w:szCs w:val="24"/>
        </w:rPr>
        <w:t>关于发放给去世公务员的寡妇和鳏夫的养恤金，有关规定如下。在公务员去世时，其寡妇</w:t>
      </w:r>
      <w:r>
        <w:rPr>
          <w:rFonts w:hint="eastAsia"/>
          <w:szCs w:val="24"/>
        </w:rPr>
        <w:t>/</w:t>
      </w:r>
      <w:r>
        <w:rPr>
          <w:rFonts w:hint="eastAsia"/>
          <w:szCs w:val="24"/>
        </w:rPr>
        <w:t>鳏夫可以领取相当于该公务员本来在</w:t>
      </w:r>
      <w:r>
        <w:rPr>
          <w:rFonts w:hint="eastAsia"/>
          <w:szCs w:val="24"/>
        </w:rPr>
        <w:t>60</w:t>
      </w:r>
      <w:r>
        <w:rPr>
          <w:rFonts w:hint="eastAsia"/>
          <w:szCs w:val="24"/>
        </w:rPr>
        <w:t>岁时可以领取的养恤金的七分之五的恤金。</w:t>
      </w:r>
      <w:r>
        <w:rPr>
          <w:rFonts w:hint="eastAsia"/>
          <w:szCs w:val="24"/>
        </w:rPr>
        <w:t>18</w:t>
      </w:r>
      <w:r>
        <w:rPr>
          <w:rFonts w:hint="eastAsia"/>
          <w:szCs w:val="24"/>
        </w:rPr>
        <w:t>岁以下的儿童可以领取孤儿恤金的七分之一。</w:t>
      </w:r>
    </w:p>
    <w:p w:rsidR="00000000" w:rsidRDefault="00000000">
      <w:pPr>
        <w:rPr>
          <w:rFonts w:hint="eastAsia"/>
          <w:szCs w:val="24"/>
        </w:rPr>
      </w:pPr>
      <w:r>
        <w:rPr>
          <w:rFonts w:hint="eastAsia"/>
          <w:szCs w:val="24"/>
        </w:rPr>
        <w:tab/>
        <w:t xml:space="preserve">75.  </w:t>
      </w:r>
      <w:r>
        <w:rPr>
          <w:rFonts w:hint="eastAsia"/>
          <w:szCs w:val="24"/>
        </w:rPr>
        <w:t>正如上文所述，荷属安的列斯群岛严峻的财政状况导致在</w:t>
      </w:r>
      <w:r>
        <w:rPr>
          <w:rFonts w:hint="eastAsia"/>
          <w:szCs w:val="24"/>
        </w:rPr>
        <w:t>1990</w:t>
      </w:r>
      <w:r>
        <w:rPr>
          <w:rFonts w:hint="eastAsia"/>
          <w:szCs w:val="24"/>
        </w:rPr>
        <w:t>年代采取各种削减开支的措施。其中一些措施涉及养恤金制度。在</w:t>
      </w:r>
      <w:r>
        <w:rPr>
          <w:rFonts w:hint="eastAsia"/>
          <w:szCs w:val="24"/>
        </w:rPr>
        <w:t>1996</w:t>
      </w:r>
      <w:r>
        <w:rPr>
          <w:rFonts w:hint="eastAsia"/>
          <w:szCs w:val="24"/>
        </w:rPr>
        <w:t>年</w:t>
      </w:r>
      <w:r>
        <w:rPr>
          <w:rFonts w:hint="eastAsia"/>
          <w:szCs w:val="24"/>
        </w:rPr>
        <w:t>1</w:t>
      </w:r>
      <w:r>
        <w:rPr>
          <w:rFonts w:hint="eastAsia"/>
          <w:szCs w:val="24"/>
        </w:rPr>
        <w:t>月，领取养恤金的年龄从</w:t>
      </w:r>
      <w:r>
        <w:rPr>
          <w:rFonts w:hint="eastAsia"/>
          <w:szCs w:val="24"/>
        </w:rPr>
        <w:t>55</w:t>
      </w:r>
      <w:r>
        <w:rPr>
          <w:rFonts w:hint="eastAsia"/>
          <w:szCs w:val="24"/>
        </w:rPr>
        <w:t>岁提高到了</w:t>
      </w:r>
      <w:r>
        <w:rPr>
          <w:rFonts w:hint="eastAsia"/>
          <w:szCs w:val="24"/>
        </w:rPr>
        <w:t>60</w:t>
      </w:r>
      <w:r>
        <w:rPr>
          <w:rFonts w:hint="eastAsia"/>
          <w:szCs w:val="24"/>
        </w:rPr>
        <w:t>岁。</w:t>
      </w:r>
    </w:p>
    <w:p w:rsidR="00000000" w:rsidRDefault="00000000">
      <w:pPr>
        <w:widowControl w:val="0"/>
        <w:rPr>
          <w:rFonts w:hint="eastAsia"/>
          <w:szCs w:val="24"/>
        </w:rPr>
      </w:pPr>
      <w:r>
        <w:rPr>
          <w:rFonts w:hint="eastAsia"/>
          <w:szCs w:val="24"/>
        </w:rPr>
        <w:tab/>
        <w:t xml:space="preserve">76.  </w:t>
      </w:r>
      <w:r>
        <w:rPr>
          <w:rFonts w:hint="eastAsia"/>
          <w:szCs w:val="24"/>
        </w:rPr>
        <w:t>为了保障那些从</w:t>
      </w:r>
      <w:r>
        <w:rPr>
          <w:rFonts w:hint="eastAsia"/>
          <w:szCs w:val="24"/>
        </w:rPr>
        <w:t>1996</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日之前已经开始为政府工作的公务员领取养恤金的权利，实施了提前退休计划。适用于这项计划的条件包括：</w:t>
      </w:r>
      <w:r>
        <w:rPr>
          <w:rFonts w:hint="eastAsia"/>
          <w:szCs w:val="24"/>
        </w:rPr>
        <w:t>20</w:t>
      </w:r>
      <w:r>
        <w:rPr>
          <w:rFonts w:hint="eastAsia"/>
          <w:szCs w:val="24"/>
        </w:rPr>
        <w:t>年的服务年限、其中</w:t>
      </w:r>
      <w:r>
        <w:rPr>
          <w:rFonts w:hint="eastAsia"/>
          <w:szCs w:val="24"/>
        </w:rPr>
        <w:t>5</w:t>
      </w:r>
      <w:r>
        <w:rPr>
          <w:rFonts w:hint="eastAsia"/>
          <w:szCs w:val="24"/>
        </w:rPr>
        <w:t>年必须要在荷属安的列斯群岛，有关雇员必须年满</w:t>
      </w:r>
      <w:r>
        <w:rPr>
          <w:rFonts w:hint="eastAsia"/>
          <w:szCs w:val="24"/>
        </w:rPr>
        <w:t>55</w:t>
      </w:r>
      <w:r>
        <w:rPr>
          <w:rFonts w:hint="eastAsia"/>
          <w:szCs w:val="24"/>
        </w:rPr>
        <w:t>岁。</w:t>
      </w:r>
    </w:p>
    <w:p w:rsidR="00000000" w:rsidRDefault="00000000">
      <w:pPr>
        <w:rPr>
          <w:rFonts w:hint="eastAsia"/>
          <w:szCs w:val="24"/>
        </w:rPr>
      </w:pPr>
      <w:r>
        <w:rPr>
          <w:rFonts w:hint="eastAsia"/>
          <w:szCs w:val="24"/>
        </w:rPr>
        <w:tab/>
        <w:t xml:space="preserve">77.  </w:t>
      </w:r>
      <w:r>
        <w:rPr>
          <w:rFonts w:hint="eastAsia"/>
          <w:szCs w:val="24"/>
        </w:rPr>
        <w:t>经过修订的《公务员养恤金计划》于</w:t>
      </w:r>
      <w:r>
        <w:rPr>
          <w:rFonts w:hint="eastAsia"/>
          <w:szCs w:val="24"/>
        </w:rPr>
        <w:t>1998</w:t>
      </w:r>
      <w:r>
        <w:rPr>
          <w:rFonts w:hint="eastAsia"/>
          <w:szCs w:val="24"/>
        </w:rPr>
        <w:t>年生效。修订计划的依据是一项同市场有关的退休工资计划。从</w:t>
      </w:r>
      <w:r>
        <w:rPr>
          <w:rFonts w:hint="eastAsia"/>
          <w:szCs w:val="24"/>
        </w:rPr>
        <w:t>1998</w:t>
      </w:r>
      <w:r>
        <w:rPr>
          <w:rFonts w:hint="eastAsia"/>
          <w:szCs w:val="24"/>
        </w:rPr>
        <w:t>年起，凡是在政府机构以及从政府中分离出去的组织中工作的雇员必须参加荷属安的列斯群岛养恤金计划。</w:t>
      </w:r>
    </w:p>
    <w:p w:rsidR="00000000" w:rsidRDefault="00000000">
      <w:pPr>
        <w:spacing w:after="320"/>
        <w:rPr>
          <w:rFonts w:hint="eastAsia"/>
          <w:szCs w:val="24"/>
        </w:rPr>
      </w:pPr>
      <w:r>
        <w:rPr>
          <w:rFonts w:hint="eastAsia"/>
          <w:szCs w:val="24"/>
        </w:rPr>
        <w:tab/>
        <w:t xml:space="preserve">78.  </w:t>
      </w:r>
      <w:r>
        <w:rPr>
          <w:rFonts w:hint="eastAsia"/>
          <w:szCs w:val="24"/>
        </w:rPr>
        <w:t>如果公务员因为意外事故而被宣布为不适合工作，无论其发生意外的地点，该公务员可立即领取残疾津贴。津贴的数额是根据假设有关公务员工作到</w:t>
      </w:r>
      <w:r>
        <w:rPr>
          <w:rFonts w:hint="eastAsia"/>
          <w:szCs w:val="24"/>
        </w:rPr>
        <w:t>60</w:t>
      </w:r>
      <w:r>
        <w:rPr>
          <w:rFonts w:hint="eastAsia"/>
          <w:szCs w:val="24"/>
        </w:rPr>
        <w:t>岁本来可以积累的服务年份来计算的。</w:t>
      </w:r>
    </w:p>
    <w:p w:rsidR="00000000" w:rsidRDefault="00000000">
      <w:pPr>
        <w:pStyle w:val="Heading3"/>
        <w:spacing w:after="16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为家庭提供的保护和援助</w:t>
      </w:r>
    </w:p>
    <w:p w:rsidR="00000000" w:rsidRDefault="00000000">
      <w:pPr>
        <w:spacing w:after="240"/>
        <w:rPr>
          <w:rFonts w:hint="eastAsia"/>
        </w:rPr>
      </w:pPr>
      <w:r>
        <w:rPr>
          <w:rFonts w:hint="eastAsia"/>
        </w:rPr>
        <w:tab/>
        <w:t xml:space="preserve">79.  </w:t>
      </w:r>
      <w:r>
        <w:rPr>
          <w:rFonts w:hint="eastAsia"/>
        </w:rPr>
        <w:t>由于减少了工作时间</w:t>
      </w:r>
      <w:r>
        <w:rPr>
          <w:rFonts w:hint="eastAsia"/>
        </w:rPr>
        <w:t>(</w:t>
      </w:r>
      <w:r>
        <w:rPr>
          <w:rFonts w:hint="eastAsia"/>
        </w:rPr>
        <w:t>见第七条项下</w:t>
      </w:r>
      <w:r>
        <w:rPr>
          <w:rFonts w:hint="eastAsia"/>
        </w:rPr>
        <w:t>)</w:t>
      </w:r>
      <w:r>
        <w:rPr>
          <w:rFonts w:hint="eastAsia"/>
        </w:rPr>
        <w:t>，同时允许拥有长期合同的政府雇员进行非全日制工作</w:t>
      </w:r>
      <w:r>
        <w:rPr>
          <w:rFonts w:hint="eastAsia"/>
        </w:rPr>
        <w:t>(</w:t>
      </w:r>
      <w:r>
        <w:rPr>
          <w:rFonts w:hint="eastAsia"/>
        </w:rPr>
        <w:t>《</w:t>
      </w:r>
      <w:r>
        <w:rPr>
          <w:rFonts w:hint="eastAsia"/>
        </w:rPr>
        <w:t>1997</w:t>
      </w:r>
      <w:r>
        <w:rPr>
          <w:rFonts w:hint="eastAsia"/>
        </w:rPr>
        <w:t>年</w:t>
      </w:r>
      <w:r>
        <w:rPr>
          <w:rFonts w:hint="eastAsia"/>
        </w:rPr>
        <w:t>12</w:t>
      </w:r>
      <w:r>
        <w:rPr>
          <w:rFonts w:hint="eastAsia"/>
        </w:rPr>
        <w:t>月</w:t>
      </w:r>
      <w:r>
        <w:rPr>
          <w:rFonts w:hint="eastAsia"/>
        </w:rPr>
        <w:t>23</w:t>
      </w:r>
      <w:r>
        <w:rPr>
          <w:rFonts w:hint="eastAsia"/>
        </w:rPr>
        <w:t>日国家法令》，</w:t>
      </w:r>
      <w:r>
        <w:rPr>
          <w:rFonts w:hint="eastAsia"/>
        </w:rPr>
        <w:t>PB 1997, N</w:t>
      </w:r>
      <w:r>
        <w:t>o.313</w:t>
      </w:r>
      <w:r>
        <w:rPr>
          <w:rFonts w:hint="eastAsia"/>
        </w:rPr>
        <w:t>以及</w:t>
      </w:r>
      <w:r>
        <w:rPr>
          <w:rFonts w:hint="eastAsia"/>
        </w:rPr>
        <w:t>1998</w:t>
      </w:r>
      <w:r>
        <w:rPr>
          <w:rFonts w:hint="eastAsia"/>
        </w:rPr>
        <w:t>年有关法律地位的实施规定</w:t>
      </w:r>
      <w:r>
        <w:rPr>
          <w:rFonts w:hint="eastAsia"/>
        </w:rPr>
        <w:t>)</w:t>
      </w:r>
      <w:r>
        <w:rPr>
          <w:rFonts w:hint="eastAsia"/>
        </w:rPr>
        <w:t>，因此现在他们可以将工作同家务更好地结合起来。</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在小孩出生之前和之后合理阶段内所提供的特别保护</w:t>
      </w:r>
    </w:p>
    <w:p w:rsidR="00000000" w:rsidRDefault="00000000">
      <w:pPr>
        <w:rPr>
          <w:rFonts w:hint="eastAsia"/>
          <w:szCs w:val="24"/>
        </w:rPr>
      </w:pPr>
      <w:r>
        <w:rPr>
          <w:rFonts w:hint="eastAsia"/>
        </w:rPr>
        <w:tab/>
        <w:t xml:space="preserve">80.  </w:t>
      </w:r>
      <w:r>
        <w:rPr>
          <w:rFonts w:hint="eastAsia"/>
        </w:rPr>
        <w:t>《</w:t>
      </w:r>
      <w:r>
        <w:rPr>
          <w:rFonts w:hint="eastAsia"/>
        </w:rPr>
        <w:t>1999</w:t>
      </w:r>
      <w:r>
        <w:rPr>
          <w:rFonts w:hint="eastAsia"/>
        </w:rPr>
        <w:t>年</w:t>
      </w:r>
      <w:r>
        <w:rPr>
          <w:rFonts w:hint="eastAsia"/>
        </w:rPr>
        <w:t>4</w:t>
      </w:r>
      <w:r>
        <w:rPr>
          <w:rFonts w:hint="eastAsia"/>
        </w:rPr>
        <w:t>月</w:t>
      </w:r>
      <w:r>
        <w:rPr>
          <w:rFonts w:hint="eastAsia"/>
        </w:rPr>
        <w:t>26</w:t>
      </w:r>
      <w:r>
        <w:rPr>
          <w:rFonts w:hint="eastAsia"/>
        </w:rPr>
        <w:t>日国家法令》修订了《国家医疗保险法》</w:t>
      </w:r>
      <w:r>
        <w:rPr>
          <w:rFonts w:hint="eastAsia"/>
        </w:rPr>
        <w:t>(PB 1966, N</w:t>
      </w:r>
      <w:r>
        <w:t>o.15)</w:t>
      </w:r>
      <w:r>
        <w:rPr>
          <w:rFonts w:hint="eastAsia"/>
        </w:rPr>
        <w:t>以及《</w:t>
      </w:r>
      <w:r>
        <w:rPr>
          <w:rFonts w:hint="eastAsia"/>
          <w:szCs w:val="24"/>
        </w:rPr>
        <w:t>荷属安的列斯群岛民法》。这项法令的生效使得有关妇女雇员的怀孕和产假的规定与国际标准接轨。立法机构认为，延长产假有利于突出家庭生活和在家庭环境中扶养子女的重要性，也有利于加强家庭价值观念。</w:t>
      </w:r>
    </w:p>
    <w:p w:rsidR="00000000" w:rsidRDefault="00000000">
      <w:pPr>
        <w:spacing w:after="320"/>
        <w:rPr>
          <w:rFonts w:hint="eastAsia"/>
          <w:szCs w:val="24"/>
        </w:rPr>
      </w:pPr>
      <w:r>
        <w:rPr>
          <w:rFonts w:hint="eastAsia"/>
          <w:szCs w:val="24"/>
        </w:rPr>
        <w:tab/>
        <w:t xml:space="preserve">81.  </w:t>
      </w:r>
      <w:r>
        <w:rPr>
          <w:rFonts w:hint="eastAsia"/>
          <w:szCs w:val="24"/>
        </w:rPr>
        <w:t>这项国际法令延长了产假，但是最多不得超过</w:t>
      </w:r>
      <w:r>
        <w:rPr>
          <w:rFonts w:hint="eastAsia"/>
          <w:szCs w:val="24"/>
        </w:rPr>
        <w:t>12</w:t>
      </w:r>
      <w:r>
        <w:rPr>
          <w:rFonts w:hint="eastAsia"/>
          <w:szCs w:val="24"/>
        </w:rPr>
        <w:t>周。按照《民法》第</w:t>
      </w:r>
      <w:r>
        <w:rPr>
          <w:rFonts w:hint="eastAsia"/>
          <w:szCs w:val="24"/>
        </w:rPr>
        <w:t>1614</w:t>
      </w:r>
      <w:r>
        <w:rPr>
          <w:rFonts w:hint="eastAsia"/>
          <w:szCs w:val="24"/>
        </w:rPr>
        <w:t>条的解释，</w:t>
      </w:r>
      <w:r>
        <w:rPr>
          <w:rFonts w:hint="eastAsia"/>
          <w:szCs w:val="24"/>
        </w:rPr>
        <w:t>12</w:t>
      </w:r>
      <w:r>
        <w:rPr>
          <w:rFonts w:hint="eastAsia"/>
          <w:szCs w:val="24"/>
        </w:rPr>
        <w:t>周被认为是“较短时间”，因此有关雇员在整个产假期间仍然可以领取全额工资。这些安排也适用于女性公务员。</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降低成年年龄</w:t>
      </w:r>
    </w:p>
    <w:p w:rsidR="00000000" w:rsidRDefault="00000000">
      <w:pPr>
        <w:spacing w:after="240"/>
        <w:rPr>
          <w:szCs w:val="24"/>
        </w:rPr>
      </w:pPr>
      <w:r>
        <w:rPr>
          <w:rFonts w:hint="eastAsia"/>
        </w:rPr>
        <w:tab/>
        <w:t xml:space="preserve">82.  </w:t>
      </w:r>
      <w:r>
        <w:rPr>
          <w:rFonts w:hint="eastAsia"/>
        </w:rPr>
        <w:t>已经于</w:t>
      </w:r>
      <w:r>
        <w:rPr>
          <w:rFonts w:hint="eastAsia"/>
        </w:rPr>
        <w:t>2001</w:t>
      </w:r>
      <w:r>
        <w:rPr>
          <w:rFonts w:hint="eastAsia"/>
        </w:rPr>
        <w:t>年</w:t>
      </w:r>
      <w:r>
        <w:rPr>
          <w:rFonts w:hint="eastAsia"/>
        </w:rPr>
        <w:t>1</w:t>
      </w:r>
      <w:r>
        <w:rPr>
          <w:rFonts w:hint="eastAsia"/>
        </w:rPr>
        <w:t>月</w:t>
      </w:r>
      <w:r>
        <w:rPr>
          <w:rFonts w:hint="eastAsia"/>
        </w:rPr>
        <w:t>15</w:t>
      </w:r>
      <w:r>
        <w:rPr>
          <w:rFonts w:hint="eastAsia"/>
        </w:rPr>
        <w:t>日正式生效的新的《</w:t>
      </w:r>
      <w:r>
        <w:rPr>
          <w:rFonts w:hint="eastAsia"/>
          <w:szCs w:val="24"/>
        </w:rPr>
        <w:t>荷属安的列斯群岛民法》将拥有完全法律行为能力的年龄降低为</w:t>
      </w:r>
      <w:r>
        <w:rPr>
          <w:rFonts w:hint="eastAsia"/>
          <w:szCs w:val="24"/>
        </w:rPr>
        <w:t>18</w:t>
      </w:r>
      <w:r>
        <w:rPr>
          <w:rFonts w:hint="eastAsia"/>
          <w:szCs w:val="24"/>
        </w:rPr>
        <w:t>岁。</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为遭到殴打的妇女提供的援助</w:t>
      </w:r>
    </w:p>
    <w:p w:rsidR="00000000" w:rsidRDefault="00000000">
      <w:pPr>
        <w:widowControl w:val="0"/>
        <w:spacing w:after="240"/>
        <w:rPr>
          <w:rFonts w:hint="eastAsia"/>
        </w:rPr>
      </w:pPr>
      <w:r>
        <w:rPr>
          <w:rFonts w:hint="eastAsia"/>
        </w:rPr>
        <w:tab/>
        <w:t xml:space="preserve">83.  </w:t>
      </w:r>
      <w:r>
        <w:t>Curaçao</w:t>
      </w:r>
      <w:r>
        <w:rPr>
          <w:rFonts w:hint="eastAsia"/>
        </w:rPr>
        <w:t>岛政府的妇女事务局已经成立了一个委员会，以便为遭到殴打的妇女建立一个庇护所，计划于</w:t>
      </w:r>
      <w:r>
        <w:rPr>
          <w:rFonts w:hint="eastAsia"/>
        </w:rPr>
        <w:t>2004</w:t>
      </w:r>
      <w:r>
        <w:rPr>
          <w:rFonts w:hint="eastAsia"/>
        </w:rPr>
        <w:t>年年初投入使用。</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综合的青年政策</w:t>
      </w:r>
    </w:p>
    <w:p w:rsidR="00000000" w:rsidRDefault="00000000">
      <w:pPr>
        <w:rPr>
          <w:rFonts w:hint="eastAsia"/>
        </w:rPr>
      </w:pPr>
      <w:r>
        <w:rPr>
          <w:rFonts w:hint="eastAsia"/>
        </w:rPr>
        <w:tab/>
        <w:t>84.  1999</w:t>
      </w:r>
      <w:r>
        <w:rPr>
          <w:rFonts w:hint="eastAsia"/>
        </w:rPr>
        <w:t>年</w:t>
      </w:r>
      <w:r>
        <w:rPr>
          <w:rFonts w:hint="eastAsia"/>
        </w:rPr>
        <w:t>7</w:t>
      </w:r>
      <w:r>
        <w:rPr>
          <w:rFonts w:hint="eastAsia"/>
        </w:rPr>
        <w:t>月，</w:t>
      </w:r>
      <w:r>
        <w:t>Curaçao</w:t>
      </w:r>
      <w:r>
        <w:rPr>
          <w:rFonts w:hint="eastAsia"/>
        </w:rPr>
        <w:t>岛执行理事会批准了《</w:t>
      </w:r>
      <w:r>
        <w:rPr>
          <w:rFonts w:hint="eastAsia"/>
        </w:rPr>
        <w:t>1999</w:t>
      </w:r>
      <w:r>
        <w:rPr>
          <w:rFonts w:hint="eastAsia"/>
        </w:rPr>
        <w:t>年至</w:t>
      </w:r>
      <w:r>
        <w:rPr>
          <w:rFonts w:hint="eastAsia"/>
        </w:rPr>
        <w:t>2000</w:t>
      </w:r>
      <w:r>
        <w:rPr>
          <w:rFonts w:hint="eastAsia"/>
        </w:rPr>
        <w:t>年青年政策计划》，这就为制定</w:t>
      </w:r>
      <w:r>
        <w:t>Curaçao</w:t>
      </w:r>
      <w:r>
        <w:rPr>
          <w:rFonts w:hint="eastAsia"/>
        </w:rPr>
        <w:t>具体活动方案提供了一个健全的框架。执行理事会在</w:t>
      </w:r>
      <w:r>
        <w:rPr>
          <w:rFonts w:hint="eastAsia"/>
        </w:rPr>
        <w:t>1999</w:t>
      </w:r>
      <w:r>
        <w:rPr>
          <w:rFonts w:hint="eastAsia"/>
        </w:rPr>
        <w:t>年</w:t>
      </w:r>
      <w:r>
        <w:rPr>
          <w:rFonts w:hint="eastAsia"/>
        </w:rPr>
        <w:t>6</w:t>
      </w:r>
      <w:r>
        <w:rPr>
          <w:rFonts w:hint="eastAsia"/>
        </w:rPr>
        <w:t>月</w:t>
      </w:r>
      <w:r>
        <w:rPr>
          <w:rFonts w:hint="eastAsia"/>
        </w:rPr>
        <w:t>28</w:t>
      </w:r>
      <w:r>
        <w:rPr>
          <w:rFonts w:hint="eastAsia"/>
        </w:rPr>
        <w:t>日的一项决定中成立了综合青年政策理事会，并于</w:t>
      </w:r>
      <w:r>
        <w:rPr>
          <w:rFonts w:hint="eastAsia"/>
        </w:rPr>
        <w:t>1999</w:t>
      </w:r>
      <w:r>
        <w:rPr>
          <w:rFonts w:hint="eastAsia"/>
        </w:rPr>
        <w:t>年</w:t>
      </w:r>
      <w:r>
        <w:rPr>
          <w:rFonts w:hint="eastAsia"/>
        </w:rPr>
        <w:t>7</w:t>
      </w:r>
      <w:r>
        <w:rPr>
          <w:rFonts w:hint="eastAsia"/>
        </w:rPr>
        <w:t>月召开了该理事会的第一次会议。青年政策理事会就涉及</w:t>
      </w:r>
      <w:r>
        <w:t>Curaçao</w:t>
      </w:r>
      <w:r>
        <w:rPr>
          <w:rFonts w:hint="eastAsia"/>
        </w:rPr>
        <w:t>青年人的所有问题提出建议。所有有关部门和非政府组织都有代表参加理事会工作。</w:t>
      </w:r>
    </w:p>
    <w:p w:rsidR="00000000" w:rsidRDefault="00000000">
      <w:pPr>
        <w:rPr>
          <w:rFonts w:hint="eastAsia"/>
        </w:rPr>
      </w:pPr>
      <w:r>
        <w:rPr>
          <w:rFonts w:hint="eastAsia"/>
        </w:rPr>
        <w:tab/>
        <w:t xml:space="preserve">85.  </w:t>
      </w:r>
      <w:r>
        <w:rPr>
          <w:rFonts w:hint="eastAsia"/>
        </w:rPr>
        <w:t>根据《</w:t>
      </w:r>
      <w:r>
        <w:rPr>
          <w:rFonts w:hint="eastAsia"/>
        </w:rPr>
        <w:t>2000</w:t>
      </w:r>
      <w:r>
        <w:rPr>
          <w:rFonts w:hint="eastAsia"/>
        </w:rPr>
        <w:t>年至</w:t>
      </w:r>
      <w:r>
        <w:rPr>
          <w:rFonts w:hint="eastAsia"/>
        </w:rPr>
        <w:t>2005</w:t>
      </w:r>
      <w:r>
        <w:rPr>
          <w:rFonts w:hint="eastAsia"/>
        </w:rPr>
        <w:t>年青年政策计划》，该理事会拟订了</w:t>
      </w:r>
      <w:r>
        <w:rPr>
          <w:rFonts w:hint="eastAsia"/>
        </w:rPr>
        <w:t>2000</w:t>
      </w:r>
      <w:r>
        <w:rPr>
          <w:rFonts w:hint="eastAsia"/>
        </w:rPr>
        <w:t>年至</w:t>
      </w:r>
      <w:r>
        <w:rPr>
          <w:rFonts w:hint="eastAsia"/>
        </w:rPr>
        <w:t>2002</w:t>
      </w:r>
      <w:r>
        <w:rPr>
          <w:rFonts w:hint="eastAsia"/>
        </w:rPr>
        <w:t>年的青年发展方案，其中载有一些具体的目标和活动。</w:t>
      </w:r>
      <w:r>
        <w:rPr>
          <w:rFonts w:hint="eastAsia"/>
        </w:rPr>
        <w:t>2000</w:t>
      </w:r>
      <w:r>
        <w:rPr>
          <w:rFonts w:hint="eastAsia"/>
        </w:rPr>
        <w:t>年</w:t>
      </w:r>
      <w:r>
        <w:rPr>
          <w:rFonts w:hint="eastAsia"/>
        </w:rPr>
        <w:t>1</w:t>
      </w:r>
      <w:r>
        <w:rPr>
          <w:rFonts w:hint="eastAsia"/>
        </w:rPr>
        <w:t>月，</w:t>
      </w:r>
      <w:r>
        <w:t>Curaçao</w:t>
      </w:r>
      <w:r>
        <w:rPr>
          <w:rFonts w:hint="eastAsia"/>
        </w:rPr>
        <w:t>岛执行理事会通过了这项方案。然后这项方案就提交给了发展合作部，最终纳入《荷属安的列斯群岛青年发展方案》。</w:t>
      </w:r>
    </w:p>
    <w:p w:rsidR="00000000" w:rsidRDefault="00000000">
      <w:pPr>
        <w:rPr>
          <w:rFonts w:hint="eastAsia"/>
        </w:rPr>
      </w:pPr>
      <w:r>
        <w:rPr>
          <w:rFonts w:hint="eastAsia"/>
        </w:rPr>
        <w:tab/>
        <w:t xml:space="preserve">86.  </w:t>
      </w:r>
      <w:r>
        <w:rPr>
          <w:rFonts w:hint="eastAsia"/>
        </w:rPr>
        <w:t>已经批准了三个有关年轻人的试验性项目：一个有关结合工作和学习的方案、向吸毒青年提供门诊咨询以及有关课余活动的项目。荷兰政府在</w:t>
      </w:r>
      <w:r>
        <w:rPr>
          <w:rFonts w:hint="eastAsia"/>
        </w:rPr>
        <w:t>2000</w:t>
      </w:r>
      <w:r>
        <w:rPr>
          <w:rFonts w:hint="eastAsia"/>
        </w:rPr>
        <w:t>年</w:t>
      </w:r>
      <w:r>
        <w:rPr>
          <w:rFonts w:hint="eastAsia"/>
        </w:rPr>
        <w:t>1</w:t>
      </w:r>
      <w:r>
        <w:rPr>
          <w:rFonts w:hint="eastAsia"/>
        </w:rPr>
        <w:t>月</w:t>
      </w:r>
      <w:r>
        <w:rPr>
          <w:rFonts w:hint="eastAsia"/>
        </w:rPr>
        <w:t>7</w:t>
      </w:r>
      <w:r>
        <w:rPr>
          <w:rFonts w:hint="eastAsia"/>
        </w:rPr>
        <w:t>日的一项声明中宣布，准备为这些项目提供经费，希望有关安的列斯群岛移民青年的政策文件能够发展成为一项协议。</w:t>
      </w:r>
    </w:p>
    <w:p w:rsidR="00000000" w:rsidRDefault="00000000">
      <w:pPr>
        <w:spacing w:after="240"/>
        <w:rPr>
          <w:rFonts w:hint="eastAsia"/>
        </w:rPr>
      </w:pPr>
      <w:r>
        <w:rPr>
          <w:rFonts w:hint="eastAsia"/>
        </w:rPr>
        <w:tab/>
        <w:t xml:space="preserve">87.  </w:t>
      </w:r>
      <w:r>
        <w:t>Curaçao</w:t>
      </w:r>
      <w:r>
        <w:rPr>
          <w:rFonts w:hint="eastAsia"/>
        </w:rPr>
        <w:t>岛青年监测工作组已经正式成立。</w:t>
      </w:r>
      <w:r>
        <w:t>Curaçao</w:t>
      </w:r>
      <w:r>
        <w:rPr>
          <w:rFonts w:hint="eastAsia"/>
        </w:rPr>
        <w:t>青年监测关注</w:t>
      </w:r>
      <w:r>
        <w:rPr>
          <w:rFonts w:hint="eastAsia"/>
        </w:rPr>
        <w:t>18</w:t>
      </w:r>
      <w:r>
        <w:rPr>
          <w:rFonts w:hint="eastAsia"/>
        </w:rPr>
        <w:t>岁以下青年人在身体、社会心理以及认知等方面的发展，以便早期查明和治疗发展失常。</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概述</w:t>
      </w:r>
      <w:r>
        <w:rPr>
          <w:rFonts w:ascii="Time New Roman" w:eastAsia="SimHei" w:hAnsi="Time New Roman"/>
          <w:b/>
          <w:u w:val="none"/>
        </w:rPr>
        <w:t>Curaçao</w:t>
      </w:r>
      <w:r>
        <w:rPr>
          <w:rFonts w:ascii="Time New Roman" w:eastAsia="SimHei" w:hAnsi="Time New Roman" w:hint="eastAsia"/>
          <w:u w:val="none"/>
        </w:rPr>
        <w:t>岛高优先方案下的项目</w:t>
      </w:r>
    </w:p>
    <w:p w:rsidR="00000000" w:rsidRDefault="00000000">
      <w:pPr>
        <w:spacing w:after="160"/>
        <w:rPr>
          <w:rFonts w:hint="eastAsia"/>
        </w:rPr>
      </w:pPr>
      <w:r>
        <w:rPr>
          <w:rFonts w:hint="eastAsia"/>
        </w:rPr>
        <w:tab/>
        <w:t xml:space="preserve">88.  </w:t>
      </w:r>
      <w:r>
        <w:rPr>
          <w:rFonts w:hint="eastAsia"/>
        </w:rPr>
        <w:t>以下是有关</w:t>
      </w:r>
      <w:r>
        <w:t>Curaçao</w:t>
      </w:r>
      <w:r>
        <w:rPr>
          <w:rFonts w:hint="eastAsia"/>
        </w:rPr>
        <w:t>高优先方案项目的概述，该方案也是《荷属安的列斯群岛青年发展方案》的一个组成部分：</w:t>
      </w:r>
    </w:p>
    <w:p w:rsidR="00000000" w:rsidRDefault="00000000">
      <w:pPr>
        <w:numPr>
          <w:ilvl w:val="0"/>
          <w:numId w:val="142"/>
        </w:numPr>
        <w:spacing w:after="160"/>
        <w:rPr>
          <w:rFonts w:hint="eastAsia"/>
        </w:rPr>
      </w:pPr>
      <w:r>
        <w:rPr>
          <w:rFonts w:hint="eastAsia"/>
          <w:u w:val="single"/>
        </w:rPr>
        <w:t>预防</w:t>
      </w:r>
      <w:r>
        <w:rPr>
          <w:rFonts w:hint="eastAsia"/>
        </w:rPr>
        <w:t>：</w:t>
      </w:r>
    </w:p>
    <w:p w:rsidR="00000000" w:rsidRDefault="00000000">
      <w:pPr>
        <w:pStyle w:val="a0"/>
        <w:tabs>
          <w:tab w:val="num" w:pos="2040"/>
        </w:tabs>
        <w:ind w:left="2040"/>
        <w:rPr>
          <w:rFonts w:hint="eastAsia"/>
        </w:rPr>
      </w:pPr>
      <w:r>
        <w:rPr>
          <w:rFonts w:hint="eastAsia"/>
        </w:rPr>
        <w:t>为</w:t>
      </w:r>
      <w:r>
        <w:rPr>
          <w:rFonts w:hint="eastAsia"/>
        </w:rPr>
        <w:t>350</w:t>
      </w:r>
      <w:r>
        <w:rPr>
          <w:rFonts w:hint="eastAsia"/>
        </w:rPr>
        <w:t>名学童提供个别辅导；</w:t>
      </w:r>
    </w:p>
    <w:p w:rsidR="00000000" w:rsidRDefault="00000000">
      <w:pPr>
        <w:pStyle w:val="a0"/>
        <w:tabs>
          <w:tab w:val="num" w:pos="2040"/>
        </w:tabs>
        <w:ind w:left="2040"/>
        <w:rPr>
          <w:rFonts w:hint="eastAsia"/>
        </w:rPr>
      </w:pPr>
      <w:r>
        <w:rPr>
          <w:rFonts w:hint="eastAsia"/>
        </w:rPr>
        <w:t>“教育</w:t>
      </w:r>
      <w:r>
        <w:rPr>
          <w:rFonts w:hint="eastAsia"/>
        </w:rPr>
        <w:t>2000</w:t>
      </w:r>
      <w:r>
        <w:rPr>
          <w:rFonts w:hint="eastAsia"/>
        </w:rPr>
        <w:t>”：针对学生家长的侧重于义务教育制的提高认识运动；</w:t>
      </w:r>
    </w:p>
    <w:p w:rsidR="00000000" w:rsidRDefault="00000000">
      <w:pPr>
        <w:pStyle w:val="a0"/>
        <w:tabs>
          <w:tab w:val="num" w:pos="2040"/>
        </w:tabs>
        <w:ind w:left="2040"/>
        <w:rPr>
          <w:rFonts w:hint="eastAsia"/>
        </w:rPr>
      </w:pPr>
      <w:r>
        <w:rPr>
          <w:rFonts w:hint="eastAsia"/>
        </w:rPr>
        <w:t>“教育</w:t>
      </w:r>
      <w:r>
        <w:rPr>
          <w:rFonts w:hint="eastAsia"/>
        </w:rPr>
        <w:t>2000</w:t>
      </w:r>
      <w:r>
        <w:rPr>
          <w:rFonts w:hint="eastAsia"/>
        </w:rPr>
        <w:t>”：在五个居民区为学生家长提供的培训；</w:t>
      </w:r>
    </w:p>
    <w:p w:rsidR="00000000" w:rsidRDefault="00000000">
      <w:pPr>
        <w:pStyle w:val="a0"/>
        <w:tabs>
          <w:tab w:val="num" w:pos="2040"/>
        </w:tabs>
        <w:ind w:left="2040"/>
        <w:rPr>
          <w:rFonts w:hint="eastAsia"/>
        </w:rPr>
      </w:pPr>
      <w:r>
        <w:t>Curaçao</w:t>
      </w:r>
      <w:r>
        <w:rPr>
          <w:rFonts w:hint="eastAsia"/>
        </w:rPr>
        <w:t>岛家长热线；</w:t>
      </w:r>
    </w:p>
    <w:p w:rsidR="00000000" w:rsidRDefault="00000000">
      <w:pPr>
        <w:pStyle w:val="a0"/>
        <w:tabs>
          <w:tab w:val="num" w:pos="2040"/>
        </w:tabs>
        <w:ind w:left="2040"/>
        <w:rPr>
          <w:rFonts w:hint="eastAsia"/>
        </w:rPr>
      </w:pPr>
      <w:r>
        <w:rPr>
          <w:rFonts w:hint="eastAsia"/>
        </w:rPr>
        <w:t>在六个居民区实施的旨在提高小学生基本技能的六项家庭的方案；</w:t>
      </w:r>
    </w:p>
    <w:p w:rsidR="00000000" w:rsidRDefault="00000000">
      <w:pPr>
        <w:pStyle w:val="a0"/>
        <w:tabs>
          <w:tab w:val="num" w:pos="2040"/>
        </w:tabs>
        <w:ind w:left="2040"/>
        <w:rPr>
          <w:rFonts w:hint="eastAsia"/>
        </w:rPr>
      </w:pPr>
      <w:r>
        <w:rPr>
          <w:rFonts w:hint="eastAsia"/>
        </w:rPr>
        <w:t>课余活动：在两所学校中实施的试验性项目；</w:t>
      </w:r>
    </w:p>
    <w:p w:rsidR="00000000" w:rsidRDefault="00000000">
      <w:pPr>
        <w:pStyle w:val="a0"/>
        <w:tabs>
          <w:tab w:val="num" w:pos="2040"/>
        </w:tabs>
        <w:spacing w:after="160"/>
        <w:ind w:left="2040"/>
        <w:rPr>
          <w:rFonts w:hint="eastAsia"/>
        </w:rPr>
      </w:pPr>
      <w:r>
        <w:rPr>
          <w:rFonts w:hint="eastAsia"/>
        </w:rPr>
        <w:t>课余活动：在十所学校中实施的试验性项目；</w:t>
      </w:r>
    </w:p>
    <w:p w:rsidR="00000000" w:rsidRDefault="00000000">
      <w:pPr>
        <w:numPr>
          <w:ilvl w:val="0"/>
          <w:numId w:val="142"/>
        </w:numPr>
        <w:spacing w:after="160"/>
        <w:rPr>
          <w:rFonts w:hint="eastAsia"/>
        </w:rPr>
      </w:pPr>
      <w:r>
        <w:rPr>
          <w:rFonts w:hint="eastAsia"/>
          <w:u w:val="single"/>
        </w:rPr>
        <w:t>第二次机会</w:t>
      </w:r>
      <w:r>
        <w:rPr>
          <w:rFonts w:hint="eastAsia"/>
        </w:rPr>
        <w:t>：</w:t>
      </w:r>
    </w:p>
    <w:p w:rsidR="00000000" w:rsidRDefault="00000000">
      <w:pPr>
        <w:pStyle w:val="a0"/>
        <w:tabs>
          <w:tab w:val="num" w:pos="2040"/>
        </w:tabs>
        <w:ind w:left="2040"/>
        <w:rPr>
          <w:rFonts w:hint="eastAsia"/>
        </w:rPr>
      </w:pPr>
      <w:r>
        <w:rPr>
          <w:rFonts w:hint="eastAsia"/>
        </w:rPr>
        <w:t>为</w:t>
      </w:r>
      <w:r>
        <w:rPr>
          <w:rFonts w:hint="eastAsia"/>
        </w:rPr>
        <w:t>12</w:t>
      </w:r>
      <w:r>
        <w:rPr>
          <w:rFonts w:hint="eastAsia"/>
        </w:rPr>
        <w:t>岁以上儿童举办的绳网班；</w:t>
      </w:r>
    </w:p>
    <w:p w:rsidR="00000000" w:rsidRDefault="00000000">
      <w:pPr>
        <w:pStyle w:val="a0"/>
        <w:tabs>
          <w:tab w:val="num" w:pos="2040"/>
        </w:tabs>
        <w:ind w:left="2040"/>
        <w:rPr>
          <w:rFonts w:hint="eastAsia"/>
        </w:rPr>
      </w:pPr>
      <w:r>
        <w:rPr>
          <w:rFonts w:hint="eastAsia"/>
        </w:rPr>
        <w:t>为退学生举办的识字班和社会技能班；</w:t>
      </w:r>
    </w:p>
    <w:p w:rsidR="00000000" w:rsidRDefault="00000000">
      <w:pPr>
        <w:pStyle w:val="a0"/>
        <w:tabs>
          <w:tab w:val="num" w:pos="2040"/>
        </w:tabs>
        <w:ind w:left="2040"/>
        <w:rPr>
          <w:rFonts w:hint="eastAsia"/>
        </w:rPr>
      </w:pPr>
      <w:r>
        <w:t>E tinu di bario</w:t>
      </w:r>
      <w:r>
        <w:rPr>
          <w:rFonts w:hint="eastAsia"/>
        </w:rPr>
        <w:t>；</w:t>
      </w:r>
    </w:p>
    <w:p w:rsidR="00000000" w:rsidRDefault="00000000">
      <w:pPr>
        <w:pStyle w:val="a0"/>
        <w:tabs>
          <w:tab w:val="num" w:pos="2040"/>
        </w:tabs>
        <w:ind w:left="2041"/>
        <w:rPr>
          <w:rFonts w:hint="eastAsia"/>
        </w:rPr>
      </w:pPr>
      <w:r>
        <w:rPr>
          <w:rFonts w:hint="eastAsia"/>
        </w:rPr>
        <w:t>为</w:t>
      </w:r>
      <w:r>
        <w:rPr>
          <w:rFonts w:hint="eastAsia"/>
        </w:rPr>
        <w:t>50</w:t>
      </w:r>
      <w:r>
        <w:rPr>
          <w:rFonts w:hint="eastAsia"/>
        </w:rPr>
        <w:t>名</w:t>
      </w:r>
      <w:r>
        <w:rPr>
          <w:rFonts w:hint="eastAsia"/>
        </w:rPr>
        <w:t>10</w:t>
      </w:r>
      <w:r>
        <w:rPr>
          <w:rFonts w:hint="eastAsia"/>
        </w:rPr>
        <w:t>岁至</w:t>
      </w:r>
      <w:r>
        <w:rPr>
          <w:rFonts w:hint="eastAsia"/>
        </w:rPr>
        <w:t>24</w:t>
      </w:r>
      <w:r>
        <w:rPr>
          <w:rFonts w:hint="eastAsia"/>
        </w:rPr>
        <w:t>岁青少年提供的有关学习之路培训；</w:t>
      </w:r>
    </w:p>
    <w:p w:rsidR="00000000" w:rsidRDefault="00000000">
      <w:pPr>
        <w:pStyle w:val="a0"/>
        <w:tabs>
          <w:tab w:val="num" w:pos="1030"/>
          <w:tab w:val="num" w:pos="1550"/>
        </w:tabs>
        <w:spacing w:after="160"/>
        <w:ind w:left="2068"/>
        <w:rPr>
          <w:rFonts w:hint="eastAsia"/>
          <w:snapToGrid/>
        </w:rPr>
      </w:pPr>
      <w:r>
        <w:rPr>
          <w:rFonts w:hint="eastAsia"/>
          <w:snapToGrid/>
        </w:rPr>
        <w:t>为处于不利地位的</w:t>
      </w:r>
      <w:r>
        <w:rPr>
          <w:rFonts w:hint="eastAsia"/>
          <w:snapToGrid/>
        </w:rPr>
        <w:t>16</w:t>
      </w:r>
      <w:r>
        <w:rPr>
          <w:rFonts w:hint="eastAsia"/>
          <w:snapToGrid/>
        </w:rPr>
        <w:t>岁至</w:t>
      </w:r>
      <w:r>
        <w:rPr>
          <w:rFonts w:hint="eastAsia"/>
          <w:snapToGrid/>
        </w:rPr>
        <w:t>24</w:t>
      </w:r>
      <w:r>
        <w:rPr>
          <w:rFonts w:hint="eastAsia"/>
          <w:snapToGrid/>
        </w:rPr>
        <w:t>岁年轻人带来希望的就业项目、社区工作计划以及旨在为</w:t>
      </w:r>
      <w:r>
        <w:rPr>
          <w:rFonts w:hint="eastAsia"/>
          <w:snapToGrid/>
        </w:rPr>
        <w:t>18</w:t>
      </w:r>
      <w:r>
        <w:rPr>
          <w:rFonts w:hint="eastAsia"/>
          <w:snapToGrid/>
        </w:rPr>
        <w:t>岁至</w:t>
      </w:r>
      <w:r>
        <w:rPr>
          <w:rFonts w:hint="eastAsia"/>
          <w:snapToGrid/>
        </w:rPr>
        <w:t>30</w:t>
      </w:r>
      <w:r>
        <w:rPr>
          <w:rFonts w:hint="eastAsia"/>
          <w:snapToGrid/>
        </w:rPr>
        <w:t>岁失业青年创造就业机会的立法</w:t>
      </w:r>
      <w:r>
        <w:rPr>
          <w:rFonts w:hint="eastAsia"/>
          <w:snapToGrid/>
        </w:rPr>
        <w:t>(</w:t>
      </w:r>
      <w:r>
        <w:rPr>
          <w:i/>
          <w:iCs/>
          <w:snapToGrid/>
        </w:rPr>
        <w:t>Lei di Bion</w:t>
      </w:r>
      <w:r>
        <w:rPr>
          <w:rFonts w:hint="eastAsia"/>
          <w:snapToGrid/>
        </w:rPr>
        <w:t>)</w:t>
      </w:r>
      <w:r>
        <w:rPr>
          <w:rFonts w:hint="eastAsia"/>
          <w:snapToGrid/>
        </w:rPr>
        <w:t>；</w:t>
      </w:r>
    </w:p>
    <w:p w:rsidR="00000000" w:rsidRDefault="00000000">
      <w:pPr>
        <w:pStyle w:val="Heading4"/>
        <w:spacing w:after="160"/>
        <w:ind w:left="1038"/>
        <w:rPr>
          <w:rFonts w:hint="eastAsia"/>
          <w:u w:val="none"/>
        </w:rPr>
      </w:pPr>
      <w:r>
        <w:rPr>
          <w:u w:val="none"/>
        </w:rPr>
        <w:t>(c)</w:t>
      </w:r>
      <w:r>
        <w:rPr>
          <w:rFonts w:hint="eastAsia"/>
          <w:u w:val="none"/>
        </w:rPr>
        <w:t xml:space="preserve">  </w:t>
      </w:r>
      <w:r>
        <w:rPr>
          <w:rFonts w:hint="eastAsia"/>
        </w:rPr>
        <w:t>社会康复和援助</w:t>
      </w:r>
      <w:r>
        <w:rPr>
          <w:rFonts w:hint="eastAsia"/>
          <w:u w:val="none"/>
        </w:rPr>
        <w:t>：</w:t>
      </w:r>
    </w:p>
    <w:p w:rsidR="00000000" w:rsidRDefault="00000000">
      <w:pPr>
        <w:pStyle w:val="a0"/>
        <w:tabs>
          <w:tab w:val="num" w:pos="1030"/>
          <w:tab w:val="num" w:pos="1550"/>
        </w:tabs>
        <w:ind w:left="2068"/>
        <w:rPr>
          <w:rFonts w:hint="eastAsia"/>
          <w:snapToGrid/>
        </w:rPr>
      </w:pPr>
      <w:r>
        <w:rPr>
          <w:rFonts w:hint="eastAsia"/>
          <w:snapToGrid/>
        </w:rPr>
        <w:t>信息和咨询中心；</w:t>
      </w:r>
    </w:p>
    <w:p w:rsidR="00000000" w:rsidRDefault="00000000">
      <w:pPr>
        <w:pStyle w:val="a0"/>
        <w:tabs>
          <w:tab w:val="num" w:pos="1030"/>
          <w:tab w:val="num" w:pos="1550"/>
        </w:tabs>
        <w:ind w:left="2068"/>
        <w:rPr>
          <w:rFonts w:hint="eastAsia"/>
          <w:snapToGrid/>
        </w:rPr>
      </w:pPr>
      <w:r>
        <w:rPr>
          <w:rFonts w:hint="eastAsia"/>
          <w:snapToGrid/>
        </w:rPr>
        <w:t>在两个居民区实施的为年轻人及其家庭提供援助的试验性项目</w:t>
      </w:r>
      <w:r>
        <w:rPr>
          <w:rFonts w:hint="eastAsia"/>
          <w:snapToGrid/>
        </w:rPr>
        <w:t>(</w:t>
      </w:r>
      <w:r>
        <w:rPr>
          <w:snapToGrid/>
        </w:rPr>
        <w:t>Kanga and Dein</w:t>
      </w:r>
      <w:r>
        <w:rPr>
          <w:rFonts w:hint="eastAsia"/>
          <w:snapToGrid/>
        </w:rPr>
        <w:t>)</w:t>
      </w:r>
      <w:r>
        <w:rPr>
          <w:rFonts w:hint="eastAsia"/>
          <w:snapToGrid/>
        </w:rPr>
        <w:t>；</w:t>
      </w:r>
    </w:p>
    <w:p w:rsidR="00000000" w:rsidRDefault="00000000">
      <w:pPr>
        <w:pStyle w:val="a0"/>
        <w:tabs>
          <w:tab w:val="num" w:pos="1030"/>
          <w:tab w:val="num" w:pos="1550"/>
        </w:tabs>
        <w:ind w:left="2068"/>
        <w:rPr>
          <w:rFonts w:hint="eastAsia"/>
          <w:snapToGrid/>
        </w:rPr>
      </w:pPr>
      <w:r>
        <w:rPr>
          <w:rFonts w:hint="eastAsia"/>
          <w:snapToGrid/>
        </w:rPr>
        <w:t>强化流动援助；</w:t>
      </w:r>
    </w:p>
    <w:p w:rsidR="00000000" w:rsidRDefault="00000000">
      <w:pPr>
        <w:pStyle w:val="a0"/>
        <w:tabs>
          <w:tab w:val="num" w:pos="1030"/>
          <w:tab w:val="num" w:pos="1550"/>
        </w:tabs>
        <w:ind w:left="2068"/>
        <w:rPr>
          <w:rFonts w:hint="eastAsia"/>
          <w:snapToGrid/>
        </w:rPr>
      </w:pPr>
      <w:r>
        <w:rPr>
          <w:rFonts w:hint="eastAsia"/>
          <w:snapToGrid/>
        </w:rPr>
        <w:t>为吸毒青年提供的门诊咨询；</w:t>
      </w:r>
    </w:p>
    <w:p w:rsidR="00000000" w:rsidRDefault="00000000">
      <w:pPr>
        <w:pStyle w:val="a0"/>
        <w:tabs>
          <w:tab w:val="num" w:pos="1030"/>
          <w:tab w:val="num" w:pos="1550"/>
        </w:tabs>
        <w:spacing w:after="160"/>
        <w:ind w:left="2069"/>
        <w:rPr>
          <w:rFonts w:hint="eastAsia"/>
          <w:snapToGrid/>
        </w:rPr>
      </w:pPr>
      <w:r>
        <w:rPr>
          <w:rFonts w:hint="eastAsia"/>
          <w:snapToGrid/>
        </w:rPr>
        <w:t>康复机构的重组，其中包括培训主管和组长以及增加教育援助和接待人数；</w:t>
      </w:r>
    </w:p>
    <w:p w:rsidR="00000000" w:rsidRDefault="00000000">
      <w:pPr>
        <w:pStyle w:val="Heading4"/>
        <w:spacing w:after="160"/>
        <w:ind w:left="1040"/>
        <w:rPr>
          <w:rFonts w:hint="eastAsia"/>
          <w:u w:val="none"/>
        </w:rPr>
      </w:pPr>
      <w:r>
        <w:rPr>
          <w:u w:val="none"/>
        </w:rPr>
        <w:t>(d)</w:t>
      </w:r>
      <w:r>
        <w:rPr>
          <w:rFonts w:hint="eastAsia"/>
          <w:u w:val="none"/>
        </w:rPr>
        <w:t xml:space="preserve">  </w:t>
      </w:r>
      <w:r>
        <w:rPr>
          <w:rFonts w:hint="eastAsia"/>
        </w:rPr>
        <w:t>根据</w:t>
      </w:r>
      <w:r>
        <w:rPr>
          <w:rFonts w:hint="eastAsia"/>
        </w:rPr>
        <w:t>1999</w:t>
      </w:r>
      <w:r>
        <w:rPr>
          <w:rFonts w:hint="eastAsia"/>
        </w:rPr>
        <w:t>年至</w:t>
      </w:r>
      <w:r>
        <w:rPr>
          <w:rFonts w:hint="eastAsia"/>
        </w:rPr>
        <w:t>2003</w:t>
      </w:r>
      <w:r>
        <w:rPr>
          <w:rFonts w:hint="eastAsia"/>
        </w:rPr>
        <w:t>年</w:t>
      </w:r>
      <w:r>
        <w:t>Curaçao</w:t>
      </w:r>
      <w:r>
        <w:rPr>
          <w:rFonts w:hint="eastAsia"/>
        </w:rPr>
        <w:t>岛青年政策计划开展的活动</w:t>
      </w:r>
      <w:r>
        <w:rPr>
          <w:rFonts w:hint="eastAsia"/>
          <w:u w:val="none"/>
        </w:rPr>
        <w:t>：</w:t>
      </w:r>
    </w:p>
    <w:p w:rsidR="00000000" w:rsidRDefault="00000000">
      <w:pPr>
        <w:pStyle w:val="Heading4"/>
        <w:spacing w:after="160"/>
        <w:ind w:left="1040"/>
        <w:rPr>
          <w:rFonts w:hint="eastAsia"/>
        </w:rPr>
      </w:pPr>
      <w:r>
        <w:rPr>
          <w:rFonts w:hint="eastAsia"/>
          <w:u w:val="none"/>
        </w:rPr>
        <w:tab/>
        <w:t xml:space="preserve">(1)  </w:t>
      </w:r>
      <w:r>
        <w:rPr>
          <w:rFonts w:hint="eastAsia"/>
        </w:rPr>
        <w:t>社会和文化教育</w:t>
      </w:r>
    </w:p>
    <w:p w:rsidR="00000000" w:rsidRDefault="00000000">
      <w:pPr>
        <w:pStyle w:val="a0"/>
        <w:tabs>
          <w:tab w:val="num" w:pos="1550"/>
        </w:tabs>
        <w:ind w:left="2590"/>
        <w:rPr>
          <w:rFonts w:hint="eastAsia"/>
          <w:snapToGrid/>
        </w:rPr>
      </w:pPr>
      <w:r>
        <w:rPr>
          <w:rFonts w:hint="eastAsia"/>
          <w:snapToGrid/>
        </w:rPr>
        <w:t>在</w:t>
      </w:r>
      <w:r>
        <w:rPr>
          <w:snapToGrid/>
        </w:rPr>
        <w:t>Parke Tropikal</w:t>
      </w:r>
      <w:r>
        <w:rPr>
          <w:rFonts w:hint="eastAsia"/>
          <w:snapToGrid/>
        </w:rPr>
        <w:t>的自然和环境中心于</w:t>
      </w:r>
      <w:r>
        <w:rPr>
          <w:rFonts w:hint="eastAsia"/>
          <w:snapToGrid/>
        </w:rPr>
        <w:t>2001</w:t>
      </w:r>
      <w:r>
        <w:rPr>
          <w:rFonts w:hint="eastAsia"/>
          <w:snapToGrid/>
        </w:rPr>
        <w:t>年</w:t>
      </w:r>
      <w:r>
        <w:rPr>
          <w:rFonts w:hint="eastAsia"/>
          <w:snapToGrid/>
        </w:rPr>
        <w:t>8</w:t>
      </w:r>
      <w:r>
        <w:rPr>
          <w:rFonts w:hint="eastAsia"/>
          <w:snapToGrid/>
        </w:rPr>
        <w:t>月开幕</w:t>
      </w:r>
      <w:r>
        <w:rPr>
          <w:rFonts w:hint="eastAsia"/>
          <w:snapToGrid/>
        </w:rPr>
        <w:t>(</w:t>
      </w:r>
      <w:r>
        <w:rPr>
          <w:rFonts w:hint="eastAsia"/>
          <w:snapToGrid/>
        </w:rPr>
        <w:t>私人行动</w:t>
      </w:r>
      <w:r>
        <w:rPr>
          <w:rFonts w:hint="eastAsia"/>
          <w:snapToGrid/>
        </w:rPr>
        <w:t>)</w:t>
      </w:r>
      <w:r>
        <w:rPr>
          <w:rFonts w:hint="eastAsia"/>
          <w:snapToGrid/>
        </w:rPr>
        <w:t>；</w:t>
      </w:r>
    </w:p>
    <w:p w:rsidR="00000000" w:rsidRDefault="00000000">
      <w:pPr>
        <w:pStyle w:val="a0"/>
        <w:tabs>
          <w:tab w:val="num" w:pos="1550"/>
        </w:tabs>
        <w:ind w:left="2590"/>
        <w:rPr>
          <w:rFonts w:hint="eastAsia"/>
          <w:snapToGrid/>
        </w:rPr>
      </w:pPr>
      <w:r>
        <w:rPr>
          <w:snapToGrid/>
        </w:rPr>
        <w:t>Bos di Hubentut</w:t>
      </w:r>
      <w:r>
        <w:rPr>
          <w:rFonts w:hint="eastAsia"/>
          <w:snapToGrid/>
        </w:rPr>
        <w:t>中心经常为媒体组织讲习班，重点是报道年轻人的正面形象；</w:t>
      </w:r>
    </w:p>
    <w:p w:rsidR="00000000" w:rsidRDefault="00000000">
      <w:pPr>
        <w:pStyle w:val="a0"/>
        <w:widowControl w:val="0"/>
        <w:tabs>
          <w:tab w:val="num" w:pos="1550"/>
        </w:tabs>
        <w:ind w:left="2591"/>
        <w:rPr>
          <w:rFonts w:hint="eastAsia"/>
          <w:snapToGrid/>
        </w:rPr>
      </w:pPr>
      <w:r>
        <w:rPr>
          <w:rFonts w:hint="eastAsia"/>
          <w:snapToGrid/>
        </w:rPr>
        <w:t>2001</w:t>
      </w:r>
      <w:r>
        <w:rPr>
          <w:rFonts w:hint="eastAsia"/>
          <w:snapToGrid/>
        </w:rPr>
        <w:t>年</w:t>
      </w:r>
      <w:r>
        <w:rPr>
          <w:rFonts w:hint="eastAsia"/>
          <w:snapToGrid/>
        </w:rPr>
        <w:t>9</w:t>
      </w:r>
      <w:r>
        <w:rPr>
          <w:rFonts w:hint="eastAsia"/>
          <w:snapToGrid/>
        </w:rPr>
        <w:t>月，教育电视台为</w:t>
      </w:r>
      <w:r>
        <w:rPr>
          <w:rFonts w:hint="eastAsia"/>
          <w:snapToGrid/>
        </w:rPr>
        <w:t>12</w:t>
      </w:r>
      <w:r>
        <w:rPr>
          <w:rFonts w:hint="eastAsia"/>
          <w:snapToGrid/>
        </w:rPr>
        <w:t>岁至</w:t>
      </w:r>
      <w:r>
        <w:rPr>
          <w:rFonts w:hint="eastAsia"/>
          <w:snapToGrid/>
        </w:rPr>
        <w:t>18</w:t>
      </w:r>
      <w:r>
        <w:rPr>
          <w:rFonts w:hint="eastAsia"/>
          <w:snapToGrid/>
        </w:rPr>
        <w:t>岁的青年推出了一个教育节目，这个名为</w:t>
      </w:r>
      <w:r>
        <w:rPr>
          <w:i/>
          <w:iCs/>
          <w:snapToGrid/>
        </w:rPr>
        <w:t>Aki ta papia Kòrsou</w:t>
      </w:r>
      <w:r>
        <w:rPr>
          <w:rFonts w:hint="eastAsia"/>
          <w:snapToGrid/>
        </w:rPr>
        <w:t>的节目是由年轻人上演的，经费由私人提供；</w:t>
      </w:r>
    </w:p>
    <w:p w:rsidR="00000000" w:rsidRDefault="00000000">
      <w:pPr>
        <w:pStyle w:val="a0"/>
        <w:tabs>
          <w:tab w:val="num" w:pos="1550"/>
        </w:tabs>
        <w:ind w:left="2590"/>
        <w:rPr>
          <w:rFonts w:hint="eastAsia"/>
          <w:snapToGrid/>
        </w:rPr>
      </w:pPr>
      <w:r>
        <w:rPr>
          <w:rFonts w:hint="eastAsia"/>
          <w:snapToGrid/>
        </w:rPr>
        <w:t>教育改革中心推出了一个由政府资助的面向小学生的新闻节目</w:t>
      </w:r>
      <w:r>
        <w:rPr>
          <w:rFonts w:hint="eastAsia"/>
          <w:snapToGrid/>
        </w:rPr>
        <w:t>(</w:t>
      </w:r>
      <w:r>
        <w:rPr>
          <w:i/>
          <w:iCs/>
          <w:snapToGrid/>
        </w:rPr>
        <w:t>Nos Mundo</w:t>
      </w:r>
      <w:r>
        <w:rPr>
          <w:rFonts w:hint="eastAsia"/>
          <w:snapToGrid/>
        </w:rPr>
        <w:t>)</w:t>
      </w:r>
      <w:r>
        <w:rPr>
          <w:rFonts w:hint="eastAsia"/>
          <w:snapToGrid/>
        </w:rPr>
        <w:t>；</w:t>
      </w:r>
    </w:p>
    <w:p w:rsidR="00000000" w:rsidRDefault="00000000">
      <w:pPr>
        <w:pStyle w:val="a0"/>
        <w:tabs>
          <w:tab w:val="num" w:pos="1550"/>
        </w:tabs>
        <w:ind w:left="2590"/>
        <w:rPr>
          <w:rFonts w:hint="eastAsia"/>
          <w:snapToGrid/>
        </w:rPr>
      </w:pPr>
      <w:r>
        <w:rPr>
          <w:rFonts w:hint="eastAsia"/>
          <w:snapToGrid/>
        </w:rPr>
        <w:t>从</w:t>
      </w:r>
      <w:r>
        <w:rPr>
          <w:rFonts w:hint="eastAsia"/>
          <w:snapToGrid/>
        </w:rPr>
        <w:t>2001</w:t>
      </w:r>
      <w:r>
        <w:rPr>
          <w:rFonts w:hint="eastAsia"/>
          <w:snapToGrid/>
        </w:rPr>
        <w:t>年</w:t>
      </w:r>
      <w:r>
        <w:rPr>
          <w:rFonts w:hint="eastAsia"/>
          <w:snapToGrid/>
        </w:rPr>
        <w:t>10</w:t>
      </w:r>
      <w:r>
        <w:rPr>
          <w:rFonts w:hint="eastAsia"/>
          <w:snapToGrid/>
        </w:rPr>
        <w:t>月以来，荷属安的列斯群岛青年工作队一直在出版一份双月刊“四青年”，这是一份面向该群岛所有青年的杂志；</w:t>
      </w:r>
    </w:p>
    <w:p w:rsidR="00000000" w:rsidRDefault="00000000">
      <w:pPr>
        <w:pStyle w:val="a0"/>
        <w:tabs>
          <w:tab w:val="num" w:pos="1550"/>
        </w:tabs>
        <w:ind w:left="2590"/>
        <w:rPr>
          <w:rFonts w:hint="eastAsia"/>
          <w:snapToGrid/>
        </w:rPr>
      </w:pPr>
      <w:r>
        <w:rPr>
          <w:iCs/>
          <w:snapToGrid/>
        </w:rPr>
        <w:t>Revista Deportivo</w:t>
      </w:r>
      <w:r>
        <w:rPr>
          <w:rFonts w:hint="eastAsia"/>
          <w:iCs/>
          <w:snapToGrid/>
        </w:rPr>
        <w:t>是</w:t>
      </w:r>
      <w:r>
        <w:rPr>
          <w:rFonts w:hint="eastAsia"/>
          <w:iCs/>
          <w:snapToGrid/>
        </w:rPr>
        <w:t>2000</w:t>
      </w:r>
      <w:r>
        <w:rPr>
          <w:rFonts w:hint="eastAsia"/>
          <w:iCs/>
          <w:snapToGrid/>
        </w:rPr>
        <w:t>年以来在</w:t>
      </w:r>
      <w:r>
        <w:rPr>
          <w:rFonts w:hint="eastAsia"/>
          <w:i/>
          <w:snapToGrid/>
        </w:rPr>
        <w:t xml:space="preserve"> </w:t>
      </w:r>
      <w:r>
        <w:rPr>
          <w:snapToGrid/>
        </w:rPr>
        <w:t>Curaçao</w:t>
      </w:r>
      <w:r>
        <w:rPr>
          <w:rFonts w:hint="eastAsia"/>
          <w:snapToGrid/>
        </w:rPr>
        <w:t xml:space="preserve"> </w:t>
      </w:r>
      <w:r>
        <w:rPr>
          <w:rFonts w:hint="eastAsia"/>
          <w:snapToGrid/>
        </w:rPr>
        <w:t>岛发行的一份半月刊。这份体育杂志重点报道在各种体育活动中表现出色的年轻人。最初，这份杂志是由国家一次性资助的，后来根据国家同</w:t>
      </w:r>
      <w:r>
        <w:rPr>
          <w:snapToGrid/>
        </w:rPr>
        <w:t>Sedreko</w:t>
      </w:r>
      <w:r>
        <w:rPr>
          <w:rFonts w:hint="eastAsia"/>
          <w:snapToGrid/>
        </w:rPr>
        <w:t>所签订的协议提供经费；</w:t>
      </w:r>
    </w:p>
    <w:p w:rsidR="00000000" w:rsidRDefault="00000000">
      <w:pPr>
        <w:pStyle w:val="a0"/>
        <w:tabs>
          <w:tab w:val="num" w:pos="1550"/>
        </w:tabs>
        <w:spacing w:after="160"/>
        <w:ind w:left="2590"/>
        <w:rPr>
          <w:rFonts w:hint="eastAsia"/>
          <w:snapToGrid/>
        </w:rPr>
      </w:pPr>
      <w:r>
        <w:rPr>
          <w:rFonts w:hint="eastAsia"/>
          <w:snapToGrid/>
        </w:rPr>
        <w:t>一些年来，青年福利培训中心一直在通过学校为</w:t>
      </w:r>
      <w:r>
        <w:rPr>
          <w:rFonts w:hint="eastAsia"/>
          <w:snapToGrid/>
        </w:rPr>
        <w:t>12</w:t>
      </w:r>
      <w:r>
        <w:rPr>
          <w:rFonts w:hint="eastAsia"/>
          <w:snapToGrid/>
        </w:rPr>
        <w:t>岁以上的年轻人举办培训班，旨在提高他们的社会技能；</w:t>
      </w:r>
    </w:p>
    <w:p w:rsidR="00000000" w:rsidRDefault="00000000">
      <w:pPr>
        <w:pStyle w:val="Heading4"/>
        <w:spacing w:after="160"/>
        <w:ind w:left="1040"/>
        <w:rPr>
          <w:rFonts w:hint="eastAsia"/>
        </w:rPr>
      </w:pPr>
      <w:r>
        <w:rPr>
          <w:rFonts w:hint="eastAsia"/>
          <w:u w:val="none"/>
        </w:rPr>
        <w:tab/>
        <w:t xml:space="preserve">(2)  </w:t>
      </w:r>
      <w:r>
        <w:rPr>
          <w:rFonts w:hint="eastAsia"/>
        </w:rPr>
        <w:t>家长支助</w:t>
      </w:r>
    </w:p>
    <w:p w:rsidR="00000000" w:rsidRDefault="00000000">
      <w:pPr>
        <w:pStyle w:val="a0"/>
        <w:tabs>
          <w:tab w:val="num" w:pos="1550"/>
        </w:tabs>
        <w:ind w:left="2590"/>
        <w:rPr>
          <w:rFonts w:hint="eastAsia"/>
          <w:snapToGrid/>
        </w:rPr>
      </w:pPr>
      <w:r>
        <w:rPr>
          <w:rFonts w:hint="eastAsia"/>
          <w:snapToGrid/>
        </w:rPr>
        <w:t>安的列斯群岛关怀青年联合会同白黄十字架基金会共同拟订了一项项目建议，以便为</w:t>
      </w:r>
      <w:r>
        <w:rPr>
          <w:rFonts w:hint="eastAsia"/>
          <w:snapToGrid/>
        </w:rPr>
        <w:t>4</w:t>
      </w:r>
      <w:r>
        <w:rPr>
          <w:rFonts w:hint="eastAsia"/>
          <w:snapToGrid/>
        </w:rPr>
        <w:t>岁以下幼童的父母建立</w:t>
      </w:r>
      <w:r>
        <w:rPr>
          <w:rFonts w:hint="eastAsia"/>
          <w:snapToGrid/>
        </w:rPr>
        <w:t>9</w:t>
      </w:r>
      <w:r>
        <w:rPr>
          <w:rFonts w:hint="eastAsia"/>
          <w:snapToGrid/>
        </w:rPr>
        <w:t>个同儿童诊所有联系的支助中心；</w:t>
      </w:r>
    </w:p>
    <w:p w:rsidR="00000000" w:rsidRDefault="00000000">
      <w:pPr>
        <w:pStyle w:val="a0"/>
        <w:tabs>
          <w:tab w:val="num" w:pos="1550"/>
        </w:tabs>
        <w:ind w:left="2590"/>
        <w:rPr>
          <w:rFonts w:hint="eastAsia"/>
          <w:snapToGrid/>
        </w:rPr>
      </w:pPr>
      <w:r>
        <w:rPr>
          <w:rFonts w:hint="eastAsia"/>
          <w:snapToGrid/>
        </w:rPr>
        <w:t>在</w:t>
      </w:r>
      <w:r>
        <w:rPr>
          <w:rFonts w:hint="eastAsia"/>
          <w:snapToGrid/>
        </w:rPr>
        <w:t>2001</w:t>
      </w:r>
      <w:r>
        <w:rPr>
          <w:rFonts w:hint="eastAsia"/>
          <w:snapToGrid/>
        </w:rPr>
        <w:t>年，儿童保护基金会在一些报纸上刊登了由外国赞助人提供经费的广告。这些广告以轻松的方式突出了养儿育女中的一些问题；</w:t>
      </w:r>
    </w:p>
    <w:p w:rsidR="00000000" w:rsidRDefault="00000000">
      <w:pPr>
        <w:pStyle w:val="a0"/>
        <w:tabs>
          <w:tab w:val="num" w:pos="1550"/>
        </w:tabs>
        <w:ind w:left="2590"/>
        <w:rPr>
          <w:rFonts w:hint="eastAsia"/>
          <w:snapToGrid/>
        </w:rPr>
      </w:pPr>
      <w:r>
        <w:rPr>
          <w:rFonts w:hint="eastAsia"/>
          <w:snapToGrid/>
        </w:rPr>
        <w:t>从</w:t>
      </w:r>
      <w:r>
        <w:rPr>
          <w:rFonts w:hint="eastAsia"/>
          <w:snapToGrid/>
        </w:rPr>
        <w:t>1997</w:t>
      </w:r>
      <w:r>
        <w:rPr>
          <w:rFonts w:hint="eastAsia"/>
          <w:snapToGrid/>
        </w:rPr>
        <w:t>年至</w:t>
      </w:r>
      <w:r>
        <w:rPr>
          <w:rFonts w:hint="eastAsia"/>
          <w:snapToGrid/>
        </w:rPr>
        <w:t>1999</w:t>
      </w:r>
      <w:r>
        <w:rPr>
          <w:rFonts w:hint="eastAsia"/>
          <w:snapToGrid/>
        </w:rPr>
        <w:t>年，儿童信息和教育中心</w:t>
      </w:r>
      <w:r>
        <w:rPr>
          <w:rFonts w:hint="eastAsia"/>
          <w:snapToGrid/>
        </w:rPr>
        <w:t>(</w:t>
      </w:r>
      <w:r>
        <w:rPr>
          <w:snapToGrid/>
        </w:rPr>
        <w:t>SIFMA</w:t>
      </w:r>
      <w:r>
        <w:rPr>
          <w:rFonts w:hint="eastAsia"/>
          <w:snapToGrid/>
        </w:rPr>
        <w:t>)</w:t>
      </w:r>
      <w:r>
        <w:rPr>
          <w:rFonts w:hint="eastAsia"/>
          <w:snapToGrid/>
        </w:rPr>
        <w:t>每周广播一些主题性的电视节目，为儿童家长提供咨询意见。这些节目是由荷兰发展基金提供资助的。从</w:t>
      </w:r>
      <w:r>
        <w:rPr>
          <w:rFonts w:hint="eastAsia"/>
          <w:snapToGrid/>
        </w:rPr>
        <w:t>1992</w:t>
      </w:r>
      <w:r>
        <w:rPr>
          <w:rFonts w:hint="eastAsia"/>
          <w:snapToGrid/>
        </w:rPr>
        <w:t>年至</w:t>
      </w:r>
      <w:r>
        <w:rPr>
          <w:rFonts w:hint="eastAsia"/>
          <w:snapToGrid/>
        </w:rPr>
        <w:t>2001</w:t>
      </w:r>
      <w:r>
        <w:rPr>
          <w:rFonts w:hint="eastAsia"/>
          <w:snapToGrid/>
        </w:rPr>
        <w:t>年</w:t>
      </w:r>
      <w:r>
        <w:rPr>
          <w:rFonts w:hint="eastAsia"/>
          <w:snapToGrid/>
        </w:rPr>
        <w:t>6</w:t>
      </w:r>
      <w:r>
        <w:rPr>
          <w:rFonts w:hint="eastAsia"/>
          <w:snapToGrid/>
        </w:rPr>
        <w:t>月，</w:t>
      </w:r>
      <w:r>
        <w:rPr>
          <w:snapToGrid/>
        </w:rPr>
        <w:t>SIFMA</w:t>
      </w:r>
      <w:r>
        <w:rPr>
          <w:rFonts w:hint="eastAsia"/>
          <w:snapToGrid/>
        </w:rPr>
        <w:t>还在一个服务俱乐部和荷兰发展基金的资助下广播了类似的电台节目。从</w:t>
      </w:r>
      <w:r>
        <w:rPr>
          <w:rFonts w:hint="eastAsia"/>
          <w:snapToGrid/>
        </w:rPr>
        <w:t>1997</w:t>
      </w:r>
      <w:r>
        <w:rPr>
          <w:rFonts w:hint="eastAsia"/>
          <w:snapToGrid/>
        </w:rPr>
        <w:t>年开始每周在各个广播电台播出有关养儿育女问题的小节目。由于缺乏经费，这些活动都已经停止；</w:t>
      </w:r>
    </w:p>
    <w:p w:rsidR="00000000" w:rsidRDefault="00000000">
      <w:pPr>
        <w:pStyle w:val="a0"/>
        <w:widowControl w:val="0"/>
        <w:tabs>
          <w:tab w:val="num" w:pos="1550"/>
        </w:tabs>
        <w:ind w:left="2591"/>
        <w:rPr>
          <w:rFonts w:hint="eastAsia"/>
          <w:snapToGrid/>
        </w:rPr>
      </w:pPr>
      <w:r>
        <w:rPr>
          <w:rFonts w:hint="eastAsia"/>
          <w:snapToGrid/>
          <w:spacing w:val="6"/>
        </w:rPr>
        <w:t>一些组织举办了家长学习班：</w:t>
      </w:r>
      <w:r>
        <w:rPr>
          <w:snapToGrid/>
          <w:spacing w:val="6"/>
        </w:rPr>
        <w:t>SIFMA</w:t>
      </w:r>
      <w:r>
        <w:rPr>
          <w:rFonts w:hint="eastAsia"/>
          <w:snapToGrid/>
          <w:spacing w:val="6"/>
        </w:rPr>
        <w:t>利用私人经费为</w:t>
      </w:r>
      <w:r>
        <w:rPr>
          <w:rFonts w:hint="eastAsia"/>
          <w:snapToGrid/>
          <w:spacing w:val="6"/>
        </w:rPr>
        <w:t>4</w:t>
      </w:r>
      <w:r>
        <w:rPr>
          <w:rFonts w:hint="eastAsia"/>
          <w:snapToGrid/>
          <w:spacing w:val="6"/>
        </w:rPr>
        <w:t>岁以下儿童的家长办班、由政府资助的</w:t>
      </w:r>
      <w:r>
        <w:rPr>
          <w:iCs/>
          <w:snapToGrid/>
          <w:spacing w:val="6"/>
        </w:rPr>
        <w:t>Sentro pa Guia Edukashonal</w:t>
      </w:r>
      <w:r>
        <w:rPr>
          <w:rFonts w:hint="eastAsia"/>
          <w:iCs/>
          <w:snapToGrid/>
        </w:rPr>
        <w:t>为小学生的家长举办培训班、青年福利培训中心利用私人经费为小学生和中学生的家长办班、青年保健服务部在政府的资助下为</w:t>
      </w:r>
      <w:r>
        <w:rPr>
          <w:rFonts w:hint="eastAsia"/>
          <w:iCs/>
          <w:snapToGrid/>
        </w:rPr>
        <w:t>18</w:t>
      </w:r>
      <w:r>
        <w:rPr>
          <w:rFonts w:hint="eastAsia"/>
          <w:iCs/>
          <w:snapToGrid/>
        </w:rPr>
        <w:t>岁以下儿童的家长举办培训班；</w:t>
      </w:r>
    </w:p>
    <w:p w:rsidR="00000000" w:rsidRDefault="00000000">
      <w:pPr>
        <w:pStyle w:val="a0"/>
        <w:tabs>
          <w:tab w:val="num" w:pos="1550"/>
        </w:tabs>
        <w:ind w:left="2590"/>
        <w:rPr>
          <w:rFonts w:hint="eastAsia"/>
          <w:snapToGrid/>
        </w:rPr>
      </w:pPr>
      <w:r>
        <w:rPr>
          <w:snapToGrid/>
        </w:rPr>
        <w:t>SIFMA</w:t>
      </w:r>
      <w:r>
        <w:rPr>
          <w:rFonts w:hint="eastAsia"/>
          <w:snapToGrid/>
        </w:rPr>
        <w:t>为托儿所的保育员举办初级职业教育和中等职业教育水平的培训班；</w:t>
      </w:r>
    </w:p>
    <w:p w:rsidR="00000000" w:rsidRDefault="00000000">
      <w:pPr>
        <w:pStyle w:val="a0"/>
        <w:tabs>
          <w:tab w:val="num" w:pos="1550"/>
        </w:tabs>
        <w:spacing w:after="160"/>
        <w:ind w:left="2590"/>
        <w:rPr>
          <w:rFonts w:hint="eastAsia"/>
          <w:snapToGrid/>
        </w:rPr>
      </w:pPr>
      <w:r>
        <w:rPr>
          <w:rFonts w:hint="eastAsia"/>
          <w:snapToGrid/>
        </w:rPr>
        <w:t>青年福利培训中心同</w:t>
      </w:r>
      <w:r>
        <w:rPr>
          <w:iCs/>
          <w:snapToGrid/>
        </w:rPr>
        <w:t>Unidat di Bario</w:t>
      </w:r>
      <w:r>
        <w:rPr>
          <w:rFonts w:hint="eastAsia"/>
          <w:snapToGrid/>
        </w:rPr>
        <w:t>一起在</w:t>
      </w:r>
      <w:r>
        <w:rPr>
          <w:rFonts w:hint="eastAsia"/>
          <w:snapToGrid/>
        </w:rPr>
        <w:t>2000</w:t>
      </w:r>
      <w:r>
        <w:rPr>
          <w:rFonts w:hint="eastAsia"/>
          <w:snapToGrid/>
        </w:rPr>
        <w:t>年推出了</w:t>
      </w:r>
      <w:r>
        <w:rPr>
          <w:i/>
          <w:snapToGrid/>
        </w:rPr>
        <w:t xml:space="preserve">Mas </w:t>
      </w:r>
      <w:r>
        <w:rPr>
          <w:iCs/>
          <w:snapToGrid/>
        </w:rPr>
        <w:t>Moveshon ku formashon</w:t>
      </w:r>
      <w:r>
        <w:rPr>
          <w:rFonts w:hint="eastAsia"/>
          <w:snapToGrid/>
        </w:rPr>
        <w:t>项目。这个项目为居民区的活动分子举办培训班，是荷兰发展基金通过</w:t>
      </w:r>
      <w:r>
        <w:rPr>
          <w:iCs/>
          <w:snapToGrid/>
        </w:rPr>
        <w:t>Reda Sosial</w:t>
      </w:r>
      <w:r>
        <w:rPr>
          <w:rFonts w:hint="eastAsia"/>
          <w:iCs/>
          <w:snapToGrid/>
        </w:rPr>
        <w:t>予以资助的；</w:t>
      </w:r>
    </w:p>
    <w:p w:rsidR="00000000" w:rsidRDefault="00000000">
      <w:pPr>
        <w:pStyle w:val="Heading4"/>
        <w:spacing w:after="160"/>
        <w:ind w:left="1300"/>
        <w:rPr>
          <w:rFonts w:hint="eastAsia"/>
          <w:u w:val="none"/>
        </w:rPr>
      </w:pPr>
      <w:r>
        <w:rPr>
          <w:rFonts w:hint="eastAsia"/>
          <w:u w:val="none"/>
        </w:rPr>
        <w:tab/>
        <w:t xml:space="preserve">(3)  </w:t>
      </w:r>
      <w:r>
        <w:rPr>
          <w:rFonts w:hint="eastAsia"/>
        </w:rPr>
        <w:t>社会经济前景</w:t>
      </w:r>
    </w:p>
    <w:p w:rsidR="00000000" w:rsidRDefault="00000000">
      <w:pPr>
        <w:pStyle w:val="a0"/>
        <w:tabs>
          <w:tab w:val="num" w:pos="1550"/>
        </w:tabs>
        <w:ind w:left="2588"/>
        <w:rPr>
          <w:rFonts w:hint="eastAsia"/>
          <w:snapToGrid/>
        </w:rPr>
      </w:pPr>
      <w:r>
        <w:rPr>
          <w:snapToGrid/>
        </w:rPr>
        <w:t>FEFFIK</w:t>
      </w:r>
      <w:r>
        <w:rPr>
          <w:rFonts w:hint="eastAsia"/>
          <w:snapToGrid/>
        </w:rPr>
        <w:t>的一个部门负责中央政府通过补助合约支助的各种着眼于劳动力市场的方案；</w:t>
      </w:r>
    </w:p>
    <w:p w:rsidR="00000000" w:rsidRDefault="00000000">
      <w:pPr>
        <w:pStyle w:val="a0"/>
        <w:tabs>
          <w:tab w:val="num" w:pos="1550"/>
        </w:tabs>
        <w:ind w:left="2590"/>
        <w:rPr>
          <w:rFonts w:hint="eastAsia"/>
          <w:snapToGrid/>
        </w:rPr>
      </w:pPr>
      <w:r>
        <w:rPr>
          <w:snapToGrid/>
        </w:rPr>
        <w:t>FEFFIK</w:t>
      </w:r>
      <w:r>
        <w:rPr>
          <w:rFonts w:hint="eastAsia"/>
          <w:snapToGrid/>
        </w:rPr>
        <w:t>还提供了一些由青少年高优先项目资助的着眼于劳动力市场的方案；</w:t>
      </w:r>
    </w:p>
    <w:p w:rsidR="00000000" w:rsidRDefault="00000000">
      <w:pPr>
        <w:pStyle w:val="a0"/>
        <w:tabs>
          <w:tab w:val="num" w:pos="1550"/>
        </w:tabs>
        <w:ind w:left="2590"/>
        <w:rPr>
          <w:rFonts w:hint="eastAsia"/>
          <w:snapToGrid/>
        </w:rPr>
      </w:pPr>
      <w:r>
        <w:rPr>
          <w:rFonts w:hint="eastAsia"/>
          <w:snapToGrid/>
        </w:rPr>
        <w:t>目前正在教育部门开展的改革侧重于更好地将教育同就业结合起来，以便减少退学学生人数和改善就业机会。这些计划是由荷兰发展基金和地方政府基金资助的；</w:t>
      </w:r>
    </w:p>
    <w:p w:rsidR="00000000" w:rsidRDefault="00000000">
      <w:pPr>
        <w:pStyle w:val="a0"/>
        <w:tabs>
          <w:tab w:val="num" w:pos="1550"/>
        </w:tabs>
        <w:ind w:left="2588"/>
        <w:rPr>
          <w:rFonts w:hint="eastAsia"/>
          <w:snapToGrid/>
        </w:rPr>
      </w:pPr>
      <w:r>
        <w:rPr>
          <w:rFonts w:hint="eastAsia"/>
          <w:snapToGrid/>
        </w:rPr>
        <w:t>发展工作队：</w:t>
      </w:r>
      <w:r>
        <w:rPr>
          <w:rFonts w:hint="eastAsia"/>
          <w:snapToGrid/>
        </w:rPr>
        <w:t>2000</w:t>
      </w:r>
      <w:r>
        <w:rPr>
          <w:rFonts w:hint="eastAsia"/>
          <w:snapToGrid/>
        </w:rPr>
        <w:t>年</w:t>
      </w:r>
      <w:r>
        <w:rPr>
          <w:rFonts w:hint="eastAsia"/>
          <w:snapToGrid/>
        </w:rPr>
        <w:t>6</w:t>
      </w:r>
      <w:r>
        <w:rPr>
          <w:rFonts w:hint="eastAsia"/>
          <w:snapToGrid/>
        </w:rPr>
        <w:t>月</w:t>
      </w:r>
      <w:r>
        <w:rPr>
          <w:rFonts w:hint="eastAsia"/>
          <w:snapToGrid/>
        </w:rPr>
        <w:t>21</w:t>
      </w:r>
      <w:r>
        <w:rPr>
          <w:rFonts w:hint="eastAsia"/>
          <w:snapToGrid/>
        </w:rPr>
        <w:t>日，</w:t>
      </w:r>
      <w:r>
        <w:rPr>
          <w:snapToGrid/>
        </w:rPr>
        <w:t xml:space="preserve"> Curaçao</w:t>
      </w:r>
      <w:r>
        <w:rPr>
          <w:rFonts w:hint="eastAsia"/>
          <w:snapToGrid/>
        </w:rPr>
        <w:t>岛政府的执行理事会决定成立发展工作队委员会</w:t>
      </w:r>
      <w:r>
        <w:rPr>
          <w:rFonts w:hint="eastAsia"/>
          <w:snapToGrid/>
        </w:rPr>
        <w:t>(</w:t>
      </w:r>
      <w:r>
        <w:rPr>
          <w:rFonts w:hint="eastAsia"/>
          <w:snapToGrid/>
        </w:rPr>
        <w:t>第</w:t>
      </w:r>
      <w:r>
        <w:rPr>
          <w:rFonts w:hint="eastAsia"/>
          <w:snapToGrid/>
        </w:rPr>
        <w:t>2000/11888</w:t>
      </w:r>
      <w:r>
        <w:rPr>
          <w:rFonts w:hint="eastAsia"/>
          <w:snapToGrid/>
        </w:rPr>
        <w:t>号决定</w:t>
      </w:r>
      <w:r>
        <w:rPr>
          <w:rFonts w:hint="eastAsia"/>
          <w:snapToGrid/>
        </w:rPr>
        <w:t>)</w:t>
      </w:r>
      <w:r>
        <w:rPr>
          <w:rFonts w:hint="eastAsia"/>
          <w:snapToGrid/>
        </w:rPr>
        <w:t>，其任务是在</w:t>
      </w:r>
      <w:r>
        <w:rPr>
          <w:rFonts w:hint="eastAsia"/>
          <w:snapToGrid/>
        </w:rPr>
        <w:t>3</w:t>
      </w:r>
      <w:r>
        <w:rPr>
          <w:rFonts w:hint="eastAsia"/>
          <w:snapToGrid/>
        </w:rPr>
        <w:t>个月内拟定一项逐步实施的计划。通过一项国家法令</w:t>
      </w:r>
      <w:r>
        <w:rPr>
          <w:rFonts w:hint="eastAsia"/>
          <w:snapToGrid/>
        </w:rPr>
        <w:t>(</w:t>
      </w:r>
      <w:r>
        <w:rPr>
          <w:rFonts w:hint="eastAsia"/>
          <w:snapToGrid/>
        </w:rPr>
        <w:t>国家发展工作队法令</w:t>
      </w:r>
      <w:r>
        <w:rPr>
          <w:rFonts w:hint="eastAsia"/>
          <w:snapToGrid/>
        </w:rPr>
        <w:t>(PB 1998,</w:t>
      </w:r>
      <w:r>
        <w:rPr>
          <w:snapToGrid/>
        </w:rPr>
        <w:t xml:space="preserve"> No. 256</w:t>
      </w:r>
      <w:r>
        <w:rPr>
          <w:rFonts w:hint="eastAsia"/>
          <w:snapToGrid/>
        </w:rPr>
        <w:t>))</w:t>
      </w:r>
      <w:r>
        <w:rPr>
          <w:rFonts w:hint="eastAsia"/>
          <w:snapToGrid/>
        </w:rPr>
        <w:t>，于</w:t>
      </w:r>
      <w:r>
        <w:rPr>
          <w:rFonts w:hint="eastAsia"/>
          <w:snapToGrid/>
        </w:rPr>
        <w:t>1998</w:t>
      </w:r>
      <w:r>
        <w:rPr>
          <w:rFonts w:hint="eastAsia"/>
          <w:snapToGrid/>
        </w:rPr>
        <w:t>年成立了发展工作队理事会。发展工作队的目标是：“以住校形式接待、培训和监督处于不利地位的年轻人以及普通培训机构无法接纳的年轻人。要使得这些年轻人得以康复，并且通过使用</w:t>
      </w:r>
      <w:r>
        <w:rPr>
          <w:iCs/>
          <w:snapToGrid/>
        </w:rPr>
        <w:t>Glen</w:t>
      </w:r>
      <w:r>
        <w:rPr>
          <w:rFonts w:hint="eastAsia"/>
          <w:iCs/>
          <w:snapToGrid/>
        </w:rPr>
        <w:t xml:space="preserve"> </w:t>
      </w:r>
      <w:r>
        <w:rPr>
          <w:iCs/>
          <w:snapToGrid/>
        </w:rPr>
        <w:t>Mills</w:t>
      </w:r>
      <w:r>
        <w:rPr>
          <w:rFonts w:hint="eastAsia"/>
          <w:iCs/>
          <w:snapToGrid/>
        </w:rPr>
        <w:t>方法的发展工作队方案帮助他们获得职业资格。问题：经费尚未落实。”</w:t>
      </w:r>
    </w:p>
    <w:p w:rsidR="00000000" w:rsidRDefault="00000000">
      <w:pPr>
        <w:spacing w:after="320"/>
        <w:rPr>
          <w:rFonts w:hint="eastAsia"/>
          <w:snapToGrid/>
        </w:rPr>
      </w:pPr>
      <w:r>
        <w:rPr>
          <w:rFonts w:hint="eastAsia"/>
          <w:snapToGrid/>
        </w:rPr>
        <w:tab/>
        <w:t xml:space="preserve">89.  </w:t>
      </w:r>
      <w:r>
        <w:rPr>
          <w:snapToGrid/>
        </w:rPr>
        <w:t>Curaçao</w:t>
      </w:r>
      <w:r>
        <w:rPr>
          <w:rFonts w:hint="eastAsia"/>
          <w:snapToGrid/>
        </w:rPr>
        <w:t>岛政府的青年服务部于</w:t>
      </w:r>
      <w:r>
        <w:rPr>
          <w:rFonts w:hint="eastAsia"/>
          <w:snapToGrid/>
        </w:rPr>
        <w:t>1997</w:t>
      </w:r>
      <w:r>
        <w:rPr>
          <w:rFonts w:hint="eastAsia"/>
          <w:snapToGrid/>
        </w:rPr>
        <w:t>年编写了一份关于课外照料儿童的政策报告，试图以一种统一的方法解决这个问题。这个方法就是要同学校一起解决课外照料儿童的问题。该岛的执行理事会已经通过了这份报告。同年，</w:t>
      </w:r>
      <w:r>
        <w:rPr>
          <w:snapToGrid/>
        </w:rPr>
        <w:t>Curaçao</w:t>
      </w:r>
      <w:r>
        <w:rPr>
          <w:rFonts w:hint="eastAsia"/>
          <w:snapToGrid/>
        </w:rPr>
        <w:t>岛课外照料儿童基金会成立，其目的是要向参加这个项目的儿童提供信息和教育。这些信息和教育致力于儿童的社会和情感发展，从而推动他们的人格发展和自我实现。目前，已在</w:t>
      </w:r>
      <w:r>
        <w:rPr>
          <w:rFonts w:hint="eastAsia"/>
          <w:snapToGrid/>
        </w:rPr>
        <w:t>21</w:t>
      </w:r>
      <w:r>
        <w:rPr>
          <w:rFonts w:hint="eastAsia"/>
          <w:snapToGrid/>
        </w:rPr>
        <w:t>所小学、一所有学习障碍儿童的学校以及两所中学中开展课外照料儿童活动。</w:t>
      </w:r>
    </w:p>
    <w:p w:rsidR="00000000" w:rsidRDefault="00000000">
      <w:pPr>
        <w:pStyle w:val="Heading3"/>
        <w:rPr>
          <w:rFonts w:ascii="Time New Roman" w:eastAsia="SimHei" w:hAnsi="Time New Roman" w:hint="eastAsia"/>
          <w:kern w:val="0"/>
          <w:u w:val="none"/>
        </w:rPr>
      </w:pPr>
      <w:r>
        <w:rPr>
          <w:rFonts w:ascii="Time New Roman" w:eastAsia="SimHei" w:hAnsi="Time New Roman" w:hint="eastAsia"/>
          <w:kern w:val="0"/>
          <w:u w:val="none"/>
        </w:rPr>
        <w:t>第</w:t>
      </w:r>
      <w:r>
        <w:rPr>
          <w:rFonts w:ascii="Time New Roman" w:eastAsia="SimHei" w:hAnsi="Time New Roman" w:hint="eastAsia"/>
          <w:kern w:val="0"/>
          <w:u w:val="none"/>
        </w:rPr>
        <w:t xml:space="preserve"> </w:t>
      </w:r>
      <w:r>
        <w:rPr>
          <w:rFonts w:ascii="Time New Roman" w:eastAsia="SimHei" w:hAnsi="Time New Roman" w:hint="eastAsia"/>
          <w:kern w:val="0"/>
          <w:u w:val="none"/>
        </w:rPr>
        <w:t>十一</w:t>
      </w:r>
      <w:r>
        <w:rPr>
          <w:rFonts w:ascii="Time New Roman" w:eastAsia="SimHei" w:hAnsi="Time New Roman" w:hint="eastAsia"/>
          <w:kern w:val="0"/>
          <w:u w:val="none"/>
        </w:rPr>
        <w:t xml:space="preserve"> </w:t>
      </w:r>
      <w:r>
        <w:rPr>
          <w:rFonts w:ascii="Time New Roman" w:eastAsia="SimHei" w:hAnsi="Time New Roman" w:hint="eastAsia"/>
          <w:kern w:val="0"/>
          <w:u w:val="none"/>
        </w:rPr>
        <w:t>条</w:t>
      </w:r>
    </w:p>
    <w:p w:rsidR="00000000" w:rsidRDefault="00000000">
      <w:pPr>
        <w:rPr>
          <w:rFonts w:hint="eastAsia"/>
          <w:snapToGrid/>
        </w:rPr>
      </w:pPr>
      <w:r>
        <w:rPr>
          <w:rFonts w:hint="eastAsia"/>
          <w:snapToGrid/>
        </w:rPr>
        <w:tab/>
        <w:t xml:space="preserve">90.  </w:t>
      </w:r>
      <w:r>
        <w:rPr>
          <w:rFonts w:hint="eastAsia"/>
          <w:snapToGrid/>
        </w:rPr>
        <w:t>近年来，荷属安的列斯群岛政府不得不采取紧缩措施，以便整顿该国的财政。由于长期缺乏经费，政府无法在教育和培训、居民区的改善、住房以及体育等领域中充分履行自己的职责。</w:t>
      </w:r>
      <w:r>
        <w:rPr>
          <w:snapToGrid/>
        </w:rPr>
        <w:t>Komishon Akshon Sosial</w:t>
      </w:r>
      <w:r>
        <w:rPr>
          <w:rFonts w:hint="eastAsia"/>
          <w:snapToGrid/>
        </w:rPr>
        <w:t>委员会在其报告“开始工作：一项社会经济行动方案”中讨论了这些问题，并且建议采取一项双轨方案，以便解决或者至少缓解当时荷属安的列斯群岛正面临的严重的社会经济问题。</w:t>
      </w:r>
    </w:p>
    <w:p w:rsidR="00000000" w:rsidRDefault="00000000">
      <w:pPr>
        <w:rPr>
          <w:rFonts w:hint="eastAsia"/>
          <w:snapToGrid/>
        </w:rPr>
      </w:pPr>
      <w:r>
        <w:rPr>
          <w:rFonts w:hint="eastAsia"/>
          <w:snapToGrid/>
        </w:rPr>
        <w:tab/>
        <w:t xml:space="preserve">91.  </w:t>
      </w:r>
      <w:r>
        <w:rPr>
          <w:rFonts w:hint="eastAsia"/>
          <w:snapToGrid/>
        </w:rPr>
        <w:t>第一个轨道被称为紧急短期复苏计划，其目的是要解决在过去一些年中在许多领域中所积累下的问题。计划将包括拟订基础设施项目，以便改善道路和住房、改进学校、社区中心以及体育设施、更新教材和向学校提供援助。</w:t>
      </w:r>
    </w:p>
    <w:p w:rsidR="00000000" w:rsidRDefault="00000000">
      <w:pPr>
        <w:rPr>
          <w:rFonts w:hint="eastAsia"/>
          <w:snapToGrid/>
        </w:rPr>
      </w:pPr>
      <w:r>
        <w:rPr>
          <w:rFonts w:hint="eastAsia"/>
          <w:snapToGrid/>
        </w:rPr>
        <w:tab/>
        <w:t xml:space="preserve">92.  </w:t>
      </w:r>
      <w:r>
        <w:rPr>
          <w:rFonts w:hint="eastAsia"/>
          <w:snapToGrid/>
        </w:rPr>
        <w:t>除了资助儿童教育以及组织进修培训、再培训和复习班以外，这项紧急计划还将为第二条轨道</w:t>
      </w:r>
      <w:r>
        <w:rPr>
          <w:rFonts w:hint="eastAsia"/>
          <w:snapToGrid/>
        </w:rPr>
        <w:t>(</w:t>
      </w:r>
      <w:r>
        <w:rPr>
          <w:rFonts w:hint="eastAsia"/>
          <w:snapToGrid/>
        </w:rPr>
        <w:t>“结构性”计划</w:t>
      </w:r>
      <w:r>
        <w:rPr>
          <w:rFonts w:hint="eastAsia"/>
          <w:snapToGrid/>
        </w:rPr>
        <w:t>)</w:t>
      </w:r>
      <w:r>
        <w:rPr>
          <w:rFonts w:hint="eastAsia"/>
          <w:snapToGrid/>
        </w:rPr>
        <w:t>打下基础。其重点在于刺激经济增长和创造就业机会，以便使得经济更有活力和推动人民的自力更生。</w:t>
      </w:r>
    </w:p>
    <w:p w:rsidR="00000000" w:rsidRDefault="00000000">
      <w:pPr>
        <w:rPr>
          <w:rFonts w:hint="eastAsia"/>
          <w:snapToGrid/>
        </w:rPr>
      </w:pPr>
      <w:r>
        <w:rPr>
          <w:rFonts w:hint="eastAsia"/>
          <w:snapToGrid/>
        </w:rPr>
        <w:tab/>
        <w:t xml:space="preserve">93.  </w:t>
      </w:r>
      <w:r>
        <w:rPr>
          <w:rFonts w:hint="eastAsia"/>
          <w:snapToGrid/>
        </w:rPr>
        <w:t>为了实施这项双轨政策，于</w:t>
      </w:r>
      <w:r>
        <w:rPr>
          <w:rFonts w:hint="eastAsia"/>
          <w:snapToGrid/>
        </w:rPr>
        <w:t>1996</w:t>
      </w:r>
      <w:r>
        <w:rPr>
          <w:rFonts w:hint="eastAsia"/>
          <w:snapToGrid/>
        </w:rPr>
        <w:t>年成立了一个特别组织，</w:t>
      </w:r>
      <w:r>
        <w:rPr>
          <w:snapToGrid/>
        </w:rPr>
        <w:t xml:space="preserve">Reda Sosial, </w:t>
      </w:r>
      <w:r>
        <w:rPr>
          <w:rFonts w:hint="eastAsia"/>
          <w:snapToGrid/>
        </w:rPr>
        <w:t>也称之为社会发展和经济活动基金。政府机构以及非政府组织负责实施有关的各种项目。为了执行这个计划，为</w:t>
      </w:r>
      <w:r>
        <w:rPr>
          <w:snapToGrid/>
        </w:rPr>
        <w:t>Reda Sosial</w:t>
      </w:r>
      <w:r>
        <w:rPr>
          <w:rFonts w:hint="eastAsia"/>
          <w:snapToGrid/>
        </w:rPr>
        <w:t>拨出了大约</w:t>
      </w:r>
      <w:r>
        <w:rPr>
          <w:rFonts w:hint="eastAsia"/>
          <w:snapToGrid/>
        </w:rPr>
        <w:t>8,300</w:t>
      </w:r>
      <w:r>
        <w:rPr>
          <w:rFonts w:hint="eastAsia"/>
          <w:snapToGrid/>
        </w:rPr>
        <w:t>万盾的经费。</w:t>
      </w:r>
    </w:p>
    <w:p w:rsidR="00000000" w:rsidRDefault="00000000">
      <w:pPr>
        <w:rPr>
          <w:rFonts w:hint="eastAsia"/>
          <w:snapToGrid/>
        </w:rPr>
      </w:pPr>
      <w:r>
        <w:rPr>
          <w:rFonts w:hint="eastAsia"/>
          <w:snapToGrid/>
        </w:rPr>
        <w:tab/>
        <w:t xml:space="preserve">94.  </w:t>
      </w:r>
      <w:r>
        <w:rPr>
          <w:rFonts w:hint="eastAsia"/>
          <w:snapToGrid/>
        </w:rPr>
        <w:t>这项经费用于资助群岛上许多旨在改善住房和居民点、教育和培训、照料青年、老年人、残疾人以及吸毒者的项目；经费也用于旨在促进经济的一些项目。部分项目如下</w:t>
      </w:r>
      <w:r>
        <w:rPr>
          <w:rFonts w:hint="eastAsia"/>
          <w:snapToGrid/>
        </w:rPr>
        <w:t>(</w:t>
      </w:r>
      <w:r>
        <w:rPr>
          <w:rFonts w:hint="eastAsia"/>
          <w:snapToGrid/>
        </w:rPr>
        <w:t>其中一些项目目前仍在实施</w:t>
      </w:r>
      <w:r>
        <w:rPr>
          <w:rFonts w:hint="eastAsia"/>
          <w:snapToGrid/>
        </w:rPr>
        <w:t>)</w:t>
      </w:r>
      <w:r>
        <w:rPr>
          <w:rFonts w:hint="eastAsia"/>
          <w:snapToGrid/>
        </w:rPr>
        <w:t>：</w:t>
      </w:r>
    </w:p>
    <w:p w:rsidR="00000000" w:rsidRDefault="00000000">
      <w:pPr>
        <w:pStyle w:val="a0"/>
        <w:tabs>
          <w:tab w:val="num" w:pos="510"/>
          <w:tab w:val="num" w:pos="1550"/>
        </w:tabs>
        <w:ind w:left="1550"/>
        <w:rPr>
          <w:rFonts w:hint="eastAsia"/>
          <w:snapToGrid/>
        </w:rPr>
      </w:pPr>
      <w:r>
        <w:rPr>
          <w:rFonts w:hint="eastAsia"/>
          <w:snapToGrid/>
        </w:rPr>
        <w:t>大约</w:t>
      </w:r>
      <w:r>
        <w:rPr>
          <w:rFonts w:hint="eastAsia"/>
          <w:snapToGrid/>
        </w:rPr>
        <w:t>320</w:t>
      </w:r>
      <w:r>
        <w:rPr>
          <w:rFonts w:hint="eastAsia"/>
          <w:snapToGrid/>
        </w:rPr>
        <w:t>万盾用于房屋装修或者翻新</w:t>
      </w:r>
      <w:r>
        <w:rPr>
          <w:rFonts w:hint="eastAsia"/>
          <w:snapToGrid/>
        </w:rPr>
        <w:t>(</w:t>
      </w:r>
      <w:r>
        <w:rPr>
          <w:rFonts w:hint="eastAsia"/>
          <w:snapToGrid/>
        </w:rPr>
        <w:t>例如，安装适当的卫生设施</w:t>
      </w:r>
      <w:r>
        <w:rPr>
          <w:rFonts w:hint="eastAsia"/>
          <w:snapToGrid/>
        </w:rPr>
        <w:t>)</w:t>
      </w:r>
      <w:r>
        <w:rPr>
          <w:rFonts w:hint="eastAsia"/>
          <w:snapToGrid/>
        </w:rPr>
        <w:t>；</w:t>
      </w:r>
    </w:p>
    <w:p w:rsidR="00000000" w:rsidRDefault="00000000">
      <w:pPr>
        <w:pStyle w:val="a0"/>
        <w:tabs>
          <w:tab w:val="num" w:pos="510"/>
          <w:tab w:val="num" w:pos="1550"/>
        </w:tabs>
        <w:ind w:left="1550"/>
        <w:rPr>
          <w:rFonts w:hint="eastAsia"/>
          <w:snapToGrid/>
        </w:rPr>
      </w:pPr>
      <w:r>
        <w:rPr>
          <w:rFonts w:hint="eastAsia"/>
          <w:snapToGrid/>
        </w:rPr>
        <w:t>在关怀青年方面</w:t>
      </w:r>
      <w:r>
        <w:rPr>
          <w:rFonts w:hint="eastAsia"/>
          <w:snapToGrid/>
        </w:rPr>
        <w:t>(</w:t>
      </w:r>
      <w:r>
        <w:rPr>
          <w:rFonts w:hint="eastAsia"/>
          <w:snapToGrid/>
        </w:rPr>
        <w:t>有关设施包括</w:t>
      </w:r>
      <w:r>
        <w:rPr>
          <w:rFonts w:hint="eastAsia"/>
          <w:snapToGrid/>
        </w:rPr>
        <w:t>12</w:t>
      </w:r>
      <w:r>
        <w:rPr>
          <w:rFonts w:hint="eastAsia"/>
          <w:snapToGrid/>
        </w:rPr>
        <w:t>所用于童子军、其他青年工作或者托儿所的楼房</w:t>
      </w:r>
      <w:r>
        <w:rPr>
          <w:rFonts w:hint="eastAsia"/>
          <w:snapToGrid/>
        </w:rPr>
        <w:t>)</w:t>
      </w:r>
      <w:r>
        <w:rPr>
          <w:rFonts w:hint="eastAsia"/>
          <w:snapToGrid/>
        </w:rPr>
        <w:t>，向大约</w:t>
      </w:r>
      <w:r>
        <w:rPr>
          <w:rFonts w:hint="eastAsia"/>
          <w:snapToGrid/>
        </w:rPr>
        <w:t>60</w:t>
      </w:r>
      <w:r>
        <w:rPr>
          <w:rFonts w:hint="eastAsia"/>
          <w:snapToGrid/>
        </w:rPr>
        <w:t>个项目提供了资助；</w:t>
      </w:r>
    </w:p>
    <w:p w:rsidR="00000000" w:rsidRDefault="00000000">
      <w:pPr>
        <w:pStyle w:val="a0"/>
        <w:tabs>
          <w:tab w:val="num" w:pos="510"/>
          <w:tab w:val="num" w:pos="1550"/>
        </w:tabs>
        <w:ind w:left="1550"/>
        <w:rPr>
          <w:rFonts w:hint="eastAsia"/>
          <w:snapToGrid/>
        </w:rPr>
      </w:pPr>
      <w:r>
        <w:rPr>
          <w:rFonts w:hint="eastAsia"/>
          <w:snapToGrid/>
        </w:rPr>
        <w:t>居民区改进方案包括对大约</w:t>
      </w:r>
      <w:r>
        <w:rPr>
          <w:rFonts w:hint="eastAsia"/>
          <w:snapToGrid/>
        </w:rPr>
        <w:t>30</w:t>
      </w:r>
      <w:r>
        <w:rPr>
          <w:rFonts w:hint="eastAsia"/>
          <w:snapToGrid/>
        </w:rPr>
        <w:t>个体育设施和</w:t>
      </w:r>
      <w:r>
        <w:rPr>
          <w:rFonts w:hint="eastAsia"/>
          <w:snapToGrid/>
        </w:rPr>
        <w:t>35</w:t>
      </w:r>
      <w:r>
        <w:rPr>
          <w:rFonts w:hint="eastAsia"/>
          <w:snapToGrid/>
        </w:rPr>
        <w:t>个当地设施</w:t>
      </w:r>
      <w:r>
        <w:rPr>
          <w:rFonts w:hint="eastAsia"/>
          <w:snapToGrid/>
        </w:rPr>
        <w:t>(</w:t>
      </w:r>
      <w:r>
        <w:rPr>
          <w:rFonts w:hint="eastAsia"/>
          <w:snapToGrid/>
        </w:rPr>
        <w:t>社区中心、儿童诊所及其他</w:t>
      </w:r>
      <w:r>
        <w:rPr>
          <w:rFonts w:hint="eastAsia"/>
          <w:snapToGrid/>
        </w:rPr>
        <w:t>)</w:t>
      </w:r>
      <w:r>
        <w:rPr>
          <w:rFonts w:hint="eastAsia"/>
          <w:snapToGrid/>
        </w:rPr>
        <w:t>进行早在计划之中的维修；</w:t>
      </w:r>
    </w:p>
    <w:p w:rsidR="00000000" w:rsidRDefault="00000000">
      <w:pPr>
        <w:pStyle w:val="a0"/>
        <w:tabs>
          <w:tab w:val="num" w:pos="510"/>
          <w:tab w:val="num" w:pos="1550"/>
        </w:tabs>
        <w:ind w:left="1550"/>
        <w:rPr>
          <w:rFonts w:hint="eastAsia"/>
          <w:snapToGrid/>
        </w:rPr>
      </w:pPr>
      <w:r>
        <w:rPr>
          <w:rFonts w:hint="eastAsia"/>
          <w:snapToGrid/>
        </w:rPr>
        <w:t>大约</w:t>
      </w:r>
      <w:r>
        <w:rPr>
          <w:rFonts w:hint="eastAsia"/>
          <w:snapToGrid/>
        </w:rPr>
        <w:t>860</w:t>
      </w:r>
      <w:r>
        <w:rPr>
          <w:rFonts w:hint="eastAsia"/>
          <w:snapToGrid/>
        </w:rPr>
        <w:t>万盾用于诸如成年人教育、家长援助以及自愿者培训等非正规教育活动；</w:t>
      </w:r>
    </w:p>
    <w:p w:rsidR="00000000" w:rsidRDefault="00000000">
      <w:pPr>
        <w:pStyle w:val="a0"/>
        <w:tabs>
          <w:tab w:val="num" w:pos="510"/>
          <w:tab w:val="num" w:pos="1550"/>
        </w:tabs>
        <w:ind w:left="1550"/>
        <w:rPr>
          <w:rFonts w:hint="eastAsia"/>
          <w:snapToGrid/>
        </w:rPr>
      </w:pPr>
      <w:r>
        <w:rPr>
          <w:rFonts w:hint="eastAsia"/>
          <w:snapToGrid/>
        </w:rPr>
        <w:t>实施了大约</w:t>
      </w:r>
      <w:r>
        <w:rPr>
          <w:rFonts w:hint="eastAsia"/>
          <w:snapToGrid/>
        </w:rPr>
        <w:t>32</w:t>
      </w:r>
      <w:r>
        <w:rPr>
          <w:rFonts w:hint="eastAsia"/>
          <w:snapToGrid/>
        </w:rPr>
        <w:t>个经济发展项目，经费总额为</w:t>
      </w:r>
      <w:r>
        <w:rPr>
          <w:rFonts w:hint="eastAsia"/>
          <w:snapToGrid/>
        </w:rPr>
        <w:t>8,300</w:t>
      </w:r>
      <w:r>
        <w:rPr>
          <w:rFonts w:hint="eastAsia"/>
          <w:snapToGrid/>
        </w:rPr>
        <w:t>万盾，主要用于旅游业和小型企业的部门资助；</w:t>
      </w:r>
    </w:p>
    <w:p w:rsidR="00000000" w:rsidRDefault="00000000">
      <w:pPr>
        <w:pStyle w:val="a0"/>
        <w:tabs>
          <w:tab w:val="num" w:pos="510"/>
          <w:tab w:val="num" w:pos="1550"/>
        </w:tabs>
        <w:ind w:left="1550"/>
        <w:rPr>
          <w:rFonts w:hint="eastAsia"/>
          <w:snapToGrid/>
        </w:rPr>
      </w:pPr>
      <w:r>
        <w:rPr>
          <w:rFonts w:hint="eastAsia"/>
          <w:snapToGrid/>
        </w:rPr>
        <w:t>大约</w:t>
      </w:r>
      <w:r>
        <w:rPr>
          <w:rFonts w:hint="eastAsia"/>
          <w:snapToGrid/>
        </w:rPr>
        <w:t>1,900</w:t>
      </w:r>
      <w:r>
        <w:rPr>
          <w:rFonts w:hint="eastAsia"/>
          <w:snapToGrid/>
        </w:rPr>
        <w:t>万盾用于装修学校以及购买教具和教材；</w:t>
      </w:r>
    </w:p>
    <w:p w:rsidR="00000000" w:rsidRDefault="00000000">
      <w:pPr>
        <w:pStyle w:val="a0"/>
        <w:tabs>
          <w:tab w:val="num" w:pos="510"/>
          <w:tab w:val="num" w:pos="1550"/>
        </w:tabs>
        <w:ind w:left="1550"/>
        <w:rPr>
          <w:rFonts w:hint="eastAsia"/>
          <w:snapToGrid/>
        </w:rPr>
      </w:pPr>
      <w:r>
        <w:rPr>
          <w:rFonts w:hint="eastAsia"/>
          <w:snapToGrid/>
        </w:rPr>
        <w:t>大约</w:t>
      </w:r>
      <w:r>
        <w:rPr>
          <w:rFonts w:hint="eastAsia"/>
          <w:snapToGrid/>
        </w:rPr>
        <w:t>850</w:t>
      </w:r>
      <w:r>
        <w:rPr>
          <w:rFonts w:hint="eastAsia"/>
          <w:snapToGrid/>
        </w:rPr>
        <w:t>万盾用于医疗部门</w:t>
      </w:r>
      <w:r>
        <w:rPr>
          <w:rFonts w:hint="eastAsia"/>
          <w:snapToGrid/>
        </w:rPr>
        <w:t>(</w:t>
      </w:r>
      <w:r>
        <w:rPr>
          <w:rFonts w:hint="eastAsia"/>
          <w:snapToGrid/>
        </w:rPr>
        <w:t>为残疾人、吸毒者以及老人提供的医疗和护理服务</w:t>
      </w:r>
      <w:r>
        <w:rPr>
          <w:rFonts w:hint="eastAsia"/>
          <w:snapToGrid/>
        </w:rPr>
        <w:t>)</w:t>
      </w:r>
      <w:r>
        <w:rPr>
          <w:rFonts w:hint="eastAsia"/>
          <w:snapToGrid/>
        </w:rPr>
        <w:t>。</w:t>
      </w:r>
    </w:p>
    <w:p w:rsidR="00000000" w:rsidRDefault="00000000">
      <w:pPr>
        <w:pStyle w:val="a0"/>
        <w:numPr>
          <w:ilvl w:val="0"/>
          <w:numId w:val="0"/>
        </w:numPr>
        <w:spacing w:after="320"/>
        <w:rPr>
          <w:rFonts w:hint="eastAsia"/>
          <w:snapToGrid/>
        </w:rPr>
      </w:pPr>
      <w:r>
        <w:rPr>
          <w:rFonts w:hint="eastAsia"/>
          <w:snapToGrid/>
        </w:rPr>
        <w:tab/>
        <w:t xml:space="preserve">95.  </w:t>
      </w:r>
      <w:r>
        <w:rPr>
          <w:snapToGrid/>
        </w:rPr>
        <w:t xml:space="preserve">Reda Sosial </w:t>
      </w:r>
      <w:r>
        <w:rPr>
          <w:rFonts w:hint="eastAsia"/>
          <w:snapToGrid/>
        </w:rPr>
        <w:t>于</w:t>
      </w:r>
      <w:r>
        <w:rPr>
          <w:rFonts w:hint="eastAsia"/>
          <w:snapToGrid/>
        </w:rPr>
        <w:t>1998</w:t>
      </w:r>
      <w:r>
        <w:rPr>
          <w:rFonts w:hint="eastAsia"/>
          <w:snapToGrid/>
        </w:rPr>
        <w:t>年启动了一项研究项目，以便调查</w:t>
      </w:r>
      <w:r>
        <w:rPr>
          <w:snapToGrid/>
        </w:rPr>
        <w:t>Curaçao</w:t>
      </w:r>
      <w:r>
        <w:rPr>
          <w:rFonts w:hint="eastAsia"/>
          <w:snapToGrid/>
        </w:rPr>
        <w:t>岛</w:t>
      </w:r>
      <w:r>
        <w:rPr>
          <w:rFonts w:hint="eastAsia"/>
          <w:snapToGrid/>
        </w:rPr>
        <w:t>4</w:t>
      </w:r>
      <w:r>
        <w:rPr>
          <w:rFonts w:hint="eastAsia"/>
          <w:snapToGrid/>
        </w:rPr>
        <w:t>个区的贫困情况。调查结果于</w:t>
      </w:r>
      <w:r>
        <w:rPr>
          <w:rFonts w:hint="eastAsia"/>
          <w:snapToGrid/>
        </w:rPr>
        <w:t>1999</w:t>
      </w:r>
      <w:r>
        <w:rPr>
          <w:rFonts w:hint="eastAsia"/>
          <w:snapToGrid/>
        </w:rPr>
        <w:t>年发表在</w:t>
      </w:r>
      <w:r>
        <w:rPr>
          <w:snapToGrid/>
        </w:rPr>
        <w:t>“</w:t>
      </w:r>
      <w:r>
        <w:rPr>
          <w:i/>
          <w:iCs/>
          <w:snapToGrid/>
        </w:rPr>
        <w:t>Pobresa Ban atak’é”</w:t>
      </w:r>
      <w:r>
        <w:rPr>
          <w:rFonts w:hint="eastAsia"/>
          <w:i/>
          <w:iCs/>
          <w:snapToGrid/>
        </w:rPr>
        <w:t>，</w:t>
      </w:r>
      <w:r>
        <w:rPr>
          <w:rFonts w:hint="eastAsia"/>
          <w:snapToGrid/>
        </w:rPr>
        <w:t>并且被用作于</w:t>
      </w:r>
      <w:r>
        <w:rPr>
          <w:rFonts w:hint="eastAsia"/>
          <w:snapToGrid/>
        </w:rPr>
        <w:t>2000</w:t>
      </w:r>
      <w:r>
        <w:rPr>
          <w:rFonts w:hint="eastAsia"/>
          <w:snapToGrid/>
        </w:rPr>
        <w:t>年启动的新的减贫方案的基础。在</w:t>
      </w:r>
      <w:r>
        <w:rPr>
          <w:rFonts w:hint="eastAsia"/>
          <w:snapToGrid/>
        </w:rPr>
        <w:t>2003</w:t>
      </w:r>
      <w:r>
        <w:rPr>
          <w:rFonts w:hint="eastAsia"/>
          <w:snapToGrid/>
        </w:rPr>
        <w:t>年实施了一项新的贫困研究项目。</w:t>
      </w:r>
    </w:p>
    <w:p w:rsidR="00000000" w:rsidRDefault="00000000">
      <w:pPr>
        <w:pStyle w:val="Heading4"/>
        <w:spacing w:after="320"/>
        <w:rPr>
          <w:rFonts w:ascii="Time New Roman" w:eastAsia="SimHei" w:hAnsi="Time New Roman" w:hint="eastAsia"/>
          <w:u w:val="none"/>
        </w:rPr>
      </w:pPr>
      <w:r>
        <w:rPr>
          <w:rFonts w:ascii="Time New Roman" w:eastAsia="SimHei" w:hAnsi="Time New Roman" w:hint="eastAsia"/>
          <w:u w:val="none"/>
        </w:rPr>
        <w:t>住</w:t>
      </w:r>
      <w:r>
        <w:rPr>
          <w:rFonts w:ascii="Time New Roman" w:eastAsia="SimHei" w:hAnsi="Time New Roman" w:hint="eastAsia"/>
          <w:u w:val="none"/>
        </w:rPr>
        <w:t xml:space="preserve">  </w:t>
      </w:r>
      <w:r>
        <w:rPr>
          <w:rFonts w:ascii="Time New Roman" w:eastAsia="SimHei" w:hAnsi="Time New Roman" w:hint="eastAsia"/>
          <w:u w:val="none"/>
        </w:rPr>
        <w:t>房</w:t>
      </w:r>
    </w:p>
    <w:p w:rsidR="00000000" w:rsidRDefault="00000000">
      <w:pPr>
        <w:rPr>
          <w:rFonts w:hint="eastAsia"/>
          <w:snapToGrid/>
        </w:rPr>
      </w:pPr>
      <w:r>
        <w:rPr>
          <w:rFonts w:hint="eastAsia"/>
          <w:snapToGrid/>
        </w:rPr>
        <w:tab/>
        <w:t xml:space="preserve">96.  </w:t>
      </w:r>
      <w:r>
        <w:rPr>
          <w:rFonts w:hint="eastAsia"/>
          <w:snapToGrid/>
        </w:rPr>
        <w:t>尽管大规模移民</w:t>
      </w:r>
      <w:r>
        <w:rPr>
          <w:rFonts w:hint="eastAsia"/>
          <w:snapToGrid/>
        </w:rPr>
        <w:t>(1998</w:t>
      </w:r>
      <w:r>
        <w:rPr>
          <w:rFonts w:hint="eastAsia"/>
          <w:snapToGrid/>
        </w:rPr>
        <w:t>年为</w:t>
      </w:r>
      <w:r>
        <w:rPr>
          <w:rFonts w:hint="eastAsia"/>
          <w:snapToGrid/>
        </w:rPr>
        <w:t>1.1%</w:t>
      </w:r>
      <w:r>
        <w:rPr>
          <w:rFonts w:hint="eastAsia"/>
          <w:snapToGrid/>
        </w:rPr>
        <w:t>，是报告阶段的一个相当平均的数字</w:t>
      </w:r>
      <w:r>
        <w:rPr>
          <w:rFonts w:hint="eastAsia"/>
          <w:snapToGrid/>
        </w:rPr>
        <w:t>)</w:t>
      </w:r>
      <w:r>
        <w:rPr>
          <w:rFonts w:hint="eastAsia"/>
          <w:snapToGrid/>
        </w:rPr>
        <w:t>，住房的数目仍然在继续增加。根据在</w:t>
      </w:r>
      <w:r>
        <w:rPr>
          <w:rFonts w:hint="eastAsia"/>
          <w:snapToGrid/>
        </w:rPr>
        <w:t>2001</w:t>
      </w:r>
      <w:r>
        <w:rPr>
          <w:rFonts w:hint="eastAsia"/>
          <w:snapToGrid/>
        </w:rPr>
        <w:t>年</w:t>
      </w:r>
      <w:r>
        <w:rPr>
          <w:rFonts w:hint="eastAsia"/>
          <w:snapToGrid/>
        </w:rPr>
        <w:t>1</w:t>
      </w:r>
      <w:r>
        <w:rPr>
          <w:rFonts w:hint="eastAsia"/>
          <w:snapToGrid/>
        </w:rPr>
        <w:t>月底所进行的人口普查，</w:t>
      </w:r>
      <w:r>
        <w:rPr>
          <w:snapToGrid/>
        </w:rPr>
        <w:t xml:space="preserve"> Curaçao</w:t>
      </w:r>
      <w:r>
        <w:rPr>
          <w:rFonts w:hint="eastAsia"/>
          <w:snapToGrid/>
        </w:rPr>
        <w:t>岛拥有</w:t>
      </w:r>
      <w:r>
        <w:rPr>
          <w:rFonts w:hint="eastAsia"/>
          <w:snapToGrid/>
        </w:rPr>
        <w:t>51,000</w:t>
      </w:r>
      <w:r>
        <w:rPr>
          <w:rFonts w:hint="eastAsia"/>
          <w:snapToGrid/>
        </w:rPr>
        <w:t>所住房、</w:t>
      </w:r>
      <w:r>
        <w:rPr>
          <w:snapToGrid/>
        </w:rPr>
        <w:t>Bonaire</w:t>
      </w:r>
      <w:r>
        <w:rPr>
          <w:rFonts w:hint="eastAsia"/>
          <w:snapToGrid/>
        </w:rPr>
        <w:t>岛</w:t>
      </w:r>
      <w:r>
        <w:rPr>
          <w:snapToGrid/>
        </w:rPr>
        <w:t>4,000</w:t>
      </w:r>
      <w:r>
        <w:rPr>
          <w:rFonts w:hint="eastAsia"/>
          <w:snapToGrid/>
        </w:rPr>
        <w:t>所、</w:t>
      </w:r>
      <w:r>
        <w:rPr>
          <w:snapToGrid/>
        </w:rPr>
        <w:t>Sint</w:t>
      </w:r>
      <w:r>
        <w:rPr>
          <w:rFonts w:hint="eastAsia"/>
          <w:snapToGrid/>
        </w:rPr>
        <w:t xml:space="preserve"> </w:t>
      </w:r>
      <w:r>
        <w:rPr>
          <w:snapToGrid/>
        </w:rPr>
        <w:t>Maarten</w:t>
      </w:r>
      <w:r>
        <w:rPr>
          <w:rFonts w:hint="eastAsia"/>
          <w:snapToGrid/>
        </w:rPr>
        <w:t>岛</w:t>
      </w:r>
      <w:r>
        <w:rPr>
          <w:snapToGrid/>
        </w:rPr>
        <w:t>13,000</w:t>
      </w:r>
      <w:r>
        <w:rPr>
          <w:rFonts w:hint="eastAsia"/>
          <w:snapToGrid/>
        </w:rPr>
        <w:t>所、</w:t>
      </w:r>
      <w:r>
        <w:rPr>
          <w:snapToGrid/>
        </w:rPr>
        <w:t>Sint Eustatius</w:t>
      </w:r>
      <w:r>
        <w:rPr>
          <w:rFonts w:hint="eastAsia"/>
          <w:snapToGrid/>
        </w:rPr>
        <w:t>岛</w:t>
      </w:r>
      <w:r>
        <w:rPr>
          <w:snapToGrid/>
        </w:rPr>
        <w:t>873</w:t>
      </w:r>
      <w:r>
        <w:rPr>
          <w:rFonts w:hint="eastAsia"/>
          <w:snapToGrid/>
        </w:rPr>
        <w:t>所、</w:t>
      </w:r>
      <w:r>
        <w:rPr>
          <w:snapToGrid/>
        </w:rPr>
        <w:t>Saba</w:t>
      </w:r>
      <w:r>
        <w:rPr>
          <w:rFonts w:hint="eastAsia"/>
          <w:snapToGrid/>
        </w:rPr>
        <w:t>岛</w:t>
      </w:r>
      <w:r>
        <w:rPr>
          <w:rFonts w:hint="eastAsia"/>
          <w:snapToGrid/>
        </w:rPr>
        <w:t>564</w:t>
      </w:r>
      <w:r>
        <w:rPr>
          <w:rFonts w:hint="eastAsia"/>
          <w:snapToGrid/>
        </w:rPr>
        <w:t>所。</w:t>
      </w:r>
    </w:p>
    <w:p w:rsidR="00000000" w:rsidRDefault="00000000">
      <w:pPr>
        <w:rPr>
          <w:rFonts w:hint="eastAsia"/>
          <w:snapToGrid/>
        </w:rPr>
      </w:pPr>
      <w:r>
        <w:rPr>
          <w:rFonts w:hint="eastAsia"/>
          <w:snapToGrid/>
        </w:rPr>
        <w:tab/>
        <w:t xml:space="preserve">97.  </w:t>
      </w:r>
      <w:r>
        <w:rPr>
          <w:rFonts w:hint="eastAsia"/>
          <w:snapToGrid/>
        </w:rPr>
        <w:t>同以前几次普查相比，所有岛上住房的质量有所改进：</w:t>
      </w:r>
    </w:p>
    <w:tbl>
      <w:tblPr>
        <w:tblW w:w="0" w:type="auto"/>
        <w:tblInd w:w="1198" w:type="dxa"/>
        <w:tblCellMar>
          <w:left w:w="28" w:type="dxa"/>
          <w:right w:w="28" w:type="dxa"/>
        </w:tblCellMar>
        <w:tblLook w:val="0000" w:firstRow="0" w:lastRow="0" w:firstColumn="0" w:lastColumn="0" w:noHBand="0" w:noVBand="0"/>
      </w:tblPr>
      <w:tblGrid>
        <w:gridCol w:w="2218"/>
        <w:gridCol w:w="5994"/>
      </w:tblGrid>
      <w:tr w:rsidR="00000000">
        <w:tblPrEx>
          <w:tblCellMar>
            <w:top w:w="0" w:type="dxa"/>
            <w:bottom w:w="0" w:type="dxa"/>
          </w:tblCellMar>
        </w:tblPrEx>
        <w:tc>
          <w:tcPr>
            <w:tcW w:w="2218" w:type="dxa"/>
          </w:tcPr>
          <w:p w:rsidR="00000000" w:rsidRDefault="00000000">
            <w:pPr>
              <w:spacing w:after="120" w:line="288" w:lineRule="auto"/>
              <w:rPr>
                <w:rFonts w:hint="eastAsia"/>
                <w:snapToGrid/>
              </w:rPr>
            </w:pPr>
            <w:r>
              <w:rPr>
                <w:snapToGrid/>
              </w:rPr>
              <w:t>Curaçao</w:t>
            </w:r>
            <w:r>
              <w:rPr>
                <w:rFonts w:hint="eastAsia"/>
                <w:snapToGrid/>
              </w:rPr>
              <w:t>岛</w:t>
            </w:r>
          </w:p>
        </w:tc>
        <w:tc>
          <w:tcPr>
            <w:tcW w:w="5994" w:type="dxa"/>
          </w:tcPr>
          <w:p w:rsidR="00000000" w:rsidRDefault="00000000">
            <w:pPr>
              <w:spacing w:after="120" w:line="288" w:lineRule="auto"/>
              <w:rPr>
                <w:snapToGrid/>
              </w:rPr>
            </w:pPr>
            <w:r>
              <w:rPr>
                <w:snapToGrid/>
              </w:rPr>
              <w:t>93.4</w:t>
            </w:r>
            <w:r>
              <w:rPr>
                <w:rFonts w:hint="eastAsia"/>
                <w:snapToGrid/>
              </w:rPr>
              <w:t>%</w:t>
            </w:r>
            <w:r>
              <w:rPr>
                <w:rFonts w:hint="eastAsia"/>
                <w:snapToGrid/>
              </w:rPr>
              <w:t>的住房是令人满意的；</w:t>
            </w:r>
            <w:r>
              <w:rPr>
                <w:snapToGrid/>
              </w:rPr>
              <w:t>4.2</w:t>
            </w:r>
            <w:r>
              <w:rPr>
                <w:rFonts w:hint="eastAsia"/>
                <w:snapToGrid/>
              </w:rPr>
              <w:t>%</w:t>
            </w:r>
            <w:r>
              <w:rPr>
                <w:rFonts w:hint="eastAsia"/>
                <w:snapToGrid/>
              </w:rPr>
              <w:t>较差；</w:t>
            </w:r>
            <w:r>
              <w:rPr>
                <w:snapToGrid/>
              </w:rPr>
              <w:t>0.9</w:t>
            </w:r>
            <w:r>
              <w:rPr>
                <w:rFonts w:hint="eastAsia"/>
                <w:snapToGrid/>
              </w:rPr>
              <w:t>%</w:t>
            </w:r>
            <w:r>
              <w:rPr>
                <w:rFonts w:hint="eastAsia"/>
                <w:snapToGrid/>
              </w:rPr>
              <w:t>极差。</w:t>
            </w:r>
            <w:r>
              <w:rPr>
                <w:snapToGrid/>
              </w:rPr>
              <w:t>1992</w:t>
            </w:r>
            <w:r>
              <w:rPr>
                <w:rFonts w:hint="eastAsia"/>
                <w:snapToGrid/>
              </w:rPr>
              <w:t>年的相关百分比分别为</w:t>
            </w:r>
            <w:r>
              <w:rPr>
                <w:snapToGrid/>
              </w:rPr>
              <w:t>90.4</w:t>
            </w:r>
            <w:r>
              <w:rPr>
                <w:rFonts w:hint="eastAsia"/>
                <w:snapToGrid/>
              </w:rPr>
              <w:t>、</w:t>
            </w:r>
            <w:r>
              <w:rPr>
                <w:snapToGrid/>
              </w:rPr>
              <w:t>6.2</w:t>
            </w:r>
            <w:r>
              <w:rPr>
                <w:rFonts w:hint="eastAsia"/>
                <w:snapToGrid/>
              </w:rPr>
              <w:t>以及</w:t>
            </w:r>
            <w:r>
              <w:rPr>
                <w:snapToGrid/>
              </w:rPr>
              <w:t>2.1</w:t>
            </w:r>
            <w:r>
              <w:rPr>
                <w:snapToGrid/>
              </w:rPr>
              <w:t>；</w:t>
            </w:r>
          </w:p>
        </w:tc>
      </w:tr>
      <w:tr w:rsidR="00000000">
        <w:tblPrEx>
          <w:tblCellMar>
            <w:top w:w="0" w:type="dxa"/>
            <w:bottom w:w="0" w:type="dxa"/>
          </w:tblCellMar>
        </w:tblPrEx>
        <w:tc>
          <w:tcPr>
            <w:tcW w:w="2218" w:type="dxa"/>
          </w:tcPr>
          <w:p w:rsidR="00000000" w:rsidRDefault="00000000">
            <w:pPr>
              <w:spacing w:after="120" w:line="288" w:lineRule="auto"/>
              <w:rPr>
                <w:rFonts w:hint="eastAsia"/>
                <w:snapToGrid/>
              </w:rPr>
            </w:pPr>
            <w:r>
              <w:rPr>
                <w:snapToGrid/>
              </w:rPr>
              <w:t>Sint Maarten</w:t>
            </w:r>
            <w:r>
              <w:rPr>
                <w:rFonts w:hint="eastAsia"/>
                <w:snapToGrid/>
              </w:rPr>
              <w:t>岛</w:t>
            </w:r>
          </w:p>
        </w:tc>
        <w:tc>
          <w:tcPr>
            <w:tcW w:w="5994" w:type="dxa"/>
          </w:tcPr>
          <w:p w:rsidR="00000000" w:rsidRDefault="00000000">
            <w:pPr>
              <w:spacing w:after="120" w:line="288" w:lineRule="auto"/>
              <w:rPr>
                <w:snapToGrid/>
              </w:rPr>
            </w:pPr>
            <w:r>
              <w:rPr>
                <w:snapToGrid/>
              </w:rPr>
              <w:t>87</w:t>
            </w:r>
            <w:r>
              <w:rPr>
                <w:rFonts w:hint="eastAsia"/>
                <w:snapToGrid/>
              </w:rPr>
              <w:t>%</w:t>
            </w:r>
            <w:r>
              <w:rPr>
                <w:rFonts w:hint="eastAsia"/>
                <w:snapToGrid/>
              </w:rPr>
              <w:t>令人满意</w:t>
            </w:r>
            <w:r>
              <w:rPr>
                <w:snapToGrid/>
              </w:rPr>
              <w:t>(1992</w:t>
            </w:r>
            <w:r>
              <w:rPr>
                <w:rFonts w:hint="eastAsia"/>
                <w:snapToGrid/>
              </w:rPr>
              <w:t>年为</w:t>
            </w:r>
            <w:r>
              <w:rPr>
                <w:snapToGrid/>
              </w:rPr>
              <w:t>：</w:t>
            </w:r>
            <w:r>
              <w:rPr>
                <w:snapToGrid/>
              </w:rPr>
              <w:t>69</w:t>
            </w:r>
            <w:r>
              <w:rPr>
                <w:rFonts w:hint="eastAsia"/>
                <w:snapToGrid/>
              </w:rPr>
              <w:t>%</w:t>
            </w:r>
            <w:r>
              <w:rPr>
                <w:snapToGrid/>
              </w:rPr>
              <w:t>)</w:t>
            </w:r>
            <w:r>
              <w:rPr>
                <w:snapToGrid/>
              </w:rPr>
              <w:t>；</w:t>
            </w:r>
            <w:r>
              <w:rPr>
                <w:snapToGrid/>
              </w:rPr>
              <w:t>11</w:t>
            </w:r>
            <w:r>
              <w:rPr>
                <w:rFonts w:hint="eastAsia"/>
                <w:snapToGrid/>
              </w:rPr>
              <w:t>%</w:t>
            </w:r>
            <w:r>
              <w:rPr>
                <w:rFonts w:hint="eastAsia"/>
                <w:snapToGrid/>
              </w:rPr>
              <w:t>较差</w:t>
            </w:r>
            <w:r>
              <w:rPr>
                <w:snapToGrid/>
              </w:rPr>
              <w:t>(1992</w:t>
            </w:r>
            <w:r>
              <w:rPr>
                <w:rFonts w:hint="eastAsia"/>
                <w:snapToGrid/>
              </w:rPr>
              <w:t>年为</w:t>
            </w:r>
            <w:r>
              <w:rPr>
                <w:snapToGrid/>
              </w:rPr>
              <w:t>：</w:t>
            </w:r>
            <w:r>
              <w:rPr>
                <w:rFonts w:hint="eastAsia"/>
                <w:snapToGrid/>
              </w:rPr>
              <w:t>20%</w:t>
            </w:r>
            <w:r>
              <w:rPr>
                <w:snapToGrid/>
              </w:rPr>
              <w:t>)</w:t>
            </w:r>
            <w:r>
              <w:rPr>
                <w:snapToGrid/>
              </w:rPr>
              <w:t>；</w:t>
            </w:r>
            <w:r>
              <w:rPr>
                <w:snapToGrid/>
              </w:rPr>
              <w:t>2</w:t>
            </w:r>
            <w:r>
              <w:rPr>
                <w:rFonts w:hint="eastAsia"/>
                <w:snapToGrid/>
              </w:rPr>
              <w:t>%</w:t>
            </w:r>
            <w:r>
              <w:rPr>
                <w:rFonts w:hint="eastAsia"/>
                <w:snapToGrid/>
              </w:rPr>
              <w:t>极差</w:t>
            </w:r>
            <w:r>
              <w:rPr>
                <w:snapToGrid/>
              </w:rPr>
              <w:t>(1992</w:t>
            </w:r>
            <w:r>
              <w:rPr>
                <w:rFonts w:hint="eastAsia"/>
                <w:snapToGrid/>
              </w:rPr>
              <w:t>年为</w:t>
            </w:r>
            <w:r>
              <w:rPr>
                <w:snapToGrid/>
              </w:rPr>
              <w:t>：</w:t>
            </w:r>
            <w:r>
              <w:rPr>
                <w:snapToGrid/>
              </w:rPr>
              <w:t>11</w:t>
            </w:r>
            <w:r>
              <w:rPr>
                <w:rFonts w:hint="eastAsia"/>
                <w:snapToGrid/>
              </w:rPr>
              <w:t>%</w:t>
            </w:r>
            <w:r>
              <w:rPr>
                <w:snapToGrid/>
              </w:rPr>
              <w:t>)</w:t>
            </w:r>
            <w:r>
              <w:rPr>
                <w:snapToGrid/>
              </w:rPr>
              <w:t>；</w:t>
            </w:r>
          </w:p>
        </w:tc>
      </w:tr>
      <w:tr w:rsidR="00000000">
        <w:tblPrEx>
          <w:tblCellMar>
            <w:top w:w="0" w:type="dxa"/>
            <w:bottom w:w="0" w:type="dxa"/>
          </w:tblCellMar>
        </w:tblPrEx>
        <w:tc>
          <w:tcPr>
            <w:tcW w:w="2218" w:type="dxa"/>
          </w:tcPr>
          <w:p w:rsidR="00000000" w:rsidRDefault="00000000">
            <w:pPr>
              <w:spacing w:after="120" w:line="288" w:lineRule="auto"/>
              <w:rPr>
                <w:rFonts w:hint="eastAsia"/>
                <w:snapToGrid/>
              </w:rPr>
            </w:pPr>
            <w:r>
              <w:rPr>
                <w:snapToGrid/>
              </w:rPr>
              <w:t>Bonaire</w:t>
            </w:r>
            <w:r>
              <w:rPr>
                <w:rFonts w:hint="eastAsia"/>
                <w:snapToGrid/>
              </w:rPr>
              <w:t>岛</w:t>
            </w:r>
          </w:p>
        </w:tc>
        <w:tc>
          <w:tcPr>
            <w:tcW w:w="5994" w:type="dxa"/>
          </w:tcPr>
          <w:p w:rsidR="00000000" w:rsidRDefault="00000000">
            <w:pPr>
              <w:spacing w:after="120" w:line="288" w:lineRule="auto"/>
              <w:rPr>
                <w:snapToGrid/>
              </w:rPr>
            </w:pPr>
            <w:r>
              <w:rPr>
                <w:snapToGrid/>
              </w:rPr>
              <w:t>96</w:t>
            </w:r>
            <w:r>
              <w:rPr>
                <w:rFonts w:hint="eastAsia"/>
                <w:snapToGrid/>
              </w:rPr>
              <w:t>%</w:t>
            </w:r>
            <w:r>
              <w:rPr>
                <w:rFonts w:hint="eastAsia"/>
                <w:snapToGrid/>
              </w:rPr>
              <w:t>令人满意</w:t>
            </w:r>
            <w:r>
              <w:rPr>
                <w:snapToGrid/>
              </w:rPr>
              <w:t>(1992</w:t>
            </w:r>
            <w:r>
              <w:rPr>
                <w:rFonts w:hint="eastAsia"/>
                <w:snapToGrid/>
              </w:rPr>
              <w:t>年为：</w:t>
            </w:r>
            <w:r>
              <w:rPr>
                <w:snapToGrid/>
              </w:rPr>
              <w:t>94.4</w:t>
            </w:r>
            <w:r>
              <w:rPr>
                <w:rFonts w:hint="eastAsia"/>
                <w:snapToGrid/>
              </w:rPr>
              <w:t>%</w:t>
            </w:r>
            <w:r>
              <w:rPr>
                <w:snapToGrid/>
              </w:rPr>
              <w:t>)</w:t>
            </w:r>
            <w:r>
              <w:rPr>
                <w:snapToGrid/>
              </w:rPr>
              <w:t>；</w:t>
            </w:r>
            <w:r>
              <w:rPr>
                <w:snapToGrid/>
              </w:rPr>
              <w:t>3.5</w:t>
            </w:r>
            <w:r>
              <w:rPr>
                <w:rFonts w:hint="eastAsia"/>
                <w:snapToGrid/>
              </w:rPr>
              <w:t>%</w:t>
            </w:r>
            <w:r>
              <w:rPr>
                <w:rFonts w:hint="eastAsia"/>
                <w:snapToGrid/>
              </w:rPr>
              <w:t>较差</w:t>
            </w:r>
            <w:r>
              <w:rPr>
                <w:snapToGrid/>
              </w:rPr>
              <w:t>(1992</w:t>
            </w:r>
            <w:r>
              <w:rPr>
                <w:rFonts w:hint="eastAsia"/>
                <w:snapToGrid/>
              </w:rPr>
              <w:t>年为</w:t>
            </w:r>
            <w:r>
              <w:rPr>
                <w:snapToGrid/>
              </w:rPr>
              <w:t>：</w:t>
            </w:r>
            <w:r>
              <w:rPr>
                <w:snapToGrid/>
              </w:rPr>
              <w:t>4.6</w:t>
            </w:r>
            <w:r>
              <w:rPr>
                <w:rFonts w:hint="eastAsia"/>
                <w:snapToGrid/>
              </w:rPr>
              <w:t>%</w:t>
            </w:r>
            <w:r>
              <w:rPr>
                <w:snapToGrid/>
              </w:rPr>
              <w:t>)</w:t>
            </w:r>
            <w:r>
              <w:rPr>
                <w:snapToGrid/>
              </w:rPr>
              <w:t>；</w:t>
            </w:r>
            <w:r>
              <w:rPr>
                <w:snapToGrid/>
              </w:rPr>
              <w:t>0.5</w:t>
            </w:r>
            <w:r>
              <w:rPr>
                <w:rFonts w:hint="eastAsia"/>
                <w:snapToGrid/>
              </w:rPr>
              <w:t>%</w:t>
            </w:r>
            <w:r>
              <w:rPr>
                <w:rFonts w:hint="eastAsia"/>
                <w:snapToGrid/>
              </w:rPr>
              <w:t>极差</w:t>
            </w:r>
            <w:r>
              <w:rPr>
                <w:snapToGrid/>
              </w:rPr>
              <w:t>(1992</w:t>
            </w:r>
            <w:r>
              <w:rPr>
                <w:rFonts w:hint="eastAsia"/>
                <w:snapToGrid/>
              </w:rPr>
              <w:t>年为</w:t>
            </w:r>
            <w:r>
              <w:rPr>
                <w:snapToGrid/>
              </w:rPr>
              <w:t>：</w:t>
            </w:r>
            <w:r>
              <w:rPr>
                <w:rFonts w:hint="eastAsia"/>
                <w:snapToGrid/>
              </w:rPr>
              <w:t>1</w:t>
            </w:r>
            <w:r>
              <w:rPr>
                <w:snapToGrid/>
              </w:rPr>
              <w:t>%)</w:t>
            </w:r>
            <w:r>
              <w:rPr>
                <w:snapToGrid/>
              </w:rPr>
              <w:t>；</w:t>
            </w:r>
          </w:p>
        </w:tc>
      </w:tr>
      <w:tr w:rsidR="00000000">
        <w:tblPrEx>
          <w:tblCellMar>
            <w:top w:w="0" w:type="dxa"/>
            <w:bottom w:w="0" w:type="dxa"/>
          </w:tblCellMar>
        </w:tblPrEx>
        <w:tc>
          <w:tcPr>
            <w:tcW w:w="2218" w:type="dxa"/>
          </w:tcPr>
          <w:p w:rsidR="00000000" w:rsidRDefault="00000000">
            <w:pPr>
              <w:spacing w:after="120" w:line="288" w:lineRule="auto"/>
              <w:rPr>
                <w:rFonts w:hint="eastAsia"/>
                <w:snapToGrid/>
              </w:rPr>
            </w:pPr>
            <w:r>
              <w:rPr>
                <w:snapToGrid/>
              </w:rPr>
              <w:t>Sint Eustatius</w:t>
            </w:r>
            <w:r>
              <w:rPr>
                <w:rFonts w:hint="eastAsia"/>
                <w:snapToGrid/>
              </w:rPr>
              <w:t>岛</w:t>
            </w:r>
          </w:p>
        </w:tc>
        <w:tc>
          <w:tcPr>
            <w:tcW w:w="5994" w:type="dxa"/>
          </w:tcPr>
          <w:p w:rsidR="00000000" w:rsidRDefault="00000000">
            <w:pPr>
              <w:spacing w:after="120" w:line="288" w:lineRule="auto"/>
              <w:rPr>
                <w:snapToGrid/>
              </w:rPr>
            </w:pPr>
            <w:r>
              <w:rPr>
                <w:snapToGrid/>
              </w:rPr>
              <w:t>90</w:t>
            </w:r>
            <w:r>
              <w:rPr>
                <w:rFonts w:hint="eastAsia"/>
                <w:snapToGrid/>
              </w:rPr>
              <w:t>%</w:t>
            </w:r>
            <w:r>
              <w:rPr>
                <w:rFonts w:hint="eastAsia"/>
                <w:snapToGrid/>
              </w:rPr>
              <w:t>令人满意</w:t>
            </w:r>
            <w:r>
              <w:rPr>
                <w:snapToGrid/>
              </w:rPr>
              <w:t>(1992</w:t>
            </w:r>
            <w:r>
              <w:rPr>
                <w:rFonts w:hint="eastAsia"/>
                <w:snapToGrid/>
              </w:rPr>
              <w:t>年为</w:t>
            </w:r>
            <w:r>
              <w:rPr>
                <w:snapToGrid/>
              </w:rPr>
              <w:t>：</w:t>
            </w:r>
            <w:r>
              <w:rPr>
                <w:snapToGrid/>
              </w:rPr>
              <w:t>82</w:t>
            </w:r>
            <w:r>
              <w:rPr>
                <w:rFonts w:hint="eastAsia"/>
                <w:snapToGrid/>
              </w:rPr>
              <w:t>%</w:t>
            </w:r>
            <w:r>
              <w:rPr>
                <w:snapToGrid/>
              </w:rPr>
              <w:t>)</w:t>
            </w:r>
            <w:r>
              <w:rPr>
                <w:snapToGrid/>
              </w:rPr>
              <w:t>；</w:t>
            </w:r>
            <w:r>
              <w:rPr>
                <w:snapToGrid/>
              </w:rPr>
              <w:t>8</w:t>
            </w:r>
            <w:r>
              <w:rPr>
                <w:rFonts w:hint="eastAsia"/>
                <w:snapToGrid/>
              </w:rPr>
              <w:t>%</w:t>
            </w:r>
            <w:r>
              <w:rPr>
                <w:rFonts w:hint="eastAsia"/>
                <w:snapToGrid/>
              </w:rPr>
              <w:t>较差</w:t>
            </w:r>
            <w:r>
              <w:rPr>
                <w:snapToGrid/>
              </w:rPr>
              <w:t>(1992</w:t>
            </w:r>
            <w:r>
              <w:rPr>
                <w:rFonts w:hint="eastAsia"/>
                <w:snapToGrid/>
              </w:rPr>
              <w:t>年为</w:t>
            </w:r>
            <w:r>
              <w:rPr>
                <w:snapToGrid/>
              </w:rPr>
              <w:t>：</w:t>
            </w:r>
            <w:r>
              <w:rPr>
                <w:snapToGrid/>
              </w:rPr>
              <w:t>13</w:t>
            </w:r>
            <w:r>
              <w:rPr>
                <w:rFonts w:hint="eastAsia"/>
                <w:snapToGrid/>
              </w:rPr>
              <w:t>%</w:t>
            </w:r>
            <w:r>
              <w:rPr>
                <w:snapToGrid/>
              </w:rPr>
              <w:t>)</w:t>
            </w:r>
            <w:r>
              <w:rPr>
                <w:snapToGrid/>
              </w:rPr>
              <w:t>；</w:t>
            </w:r>
            <w:r>
              <w:rPr>
                <w:snapToGrid/>
              </w:rPr>
              <w:t>2%</w:t>
            </w:r>
            <w:r>
              <w:rPr>
                <w:rFonts w:hint="eastAsia"/>
                <w:snapToGrid/>
              </w:rPr>
              <w:t>极差</w:t>
            </w:r>
            <w:r>
              <w:rPr>
                <w:snapToGrid/>
              </w:rPr>
              <w:t>(1992</w:t>
            </w:r>
            <w:r>
              <w:rPr>
                <w:rFonts w:hint="eastAsia"/>
                <w:snapToGrid/>
              </w:rPr>
              <w:t>年为</w:t>
            </w:r>
            <w:r>
              <w:rPr>
                <w:snapToGrid/>
              </w:rPr>
              <w:t>：</w:t>
            </w:r>
            <w:r>
              <w:rPr>
                <w:snapToGrid/>
              </w:rPr>
              <w:t>5</w:t>
            </w:r>
            <w:r>
              <w:rPr>
                <w:rFonts w:hint="eastAsia"/>
                <w:snapToGrid/>
              </w:rPr>
              <w:t>%</w:t>
            </w:r>
            <w:r>
              <w:rPr>
                <w:snapToGrid/>
              </w:rPr>
              <w:t>)</w:t>
            </w:r>
            <w:r>
              <w:rPr>
                <w:snapToGrid/>
              </w:rPr>
              <w:t>；</w:t>
            </w:r>
          </w:p>
        </w:tc>
      </w:tr>
      <w:tr w:rsidR="00000000">
        <w:tblPrEx>
          <w:tblCellMar>
            <w:top w:w="0" w:type="dxa"/>
            <w:bottom w:w="0" w:type="dxa"/>
          </w:tblCellMar>
        </w:tblPrEx>
        <w:tc>
          <w:tcPr>
            <w:tcW w:w="2218" w:type="dxa"/>
          </w:tcPr>
          <w:p w:rsidR="00000000" w:rsidRDefault="00000000">
            <w:pPr>
              <w:spacing w:after="120" w:line="288" w:lineRule="auto"/>
              <w:rPr>
                <w:rFonts w:hint="eastAsia"/>
                <w:snapToGrid/>
              </w:rPr>
            </w:pPr>
            <w:r>
              <w:rPr>
                <w:snapToGrid/>
              </w:rPr>
              <w:t>Saba</w:t>
            </w:r>
            <w:r>
              <w:rPr>
                <w:rFonts w:hint="eastAsia"/>
                <w:snapToGrid/>
              </w:rPr>
              <w:t>岛</w:t>
            </w:r>
          </w:p>
        </w:tc>
        <w:tc>
          <w:tcPr>
            <w:tcW w:w="5994" w:type="dxa"/>
          </w:tcPr>
          <w:p w:rsidR="00000000" w:rsidRDefault="00000000">
            <w:pPr>
              <w:pStyle w:val="Header"/>
              <w:spacing w:after="120" w:line="288" w:lineRule="auto"/>
              <w:rPr>
                <w:rFonts w:ascii="Times New Roman" w:hAnsi="Times New Roman" w:hint="eastAsia"/>
                <w:snapToGrid/>
                <w:sz w:val="24"/>
              </w:rPr>
            </w:pPr>
            <w:r>
              <w:rPr>
                <w:rFonts w:ascii="Times New Roman" w:hAnsi="Times New Roman"/>
                <w:snapToGrid/>
                <w:sz w:val="24"/>
              </w:rPr>
              <w:t>95</w:t>
            </w:r>
            <w:r>
              <w:rPr>
                <w:rFonts w:ascii="Times New Roman" w:hAnsi="Times New Roman" w:hint="eastAsia"/>
                <w:snapToGrid/>
                <w:sz w:val="24"/>
              </w:rPr>
              <w:t>%</w:t>
            </w:r>
            <w:r>
              <w:rPr>
                <w:rFonts w:ascii="Times New Roman" w:hAnsi="Times New Roman" w:hint="eastAsia"/>
                <w:snapToGrid/>
                <w:sz w:val="24"/>
              </w:rPr>
              <w:t>令人满意</w:t>
            </w:r>
            <w:r>
              <w:rPr>
                <w:rFonts w:ascii="Times New Roman" w:hAnsi="Times New Roman"/>
                <w:snapToGrid/>
                <w:sz w:val="24"/>
              </w:rPr>
              <w:t>(1992</w:t>
            </w:r>
            <w:r>
              <w:rPr>
                <w:rFonts w:ascii="Times New Roman" w:hAnsi="Times New Roman" w:hint="eastAsia"/>
                <w:snapToGrid/>
                <w:sz w:val="24"/>
              </w:rPr>
              <w:t>年为</w:t>
            </w:r>
            <w:r>
              <w:rPr>
                <w:rFonts w:ascii="Times New Roman" w:hAnsi="Times New Roman"/>
                <w:snapToGrid/>
                <w:sz w:val="24"/>
              </w:rPr>
              <w:t>：</w:t>
            </w:r>
            <w:r>
              <w:rPr>
                <w:rFonts w:ascii="Times New Roman" w:hAnsi="Times New Roman"/>
                <w:snapToGrid/>
                <w:sz w:val="24"/>
              </w:rPr>
              <w:t>89</w:t>
            </w:r>
            <w:r>
              <w:rPr>
                <w:rFonts w:ascii="Times New Roman" w:hAnsi="Times New Roman" w:hint="eastAsia"/>
                <w:snapToGrid/>
                <w:sz w:val="24"/>
              </w:rPr>
              <w:t>%</w:t>
            </w:r>
            <w:r>
              <w:rPr>
                <w:rFonts w:ascii="Times New Roman" w:hAnsi="Times New Roman"/>
                <w:snapToGrid/>
                <w:sz w:val="24"/>
              </w:rPr>
              <w:t>)</w:t>
            </w:r>
            <w:r>
              <w:rPr>
                <w:rFonts w:ascii="Times New Roman" w:hAnsi="Times New Roman"/>
                <w:snapToGrid/>
                <w:sz w:val="24"/>
              </w:rPr>
              <w:t>；</w:t>
            </w:r>
            <w:r>
              <w:rPr>
                <w:rFonts w:ascii="Times New Roman" w:hAnsi="Times New Roman"/>
                <w:snapToGrid/>
                <w:sz w:val="24"/>
              </w:rPr>
              <w:t>4</w:t>
            </w:r>
            <w:r>
              <w:rPr>
                <w:rFonts w:ascii="Times New Roman" w:hAnsi="Times New Roman" w:hint="eastAsia"/>
                <w:snapToGrid/>
                <w:sz w:val="24"/>
              </w:rPr>
              <w:t>%</w:t>
            </w:r>
            <w:r>
              <w:rPr>
                <w:rFonts w:ascii="Times New Roman" w:hAnsi="Times New Roman" w:hint="eastAsia"/>
                <w:snapToGrid/>
                <w:sz w:val="24"/>
              </w:rPr>
              <w:t>较差</w:t>
            </w:r>
            <w:r>
              <w:rPr>
                <w:rFonts w:ascii="Times New Roman" w:hAnsi="Times New Roman"/>
                <w:snapToGrid/>
                <w:sz w:val="24"/>
              </w:rPr>
              <w:t>(1992</w:t>
            </w:r>
            <w:r>
              <w:rPr>
                <w:rFonts w:ascii="Times New Roman" w:hAnsi="Times New Roman" w:hint="eastAsia"/>
                <w:snapToGrid/>
                <w:sz w:val="24"/>
              </w:rPr>
              <w:t>年为</w:t>
            </w:r>
            <w:r>
              <w:rPr>
                <w:rFonts w:ascii="Times New Roman" w:hAnsi="Times New Roman"/>
                <w:snapToGrid/>
                <w:sz w:val="24"/>
              </w:rPr>
              <w:t>：</w:t>
            </w:r>
            <w:r>
              <w:rPr>
                <w:rFonts w:ascii="Times New Roman" w:hAnsi="Times New Roman"/>
                <w:snapToGrid/>
                <w:sz w:val="24"/>
              </w:rPr>
              <w:t>8</w:t>
            </w:r>
            <w:r>
              <w:rPr>
                <w:rFonts w:ascii="Times New Roman" w:hAnsi="Times New Roman" w:hint="eastAsia"/>
                <w:snapToGrid/>
                <w:sz w:val="24"/>
              </w:rPr>
              <w:t>%</w:t>
            </w:r>
            <w:r>
              <w:rPr>
                <w:rFonts w:ascii="Times New Roman" w:hAnsi="Times New Roman"/>
                <w:snapToGrid/>
                <w:sz w:val="24"/>
              </w:rPr>
              <w:t>)</w:t>
            </w:r>
            <w:r>
              <w:rPr>
                <w:rFonts w:ascii="Times New Roman" w:hAnsi="Times New Roman"/>
                <w:snapToGrid/>
                <w:sz w:val="24"/>
              </w:rPr>
              <w:t>；</w:t>
            </w:r>
            <w:r>
              <w:rPr>
                <w:rFonts w:ascii="Times New Roman" w:hAnsi="Times New Roman"/>
                <w:snapToGrid/>
                <w:sz w:val="24"/>
              </w:rPr>
              <w:t>1</w:t>
            </w:r>
            <w:r>
              <w:rPr>
                <w:rFonts w:ascii="Times New Roman" w:hAnsi="Times New Roman" w:hint="eastAsia"/>
                <w:snapToGrid/>
                <w:sz w:val="24"/>
              </w:rPr>
              <w:t>%</w:t>
            </w:r>
            <w:r>
              <w:rPr>
                <w:rFonts w:ascii="Times New Roman" w:hAnsi="Times New Roman" w:hint="eastAsia"/>
                <w:snapToGrid/>
                <w:sz w:val="24"/>
              </w:rPr>
              <w:t>极差</w:t>
            </w:r>
            <w:r>
              <w:rPr>
                <w:rFonts w:ascii="Times New Roman" w:hAnsi="Times New Roman"/>
                <w:snapToGrid/>
                <w:sz w:val="24"/>
              </w:rPr>
              <w:t>(1992</w:t>
            </w:r>
            <w:r>
              <w:rPr>
                <w:rFonts w:ascii="Times New Roman" w:hAnsi="Times New Roman" w:hint="eastAsia"/>
                <w:snapToGrid/>
                <w:sz w:val="24"/>
              </w:rPr>
              <w:t>年为</w:t>
            </w:r>
            <w:r>
              <w:rPr>
                <w:rFonts w:ascii="Times New Roman" w:hAnsi="Times New Roman"/>
                <w:snapToGrid/>
                <w:sz w:val="24"/>
              </w:rPr>
              <w:t>：</w:t>
            </w:r>
            <w:r>
              <w:rPr>
                <w:rFonts w:ascii="Times New Roman" w:hAnsi="Times New Roman"/>
                <w:snapToGrid/>
                <w:sz w:val="24"/>
              </w:rPr>
              <w:t>3</w:t>
            </w:r>
            <w:r>
              <w:rPr>
                <w:rFonts w:ascii="Times New Roman" w:hAnsi="Times New Roman" w:hint="eastAsia"/>
                <w:snapToGrid/>
                <w:sz w:val="24"/>
              </w:rPr>
              <w:t>%</w:t>
            </w:r>
            <w:r>
              <w:rPr>
                <w:rFonts w:ascii="Times New Roman" w:hAnsi="Times New Roman"/>
                <w:snapToGrid/>
                <w:sz w:val="24"/>
              </w:rPr>
              <w:t>)</w:t>
            </w:r>
            <w:r>
              <w:rPr>
                <w:rFonts w:ascii="Times New Roman" w:hAnsi="Times New Roman" w:hint="eastAsia"/>
                <w:snapToGrid/>
                <w:sz w:val="24"/>
              </w:rPr>
              <w:t>。</w:t>
            </w:r>
          </w:p>
        </w:tc>
      </w:tr>
    </w:tbl>
    <w:p w:rsidR="00000000" w:rsidRDefault="00000000">
      <w:pPr>
        <w:rPr>
          <w:rFonts w:hint="eastAsia"/>
          <w:snapToGrid/>
        </w:rPr>
      </w:pPr>
      <w:r>
        <w:rPr>
          <w:rFonts w:hint="eastAsia"/>
          <w:snapToGrid/>
        </w:rPr>
        <w:tab/>
        <w:t xml:space="preserve">98.  </w:t>
      </w:r>
      <w:r>
        <w:rPr>
          <w:rFonts w:hint="eastAsia"/>
          <w:snapToGrid/>
        </w:rPr>
        <w:t>除了住房改善以外，家庭设施的数量和质量也都有所提高。目前，所有岛上都成立了住房协会，所有这些协会都附属于一个伞式组织。</w:t>
      </w:r>
    </w:p>
    <w:p w:rsidR="00000000" w:rsidRDefault="00000000">
      <w:pPr>
        <w:rPr>
          <w:rFonts w:hint="eastAsia"/>
          <w:snapToGrid/>
        </w:rPr>
      </w:pPr>
      <w:r>
        <w:rPr>
          <w:rFonts w:hint="eastAsia"/>
          <w:snapToGrid/>
        </w:rPr>
        <w:tab/>
        <w:t xml:space="preserve">99.  </w:t>
      </w:r>
      <w:r>
        <w:rPr>
          <w:rFonts w:hint="eastAsia"/>
          <w:snapToGrid/>
        </w:rPr>
        <w:t>鉴于人口老化，</w:t>
      </w:r>
      <w:r>
        <w:rPr>
          <w:snapToGrid/>
        </w:rPr>
        <w:t>Curaçao</w:t>
      </w:r>
      <w:r>
        <w:rPr>
          <w:rFonts w:hint="eastAsia"/>
          <w:snapToGrid/>
        </w:rPr>
        <w:t>岛特别注意老年人住房。其他的少数人群体，例如：身体和精神残疾者、归国移民以及住房市场的新主顾，也都受到重视。</w:t>
      </w:r>
    </w:p>
    <w:p w:rsidR="00000000" w:rsidRDefault="00000000">
      <w:pPr>
        <w:rPr>
          <w:rFonts w:hint="eastAsia"/>
          <w:snapToGrid/>
        </w:rPr>
      </w:pPr>
      <w:r>
        <w:rPr>
          <w:rFonts w:hint="eastAsia"/>
          <w:snapToGrid/>
        </w:rPr>
        <w:tab/>
        <w:t xml:space="preserve">100.  </w:t>
      </w:r>
      <w:r>
        <w:rPr>
          <w:rFonts w:hint="eastAsia"/>
          <w:snapToGrid/>
        </w:rPr>
        <w:t>为了刺激新住宅的建设，已经拟订了一些激励措施：</w:t>
      </w:r>
    </w:p>
    <w:p w:rsidR="00000000" w:rsidRDefault="00000000">
      <w:pPr>
        <w:pStyle w:val="a0"/>
        <w:tabs>
          <w:tab w:val="num" w:pos="510"/>
          <w:tab w:val="num" w:pos="1550"/>
        </w:tabs>
        <w:ind w:left="1550"/>
        <w:rPr>
          <w:rFonts w:hint="eastAsia"/>
          <w:snapToGrid/>
        </w:rPr>
      </w:pPr>
      <w:r>
        <w:rPr>
          <w:rFonts w:hint="eastAsia"/>
          <w:snapToGrid/>
        </w:rPr>
        <w:t>设立了一项保证基金；</w:t>
      </w:r>
    </w:p>
    <w:p w:rsidR="00000000" w:rsidRDefault="00000000">
      <w:pPr>
        <w:pStyle w:val="a0"/>
        <w:tabs>
          <w:tab w:val="num" w:pos="510"/>
          <w:tab w:val="num" w:pos="1550"/>
        </w:tabs>
        <w:ind w:left="1550"/>
        <w:rPr>
          <w:rFonts w:hint="eastAsia"/>
          <w:snapToGrid/>
        </w:rPr>
      </w:pPr>
      <w:r>
        <w:rPr>
          <w:rFonts w:hint="eastAsia"/>
          <w:snapToGrid/>
        </w:rPr>
        <w:t>建立了公司伙伴关系，由群岛提供土地，而私人伙伴则将土地分成小块并且建造住房；</w:t>
      </w:r>
    </w:p>
    <w:p w:rsidR="00000000" w:rsidRDefault="00000000">
      <w:pPr>
        <w:pStyle w:val="a0"/>
        <w:tabs>
          <w:tab w:val="num" w:pos="510"/>
          <w:tab w:val="num" w:pos="1550"/>
        </w:tabs>
        <w:ind w:left="1550"/>
        <w:rPr>
          <w:rFonts w:hint="eastAsia"/>
          <w:snapToGrid/>
        </w:rPr>
      </w:pPr>
      <w:r>
        <w:rPr>
          <w:rFonts w:hint="eastAsia"/>
          <w:snapToGrid/>
        </w:rPr>
        <w:t>通过了一项废除土地税的方案；</w:t>
      </w:r>
    </w:p>
    <w:p w:rsidR="00000000" w:rsidRDefault="00000000">
      <w:pPr>
        <w:pStyle w:val="a0"/>
        <w:tabs>
          <w:tab w:val="num" w:pos="510"/>
          <w:tab w:val="num" w:pos="1550"/>
        </w:tabs>
        <w:ind w:left="1550"/>
        <w:rPr>
          <w:rFonts w:hint="eastAsia"/>
          <w:snapToGrid/>
        </w:rPr>
      </w:pPr>
      <w:r>
        <w:rPr>
          <w:rFonts w:hint="eastAsia"/>
          <w:snapToGrid/>
        </w:rPr>
        <w:t>在计算所得税时不再记录业主的虚拟房租收入；</w:t>
      </w:r>
    </w:p>
    <w:p w:rsidR="00000000" w:rsidRDefault="00000000">
      <w:pPr>
        <w:pStyle w:val="a0"/>
        <w:tabs>
          <w:tab w:val="num" w:pos="510"/>
          <w:tab w:val="num" w:pos="1550"/>
        </w:tabs>
        <w:ind w:left="1550"/>
        <w:rPr>
          <w:rFonts w:hint="eastAsia"/>
          <w:snapToGrid/>
          <w:spacing w:val="6"/>
        </w:rPr>
      </w:pPr>
      <w:r>
        <w:rPr>
          <w:rFonts w:hint="eastAsia"/>
          <w:snapToGrid/>
          <w:spacing w:val="6"/>
        </w:rPr>
        <w:t>作出特别努力在处于不利地位的地区建设急需的基础设施和公用事业。</w:t>
      </w:r>
    </w:p>
    <w:p w:rsidR="00000000" w:rsidRDefault="00000000">
      <w:pPr>
        <w:spacing w:after="240"/>
        <w:rPr>
          <w:rFonts w:hint="eastAsia"/>
          <w:snapToGrid/>
        </w:rPr>
      </w:pPr>
      <w:r>
        <w:rPr>
          <w:rFonts w:hint="eastAsia"/>
          <w:snapToGrid/>
        </w:rPr>
        <w:tab/>
        <w:t xml:space="preserve">101.  </w:t>
      </w:r>
      <w:r>
        <w:rPr>
          <w:rFonts w:hint="eastAsia"/>
          <w:snapToGrid/>
        </w:rPr>
        <w:t>上述数字和激励措施使人们得出结论：应当正确看待安的列斯群岛的住房紧缺问题。尽管如此，在</w:t>
      </w:r>
      <w:r>
        <w:rPr>
          <w:rFonts w:hint="eastAsia"/>
          <w:snapToGrid/>
        </w:rPr>
        <w:t>2001</w:t>
      </w:r>
      <w:r>
        <w:rPr>
          <w:rFonts w:hint="eastAsia"/>
          <w:snapToGrid/>
        </w:rPr>
        <w:t>年年底在</w:t>
      </w:r>
      <w:r>
        <w:rPr>
          <w:snapToGrid/>
        </w:rPr>
        <w:t>Curaçao</w:t>
      </w:r>
      <w:r>
        <w:rPr>
          <w:rFonts w:hint="eastAsia"/>
          <w:snapToGrid/>
        </w:rPr>
        <w:t>岛上仍然有</w:t>
      </w:r>
      <w:r>
        <w:rPr>
          <w:rFonts w:hint="eastAsia"/>
          <w:snapToGrid/>
        </w:rPr>
        <w:t>6,400</w:t>
      </w:r>
      <w:r>
        <w:rPr>
          <w:rFonts w:hint="eastAsia"/>
          <w:snapToGrid/>
        </w:rPr>
        <w:t>人登记申请公屋。其中</w:t>
      </w:r>
      <w:r>
        <w:rPr>
          <w:rFonts w:hint="eastAsia"/>
          <w:snapToGrid/>
        </w:rPr>
        <w:t>30%</w:t>
      </w:r>
      <w:r>
        <w:rPr>
          <w:rFonts w:hint="eastAsia"/>
          <w:snapToGrid/>
        </w:rPr>
        <w:t>的人已经等待公屋达</w:t>
      </w:r>
      <w:r>
        <w:rPr>
          <w:rFonts w:hint="eastAsia"/>
          <w:snapToGrid/>
        </w:rPr>
        <w:t>10</w:t>
      </w:r>
      <w:r>
        <w:rPr>
          <w:rFonts w:hint="eastAsia"/>
          <w:snapToGrid/>
        </w:rPr>
        <w:t>年以上。在满足住房需求方面的最大问题是缺乏住房发展资金。</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发展合作部</w:t>
      </w:r>
    </w:p>
    <w:p w:rsidR="00000000" w:rsidRDefault="00000000">
      <w:pPr>
        <w:rPr>
          <w:rFonts w:hint="eastAsia"/>
          <w:snapToGrid/>
        </w:rPr>
      </w:pPr>
      <w:r>
        <w:rPr>
          <w:rFonts w:hint="eastAsia"/>
          <w:snapToGrid/>
        </w:rPr>
        <w:tab/>
        <w:t xml:space="preserve">102.  </w:t>
      </w:r>
      <w:r>
        <w:rPr>
          <w:rFonts w:hint="eastAsia"/>
          <w:snapToGrid/>
        </w:rPr>
        <w:t>发展合作部负责协调荷属安的列斯群岛的发展政策。其核心任务如下：</w:t>
      </w:r>
    </w:p>
    <w:p w:rsidR="00000000" w:rsidRDefault="00000000">
      <w:pPr>
        <w:ind w:left="1040"/>
        <w:rPr>
          <w:rFonts w:hint="eastAsia"/>
          <w:snapToGrid/>
        </w:rPr>
      </w:pPr>
      <w:r>
        <w:rPr>
          <w:rFonts w:hint="eastAsia"/>
          <w:snapToGrid/>
        </w:rPr>
        <w:tab/>
        <w:t xml:space="preserve">1.  </w:t>
      </w:r>
      <w:r>
        <w:rPr>
          <w:rFonts w:hint="eastAsia"/>
          <w:snapToGrid/>
        </w:rPr>
        <w:t>为了荷属安的列斯群岛的整体发展以及同一些捐助者的具体发展合作，发展、制订以及实施国家政策文件，其中包括预算文件。</w:t>
      </w:r>
    </w:p>
    <w:p w:rsidR="00000000" w:rsidRDefault="00000000">
      <w:pPr>
        <w:pStyle w:val="ae"/>
        <w:rPr>
          <w:rFonts w:hint="eastAsia"/>
        </w:rPr>
      </w:pPr>
      <w:r>
        <w:t xml:space="preserve">2.  </w:t>
      </w:r>
      <w:r>
        <w:rPr>
          <w:rFonts w:hint="eastAsia"/>
        </w:rPr>
        <w:t>开展和指导有关活动，制订更多更好的有关发展合作的政策。</w:t>
      </w:r>
    </w:p>
    <w:p w:rsidR="00000000" w:rsidRDefault="00000000">
      <w:pPr>
        <w:pStyle w:val="ae"/>
        <w:rPr>
          <w:rFonts w:hint="eastAsia"/>
        </w:rPr>
      </w:pPr>
      <w:r>
        <w:rPr>
          <w:rFonts w:hint="eastAsia"/>
        </w:rPr>
        <w:t xml:space="preserve">3.  </w:t>
      </w:r>
      <w:r>
        <w:rPr>
          <w:rFonts w:hint="eastAsia"/>
        </w:rPr>
        <w:t>协调、制订、实施、监测以及评估综合性的国家发展项目。</w:t>
      </w:r>
    </w:p>
    <w:p w:rsidR="00000000" w:rsidRDefault="00000000">
      <w:pPr>
        <w:pStyle w:val="ae"/>
        <w:rPr>
          <w:rFonts w:hint="eastAsia"/>
        </w:rPr>
      </w:pPr>
      <w:r>
        <w:rPr>
          <w:rFonts w:hint="eastAsia"/>
        </w:rPr>
        <w:t xml:space="preserve">4.  </w:t>
      </w:r>
      <w:r>
        <w:rPr>
          <w:rFonts w:hint="eastAsia"/>
        </w:rPr>
        <w:t>就拟订、筹资、实施、监测以及评估国家和地区的发展方案和项目向行政机关以及其他部门提供咨询和援助。</w:t>
      </w:r>
    </w:p>
    <w:p w:rsidR="00000000" w:rsidRDefault="00000000">
      <w:pPr>
        <w:pStyle w:val="ae"/>
        <w:rPr>
          <w:rFonts w:hint="eastAsia"/>
        </w:rPr>
      </w:pPr>
      <w:r>
        <w:rPr>
          <w:rFonts w:hint="eastAsia"/>
        </w:rPr>
        <w:t xml:space="preserve">5.  </w:t>
      </w:r>
      <w:r>
        <w:rPr>
          <w:rFonts w:hint="eastAsia"/>
        </w:rPr>
        <w:t>代表荷属安的列斯群岛政府同双边和多边的发展伙伴协商有关事宜。</w:t>
      </w:r>
    </w:p>
    <w:p w:rsidR="00000000" w:rsidRDefault="00000000">
      <w:pPr>
        <w:rPr>
          <w:rFonts w:hint="eastAsia"/>
        </w:rPr>
      </w:pPr>
      <w:r>
        <w:rPr>
          <w:rFonts w:hint="eastAsia"/>
        </w:rPr>
        <w:tab/>
        <w:t xml:space="preserve">103.  </w:t>
      </w:r>
      <w:r>
        <w:rPr>
          <w:rFonts w:hint="eastAsia"/>
        </w:rPr>
        <w:t>荷属安的列斯群岛的大多数援助来自荷兰以及欧洲联盟，援助的形式为项目和方案。它还接受联合国开发计划署的技术援助。</w:t>
      </w:r>
    </w:p>
    <w:p w:rsidR="00000000" w:rsidRDefault="00000000">
      <w:pPr>
        <w:widowControl w:val="0"/>
        <w:rPr>
          <w:rFonts w:hint="eastAsia"/>
        </w:rPr>
      </w:pPr>
      <w:r>
        <w:rPr>
          <w:rFonts w:hint="eastAsia"/>
        </w:rPr>
        <w:tab/>
        <w:t xml:space="preserve">104.  </w:t>
      </w:r>
      <w:r>
        <w:rPr>
          <w:rFonts w:hint="eastAsia"/>
        </w:rPr>
        <w:t>除了同欧盟和开发署的关系之外，荷属安的列斯群岛还在泛美卫生组织等国际组织中享有观察员地位，同时它还是拉丁美洲和加勒比经济委员会</w:t>
      </w:r>
      <w:r>
        <w:rPr>
          <w:rFonts w:hint="eastAsia"/>
        </w:rPr>
        <w:t>(</w:t>
      </w:r>
      <w:r>
        <w:rPr>
          <w:rFonts w:hint="eastAsia"/>
        </w:rPr>
        <w:t>拉加经委会</w:t>
      </w:r>
      <w:r>
        <w:rPr>
          <w:rFonts w:hint="eastAsia"/>
        </w:rPr>
        <w:t>)</w:t>
      </w:r>
      <w:r>
        <w:rPr>
          <w:rFonts w:hint="eastAsia"/>
        </w:rPr>
        <w:t>以及世界旅游组织的准成员。</w:t>
      </w:r>
    </w:p>
    <w:p w:rsidR="00000000" w:rsidRDefault="00000000">
      <w:pPr>
        <w:rPr>
          <w:rFonts w:hint="eastAsia"/>
        </w:rPr>
      </w:pPr>
      <w:r>
        <w:rPr>
          <w:rFonts w:hint="eastAsia"/>
        </w:rPr>
        <w:tab/>
        <w:t xml:space="preserve">105.  </w:t>
      </w:r>
      <w:r>
        <w:rPr>
          <w:rFonts w:hint="eastAsia"/>
        </w:rPr>
        <w:t>荷属安的列斯群岛同荷兰的发展合作形式是为各个部门的项目筹资。从</w:t>
      </w:r>
      <w:r>
        <w:rPr>
          <w:rFonts w:hint="eastAsia"/>
        </w:rPr>
        <w:t>1999</w:t>
      </w:r>
      <w:r>
        <w:rPr>
          <w:rFonts w:hint="eastAsia"/>
        </w:rPr>
        <w:t>年以来，这种发展合作的依据是政策文件“合作的将来”，并且侧重于以下一些部门：</w:t>
      </w:r>
    </w:p>
    <w:p w:rsidR="00000000" w:rsidRDefault="00000000">
      <w:pPr>
        <w:numPr>
          <w:ilvl w:val="0"/>
          <w:numId w:val="146"/>
        </w:numPr>
        <w:rPr>
          <w:rFonts w:hint="eastAsia"/>
        </w:rPr>
      </w:pPr>
      <w:r>
        <w:rPr>
          <w:rFonts w:hint="eastAsia"/>
        </w:rPr>
        <w:t>教育；</w:t>
      </w:r>
    </w:p>
    <w:p w:rsidR="00000000" w:rsidRDefault="00000000">
      <w:pPr>
        <w:numPr>
          <w:ilvl w:val="0"/>
          <w:numId w:val="146"/>
        </w:numPr>
        <w:rPr>
          <w:rFonts w:hint="eastAsia"/>
        </w:rPr>
      </w:pPr>
      <w:r>
        <w:rPr>
          <w:rFonts w:hint="eastAsia"/>
        </w:rPr>
        <w:t>良好管制；</w:t>
      </w:r>
    </w:p>
    <w:p w:rsidR="00000000" w:rsidRDefault="00000000">
      <w:pPr>
        <w:numPr>
          <w:ilvl w:val="0"/>
          <w:numId w:val="146"/>
        </w:numPr>
        <w:rPr>
          <w:rFonts w:hint="eastAsia"/>
        </w:rPr>
      </w:pPr>
      <w:r>
        <w:rPr>
          <w:rFonts w:hint="eastAsia"/>
        </w:rPr>
        <w:t>可持续经济发展；</w:t>
      </w:r>
    </w:p>
    <w:p w:rsidR="00000000" w:rsidRDefault="00000000">
      <w:pPr>
        <w:numPr>
          <w:ilvl w:val="0"/>
          <w:numId w:val="146"/>
        </w:numPr>
        <w:rPr>
          <w:rFonts w:hint="eastAsia"/>
        </w:rPr>
      </w:pPr>
      <w:r>
        <w:rPr>
          <w:rFonts w:hint="eastAsia"/>
        </w:rPr>
        <w:t>法律和秩序。</w:t>
      </w:r>
    </w:p>
    <w:p w:rsidR="00000000" w:rsidRDefault="00000000">
      <w:pPr>
        <w:rPr>
          <w:rFonts w:hint="eastAsia"/>
        </w:rPr>
      </w:pPr>
      <w:r>
        <w:rPr>
          <w:rFonts w:hint="eastAsia"/>
        </w:rPr>
        <w:tab/>
        <w:t xml:space="preserve">106.  </w:t>
      </w:r>
      <w:r>
        <w:rPr>
          <w:rFonts w:hint="eastAsia"/>
        </w:rPr>
        <w:t>这些部门被视为加强荷属安的列斯群岛自治和自力更生的关键。荷属安的列斯群岛政府认为，除了这些关键领域以外，在这两个王国伙伴的发展关系中</w:t>
      </w:r>
      <w:r>
        <w:t>，</w:t>
      </w:r>
      <w:r>
        <w:rPr>
          <w:rFonts w:hint="eastAsia"/>
        </w:rPr>
        <w:t>卫生部门和社会部门也是应该特别重视的。</w:t>
      </w:r>
    </w:p>
    <w:p w:rsidR="00000000" w:rsidRDefault="00000000">
      <w:pPr>
        <w:rPr>
          <w:rFonts w:hint="eastAsia"/>
        </w:rPr>
      </w:pPr>
      <w:r>
        <w:rPr>
          <w:rFonts w:hint="eastAsia"/>
        </w:rPr>
        <w:tab/>
        <w:t xml:space="preserve">107.  </w:t>
      </w:r>
      <w:r>
        <w:rPr>
          <w:rFonts w:hint="eastAsia"/>
        </w:rPr>
        <w:t>除了上述部门以外，荷兰政府和荷属安的列斯群岛政府已经商定为荷属安的列斯群岛的非政府组织所发起的项目保留经费。为此目的</w:t>
      </w:r>
      <w:r>
        <w:t>，</w:t>
      </w:r>
      <w:r>
        <w:rPr>
          <w:rFonts w:hint="eastAsia"/>
        </w:rPr>
        <w:t>于</w:t>
      </w:r>
      <w:r>
        <w:rPr>
          <w:rFonts w:hint="eastAsia"/>
        </w:rPr>
        <w:t>2003</w:t>
      </w:r>
      <w:r>
        <w:rPr>
          <w:rFonts w:hint="eastAsia"/>
        </w:rPr>
        <w:t>年设立了荷属安的列斯群岛共同供资组织。</w:t>
      </w:r>
    </w:p>
    <w:p w:rsidR="00000000" w:rsidRDefault="00000000">
      <w:pPr>
        <w:rPr>
          <w:rFonts w:hint="eastAsia"/>
          <w:spacing w:val="6"/>
        </w:rPr>
      </w:pPr>
      <w:r>
        <w:rPr>
          <w:rFonts w:hint="eastAsia"/>
        </w:rPr>
        <w:tab/>
        <w:t xml:space="preserve">108.  </w:t>
      </w:r>
      <w:r>
        <w:rPr>
          <w:rFonts w:hint="eastAsia"/>
          <w:spacing w:val="6"/>
        </w:rPr>
        <w:t>目前已有计划逐步实现由项目供资向方案供资过渡，其核心是多年的合作方案，所有方案都在上文所述的优先政策部门实施。这将导致建立一种以专业精神、平等和客观为基础的发展关系，从此捐助方对于执行细节的不必要的干预将不复存在。</w:t>
      </w:r>
    </w:p>
    <w:p w:rsidR="00000000" w:rsidRDefault="00000000">
      <w:pPr>
        <w:rPr>
          <w:rFonts w:hint="eastAsia"/>
        </w:rPr>
      </w:pPr>
      <w:r>
        <w:rPr>
          <w:rFonts w:hint="eastAsia"/>
        </w:rPr>
        <w:tab/>
        <w:t xml:space="preserve">109.  </w:t>
      </w:r>
      <w:r>
        <w:rPr>
          <w:rFonts w:hint="eastAsia"/>
        </w:rPr>
        <w:t>荷兰政府和荷属安的列斯群岛政府已经商定将发展活动供资方面的决策权由荷兰转给荷属安的列斯群岛。在这一方面，由两国政府代表组成的</w:t>
      </w:r>
      <w:r>
        <w:t>Wijers</w:t>
      </w:r>
      <w:r>
        <w:rPr>
          <w:rFonts w:hint="eastAsia"/>
        </w:rPr>
        <w:t>委员会在</w:t>
      </w:r>
      <w:r>
        <w:rPr>
          <w:rFonts w:hint="eastAsia"/>
        </w:rPr>
        <w:t>2002</w:t>
      </w:r>
      <w:r>
        <w:rPr>
          <w:rFonts w:hint="eastAsia"/>
        </w:rPr>
        <w:t>年编写了题为“新的框架，新的机会”的报告。这份报告就设立新的发展基金提出了建议。</w:t>
      </w:r>
    </w:p>
    <w:p w:rsidR="00000000" w:rsidRDefault="00000000">
      <w:pPr>
        <w:rPr>
          <w:rFonts w:hint="eastAsia"/>
        </w:rPr>
      </w:pPr>
      <w:r>
        <w:rPr>
          <w:rFonts w:hint="eastAsia"/>
        </w:rPr>
        <w:tab/>
        <w:t xml:space="preserve">110.  </w:t>
      </w:r>
      <w:r>
        <w:rPr>
          <w:rFonts w:hint="eastAsia"/>
        </w:rPr>
        <w:t>这种发展基金将侧重于根据群岛政府</w:t>
      </w:r>
      <w:r>
        <w:rPr>
          <w:rFonts w:hint="eastAsia"/>
        </w:rPr>
        <w:t>(</w:t>
      </w:r>
      <w:r>
        <w:rPr>
          <w:rFonts w:hint="eastAsia"/>
        </w:rPr>
        <w:t>自下而上的方法</w:t>
      </w:r>
      <w:r>
        <w:rPr>
          <w:rFonts w:hint="eastAsia"/>
        </w:rPr>
        <w:t>)</w:t>
      </w:r>
      <w:r>
        <w:rPr>
          <w:rFonts w:hint="eastAsia"/>
        </w:rPr>
        <w:t>和中央政府的发展政策而拟订的多年性的方案。将尽可能防止官僚主义，并将基金非政治化。此外，政策制定</w:t>
      </w:r>
      <w:r>
        <w:rPr>
          <w:rFonts w:hint="eastAsia"/>
        </w:rPr>
        <w:t>(</w:t>
      </w:r>
      <w:r>
        <w:rPr>
          <w:rFonts w:hint="eastAsia"/>
        </w:rPr>
        <w:t>政策周期</w:t>
      </w:r>
      <w:r>
        <w:rPr>
          <w:rFonts w:hint="eastAsia"/>
        </w:rPr>
        <w:t>)</w:t>
      </w:r>
      <w:r>
        <w:rPr>
          <w:rFonts w:hint="eastAsia"/>
        </w:rPr>
        <w:t>将同政策实施</w:t>
      </w:r>
      <w:r>
        <w:rPr>
          <w:rFonts w:hint="eastAsia"/>
        </w:rPr>
        <w:t>(</w:t>
      </w:r>
      <w:r>
        <w:rPr>
          <w:rFonts w:hint="eastAsia"/>
        </w:rPr>
        <w:t>项目周期</w:t>
      </w:r>
      <w:r>
        <w:rPr>
          <w:rFonts w:hint="eastAsia"/>
        </w:rPr>
        <w:t>)</w:t>
      </w:r>
      <w:r>
        <w:rPr>
          <w:rFonts w:hint="eastAsia"/>
        </w:rPr>
        <w:t>明确分开。</w:t>
      </w:r>
    </w:p>
    <w:p w:rsidR="00000000" w:rsidRDefault="00000000">
      <w:pPr>
        <w:spacing w:after="240"/>
        <w:rPr>
          <w:rFonts w:hint="eastAsia"/>
        </w:rPr>
      </w:pPr>
      <w:r>
        <w:rPr>
          <w:rFonts w:hint="eastAsia"/>
        </w:rPr>
        <w:tab/>
        <w:t xml:space="preserve">111.  </w:t>
      </w:r>
      <w:r>
        <w:rPr>
          <w:rFonts w:hint="eastAsia"/>
        </w:rPr>
        <w:t>将设立一个由荷兰政府和荷属安的列斯群岛政府的代表组成的混合委员会，以便执行</w:t>
      </w:r>
      <w:r>
        <w:t>Wijers</w:t>
      </w:r>
      <w:r>
        <w:rPr>
          <w:rFonts w:hint="eastAsia"/>
        </w:rPr>
        <w:t>委员会报告所提出的建议。人们希望，这种发展基金将于</w:t>
      </w:r>
      <w:r>
        <w:rPr>
          <w:rFonts w:hint="eastAsia"/>
        </w:rPr>
        <w:t>2004</w:t>
      </w:r>
      <w:r>
        <w:rPr>
          <w:rFonts w:hint="eastAsia"/>
        </w:rPr>
        <w:t>年投入使用。</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荷属安的列斯群岛同欧洲联盟之间的合作</w:t>
      </w:r>
    </w:p>
    <w:p w:rsidR="00000000" w:rsidRDefault="00000000">
      <w:pPr>
        <w:widowControl w:val="0"/>
        <w:rPr>
          <w:rFonts w:hint="eastAsia"/>
        </w:rPr>
      </w:pPr>
      <w:r>
        <w:rPr>
          <w:rFonts w:hint="eastAsia"/>
        </w:rPr>
        <w:tab/>
        <w:t xml:space="preserve">112.  </w:t>
      </w:r>
      <w:r>
        <w:rPr>
          <w:rFonts w:hint="eastAsia"/>
        </w:rPr>
        <w:t>荷属安的列斯群岛同欧盟之间的财政和技术合作的依据是“联盟决定”，该决定是根据《</w:t>
      </w:r>
      <w:r>
        <w:rPr>
          <w:rFonts w:hint="eastAsia"/>
        </w:rPr>
        <w:t>1957</w:t>
      </w:r>
      <w:r>
        <w:rPr>
          <w:rFonts w:hint="eastAsia"/>
        </w:rPr>
        <w:t>年罗马条约》作出的。毫无疑问，这种合作是荷属安的列斯群岛的社会和经济发展的关键。</w:t>
      </w:r>
    </w:p>
    <w:p w:rsidR="00000000" w:rsidRDefault="00000000">
      <w:pPr>
        <w:rPr>
          <w:rFonts w:hint="eastAsia"/>
        </w:rPr>
      </w:pPr>
      <w:r>
        <w:rPr>
          <w:rFonts w:hint="eastAsia"/>
        </w:rPr>
        <w:tab/>
        <w:t xml:space="preserve">113.  </w:t>
      </w:r>
      <w:r>
        <w:rPr>
          <w:rFonts w:hint="eastAsia"/>
        </w:rPr>
        <w:t>从</w:t>
      </w:r>
      <w:r>
        <w:rPr>
          <w:rFonts w:hint="eastAsia"/>
        </w:rPr>
        <w:t>1964</w:t>
      </w:r>
      <w:r>
        <w:rPr>
          <w:rFonts w:hint="eastAsia"/>
        </w:rPr>
        <w:t>年以来，</w:t>
      </w:r>
      <w:r>
        <w:rPr>
          <w:rFonts w:hint="eastAsia"/>
        </w:rPr>
        <w:t xml:space="preserve"> </w:t>
      </w:r>
      <w:r>
        <w:rPr>
          <w:rFonts w:hint="eastAsia"/>
        </w:rPr>
        <w:t>荷属安的列斯群岛就一直是欧盟的准成员。为实现“联盟决定”的目标而必须使用的两个工具是：贸易合作以及财政和技术合作。</w:t>
      </w:r>
    </w:p>
    <w:p w:rsidR="00000000" w:rsidRDefault="00000000">
      <w:pPr>
        <w:rPr>
          <w:rFonts w:hint="eastAsia"/>
        </w:rPr>
      </w:pPr>
      <w:r>
        <w:rPr>
          <w:rFonts w:hint="eastAsia"/>
        </w:rPr>
        <w:tab/>
        <w:t xml:space="preserve">114.  </w:t>
      </w:r>
      <w:r>
        <w:rPr>
          <w:rFonts w:hint="eastAsia"/>
        </w:rPr>
        <w:t>目前正在实施三项欧洲开发基金</w:t>
      </w:r>
      <w:r>
        <w:rPr>
          <w:rFonts w:hint="eastAsia"/>
        </w:rPr>
        <w:t>(</w:t>
      </w:r>
      <w:r>
        <w:rPr>
          <w:rFonts w:hint="eastAsia"/>
        </w:rPr>
        <w:t>欧洲基金</w:t>
      </w:r>
      <w:r>
        <w:rPr>
          <w:rFonts w:hint="eastAsia"/>
        </w:rPr>
        <w:t>)</w:t>
      </w:r>
      <w:r>
        <w:rPr>
          <w:rFonts w:hint="eastAsia"/>
        </w:rPr>
        <w:t>。第六次欧洲基金用于</w:t>
      </w:r>
      <w:r>
        <w:rPr>
          <w:rFonts w:hint="eastAsia"/>
        </w:rPr>
        <w:t>1985</w:t>
      </w:r>
      <w:r>
        <w:rPr>
          <w:rFonts w:hint="eastAsia"/>
        </w:rPr>
        <w:t>年至</w:t>
      </w:r>
      <w:r>
        <w:rPr>
          <w:rFonts w:hint="eastAsia"/>
        </w:rPr>
        <w:t>1990</w:t>
      </w:r>
      <w:r>
        <w:rPr>
          <w:rFonts w:hint="eastAsia"/>
        </w:rPr>
        <w:t>年阶段，目前已经关闭，其结余资金已经转到第九次欧洲基金。最新的协定是《洛美协定》，所涉阶段为</w:t>
      </w:r>
      <w:r>
        <w:rPr>
          <w:rFonts w:hint="eastAsia"/>
        </w:rPr>
        <w:t>1990</w:t>
      </w:r>
      <w:r>
        <w:rPr>
          <w:rFonts w:hint="eastAsia"/>
        </w:rPr>
        <w:t>年至</w:t>
      </w:r>
      <w:r>
        <w:rPr>
          <w:rFonts w:hint="eastAsia"/>
        </w:rPr>
        <w:t>2000</w:t>
      </w:r>
      <w:r>
        <w:rPr>
          <w:rFonts w:hint="eastAsia"/>
        </w:rPr>
        <w:t>年。第七次欧洲基金用于支付理事会决定头五年的经费。拨给荷属安的列斯群岛的第七次欧洲基金的金额为</w:t>
      </w:r>
      <w:r>
        <w:rPr>
          <w:rFonts w:hint="eastAsia"/>
        </w:rPr>
        <w:t>22,725,000</w:t>
      </w:r>
      <w:r>
        <w:rPr>
          <w:rFonts w:hint="eastAsia"/>
        </w:rPr>
        <w:t>欧元</w:t>
      </w:r>
      <w:r>
        <w:rPr>
          <w:rFonts w:hint="eastAsia"/>
        </w:rPr>
        <w:t>(</w:t>
      </w:r>
      <w:r>
        <w:rPr>
          <w:rFonts w:hint="eastAsia"/>
        </w:rPr>
        <w:t>不计转帐</w:t>
      </w:r>
      <w:r>
        <w:rPr>
          <w:rFonts w:hint="eastAsia"/>
        </w:rPr>
        <w:t>)</w:t>
      </w:r>
      <w:r>
        <w:rPr>
          <w:rFonts w:hint="eastAsia"/>
        </w:rPr>
        <w:t>。理事会决定后五年的经费由第八次欧洲基金支付，其财务安排的金额为</w:t>
      </w:r>
      <w:r>
        <w:rPr>
          <w:rFonts w:hint="eastAsia"/>
        </w:rPr>
        <w:t>26,625,000</w:t>
      </w:r>
      <w:r>
        <w:rPr>
          <w:rFonts w:hint="eastAsia"/>
        </w:rPr>
        <w:t>欧元。目前仍在实施之中的第八次欧洲基金确定了两个重点部门：</w:t>
      </w:r>
    </w:p>
    <w:p w:rsidR="00000000" w:rsidRDefault="00000000">
      <w:pPr>
        <w:numPr>
          <w:ilvl w:val="0"/>
          <w:numId w:val="147"/>
        </w:numPr>
        <w:rPr>
          <w:rFonts w:hint="eastAsia"/>
        </w:rPr>
      </w:pPr>
      <w:r>
        <w:rPr>
          <w:rFonts w:hint="eastAsia"/>
        </w:rPr>
        <w:t>城市基础设施的恢复和扩大；</w:t>
      </w:r>
    </w:p>
    <w:p w:rsidR="00000000" w:rsidRDefault="00000000">
      <w:pPr>
        <w:numPr>
          <w:ilvl w:val="0"/>
          <w:numId w:val="147"/>
        </w:numPr>
        <w:rPr>
          <w:rFonts w:hint="eastAsia"/>
        </w:rPr>
      </w:pPr>
      <w:r>
        <w:rPr>
          <w:rFonts w:hint="eastAsia"/>
        </w:rPr>
        <w:t>社会部门的缺陷。</w:t>
      </w:r>
    </w:p>
    <w:p w:rsidR="00000000" w:rsidRDefault="00000000">
      <w:pPr>
        <w:rPr>
          <w:rFonts w:hint="eastAsia"/>
        </w:rPr>
      </w:pPr>
      <w:r>
        <w:rPr>
          <w:rFonts w:hint="eastAsia"/>
        </w:rPr>
        <w:tab/>
        <w:t xml:space="preserve">115.  </w:t>
      </w:r>
      <w:r>
        <w:rPr>
          <w:rFonts w:hint="eastAsia"/>
        </w:rPr>
        <w:t>已经为第九次欧洲基金保留了一笔数额为</w:t>
      </w:r>
      <w:r>
        <w:rPr>
          <w:rFonts w:hint="eastAsia"/>
        </w:rPr>
        <w:t>2,000</w:t>
      </w:r>
      <w:r>
        <w:rPr>
          <w:rFonts w:hint="eastAsia"/>
        </w:rPr>
        <w:t>万欧元的款项。估计这个方案将有助于以下领域的改进：</w:t>
      </w:r>
    </w:p>
    <w:p w:rsidR="00000000" w:rsidRDefault="00000000">
      <w:pPr>
        <w:numPr>
          <w:ilvl w:val="0"/>
          <w:numId w:val="149"/>
        </w:numPr>
        <w:rPr>
          <w:rFonts w:hint="eastAsia"/>
        </w:rPr>
      </w:pPr>
      <w:r>
        <w:rPr>
          <w:rFonts w:hint="eastAsia"/>
        </w:rPr>
        <w:t>由于社会的原因而缺少住房的地区的城市基础设施</w:t>
      </w:r>
      <w:r>
        <w:rPr>
          <w:rFonts w:hint="eastAsia"/>
        </w:rPr>
        <w:t>(</w:t>
      </w:r>
      <w:r>
        <w:rPr>
          <w:rFonts w:hint="eastAsia"/>
        </w:rPr>
        <w:t>指示性拨款为</w:t>
      </w:r>
      <w:r>
        <w:rPr>
          <w:rFonts w:hint="eastAsia"/>
        </w:rPr>
        <w:t>1,500</w:t>
      </w:r>
      <w:r>
        <w:rPr>
          <w:rFonts w:hint="eastAsia"/>
        </w:rPr>
        <w:t>万欧元</w:t>
      </w:r>
      <w:r>
        <w:rPr>
          <w:rFonts w:hint="eastAsia"/>
        </w:rPr>
        <w:t>)</w:t>
      </w:r>
      <w:r>
        <w:rPr>
          <w:rFonts w:hint="eastAsia"/>
        </w:rPr>
        <w:t>；</w:t>
      </w:r>
    </w:p>
    <w:p w:rsidR="00000000" w:rsidRDefault="00000000">
      <w:pPr>
        <w:numPr>
          <w:ilvl w:val="0"/>
          <w:numId w:val="149"/>
        </w:numPr>
        <w:rPr>
          <w:rFonts w:hint="eastAsia"/>
        </w:rPr>
      </w:pPr>
      <w:r>
        <w:rPr>
          <w:rFonts w:hint="eastAsia"/>
        </w:rPr>
        <w:t>有关廉价住房的试验性项目</w:t>
      </w:r>
      <w:r>
        <w:rPr>
          <w:rFonts w:hint="eastAsia"/>
        </w:rPr>
        <w:t>(</w:t>
      </w:r>
      <w:r>
        <w:rPr>
          <w:rFonts w:hint="eastAsia"/>
        </w:rPr>
        <w:t>指示性拨款为</w:t>
      </w:r>
      <w:r>
        <w:rPr>
          <w:rFonts w:hint="eastAsia"/>
        </w:rPr>
        <w:t>500</w:t>
      </w:r>
      <w:r>
        <w:rPr>
          <w:rFonts w:hint="eastAsia"/>
        </w:rPr>
        <w:t>万欧元</w:t>
      </w:r>
      <w:r>
        <w:rPr>
          <w:rFonts w:hint="eastAsia"/>
        </w:rPr>
        <w:t>)</w:t>
      </w:r>
      <w:r>
        <w:rPr>
          <w:rFonts w:hint="eastAsia"/>
        </w:rPr>
        <w:t>。</w:t>
      </w:r>
    </w:p>
    <w:p w:rsidR="00000000" w:rsidRDefault="00000000">
      <w:pPr>
        <w:rPr>
          <w:rFonts w:hint="eastAsia"/>
        </w:rPr>
      </w:pPr>
      <w:r>
        <w:rPr>
          <w:rFonts w:hint="eastAsia"/>
        </w:rPr>
        <w:tab/>
        <w:t xml:space="preserve">116.  </w:t>
      </w:r>
      <w:r>
        <w:rPr>
          <w:rFonts w:hint="eastAsia"/>
        </w:rPr>
        <w:t>第九次欧洲基金的所涉阶段为</w:t>
      </w:r>
      <w:r>
        <w:rPr>
          <w:rFonts w:hint="eastAsia"/>
        </w:rPr>
        <w:t>2002</w:t>
      </w:r>
      <w:r>
        <w:rPr>
          <w:rFonts w:hint="eastAsia"/>
        </w:rPr>
        <w:t>年至</w:t>
      </w:r>
      <w:r>
        <w:rPr>
          <w:rFonts w:hint="eastAsia"/>
        </w:rPr>
        <w:t>2007</w:t>
      </w:r>
      <w:r>
        <w:rPr>
          <w:rFonts w:hint="eastAsia"/>
        </w:rPr>
        <w:t>年。</w:t>
      </w:r>
    </w:p>
    <w:p w:rsidR="00000000" w:rsidRDefault="00000000">
      <w:pPr>
        <w:rPr>
          <w:rFonts w:hint="eastAsia"/>
        </w:rPr>
      </w:pPr>
      <w:r>
        <w:rPr>
          <w:rFonts w:hint="eastAsia"/>
        </w:rPr>
        <w:tab/>
        <w:t xml:space="preserve">117.  </w:t>
      </w:r>
      <w:r>
        <w:rPr>
          <w:rFonts w:hint="eastAsia"/>
        </w:rPr>
        <w:t>发展合作部正在最后确定单一方案文件，其中规定了第九次欧洲基金指示性拨款方案的框架。</w:t>
      </w:r>
    </w:p>
    <w:p w:rsidR="00000000" w:rsidRDefault="00000000">
      <w:pPr>
        <w:rPr>
          <w:rFonts w:hint="eastAsia"/>
        </w:rPr>
      </w:pPr>
      <w:r>
        <w:rPr>
          <w:rFonts w:hint="eastAsia"/>
        </w:rPr>
        <w:tab/>
        <w:t xml:space="preserve">118.  </w:t>
      </w:r>
      <w:r>
        <w:rPr>
          <w:rFonts w:hint="eastAsia"/>
        </w:rPr>
        <w:t>在</w:t>
      </w:r>
      <w:r>
        <w:rPr>
          <w:rFonts w:hint="eastAsia"/>
        </w:rPr>
        <w:t>2001</w:t>
      </w:r>
      <w:r>
        <w:rPr>
          <w:rFonts w:hint="eastAsia"/>
        </w:rPr>
        <w:t>年</w:t>
      </w:r>
      <w:r>
        <w:rPr>
          <w:rFonts w:hint="eastAsia"/>
        </w:rPr>
        <w:t>11</w:t>
      </w:r>
      <w:r>
        <w:rPr>
          <w:rFonts w:hint="eastAsia"/>
        </w:rPr>
        <w:t>月</w:t>
      </w:r>
      <w:r>
        <w:rPr>
          <w:rFonts w:hint="eastAsia"/>
        </w:rPr>
        <w:t>27</w:t>
      </w:r>
      <w:r>
        <w:rPr>
          <w:rFonts w:hint="eastAsia"/>
        </w:rPr>
        <w:t>日理事会决定</w:t>
      </w:r>
      <w:r>
        <w:rPr>
          <w:rFonts w:hint="eastAsia"/>
        </w:rPr>
        <w:t>(2001/822/EC)</w:t>
      </w:r>
      <w:r>
        <w:rPr>
          <w:rFonts w:hint="eastAsia"/>
        </w:rPr>
        <w:t>的第</w:t>
      </w:r>
      <w:r>
        <w:rPr>
          <w:rFonts w:hint="eastAsia"/>
        </w:rPr>
        <w:t>16</w:t>
      </w:r>
      <w:r>
        <w:rPr>
          <w:rFonts w:hint="eastAsia"/>
        </w:rPr>
        <w:t>条中讨论了地区合作。为了解决共同问题以及从规模经济中获益，欧盟为各地区、各海外国家和领地以及非洲、加勒比和太平洋国家提供了资助。</w:t>
      </w:r>
    </w:p>
    <w:p w:rsidR="00000000" w:rsidRDefault="00000000">
      <w:pPr>
        <w:rPr>
          <w:rFonts w:hint="eastAsia"/>
        </w:rPr>
      </w:pPr>
      <w:r>
        <w:rPr>
          <w:rFonts w:hint="eastAsia"/>
        </w:rPr>
        <w:tab/>
        <w:t xml:space="preserve">119.  </w:t>
      </w:r>
      <w:r>
        <w:rPr>
          <w:rFonts w:hint="eastAsia"/>
        </w:rPr>
        <w:t>在这一方面，欧盟从第八次欧洲基金中拨出</w:t>
      </w:r>
      <w:r>
        <w:rPr>
          <w:rFonts w:hint="eastAsia"/>
        </w:rPr>
        <w:t>1,000</w:t>
      </w:r>
      <w:r>
        <w:rPr>
          <w:rFonts w:hint="eastAsia"/>
        </w:rPr>
        <w:t>万欧元根据“先到者优先”等原则用于全世界海外国家和领地的区域合作。第九次欧洲基金将提供</w:t>
      </w:r>
      <w:r>
        <w:rPr>
          <w:rFonts w:hint="eastAsia"/>
        </w:rPr>
        <w:t>800</w:t>
      </w:r>
      <w:r>
        <w:rPr>
          <w:rFonts w:hint="eastAsia"/>
        </w:rPr>
        <w:t>万欧元。然而，目前正在讨论有关使用这笔</w:t>
      </w:r>
      <w:r>
        <w:rPr>
          <w:rFonts w:hint="eastAsia"/>
        </w:rPr>
        <w:t>800</w:t>
      </w:r>
      <w:r>
        <w:rPr>
          <w:rFonts w:hint="eastAsia"/>
        </w:rPr>
        <w:t>万欧元款项的可能替代办法。</w:t>
      </w:r>
    </w:p>
    <w:p w:rsidR="00000000" w:rsidRDefault="00000000">
      <w:pPr>
        <w:spacing w:after="320"/>
        <w:rPr>
          <w:rFonts w:hint="eastAsia"/>
        </w:rPr>
      </w:pPr>
      <w:r>
        <w:rPr>
          <w:rFonts w:hint="eastAsia"/>
        </w:rPr>
        <w:tab/>
        <w:t xml:space="preserve">120.  </w:t>
      </w:r>
      <w:r>
        <w:rPr>
          <w:rFonts w:hint="eastAsia"/>
        </w:rPr>
        <w:t>除此以外，荷属安的列斯群岛和阿鲁巴岛已经开始使用艾滋病毒</w:t>
      </w:r>
      <w:r>
        <w:rPr>
          <w:rFonts w:hint="eastAsia"/>
        </w:rPr>
        <w:t>/</w:t>
      </w:r>
      <w:r>
        <w:rPr>
          <w:rFonts w:hint="eastAsia"/>
        </w:rPr>
        <w:t>艾滋病干预疗法，将于</w:t>
      </w:r>
      <w:r>
        <w:rPr>
          <w:rFonts w:hint="eastAsia"/>
        </w:rPr>
        <w:t>2004</w:t>
      </w:r>
      <w:r>
        <w:rPr>
          <w:rFonts w:hint="eastAsia"/>
        </w:rPr>
        <w:t>年</w:t>
      </w:r>
      <w:r>
        <w:rPr>
          <w:rFonts w:hint="eastAsia"/>
        </w:rPr>
        <w:t>6</w:t>
      </w:r>
      <w:r>
        <w:rPr>
          <w:rFonts w:hint="eastAsia"/>
        </w:rPr>
        <w:t>月向欧盟提出经过修订的关于这个项目的筹资建议。</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荷属安的列斯群岛同开发计划署的合作</w:t>
      </w:r>
    </w:p>
    <w:p w:rsidR="00000000" w:rsidRDefault="00000000">
      <w:pPr>
        <w:rPr>
          <w:rFonts w:hint="eastAsia"/>
        </w:rPr>
      </w:pPr>
      <w:r>
        <w:rPr>
          <w:rFonts w:hint="eastAsia"/>
        </w:rPr>
        <w:tab/>
        <w:t xml:space="preserve">121.  </w:t>
      </w:r>
      <w:r>
        <w:rPr>
          <w:rFonts w:hint="eastAsia"/>
        </w:rPr>
        <w:t>发展合作部拟订了荷属安的列斯群岛</w:t>
      </w:r>
      <w:r>
        <w:rPr>
          <w:rFonts w:hint="eastAsia"/>
        </w:rPr>
        <w:t>2002</w:t>
      </w:r>
      <w:r>
        <w:rPr>
          <w:rFonts w:hint="eastAsia"/>
        </w:rPr>
        <w:t>年至</w:t>
      </w:r>
      <w:r>
        <w:rPr>
          <w:rFonts w:hint="eastAsia"/>
        </w:rPr>
        <w:t>2004</w:t>
      </w:r>
      <w:r>
        <w:rPr>
          <w:rFonts w:hint="eastAsia"/>
        </w:rPr>
        <w:t>年《国家合作框架》</w:t>
      </w:r>
      <w:r>
        <w:rPr>
          <w:rFonts w:hint="eastAsia"/>
        </w:rPr>
        <w:t>(</w:t>
      </w:r>
      <w:r>
        <w:rPr>
          <w:rFonts w:hint="eastAsia"/>
        </w:rPr>
        <w:t>《框架》</w:t>
      </w:r>
      <w:r>
        <w:rPr>
          <w:rFonts w:hint="eastAsia"/>
        </w:rPr>
        <w:t>)</w:t>
      </w:r>
      <w:r>
        <w:rPr>
          <w:rFonts w:hint="eastAsia"/>
        </w:rPr>
        <w:t>草案。由于荷属安的列斯群岛是净捐款国，开发计划署没有义务请其执行理事会审批《框架》。因此，《框架》将由国家办事处审批并且送往开发计划署总部审核。</w:t>
      </w:r>
    </w:p>
    <w:p w:rsidR="00000000" w:rsidRDefault="00000000">
      <w:pPr>
        <w:rPr>
          <w:rFonts w:hint="eastAsia"/>
        </w:rPr>
      </w:pPr>
      <w:r>
        <w:rPr>
          <w:rFonts w:hint="eastAsia"/>
        </w:rPr>
        <w:tab/>
        <w:t xml:space="preserve">122. </w:t>
      </w:r>
      <w:r>
        <w:rPr>
          <w:rFonts w:hint="eastAsia"/>
          <w:vertAlign w:val="superscript"/>
        </w:rPr>
        <w:t xml:space="preserve"> </w:t>
      </w:r>
      <w:r>
        <w:rPr>
          <w:rFonts w:hint="eastAsia"/>
        </w:rPr>
        <w:t>《框架》中的合作重点如下：</w:t>
      </w:r>
    </w:p>
    <w:p w:rsidR="00000000" w:rsidRDefault="00000000">
      <w:pPr>
        <w:numPr>
          <w:ilvl w:val="0"/>
          <w:numId w:val="148"/>
        </w:numPr>
        <w:rPr>
          <w:rFonts w:hint="eastAsia"/>
        </w:rPr>
      </w:pPr>
      <w:r>
        <w:rPr>
          <w:rFonts w:hint="eastAsia"/>
        </w:rPr>
        <w:t>加强经济规划和财政管理能力；</w:t>
      </w:r>
    </w:p>
    <w:p w:rsidR="00000000" w:rsidRDefault="00000000">
      <w:pPr>
        <w:numPr>
          <w:ilvl w:val="0"/>
          <w:numId w:val="148"/>
        </w:numPr>
        <w:rPr>
          <w:rFonts w:hint="eastAsia"/>
        </w:rPr>
      </w:pPr>
      <w:r>
        <w:rPr>
          <w:rFonts w:hint="eastAsia"/>
        </w:rPr>
        <w:t>社会发展和创造就业机会；</w:t>
      </w:r>
    </w:p>
    <w:p w:rsidR="00000000" w:rsidRDefault="00000000">
      <w:pPr>
        <w:numPr>
          <w:ilvl w:val="0"/>
          <w:numId w:val="148"/>
        </w:numPr>
        <w:rPr>
          <w:rFonts w:hint="eastAsia"/>
        </w:rPr>
      </w:pPr>
      <w:r>
        <w:rPr>
          <w:rFonts w:hint="eastAsia"/>
        </w:rPr>
        <w:t>灾害管理和环境管理。</w:t>
      </w:r>
    </w:p>
    <w:p w:rsidR="00000000" w:rsidRDefault="00000000">
      <w:pPr>
        <w:spacing w:after="240"/>
        <w:rPr>
          <w:rFonts w:hint="eastAsia"/>
        </w:rPr>
      </w:pPr>
      <w:r>
        <w:rPr>
          <w:rFonts w:hint="eastAsia"/>
        </w:rPr>
        <w:tab/>
        <w:t xml:space="preserve">123.  </w:t>
      </w:r>
      <w:r>
        <w:rPr>
          <w:rFonts w:hint="eastAsia"/>
        </w:rPr>
        <w:t>部长理事会已经商定了这些部门。《框架》尚需开发计划署和荷属安的列斯群岛的最后确定。</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居民区方针</w:t>
      </w:r>
    </w:p>
    <w:p w:rsidR="00000000" w:rsidRDefault="00000000">
      <w:pPr>
        <w:spacing w:after="320"/>
        <w:rPr>
          <w:rFonts w:hint="eastAsia"/>
        </w:rPr>
      </w:pPr>
      <w:r>
        <w:rPr>
          <w:rFonts w:hint="eastAsia"/>
        </w:rPr>
        <w:tab/>
        <w:t xml:space="preserve">124.  </w:t>
      </w:r>
      <w:r>
        <w:t>Curaçao</w:t>
      </w:r>
      <w:r>
        <w:rPr>
          <w:rFonts w:hint="eastAsia"/>
        </w:rPr>
        <w:t>岛的执行理事会于</w:t>
      </w:r>
      <w:r>
        <w:rPr>
          <w:rFonts w:hint="eastAsia"/>
        </w:rPr>
        <w:t>1998</w:t>
      </w:r>
      <w:r>
        <w:rPr>
          <w:rFonts w:hint="eastAsia"/>
        </w:rPr>
        <w:t>年</w:t>
      </w:r>
      <w:r>
        <w:rPr>
          <w:rFonts w:hint="eastAsia"/>
        </w:rPr>
        <w:t>11</w:t>
      </w:r>
      <w:r>
        <w:rPr>
          <w:rFonts w:hint="eastAsia"/>
        </w:rPr>
        <w:t>月一致通过了一项动议，承认居民区对于</w:t>
      </w:r>
      <w:r>
        <w:t>Curaçao</w:t>
      </w:r>
      <w:r>
        <w:rPr>
          <w:rFonts w:hint="eastAsia"/>
        </w:rPr>
        <w:t>岛发展的重要性以及地方参与对于新行动的重要性。执行理事会于</w:t>
      </w:r>
      <w:r>
        <w:rPr>
          <w:rFonts w:hint="eastAsia"/>
        </w:rPr>
        <w:t>2001</w:t>
      </w:r>
      <w:r>
        <w:rPr>
          <w:rFonts w:hint="eastAsia"/>
        </w:rPr>
        <w:t>年决定成立一个委员会，以便分析、评估以及用图表说明</w:t>
      </w:r>
      <w:r>
        <w:t>Curaçao</w:t>
      </w:r>
      <w:r>
        <w:rPr>
          <w:rFonts w:hint="eastAsia"/>
        </w:rPr>
        <w:t>岛社区中心的状况。其目的是要制定有关进行必要改革的具体计划，以便使得整个社会和社区中心获益，特别是使得</w:t>
      </w:r>
      <w:r>
        <w:t>Curaçao</w:t>
      </w:r>
      <w:r>
        <w:rPr>
          <w:rFonts w:hint="eastAsia"/>
        </w:rPr>
        <w:t>岛的社区中心联合会受益。这个委员会于</w:t>
      </w:r>
      <w:r>
        <w:rPr>
          <w:rFonts w:hint="eastAsia"/>
        </w:rPr>
        <w:t>2004</w:t>
      </w:r>
      <w:r>
        <w:rPr>
          <w:rFonts w:hint="eastAsia"/>
        </w:rPr>
        <w:t>年</w:t>
      </w:r>
      <w:r>
        <w:rPr>
          <w:rFonts w:hint="eastAsia"/>
        </w:rPr>
        <w:t>11</w:t>
      </w:r>
      <w:r>
        <w:rPr>
          <w:rFonts w:hint="eastAsia"/>
        </w:rPr>
        <w:t>月</w:t>
      </w:r>
      <w:r>
        <w:rPr>
          <w:rFonts w:hint="eastAsia"/>
        </w:rPr>
        <w:t>8</w:t>
      </w:r>
      <w:r>
        <w:rPr>
          <w:rFonts w:hint="eastAsia"/>
        </w:rPr>
        <w:t>日提交了报告：根据这份报告，另外一个委员会已经开始执行报告的建议，其中包括为居民区和群体负责人举办中等职业培训班。</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十二</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spacing w:after="160"/>
        <w:rPr>
          <w:rFonts w:hint="eastAsia"/>
        </w:rPr>
      </w:pPr>
      <w:r>
        <w:rPr>
          <w:rFonts w:hint="eastAsia"/>
        </w:rPr>
        <w:tab/>
        <w:t xml:space="preserve">125.  </w:t>
      </w:r>
      <w:r>
        <w:rPr>
          <w:rFonts w:hint="eastAsia"/>
        </w:rPr>
        <w:t>为了促进雇员在其工作环境中的健康、福利以及安全、政府已经同公务员健康保险基金会达成了一项保健协定。该基金会向政府雇员提供了一种称为</w:t>
      </w:r>
      <w:r>
        <w:rPr>
          <w:rFonts w:hint="eastAsia"/>
        </w:rPr>
        <w:t>ARBO</w:t>
      </w:r>
      <w:r>
        <w:rPr>
          <w:rFonts w:hint="eastAsia"/>
        </w:rPr>
        <w:t>的基本保健服务方案，其要点如下：</w:t>
      </w:r>
    </w:p>
    <w:p w:rsidR="00000000" w:rsidRDefault="00000000">
      <w:pPr>
        <w:spacing w:after="160"/>
        <w:ind w:left="1040"/>
        <w:rPr>
          <w:rFonts w:hint="eastAsia"/>
        </w:rPr>
      </w:pPr>
      <w:r>
        <w:rPr>
          <w:rFonts w:hint="eastAsia"/>
        </w:rPr>
        <w:t>(</w:t>
      </w:r>
      <w:r>
        <w:t>a)</w:t>
      </w:r>
      <w:r>
        <w:tab/>
      </w:r>
      <w:r>
        <w:rPr>
          <w:rFonts w:hint="eastAsia"/>
          <w:u w:val="single"/>
        </w:rPr>
        <w:t>工作环境中的健康保险</w:t>
      </w:r>
    </w:p>
    <w:p w:rsidR="00000000" w:rsidRDefault="00000000">
      <w:pPr>
        <w:spacing w:after="160"/>
        <w:ind w:left="1560"/>
        <w:rPr>
          <w:rFonts w:hint="eastAsia"/>
        </w:rPr>
      </w:pPr>
      <w:r>
        <w:rPr>
          <w:rFonts w:hint="eastAsia"/>
        </w:rPr>
        <w:tab/>
      </w:r>
      <w:r>
        <w:rPr>
          <w:rFonts w:hint="eastAsia"/>
        </w:rPr>
        <w:t>在雇员的工作合同终止之前，向由于疾病而无法工作的雇员提供在指导和重新融入社会方面的援助和咨询；同时就工作和健康问题向雇主和雇员提供咨询。本方案包括：有关病休的评估和指导、工作场所健康状况的评估、医疗检查以及社会医疗队的磋商；</w:t>
      </w:r>
    </w:p>
    <w:p w:rsidR="00000000" w:rsidRDefault="00000000">
      <w:pPr>
        <w:spacing w:after="160"/>
        <w:ind w:left="1040"/>
        <w:rPr>
          <w:rFonts w:hint="eastAsia"/>
        </w:rPr>
      </w:pPr>
      <w:r>
        <w:rPr>
          <w:rFonts w:hint="eastAsia"/>
        </w:rPr>
        <w:t>(</w:t>
      </w:r>
      <w:r>
        <w:t>b)</w:t>
      </w:r>
      <w:r>
        <w:tab/>
      </w:r>
      <w:r>
        <w:rPr>
          <w:rFonts w:hint="eastAsia"/>
          <w:u w:val="single"/>
        </w:rPr>
        <w:t>在工作环境中的社会关怀</w:t>
      </w:r>
    </w:p>
    <w:p w:rsidR="00000000" w:rsidRDefault="00000000">
      <w:pPr>
        <w:spacing w:after="160"/>
        <w:ind w:left="1560"/>
        <w:rPr>
          <w:rFonts w:hint="eastAsia"/>
        </w:rPr>
      </w:pPr>
      <w:r>
        <w:rPr>
          <w:rFonts w:hint="eastAsia"/>
        </w:rPr>
        <w:tab/>
      </w:r>
      <w:r>
        <w:rPr>
          <w:rFonts w:hint="eastAsia"/>
        </w:rPr>
        <w:t>关于由于工作或者个人处境而引起心理社会问题并且已经影响到最佳表现的雇员，在对他们进行指导的过程中给予帮助和咨询。为雇员解答有关劳动福利的问题。本方案包括为职工提供社会指导和社会医疗费咨询；</w:t>
      </w:r>
    </w:p>
    <w:p w:rsidR="00000000" w:rsidRDefault="00000000">
      <w:pPr>
        <w:spacing w:after="160"/>
        <w:ind w:left="1040"/>
        <w:rPr>
          <w:rFonts w:hint="eastAsia"/>
        </w:rPr>
      </w:pPr>
      <w:r>
        <w:t>(c)</w:t>
      </w:r>
      <w:r>
        <w:tab/>
      </w:r>
      <w:r>
        <w:rPr>
          <w:rFonts w:hint="eastAsia"/>
          <w:u w:val="single"/>
        </w:rPr>
        <w:t>劳动条件的改善</w:t>
      </w:r>
    </w:p>
    <w:p w:rsidR="00000000" w:rsidRDefault="00000000">
      <w:pPr>
        <w:spacing w:after="320"/>
        <w:ind w:left="1560"/>
        <w:rPr>
          <w:rFonts w:hint="eastAsia"/>
        </w:rPr>
      </w:pPr>
      <w:r>
        <w:rPr>
          <w:rFonts w:hint="eastAsia"/>
        </w:rPr>
        <w:tab/>
      </w:r>
      <w:r>
        <w:rPr>
          <w:rFonts w:hint="eastAsia"/>
        </w:rPr>
        <w:t>在雇员的医疗、安全以及福利方面，已经拟订了一份有关劳动风险的清单，并已对此进行评估。同时就劳动条件政策向雇主提供咨询。本方案包括视察工作场所、研究劳动条件、评估工作场所的卫生状况以及汇报程序。</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十三</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rPr>
          <w:rFonts w:hint="eastAsia"/>
        </w:rPr>
      </w:pPr>
      <w:r>
        <w:rPr>
          <w:rFonts w:hint="eastAsia"/>
        </w:rPr>
        <w:tab/>
        <w:t xml:space="preserve">126.  </w:t>
      </w:r>
      <w:r>
        <w:rPr>
          <w:rFonts w:hint="eastAsia"/>
        </w:rPr>
        <w:t>安的列斯群岛政府完全明白教育在国家发展过程中的作用和功能，在过去十年中努力在机构框架</w:t>
      </w:r>
      <w:r>
        <w:rPr>
          <w:rFonts w:hint="eastAsia"/>
        </w:rPr>
        <w:t>(</w:t>
      </w:r>
      <w:r>
        <w:rPr>
          <w:rFonts w:hint="eastAsia"/>
        </w:rPr>
        <w:t>立法、组织和结构</w:t>
      </w:r>
      <w:r>
        <w:rPr>
          <w:rFonts w:hint="eastAsia"/>
        </w:rPr>
        <w:t>)</w:t>
      </w:r>
      <w:r>
        <w:rPr>
          <w:rFonts w:hint="eastAsia"/>
        </w:rPr>
        <w:t>以及在实际内容</w:t>
      </w:r>
      <w:r>
        <w:rPr>
          <w:rFonts w:hint="eastAsia"/>
        </w:rPr>
        <w:t>(</w:t>
      </w:r>
      <w:r>
        <w:rPr>
          <w:rFonts w:hint="eastAsia"/>
        </w:rPr>
        <w:t>制订新的方法和课程与提高教员质量</w:t>
      </w:r>
      <w:r>
        <w:rPr>
          <w:rFonts w:hint="eastAsia"/>
        </w:rPr>
        <w:t>)</w:t>
      </w:r>
      <w:r>
        <w:rPr>
          <w:rFonts w:hint="eastAsia"/>
        </w:rPr>
        <w:t>方面进行教育改革。政府还十分重视建立和优化各岛之间以及荷属安的列斯群岛同荷兰之间的合作框架。</w:t>
      </w:r>
    </w:p>
    <w:p w:rsidR="00000000" w:rsidRDefault="00000000">
      <w:pPr>
        <w:rPr>
          <w:rFonts w:hint="eastAsia"/>
        </w:rPr>
      </w:pPr>
      <w:r>
        <w:rPr>
          <w:rFonts w:hint="eastAsia"/>
        </w:rPr>
        <w:tab/>
        <w:t xml:space="preserve">127.  </w:t>
      </w:r>
      <w:r>
        <w:rPr>
          <w:rFonts w:hint="eastAsia"/>
        </w:rPr>
        <w:t>迄今为止所执行的所有政策和其他措施都可以用一个共同标准加以概括：教育改革。教育改革将关注两个关键指标：第一是纠正现有缺陷的必要性；第二是解决国家越来越严重的社会和经济问题的重要性。中心原则仍然是：通过教育促进人类发展是社会、经济和政治进步的关键。在制订教育改革政策时必须考虑的其他因素包括全球化和迅猛的技术发展</w:t>
      </w:r>
      <w:r>
        <w:rPr>
          <w:rFonts w:hint="eastAsia"/>
        </w:rPr>
        <w:t>(</w:t>
      </w:r>
      <w:r>
        <w:rPr>
          <w:rFonts w:hint="eastAsia"/>
        </w:rPr>
        <w:t>知识经济</w:t>
      </w:r>
      <w:r>
        <w:rPr>
          <w:rFonts w:hint="eastAsia"/>
        </w:rPr>
        <w:t>)</w:t>
      </w:r>
      <w:r>
        <w:rPr>
          <w:rFonts w:hint="eastAsia"/>
        </w:rPr>
        <w:t>。</w:t>
      </w:r>
    </w:p>
    <w:p w:rsidR="00000000" w:rsidRDefault="00000000">
      <w:pPr>
        <w:rPr>
          <w:rFonts w:hint="eastAsia"/>
        </w:rPr>
      </w:pPr>
      <w:r>
        <w:rPr>
          <w:rFonts w:hint="eastAsia"/>
        </w:rPr>
        <w:tab/>
        <w:t xml:space="preserve">128.  </w:t>
      </w:r>
      <w:r>
        <w:rPr>
          <w:rFonts w:hint="eastAsia"/>
        </w:rPr>
        <w:t>政府教育观的另一方面是其对于终身学习原则的承诺，因为这样才能使得公民在其一生中不断发展。</w:t>
      </w:r>
    </w:p>
    <w:p w:rsidR="00000000" w:rsidRDefault="00000000">
      <w:pPr>
        <w:widowControl w:val="0"/>
        <w:spacing w:after="320"/>
        <w:rPr>
          <w:rFonts w:hint="eastAsia"/>
        </w:rPr>
      </w:pPr>
      <w:r>
        <w:rPr>
          <w:rFonts w:hint="eastAsia"/>
        </w:rPr>
        <w:tab/>
        <w:t xml:space="preserve">129.  </w:t>
      </w:r>
      <w:r>
        <w:rPr>
          <w:rFonts w:hint="eastAsia"/>
          <w:spacing w:val="8"/>
        </w:rPr>
        <w:t>为了能够实现所期望的教育改革和提高教育质量，于</w:t>
      </w:r>
      <w:r>
        <w:rPr>
          <w:rFonts w:hint="eastAsia"/>
          <w:spacing w:val="8"/>
        </w:rPr>
        <w:t>1998</w:t>
      </w:r>
      <w:r>
        <w:rPr>
          <w:rFonts w:hint="eastAsia"/>
          <w:spacing w:val="8"/>
        </w:rPr>
        <w:t>年最后确定了称为“突破”的综合性的教育政策计划。在制订这项政策计划之前的一些年中，各级教育已经走上了结构改革之路。在这一方面，从</w:t>
      </w:r>
      <w:r>
        <w:rPr>
          <w:rFonts w:hint="eastAsia"/>
          <w:spacing w:val="8"/>
        </w:rPr>
        <w:t>1995</w:t>
      </w:r>
      <w:r>
        <w:rPr>
          <w:rFonts w:hint="eastAsia"/>
          <w:spacing w:val="8"/>
        </w:rPr>
        <w:t>年到</w:t>
      </w:r>
      <w:r>
        <w:rPr>
          <w:rFonts w:hint="eastAsia"/>
          <w:spacing w:val="8"/>
        </w:rPr>
        <w:t>1998</w:t>
      </w:r>
      <w:r>
        <w:rPr>
          <w:rFonts w:hint="eastAsia"/>
          <w:spacing w:val="8"/>
        </w:rPr>
        <w:t>年开展了以下活动。</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荷兰同荷属各岛之间的合作</w:t>
      </w:r>
    </w:p>
    <w:p w:rsidR="00000000" w:rsidRDefault="00000000">
      <w:pPr>
        <w:spacing w:after="240"/>
        <w:rPr>
          <w:rFonts w:hint="eastAsia"/>
        </w:rPr>
      </w:pPr>
      <w:r>
        <w:rPr>
          <w:rFonts w:hint="eastAsia"/>
        </w:rPr>
        <w:tab/>
        <w:t xml:space="preserve">130.  </w:t>
      </w:r>
      <w:r>
        <w:rPr>
          <w:rFonts w:hint="eastAsia"/>
        </w:rPr>
        <w:t>成立了荷属安的列斯群岛国际教育问题联合协商机构，以便协调行政一级的政策问题。在基本中等教育、对于</w:t>
      </w:r>
      <w:r>
        <w:rPr>
          <w:rFonts w:hint="eastAsia"/>
        </w:rPr>
        <w:t>4</w:t>
      </w:r>
      <w:r>
        <w:rPr>
          <w:rFonts w:hint="eastAsia"/>
        </w:rPr>
        <w:t>岁至</w:t>
      </w:r>
      <w:r>
        <w:rPr>
          <w:rFonts w:hint="eastAsia"/>
        </w:rPr>
        <w:t>15</w:t>
      </w:r>
      <w:r>
        <w:rPr>
          <w:rFonts w:hint="eastAsia"/>
        </w:rPr>
        <w:t>岁儿童的新式教育、学生补助和贷款以及教育数据的统计等领域中签订了全国性的协议。</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荷兰、阿鲁巴岛以及本地区之间的合作</w:t>
      </w:r>
    </w:p>
    <w:p w:rsidR="00000000" w:rsidRDefault="00000000">
      <w:pPr>
        <w:rPr>
          <w:rFonts w:hint="eastAsia"/>
        </w:rPr>
      </w:pPr>
      <w:r>
        <w:rPr>
          <w:rFonts w:hint="eastAsia"/>
        </w:rPr>
        <w:tab/>
        <w:t xml:space="preserve">131.  </w:t>
      </w:r>
      <w:r>
        <w:rPr>
          <w:rFonts w:hint="eastAsia"/>
        </w:rPr>
        <w:t>一项议定书确定了荷兰同阿鲁巴岛之间的合作。连续两年都拟订了一项行动计划，安排了在教育发展、质量保证体系以及各部委同教育机构之间合作等领域中的活动。已经就以下三个项目的工资和实施问题签订了具体协议：</w:t>
      </w:r>
    </w:p>
    <w:p w:rsidR="00000000" w:rsidRDefault="00000000">
      <w:pPr>
        <w:pStyle w:val="a0"/>
        <w:tabs>
          <w:tab w:val="num" w:pos="1550"/>
        </w:tabs>
        <w:ind w:left="1550"/>
        <w:rPr>
          <w:rFonts w:hint="eastAsia"/>
        </w:rPr>
      </w:pPr>
      <w:r>
        <w:rPr>
          <w:rFonts w:hint="eastAsia"/>
        </w:rPr>
        <w:t>荷兰语教师的退休金保险费；</w:t>
      </w:r>
    </w:p>
    <w:p w:rsidR="00000000" w:rsidRDefault="00000000">
      <w:pPr>
        <w:pStyle w:val="a0"/>
        <w:tabs>
          <w:tab w:val="num" w:pos="1550"/>
        </w:tabs>
        <w:ind w:left="1550"/>
        <w:rPr>
          <w:rFonts w:hint="eastAsia"/>
        </w:rPr>
      </w:pPr>
      <w:r>
        <w:rPr>
          <w:rFonts w:hint="eastAsia"/>
        </w:rPr>
        <w:t>向荷属安的列斯群岛大学的学生发放</w:t>
      </w:r>
      <w:r>
        <w:rPr>
          <w:rFonts w:hint="eastAsia"/>
        </w:rPr>
        <w:t>WSF</w:t>
      </w:r>
      <w:r>
        <w:rPr>
          <w:rFonts w:hint="eastAsia"/>
        </w:rPr>
        <w:t>奖学金；</w:t>
      </w:r>
    </w:p>
    <w:p w:rsidR="00000000" w:rsidRDefault="00000000">
      <w:pPr>
        <w:pStyle w:val="a0"/>
        <w:tabs>
          <w:tab w:val="num" w:pos="1550"/>
        </w:tabs>
        <w:spacing w:after="320"/>
        <w:ind w:left="1550"/>
        <w:rPr>
          <w:rFonts w:hint="eastAsia"/>
        </w:rPr>
      </w:pPr>
      <w:r>
        <w:rPr>
          <w:rFonts w:hint="eastAsia"/>
        </w:rPr>
        <w:t>在王国内结成姐妹学校。</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教科文组织委员会</w:t>
      </w:r>
    </w:p>
    <w:p w:rsidR="00000000" w:rsidRDefault="00000000">
      <w:pPr>
        <w:spacing w:after="320"/>
        <w:rPr>
          <w:rFonts w:hint="eastAsia"/>
        </w:rPr>
      </w:pPr>
      <w:r>
        <w:rPr>
          <w:rFonts w:hint="eastAsia"/>
        </w:rPr>
        <w:tab/>
        <w:t xml:space="preserve">132.  </w:t>
      </w:r>
      <w:r>
        <w:rPr>
          <w:rFonts w:hint="eastAsia"/>
        </w:rPr>
        <w:t>同安的列斯群岛全国教科文组织委员会签订了一些协议，计划使用教科文组织的资源来促进安的列斯群岛的改革，因此，教科文组织委员会于</w:t>
      </w:r>
      <w:r>
        <w:rPr>
          <w:rFonts w:hint="eastAsia"/>
        </w:rPr>
        <w:t>1996</w:t>
      </w:r>
      <w:r>
        <w:rPr>
          <w:rFonts w:hint="eastAsia"/>
        </w:rPr>
        <w:t>年通过了有关容忍日的规定，并且在所有岛上庆祝时强调了有关非暴力的主题，在各类学校中尤其如此。这就导致了一项地区的有关非暴力教育的项目</w:t>
      </w:r>
      <w:r>
        <w:rPr>
          <w:rFonts w:hint="eastAsia"/>
        </w:rPr>
        <w:t>(</w:t>
      </w:r>
      <w:r>
        <w:rPr>
          <w:rFonts w:hint="eastAsia"/>
        </w:rPr>
        <w:t>“</w:t>
      </w:r>
      <w:r>
        <w:rPr>
          <w:i/>
          <w:iCs/>
        </w:rPr>
        <w:t>Met alle geweld”</w:t>
      </w:r>
      <w:r>
        <w:rPr>
          <w:rFonts w:hint="eastAsia"/>
          <w:i/>
          <w:iCs/>
        </w:rPr>
        <w:t>)</w:t>
      </w:r>
      <w:r>
        <w:rPr>
          <w:rFonts w:hint="eastAsia"/>
        </w:rPr>
        <w:t>。安的列斯群岛的学校也参加了旨在保护和养护加勒比海的区域加勒比海项目。</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质量评估</w:t>
      </w:r>
    </w:p>
    <w:p w:rsidR="00000000" w:rsidRDefault="00000000">
      <w:pPr>
        <w:spacing w:after="240"/>
        <w:rPr>
          <w:rFonts w:hint="eastAsia"/>
        </w:rPr>
      </w:pPr>
      <w:r>
        <w:rPr>
          <w:rFonts w:hint="eastAsia"/>
        </w:rPr>
        <w:tab/>
        <w:t xml:space="preserve">133.  </w:t>
      </w:r>
      <w:r>
        <w:rPr>
          <w:rFonts w:hint="eastAsia"/>
        </w:rPr>
        <w:t>在这个阶段，对于特殊教育部门</w:t>
      </w:r>
      <w:r>
        <w:rPr>
          <w:rFonts w:hint="eastAsia"/>
        </w:rPr>
        <w:t>(</w:t>
      </w:r>
      <w:r>
        <w:rPr>
          <w:rFonts w:hint="eastAsia"/>
        </w:rPr>
        <w:t>包括政府教养院</w:t>
      </w:r>
      <w:r>
        <w:rPr>
          <w:rFonts w:hint="eastAsia"/>
        </w:rPr>
        <w:t>)</w:t>
      </w:r>
      <w:r>
        <w:rPr>
          <w:rFonts w:hint="eastAsia"/>
        </w:rPr>
        <w:t>进行了质量评估。同时也对用</w:t>
      </w:r>
      <w:r>
        <w:t>Papiamentu</w:t>
      </w:r>
      <w:r>
        <w:rPr>
          <w:rFonts w:hint="eastAsia"/>
        </w:rPr>
        <w:t>语教授当地学生的质量以及</w:t>
      </w:r>
      <w:r>
        <w:t>Papiamentu</w:t>
      </w:r>
      <w:r>
        <w:rPr>
          <w:rFonts w:hint="eastAsia"/>
        </w:rPr>
        <w:t>语教师的资历进行了评估。公布了一份有关社会学习课程的政策文件，提出了一些一般性准则；从</w:t>
      </w:r>
      <w:r>
        <w:rPr>
          <w:rFonts w:hint="eastAsia"/>
        </w:rPr>
        <w:t>1997</w:t>
      </w:r>
      <w:r>
        <w:rPr>
          <w:rFonts w:hint="eastAsia"/>
        </w:rPr>
        <w:t>年</w:t>
      </w:r>
      <w:r>
        <w:rPr>
          <w:rFonts w:hint="eastAsia"/>
        </w:rPr>
        <w:t>8</w:t>
      </w:r>
      <w:r>
        <w:rPr>
          <w:rFonts w:hint="eastAsia"/>
        </w:rPr>
        <w:t>月起，社会学习已经成为小学的必修课程。同教育领域的所有伙伴一起讨论并且通过了关于符合义务教育制年龄的儿童教育问题的政策文件“创造更加美好的未来”，并且以此作为</w:t>
      </w:r>
      <w:r>
        <w:rPr>
          <w:rFonts w:hint="eastAsia"/>
        </w:rPr>
        <w:t>4</w:t>
      </w:r>
      <w:r>
        <w:rPr>
          <w:rFonts w:hint="eastAsia"/>
        </w:rPr>
        <w:t>岁至</w:t>
      </w:r>
      <w:r>
        <w:rPr>
          <w:rFonts w:hint="eastAsia"/>
        </w:rPr>
        <w:t>15</w:t>
      </w:r>
      <w:r>
        <w:rPr>
          <w:rFonts w:hint="eastAsia"/>
        </w:rPr>
        <w:t>岁儿童的教育政策保障。关于荷属安的列斯群岛初期中等教育的政策文件已经获得通过，并且在具体的实施计划中就战略、方法、进修培训以及沟通等事项做了详细说明。成立了一个项目办公室，同时以草案形式规定了每个项目的实现目标。特别课程委员会已经就各项课程的细节作了具体规定。</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立</w:t>
      </w:r>
      <w:r>
        <w:rPr>
          <w:rFonts w:ascii="Time New Roman" w:eastAsia="SimHei" w:hAnsi="Time New Roman" w:hint="eastAsia"/>
          <w:u w:val="none"/>
        </w:rPr>
        <w:t xml:space="preserve">  </w:t>
      </w:r>
      <w:r>
        <w:rPr>
          <w:rFonts w:ascii="Time New Roman" w:eastAsia="SimHei" w:hAnsi="Time New Roman" w:hint="eastAsia"/>
          <w:u w:val="none"/>
        </w:rPr>
        <w:t>法</w:t>
      </w:r>
    </w:p>
    <w:p w:rsidR="00000000" w:rsidRDefault="00000000">
      <w:pPr>
        <w:spacing w:after="240"/>
        <w:rPr>
          <w:rFonts w:hint="eastAsia"/>
        </w:rPr>
      </w:pPr>
      <w:r>
        <w:rPr>
          <w:rFonts w:hint="eastAsia"/>
        </w:rPr>
        <w:tab/>
        <w:t xml:space="preserve">134.  </w:t>
      </w:r>
      <w:r>
        <w:rPr>
          <w:rFonts w:hint="eastAsia"/>
        </w:rPr>
        <w:t>已经就初级中等教育、初级中等职业教育、初级职业教育</w:t>
      </w:r>
      <w:r>
        <w:rPr>
          <w:rFonts w:hint="eastAsia"/>
        </w:rPr>
        <w:t>(</w:t>
      </w:r>
      <w:r>
        <w:rPr>
          <w:rFonts w:hint="eastAsia"/>
        </w:rPr>
        <w:t>短期</w:t>
      </w:r>
      <w:r>
        <w:rPr>
          <w:rFonts w:hint="eastAsia"/>
        </w:rPr>
        <w:t>)</w:t>
      </w:r>
      <w:r>
        <w:rPr>
          <w:rFonts w:hint="eastAsia"/>
        </w:rPr>
        <w:t>以及初级中等家政学教育颁布了国家法令。有关教育试验国家法令的草案已经提交议会审批，这就为今后的教育试验打下了一个法律基础。有关新的国家正式语言法令的草案归纳了以前所有草案的要点，其中包括关于</w:t>
      </w:r>
      <w:r>
        <w:t>Papiamentu</w:t>
      </w:r>
      <w:r>
        <w:rPr>
          <w:rFonts w:hint="eastAsia"/>
        </w:rPr>
        <w:t>语和荷兰语拼写的国家法令草案。从此，就有可能在将来某些个时候也对英语的拼写进行管制。此外，还就学校规章拟订和准则。高中的考试科目已经从六项增加到七项，宗教教育的时间也已经从每周</w:t>
      </w:r>
      <w:r>
        <w:rPr>
          <w:rFonts w:hint="eastAsia"/>
        </w:rPr>
        <w:t>1</w:t>
      </w:r>
      <w:r>
        <w:rPr>
          <w:rFonts w:hint="eastAsia"/>
        </w:rPr>
        <w:t>小时增加到</w:t>
      </w:r>
      <w:r>
        <w:rPr>
          <w:rFonts w:hint="eastAsia"/>
        </w:rPr>
        <w:t>2</w:t>
      </w:r>
      <w:r>
        <w:rPr>
          <w:rFonts w:hint="eastAsia"/>
        </w:rPr>
        <w:t>小时。</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教员培训</w:t>
      </w:r>
    </w:p>
    <w:p w:rsidR="00000000" w:rsidRDefault="00000000">
      <w:pPr>
        <w:spacing w:after="240"/>
        <w:rPr>
          <w:rFonts w:hint="eastAsia"/>
          <w:iCs/>
        </w:rPr>
      </w:pPr>
      <w:r>
        <w:rPr>
          <w:rFonts w:hint="eastAsia"/>
        </w:rPr>
        <w:tab/>
        <w:t xml:space="preserve">135.  </w:t>
      </w:r>
      <w:r>
        <w:rPr>
          <w:rFonts w:hint="eastAsia"/>
        </w:rPr>
        <w:t>已经就举办职业培训班作为教师紧缺的可能解决办法的问题同</w:t>
      </w:r>
      <w:r>
        <w:rPr>
          <w:rFonts w:hint="eastAsia"/>
        </w:rPr>
        <w:t>IPSO</w:t>
      </w:r>
      <w:r>
        <w:rPr>
          <w:rFonts w:hint="eastAsia"/>
        </w:rPr>
        <w:t>和教育学院达成了一项协议。已经拟订了一项有关初级中等教育的进修培训计划，同时还对所有初中教师进行荷兰语的进一步培训，作为</w:t>
      </w:r>
      <w:r>
        <w:rPr>
          <w:i/>
        </w:rPr>
        <w:t>Anders Nederlands</w:t>
      </w:r>
      <w:r>
        <w:rPr>
          <w:rFonts w:hint="eastAsia"/>
          <w:iCs/>
        </w:rPr>
        <w:t>的项目的一部分。另外，初中教师还接受了有关算术和数学的进一步培训。</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为被拘留者举办培训班</w:t>
      </w:r>
    </w:p>
    <w:p w:rsidR="00000000" w:rsidRDefault="00000000">
      <w:pPr>
        <w:rPr>
          <w:rFonts w:hint="eastAsia"/>
        </w:rPr>
      </w:pPr>
      <w:r>
        <w:rPr>
          <w:rFonts w:hint="eastAsia"/>
        </w:rPr>
        <w:tab/>
        <w:t xml:space="preserve">136.  </w:t>
      </w:r>
      <w:r>
        <w:rPr>
          <w:rFonts w:hint="eastAsia"/>
        </w:rPr>
        <w:t>值得提到的是：作为被拘留者重返社会努力的一部分，为</w:t>
      </w:r>
      <w:r>
        <w:t>Curaçao</w:t>
      </w:r>
      <w:r>
        <w:rPr>
          <w:rFonts w:hint="eastAsia"/>
        </w:rPr>
        <w:t>岛监狱的囚犯举办了培训班，而且还准备推广这种作法。培训班的内容包括初中和高中的基础课、写作课、职业培训以及其他课程。当然，培训是免费提供的。</w:t>
      </w:r>
    </w:p>
    <w:p w:rsidR="00000000" w:rsidRDefault="00000000">
      <w:pPr>
        <w:rPr>
          <w:rFonts w:hint="eastAsia"/>
        </w:rPr>
      </w:pPr>
      <w:r>
        <w:rPr>
          <w:rFonts w:hint="eastAsia"/>
        </w:rPr>
        <w:tab/>
        <w:t xml:space="preserve">137.  </w:t>
      </w:r>
      <w:r>
        <w:rPr>
          <w:rFonts w:hint="eastAsia"/>
        </w:rPr>
        <w:t>按照法院命令关押未成年人的政府教养院</w:t>
      </w:r>
      <w:r>
        <w:rPr>
          <w:rFonts w:hint="eastAsia"/>
        </w:rPr>
        <w:t>(</w:t>
      </w:r>
      <w:r>
        <w:rPr>
          <w:rFonts w:hint="eastAsia"/>
        </w:rPr>
        <w:t>目前称为</w:t>
      </w:r>
      <w:r>
        <w:t>Glen Mills</w:t>
      </w:r>
      <w:r>
        <w:rPr>
          <w:rFonts w:hint="eastAsia"/>
        </w:rPr>
        <w:t>学校</w:t>
      </w:r>
      <w:r>
        <w:rPr>
          <w:rFonts w:hint="eastAsia"/>
        </w:rPr>
        <w:t>)</w:t>
      </w:r>
      <w:r>
        <w:rPr>
          <w:rFonts w:hint="eastAsia"/>
        </w:rPr>
        <w:t>也提供</w:t>
      </w:r>
      <w:r>
        <w:t>Curaçao</w:t>
      </w:r>
      <w:r>
        <w:rPr>
          <w:rFonts w:hint="eastAsia"/>
        </w:rPr>
        <w:t>岛一般人享有的教育机会。教育方案涉及小学、初中以及高中的教育。</w:t>
      </w:r>
    </w:p>
    <w:p w:rsidR="00000000" w:rsidRDefault="00000000">
      <w:pPr>
        <w:rPr>
          <w:rFonts w:hint="eastAsia"/>
        </w:rPr>
      </w:pPr>
      <w:r>
        <w:rPr>
          <w:rFonts w:hint="eastAsia"/>
        </w:rPr>
        <w:tab/>
        <w:t xml:space="preserve">138.  </w:t>
      </w:r>
      <w:r>
        <w:rPr>
          <w:rFonts w:hint="eastAsia"/>
        </w:rPr>
        <w:t>还应指出，监护法院和家庭事务督察处监测未成年人接受教育的情况。</w:t>
      </w:r>
    </w:p>
    <w:p w:rsidR="00000000" w:rsidRDefault="00000000">
      <w:pPr>
        <w:rPr>
          <w:rFonts w:hint="eastAsia"/>
          <w:iCs/>
        </w:rPr>
      </w:pPr>
      <w:r>
        <w:rPr>
          <w:rFonts w:hint="eastAsia"/>
        </w:rPr>
        <w:tab/>
        <w:t xml:space="preserve">139.  </w:t>
      </w:r>
      <w:r>
        <w:rPr>
          <w:rFonts w:hint="eastAsia"/>
        </w:rPr>
        <w:t>从</w:t>
      </w:r>
      <w:r>
        <w:rPr>
          <w:rFonts w:hint="eastAsia"/>
        </w:rPr>
        <w:t>1998</w:t>
      </w:r>
      <w:r>
        <w:rPr>
          <w:rFonts w:hint="eastAsia"/>
        </w:rPr>
        <w:t>年以来的重要改革包括：实施初级中等教育、筹备实施面向</w:t>
      </w:r>
      <w:r>
        <w:rPr>
          <w:rFonts w:hint="eastAsia"/>
        </w:rPr>
        <w:t>4</w:t>
      </w:r>
      <w:r>
        <w:rPr>
          <w:rFonts w:hint="eastAsia"/>
        </w:rPr>
        <w:t>岁至</w:t>
      </w:r>
      <w:r>
        <w:rPr>
          <w:rFonts w:hint="eastAsia"/>
        </w:rPr>
        <w:t>15</w:t>
      </w:r>
      <w:r>
        <w:rPr>
          <w:rFonts w:hint="eastAsia"/>
        </w:rPr>
        <w:t>岁儿童的新式教育</w:t>
      </w:r>
      <w:r>
        <w:rPr>
          <w:rFonts w:hint="eastAsia"/>
        </w:rPr>
        <w:t>(</w:t>
      </w:r>
      <w:r>
        <w:rPr>
          <w:i/>
        </w:rPr>
        <w:t>funderend onderwijs</w:t>
      </w:r>
      <w:r>
        <w:rPr>
          <w:rFonts w:hint="eastAsia"/>
          <w:i/>
        </w:rPr>
        <w:t>)</w:t>
      </w:r>
      <w:r>
        <w:rPr>
          <w:rFonts w:hint="eastAsia"/>
          <w:iCs/>
        </w:rPr>
        <w:t>以及对于中等教育和职业教育的改革。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实施初级中等教育</w:t>
      </w:r>
    </w:p>
    <w:p w:rsidR="00000000" w:rsidRDefault="00000000">
      <w:pPr>
        <w:spacing w:after="240"/>
        <w:rPr>
          <w:rFonts w:hint="eastAsia"/>
        </w:rPr>
      </w:pPr>
      <w:r>
        <w:rPr>
          <w:rFonts w:hint="eastAsia"/>
        </w:rPr>
        <w:tab/>
        <w:t xml:space="preserve">140.  </w:t>
      </w:r>
      <w:r>
        <w:rPr>
          <w:rFonts w:hint="eastAsia"/>
        </w:rPr>
        <w:t>初级中等教育的主要内容是：中学生在其最初的两年中接受一般性教育。这就意味着，无论教育类型</w:t>
      </w:r>
      <w:r>
        <w:rPr>
          <w:rFonts w:hint="eastAsia"/>
        </w:rPr>
        <w:t>(</w:t>
      </w:r>
      <w:r>
        <w:rPr>
          <w:rFonts w:hint="eastAsia"/>
        </w:rPr>
        <w:t>职业中专、初级职业教育、初级中等技术教育、普通初中、普通高中以及大学预备班</w:t>
      </w:r>
      <w:r>
        <w:rPr>
          <w:rFonts w:hint="eastAsia"/>
        </w:rPr>
        <w:t>)</w:t>
      </w:r>
      <w:r>
        <w:rPr>
          <w:rFonts w:hint="eastAsia"/>
        </w:rPr>
        <w:t>，所有学生的课时相同，而且课程也相同。在荷属安的列斯群岛</w:t>
      </w:r>
      <w:r>
        <w:rPr>
          <w:rFonts w:hint="eastAsia"/>
        </w:rPr>
        <w:t>(</w:t>
      </w:r>
      <w:r>
        <w:rPr>
          <w:rFonts w:hint="eastAsia"/>
        </w:rPr>
        <w:t>不同于荷兰</w:t>
      </w:r>
      <w:r>
        <w:rPr>
          <w:rFonts w:hint="eastAsia"/>
        </w:rPr>
        <w:t>)</w:t>
      </w:r>
      <w:r>
        <w:rPr>
          <w:rFonts w:hint="eastAsia"/>
        </w:rPr>
        <w:t>，教材和课本总是符合教育水平的。初级中等教育已在</w:t>
      </w:r>
      <w:r>
        <w:rPr>
          <w:rFonts w:hint="eastAsia"/>
        </w:rPr>
        <w:t>1998/99</w:t>
      </w:r>
      <w:r>
        <w:rPr>
          <w:rFonts w:hint="eastAsia"/>
        </w:rPr>
        <w:t>学年实施。</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对</w:t>
      </w:r>
      <w:r>
        <w:rPr>
          <w:rFonts w:ascii="Time New Roman" w:eastAsia="SimHei" w:hAnsi="Time New Roman" w:hint="eastAsia"/>
          <w:b/>
          <w:u w:val="none"/>
        </w:rPr>
        <w:t>4</w:t>
      </w:r>
      <w:r>
        <w:rPr>
          <w:rFonts w:ascii="Time New Roman" w:eastAsia="SimHei" w:hAnsi="Time New Roman" w:hint="eastAsia"/>
          <w:u w:val="none"/>
        </w:rPr>
        <w:t>岁至</w:t>
      </w:r>
      <w:r>
        <w:rPr>
          <w:rFonts w:ascii="Time New Roman" w:eastAsia="SimHei" w:hAnsi="Time New Roman" w:hint="eastAsia"/>
          <w:b/>
          <w:u w:val="none"/>
        </w:rPr>
        <w:t>15</w:t>
      </w:r>
      <w:r>
        <w:rPr>
          <w:rFonts w:ascii="Time New Roman" w:eastAsia="SimHei" w:hAnsi="Time New Roman" w:hint="eastAsia"/>
          <w:u w:val="none"/>
        </w:rPr>
        <w:t>岁的儿童实施新式教育</w:t>
      </w:r>
    </w:p>
    <w:p w:rsidR="00000000" w:rsidRDefault="00000000">
      <w:pPr>
        <w:rPr>
          <w:rFonts w:hint="eastAsia"/>
        </w:rPr>
      </w:pPr>
      <w:r>
        <w:rPr>
          <w:rFonts w:hint="eastAsia"/>
        </w:rPr>
        <w:tab/>
        <w:t xml:space="preserve">141.  </w:t>
      </w:r>
      <w:r>
        <w:rPr>
          <w:rFonts w:hint="eastAsia"/>
        </w:rPr>
        <w:t>教育改革不是凭空设想的，而是为了纠正评估所暴露的教育制度的缺点而设计的。在评估教育时，必须要回答的关键问题是教育目标是否已经达到。一般来说，希望通过教育实现以下三个目标：</w:t>
      </w:r>
    </w:p>
    <w:p w:rsidR="00000000" w:rsidRDefault="00000000">
      <w:pPr>
        <w:pStyle w:val="a0"/>
        <w:tabs>
          <w:tab w:val="num" w:pos="1550"/>
        </w:tabs>
        <w:ind w:left="1550"/>
        <w:rPr>
          <w:rFonts w:hint="eastAsia"/>
        </w:rPr>
      </w:pPr>
      <w:r>
        <w:rPr>
          <w:rFonts w:hint="eastAsia"/>
        </w:rPr>
        <w:t>在个人一级：有助于个人发展；</w:t>
      </w:r>
    </w:p>
    <w:p w:rsidR="00000000" w:rsidRDefault="00000000">
      <w:pPr>
        <w:pStyle w:val="a0"/>
        <w:tabs>
          <w:tab w:val="num" w:pos="1550"/>
        </w:tabs>
        <w:ind w:left="1550"/>
        <w:rPr>
          <w:rFonts w:hint="eastAsia"/>
        </w:rPr>
      </w:pPr>
      <w:r>
        <w:rPr>
          <w:rFonts w:hint="eastAsia"/>
        </w:rPr>
        <w:t>在社会和文化一级：使得学生能够在社会上有效发挥作用；</w:t>
      </w:r>
    </w:p>
    <w:p w:rsidR="00000000" w:rsidRDefault="00000000">
      <w:pPr>
        <w:pStyle w:val="a0"/>
        <w:tabs>
          <w:tab w:val="num" w:pos="1550"/>
        </w:tabs>
        <w:ind w:left="1550"/>
        <w:rPr>
          <w:rFonts w:hint="eastAsia"/>
        </w:rPr>
      </w:pPr>
      <w:r>
        <w:rPr>
          <w:rFonts w:hint="eastAsia"/>
        </w:rPr>
        <w:t>在社会和经济一级：使得年轻人有能力从事某个职业。</w:t>
      </w:r>
    </w:p>
    <w:p w:rsidR="00000000" w:rsidRDefault="00000000">
      <w:pPr>
        <w:rPr>
          <w:rFonts w:hint="eastAsia"/>
        </w:rPr>
      </w:pPr>
      <w:r>
        <w:rPr>
          <w:rFonts w:hint="eastAsia"/>
        </w:rPr>
        <w:tab/>
        <w:t xml:space="preserve">142.  </w:t>
      </w:r>
      <w:r>
        <w:rPr>
          <w:rFonts w:hint="eastAsia"/>
        </w:rPr>
        <w:t>在过去一些年中已经在荷属安的列斯群岛公布了许多报告，分析了学校在数量和质量方面的成功率。报告的结论是令人震惊的，促使人们要求进行教育改革。在</w:t>
      </w:r>
      <w:r>
        <w:rPr>
          <w:rFonts w:hint="eastAsia"/>
        </w:rPr>
        <w:t>1989</w:t>
      </w:r>
      <w:r>
        <w:rPr>
          <w:rFonts w:hint="eastAsia"/>
        </w:rPr>
        <w:t>年</w:t>
      </w:r>
      <w:r>
        <w:rPr>
          <w:rFonts w:hint="eastAsia"/>
        </w:rPr>
        <w:t>4</w:t>
      </w:r>
      <w:r>
        <w:rPr>
          <w:rFonts w:hint="eastAsia"/>
        </w:rPr>
        <w:t>月拟订了一项教育政策计划</w:t>
      </w:r>
      <w:r>
        <w:rPr>
          <w:rFonts w:hint="eastAsia"/>
        </w:rPr>
        <w:t>(</w:t>
      </w:r>
      <w:r>
        <w:rPr>
          <w:rFonts w:hint="eastAsia"/>
        </w:rPr>
        <w:t>“为所有人的教育”</w:t>
      </w:r>
      <w:r>
        <w:rPr>
          <w:rFonts w:hint="eastAsia"/>
        </w:rPr>
        <w:t>)</w:t>
      </w:r>
      <w:r>
        <w:rPr>
          <w:rFonts w:hint="eastAsia"/>
        </w:rPr>
        <w:t>，提出了有关今后教育政策的设想。</w:t>
      </w:r>
    </w:p>
    <w:p w:rsidR="00000000" w:rsidRDefault="00000000">
      <w:pPr>
        <w:rPr>
          <w:rFonts w:hint="eastAsia"/>
        </w:rPr>
      </w:pPr>
      <w:r>
        <w:rPr>
          <w:rFonts w:hint="eastAsia"/>
        </w:rPr>
        <w:tab/>
        <w:t xml:space="preserve">143.  </w:t>
      </w:r>
      <w:r>
        <w:rPr>
          <w:rFonts w:hint="eastAsia"/>
        </w:rPr>
        <w:t>在</w:t>
      </w:r>
      <w:r>
        <w:rPr>
          <w:rFonts w:hint="eastAsia"/>
        </w:rPr>
        <w:t>1993</w:t>
      </w:r>
      <w:r>
        <w:rPr>
          <w:rFonts w:hint="eastAsia"/>
        </w:rPr>
        <w:t>年，有关加强中央政府同群岛政府之间的合作的辩论导致签订了一项有关教育的合作议定书。通过这项议定书设立了一个全国性的教育问题协商机构</w:t>
      </w:r>
      <w:r>
        <w:rPr>
          <w:rFonts w:hint="eastAsia"/>
        </w:rPr>
        <w:t>(NOONA)</w:t>
      </w:r>
      <w:r>
        <w:rPr>
          <w:rFonts w:hint="eastAsia"/>
        </w:rPr>
        <w:t>。</w:t>
      </w:r>
    </w:p>
    <w:p w:rsidR="00000000" w:rsidRDefault="00000000">
      <w:pPr>
        <w:rPr>
          <w:rFonts w:hint="eastAsia"/>
        </w:rPr>
      </w:pPr>
      <w:r>
        <w:rPr>
          <w:rFonts w:hint="eastAsia"/>
        </w:rPr>
        <w:tab/>
        <w:t xml:space="preserve">144.  </w:t>
      </w:r>
      <w:r>
        <w:rPr>
          <w:rFonts w:hint="eastAsia"/>
        </w:rPr>
        <w:t>所有有关人士都同意教育政策的内容：必须致力于采取短期的创新性的教育措施；致力于实现为荷属安的列斯群岛儿童创造更加美好未来的最终目标。</w:t>
      </w:r>
    </w:p>
    <w:p w:rsidR="00000000" w:rsidRDefault="00000000">
      <w:pPr>
        <w:widowControl w:val="0"/>
        <w:rPr>
          <w:rFonts w:hint="eastAsia"/>
        </w:rPr>
      </w:pPr>
      <w:r>
        <w:rPr>
          <w:rFonts w:hint="eastAsia"/>
        </w:rPr>
        <w:tab/>
        <w:t xml:space="preserve">145.  </w:t>
      </w:r>
      <w:r>
        <w:rPr>
          <w:rFonts w:hint="eastAsia"/>
        </w:rPr>
        <w:t>为了实现有关通过教育为荷属安的列斯群岛所有学生打下一个更加坚实基础的目的，同时也考虑到背风群岛的通用语是</w:t>
      </w:r>
      <w:r>
        <w:t>Papiamentu</w:t>
      </w:r>
      <w:r>
        <w:rPr>
          <w:rFonts w:hint="eastAsia"/>
        </w:rPr>
        <w:t>语，而迎风群岛的通用语是英语，当时的教育部长于</w:t>
      </w:r>
      <w:r>
        <w:rPr>
          <w:rFonts w:hint="eastAsia"/>
        </w:rPr>
        <w:t>1994</w:t>
      </w:r>
      <w:r>
        <w:rPr>
          <w:rFonts w:hint="eastAsia"/>
        </w:rPr>
        <w:t>年指示教育局拟订一项详细的多阶段的计划。因此，在</w:t>
      </w:r>
      <w:r>
        <w:rPr>
          <w:rFonts w:hint="eastAsia"/>
        </w:rPr>
        <w:t>1995</w:t>
      </w:r>
      <w:r>
        <w:rPr>
          <w:rFonts w:hint="eastAsia"/>
        </w:rPr>
        <w:t>年</w:t>
      </w:r>
      <w:r>
        <w:rPr>
          <w:rFonts w:hint="eastAsia"/>
        </w:rPr>
        <w:t>3</w:t>
      </w:r>
      <w:r>
        <w:rPr>
          <w:rFonts w:hint="eastAsia"/>
        </w:rPr>
        <w:t>月，制订了一项旨在振兴荷属安的列斯群岛小学教育的多阶段政策计划</w:t>
      </w:r>
      <w:r>
        <w:rPr>
          <w:rFonts w:hint="eastAsia"/>
        </w:rPr>
        <w:t>(</w:t>
      </w:r>
      <w:r>
        <w:rPr>
          <w:rFonts w:hint="eastAsia"/>
        </w:rPr>
        <w:t>“创造更加美好的未来”</w:t>
      </w:r>
      <w:r>
        <w:rPr>
          <w:rFonts w:hint="eastAsia"/>
        </w:rPr>
        <w:t>)</w:t>
      </w:r>
      <w:r>
        <w:rPr>
          <w:rFonts w:hint="eastAsia"/>
        </w:rPr>
        <w:t>。这项计划的依据是教育政策备忘录“为所有人的教育”以及荷属安的列斯群岛宪法中所载的有关教育的指导方针、出发点以及目标。上述合作议定书也被教育部长和有关的教育代表用作制订计划的参照基准。</w:t>
      </w:r>
    </w:p>
    <w:p w:rsidR="00000000" w:rsidRDefault="00000000">
      <w:pPr>
        <w:rPr>
          <w:rFonts w:hint="eastAsia"/>
        </w:rPr>
      </w:pPr>
      <w:r>
        <w:rPr>
          <w:rFonts w:hint="eastAsia"/>
        </w:rPr>
        <w:tab/>
        <w:t xml:space="preserve">146.  </w:t>
      </w:r>
      <w:r>
        <w:rPr>
          <w:rFonts w:hint="eastAsia"/>
        </w:rPr>
        <w:t>在</w:t>
      </w:r>
      <w:r>
        <w:rPr>
          <w:rFonts w:hint="eastAsia"/>
        </w:rPr>
        <w:t>1997</w:t>
      </w:r>
      <w:r>
        <w:rPr>
          <w:rFonts w:hint="eastAsia"/>
        </w:rPr>
        <w:t>年，在这项多阶段计划的基础上制订了一个方案，要对</w:t>
      </w:r>
      <w:r>
        <w:rPr>
          <w:rFonts w:hint="eastAsia"/>
        </w:rPr>
        <w:t>4</w:t>
      </w:r>
      <w:r>
        <w:rPr>
          <w:rFonts w:hint="eastAsia"/>
        </w:rPr>
        <w:t>岁至</w:t>
      </w:r>
      <w:r>
        <w:rPr>
          <w:rFonts w:hint="eastAsia"/>
        </w:rPr>
        <w:t>15</w:t>
      </w:r>
      <w:r>
        <w:rPr>
          <w:rFonts w:hint="eastAsia"/>
        </w:rPr>
        <w:t>岁的儿童实行新式教育。其中规定了方案结构，以便从决策到善后具体实施这种新式教育，并且监测其进展。</w:t>
      </w:r>
    </w:p>
    <w:p w:rsidR="00000000" w:rsidRDefault="00000000">
      <w:pPr>
        <w:spacing w:after="240"/>
        <w:rPr>
          <w:rFonts w:hint="eastAsia"/>
        </w:rPr>
      </w:pPr>
      <w:r>
        <w:rPr>
          <w:rFonts w:hint="eastAsia"/>
        </w:rPr>
        <w:tab/>
        <w:t xml:space="preserve">147.  </w:t>
      </w:r>
      <w:r>
        <w:rPr>
          <w:rFonts w:hint="eastAsia"/>
        </w:rPr>
        <w:t>后来又于</w:t>
      </w:r>
      <w:r>
        <w:rPr>
          <w:rFonts w:hint="eastAsia"/>
        </w:rPr>
        <w:t>2002</w:t>
      </w:r>
      <w:r>
        <w:rPr>
          <w:rFonts w:hint="eastAsia"/>
        </w:rPr>
        <w:t>年</w:t>
      </w:r>
      <w:r>
        <w:rPr>
          <w:rFonts w:hint="eastAsia"/>
        </w:rPr>
        <w:t>2</w:t>
      </w:r>
      <w:r>
        <w:rPr>
          <w:rFonts w:hint="eastAsia"/>
        </w:rPr>
        <w:t>月制定了第三项计划，规定了小学和中学的结构框架。这项计划认同了国家的教育目标，并且补充说明了前两项计划中所描述的针对</w:t>
      </w:r>
      <w:r>
        <w:rPr>
          <w:rFonts w:hint="eastAsia"/>
        </w:rPr>
        <w:t>4</w:t>
      </w:r>
      <w:r>
        <w:rPr>
          <w:rFonts w:hint="eastAsia"/>
        </w:rPr>
        <w:t>岁至</w:t>
      </w:r>
      <w:r>
        <w:rPr>
          <w:rFonts w:hint="eastAsia"/>
        </w:rPr>
        <w:t>15</w:t>
      </w:r>
      <w:r>
        <w:rPr>
          <w:rFonts w:hint="eastAsia"/>
        </w:rPr>
        <w:t>岁的儿童的课数教育的前景、任务和目标。这项计划为教育领域的工作人员规定了准则，确定和说明了所涉的各种因素，并且对今后的学校进行了大致的描述。针对</w:t>
      </w:r>
      <w:r>
        <w:rPr>
          <w:rFonts w:hint="eastAsia"/>
        </w:rPr>
        <w:t>4</w:t>
      </w:r>
      <w:r>
        <w:rPr>
          <w:rFonts w:hint="eastAsia"/>
        </w:rPr>
        <w:t>岁至</w:t>
      </w:r>
      <w:r>
        <w:rPr>
          <w:rFonts w:hint="eastAsia"/>
        </w:rPr>
        <w:t>15</w:t>
      </w:r>
      <w:r>
        <w:rPr>
          <w:rFonts w:hint="eastAsia"/>
        </w:rPr>
        <w:t>岁的儿童的新的教育体制最终于</w:t>
      </w:r>
      <w:r>
        <w:rPr>
          <w:rFonts w:hint="eastAsia"/>
        </w:rPr>
        <w:t>2002/03</w:t>
      </w:r>
      <w:r>
        <w:rPr>
          <w:rFonts w:hint="eastAsia"/>
        </w:rPr>
        <w:t>学年在荷属安的列斯群岛实施。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荷属安的列斯群岛的幼儿园和小学教育中的问题</w:t>
      </w:r>
    </w:p>
    <w:p w:rsidR="00000000" w:rsidRDefault="00000000">
      <w:pPr>
        <w:rPr>
          <w:rFonts w:hint="eastAsia"/>
        </w:rPr>
      </w:pPr>
      <w:r>
        <w:rPr>
          <w:rFonts w:hint="eastAsia"/>
        </w:rPr>
        <w:tab/>
        <w:t xml:space="preserve">148.  </w:t>
      </w:r>
      <w:r>
        <w:rPr>
          <w:rFonts w:hint="eastAsia"/>
        </w:rPr>
        <w:t>针对</w:t>
      </w:r>
      <w:r>
        <w:rPr>
          <w:rFonts w:hint="eastAsia"/>
        </w:rPr>
        <w:t>4</w:t>
      </w:r>
      <w:r>
        <w:rPr>
          <w:rFonts w:hint="eastAsia"/>
        </w:rPr>
        <w:t>岁至</w:t>
      </w:r>
      <w:r>
        <w:rPr>
          <w:rFonts w:hint="eastAsia"/>
        </w:rPr>
        <w:t>15</w:t>
      </w:r>
      <w:r>
        <w:rPr>
          <w:rFonts w:hint="eastAsia"/>
        </w:rPr>
        <w:t>岁儿童的新式教育试图解决在安的列斯群岛幼儿园和小学中查明的问题，即：</w:t>
      </w:r>
    </w:p>
    <w:p w:rsidR="00000000" w:rsidRDefault="00000000">
      <w:pPr>
        <w:pStyle w:val="a0"/>
        <w:tabs>
          <w:tab w:val="num" w:pos="1540"/>
        </w:tabs>
        <w:ind w:left="1540"/>
        <w:rPr>
          <w:rFonts w:hint="eastAsia"/>
        </w:rPr>
      </w:pPr>
      <w:r>
        <w:rPr>
          <w:rFonts w:hint="eastAsia"/>
        </w:rPr>
        <w:t>高退学率；</w:t>
      </w:r>
    </w:p>
    <w:p w:rsidR="00000000" w:rsidRDefault="00000000">
      <w:pPr>
        <w:pStyle w:val="a0"/>
        <w:tabs>
          <w:tab w:val="num" w:pos="1540"/>
        </w:tabs>
        <w:ind w:left="1540"/>
        <w:rPr>
          <w:rFonts w:hint="eastAsia"/>
        </w:rPr>
      </w:pPr>
      <w:r>
        <w:rPr>
          <w:rFonts w:hint="eastAsia"/>
        </w:rPr>
        <w:t>大量儿童留级；</w:t>
      </w:r>
    </w:p>
    <w:p w:rsidR="00000000" w:rsidRDefault="00000000">
      <w:pPr>
        <w:pStyle w:val="a0"/>
        <w:tabs>
          <w:tab w:val="num" w:pos="1540"/>
        </w:tabs>
        <w:ind w:left="1540"/>
        <w:rPr>
          <w:rFonts w:hint="eastAsia"/>
        </w:rPr>
      </w:pPr>
      <w:r>
        <w:rPr>
          <w:rFonts w:hint="eastAsia"/>
        </w:rPr>
        <w:t>高比例的学生转到特殊学校；</w:t>
      </w:r>
    </w:p>
    <w:p w:rsidR="00000000" w:rsidRDefault="00000000">
      <w:pPr>
        <w:pStyle w:val="a0"/>
        <w:tabs>
          <w:tab w:val="num" w:pos="1540"/>
        </w:tabs>
        <w:ind w:left="1540"/>
        <w:rPr>
          <w:rFonts w:hint="eastAsia"/>
        </w:rPr>
      </w:pPr>
      <w:r>
        <w:rPr>
          <w:rFonts w:hint="eastAsia"/>
        </w:rPr>
        <w:t>只有少数学生升上普通中学。</w:t>
      </w:r>
    </w:p>
    <w:p w:rsidR="00000000" w:rsidRDefault="00000000">
      <w:pPr>
        <w:rPr>
          <w:rFonts w:hint="eastAsia"/>
        </w:rPr>
      </w:pPr>
      <w:r>
        <w:rPr>
          <w:rFonts w:hint="eastAsia"/>
        </w:rPr>
        <w:tab/>
      </w:r>
      <w:r>
        <w:rPr>
          <w:rFonts w:hint="eastAsia"/>
        </w:rPr>
        <w:t>这些问题的起因被归结为：</w:t>
      </w:r>
    </w:p>
    <w:p w:rsidR="00000000" w:rsidRDefault="00000000">
      <w:pPr>
        <w:pStyle w:val="a0"/>
        <w:tabs>
          <w:tab w:val="num" w:pos="1540"/>
        </w:tabs>
        <w:ind w:left="1540"/>
        <w:rPr>
          <w:rFonts w:hint="eastAsia"/>
        </w:rPr>
      </w:pPr>
      <w:r>
        <w:rPr>
          <w:rFonts w:hint="eastAsia"/>
        </w:rPr>
        <w:t>教育目标不明确；</w:t>
      </w:r>
    </w:p>
    <w:p w:rsidR="00000000" w:rsidRDefault="00000000">
      <w:pPr>
        <w:pStyle w:val="a0"/>
        <w:tabs>
          <w:tab w:val="num" w:pos="1540"/>
        </w:tabs>
        <w:ind w:left="1540"/>
        <w:rPr>
          <w:rFonts w:hint="eastAsia"/>
        </w:rPr>
      </w:pPr>
      <w:r>
        <w:rPr>
          <w:rFonts w:hint="eastAsia"/>
        </w:rPr>
        <w:t>授课语言并非学生或者教师的母语；</w:t>
      </w:r>
    </w:p>
    <w:p w:rsidR="00000000" w:rsidRDefault="00000000">
      <w:pPr>
        <w:pStyle w:val="a0"/>
        <w:tabs>
          <w:tab w:val="num" w:pos="1540"/>
        </w:tabs>
        <w:ind w:left="1540"/>
        <w:rPr>
          <w:rFonts w:hint="eastAsia"/>
        </w:rPr>
      </w:pPr>
      <w:r>
        <w:rPr>
          <w:rFonts w:hint="eastAsia"/>
        </w:rPr>
        <w:t>每年都用同样的教材，很少考虑学生在个人能力、经历以及发展前进方面的差别；</w:t>
      </w:r>
    </w:p>
    <w:p w:rsidR="00000000" w:rsidRDefault="00000000">
      <w:pPr>
        <w:pStyle w:val="a0"/>
        <w:tabs>
          <w:tab w:val="num" w:pos="1540"/>
        </w:tabs>
        <w:ind w:left="1540"/>
        <w:rPr>
          <w:rFonts w:hint="eastAsia"/>
        </w:rPr>
      </w:pPr>
      <w:r>
        <w:rPr>
          <w:rFonts w:hint="eastAsia"/>
        </w:rPr>
        <w:t>严格的大班上课制度，以致几乎无法因材施教；</w:t>
      </w:r>
    </w:p>
    <w:p w:rsidR="00000000" w:rsidRDefault="00000000">
      <w:pPr>
        <w:pStyle w:val="a0"/>
        <w:tabs>
          <w:tab w:val="num" w:pos="1540"/>
        </w:tabs>
        <w:ind w:left="1540"/>
        <w:rPr>
          <w:rFonts w:hint="eastAsia"/>
        </w:rPr>
      </w:pPr>
      <w:r>
        <w:rPr>
          <w:rFonts w:hint="eastAsia"/>
        </w:rPr>
        <w:t>大部分教具质量低下而且供应不足；</w:t>
      </w:r>
    </w:p>
    <w:p w:rsidR="00000000" w:rsidRDefault="00000000">
      <w:pPr>
        <w:pStyle w:val="a0"/>
        <w:tabs>
          <w:tab w:val="num" w:pos="1540"/>
        </w:tabs>
        <w:ind w:left="1540"/>
        <w:rPr>
          <w:rFonts w:hint="eastAsia"/>
        </w:rPr>
      </w:pPr>
      <w:r>
        <w:rPr>
          <w:rFonts w:hint="eastAsia"/>
        </w:rPr>
        <w:t>课程设置完全过时；</w:t>
      </w:r>
    </w:p>
    <w:p w:rsidR="00000000" w:rsidRDefault="00000000">
      <w:pPr>
        <w:pStyle w:val="a0"/>
        <w:tabs>
          <w:tab w:val="num" w:pos="1540"/>
        </w:tabs>
        <w:ind w:left="1540"/>
        <w:rPr>
          <w:rFonts w:hint="eastAsia"/>
        </w:rPr>
      </w:pPr>
      <w:r>
        <w:rPr>
          <w:rFonts w:hint="eastAsia"/>
        </w:rPr>
        <w:t>在校舍方面缺点很多；</w:t>
      </w:r>
    </w:p>
    <w:p w:rsidR="00000000" w:rsidRDefault="00000000">
      <w:pPr>
        <w:pStyle w:val="a0"/>
        <w:tabs>
          <w:tab w:val="num" w:pos="1540"/>
        </w:tabs>
        <w:ind w:left="1540"/>
        <w:rPr>
          <w:rFonts w:hint="eastAsia"/>
        </w:rPr>
      </w:pPr>
      <w:r>
        <w:rPr>
          <w:rFonts w:hint="eastAsia"/>
        </w:rPr>
        <w:t>学生家长对学校的教学缺乏兴趣；</w:t>
      </w:r>
    </w:p>
    <w:p w:rsidR="00000000" w:rsidRDefault="00000000">
      <w:pPr>
        <w:pStyle w:val="a0"/>
        <w:widowControl w:val="0"/>
        <w:tabs>
          <w:tab w:val="num" w:pos="1540"/>
        </w:tabs>
        <w:ind w:left="1542"/>
        <w:rPr>
          <w:rFonts w:hint="eastAsia"/>
        </w:rPr>
      </w:pPr>
      <w:r>
        <w:rPr>
          <w:rFonts w:hint="eastAsia"/>
        </w:rPr>
        <w:t>无论是学校还是教师都没有做好充分准备，帮助在社会上处于不利地位的学生或者尚未掌握学校通用语的学生；</w:t>
      </w:r>
    </w:p>
    <w:p w:rsidR="00000000" w:rsidRDefault="00000000">
      <w:pPr>
        <w:pStyle w:val="a0"/>
        <w:tabs>
          <w:tab w:val="num" w:pos="1540"/>
        </w:tabs>
        <w:ind w:left="1540"/>
        <w:rPr>
          <w:rFonts w:hint="eastAsia"/>
        </w:rPr>
      </w:pPr>
      <w:r>
        <w:rPr>
          <w:rFonts w:hint="eastAsia"/>
        </w:rPr>
        <w:t>课程设置没有全面考虑学生在身体、思想以及社会方面的发展；</w:t>
      </w:r>
    </w:p>
    <w:p w:rsidR="00000000" w:rsidRDefault="00000000">
      <w:pPr>
        <w:pStyle w:val="a0"/>
        <w:tabs>
          <w:tab w:val="num" w:pos="1540"/>
        </w:tabs>
        <w:ind w:left="1540"/>
        <w:rPr>
          <w:rFonts w:hint="eastAsia"/>
        </w:rPr>
      </w:pPr>
      <w:r>
        <w:rPr>
          <w:rFonts w:hint="eastAsia"/>
        </w:rPr>
        <w:t>(</w:t>
      </w:r>
      <w:r>
        <w:rPr>
          <w:rFonts w:hint="eastAsia"/>
        </w:rPr>
        <w:t>在一些情况下</w:t>
      </w:r>
      <w:r>
        <w:rPr>
          <w:rFonts w:hint="eastAsia"/>
        </w:rPr>
        <w:t>)</w:t>
      </w:r>
      <w:r>
        <w:rPr>
          <w:rFonts w:hint="eastAsia"/>
        </w:rPr>
        <w:t>学校管理不力；</w:t>
      </w:r>
    </w:p>
    <w:p w:rsidR="00000000" w:rsidRDefault="00000000">
      <w:pPr>
        <w:pStyle w:val="a0"/>
        <w:tabs>
          <w:tab w:val="num" w:pos="1540"/>
        </w:tabs>
        <w:ind w:left="1540"/>
        <w:rPr>
          <w:rFonts w:hint="eastAsia"/>
        </w:rPr>
      </w:pPr>
      <w:r>
        <w:rPr>
          <w:rFonts w:hint="eastAsia"/>
        </w:rPr>
        <w:t>教师缺乏专业发展和监督；</w:t>
      </w:r>
    </w:p>
    <w:p w:rsidR="00000000" w:rsidRDefault="00000000">
      <w:pPr>
        <w:pStyle w:val="a0"/>
        <w:tabs>
          <w:tab w:val="num" w:pos="1540"/>
        </w:tabs>
        <w:spacing w:after="320"/>
        <w:ind w:left="1540"/>
        <w:rPr>
          <w:rFonts w:hint="eastAsia"/>
        </w:rPr>
      </w:pPr>
      <w:r>
        <w:rPr>
          <w:rFonts w:hint="eastAsia"/>
        </w:rPr>
        <w:t>在学校的组织结构中的业务问题。</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针对</w:t>
      </w:r>
      <w:r>
        <w:rPr>
          <w:rFonts w:ascii="Time New Roman" w:eastAsia="SimHei" w:hAnsi="Time New Roman" w:hint="eastAsia"/>
          <w:b/>
          <w:u w:val="none"/>
        </w:rPr>
        <w:t>4</w:t>
      </w:r>
      <w:r>
        <w:rPr>
          <w:rFonts w:ascii="Time New Roman" w:eastAsia="SimHei" w:hAnsi="Time New Roman" w:hint="eastAsia"/>
          <w:u w:val="none"/>
        </w:rPr>
        <w:t>岁至</w:t>
      </w:r>
      <w:r>
        <w:rPr>
          <w:rFonts w:ascii="Time New Roman" w:eastAsia="SimHei" w:hAnsi="Time New Roman" w:hint="eastAsia"/>
          <w:b/>
          <w:u w:val="none"/>
        </w:rPr>
        <w:t>15</w:t>
      </w:r>
      <w:r>
        <w:rPr>
          <w:rFonts w:ascii="Time New Roman" w:eastAsia="SimHei" w:hAnsi="Time New Roman" w:hint="eastAsia"/>
          <w:u w:val="none"/>
        </w:rPr>
        <w:t>岁儿童的新式教育之目标</w:t>
      </w:r>
    </w:p>
    <w:p w:rsidR="00000000" w:rsidRDefault="00000000">
      <w:pPr>
        <w:rPr>
          <w:rFonts w:hint="eastAsia"/>
        </w:rPr>
      </w:pPr>
      <w:r>
        <w:rPr>
          <w:rFonts w:hint="eastAsia"/>
        </w:rPr>
        <w:tab/>
        <w:t xml:space="preserve">149.  </w:t>
      </w:r>
      <w:r>
        <w:rPr>
          <w:rFonts w:hint="eastAsia"/>
        </w:rPr>
        <w:t>针对</w:t>
      </w:r>
      <w:r>
        <w:rPr>
          <w:rFonts w:hint="eastAsia"/>
        </w:rPr>
        <w:t>4</w:t>
      </w:r>
      <w:r>
        <w:rPr>
          <w:rFonts w:hint="eastAsia"/>
        </w:rPr>
        <w:t>岁至</w:t>
      </w:r>
      <w:r>
        <w:rPr>
          <w:rFonts w:hint="eastAsia"/>
        </w:rPr>
        <w:t>15</w:t>
      </w:r>
      <w:r>
        <w:rPr>
          <w:rFonts w:hint="eastAsia"/>
        </w:rPr>
        <w:t>岁儿童新式教育的目标如下：</w:t>
      </w:r>
    </w:p>
    <w:p w:rsidR="00000000" w:rsidRDefault="00000000">
      <w:pPr>
        <w:numPr>
          <w:ilvl w:val="0"/>
          <w:numId w:val="143"/>
        </w:numPr>
        <w:rPr>
          <w:rFonts w:hint="eastAsia"/>
        </w:rPr>
      </w:pPr>
      <w:r>
        <w:rPr>
          <w:rFonts w:hint="eastAsia"/>
        </w:rPr>
        <w:t>必须打下安的列斯群岛公民赖以生存的基础。因此，教育的主要目标是在安的列斯群岛社会、加勒比地区以及整个世界范围内提供普通教育；</w:t>
      </w:r>
    </w:p>
    <w:p w:rsidR="00000000" w:rsidRDefault="00000000">
      <w:pPr>
        <w:numPr>
          <w:ilvl w:val="0"/>
          <w:numId w:val="143"/>
        </w:numPr>
        <w:rPr>
          <w:rFonts w:hint="eastAsia"/>
        </w:rPr>
      </w:pPr>
      <w:r>
        <w:rPr>
          <w:rFonts w:hint="eastAsia"/>
        </w:rPr>
        <w:t>在十年之中，向安的列斯群岛儿童传授即使他们今后不再继续正规教育也将一生受用的技能、举止以及价值观。除了识字和识数技能以外，儿童还必须学会坚持、灵活、责任、助人、独立以及自信，以便以团结精神在王国、加勒比地区以及整个世界范围内充分参与荷属安的列斯群岛的文化、社会、政治以及经济生活；</w:t>
      </w:r>
    </w:p>
    <w:p w:rsidR="00000000" w:rsidRDefault="00000000">
      <w:pPr>
        <w:numPr>
          <w:ilvl w:val="0"/>
          <w:numId w:val="143"/>
        </w:numPr>
        <w:spacing w:after="240"/>
        <w:rPr>
          <w:rFonts w:hint="eastAsia"/>
        </w:rPr>
      </w:pPr>
      <w:r>
        <w:rPr>
          <w:rFonts w:hint="eastAsia"/>
        </w:rPr>
        <w:t>必须灌输能够打下个人发展基础的知识、技能以及认识，并且帮助儿童成为社会的有效成员。这种教育还是后续教育的基础。为了鼓励个人发展，必须让儿童有机会充分发挥他们在智力、道德、社会、情感以及艺术方面的潜力，同时发挥在运动方面的技能。为了实现这些目标，开始阶段的教学必须结合儿童的日常生活，鼓励他们并且满足他们对于知识的自然渴求，然后教学才超越他们的日常世界。</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针对</w:t>
      </w:r>
      <w:r>
        <w:rPr>
          <w:rFonts w:ascii="Time New Roman" w:eastAsia="SimHei" w:hAnsi="Time New Roman" w:hint="eastAsia"/>
          <w:b/>
          <w:u w:val="none"/>
        </w:rPr>
        <w:t>4</w:t>
      </w:r>
      <w:r>
        <w:rPr>
          <w:rFonts w:ascii="Time New Roman" w:eastAsia="SimHei" w:hAnsi="Time New Roman" w:hint="eastAsia"/>
          <w:u w:val="none"/>
        </w:rPr>
        <w:t>岁至</w:t>
      </w:r>
      <w:r>
        <w:rPr>
          <w:rFonts w:ascii="Time New Roman" w:eastAsia="SimHei" w:hAnsi="Time New Roman" w:hint="eastAsia"/>
          <w:b/>
          <w:u w:val="none"/>
        </w:rPr>
        <w:t>15</w:t>
      </w:r>
      <w:r>
        <w:rPr>
          <w:rFonts w:ascii="Time New Roman" w:eastAsia="SimHei" w:hAnsi="Time New Roman" w:hint="eastAsia"/>
          <w:u w:val="none"/>
        </w:rPr>
        <w:t>岁儿童新式教育的特点</w:t>
      </w:r>
    </w:p>
    <w:p w:rsidR="00000000" w:rsidRDefault="00000000">
      <w:pPr>
        <w:rPr>
          <w:rFonts w:hint="eastAsia"/>
        </w:rPr>
      </w:pPr>
      <w:r>
        <w:rPr>
          <w:rFonts w:hint="eastAsia"/>
        </w:rPr>
        <w:tab/>
        <w:t xml:space="preserve">150.  </w:t>
      </w:r>
      <w:r>
        <w:rPr>
          <w:rFonts w:hint="eastAsia"/>
        </w:rPr>
        <w:t>为了实现这些新的目标，针对</w:t>
      </w:r>
      <w:r>
        <w:rPr>
          <w:rFonts w:hint="eastAsia"/>
        </w:rPr>
        <w:t>4</w:t>
      </w:r>
      <w:r>
        <w:rPr>
          <w:rFonts w:hint="eastAsia"/>
        </w:rPr>
        <w:t>岁至</w:t>
      </w:r>
      <w:r>
        <w:rPr>
          <w:rFonts w:hint="eastAsia"/>
        </w:rPr>
        <w:t>15</w:t>
      </w:r>
      <w:r>
        <w:rPr>
          <w:rFonts w:hint="eastAsia"/>
        </w:rPr>
        <w:t>岁儿童的教育必须符合以下标准：</w:t>
      </w:r>
    </w:p>
    <w:p w:rsidR="00000000" w:rsidRDefault="00000000">
      <w:pPr>
        <w:numPr>
          <w:ilvl w:val="0"/>
          <w:numId w:val="151"/>
        </w:numPr>
        <w:tabs>
          <w:tab w:val="clear" w:pos="1531"/>
        </w:tabs>
        <w:rPr>
          <w:rFonts w:hint="eastAsia"/>
        </w:rPr>
      </w:pPr>
      <w:r>
        <w:rPr>
          <w:rFonts w:hint="eastAsia"/>
        </w:rPr>
        <w:t>应该延长进行共同的、基本的和非选择性的教育时间，使之包括所有</w:t>
      </w:r>
      <w:r>
        <w:rPr>
          <w:rFonts w:hint="eastAsia"/>
        </w:rPr>
        <w:t>4</w:t>
      </w:r>
      <w:r>
        <w:rPr>
          <w:rFonts w:hint="eastAsia"/>
        </w:rPr>
        <w:t>岁至</w:t>
      </w:r>
      <w:r>
        <w:rPr>
          <w:rFonts w:hint="eastAsia"/>
        </w:rPr>
        <w:t>15</w:t>
      </w:r>
      <w:r>
        <w:rPr>
          <w:rFonts w:hint="eastAsia"/>
        </w:rPr>
        <w:t>岁的学生，从而推迟就培训和职业作出任何确定的决定。这将为以后的教育以及进入劳动力市场打下更为坚实的基础；</w:t>
      </w:r>
    </w:p>
    <w:p w:rsidR="00000000" w:rsidRDefault="00000000">
      <w:pPr>
        <w:pStyle w:val="a0"/>
        <w:widowControl w:val="0"/>
        <w:tabs>
          <w:tab w:val="num" w:pos="2060"/>
        </w:tabs>
        <w:ind w:left="2058"/>
        <w:rPr>
          <w:rFonts w:hint="eastAsia"/>
        </w:rPr>
      </w:pPr>
      <w:r>
        <w:rPr>
          <w:rFonts w:hint="eastAsia"/>
        </w:rPr>
        <w:t>这将提供一种不间断的和非选择性的教育，分为三个连续阶段：</w:t>
      </w:r>
      <w:r>
        <w:rPr>
          <w:rFonts w:hint="eastAsia"/>
        </w:rPr>
        <w:t>4</w:t>
      </w:r>
      <w:r>
        <w:rPr>
          <w:rFonts w:hint="eastAsia"/>
        </w:rPr>
        <w:t>岁至</w:t>
      </w:r>
      <w:r>
        <w:rPr>
          <w:rFonts w:hint="eastAsia"/>
        </w:rPr>
        <w:t>8</w:t>
      </w:r>
      <w:r>
        <w:rPr>
          <w:rFonts w:hint="eastAsia"/>
        </w:rPr>
        <w:t>岁为第一阶段，</w:t>
      </w:r>
      <w:r>
        <w:rPr>
          <w:rFonts w:hint="eastAsia"/>
        </w:rPr>
        <w:t>8</w:t>
      </w:r>
      <w:r>
        <w:rPr>
          <w:rFonts w:hint="eastAsia"/>
        </w:rPr>
        <w:t>岁至</w:t>
      </w:r>
      <w:r>
        <w:rPr>
          <w:rFonts w:hint="eastAsia"/>
        </w:rPr>
        <w:t>12</w:t>
      </w:r>
      <w:r>
        <w:rPr>
          <w:rFonts w:hint="eastAsia"/>
        </w:rPr>
        <w:t>岁为第二阶段，</w:t>
      </w:r>
      <w:r>
        <w:rPr>
          <w:rFonts w:hint="eastAsia"/>
        </w:rPr>
        <w:t>12</w:t>
      </w:r>
      <w:r>
        <w:rPr>
          <w:rFonts w:hint="eastAsia"/>
        </w:rPr>
        <w:t>岁至</w:t>
      </w:r>
      <w:r>
        <w:rPr>
          <w:rFonts w:hint="eastAsia"/>
        </w:rPr>
        <w:t>15</w:t>
      </w:r>
      <w:r>
        <w:rPr>
          <w:rFonts w:hint="eastAsia"/>
        </w:rPr>
        <w:t>岁为第三阶段；并且开展经常性的评估以监测质量；</w:t>
      </w:r>
    </w:p>
    <w:p w:rsidR="00000000" w:rsidRDefault="00000000">
      <w:pPr>
        <w:pStyle w:val="a0"/>
        <w:tabs>
          <w:tab w:val="num" w:pos="2060"/>
        </w:tabs>
        <w:ind w:left="2060"/>
        <w:rPr>
          <w:rFonts w:hint="eastAsia"/>
        </w:rPr>
      </w:pPr>
      <w:r>
        <w:rPr>
          <w:rFonts w:hint="eastAsia"/>
        </w:rPr>
        <w:t>将目前的幼儿园归入小学体系，成为学前班，从而构成教育的第一阶段。根据儿童的自然发展过程，将</w:t>
      </w:r>
      <w:r>
        <w:rPr>
          <w:rFonts w:hint="eastAsia"/>
        </w:rPr>
        <w:t>4</w:t>
      </w:r>
      <w:r>
        <w:rPr>
          <w:rFonts w:hint="eastAsia"/>
        </w:rPr>
        <w:t>岁至</w:t>
      </w:r>
      <w:r>
        <w:rPr>
          <w:rFonts w:hint="eastAsia"/>
        </w:rPr>
        <w:t>8</w:t>
      </w:r>
      <w:r>
        <w:rPr>
          <w:rFonts w:hint="eastAsia"/>
        </w:rPr>
        <w:t>岁的阶段视为一种内聚的发展阶段是有道理的。这也将消除幼儿园同小学之间的调整困难。在筹备阶段，必须确保所有学校为整个年龄组作好充分准备；</w:t>
      </w:r>
    </w:p>
    <w:p w:rsidR="00000000" w:rsidRDefault="00000000">
      <w:pPr>
        <w:pStyle w:val="a0"/>
        <w:tabs>
          <w:tab w:val="num" w:pos="2060"/>
        </w:tabs>
        <w:ind w:left="2060"/>
        <w:rPr>
          <w:rFonts w:hint="eastAsia"/>
        </w:rPr>
      </w:pPr>
      <w:r>
        <w:rPr>
          <w:rFonts w:hint="eastAsia"/>
        </w:rPr>
        <w:t>中学阶段的头两年将变成这种新式教育的最后两年</w:t>
      </w:r>
      <w:r>
        <w:rPr>
          <w:rFonts w:hint="eastAsia"/>
        </w:rPr>
        <w:t>(</w:t>
      </w:r>
      <w:r>
        <w:rPr>
          <w:rFonts w:hint="eastAsia"/>
        </w:rPr>
        <w:t>第三阶段</w:t>
      </w:r>
      <w:r>
        <w:rPr>
          <w:rFonts w:hint="eastAsia"/>
        </w:rPr>
        <w:t>)</w:t>
      </w:r>
      <w:r>
        <w:rPr>
          <w:rFonts w:hint="eastAsia"/>
        </w:rPr>
        <w:t>；</w:t>
      </w:r>
    </w:p>
    <w:p w:rsidR="00000000" w:rsidRDefault="00000000">
      <w:pPr>
        <w:pStyle w:val="a0"/>
        <w:tabs>
          <w:tab w:val="num" w:pos="2060"/>
        </w:tabs>
        <w:ind w:left="2060"/>
        <w:rPr>
          <w:rFonts w:hint="eastAsia"/>
        </w:rPr>
      </w:pPr>
      <w:r>
        <w:rPr>
          <w:rFonts w:hint="eastAsia"/>
        </w:rPr>
        <w:t>授课语言应为大多数居民的母语：在背风群岛是</w:t>
      </w:r>
      <w:r>
        <w:t>Papiamentu</w:t>
      </w:r>
      <w:r>
        <w:rPr>
          <w:rFonts w:hint="eastAsia"/>
        </w:rPr>
        <w:t>语；在迎风群岛是英语；</w:t>
      </w:r>
    </w:p>
    <w:p w:rsidR="00000000" w:rsidRDefault="00000000">
      <w:pPr>
        <w:pStyle w:val="a0"/>
        <w:tabs>
          <w:tab w:val="num" w:pos="2060"/>
        </w:tabs>
        <w:ind w:left="2060"/>
        <w:rPr>
          <w:rFonts w:hint="eastAsia"/>
        </w:rPr>
      </w:pPr>
      <w:r>
        <w:rPr>
          <w:rFonts w:hint="eastAsia"/>
        </w:rPr>
        <w:t>通过取消有关每个学年使用标准教材的制度，实现灵活的教学进度；</w:t>
      </w:r>
    </w:p>
    <w:p w:rsidR="00000000" w:rsidRDefault="00000000">
      <w:pPr>
        <w:pStyle w:val="a0"/>
        <w:tabs>
          <w:tab w:val="num" w:pos="2060"/>
        </w:tabs>
        <w:ind w:left="2060"/>
        <w:rPr>
          <w:rFonts w:hint="eastAsia"/>
        </w:rPr>
      </w:pPr>
      <w:r>
        <w:rPr>
          <w:rFonts w:hint="eastAsia"/>
        </w:rPr>
        <w:t>通过分组让个人得以更好的发挥；</w:t>
      </w:r>
    </w:p>
    <w:p w:rsidR="00000000" w:rsidRDefault="00000000">
      <w:pPr>
        <w:pStyle w:val="a0"/>
        <w:tabs>
          <w:tab w:val="num" w:pos="2060"/>
        </w:tabs>
        <w:ind w:left="2060"/>
        <w:rPr>
          <w:rFonts w:hint="eastAsia"/>
        </w:rPr>
      </w:pPr>
      <w:r>
        <w:rPr>
          <w:rFonts w:hint="eastAsia"/>
        </w:rPr>
        <w:t>将特殊教育</w:t>
      </w:r>
      <w:r>
        <w:rPr>
          <w:rFonts w:hint="eastAsia"/>
        </w:rPr>
        <w:t>(</w:t>
      </w:r>
      <w:r>
        <w:rPr>
          <w:rFonts w:hint="eastAsia"/>
        </w:rPr>
        <w:t>对于有学习障碍和行为障碍儿童的教育</w:t>
      </w:r>
      <w:r>
        <w:rPr>
          <w:rFonts w:hint="eastAsia"/>
        </w:rPr>
        <w:t>)</w:t>
      </w:r>
      <w:r>
        <w:rPr>
          <w:rFonts w:hint="eastAsia"/>
        </w:rPr>
        <w:t>纳入主流教育体系；</w:t>
      </w:r>
    </w:p>
    <w:p w:rsidR="00000000" w:rsidRDefault="00000000">
      <w:pPr>
        <w:pStyle w:val="a0"/>
        <w:tabs>
          <w:tab w:val="num" w:pos="2060"/>
        </w:tabs>
        <w:ind w:left="2060"/>
        <w:rPr>
          <w:rFonts w:hint="eastAsia"/>
        </w:rPr>
      </w:pPr>
      <w:r>
        <w:rPr>
          <w:rFonts w:hint="eastAsia"/>
        </w:rPr>
        <w:t>在第三阶段通过推出更为广泛的理论课和实践课程扩大教育范围，同时更加重视发展学生在社会、文化、技术、艺术和体育方面的技能；</w:t>
      </w:r>
    </w:p>
    <w:p w:rsidR="00000000" w:rsidRDefault="00000000">
      <w:pPr>
        <w:pStyle w:val="a0"/>
        <w:tabs>
          <w:tab w:val="num" w:pos="2060"/>
        </w:tabs>
        <w:spacing w:after="240"/>
        <w:ind w:left="2060"/>
        <w:rPr>
          <w:rFonts w:hint="eastAsia"/>
        </w:rPr>
      </w:pPr>
      <w:r>
        <w:rPr>
          <w:rFonts w:hint="eastAsia"/>
        </w:rPr>
        <w:t>更加强调在所有三个阶段中面向社会的方向。</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针对</w:t>
      </w:r>
      <w:r>
        <w:rPr>
          <w:rFonts w:ascii="Time New Roman" w:eastAsia="SimHei" w:hAnsi="Time New Roman" w:hint="eastAsia"/>
          <w:b/>
          <w:u w:val="none"/>
        </w:rPr>
        <w:t>4</w:t>
      </w:r>
      <w:r>
        <w:rPr>
          <w:rFonts w:ascii="Time New Roman" w:eastAsia="SimHei" w:hAnsi="Time New Roman" w:hint="eastAsia"/>
          <w:u w:val="none"/>
        </w:rPr>
        <w:t>岁至</w:t>
      </w:r>
      <w:r>
        <w:rPr>
          <w:rFonts w:ascii="Time New Roman" w:eastAsia="SimHei" w:hAnsi="Time New Roman" w:hint="eastAsia"/>
          <w:b/>
          <w:u w:val="none"/>
        </w:rPr>
        <w:t>15</w:t>
      </w:r>
      <w:r>
        <w:rPr>
          <w:rFonts w:ascii="Time New Roman" w:eastAsia="SimHei" w:hAnsi="Time New Roman" w:hint="eastAsia"/>
          <w:u w:val="none"/>
        </w:rPr>
        <w:t>岁儿童新式教育的实践</w:t>
      </w:r>
    </w:p>
    <w:p w:rsidR="00000000" w:rsidRDefault="00000000">
      <w:pPr>
        <w:rPr>
          <w:rFonts w:hint="eastAsia"/>
        </w:rPr>
      </w:pPr>
      <w:r>
        <w:rPr>
          <w:rFonts w:hint="eastAsia"/>
        </w:rPr>
        <w:tab/>
        <w:t xml:space="preserve">151.  </w:t>
      </w:r>
      <w:r>
        <w:rPr>
          <w:rFonts w:hint="eastAsia"/>
        </w:rPr>
        <w:t>新制度对儿童采取了综合教育方法，认为儿童在身体、社会、情感、认知以及精神方面的发展是相互紧密关联的。虽然一般来说，儿童经历了同样的认知发展阶段，但是每个儿童都是独特的个体，有具体的发展速度和学习方式。这就意味着每个儿童都有特别的发展之路，教师应当鼓励和指导他们，并且帮助他们走上发展之路，对于每个儿童的学习进度和学习方式给予机会和赞赏。必须珍视所有儿童的成就。这种新的教育制度一个明显特点是将不同年龄的儿童灵活编组学习，一个重要目标是建立一种“学习团体”，给予其中每个成员以鼓励和帮助。在第一阶段，这些学习团体可以包括</w:t>
      </w:r>
      <w:r>
        <w:rPr>
          <w:rFonts w:hint="eastAsia"/>
        </w:rPr>
        <w:t>4</w:t>
      </w:r>
      <w:r>
        <w:rPr>
          <w:rFonts w:hint="eastAsia"/>
        </w:rPr>
        <w:t>岁至</w:t>
      </w:r>
      <w:r>
        <w:rPr>
          <w:rFonts w:hint="eastAsia"/>
        </w:rPr>
        <w:t>6</w:t>
      </w:r>
      <w:r>
        <w:rPr>
          <w:rFonts w:hint="eastAsia"/>
        </w:rPr>
        <w:t>岁的儿童或者</w:t>
      </w:r>
      <w:r>
        <w:rPr>
          <w:rFonts w:hint="eastAsia"/>
        </w:rPr>
        <w:t>5</w:t>
      </w:r>
      <w:r>
        <w:rPr>
          <w:rFonts w:hint="eastAsia"/>
        </w:rPr>
        <w:t>岁至</w:t>
      </w:r>
      <w:r>
        <w:rPr>
          <w:rFonts w:hint="eastAsia"/>
        </w:rPr>
        <w:t>7</w:t>
      </w:r>
      <w:r>
        <w:rPr>
          <w:rFonts w:hint="eastAsia"/>
        </w:rPr>
        <w:t>岁的儿童，从而使得这些不同年龄的儿童有更多机会互动，并且摆脱规定相同年龄组的学生只能学习同样教材的旧的教学方法。这些团体并不是根据学习能力或者年龄而组成的，而是根据共同兴趣或者某个课题而组成的。所以学习团体中的性别、年龄和技能是各不相同的。这种灵活编组的方法让各种年龄的儿童共同学习，从而掌握一种“更为成熟的”学习方法。年龄较大的儿童模仿教师担任师傅的角色，并且主动“教育”组内比较年轻的成员。其有利之处在于：年龄较大的儿童在这个过程中将获得更大的自尊和自信。这种情况对于“最近发展区”是十分重要的，同时也缩短了实际发展同在教师、同伴或者其他组员的帮助下可以取得的发展潜力之间的差距。这就意味着年龄较小的儿童可以临时获得帮助以完成超过其能力的任务。由于教师注重于儿童的发展并且视之为一个连续的过程，就没有可能出现留级现象，在教师的推动下，所有儿童的个人才能得以充分发展。</w:t>
      </w:r>
    </w:p>
    <w:p w:rsidR="00000000" w:rsidRDefault="00000000">
      <w:pPr>
        <w:rPr>
          <w:rFonts w:hint="eastAsia"/>
        </w:rPr>
      </w:pPr>
      <w:r>
        <w:rPr>
          <w:rFonts w:hint="eastAsia"/>
        </w:rPr>
        <w:tab/>
        <w:t xml:space="preserve">152.  </w:t>
      </w:r>
      <w:r>
        <w:rPr>
          <w:rFonts w:hint="eastAsia"/>
        </w:rPr>
        <w:t>从学习是一种儿童积累知识的过程这个基本前提出发，根据儿童的个人需要、兴趣以及实力来选定课程。教师设计以儿童为中心的课程。为了关注和记录儿童的发展和进展，教师使用诸如文件夹、评注、观察资料、日记以及录相带等量化汇报工具。不使用标准的或者是教师自行设计的测试手段，也不使用任何教课书或者课本。与此相反，教师侧重于每个发展领域，从其学习进展和潜力方面来评估儿童。儿童的成绩也不同平均水平相比较。由于学生在几年中一直跟随同一名教师，因此教师可以逐步掌握学生发展的各个方面。</w:t>
      </w:r>
    </w:p>
    <w:p w:rsidR="00000000" w:rsidRDefault="00000000">
      <w:pPr>
        <w:spacing w:after="240"/>
        <w:rPr>
          <w:rFonts w:hint="eastAsia"/>
        </w:rPr>
      </w:pPr>
      <w:r>
        <w:rPr>
          <w:rFonts w:hint="eastAsia"/>
        </w:rPr>
        <w:tab/>
        <w:t xml:space="preserve">153.  </w:t>
      </w:r>
      <w:r>
        <w:rPr>
          <w:rFonts w:hint="eastAsia"/>
        </w:rPr>
        <w:t>教师可以利用图表或者报告来记录儿童的发展情况。这种发展是通过量化工具加以证明的，并且以此为基础针对儿童的个别需要进行教学。这种教学方法使得学生能够看到自己的学习能力。</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中等教育的变革</w:t>
      </w:r>
    </w:p>
    <w:p w:rsidR="00000000" w:rsidRDefault="00000000">
      <w:pPr>
        <w:rPr>
          <w:rFonts w:hint="eastAsia"/>
        </w:rPr>
      </w:pPr>
      <w:r>
        <w:rPr>
          <w:rFonts w:hint="eastAsia"/>
        </w:rPr>
        <w:tab/>
        <w:t xml:space="preserve">154.  </w:t>
      </w:r>
      <w:r>
        <w:rPr>
          <w:rFonts w:hint="eastAsia"/>
        </w:rPr>
        <w:t>中等教育正在现代化，其目的如下：</w:t>
      </w:r>
    </w:p>
    <w:p w:rsidR="00000000" w:rsidRDefault="00000000">
      <w:pPr>
        <w:pStyle w:val="a0"/>
        <w:tabs>
          <w:tab w:val="num" w:pos="1790"/>
        </w:tabs>
        <w:ind w:left="1790"/>
        <w:rPr>
          <w:rFonts w:hint="eastAsia"/>
        </w:rPr>
      </w:pPr>
      <w:r>
        <w:rPr>
          <w:rFonts w:hint="eastAsia"/>
        </w:rPr>
        <w:t>提高标准并且确保教育更加符合社会、文化以及经济的需要；</w:t>
      </w:r>
    </w:p>
    <w:p w:rsidR="00000000" w:rsidRDefault="00000000">
      <w:pPr>
        <w:pStyle w:val="a0"/>
        <w:tabs>
          <w:tab w:val="num" w:pos="1790"/>
        </w:tabs>
        <w:ind w:left="1790"/>
        <w:rPr>
          <w:rFonts w:hint="eastAsia"/>
        </w:rPr>
      </w:pPr>
      <w:r>
        <w:rPr>
          <w:rFonts w:hint="eastAsia"/>
        </w:rPr>
        <w:t>为了提高教育质量而解决问题；</w:t>
      </w:r>
    </w:p>
    <w:p w:rsidR="00000000" w:rsidRDefault="00000000">
      <w:pPr>
        <w:pStyle w:val="a0"/>
        <w:tabs>
          <w:tab w:val="num" w:pos="1790"/>
        </w:tabs>
        <w:ind w:left="1790"/>
        <w:rPr>
          <w:rFonts w:hint="eastAsia"/>
        </w:rPr>
      </w:pPr>
      <w:r>
        <w:rPr>
          <w:rFonts w:hint="eastAsia"/>
        </w:rPr>
        <w:t>对于随着知识经济的发展而来的急剧的经济和技术现代化提出的新要求作出充分的回应；</w:t>
      </w:r>
    </w:p>
    <w:p w:rsidR="00000000" w:rsidRDefault="00000000">
      <w:pPr>
        <w:pStyle w:val="a0"/>
        <w:tabs>
          <w:tab w:val="num" w:pos="1790"/>
        </w:tabs>
        <w:spacing w:after="240"/>
        <w:ind w:left="1790"/>
        <w:rPr>
          <w:rFonts w:hint="eastAsia"/>
        </w:rPr>
      </w:pPr>
      <w:r>
        <w:rPr>
          <w:rFonts w:hint="eastAsia"/>
        </w:rPr>
        <w:t>保证学生有机会在国内或者国外，特别是在荷兰，继续其学业。</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初级职业教育</w:t>
      </w:r>
      <w:r>
        <w:rPr>
          <w:rFonts w:ascii="Time New Roman" w:eastAsia="SimHei" w:hAnsi="Time New Roman" w:hint="eastAsia"/>
          <w:u w:val="none"/>
        </w:rPr>
        <w:t>(</w:t>
      </w:r>
      <w:r>
        <w:rPr>
          <w:rFonts w:ascii="Time New Roman" w:eastAsia="SimHei" w:hAnsi="Time New Roman" w:hint="eastAsia"/>
          <w:b/>
          <w:u w:val="none"/>
        </w:rPr>
        <w:t>BVO</w:t>
      </w:r>
      <w:r>
        <w:rPr>
          <w:rFonts w:ascii="Time New Roman" w:eastAsia="SimHei" w:hAnsi="Time New Roman" w:hint="eastAsia"/>
          <w:u w:val="none"/>
        </w:rPr>
        <w:t>)</w:t>
      </w:r>
      <w:r>
        <w:rPr>
          <w:rFonts w:ascii="Time New Roman" w:eastAsia="SimHei" w:hAnsi="Time New Roman" w:hint="eastAsia"/>
          <w:u w:val="none"/>
        </w:rPr>
        <w:t>和普通初中教育</w:t>
      </w:r>
      <w:r>
        <w:rPr>
          <w:rFonts w:ascii="Time New Roman" w:eastAsia="SimHei" w:hAnsi="Time New Roman" w:hint="eastAsia"/>
          <w:u w:val="none"/>
        </w:rPr>
        <w:t>(</w:t>
      </w:r>
      <w:r>
        <w:rPr>
          <w:rFonts w:ascii="Time New Roman" w:eastAsia="SimHei" w:hAnsi="Time New Roman" w:hint="eastAsia"/>
          <w:b/>
          <w:u w:val="none"/>
        </w:rPr>
        <w:t>MAVO</w:t>
      </w:r>
      <w:r>
        <w:rPr>
          <w:rFonts w:ascii="Time New Roman" w:eastAsia="SimHei" w:hAnsi="Time New Roman" w:hint="eastAsia"/>
          <w:u w:val="none"/>
        </w:rPr>
        <w:t>)</w:t>
      </w:r>
      <w:r>
        <w:rPr>
          <w:rFonts w:ascii="Time New Roman" w:eastAsia="SimHei" w:hAnsi="Time New Roman" w:hint="eastAsia"/>
          <w:u w:val="none"/>
        </w:rPr>
        <w:t>的改革</w:t>
      </w:r>
    </w:p>
    <w:p w:rsidR="00000000" w:rsidRDefault="00000000">
      <w:pPr>
        <w:rPr>
          <w:rFonts w:hint="eastAsia"/>
        </w:rPr>
      </w:pPr>
      <w:r>
        <w:rPr>
          <w:rFonts w:hint="eastAsia"/>
        </w:rPr>
        <w:tab/>
        <w:t>155.  BVO</w:t>
      </w:r>
      <w:r>
        <w:rPr>
          <w:rFonts w:hint="eastAsia"/>
        </w:rPr>
        <w:t>和</w:t>
      </w:r>
      <w:r>
        <w:rPr>
          <w:rFonts w:hint="eastAsia"/>
        </w:rPr>
        <w:t>MAVO</w:t>
      </w:r>
      <w:r>
        <w:rPr>
          <w:rFonts w:hint="eastAsia"/>
        </w:rPr>
        <w:t>都表现出许多缺点，从而显示它们并不符合学生的文化和社会背景。</w:t>
      </w:r>
    </w:p>
    <w:p w:rsidR="00000000" w:rsidRDefault="00000000">
      <w:pPr>
        <w:rPr>
          <w:rFonts w:hint="eastAsia"/>
        </w:rPr>
      </w:pPr>
      <w:r>
        <w:rPr>
          <w:rFonts w:hint="eastAsia"/>
        </w:rPr>
        <w:tab/>
        <w:t>156.  BVO</w:t>
      </w:r>
      <w:r>
        <w:rPr>
          <w:rFonts w:hint="eastAsia"/>
        </w:rPr>
        <w:t>和</w:t>
      </w:r>
      <w:r>
        <w:rPr>
          <w:rFonts w:hint="eastAsia"/>
        </w:rPr>
        <w:t>MAVO</w:t>
      </w:r>
      <w:r>
        <w:rPr>
          <w:rFonts w:hint="eastAsia"/>
        </w:rPr>
        <w:t>的改革必须致力于：</w:t>
      </w:r>
    </w:p>
    <w:p w:rsidR="00000000" w:rsidRDefault="00000000">
      <w:pPr>
        <w:pStyle w:val="a0"/>
        <w:tabs>
          <w:tab w:val="num" w:pos="1540"/>
        </w:tabs>
        <w:ind w:left="1540"/>
        <w:rPr>
          <w:rFonts w:hint="eastAsia"/>
        </w:rPr>
      </w:pPr>
      <w:r>
        <w:rPr>
          <w:rFonts w:hint="eastAsia"/>
        </w:rPr>
        <w:t>教育现代化；</w:t>
      </w:r>
    </w:p>
    <w:p w:rsidR="00000000" w:rsidRDefault="00000000">
      <w:pPr>
        <w:pStyle w:val="a0"/>
        <w:tabs>
          <w:tab w:val="num" w:pos="1540"/>
        </w:tabs>
        <w:ind w:left="1540"/>
        <w:rPr>
          <w:rFonts w:hint="eastAsia"/>
        </w:rPr>
      </w:pPr>
      <w:r>
        <w:rPr>
          <w:rFonts w:hint="eastAsia"/>
        </w:rPr>
        <w:t>确保初级中等教育向中等职业教育的顺利过渡；</w:t>
      </w:r>
    </w:p>
    <w:p w:rsidR="00000000" w:rsidRDefault="00000000">
      <w:pPr>
        <w:pStyle w:val="a0"/>
        <w:tabs>
          <w:tab w:val="num" w:pos="1540"/>
        </w:tabs>
        <w:ind w:left="1540"/>
        <w:rPr>
          <w:rFonts w:hint="eastAsia"/>
        </w:rPr>
      </w:pPr>
      <w:r>
        <w:rPr>
          <w:rFonts w:hint="eastAsia"/>
        </w:rPr>
        <w:t>改进</w:t>
      </w:r>
      <w:r>
        <w:rPr>
          <w:rFonts w:hint="eastAsia"/>
        </w:rPr>
        <w:t>BVO</w:t>
      </w:r>
      <w:r>
        <w:rPr>
          <w:rFonts w:hint="eastAsia"/>
        </w:rPr>
        <w:t>和</w:t>
      </w:r>
      <w:r>
        <w:rPr>
          <w:rFonts w:hint="eastAsia"/>
        </w:rPr>
        <w:t>MAVO</w:t>
      </w:r>
      <w:r>
        <w:rPr>
          <w:rFonts w:hint="eastAsia"/>
        </w:rPr>
        <w:t>以及其他形式的中等教育向社会和劳动力市场的过渡；</w:t>
      </w:r>
    </w:p>
    <w:p w:rsidR="00000000" w:rsidRDefault="00000000">
      <w:pPr>
        <w:pStyle w:val="a0"/>
        <w:tabs>
          <w:tab w:val="num" w:pos="1540"/>
        </w:tabs>
        <w:ind w:left="1540"/>
        <w:rPr>
          <w:rFonts w:hint="eastAsia"/>
        </w:rPr>
      </w:pPr>
      <w:r>
        <w:rPr>
          <w:rFonts w:hint="eastAsia"/>
        </w:rPr>
        <w:t>通过实施广泛的切合劳动实践的方案，保障初级职业教育同劳动力市场各部门之间的联系。在一些情况下，这就使得学生有可能推迟职业选择。广泛的方案有助于在解决规模问题的同时满足需求。</w:t>
      </w:r>
    </w:p>
    <w:p w:rsidR="00000000" w:rsidRDefault="00000000">
      <w:pPr>
        <w:rPr>
          <w:rFonts w:hint="eastAsia"/>
        </w:rPr>
      </w:pPr>
      <w:r>
        <w:rPr>
          <w:rFonts w:hint="eastAsia"/>
        </w:rPr>
        <w:tab/>
        <w:t>157.  BVO</w:t>
      </w:r>
      <w:r>
        <w:rPr>
          <w:rFonts w:hint="eastAsia"/>
        </w:rPr>
        <w:t>和</w:t>
      </w:r>
      <w:r>
        <w:rPr>
          <w:rFonts w:hint="eastAsia"/>
        </w:rPr>
        <w:t>MAVO</w:t>
      </w:r>
      <w:r>
        <w:rPr>
          <w:rFonts w:hint="eastAsia"/>
        </w:rPr>
        <w:t>的现代化将涉及两者合并成为职业初中</w:t>
      </w:r>
      <w:r>
        <w:rPr>
          <w:rFonts w:hint="eastAsia"/>
        </w:rPr>
        <w:t>(VSBO)</w:t>
      </w:r>
      <w:r>
        <w:rPr>
          <w:rFonts w:hint="eastAsia"/>
        </w:rPr>
        <w:t>，然后毕业生就可以升上职业高中。在</w:t>
      </w:r>
      <w:r>
        <w:rPr>
          <w:rFonts w:hint="eastAsia"/>
        </w:rPr>
        <w:t>2002/03</w:t>
      </w:r>
      <w:r>
        <w:rPr>
          <w:rFonts w:hint="eastAsia"/>
        </w:rPr>
        <w:t>学年已经开始这种合并。</w:t>
      </w:r>
    </w:p>
    <w:p w:rsidR="00000000" w:rsidRDefault="00000000">
      <w:pPr>
        <w:rPr>
          <w:rFonts w:hint="eastAsia"/>
        </w:rPr>
      </w:pPr>
      <w:r>
        <w:rPr>
          <w:rFonts w:hint="eastAsia"/>
        </w:rPr>
        <w:tab/>
        <w:t xml:space="preserve">158.  </w:t>
      </w:r>
      <w:r>
        <w:rPr>
          <w:rFonts w:hint="eastAsia"/>
        </w:rPr>
        <w:t>计划确保教育内容更加符合以后教育阶段的需要。为了落实</w:t>
      </w:r>
      <w:r>
        <w:rPr>
          <w:rFonts w:hint="eastAsia"/>
        </w:rPr>
        <w:t xml:space="preserve">VSBO, </w:t>
      </w:r>
      <w:r>
        <w:rPr>
          <w:rFonts w:hint="eastAsia"/>
        </w:rPr>
        <w:t>将制定研究方案以及各个部门统一的考试课目。将从初级中等教育协调课程内容，并依据</w:t>
      </w:r>
      <w:r>
        <w:rPr>
          <w:rFonts w:hint="eastAsia"/>
        </w:rPr>
        <w:t>SBO</w:t>
      </w:r>
      <w:r>
        <w:rPr>
          <w:rFonts w:hint="eastAsia"/>
        </w:rPr>
        <w:t>的质量结构拟订课程。学生将在适当时候选择部门以及学习方案。</w:t>
      </w:r>
    </w:p>
    <w:p w:rsidR="00000000" w:rsidRDefault="00000000">
      <w:pPr>
        <w:rPr>
          <w:rFonts w:hint="eastAsia"/>
        </w:rPr>
      </w:pPr>
      <w:r>
        <w:rPr>
          <w:rFonts w:hint="eastAsia"/>
        </w:rPr>
        <w:tab/>
        <w:t>159.  VSBO</w:t>
      </w:r>
      <w:r>
        <w:rPr>
          <w:rFonts w:hint="eastAsia"/>
        </w:rPr>
        <w:t>分为三个部门：</w:t>
      </w:r>
    </w:p>
    <w:p w:rsidR="00000000" w:rsidRDefault="00000000">
      <w:pPr>
        <w:pStyle w:val="a0"/>
        <w:tabs>
          <w:tab w:val="num" w:pos="1540"/>
        </w:tabs>
        <w:ind w:left="1540"/>
        <w:rPr>
          <w:rFonts w:hint="eastAsia"/>
        </w:rPr>
      </w:pPr>
      <w:r>
        <w:rPr>
          <w:rFonts w:hint="eastAsia"/>
        </w:rPr>
        <w:t>技术；</w:t>
      </w:r>
    </w:p>
    <w:p w:rsidR="00000000" w:rsidRDefault="00000000">
      <w:pPr>
        <w:pStyle w:val="a0"/>
        <w:tabs>
          <w:tab w:val="num" w:pos="1540"/>
        </w:tabs>
        <w:ind w:left="1540"/>
        <w:rPr>
          <w:rFonts w:hint="eastAsia"/>
        </w:rPr>
      </w:pPr>
      <w:r>
        <w:rPr>
          <w:rFonts w:hint="eastAsia"/>
        </w:rPr>
        <w:t>卫生；</w:t>
      </w:r>
    </w:p>
    <w:p w:rsidR="00000000" w:rsidRDefault="00000000">
      <w:pPr>
        <w:pStyle w:val="a0"/>
        <w:tabs>
          <w:tab w:val="num" w:pos="1540"/>
        </w:tabs>
        <w:ind w:left="1540"/>
        <w:rPr>
          <w:rFonts w:hint="eastAsia"/>
        </w:rPr>
      </w:pPr>
      <w:r>
        <w:rPr>
          <w:rFonts w:hint="eastAsia"/>
        </w:rPr>
        <w:t>经济学。</w:t>
      </w:r>
    </w:p>
    <w:p w:rsidR="00000000" w:rsidRDefault="00000000">
      <w:pPr>
        <w:rPr>
          <w:rFonts w:hint="eastAsia"/>
        </w:rPr>
      </w:pPr>
      <w:r>
        <w:rPr>
          <w:rFonts w:hint="eastAsia"/>
        </w:rPr>
        <w:t>此外，每个部门都将有一些着眼于职业的方案。</w:t>
      </w:r>
    </w:p>
    <w:p w:rsidR="00000000" w:rsidRDefault="00000000">
      <w:pPr>
        <w:rPr>
          <w:rFonts w:hint="eastAsia"/>
        </w:rPr>
      </w:pPr>
      <w:r>
        <w:rPr>
          <w:rFonts w:hint="eastAsia"/>
        </w:rPr>
        <w:tab/>
        <w:t xml:space="preserve">160.  </w:t>
      </w:r>
      <w:r>
        <w:rPr>
          <w:rFonts w:hint="eastAsia"/>
        </w:rPr>
        <w:t>为了加强</w:t>
      </w:r>
      <w:r>
        <w:rPr>
          <w:rFonts w:hint="eastAsia"/>
        </w:rPr>
        <w:t>VSBO</w:t>
      </w:r>
      <w:r>
        <w:rPr>
          <w:rFonts w:hint="eastAsia"/>
        </w:rPr>
        <w:t>同荷属安的列斯群岛社会的联系，教育、文化及体育部已经委托制定新的教学大纲。</w:t>
      </w:r>
    </w:p>
    <w:p w:rsidR="00000000" w:rsidRDefault="00000000">
      <w:pPr>
        <w:rPr>
          <w:rFonts w:hint="eastAsia"/>
        </w:rPr>
      </w:pPr>
      <w:r>
        <w:rPr>
          <w:rFonts w:hint="eastAsia"/>
        </w:rPr>
        <w:tab/>
        <w:t xml:space="preserve">161.  </w:t>
      </w:r>
      <w:r>
        <w:rPr>
          <w:rFonts w:hint="eastAsia"/>
        </w:rPr>
        <w:t>为了减少</w:t>
      </w:r>
      <w:r>
        <w:rPr>
          <w:rFonts w:hint="eastAsia"/>
        </w:rPr>
        <w:t>VSBO</w:t>
      </w:r>
      <w:r>
        <w:rPr>
          <w:rFonts w:hint="eastAsia"/>
        </w:rPr>
        <w:t>的退学率并且让所有学生都有平等机会完成其学业，将从结构上保障所有学生的教育需要。这种保障结构的目的是要考虑到学生在学习潜力、技能、学习方式以及在社会、经济及文化背景方面的差别，并且对男孩和女孩的差别以及男孩在学校中所面对的具体问题作出适当反应。</w:t>
      </w:r>
    </w:p>
    <w:p w:rsidR="00000000" w:rsidRDefault="00000000">
      <w:pPr>
        <w:widowControl w:val="0"/>
        <w:rPr>
          <w:rFonts w:hint="eastAsia"/>
        </w:rPr>
      </w:pPr>
      <w:r>
        <w:rPr>
          <w:rFonts w:hint="eastAsia"/>
        </w:rPr>
        <w:tab/>
        <w:t xml:space="preserve">162.  </w:t>
      </w:r>
      <w:r>
        <w:rPr>
          <w:rFonts w:hint="eastAsia"/>
        </w:rPr>
        <w:t>这些办法用来帮助所有在学校生活中有困难的学生，使得他们不致于因为掉队而退学。这些方法将使得一批估计无法完成</w:t>
      </w:r>
      <w:r>
        <w:rPr>
          <w:rFonts w:hint="eastAsia"/>
        </w:rPr>
        <w:t>VSBO</w:t>
      </w:r>
      <w:r>
        <w:rPr>
          <w:rFonts w:hint="eastAsia"/>
        </w:rPr>
        <w:t>教育的学生接受劳动教育</w:t>
      </w:r>
      <w:r>
        <w:rPr>
          <w:rFonts w:hint="eastAsia"/>
        </w:rPr>
        <w:t>(AGO)</w:t>
      </w:r>
      <w:r>
        <w:rPr>
          <w:rFonts w:hint="eastAsia"/>
        </w:rPr>
        <w:t>。</w:t>
      </w:r>
    </w:p>
    <w:p w:rsidR="00000000" w:rsidRDefault="00000000">
      <w:pPr>
        <w:spacing w:after="240"/>
        <w:rPr>
          <w:rFonts w:hint="eastAsia"/>
        </w:rPr>
      </w:pPr>
      <w:r>
        <w:rPr>
          <w:rFonts w:hint="eastAsia"/>
        </w:rPr>
        <w:tab/>
        <w:t xml:space="preserve">163.  </w:t>
      </w:r>
      <w:r>
        <w:rPr>
          <w:rFonts w:hint="eastAsia"/>
        </w:rPr>
        <w:t>着眼于劳动的教育并不是面向某个部门的，而是以学生为中心的。只有少数个别挑选的学生会被转到</w:t>
      </w:r>
      <w:r>
        <w:rPr>
          <w:rFonts w:hint="eastAsia"/>
        </w:rPr>
        <w:t xml:space="preserve">AGO, </w:t>
      </w:r>
      <w:r>
        <w:rPr>
          <w:rFonts w:hint="eastAsia"/>
        </w:rPr>
        <w:t>而其候选人必须完成严格的入学程序。</w:t>
      </w:r>
      <w:r>
        <w:rPr>
          <w:rFonts w:hint="eastAsia"/>
        </w:rPr>
        <w:t>AGO</w:t>
      </w:r>
      <w:r>
        <w:rPr>
          <w:rFonts w:hint="eastAsia"/>
        </w:rPr>
        <w:t>充分考虑到每个学生的个别才能，并且计划进行有针对性的教育，其中内部和外部的实地工作经验发挥了关键作用。</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普通高中</w:t>
      </w:r>
      <w:r>
        <w:rPr>
          <w:rFonts w:ascii="Time New Roman" w:eastAsia="SimHei" w:hAnsi="Time New Roman" w:hint="eastAsia"/>
          <w:u w:val="none"/>
        </w:rPr>
        <w:t>(</w:t>
      </w:r>
      <w:r>
        <w:rPr>
          <w:rFonts w:ascii="Time New Roman" w:eastAsia="SimHei" w:hAnsi="Time New Roman" w:hint="eastAsia"/>
          <w:b/>
          <w:u w:val="none"/>
        </w:rPr>
        <w:t>HAVO</w:t>
      </w:r>
      <w:r>
        <w:rPr>
          <w:rFonts w:ascii="Time New Roman" w:eastAsia="SimHei" w:hAnsi="Time New Roman" w:hint="eastAsia"/>
          <w:u w:val="none"/>
        </w:rPr>
        <w:t>)</w:t>
      </w:r>
      <w:r>
        <w:rPr>
          <w:rFonts w:ascii="Time New Roman" w:eastAsia="SimHei" w:hAnsi="Time New Roman" w:hint="eastAsia"/>
          <w:u w:val="none"/>
        </w:rPr>
        <w:t>和大学预备教育</w:t>
      </w:r>
      <w:r>
        <w:rPr>
          <w:rFonts w:ascii="Time New Roman" w:eastAsia="SimHei" w:hAnsi="Time New Roman" w:hint="eastAsia"/>
          <w:u w:val="none"/>
        </w:rPr>
        <w:t>(</w:t>
      </w:r>
      <w:r>
        <w:rPr>
          <w:rFonts w:ascii="Time New Roman" w:eastAsia="SimHei" w:hAnsi="Time New Roman" w:hint="eastAsia"/>
          <w:b/>
          <w:u w:val="none"/>
        </w:rPr>
        <w:t>VWO</w:t>
      </w:r>
      <w:r>
        <w:rPr>
          <w:rFonts w:ascii="Time New Roman" w:eastAsia="SimHei" w:hAnsi="Time New Roman" w:hint="eastAsia"/>
          <w:u w:val="none"/>
        </w:rPr>
        <w:t>)</w:t>
      </w:r>
      <w:r>
        <w:rPr>
          <w:rFonts w:ascii="Time New Roman" w:eastAsia="SimHei" w:hAnsi="Time New Roman" w:hint="eastAsia"/>
          <w:u w:val="none"/>
        </w:rPr>
        <w:t>的改革</w:t>
      </w:r>
    </w:p>
    <w:p w:rsidR="00000000" w:rsidRDefault="00000000">
      <w:pPr>
        <w:rPr>
          <w:rFonts w:hint="eastAsia"/>
          <w:spacing w:val="8"/>
        </w:rPr>
      </w:pPr>
      <w:r>
        <w:rPr>
          <w:rFonts w:hint="eastAsia"/>
        </w:rPr>
        <w:tab/>
        <w:t xml:space="preserve">164.  </w:t>
      </w:r>
      <w:r>
        <w:rPr>
          <w:rFonts w:hint="eastAsia"/>
          <w:spacing w:val="8"/>
        </w:rPr>
        <w:t>在荷属安的列斯群岛所提供的各类教育之中，目前</w:t>
      </w:r>
      <w:r>
        <w:rPr>
          <w:rFonts w:hint="eastAsia"/>
          <w:spacing w:val="8"/>
        </w:rPr>
        <w:t>HAVO</w:t>
      </w:r>
      <w:r>
        <w:rPr>
          <w:rFonts w:hint="eastAsia"/>
          <w:spacing w:val="8"/>
        </w:rPr>
        <w:t>和</w:t>
      </w:r>
      <w:r>
        <w:rPr>
          <w:rFonts w:hint="eastAsia"/>
          <w:spacing w:val="8"/>
        </w:rPr>
        <w:t>VWO</w:t>
      </w:r>
      <w:r>
        <w:rPr>
          <w:rFonts w:hint="eastAsia"/>
          <w:spacing w:val="8"/>
        </w:rPr>
        <w:t>学校同荷兰的同类学校最为接近。这些学校大多数的教学大纲、教材以及试题都来自荷兰。</w:t>
      </w:r>
    </w:p>
    <w:p w:rsidR="00000000" w:rsidRDefault="00000000">
      <w:pPr>
        <w:rPr>
          <w:rFonts w:hint="eastAsia"/>
        </w:rPr>
      </w:pPr>
      <w:r>
        <w:rPr>
          <w:rFonts w:hint="eastAsia"/>
        </w:rPr>
        <w:tab/>
        <w:t>165.  HAVO</w:t>
      </w:r>
      <w:r>
        <w:rPr>
          <w:rFonts w:hint="eastAsia"/>
        </w:rPr>
        <w:t>和</w:t>
      </w:r>
      <w:r>
        <w:rPr>
          <w:rFonts w:hint="eastAsia"/>
        </w:rPr>
        <w:t>VWO</w:t>
      </w:r>
      <w:r>
        <w:rPr>
          <w:rFonts w:hint="eastAsia"/>
        </w:rPr>
        <w:t>因为以下三个原因而需要改革：</w:t>
      </w:r>
    </w:p>
    <w:p w:rsidR="00000000" w:rsidRDefault="00000000">
      <w:pPr>
        <w:numPr>
          <w:ilvl w:val="0"/>
          <w:numId w:val="144"/>
        </w:numPr>
        <w:rPr>
          <w:rFonts w:hint="eastAsia"/>
        </w:rPr>
      </w:pPr>
      <w:r>
        <w:rPr>
          <w:rFonts w:hint="eastAsia"/>
        </w:rPr>
        <w:t>目前影响</w:t>
      </w:r>
      <w:r>
        <w:rPr>
          <w:rFonts w:hint="eastAsia"/>
        </w:rPr>
        <w:t>HAVO</w:t>
      </w:r>
      <w:r>
        <w:rPr>
          <w:rFonts w:hint="eastAsia"/>
        </w:rPr>
        <w:t>和</w:t>
      </w:r>
      <w:r>
        <w:rPr>
          <w:rFonts w:hint="eastAsia"/>
        </w:rPr>
        <w:t>VWO</w:t>
      </w:r>
      <w:r>
        <w:rPr>
          <w:rFonts w:hint="eastAsia"/>
        </w:rPr>
        <w:t>学校的问题包括：缺乏物资和财政资源；教学方法过时，同一年级的所有学生都使用同样的教材；缺乏当地教师；没有根据具体需要来编写教材：</w:t>
      </w:r>
    </w:p>
    <w:p w:rsidR="00000000" w:rsidRDefault="00000000">
      <w:pPr>
        <w:pStyle w:val="a0"/>
        <w:tabs>
          <w:tab w:val="num" w:pos="2040"/>
        </w:tabs>
        <w:ind w:left="2040"/>
        <w:rPr>
          <w:rFonts w:hint="eastAsia"/>
        </w:rPr>
      </w:pPr>
      <w:r>
        <w:rPr>
          <w:rFonts w:hint="eastAsia"/>
        </w:rPr>
        <w:t>第一批完成初级中等教育的学生于</w:t>
      </w:r>
      <w:r>
        <w:rPr>
          <w:rFonts w:hint="eastAsia"/>
        </w:rPr>
        <w:t>2000/01</w:t>
      </w:r>
      <w:r>
        <w:rPr>
          <w:rFonts w:hint="eastAsia"/>
        </w:rPr>
        <w:t>学年进入</w:t>
      </w:r>
      <w:r>
        <w:rPr>
          <w:rFonts w:hint="eastAsia"/>
        </w:rPr>
        <w:t>HAVO</w:t>
      </w:r>
      <w:r>
        <w:rPr>
          <w:rFonts w:hint="eastAsia"/>
        </w:rPr>
        <w:t>和</w:t>
      </w:r>
      <w:r>
        <w:rPr>
          <w:rFonts w:hint="eastAsia"/>
        </w:rPr>
        <w:t>VWO</w:t>
      </w:r>
      <w:r>
        <w:rPr>
          <w:rFonts w:hint="eastAsia"/>
        </w:rPr>
        <w:t>的三年级，而且必须按照同样的道路继续接受教育。所以这两类教育的短期改革将建立在初级中等教育已经开展的创新基础之上；</w:t>
      </w:r>
    </w:p>
    <w:p w:rsidR="00000000" w:rsidRDefault="00000000">
      <w:pPr>
        <w:pStyle w:val="a0"/>
        <w:tabs>
          <w:tab w:val="num" w:pos="2040"/>
        </w:tabs>
        <w:ind w:left="2040"/>
        <w:rPr>
          <w:rFonts w:hint="eastAsia"/>
        </w:rPr>
      </w:pPr>
      <w:r>
        <w:rPr>
          <w:rFonts w:hint="eastAsia"/>
        </w:rPr>
        <w:t>荷兰已经启动对于</w:t>
      </w:r>
      <w:r>
        <w:rPr>
          <w:rFonts w:hint="eastAsia"/>
        </w:rPr>
        <w:t>HAVO</w:t>
      </w:r>
      <w:r>
        <w:rPr>
          <w:rFonts w:hint="eastAsia"/>
        </w:rPr>
        <w:t>和</w:t>
      </w:r>
      <w:r>
        <w:rPr>
          <w:rFonts w:hint="eastAsia"/>
        </w:rPr>
        <w:t>VWO</w:t>
      </w:r>
      <w:r>
        <w:rPr>
          <w:rFonts w:hint="eastAsia"/>
        </w:rPr>
        <w:t>的改革，已经实行课程合并。</w:t>
      </w:r>
    </w:p>
    <w:p w:rsidR="00000000" w:rsidRDefault="00000000">
      <w:pPr>
        <w:rPr>
          <w:rFonts w:hint="eastAsia"/>
        </w:rPr>
      </w:pPr>
      <w:r>
        <w:rPr>
          <w:rFonts w:hint="eastAsia"/>
        </w:rPr>
        <w:tab/>
        <w:t xml:space="preserve">166.  </w:t>
      </w:r>
      <w:r>
        <w:rPr>
          <w:rFonts w:hint="eastAsia"/>
        </w:rPr>
        <w:t>从</w:t>
      </w:r>
      <w:r>
        <w:rPr>
          <w:rFonts w:hint="eastAsia"/>
        </w:rPr>
        <w:t>1999/2000</w:t>
      </w:r>
      <w:r>
        <w:rPr>
          <w:rFonts w:hint="eastAsia"/>
        </w:rPr>
        <w:t>学年开始，荷兰</w:t>
      </w:r>
      <w:r>
        <w:rPr>
          <w:rFonts w:hint="eastAsia"/>
        </w:rPr>
        <w:t>HAVO</w:t>
      </w:r>
      <w:r>
        <w:rPr>
          <w:rFonts w:hint="eastAsia"/>
        </w:rPr>
        <w:t>的高年级就已经开始根据四种不同的合并课程或者教学方案来组织教学；为学生在大学中学习类似课程作好准备。一些课程已经合并，另外来增加了一些新的课程。学校使用新的教学方法，考试要求也已经修订。</w:t>
      </w:r>
    </w:p>
    <w:p w:rsidR="00000000" w:rsidRDefault="00000000">
      <w:pPr>
        <w:rPr>
          <w:rFonts w:hint="eastAsia"/>
        </w:rPr>
      </w:pPr>
      <w:r>
        <w:rPr>
          <w:rFonts w:hint="eastAsia"/>
        </w:rPr>
        <w:tab/>
        <w:t xml:space="preserve">167.  </w:t>
      </w:r>
      <w:r>
        <w:rPr>
          <w:rFonts w:hint="eastAsia"/>
        </w:rPr>
        <w:t>荷兰的教育改革对于荷属安的列斯群岛的</w:t>
      </w:r>
      <w:r>
        <w:rPr>
          <w:rFonts w:hint="eastAsia"/>
        </w:rPr>
        <w:t>HAVO</w:t>
      </w:r>
      <w:r>
        <w:rPr>
          <w:rFonts w:hint="eastAsia"/>
        </w:rPr>
        <w:t>和</w:t>
      </w:r>
      <w:r>
        <w:rPr>
          <w:rFonts w:hint="eastAsia"/>
        </w:rPr>
        <w:t>VWO</w:t>
      </w:r>
      <w:r>
        <w:rPr>
          <w:rFonts w:hint="eastAsia"/>
        </w:rPr>
        <w:t>产生了重大影响：</w:t>
      </w:r>
    </w:p>
    <w:p w:rsidR="00000000" w:rsidRDefault="00000000">
      <w:pPr>
        <w:numPr>
          <w:ilvl w:val="0"/>
          <w:numId w:val="145"/>
        </w:numPr>
        <w:rPr>
          <w:rFonts w:hint="eastAsia"/>
        </w:rPr>
      </w:pPr>
      <w:r>
        <w:rPr>
          <w:rFonts w:hint="eastAsia"/>
        </w:rPr>
        <w:t>从</w:t>
      </w:r>
      <w:r>
        <w:rPr>
          <w:rFonts w:hint="eastAsia"/>
        </w:rPr>
        <w:t>1999</w:t>
      </w:r>
      <w:r>
        <w:rPr>
          <w:rFonts w:hint="eastAsia"/>
        </w:rPr>
        <w:t>年</w:t>
      </w:r>
      <w:r>
        <w:rPr>
          <w:rFonts w:hint="eastAsia"/>
        </w:rPr>
        <w:t>8</w:t>
      </w:r>
      <w:r>
        <w:rPr>
          <w:rFonts w:hint="eastAsia"/>
        </w:rPr>
        <w:t>月</w:t>
      </w:r>
      <w:r>
        <w:rPr>
          <w:rFonts w:hint="eastAsia"/>
        </w:rPr>
        <w:t>1</w:t>
      </w:r>
      <w:r>
        <w:rPr>
          <w:rFonts w:hint="eastAsia"/>
        </w:rPr>
        <w:t>日起，</w:t>
      </w:r>
      <w:r>
        <w:rPr>
          <w:rFonts w:hint="eastAsia"/>
        </w:rPr>
        <w:t>HAVO</w:t>
      </w:r>
      <w:r>
        <w:rPr>
          <w:rFonts w:hint="eastAsia"/>
        </w:rPr>
        <w:t>和</w:t>
      </w:r>
      <w:r>
        <w:rPr>
          <w:rFonts w:hint="eastAsia"/>
        </w:rPr>
        <w:t>VWO</w:t>
      </w:r>
      <w:r>
        <w:rPr>
          <w:rFonts w:hint="eastAsia"/>
        </w:rPr>
        <w:t>的四年级学生将接到荷兰高等院校新的要求，这些院校将根据新的合并课程提出入学要求：</w:t>
      </w:r>
    </w:p>
    <w:p w:rsidR="00000000" w:rsidRDefault="00000000">
      <w:pPr>
        <w:pStyle w:val="a0"/>
        <w:widowControl w:val="0"/>
        <w:tabs>
          <w:tab w:val="num" w:pos="2040"/>
        </w:tabs>
        <w:ind w:left="2041"/>
        <w:rPr>
          <w:rFonts w:hint="eastAsia"/>
        </w:rPr>
      </w:pPr>
      <w:r>
        <w:rPr>
          <w:rFonts w:hint="eastAsia"/>
        </w:rPr>
        <w:t>在</w:t>
      </w:r>
      <w:r>
        <w:rPr>
          <w:rFonts w:hint="eastAsia"/>
        </w:rPr>
        <w:t>2003</w:t>
      </w:r>
      <w:r>
        <w:rPr>
          <w:rFonts w:hint="eastAsia"/>
        </w:rPr>
        <w:t>年</w:t>
      </w:r>
      <w:r>
        <w:rPr>
          <w:rFonts w:hint="eastAsia"/>
        </w:rPr>
        <w:t>6</w:t>
      </w:r>
      <w:r>
        <w:rPr>
          <w:rFonts w:hint="eastAsia"/>
        </w:rPr>
        <w:t>月之前，荷属安的列斯群岛的</w:t>
      </w:r>
      <w:r>
        <w:rPr>
          <w:rFonts w:hint="eastAsia"/>
        </w:rPr>
        <w:t>HAVO</w:t>
      </w:r>
      <w:r>
        <w:rPr>
          <w:rFonts w:hint="eastAsia"/>
        </w:rPr>
        <w:t>学生仍然可以参加旧式的考试，</w:t>
      </w:r>
      <w:r>
        <w:rPr>
          <w:rFonts w:hint="eastAsia"/>
        </w:rPr>
        <w:t>VWO</w:t>
      </w:r>
      <w:r>
        <w:rPr>
          <w:rFonts w:hint="eastAsia"/>
        </w:rPr>
        <w:t>学生的截止日期是</w:t>
      </w:r>
      <w:r>
        <w:rPr>
          <w:rFonts w:hint="eastAsia"/>
        </w:rPr>
        <w:t>2004</w:t>
      </w:r>
      <w:r>
        <w:rPr>
          <w:rFonts w:hint="eastAsia"/>
        </w:rPr>
        <w:t>年</w:t>
      </w:r>
      <w:r>
        <w:rPr>
          <w:rFonts w:hint="eastAsia"/>
        </w:rPr>
        <w:t>6</w:t>
      </w:r>
      <w:r>
        <w:rPr>
          <w:rFonts w:hint="eastAsia"/>
        </w:rPr>
        <w:t>月。在</w:t>
      </w:r>
      <w:r>
        <w:rPr>
          <w:rFonts w:hint="eastAsia"/>
        </w:rPr>
        <w:t>2004</w:t>
      </w:r>
      <w:r>
        <w:rPr>
          <w:rFonts w:hint="eastAsia"/>
        </w:rPr>
        <w:t>年</w:t>
      </w:r>
      <w:r>
        <w:rPr>
          <w:rFonts w:hint="eastAsia"/>
        </w:rPr>
        <w:t>8</w:t>
      </w:r>
      <w:r>
        <w:rPr>
          <w:rFonts w:hint="eastAsia"/>
        </w:rPr>
        <w:t>月底之前，拥有</w:t>
      </w:r>
      <w:r>
        <w:rPr>
          <w:rFonts w:hint="eastAsia"/>
        </w:rPr>
        <w:t>HAVO</w:t>
      </w:r>
      <w:r>
        <w:rPr>
          <w:rFonts w:hint="eastAsia"/>
        </w:rPr>
        <w:t>或者</w:t>
      </w:r>
      <w:r>
        <w:rPr>
          <w:rFonts w:hint="eastAsia"/>
        </w:rPr>
        <w:t>VWO</w:t>
      </w:r>
      <w:r>
        <w:rPr>
          <w:rFonts w:hint="eastAsia"/>
        </w:rPr>
        <w:t>“旧式”证书的学生可在荷兰的高等院校入学；</w:t>
      </w:r>
    </w:p>
    <w:p w:rsidR="00000000" w:rsidRDefault="00000000">
      <w:pPr>
        <w:pStyle w:val="a0"/>
        <w:tabs>
          <w:tab w:val="num" w:pos="2040"/>
        </w:tabs>
        <w:ind w:left="2040"/>
        <w:rPr>
          <w:rFonts w:hint="eastAsia"/>
        </w:rPr>
      </w:pPr>
      <w:r>
        <w:rPr>
          <w:rFonts w:hint="eastAsia"/>
        </w:rPr>
        <w:t>如果目前政策得以继续的话，在上述日期以后，“旧式的”荷兰考试将不复存在。</w:t>
      </w:r>
    </w:p>
    <w:p w:rsidR="00000000" w:rsidRDefault="00000000">
      <w:pPr>
        <w:rPr>
          <w:rFonts w:hint="eastAsia"/>
        </w:rPr>
      </w:pPr>
      <w:r>
        <w:rPr>
          <w:rFonts w:hint="eastAsia"/>
        </w:rPr>
        <w:tab/>
        <w:t xml:space="preserve">168.  </w:t>
      </w:r>
      <w:r>
        <w:rPr>
          <w:rFonts w:hint="eastAsia"/>
        </w:rPr>
        <w:t>从</w:t>
      </w:r>
      <w:r>
        <w:rPr>
          <w:rFonts w:hint="eastAsia"/>
        </w:rPr>
        <w:t>2000/01</w:t>
      </w:r>
      <w:r>
        <w:rPr>
          <w:rFonts w:hint="eastAsia"/>
        </w:rPr>
        <w:t>学年开始对</w:t>
      </w:r>
      <w:r>
        <w:rPr>
          <w:rFonts w:hint="eastAsia"/>
        </w:rPr>
        <w:t>HAVO</w:t>
      </w:r>
      <w:r>
        <w:rPr>
          <w:rFonts w:hint="eastAsia"/>
        </w:rPr>
        <w:t>和</w:t>
      </w:r>
      <w:r>
        <w:rPr>
          <w:rFonts w:hint="eastAsia"/>
        </w:rPr>
        <w:t>VWO</w:t>
      </w:r>
      <w:r>
        <w:rPr>
          <w:rFonts w:hint="eastAsia"/>
        </w:rPr>
        <w:t>进行改革。在剩余的</w:t>
      </w:r>
      <w:r>
        <w:rPr>
          <w:rFonts w:hint="eastAsia"/>
        </w:rPr>
        <w:t>HAVO</w:t>
      </w:r>
      <w:r>
        <w:rPr>
          <w:rFonts w:hint="eastAsia"/>
        </w:rPr>
        <w:t>的三年和</w:t>
      </w:r>
      <w:r>
        <w:rPr>
          <w:rFonts w:hint="eastAsia"/>
        </w:rPr>
        <w:t>VWO</w:t>
      </w:r>
      <w:r>
        <w:rPr>
          <w:rFonts w:hint="eastAsia"/>
        </w:rPr>
        <w:t>的四年中，将根据已经在荷兰实行的方针进行课程合并。将有以下三种合并课程：</w:t>
      </w:r>
    </w:p>
    <w:p w:rsidR="00000000" w:rsidRDefault="00000000">
      <w:pPr>
        <w:pStyle w:val="a0"/>
        <w:tabs>
          <w:tab w:val="num" w:pos="1540"/>
        </w:tabs>
        <w:ind w:left="1540"/>
        <w:rPr>
          <w:rFonts w:hint="eastAsia"/>
        </w:rPr>
      </w:pPr>
      <w:r>
        <w:rPr>
          <w:rFonts w:hint="eastAsia"/>
        </w:rPr>
        <w:t>文化和社会</w:t>
      </w:r>
      <w:r>
        <w:rPr>
          <w:rFonts w:hint="eastAsia"/>
        </w:rPr>
        <w:t>(</w:t>
      </w:r>
      <w:r>
        <w:rPr>
          <w:rFonts w:hint="eastAsia"/>
        </w:rPr>
        <w:t>人文</w:t>
      </w:r>
      <w:r>
        <w:rPr>
          <w:rFonts w:hint="eastAsia"/>
        </w:rPr>
        <w:t>)</w:t>
      </w:r>
      <w:r>
        <w:rPr>
          <w:rFonts w:hint="eastAsia"/>
        </w:rPr>
        <w:t>；</w:t>
      </w:r>
    </w:p>
    <w:p w:rsidR="00000000" w:rsidRDefault="00000000">
      <w:pPr>
        <w:pStyle w:val="a0"/>
        <w:tabs>
          <w:tab w:val="num" w:pos="1540"/>
        </w:tabs>
        <w:ind w:left="1540"/>
        <w:rPr>
          <w:rFonts w:hint="eastAsia"/>
        </w:rPr>
      </w:pPr>
      <w:r>
        <w:rPr>
          <w:rFonts w:hint="eastAsia"/>
        </w:rPr>
        <w:t>经济学和社会</w:t>
      </w:r>
      <w:r>
        <w:rPr>
          <w:rFonts w:hint="eastAsia"/>
        </w:rPr>
        <w:t>(</w:t>
      </w:r>
      <w:r>
        <w:rPr>
          <w:rFonts w:hint="eastAsia"/>
        </w:rPr>
        <w:t>社会科学</w:t>
      </w:r>
      <w:r>
        <w:rPr>
          <w:rFonts w:hint="eastAsia"/>
        </w:rPr>
        <w:t>)</w:t>
      </w:r>
      <w:r>
        <w:rPr>
          <w:rFonts w:hint="eastAsia"/>
        </w:rPr>
        <w:t>；</w:t>
      </w:r>
    </w:p>
    <w:p w:rsidR="00000000" w:rsidRDefault="00000000">
      <w:pPr>
        <w:pStyle w:val="a0"/>
        <w:tabs>
          <w:tab w:val="num" w:pos="1540"/>
        </w:tabs>
        <w:ind w:left="1540"/>
        <w:rPr>
          <w:rFonts w:hint="eastAsia"/>
        </w:rPr>
      </w:pPr>
      <w:r>
        <w:rPr>
          <w:rFonts w:hint="eastAsia"/>
        </w:rPr>
        <w:t>自然科学</w:t>
      </w:r>
      <w:r>
        <w:rPr>
          <w:rFonts w:hint="eastAsia"/>
        </w:rPr>
        <w:t>(</w:t>
      </w:r>
      <w:r>
        <w:rPr>
          <w:rFonts w:hint="eastAsia"/>
        </w:rPr>
        <w:t>科学</w:t>
      </w:r>
      <w:r>
        <w:rPr>
          <w:rFonts w:hint="eastAsia"/>
        </w:rPr>
        <w:t>)</w:t>
      </w:r>
      <w:r>
        <w:rPr>
          <w:rFonts w:hint="eastAsia"/>
        </w:rPr>
        <w:t>。</w:t>
      </w:r>
    </w:p>
    <w:p w:rsidR="00000000" w:rsidRDefault="00000000">
      <w:pPr>
        <w:spacing w:after="240"/>
        <w:rPr>
          <w:rFonts w:hint="eastAsia"/>
        </w:rPr>
      </w:pPr>
      <w:r>
        <w:rPr>
          <w:rFonts w:hint="eastAsia"/>
        </w:rPr>
        <w:tab/>
        <w:t xml:space="preserve">169.  </w:t>
      </w:r>
      <w:r>
        <w:rPr>
          <w:rFonts w:hint="eastAsia"/>
        </w:rPr>
        <w:t>每个合并课程将包括：必修革新课程、特别课程以及任选课程。学生还可决定选修附加课程。必修革新课程基本是在初级中等教育过程中已经学过的课程，其中一些课程以综合方式进行。而特别课程则属于专门的合并课程。关于预选课程，学生可以任意选择剩下课程，可能是为了加强其某项专长或者是尽可能为今后的学习创造机会。</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职业教育的改革</w:t>
      </w:r>
    </w:p>
    <w:p w:rsidR="00000000" w:rsidRDefault="00000000">
      <w:pPr>
        <w:spacing w:after="160"/>
        <w:rPr>
          <w:rFonts w:hint="eastAsia"/>
        </w:rPr>
      </w:pPr>
      <w:r>
        <w:rPr>
          <w:rFonts w:hint="eastAsia"/>
        </w:rPr>
        <w:tab/>
        <w:t xml:space="preserve">170.  </w:t>
      </w:r>
      <w:r>
        <w:rPr>
          <w:rFonts w:hint="eastAsia"/>
        </w:rPr>
        <w:t>职业教育的改革影响到</w:t>
      </w:r>
      <w:r>
        <w:rPr>
          <w:rFonts w:hint="eastAsia"/>
        </w:rPr>
        <w:t>VSBO</w:t>
      </w:r>
      <w:r>
        <w:rPr>
          <w:rFonts w:hint="eastAsia"/>
        </w:rPr>
        <w:t>和</w:t>
      </w:r>
      <w:r>
        <w:rPr>
          <w:rFonts w:hint="eastAsia"/>
        </w:rPr>
        <w:t>SBO</w:t>
      </w:r>
      <w:r>
        <w:rPr>
          <w:rFonts w:hint="eastAsia"/>
        </w:rPr>
        <w:t>：</w:t>
      </w:r>
      <w:r>
        <w:rPr>
          <w:rFonts w:hint="eastAsia"/>
        </w:rPr>
        <w:t>VSBO</w:t>
      </w:r>
      <w:r>
        <w:rPr>
          <w:rFonts w:hint="eastAsia"/>
        </w:rPr>
        <w:t>为</w:t>
      </w:r>
      <w:r>
        <w:rPr>
          <w:rFonts w:hint="eastAsia"/>
        </w:rPr>
        <w:t>SBO</w:t>
      </w:r>
      <w:r>
        <w:rPr>
          <w:rFonts w:hint="eastAsia"/>
        </w:rPr>
        <w:t>培养学生，因此不再是一种中等教育。从教学方法上来说，</w:t>
      </w:r>
      <w:r>
        <w:rPr>
          <w:rFonts w:hint="eastAsia"/>
        </w:rPr>
        <w:t>SBO</w:t>
      </w:r>
      <w:r>
        <w:rPr>
          <w:rFonts w:hint="eastAsia"/>
        </w:rPr>
        <w:t>是同</w:t>
      </w:r>
      <w:r>
        <w:rPr>
          <w:rFonts w:hint="eastAsia"/>
        </w:rPr>
        <w:t>VSBO</w:t>
      </w:r>
      <w:r>
        <w:rPr>
          <w:rFonts w:hint="eastAsia"/>
        </w:rPr>
        <w:t>接轨的，允许学生在四种不同的水平上领取离校证书。所有形式的职业教育都向学生提供了更多的学习实际技能的机会。</w:t>
      </w:r>
    </w:p>
    <w:p w:rsidR="00000000" w:rsidRDefault="00000000">
      <w:pPr>
        <w:pStyle w:val="Heading3"/>
        <w:spacing w:after="160"/>
        <w:rPr>
          <w:rFonts w:ascii="Time New Roman" w:eastAsia="SimHei" w:hAnsi="Time New Roman" w:hint="eastAsia"/>
          <w:u w:val="none"/>
        </w:rPr>
      </w:pPr>
      <w:r>
        <w:rPr>
          <w:rFonts w:ascii="Time New Roman" w:eastAsia="SimHei" w:hAnsi="Time New Roman" w:hint="eastAsia"/>
          <w:u w:val="none"/>
        </w:rPr>
        <w:t>第</w:t>
      </w:r>
      <w:r>
        <w:rPr>
          <w:rFonts w:ascii="Time New Roman" w:eastAsia="SimHei" w:hAnsi="Time New Roman" w:hint="eastAsia"/>
          <w:u w:val="none"/>
        </w:rPr>
        <w:t xml:space="preserve"> </w:t>
      </w:r>
      <w:r>
        <w:rPr>
          <w:rFonts w:ascii="Time New Roman" w:eastAsia="SimHei" w:hAnsi="Time New Roman" w:hint="eastAsia"/>
          <w:u w:val="none"/>
        </w:rPr>
        <w:t>十五</w:t>
      </w:r>
      <w:r>
        <w:rPr>
          <w:rFonts w:ascii="Time New Roman" w:eastAsia="SimHei" w:hAnsi="Time New Roman" w:hint="eastAsia"/>
          <w:u w:val="none"/>
        </w:rPr>
        <w:t xml:space="preserve"> </w:t>
      </w:r>
      <w:r>
        <w:rPr>
          <w:rFonts w:ascii="Time New Roman" w:eastAsia="SimHei" w:hAnsi="Time New Roman" w:hint="eastAsia"/>
          <w:u w:val="none"/>
        </w:rPr>
        <w:t>条</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b/>
          <w:u w:val="none"/>
        </w:rPr>
        <w:t>1995</w:t>
      </w:r>
      <w:r>
        <w:rPr>
          <w:rFonts w:ascii="Time New Roman" w:eastAsia="SimHei" w:hAnsi="Time New Roman" w:hint="eastAsia"/>
          <w:u w:val="none"/>
        </w:rPr>
        <w:t>年至</w:t>
      </w:r>
      <w:r>
        <w:rPr>
          <w:rFonts w:ascii="Time New Roman" w:eastAsia="SimHei" w:hAnsi="Time New Roman" w:hint="eastAsia"/>
          <w:b/>
          <w:u w:val="none"/>
        </w:rPr>
        <w:t>1998</w:t>
      </w:r>
      <w:r>
        <w:rPr>
          <w:rFonts w:ascii="Time New Roman" w:eastAsia="SimHei" w:hAnsi="Time New Roman" w:hint="eastAsia"/>
          <w:u w:val="none"/>
        </w:rPr>
        <w:t>年的文化活动</w:t>
      </w:r>
    </w:p>
    <w:p w:rsidR="00000000" w:rsidRDefault="00000000">
      <w:pPr>
        <w:widowControl w:val="0"/>
        <w:rPr>
          <w:rFonts w:hint="eastAsia"/>
        </w:rPr>
      </w:pPr>
      <w:r>
        <w:rPr>
          <w:rFonts w:hint="eastAsia"/>
        </w:rPr>
        <w:tab/>
        <w:t xml:space="preserve">171.  </w:t>
      </w:r>
      <w:r>
        <w:rPr>
          <w:rFonts w:hint="eastAsia"/>
        </w:rPr>
        <w:t>通过了一项文化框架政策。对于荷属安的列斯群岛文化合作协商机构</w:t>
      </w:r>
      <w:r>
        <w:rPr>
          <w:rFonts w:hint="eastAsia"/>
        </w:rPr>
        <w:t>(OKSNA)</w:t>
      </w:r>
      <w:r>
        <w:rPr>
          <w:rFonts w:hint="eastAsia"/>
        </w:rPr>
        <w:t>的一项功能评估也已经完成。同时向岛上政府提交了一份有关</w:t>
      </w:r>
      <w:r>
        <w:rPr>
          <w:rFonts w:hint="eastAsia"/>
        </w:rPr>
        <w:t>OKSNA</w:t>
      </w:r>
      <w:r>
        <w:rPr>
          <w:rFonts w:hint="eastAsia"/>
        </w:rPr>
        <w:t>所使用的新方法的提议。实施了同</w:t>
      </w:r>
      <w:r>
        <w:rPr>
          <w:rFonts w:hint="eastAsia"/>
        </w:rPr>
        <w:t>OKSNA</w:t>
      </w:r>
      <w:r>
        <w:rPr>
          <w:rFonts w:hint="eastAsia"/>
        </w:rPr>
        <w:t>官员进行合作的明确规定。由于这些努力，</w:t>
      </w:r>
      <w:r>
        <w:rPr>
          <w:rFonts w:hint="eastAsia"/>
        </w:rPr>
        <w:t>OKSNA</w:t>
      </w:r>
      <w:r>
        <w:rPr>
          <w:rFonts w:hint="eastAsia"/>
        </w:rPr>
        <w:t>文化发展基金再次拨给项目负责人，同时王国的伙伴们还签署了一项新的文化合作议定书。应当补充的是，讨论了有关对书籍以及其他教育材料免征关税的问题。最后，从</w:t>
      </w:r>
      <w:r>
        <w:rPr>
          <w:rFonts w:hint="eastAsia"/>
        </w:rPr>
        <w:t>1996</w:t>
      </w:r>
      <w:r>
        <w:rPr>
          <w:rFonts w:hint="eastAsia"/>
        </w:rPr>
        <w:t>年开始实施“安的列斯群岛日”。另外，安的列斯群岛终于有了自己的国歌。</w:t>
      </w:r>
    </w:p>
    <w:p w:rsidR="00000000" w:rsidRDefault="00000000">
      <w:r>
        <w:rPr>
          <w:rFonts w:hint="eastAsia"/>
        </w:rPr>
        <w:tab/>
        <w:t xml:space="preserve">172.  </w:t>
      </w:r>
      <w:r>
        <w:rPr>
          <w:rFonts w:hint="eastAsia"/>
        </w:rPr>
        <w:t>在</w:t>
      </w:r>
      <w:r>
        <w:rPr>
          <w:rFonts w:hint="eastAsia"/>
        </w:rPr>
        <w:t>2001</w:t>
      </w:r>
      <w:r>
        <w:rPr>
          <w:rFonts w:hint="eastAsia"/>
        </w:rPr>
        <w:t>年年底，</w:t>
      </w:r>
      <w:r>
        <w:t>Curaçao</w:t>
      </w:r>
      <w:r>
        <w:rPr>
          <w:rFonts w:hint="eastAsia"/>
        </w:rPr>
        <w:t>岛的文化政策计划制订完毕，为该岛在二十一世纪的文化政策提供了一张蓝图。除其他外，这份十分详细的文件规定设立一个新的</w:t>
      </w:r>
      <w:r>
        <w:rPr>
          <w:iCs/>
        </w:rPr>
        <w:t xml:space="preserve">Kas di Kultura, </w:t>
      </w:r>
      <w:r>
        <w:rPr>
          <w:rFonts w:hint="eastAsia"/>
        </w:rPr>
        <w:t>并将成为执行这项文化政策的主要机构。这个机构的职责包括：</w:t>
      </w:r>
    </w:p>
    <w:p w:rsidR="00000000" w:rsidRDefault="00000000">
      <w:pPr>
        <w:pStyle w:val="a0"/>
        <w:tabs>
          <w:tab w:val="num" w:pos="1540"/>
        </w:tabs>
        <w:ind w:left="1540"/>
        <w:rPr>
          <w:rFonts w:hint="eastAsia"/>
        </w:rPr>
      </w:pPr>
      <w:r>
        <w:rPr>
          <w:rFonts w:hint="eastAsia"/>
        </w:rPr>
        <w:t>研究、拟订政策以及文件编制；</w:t>
      </w:r>
    </w:p>
    <w:p w:rsidR="00000000" w:rsidRDefault="00000000">
      <w:pPr>
        <w:pStyle w:val="a0"/>
        <w:tabs>
          <w:tab w:val="num" w:pos="1540"/>
        </w:tabs>
        <w:ind w:left="1540"/>
        <w:rPr>
          <w:rFonts w:hint="eastAsia"/>
        </w:rPr>
      </w:pPr>
      <w:r>
        <w:rPr>
          <w:rFonts w:hint="eastAsia"/>
        </w:rPr>
        <w:t>促进、推动、评估以及发展文化和艺术；</w:t>
      </w:r>
    </w:p>
    <w:p w:rsidR="00000000" w:rsidRDefault="00000000">
      <w:pPr>
        <w:pStyle w:val="a0"/>
        <w:tabs>
          <w:tab w:val="num" w:pos="1540"/>
        </w:tabs>
        <w:ind w:left="1540"/>
        <w:rPr>
          <w:rFonts w:hint="eastAsia"/>
        </w:rPr>
      </w:pPr>
      <w:r>
        <w:rPr>
          <w:rFonts w:hint="eastAsia"/>
        </w:rPr>
        <w:t>提供和监测辅助。</w:t>
      </w:r>
    </w:p>
    <w:p w:rsidR="00000000" w:rsidRDefault="00000000">
      <w:pPr>
        <w:spacing w:after="240"/>
        <w:rPr>
          <w:rFonts w:hint="eastAsia"/>
        </w:rPr>
      </w:pPr>
      <w:r>
        <w:rPr>
          <w:rFonts w:hint="eastAsia"/>
        </w:rPr>
        <w:tab/>
        <w:t xml:space="preserve">173.  </w:t>
      </w:r>
      <w:r>
        <w:rPr>
          <w:iCs/>
        </w:rPr>
        <w:t>Kas di Kultura</w:t>
      </w:r>
      <w:r>
        <w:rPr>
          <w:rFonts w:hint="eastAsia"/>
          <w:iCs/>
        </w:rPr>
        <w:t>于</w:t>
      </w:r>
      <w:r>
        <w:rPr>
          <w:rFonts w:hint="eastAsia"/>
          <w:iCs/>
        </w:rPr>
        <w:t>2002</w:t>
      </w:r>
      <w:r>
        <w:rPr>
          <w:rFonts w:hint="eastAsia"/>
          <w:iCs/>
        </w:rPr>
        <w:t>年开始工作。在该年年底，它举办了一次十分成功的文化节，来自</w:t>
      </w:r>
      <w:r>
        <w:t>Aruba</w:t>
      </w:r>
      <w:r>
        <w:rPr>
          <w:rFonts w:hint="eastAsia"/>
        </w:rPr>
        <w:t>岛、</w:t>
      </w:r>
      <w:r>
        <w:t>Bonaire</w:t>
      </w:r>
      <w:r>
        <w:rPr>
          <w:rFonts w:hint="eastAsia"/>
        </w:rPr>
        <w:t>岛以及</w:t>
      </w:r>
      <w:r>
        <w:t>Curaçao</w:t>
      </w:r>
      <w:r>
        <w:rPr>
          <w:rFonts w:hint="eastAsia"/>
        </w:rPr>
        <w:t>岛的音乐家团体纷纷上台表演。</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荷属安的列斯群岛大学</w:t>
      </w:r>
      <w:r>
        <w:rPr>
          <w:rFonts w:ascii="Time New Roman" w:eastAsia="SimHei" w:hAnsi="Time New Roman" w:hint="eastAsia"/>
          <w:u w:val="none"/>
        </w:rPr>
        <w:t>(</w:t>
      </w:r>
      <w:r>
        <w:rPr>
          <w:rFonts w:ascii="Time New Roman" w:eastAsia="SimHei" w:hAnsi="Time New Roman" w:hint="eastAsia"/>
          <w:b/>
          <w:u w:val="none"/>
        </w:rPr>
        <w:t>UNA</w:t>
      </w:r>
      <w:r>
        <w:rPr>
          <w:rFonts w:ascii="Time New Roman" w:eastAsia="SimHei" w:hAnsi="Time New Roman" w:hint="eastAsia"/>
          <w:u w:val="none"/>
        </w:rPr>
        <w:t>)</w:t>
      </w:r>
    </w:p>
    <w:p w:rsidR="00000000" w:rsidRDefault="00000000">
      <w:pPr>
        <w:rPr>
          <w:rFonts w:hint="eastAsia"/>
        </w:rPr>
      </w:pPr>
      <w:r>
        <w:rPr>
          <w:rFonts w:hint="eastAsia"/>
        </w:rPr>
        <w:tab/>
        <w:t xml:space="preserve">174.  </w:t>
      </w:r>
      <w:r>
        <w:rPr>
          <w:rFonts w:hint="eastAsia"/>
        </w:rPr>
        <w:t>荷属安的列斯群岛国立大学是荷属安的列斯群岛中央政府于</w:t>
      </w:r>
      <w:r>
        <w:rPr>
          <w:rFonts w:hint="eastAsia"/>
        </w:rPr>
        <w:t>1979</w:t>
      </w:r>
      <w:r>
        <w:rPr>
          <w:rFonts w:hint="eastAsia"/>
        </w:rPr>
        <w:t>年成立的，具有独立的法人地位。《荷属安的列斯群岛大学法》构成了</w:t>
      </w:r>
      <w:r>
        <w:rPr>
          <w:rFonts w:hint="eastAsia"/>
        </w:rPr>
        <w:t>UNA</w:t>
      </w:r>
      <w:r>
        <w:rPr>
          <w:rFonts w:hint="eastAsia"/>
        </w:rPr>
        <w:t>的法律基础。这所大学的任务是提供必需的或者有用的高等教育，把学生培养成为社会有用人材。同时还要求这所大学教导学生理解各种学科之间的协调和向他们灌输公民责任感。该大学致力于追求知识、研究高等教育的成果和社会发展，同时为有志于增加专门知识的人们举办培训班。这所大学竭其所能促进同国内外的学术中心进行有效合作。大学的战略计划指出，它希望成为地区的知识中心。</w:t>
      </w:r>
    </w:p>
    <w:p w:rsidR="00000000" w:rsidRDefault="00000000">
      <w:pPr>
        <w:rPr>
          <w:rFonts w:hint="eastAsia"/>
        </w:rPr>
      </w:pPr>
      <w:r>
        <w:rPr>
          <w:rFonts w:hint="eastAsia"/>
        </w:rPr>
        <w:tab/>
        <w:t xml:space="preserve">175.  </w:t>
      </w:r>
      <w:r>
        <w:rPr>
          <w:rFonts w:hint="eastAsia"/>
        </w:rPr>
        <w:t>该大学有五个系：法律、社会和经济科学、技术、一般语言学以及文化研究和医学。最后这个系将在最近的将来落实。</w:t>
      </w:r>
    </w:p>
    <w:p w:rsidR="00000000" w:rsidRDefault="00000000">
      <w:pPr>
        <w:rPr>
          <w:rFonts w:hint="eastAsia"/>
        </w:rPr>
      </w:pPr>
      <w:r>
        <w:rPr>
          <w:rFonts w:hint="eastAsia"/>
        </w:rPr>
        <w:tab/>
        <w:t xml:space="preserve">176.  </w:t>
      </w:r>
      <w:r>
        <w:rPr>
          <w:rFonts w:hint="eastAsia"/>
        </w:rPr>
        <w:t>这所大学提供普通高校和专业院校的全日制和非全日制的课程。凡是顺利完成普通高中或者职业高中学业的人都有资格入学。年满</w:t>
      </w:r>
      <w:r>
        <w:rPr>
          <w:rFonts w:hint="eastAsia"/>
        </w:rPr>
        <w:t>23</w:t>
      </w:r>
      <w:r>
        <w:rPr>
          <w:rFonts w:hint="eastAsia"/>
        </w:rPr>
        <w:t>岁但是又没有必要资历的人可以参加特别的入学考试。</w:t>
      </w:r>
      <w:r>
        <w:rPr>
          <w:rFonts w:hint="eastAsia"/>
        </w:rPr>
        <w:t>UNA</w:t>
      </w:r>
      <w:r>
        <w:rPr>
          <w:rFonts w:hint="eastAsia"/>
        </w:rPr>
        <w:t>的课程是同荷兰以及美国的大专院校合作提供的。</w:t>
      </w:r>
    </w:p>
    <w:p w:rsidR="00000000" w:rsidRDefault="00000000">
      <w:pPr>
        <w:widowControl w:val="0"/>
        <w:rPr>
          <w:rFonts w:hint="eastAsia"/>
        </w:rPr>
      </w:pPr>
      <w:r>
        <w:rPr>
          <w:rFonts w:hint="eastAsia"/>
        </w:rPr>
        <w:tab/>
        <w:t xml:space="preserve">177.  </w:t>
      </w:r>
      <w:r>
        <w:rPr>
          <w:rFonts w:hint="eastAsia"/>
        </w:rPr>
        <w:t>大学的经费几乎全部由中央政府提供，这就保证荷属安的列斯群岛的所有人都有机会接受高等教育。然而，不利之处在于：学校依赖于政府经费。为了减少这种财务上的依赖性，目前正在同政府一起拟订一项财务安排合约。根据这项合约的规定，大学必须在商定的期限内提供在教育、研究以及公共服务等领域中的某些产品，而政府则向大学提供资助。大学必须通过第三种渠道为其余的开支筹款。按照议会一项法案的规定，这所大学享有完整的独立行政权利。这就使得大学的管理层同政府保持一定距离，而监督委员会则监测政府对于上述法案的遵守情况。</w:t>
      </w:r>
    </w:p>
    <w:p w:rsidR="00000000" w:rsidRDefault="00000000">
      <w:pPr>
        <w:spacing w:after="240"/>
        <w:rPr>
          <w:rFonts w:hint="eastAsia"/>
        </w:rPr>
      </w:pPr>
      <w:r>
        <w:rPr>
          <w:rFonts w:hint="eastAsia"/>
        </w:rPr>
        <w:tab/>
        <w:t xml:space="preserve">178.  </w:t>
      </w:r>
      <w:r>
        <w:rPr>
          <w:rFonts w:hint="eastAsia"/>
        </w:rPr>
        <w:t>目前正在拟订的《荷属安的列斯群岛高等教育法》将为各所高等院校提供法定框架。因此，在不久的将来，这所大学将根据这些新的法律规定开展业务。</w:t>
      </w:r>
    </w:p>
    <w:p w:rsidR="00000000" w:rsidRDefault="00000000">
      <w:pPr>
        <w:pStyle w:val="Heading4"/>
        <w:spacing w:after="160"/>
        <w:rPr>
          <w:rFonts w:ascii="Time New Roman" w:eastAsia="SimHei" w:hAnsi="Time New Roman" w:hint="eastAsia"/>
          <w:snapToGrid/>
          <w:spacing w:val="0"/>
          <w:u w:val="none"/>
        </w:rPr>
      </w:pPr>
      <w:r>
        <w:rPr>
          <w:rFonts w:ascii="Time New Roman" w:eastAsia="SimHei" w:hAnsi="Time New Roman" w:hint="eastAsia"/>
          <w:snapToGrid/>
          <w:spacing w:val="0"/>
          <w:u w:val="none"/>
        </w:rPr>
        <w:t>国家考古学和人类学博物馆</w:t>
      </w:r>
      <w:r>
        <w:rPr>
          <w:rFonts w:ascii="Time New Roman" w:eastAsia="SimHei" w:hAnsi="Time New Roman" w:hint="eastAsia"/>
          <w:snapToGrid/>
          <w:spacing w:val="0"/>
          <w:u w:val="none"/>
        </w:rPr>
        <w:t>(</w:t>
      </w:r>
      <w:r>
        <w:rPr>
          <w:rFonts w:ascii="Time New Roman" w:eastAsia="SimHei" w:hAnsi="Time New Roman" w:hint="eastAsia"/>
          <w:b/>
          <w:snapToGrid/>
          <w:spacing w:val="0"/>
          <w:u w:val="none"/>
        </w:rPr>
        <w:t>NAAM</w:t>
      </w:r>
      <w:r>
        <w:rPr>
          <w:rFonts w:ascii="Time New Roman" w:eastAsia="SimHei" w:hAnsi="Time New Roman" w:hint="eastAsia"/>
          <w:snapToGrid/>
          <w:spacing w:val="0"/>
          <w:u w:val="none"/>
        </w:rPr>
        <w:t>)</w:t>
      </w:r>
    </w:p>
    <w:p w:rsidR="00000000" w:rsidRDefault="00000000">
      <w:pPr>
        <w:rPr>
          <w:rFonts w:hint="eastAsia"/>
        </w:rPr>
      </w:pPr>
      <w:r>
        <w:rPr>
          <w:rFonts w:hint="eastAsia"/>
        </w:rPr>
        <w:tab/>
        <w:t xml:space="preserve">179.  </w:t>
      </w:r>
      <w:r>
        <w:rPr>
          <w:rFonts w:hint="eastAsia"/>
        </w:rPr>
        <w:t>在</w:t>
      </w:r>
      <w:r>
        <w:rPr>
          <w:rFonts w:hint="eastAsia"/>
        </w:rPr>
        <w:t>1994</w:t>
      </w:r>
      <w:r>
        <w:rPr>
          <w:rFonts w:hint="eastAsia"/>
        </w:rPr>
        <w:t>年，作为旨在减少政府对一些重要任务的责任而作出努力的一部分，当时的荷属安的列斯群岛政府作出决定，将荷属安的列斯群岛国家考古学和人类学研究所</w:t>
      </w:r>
      <w:r>
        <w:rPr>
          <w:rFonts w:hint="eastAsia"/>
        </w:rPr>
        <w:t>(AAINA)</w:t>
      </w:r>
      <w:r>
        <w:rPr>
          <w:rFonts w:hint="eastAsia"/>
        </w:rPr>
        <w:t>的工作转交给一些独立的机构。当时，教育、文化、青年事务和运动部的部长指定成立了一个委员会，要求该委员会就在一项基金会的管理下建立一所国家考古学和人类学博物馆一事向部长提出建议。一个工作组作了必要的准备，并且于</w:t>
      </w:r>
      <w:r>
        <w:rPr>
          <w:rFonts w:hint="eastAsia"/>
        </w:rPr>
        <w:t>1998</w:t>
      </w:r>
      <w:r>
        <w:rPr>
          <w:rFonts w:hint="eastAsia"/>
        </w:rPr>
        <w:t>年</w:t>
      </w:r>
      <w:r>
        <w:rPr>
          <w:rFonts w:hint="eastAsia"/>
        </w:rPr>
        <w:t>3</w:t>
      </w:r>
      <w:r>
        <w:rPr>
          <w:rFonts w:hint="eastAsia"/>
        </w:rPr>
        <w:t>月</w:t>
      </w:r>
      <w:r>
        <w:rPr>
          <w:rFonts w:hint="eastAsia"/>
        </w:rPr>
        <w:t>26</w:t>
      </w:r>
      <w:r>
        <w:rPr>
          <w:rFonts w:hint="eastAsia"/>
        </w:rPr>
        <w:t>日成立了</w:t>
      </w:r>
      <w:r>
        <w:t>Stichting NAAM</w:t>
      </w:r>
      <w:r>
        <w:rPr>
          <w:rFonts w:hint="eastAsia"/>
        </w:rPr>
        <w:t>基金会。该基金会的主要目标是要传播有关</w:t>
      </w:r>
      <w:r>
        <w:t>Bonaire</w:t>
      </w:r>
      <w:r>
        <w:rPr>
          <w:rFonts w:hint="eastAsia"/>
        </w:rPr>
        <w:t>、</w:t>
      </w:r>
      <w:r>
        <w:t>Curaçao</w:t>
      </w:r>
      <w:r>
        <w:rPr>
          <w:rFonts w:hint="eastAsia"/>
        </w:rPr>
        <w:t>、</w:t>
      </w:r>
      <w:r>
        <w:t>Saba</w:t>
      </w:r>
      <w:r>
        <w:rPr>
          <w:rFonts w:hint="eastAsia"/>
        </w:rPr>
        <w:t>、</w:t>
      </w:r>
      <w:r>
        <w:t>Sint Eustatius</w:t>
      </w:r>
      <w:r>
        <w:rPr>
          <w:rFonts w:hint="eastAsia"/>
        </w:rPr>
        <w:t>和</w:t>
      </w:r>
      <w:r>
        <w:t>Sint Maarten</w:t>
      </w:r>
      <w:r>
        <w:rPr>
          <w:rFonts w:hint="eastAsia"/>
        </w:rPr>
        <w:t>等岛屿的文化历史和文化遗产的知识，并且加强民众的文化教育和民族意识。</w:t>
      </w:r>
    </w:p>
    <w:p w:rsidR="00000000" w:rsidRDefault="00000000">
      <w:pPr>
        <w:rPr>
          <w:rFonts w:hint="eastAsia"/>
        </w:rPr>
      </w:pPr>
      <w:r>
        <w:rPr>
          <w:rFonts w:hint="eastAsia"/>
        </w:rPr>
        <w:tab/>
        <w:t>180.  1999</w:t>
      </w:r>
      <w:r>
        <w:rPr>
          <w:rFonts w:hint="eastAsia"/>
        </w:rPr>
        <w:t>年</w:t>
      </w:r>
      <w:r>
        <w:rPr>
          <w:rFonts w:hint="eastAsia"/>
        </w:rPr>
        <w:t>NAAM</w:t>
      </w:r>
      <w:r>
        <w:rPr>
          <w:rFonts w:hint="eastAsia"/>
        </w:rPr>
        <w:t>制订了一项行动计划，其中不仅涉及到传统的博物馆任务：收集、记录、研究、保护、登记以及展出；而且还包括公众教育以及资助和帮助专业博物馆。</w:t>
      </w:r>
    </w:p>
    <w:p w:rsidR="00000000" w:rsidRDefault="00000000">
      <w:pPr>
        <w:rPr>
          <w:rFonts w:hint="eastAsia"/>
        </w:rPr>
      </w:pPr>
      <w:r>
        <w:rPr>
          <w:rFonts w:hint="eastAsia"/>
        </w:rPr>
        <w:tab/>
        <w:t>181.  2001</w:t>
      </w:r>
      <w:r>
        <w:rPr>
          <w:rFonts w:hint="eastAsia"/>
        </w:rPr>
        <w:t>年</w:t>
      </w:r>
      <w:r>
        <w:rPr>
          <w:rFonts w:hint="eastAsia"/>
        </w:rPr>
        <w:t>3</w:t>
      </w:r>
      <w:r>
        <w:rPr>
          <w:rFonts w:hint="eastAsia"/>
        </w:rPr>
        <w:t>月，</w:t>
      </w:r>
      <w:r>
        <w:rPr>
          <w:rFonts w:hint="eastAsia"/>
        </w:rPr>
        <w:t>NAAM</w:t>
      </w:r>
      <w:r>
        <w:rPr>
          <w:rFonts w:hint="eastAsia"/>
        </w:rPr>
        <w:t>提出它的当前目标并不是要成立一个中央博物馆，而是要为社会上的博物馆建立一种广泛的支持基础。这种新的政策也体现在以下的标语中：“不仅仅是博物馆，而且是我们文化遗产的宝库”。</w:t>
      </w:r>
    </w:p>
    <w:p w:rsidR="00000000" w:rsidRDefault="00000000">
      <w:pPr>
        <w:rPr>
          <w:rFonts w:hint="eastAsia"/>
        </w:rPr>
      </w:pPr>
      <w:r>
        <w:rPr>
          <w:rFonts w:hint="eastAsia"/>
        </w:rPr>
        <w:tab/>
        <w:t>182.  NAAM</w:t>
      </w:r>
      <w:r>
        <w:rPr>
          <w:rFonts w:hint="eastAsia"/>
        </w:rPr>
        <w:t>在执行这项政策的过程中注意到了这个事实：对于荷属安的列斯群岛来说博物馆还是比较新的事物；岛上的第一个博物馆</w:t>
      </w:r>
      <w:r>
        <w:rPr>
          <w:rFonts w:hint="eastAsia"/>
        </w:rPr>
        <w:t>(Curaçao</w:t>
      </w:r>
      <w:r>
        <w:rPr>
          <w:rFonts w:hint="eastAsia"/>
        </w:rPr>
        <w:t>岛博物馆</w:t>
      </w:r>
      <w:r>
        <w:rPr>
          <w:rFonts w:hint="eastAsia"/>
        </w:rPr>
        <w:t>)</w:t>
      </w:r>
      <w:r>
        <w:rPr>
          <w:rFonts w:hint="eastAsia"/>
        </w:rPr>
        <w:t>于</w:t>
      </w:r>
      <w:r>
        <w:rPr>
          <w:rFonts w:hint="eastAsia"/>
        </w:rPr>
        <w:t>1947</w:t>
      </w:r>
      <w:r>
        <w:rPr>
          <w:rFonts w:hint="eastAsia"/>
        </w:rPr>
        <w:t>年开幕。在</w:t>
      </w:r>
      <w:r>
        <w:rPr>
          <w:rFonts w:hint="eastAsia"/>
        </w:rPr>
        <w:t>2003</w:t>
      </w:r>
      <w:r>
        <w:rPr>
          <w:rFonts w:hint="eastAsia"/>
        </w:rPr>
        <w:t>年，安的列斯群岛共有二十几个博物馆，其中包括一些保留了原先的家具、教堂、犹太教会堂以及家庭住宅的庄园。几乎所有这些博物馆都是由私人建立的，揭示了安的列斯群岛文化和历史的各个方面。</w:t>
      </w:r>
    </w:p>
    <w:p w:rsidR="00000000" w:rsidRDefault="00000000">
      <w:pPr>
        <w:widowControl w:val="0"/>
        <w:rPr>
          <w:rFonts w:hint="eastAsia"/>
        </w:rPr>
      </w:pPr>
      <w:r>
        <w:rPr>
          <w:rFonts w:hint="eastAsia"/>
        </w:rPr>
        <w:tab/>
        <w:t xml:space="preserve">183.  </w:t>
      </w:r>
      <w:r>
        <w:rPr>
          <w:rFonts w:hint="eastAsia"/>
        </w:rPr>
        <w:t>博物馆的数目是增加了，但是我们在预防性保护、系统性记录、登记、展出方式以及有关研究等方面的知识增长得更快。正是在这些重要领域中</w:t>
      </w:r>
      <w:r>
        <w:rPr>
          <w:rFonts w:hint="eastAsia"/>
        </w:rPr>
        <w:t>NAAM</w:t>
      </w:r>
      <w:r>
        <w:rPr>
          <w:rFonts w:hint="eastAsia"/>
        </w:rPr>
        <w:t>发挥了支持和补充作用。</w:t>
      </w:r>
    </w:p>
    <w:p w:rsidR="00000000" w:rsidRDefault="00000000">
      <w:pPr>
        <w:widowControl w:val="0"/>
        <w:rPr>
          <w:rFonts w:hint="eastAsia"/>
          <w:spacing w:val="8"/>
        </w:rPr>
      </w:pPr>
      <w:r>
        <w:rPr>
          <w:rFonts w:hint="eastAsia"/>
        </w:rPr>
        <w:tab/>
        <w:t xml:space="preserve">184.  </w:t>
      </w:r>
      <w:r>
        <w:rPr>
          <w:rFonts w:hint="eastAsia"/>
          <w:spacing w:val="8"/>
        </w:rPr>
        <w:t>NAAM</w:t>
      </w:r>
      <w:r>
        <w:rPr>
          <w:rFonts w:hint="eastAsia"/>
          <w:spacing w:val="8"/>
        </w:rPr>
        <w:t>实施了教育项目，传播了有关保护的知识，并且通过为图书馆和其他文化遗产组织的工作人员举办培训班、讲习班和讲座来鼓励对于文化遗产进行数字登记。通过这些措施，</w:t>
      </w:r>
      <w:r>
        <w:rPr>
          <w:spacing w:val="8"/>
        </w:rPr>
        <w:t>NAAM</w:t>
      </w:r>
      <w:r>
        <w:rPr>
          <w:rFonts w:hint="eastAsia"/>
          <w:spacing w:val="8"/>
        </w:rPr>
        <w:t>执行了上述政策原则。它还支助了安的列斯群岛博物馆网络，其办法是在双月刊的杂志上发表有关文化遗产的文章，以及翻译和传播关于养护和用法律手段保护水下文化遗产的信息。在</w:t>
      </w:r>
      <w:r>
        <w:rPr>
          <w:rFonts w:hint="eastAsia"/>
          <w:spacing w:val="8"/>
        </w:rPr>
        <w:t>2002</w:t>
      </w:r>
      <w:r>
        <w:rPr>
          <w:rFonts w:hint="eastAsia"/>
          <w:spacing w:val="8"/>
        </w:rPr>
        <w:t>年，</w:t>
      </w:r>
      <w:r>
        <w:rPr>
          <w:rFonts w:hint="eastAsia"/>
          <w:spacing w:val="8"/>
        </w:rPr>
        <w:t>NAAM</w:t>
      </w:r>
      <w:r>
        <w:rPr>
          <w:rFonts w:hint="eastAsia"/>
          <w:spacing w:val="8"/>
        </w:rPr>
        <w:t>在帮助各岛代表团筹备参加于古巴圣地亚哥举行的</w:t>
      </w:r>
      <w:r>
        <w:rPr>
          <w:rFonts w:hint="eastAsia"/>
          <w:spacing w:val="8"/>
        </w:rPr>
        <w:t>del Caribe</w:t>
      </w:r>
      <w:r>
        <w:rPr>
          <w:rFonts w:hint="eastAsia"/>
          <w:spacing w:val="8"/>
        </w:rPr>
        <w:t>艺术节方面发挥了协调作用。</w:t>
      </w:r>
      <w:r>
        <w:rPr>
          <w:rFonts w:hint="eastAsia"/>
          <w:spacing w:val="8"/>
        </w:rPr>
        <w:t>2002</w:t>
      </w:r>
      <w:r>
        <w:rPr>
          <w:rFonts w:hint="eastAsia"/>
          <w:spacing w:val="8"/>
        </w:rPr>
        <w:t>年</w:t>
      </w:r>
      <w:r>
        <w:rPr>
          <w:rFonts w:hint="eastAsia"/>
          <w:spacing w:val="8"/>
        </w:rPr>
        <w:t>5</w:t>
      </w:r>
      <w:r>
        <w:rPr>
          <w:rFonts w:hint="eastAsia"/>
          <w:spacing w:val="8"/>
        </w:rPr>
        <w:t>月</w:t>
      </w:r>
      <w:r>
        <w:rPr>
          <w:rFonts w:hint="eastAsia"/>
          <w:spacing w:val="8"/>
        </w:rPr>
        <w:t>18</w:t>
      </w:r>
      <w:r>
        <w:rPr>
          <w:rFonts w:hint="eastAsia"/>
          <w:spacing w:val="8"/>
        </w:rPr>
        <w:t>日，</w:t>
      </w:r>
      <w:r>
        <w:rPr>
          <w:spacing w:val="8"/>
        </w:rPr>
        <w:t>Curaçao</w:t>
      </w:r>
      <w:r>
        <w:rPr>
          <w:rFonts w:hint="eastAsia"/>
          <w:spacing w:val="8"/>
        </w:rPr>
        <w:t>岛博物馆第一次独立组织了国际博物馆日，</w:t>
      </w:r>
      <w:r>
        <w:rPr>
          <w:spacing w:val="8"/>
        </w:rPr>
        <w:t>NAAM</w:t>
      </w:r>
      <w:r>
        <w:rPr>
          <w:rFonts w:hint="eastAsia"/>
          <w:spacing w:val="8"/>
        </w:rPr>
        <w:t>也从中帮助协调。</w:t>
      </w:r>
      <w:r>
        <w:rPr>
          <w:spacing w:val="8"/>
        </w:rPr>
        <w:t>NAAM</w:t>
      </w:r>
      <w:r>
        <w:rPr>
          <w:rFonts w:hint="eastAsia"/>
          <w:spacing w:val="8"/>
        </w:rPr>
        <w:t>还为</w:t>
      </w:r>
      <w:r>
        <w:rPr>
          <w:spacing w:val="8"/>
        </w:rPr>
        <w:t>Curaçao</w:t>
      </w:r>
      <w:r>
        <w:rPr>
          <w:rFonts w:hint="eastAsia"/>
          <w:spacing w:val="8"/>
        </w:rPr>
        <w:t>岛日报</w:t>
      </w:r>
      <w:r>
        <w:rPr>
          <w:rFonts w:hint="eastAsia"/>
          <w:spacing w:val="8"/>
        </w:rPr>
        <w:t>Amigoe</w:t>
      </w:r>
      <w:r>
        <w:rPr>
          <w:rFonts w:hint="eastAsia"/>
          <w:spacing w:val="8"/>
        </w:rPr>
        <w:t>的星期六增刊</w:t>
      </w:r>
      <w:r>
        <w:rPr>
          <w:rFonts w:hint="eastAsia"/>
          <w:spacing w:val="8"/>
        </w:rPr>
        <w:t>N</w:t>
      </w:r>
      <w:r>
        <w:rPr>
          <w:spacing w:val="8"/>
        </w:rPr>
        <w:t>apa</w:t>
      </w:r>
      <w:r>
        <w:rPr>
          <w:rFonts w:hint="eastAsia"/>
          <w:spacing w:val="8"/>
        </w:rPr>
        <w:t>编写博物馆特刊。</w:t>
      </w:r>
    </w:p>
    <w:p w:rsidR="00000000" w:rsidRDefault="00000000">
      <w:pPr>
        <w:rPr>
          <w:rFonts w:hint="eastAsia"/>
        </w:rPr>
      </w:pPr>
      <w:r>
        <w:rPr>
          <w:rFonts w:hint="eastAsia"/>
        </w:rPr>
        <w:tab/>
        <w:t xml:space="preserve">185.  </w:t>
      </w:r>
      <w:r>
        <w:rPr>
          <w:rFonts w:hint="eastAsia"/>
        </w:rPr>
        <w:t>目前，荷属安的列斯群岛在研究、保护和登记物质和非物质文化遗产方面的专门知识仍然非常缺乏。必须推动当地人士掌握各种有关保护的专门知识，</w:t>
      </w:r>
      <w:r>
        <w:rPr>
          <w:rFonts w:hint="eastAsia"/>
        </w:rPr>
        <w:t>NAAM</w:t>
      </w:r>
      <w:r>
        <w:rPr>
          <w:rFonts w:hint="eastAsia"/>
        </w:rPr>
        <w:t>已经要求国内外的专家提供援助。它还安排工作人员到国外接受实际培训，例如到阿姆斯特丹的皇家热带研究所接受培训。</w:t>
      </w:r>
    </w:p>
    <w:p w:rsidR="00000000" w:rsidRDefault="00000000">
      <w:pPr>
        <w:rPr>
          <w:rFonts w:hint="eastAsia"/>
        </w:rPr>
      </w:pPr>
      <w:r>
        <w:rPr>
          <w:rFonts w:hint="eastAsia"/>
        </w:rPr>
        <w:tab/>
        <w:t xml:space="preserve">186.  </w:t>
      </w:r>
      <w:r>
        <w:rPr>
          <w:rFonts w:hint="eastAsia"/>
        </w:rPr>
        <w:t>博物馆收藏文物的妥善管理有赖于精确的登记和说明。因此，</w:t>
      </w:r>
      <w:r>
        <w:rPr>
          <w:rFonts w:hint="eastAsia"/>
        </w:rPr>
        <w:t>NAAM</w:t>
      </w:r>
      <w:r>
        <w:rPr>
          <w:rFonts w:hint="eastAsia"/>
        </w:rPr>
        <w:t>于</w:t>
      </w:r>
      <w:r>
        <w:rPr>
          <w:rFonts w:hint="eastAsia"/>
        </w:rPr>
        <w:t>2001</w:t>
      </w:r>
      <w:r>
        <w:rPr>
          <w:rFonts w:hint="eastAsia"/>
        </w:rPr>
        <w:t>年决定，逐步采用图书馆系统登记方法。</w:t>
      </w:r>
      <w:r>
        <w:rPr>
          <w:rFonts w:hint="eastAsia"/>
        </w:rPr>
        <w:t>2002</w:t>
      </w:r>
      <w:r>
        <w:rPr>
          <w:rFonts w:hint="eastAsia"/>
        </w:rPr>
        <w:t>年</w:t>
      </w:r>
      <w:r>
        <w:rPr>
          <w:rFonts w:hint="eastAsia"/>
        </w:rPr>
        <w:t>3</w:t>
      </w:r>
      <w:r>
        <w:rPr>
          <w:rFonts w:hint="eastAsia"/>
        </w:rPr>
        <w:t>月，</w:t>
      </w:r>
      <w:r>
        <w:rPr>
          <w:rFonts w:hint="eastAsia"/>
        </w:rPr>
        <w:t>NAAM</w:t>
      </w:r>
      <w:r>
        <w:rPr>
          <w:rFonts w:hint="eastAsia"/>
        </w:rPr>
        <w:t>为其工作人员以及</w:t>
      </w:r>
      <w:r>
        <w:t>Saba</w:t>
      </w:r>
      <w:r>
        <w:rPr>
          <w:rFonts w:hint="eastAsia"/>
        </w:rPr>
        <w:t>、</w:t>
      </w:r>
      <w:r>
        <w:t>Sint Eustatius</w:t>
      </w:r>
      <w:r>
        <w:rPr>
          <w:rFonts w:hint="eastAsia"/>
        </w:rPr>
        <w:t>、</w:t>
      </w:r>
      <w:r>
        <w:t>Sint Maarten</w:t>
      </w:r>
      <w:r>
        <w:rPr>
          <w:rFonts w:hint="eastAsia"/>
        </w:rPr>
        <w:t>、</w:t>
      </w:r>
      <w:r>
        <w:t>Bonaire</w:t>
      </w:r>
      <w:r>
        <w:rPr>
          <w:rFonts w:hint="eastAsia"/>
        </w:rPr>
        <w:t>、</w:t>
      </w:r>
      <w:r>
        <w:t>Curaçao</w:t>
      </w:r>
      <w:r>
        <w:rPr>
          <w:rFonts w:hint="eastAsia"/>
        </w:rPr>
        <w:t>以及</w:t>
      </w:r>
      <w:r>
        <w:t>Aruba</w:t>
      </w:r>
      <w:r>
        <w:rPr>
          <w:rFonts w:hint="eastAsia"/>
        </w:rPr>
        <w:t>等岛上博物馆的代表举办了为期三天的初级课程。</w:t>
      </w:r>
    </w:p>
    <w:p w:rsidR="00000000" w:rsidRDefault="00000000">
      <w:pPr>
        <w:spacing w:after="240"/>
      </w:pPr>
      <w:r>
        <w:rPr>
          <w:rFonts w:hint="eastAsia"/>
        </w:rPr>
        <w:tab/>
        <w:t xml:space="preserve">187.  </w:t>
      </w:r>
      <w:r>
        <w:rPr>
          <w:rFonts w:hint="eastAsia"/>
        </w:rPr>
        <w:t>在</w:t>
      </w:r>
      <w:r>
        <w:rPr>
          <w:rFonts w:hint="eastAsia"/>
        </w:rPr>
        <w:t>2002</w:t>
      </w:r>
      <w:r>
        <w:rPr>
          <w:rFonts w:hint="eastAsia"/>
        </w:rPr>
        <w:t>年，</w:t>
      </w:r>
      <w:r>
        <w:rPr>
          <w:rFonts w:hint="eastAsia"/>
        </w:rPr>
        <w:t>NAAM</w:t>
      </w:r>
      <w:r>
        <w:rPr>
          <w:rFonts w:hint="eastAsia"/>
        </w:rPr>
        <w:t>成功地将有关文化遗产的知识纳入新式的中小学教育的实现目标，为此它实施了名为“文化遗产，学生的思想宝库”的项目，以编写教材。这种为高小学生</w:t>
      </w:r>
      <w:r>
        <w:rPr>
          <w:rFonts w:hint="eastAsia"/>
        </w:rPr>
        <w:t>(</w:t>
      </w:r>
      <w:r>
        <w:rPr>
          <w:rFonts w:hint="eastAsia"/>
        </w:rPr>
        <w:t>以前的四年级至六年级学生</w:t>
      </w:r>
      <w:r>
        <w:rPr>
          <w:rFonts w:hint="eastAsia"/>
        </w:rPr>
        <w:t>)</w:t>
      </w:r>
      <w:r>
        <w:rPr>
          <w:rFonts w:hint="eastAsia"/>
        </w:rPr>
        <w:t>编写的教材将以三种语文出版并且在荷属安的列斯群岛的所有岛屿上发行。为这个项目筹款的努力在</w:t>
      </w:r>
      <w:r>
        <w:rPr>
          <w:rFonts w:hint="eastAsia"/>
        </w:rPr>
        <w:t>2002</w:t>
      </w:r>
      <w:r>
        <w:rPr>
          <w:rFonts w:hint="eastAsia"/>
        </w:rPr>
        <w:t>年归于失败。</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中央档案馆</w:t>
      </w:r>
      <w:r>
        <w:rPr>
          <w:rFonts w:ascii="Time New Roman" w:eastAsia="SimHei" w:hAnsi="Time New Roman" w:hint="eastAsia"/>
          <w:u w:val="none"/>
        </w:rPr>
        <w:t>(</w:t>
      </w:r>
      <w:r>
        <w:rPr>
          <w:rFonts w:ascii="Time New Roman" w:eastAsia="SimHei" w:hAnsi="Time New Roman" w:hint="eastAsia"/>
          <w:b/>
          <w:u w:val="none"/>
        </w:rPr>
        <w:t>CHA</w:t>
      </w:r>
      <w:r>
        <w:rPr>
          <w:rFonts w:ascii="Time New Roman" w:eastAsia="SimHei" w:hAnsi="Time New Roman" w:hint="eastAsia"/>
          <w:u w:val="none"/>
        </w:rPr>
        <w:t>)</w:t>
      </w:r>
    </w:p>
    <w:p w:rsidR="00000000" w:rsidRDefault="00000000">
      <w:pPr>
        <w:widowControl w:val="0"/>
        <w:rPr>
          <w:rFonts w:hint="eastAsia"/>
        </w:rPr>
      </w:pPr>
      <w:r>
        <w:rPr>
          <w:rFonts w:hint="eastAsia"/>
        </w:rPr>
        <w:tab/>
        <w:t xml:space="preserve">188. </w:t>
      </w:r>
      <w:r>
        <w:rPr>
          <w:rFonts w:hint="eastAsia"/>
          <w:vertAlign w:val="superscript"/>
        </w:rPr>
        <w:t xml:space="preserve"> </w:t>
      </w:r>
      <w:r>
        <w:rPr>
          <w:rFonts w:hint="eastAsia"/>
        </w:rPr>
        <w:t>《荷属安的列斯群岛国家档案法》就公众如何获取由政府机构收集的并且以电子或者书面形式存档的所有信息作出了规定。安的列斯群岛通过这项法律</w:t>
      </w:r>
      <w:r>
        <w:rPr>
          <w:rFonts w:hint="eastAsia"/>
        </w:rPr>
        <w:t xml:space="preserve">(PB 1989, No. </w:t>
      </w:r>
      <w:r>
        <w:t>64</w:t>
      </w:r>
      <w:r>
        <w:rPr>
          <w:rFonts w:hint="eastAsia"/>
        </w:rPr>
        <w:t>)</w:t>
      </w:r>
      <w:r>
        <w:rPr>
          <w:rFonts w:hint="eastAsia"/>
        </w:rPr>
        <w:t>保障了其公民的一项十分重要的权利。目前正在作出安排，有选择地转移文件到国家档案馆，从而为公民免费查阅已经超过</w:t>
      </w:r>
      <w:r>
        <w:rPr>
          <w:rFonts w:hint="eastAsia"/>
        </w:rPr>
        <w:t>40</w:t>
      </w:r>
      <w:r>
        <w:rPr>
          <w:rFonts w:hint="eastAsia"/>
        </w:rPr>
        <w:t>年的</w:t>
      </w:r>
      <w:r>
        <w:rPr>
          <w:rFonts w:hint="eastAsia"/>
        </w:rPr>
        <w:t>(</w:t>
      </w:r>
      <w:r>
        <w:rPr>
          <w:rFonts w:hint="eastAsia"/>
        </w:rPr>
        <w:t>很快将改为</w:t>
      </w:r>
      <w:r>
        <w:rPr>
          <w:rFonts w:hint="eastAsia"/>
        </w:rPr>
        <w:t>20</w:t>
      </w:r>
      <w:r>
        <w:rPr>
          <w:rFonts w:hint="eastAsia"/>
        </w:rPr>
        <w:t>年</w:t>
      </w:r>
      <w:r>
        <w:rPr>
          <w:rFonts w:hint="eastAsia"/>
        </w:rPr>
        <w:t>)</w:t>
      </w:r>
      <w:r>
        <w:rPr>
          <w:rFonts w:hint="eastAsia"/>
        </w:rPr>
        <w:t>的原始文件创造机会。这项法令于</w:t>
      </w:r>
      <w:r>
        <w:rPr>
          <w:rFonts w:hint="eastAsia"/>
        </w:rPr>
        <w:t>1996</w:t>
      </w:r>
      <w:r>
        <w:rPr>
          <w:rFonts w:hint="eastAsia"/>
        </w:rPr>
        <w:t>年获得通过。但是在</w:t>
      </w:r>
      <w:r>
        <w:rPr>
          <w:rFonts w:hint="eastAsia"/>
        </w:rPr>
        <w:t>1991</w:t>
      </w:r>
      <w:r>
        <w:rPr>
          <w:rFonts w:hint="eastAsia"/>
        </w:rPr>
        <w:t>年为管理一般的档案制订了一项总计划，并就以下事项制订了细则：</w:t>
      </w:r>
    </w:p>
    <w:p w:rsidR="00000000" w:rsidRDefault="00000000">
      <w:pPr>
        <w:pStyle w:val="a0"/>
        <w:ind w:left="1550"/>
        <w:rPr>
          <w:rFonts w:hint="eastAsia"/>
        </w:rPr>
      </w:pPr>
      <w:r>
        <w:rPr>
          <w:rFonts w:hint="eastAsia"/>
        </w:rPr>
        <w:t>立法；</w:t>
      </w:r>
    </w:p>
    <w:p w:rsidR="00000000" w:rsidRDefault="00000000">
      <w:pPr>
        <w:pStyle w:val="a0"/>
        <w:ind w:left="1550"/>
        <w:rPr>
          <w:rFonts w:hint="eastAsia"/>
        </w:rPr>
      </w:pPr>
      <w:r>
        <w:rPr>
          <w:rFonts w:hint="eastAsia"/>
        </w:rPr>
        <w:t>容量；</w:t>
      </w:r>
    </w:p>
    <w:p w:rsidR="00000000" w:rsidRDefault="00000000">
      <w:pPr>
        <w:pStyle w:val="a0"/>
        <w:ind w:left="1550"/>
        <w:rPr>
          <w:rFonts w:hint="eastAsia"/>
        </w:rPr>
      </w:pPr>
      <w:r>
        <w:rPr>
          <w:rFonts w:hint="eastAsia"/>
        </w:rPr>
        <w:t>组织结构；以及</w:t>
      </w:r>
    </w:p>
    <w:p w:rsidR="00000000" w:rsidRDefault="00000000">
      <w:pPr>
        <w:pStyle w:val="a0"/>
        <w:spacing w:after="240"/>
        <w:ind w:left="1550"/>
        <w:rPr>
          <w:rFonts w:hint="eastAsia"/>
        </w:rPr>
      </w:pPr>
      <w:r>
        <w:rPr>
          <w:rFonts w:hint="eastAsia"/>
        </w:rPr>
        <w:t>项目。</w:t>
      </w:r>
    </w:p>
    <w:p w:rsidR="00000000" w:rsidRDefault="00000000">
      <w:pPr>
        <w:pStyle w:val="Heading4"/>
        <w:spacing w:after="160"/>
        <w:rPr>
          <w:rFonts w:eastAsia="KaiTi_GB2312" w:hint="eastAsia"/>
          <w:snapToGrid/>
          <w:spacing w:val="0"/>
          <w:u w:val="none"/>
        </w:rPr>
      </w:pPr>
      <w:r>
        <w:rPr>
          <w:rFonts w:eastAsia="KaiTi_GB2312" w:hint="eastAsia"/>
          <w:snapToGrid/>
          <w:spacing w:val="0"/>
          <w:u w:val="none"/>
        </w:rPr>
        <w:t>立</w:t>
      </w:r>
      <w:r>
        <w:rPr>
          <w:rFonts w:eastAsia="KaiTi_GB2312" w:hint="eastAsia"/>
          <w:snapToGrid/>
          <w:spacing w:val="0"/>
          <w:u w:val="none"/>
        </w:rPr>
        <w:t xml:space="preserve">  </w:t>
      </w:r>
      <w:r>
        <w:rPr>
          <w:rFonts w:eastAsia="KaiTi_GB2312" w:hint="eastAsia"/>
          <w:snapToGrid/>
          <w:spacing w:val="0"/>
          <w:u w:val="none"/>
        </w:rPr>
        <w:t>法</w:t>
      </w:r>
    </w:p>
    <w:p w:rsidR="00000000" w:rsidRDefault="00000000">
      <w:pPr>
        <w:rPr>
          <w:rFonts w:hint="eastAsia"/>
        </w:rPr>
      </w:pPr>
      <w:r>
        <w:tab/>
        <w:t xml:space="preserve">189.  </w:t>
      </w:r>
      <w:r>
        <w:rPr>
          <w:rFonts w:hint="eastAsia"/>
        </w:rPr>
        <w:t>在《国家档案法》</w:t>
      </w:r>
      <w:r>
        <w:t>(PB 1996, No. 96)</w:t>
      </w:r>
      <w:r>
        <w:rPr>
          <w:rFonts w:hint="eastAsia"/>
        </w:rPr>
        <w:t>获得正式通过的同时，向司法局提交了一项实施这项法律的档案法令和一项修正案。修正案中的一个具体建议是：根据国际趋势，将有关文件的封存期从</w:t>
      </w:r>
      <w:r>
        <w:rPr>
          <w:rFonts w:hint="eastAsia"/>
        </w:rPr>
        <w:t>40</w:t>
      </w:r>
      <w:r>
        <w:rPr>
          <w:rFonts w:hint="eastAsia"/>
        </w:rPr>
        <w:t>年改为</w:t>
      </w:r>
      <w:r>
        <w:rPr>
          <w:rFonts w:hint="eastAsia"/>
        </w:rPr>
        <w:t>20</w:t>
      </w:r>
      <w:r>
        <w:rPr>
          <w:rFonts w:hint="eastAsia"/>
        </w:rPr>
        <w:t>年。同最初的法律相比，这项新的法案为数字形式的档案作出了更多的规定。</w:t>
      </w:r>
    </w:p>
    <w:p w:rsidR="00000000" w:rsidRDefault="00000000">
      <w:pPr>
        <w:spacing w:after="240"/>
        <w:rPr>
          <w:rFonts w:hint="eastAsia"/>
        </w:rPr>
      </w:pPr>
      <w:r>
        <w:rPr>
          <w:rFonts w:hint="eastAsia"/>
        </w:rPr>
        <w:tab/>
        <w:t xml:space="preserve">190.  </w:t>
      </w:r>
      <w:r>
        <w:rPr>
          <w:rFonts w:hint="eastAsia"/>
        </w:rPr>
        <w:t>这项政策致力于同各岛政府拟订合作议定书，这样，它们超过</w:t>
      </w:r>
      <w:r>
        <w:rPr>
          <w:rFonts w:hint="eastAsia"/>
        </w:rPr>
        <w:t>40</w:t>
      </w:r>
      <w:r>
        <w:rPr>
          <w:rFonts w:hint="eastAsia"/>
        </w:rPr>
        <w:t>年的文件也可向公众开放。为此目的，这些档案也必须有选择地提交档案馆。在</w:t>
      </w:r>
      <w:r>
        <w:rPr>
          <w:rFonts w:hint="eastAsia"/>
        </w:rPr>
        <w:t>1998</w:t>
      </w:r>
      <w:r>
        <w:rPr>
          <w:rFonts w:hint="eastAsia"/>
        </w:rPr>
        <w:t>年同</w:t>
      </w:r>
      <w:r>
        <w:rPr>
          <w:rFonts w:hint="eastAsia"/>
        </w:rPr>
        <w:t>Curaçao</w:t>
      </w:r>
      <w:r>
        <w:rPr>
          <w:rFonts w:hint="eastAsia"/>
        </w:rPr>
        <w:t>岛政府签定了一项议定书，其中规定</w:t>
      </w:r>
      <w:r>
        <w:rPr>
          <w:rFonts w:hint="eastAsia"/>
        </w:rPr>
        <w:t>Curaçao</w:t>
      </w:r>
      <w:r>
        <w:rPr>
          <w:rFonts w:hint="eastAsia"/>
        </w:rPr>
        <w:t>岛执行理事会将国家档案馆的档案室指定为存放向公众开放档案的地方。</w:t>
      </w:r>
    </w:p>
    <w:p w:rsidR="00000000" w:rsidRDefault="00000000">
      <w:pPr>
        <w:pStyle w:val="Heading4"/>
        <w:spacing w:after="160"/>
        <w:rPr>
          <w:rFonts w:eastAsia="KaiTi_GB2312" w:hint="eastAsia"/>
          <w:snapToGrid/>
          <w:spacing w:val="0"/>
          <w:u w:val="none"/>
        </w:rPr>
      </w:pPr>
      <w:r>
        <w:rPr>
          <w:rFonts w:eastAsia="KaiTi_GB2312" w:hint="eastAsia"/>
          <w:snapToGrid/>
          <w:spacing w:val="0"/>
          <w:u w:val="none"/>
        </w:rPr>
        <w:t>容</w:t>
      </w:r>
      <w:r>
        <w:rPr>
          <w:rFonts w:eastAsia="KaiTi_GB2312" w:hint="eastAsia"/>
          <w:snapToGrid/>
          <w:spacing w:val="0"/>
          <w:u w:val="none"/>
        </w:rPr>
        <w:t xml:space="preserve">  </w:t>
      </w:r>
      <w:r>
        <w:rPr>
          <w:rFonts w:eastAsia="KaiTi_GB2312" w:hint="eastAsia"/>
          <w:snapToGrid/>
          <w:spacing w:val="0"/>
          <w:u w:val="none"/>
        </w:rPr>
        <w:t>量</w:t>
      </w:r>
    </w:p>
    <w:p w:rsidR="00000000" w:rsidRDefault="00000000">
      <w:pPr>
        <w:rPr>
          <w:rFonts w:hint="eastAsia"/>
        </w:rPr>
      </w:pPr>
      <w:r>
        <w:rPr>
          <w:rFonts w:hint="eastAsia"/>
        </w:rPr>
        <w:tab/>
        <w:t xml:space="preserve">191.  </w:t>
      </w:r>
      <w:r>
        <w:rPr>
          <w:rFonts w:hint="eastAsia"/>
        </w:rPr>
        <w:t>完全向公众开放意味着，凡是想查阅有关文件的人可以免费进行。这就要求向公众提供具有足够设施和容量的档案服务。国家档案馆的容量已经达到极限，已经收藏了长度为</w:t>
      </w:r>
      <w:r>
        <w:rPr>
          <w:rFonts w:hint="eastAsia"/>
        </w:rPr>
        <w:t>3</w:t>
      </w:r>
      <w:r>
        <w:rPr>
          <w:rFonts w:hint="eastAsia"/>
        </w:rPr>
        <w:t>公里的大致上从</w:t>
      </w:r>
      <w:r>
        <w:rPr>
          <w:rFonts w:hint="eastAsia"/>
        </w:rPr>
        <w:t>1810</w:t>
      </w:r>
      <w:r>
        <w:rPr>
          <w:rFonts w:hint="eastAsia"/>
        </w:rPr>
        <w:t>年至</w:t>
      </w:r>
      <w:r>
        <w:rPr>
          <w:rFonts w:hint="eastAsia"/>
        </w:rPr>
        <w:t>1940</w:t>
      </w:r>
      <w:r>
        <w:rPr>
          <w:rFonts w:hint="eastAsia"/>
        </w:rPr>
        <w:t>年的档案。在</w:t>
      </w:r>
      <w:r>
        <w:rPr>
          <w:rFonts w:hint="eastAsia"/>
        </w:rPr>
        <w:t>1991</w:t>
      </w:r>
      <w:r>
        <w:rPr>
          <w:rFonts w:hint="eastAsia"/>
        </w:rPr>
        <w:t>年、</w:t>
      </w:r>
      <w:r>
        <w:rPr>
          <w:rFonts w:hint="eastAsia"/>
        </w:rPr>
        <w:t>1994</w:t>
      </w:r>
      <w:r>
        <w:rPr>
          <w:rFonts w:hint="eastAsia"/>
        </w:rPr>
        <w:t>年、</w:t>
      </w:r>
      <w:r>
        <w:rPr>
          <w:rFonts w:hint="eastAsia"/>
        </w:rPr>
        <w:t>1999</w:t>
      </w:r>
      <w:r>
        <w:rPr>
          <w:rFonts w:hint="eastAsia"/>
        </w:rPr>
        <w:t>年以及</w:t>
      </w:r>
      <w:r>
        <w:rPr>
          <w:rFonts w:hint="eastAsia"/>
        </w:rPr>
        <w:t>2002</w:t>
      </w:r>
      <w:r>
        <w:rPr>
          <w:rFonts w:hint="eastAsia"/>
        </w:rPr>
        <w:t>年就收藏</w:t>
      </w:r>
      <w:r>
        <w:rPr>
          <w:rFonts w:hint="eastAsia"/>
        </w:rPr>
        <w:t>1940</w:t>
      </w:r>
      <w:r>
        <w:rPr>
          <w:rFonts w:hint="eastAsia"/>
        </w:rPr>
        <w:t>年以后档案的问题进行了一些研究。</w:t>
      </w:r>
      <w:r>
        <w:rPr>
          <w:rFonts w:hint="eastAsia"/>
        </w:rPr>
        <w:t>2003</w:t>
      </w:r>
      <w:r>
        <w:rPr>
          <w:rFonts w:hint="eastAsia"/>
        </w:rPr>
        <w:t>年</w:t>
      </w:r>
      <w:r>
        <w:rPr>
          <w:rFonts w:hint="eastAsia"/>
        </w:rPr>
        <w:t>1</w:t>
      </w:r>
      <w:r>
        <w:rPr>
          <w:rFonts w:hint="eastAsia"/>
        </w:rPr>
        <w:t>月，荷属安的列斯群岛政府向荷兰驻</w:t>
      </w:r>
      <w:r>
        <w:t>Willemstad</w:t>
      </w:r>
      <w:r>
        <w:rPr>
          <w:rFonts w:hint="eastAsia"/>
        </w:rPr>
        <w:t>的代表提出了提供经费的要求。如果这项要求得到批准，国家档案馆就可安排目前存放在各个国家档案部门的</w:t>
      </w:r>
      <w:r>
        <w:rPr>
          <w:rFonts w:hint="eastAsia"/>
        </w:rPr>
        <w:t>1940</w:t>
      </w:r>
      <w:r>
        <w:rPr>
          <w:rFonts w:hint="eastAsia"/>
        </w:rPr>
        <w:t>年以后的档案以及存放在</w:t>
      </w:r>
      <w:r>
        <w:rPr>
          <w:rFonts w:hint="eastAsia"/>
        </w:rPr>
        <w:t>Curaçao</w:t>
      </w:r>
      <w:r>
        <w:rPr>
          <w:rFonts w:hint="eastAsia"/>
        </w:rPr>
        <w:t>岛</w:t>
      </w:r>
      <w:r>
        <w:rPr>
          <w:rFonts w:hint="eastAsia"/>
        </w:rPr>
        <w:t>1954</w:t>
      </w:r>
      <w:r>
        <w:rPr>
          <w:rFonts w:hint="eastAsia"/>
        </w:rPr>
        <w:t>年以后的档案的移交和收藏。这些长度超过</w:t>
      </w:r>
      <w:r>
        <w:rPr>
          <w:rFonts w:hint="eastAsia"/>
        </w:rPr>
        <w:t>35</w:t>
      </w:r>
      <w:r>
        <w:rPr>
          <w:rFonts w:hint="eastAsia"/>
        </w:rPr>
        <w:t>公里的档案目前存放在上述各处。</w:t>
      </w:r>
    </w:p>
    <w:p w:rsidR="00000000" w:rsidRDefault="00000000">
      <w:pPr>
        <w:widowControl w:val="0"/>
        <w:spacing w:after="240"/>
        <w:rPr>
          <w:rFonts w:hint="eastAsia"/>
        </w:rPr>
      </w:pPr>
      <w:r>
        <w:rPr>
          <w:rFonts w:hint="eastAsia"/>
        </w:rPr>
        <w:tab/>
        <w:t xml:space="preserve">192.  </w:t>
      </w:r>
      <w:r>
        <w:rPr>
          <w:rFonts w:hint="eastAsia"/>
        </w:rPr>
        <w:t>据认为，在经过挑选以后，大约</w:t>
      </w:r>
      <w:r>
        <w:rPr>
          <w:rFonts w:hint="eastAsia"/>
        </w:rPr>
        <w:t>10%</w:t>
      </w:r>
      <w:r>
        <w:rPr>
          <w:rFonts w:hint="eastAsia"/>
        </w:rPr>
        <w:t>的有文化和历史价值的档案将被移送到新的存放地点，其余档案将被销毁。在</w:t>
      </w:r>
      <w:r>
        <w:rPr>
          <w:rFonts w:hint="eastAsia"/>
        </w:rPr>
        <w:t>2003</w:t>
      </w:r>
      <w:r>
        <w:rPr>
          <w:rFonts w:hint="eastAsia"/>
        </w:rPr>
        <w:t>年又提出了一项有关支付甄别费用的要求。国家档案馆于</w:t>
      </w:r>
      <w:r>
        <w:rPr>
          <w:rFonts w:hint="eastAsia"/>
        </w:rPr>
        <w:t>1997</w:t>
      </w:r>
      <w:r>
        <w:rPr>
          <w:rFonts w:hint="eastAsia"/>
        </w:rPr>
        <w:t>年同行政机关脱离，有了自己的馆址，其公共设施也有了扩大。</w:t>
      </w:r>
    </w:p>
    <w:p w:rsidR="00000000" w:rsidRDefault="00000000">
      <w:pPr>
        <w:pStyle w:val="Heading4"/>
        <w:spacing w:after="160"/>
        <w:rPr>
          <w:rFonts w:eastAsia="KaiTi_GB2312" w:hint="eastAsia"/>
          <w:snapToGrid/>
          <w:spacing w:val="0"/>
          <w:u w:val="none"/>
        </w:rPr>
      </w:pPr>
      <w:r>
        <w:rPr>
          <w:rFonts w:eastAsia="KaiTi_GB2312" w:hint="eastAsia"/>
          <w:snapToGrid/>
          <w:spacing w:val="0"/>
          <w:u w:val="none"/>
        </w:rPr>
        <w:t>组织结构</w:t>
      </w:r>
    </w:p>
    <w:p w:rsidR="00000000" w:rsidRDefault="00000000">
      <w:pPr>
        <w:widowControl w:val="0"/>
        <w:spacing w:after="240"/>
        <w:rPr>
          <w:rFonts w:hint="eastAsia"/>
        </w:rPr>
      </w:pPr>
      <w:r>
        <w:rPr>
          <w:rFonts w:hint="eastAsia"/>
        </w:rPr>
        <w:tab/>
        <w:t xml:space="preserve">193.  </w:t>
      </w:r>
      <w:r>
        <w:rPr>
          <w:rFonts w:hint="eastAsia"/>
        </w:rPr>
        <w:t>如果国家档案馆要有效执行政策，就必须要有明确的组织结构，因此档案馆在</w:t>
      </w:r>
      <w:r>
        <w:rPr>
          <w:rFonts w:hint="eastAsia"/>
        </w:rPr>
        <w:t>1990</w:t>
      </w:r>
      <w:r>
        <w:rPr>
          <w:rFonts w:hint="eastAsia"/>
        </w:rPr>
        <w:t>年代进行了旨在精兵简政的重组。根据中央政府对核心任务的分析以及在</w:t>
      </w:r>
      <w:r>
        <w:rPr>
          <w:rFonts w:hint="eastAsia"/>
        </w:rPr>
        <w:t>2000</w:t>
      </w:r>
      <w:r>
        <w:rPr>
          <w:rFonts w:hint="eastAsia"/>
        </w:rPr>
        <w:t>年左右的几次精简，国家档案馆已经根据机构模式或者主管部门模式进行了改组。国家档案馆的业务计划于</w:t>
      </w:r>
      <w:r>
        <w:rPr>
          <w:rFonts w:hint="eastAsia"/>
        </w:rPr>
        <w:t>2001</w:t>
      </w:r>
      <w:r>
        <w:rPr>
          <w:rFonts w:hint="eastAsia"/>
        </w:rPr>
        <w:t>年获得通过。如果这种机构组织模式得以完全通过的话，人事和财务管理权将必须转移到主管部门。</w:t>
      </w:r>
    </w:p>
    <w:p w:rsidR="00000000" w:rsidRDefault="00000000">
      <w:pPr>
        <w:spacing w:after="160"/>
        <w:rPr>
          <w:rFonts w:eastAsia="KaiTi_GB2312" w:hint="eastAsia"/>
          <w:snapToGrid/>
          <w:spacing w:val="0"/>
        </w:rPr>
      </w:pPr>
      <w:r>
        <w:rPr>
          <w:rFonts w:eastAsia="KaiTi_GB2312" w:hint="eastAsia"/>
          <w:snapToGrid/>
          <w:spacing w:val="0"/>
        </w:rPr>
        <w:t>项</w:t>
      </w:r>
      <w:r>
        <w:rPr>
          <w:rFonts w:eastAsia="KaiTi_GB2312" w:hint="eastAsia"/>
          <w:snapToGrid/>
          <w:spacing w:val="0"/>
        </w:rPr>
        <w:t xml:space="preserve">  </w:t>
      </w:r>
      <w:r>
        <w:rPr>
          <w:rFonts w:eastAsia="KaiTi_GB2312" w:hint="eastAsia"/>
          <w:snapToGrid/>
          <w:spacing w:val="0"/>
        </w:rPr>
        <w:t>目</w:t>
      </w:r>
    </w:p>
    <w:p w:rsidR="00000000" w:rsidRDefault="00000000">
      <w:pPr>
        <w:spacing w:after="240"/>
        <w:rPr>
          <w:rFonts w:hint="eastAsia"/>
        </w:rPr>
      </w:pPr>
      <w:r>
        <w:rPr>
          <w:rFonts w:hint="eastAsia"/>
        </w:rPr>
        <w:tab/>
        <w:t xml:space="preserve">194.  </w:t>
      </w:r>
      <w:r>
        <w:rPr>
          <w:rFonts w:hint="eastAsia"/>
        </w:rPr>
        <w:t>国家档案馆实施了许多项目，以帮助保护该国的文化遗产</w:t>
      </w:r>
      <w:r>
        <w:rPr>
          <w:rFonts w:hint="eastAsia"/>
        </w:rPr>
        <w:t>(</w:t>
      </w:r>
      <w:r>
        <w:rPr>
          <w:rFonts w:hint="eastAsia"/>
        </w:rPr>
        <w:t>“民族记忆”</w:t>
      </w:r>
      <w:r>
        <w:rPr>
          <w:rFonts w:hint="eastAsia"/>
        </w:rPr>
        <w:t>)</w:t>
      </w:r>
      <w:r>
        <w:rPr>
          <w:rFonts w:hint="eastAsia"/>
        </w:rPr>
        <w:t>。其中一个项目是“数字化保存”。由于气候和虫灾的原因，安的列斯群岛政府的纸张档案已经受到损害，而不久它的电脑档案也很快就有受损的危险。将每天产生的数字信息转变成在</w:t>
      </w:r>
      <w:r>
        <w:rPr>
          <w:rFonts w:hint="eastAsia"/>
        </w:rPr>
        <w:t>20</w:t>
      </w:r>
      <w:r>
        <w:rPr>
          <w:rFonts w:hint="eastAsia"/>
        </w:rPr>
        <w:t>年后也能读出的格式并不是一件容易的事。如果没有特别的数据管理规则和技术应用，这种信息的耐久性和真实性不会得到自动保护。已经注意到了这些问题，目前正在中央政府信息和通信技术政策计划的“数字化保存”项下研究解决这些问题。其目的是要确保政府在很久以后都能以可靠和真实的数字信息来解释其行动。</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会</w:t>
      </w:r>
      <w:r>
        <w:rPr>
          <w:rFonts w:ascii="Time New Roman" w:eastAsia="SimHei" w:hAnsi="Time New Roman" w:hint="eastAsia"/>
          <w:u w:val="none"/>
        </w:rPr>
        <w:t xml:space="preserve">  </w:t>
      </w:r>
      <w:r>
        <w:rPr>
          <w:rFonts w:ascii="Time New Roman" w:eastAsia="SimHei" w:hAnsi="Time New Roman" w:hint="eastAsia"/>
          <w:u w:val="none"/>
        </w:rPr>
        <w:t>议</w:t>
      </w:r>
    </w:p>
    <w:p w:rsidR="00000000" w:rsidRDefault="00000000">
      <w:pPr>
        <w:rPr>
          <w:rFonts w:hint="eastAsia"/>
        </w:rPr>
      </w:pPr>
      <w:r>
        <w:rPr>
          <w:rFonts w:hint="eastAsia"/>
        </w:rPr>
        <w:tab/>
        <w:t xml:space="preserve">195.  </w:t>
      </w:r>
      <w:r>
        <w:rPr>
          <w:rFonts w:hint="eastAsia"/>
        </w:rPr>
        <w:t>国家档案馆计划在</w:t>
      </w:r>
      <w:r>
        <w:rPr>
          <w:rFonts w:hint="eastAsia"/>
        </w:rPr>
        <w:t>2003</w:t>
      </w:r>
      <w:r>
        <w:rPr>
          <w:rFonts w:hint="eastAsia"/>
        </w:rPr>
        <w:t>年和</w:t>
      </w:r>
      <w:r>
        <w:rPr>
          <w:rFonts w:hint="eastAsia"/>
        </w:rPr>
        <w:t>2006</w:t>
      </w:r>
      <w:r>
        <w:rPr>
          <w:rFonts w:hint="eastAsia"/>
        </w:rPr>
        <w:t>年主持了几次大型的国际会议，以推动其业务并使之专业化：</w:t>
      </w:r>
    </w:p>
    <w:p w:rsidR="00000000" w:rsidRDefault="00000000">
      <w:pPr>
        <w:pStyle w:val="a"/>
        <w:numPr>
          <w:ilvl w:val="0"/>
          <w:numId w:val="150"/>
        </w:numPr>
        <w:ind w:left="1531"/>
        <w:rPr>
          <w:rFonts w:hint="eastAsia"/>
        </w:rPr>
      </w:pPr>
      <w:r>
        <w:rPr>
          <w:rFonts w:hint="eastAsia"/>
        </w:rPr>
        <w:t>同教科文组织合作于</w:t>
      </w:r>
      <w:r>
        <w:rPr>
          <w:rFonts w:hint="eastAsia"/>
        </w:rPr>
        <w:t>2003</w:t>
      </w:r>
      <w:r>
        <w:rPr>
          <w:rFonts w:hint="eastAsia"/>
        </w:rPr>
        <w:t>年</w:t>
      </w:r>
      <w:r>
        <w:rPr>
          <w:rFonts w:hint="eastAsia"/>
        </w:rPr>
        <w:t>6</w:t>
      </w:r>
      <w:r>
        <w:rPr>
          <w:rFonts w:hint="eastAsia"/>
        </w:rPr>
        <w:t>月举行一次纪念解放</w:t>
      </w:r>
      <w:r>
        <w:rPr>
          <w:rFonts w:hint="eastAsia"/>
        </w:rPr>
        <w:t>140</w:t>
      </w:r>
      <w:r>
        <w:rPr>
          <w:rFonts w:hint="eastAsia"/>
        </w:rPr>
        <w:t>周年的会议。</w:t>
      </w:r>
    </w:p>
    <w:p w:rsidR="00000000" w:rsidRDefault="00000000">
      <w:pPr>
        <w:pStyle w:val="a"/>
        <w:numPr>
          <w:ilvl w:val="0"/>
          <w:numId w:val="150"/>
        </w:numPr>
        <w:spacing w:after="240"/>
        <w:ind w:left="1531"/>
        <w:rPr>
          <w:rFonts w:hint="eastAsia"/>
        </w:rPr>
      </w:pPr>
      <w:r>
        <w:rPr>
          <w:rFonts w:hint="eastAsia"/>
        </w:rPr>
        <w:t>2003</w:t>
      </w:r>
      <w:r>
        <w:rPr>
          <w:rFonts w:hint="eastAsia"/>
        </w:rPr>
        <w:t>年</w:t>
      </w:r>
      <w:r>
        <w:rPr>
          <w:rFonts w:hint="eastAsia"/>
        </w:rPr>
        <w:t>11</w:t>
      </w:r>
      <w:r>
        <w:rPr>
          <w:rFonts w:hint="eastAsia"/>
        </w:rPr>
        <w:t>月，同国际档案理事会、荷兰国家档案馆、国际档案理事会加勒比分会、拉丁美洲档案协会以及国际文物保存和修复研究中心合作，召开题为“在热带环境中保存档案”的会议；同国际档案理事会合作于</w:t>
      </w:r>
      <w:r>
        <w:rPr>
          <w:rFonts w:hint="eastAsia"/>
        </w:rPr>
        <w:t>2006</w:t>
      </w:r>
      <w:r>
        <w:rPr>
          <w:rFonts w:hint="eastAsia"/>
        </w:rPr>
        <w:t>年举行该理事会的圆桌会议。</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文化政策</w:t>
      </w:r>
    </w:p>
    <w:p w:rsidR="00000000" w:rsidRDefault="00000000">
      <w:pPr>
        <w:widowControl w:val="0"/>
        <w:rPr>
          <w:rFonts w:hint="eastAsia"/>
        </w:rPr>
      </w:pPr>
      <w:r>
        <w:rPr>
          <w:rFonts w:hint="eastAsia"/>
        </w:rPr>
        <w:tab/>
        <w:t xml:space="preserve">196.  </w:t>
      </w:r>
      <w:r>
        <w:rPr>
          <w:spacing w:val="8"/>
        </w:rPr>
        <w:t>Curaçao</w:t>
      </w:r>
      <w:r>
        <w:rPr>
          <w:rFonts w:hint="eastAsia"/>
          <w:spacing w:val="8"/>
        </w:rPr>
        <w:t>岛执行理事会于</w:t>
      </w:r>
      <w:r>
        <w:rPr>
          <w:rFonts w:hint="eastAsia"/>
          <w:spacing w:val="8"/>
        </w:rPr>
        <w:t>2001</w:t>
      </w:r>
      <w:r>
        <w:rPr>
          <w:rFonts w:hint="eastAsia"/>
          <w:spacing w:val="8"/>
        </w:rPr>
        <w:t>年批准了题为“实现精神独立”的《</w:t>
      </w:r>
      <w:r>
        <w:rPr>
          <w:rFonts w:hint="eastAsia"/>
          <w:spacing w:val="8"/>
        </w:rPr>
        <w:t>Curaçao</w:t>
      </w:r>
      <w:r>
        <w:rPr>
          <w:rFonts w:hint="eastAsia"/>
          <w:spacing w:val="8"/>
        </w:rPr>
        <w:t>岛</w:t>
      </w:r>
      <w:r>
        <w:rPr>
          <w:rFonts w:hint="eastAsia"/>
          <w:spacing w:val="8"/>
        </w:rPr>
        <w:t>2001</w:t>
      </w:r>
      <w:r>
        <w:rPr>
          <w:rFonts w:hint="eastAsia"/>
          <w:spacing w:val="8"/>
        </w:rPr>
        <w:t>年至</w:t>
      </w:r>
      <w:r>
        <w:rPr>
          <w:rFonts w:hint="eastAsia"/>
          <w:spacing w:val="8"/>
        </w:rPr>
        <w:t>2005</w:t>
      </w:r>
      <w:r>
        <w:rPr>
          <w:rFonts w:hint="eastAsia"/>
          <w:spacing w:val="8"/>
        </w:rPr>
        <w:t>年综合文化政策计划》，并且成立了</w:t>
      </w:r>
      <w:r>
        <w:rPr>
          <w:spacing w:val="8"/>
        </w:rPr>
        <w:t>Kas di Kultura</w:t>
      </w:r>
      <w:r>
        <w:rPr>
          <w:rFonts w:hint="eastAsia"/>
          <w:spacing w:val="8"/>
        </w:rPr>
        <w:t>基金会来实施这个计划。其中一项得到特别重视的议题是：推广有关安的列斯群岛的历史、文化和民族特性的知识，鼓励整个社会，特别是弱势群体，提高觉悟，自立自强以及争取主动。另外一个目标是创造机会让所有人都参与文化生活。总而言之，这项政策计划是要通过电台广播，演讲、讲习班、展览、出版物、以及同荷属安的列斯群岛的其他岛屿、阿鲁巴岛以及委内瑞拉的文化交流将</w:t>
      </w:r>
      <w:r>
        <w:rPr>
          <w:rFonts w:hint="eastAsia"/>
          <w:spacing w:val="8"/>
        </w:rPr>
        <w:t>Curaçao</w:t>
      </w:r>
      <w:r>
        <w:rPr>
          <w:rFonts w:hint="eastAsia"/>
          <w:spacing w:val="8"/>
        </w:rPr>
        <w:t>岛的全体公民送上精神解放之路。</w:t>
      </w:r>
    </w:p>
    <w:p w:rsidR="00000000" w:rsidRDefault="00000000">
      <w:pPr>
        <w:spacing w:after="240"/>
        <w:rPr>
          <w:rFonts w:hint="eastAsia"/>
        </w:rPr>
      </w:pPr>
      <w:r>
        <w:rPr>
          <w:rFonts w:hint="eastAsia"/>
        </w:rPr>
        <w:tab/>
        <w:t>197.  2004</w:t>
      </w:r>
      <w:r>
        <w:rPr>
          <w:rFonts w:hint="eastAsia"/>
        </w:rPr>
        <w:t>年</w:t>
      </w:r>
      <w:r>
        <w:rPr>
          <w:rFonts w:hint="eastAsia"/>
        </w:rPr>
        <w:t>2</w:t>
      </w:r>
      <w:r>
        <w:rPr>
          <w:rFonts w:hint="eastAsia"/>
        </w:rPr>
        <w:t>月</w:t>
      </w:r>
      <w:r>
        <w:rPr>
          <w:rFonts w:hint="eastAsia"/>
        </w:rPr>
        <w:t>6</w:t>
      </w:r>
      <w:r>
        <w:rPr>
          <w:rFonts w:hint="eastAsia"/>
        </w:rPr>
        <w:t>日，</w:t>
      </w:r>
      <w:r>
        <w:rPr>
          <w:rFonts w:hint="eastAsia"/>
        </w:rPr>
        <w:t>Curaçao</w:t>
      </w:r>
      <w:r>
        <w:rPr>
          <w:rFonts w:hint="eastAsia"/>
        </w:rPr>
        <w:t>岛同古巴共和国的圣地亚哥省签署了一项文化协定。根据这项协定，将进行专家交流，以便扩大和丰富两国的文化生活。</w:t>
      </w:r>
    </w:p>
    <w:p w:rsidR="00000000" w:rsidRDefault="00000000">
      <w:pPr>
        <w:pStyle w:val="Heading4"/>
        <w:spacing w:after="160"/>
        <w:rPr>
          <w:rFonts w:ascii="Time New Roman" w:eastAsia="SimHei" w:hAnsi="Time New Roman" w:hint="eastAsia"/>
          <w:u w:val="none"/>
        </w:rPr>
      </w:pPr>
      <w:r>
        <w:rPr>
          <w:rFonts w:ascii="Time New Roman" w:eastAsia="SimHei" w:hAnsi="Time New Roman"/>
          <w:b/>
          <w:u w:val="none"/>
        </w:rPr>
        <w:t>Pro</w:t>
      </w:r>
      <w:r>
        <w:rPr>
          <w:rFonts w:ascii="Time New Roman" w:eastAsia="SimHei" w:hAnsi="Time New Roman"/>
          <w:u w:val="none"/>
        </w:rPr>
        <w:t xml:space="preserve"> </w:t>
      </w:r>
      <w:r>
        <w:rPr>
          <w:rFonts w:ascii="Time New Roman" w:eastAsia="SimHei" w:hAnsi="Time New Roman"/>
          <w:b/>
          <w:u w:val="none"/>
        </w:rPr>
        <w:t>Monumento</w:t>
      </w:r>
      <w:r>
        <w:rPr>
          <w:rFonts w:ascii="Time New Roman" w:eastAsia="SimHei" w:hAnsi="Time New Roman" w:hint="eastAsia"/>
          <w:u w:val="none"/>
        </w:rPr>
        <w:t>基金会</w:t>
      </w:r>
    </w:p>
    <w:p w:rsidR="00000000" w:rsidRDefault="00000000">
      <w:pPr>
        <w:rPr>
          <w:rFonts w:hint="eastAsia"/>
        </w:rPr>
      </w:pPr>
      <w:r>
        <w:rPr>
          <w:rFonts w:hint="eastAsia"/>
        </w:rPr>
        <w:tab/>
        <w:t xml:space="preserve">198.  </w:t>
      </w:r>
      <w:r>
        <w:rPr>
          <w:rFonts w:hint="eastAsia"/>
        </w:rPr>
        <w:t>作为对教科文组织以及联合国有关宣布世界文化发展十年</w:t>
      </w:r>
      <w:r>
        <w:rPr>
          <w:rFonts w:hint="eastAsia"/>
        </w:rPr>
        <w:t>(1988</w:t>
      </w:r>
      <w:r>
        <w:rPr>
          <w:rFonts w:hint="eastAsia"/>
        </w:rPr>
        <w:t>年至</w:t>
      </w:r>
      <w:r>
        <w:rPr>
          <w:rFonts w:hint="eastAsia"/>
        </w:rPr>
        <w:t>1997</w:t>
      </w:r>
      <w:r>
        <w:rPr>
          <w:rFonts w:hint="eastAsia"/>
        </w:rPr>
        <w:t>年</w:t>
      </w:r>
      <w:r>
        <w:rPr>
          <w:rFonts w:hint="eastAsia"/>
        </w:rPr>
        <w:t>)</w:t>
      </w:r>
      <w:r>
        <w:rPr>
          <w:rFonts w:hint="eastAsia"/>
        </w:rPr>
        <w:t>决定的回应，于</w:t>
      </w:r>
      <w:r>
        <w:rPr>
          <w:rFonts w:hint="eastAsia"/>
        </w:rPr>
        <w:t>1988</w:t>
      </w:r>
      <w:r>
        <w:rPr>
          <w:rFonts w:hint="eastAsia"/>
        </w:rPr>
        <w:t>年制订了</w:t>
      </w:r>
      <w:r>
        <w:t>Willemstad</w:t>
      </w:r>
      <w:r>
        <w:rPr>
          <w:rFonts w:hint="eastAsia"/>
        </w:rPr>
        <w:t>城的复兴计划。在同一年又成立了“</w:t>
      </w:r>
      <w:r>
        <w:t>Willemstad</w:t>
      </w:r>
      <w:r>
        <w:rPr>
          <w:rFonts w:hint="eastAsia"/>
        </w:rPr>
        <w:t>行动”地区间委员会。在这个框架内，</w:t>
      </w:r>
      <w:r>
        <w:rPr>
          <w:rFonts w:hint="eastAsia"/>
        </w:rPr>
        <w:t>Curaçao</w:t>
      </w:r>
      <w:r>
        <w:rPr>
          <w:rFonts w:hint="eastAsia"/>
        </w:rPr>
        <w:t>岛政府同安的列斯群岛政府签定了“</w:t>
      </w:r>
      <w:r>
        <w:t>Willemstad</w:t>
      </w:r>
      <w:r>
        <w:rPr>
          <w:rFonts w:hint="eastAsia"/>
        </w:rPr>
        <w:t>行动”议定书。</w:t>
      </w:r>
      <w:r>
        <w:rPr>
          <w:rFonts w:hint="eastAsia"/>
        </w:rPr>
        <w:t>Curaçao</w:t>
      </w:r>
      <w:r>
        <w:rPr>
          <w:rFonts w:hint="eastAsia"/>
        </w:rPr>
        <w:t>岛政府承诺在</w:t>
      </w:r>
      <w:r>
        <w:rPr>
          <w:rFonts w:hint="eastAsia"/>
        </w:rPr>
        <w:t>12</w:t>
      </w:r>
      <w:r>
        <w:rPr>
          <w:rFonts w:hint="eastAsia"/>
        </w:rPr>
        <w:t>个月内制订一项有关纪念碑和古迹的计划，该岛的执行理事会已经于</w:t>
      </w:r>
      <w:r>
        <w:rPr>
          <w:rFonts w:hint="eastAsia"/>
        </w:rPr>
        <w:t>1990</w:t>
      </w:r>
      <w:r>
        <w:rPr>
          <w:rFonts w:hint="eastAsia"/>
        </w:rPr>
        <w:t>年</w:t>
      </w:r>
      <w:r>
        <w:rPr>
          <w:rFonts w:hint="eastAsia"/>
        </w:rPr>
        <w:t>1</w:t>
      </w:r>
      <w:r>
        <w:rPr>
          <w:rFonts w:hint="eastAsia"/>
        </w:rPr>
        <w:t>月批准了这项计划，</w:t>
      </w:r>
      <w:r>
        <w:rPr>
          <w:rFonts w:hint="eastAsia"/>
        </w:rPr>
        <w:t>1997</w:t>
      </w:r>
      <w:r>
        <w:rPr>
          <w:rFonts w:hint="eastAsia"/>
        </w:rPr>
        <w:t>年</w:t>
      </w:r>
      <w:r>
        <w:rPr>
          <w:rFonts w:hint="eastAsia"/>
        </w:rPr>
        <w:t>12</w:t>
      </w:r>
      <w:r>
        <w:rPr>
          <w:rFonts w:hint="eastAsia"/>
        </w:rPr>
        <w:t>月</w:t>
      </w:r>
      <w:r>
        <w:rPr>
          <w:rFonts w:hint="eastAsia"/>
        </w:rPr>
        <w:t>4</w:t>
      </w:r>
      <w:r>
        <w:rPr>
          <w:rFonts w:hint="eastAsia"/>
        </w:rPr>
        <w:t>日，“</w:t>
      </w:r>
      <w:r>
        <w:t>Willemstad</w:t>
      </w:r>
      <w:r>
        <w:rPr>
          <w:rFonts w:hint="eastAsia"/>
        </w:rPr>
        <w:t>内城和港口遗址”名列教科文组织的世界人类遗产地名单。</w:t>
      </w:r>
    </w:p>
    <w:p w:rsidR="00000000" w:rsidRDefault="00000000">
      <w:pPr>
        <w:rPr>
          <w:rFonts w:hint="eastAsia"/>
        </w:rPr>
      </w:pPr>
      <w:r>
        <w:rPr>
          <w:rFonts w:hint="eastAsia"/>
        </w:rPr>
        <w:tab/>
        <w:t xml:space="preserve">199.  </w:t>
      </w:r>
      <w:r>
        <w:rPr>
          <w:rFonts w:hint="eastAsia"/>
        </w:rPr>
        <w:t>不幸的是，上述纪念碑计划没有考虑到</w:t>
      </w:r>
      <w:r>
        <w:t>Willemstad</w:t>
      </w:r>
      <w:r>
        <w:rPr>
          <w:rFonts w:hint="eastAsia"/>
        </w:rPr>
        <w:t>城已经于</w:t>
      </w:r>
      <w:r>
        <w:rPr>
          <w:rFonts w:hint="eastAsia"/>
        </w:rPr>
        <w:t>1997</w:t>
      </w:r>
      <w:r>
        <w:rPr>
          <w:rFonts w:hint="eastAsia"/>
        </w:rPr>
        <w:t>年获得了世界人类遗产的地位。这项计划没有注意到保护这个世界人类遗产地的文化和历史价值的方法。</w:t>
      </w:r>
    </w:p>
    <w:p w:rsidR="00000000" w:rsidRDefault="00000000">
      <w:pPr>
        <w:rPr>
          <w:rFonts w:hint="eastAsia"/>
        </w:rPr>
      </w:pPr>
      <w:r>
        <w:rPr>
          <w:rFonts w:hint="eastAsia"/>
        </w:rPr>
        <w:tab/>
        <w:t xml:space="preserve">200.  </w:t>
      </w:r>
      <w:r>
        <w:rPr>
          <w:rFonts w:hint="eastAsia"/>
        </w:rPr>
        <w:t>迄今为止，已经有</w:t>
      </w:r>
      <w:r>
        <w:rPr>
          <w:rFonts w:hint="eastAsia"/>
        </w:rPr>
        <w:t>745</w:t>
      </w:r>
      <w:r>
        <w:rPr>
          <w:rFonts w:hint="eastAsia"/>
        </w:rPr>
        <w:t>处城内建筑、两处城外建筑、</w:t>
      </w:r>
      <w:r>
        <w:rPr>
          <w:rFonts w:hint="eastAsia"/>
        </w:rPr>
        <w:t>32</w:t>
      </w:r>
      <w:r>
        <w:rPr>
          <w:rFonts w:hint="eastAsia"/>
        </w:rPr>
        <w:t>处庄园以及一座古代纪念碑被选中，并且确定为受保护文物。被选中保护的还有城外的</w:t>
      </w:r>
      <w:r>
        <w:rPr>
          <w:rFonts w:hint="eastAsia"/>
        </w:rPr>
        <w:t>4</w:t>
      </w:r>
      <w:r>
        <w:rPr>
          <w:rFonts w:hint="eastAsia"/>
        </w:rPr>
        <w:t>座堡垒，可以将它们同加勒比地区的其他古代建筑一起提名，列入世界人类遗产目录。</w:t>
      </w:r>
    </w:p>
    <w:p w:rsidR="00000000" w:rsidRDefault="00000000">
      <w:pPr>
        <w:rPr>
          <w:rFonts w:hint="eastAsia"/>
        </w:rPr>
      </w:pPr>
      <w:r>
        <w:rPr>
          <w:rFonts w:hint="eastAsia"/>
        </w:rPr>
        <w:tab/>
        <w:t xml:space="preserve">201.  </w:t>
      </w:r>
      <w:r>
        <w:rPr>
          <w:rFonts w:hint="eastAsia"/>
        </w:rPr>
        <w:t>在过去十年中，</w:t>
      </w:r>
      <w:r>
        <w:rPr>
          <w:rFonts w:hint="eastAsia"/>
        </w:rPr>
        <w:t>Curaçao</w:t>
      </w:r>
      <w:r>
        <w:rPr>
          <w:rFonts w:hint="eastAsia"/>
        </w:rPr>
        <w:t>岛纪念碑基金会、</w:t>
      </w:r>
      <w:r>
        <w:rPr>
          <w:rFonts w:hint="eastAsia"/>
        </w:rPr>
        <w:t>Curaçao</w:t>
      </w:r>
      <w:r>
        <w:rPr>
          <w:rFonts w:hint="eastAsia"/>
        </w:rPr>
        <w:t>岛住房基金会、</w:t>
      </w:r>
      <w:r>
        <w:t>Willemstad</w:t>
      </w:r>
      <w:r>
        <w:rPr>
          <w:rFonts w:hint="eastAsia"/>
        </w:rPr>
        <w:t>城市复兴公司以及其他一些私人机构已经完成了大约</w:t>
      </w:r>
      <w:r>
        <w:rPr>
          <w:rFonts w:hint="eastAsia"/>
        </w:rPr>
        <w:t>180</w:t>
      </w:r>
      <w:r>
        <w:rPr>
          <w:rFonts w:hint="eastAsia"/>
        </w:rPr>
        <w:t>个修复项目，其中一些项目是由</w:t>
      </w:r>
      <w:r>
        <w:rPr>
          <w:rFonts w:hint="eastAsia"/>
        </w:rPr>
        <w:t>Curaçao</w:t>
      </w:r>
      <w:r>
        <w:rPr>
          <w:rFonts w:hint="eastAsia"/>
        </w:rPr>
        <w:t>岛纪念碑基金会资助的。</w:t>
      </w:r>
    </w:p>
    <w:p w:rsidR="00000000" w:rsidRDefault="00000000">
      <w:pPr>
        <w:widowControl w:val="0"/>
        <w:spacing w:after="240"/>
        <w:rPr>
          <w:rFonts w:hint="eastAsia"/>
        </w:rPr>
      </w:pPr>
      <w:r>
        <w:rPr>
          <w:rFonts w:hint="eastAsia"/>
        </w:rPr>
        <w:tab/>
        <w:t xml:space="preserve">202.  </w:t>
      </w:r>
      <w:r>
        <w:rPr>
          <w:rFonts w:hint="eastAsia"/>
        </w:rPr>
        <w:t>不幸的是，从</w:t>
      </w:r>
      <w:r>
        <w:rPr>
          <w:rFonts w:hint="eastAsia"/>
        </w:rPr>
        <w:t>1990</w:t>
      </w:r>
      <w:r>
        <w:rPr>
          <w:rFonts w:hint="eastAsia"/>
        </w:rPr>
        <w:t>年通过了纪念碑计划以来，并不是所有已经制订了的项目都得以实施的。其中原因包括：缺乏行政决定、决策过程过长、缺乏财政资源、缺乏决断、专门知识有限、在遵守和执行法律方面失误、修复费用过高、以及没有将世界人类遗产地的地位明确纳入计划。</w:t>
      </w:r>
    </w:p>
    <w:p w:rsidR="00000000" w:rsidRDefault="00000000">
      <w:pPr>
        <w:pStyle w:val="Heading4"/>
        <w:spacing w:after="160"/>
        <w:rPr>
          <w:rFonts w:ascii="Time New Roman" w:eastAsia="SimHei" w:hAnsi="Time New Roman" w:hint="eastAsia"/>
          <w:u w:val="none"/>
        </w:rPr>
      </w:pPr>
      <w:r>
        <w:rPr>
          <w:rFonts w:ascii="Time New Roman" w:eastAsia="SimHei" w:hAnsi="Time New Roman" w:hint="eastAsia"/>
          <w:u w:val="none"/>
        </w:rPr>
        <w:t>知识产权办公室</w:t>
      </w:r>
    </w:p>
    <w:p w:rsidR="00000000" w:rsidRDefault="00000000">
      <w:pPr>
        <w:widowControl w:val="0"/>
        <w:rPr>
          <w:rFonts w:hint="eastAsia"/>
        </w:rPr>
      </w:pPr>
      <w:r>
        <w:rPr>
          <w:rFonts w:hint="eastAsia"/>
        </w:rPr>
        <w:tab/>
        <w:t xml:space="preserve">203.  </w:t>
      </w:r>
      <w:r>
        <w:rPr>
          <w:rFonts w:hint="eastAsia"/>
        </w:rPr>
        <w:t>知识产权办公室于</w:t>
      </w:r>
      <w:r>
        <w:rPr>
          <w:rFonts w:hint="eastAsia"/>
        </w:rPr>
        <w:t>2000</w:t>
      </w:r>
      <w:r>
        <w:rPr>
          <w:rFonts w:hint="eastAsia"/>
        </w:rPr>
        <w:t>年</w:t>
      </w:r>
      <w:r>
        <w:rPr>
          <w:rFonts w:hint="eastAsia"/>
        </w:rPr>
        <w:t>11</w:t>
      </w:r>
      <w:r>
        <w:rPr>
          <w:rFonts w:hint="eastAsia"/>
        </w:rPr>
        <w:t>月私有化。《</w:t>
      </w:r>
      <w:r>
        <w:rPr>
          <w:rFonts w:hint="eastAsia"/>
        </w:rPr>
        <w:t>1995</w:t>
      </w:r>
      <w:r>
        <w:rPr>
          <w:rFonts w:hint="eastAsia"/>
        </w:rPr>
        <w:t>年国家商标法》于</w:t>
      </w:r>
      <w:r>
        <w:rPr>
          <w:rFonts w:hint="eastAsia"/>
        </w:rPr>
        <w:t>2001</w:t>
      </w:r>
      <w:r>
        <w:rPr>
          <w:rFonts w:hint="eastAsia"/>
        </w:rPr>
        <w:t>年正式生效。知识产权办公室于</w:t>
      </w:r>
      <w:r>
        <w:rPr>
          <w:rFonts w:hint="eastAsia"/>
        </w:rPr>
        <w:t>2002</w:t>
      </w:r>
      <w:r>
        <w:rPr>
          <w:rFonts w:hint="eastAsia"/>
        </w:rPr>
        <w:t>年为公众组织了一次有关知识产权的速成基础培训班。参加这个培训班的学员人数很多。培训班解释了版权、商标法、专利法、以及有关企业名称和平行输入的法律。为了向公众提供更多的信息，该办公室设立了自己的网站。</w:t>
      </w:r>
    </w:p>
    <w:p w:rsidR="00000000" w:rsidRDefault="00000000">
      <w:r>
        <w:rPr>
          <w:rFonts w:hint="eastAsia"/>
        </w:rPr>
        <w:tab/>
        <w:t xml:space="preserve">204.  </w:t>
      </w:r>
      <w:r>
        <w:rPr>
          <w:rFonts w:hint="eastAsia"/>
        </w:rPr>
        <w:t>由于荷属安的列斯群岛加入了《关于从</w:t>
      </w:r>
      <w:r>
        <w:rPr>
          <w:rFonts w:hint="eastAsia"/>
        </w:rPr>
        <w:t>2003</w:t>
      </w:r>
      <w:r>
        <w:rPr>
          <w:rFonts w:hint="eastAsia"/>
        </w:rPr>
        <w:t>年</w:t>
      </w:r>
      <w:r>
        <w:rPr>
          <w:rFonts w:hint="eastAsia"/>
        </w:rPr>
        <w:t>4</w:t>
      </w:r>
      <w:r>
        <w:rPr>
          <w:rFonts w:hint="eastAsia"/>
        </w:rPr>
        <w:t>月</w:t>
      </w:r>
      <w:r>
        <w:rPr>
          <w:rFonts w:hint="eastAsia"/>
        </w:rPr>
        <w:t>28</w:t>
      </w:r>
      <w:r>
        <w:rPr>
          <w:rFonts w:hint="eastAsia"/>
        </w:rPr>
        <w:t>日起进行国际登记的马德里协议</w:t>
      </w:r>
      <w:r>
        <w:rPr>
          <w:rFonts w:hint="eastAsia"/>
        </w:rPr>
        <w:t>1989</w:t>
      </w:r>
      <w:r>
        <w:rPr>
          <w:rFonts w:hint="eastAsia"/>
        </w:rPr>
        <w:t>年议定书》，知识产权办公室在</w:t>
      </w:r>
      <w:r>
        <w:rPr>
          <w:rFonts w:hint="eastAsia"/>
        </w:rPr>
        <w:t>2003</w:t>
      </w:r>
      <w:r>
        <w:rPr>
          <w:rFonts w:hint="eastAsia"/>
        </w:rPr>
        <w:t>年的国际舞台上取得了积极的进展。因此，其他国家目前可以通过一次性国际登记在荷属安的列斯群岛上保护本国的品牌。</w:t>
      </w:r>
    </w:p>
    <w:p w:rsidR="00000000" w:rsidRDefault="00000000"/>
    <w:p w:rsidR="00000000" w:rsidRDefault="00000000"/>
    <w:p w:rsidR="00000000" w:rsidRDefault="00000000">
      <w:pPr>
        <w:jc w:val="center"/>
      </w:pPr>
      <w:r>
        <w:t>--  --  --  --  --</w:t>
      </w:r>
    </w:p>
    <w:p w:rsidR="00000000" w:rsidRDefault="00000000"/>
    <w:sectPr w:rsidR="00000000">
      <w:headerReference w:type="even" r:id="rId7"/>
      <w:headerReference w:type="default" r:id="rId8"/>
      <w:headerReference w:type="first" r:id="rId9"/>
      <w:footerReference w:type="first" r:id="rId10"/>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长城楷体">
    <w:altName w:val="Arial Unicode MS"/>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w:t>
          </w:r>
          <w:r>
            <w:rPr>
              <w:rFonts w:hint="eastAsia"/>
            </w:rPr>
            <w:t>40398</w:t>
          </w:r>
          <w:r>
            <w:t xml:space="preserve"> (C)</w:t>
          </w:r>
        </w:p>
      </w:tc>
      <w:tc>
        <w:tcPr>
          <w:tcW w:w="1050" w:type="dxa"/>
        </w:tcPr>
        <w:p w:rsidR="00000000" w:rsidRDefault="00000000">
          <w:pPr>
            <w:pStyle w:val="Footer"/>
          </w:pPr>
          <w:r>
            <w:rPr>
              <w:rFonts w:hint="eastAsia"/>
            </w:rPr>
            <w:t>18</w:t>
          </w:r>
          <w:r>
            <w:t>0</w:t>
          </w:r>
          <w:r>
            <w:rPr>
              <w:rFonts w:hint="eastAsia"/>
            </w:rPr>
            <w:t>5</w:t>
          </w:r>
          <w:r>
            <w:t>06</w:t>
          </w:r>
        </w:p>
      </w:tc>
      <w:tc>
        <w:tcPr>
          <w:tcW w:w="6061" w:type="dxa"/>
        </w:tcPr>
        <w:p w:rsidR="00000000" w:rsidRDefault="00000000">
          <w:pPr>
            <w:pStyle w:val="Footer"/>
          </w:pPr>
          <w:r>
            <w:rPr>
              <w:rFonts w:hint="eastAsia"/>
            </w:rPr>
            <w:t>2</w:t>
          </w:r>
          <w:r>
            <w:t>90</w:t>
          </w:r>
          <w:r>
            <w:rPr>
              <w:rFonts w:hint="eastAsia"/>
            </w:rPr>
            <w:t>5</w:t>
          </w:r>
          <w:r>
            <w:t>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rFonts w:hint="eastAsia"/>
        </w:rPr>
      </w:pPr>
      <w:r>
        <w:rPr>
          <w:rStyle w:val="FootnoteReference"/>
          <w:b w:val="0"/>
          <w:bCs/>
          <w:vertAlign w:val="baseline"/>
        </w:rPr>
        <w:t>*</w:t>
      </w:r>
      <w:r>
        <w:t xml:space="preserve"> </w:t>
      </w:r>
      <w:r>
        <w:rPr>
          <w:rFonts w:hint="eastAsia"/>
        </w:rPr>
        <w:t xml:space="preserve"> </w:t>
      </w:r>
      <w:r>
        <w:rPr>
          <w:rFonts w:hint="eastAsia"/>
          <w:spacing w:val="0"/>
        </w:rPr>
        <w:t>根据发送给缔约国的关于其报告处理情况的信息，本文件在发送给联合国翻译部门前未作正式编辑。</w:t>
      </w:r>
    </w:p>
    <w:p w:rsidR="00000000" w:rsidRDefault="00000000">
      <w:pPr>
        <w:pStyle w:val="FootnoteText"/>
        <w:rPr>
          <w:rFonts w:hint="eastAsia"/>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E/C.12/ANT/3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E/C.12/ANT/3</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1pt;margin-top:2.8pt;width:123.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E/C.12/ANT/3</w:t>
                </w:r>
              </w:p>
              <w:p w:rsidR="00000000" w:rsidRDefault="00000000">
                <w:pPr>
                  <w:pStyle w:val="Header"/>
                </w:pPr>
                <w:r>
                  <w:t>13 February 2006</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
    <w:nsid w:val="017F0D3F"/>
    <w:multiLevelType w:val="multilevel"/>
    <w:tmpl w:val="86D04146"/>
    <w:lvl w:ilvl="0">
      <w:start w:val="1"/>
      <w:numFmt w:val="decimal"/>
      <w:lvlText w:val="%1."/>
      <w:lvlJc w:val="left"/>
      <w:pPr>
        <w:tabs>
          <w:tab w:val="num" w:pos="720"/>
        </w:tabs>
        <w:ind w:left="720" w:hanging="360"/>
      </w:pPr>
    </w:lvl>
    <w:lvl w:ilvl="1">
      <w:start w:val="1"/>
      <w:numFmt w:val="bullet"/>
      <w:lvlText w:val="-"/>
      <w:lvlJc w:val="left"/>
      <w:pPr>
        <w:tabs>
          <w:tab w:val="num" w:pos="1800"/>
        </w:tabs>
        <w:ind w:left="1800" w:hanging="720"/>
      </w:pPr>
      <w:rPr>
        <w:rFonts w:ascii="Times New Roman" w:eastAsia="MS Mincho" w:hAnsi="Times New Roman" w:cs="Times New Roman" w:hint="default"/>
      </w:rPr>
    </w:lvl>
    <w:lvl w:ilvl="2">
      <w:start w:val="1"/>
      <w:numFmt w:val="bullet"/>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1973E38"/>
    <w:multiLevelType w:val="multilevel"/>
    <w:tmpl w:val="7AFA4B8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15">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9140562"/>
    <w:multiLevelType w:val="singleLevel"/>
    <w:tmpl w:val="82686F16"/>
    <w:lvl w:ilvl="0">
      <w:start w:val="1"/>
      <w:numFmt w:val="lowerLetter"/>
      <w:lvlText w:val="(%1)"/>
      <w:lvlJc w:val="left"/>
      <w:pPr>
        <w:tabs>
          <w:tab w:val="num" w:pos="1531"/>
        </w:tabs>
        <w:ind w:left="1531" w:hanging="510"/>
      </w:pPr>
      <w:rPr>
        <w:rFonts w:hint="eastAsia"/>
      </w:rPr>
    </w:lvl>
  </w:abstractNum>
  <w:abstractNum w:abstractNumId="18">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19">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1">
    <w:nsid w:val="0AC26C62"/>
    <w:multiLevelType w:val="singleLevel"/>
    <w:tmpl w:val="561E0F3E"/>
    <w:lvl w:ilvl="0">
      <w:start w:val="1"/>
      <w:numFmt w:val="decimal"/>
      <w:lvlText w:val="%1."/>
      <w:lvlJc w:val="left"/>
      <w:pPr>
        <w:tabs>
          <w:tab w:val="num" w:pos="720"/>
        </w:tabs>
        <w:ind w:left="720" w:hanging="720"/>
      </w:pPr>
    </w:lvl>
  </w:abstractNum>
  <w:abstractNum w:abstractNumId="22">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C861DEE"/>
    <w:multiLevelType w:val="hybridMultilevel"/>
    <w:tmpl w:val="E1F2B59A"/>
    <w:lvl w:ilvl="0" w:tplc="49327FF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25">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7">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
    <w:nsid w:val="106A5B6F"/>
    <w:multiLevelType w:val="multilevel"/>
    <w:tmpl w:val="E9E6B61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30">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31">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2">
    <w:nsid w:val="170C549E"/>
    <w:multiLevelType w:val="singleLevel"/>
    <w:tmpl w:val="01325DD6"/>
    <w:lvl w:ilvl="0">
      <w:start w:val="1"/>
      <w:numFmt w:val="lowerLetter"/>
      <w:lvlText w:val="(%1)"/>
      <w:lvlJc w:val="left"/>
      <w:pPr>
        <w:tabs>
          <w:tab w:val="num" w:pos="720"/>
        </w:tabs>
        <w:ind w:left="720" w:hanging="720"/>
      </w:pPr>
    </w:lvl>
  </w:abstractNum>
  <w:abstractNum w:abstractNumId="33">
    <w:nsid w:val="179308EF"/>
    <w:multiLevelType w:val="hybridMultilevel"/>
    <w:tmpl w:val="D8302842"/>
    <w:lvl w:ilvl="0" w:tplc="8E3AA7FE">
      <w:start w:val="1"/>
      <w:numFmt w:val="lowerLetter"/>
      <w:lvlRestart w:val="0"/>
      <w:lvlText w:val="(%1)"/>
      <w:lvlJc w:val="right"/>
      <w:pPr>
        <w:tabs>
          <w:tab w:val="num" w:pos="227"/>
        </w:tabs>
        <w:ind w:left="227" w:hanging="227"/>
      </w:pPr>
      <w:rPr>
        <w:rFonts w:ascii="Times New Roman" w:hAnsi="Times New Roman"/>
        <w:b w:val="0"/>
        <w:i w:val="0"/>
        <w:sz w:val="24"/>
      </w:rPr>
    </w:lvl>
    <w:lvl w:ilvl="1" w:tplc="04090019" w:tentative="1">
      <w:start w:val="1"/>
      <w:numFmt w:val="ideographTraditional"/>
      <w:lvlText w:val="%2、"/>
      <w:lvlJc w:val="left"/>
      <w:pPr>
        <w:tabs>
          <w:tab w:val="num" w:pos="-344"/>
        </w:tabs>
        <w:ind w:left="-344" w:hanging="480"/>
      </w:pPr>
    </w:lvl>
    <w:lvl w:ilvl="2" w:tplc="0409001B" w:tentative="1">
      <w:start w:val="1"/>
      <w:numFmt w:val="lowerRoman"/>
      <w:lvlText w:val="%3."/>
      <w:lvlJc w:val="right"/>
      <w:pPr>
        <w:tabs>
          <w:tab w:val="num" w:pos="136"/>
        </w:tabs>
        <w:ind w:left="136" w:hanging="480"/>
      </w:pPr>
    </w:lvl>
    <w:lvl w:ilvl="3" w:tplc="0409000F" w:tentative="1">
      <w:start w:val="1"/>
      <w:numFmt w:val="decimal"/>
      <w:lvlText w:val="%4."/>
      <w:lvlJc w:val="left"/>
      <w:pPr>
        <w:tabs>
          <w:tab w:val="num" w:pos="616"/>
        </w:tabs>
        <w:ind w:left="616" w:hanging="480"/>
      </w:pPr>
    </w:lvl>
    <w:lvl w:ilvl="4" w:tplc="04090019" w:tentative="1">
      <w:start w:val="1"/>
      <w:numFmt w:val="ideographTraditional"/>
      <w:lvlText w:val="%5、"/>
      <w:lvlJc w:val="left"/>
      <w:pPr>
        <w:tabs>
          <w:tab w:val="num" w:pos="1096"/>
        </w:tabs>
        <w:ind w:left="1096" w:hanging="480"/>
      </w:pPr>
    </w:lvl>
    <w:lvl w:ilvl="5" w:tplc="0409001B" w:tentative="1">
      <w:start w:val="1"/>
      <w:numFmt w:val="lowerRoman"/>
      <w:lvlText w:val="%6."/>
      <w:lvlJc w:val="right"/>
      <w:pPr>
        <w:tabs>
          <w:tab w:val="num" w:pos="1576"/>
        </w:tabs>
        <w:ind w:left="1576" w:hanging="480"/>
      </w:pPr>
    </w:lvl>
    <w:lvl w:ilvl="6" w:tplc="0409000F" w:tentative="1">
      <w:start w:val="1"/>
      <w:numFmt w:val="decimal"/>
      <w:lvlText w:val="%7."/>
      <w:lvlJc w:val="left"/>
      <w:pPr>
        <w:tabs>
          <w:tab w:val="num" w:pos="2056"/>
        </w:tabs>
        <w:ind w:left="2056" w:hanging="480"/>
      </w:pPr>
    </w:lvl>
    <w:lvl w:ilvl="7" w:tplc="04090019" w:tentative="1">
      <w:start w:val="1"/>
      <w:numFmt w:val="ideographTraditional"/>
      <w:lvlText w:val="%8、"/>
      <w:lvlJc w:val="left"/>
      <w:pPr>
        <w:tabs>
          <w:tab w:val="num" w:pos="2536"/>
        </w:tabs>
        <w:ind w:left="2536" w:hanging="480"/>
      </w:pPr>
    </w:lvl>
    <w:lvl w:ilvl="8" w:tplc="0409001B" w:tentative="1">
      <w:start w:val="1"/>
      <w:numFmt w:val="lowerRoman"/>
      <w:lvlText w:val="%9."/>
      <w:lvlJc w:val="right"/>
      <w:pPr>
        <w:tabs>
          <w:tab w:val="num" w:pos="3016"/>
        </w:tabs>
        <w:ind w:left="3016" w:hanging="480"/>
      </w:pPr>
    </w:lvl>
  </w:abstractNum>
  <w:abstractNum w:abstractNumId="34">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36">
    <w:nsid w:val="1A2D739A"/>
    <w:multiLevelType w:val="multilevel"/>
    <w:tmpl w:val="C56C37D0"/>
    <w:lvl w:ilvl="0">
      <w:start w:val="1"/>
      <w:numFmt w:val="decimal"/>
      <w:lvlText w:val="%1."/>
      <w:lvlJc w:val="left"/>
      <w:pPr>
        <w:tabs>
          <w:tab w:val="num" w:pos="1080"/>
        </w:tabs>
        <w:ind w:left="1080" w:hanging="720"/>
      </w:pPr>
      <w:rPr>
        <w:rFonts w:hint="default"/>
      </w:rPr>
    </w:lvl>
    <w:lvl w:ilvl="1">
      <w:start w:val="1"/>
      <w:numFmt w:val="decimal"/>
      <w:lvlText w:val="%2"/>
      <w:lvlJc w:val="left"/>
      <w:pPr>
        <w:tabs>
          <w:tab w:val="num" w:pos="1800"/>
        </w:tabs>
        <w:ind w:left="1800" w:hanging="72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1C814AC2"/>
    <w:multiLevelType w:val="hybridMultilevel"/>
    <w:tmpl w:val="528C4CF0"/>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CC15C79"/>
    <w:multiLevelType w:val="hybridMultilevel"/>
    <w:tmpl w:val="CCD4713C"/>
    <w:lvl w:ilvl="0" w:tplc="A508A7FA">
      <w:start w:val="62"/>
      <w:numFmt w:val="bullet"/>
      <w:lvlText w:val="-"/>
      <w:lvlJc w:val="left"/>
      <w:pPr>
        <w:tabs>
          <w:tab w:val="num" w:pos="1608"/>
        </w:tabs>
        <w:ind w:left="1608" w:hanging="360"/>
      </w:pPr>
      <w:rPr>
        <w:rFonts w:ascii="Times New Roman" w:eastAsia="Times New Roman" w:hAnsi="Times New Roman" w:cs="Times New Roman" w:hint="default"/>
      </w:rPr>
    </w:lvl>
    <w:lvl w:ilvl="1" w:tplc="04090003">
      <w:start w:val="1"/>
      <w:numFmt w:val="bullet"/>
      <w:lvlText w:val="o"/>
      <w:lvlJc w:val="left"/>
      <w:pPr>
        <w:tabs>
          <w:tab w:val="num" w:pos="2328"/>
        </w:tabs>
        <w:ind w:left="2328" w:hanging="360"/>
      </w:pPr>
      <w:rPr>
        <w:rFonts w:ascii="Courier New" w:hAnsi="Courier New" w:hint="default"/>
      </w:rPr>
    </w:lvl>
    <w:lvl w:ilvl="2" w:tplc="04090005" w:tentative="1">
      <w:start w:val="1"/>
      <w:numFmt w:val="bullet"/>
      <w:lvlText w:val=""/>
      <w:lvlJc w:val="left"/>
      <w:pPr>
        <w:tabs>
          <w:tab w:val="num" w:pos="3048"/>
        </w:tabs>
        <w:ind w:left="3048" w:hanging="360"/>
      </w:pPr>
      <w:rPr>
        <w:rFonts w:ascii="Wingdings" w:hAnsi="Wingdings" w:hint="default"/>
      </w:rPr>
    </w:lvl>
    <w:lvl w:ilvl="3" w:tplc="04090001" w:tentative="1">
      <w:start w:val="1"/>
      <w:numFmt w:val="bullet"/>
      <w:lvlText w:val=""/>
      <w:lvlJc w:val="left"/>
      <w:pPr>
        <w:tabs>
          <w:tab w:val="num" w:pos="3768"/>
        </w:tabs>
        <w:ind w:left="3768" w:hanging="360"/>
      </w:pPr>
      <w:rPr>
        <w:rFonts w:ascii="Symbol" w:hAnsi="Symbol" w:hint="default"/>
      </w:rPr>
    </w:lvl>
    <w:lvl w:ilvl="4" w:tplc="04090003" w:tentative="1">
      <w:start w:val="1"/>
      <w:numFmt w:val="bullet"/>
      <w:lvlText w:val="o"/>
      <w:lvlJc w:val="left"/>
      <w:pPr>
        <w:tabs>
          <w:tab w:val="num" w:pos="4488"/>
        </w:tabs>
        <w:ind w:left="4488" w:hanging="360"/>
      </w:pPr>
      <w:rPr>
        <w:rFonts w:ascii="Courier New" w:hAnsi="Courier New" w:hint="default"/>
      </w:rPr>
    </w:lvl>
    <w:lvl w:ilvl="5" w:tplc="04090005" w:tentative="1">
      <w:start w:val="1"/>
      <w:numFmt w:val="bullet"/>
      <w:lvlText w:val=""/>
      <w:lvlJc w:val="left"/>
      <w:pPr>
        <w:tabs>
          <w:tab w:val="num" w:pos="5208"/>
        </w:tabs>
        <w:ind w:left="5208" w:hanging="360"/>
      </w:pPr>
      <w:rPr>
        <w:rFonts w:ascii="Wingdings" w:hAnsi="Wingdings" w:hint="default"/>
      </w:rPr>
    </w:lvl>
    <w:lvl w:ilvl="6" w:tplc="04090001" w:tentative="1">
      <w:start w:val="1"/>
      <w:numFmt w:val="bullet"/>
      <w:lvlText w:val=""/>
      <w:lvlJc w:val="left"/>
      <w:pPr>
        <w:tabs>
          <w:tab w:val="num" w:pos="5928"/>
        </w:tabs>
        <w:ind w:left="5928" w:hanging="360"/>
      </w:pPr>
      <w:rPr>
        <w:rFonts w:ascii="Symbol" w:hAnsi="Symbol" w:hint="default"/>
      </w:rPr>
    </w:lvl>
    <w:lvl w:ilvl="7" w:tplc="04090003" w:tentative="1">
      <w:start w:val="1"/>
      <w:numFmt w:val="bullet"/>
      <w:lvlText w:val="o"/>
      <w:lvlJc w:val="left"/>
      <w:pPr>
        <w:tabs>
          <w:tab w:val="num" w:pos="6648"/>
        </w:tabs>
        <w:ind w:left="6648" w:hanging="360"/>
      </w:pPr>
      <w:rPr>
        <w:rFonts w:ascii="Courier New" w:hAnsi="Courier New" w:hint="default"/>
      </w:rPr>
    </w:lvl>
    <w:lvl w:ilvl="8" w:tplc="04090005" w:tentative="1">
      <w:start w:val="1"/>
      <w:numFmt w:val="bullet"/>
      <w:lvlText w:val=""/>
      <w:lvlJc w:val="left"/>
      <w:pPr>
        <w:tabs>
          <w:tab w:val="num" w:pos="7368"/>
        </w:tabs>
        <w:ind w:left="7368" w:hanging="360"/>
      </w:pPr>
      <w:rPr>
        <w:rFonts w:ascii="Wingdings" w:hAnsi="Wingdings" w:hint="default"/>
      </w:rPr>
    </w:lvl>
  </w:abstractNum>
  <w:abstractNum w:abstractNumId="3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4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1">
    <w:nsid w:val="1E0E260A"/>
    <w:multiLevelType w:val="multilevel"/>
    <w:tmpl w:val="2AAA1C66"/>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43">
    <w:nsid w:val="20E93EEF"/>
    <w:multiLevelType w:val="hybridMultilevel"/>
    <w:tmpl w:val="256E3E44"/>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45">
    <w:nsid w:val="22C751CB"/>
    <w:multiLevelType w:val="multilevel"/>
    <w:tmpl w:val="7A60235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46">
    <w:nsid w:val="22E44274"/>
    <w:multiLevelType w:val="hybridMultilevel"/>
    <w:tmpl w:val="E132C74E"/>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2"/>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48">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28AF6B82"/>
    <w:multiLevelType w:val="hybridMultilevel"/>
    <w:tmpl w:val="52CEF9D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0">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51">
    <w:nsid w:val="29A26ACE"/>
    <w:multiLevelType w:val="multilevel"/>
    <w:tmpl w:val="52D2CF74"/>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53">
    <w:nsid w:val="2CAA3FF3"/>
    <w:multiLevelType w:val="hybridMultilevel"/>
    <w:tmpl w:val="F830CF1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2D596F16"/>
    <w:multiLevelType w:val="singleLevel"/>
    <w:tmpl w:val="CE4836AC"/>
    <w:lvl w:ilvl="0">
      <w:start w:val="1"/>
      <w:numFmt w:val="lowerLetter"/>
      <w:lvlText w:val="%1."/>
      <w:lvlJc w:val="left"/>
      <w:pPr>
        <w:tabs>
          <w:tab w:val="num" w:pos="1320"/>
        </w:tabs>
        <w:ind w:left="1320" w:hanging="360"/>
      </w:pPr>
      <w:rPr>
        <w:rFonts w:hint="default"/>
      </w:rPr>
    </w:lvl>
  </w:abstractNum>
  <w:abstractNum w:abstractNumId="55">
    <w:nsid w:val="2F3A090F"/>
    <w:multiLevelType w:val="hybridMultilevel"/>
    <w:tmpl w:val="57E8D0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6">
    <w:nsid w:val="302A75A7"/>
    <w:multiLevelType w:val="singleLevel"/>
    <w:tmpl w:val="3496DD40"/>
    <w:lvl w:ilvl="0">
      <w:start w:val="1"/>
      <w:numFmt w:val="decimal"/>
      <w:lvlText w:val="(%1)"/>
      <w:lvlJc w:val="left"/>
      <w:pPr>
        <w:tabs>
          <w:tab w:val="num" w:pos="1440"/>
        </w:tabs>
        <w:ind w:left="1440" w:hanging="720"/>
      </w:pPr>
    </w:lvl>
  </w:abstractNum>
  <w:abstractNum w:abstractNumId="57">
    <w:nsid w:val="32174BF9"/>
    <w:multiLevelType w:val="hybridMultilevel"/>
    <w:tmpl w:val="94F04C28"/>
    <w:lvl w:ilvl="0" w:tplc="E7C641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32D95CC5"/>
    <w:multiLevelType w:val="singleLevel"/>
    <w:tmpl w:val="B4A25A9E"/>
    <w:lvl w:ilvl="0">
      <w:start w:val="1"/>
      <w:numFmt w:val="lowerLetter"/>
      <w:lvlText w:val="(%1)"/>
      <w:legacy w:legacy="1" w:legacySpace="0" w:legacyIndent="425"/>
      <w:lvlJc w:val="left"/>
      <w:pPr>
        <w:ind w:left="1446" w:hanging="425"/>
      </w:pPr>
    </w:lvl>
  </w:abstractNum>
  <w:abstractNum w:abstractNumId="59">
    <w:nsid w:val="33BF5892"/>
    <w:multiLevelType w:val="singleLevel"/>
    <w:tmpl w:val="C86ED9F2"/>
    <w:lvl w:ilvl="0">
      <w:start w:val="1"/>
      <w:numFmt w:val="chineseCountingThousand"/>
      <w:lvlText w:val="(%1)"/>
      <w:lvlJc w:val="left"/>
      <w:pPr>
        <w:tabs>
          <w:tab w:val="num" w:pos="1021"/>
        </w:tabs>
        <w:ind w:left="1021" w:hanging="511"/>
      </w:pPr>
      <w:rPr>
        <w:rFonts w:hint="eastAsia"/>
        <w:sz w:val="21"/>
      </w:rPr>
    </w:lvl>
  </w:abstractNum>
  <w:abstractNum w:abstractNumId="60">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61">
    <w:nsid w:val="36255761"/>
    <w:multiLevelType w:val="singleLevel"/>
    <w:tmpl w:val="0409000F"/>
    <w:lvl w:ilvl="0">
      <w:start w:val="1"/>
      <w:numFmt w:val="decimal"/>
      <w:lvlText w:val="%1."/>
      <w:lvlJc w:val="left"/>
      <w:pPr>
        <w:tabs>
          <w:tab w:val="num" w:pos="360"/>
        </w:tabs>
        <w:ind w:left="360" w:hanging="360"/>
      </w:pPr>
    </w:lvl>
  </w:abstractNum>
  <w:abstractNum w:abstractNumId="62">
    <w:nsid w:val="363418AC"/>
    <w:multiLevelType w:val="multilevel"/>
    <w:tmpl w:val="85D4AD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36D125C9"/>
    <w:multiLevelType w:val="hybridMultilevel"/>
    <w:tmpl w:val="91A84B0E"/>
    <w:lvl w:ilvl="0" w:tplc="10E20630">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4">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5">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66">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67">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6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69">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70">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40221049"/>
    <w:multiLevelType w:val="singleLevel"/>
    <w:tmpl w:val="04D4B0C4"/>
    <w:lvl w:ilvl="0">
      <w:start w:val="1"/>
      <w:numFmt w:val="decimal"/>
      <w:lvlText w:val="%1."/>
      <w:lvlJc w:val="left"/>
      <w:pPr>
        <w:tabs>
          <w:tab w:val="num" w:pos="360"/>
        </w:tabs>
        <w:ind w:left="360" w:hanging="360"/>
      </w:pPr>
    </w:lvl>
  </w:abstractNum>
  <w:abstractNum w:abstractNumId="72">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73">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74">
    <w:nsid w:val="452D144C"/>
    <w:multiLevelType w:val="singleLevel"/>
    <w:tmpl w:val="7C4C0A7C"/>
    <w:lvl w:ilvl="0">
      <w:start w:val="1"/>
      <w:numFmt w:val="decimal"/>
      <w:lvlText w:val="(%1)"/>
      <w:lvlJc w:val="left"/>
      <w:pPr>
        <w:tabs>
          <w:tab w:val="num" w:pos="720"/>
        </w:tabs>
        <w:ind w:left="720" w:hanging="720"/>
      </w:pPr>
    </w:lvl>
  </w:abstractNum>
  <w:abstractNum w:abstractNumId="75">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76">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7">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9">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0">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81">
    <w:nsid w:val="4A740558"/>
    <w:multiLevelType w:val="multilevel"/>
    <w:tmpl w:val="72E8BD5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nsid w:val="4B622BC7"/>
    <w:multiLevelType w:val="multilevel"/>
    <w:tmpl w:val="52D2CF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3">
    <w:nsid w:val="4D0801AD"/>
    <w:multiLevelType w:val="hybridMultilevel"/>
    <w:tmpl w:val="F858F35E"/>
    <w:lvl w:ilvl="0" w:tplc="49327FF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4">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85">
    <w:nsid w:val="4D503F17"/>
    <w:multiLevelType w:val="hybridMultilevel"/>
    <w:tmpl w:val="2BE4531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6">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87">
    <w:nsid w:val="4E2D689F"/>
    <w:multiLevelType w:val="hybridMultilevel"/>
    <w:tmpl w:val="AD2053D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8">
    <w:nsid w:val="4E670775"/>
    <w:multiLevelType w:val="multilevel"/>
    <w:tmpl w:val="6FAA52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90">
    <w:nsid w:val="4EFA2598"/>
    <w:multiLevelType w:val="singleLevel"/>
    <w:tmpl w:val="0409000F"/>
    <w:lvl w:ilvl="0">
      <w:start w:val="1"/>
      <w:numFmt w:val="decimal"/>
      <w:lvlText w:val="%1."/>
      <w:lvlJc w:val="left"/>
      <w:pPr>
        <w:tabs>
          <w:tab w:val="num" w:pos="360"/>
        </w:tabs>
        <w:ind w:left="360" w:hanging="360"/>
      </w:pPr>
    </w:lvl>
  </w:abstractNum>
  <w:abstractNum w:abstractNumId="91">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2">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93">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94">
    <w:nsid w:val="50A226AD"/>
    <w:multiLevelType w:val="hybridMultilevel"/>
    <w:tmpl w:val="EA320D8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5">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96">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97">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98">
    <w:nsid w:val="56250DBE"/>
    <w:multiLevelType w:val="hybridMultilevel"/>
    <w:tmpl w:val="CCF09C80"/>
    <w:lvl w:ilvl="0" w:tplc="75CA2D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9">
    <w:nsid w:val="56803DC7"/>
    <w:multiLevelType w:val="multilevel"/>
    <w:tmpl w:val="77E281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0">
    <w:nsid w:val="57145166"/>
    <w:multiLevelType w:val="hybridMultilevel"/>
    <w:tmpl w:val="EFF08B1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1">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102">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3">
    <w:nsid w:val="59DD4633"/>
    <w:multiLevelType w:val="hybridMultilevel"/>
    <w:tmpl w:val="CEAA06C6"/>
    <w:lvl w:ilvl="0" w:tplc="49327FF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4">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10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06">
    <w:nsid w:val="5B615145"/>
    <w:multiLevelType w:val="hybridMultilevel"/>
    <w:tmpl w:val="256E3E44"/>
    <w:lvl w:ilvl="0" w:tplc="3762358C">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7">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108">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09">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0">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1">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112">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113">
    <w:nsid w:val="626C1B0C"/>
    <w:multiLevelType w:val="hybridMultilevel"/>
    <w:tmpl w:val="990A989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4">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15">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116">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117">
    <w:nsid w:val="65D15DFE"/>
    <w:multiLevelType w:val="singleLevel"/>
    <w:tmpl w:val="475E6D3C"/>
    <w:lvl w:ilvl="0">
      <w:start w:val="1"/>
      <w:numFmt w:val="decimal"/>
      <w:lvlText w:val="%1."/>
      <w:lvlJc w:val="left"/>
      <w:pPr>
        <w:tabs>
          <w:tab w:val="num" w:pos="360"/>
        </w:tabs>
        <w:ind w:left="360" w:hanging="360"/>
      </w:pPr>
    </w:lvl>
  </w:abstractNum>
  <w:abstractNum w:abstractNumId="118">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119">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0">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121">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122">
    <w:nsid w:val="6A517124"/>
    <w:multiLevelType w:val="hybridMultilevel"/>
    <w:tmpl w:val="92AE7FBE"/>
    <w:lvl w:ilvl="0" w:tplc="49327FF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3">
    <w:nsid w:val="6A8653B7"/>
    <w:multiLevelType w:val="multilevel"/>
    <w:tmpl w:val="F0B02962"/>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4">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5">
    <w:nsid w:val="6DBC2739"/>
    <w:multiLevelType w:val="hybridMultilevel"/>
    <w:tmpl w:val="C9BA70EA"/>
    <w:lvl w:ilvl="0" w:tplc="D2FEDE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6">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7">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8">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9">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0">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131">
    <w:nsid w:val="74DE3E90"/>
    <w:multiLevelType w:val="hybridMultilevel"/>
    <w:tmpl w:val="CE2295E4"/>
    <w:lvl w:ilvl="0" w:tplc="8C4CAAF0">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2">
    <w:nsid w:val="74F05EFB"/>
    <w:multiLevelType w:val="multilevel"/>
    <w:tmpl w:val="2502FFFC"/>
    <w:lvl w:ilvl="0">
      <w:numFmt w:val="bullet"/>
      <w:lvlText w:val="-"/>
      <w:lvlJc w:val="left"/>
      <w:pPr>
        <w:tabs>
          <w:tab w:val="num" w:pos="1080"/>
        </w:tabs>
        <w:ind w:left="1080" w:hanging="72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3">
    <w:nsid w:val="766665B0"/>
    <w:multiLevelType w:val="hybridMultilevel"/>
    <w:tmpl w:val="9AA05D7C"/>
    <w:lvl w:ilvl="0" w:tplc="75CA2D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4">
    <w:nsid w:val="77350EFD"/>
    <w:multiLevelType w:val="hybridMultilevel"/>
    <w:tmpl w:val="67E8A7A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778D3283"/>
    <w:multiLevelType w:val="hybridMultilevel"/>
    <w:tmpl w:val="BC72FDFE"/>
    <w:lvl w:ilvl="0" w:tplc="B1E08ABC">
      <w:start w:val="1"/>
      <w:numFmt w:val="lowerLetter"/>
      <w:lvlText w:val="(%1)"/>
      <w:lvlJc w:val="left"/>
      <w:pPr>
        <w:tabs>
          <w:tab w:val="num" w:pos="1410"/>
        </w:tabs>
        <w:ind w:left="1410" w:hanging="705"/>
      </w:pPr>
      <w:rPr>
        <w:rFonts w:hint="default"/>
      </w:rPr>
    </w:lvl>
    <w:lvl w:ilvl="1" w:tplc="04090019" w:tentative="1">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36">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37">
    <w:nsid w:val="781C29C0"/>
    <w:multiLevelType w:val="hybridMultilevel"/>
    <w:tmpl w:val="A96AB1E0"/>
    <w:lvl w:ilvl="0" w:tplc="E7C641B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8">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139">
    <w:nsid w:val="78FE7E65"/>
    <w:multiLevelType w:val="hybridMultilevel"/>
    <w:tmpl w:val="5D726EE6"/>
    <w:lvl w:ilvl="0" w:tplc="75CA2D7C">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0">
    <w:nsid w:val="79BF605E"/>
    <w:multiLevelType w:val="hybridMultilevel"/>
    <w:tmpl w:val="863AEF5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1">
    <w:nsid w:val="7A380E61"/>
    <w:multiLevelType w:val="multilevel"/>
    <w:tmpl w:val="230279D0"/>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2">
    <w:nsid w:val="7ACA643D"/>
    <w:multiLevelType w:val="singleLevel"/>
    <w:tmpl w:val="0409000F"/>
    <w:lvl w:ilvl="0">
      <w:start w:val="1"/>
      <w:numFmt w:val="decimal"/>
      <w:lvlText w:val="%1."/>
      <w:lvlJc w:val="left"/>
      <w:pPr>
        <w:tabs>
          <w:tab w:val="num" w:pos="360"/>
        </w:tabs>
        <w:ind w:left="360" w:hanging="360"/>
      </w:pPr>
    </w:lvl>
  </w:abstractNum>
  <w:abstractNum w:abstractNumId="143">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144">
    <w:nsid w:val="7B02589C"/>
    <w:multiLevelType w:val="multilevel"/>
    <w:tmpl w:val="3B5CBD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146">
    <w:nsid w:val="7BF25450"/>
    <w:multiLevelType w:val="multilevel"/>
    <w:tmpl w:val="76285756"/>
    <w:lvl w:ilvl="0">
      <w:start w:val="9"/>
      <w:numFmt w:val="bullet"/>
      <w:lvlText w:val="-"/>
      <w:lvlJc w:val="left"/>
      <w:pPr>
        <w:tabs>
          <w:tab w:val="num" w:pos="425"/>
        </w:tabs>
        <w:ind w:left="425" w:hanging="425"/>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148">
    <w:nsid w:val="7DBF6B58"/>
    <w:multiLevelType w:val="singleLevel"/>
    <w:tmpl w:val="0409000F"/>
    <w:lvl w:ilvl="0">
      <w:start w:val="1"/>
      <w:numFmt w:val="decimal"/>
      <w:lvlText w:val="%1."/>
      <w:lvlJc w:val="left"/>
      <w:pPr>
        <w:tabs>
          <w:tab w:val="num" w:pos="360"/>
        </w:tabs>
        <w:ind w:left="360" w:hanging="360"/>
      </w:pPr>
    </w:lvl>
  </w:abstractNum>
  <w:abstractNum w:abstractNumId="149">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50">
    <w:nsid w:val="7E8035EA"/>
    <w:multiLevelType w:val="singleLevel"/>
    <w:tmpl w:val="B4A25A9E"/>
    <w:lvl w:ilvl="0">
      <w:start w:val="1"/>
      <w:numFmt w:val="lowerLetter"/>
      <w:lvlText w:val="(%1)"/>
      <w:legacy w:legacy="1" w:legacySpace="0" w:legacyIndent="425"/>
      <w:lvlJc w:val="left"/>
      <w:pPr>
        <w:ind w:left="1446" w:hanging="425"/>
      </w:pPr>
    </w:lvl>
  </w:abstractNum>
  <w:num w:numId="1">
    <w:abstractNumId w:val="93"/>
  </w:num>
  <w:num w:numId="2">
    <w:abstractNumId w:val="66"/>
  </w:num>
  <w:num w:numId="3">
    <w:abstractNumId w:val="147"/>
  </w:num>
  <w:num w:numId="4">
    <w:abstractNumId w:val="52"/>
  </w:num>
  <w:num w:numId="5">
    <w:abstractNumId w:val="16"/>
  </w:num>
  <w:num w:numId="6">
    <w:abstractNumId w:val="61"/>
  </w:num>
  <w:num w:numId="7">
    <w:abstractNumId w:val="71"/>
  </w:num>
  <w:num w:numId="8">
    <w:abstractNumId w:val="142"/>
  </w:num>
  <w:num w:numId="9">
    <w:abstractNumId w:val="90"/>
  </w:num>
  <w:num w:numId="10">
    <w:abstractNumId w:val="148"/>
  </w:num>
  <w:num w:numId="11">
    <w:abstractNumId w:val="78"/>
  </w:num>
  <w:num w:numId="12">
    <w:abstractNumId w:val="117"/>
  </w:num>
  <w:num w:numId="13">
    <w:abstractNumId w:val="68"/>
  </w:num>
  <w:num w:numId="14">
    <w:abstractNumId w:val="1"/>
  </w:num>
  <w:num w:numId="15">
    <w:abstractNumId w:val="0"/>
  </w:num>
  <w:num w:numId="16">
    <w:abstractNumId w:val="56"/>
  </w:num>
  <w:num w:numId="17">
    <w:abstractNumId w:val="13"/>
  </w:num>
  <w:num w:numId="18">
    <w:abstractNumId w:val="32"/>
  </w:num>
  <w:num w:numId="19">
    <w:abstractNumId w:val="21"/>
  </w:num>
  <w:num w:numId="20">
    <w:abstractNumId w:val="74"/>
  </w:num>
  <w:num w:numId="21">
    <w:abstractNumId w:val="105"/>
  </w:num>
  <w:num w:numId="22">
    <w:abstractNumId w:val="2"/>
  </w:num>
  <w:num w:numId="23">
    <w:abstractNumId w:val="3"/>
  </w:num>
  <w:num w:numId="24">
    <w:abstractNumId w:val="8"/>
  </w:num>
  <w:num w:numId="25">
    <w:abstractNumId w:val="9"/>
  </w:num>
  <w:num w:numId="26">
    <w:abstractNumId w:val="7"/>
  </w:num>
  <w:num w:numId="27">
    <w:abstractNumId w:val="6"/>
  </w:num>
  <w:num w:numId="28">
    <w:abstractNumId w:val="5"/>
  </w:num>
  <w:num w:numId="29">
    <w:abstractNumId w:val="4"/>
  </w:num>
  <w:num w:numId="30">
    <w:abstractNumId w:val="22"/>
  </w:num>
  <w:num w:numId="31">
    <w:abstractNumId w:val="45"/>
  </w:num>
  <w:num w:numId="32">
    <w:abstractNumId w:val="54"/>
  </w:num>
  <w:num w:numId="33">
    <w:abstractNumId w:val="28"/>
  </w:num>
  <w:num w:numId="34">
    <w:abstractNumId w:val="12"/>
  </w:num>
  <w:num w:numId="35">
    <w:abstractNumId w:val="82"/>
  </w:num>
  <w:num w:numId="36">
    <w:abstractNumId w:val="51"/>
  </w:num>
  <w:num w:numId="37">
    <w:abstractNumId w:val="132"/>
  </w:num>
  <w:num w:numId="38">
    <w:abstractNumId w:val="146"/>
  </w:num>
  <w:num w:numId="39">
    <w:abstractNumId w:val="88"/>
  </w:num>
  <w:num w:numId="40">
    <w:abstractNumId w:val="99"/>
  </w:num>
  <w:num w:numId="41">
    <w:abstractNumId w:val="36"/>
  </w:num>
  <w:num w:numId="42">
    <w:abstractNumId w:val="141"/>
  </w:num>
  <w:num w:numId="43">
    <w:abstractNumId w:val="81"/>
  </w:num>
  <w:num w:numId="44">
    <w:abstractNumId w:val="41"/>
  </w:num>
  <w:num w:numId="45">
    <w:abstractNumId w:val="11"/>
  </w:num>
  <w:num w:numId="46">
    <w:abstractNumId w:val="144"/>
  </w:num>
  <w:num w:numId="47">
    <w:abstractNumId w:val="123"/>
  </w:num>
  <w:num w:numId="48">
    <w:abstractNumId w:val="62"/>
  </w:num>
  <w:num w:numId="49">
    <w:abstractNumId w:val="38"/>
  </w:num>
  <w:num w:numId="50">
    <w:abstractNumId w:val="135"/>
  </w:num>
  <w:num w:numId="51">
    <w:abstractNumId w:val="137"/>
  </w:num>
  <w:num w:numId="52">
    <w:abstractNumId w:val="57"/>
  </w:num>
  <w:num w:numId="53">
    <w:abstractNumId w:val="37"/>
  </w:num>
  <w:num w:numId="54">
    <w:abstractNumId w:val="125"/>
  </w:num>
  <w:num w:numId="55">
    <w:abstractNumId w:val="43"/>
  </w:num>
  <w:num w:numId="56">
    <w:abstractNumId w:val="106"/>
  </w:num>
  <w:num w:numId="57">
    <w:abstractNumId w:val="140"/>
  </w:num>
  <w:num w:numId="58">
    <w:abstractNumId w:val="100"/>
  </w:num>
  <w:num w:numId="59">
    <w:abstractNumId w:val="53"/>
  </w:num>
  <w:num w:numId="60">
    <w:abstractNumId w:val="49"/>
  </w:num>
  <w:num w:numId="61">
    <w:abstractNumId w:val="87"/>
  </w:num>
  <w:num w:numId="62">
    <w:abstractNumId w:val="55"/>
  </w:num>
  <w:num w:numId="63">
    <w:abstractNumId w:val="85"/>
  </w:num>
  <w:num w:numId="64">
    <w:abstractNumId w:val="113"/>
  </w:num>
  <w:num w:numId="65">
    <w:abstractNumId w:val="94"/>
  </w:num>
  <w:num w:numId="66">
    <w:abstractNumId w:val="58"/>
  </w:num>
  <w:num w:numId="67">
    <w:abstractNumId w:val="59"/>
  </w:num>
  <w:num w:numId="68">
    <w:abstractNumId w:val="136"/>
  </w:num>
  <w:num w:numId="69">
    <w:abstractNumId w:val="10"/>
  </w:num>
  <w:num w:numId="70">
    <w:abstractNumId w:val="79"/>
  </w:num>
  <w:num w:numId="71">
    <w:abstractNumId w:val="48"/>
  </w:num>
  <w:num w:numId="72">
    <w:abstractNumId w:val="25"/>
  </w:num>
  <w:num w:numId="73">
    <w:abstractNumId w:val="31"/>
  </w:num>
  <w:num w:numId="74">
    <w:abstractNumId w:val="126"/>
  </w:num>
  <w:num w:numId="75">
    <w:abstractNumId w:val="39"/>
  </w:num>
  <w:num w:numId="76">
    <w:abstractNumId w:val="130"/>
  </w:num>
  <w:num w:numId="77">
    <w:abstractNumId w:val="89"/>
  </w:num>
  <w:num w:numId="78">
    <w:abstractNumId w:val="95"/>
  </w:num>
  <w:num w:numId="79">
    <w:abstractNumId w:val="18"/>
  </w:num>
  <w:num w:numId="80">
    <w:abstractNumId w:val="149"/>
  </w:num>
  <w:num w:numId="81">
    <w:abstractNumId w:val="124"/>
  </w:num>
  <w:num w:numId="82">
    <w:abstractNumId w:val="119"/>
  </w:num>
  <w:num w:numId="83">
    <w:abstractNumId w:val="20"/>
  </w:num>
  <w:num w:numId="84">
    <w:abstractNumId w:val="92"/>
  </w:num>
  <w:num w:numId="85">
    <w:abstractNumId w:val="97"/>
  </w:num>
  <w:num w:numId="86">
    <w:abstractNumId w:val="143"/>
  </w:num>
  <w:num w:numId="87">
    <w:abstractNumId w:val="111"/>
  </w:num>
  <w:num w:numId="88">
    <w:abstractNumId w:val="109"/>
  </w:num>
  <w:num w:numId="89">
    <w:abstractNumId w:val="77"/>
  </w:num>
  <w:num w:numId="90">
    <w:abstractNumId w:val="27"/>
  </w:num>
  <w:num w:numId="91">
    <w:abstractNumId w:val="24"/>
  </w:num>
  <w:num w:numId="92">
    <w:abstractNumId w:val="150"/>
  </w:num>
  <w:num w:numId="93">
    <w:abstractNumId w:val="14"/>
  </w:num>
  <w:num w:numId="94">
    <w:abstractNumId w:val="35"/>
  </w:num>
  <w:num w:numId="95">
    <w:abstractNumId w:val="129"/>
  </w:num>
  <w:num w:numId="96">
    <w:abstractNumId w:val="50"/>
  </w:num>
  <w:num w:numId="97">
    <w:abstractNumId w:val="118"/>
  </w:num>
  <w:num w:numId="98">
    <w:abstractNumId w:val="116"/>
  </w:num>
  <w:num w:numId="99">
    <w:abstractNumId w:val="67"/>
  </w:num>
  <w:num w:numId="100">
    <w:abstractNumId w:val="101"/>
  </w:num>
  <w:num w:numId="101">
    <w:abstractNumId w:val="108"/>
  </w:num>
  <w:num w:numId="102">
    <w:abstractNumId w:val="127"/>
  </w:num>
  <w:num w:numId="103">
    <w:abstractNumId w:val="19"/>
  </w:num>
  <w:num w:numId="104">
    <w:abstractNumId w:val="64"/>
  </w:num>
  <w:num w:numId="105">
    <w:abstractNumId w:val="145"/>
  </w:num>
  <w:num w:numId="106">
    <w:abstractNumId w:val="107"/>
  </w:num>
  <w:num w:numId="107">
    <w:abstractNumId w:val="120"/>
  </w:num>
  <w:num w:numId="108">
    <w:abstractNumId w:val="47"/>
  </w:num>
  <w:num w:numId="109">
    <w:abstractNumId w:val="65"/>
  </w:num>
  <w:num w:numId="110">
    <w:abstractNumId w:val="30"/>
  </w:num>
  <w:num w:numId="111">
    <w:abstractNumId w:val="112"/>
  </w:num>
  <w:num w:numId="112">
    <w:abstractNumId w:val="102"/>
  </w:num>
  <w:num w:numId="113">
    <w:abstractNumId w:val="70"/>
  </w:num>
  <w:num w:numId="114">
    <w:abstractNumId w:val="34"/>
  </w:num>
  <w:num w:numId="115">
    <w:abstractNumId w:val="104"/>
  </w:num>
  <w:num w:numId="116">
    <w:abstractNumId w:val="29"/>
  </w:num>
  <w:num w:numId="117">
    <w:abstractNumId w:val="69"/>
  </w:num>
  <w:num w:numId="118">
    <w:abstractNumId w:val="84"/>
  </w:num>
  <w:num w:numId="119">
    <w:abstractNumId w:val="138"/>
  </w:num>
  <w:num w:numId="120">
    <w:abstractNumId w:val="96"/>
  </w:num>
  <w:num w:numId="121">
    <w:abstractNumId w:val="72"/>
  </w:num>
  <w:num w:numId="122">
    <w:abstractNumId w:val="60"/>
  </w:num>
  <w:num w:numId="123">
    <w:abstractNumId w:val="17"/>
  </w:num>
  <w:num w:numId="124">
    <w:abstractNumId w:val="86"/>
  </w:num>
  <w:num w:numId="125">
    <w:abstractNumId w:val="42"/>
  </w:num>
  <w:num w:numId="126">
    <w:abstractNumId w:val="115"/>
  </w:num>
  <w:num w:numId="127">
    <w:abstractNumId w:val="114"/>
  </w:num>
  <w:num w:numId="128">
    <w:abstractNumId w:val="15"/>
  </w:num>
  <w:num w:numId="129">
    <w:abstractNumId w:val="91"/>
  </w:num>
  <w:num w:numId="130">
    <w:abstractNumId w:val="40"/>
  </w:num>
  <w:num w:numId="131">
    <w:abstractNumId w:val="80"/>
  </w:num>
  <w:num w:numId="132">
    <w:abstractNumId w:val="26"/>
  </w:num>
  <w:num w:numId="133">
    <w:abstractNumId w:val="110"/>
  </w:num>
  <w:num w:numId="134">
    <w:abstractNumId w:val="76"/>
  </w:num>
  <w:num w:numId="135">
    <w:abstractNumId w:val="128"/>
  </w:num>
  <w:num w:numId="136">
    <w:abstractNumId w:val="121"/>
  </w:num>
  <w:num w:numId="137">
    <w:abstractNumId w:val="44"/>
  </w:num>
  <w:num w:numId="138">
    <w:abstractNumId w:val="73"/>
  </w:num>
  <w:num w:numId="139">
    <w:abstractNumId w:val="75"/>
  </w:num>
  <w:num w:numId="140">
    <w:abstractNumId w:val="46"/>
  </w:num>
  <w:num w:numId="141">
    <w:abstractNumId w:val="134"/>
  </w:num>
  <w:num w:numId="142">
    <w:abstractNumId w:val="63"/>
  </w:num>
  <w:num w:numId="143">
    <w:abstractNumId w:val="98"/>
  </w:num>
  <w:num w:numId="144">
    <w:abstractNumId w:val="139"/>
  </w:num>
  <w:num w:numId="145">
    <w:abstractNumId w:val="133"/>
  </w:num>
  <w:num w:numId="146">
    <w:abstractNumId w:val="103"/>
  </w:num>
  <w:num w:numId="147">
    <w:abstractNumId w:val="83"/>
  </w:num>
  <w:num w:numId="148">
    <w:abstractNumId w:val="23"/>
  </w:num>
  <w:num w:numId="149">
    <w:abstractNumId w:val="122"/>
  </w:num>
  <w:num w:numId="150">
    <w:abstractNumId w:val="33"/>
  </w:num>
  <w:num w:numId="151">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customStyle="1" w:styleId="Rom2">
    <w:name w:val="Rom2"/>
    <w:basedOn w:val="Normal"/>
    <w:pPr>
      <w:numPr>
        <w:numId w:val="4"/>
      </w:numPr>
      <w:tabs>
        <w:tab w:val="clear" w:pos="2160"/>
      </w:tabs>
      <w:overflowPunct/>
      <w:adjustRightInd/>
      <w:snapToGrid/>
      <w:spacing w:after="240" w:line="240" w:lineRule="auto"/>
      <w:ind w:left="1985" w:hanging="284"/>
      <w:jc w:val="left"/>
    </w:pPr>
    <w:rPr>
      <w:rFonts w:eastAsia="PMingLiU"/>
      <w:snapToGrid/>
      <w:spacing w:val="0"/>
      <w:lang w:val="en-GB" w:eastAsia="en-US"/>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f">
    <w:name w:val="文"/>
    <w:pPr>
      <w:tabs>
        <w:tab w:val="left" w:pos="510"/>
        <w:tab w:val="left" w:pos="1021"/>
        <w:tab w:val="left" w:pos="1531"/>
      </w:tabs>
      <w:adjustRightInd w:val="0"/>
      <w:snapToGrid w:val="0"/>
      <w:spacing w:line="336" w:lineRule="auto"/>
      <w:jc w:val="both"/>
    </w:pPr>
    <w:rPr>
      <w:rFonts w:eastAsia="SimSun"/>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3180</Words>
  <Characters>3499</Characters>
  <Application>Microsoft Office Word</Application>
  <DocSecurity>4</DocSecurity>
  <Lines>184</Lines>
  <Paragraphs>94</Paragraphs>
  <ScaleCrop>false</ScaleCrop>
  <HeadingPairs>
    <vt:vector size="4" baseType="variant">
      <vt:variant>
        <vt:lpstr>题目</vt:lpstr>
      </vt:variant>
      <vt:variant>
        <vt:i4>1</vt:i4>
      </vt:variant>
      <vt:variant>
        <vt:lpstr>标题</vt:lpstr>
      </vt:variant>
      <vt:variant>
        <vt:i4>25</vt:i4>
      </vt:variant>
    </vt:vector>
  </HeadingPairs>
  <TitlesOfParts>
    <vt:vector size="26" baseType="lpstr">
      <vt:lpstr>田打</vt:lpstr>
      <vt:lpstr>    《经济、社会、文化权利国际公约》执行情况</vt:lpstr>
      <vt:lpstr>        缔约国根据《公约》第16和第17条提交的 第三次定期报告</vt:lpstr>
      <vt:lpstr>        增   编</vt:lpstr>
      <vt:lpstr>        荷属安的列斯群岛*</vt:lpstr>
      <vt:lpstr>    导  言</vt:lpstr>
      <vt:lpstr>        对于委员会结论性意见的反应</vt:lpstr>
      <vt:lpstr>        第 一 条</vt:lpstr>
      <vt:lpstr>        第 二 条</vt:lpstr>
      <vt:lpstr>        第 三 条</vt:lpstr>
      <vt:lpstr>        第 四 条</vt:lpstr>
      <vt:lpstr>        第 五 条</vt:lpstr>
      <vt:lpstr>        第 六 条</vt:lpstr>
      <vt:lpstr>        表  1 核心劳动力数据</vt:lpstr>
      <vt:lpstr>        表  2 按年龄组分列的劳动力数据</vt:lpstr>
      <vt:lpstr>        第 七 条</vt:lpstr>
      <vt:lpstr>        表  3 根据性别分列的平均每月收入(荷属安的列斯群岛)</vt:lpstr>
      <vt:lpstr>        表  4 社会保险银行所记录的工业意外</vt:lpstr>
      <vt:lpstr>        表  4 (续)</vt:lpstr>
      <vt:lpstr>        第 八 条</vt:lpstr>
      <vt:lpstr>        第 九 条</vt:lpstr>
      <vt:lpstr>        第 十 条</vt:lpstr>
      <vt:lpstr>        第 十一 条</vt:lpstr>
      <vt:lpstr>        第 十二 条</vt:lpstr>
      <vt:lpstr>        第 十三 条</vt:lpstr>
      <vt:lpstr>        第 十五 条</vt:lpstr>
    </vt:vector>
  </TitlesOfParts>
  <Company>Chinese Unit - GE</Company>
  <LinksUpToDate>false</LinksUpToDate>
  <CharactersWithSpaces>22266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田打</dc:title>
  <dc:subject/>
  <dc:creator>Tian</dc:creator>
  <cp:keywords/>
  <dc:description>经济及社会理事会</dc:description>
  <cp:lastModifiedBy>CSD</cp:lastModifiedBy>
  <cp:revision>2</cp:revision>
  <cp:lastPrinted>2006-05-29T09:24:00Z</cp:lastPrinted>
  <dcterms:created xsi:type="dcterms:W3CDTF">2006-05-29T13:48:00Z</dcterms:created>
  <dcterms:modified xsi:type="dcterms:W3CDTF">2006-05-29T13:48:00Z</dcterms:modified>
  <cp:category>E</cp:category>
</cp:coreProperties>
</file>