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404" w:rsidRDefault="003F3404" w:rsidP="003F3404">
      <w:pPr>
        <w:spacing w:line="240" w:lineRule="auto"/>
        <w:rPr>
          <w:sz w:val="2"/>
        </w:rPr>
        <w:sectPr w:rsidR="003F3404" w:rsidSect="003F3404">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952CF1" w:rsidRPr="000A6ECC" w:rsidRDefault="00952CF1" w:rsidP="00952CF1">
      <w:pPr>
        <w:pStyle w:val="H1"/>
        <w:ind w:right="4737"/>
        <w:rPr>
          <w:lang w:val="fr-FR"/>
        </w:rPr>
      </w:pPr>
      <w:r>
        <w:rPr>
          <w:bCs/>
          <w:lang w:val="fr-FR"/>
        </w:rPr>
        <w:lastRenderedPageBreak/>
        <w:t>Comité pour l</w:t>
      </w:r>
      <w:r w:rsidR="00C47B4C">
        <w:rPr>
          <w:bCs/>
          <w:lang w:val="fr-FR"/>
        </w:rPr>
        <w:t>’</w:t>
      </w:r>
      <w:r>
        <w:rPr>
          <w:bCs/>
          <w:lang w:val="fr-FR"/>
        </w:rPr>
        <w:t>élimination de la discrimination à l</w:t>
      </w:r>
      <w:r w:rsidR="00C47B4C">
        <w:rPr>
          <w:bCs/>
          <w:lang w:val="fr-FR"/>
        </w:rPr>
        <w:t>’</w:t>
      </w:r>
      <w:r>
        <w:rPr>
          <w:bCs/>
          <w:lang w:val="fr-FR"/>
        </w:rPr>
        <w:t>égard des femmes</w:t>
      </w:r>
    </w:p>
    <w:p w:rsidR="00952CF1" w:rsidRPr="000A6ECC" w:rsidRDefault="00952CF1" w:rsidP="00952CF1">
      <w:pPr>
        <w:rPr>
          <w:b/>
          <w:lang w:val="fr-FR"/>
        </w:rPr>
      </w:pPr>
      <w:r>
        <w:rPr>
          <w:b/>
          <w:bCs/>
          <w:lang w:val="fr-FR"/>
        </w:rPr>
        <w:t>Soixante-sixième session</w:t>
      </w:r>
    </w:p>
    <w:p w:rsidR="00952CF1" w:rsidRPr="000A6ECC" w:rsidRDefault="00952CF1" w:rsidP="00952CF1">
      <w:pPr>
        <w:rPr>
          <w:lang w:val="fr-FR"/>
        </w:rPr>
      </w:pPr>
      <w:r>
        <w:rPr>
          <w:lang w:val="fr-FR"/>
        </w:rPr>
        <w:t>13 février-3 mars 2017</w:t>
      </w:r>
    </w:p>
    <w:p w:rsidR="00952CF1" w:rsidRPr="000A6ECC" w:rsidRDefault="00952CF1" w:rsidP="00952CF1">
      <w:pPr>
        <w:rPr>
          <w:lang w:val="fr-FR"/>
        </w:rPr>
      </w:pPr>
      <w:r>
        <w:rPr>
          <w:lang w:val="fr-FR"/>
        </w:rPr>
        <w:t>Point 2 de l’ordre du jour provisoire</w:t>
      </w:r>
    </w:p>
    <w:p w:rsidR="00952CF1" w:rsidRPr="000A6ECC" w:rsidRDefault="00952CF1" w:rsidP="00952CF1">
      <w:pPr>
        <w:rPr>
          <w:b/>
          <w:lang w:val="fr-FR"/>
        </w:rPr>
      </w:pPr>
      <w:r>
        <w:rPr>
          <w:b/>
          <w:bCs/>
          <w:lang w:val="fr-FR"/>
        </w:rPr>
        <w:t>Adoption de l’ordre du jour et organisation des travaux</w:t>
      </w:r>
    </w:p>
    <w:p w:rsidR="00952CF1" w:rsidRPr="000A6ECC" w:rsidRDefault="00952CF1" w:rsidP="00952CF1">
      <w:pPr>
        <w:spacing w:line="120" w:lineRule="exact"/>
        <w:rPr>
          <w:b/>
          <w:sz w:val="10"/>
          <w:lang w:val="fr-FR"/>
        </w:rPr>
      </w:pPr>
    </w:p>
    <w:p w:rsidR="00952CF1" w:rsidRPr="000A6ECC" w:rsidRDefault="00952CF1" w:rsidP="00952CF1">
      <w:pPr>
        <w:spacing w:line="120" w:lineRule="exact"/>
        <w:rPr>
          <w:b/>
          <w:sz w:val="10"/>
          <w:lang w:val="fr-FR"/>
        </w:rPr>
      </w:pPr>
    </w:p>
    <w:p w:rsidR="00952CF1" w:rsidRPr="000A6ECC" w:rsidRDefault="00952CF1" w:rsidP="00952CF1">
      <w:pPr>
        <w:spacing w:line="120" w:lineRule="exact"/>
        <w:rPr>
          <w:b/>
          <w:sz w:val="10"/>
          <w:lang w:val="fr-FR"/>
        </w:rPr>
      </w:pPr>
    </w:p>
    <w:p w:rsidR="00952CF1" w:rsidRPr="000A6ECC" w:rsidRDefault="00952CF1" w:rsidP="00952CF1">
      <w:pPr>
        <w:pStyle w:val="HCh0"/>
        <w:ind w:left="1267" w:right="1260" w:hanging="1267"/>
        <w:rPr>
          <w:lang w:val="fr-FR"/>
        </w:rPr>
      </w:pPr>
      <w:r>
        <w:rPr>
          <w:lang w:val="fr-FR"/>
        </w:rPr>
        <w:tab/>
      </w:r>
      <w:r>
        <w:rPr>
          <w:lang w:val="fr-FR"/>
        </w:rPr>
        <w:tab/>
      </w:r>
      <w:r>
        <w:rPr>
          <w:bCs/>
          <w:lang w:val="fr-FR"/>
        </w:rPr>
        <w:t>Ordre du jour provisoire annoté</w:t>
      </w:r>
      <w:r w:rsidRPr="00D14CC7">
        <w:rPr>
          <w:rStyle w:val="FootnoteReference"/>
          <w:b w:val="0"/>
          <w:bCs/>
          <w:sz w:val="20"/>
          <w:lang w:val="fr-FR"/>
        </w:rPr>
        <w:footnoteReference w:id="1"/>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SingleTxt"/>
        <w:spacing w:after="0" w:line="120" w:lineRule="exact"/>
        <w:rPr>
          <w:sz w:val="10"/>
          <w:lang w:val="fr-FR"/>
        </w:rPr>
      </w:pPr>
    </w:p>
    <w:p w:rsidR="00952CF1" w:rsidRPr="000A6ECC" w:rsidRDefault="00952CF1" w:rsidP="00D14CC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Ordre du jour provisoire</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SingleTxt"/>
        <w:spacing w:after="0" w:line="120" w:lineRule="exact"/>
        <w:rPr>
          <w:sz w:val="10"/>
          <w:lang w:val="fr-FR"/>
        </w:rPr>
      </w:pPr>
    </w:p>
    <w:p w:rsidR="00952CF1" w:rsidRPr="000A6ECC" w:rsidRDefault="00952CF1" w:rsidP="00952CF1">
      <w:pPr>
        <w:pStyle w:val="SingleTxt"/>
        <w:jc w:val="left"/>
        <w:rPr>
          <w:lang w:val="fr-FR"/>
        </w:rPr>
      </w:pPr>
      <w:r>
        <w:rPr>
          <w:lang w:val="fr-FR"/>
        </w:rPr>
        <w:t>1.</w:t>
      </w:r>
      <w:r>
        <w:rPr>
          <w:lang w:val="fr-FR"/>
        </w:rPr>
        <w:tab/>
        <w:t>Ouverture de la session.</w:t>
      </w:r>
    </w:p>
    <w:p w:rsidR="00952CF1" w:rsidRPr="000A6ECC" w:rsidRDefault="00952CF1" w:rsidP="00952CF1">
      <w:pPr>
        <w:pStyle w:val="SingleTxt"/>
        <w:jc w:val="left"/>
        <w:rPr>
          <w:lang w:val="fr-FR"/>
        </w:rPr>
      </w:pPr>
      <w:r>
        <w:rPr>
          <w:lang w:val="fr-FR"/>
        </w:rPr>
        <w:t>2.</w:t>
      </w:r>
      <w:r>
        <w:rPr>
          <w:lang w:val="fr-FR"/>
        </w:rPr>
        <w:tab/>
        <w:t>Adoption de l’ordre du jour et organisation des travaux.</w:t>
      </w:r>
    </w:p>
    <w:p w:rsidR="00952CF1" w:rsidRPr="00703A56" w:rsidRDefault="00952CF1" w:rsidP="00952CF1">
      <w:pPr>
        <w:pStyle w:val="SingleTxt"/>
        <w:ind w:left="1742" w:hanging="475"/>
        <w:jc w:val="left"/>
        <w:rPr>
          <w:lang w:val="fr-FR"/>
        </w:rPr>
      </w:pPr>
      <w:r>
        <w:rPr>
          <w:lang w:val="fr-FR"/>
        </w:rPr>
        <w:t>3.</w:t>
      </w:r>
      <w:r>
        <w:rPr>
          <w:lang w:val="fr-FR"/>
        </w:rPr>
        <w:tab/>
        <w:t>Rapport de la Présidente sur les activités menées entre la soixante-cinquième et la soixante-sixième sessions du Comité.</w:t>
      </w:r>
    </w:p>
    <w:p w:rsidR="00952CF1" w:rsidRPr="000A6ECC" w:rsidRDefault="00952CF1" w:rsidP="00952CF1">
      <w:pPr>
        <w:pStyle w:val="SingleTxt"/>
        <w:ind w:left="1742" w:hanging="475"/>
        <w:jc w:val="left"/>
        <w:rPr>
          <w:lang w:val="fr-FR"/>
        </w:rPr>
      </w:pPr>
      <w:r>
        <w:rPr>
          <w:lang w:val="fr-FR"/>
        </w:rPr>
        <w:t>4.</w:t>
      </w:r>
      <w:r>
        <w:rPr>
          <w:lang w:val="fr-FR"/>
        </w:rPr>
        <w:tab/>
        <w:t>Examen des rapports présentés par les États parties en application de l’article 18 de la Convention sur l’élimination de toutes les formes de discrimination à l’égard des femmes.</w:t>
      </w:r>
    </w:p>
    <w:p w:rsidR="00952CF1" w:rsidRPr="000A6ECC" w:rsidRDefault="00952CF1" w:rsidP="00952CF1">
      <w:pPr>
        <w:pStyle w:val="SingleTxt"/>
        <w:ind w:left="1742" w:hanging="475"/>
        <w:jc w:val="left"/>
        <w:rPr>
          <w:lang w:val="fr-FR"/>
        </w:rPr>
      </w:pPr>
      <w:r>
        <w:rPr>
          <w:lang w:val="fr-FR"/>
        </w:rPr>
        <w:t>5.</w:t>
      </w:r>
      <w:r>
        <w:rPr>
          <w:lang w:val="fr-FR"/>
        </w:rPr>
        <w:tab/>
        <w:t>Suite donnée à l’examen des rapports présentés par les États parties en application de l’article 18 de la Convention.</w:t>
      </w:r>
    </w:p>
    <w:p w:rsidR="00952CF1" w:rsidRPr="000A6ECC" w:rsidRDefault="00952CF1" w:rsidP="00952CF1">
      <w:pPr>
        <w:pStyle w:val="SingleTxt"/>
        <w:jc w:val="left"/>
        <w:rPr>
          <w:lang w:val="fr-FR"/>
        </w:rPr>
      </w:pPr>
      <w:r>
        <w:rPr>
          <w:lang w:val="fr-FR"/>
        </w:rPr>
        <w:t>6.</w:t>
      </w:r>
      <w:r>
        <w:rPr>
          <w:lang w:val="fr-FR"/>
        </w:rPr>
        <w:tab/>
        <w:t>Application des articles 21 et 22 de la Convention.</w:t>
      </w:r>
    </w:p>
    <w:p w:rsidR="00952CF1" w:rsidRPr="000A6ECC" w:rsidRDefault="00952CF1" w:rsidP="00952CF1">
      <w:pPr>
        <w:pStyle w:val="SingleTxt"/>
        <w:jc w:val="left"/>
        <w:rPr>
          <w:lang w:val="fr-FR"/>
        </w:rPr>
      </w:pPr>
      <w:r>
        <w:rPr>
          <w:lang w:val="fr-FR"/>
        </w:rPr>
        <w:t>7.</w:t>
      </w:r>
      <w:r>
        <w:rPr>
          <w:lang w:val="fr-FR"/>
        </w:rPr>
        <w:tab/>
        <w:t>Moyens d’accélérer les travaux du Comité.</w:t>
      </w:r>
    </w:p>
    <w:p w:rsidR="00952CF1" w:rsidRPr="000A6ECC" w:rsidRDefault="00952CF1" w:rsidP="00952CF1">
      <w:pPr>
        <w:pStyle w:val="SingleTxt"/>
        <w:jc w:val="left"/>
        <w:rPr>
          <w:lang w:val="fr-FR"/>
        </w:rPr>
      </w:pPr>
      <w:r>
        <w:rPr>
          <w:lang w:val="fr-FR"/>
        </w:rPr>
        <w:t>8.</w:t>
      </w:r>
      <w:r>
        <w:rPr>
          <w:lang w:val="fr-FR"/>
        </w:rPr>
        <w:tab/>
        <w:t>Activités menées par le Comité au titre du Protocole facultatif de la Convention.</w:t>
      </w:r>
    </w:p>
    <w:p w:rsidR="00952CF1" w:rsidRPr="000A6ECC" w:rsidRDefault="00952CF1" w:rsidP="00952CF1">
      <w:pPr>
        <w:pStyle w:val="SingleTxt"/>
        <w:jc w:val="left"/>
        <w:rPr>
          <w:lang w:val="fr-FR"/>
        </w:rPr>
      </w:pPr>
      <w:r>
        <w:rPr>
          <w:lang w:val="fr-FR"/>
        </w:rPr>
        <w:t>9.</w:t>
      </w:r>
      <w:r>
        <w:rPr>
          <w:lang w:val="fr-FR"/>
        </w:rPr>
        <w:tab/>
        <w:t>Ordre du jour provisoire de la soixante-septième session du Comité.</w:t>
      </w:r>
    </w:p>
    <w:p w:rsidR="00952CF1" w:rsidRPr="000A6ECC" w:rsidRDefault="00952CF1" w:rsidP="00952CF1">
      <w:pPr>
        <w:pStyle w:val="SingleTxt"/>
        <w:jc w:val="left"/>
        <w:rPr>
          <w:lang w:val="fr-FR"/>
        </w:rPr>
      </w:pPr>
      <w:r>
        <w:rPr>
          <w:lang w:val="fr-FR"/>
        </w:rPr>
        <w:t>10.</w:t>
      </w:r>
      <w:r>
        <w:rPr>
          <w:lang w:val="fr-FR"/>
        </w:rPr>
        <w:tab/>
        <w:t>Adoption du rapport du Comité sur les travaux de sa soixante-sixième session.</w:t>
      </w:r>
    </w:p>
    <w:p w:rsidR="00952CF1" w:rsidRPr="000A6ECC" w:rsidRDefault="00952CF1" w:rsidP="00952CF1">
      <w:pPr>
        <w:pStyle w:val="SingleTxt"/>
        <w:spacing w:after="0" w:line="120" w:lineRule="exact"/>
        <w:jc w:val="left"/>
        <w:rPr>
          <w:sz w:val="10"/>
          <w:lang w:val="fr-FR"/>
        </w:rPr>
      </w:pPr>
    </w:p>
    <w:p w:rsidR="00952CF1" w:rsidRPr="000A6ECC" w:rsidRDefault="00952CF1" w:rsidP="00952CF1">
      <w:pPr>
        <w:pStyle w:val="SingleTxt"/>
        <w:spacing w:after="0" w:line="120" w:lineRule="exact"/>
        <w:jc w:val="left"/>
        <w:rPr>
          <w:sz w:val="10"/>
          <w:lang w:val="fr-FR"/>
        </w:rPr>
      </w:pPr>
    </w:p>
    <w:p w:rsidR="00D14CC7" w:rsidRDefault="00D14CC7">
      <w:pPr>
        <w:spacing w:after="200" w:line="276" w:lineRule="auto"/>
        <w:rPr>
          <w:b/>
          <w:sz w:val="24"/>
          <w:lang w:val="fr-FR"/>
        </w:rPr>
      </w:pPr>
      <w:r>
        <w:rPr>
          <w:lang w:val="fr-FR"/>
        </w:rPr>
        <w:br w:type="page"/>
      </w:r>
    </w:p>
    <w:p w:rsidR="00952CF1" w:rsidRPr="000A6ECC" w:rsidRDefault="00952CF1" w:rsidP="00D14CC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lastRenderedPageBreak/>
        <w:tab/>
      </w:r>
      <w:r>
        <w:rPr>
          <w:lang w:val="fr-FR"/>
        </w:rPr>
        <w:tab/>
        <w:t>Annotations</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SingleTxt"/>
        <w:spacing w:after="0" w:line="120" w:lineRule="exact"/>
        <w:rPr>
          <w:sz w:val="10"/>
          <w:lang w:val="fr-FR"/>
        </w:rPr>
      </w:pPr>
    </w:p>
    <w:p w:rsidR="00952CF1" w:rsidRPr="000A6ECC" w:rsidRDefault="00952CF1" w:rsidP="00952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r>
      <w:r>
        <w:rPr>
          <w:bCs/>
          <w:lang w:val="fr-FR"/>
        </w:rPr>
        <w:t>Ouverture de la session</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SingleTxt"/>
        <w:rPr>
          <w:lang w:val="fr-FR"/>
        </w:rPr>
      </w:pPr>
      <w:r>
        <w:rPr>
          <w:lang w:val="fr-FR"/>
        </w:rPr>
        <w:t>La soixante-sixième session du Comité pour l</w:t>
      </w:r>
      <w:r w:rsidR="00C47B4C">
        <w:rPr>
          <w:lang w:val="fr-FR"/>
        </w:rPr>
        <w:t>’</w:t>
      </w:r>
      <w:r>
        <w:rPr>
          <w:lang w:val="fr-FR"/>
        </w:rPr>
        <w:t>élimination de la discrimination à l</w:t>
      </w:r>
      <w:r w:rsidR="00C47B4C">
        <w:rPr>
          <w:lang w:val="fr-FR"/>
        </w:rPr>
        <w:t>’</w:t>
      </w:r>
      <w:r>
        <w:rPr>
          <w:lang w:val="fr-FR"/>
        </w:rPr>
        <w:t>égard des femmes sera ouverte par la Présidente du Comité.</w:t>
      </w:r>
    </w:p>
    <w:p w:rsidR="00952CF1" w:rsidRPr="000A6ECC" w:rsidRDefault="00952CF1" w:rsidP="00952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Adoption de l’ordre du jour et organisation des travaux</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SingleTxt"/>
        <w:keepNext/>
        <w:keepLines/>
        <w:rPr>
          <w:lang w:val="fr-FR"/>
        </w:rPr>
      </w:pPr>
      <w:r>
        <w:rPr>
          <w:lang w:val="fr-FR"/>
        </w:rPr>
        <w:t>Aux termes de l’article 9 du Règlement intérieur, la première question inscrite à l’ordre du jour provisoire de chaque session est l’adoption de l’ordre du jour. Aux termes de l’article 7, l’ordre du jour provisoire de chaque session est établi par le Secrétaire général en consultation avec la présidence du Comité, conformément aux dispositions pertinentes des articles 17 à 22 de la Convention.</w:t>
      </w:r>
    </w:p>
    <w:p w:rsidR="00952CF1" w:rsidRPr="000A6ECC" w:rsidRDefault="00952CF1" w:rsidP="00952CF1">
      <w:pPr>
        <w:pStyle w:val="SingleTxt"/>
        <w:rPr>
          <w:lang w:val="fr-FR"/>
        </w:rPr>
      </w:pPr>
      <w:r>
        <w:rPr>
          <w:lang w:val="fr-FR"/>
        </w:rPr>
        <w:t>À sa soixante-cinquième session, le Comité a approuvé l</w:t>
      </w:r>
      <w:r w:rsidR="00C47B4C">
        <w:rPr>
          <w:lang w:val="fr-FR"/>
        </w:rPr>
        <w:t>’</w:t>
      </w:r>
      <w:r>
        <w:rPr>
          <w:lang w:val="fr-FR"/>
        </w:rPr>
        <w:t>ordre du jour provisoire de la soixante-sixième session.</w:t>
      </w:r>
    </w:p>
    <w:p w:rsidR="00952CF1" w:rsidRPr="000A6ECC" w:rsidRDefault="00952CF1" w:rsidP="00952CF1">
      <w:pPr>
        <w:pStyle w:val="SingleTxt"/>
        <w:spacing w:after="0" w:line="120" w:lineRule="exact"/>
        <w:rPr>
          <w:sz w:val="10"/>
          <w:lang w:val="fr-FR"/>
        </w:rPr>
      </w:pPr>
    </w:p>
    <w:p w:rsidR="00952CF1" w:rsidRPr="00703A56" w:rsidRDefault="00952CF1" w:rsidP="00952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Rapport de la Présidente sur les activités menées entre la soixante-cinquième et la soixante-sixième sessions du Comité</w:t>
      </w:r>
    </w:p>
    <w:p w:rsidR="00952CF1" w:rsidRPr="00703A56" w:rsidRDefault="00952CF1" w:rsidP="00952CF1">
      <w:pPr>
        <w:pStyle w:val="SingleTxt"/>
        <w:spacing w:after="0" w:line="120" w:lineRule="exact"/>
        <w:rPr>
          <w:sz w:val="10"/>
          <w:lang w:val="fr-FR"/>
        </w:rPr>
      </w:pPr>
    </w:p>
    <w:p w:rsidR="00952CF1" w:rsidRPr="00703A56" w:rsidRDefault="00952CF1" w:rsidP="00952CF1">
      <w:pPr>
        <w:pStyle w:val="SingleTxt"/>
        <w:rPr>
          <w:lang w:val="fr-FR"/>
        </w:rPr>
      </w:pPr>
      <w:r>
        <w:rPr>
          <w:lang w:val="fr-FR"/>
        </w:rPr>
        <w:t>La Présidente rendra compte au Comité des activités menées et des faits nouveaux survenus depuis la session précédente qui ont eu une incidence sur les travaux du Comité.</w:t>
      </w:r>
    </w:p>
    <w:p w:rsidR="00952CF1" w:rsidRPr="00703A56" w:rsidRDefault="00952CF1" w:rsidP="00952CF1">
      <w:pPr>
        <w:pStyle w:val="SingleTxt"/>
        <w:spacing w:after="0" w:line="120" w:lineRule="exact"/>
        <w:rPr>
          <w:sz w:val="10"/>
          <w:lang w:val="fr-FR"/>
        </w:rPr>
      </w:pPr>
    </w:p>
    <w:p w:rsidR="00952CF1" w:rsidRPr="000A6ECC" w:rsidRDefault="00952CF1" w:rsidP="00952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Documentation</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SingleTxt"/>
        <w:rPr>
          <w:lang w:val="fr-FR"/>
        </w:rPr>
      </w:pPr>
      <w:r>
        <w:rPr>
          <w:lang w:val="fr-FR"/>
        </w:rPr>
        <w:t>Ordre du jour provisoire annoté (</w:t>
      </w:r>
      <w:hyperlink r:id="rId15" w:history="1">
        <w:r w:rsidRPr="00D14CC7">
          <w:rPr>
            <w:rStyle w:val="Hyperlink"/>
            <w:lang w:val="fr-FR"/>
          </w:rPr>
          <w:t>CEDAW/C/66/1</w:t>
        </w:r>
      </w:hyperlink>
      <w:r>
        <w:rPr>
          <w:lang w:val="fr-FR"/>
        </w:rPr>
        <w:t>)</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Examen des rapports présentés par les États parties en application de l’article 18 de la Convention sur l’élimination de toutes les formes de discrimination à l’égard des femmes</w:t>
      </w:r>
    </w:p>
    <w:p w:rsidR="00952CF1" w:rsidRPr="000A6ECC" w:rsidRDefault="00952CF1" w:rsidP="00952CF1">
      <w:pPr>
        <w:pStyle w:val="SingleTxt"/>
        <w:spacing w:after="0" w:line="120" w:lineRule="exact"/>
        <w:rPr>
          <w:sz w:val="10"/>
          <w:lang w:val="fr-FR"/>
        </w:rPr>
      </w:pPr>
    </w:p>
    <w:p w:rsidR="00952CF1" w:rsidRPr="000A6ECC" w:rsidRDefault="00952CF1" w:rsidP="00C47B4C">
      <w:pPr>
        <w:pStyle w:val="SingleTxt"/>
        <w:spacing w:line="234" w:lineRule="atLeast"/>
        <w:rPr>
          <w:lang w:val="fr-FR"/>
        </w:rPr>
      </w:pPr>
      <w:r w:rsidRPr="00C47B4C">
        <w:rPr>
          <w:w w:val="101"/>
          <w:lang w:val="fr-FR"/>
        </w:rPr>
        <w:t>Aux termes de l’article 18 de la Convention, les États parties s’engagent à présenter au Secrétaire général, pour examen par le Comité, un rapport sur les mesures d’ordre législatif, judiciaire et administratif ou autre qu’ils auront adoptées pour donner effet aux dispositions de la Convention et sur les progrès réalisés à cet égard. Les rapports doivent être soumis dans l’année qui suit l’entrée en vigueur de la Convention dans l’État intéressé, puis tous les quatre ans, ainsi qu’à la demande du Comité</w:t>
      </w:r>
      <w:r>
        <w:rPr>
          <w:lang w:val="fr-FR"/>
        </w:rPr>
        <w:t>.</w:t>
      </w:r>
    </w:p>
    <w:p w:rsidR="00952CF1" w:rsidRPr="000A6ECC" w:rsidRDefault="00952CF1" w:rsidP="00C47B4C">
      <w:pPr>
        <w:pStyle w:val="SingleTxt"/>
        <w:spacing w:line="234" w:lineRule="atLeast"/>
        <w:rPr>
          <w:lang w:val="fr-FR"/>
        </w:rPr>
      </w:pPr>
      <w:r>
        <w:rPr>
          <w:lang w:val="fr-FR"/>
        </w:rPr>
        <w:t>À sa soixante-sixième session, le Comité doit examiner les rapports des États parties suivants : Allemagne, El Salvador, Irlande (au titre de la procédure simplifiée de présentation des rapports), Jordanie, Micronésie (États fédérés de), Rwanda, Sri Lanka et Ukraine.</w:t>
      </w:r>
    </w:p>
    <w:p w:rsidR="00952CF1" w:rsidRPr="00C47B4C" w:rsidRDefault="00952CF1" w:rsidP="00C47B4C">
      <w:pPr>
        <w:pStyle w:val="SingleTxt"/>
        <w:spacing w:line="234" w:lineRule="atLeast"/>
        <w:rPr>
          <w:spacing w:val="2"/>
          <w:w w:val="100"/>
          <w:lang w:val="fr-FR"/>
        </w:rPr>
      </w:pPr>
      <w:r w:rsidRPr="00C47B4C">
        <w:rPr>
          <w:spacing w:val="2"/>
          <w:w w:val="100"/>
          <w:lang w:val="fr-FR"/>
        </w:rPr>
        <w:t>En vertu de l’article 51 du Règlement intérieur, les États parties sont représentés aux réunions du Comité au cours desquelles leurs rapports sont examinés ; leurs représentants participent aux débats et répondent aux questions ayant trait aux rapports.</w:t>
      </w:r>
    </w:p>
    <w:p w:rsidR="00952CF1" w:rsidRPr="000A6ECC" w:rsidRDefault="00952CF1" w:rsidP="00C47B4C">
      <w:pPr>
        <w:pStyle w:val="SingleTxt"/>
        <w:spacing w:line="234" w:lineRule="atLeast"/>
        <w:rPr>
          <w:lang w:val="fr-FR"/>
        </w:rPr>
      </w:pPr>
      <w:r>
        <w:rPr>
          <w:lang w:val="fr-FR"/>
        </w:rPr>
        <w:t>En vertu de l’article 49 du Règlement intérieur, à chaque session, le Secrétaire général fait part au Comité de tous les cas de non-présentation de rapports demandés aux États parties en application de l’article 18 de la Convention. En outre, le Secrétaire général fournit périodiquement au Comité une liste des rapports présentés par les États parties à la Convention, ainsi qu’une liste des rapports soumis par les États parties à la Convention mais qui n’ont pas encore été examinés par le Comité.</w:t>
      </w:r>
    </w:p>
    <w:p w:rsidR="00952CF1" w:rsidRPr="000A6ECC" w:rsidRDefault="00952CF1" w:rsidP="00952CF1">
      <w:pPr>
        <w:pStyle w:val="SingleTxt"/>
        <w:rPr>
          <w:w w:val="101"/>
          <w:lang w:val="fr-FR"/>
        </w:rPr>
      </w:pPr>
      <w:r>
        <w:rPr>
          <w:lang w:val="fr-FR"/>
        </w:rPr>
        <w:lastRenderedPageBreak/>
        <w:t>Un groupe de travail d’avant-session du Comité est convoqué avant chaque session et établit des listes de points et de questions concernant les rapports, qui sont transmises aux États parties avant les réunions au cours desquelles leurs rapports doivent être examinés. Le groupe de travail d’avant-session de la soixante-sixième session s’est réuni à Genève du 25 au 29 juillet 2016. Son rapport (</w:t>
      </w:r>
      <w:hyperlink r:id="rId16" w:history="1">
        <w:r w:rsidRPr="00D14CC7">
          <w:rPr>
            <w:rStyle w:val="Hyperlink"/>
            <w:lang w:val="fr-FR"/>
          </w:rPr>
          <w:t>CEDAW/C/PSWG/66/1</w:t>
        </w:r>
      </w:hyperlink>
      <w:r>
        <w:rPr>
          <w:lang w:val="fr-FR"/>
        </w:rPr>
        <w:t>) et les réponses des États parties aux listes de points et de questions seront soumis au Comité.</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Documentation</w:t>
      </w:r>
    </w:p>
    <w:p w:rsidR="00952CF1" w:rsidRPr="000A6ECC" w:rsidRDefault="00952CF1" w:rsidP="00952CF1">
      <w:pPr>
        <w:pStyle w:val="SingleTxt"/>
        <w:spacing w:after="0" w:line="120" w:lineRule="exact"/>
        <w:rPr>
          <w:sz w:val="10"/>
          <w:lang w:val="fr-FR"/>
        </w:rPr>
      </w:pPr>
    </w:p>
    <w:p w:rsidR="00952CF1" w:rsidRPr="000A6ECC" w:rsidRDefault="00952CF1" w:rsidP="00D14CC7">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Rapports</w:t>
      </w:r>
    </w:p>
    <w:p w:rsidR="00952CF1" w:rsidRPr="00D14CC7" w:rsidRDefault="00952CF1" w:rsidP="00D14C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952CF1" w:rsidRPr="000A6ECC" w:rsidRDefault="00952CF1" w:rsidP="00952CF1">
      <w:pPr>
        <w:pStyle w:val="SingleTxt"/>
        <w:rPr>
          <w:lang w:val="fr-FR"/>
        </w:rPr>
      </w:pPr>
      <w:r>
        <w:rPr>
          <w:lang w:val="fr-FR"/>
        </w:rPr>
        <w:t>Rapport unique valant septième et huitième rapports périodiques de l</w:t>
      </w:r>
      <w:r w:rsidR="00C47B4C">
        <w:rPr>
          <w:lang w:val="fr-FR"/>
        </w:rPr>
        <w:t>’</w:t>
      </w:r>
      <w:r>
        <w:rPr>
          <w:lang w:val="fr-FR"/>
        </w:rPr>
        <w:t>Allemagne (</w:t>
      </w:r>
      <w:hyperlink r:id="rId17" w:history="1">
        <w:r w:rsidRPr="00D14CC7">
          <w:rPr>
            <w:rStyle w:val="Hyperlink"/>
            <w:lang w:val="fr-FR"/>
          </w:rPr>
          <w:t>CEDAW/C/DEU/7-8</w:t>
        </w:r>
      </w:hyperlink>
      <w:r>
        <w:rPr>
          <w:lang w:val="fr-FR"/>
        </w:rPr>
        <w:t>)</w:t>
      </w:r>
    </w:p>
    <w:p w:rsidR="00952CF1" w:rsidRPr="000A6ECC" w:rsidRDefault="00952CF1" w:rsidP="00952CF1">
      <w:pPr>
        <w:pStyle w:val="SingleTxt"/>
        <w:rPr>
          <w:lang w:val="fr-FR"/>
        </w:rPr>
      </w:pPr>
      <w:r>
        <w:rPr>
          <w:lang w:val="fr-FR"/>
        </w:rPr>
        <w:t>Rapport unique valant huitième et neuvième rapports périodiques d</w:t>
      </w:r>
      <w:r w:rsidR="00C47B4C">
        <w:rPr>
          <w:lang w:val="fr-FR"/>
        </w:rPr>
        <w:t>’</w:t>
      </w:r>
      <w:r>
        <w:rPr>
          <w:lang w:val="fr-FR"/>
        </w:rPr>
        <w:t>El Salvador (</w:t>
      </w:r>
      <w:hyperlink r:id="rId18" w:history="1">
        <w:r w:rsidRPr="00D14CC7">
          <w:rPr>
            <w:rStyle w:val="Hyperlink"/>
            <w:lang w:val="fr-FR"/>
          </w:rPr>
          <w:t>CEDAW/C/SLV/8-9</w:t>
        </w:r>
      </w:hyperlink>
      <w:r>
        <w:rPr>
          <w:lang w:val="fr-FR"/>
        </w:rPr>
        <w:t>)</w:t>
      </w:r>
    </w:p>
    <w:p w:rsidR="00952CF1" w:rsidRPr="000A6ECC" w:rsidRDefault="00952CF1" w:rsidP="00952CF1">
      <w:pPr>
        <w:pStyle w:val="SingleTxt"/>
        <w:rPr>
          <w:lang w:val="fr-FR"/>
        </w:rPr>
      </w:pPr>
      <w:r>
        <w:rPr>
          <w:lang w:val="fr-FR"/>
        </w:rPr>
        <w:t>Rapport unique valant sixième et septième rapports périodiques de l</w:t>
      </w:r>
      <w:r w:rsidR="00C47B4C">
        <w:rPr>
          <w:lang w:val="fr-FR"/>
        </w:rPr>
        <w:t>’</w:t>
      </w:r>
      <w:r>
        <w:rPr>
          <w:lang w:val="fr-FR"/>
        </w:rPr>
        <w:t>Irlande (</w:t>
      </w:r>
      <w:hyperlink r:id="rId19" w:history="1">
        <w:r w:rsidRPr="00D14CC7">
          <w:rPr>
            <w:rStyle w:val="Hyperlink"/>
            <w:lang w:val="fr-FR"/>
          </w:rPr>
          <w:t>CEDAW/C/IRL/6-7 ;</w:t>
        </w:r>
      </w:hyperlink>
      <w:r>
        <w:rPr>
          <w:lang w:val="fr-FR"/>
        </w:rPr>
        <w:t xml:space="preserve"> présenté au titre de la procédure de présentation de rapports simplifiée)</w:t>
      </w:r>
    </w:p>
    <w:p w:rsidR="00952CF1" w:rsidRPr="000A6ECC" w:rsidRDefault="00952CF1" w:rsidP="00952CF1">
      <w:pPr>
        <w:pStyle w:val="SingleTxt"/>
        <w:rPr>
          <w:lang w:val="fr-FR"/>
        </w:rPr>
      </w:pPr>
      <w:r>
        <w:rPr>
          <w:lang w:val="fr-FR"/>
        </w:rPr>
        <w:t>Sixième rapport périodique de la Jordanie (</w:t>
      </w:r>
      <w:hyperlink r:id="rId20" w:history="1">
        <w:r w:rsidRPr="00D14CC7">
          <w:rPr>
            <w:rStyle w:val="Hyperlink"/>
            <w:lang w:val="fr-FR"/>
          </w:rPr>
          <w:t>CEDAW/C/JOR/6</w:t>
        </w:r>
      </w:hyperlink>
      <w:r>
        <w:rPr>
          <w:lang w:val="fr-FR"/>
        </w:rPr>
        <w:t>)</w:t>
      </w:r>
    </w:p>
    <w:p w:rsidR="00952CF1" w:rsidRPr="000A6ECC" w:rsidRDefault="00952CF1" w:rsidP="00952CF1">
      <w:pPr>
        <w:pStyle w:val="SingleTxt"/>
        <w:rPr>
          <w:lang w:val="fr-FR"/>
        </w:rPr>
      </w:pPr>
      <w:r>
        <w:rPr>
          <w:lang w:val="fr-FR"/>
        </w:rPr>
        <w:t>Rapport unique valant rapport initial, deuxième et troisième rapports périodiques des États fédérés de Micronésie (</w:t>
      </w:r>
      <w:hyperlink r:id="rId21" w:history="1">
        <w:r w:rsidRPr="00D14CC7">
          <w:rPr>
            <w:rStyle w:val="Hyperlink"/>
            <w:lang w:val="fr-FR"/>
          </w:rPr>
          <w:t>CEDAW/C/FSM/1-3</w:t>
        </w:r>
      </w:hyperlink>
      <w:r>
        <w:rPr>
          <w:lang w:val="fr-FR"/>
        </w:rPr>
        <w:t>)</w:t>
      </w:r>
    </w:p>
    <w:p w:rsidR="00952CF1" w:rsidRPr="000A6ECC" w:rsidRDefault="00952CF1" w:rsidP="00952CF1">
      <w:pPr>
        <w:pStyle w:val="SingleTxt"/>
        <w:rPr>
          <w:lang w:val="fr-FR"/>
        </w:rPr>
      </w:pPr>
      <w:r>
        <w:rPr>
          <w:lang w:val="fr-FR"/>
        </w:rPr>
        <w:t>Rapport unique valant septième à neuvième rapports périodiques du Rwanda (</w:t>
      </w:r>
      <w:hyperlink r:id="rId22" w:history="1">
        <w:r w:rsidRPr="00D14CC7">
          <w:rPr>
            <w:rStyle w:val="Hyperlink"/>
            <w:lang w:val="fr-FR"/>
          </w:rPr>
          <w:t>CEDAW/C/RWA/7-9</w:t>
        </w:r>
      </w:hyperlink>
      <w:r>
        <w:rPr>
          <w:lang w:val="fr-FR"/>
        </w:rPr>
        <w:t>)</w:t>
      </w:r>
    </w:p>
    <w:p w:rsidR="00952CF1" w:rsidRPr="000A6ECC" w:rsidRDefault="00952CF1" w:rsidP="00952CF1">
      <w:pPr>
        <w:pStyle w:val="SingleTxt"/>
        <w:rPr>
          <w:lang w:val="fr-FR"/>
        </w:rPr>
      </w:pPr>
      <w:r>
        <w:rPr>
          <w:lang w:val="fr-FR"/>
        </w:rPr>
        <w:t>Huitième rapport périodique du Sri Lanka (</w:t>
      </w:r>
      <w:hyperlink r:id="rId23" w:history="1">
        <w:r w:rsidRPr="00D14CC7">
          <w:rPr>
            <w:rStyle w:val="Hyperlink"/>
            <w:lang w:val="fr-FR"/>
          </w:rPr>
          <w:t>CEDAW/C/LKA/8</w:t>
        </w:r>
      </w:hyperlink>
      <w:r>
        <w:rPr>
          <w:lang w:val="fr-FR"/>
        </w:rPr>
        <w:t>)</w:t>
      </w:r>
    </w:p>
    <w:p w:rsidR="00952CF1" w:rsidRPr="000A6ECC" w:rsidRDefault="00952CF1" w:rsidP="00952CF1">
      <w:pPr>
        <w:pStyle w:val="SingleTxt"/>
        <w:rPr>
          <w:lang w:val="fr-FR"/>
        </w:rPr>
      </w:pPr>
      <w:r>
        <w:rPr>
          <w:lang w:val="fr-FR"/>
        </w:rPr>
        <w:t>Huitième rapport périodique de l</w:t>
      </w:r>
      <w:r w:rsidR="00C47B4C">
        <w:rPr>
          <w:lang w:val="fr-FR"/>
        </w:rPr>
        <w:t>’</w:t>
      </w:r>
      <w:r>
        <w:rPr>
          <w:lang w:val="fr-FR"/>
        </w:rPr>
        <w:t>Ukraine (</w:t>
      </w:r>
      <w:hyperlink r:id="rId24" w:history="1">
        <w:r w:rsidRPr="00D14CC7">
          <w:rPr>
            <w:rStyle w:val="Hyperlink"/>
            <w:lang w:val="fr-FR"/>
          </w:rPr>
          <w:t>CEDAW/C/UKR/8</w:t>
        </w:r>
      </w:hyperlink>
      <w:r>
        <w:rPr>
          <w:lang w:val="fr-FR"/>
        </w:rPr>
        <w:t>)</w:t>
      </w:r>
    </w:p>
    <w:p w:rsidR="00952CF1" w:rsidRPr="000A6ECC" w:rsidRDefault="00952CF1" w:rsidP="00952CF1">
      <w:pPr>
        <w:pStyle w:val="SingleTxt"/>
        <w:spacing w:after="0" w:line="120" w:lineRule="exact"/>
        <w:rPr>
          <w:sz w:val="10"/>
          <w:lang w:val="fr-FR"/>
        </w:rPr>
      </w:pPr>
    </w:p>
    <w:p w:rsidR="00952CF1" w:rsidRPr="000A6ECC" w:rsidRDefault="00952CF1" w:rsidP="00D14CC7">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Listes de points et de questions</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SingleTxt"/>
        <w:rPr>
          <w:lang w:val="fr-FR"/>
        </w:rPr>
      </w:pPr>
      <w:r>
        <w:rPr>
          <w:lang w:val="fr-FR"/>
        </w:rPr>
        <w:t>Allemagne (</w:t>
      </w:r>
      <w:hyperlink r:id="rId25" w:history="1">
        <w:r w:rsidRPr="00D14CC7">
          <w:rPr>
            <w:rStyle w:val="Hyperlink"/>
            <w:lang w:val="fr-FR"/>
          </w:rPr>
          <w:t>CEDAW/C/DEU/Q/7-8</w:t>
        </w:r>
      </w:hyperlink>
      <w:r>
        <w:rPr>
          <w:lang w:val="fr-FR"/>
        </w:rPr>
        <w:t>)</w:t>
      </w:r>
    </w:p>
    <w:p w:rsidR="00952CF1" w:rsidRPr="00D14CC7" w:rsidRDefault="00952CF1" w:rsidP="00952CF1">
      <w:pPr>
        <w:pStyle w:val="SingleTxt"/>
        <w:rPr>
          <w:lang w:val="en-US"/>
        </w:rPr>
      </w:pPr>
      <w:r w:rsidRPr="000A6ECC">
        <w:rPr>
          <w:lang w:val="en-GB"/>
        </w:rPr>
        <w:t>El Salvador (</w:t>
      </w:r>
      <w:hyperlink r:id="rId26" w:history="1">
        <w:r w:rsidRPr="00D14CC7">
          <w:rPr>
            <w:rStyle w:val="Hyperlink"/>
            <w:lang w:val="en-GB"/>
          </w:rPr>
          <w:t>CEDAW/C/SLV/Q/8-9</w:t>
        </w:r>
      </w:hyperlink>
      <w:r w:rsidRPr="000A6ECC">
        <w:rPr>
          <w:lang w:val="en-GB"/>
        </w:rPr>
        <w:t>)</w:t>
      </w:r>
    </w:p>
    <w:p w:rsidR="00952CF1" w:rsidRPr="000A6ECC" w:rsidRDefault="00952CF1" w:rsidP="00952CF1">
      <w:pPr>
        <w:pStyle w:val="SingleTxt"/>
        <w:rPr>
          <w:lang w:val="fr-FR"/>
        </w:rPr>
      </w:pPr>
      <w:r>
        <w:rPr>
          <w:lang w:val="fr-FR"/>
        </w:rPr>
        <w:t>Irlande (</w:t>
      </w:r>
      <w:hyperlink r:id="rId27" w:history="1">
        <w:r w:rsidRPr="00D14CC7">
          <w:rPr>
            <w:rStyle w:val="Hyperlink"/>
            <w:lang w:val="fr-FR"/>
          </w:rPr>
          <w:t>CEDAW/C/IRL/QPR/6-7</w:t>
        </w:r>
      </w:hyperlink>
      <w:r>
        <w:rPr>
          <w:lang w:val="fr-FR"/>
        </w:rPr>
        <w:t>)</w:t>
      </w:r>
    </w:p>
    <w:p w:rsidR="00952CF1" w:rsidRPr="000A6ECC" w:rsidRDefault="00952CF1" w:rsidP="00952CF1">
      <w:pPr>
        <w:pStyle w:val="SingleTxt"/>
        <w:rPr>
          <w:lang w:val="fr-FR"/>
        </w:rPr>
      </w:pPr>
      <w:r>
        <w:rPr>
          <w:lang w:val="fr-FR"/>
        </w:rPr>
        <w:t>Jordanie (</w:t>
      </w:r>
      <w:hyperlink r:id="rId28" w:history="1">
        <w:r w:rsidRPr="00D14CC7">
          <w:rPr>
            <w:rStyle w:val="Hyperlink"/>
            <w:lang w:val="fr-FR"/>
          </w:rPr>
          <w:t>CEDAW/C/JOR/Q/6</w:t>
        </w:r>
      </w:hyperlink>
      <w:r>
        <w:rPr>
          <w:lang w:val="fr-FR"/>
        </w:rPr>
        <w:t>)</w:t>
      </w:r>
    </w:p>
    <w:p w:rsidR="00952CF1" w:rsidRPr="000A6ECC" w:rsidRDefault="00952CF1" w:rsidP="00952CF1">
      <w:pPr>
        <w:pStyle w:val="SingleTxt"/>
        <w:rPr>
          <w:lang w:val="fr-FR"/>
        </w:rPr>
      </w:pPr>
      <w:r>
        <w:rPr>
          <w:lang w:val="fr-FR"/>
        </w:rPr>
        <w:t>Micronésie (États fédérés de) (</w:t>
      </w:r>
      <w:hyperlink r:id="rId29" w:history="1">
        <w:r w:rsidRPr="00D14CC7">
          <w:rPr>
            <w:rStyle w:val="Hyperlink"/>
            <w:lang w:val="fr-FR"/>
          </w:rPr>
          <w:t>CEDAW/C/FSM/Q/1-3</w:t>
        </w:r>
      </w:hyperlink>
      <w:r>
        <w:rPr>
          <w:lang w:val="fr-FR"/>
        </w:rPr>
        <w:t>)</w:t>
      </w:r>
    </w:p>
    <w:p w:rsidR="00952CF1" w:rsidRPr="00D14CC7" w:rsidRDefault="00952CF1" w:rsidP="00952CF1">
      <w:pPr>
        <w:pStyle w:val="SingleTxt"/>
        <w:rPr>
          <w:lang w:val="en-US"/>
        </w:rPr>
      </w:pPr>
      <w:r w:rsidRPr="000A6ECC">
        <w:rPr>
          <w:lang w:val="en-GB"/>
        </w:rPr>
        <w:t>Rwanda (</w:t>
      </w:r>
      <w:hyperlink r:id="rId30" w:history="1">
        <w:r w:rsidRPr="00D14CC7">
          <w:rPr>
            <w:rStyle w:val="Hyperlink"/>
            <w:lang w:val="en-GB"/>
          </w:rPr>
          <w:t>CEDAW/C/RWA/Q/7-9</w:t>
        </w:r>
      </w:hyperlink>
      <w:r w:rsidRPr="000A6ECC">
        <w:rPr>
          <w:lang w:val="en-GB"/>
        </w:rPr>
        <w:t>)</w:t>
      </w:r>
    </w:p>
    <w:p w:rsidR="00952CF1" w:rsidRPr="00D14CC7" w:rsidRDefault="00952CF1" w:rsidP="00952CF1">
      <w:pPr>
        <w:pStyle w:val="SingleTxt"/>
        <w:rPr>
          <w:lang w:val="en-US"/>
        </w:rPr>
      </w:pPr>
      <w:r w:rsidRPr="000A6ECC">
        <w:rPr>
          <w:lang w:val="en-GB"/>
        </w:rPr>
        <w:t>Sri Lanka (</w:t>
      </w:r>
      <w:hyperlink r:id="rId31" w:history="1">
        <w:r w:rsidRPr="00D14CC7">
          <w:rPr>
            <w:rStyle w:val="Hyperlink"/>
            <w:lang w:val="en-GB"/>
          </w:rPr>
          <w:t>CEDAW/C/LKA/Q/8</w:t>
        </w:r>
      </w:hyperlink>
      <w:r w:rsidRPr="000A6ECC">
        <w:rPr>
          <w:lang w:val="en-GB"/>
        </w:rPr>
        <w:t>)</w:t>
      </w:r>
    </w:p>
    <w:p w:rsidR="00952CF1" w:rsidRPr="000A6ECC" w:rsidRDefault="00952CF1" w:rsidP="00952CF1">
      <w:pPr>
        <w:pStyle w:val="SingleTxt"/>
        <w:rPr>
          <w:lang w:val="fr-FR"/>
        </w:rPr>
      </w:pPr>
      <w:r>
        <w:rPr>
          <w:lang w:val="fr-FR"/>
        </w:rPr>
        <w:t>Ukraine (</w:t>
      </w:r>
      <w:hyperlink r:id="rId32" w:history="1">
        <w:r w:rsidRPr="00D14CC7">
          <w:rPr>
            <w:rStyle w:val="Hyperlink"/>
            <w:lang w:val="fr-FR"/>
          </w:rPr>
          <w:t>CEDAW/C/UKR/Q/8</w:t>
        </w:r>
      </w:hyperlink>
      <w:r>
        <w:rPr>
          <w:lang w:val="fr-FR"/>
        </w:rPr>
        <w:t>)</w:t>
      </w:r>
    </w:p>
    <w:p w:rsidR="00952CF1" w:rsidRPr="000A6ECC" w:rsidRDefault="00952CF1" w:rsidP="00952CF1">
      <w:pPr>
        <w:pStyle w:val="SingleTxt"/>
        <w:spacing w:after="0" w:line="120" w:lineRule="exact"/>
        <w:rPr>
          <w:sz w:val="10"/>
          <w:lang w:val="fr-FR"/>
        </w:rPr>
      </w:pPr>
    </w:p>
    <w:p w:rsidR="00952CF1" w:rsidRPr="000A6ECC" w:rsidRDefault="00952CF1" w:rsidP="00D14CC7">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Réponses aux listes de points et de questions</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SingleTxt"/>
        <w:rPr>
          <w:lang w:val="fr-FR"/>
        </w:rPr>
      </w:pPr>
      <w:r>
        <w:rPr>
          <w:lang w:val="fr-FR"/>
        </w:rPr>
        <w:t>Allemagne (</w:t>
      </w:r>
      <w:hyperlink r:id="rId33" w:history="1">
        <w:r w:rsidRPr="00D14CC7">
          <w:rPr>
            <w:rStyle w:val="Hyperlink"/>
            <w:lang w:val="fr-FR"/>
          </w:rPr>
          <w:t>CEDAW/C/DEU/Q/7-8/Add.1</w:t>
        </w:r>
      </w:hyperlink>
      <w:r>
        <w:rPr>
          <w:lang w:val="fr-FR"/>
        </w:rPr>
        <w:t>)</w:t>
      </w:r>
    </w:p>
    <w:p w:rsidR="00952CF1" w:rsidRPr="00D14CC7" w:rsidRDefault="00952CF1" w:rsidP="00952CF1">
      <w:pPr>
        <w:pStyle w:val="SingleTxt"/>
        <w:rPr>
          <w:lang w:val="en-US"/>
        </w:rPr>
      </w:pPr>
      <w:r w:rsidRPr="000A6ECC">
        <w:rPr>
          <w:lang w:val="en-GB"/>
        </w:rPr>
        <w:t>El Salvador (</w:t>
      </w:r>
      <w:hyperlink r:id="rId34" w:history="1">
        <w:r w:rsidRPr="00D14CC7">
          <w:rPr>
            <w:rStyle w:val="Hyperlink"/>
            <w:lang w:val="en-GB"/>
          </w:rPr>
          <w:t>CEDAW/C/SLV/Q/8-9/Add.1</w:t>
        </w:r>
      </w:hyperlink>
      <w:r w:rsidRPr="000A6ECC">
        <w:rPr>
          <w:lang w:val="en-GB"/>
        </w:rPr>
        <w:t>)</w:t>
      </w:r>
    </w:p>
    <w:p w:rsidR="00952CF1" w:rsidRPr="000A6ECC" w:rsidRDefault="00952CF1" w:rsidP="00952CF1">
      <w:pPr>
        <w:pStyle w:val="SingleTxt"/>
        <w:rPr>
          <w:lang w:val="fr-FR"/>
        </w:rPr>
      </w:pPr>
      <w:r>
        <w:rPr>
          <w:lang w:val="fr-FR"/>
        </w:rPr>
        <w:t>Jordanie (</w:t>
      </w:r>
      <w:hyperlink r:id="rId35" w:history="1">
        <w:r w:rsidRPr="00D14CC7">
          <w:rPr>
            <w:rStyle w:val="Hyperlink"/>
            <w:lang w:val="fr-FR"/>
          </w:rPr>
          <w:t>CEDAW/C/JOR/Q/6/Add.1</w:t>
        </w:r>
      </w:hyperlink>
      <w:r>
        <w:rPr>
          <w:lang w:val="fr-FR"/>
        </w:rPr>
        <w:t>)</w:t>
      </w:r>
    </w:p>
    <w:p w:rsidR="00952CF1" w:rsidRPr="000A6ECC" w:rsidRDefault="00952CF1" w:rsidP="00952CF1">
      <w:pPr>
        <w:pStyle w:val="SingleTxt"/>
        <w:rPr>
          <w:lang w:val="fr-FR"/>
        </w:rPr>
      </w:pPr>
      <w:r>
        <w:rPr>
          <w:lang w:val="fr-FR"/>
        </w:rPr>
        <w:t>Micronésie (États fédérés de) (</w:t>
      </w:r>
      <w:hyperlink r:id="rId36" w:history="1">
        <w:r w:rsidRPr="00D14CC7">
          <w:rPr>
            <w:rStyle w:val="Hyperlink"/>
            <w:lang w:val="fr-FR"/>
          </w:rPr>
          <w:t>CEDAW/C/FSM/Q/1-3/Add.1</w:t>
        </w:r>
      </w:hyperlink>
      <w:r>
        <w:rPr>
          <w:lang w:val="fr-FR"/>
        </w:rPr>
        <w:t>)</w:t>
      </w:r>
    </w:p>
    <w:p w:rsidR="00952CF1" w:rsidRPr="00D14CC7" w:rsidRDefault="00952CF1" w:rsidP="00952CF1">
      <w:pPr>
        <w:pStyle w:val="SingleTxt"/>
        <w:rPr>
          <w:lang w:val="en-US"/>
        </w:rPr>
      </w:pPr>
      <w:r w:rsidRPr="000A6ECC">
        <w:rPr>
          <w:lang w:val="en-GB"/>
        </w:rPr>
        <w:t>Rwanda (</w:t>
      </w:r>
      <w:hyperlink r:id="rId37" w:history="1">
        <w:r w:rsidRPr="00D14CC7">
          <w:rPr>
            <w:rStyle w:val="Hyperlink"/>
            <w:lang w:val="en-GB"/>
          </w:rPr>
          <w:t>CEDAW/C/RWA/Q/7-9/Add.1</w:t>
        </w:r>
      </w:hyperlink>
      <w:r w:rsidRPr="000A6ECC">
        <w:rPr>
          <w:lang w:val="en-GB"/>
        </w:rPr>
        <w:t>)</w:t>
      </w:r>
    </w:p>
    <w:p w:rsidR="00952CF1" w:rsidRPr="00D14CC7" w:rsidRDefault="00952CF1" w:rsidP="00952CF1">
      <w:pPr>
        <w:pStyle w:val="SingleTxt"/>
        <w:rPr>
          <w:lang w:val="en-US"/>
        </w:rPr>
      </w:pPr>
      <w:r w:rsidRPr="000A6ECC">
        <w:rPr>
          <w:lang w:val="en-GB"/>
        </w:rPr>
        <w:t>Sri Lanka (</w:t>
      </w:r>
      <w:hyperlink r:id="rId38" w:history="1">
        <w:r w:rsidRPr="00D14CC7">
          <w:rPr>
            <w:rStyle w:val="Hyperlink"/>
            <w:lang w:val="en-GB"/>
          </w:rPr>
          <w:t>CEDAW/C/LKA/Q/8/Add.1</w:t>
        </w:r>
      </w:hyperlink>
      <w:r w:rsidRPr="000A6ECC">
        <w:rPr>
          <w:lang w:val="en-GB"/>
        </w:rPr>
        <w:t>)</w:t>
      </w:r>
    </w:p>
    <w:p w:rsidR="00952CF1" w:rsidRPr="00D14CC7" w:rsidRDefault="00952CF1" w:rsidP="00952CF1">
      <w:pPr>
        <w:pStyle w:val="SingleTxt"/>
        <w:rPr>
          <w:lang w:val="en-US"/>
        </w:rPr>
      </w:pPr>
      <w:r w:rsidRPr="000A6ECC">
        <w:rPr>
          <w:lang w:val="en-GB"/>
        </w:rPr>
        <w:t>Ukraine (</w:t>
      </w:r>
      <w:hyperlink r:id="rId39" w:history="1">
        <w:r w:rsidRPr="00D14CC7">
          <w:rPr>
            <w:rStyle w:val="Hyperlink"/>
            <w:lang w:val="en-GB"/>
          </w:rPr>
          <w:t>CEDAW/C/UKR/Q/8/Add.1</w:t>
        </w:r>
      </w:hyperlink>
      <w:r w:rsidRPr="000A6ECC">
        <w:rPr>
          <w:lang w:val="en-GB"/>
        </w:rPr>
        <w:t>)</w:t>
      </w:r>
    </w:p>
    <w:p w:rsidR="00952CF1" w:rsidRPr="000A6ECC" w:rsidRDefault="00952CF1" w:rsidP="00952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ECC">
        <w:rPr>
          <w:lang w:val="en-GB"/>
        </w:rPr>
        <w:tab/>
      </w:r>
      <w:r>
        <w:rPr>
          <w:lang w:val="fr-FR"/>
        </w:rPr>
        <w:t>5.</w:t>
      </w:r>
      <w:r>
        <w:rPr>
          <w:lang w:val="fr-FR"/>
        </w:rPr>
        <w:tab/>
      </w:r>
      <w:r>
        <w:rPr>
          <w:bCs/>
          <w:lang w:val="fr-FR"/>
        </w:rPr>
        <w:t>Suite donnée à l’examen des rapports présentés par les États parties en application de l’article 18 de la Convention</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SingleTxt"/>
        <w:rPr>
          <w:lang w:val="fr-FR"/>
        </w:rPr>
      </w:pPr>
      <w:r>
        <w:rPr>
          <w:lang w:val="fr-FR"/>
        </w:rPr>
        <w:t>Le Comité examinera les questions se rapportant à la suite donnée à ses observations finales.</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w:t>
      </w:r>
      <w:r>
        <w:rPr>
          <w:lang w:val="fr-FR"/>
        </w:rPr>
        <w:tab/>
      </w:r>
      <w:r>
        <w:rPr>
          <w:bCs/>
          <w:lang w:val="fr-FR"/>
        </w:rPr>
        <w:t>Application des articles 21 et 22 de la Convention</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SingleTxt"/>
        <w:rPr>
          <w:lang w:val="fr-FR"/>
        </w:rPr>
      </w:pPr>
      <w:r>
        <w:rPr>
          <w:lang w:val="fr-FR"/>
        </w:rPr>
        <w:t>Aux termes de l’article 21 de la Convention, le Comité peut formuler des suggestions et des recommandations générales fondées sur l’examen des rapports et des renseignements reçus des États parties. Ces suggestions et recommandations sont incluses dans le rapport du Comité à l</w:t>
      </w:r>
      <w:r w:rsidR="00C47B4C">
        <w:rPr>
          <w:lang w:val="fr-FR"/>
        </w:rPr>
        <w:t>’</w:t>
      </w:r>
      <w:r>
        <w:rPr>
          <w:lang w:val="fr-FR"/>
        </w:rPr>
        <w:t>Assemblée générale, accompagnées, le cas échéant, des observations des États parties.</w:t>
      </w:r>
    </w:p>
    <w:p w:rsidR="00952CF1" w:rsidRPr="000A6ECC" w:rsidRDefault="00952CF1" w:rsidP="00952CF1">
      <w:pPr>
        <w:pStyle w:val="SingleTxt"/>
        <w:rPr>
          <w:lang w:val="fr-FR"/>
        </w:rPr>
      </w:pPr>
      <w:r>
        <w:rPr>
          <w:lang w:val="fr-FR"/>
        </w:rPr>
        <w:t>Aux termes de l’article 22 de la Convention, les institutions spécialisées ont le droit d</w:t>
      </w:r>
      <w:r w:rsidR="00C47B4C">
        <w:rPr>
          <w:lang w:val="fr-FR"/>
        </w:rPr>
        <w:t>’</w:t>
      </w:r>
      <w:r>
        <w:rPr>
          <w:lang w:val="fr-FR"/>
        </w:rPr>
        <w:t>être représentées lors de l’examen de la mise en œuvre de toute disposition de la présente Convention qui entre dans le cadre de leurs activités, et le Comité peut inviter les institutions spécialisées à soumettre des rapports sur l’application de la Convention dans les domaines qui entrent dans le cadre de leurs activités.</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Documentation</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SingleTxt"/>
        <w:rPr>
          <w:lang w:val="fr-FR"/>
        </w:rPr>
      </w:pPr>
      <w:r>
        <w:rPr>
          <w:lang w:val="fr-FR"/>
        </w:rPr>
        <w:t>Rapports présentés par les institutions spécialisées des Nations Unies sur l’application de la Convention dans les domaines qui entrent dans le cadre de leurs activités</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w:t>
      </w:r>
      <w:r>
        <w:rPr>
          <w:lang w:val="fr-FR"/>
        </w:rPr>
        <w:tab/>
      </w:r>
      <w:r>
        <w:rPr>
          <w:bCs/>
          <w:lang w:val="fr-FR"/>
        </w:rPr>
        <w:t>Moyens d’accélérer les travaux du Comité</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SingleTxt"/>
        <w:rPr>
          <w:lang w:val="fr-FR"/>
        </w:rPr>
      </w:pPr>
      <w:r>
        <w:rPr>
          <w:lang w:val="fr-FR"/>
        </w:rPr>
        <w:t>Le Comité examinera les questions se rapportant à ses méthodes de travail.</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8.</w:t>
      </w:r>
      <w:r>
        <w:rPr>
          <w:lang w:val="fr-FR"/>
        </w:rPr>
        <w:tab/>
      </w:r>
      <w:r>
        <w:rPr>
          <w:bCs/>
          <w:lang w:val="fr-FR"/>
        </w:rPr>
        <w:t>Activités menées par le Comité au titre du Protocole facultatif à la Convention</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SingleTxt"/>
        <w:rPr>
          <w:lang w:val="fr-FR"/>
        </w:rPr>
      </w:pPr>
      <w:r>
        <w:rPr>
          <w:lang w:val="fr-FR"/>
        </w:rPr>
        <w:t>La trente-septième session du Groupe de travail sur les communications présentées conformément au Protocole facultatif se tiendra du 7 au 10 février 2017 à Genève.</w:t>
      </w:r>
    </w:p>
    <w:p w:rsidR="00952CF1" w:rsidRPr="000A6ECC" w:rsidRDefault="00952CF1" w:rsidP="00952CF1">
      <w:pPr>
        <w:pStyle w:val="SingleTxt"/>
        <w:rPr>
          <w:lang w:val="fr-FR"/>
        </w:rPr>
      </w:pPr>
      <w:r>
        <w:rPr>
          <w:lang w:val="fr-FR"/>
        </w:rPr>
        <w:t>La sixième session du Groupe de travail chargé des enquêtes menées au titre du Protocole facultatif se tiendra les 9 et 10 février 2017 à Genève.</w:t>
      </w:r>
    </w:p>
    <w:p w:rsidR="00952CF1" w:rsidRPr="000A6ECC" w:rsidRDefault="00952CF1" w:rsidP="00952CF1">
      <w:pPr>
        <w:pStyle w:val="SingleTxt"/>
        <w:rPr>
          <w:lang w:val="fr-FR"/>
        </w:rPr>
      </w:pPr>
      <w:r>
        <w:rPr>
          <w:lang w:val="fr-FR"/>
        </w:rPr>
        <w:t>À sa soixante-sixième session, le Comité continuera de s’acquitter de son mandat qu’il tient des articles 2 et 8 du Protocole facultatif à la Convention.</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9.</w:t>
      </w:r>
      <w:r>
        <w:rPr>
          <w:lang w:val="fr-FR"/>
        </w:rPr>
        <w:tab/>
      </w:r>
      <w:r>
        <w:rPr>
          <w:bCs/>
          <w:lang w:val="fr-FR"/>
        </w:rPr>
        <w:t>Ordre du jour provisoire de la soixante-septième session du Comité</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Documentation</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SingleTxt"/>
        <w:rPr>
          <w:lang w:val="fr-FR"/>
        </w:rPr>
      </w:pPr>
      <w:r>
        <w:rPr>
          <w:lang w:val="fr-FR"/>
        </w:rPr>
        <w:t>Ordre du jour provisoire annoté de la soixante-septième session (</w:t>
      </w:r>
      <w:hyperlink r:id="rId40" w:history="1">
        <w:r w:rsidRPr="00D14CC7">
          <w:rPr>
            <w:rStyle w:val="Hyperlink"/>
            <w:lang w:val="fr-FR"/>
          </w:rPr>
          <w:t>CEDAW/C/67/1</w:t>
        </w:r>
      </w:hyperlink>
      <w:r>
        <w:rPr>
          <w:lang w:val="fr-FR"/>
        </w:rPr>
        <w:t>)</w:t>
      </w:r>
    </w:p>
    <w:p w:rsidR="00952CF1" w:rsidRPr="000A6ECC" w:rsidRDefault="00952CF1" w:rsidP="00952CF1">
      <w:pPr>
        <w:pStyle w:val="SingleTxt"/>
        <w:spacing w:after="0" w:line="120" w:lineRule="exact"/>
        <w:rPr>
          <w:sz w:val="10"/>
          <w:lang w:val="fr-FR"/>
        </w:rPr>
      </w:pPr>
    </w:p>
    <w:p w:rsidR="00952CF1" w:rsidRPr="000A6ECC" w:rsidRDefault="00952CF1" w:rsidP="00952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10.</w:t>
      </w:r>
      <w:r>
        <w:rPr>
          <w:lang w:val="fr-FR"/>
        </w:rPr>
        <w:tab/>
      </w:r>
      <w:r>
        <w:rPr>
          <w:bCs/>
          <w:lang w:val="fr-FR"/>
        </w:rPr>
        <w:t>Adoption du rapport du Comité sur les travaux de sa soixante-sixième session</w:t>
      </w:r>
    </w:p>
    <w:p w:rsidR="003F3404" w:rsidRPr="00D14CC7" w:rsidRDefault="00D14CC7" w:rsidP="00D14CC7">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F3404" w:rsidRPr="00D14CC7" w:rsidSect="003F3404">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27T18:18:00Z" w:initials="Start">
    <w:p w:rsidR="003F3404" w:rsidRPr="00D14CC7" w:rsidRDefault="003F3404">
      <w:pPr>
        <w:pStyle w:val="CommentText"/>
        <w:rPr>
          <w:lang w:val="en-US"/>
        </w:rPr>
      </w:pPr>
      <w:r>
        <w:fldChar w:fldCharType="begin"/>
      </w:r>
      <w:r w:rsidRPr="00D14CC7">
        <w:rPr>
          <w:rStyle w:val="CommentReference"/>
          <w:lang w:val="en-US"/>
        </w:rPr>
        <w:instrText xml:space="preserve"> </w:instrText>
      </w:r>
      <w:r w:rsidRPr="00D14CC7">
        <w:rPr>
          <w:lang w:val="en-US"/>
        </w:rPr>
        <w:instrText>PAGE \# "'Page: '#'</w:instrText>
      </w:r>
      <w:r w:rsidRPr="00D14CC7">
        <w:rPr>
          <w:lang w:val="en-US"/>
        </w:rPr>
        <w:br/>
        <w:instrText>'"</w:instrText>
      </w:r>
      <w:r w:rsidRPr="00D14CC7">
        <w:rPr>
          <w:rStyle w:val="CommentReference"/>
          <w:lang w:val="en-US"/>
        </w:rPr>
        <w:instrText xml:space="preserve"> </w:instrText>
      </w:r>
      <w:r>
        <w:fldChar w:fldCharType="end"/>
      </w:r>
      <w:r>
        <w:rPr>
          <w:rStyle w:val="CommentReference"/>
        </w:rPr>
        <w:annotationRef/>
      </w:r>
      <w:r w:rsidRPr="00D14CC7">
        <w:rPr>
          <w:lang w:val="en-US"/>
        </w:rPr>
        <w:t>&lt;&lt;ODS JOB NO&gt;&gt;N1700830F&lt;&lt;ODS JOB NO&gt;&gt;</w:t>
      </w:r>
    </w:p>
    <w:p w:rsidR="003F3404" w:rsidRDefault="003F3404">
      <w:pPr>
        <w:pStyle w:val="CommentText"/>
      </w:pPr>
      <w:r>
        <w:t>&lt;&lt;ODS DOC SYMBOL1&gt;&gt;CEDAW/C/66/1&lt;&lt;ODS DOC SYMBOL1&gt;&gt;</w:t>
      </w:r>
    </w:p>
    <w:p w:rsidR="003F3404" w:rsidRDefault="003F340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404" w:rsidRDefault="003F3404" w:rsidP="003F3404">
      <w:pPr>
        <w:spacing w:line="240" w:lineRule="auto"/>
      </w:pPr>
      <w:r>
        <w:separator/>
      </w:r>
    </w:p>
  </w:endnote>
  <w:endnote w:type="continuationSeparator" w:id="0">
    <w:p w:rsidR="003F3404" w:rsidRDefault="003F3404" w:rsidP="003F34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F3404" w:rsidTr="003F3404">
      <w:tc>
        <w:tcPr>
          <w:tcW w:w="5028" w:type="dxa"/>
          <w:shd w:val="clear" w:color="auto" w:fill="auto"/>
        </w:tcPr>
        <w:p w:rsidR="003F3404" w:rsidRPr="003F3404" w:rsidRDefault="003F3404" w:rsidP="003F340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338A">
            <w:rPr>
              <w:b w:val="0"/>
              <w:w w:val="103"/>
              <w:sz w:val="14"/>
            </w:rPr>
            <w:t>17-00403</w:t>
          </w:r>
          <w:r>
            <w:rPr>
              <w:b w:val="0"/>
              <w:w w:val="103"/>
              <w:sz w:val="14"/>
            </w:rPr>
            <w:fldChar w:fldCharType="end"/>
          </w:r>
        </w:p>
      </w:tc>
      <w:tc>
        <w:tcPr>
          <w:tcW w:w="5028" w:type="dxa"/>
          <w:shd w:val="clear" w:color="auto" w:fill="auto"/>
        </w:tcPr>
        <w:p w:rsidR="003F3404" w:rsidRPr="003F3404" w:rsidRDefault="003F3404" w:rsidP="003F3404">
          <w:pPr>
            <w:pStyle w:val="Footer"/>
            <w:rPr>
              <w:w w:val="103"/>
            </w:rPr>
          </w:pPr>
          <w:r>
            <w:rPr>
              <w:w w:val="103"/>
            </w:rPr>
            <w:fldChar w:fldCharType="begin"/>
          </w:r>
          <w:r>
            <w:rPr>
              <w:w w:val="103"/>
            </w:rPr>
            <w:instrText xml:space="preserve"> PAGE  \* Arabic  \* MERGEFORMAT </w:instrText>
          </w:r>
          <w:r>
            <w:rPr>
              <w:w w:val="103"/>
            </w:rPr>
            <w:fldChar w:fldCharType="separate"/>
          </w:r>
          <w:r w:rsidR="00CE7E6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E7E62">
            <w:rPr>
              <w:noProof/>
              <w:w w:val="103"/>
            </w:rPr>
            <w:t>2</w:t>
          </w:r>
          <w:r>
            <w:rPr>
              <w:w w:val="103"/>
            </w:rPr>
            <w:fldChar w:fldCharType="end"/>
          </w:r>
        </w:p>
      </w:tc>
    </w:tr>
  </w:tbl>
  <w:p w:rsidR="003F3404" w:rsidRPr="003F3404" w:rsidRDefault="003F3404" w:rsidP="003F34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F3404" w:rsidTr="003F3404">
      <w:tc>
        <w:tcPr>
          <w:tcW w:w="5028" w:type="dxa"/>
          <w:shd w:val="clear" w:color="auto" w:fill="auto"/>
        </w:tcPr>
        <w:p w:rsidR="003F3404" w:rsidRPr="003F3404" w:rsidRDefault="003F3404" w:rsidP="003F340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2338A">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2338A">
            <w:rPr>
              <w:noProof/>
              <w:w w:val="103"/>
            </w:rPr>
            <w:t>4</w:t>
          </w:r>
          <w:r>
            <w:rPr>
              <w:w w:val="103"/>
            </w:rPr>
            <w:fldChar w:fldCharType="end"/>
          </w:r>
        </w:p>
      </w:tc>
      <w:tc>
        <w:tcPr>
          <w:tcW w:w="5028" w:type="dxa"/>
          <w:shd w:val="clear" w:color="auto" w:fill="auto"/>
        </w:tcPr>
        <w:p w:rsidR="003F3404" w:rsidRPr="003F3404" w:rsidRDefault="003F3404" w:rsidP="003F340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338A">
            <w:rPr>
              <w:b w:val="0"/>
              <w:w w:val="103"/>
              <w:sz w:val="14"/>
            </w:rPr>
            <w:t>17-00403</w:t>
          </w:r>
          <w:r>
            <w:rPr>
              <w:b w:val="0"/>
              <w:w w:val="103"/>
              <w:sz w:val="14"/>
            </w:rPr>
            <w:fldChar w:fldCharType="end"/>
          </w:r>
        </w:p>
      </w:tc>
    </w:tr>
  </w:tbl>
  <w:p w:rsidR="003F3404" w:rsidRPr="003F3404" w:rsidRDefault="003F3404" w:rsidP="003F34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404" w:rsidRDefault="003F3404">
    <w:pPr>
      <w:pStyle w:val="Footer"/>
    </w:pPr>
    <w:r>
      <w:rPr>
        <w:noProof/>
        <w:lang w:val="en-GB" w:eastAsia="en-GB"/>
      </w:rPr>
      <w:drawing>
        <wp:anchor distT="0" distB="0" distL="114300" distR="114300" simplePos="0" relativeHeight="251658240" behindDoc="0" locked="0" layoutInCell="1" allowOverlap="1" wp14:anchorId="66D09540" wp14:editId="6AFAB57E">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66/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6/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3F3404" w:rsidTr="003F3404">
      <w:tc>
        <w:tcPr>
          <w:tcW w:w="3758" w:type="dxa"/>
        </w:tcPr>
        <w:p w:rsidR="003F3404" w:rsidRDefault="00D14CC7" w:rsidP="003F3404">
          <w:pPr>
            <w:pStyle w:val="Footer"/>
            <w:rPr>
              <w:b w:val="0"/>
              <w:sz w:val="20"/>
            </w:rPr>
          </w:pPr>
          <w:r>
            <w:rPr>
              <w:b w:val="0"/>
              <w:sz w:val="20"/>
            </w:rPr>
            <w:t>17-00406X (F)</w:t>
          </w:r>
        </w:p>
        <w:p w:rsidR="003F3404" w:rsidRPr="003F3404" w:rsidRDefault="003F3404" w:rsidP="003F340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2338A">
            <w:rPr>
              <w:rFonts w:ascii="Barcode 3 of 9 by request" w:hAnsi="Barcode 3 of 9 by request"/>
              <w:b w:val="0"/>
              <w:spacing w:val="0"/>
              <w:w w:val="100"/>
              <w:sz w:val="24"/>
            </w:rPr>
            <w:t>*1700403*</w:t>
          </w:r>
          <w:r>
            <w:rPr>
              <w:rFonts w:ascii="Barcode 3 of 9 by request" w:hAnsi="Barcode 3 of 9 by request"/>
              <w:b w:val="0"/>
              <w:spacing w:val="0"/>
              <w:w w:val="100"/>
              <w:sz w:val="24"/>
            </w:rPr>
            <w:fldChar w:fldCharType="end"/>
          </w:r>
        </w:p>
      </w:tc>
      <w:tc>
        <w:tcPr>
          <w:tcW w:w="5028" w:type="dxa"/>
        </w:tcPr>
        <w:p w:rsidR="003F3404" w:rsidRDefault="003F3404" w:rsidP="003F3404">
          <w:pPr>
            <w:pStyle w:val="Footer"/>
            <w:spacing w:line="240" w:lineRule="atLeast"/>
            <w:jc w:val="right"/>
            <w:rPr>
              <w:b w:val="0"/>
              <w:sz w:val="20"/>
            </w:rPr>
          </w:pPr>
          <w:r>
            <w:rPr>
              <w:b w:val="0"/>
              <w:noProof/>
              <w:sz w:val="20"/>
              <w:lang w:val="en-GB" w:eastAsia="en-GB"/>
            </w:rPr>
            <w:drawing>
              <wp:inline distT="0" distB="0" distL="0" distR="0" wp14:anchorId="2F1180F6" wp14:editId="4D8D1D4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F3404" w:rsidRPr="003F3404" w:rsidRDefault="003F3404" w:rsidP="003F340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404" w:rsidRPr="00D14CC7" w:rsidRDefault="00D14CC7" w:rsidP="00D14CC7">
      <w:pPr>
        <w:pStyle w:val="Footer"/>
        <w:spacing w:after="80"/>
        <w:ind w:left="792"/>
        <w:rPr>
          <w:sz w:val="16"/>
        </w:rPr>
      </w:pPr>
      <w:r w:rsidRPr="00D14CC7">
        <w:rPr>
          <w:sz w:val="16"/>
        </w:rPr>
        <w:t>__________________</w:t>
      </w:r>
    </w:p>
  </w:footnote>
  <w:footnote w:type="continuationSeparator" w:id="0">
    <w:p w:rsidR="003F3404" w:rsidRPr="00D14CC7" w:rsidRDefault="00D14CC7" w:rsidP="00D14CC7">
      <w:pPr>
        <w:pStyle w:val="Footer"/>
        <w:spacing w:after="80"/>
        <w:ind w:left="792"/>
        <w:rPr>
          <w:sz w:val="16"/>
        </w:rPr>
      </w:pPr>
      <w:r w:rsidRPr="00D14CC7">
        <w:rPr>
          <w:sz w:val="16"/>
        </w:rPr>
        <w:t>__________________</w:t>
      </w:r>
    </w:p>
  </w:footnote>
  <w:footnote w:id="1">
    <w:p w:rsidR="00952CF1" w:rsidRPr="000A6ECC" w:rsidRDefault="00D14CC7" w:rsidP="00D14CC7">
      <w:pPr>
        <w:pStyle w:val="FootnoteText"/>
        <w:tabs>
          <w:tab w:val="right" w:pos="1195"/>
          <w:tab w:val="left" w:pos="1267"/>
          <w:tab w:val="left" w:pos="1742"/>
          <w:tab w:val="left" w:pos="2218"/>
          <w:tab w:val="left" w:pos="2693"/>
        </w:tabs>
        <w:ind w:left="1267" w:right="1260" w:hanging="432"/>
        <w:rPr>
          <w:lang w:val="fr-FR"/>
        </w:rPr>
      </w:pPr>
      <w:r>
        <w:rPr>
          <w:lang w:val="fr-FR"/>
        </w:rPr>
        <w:tab/>
      </w:r>
      <w:r w:rsidR="00952CF1">
        <w:rPr>
          <w:rStyle w:val="FootnoteReference"/>
        </w:rPr>
        <w:footnoteRef/>
      </w:r>
      <w:r>
        <w:rPr>
          <w:lang w:val="fr-FR"/>
        </w:rPr>
        <w:tab/>
      </w:r>
      <w:r w:rsidR="00952CF1">
        <w:rPr>
          <w:lang w:val="fr-FR"/>
        </w:rPr>
        <w:t>L</w:t>
      </w:r>
      <w:r w:rsidR="00952CF1" w:rsidRPr="000A6ECC">
        <w:rPr>
          <w:lang w:val="fr-FR"/>
        </w:rPr>
        <w:t xml:space="preserve">e présent document </w:t>
      </w:r>
      <w:r w:rsidR="00952CF1">
        <w:rPr>
          <w:lang w:val="fr-FR"/>
        </w:rPr>
        <w:t>est</w:t>
      </w:r>
      <w:r w:rsidR="00952CF1" w:rsidRPr="000A6ECC">
        <w:rPr>
          <w:lang w:val="fr-FR"/>
        </w:rPr>
        <w:t xml:space="preserve"> </w:t>
      </w:r>
      <w:r w:rsidR="00952CF1">
        <w:rPr>
          <w:lang w:val="fr-FR"/>
        </w:rPr>
        <w:t xml:space="preserve">publié </w:t>
      </w:r>
      <w:r w:rsidR="00952CF1" w:rsidRPr="000A6ECC">
        <w:rPr>
          <w:lang w:val="fr-FR"/>
        </w:rPr>
        <w:t xml:space="preserve">uniquement en anglais, </w:t>
      </w:r>
      <w:r w:rsidR="00952CF1">
        <w:rPr>
          <w:lang w:val="fr-FR"/>
        </w:rPr>
        <w:t xml:space="preserve">en français et en </w:t>
      </w:r>
      <w:r w:rsidR="00952CF1" w:rsidRPr="000A6ECC">
        <w:rPr>
          <w:lang w:val="fr-FR"/>
        </w:rPr>
        <w:t>espagnol</w:t>
      </w:r>
      <w:r w:rsidR="00952CF1">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F3404" w:rsidTr="003F3404">
      <w:trPr>
        <w:trHeight w:hRule="exact" w:val="864"/>
      </w:trPr>
      <w:tc>
        <w:tcPr>
          <w:tcW w:w="4838" w:type="dxa"/>
          <w:shd w:val="clear" w:color="auto" w:fill="auto"/>
          <w:vAlign w:val="bottom"/>
        </w:tcPr>
        <w:p w:rsidR="003F3404" w:rsidRPr="003F3404" w:rsidRDefault="003F3404" w:rsidP="003F340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2338A">
            <w:rPr>
              <w:b/>
              <w:color w:val="000000"/>
            </w:rPr>
            <w:t>CEDAW/C/66/1</w:t>
          </w:r>
          <w:r>
            <w:rPr>
              <w:b/>
              <w:color w:val="000000"/>
            </w:rPr>
            <w:fldChar w:fldCharType="end"/>
          </w:r>
        </w:p>
      </w:tc>
      <w:tc>
        <w:tcPr>
          <w:tcW w:w="5028" w:type="dxa"/>
          <w:shd w:val="clear" w:color="auto" w:fill="auto"/>
          <w:vAlign w:val="bottom"/>
        </w:tcPr>
        <w:p w:rsidR="003F3404" w:rsidRDefault="003F3404" w:rsidP="003F3404">
          <w:pPr>
            <w:pStyle w:val="Header"/>
          </w:pPr>
        </w:p>
      </w:tc>
    </w:tr>
  </w:tbl>
  <w:p w:rsidR="003F3404" w:rsidRPr="003F3404" w:rsidRDefault="003F3404" w:rsidP="003F340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F3404" w:rsidTr="003F3404">
      <w:trPr>
        <w:trHeight w:hRule="exact" w:val="864"/>
      </w:trPr>
      <w:tc>
        <w:tcPr>
          <w:tcW w:w="4838" w:type="dxa"/>
          <w:shd w:val="clear" w:color="auto" w:fill="auto"/>
          <w:vAlign w:val="bottom"/>
        </w:tcPr>
        <w:p w:rsidR="003F3404" w:rsidRDefault="003F3404" w:rsidP="003F3404">
          <w:pPr>
            <w:pStyle w:val="Header"/>
          </w:pPr>
        </w:p>
      </w:tc>
      <w:tc>
        <w:tcPr>
          <w:tcW w:w="5028" w:type="dxa"/>
          <w:shd w:val="clear" w:color="auto" w:fill="auto"/>
          <w:vAlign w:val="bottom"/>
        </w:tcPr>
        <w:p w:rsidR="003F3404" w:rsidRPr="003F3404" w:rsidRDefault="003F3404" w:rsidP="003F340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2338A">
            <w:rPr>
              <w:b/>
              <w:color w:val="000000"/>
            </w:rPr>
            <w:t>CEDAW/C/66/1</w:t>
          </w:r>
          <w:r>
            <w:rPr>
              <w:b/>
              <w:color w:val="000000"/>
            </w:rPr>
            <w:fldChar w:fldCharType="end"/>
          </w:r>
        </w:p>
      </w:tc>
    </w:tr>
  </w:tbl>
  <w:p w:rsidR="003F3404" w:rsidRPr="003F3404" w:rsidRDefault="003F3404" w:rsidP="003F340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F3404" w:rsidTr="003F3404">
      <w:trPr>
        <w:gridAfter w:val="1"/>
        <w:wAfter w:w="12" w:type="dxa"/>
        <w:trHeight w:hRule="exact" w:val="864"/>
      </w:trPr>
      <w:tc>
        <w:tcPr>
          <w:tcW w:w="1267" w:type="dxa"/>
          <w:tcBorders>
            <w:bottom w:val="single" w:sz="4" w:space="0" w:color="auto"/>
          </w:tcBorders>
          <w:shd w:val="clear" w:color="auto" w:fill="auto"/>
          <w:vAlign w:val="bottom"/>
        </w:tcPr>
        <w:p w:rsidR="003F3404" w:rsidRDefault="003F3404" w:rsidP="003F3404">
          <w:pPr>
            <w:pStyle w:val="Header"/>
            <w:spacing w:after="120"/>
          </w:pPr>
        </w:p>
      </w:tc>
      <w:tc>
        <w:tcPr>
          <w:tcW w:w="2059" w:type="dxa"/>
          <w:tcBorders>
            <w:bottom w:val="single" w:sz="4" w:space="0" w:color="auto"/>
          </w:tcBorders>
          <w:shd w:val="clear" w:color="auto" w:fill="auto"/>
          <w:vAlign w:val="bottom"/>
        </w:tcPr>
        <w:p w:rsidR="003F3404" w:rsidRPr="003F3404" w:rsidRDefault="003F3404" w:rsidP="003F340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F3404" w:rsidRDefault="003F3404" w:rsidP="003F3404">
          <w:pPr>
            <w:pStyle w:val="Header"/>
            <w:spacing w:after="120"/>
          </w:pPr>
        </w:p>
      </w:tc>
      <w:tc>
        <w:tcPr>
          <w:tcW w:w="6523" w:type="dxa"/>
          <w:gridSpan w:val="3"/>
          <w:tcBorders>
            <w:bottom w:val="single" w:sz="4" w:space="0" w:color="auto"/>
          </w:tcBorders>
          <w:shd w:val="clear" w:color="auto" w:fill="auto"/>
          <w:vAlign w:val="bottom"/>
        </w:tcPr>
        <w:p w:rsidR="003F3404" w:rsidRPr="003F3404" w:rsidRDefault="003F3404" w:rsidP="003F3404">
          <w:pPr>
            <w:spacing w:after="80" w:line="240" w:lineRule="auto"/>
            <w:jc w:val="right"/>
            <w:rPr>
              <w:position w:val="-4"/>
            </w:rPr>
          </w:pPr>
          <w:r>
            <w:rPr>
              <w:position w:val="-4"/>
              <w:sz w:val="40"/>
            </w:rPr>
            <w:t>CEDAW</w:t>
          </w:r>
          <w:r>
            <w:rPr>
              <w:position w:val="-4"/>
            </w:rPr>
            <w:t>/C/66/1</w:t>
          </w:r>
        </w:p>
      </w:tc>
    </w:tr>
    <w:tr w:rsidR="003F3404" w:rsidRPr="003F3404" w:rsidTr="003F3404">
      <w:trPr>
        <w:trHeight w:hRule="exact" w:val="2880"/>
      </w:trPr>
      <w:tc>
        <w:tcPr>
          <w:tcW w:w="1267" w:type="dxa"/>
          <w:tcBorders>
            <w:top w:val="single" w:sz="4" w:space="0" w:color="auto"/>
            <w:bottom w:val="single" w:sz="12" w:space="0" w:color="auto"/>
          </w:tcBorders>
          <w:shd w:val="clear" w:color="auto" w:fill="auto"/>
        </w:tcPr>
        <w:p w:rsidR="003F3404" w:rsidRPr="003F3404" w:rsidRDefault="003F3404" w:rsidP="003F3404">
          <w:pPr>
            <w:pStyle w:val="Header"/>
            <w:spacing w:before="120" w:line="240" w:lineRule="auto"/>
            <w:ind w:left="-72"/>
            <w:jc w:val="center"/>
          </w:pPr>
          <w:r>
            <w:t xml:space="preserve">  </w:t>
          </w:r>
          <w:r>
            <w:rPr>
              <w:noProof/>
              <w:lang w:val="en-GB" w:eastAsia="en-GB"/>
            </w:rPr>
            <w:drawing>
              <wp:inline distT="0" distB="0" distL="0" distR="0" wp14:anchorId="00EC624D" wp14:editId="0783D00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F3404" w:rsidRPr="003F3404" w:rsidRDefault="003F3404" w:rsidP="003F340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3F3404" w:rsidRPr="00D14CC7" w:rsidRDefault="003F3404" w:rsidP="003F340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F3404" w:rsidRPr="00D14CC7" w:rsidRDefault="003F3404" w:rsidP="003F3404">
          <w:pPr>
            <w:pStyle w:val="Distribution"/>
            <w:rPr>
              <w:color w:val="000000"/>
              <w:lang w:val="fr-FR"/>
            </w:rPr>
          </w:pPr>
          <w:r w:rsidRPr="00D14CC7">
            <w:rPr>
              <w:color w:val="000000"/>
              <w:lang w:val="fr-FR"/>
            </w:rPr>
            <w:t>Distr. générale</w:t>
          </w:r>
        </w:p>
        <w:p w:rsidR="003F3404" w:rsidRPr="00D14CC7" w:rsidRDefault="003F3404" w:rsidP="003F3404">
          <w:pPr>
            <w:pStyle w:val="Publication"/>
            <w:rPr>
              <w:color w:val="000000"/>
              <w:lang w:val="fr-FR"/>
            </w:rPr>
          </w:pPr>
          <w:r w:rsidRPr="00D14CC7">
            <w:rPr>
              <w:color w:val="000000"/>
              <w:lang w:val="fr-FR"/>
            </w:rPr>
            <w:t>11 janvier 2017</w:t>
          </w:r>
        </w:p>
        <w:p w:rsidR="003F3404" w:rsidRPr="00D14CC7" w:rsidRDefault="003F3404" w:rsidP="003F3404">
          <w:pPr>
            <w:rPr>
              <w:lang w:val="fr-FR"/>
            </w:rPr>
          </w:pPr>
          <w:r w:rsidRPr="00D14CC7">
            <w:rPr>
              <w:lang w:val="fr-FR"/>
            </w:rPr>
            <w:t>Français</w:t>
          </w:r>
        </w:p>
        <w:p w:rsidR="003F3404" w:rsidRPr="00D14CC7" w:rsidRDefault="003F3404" w:rsidP="003F3404">
          <w:pPr>
            <w:pStyle w:val="Original"/>
            <w:rPr>
              <w:color w:val="000000"/>
              <w:lang w:val="fr-FR"/>
            </w:rPr>
          </w:pPr>
          <w:r w:rsidRPr="00D14CC7">
            <w:rPr>
              <w:color w:val="000000"/>
              <w:lang w:val="fr-FR"/>
            </w:rPr>
            <w:t>Original : anglais</w:t>
          </w:r>
        </w:p>
      </w:tc>
    </w:tr>
  </w:tbl>
  <w:p w:rsidR="003F3404" w:rsidRPr="00D14CC7" w:rsidRDefault="003F3404" w:rsidP="003F340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0403*"/>
    <w:docVar w:name="CreationDt" w:val="27/01/2017 18:18:23"/>
    <w:docVar w:name="DocCategory" w:val="Doc"/>
    <w:docVar w:name="DocType" w:val="Final"/>
    <w:docVar w:name="DutyStation" w:val="New York"/>
    <w:docVar w:name="FooterJN" w:val="17-00403"/>
    <w:docVar w:name="jobn" w:val="17-00403 (F)"/>
    <w:docVar w:name="jobnDT" w:val="17-00403 (F)   270117"/>
    <w:docVar w:name="jobnDTDT" w:val="17-00403 (F)   270117   270117"/>
    <w:docVar w:name="JobNo" w:val="1700403F"/>
    <w:docVar w:name="JobNo2" w:val="1700830F"/>
    <w:docVar w:name="LocalDrive" w:val="0"/>
    <w:docVar w:name="OandT" w:val="BHE"/>
    <w:docVar w:name="sss1" w:val="CEDAW/C/66/1"/>
    <w:docVar w:name="sss2" w:val="-"/>
    <w:docVar w:name="Symbol1" w:val="CEDAW/C/66/1"/>
    <w:docVar w:name="Symbol2" w:val="-"/>
  </w:docVars>
  <w:rsids>
    <w:rsidRoot w:val="00C91E1C"/>
    <w:rsid w:val="0023028B"/>
    <w:rsid w:val="003F3404"/>
    <w:rsid w:val="00425712"/>
    <w:rsid w:val="004428F9"/>
    <w:rsid w:val="004C1A25"/>
    <w:rsid w:val="00605968"/>
    <w:rsid w:val="0072338A"/>
    <w:rsid w:val="00771C9E"/>
    <w:rsid w:val="00806F35"/>
    <w:rsid w:val="00952CF1"/>
    <w:rsid w:val="00993CB7"/>
    <w:rsid w:val="00AD5F2F"/>
    <w:rsid w:val="00C25658"/>
    <w:rsid w:val="00C47B4C"/>
    <w:rsid w:val="00C91E1C"/>
    <w:rsid w:val="00CB06FB"/>
    <w:rsid w:val="00CE7E62"/>
    <w:rsid w:val="00D14CC7"/>
    <w:rsid w:val="00E343A6"/>
    <w:rsid w:val="00E51A4C"/>
    <w:rsid w:val="00E7105F"/>
    <w:rsid w:val="00ED78CA"/>
    <w:rsid w:val="00EF2DFA"/>
    <w:rsid w:val="00F73093"/>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A4C"/>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51A4C"/>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51A4C"/>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51A4C"/>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51A4C"/>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51A4C"/>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51A4C"/>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51A4C"/>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51A4C"/>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51A4C"/>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51A4C"/>
    <w:pPr>
      <w:keepNext/>
      <w:keepLines/>
      <w:suppressAutoHyphens/>
      <w:spacing w:line="270" w:lineRule="exact"/>
      <w:outlineLvl w:val="0"/>
    </w:pPr>
    <w:rPr>
      <w:b/>
      <w:sz w:val="24"/>
    </w:rPr>
  </w:style>
  <w:style w:type="paragraph" w:customStyle="1" w:styleId="HCH">
    <w:name w:val="_ H _CH"/>
    <w:basedOn w:val="H1"/>
    <w:next w:val="Normal"/>
    <w:qFormat/>
    <w:rsid w:val="00E51A4C"/>
    <w:pPr>
      <w:spacing w:line="300" w:lineRule="exact"/>
    </w:pPr>
    <w:rPr>
      <w:spacing w:val="-2"/>
      <w:sz w:val="28"/>
    </w:rPr>
  </w:style>
  <w:style w:type="paragraph" w:customStyle="1" w:styleId="HM">
    <w:name w:val="_ H __M"/>
    <w:basedOn w:val="HCH"/>
    <w:next w:val="Normal"/>
    <w:qFormat/>
    <w:rsid w:val="00E51A4C"/>
    <w:pPr>
      <w:spacing w:line="360" w:lineRule="exact"/>
    </w:pPr>
    <w:rPr>
      <w:spacing w:val="-3"/>
      <w:w w:val="99"/>
      <w:sz w:val="34"/>
    </w:rPr>
  </w:style>
  <w:style w:type="paragraph" w:customStyle="1" w:styleId="H23">
    <w:name w:val="_ H_2/3"/>
    <w:basedOn w:val="H1"/>
    <w:next w:val="Normal"/>
    <w:qFormat/>
    <w:rsid w:val="00E51A4C"/>
    <w:pPr>
      <w:spacing w:line="240" w:lineRule="exact"/>
      <w:outlineLvl w:val="1"/>
    </w:pPr>
    <w:rPr>
      <w:spacing w:val="2"/>
      <w:sz w:val="20"/>
    </w:rPr>
  </w:style>
  <w:style w:type="paragraph" w:customStyle="1" w:styleId="H4">
    <w:name w:val="_ H_4"/>
    <w:basedOn w:val="Normal"/>
    <w:next w:val="Normal"/>
    <w:qFormat/>
    <w:rsid w:val="00E51A4C"/>
    <w:pPr>
      <w:keepNext/>
      <w:keepLines/>
      <w:tabs>
        <w:tab w:val="right" w:pos="360"/>
      </w:tabs>
      <w:suppressAutoHyphens/>
      <w:outlineLvl w:val="3"/>
    </w:pPr>
    <w:rPr>
      <w:i/>
      <w:spacing w:val="3"/>
    </w:rPr>
  </w:style>
  <w:style w:type="paragraph" w:customStyle="1" w:styleId="H56">
    <w:name w:val="_ H_5/6"/>
    <w:basedOn w:val="Normal"/>
    <w:next w:val="Normal"/>
    <w:qFormat/>
    <w:rsid w:val="00E51A4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51A4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51A4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51A4C"/>
    <w:pPr>
      <w:spacing w:line="540" w:lineRule="exact"/>
    </w:pPr>
    <w:rPr>
      <w:spacing w:val="-8"/>
      <w:w w:val="96"/>
      <w:sz w:val="57"/>
    </w:rPr>
  </w:style>
  <w:style w:type="paragraph" w:customStyle="1" w:styleId="SS">
    <w:name w:val="__S_S"/>
    <w:basedOn w:val="HCH"/>
    <w:next w:val="Normal"/>
    <w:qFormat/>
    <w:rsid w:val="00E51A4C"/>
    <w:pPr>
      <w:ind w:left="1267" w:right="1267"/>
    </w:pPr>
  </w:style>
  <w:style w:type="paragraph" w:customStyle="1" w:styleId="SingleTxt">
    <w:name w:val="__Single Txt"/>
    <w:basedOn w:val="Normal"/>
    <w:qFormat/>
    <w:rsid w:val="00E51A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51A4C"/>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51A4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51A4C"/>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51A4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1A4C"/>
    <w:rPr>
      <w:rFonts w:ascii="Tahoma" w:hAnsi="Tahoma" w:cs="Tahoma"/>
      <w:spacing w:val="4"/>
      <w:w w:val="103"/>
      <w:kern w:val="14"/>
      <w:sz w:val="16"/>
      <w:szCs w:val="16"/>
      <w:lang w:val="fr-CA"/>
    </w:rPr>
  </w:style>
  <w:style w:type="paragraph" w:customStyle="1" w:styleId="Bullet1">
    <w:name w:val="Bullet 1"/>
    <w:basedOn w:val="Normal"/>
    <w:qFormat/>
    <w:rsid w:val="00E51A4C"/>
    <w:pPr>
      <w:numPr>
        <w:numId w:val="5"/>
      </w:numPr>
      <w:spacing w:after="120"/>
      <w:ind w:right="1267"/>
      <w:jc w:val="both"/>
    </w:pPr>
  </w:style>
  <w:style w:type="paragraph" w:customStyle="1" w:styleId="Bullet2">
    <w:name w:val="Bullet 2"/>
    <w:basedOn w:val="Normal"/>
    <w:qFormat/>
    <w:rsid w:val="00E51A4C"/>
    <w:pPr>
      <w:numPr>
        <w:numId w:val="6"/>
      </w:numPr>
      <w:spacing w:after="120"/>
      <w:ind w:right="1264"/>
      <w:jc w:val="both"/>
    </w:pPr>
  </w:style>
  <w:style w:type="paragraph" w:customStyle="1" w:styleId="Bullet3">
    <w:name w:val="Bullet 3"/>
    <w:basedOn w:val="SingleTxt"/>
    <w:qFormat/>
    <w:rsid w:val="00E51A4C"/>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51A4C"/>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51A4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51A4C"/>
    <w:pPr>
      <w:spacing w:line="210" w:lineRule="exact"/>
    </w:pPr>
    <w:rPr>
      <w:sz w:val="17"/>
      <w:szCs w:val="20"/>
    </w:rPr>
  </w:style>
  <w:style w:type="character" w:customStyle="1" w:styleId="EndnoteTextChar">
    <w:name w:val="Endnote Text Char"/>
    <w:link w:val="EndnoteText"/>
    <w:uiPriority w:val="99"/>
    <w:semiHidden/>
    <w:rsid w:val="00E51A4C"/>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51A4C"/>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51A4C"/>
    <w:rPr>
      <w:rFonts w:ascii="Times New Roman" w:hAnsi="Times New Roman" w:cs="Times New Roman"/>
      <w:b/>
      <w:spacing w:val="3"/>
      <w:w w:val="105"/>
      <w:sz w:val="17"/>
      <w:lang w:val="en-US"/>
    </w:rPr>
  </w:style>
  <w:style w:type="character" w:styleId="FootnoteReference">
    <w:name w:val="footnote reference"/>
    <w:semiHidden/>
    <w:rsid w:val="00E51A4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51A4C"/>
    <w:pPr>
      <w:spacing w:line="210" w:lineRule="exact"/>
    </w:pPr>
    <w:rPr>
      <w:sz w:val="17"/>
      <w:szCs w:val="20"/>
    </w:rPr>
  </w:style>
  <w:style w:type="character" w:customStyle="1" w:styleId="FootnoteTextChar">
    <w:name w:val="Footnote Text Char"/>
    <w:link w:val="FootnoteText"/>
    <w:rsid w:val="00E51A4C"/>
    <w:rPr>
      <w:rFonts w:ascii="Times New Roman" w:hAnsi="Times New Roman" w:cs="Times New Roman"/>
      <w:spacing w:val="4"/>
      <w:w w:val="103"/>
      <w:kern w:val="14"/>
      <w:sz w:val="17"/>
      <w:szCs w:val="20"/>
      <w:lang w:val="fr-CA"/>
    </w:rPr>
  </w:style>
  <w:style w:type="paragraph" w:styleId="Header">
    <w:name w:val="header"/>
    <w:link w:val="HeaderChar"/>
    <w:uiPriority w:val="99"/>
    <w:rsid w:val="00E51A4C"/>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51A4C"/>
    <w:rPr>
      <w:rFonts w:ascii="Times New Roman" w:hAnsi="Times New Roman" w:cs="Times New Roman"/>
      <w:spacing w:val="3"/>
      <w:w w:val="105"/>
      <w:sz w:val="17"/>
      <w:lang w:val="en-US"/>
    </w:rPr>
  </w:style>
  <w:style w:type="character" w:customStyle="1" w:styleId="Heading1Char">
    <w:name w:val="Heading 1 Char"/>
    <w:link w:val="Heading1"/>
    <w:uiPriority w:val="9"/>
    <w:rsid w:val="00E51A4C"/>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51A4C"/>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51A4C"/>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51A4C"/>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51A4C"/>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51A4C"/>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51A4C"/>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51A4C"/>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51A4C"/>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51A4C"/>
    <w:rPr>
      <w:sz w:val="14"/>
    </w:rPr>
  </w:style>
  <w:style w:type="paragraph" w:styleId="ListParagraph">
    <w:name w:val="List Paragraph"/>
    <w:basedOn w:val="Normal"/>
    <w:uiPriority w:val="34"/>
    <w:rsid w:val="00E51A4C"/>
    <w:pPr>
      <w:ind w:left="720"/>
      <w:contextualSpacing/>
    </w:pPr>
  </w:style>
  <w:style w:type="paragraph" w:styleId="NoSpacing">
    <w:name w:val="No Spacing"/>
    <w:uiPriority w:val="1"/>
    <w:rsid w:val="00E51A4C"/>
    <w:pPr>
      <w:spacing w:after="0" w:line="240" w:lineRule="auto"/>
    </w:pPr>
    <w:rPr>
      <w:rFonts w:ascii="Calibri" w:hAnsi="Calibri" w:cs="Times New Roman"/>
      <w:lang w:val="en-US"/>
    </w:rPr>
  </w:style>
  <w:style w:type="paragraph" w:customStyle="1" w:styleId="Original">
    <w:name w:val="Original"/>
    <w:next w:val="Normal"/>
    <w:autoRedefine/>
    <w:qFormat/>
    <w:rsid w:val="00E51A4C"/>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51A4C"/>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51A4C"/>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51A4C"/>
    <w:pPr>
      <w:tabs>
        <w:tab w:val="right" w:pos="9965"/>
      </w:tabs>
      <w:spacing w:line="210" w:lineRule="exact"/>
    </w:pPr>
    <w:rPr>
      <w:spacing w:val="5"/>
      <w:w w:val="104"/>
      <w:sz w:val="17"/>
    </w:rPr>
  </w:style>
  <w:style w:type="paragraph" w:customStyle="1" w:styleId="SmallX">
    <w:name w:val="SmallX"/>
    <w:basedOn w:val="Small"/>
    <w:next w:val="Normal"/>
    <w:qFormat/>
    <w:rsid w:val="00E51A4C"/>
    <w:pPr>
      <w:spacing w:line="180" w:lineRule="exact"/>
      <w:jc w:val="right"/>
    </w:pPr>
    <w:rPr>
      <w:spacing w:val="6"/>
      <w:w w:val="106"/>
      <w:sz w:val="14"/>
    </w:rPr>
  </w:style>
  <w:style w:type="character" w:styleId="Strong">
    <w:name w:val="Strong"/>
    <w:uiPriority w:val="22"/>
    <w:rsid w:val="00E51A4C"/>
    <w:rPr>
      <w:b/>
      <w:bCs/>
    </w:rPr>
  </w:style>
  <w:style w:type="paragraph" w:customStyle="1" w:styleId="Style1">
    <w:name w:val="Style1"/>
    <w:basedOn w:val="Normal"/>
    <w:qFormat/>
    <w:rsid w:val="00E51A4C"/>
  </w:style>
  <w:style w:type="paragraph" w:customStyle="1" w:styleId="Style2">
    <w:name w:val="Style2"/>
    <w:basedOn w:val="Normal"/>
    <w:autoRedefine/>
    <w:qFormat/>
    <w:rsid w:val="00E51A4C"/>
  </w:style>
  <w:style w:type="paragraph" w:customStyle="1" w:styleId="TitleHCH">
    <w:name w:val="Title_H_CH"/>
    <w:basedOn w:val="HCH"/>
    <w:next w:val="SingleTxt"/>
    <w:qFormat/>
    <w:rsid w:val="00E51A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51A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51A4C"/>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3F3404"/>
    <w:rPr>
      <w:sz w:val="16"/>
      <w:szCs w:val="16"/>
    </w:rPr>
  </w:style>
  <w:style w:type="paragraph" w:styleId="CommentText">
    <w:name w:val="annotation text"/>
    <w:basedOn w:val="Normal"/>
    <w:link w:val="CommentTextChar"/>
    <w:uiPriority w:val="99"/>
    <w:semiHidden/>
    <w:unhideWhenUsed/>
    <w:rsid w:val="003F3404"/>
    <w:pPr>
      <w:spacing w:line="240" w:lineRule="auto"/>
    </w:pPr>
    <w:rPr>
      <w:szCs w:val="20"/>
    </w:rPr>
  </w:style>
  <w:style w:type="character" w:customStyle="1" w:styleId="CommentTextChar">
    <w:name w:val="Comment Text Char"/>
    <w:basedOn w:val="DefaultParagraphFont"/>
    <w:link w:val="CommentText"/>
    <w:uiPriority w:val="99"/>
    <w:semiHidden/>
    <w:rsid w:val="003F3404"/>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3F3404"/>
    <w:rPr>
      <w:b/>
      <w:bCs/>
    </w:rPr>
  </w:style>
  <w:style w:type="character" w:customStyle="1" w:styleId="CommentSubjectChar">
    <w:name w:val="Comment Subject Char"/>
    <w:basedOn w:val="CommentTextChar"/>
    <w:link w:val="CommentSubject"/>
    <w:uiPriority w:val="99"/>
    <w:semiHidden/>
    <w:rsid w:val="003F3404"/>
    <w:rPr>
      <w:rFonts w:ascii="Times New Roman" w:hAnsi="Times New Roman" w:cs="Times New Roman"/>
      <w:b/>
      <w:bCs/>
      <w:spacing w:val="4"/>
      <w:w w:val="103"/>
      <w:kern w:val="14"/>
      <w:sz w:val="20"/>
      <w:szCs w:val="20"/>
      <w:lang w:val="fr-CA"/>
    </w:rPr>
  </w:style>
  <w:style w:type="paragraph" w:customStyle="1" w:styleId="HCh0">
    <w:name w:val="_ H _Ch"/>
    <w:basedOn w:val="H1"/>
    <w:next w:val="SingleTxt"/>
    <w:rsid w:val="00952CF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uiPriority w:val="99"/>
    <w:unhideWhenUsed/>
    <w:rsid w:val="00D14CC7"/>
    <w:rPr>
      <w:color w:val="0000FF"/>
      <w:u w:val="none"/>
    </w:rPr>
  </w:style>
  <w:style w:type="character" w:styleId="FollowedHyperlink">
    <w:name w:val="FollowedHyperlink"/>
    <w:basedOn w:val="DefaultParagraphFont"/>
    <w:uiPriority w:val="99"/>
    <w:semiHidden/>
    <w:unhideWhenUsed/>
    <w:rsid w:val="00D14CC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A4C"/>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51A4C"/>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51A4C"/>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51A4C"/>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51A4C"/>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51A4C"/>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51A4C"/>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51A4C"/>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51A4C"/>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51A4C"/>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51A4C"/>
    <w:pPr>
      <w:keepNext/>
      <w:keepLines/>
      <w:suppressAutoHyphens/>
      <w:spacing w:line="270" w:lineRule="exact"/>
      <w:outlineLvl w:val="0"/>
    </w:pPr>
    <w:rPr>
      <w:b/>
      <w:sz w:val="24"/>
    </w:rPr>
  </w:style>
  <w:style w:type="paragraph" w:customStyle="1" w:styleId="HCH">
    <w:name w:val="_ H _CH"/>
    <w:basedOn w:val="H1"/>
    <w:next w:val="Normal"/>
    <w:qFormat/>
    <w:rsid w:val="00E51A4C"/>
    <w:pPr>
      <w:spacing w:line="300" w:lineRule="exact"/>
    </w:pPr>
    <w:rPr>
      <w:spacing w:val="-2"/>
      <w:sz w:val="28"/>
    </w:rPr>
  </w:style>
  <w:style w:type="paragraph" w:customStyle="1" w:styleId="HM">
    <w:name w:val="_ H __M"/>
    <w:basedOn w:val="HCH"/>
    <w:next w:val="Normal"/>
    <w:qFormat/>
    <w:rsid w:val="00E51A4C"/>
    <w:pPr>
      <w:spacing w:line="360" w:lineRule="exact"/>
    </w:pPr>
    <w:rPr>
      <w:spacing w:val="-3"/>
      <w:w w:val="99"/>
      <w:sz w:val="34"/>
    </w:rPr>
  </w:style>
  <w:style w:type="paragraph" w:customStyle="1" w:styleId="H23">
    <w:name w:val="_ H_2/3"/>
    <w:basedOn w:val="H1"/>
    <w:next w:val="Normal"/>
    <w:qFormat/>
    <w:rsid w:val="00E51A4C"/>
    <w:pPr>
      <w:spacing w:line="240" w:lineRule="exact"/>
      <w:outlineLvl w:val="1"/>
    </w:pPr>
    <w:rPr>
      <w:spacing w:val="2"/>
      <w:sz w:val="20"/>
    </w:rPr>
  </w:style>
  <w:style w:type="paragraph" w:customStyle="1" w:styleId="H4">
    <w:name w:val="_ H_4"/>
    <w:basedOn w:val="Normal"/>
    <w:next w:val="Normal"/>
    <w:qFormat/>
    <w:rsid w:val="00E51A4C"/>
    <w:pPr>
      <w:keepNext/>
      <w:keepLines/>
      <w:tabs>
        <w:tab w:val="right" w:pos="360"/>
      </w:tabs>
      <w:suppressAutoHyphens/>
      <w:outlineLvl w:val="3"/>
    </w:pPr>
    <w:rPr>
      <w:i/>
      <w:spacing w:val="3"/>
    </w:rPr>
  </w:style>
  <w:style w:type="paragraph" w:customStyle="1" w:styleId="H56">
    <w:name w:val="_ H_5/6"/>
    <w:basedOn w:val="Normal"/>
    <w:next w:val="Normal"/>
    <w:qFormat/>
    <w:rsid w:val="00E51A4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51A4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51A4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51A4C"/>
    <w:pPr>
      <w:spacing w:line="540" w:lineRule="exact"/>
    </w:pPr>
    <w:rPr>
      <w:spacing w:val="-8"/>
      <w:w w:val="96"/>
      <w:sz w:val="57"/>
    </w:rPr>
  </w:style>
  <w:style w:type="paragraph" w:customStyle="1" w:styleId="SS">
    <w:name w:val="__S_S"/>
    <w:basedOn w:val="HCH"/>
    <w:next w:val="Normal"/>
    <w:qFormat/>
    <w:rsid w:val="00E51A4C"/>
    <w:pPr>
      <w:ind w:left="1267" w:right="1267"/>
    </w:pPr>
  </w:style>
  <w:style w:type="paragraph" w:customStyle="1" w:styleId="SingleTxt">
    <w:name w:val="__Single Txt"/>
    <w:basedOn w:val="Normal"/>
    <w:qFormat/>
    <w:rsid w:val="00E51A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51A4C"/>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51A4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51A4C"/>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51A4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1A4C"/>
    <w:rPr>
      <w:rFonts w:ascii="Tahoma" w:hAnsi="Tahoma" w:cs="Tahoma"/>
      <w:spacing w:val="4"/>
      <w:w w:val="103"/>
      <w:kern w:val="14"/>
      <w:sz w:val="16"/>
      <w:szCs w:val="16"/>
      <w:lang w:val="fr-CA"/>
    </w:rPr>
  </w:style>
  <w:style w:type="paragraph" w:customStyle="1" w:styleId="Bullet1">
    <w:name w:val="Bullet 1"/>
    <w:basedOn w:val="Normal"/>
    <w:qFormat/>
    <w:rsid w:val="00E51A4C"/>
    <w:pPr>
      <w:numPr>
        <w:numId w:val="5"/>
      </w:numPr>
      <w:spacing w:after="120"/>
      <w:ind w:right="1267"/>
      <w:jc w:val="both"/>
    </w:pPr>
  </w:style>
  <w:style w:type="paragraph" w:customStyle="1" w:styleId="Bullet2">
    <w:name w:val="Bullet 2"/>
    <w:basedOn w:val="Normal"/>
    <w:qFormat/>
    <w:rsid w:val="00E51A4C"/>
    <w:pPr>
      <w:numPr>
        <w:numId w:val="6"/>
      </w:numPr>
      <w:spacing w:after="120"/>
      <w:ind w:right="1264"/>
      <w:jc w:val="both"/>
    </w:pPr>
  </w:style>
  <w:style w:type="paragraph" w:customStyle="1" w:styleId="Bullet3">
    <w:name w:val="Bullet 3"/>
    <w:basedOn w:val="SingleTxt"/>
    <w:qFormat/>
    <w:rsid w:val="00E51A4C"/>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51A4C"/>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51A4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51A4C"/>
    <w:pPr>
      <w:spacing w:line="210" w:lineRule="exact"/>
    </w:pPr>
    <w:rPr>
      <w:sz w:val="17"/>
      <w:szCs w:val="20"/>
    </w:rPr>
  </w:style>
  <w:style w:type="character" w:customStyle="1" w:styleId="EndnoteTextChar">
    <w:name w:val="Endnote Text Char"/>
    <w:link w:val="EndnoteText"/>
    <w:uiPriority w:val="99"/>
    <w:semiHidden/>
    <w:rsid w:val="00E51A4C"/>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51A4C"/>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51A4C"/>
    <w:rPr>
      <w:rFonts w:ascii="Times New Roman" w:hAnsi="Times New Roman" w:cs="Times New Roman"/>
      <w:b/>
      <w:spacing w:val="3"/>
      <w:w w:val="105"/>
      <w:sz w:val="17"/>
      <w:lang w:val="en-US"/>
    </w:rPr>
  </w:style>
  <w:style w:type="character" w:styleId="FootnoteReference">
    <w:name w:val="footnote reference"/>
    <w:semiHidden/>
    <w:rsid w:val="00E51A4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51A4C"/>
    <w:pPr>
      <w:spacing w:line="210" w:lineRule="exact"/>
    </w:pPr>
    <w:rPr>
      <w:sz w:val="17"/>
      <w:szCs w:val="20"/>
    </w:rPr>
  </w:style>
  <w:style w:type="character" w:customStyle="1" w:styleId="FootnoteTextChar">
    <w:name w:val="Footnote Text Char"/>
    <w:link w:val="FootnoteText"/>
    <w:rsid w:val="00E51A4C"/>
    <w:rPr>
      <w:rFonts w:ascii="Times New Roman" w:hAnsi="Times New Roman" w:cs="Times New Roman"/>
      <w:spacing w:val="4"/>
      <w:w w:val="103"/>
      <w:kern w:val="14"/>
      <w:sz w:val="17"/>
      <w:szCs w:val="20"/>
      <w:lang w:val="fr-CA"/>
    </w:rPr>
  </w:style>
  <w:style w:type="paragraph" w:styleId="Header">
    <w:name w:val="header"/>
    <w:link w:val="HeaderChar"/>
    <w:uiPriority w:val="99"/>
    <w:rsid w:val="00E51A4C"/>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51A4C"/>
    <w:rPr>
      <w:rFonts w:ascii="Times New Roman" w:hAnsi="Times New Roman" w:cs="Times New Roman"/>
      <w:spacing w:val="3"/>
      <w:w w:val="105"/>
      <w:sz w:val="17"/>
      <w:lang w:val="en-US"/>
    </w:rPr>
  </w:style>
  <w:style w:type="character" w:customStyle="1" w:styleId="Heading1Char">
    <w:name w:val="Heading 1 Char"/>
    <w:link w:val="Heading1"/>
    <w:uiPriority w:val="9"/>
    <w:rsid w:val="00E51A4C"/>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51A4C"/>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51A4C"/>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51A4C"/>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51A4C"/>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51A4C"/>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51A4C"/>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51A4C"/>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51A4C"/>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51A4C"/>
    <w:rPr>
      <w:sz w:val="14"/>
    </w:rPr>
  </w:style>
  <w:style w:type="paragraph" w:styleId="ListParagraph">
    <w:name w:val="List Paragraph"/>
    <w:basedOn w:val="Normal"/>
    <w:uiPriority w:val="34"/>
    <w:rsid w:val="00E51A4C"/>
    <w:pPr>
      <w:ind w:left="720"/>
      <w:contextualSpacing/>
    </w:pPr>
  </w:style>
  <w:style w:type="paragraph" w:styleId="NoSpacing">
    <w:name w:val="No Spacing"/>
    <w:uiPriority w:val="1"/>
    <w:rsid w:val="00E51A4C"/>
    <w:pPr>
      <w:spacing w:after="0" w:line="240" w:lineRule="auto"/>
    </w:pPr>
    <w:rPr>
      <w:rFonts w:ascii="Calibri" w:hAnsi="Calibri" w:cs="Times New Roman"/>
      <w:lang w:val="en-US"/>
    </w:rPr>
  </w:style>
  <w:style w:type="paragraph" w:customStyle="1" w:styleId="Original">
    <w:name w:val="Original"/>
    <w:next w:val="Normal"/>
    <w:autoRedefine/>
    <w:qFormat/>
    <w:rsid w:val="00E51A4C"/>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51A4C"/>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51A4C"/>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51A4C"/>
    <w:pPr>
      <w:tabs>
        <w:tab w:val="right" w:pos="9965"/>
      </w:tabs>
      <w:spacing w:line="210" w:lineRule="exact"/>
    </w:pPr>
    <w:rPr>
      <w:spacing w:val="5"/>
      <w:w w:val="104"/>
      <w:sz w:val="17"/>
    </w:rPr>
  </w:style>
  <w:style w:type="paragraph" w:customStyle="1" w:styleId="SmallX">
    <w:name w:val="SmallX"/>
    <w:basedOn w:val="Small"/>
    <w:next w:val="Normal"/>
    <w:qFormat/>
    <w:rsid w:val="00E51A4C"/>
    <w:pPr>
      <w:spacing w:line="180" w:lineRule="exact"/>
      <w:jc w:val="right"/>
    </w:pPr>
    <w:rPr>
      <w:spacing w:val="6"/>
      <w:w w:val="106"/>
      <w:sz w:val="14"/>
    </w:rPr>
  </w:style>
  <w:style w:type="character" w:styleId="Strong">
    <w:name w:val="Strong"/>
    <w:uiPriority w:val="22"/>
    <w:rsid w:val="00E51A4C"/>
    <w:rPr>
      <w:b/>
      <w:bCs/>
    </w:rPr>
  </w:style>
  <w:style w:type="paragraph" w:customStyle="1" w:styleId="Style1">
    <w:name w:val="Style1"/>
    <w:basedOn w:val="Normal"/>
    <w:qFormat/>
    <w:rsid w:val="00E51A4C"/>
  </w:style>
  <w:style w:type="paragraph" w:customStyle="1" w:styleId="Style2">
    <w:name w:val="Style2"/>
    <w:basedOn w:val="Normal"/>
    <w:autoRedefine/>
    <w:qFormat/>
    <w:rsid w:val="00E51A4C"/>
  </w:style>
  <w:style w:type="paragraph" w:customStyle="1" w:styleId="TitleHCH">
    <w:name w:val="Title_H_CH"/>
    <w:basedOn w:val="HCH"/>
    <w:next w:val="SingleTxt"/>
    <w:qFormat/>
    <w:rsid w:val="00E51A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51A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51A4C"/>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3F3404"/>
    <w:rPr>
      <w:sz w:val="16"/>
      <w:szCs w:val="16"/>
    </w:rPr>
  </w:style>
  <w:style w:type="paragraph" w:styleId="CommentText">
    <w:name w:val="annotation text"/>
    <w:basedOn w:val="Normal"/>
    <w:link w:val="CommentTextChar"/>
    <w:uiPriority w:val="99"/>
    <w:semiHidden/>
    <w:unhideWhenUsed/>
    <w:rsid w:val="003F3404"/>
    <w:pPr>
      <w:spacing w:line="240" w:lineRule="auto"/>
    </w:pPr>
    <w:rPr>
      <w:szCs w:val="20"/>
    </w:rPr>
  </w:style>
  <w:style w:type="character" w:customStyle="1" w:styleId="CommentTextChar">
    <w:name w:val="Comment Text Char"/>
    <w:basedOn w:val="DefaultParagraphFont"/>
    <w:link w:val="CommentText"/>
    <w:uiPriority w:val="99"/>
    <w:semiHidden/>
    <w:rsid w:val="003F3404"/>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3F3404"/>
    <w:rPr>
      <w:b/>
      <w:bCs/>
    </w:rPr>
  </w:style>
  <w:style w:type="character" w:customStyle="1" w:styleId="CommentSubjectChar">
    <w:name w:val="Comment Subject Char"/>
    <w:basedOn w:val="CommentTextChar"/>
    <w:link w:val="CommentSubject"/>
    <w:uiPriority w:val="99"/>
    <w:semiHidden/>
    <w:rsid w:val="003F3404"/>
    <w:rPr>
      <w:rFonts w:ascii="Times New Roman" w:hAnsi="Times New Roman" w:cs="Times New Roman"/>
      <w:b/>
      <w:bCs/>
      <w:spacing w:val="4"/>
      <w:w w:val="103"/>
      <w:kern w:val="14"/>
      <w:sz w:val="20"/>
      <w:szCs w:val="20"/>
      <w:lang w:val="fr-CA"/>
    </w:rPr>
  </w:style>
  <w:style w:type="paragraph" w:customStyle="1" w:styleId="HCh0">
    <w:name w:val="_ H _Ch"/>
    <w:basedOn w:val="H1"/>
    <w:next w:val="SingleTxt"/>
    <w:rsid w:val="00952CF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uiPriority w:val="99"/>
    <w:unhideWhenUsed/>
    <w:rsid w:val="00D14CC7"/>
    <w:rPr>
      <w:color w:val="0000FF"/>
      <w:u w:val="none"/>
    </w:rPr>
  </w:style>
  <w:style w:type="character" w:styleId="FollowedHyperlink">
    <w:name w:val="FollowedHyperlink"/>
    <w:basedOn w:val="DefaultParagraphFont"/>
    <w:uiPriority w:val="99"/>
    <w:semiHidden/>
    <w:unhideWhenUsed/>
    <w:rsid w:val="00D14CC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SLV/8" TargetMode="External"/><Relationship Id="rId26" Type="http://schemas.openxmlformats.org/officeDocument/2006/relationships/hyperlink" Target="http://undocs.org/fr/CEDAW/C/SLV/Q/8" TargetMode="External"/><Relationship Id="rId39" Type="http://schemas.openxmlformats.org/officeDocument/2006/relationships/hyperlink" Target="http://undocs.org/fr/CEDAW/C/UKR/Q/8/Add.1" TargetMode="External"/><Relationship Id="rId3" Type="http://schemas.microsoft.com/office/2007/relationships/stylesWithEffects" Target="stylesWithEffects.xml"/><Relationship Id="rId21" Type="http://schemas.openxmlformats.org/officeDocument/2006/relationships/hyperlink" Target="http://undocs.org/fr/CEDAW/C/FSM/1" TargetMode="External"/><Relationship Id="rId34" Type="http://schemas.openxmlformats.org/officeDocument/2006/relationships/hyperlink" Target="http://undocs.org/fr/CEDAW/C/SLV/Q/8"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DEU/7" TargetMode="External"/><Relationship Id="rId25" Type="http://schemas.openxmlformats.org/officeDocument/2006/relationships/hyperlink" Target="http://undocs.org/fr/CEDAW/C/DEU/Q/7" TargetMode="External"/><Relationship Id="rId33" Type="http://schemas.openxmlformats.org/officeDocument/2006/relationships/hyperlink" Target="http://undocs.org/fr/CEDAW/C/DEU/Q/7" TargetMode="External"/><Relationship Id="rId38" Type="http://schemas.openxmlformats.org/officeDocument/2006/relationships/hyperlink" Target="http://undocs.org/fr/CEDAW/C/LKA/Q/8/Add.1" TargetMode="External"/><Relationship Id="rId2" Type="http://schemas.openxmlformats.org/officeDocument/2006/relationships/styles" Target="styles.xml"/><Relationship Id="rId16" Type="http://schemas.openxmlformats.org/officeDocument/2006/relationships/hyperlink" Target="http://undocs.org/fr/CEDAW/C/PSWG/66/1" TargetMode="External"/><Relationship Id="rId20" Type="http://schemas.openxmlformats.org/officeDocument/2006/relationships/hyperlink" Target="http://undocs.org/fr/CEDAW/C/JOR/6" TargetMode="External"/><Relationship Id="rId29" Type="http://schemas.openxmlformats.org/officeDocument/2006/relationships/hyperlink" Target="http://undocs.org/fr/CEDAW/C/FSM/Q/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fr/CEDAW/C/UKR/8" TargetMode="External"/><Relationship Id="rId32" Type="http://schemas.openxmlformats.org/officeDocument/2006/relationships/hyperlink" Target="http://undocs.org/fr/CEDAW/C/UKR/Q/8" TargetMode="External"/><Relationship Id="rId37" Type="http://schemas.openxmlformats.org/officeDocument/2006/relationships/hyperlink" Target="http://undocs.org/fr/CEDAW/C/RWA/Q/7" TargetMode="External"/><Relationship Id="rId40" Type="http://schemas.openxmlformats.org/officeDocument/2006/relationships/hyperlink" Target="http://undocs.org/fr/CEDAW/C/67/1" TargetMode="External"/><Relationship Id="rId5" Type="http://schemas.openxmlformats.org/officeDocument/2006/relationships/webSettings" Target="webSettings.xml"/><Relationship Id="rId15" Type="http://schemas.openxmlformats.org/officeDocument/2006/relationships/hyperlink" Target="http://undocs.org/fr/CEDAW/C/66/1" TargetMode="External"/><Relationship Id="rId23" Type="http://schemas.openxmlformats.org/officeDocument/2006/relationships/hyperlink" Target="http://undocs.org/fr/CEDAW/C/LKA/8" TargetMode="External"/><Relationship Id="rId28" Type="http://schemas.openxmlformats.org/officeDocument/2006/relationships/hyperlink" Target="http://undocs.org/fr/CEDAW/C/JOR/Q/6" TargetMode="External"/><Relationship Id="rId36" Type="http://schemas.openxmlformats.org/officeDocument/2006/relationships/hyperlink" Target="http://undocs.org/fr/CEDAW/C/FSM/Q/1" TargetMode="External"/><Relationship Id="rId10" Type="http://schemas.openxmlformats.org/officeDocument/2006/relationships/footer" Target="footer1.xml"/><Relationship Id="rId19" Type="http://schemas.openxmlformats.org/officeDocument/2006/relationships/hyperlink" Target="http://undocs.org/fr/CEDAW/C/IRL/6" TargetMode="External"/><Relationship Id="rId31" Type="http://schemas.openxmlformats.org/officeDocument/2006/relationships/hyperlink" Target="http://undocs.org/fr/CEDAW/C/LKA/Q/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CEDAW/C/RWA/7" TargetMode="External"/><Relationship Id="rId27" Type="http://schemas.openxmlformats.org/officeDocument/2006/relationships/hyperlink" Target="http://undocs.org/fr/CEDAW/C/IRL/QPR/6" TargetMode="External"/><Relationship Id="rId30" Type="http://schemas.openxmlformats.org/officeDocument/2006/relationships/hyperlink" Target="http://undocs.org/fr/CEDAW/C/RWA/Q/7" TargetMode="External"/><Relationship Id="rId35" Type="http://schemas.openxmlformats.org/officeDocument/2006/relationships/hyperlink" Target="http://undocs.org/fr/CEDAW/C/JOR/Q/6/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1405</Words>
  <Characters>8012</Characters>
  <Application>Microsoft Office Word</Application>
  <DocSecurity>0</DocSecurity>
  <Lines>66</Lines>
  <Paragraphs>18</Paragraphs>
  <ScaleCrop>false</ScaleCrop>
  <Company>United Nations</Company>
  <LinksUpToDate>false</LinksUpToDate>
  <CharactersWithSpaces>9399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BHE</dc:creator>
  <cp:keywords/>
  <dc:description/>
  <cp:lastModifiedBy>Front Desk 1</cp:lastModifiedBy>
  <cp:revision>13</cp:revision>
  <cp:lastPrinted>2017-01-28T00:12:00Z</cp:lastPrinted>
  <dcterms:created xsi:type="dcterms:W3CDTF">2017-01-27T23:17:00Z</dcterms:created>
  <dcterms:modified xsi:type="dcterms:W3CDTF">2017-01-28T00:12:00Z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1700403F</vt:lpwstr>
  </property>
  <property fmtid="{D5CDD505-2E9C-101B-9397-08002B2CF9AE}" pid="3" name="ODSRefJobNo">
    <vt:lpwstr>1700830F</vt:lpwstr>
  </property>
  <property fmtid="{D5CDD505-2E9C-101B-9397-08002B2CF9AE}" pid="4" name="Symbol1">
    <vt:lpwstr>CEDAW/C/66/1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11 janvier 2017</vt:lpwstr>
  </property>
  <property fmtid="{D5CDD505-2E9C-101B-9397-08002B2CF9AE}" pid="9" name="Original">
    <vt:lpwstr>anglais</vt:lpwstr>
  </property>
  <property fmtid="{D5CDD505-2E9C-101B-9397-08002B2CF9AE}" pid="10" name="Release Date">
    <vt:lpwstr>270117</vt:lpwstr>
  </property>
  <property fmtid="{D5CDD505-2E9C-101B-9397-08002B2CF9AE}" pid="11" name="Comment">
    <vt:lpwstr/>
  </property>
  <property fmtid="{D5CDD505-2E9C-101B-9397-08002B2CF9AE}" pid="12" name="DraftPages">
    <vt:lpwstr> </vt:lpwstr>
  </property>
  <property fmtid="{D5CDD505-2E9C-101B-9397-08002B2CF9AE}" pid="13" name="Operator">
    <vt:lpwstr>BHE</vt:lpwstr>
  </property>
</Properties>
</file>