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467" w:rsidRDefault="00087467" w:rsidP="00087467">
      <w:pPr>
        <w:spacing w:line="60" w:lineRule="exact"/>
        <w:rPr>
          <w:sz w:val="6"/>
        </w:rPr>
        <w:sectPr w:rsidR="00087467" w:rsidSect="0008746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087467" w:rsidRDefault="00087467" w:rsidP="00087467">
      <w:pPr>
        <w:spacing w:line="60" w:lineRule="exact"/>
        <w:rPr>
          <w:sz w:val="6"/>
        </w:rPr>
      </w:pPr>
    </w:p>
    <w:p w:rsidR="00E96DA2" w:rsidRDefault="00E96DA2" w:rsidP="00E96D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E96DA2" w:rsidRPr="00E96DA2" w:rsidRDefault="00E96DA2" w:rsidP="00E96DA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96DA2" w:rsidRPr="00E96DA2" w:rsidRDefault="00E96DA2" w:rsidP="00E96DA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96DA2" w:rsidRPr="00E96DA2" w:rsidRDefault="00E96DA2" w:rsidP="00E96DA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96DA2" w:rsidRDefault="00E96DA2" w:rsidP="00E96DA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审议缔约国根据《消除对妇女一切形式歧视公约》第十八条提交的报告</w:t>
      </w:r>
    </w:p>
    <w:p w:rsidR="00E96DA2" w:rsidRPr="00E96DA2" w:rsidRDefault="00E96DA2" w:rsidP="00E96D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96DA2" w:rsidRPr="00E96DA2" w:rsidRDefault="00E96DA2" w:rsidP="00E96D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96DA2" w:rsidRDefault="00E96DA2" w:rsidP="00E96D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缔约国的第四、第五、第六和第七次合并定期报告</w:t>
      </w:r>
    </w:p>
    <w:p w:rsidR="00E96DA2" w:rsidRPr="00E96DA2" w:rsidRDefault="00E96DA2" w:rsidP="00E96DA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96DA2" w:rsidRPr="00E96DA2" w:rsidRDefault="00E96DA2" w:rsidP="00E96DA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D2BE2" w:rsidRPr="002D2BE2" w:rsidRDefault="002D2BE2" w:rsidP="002D2BE2">
      <w:pPr>
        <w:framePr w:w="9792" w:h="432" w:hSpace="180" w:wrap="around" w:hAnchor="page" w:x="1210" w:yAlign="bottom"/>
        <w:spacing w:line="100" w:lineRule="exact"/>
        <w:rPr>
          <w:sz w:val="10"/>
        </w:rPr>
      </w:pPr>
    </w:p>
    <w:p w:rsidR="002D2BE2" w:rsidRPr="002D2BE2" w:rsidRDefault="002D2BE2" w:rsidP="002D2BE2">
      <w:pPr>
        <w:framePr w:w="9792" w:h="432" w:hSpace="180" w:wrap="around" w:hAnchor="page" w:x="1210" w:yAlign="bottom"/>
        <w:spacing w:line="60" w:lineRule="exact"/>
        <w:rPr>
          <w:sz w:val="6"/>
        </w:rPr>
      </w:pPr>
      <w:r w:rsidRPr="002D2BE2">
        <w:rPr>
          <w:noProof/>
          <w:sz w:val="6"/>
        </w:rPr>
        <w:pict>
          <v:line id="_x0000_s1026" style="position:absolute;left:0;text-align:left;z-index:1;mso-position-horizontal-relative:page" from="108pt,-1pt" to="180pt,-1pt" strokeweight=".25pt">
            <w10:wrap side="right" anchorx="page"/>
          </v:line>
        </w:pict>
      </w:r>
    </w:p>
    <w:p w:rsidR="002D2BE2" w:rsidRPr="002D2BE2" w:rsidRDefault="002D2BE2" w:rsidP="002D2BE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2D2BE2">
        <w:rPr>
          <w:sz w:val="18"/>
          <w:vertAlign w:val="superscript"/>
        </w:rPr>
        <w:t>*</w:t>
      </w:r>
      <w:r w:rsidRPr="002D2BE2">
        <w:rPr>
          <w:sz w:val="18"/>
        </w:rPr>
        <w:tab/>
      </w:r>
      <w:r w:rsidRPr="002D2BE2">
        <w:rPr>
          <w:rFonts w:hint="eastAsia"/>
          <w:sz w:val="18"/>
        </w:rPr>
        <w:t>根据发给缔约国的关于其报告处理方法的通知规定，本文件在发给联合国翻译部门之前未经正式编辑。</w:t>
      </w:r>
    </w:p>
    <w:p w:rsidR="00E96DA2" w:rsidRPr="002D2BE2" w:rsidRDefault="00E96DA2" w:rsidP="002D2BE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tab/>
      </w:r>
      <w:r>
        <w:tab/>
      </w:r>
      <w:r w:rsidR="002D2BE2">
        <w:rPr>
          <w:rFonts w:hint="eastAsia"/>
        </w:rPr>
        <w:t>保加利亚</w:t>
      </w:r>
      <w:r w:rsidR="002D2BE2" w:rsidRPr="002D2BE2">
        <w:rPr>
          <w:rFonts w:ascii="Times New Roman"/>
          <w:vertAlign w:val="superscript"/>
        </w:rPr>
        <w:t>*</w:t>
      </w:r>
      <w:r w:rsidR="002D2BE2">
        <w:rPr>
          <w:rFonts w:ascii="Times New Roman"/>
        </w:rPr>
        <w:t xml:space="preserve"> </w:t>
      </w:r>
    </w:p>
    <w:p w:rsidR="002D2BE2" w:rsidRPr="002D2BE2" w:rsidRDefault="002D2BE2" w:rsidP="002D2BE2">
      <w:pPr>
        <w:pStyle w:val="SingleTxt"/>
        <w:rPr>
          <w:rFonts w:hint="eastAsia"/>
        </w:rPr>
      </w:pPr>
    </w:p>
    <w:p w:rsidR="002D2BE2" w:rsidRDefault="00E96DA2" w:rsidP="002D2BE2">
      <w:pPr>
        <w:pStyle w:val="HCh6"/>
      </w:pPr>
      <w:r>
        <w:br w:type="page"/>
      </w:r>
      <w:r w:rsidR="002D2BE2">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D2BE2" w:rsidRPr="00E53517">
        <w:tblPrEx>
          <w:tblCellMar>
            <w:top w:w="0" w:type="dxa"/>
            <w:bottom w:w="0" w:type="dxa"/>
          </w:tblCellMar>
        </w:tblPrEx>
        <w:tc>
          <w:tcPr>
            <w:tcW w:w="1060" w:type="dxa"/>
          </w:tcPr>
          <w:p w:rsidR="002D2BE2" w:rsidRPr="00E53517" w:rsidRDefault="002D2BE2" w:rsidP="002D2BE2">
            <w:pPr>
              <w:pStyle w:val="GB23126"/>
            </w:pPr>
            <w:r w:rsidRPr="00E53517">
              <w:rPr>
                <w:rFonts w:hint="eastAsia"/>
              </w:rPr>
              <w:t>章次</w:t>
            </w:r>
          </w:p>
        </w:tc>
        <w:tc>
          <w:tcPr>
            <w:tcW w:w="7315" w:type="dxa"/>
          </w:tcPr>
          <w:p w:rsidR="002D2BE2" w:rsidRPr="00E53517" w:rsidRDefault="002D2BE2">
            <w:pPr>
              <w:spacing w:after="120" w:line="240" w:lineRule="auto"/>
              <w:rPr>
                <w:rFonts w:eastAsia="KaiTi_GB2312"/>
                <w:color w:val="0000FF"/>
                <w:sz w:val="15"/>
                <w:szCs w:val="15"/>
              </w:rPr>
            </w:pPr>
          </w:p>
        </w:tc>
        <w:tc>
          <w:tcPr>
            <w:tcW w:w="994" w:type="dxa"/>
          </w:tcPr>
          <w:p w:rsidR="002D2BE2" w:rsidRPr="00E53517" w:rsidRDefault="002D2BE2" w:rsidP="002D2BE2">
            <w:pPr>
              <w:pStyle w:val="GB23126"/>
            </w:pPr>
            <w:r w:rsidRPr="00E53517">
              <w:rPr>
                <w:rFonts w:hint="eastAsia"/>
              </w:rPr>
              <w:t>段次</w:t>
            </w:r>
          </w:p>
        </w:tc>
        <w:tc>
          <w:tcPr>
            <w:tcW w:w="533" w:type="dxa"/>
          </w:tcPr>
          <w:p w:rsidR="002D2BE2" w:rsidRPr="00E53517" w:rsidRDefault="002D2BE2" w:rsidP="002D2BE2">
            <w:pPr>
              <w:pStyle w:val="GB23126"/>
            </w:pPr>
            <w:r w:rsidRPr="00E53517">
              <w:rPr>
                <w:rFonts w:hint="eastAsia"/>
              </w:rPr>
              <w:t>页次</w:t>
            </w:r>
          </w:p>
        </w:tc>
      </w:tr>
      <w:tr w:rsidR="002D2BE2">
        <w:tblPrEx>
          <w:tblCellMar>
            <w:top w:w="0" w:type="dxa"/>
            <w:bottom w:w="0" w:type="dxa"/>
          </w:tblCellMar>
        </w:tblPrEx>
        <w:trPr>
          <w:cantSplit/>
        </w:trPr>
        <w:tc>
          <w:tcPr>
            <w:tcW w:w="8375" w:type="dxa"/>
            <w:gridSpan w:val="2"/>
          </w:tcPr>
          <w:p w:rsidR="002D2BE2" w:rsidRDefault="002D2BE2">
            <w:pPr>
              <w:numPr>
                <w:ilvl w:val="0"/>
                <w:numId w:val="1"/>
              </w:numPr>
              <w:tabs>
                <w:tab w:val="right" w:pos="1080"/>
                <w:tab w:val="right" w:leader="dot" w:pos="8381"/>
              </w:tabs>
              <w:spacing w:after="140"/>
            </w:pPr>
            <w:r>
              <w:tab/>
            </w:r>
            <w:r w:rsidR="002F0C3A">
              <w:rPr>
                <w:rFonts w:hint="eastAsia"/>
              </w:rPr>
              <w:t>导言</w:t>
            </w:r>
            <w:r>
              <w:tab/>
            </w:r>
          </w:p>
        </w:tc>
        <w:tc>
          <w:tcPr>
            <w:tcW w:w="994" w:type="dxa"/>
            <w:vAlign w:val="bottom"/>
          </w:tcPr>
          <w:p w:rsidR="002D2BE2" w:rsidRDefault="002F0C3A">
            <w:pPr>
              <w:spacing w:after="140"/>
              <w:ind w:right="28"/>
              <w:jc w:val="right"/>
              <w:rPr>
                <w:rFonts w:hint="eastAsia"/>
              </w:rPr>
            </w:pPr>
            <w:r>
              <w:rPr>
                <w:rFonts w:hint="eastAsia"/>
              </w:rPr>
              <w:t>1-6</w:t>
            </w:r>
          </w:p>
        </w:tc>
        <w:tc>
          <w:tcPr>
            <w:tcW w:w="533" w:type="dxa"/>
            <w:vAlign w:val="bottom"/>
          </w:tcPr>
          <w:p w:rsidR="002D2BE2" w:rsidRDefault="002F0C3A">
            <w:pPr>
              <w:spacing w:after="140"/>
              <w:ind w:right="28"/>
              <w:jc w:val="right"/>
              <w:rPr>
                <w:rFonts w:hint="eastAsia"/>
              </w:rPr>
            </w:pPr>
            <w:r>
              <w:rPr>
                <w:rFonts w:hint="eastAsia"/>
              </w:rPr>
              <w:t>3</w:t>
            </w:r>
          </w:p>
        </w:tc>
      </w:tr>
      <w:tr w:rsidR="002F0C3A" w:rsidTr="00A228DE">
        <w:tblPrEx>
          <w:tblCellMar>
            <w:top w:w="0" w:type="dxa"/>
            <w:bottom w:w="0" w:type="dxa"/>
          </w:tblCellMar>
        </w:tblPrEx>
        <w:trPr>
          <w:cantSplit/>
        </w:trPr>
        <w:tc>
          <w:tcPr>
            <w:tcW w:w="8375" w:type="dxa"/>
            <w:gridSpan w:val="2"/>
          </w:tcPr>
          <w:p w:rsidR="002F0C3A" w:rsidRDefault="002F0C3A" w:rsidP="00A228DE">
            <w:pPr>
              <w:numPr>
                <w:ilvl w:val="0"/>
                <w:numId w:val="1"/>
              </w:numPr>
              <w:tabs>
                <w:tab w:val="right" w:pos="1080"/>
                <w:tab w:val="right" w:leader="dot" w:pos="8381"/>
              </w:tabs>
              <w:spacing w:after="140"/>
            </w:pPr>
            <w:r>
              <w:tab/>
            </w:r>
            <w:r>
              <w:rPr>
                <w:rFonts w:hint="eastAsia"/>
              </w:rPr>
              <w:t>关于《公约》执行情况的报告</w:t>
            </w:r>
            <w:r>
              <w:t>(</w:t>
            </w:r>
            <w:r>
              <w:rPr>
                <w:rFonts w:hint="eastAsia"/>
              </w:rPr>
              <w:t>第一条至第十六条</w:t>
            </w:r>
            <w:r>
              <w:t>)</w:t>
            </w:r>
            <w:r>
              <w:tab/>
            </w:r>
          </w:p>
        </w:tc>
        <w:tc>
          <w:tcPr>
            <w:tcW w:w="994" w:type="dxa"/>
            <w:vAlign w:val="bottom"/>
          </w:tcPr>
          <w:p w:rsidR="002F0C3A" w:rsidRDefault="002F0C3A" w:rsidP="00A228DE">
            <w:pPr>
              <w:spacing w:after="140"/>
              <w:ind w:right="28"/>
              <w:jc w:val="right"/>
              <w:rPr>
                <w:rFonts w:hint="eastAsia"/>
              </w:rPr>
            </w:pPr>
            <w:r>
              <w:rPr>
                <w:rFonts w:hint="eastAsia"/>
              </w:rPr>
              <w:t>7</w:t>
            </w:r>
          </w:p>
        </w:tc>
        <w:tc>
          <w:tcPr>
            <w:tcW w:w="533" w:type="dxa"/>
            <w:vAlign w:val="bottom"/>
          </w:tcPr>
          <w:p w:rsidR="002F0C3A" w:rsidRDefault="002F0C3A" w:rsidP="00A228DE">
            <w:pPr>
              <w:spacing w:after="140"/>
              <w:ind w:right="28"/>
              <w:jc w:val="right"/>
              <w:rPr>
                <w:rFonts w:hint="eastAsia"/>
              </w:rPr>
            </w:pPr>
            <w:r>
              <w:rPr>
                <w:rFonts w:hint="eastAsia"/>
              </w:rPr>
              <w:t>3</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第一条</w:t>
            </w:r>
            <w:r>
              <w:tab/>
            </w:r>
          </w:p>
        </w:tc>
        <w:tc>
          <w:tcPr>
            <w:tcW w:w="994" w:type="dxa"/>
            <w:vAlign w:val="bottom"/>
          </w:tcPr>
          <w:p w:rsidR="002F0C3A" w:rsidRDefault="002F0C3A" w:rsidP="00A228DE">
            <w:pPr>
              <w:spacing w:after="140"/>
              <w:ind w:right="28"/>
              <w:jc w:val="right"/>
              <w:rPr>
                <w:rFonts w:hint="eastAsia"/>
              </w:rPr>
            </w:pPr>
            <w:r>
              <w:rPr>
                <w:rFonts w:hint="eastAsia"/>
              </w:rPr>
              <w:t>7-15</w:t>
            </w:r>
          </w:p>
        </w:tc>
        <w:tc>
          <w:tcPr>
            <w:tcW w:w="533" w:type="dxa"/>
            <w:vAlign w:val="bottom"/>
          </w:tcPr>
          <w:p w:rsidR="002F0C3A" w:rsidRDefault="002F0C3A" w:rsidP="00A228DE">
            <w:pPr>
              <w:spacing w:after="140"/>
              <w:ind w:right="28"/>
              <w:jc w:val="right"/>
              <w:rPr>
                <w:rFonts w:hint="eastAsia"/>
              </w:rPr>
            </w:pPr>
            <w:r>
              <w:rPr>
                <w:rFonts w:hint="eastAsia"/>
              </w:rPr>
              <w:t>3</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第二和三条</w:t>
            </w:r>
            <w:r>
              <w:tab/>
            </w:r>
          </w:p>
        </w:tc>
        <w:tc>
          <w:tcPr>
            <w:tcW w:w="994" w:type="dxa"/>
            <w:vAlign w:val="bottom"/>
          </w:tcPr>
          <w:p w:rsidR="002F0C3A" w:rsidRDefault="002F0C3A" w:rsidP="00A228DE">
            <w:pPr>
              <w:spacing w:after="140"/>
              <w:ind w:right="28"/>
              <w:jc w:val="right"/>
              <w:rPr>
                <w:rFonts w:hint="eastAsia"/>
              </w:rPr>
            </w:pPr>
            <w:r>
              <w:rPr>
                <w:rFonts w:hint="eastAsia"/>
              </w:rPr>
              <w:t>16-36</w:t>
            </w:r>
          </w:p>
        </w:tc>
        <w:tc>
          <w:tcPr>
            <w:tcW w:w="533" w:type="dxa"/>
            <w:vAlign w:val="bottom"/>
          </w:tcPr>
          <w:p w:rsidR="002F0C3A" w:rsidRDefault="002F0C3A" w:rsidP="00A228DE">
            <w:pPr>
              <w:spacing w:after="140"/>
              <w:ind w:right="28"/>
              <w:jc w:val="right"/>
              <w:rPr>
                <w:rFonts w:hint="eastAsia"/>
              </w:rPr>
            </w:pPr>
            <w:r>
              <w:rPr>
                <w:rFonts w:hint="eastAsia"/>
              </w:rPr>
              <w:t>5</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第四条</w:t>
            </w:r>
            <w:r>
              <w:tab/>
            </w:r>
          </w:p>
        </w:tc>
        <w:tc>
          <w:tcPr>
            <w:tcW w:w="994" w:type="dxa"/>
            <w:vAlign w:val="bottom"/>
          </w:tcPr>
          <w:p w:rsidR="002F0C3A" w:rsidRDefault="002F0C3A" w:rsidP="00A228DE">
            <w:pPr>
              <w:spacing w:after="140"/>
              <w:ind w:right="28"/>
              <w:jc w:val="right"/>
              <w:rPr>
                <w:rFonts w:hint="eastAsia"/>
              </w:rPr>
            </w:pPr>
            <w:r>
              <w:rPr>
                <w:rFonts w:hint="eastAsia"/>
              </w:rPr>
              <w:t>37-41</w:t>
            </w:r>
          </w:p>
        </w:tc>
        <w:tc>
          <w:tcPr>
            <w:tcW w:w="533" w:type="dxa"/>
            <w:vAlign w:val="bottom"/>
          </w:tcPr>
          <w:p w:rsidR="002F0C3A" w:rsidRDefault="00A625AF" w:rsidP="00A228DE">
            <w:pPr>
              <w:spacing w:after="140"/>
              <w:ind w:right="28"/>
              <w:jc w:val="right"/>
              <w:rPr>
                <w:rFonts w:hint="eastAsia"/>
              </w:rPr>
            </w:pPr>
            <w:r>
              <w:rPr>
                <w:rFonts w:hint="eastAsia"/>
              </w:rPr>
              <w:t>8</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第五条</w:t>
            </w:r>
            <w:r>
              <w:tab/>
            </w:r>
          </w:p>
        </w:tc>
        <w:tc>
          <w:tcPr>
            <w:tcW w:w="994" w:type="dxa"/>
            <w:vAlign w:val="bottom"/>
          </w:tcPr>
          <w:p w:rsidR="002F0C3A" w:rsidRDefault="002F0C3A" w:rsidP="00A228DE">
            <w:pPr>
              <w:spacing w:after="140"/>
              <w:ind w:right="28"/>
              <w:jc w:val="right"/>
              <w:rPr>
                <w:rFonts w:hint="eastAsia"/>
              </w:rPr>
            </w:pPr>
            <w:r>
              <w:rPr>
                <w:rFonts w:hint="eastAsia"/>
              </w:rPr>
              <w:t>42-52</w:t>
            </w:r>
          </w:p>
        </w:tc>
        <w:tc>
          <w:tcPr>
            <w:tcW w:w="533" w:type="dxa"/>
            <w:vAlign w:val="bottom"/>
          </w:tcPr>
          <w:p w:rsidR="002F0C3A" w:rsidRDefault="00A625AF" w:rsidP="00A228DE">
            <w:pPr>
              <w:spacing w:after="140"/>
              <w:ind w:right="28"/>
              <w:jc w:val="right"/>
              <w:rPr>
                <w:rFonts w:hint="eastAsia"/>
              </w:rPr>
            </w:pPr>
            <w:r>
              <w:rPr>
                <w:rFonts w:hint="eastAsia"/>
              </w:rPr>
              <w:t>9</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第六条</w:t>
            </w:r>
            <w:r>
              <w:tab/>
            </w:r>
          </w:p>
        </w:tc>
        <w:tc>
          <w:tcPr>
            <w:tcW w:w="994" w:type="dxa"/>
            <w:vAlign w:val="bottom"/>
          </w:tcPr>
          <w:p w:rsidR="002F0C3A" w:rsidRDefault="002F0C3A" w:rsidP="00A228DE">
            <w:pPr>
              <w:spacing w:after="140"/>
              <w:ind w:right="28"/>
              <w:jc w:val="right"/>
              <w:rPr>
                <w:rFonts w:hint="eastAsia"/>
              </w:rPr>
            </w:pPr>
            <w:r>
              <w:rPr>
                <w:rFonts w:hint="eastAsia"/>
              </w:rPr>
              <w:t>53-75</w:t>
            </w:r>
          </w:p>
        </w:tc>
        <w:tc>
          <w:tcPr>
            <w:tcW w:w="533" w:type="dxa"/>
            <w:vAlign w:val="bottom"/>
          </w:tcPr>
          <w:p w:rsidR="002F0C3A" w:rsidRDefault="00A625AF" w:rsidP="00A228DE">
            <w:pPr>
              <w:spacing w:after="140"/>
              <w:ind w:right="28"/>
              <w:jc w:val="right"/>
              <w:rPr>
                <w:rFonts w:hint="eastAsia"/>
              </w:rPr>
            </w:pPr>
            <w:r>
              <w:rPr>
                <w:rFonts w:hint="eastAsia"/>
              </w:rPr>
              <w:t>11</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第七条</w:t>
            </w:r>
            <w:r>
              <w:tab/>
            </w:r>
          </w:p>
        </w:tc>
        <w:tc>
          <w:tcPr>
            <w:tcW w:w="994" w:type="dxa"/>
            <w:vAlign w:val="bottom"/>
          </w:tcPr>
          <w:p w:rsidR="002F0C3A" w:rsidRDefault="002F0C3A" w:rsidP="00A228DE">
            <w:pPr>
              <w:spacing w:after="140"/>
              <w:ind w:right="28"/>
              <w:jc w:val="right"/>
              <w:rPr>
                <w:rFonts w:hint="eastAsia"/>
              </w:rPr>
            </w:pPr>
            <w:r>
              <w:rPr>
                <w:rFonts w:hint="eastAsia"/>
              </w:rPr>
              <w:t>76-121</w:t>
            </w:r>
          </w:p>
        </w:tc>
        <w:tc>
          <w:tcPr>
            <w:tcW w:w="533" w:type="dxa"/>
            <w:vAlign w:val="bottom"/>
          </w:tcPr>
          <w:p w:rsidR="002F0C3A" w:rsidRDefault="00A625AF" w:rsidP="00A228DE">
            <w:pPr>
              <w:spacing w:after="140"/>
              <w:ind w:right="28"/>
              <w:jc w:val="right"/>
              <w:rPr>
                <w:rFonts w:hint="eastAsia"/>
              </w:rPr>
            </w:pPr>
            <w:r>
              <w:rPr>
                <w:rFonts w:hint="eastAsia"/>
              </w:rPr>
              <w:t>14</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第八条</w:t>
            </w:r>
            <w:r>
              <w:tab/>
            </w:r>
          </w:p>
        </w:tc>
        <w:tc>
          <w:tcPr>
            <w:tcW w:w="994" w:type="dxa"/>
            <w:vAlign w:val="bottom"/>
          </w:tcPr>
          <w:p w:rsidR="002F0C3A" w:rsidRDefault="002F0C3A" w:rsidP="00A228DE">
            <w:pPr>
              <w:spacing w:after="140"/>
              <w:ind w:right="28"/>
              <w:jc w:val="right"/>
              <w:rPr>
                <w:rFonts w:hint="eastAsia"/>
              </w:rPr>
            </w:pPr>
            <w:r>
              <w:rPr>
                <w:rFonts w:hint="eastAsia"/>
              </w:rPr>
              <w:t>122-128</w:t>
            </w:r>
          </w:p>
        </w:tc>
        <w:tc>
          <w:tcPr>
            <w:tcW w:w="533" w:type="dxa"/>
            <w:vAlign w:val="bottom"/>
          </w:tcPr>
          <w:p w:rsidR="002F0C3A" w:rsidRDefault="00A625AF" w:rsidP="00A228DE">
            <w:pPr>
              <w:spacing w:after="140"/>
              <w:ind w:right="28"/>
              <w:jc w:val="right"/>
              <w:rPr>
                <w:rFonts w:hint="eastAsia"/>
              </w:rPr>
            </w:pPr>
            <w:r>
              <w:rPr>
                <w:rFonts w:hint="eastAsia"/>
              </w:rPr>
              <w:t>20</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第九条</w:t>
            </w:r>
            <w:r>
              <w:tab/>
            </w:r>
          </w:p>
        </w:tc>
        <w:tc>
          <w:tcPr>
            <w:tcW w:w="994" w:type="dxa"/>
            <w:vAlign w:val="bottom"/>
          </w:tcPr>
          <w:p w:rsidR="002F0C3A" w:rsidRDefault="002F0C3A" w:rsidP="00A228DE">
            <w:pPr>
              <w:spacing w:after="140"/>
              <w:ind w:right="28"/>
              <w:jc w:val="right"/>
              <w:rPr>
                <w:rFonts w:hint="eastAsia"/>
              </w:rPr>
            </w:pPr>
            <w:r>
              <w:rPr>
                <w:rFonts w:hint="eastAsia"/>
              </w:rPr>
              <w:t>129-140</w:t>
            </w:r>
          </w:p>
        </w:tc>
        <w:tc>
          <w:tcPr>
            <w:tcW w:w="533" w:type="dxa"/>
            <w:vAlign w:val="bottom"/>
          </w:tcPr>
          <w:p w:rsidR="002F0C3A" w:rsidRDefault="00A625AF" w:rsidP="00A228DE">
            <w:pPr>
              <w:spacing w:after="140"/>
              <w:ind w:right="28"/>
              <w:jc w:val="right"/>
              <w:rPr>
                <w:rFonts w:hint="eastAsia"/>
              </w:rPr>
            </w:pPr>
            <w:r>
              <w:rPr>
                <w:rFonts w:hint="eastAsia"/>
              </w:rPr>
              <w:t>21</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第十条</w:t>
            </w:r>
            <w:r>
              <w:tab/>
            </w:r>
          </w:p>
        </w:tc>
        <w:tc>
          <w:tcPr>
            <w:tcW w:w="994" w:type="dxa"/>
            <w:vAlign w:val="bottom"/>
          </w:tcPr>
          <w:p w:rsidR="002F0C3A" w:rsidRDefault="002F0C3A" w:rsidP="00A228DE">
            <w:pPr>
              <w:spacing w:after="140"/>
              <w:ind w:right="28"/>
              <w:jc w:val="right"/>
              <w:rPr>
                <w:rFonts w:hint="eastAsia"/>
              </w:rPr>
            </w:pPr>
            <w:r>
              <w:rPr>
                <w:rFonts w:hint="eastAsia"/>
              </w:rPr>
              <w:t>141-163</w:t>
            </w:r>
          </w:p>
        </w:tc>
        <w:tc>
          <w:tcPr>
            <w:tcW w:w="533" w:type="dxa"/>
            <w:vAlign w:val="bottom"/>
          </w:tcPr>
          <w:p w:rsidR="002F0C3A" w:rsidRDefault="00A625AF" w:rsidP="00A228DE">
            <w:pPr>
              <w:spacing w:after="140"/>
              <w:ind w:right="28"/>
              <w:jc w:val="right"/>
              <w:rPr>
                <w:rFonts w:hint="eastAsia"/>
              </w:rPr>
            </w:pPr>
            <w:r>
              <w:rPr>
                <w:rFonts w:hint="eastAsia"/>
              </w:rPr>
              <w:t>22</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第十一条</w:t>
            </w:r>
            <w:r>
              <w:tab/>
            </w:r>
          </w:p>
        </w:tc>
        <w:tc>
          <w:tcPr>
            <w:tcW w:w="994" w:type="dxa"/>
            <w:vAlign w:val="bottom"/>
          </w:tcPr>
          <w:p w:rsidR="002F0C3A" w:rsidRDefault="002F0C3A" w:rsidP="00A228DE">
            <w:pPr>
              <w:spacing w:after="140"/>
              <w:ind w:right="28"/>
              <w:jc w:val="right"/>
              <w:rPr>
                <w:rFonts w:hint="eastAsia"/>
              </w:rPr>
            </w:pPr>
            <w:r>
              <w:rPr>
                <w:rFonts w:hint="eastAsia"/>
              </w:rPr>
              <w:t>164-206</w:t>
            </w:r>
          </w:p>
        </w:tc>
        <w:tc>
          <w:tcPr>
            <w:tcW w:w="533" w:type="dxa"/>
            <w:vAlign w:val="bottom"/>
          </w:tcPr>
          <w:p w:rsidR="002F0C3A" w:rsidRDefault="00A625AF" w:rsidP="00A228DE">
            <w:pPr>
              <w:spacing w:after="140"/>
              <w:ind w:right="28"/>
              <w:jc w:val="right"/>
              <w:rPr>
                <w:rFonts w:hint="eastAsia"/>
              </w:rPr>
            </w:pPr>
            <w:r>
              <w:rPr>
                <w:rFonts w:hint="eastAsia"/>
              </w:rPr>
              <w:t>25</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第十二条</w:t>
            </w:r>
            <w:r>
              <w:tab/>
            </w:r>
          </w:p>
        </w:tc>
        <w:tc>
          <w:tcPr>
            <w:tcW w:w="994" w:type="dxa"/>
            <w:vAlign w:val="bottom"/>
          </w:tcPr>
          <w:p w:rsidR="002F0C3A" w:rsidRDefault="002F0C3A" w:rsidP="00A228DE">
            <w:pPr>
              <w:spacing w:after="140"/>
              <w:ind w:right="28"/>
              <w:jc w:val="right"/>
              <w:rPr>
                <w:rFonts w:hint="eastAsia"/>
              </w:rPr>
            </w:pPr>
            <w:r>
              <w:rPr>
                <w:rFonts w:hint="eastAsia"/>
              </w:rPr>
              <w:t>207-248</w:t>
            </w:r>
          </w:p>
        </w:tc>
        <w:tc>
          <w:tcPr>
            <w:tcW w:w="533" w:type="dxa"/>
            <w:vAlign w:val="bottom"/>
          </w:tcPr>
          <w:p w:rsidR="002F0C3A" w:rsidRDefault="00A625AF" w:rsidP="00A228DE">
            <w:pPr>
              <w:spacing w:after="140"/>
              <w:ind w:right="28"/>
              <w:jc w:val="right"/>
              <w:rPr>
                <w:rFonts w:hint="eastAsia"/>
              </w:rPr>
            </w:pPr>
            <w:r>
              <w:rPr>
                <w:rFonts w:hint="eastAsia"/>
              </w:rPr>
              <w:t>31</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第十三条</w:t>
            </w:r>
            <w:r>
              <w:tab/>
            </w:r>
          </w:p>
        </w:tc>
        <w:tc>
          <w:tcPr>
            <w:tcW w:w="994" w:type="dxa"/>
            <w:vAlign w:val="bottom"/>
          </w:tcPr>
          <w:p w:rsidR="002F0C3A" w:rsidRDefault="002F0C3A" w:rsidP="00A228DE">
            <w:pPr>
              <w:spacing w:after="140"/>
              <w:ind w:right="28"/>
              <w:jc w:val="right"/>
              <w:rPr>
                <w:rFonts w:hint="eastAsia"/>
              </w:rPr>
            </w:pPr>
            <w:r>
              <w:rPr>
                <w:rFonts w:hint="eastAsia"/>
              </w:rPr>
              <w:t>249-266</w:t>
            </w:r>
          </w:p>
        </w:tc>
        <w:tc>
          <w:tcPr>
            <w:tcW w:w="533" w:type="dxa"/>
            <w:vAlign w:val="bottom"/>
          </w:tcPr>
          <w:p w:rsidR="002F0C3A" w:rsidRDefault="00A625AF" w:rsidP="00A228DE">
            <w:pPr>
              <w:spacing w:after="140"/>
              <w:ind w:right="28"/>
              <w:jc w:val="right"/>
              <w:rPr>
                <w:rFonts w:hint="eastAsia"/>
              </w:rPr>
            </w:pPr>
            <w:r>
              <w:rPr>
                <w:rFonts w:hint="eastAsia"/>
              </w:rPr>
              <w:t>39</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第十四条</w:t>
            </w:r>
            <w:r>
              <w:tab/>
            </w:r>
          </w:p>
        </w:tc>
        <w:tc>
          <w:tcPr>
            <w:tcW w:w="994" w:type="dxa"/>
            <w:vAlign w:val="bottom"/>
          </w:tcPr>
          <w:p w:rsidR="002F0C3A" w:rsidRDefault="002F0C3A" w:rsidP="00A228DE">
            <w:pPr>
              <w:spacing w:after="140"/>
              <w:ind w:right="28"/>
              <w:jc w:val="right"/>
              <w:rPr>
                <w:rFonts w:hint="eastAsia"/>
              </w:rPr>
            </w:pPr>
            <w:r>
              <w:rPr>
                <w:rFonts w:hint="eastAsia"/>
              </w:rPr>
              <w:t>267-285</w:t>
            </w:r>
          </w:p>
        </w:tc>
        <w:tc>
          <w:tcPr>
            <w:tcW w:w="533" w:type="dxa"/>
            <w:vAlign w:val="bottom"/>
          </w:tcPr>
          <w:p w:rsidR="002F0C3A" w:rsidRDefault="00A625AF" w:rsidP="00A228DE">
            <w:pPr>
              <w:spacing w:after="140"/>
              <w:ind w:right="28"/>
              <w:jc w:val="right"/>
              <w:rPr>
                <w:rFonts w:hint="eastAsia"/>
              </w:rPr>
            </w:pPr>
            <w:r>
              <w:rPr>
                <w:rFonts w:hint="eastAsia"/>
              </w:rPr>
              <w:t>42</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第十五条</w:t>
            </w:r>
            <w:r>
              <w:tab/>
            </w:r>
          </w:p>
        </w:tc>
        <w:tc>
          <w:tcPr>
            <w:tcW w:w="994" w:type="dxa"/>
            <w:vAlign w:val="bottom"/>
          </w:tcPr>
          <w:p w:rsidR="002F0C3A" w:rsidRDefault="002F0C3A" w:rsidP="00A228DE">
            <w:pPr>
              <w:spacing w:after="140"/>
              <w:ind w:right="28"/>
              <w:jc w:val="right"/>
              <w:rPr>
                <w:rFonts w:hint="eastAsia"/>
              </w:rPr>
            </w:pPr>
            <w:r>
              <w:rPr>
                <w:rFonts w:hint="eastAsia"/>
              </w:rPr>
              <w:t>286-291</w:t>
            </w:r>
          </w:p>
        </w:tc>
        <w:tc>
          <w:tcPr>
            <w:tcW w:w="533" w:type="dxa"/>
            <w:vAlign w:val="bottom"/>
          </w:tcPr>
          <w:p w:rsidR="002F0C3A" w:rsidRDefault="00A625AF" w:rsidP="00A228DE">
            <w:pPr>
              <w:spacing w:after="140"/>
              <w:ind w:right="28"/>
              <w:jc w:val="right"/>
              <w:rPr>
                <w:rFonts w:hint="eastAsia"/>
              </w:rPr>
            </w:pPr>
            <w:r>
              <w:rPr>
                <w:rFonts w:hint="eastAsia"/>
              </w:rPr>
              <w:t>47</w:t>
            </w:r>
          </w:p>
        </w:tc>
      </w:tr>
      <w:tr w:rsidR="002F0C3A" w:rsidTr="00A228DE">
        <w:tblPrEx>
          <w:tblCellMar>
            <w:top w:w="0" w:type="dxa"/>
            <w:bottom w:w="0" w:type="dxa"/>
          </w:tblCellMar>
        </w:tblPrEx>
        <w:trPr>
          <w:cantSplit/>
        </w:trPr>
        <w:tc>
          <w:tcPr>
            <w:tcW w:w="8375" w:type="dxa"/>
            <w:gridSpan w:val="2"/>
          </w:tcPr>
          <w:p w:rsidR="002F0C3A" w:rsidRDefault="002F0C3A" w:rsidP="00A228DE">
            <w:pPr>
              <w:tabs>
                <w:tab w:val="right" w:pos="1080"/>
                <w:tab w:val="right" w:leader="dot" w:pos="8381"/>
              </w:tabs>
              <w:spacing w:after="140"/>
              <w:ind w:left="1296"/>
            </w:pPr>
            <w:r>
              <w:rPr>
                <w:rFonts w:hint="eastAsia"/>
              </w:rPr>
              <w:t>第十六条</w:t>
            </w:r>
            <w:r>
              <w:tab/>
            </w:r>
          </w:p>
        </w:tc>
        <w:tc>
          <w:tcPr>
            <w:tcW w:w="994" w:type="dxa"/>
            <w:vAlign w:val="bottom"/>
          </w:tcPr>
          <w:p w:rsidR="002F0C3A" w:rsidRDefault="002F0C3A" w:rsidP="00A228DE">
            <w:pPr>
              <w:spacing w:after="140"/>
              <w:ind w:right="28"/>
              <w:jc w:val="right"/>
              <w:rPr>
                <w:rFonts w:hint="eastAsia"/>
              </w:rPr>
            </w:pPr>
            <w:r>
              <w:rPr>
                <w:rFonts w:hint="eastAsia"/>
              </w:rPr>
              <w:t>292-317</w:t>
            </w:r>
          </w:p>
        </w:tc>
        <w:tc>
          <w:tcPr>
            <w:tcW w:w="533" w:type="dxa"/>
            <w:vAlign w:val="bottom"/>
          </w:tcPr>
          <w:p w:rsidR="002F0C3A" w:rsidRDefault="00A625AF" w:rsidP="00A228DE">
            <w:pPr>
              <w:spacing w:after="140"/>
              <w:ind w:right="28"/>
              <w:jc w:val="right"/>
              <w:rPr>
                <w:rFonts w:hint="eastAsia"/>
              </w:rPr>
            </w:pPr>
            <w:r>
              <w:rPr>
                <w:rFonts w:hint="eastAsia"/>
              </w:rPr>
              <w:t>48</w:t>
            </w:r>
          </w:p>
        </w:tc>
      </w:tr>
      <w:tr w:rsidR="002D2BE2">
        <w:tblPrEx>
          <w:tblCellMar>
            <w:top w:w="0" w:type="dxa"/>
            <w:bottom w:w="0" w:type="dxa"/>
          </w:tblCellMar>
        </w:tblPrEx>
        <w:trPr>
          <w:cantSplit/>
        </w:trPr>
        <w:tc>
          <w:tcPr>
            <w:tcW w:w="8375" w:type="dxa"/>
            <w:gridSpan w:val="2"/>
          </w:tcPr>
          <w:p w:rsidR="002D2BE2" w:rsidRDefault="002D2BE2">
            <w:pPr>
              <w:numPr>
                <w:ilvl w:val="0"/>
                <w:numId w:val="1"/>
              </w:numPr>
              <w:tabs>
                <w:tab w:val="right" w:pos="1080"/>
                <w:tab w:val="right" w:leader="dot" w:pos="8381"/>
              </w:tabs>
              <w:spacing w:after="140"/>
            </w:pPr>
            <w:r>
              <w:tab/>
            </w:r>
            <w:r w:rsidR="002F0C3A">
              <w:rPr>
                <w:rFonts w:hint="eastAsia"/>
              </w:rPr>
              <w:t>《公约任择议定书》的现状和执行情况</w:t>
            </w:r>
            <w:r>
              <w:tab/>
            </w:r>
          </w:p>
        </w:tc>
        <w:tc>
          <w:tcPr>
            <w:tcW w:w="994" w:type="dxa"/>
            <w:vAlign w:val="bottom"/>
          </w:tcPr>
          <w:p w:rsidR="002D2BE2" w:rsidRDefault="002F0C3A">
            <w:pPr>
              <w:spacing w:after="140"/>
              <w:ind w:right="28"/>
              <w:jc w:val="right"/>
              <w:rPr>
                <w:rFonts w:hint="eastAsia"/>
              </w:rPr>
            </w:pPr>
            <w:r>
              <w:rPr>
                <w:rFonts w:hint="eastAsia"/>
              </w:rPr>
              <w:t>318</w:t>
            </w:r>
          </w:p>
        </w:tc>
        <w:tc>
          <w:tcPr>
            <w:tcW w:w="533" w:type="dxa"/>
            <w:vAlign w:val="bottom"/>
          </w:tcPr>
          <w:p w:rsidR="002D2BE2" w:rsidRDefault="00A625AF">
            <w:pPr>
              <w:spacing w:after="140"/>
              <w:ind w:right="28"/>
              <w:jc w:val="right"/>
              <w:rPr>
                <w:rFonts w:hint="eastAsia"/>
              </w:rPr>
            </w:pPr>
            <w:r>
              <w:rPr>
                <w:rFonts w:hint="eastAsia"/>
              </w:rPr>
              <w:t>52</w:t>
            </w:r>
          </w:p>
        </w:tc>
      </w:tr>
      <w:tr w:rsidR="002D2BE2">
        <w:tblPrEx>
          <w:tblCellMar>
            <w:top w:w="0" w:type="dxa"/>
            <w:bottom w:w="0" w:type="dxa"/>
          </w:tblCellMar>
        </w:tblPrEx>
        <w:trPr>
          <w:cantSplit/>
        </w:trPr>
        <w:tc>
          <w:tcPr>
            <w:tcW w:w="9369" w:type="dxa"/>
            <w:gridSpan w:val="3"/>
          </w:tcPr>
          <w:p w:rsidR="002D2BE2" w:rsidRDefault="002D2BE2">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2D2BE2" w:rsidRDefault="002D2BE2">
            <w:pPr>
              <w:spacing w:after="120"/>
              <w:jc w:val="right"/>
              <w:rPr>
                <w:rFonts w:hint="eastAsia"/>
              </w:rPr>
            </w:pPr>
          </w:p>
        </w:tc>
      </w:tr>
      <w:tr w:rsidR="002D2BE2">
        <w:tblPrEx>
          <w:tblCellMar>
            <w:top w:w="0" w:type="dxa"/>
            <w:bottom w:w="0" w:type="dxa"/>
          </w:tblCellMar>
        </w:tblPrEx>
        <w:trPr>
          <w:cantSplit/>
        </w:trPr>
        <w:tc>
          <w:tcPr>
            <w:tcW w:w="9369" w:type="dxa"/>
            <w:gridSpan w:val="3"/>
          </w:tcPr>
          <w:p w:rsidR="002D2BE2" w:rsidRDefault="002F0C3A" w:rsidP="002F0C3A">
            <w:pPr>
              <w:tabs>
                <w:tab w:val="right" w:pos="1080"/>
                <w:tab w:val="right" w:leader="dot" w:pos="9371"/>
              </w:tabs>
              <w:spacing w:after="120"/>
              <w:ind w:left="1080"/>
              <w:rPr>
                <w:rFonts w:hint="eastAsia"/>
              </w:rPr>
            </w:pPr>
            <w:r>
              <w:rPr>
                <w:rFonts w:hint="eastAsia"/>
              </w:rPr>
              <w:t>其他参考资料和表格</w:t>
            </w:r>
            <w:r w:rsidR="002D2BE2">
              <w:tab/>
            </w:r>
          </w:p>
        </w:tc>
        <w:tc>
          <w:tcPr>
            <w:tcW w:w="533" w:type="dxa"/>
            <w:vAlign w:val="bottom"/>
          </w:tcPr>
          <w:p w:rsidR="002D2BE2" w:rsidRDefault="003E1760">
            <w:pPr>
              <w:spacing w:after="120"/>
              <w:ind w:right="28"/>
              <w:jc w:val="right"/>
              <w:rPr>
                <w:rFonts w:hint="eastAsia"/>
              </w:rPr>
            </w:pPr>
            <w:r>
              <w:rPr>
                <w:rFonts w:hint="eastAsia"/>
              </w:rPr>
              <w:t>53</w:t>
            </w:r>
          </w:p>
        </w:tc>
      </w:tr>
    </w:tbl>
    <w:p w:rsidR="002D2BE2" w:rsidRDefault="002D2BE2"/>
    <w:p w:rsidR="002F0C3A" w:rsidRDefault="002F0C3A" w:rsidP="002F0C3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t>一</w:t>
      </w:r>
      <w:r w:rsidR="00DB32A1">
        <w:rPr>
          <w:rFonts w:ascii="Times New Roman"/>
        </w:rPr>
        <w:t>.</w:t>
      </w:r>
      <w:r>
        <w:rPr>
          <w:rFonts w:hint="eastAsia"/>
        </w:rPr>
        <w:tab/>
        <w:t xml:space="preserve">导言 </w:t>
      </w:r>
    </w:p>
    <w:p w:rsidR="002F0C3A" w:rsidRPr="002F0C3A" w:rsidRDefault="002F0C3A" w:rsidP="002F0C3A">
      <w:pPr>
        <w:pStyle w:val="SingleTxt"/>
        <w:spacing w:after="0" w:line="120" w:lineRule="exact"/>
        <w:rPr>
          <w:rFonts w:hint="eastAsia"/>
          <w:sz w:val="10"/>
        </w:rPr>
      </w:pPr>
    </w:p>
    <w:p w:rsidR="002F0C3A" w:rsidRPr="002F0C3A" w:rsidRDefault="002F0C3A" w:rsidP="002F0C3A">
      <w:pPr>
        <w:pStyle w:val="SingleTxt"/>
        <w:spacing w:after="0" w:line="120" w:lineRule="exact"/>
        <w:rPr>
          <w:rFonts w:hint="eastAsia"/>
          <w:sz w:val="10"/>
        </w:rPr>
      </w:pPr>
    </w:p>
    <w:p w:rsidR="002F0C3A" w:rsidRDefault="002F0C3A" w:rsidP="002F0C3A">
      <w:pPr>
        <w:pStyle w:val="SingleTxt"/>
        <w:rPr>
          <w:rFonts w:hint="eastAsia"/>
        </w:rPr>
      </w:pPr>
      <w:r>
        <w:rPr>
          <w:rFonts w:hint="eastAsia"/>
        </w:rPr>
        <w:t>1.</w:t>
      </w:r>
      <w:r>
        <w:rPr>
          <w:rFonts w:hint="eastAsia"/>
        </w:rPr>
        <w:tab/>
        <w:t>本报告载有消除对妇女歧视委员会1998年审议第二和第三次国家合并定期报告以来，就《消除对妇女一切形式歧视公约》实施和通过的所有法律规定、司法和行政措施以及其他措施。</w:t>
      </w:r>
    </w:p>
    <w:p w:rsidR="002F0C3A" w:rsidRDefault="002F0C3A" w:rsidP="002F0C3A">
      <w:pPr>
        <w:pStyle w:val="SingleTxt"/>
        <w:rPr>
          <w:rFonts w:hint="eastAsia"/>
        </w:rPr>
      </w:pPr>
      <w:r>
        <w:rPr>
          <w:rFonts w:hint="eastAsia"/>
        </w:rPr>
        <w:t>2.</w:t>
      </w:r>
      <w:r>
        <w:rPr>
          <w:rFonts w:hint="eastAsia"/>
        </w:rPr>
        <w:tab/>
        <w:t>本报告介绍了保加利亚通过国家立法和相关做法落实《公约》所确认的各项权利的最新进展情况。</w:t>
      </w:r>
    </w:p>
    <w:p w:rsidR="002F0C3A" w:rsidRDefault="002F0C3A" w:rsidP="002F0C3A">
      <w:pPr>
        <w:pStyle w:val="SingleTxt"/>
        <w:rPr>
          <w:rFonts w:hint="eastAsia"/>
        </w:rPr>
      </w:pPr>
      <w:r>
        <w:rPr>
          <w:rFonts w:hint="eastAsia"/>
        </w:rPr>
        <w:t>3.</w:t>
      </w:r>
      <w:r>
        <w:rPr>
          <w:rFonts w:hint="eastAsia"/>
        </w:rPr>
        <w:tab/>
        <w:t>自1998年以来，保加利亚一直致力于进一步完善民主制度，包括加强国内立法、司法和行政措施。</w:t>
      </w:r>
    </w:p>
    <w:p w:rsidR="002F0C3A" w:rsidRDefault="002F0C3A" w:rsidP="002F0C3A">
      <w:pPr>
        <w:pStyle w:val="SingleTxt"/>
        <w:rPr>
          <w:rFonts w:hint="eastAsia"/>
        </w:rPr>
      </w:pPr>
      <w:r>
        <w:rPr>
          <w:rFonts w:hint="eastAsia"/>
        </w:rPr>
        <w:t>4.</w:t>
      </w:r>
      <w:r>
        <w:rPr>
          <w:rFonts w:hint="eastAsia"/>
        </w:rPr>
        <w:tab/>
        <w:t>2000年1月至2009年6月，保加利亚举行了多次议会选举、总统选举和地方选举。国际社会和保加利亚人民认为这些选举是自由、民主和公正的选举。这些选举巩固了政治多元化，根据《宪法》(第十一条)，政治多元化是保加利亚共和国政治生活的基础。选举使国内政治局势保持稳定，并维护了保加利亚民主变革不可逆转的趋势。</w:t>
      </w:r>
    </w:p>
    <w:p w:rsidR="002F0C3A" w:rsidRDefault="002F0C3A" w:rsidP="002F0C3A">
      <w:pPr>
        <w:pStyle w:val="SingleTxt"/>
        <w:rPr>
          <w:rFonts w:hint="eastAsia"/>
        </w:rPr>
      </w:pPr>
      <w:r>
        <w:rPr>
          <w:rFonts w:hint="eastAsia"/>
        </w:rPr>
        <w:t>5.</w:t>
      </w:r>
      <w:r>
        <w:rPr>
          <w:rFonts w:hint="eastAsia"/>
        </w:rPr>
        <w:tab/>
        <w:t>2004年3月29日，保加利亚交存了加入《北大西洋公约》的文书，从而成为北大西洋公约组织(北约)正式成员。之后，随着2007年欧洲联盟(欧盟)的扩大，保加利亚于2007年1月1日正式成为欧盟成员国。</w:t>
      </w:r>
    </w:p>
    <w:p w:rsidR="002F0C3A" w:rsidRDefault="002F0C3A" w:rsidP="002F0C3A">
      <w:pPr>
        <w:pStyle w:val="SingleTxt"/>
        <w:rPr>
          <w:rFonts w:hint="eastAsia"/>
        </w:rPr>
      </w:pPr>
      <w:r>
        <w:rPr>
          <w:rFonts w:hint="eastAsia"/>
        </w:rPr>
        <w:t>6.</w:t>
      </w:r>
      <w:r>
        <w:rPr>
          <w:rFonts w:hint="eastAsia"/>
        </w:rPr>
        <w:tab/>
        <w:t>为了使国内立法与《消除对妇女一切形式歧视公约》相一致，保加利亚还采取了另外许多特别措施。</w:t>
      </w:r>
    </w:p>
    <w:p w:rsidR="0034595D" w:rsidRPr="0034595D" w:rsidRDefault="0034595D" w:rsidP="0034595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F0C3A" w:rsidRDefault="002F0C3A" w:rsidP="0034595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二</w:t>
      </w:r>
      <w:r w:rsidR="00DB32A1">
        <w:rPr>
          <w:rFonts w:ascii="Times New Roman"/>
        </w:rPr>
        <w:t>.</w:t>
      </w:r>
      <w:r>
        <w:rPr>
          <w:rFonts w:hint="eastAsia"/>
        </w:rPr>
        <w:tab/>
        <w:t>关于《公约》执行情况的报告(第一条至第十六条)</w:t>
      </w:r>
    </w:p>
    <w:p w:rsidR="0034595D" w:rsidRPr="0034595D" w:rsidRDefault="0034595D" w:rsidP="003459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4595D" w:rsidRPr="0034595D" w:rsidRDefault="0034595D" w:rsidP="003459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F0C3A" w:rsidRDefault="002F0C3A" w:rsidP="003459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第一条 </w:t>
      </w:r>
    </w:p>
    <w:p w:rsidR="0034595D" w:rsidRPr="0034595D" w:rsidRDefault="0034595D" w:rsidP="0034595D">
      <w:pPr>
        <w:pStyle w:val="SingleTxt"/>
        <w:spacing w:after="0" w:line="120" w:lineRule="exact"/>
        <w:rPr>
          <w:rFonts w:hint="eastAsia"/>
          <w:sz w:val="10"/>
        </w:rPr>
      </w:pPr>
    </w:p>
    <w:p w:rsidR="002F0C3A" w:rsidRDefault="002F0C3A" w:rsidP="002F0C3A">
      <w:pPr>
        <w:pStyle w:val="SingleTxt"/>
        <w:rPr>
          <w:rFonts w:hint="eastAsia"/>
        </w:rPr>
      </w:pPr>
      <w:r>
        <w:rPr>
          <w:rFonts w:hint="eastAsia"/>
        </w:rPr>
        <w:t>7.</w:t>
      </w:r>
      <w:r>
        <w:rPr>
          <w:rFonts w:hint="eastAsia"/>
        </w:rPr>
        <w:tab/>
        <w:t>《保加利亚共和国宪法》规定了平等和不歧视的原则(第六条)。《劳动法》</w:t>
      </w:r>
      <w:r w:rsidRPr="0034595D">
        <w:rPr>
          <w:rFonts w:hint="eastAsia"/>
          <w:spacing w:val="-2"/>
        </w:rPr>
        <w:t>明令禁止任何形式的歧视、特权、基于性别的各种限制，并确定了男女同工同酬原则。《促进就业法》、《社会援助法》、《高等教育法》以及《保加利亚共和国国防和军队法》等，也包含关于两性和家庭地位的反歧视条例。《家庭法》以</w:t>
      </w:r>
      <w:r>
        <w:rPr>
          <w:rFonts w:hint="eastAsia"/>
        </w:rPr>
        <w:t>“……男女平等……”的原则为基础。《社会保障法》介绍了具有约束力的普遍社会保障和所有投保人员平等的原则。《刑法典》规定，实施强奸、强迫他人参与卖淫行为、贩运人口以及利用他人的地位或其物质依赖性强迫进行性行为等做法均构成犯罪。《打击人口贩运法》介绍了根据《联合国打击跨国有组织犯罪公约》以及《联合国打击跨国有组织犯罪公约关于预防、禁止和惩治贩运人口特别是妇女和儿童行为的补充议定书》预防和保护人口贩运受害者的各项措施。《防止家庭暴力法》对家庭暴力做了界定，规定了防止家庭暴力的措施，并为受害者提供了帮助和支持。根据依照《监察员法》，国家监察员及其代表负责调查侵犯公民权利和自由的行为，包括基于性别的歧视行为，其中包括国家或市政机构及其行政部门以及代表提供公共服务的人士实施的这些行为。</w:t>
      </w:r>
    </w:p>
    <w:p w:rsidR="002F0C3A" w:rsidRDefault="002F0C3A" w:rsidP="002F0C3A">
      <w:pPr>
        <w:pStyle w:val="SingleTxt"/>
        <w:rPr>
          <w:rFonts w:hint="eastAsia"/>
        </w:rPr>
      </w:pPr>
      <w:r>
        <w:rPr>
          <w:rFonts w:hint="eastAsia"/>
        </w:rPr>
        <w:t>8.</w:t>
      </w:r>
      <w:r>
        <w:rPr>
          <w:rFonts w:hint="eastAsia"/>
        </w:rPr>
        <w:tab/>
        <w:t>《防止歧视法》(第86/2003号政府公报，2009年6月5日最新修订的第42号政府公报颁布)在两性平等、同工同酬、就业机会平等、孕妇保护和歧视案件中举证责任等方面符合国际法并取得了实际成效。通过推行实际适用该法的机制，进一步确立了《保加利亚共和国宪法》第六条中所规定的禁止歧视的宪法原则和法律面前平等的原则。《防止歧视法》第76至第84条规定了强制性行政措施和行政处罚措施。</w:t>
      </w:r>
    </w:p>
    <w:p w:rsidR="002F0C3A" w:rsidRDefault="002F0C3A" w:rsidP="002F0C3A">
      <w:pPr>
        <w:pStyle w:val="SingleTxt"/>
        <w:rPr>
          <w:rFonts w:hint="eastAsia"/>
        </w:rPr>
      </w:pPr>
      <w:r>
        <w:rPr>
          <w:rFonts w:hint="eastAsia"/>
        </w:rPr>
        <w:t>9.</w:t>
      </w:r>
      <w:r>
        <w:rPr>
          <w:rFonts w:hint="eastAsia"/>
        </w:rPr>
        <w:tab/>
        <w:t>依法做出的法定歧视定义符合《公约》有关歧视的定义。直接歧视的定义是：同其他人在相似情形下现受到的、已受到的或将受到的待遇相比，一个人因性别、种族、民族、族裔、人类基因组、公民身份、血统、宗教或信仰、教育、信条、政治派别、个人或公众地位、残疾、年龄、性倾向、婚姻状况、财产状况而受处于不利境地，或是受到法律或保加利亚共和国所加入的国际条约所涉及的任何其他不利待遇。根据法律间接歧视定义是：基于上述理由，按似乎中立的规定、标准或做法，将一个人置于同其他人相比不利的地位，除非此类规定、标准或做法是出于客观合理的法律目的，而且实现此种目的的手段是适当的、必要的。</w:t>
      </w:r>
    </w:p>
    <w:p w:rsidR="002F0C3A" w:rsidRDefault="002F0C3A" w:rsidP="002F0C3A">
      <w:pPr>
        <w:pStyle w:val="SingleTxt"/>
        <w:rPr>
          <w:rFonts w:hint="eastAsia"/>
        </w:rPr>
      </w:pPr>
      <w:r>
        <w:rPr>
          <w:rFonts w:hint="eastAsia"/>
        </w:rPr>
        <w:t>10.</w:t>
      </w:r>
      <w:r>
        <w:rPr>
          <w:rFonts w:hint="eastAsia"/>
        </w:rPr>
        <w:tab/>
        <w:t xml:space="preserve">保加利亚禁止任何直接或间接歧视，并在保护人们行使《保加利亚共和国宪法》和立法所规定的权利和自由的基础上，有效禁止对任何实行歧视。因此歧视定义包括： </w:t>
      </w:r>
    </w:p>
    <w:p w:rsidR="002F0C3A" w:rsidRDefault="0034595D" w:rsidP="002F0C3A">
      <w:pPr>
        <w:pStyle w:val="SingleTxt"/>
        <w:rPr>
          <w:rFonts w:hint="eastAsia"/>
        </w:rPr>
      </w:pPr>
      <w:r>
        <w:rPr>
          <w:rFonts w:hint="eastAsia"/>
        </w:rPr>
        <w:tab/>
      </w:r>
      <w:r w:rsidR="002F0C3A">
        <w:rPr>
          <w:rFonts w:hint="eastAsia"/>
        </w:rPr>
        <w:t>(a)</w:t>
      </w:r>
      <w:r w:rsidR="002F0C3A">
        <w:rPr>
          <w:rFonts w:hint="eastAsia"/>
        </w:rPr>
        <w:tab/>
        <w:t xml:space="preserve">导致不平等待遇的任何行动； </w:t>
      </w:r>
    </w:p>
    <w:p w:rsidR="002F0C3A" w:rsidRDefault="0034595D" w:rsidP="002F0C3A">
      <w:pPr>
        <w:pStyle w:val="SingleTxt"/>
        <w:rPr>
          <w:rFonts w:hint="eastAsia"/>
        </w:rPr>
      </w:pPr>
      <w:r>
        <w:rPr>
          <w:rFonts w:hint="eastAsia"/>
        </w:rPr>
        <w:tab/>
      </w:r>
      <w:r w:rsidR="002F0C3A">
        <w:rPr>
          <w:rFonts w:hint="eastAsia"/>
        </w:rPr>
        <w:t>(b)</w:t>
      </w:r>
      <w:r>
        <w:rPr>
          <w:rFonts w:hint="eastAsia"/>
        </w:rPr>
        <w:tab/>
      </w:r>
      <w:r w:rsidR="002F0C3A">
        <w:rPr>
          <w:rFonts w:hint="eastAsia"/>
        </w:rPr>
        <w:t>没有歧视意图、但具有歧视效应并导致实际歧视做法的立法性法规、政策和做法；</w:t>
      </w:r>
    </w:p>
    <w:p w:rsidR="002F0C3A" w:rsidRDefault="0034595D" w:rsidP="002F0C3A">
      <w:pPr>
        <w:pStyle w:val="SingleTxt"/>
        <w:rPr>
          <w:rFonts w:hint="eastAsia"/>
        </w:rPr>
      </w:pPr>
      <w:r>
        <w:rPr>
          <w:rFonts w:hint="eastAsia"/>
        </w:rPr>
        <w:tab/>
      </w:r>
      <w:r w:rsidR="002F0C3A">
        <w:rPr>
          <w:rFonts w:hint="eastAsia"/>
        </w:rPr>
        <w:t>(c)</w:t>
      </w:r>
      <w:r>
        <w:rPr>
          <w:rFonts w:hint="eastAsia"/>
        </w:rPr>
        <w:tab/>
      </w:r>
      <w:r w:rsidR="002F0C3A">
        <w:rPr>
          <w:rFonts w:hint="eastAsia"/>
        </w:rPr>
        <w:t>代表私人和公共机构和/或自然人实施的歧视行为以及私人和公共生活中存在的歧视。</w:t>
      </w:r>
    </w:p>
    <w:p w:rsidR="002F0C3A" w:rsidRDefault="002F0C3A" w:rsidP="002F0C3A">
      <w:pPr>
        <w:pStyle w:val="SingleTxt"/>
        <w:rPr>
          <w:rFonts w:hint="eastAsia"/>
        </w:rPr>
      </w:pPr>
      <w:r>
        <w:rPr>
          <w:rFonts w:hint="eastAsia"/>
        </w:rPr>
        <w:t>11.</w:t>
      </w:r>
      <w:r>
        <w:rPr>
          <w:rFonts w:hint="eastAsia"/>
        </w:rPr>
        <w:tab/>
        <w:t>该法律还给出了“骚扰”、“性骚扰”、“迫害”、“不平等待遇”和“多重歧视”的定义，并具体列示了未将不平等待遇视作歧视、认为不平等待遇是合理的案例。</w:t>
      </w:r>
    </w:p>
    <w:p w:rsidR="002F0C3A" w:rsidRDefault="002F0C3A" w:rsidP="002F0C3A">
      <w:pPr>
        <w:pStyle w:val="SingleTxt"/>
        <w:rPr>
          <w:rFonts w:hint="eastAsia"/>
        </w:rPr>
      </w:pPr>
      <w:r>
        <w:rPr>
          <w:rFonts w:hint="eastAsia"/>
        </w:rPr>
        <w:t>12.</w:t>
      </w:r>
      <w:r>
        <w:rPr>
          <w:rFonts w:hint="eastAsia"/>
        </w:rPr>
        <w:tab/>
        <w:t>根据2004年1月1日生效的《防止歧视法》，成立了一个防止歧视委员会。该委员会作为一个独立机构，向国民议会提交有关报告。委员会具有以下权力，依据法律预防、控制和保护人们免受歧视，确定违法行为并加以制裁；编制有关提案提交拥有行政权力的代表和地方自治政府机构；对颁布的违反本法律的行政行为提起上诉；让人们了解法律赋予的权利和义务，并应请求提供辩护经费等。</w:t>
      </w:r>
    </w:p>
    <w:p w:rsidR="002F0C3A" w:rsidRDefault="002F0C3A" w:rsidP="002F0C3A">
      <w:pPr>
        <w:pStyle w:val="SingleTxt"/>
        <w:rPr>
          <w:rFonts w:hint="eastAsia"/>
        </w:rPr>
      </w:pPr>
      <w:r>
        <w:rPr>
          <w:rFonts w:hint="eastAsia"/>
        </w:rPr>
        <w:t>13.</w:t>
      </w:r>
      <w:r>
        <w:rPr>
          <w:rFonts w:hint="eastAsia"/>
        </w:rPr>
        <w:tab/>
        <w:t>委员会的年度报告公布在官方互联网站上。2005年在委员会行政能力建设期间，通过了《委员会组织结构和活动细则》并成立了投诉审查小组。在2005年年度报告中，审查小组的案卷分发数据是按若干理由一并提交的。2006年数据是按单个理由提交的。根据2006年年度报告，</w:t>
      </w:r>
      <w:r w:rsidR="00A228DE">
        <w:rPr>
          <w:rStyle w:val="FootnoteReference"/>
        </w:rPr>
        <w:footnoteReference w:id="1"/>
      </w:r>
      <w:r>
        <w:rPr>
          <w:rFonts w:hint="eastAsia"/>
        </w:rPr>
        <w:t xml:space="preserve"> 以“性别歧视”为由提出了三项诉讼，以基于“婚姻状况”的歧视为由提出了一项诉讼，要求在休产假、生育休和育儿假(产假)方面终止歧视性做法，以多重歧视，特别是“性别歧视”为由提出了一项诉讼，这方面的歧视已经终止。2008年期间审理了10项诉讼，涉及基于“性别”的歧视行为。对基于“性别”歧视的投诉数量同2007年类似。在以“多重歧视”为由提出的两项初始诉讼中，都采用了“性别”指标。在法律或保加利亚共和国加入的国际条约中规定了这些指标，但《防止歧视法》第4条第1款中未列明该指标。根据有关性别指标的具体案例成立了一个特设工作组，负责审查根据委员会成员的报告对“性骚扰”提出的两项初始诉讼，“性骚扰”的受害者是妇女。</w:t>
      </w:r>
    </w:p>
    <w:p w:rsidR="002F0C3A" w:rsidRDefault="002F0C3A" w:rsidP="002F0C3A">
      <w:pPr>
        <w:pStyle w:val="SingleTxt"/>
        <w:rPr>
          <w:rFonts w:hint="eastAsia"/>
        </w:rPr>
      </w:pPr>
      <w:r>
        <w:rPr>
          <w:rFonts w:hint="eastAsia"/>
        </w:rPr>
        <w:t>14.</w:t>
      </w:r>
      <w:r>
        <w:rPr>
          <w:rFonts w:hint="eastAsia"/>
        </w:rPr>
        <w:tab/>
        <w:t>防止歧视的诉讼程序可在委员会和法院进行。如果在委员会进行则不收取国家费用。支出由委员会预算经费提供。除此类案件外，如果本法或其他法律规定的任何人的平等待遇权受到侵犯，可向地区法院提出申诉，请求对违法行为立案，判决被告停止违法行为并恢复违法前状况，以及制止进一步侵犯并进行损失赔偿。法院诉讼程序同样无需支付国家费用，支出由法院预算经费提供。</w:t>
      </w:r>
    </w:p>
    <w:p w:rsidR="002F0C3A" w:rsidRDefault="002F0C3A" w:rsidP="002F0C3A">
      <w:pPr>
        <w:pStyle w:val="SingleTxt"/>
        <w:rPr>
          <w:rFonts w:hint="eastAsia"/>
        </w:rPr>
      </w:pPr>
      <w:r>
        <w:rPr>
          <w:rFonts w:hint="eastAsia"/>
        </w:rPr>
        <w:t>15.</w:t>
      </w:r>
      <w:r>
        <w:rPr>
          <w:rFonts w:hint="eastAsia"/>
        </w:rPr>
        <w:tab/>
        <w:t>本法的一个突出特点是引入了反面举证责任。从客观目的出发，举证责任包括委员会或法院具有认定被告侵犯了平等待遇权的权利和义务，除非此人证明并未违反。第9条通过了这一从属原则，规定如果声称为歧视受害者的一方提供证据，证明存在歧视，那么，被告方须证明并未侵犯平等待遇权。同诉讼审查程序相比，在委员会举行的听证过程中，透明、公开的原则至关重要。不仅传唤主要当事方参加听证，还传唤同调查有关的其他利益攸关方和机构以及证人出席听证会。听证会对外开放，愿意参加的人和媒体代表都可参加。另外，公开听证的时间安排在委员会网页上公布。这对于宣传平等待遇，提高公众对歧视各种表现形式的敏感认识至关重要。</w:t>
      </w:r>
    </w:p>
    <w:p w:rsidR="002F0C3A" w:rsidRDefault="002F0C3A" w:rsidP="003459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第二条和第三条</w:t>
      </w:r>
    </w:p>
    <w:p w:rsidR="0034595D" w:rsidRPr="0034595D" w:rsidRDefault="0034595D" w:rsidP="0034595D">
      <w:pPr>
        <w:pStyle w:val="SingleTxt"/>
        <w:spacing w:after="0" w:line="120" w:lineRule="exact"/>
        <w:rPr>
          <w:rFonts w:hint="eastAsia"/>
          <w:sz w:val="10"/>
        </w:rPr>
      </w:pPr>
    </w:p>
    <w:p w:rsidR="002F0C3A" w:rsidRDefault="002F0C3A" w:rsidP="002F0C3A">
      <w:pPr>
        <w:pStyle w:val="SingleTxt"/>
        <w:rPr>
          <w:rFonts w:hint="eastAsia"/>
        </w:rPr>
      </w:pPr>
      <w:r>
        <w:rPr>
          <w:rFonts w:hint="eastAsia"/>
        </w:rPr>
        <w:t>16.</w:t>
      </w:r>
      <w:r>
        <w:rPr>
          <w:rFonts w:hint="eastAsia"/>
        </w:rPr>
        <w:tab/>
        <w:t>自1994年提交第二和第三次合并定期报告以来，保加利亚共和国加入欧盟的进程为建立保护两性平等国家体制机制提供了新的推动力。</w:t>
      </w:r>
    </w:p>
    <w:p w:rsidR="002F0C3A" w:rsidRDefault="002F0C3A" w:rsidP="002F0C3A">
      <w:pPr>
        <w:pStyle w:val="SingleTxt"/>
        <w:rPr>
          <w:rFonts w:hint="eastAsia"/>
        </w:rPr>
      </w:pPr>
      <w:r>
        <w:rPr>
          <w:rFonts w:hint="eastAsia"/>
        </w:rPr>
        <w:t>17.</w:t>
      </w:r>
      <w:r>
        <w:rPr>
          <w:rFonts w:hint="eastAsia"/>
        </w:rPr>
        <w:tab/>
        <w:t>2000年，保加利亚政府指定劳动和社会政策部为负责制定、协调和执行国家两性平等政策的机构。2001年以来，根据《欧洲就业战略》每年制定和实施《国家就业行动计划》，其中包括鼓励男女享有平等就业机会的方案和项目。</w:t>
      </w:r>
    </w:p>
    <w:p w:rsidR="002F0C3A" w:rsidRDefault="002F0C3A" w:rsidP="002F0C3A">
      <w:pPr>
        <w:pStyle w:val="SingleTxt"/>
        <w:rPr>
          <w:rFonts w:hint="eastAsia"/>
        </w:rPr>
      </w:pPr>
      <w:r>
        <w:rPr>
          <w:rFonts w:hint="eastAsia"/>
        </w:rPr>
        <w:t>18.</w:t>
      </w:r>
      <w:r>
        <w:rPr>
          <w:rFonts w:hint="eastAsia"/>
        </w:rPr>
        <w:tab/>
        <w:t xml:space="preserve">《就业战略》(2004-2010年)规定采取各项措施，建立立法、体制和资源基础，为男女提供平等的就业机会。 </w:t>
      </w:r>
    </w:p>
    <w:p w:rsidR="002F0C3A" w:rsidRDefault="002F0C3A" w:rsidP="002F0C3A">
      <w:pPr>
        <w:pStyle w:val="SingleTxt"/>
        <w:rPr>
          <w:rFonts w:hint="eastAsia"/>
        </w:rPr>
      </w:pPr>
      <w:r>
        <w:rPr>
          <w:rFonts w:hint="eastAsia"/>
        </w:rPr>
        <w:t>19.</w:t>
      </w:r>
      <w:r>
        <w:rPr>
          <w:rFonts w:hint="eastAsia"/>
        </w:rPr>
        <w:tab/>
        <w:t>2004年初在劳动和社会政策部内成立了男女平等就业部。2003年在劳动和社会政策部下建立了男女机会平等协商委员会，并采取了更有效的行动，创立制定两性平等政策的体制结构。</w:t>
      </w:r>
    </w:p>
    <w:p w:rsidR="002F0C3A" w:rsidRDefault="002F0C3A" w:rsidP="002F0C3A">
      <w:pPr>
        <w:pStyle w:val="SingleTxt"/>
        <w:rPr>
          <w:rFonts w:hint="eastAsia"/>
        </w:rPr>
      </w:pPr>
      <w:r>
        <w:rPr>
          <w:rFonts w:hint="eastAsia"/>
        </w:rPr>
        <w:t>20.</w:t>
      </w:r>
      <w:r>
        <w:rPr>
          <w:rFonts w:hint="eastAsia"/>
        </w:rPr>
        <w:tab/>
        <w:t>根据部长会议第313/17号令, 2004年11月在部长委员会下建立了全国两性平等委员会。委员会的权力包括，在制定和执行国家两性平等政策方面为政府机构提供建议，与政府机构合作和协作。国家委员会由劳动和社会政策部部长担任主席，其成员包括各部部长以及负责政策制定的国家机构负责人，包括国家社会安全局局长和国家统计局局长。国家委员会的行政和技术服务由劳动和社会政策部人口和家庭政策与平等机会局下设平等就业部(现为人口政策、平等机会和反歧视部)秘书处提供。</w:t>
      </w:r>
    </w:p>
    <w:p w:rsidR="002F0C3A" w:rsidRDefault="002F0C3A" w:rsidP="002F0C3A">
      <w:pPr>
        <w:pStyle w:val="SingleTxt"/>
        <w:rPr>
          <w:rFonts w:hint="eastAsia"/>
        </w:rPr>
      </w:pPr>
      <w:r>
        <w:rPr>
          <w:rFonts w:hint="eastAsia"/>
        </w:rPr>
        <w:t>21.</w:t>
      </w:r>
      <w:r>
        <w:rPr>
          <w:rFonts w:hint="eastAsia"/>
        </w:rPr>
        <w:tab/>
        <w:t>根据《全国两性平等委员会章程》，委员会为部长会议建言献策，讨论两性平等方面的立法和其他行动的相关项目，表达对于遵循两性平等政策目标的看法。委员会协调国家机构和非政府组织为实施国家两性平等政策所开展的活动，并协助它们在各自领域履行保加利亚共和国所承担的国际义务。委员会单独采取或与防止歧视委员会合作采取各种措施，落实保加利亚共和国的国家两性平等政策。</w:t>
      </w:r>
    </w:p>
    <w:p w:rsidR="002F0C3A" w:rsidRDefault="002F0C3A" w:rsidP="002F0C3A">
      <w:pPr>
        <w:pStyle w:val="SingleTxt"/>
        <w:rPr>
          <w:rFonts w:hint="eastAsia"/>
        </w:rPr>
      </w:pPr>
      <w:r>
        <w:rPr>
          <w:rFonts w:hint="eastAsia"/>
        </w:rPr>
        <w:t>22.</w:t>
      </w:r>
      <w:r>
        <w:rPr>
          <w:rFonts w:hint="eastAsia"/>
        </w:rPr>
        <w:tab/>
        <w:t>全国两性平等委员会通过《促进两性平等国家行动》计划来执行国家两性平等政策。自2005年起，委员会一直协助报告国家计划的执行情况。</w:t>
      </w:r>
    </w:p>
    <w:p w:rsidR="002F0C3A" w:rsidRDefault="002F0C3A" w:rsidP="002F0C3A">
      <w:pPr>
        <w:pStyle w:val="SingleTxt"/>
        <w:rPr>
          <w:rFonts w:hint="eastAsia"/>
        </w:rPr>
      </w:pPr>
      <w:r>
        <w:rPr>
          <w:rFonts w:hint="eastAsia"/>
        </w:rPr>
        <w:t>23.</w:t>
      </w:r>
      <w:r>
        <w:rPr>
          <w:rFonts w:hint="eastAsia"/>
        </w:rPr>
        <w:tab/>
        <w:t>《促进两性平等国家行动计划》旨在使保加利亚立法和判例法与欧洲共同体现行法以及成员国促进两性平等方面的良好做法保持一致。</w:t>
      </w:r>
    </w:p>
    <w:p w:rsidR="002F0C3A" w:rsidRDefault="002F0C3A" w:rsidP="002F0C3A">
      <w:pPr>
        <w:pStyle w:val="SingleTxt"/>
        <w:rPr>
          <w:rFonts w:hint="eastAsia"/>
        </w:rPr>
      </w:pPr>
      <w:r>
        <w:rPr>
          <w:rFonts w:hint="eastAsia"/>
        </w:rPr>
        <w:t>24.</w:t>
      </w:r>
      <w:r>
        <w:rPr>
          <w:rFonts w:hint="eastAsia"/>
        </w:rPr>
        <w:tab/>
        <w:t>《国家行动计划》涉及公共、政治和经济生活不同领域的活动，旨在履行保加利亚为实现千年发展目标3“促进两性平等并赋予妇女权力”所作的承诺。</w:t>
      </w:r>
    </w:p>
    <w:p w:rsidR="002F0C3A" w:rsidRDefault="002F0C3A" w:rsidP="002F0C3A">
      <w:pPr>
        <w:pStyle w:val="SingleTxt"/>
        <w:rPr>
          <w:rFonts w:hint="eastAsia"/>
        </w:rPr>
      </w:pPr>
      <w:r>
        <w:rPr>
          <w:rFonts w:hint="eastAsia"/>
        </w:rPr>
        <w:t>25.</w:t>
      </w:r>
      <w:r>
        <w:rPr>
          <w:rFonts w:hint="eastAsia"/>
        </w:rPr>
        <w:tab/>
        <w:t>《国家行动计划》中提出的措施有助于为进一步达到两性平等国际标准创造必要的条件。</w:t>
      </w:r>
    </w:p>
    <w:p w:rsidR="002F0C3A" w:rsidRDefault="002F0C3A" w:rsidP="002F0C3A">
      <w:pPr>
        <w:pStyle w:val="SingleTxt"/>
        <w:rPr>
          <w:rFonts w:hint="eastAsia"/>
        </w:rPr>
      </w:pPr>
      <w:r>
        <w:rPr>
          <w:rFonts w:hint="eastAsia"/>
        </w:rPr>
        <w:t>26.</w:t>
      </w:r>
      <w:r>
        <w:rPr>
          <w:rFonts w:hint="eastAsia"/>
        </w:rPr>
        <w:tab/>
        <w:t>2005年、2006年和2009年关于《国家行动计划》落实情况的报告在几个主要章节中反映了保加利亚在两性平等领域积累的国家经验和成就：</w:t>
      </w:r>
    </w:p>
    <w:p w:rsidR="002F0C3A" w:rsidRDefault="0034595D" w:rsidP="002F0C3A">
      <w:pPr>
        <w:pStyle w:val="SingleTxt"/>
        <w:rPr>
          <w:rFonts w:hint="eastAsia"/>
        </w:rPr>
      </w:pPr>
      <w:r>
        <w:rPr>
          <w:rFonts w:hint="eastAsia"/>
        </w:rPr>
        <w:tab/>
      </w:r>
      <w:r w:rsidR="002F0C3A">
        <w:rPr>
          <w:rFonts w:hint="eastAsia"/>
        </w:rPr>
        <w:t>(a)</w:t>
      </w:r>
      <w:r>
        <w:rPr>
          <w:rFonts w:hint="eastAsia"/>
        </w:rPr>
        <w:tab/>
      </w:r>
      <w:r w:rsidR="002F0C3A">
        <w:rPr>
          <w:rFonts w:hint="eastAsia"/>
        </w:rPr>
        <w:t xml:space="preserve">促进两性平等的国家政策； </w:t>
      </w:r>
    </w:p>
    <w:p w:rsidR="002F0C3A" w:rsidRDefault="0034595D" w:rsidP="002F0C3A">
      <w:pPr>
        <w:pStyle w:val="SingleTxt"/>
        <w:rPr>
          <w:rFonts w:hint="eastAsia"/>
        </w:rPr>
      </w:pPr>
      <w:r>
        <w:rPr>
          <w:rFonts w:hint="eastAsia"/>
        </w:rPr>
        <w:tab/>
      </w:r>
      <w:r w:rsidR="002F0C3A">
        <w:rPr>
          <w:rFonts w:hint="eastAsia"/>
        </w:rPr>
        <w:t>(b)</w:t>
      </w:r>
      <w:r>
        <w:rPr>
          <w:rFonts w:hint="eastAsia"/>
        </w:rPr>
        <w:tab/>
      </w:r>
      <w:r w:rsidR="002F0C3A">
        <w:rPr>
          <w:rFonts w:hint="eastAsia"/>
        </w:rPr>
        <w:t>促进经济活动、教育、医疗保健和文化领域的两性平等；</w:t>
      </w:r>
    </w:p>
    <w:p w:rsidR="002F0C3A" w:rsidRDefault="0034595D" w:rsidP="002F0C3A">
      <w:pPr>
        <w:pStyle w:val="SingleTxt"/>
        <w:rPr>
          <w:rFonts w:hint="eastAsia"/>
        </w:rPr>
      </w:pPr>
      <w:r>
        <w:rPr>
          <w:rFonts w:hint="eastAsia"/>
        </w:rPr>
        <w:tab/>
      </w:r>
      <w:r w:rsidR="002F0C3A">
        <w:rPr>
          <w:rFonts w:hint="eastAsia"/>
        </w:rPr>
        <w:t>(c)</w:t>
      </w:r>
      <w:r>
        <w:rPr>
          <w:rFonts w:hint="eastAsia"/>
        </w:rPr>
        <w:tab/>
      </w:r>
      <w:r w:rsidR="002F0C3A">
        <w:rPr>
          <w:rFonts w:hint="eastAsia"/>
        </w:rPr>
        <w:t>促进男女职业和家庭义务的和谐；</w:t>
      </w:r>
    </w:p>
    <w:p w:rsidR="002F0C3A" w:rsidRDefault="0034595D" w:rsidP="002F0C3A">
      <w:pPr>
        <w:pStyle w:val="SingleTxt"/>
        <w:rPr>
          <w:rFonts w:hint="eastAsia"/>
        </w:rPr>
      </w:pPr>
      <w:r>
        <w:rPr>
          <w:rFonts w:hint="eastAsia"/>
        </w:rPr>
        <w:tab/>
      </w:r>
      <w:r w:rsidR="002F0C3A">
        <w:rPr>
          <w:rFonts w:hint="eastAsia"/>
        </w:rPr>
        <w:t>(d)</w:t>
      </w:r>
      <w:r>
        <w:rPr>
          <w:rFonts w:hint="eastAsia"/>
        </w:rPr>
        <w:tab/>
      </w:r>
      <w:r w:rsidR="002F0C3A">
        <w:rPr>
          <w:rFonts w:hint="eastAsia"/>
        </w:rPr>
        <w:t>促进决策领域的两性平等；</w:t>
      </w:r>
    </w:p>
    <w:p w:rsidR="002F0C3A" w:rsidRDefault="0034595D" w:rsidP="002F0C3A">
      <w:pPr>
        <w:pStyle w:val="SingleTxt"/>
        <w:rPr>
          <w:rFonts w:hint="eastAsia"/>
        </w:rPr>
      </w:pPr>
      <w:r>
        <w:rPr>
          <w:rFonts w:hint="eastAsia"/>
        </w:rPr>
        <w:tab/>
      </w:r>
      <w:r w:rsidR="002F0C3A">
        <w:rPr>
          <w:rFonts w:hint="eastAsia"/>
        </w:rPr>
        <w:t>(e)</w:t>
      </w:r>
      <w:r>
        <w:rPr>
          <w:rFonts w:hint="eastAsia"/>
        </w:rPr>
        <w:tab/>
      </w:r>
      <w:r w:rsidR="002F0C3A">
        <w:rPr>
          <w:rFonts w:hint="eastAsia"/>
        </w:rPr>
        <w:t>消除性别暴力和贩运人口现象；</w:t>
      </w:r>
    </w:p>
    <w:p w:rsidR="002F0C3A" w:rsidRDefault="0034595D" w:rsidP="002F0C3A">
      <w:pPr>
        <w:pStyle w:val="SingleTxt"/>
        <w:rPr>
          <w:rFonts w:hint="eastAsia"/>
        </w:rPr>
      </w:pPr>
      <w:r>
        <w:rPr>
          <w:rFonts w:hint="eastAsia"/>
        </w:rPr>
        <w:tab/>
      </w:r>
      <w:r w:rsidR="002F0C3A">
        <w:rPr>
          <w:rFonts w:hint="eastAsia"/>
        </w:rPr>
        <w:t>(f)</w:t>
      </w:r>
      <w:r>
        <w:rPr>
          <w:rFonts w:hint="eastAsia"/>
        </w:rPr>
        <w:tab/>
      </w:r>
      <w:r w:rsidR="002F0C3A">
        <w:rPr>
          <w:rFonts w:hint="eastAsia"/>
        </w:rPr>
        <w:t>采取行动克服社会上存在的性别陈规定型观念。</w:t>
      </w:r>
    </w:p>
    <w:p w:rsidR="002F0C3A" w:rsidRDefault="002F0C3A" w:rsidP="000E37F6">
      <w:pPr>
        <w:pStyle w:val="SingleTxt"/>
        <w:spacing w:line="340" w:lineRule="exact"/>
        <w:rPr>
          <w:rFonts w:hint="eastAsia"/>
        </w:rPr>
      </w:pPr>
      <w:r>
        <w:rPr>
          <w:rFonts w:hint="eastAsia"/>
        </w:rPr>
        <w:t>27.</w:t>
      </w:r>
      <w:r>
        <w:rPr>
          <w:rFonts w:hint="eastAsia"/>
        </w:rPr>
        <w:tab/>
        <w:t>在负责部委和机构预算框架内开展《国家行动计划》所确定的活动，必要时由其他来源提供资金。</w:t>
      </w:r>
    </w:p>
    <w:p w:rsidR="002F0C3A" w:rsidRDefault="002F0C3A" w:rsidP="000E37F6">
      <w:pPr>
        <w:pStyle w:val="SingleTxt"/>
        <w:spacing w:line="340" w:lineRule="exact"/>
        <w:rPr>
          <w:rFonts w:hint="eastAsia"/>
        </w:rPr>
      </w:pPr>
      <w:r>
        <w:rPr>
          <w:rFonts w:hint="eastAsia"/>
        </w:rPr>
        <w:t>28.</w:t>
      </w:r>
      <w:r>
        <w:rPr>
          <w:rFonts w:hint="eastAsia"/>
        </w:rPr>
        <w:tab/>
        <w:t>2008年制定了一项统一的实现《两性平等国家政策》，并纳入了2008年12月10日部长会议批准的《2008-2015年促进两性平等国家战略》。该战略符合2006年3月1日欧洲联盟委员会批准的《2006-2010年欧盟男女平等路线图》、《欧洲两性平等条约》以及欧洲社会新构想。该战略还符合保加利亚共和国为促进男女平等待遇而加入的有关文书：《消除对妇女一切形式歧视公约》；《北京宣言和行动纲要》(1995年)等。</w:t>
      </w:r>
    </w:p>
    <w:p w:rsidR="002F0C3A" w:rsidRDefault="002F0C3A" w:rsidP="000E37F6">
      <w:pPr>
        <w:pStyle w:val="SingleTxt"/>
        <w:spacing w:line="340" w:lineRule="exact"/>
        <w:rPr>
          <w:rFonts w:hint="eastAsia"/>
        </w:rPr>
      </w:pPr>
      <w:r>
        <w:rPr>
          <w:rFonts w:hint="eastAsia"/>
        </w:rPr>
        <w:t>29.</w:t>
      </w:r>
      <w:r>
        <w:rPr>
          <w:rFonts w:hint="eastAsia"/>
        </w:rPr>
        <w:tab/>
        <w:t>《国家战略》的主要构想是通过反歧视立法措施实现公众实际转变，加强体制机制，重申两性平等和平等待遇，同时采取特别鼓励措施，采纳新的行为模式。《国家战略》的主要目标是保障平等权利、平等待遇、平等获得公共资源，以及男女平等参与保加利亚共和国的决策，从而确保个人和社会取得成功，激励男女在本国公共、经济和政治生活各个领域实现平等。</w:t>
      </w:r>
    </w:p>
    <w:p w:rsidR="002F0C3A" w:rsidRDefault="002F0C3A" w:rsidP="000E37F6">
      <w:pPr>
        <w:pStyle w:val="SingleTxt"/>
        <w:spacing w:line="340" w:lineRule="exact"/>
        <w:rPr>
          <w:rFonts w:hint="eastAsia"/>
        </w:rPr>
      </w:pPr>
      <w:r>
        <w:rPr>
          <w:rFonts w:hint="eastAsia"/>
        </w:rPr>
        <w:t>30.</w:t>
      </w:r>
      <w:r>
        <w:rPr>
          <w:rFonts w:hint="eastAsia"/>
        </w:rPr>
        <w:tab/>
        <w:t>促进实施该战略的具体目标包括：在公共生活任何领域中都不允许存在任何基于性别的歧视；针对男女群体采取积极措施，消除过去歧视性活动造成的各种后果(在歧视基础上过渡到市场经济对男女产生了有害影响)；本国宪法和立法保护保加利亚公民所享有的平等权利，而且在本国领土上所有居民都可以平等享有这些权利。</w:t>
      </w:r>
    </w:p>
    <w:p w:rsidR="002F0C3A" w:rsidRDefault="002F0C3A" w:rsidP="000E37F6">
      <w:pPr>
        <w:pStyle w:val="SingleTxt"/>
        <w:spacing w:line="340" w:lineRule="exact"/>
        <w:rPr>
          <w:rFonts w:hint="eastAsia"/>
        </w:rPr>
      </w:pPr>
      <w:r>
        <w:rPr>
          <w:rFonts w:hint="eastAsia"/>
        </w:rPr>
        <w:t>31.</w:t>
      </w:r>
      <w:r>
        <w:rPr>
          <w:rFonts w:hint="eastAsia"/>
        </w:rPr>
        <w:tab/>
        <w:t>由劳动和社会政策部负责组织、制定和协调《国家两性平等政策》并监测该政策执行情况。根据现行的国家法律，政府指定劳动和社会政策部为牵头机构，负责促进平等机会。</w:t>
      </w:r>
    </w:p>
    <w:p w:rsidR="002F0C3A" w:rsidRDefault="002F0C3A" w:rsidP="000E37F6">
      <w:pPr>
        <w:pStyle w:val="SingleTxt"/>
        <w:spacing w:line="340" w:lineRule="exact"/>
        <w:rPr>
          <w:rFonts w:hint="eastAsia"/>
        </w:rPr>
      </w:pPr>
      <w:r>
        <w:rPr>
          <w:rFonts w:hint="eastAsia"/>
        </w:rPr>
        <w:t>32.</w:t>
      </w:r>
      <w:r>
        <w:rPr>
          <w:rFonts w:hint="eastAsia"/>
        </w:rPr>
        <w:tab/>
        <w:t>2006年3月-4月期间，根据部长会议通过的《全国两性平等委员会章程》第10条，分别在各部委或机构任命了22名协调员和专家。在任命这些平等机会协调员/专家后，其规定的工作职责没有增加。这些协调员和专家的职责同部长会议全国两性平等委员会控制的执行两性平等政策和协调有关，但在多数机构内，这些职责从属于各公务员工作职责中明确规定的主要职责。</w:t>
      </w:r>
    </w:p>
    <w:p w:rsidR="002F0C3A" w:rsidRDefault="002F0C3A" w:rsidP="000E37F6">
      <w:pPr>
        <w:pStyle w:val="SingleTxt"/>
        <w:spacing w:line="340" w:lineRule="exact"/>
        <w:rPr>
          <w:rFonts w:hint="eastAsia"/>
        </w:rPr>
      </w:pPr>
      <w:r>
        <w:rPr>
          <w:rFonts w:hint="eastAsia"/>
        </w:rPr>
        <w:t>33.</w:t>
      </w:r>
      <w:r>
        <w:rPr>
          <w:rFonts w:hint="eastAsia"/>
        </w:rPr>
        <w:tab/>
        <w:t>2005年以来到现在，在国家预算或外部资源资助的项目框架内，劳动和社会政策部为中央、地区或地方执行机构的1 000多名专家进行了多次短期培训，目的是增加执行两性平等政策的行政能力，采取综合方法解决男女平等待遇问题(实现两性平等主流化)，并在制定、监测和评估政策和立法的过程中拟定性别分析方法。</w:t>
      </w:r>
    </w:p>
    <w:p w:rsidR="002F0C3A" w:rsidRDefault="002F0C3A" w:rsidP="002F0C3A">
      <w:pPr>
        <w:pStyle w:val="SingleTxt"/>
        <w:rPr>
          <w:rFonts w:hint="eastAsia"/>
        </w:rPr>
      </w:pPr>
      <w:r>
        <w:rPr>
          <w:rFonts w:hint="eastAsia"/>
        </w:rPr>
        <w:t>34.</w:t>
      </w:r>
      <w:r>
        <w:rPr>
          <w:rFonts w:hint="eastAsia"/>
        </w:rPr>
        <w:tab/>
        <w:t>尽管《宪法》和法律规定男女平等，但对保加利亚不同领域两性平等问题的审查结果</w:t>
      </w:r>
      <w:r w:rsidR="00A228DE">
        <w:rPr>
          <w:rStyle w:val="FootnoteReference"/>
        </w:rPr>
        <w:footnoteReference w:id="2"/>
      </w:r>
      <w:r w:rsidR="00A228DE">
        <w:t xml:space="preserve"> </w:t>
      </w:r>
      <w:r>
        <w:rPr>
          <w:rFonts w:hint="eastAsia"/>
        </w:rPr>
        <w:t>却表明，在就业和政治生活参与中存在男女不平等现象。这些差异表明，一些正式限制直接或间接影响着两性平等的各个层面。但是，大多数限制是间接性的，反映了观念和/或实际看法。</w:t>
      </w:r>
    </w:p>
    <w:p w:rsidR="002F0C3A" w:rsidRDefault="002F0C3A" w:rsidP="002F0C3A">
      <w:pPr>
        <w:pStyle w:val="SingleTxt"/>
        <w:rPr>
          <w:rFonts w:hint="eastAsia"/>
        </w:rPr>
      </w:pPr>
      <w:r>
        <w:rPr>
          <w:rFonts w:hint="eastAsia"/>
        </w:rPr>
        <w:t>35.</w:t>
      </w:r>
      <w:r>
        <w:rPr>
          <w:rFonts w:hint="eastAsia"/>
        </w:rPr>
        <w:tab/>
        <w:t xml:space="preserve">确定不平等领域存在各种困难，这主要是由于缺少按不同分组(年龄、种族、教育程度、就业状况、收入、婚姻状况、家庭组成等)和性别分列的全面详尽的统计数字，无法表明男女之间的差异。正在引入国家和行政统计机构(国家统计局；国家社会安全局；各部；国家机构；以及其他机构)目前和定期提供的资料中按性别分列的更多综合全面、广泛应用的指标。 </w:t>
      </w:r>
    </w:p>
    <w:p w:rsidR="002F0C3A" w:rsidRDefault="002F0C3A" w:rsidP="002F0C3A">
      <w:pPr>
        <w:pStyle w:val="SingleTxt"/>
        <w:rPr>
          <w:rFonts w:hint="eastAsia"/>
        </w:rPr>
      </w:pPr>
      <w:r>
        <w:rPr>
          <w:rFonts w:hint="eastAsia"/>
        </w:rPr>
        <w:t>36.</w:t>
      </w:r>
      <w:r>
        <w:rPr>
          <w:rFonts w:hint="eastAsia"/>
        </w:rPr>
        <w:tab/>
        <w:t>2008年国家统计局参与讨论了关于各种暴力侵害妇女形式的一系列国际可比指标。2008年，这类指标范围扩大，包括了同国家社会保障提供的补偿和津贴有关，包括育儿假，且按性别分列的所有数据，旨在监测两性平等，充实国家统计局和欧洲联盟统计局按性别分列的社会保障数据。关于编制性别统计世界发展计划，已审查了保加利亚的性别统计数据，并且从2008年起国家统计局根据联合国欧洲经济委员会的要求每年提供按性别分列的数据。</w:t>
      </w:r>
    </w:p>
    <w:p w:rsidR="002F0C3A" w:rsidRDefault="002F0C3A" w:rsidP="003459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第四条 </w:t>
      </w:r>
    </w:p>
    <w:p w:rsidR="0034595D" w:rsidRPr="0034595D" w:rsidRDefault="0034595D" w:rsidP="0034595D">
      <w:pPr>
        <w:pStyle w:val="SingleTxt"/>
        <w:spacing w:after="0" w:line="120" w:lineRule="exact"/>
        <w:rPr>
          <w:rFonts w:hint="eastAsia"/>
          <w:sz w:val="10"/>
        </w:rPr>
      </w:pPr>
    </w:p>
    <w:p w:rsidR="002F0C3A" w:rsidRDefault="002F0C3A" w:rsidP="002F0C3A">
      <w:pPr>
        <w:pStyle w:val="SingleTxt"/>
        <w:rPr>
          <w:rFonts w:hint="eastAsia"/>
        </w:rPr>
      </w:pPr>
      <w:r>
        <w:rPr>
          <w:rFonts w:hint="eastAsia"/>
        </w:rPr>
        <w:t>37.</w:t>
      </w:r>
      <w:r>
        <w:rPr>
          <w:rFonts w:hint="eastAsia"/>
        </w:rPr>
        <w:tab/>
        <w:t xml:space="preserve">《防止歧视法》引入了鼓励措施概念，这些措施旨在充分实现两性平等，保护人们免受基于性别的歧视。《防止歧视法》第24条提供了保护措施，这些措施反映了两个可能存在歧视的领域，并要求所有雇主必须采取鼓励行动，确保男女机会平等： </w:t>
      </w:r>
    </w:p>
    <w:p w:rsidR="002F0C3A" w:rsidRDefault="0034595D" w:rsidP="002F0C3A">
      <w:pPr>
        <w:pStyle w:val="SingleTxt"/>
        <w:rPr>
          <w:rFonts w:hint="eastAsia"/>
        </w:rPr>
      </w:pPr>
      <w:r>
        <w:rPr>
          <w:rFonts w:hint="eastAsia"/>
        </w:rPr>
        <w:tab/>
      </w:r>
      <w:r w:rsidR="002F0C3A">
        <w:rPr>
          <w:rFonts w:hint="eastAsia"/>
        </w:rPr>
        <w:t>(a)</w:t>
      </w:r>
      <w:r>
        <w:rPr>
          <w:rFonts w:hint="eastAsia"/>
        </w:rPr>
        <w:tab/>
      </w:r>
      <w:r w:rsidR="002F0C3A">
        <w:rPr>
          <w:rFonts w:hint="eastAsia"/>
        </w:rPr>
        <w:t>招聘；以及</w:t>
      </w:r>
    </w:p>
    <w:p w:rsidR="002F0C3A" w:rsidRDefault="0034595D" w:rsidP="002F0C3A">
      <w:pPr>
        <w:pStyle w:val="SingleTxt"/>
        <w:rPr>
          <w:rFonts w:hint="eastAsia"/>
        </w:rPr>
      </w:pPr>
      <w:r>
        <w:rPr>
          <w:rFonts w:hint="eastAsia"/>
        </w:rPr>
        <w:tab/>
      </w:r>
      <w:r w:rsidR="002F0C3A">
        <w:rPr>
          <w:rFonts w:hint="eastAsia"/>
        </w:rPr>
        <w:t>(b)</w:t>
      </w:r>
      <w:r>
        <w:rPr>
          <w:rFonts w:hint="eastAsia"/>
        </w:rPr>
        <w:tab/>
      </w:r>
      <w:r w:rsidR="002F0C3A">
        <w:rPr>
          <w:rFonts w:hint="eastAsia"/>
        </w:rPr>
        <w:t>属于性别比例较低一方的工作者和雇员的职业发展。</w:t>
      </w:r>
    </w:p>
    <w:p w:rsidR="002F0C3A" w:rsidRDefault="002F0C3A" w:rsidP="002F0C3A">
      <w:pPr>
        <w:pStyle w:val="SingleTxt"/>
        <w:rPr>
          <w:rFonts w:hint="eastAsia"/>
        </w:rPr>
      </w:pPr>
      <w:r>
        <w:rPr>
          <w:rFonts w:hint="eastAsia"/>
        </w:rPr>
        <w:t>38.</w:t>
      </w:r>
      <w:r>
        <w:rPr>
          <w:rFonts w:hint="eastAsia"/>
        </w:rPr>
        <w:tab/>
        <w:t>《防止歧视法》首次对特别保护和鼓励性措施做了区分，从而奠定了正确理解男女平等待遇的基础。这一规定的目的是确保建立平等的劳动力多样性，包括两性平等。这要求雇主要对男女雇员的人数进行评估，并应不断更新，从而在招聘新员工和确立劳动关系时参照该评估结果。应当指出的是，出于实现本法规定目标的需要，根据第24条，雇主在招聘时应考虑由属于性别不占优势或少数族裔群体的候选人来从事某项工作或履行某些职责。同时，在平等环境下，属于特定性别或族裔群体的工作者和雇员如果在从事某项工作或担任某个职务的工作者或雇员中比例较低，雇主有义务鼓励他们谋求职业发展并参与进来。</w:t>
      </w:r>
    </w:p>
    <w:p w:rsidR="002F0C3A" w:rsidRDefault="002F0C3A" w:rsidP="002F0C3A">
      <w:pPr>
        <w:pStyle w:val="SingleTxt"/>
        <w:rPr>
          <w:rFonts w:hint="eastAsia"/>
        </w:rPr>
      </w:pPr>
      <w:r>
        <w:rPr>
          <w:rFonts w:hint="eastAsia"/>
        </w:rPr>
        <w:t>39.</w:t>
      </w:r>
      <w:r>
        <w:rPr>
          <w:rFonts w:hint="eastAsia"/>
        </w:rPr>
        <w:tab/>
        <w:t>《防止歧视法》第38条也阐明了这一原则，规定国家和公共机构以及地方自治政府，应执行鼓励男女均衡参与的政策。不过，法律并未给出两性“均衡参与”的定义。</w:t>
      </w:r>
    </w:p>
    <w:p w:rsidR="002F0C3A" w:rsidRDefault="002F0C3A" w:rsidP="002F0C3A">
      <w:pPr>
        <w:pStyle w:val="SingleTxt"/>
        <w:rPr>
          <w:rFonts w:hint="eastAsia"/>
        </w:rPr>
      </w:pPr>
      <w:r>
        <w:rPr>
          <w:rFonts w:hint="eastAsia"/>
        </w:rPr>
        <w:t>40.</w:t>
      </w:r>
      <w:r>
        <w:rPr>
          <w:rFonts w:hint="eastAsia"/>
        </w:rPr>
        <w:tab/>
        <w:t>《防止歧视法》规定，在有关方面不执行本法的情况下，防止歧视委员会有权实施强制性行政措施并发布强制命令。年度报告中公布了委员会所提及案例的数据。保加利亚政府为确定鼓励性措施综合实施概念做出了努力，包括消除所有领域的两性不平等。</w:t>
      </w:r>
    </w:p>
    <w:p w:rsidR="002F0C3A" w:rsidRDefault="002F0C3A" w:rsidP="002F0C3A">
      <w:pPr>
        <w:pStyle w:val="SingleTxt"/>
        <w:rPr>
          <w:rFonts w:hint="eastAsia"/>
        </w:rPr>
      </w:pPr>
      <w:r>
        <w:rPr>
          <w:rFonts w:hint="eastAsia"/>
        </w:rPr>
        <w:t>41.</w:t>
      </w:r>
      <w:r>
        <w:rPr>
          <w:rFonts w:hint="eastAsia"/>
        </w:rPr>
        <w:tab/>
        <w:t>在执行保加利亚共和国《国家人口战略(2006-2020年)年度计划框架》内，劳动和社会政策部根据一系列性别指标报告了在实现两性平等方面所取得的进展。</w:t>
      </w:r>
    </w:p>
    <w:p w:rsidR="002F0C3A" w:rsidRDefault="002F0C3A" w:rsidP="003459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第五条 </w:t>
      </w:r>
    </w:p>
    <w:p w:rsidR="0034595D" w:rsidRPr="0034595D" w:rsidRDefault="0034595D" w:rsidP="0034595D">
      <w:pPr>
        <w:pStyle w:val="SingleTxt"/>
        <w:spacing w:after="0" w:line="120" w:lineRule="exact"/>
        <w:rPr>
          <w:rFonts w:hint="eastAsia"/>
          <w:sz w:val="10"/>
        </w:rPr>
      </w:pPr>
    </w:p>
    <w:p w:rsidR="002F0C3A" w:rsidRDefault="002F0C3A" w:rsidP="002F0C3A">
      <w:pPr>
        <w:pStyle w:val="SingleTxt"/>
        <w:rPr>
          <w:rFonts w:hint="eastAsia"/>
        </w:rPr>
      </w:pPr>
      <w:r>
        <w:rPr>
          <w:rFonts w:hint="eastAsia"/>
        </w:rPr>
        <w:t>42.</w:t>
      </w:r>
      <w:r>
        <w:rPr>
          <w:rFonts w:hint="eastAsia"/>
        </w:rPr>
        <w:tab/>
        <w:t>2008年在劳动和社会政策部的授意下，有关部门对保加利亚民意和男女在公共、经济和政治生活不同领域的平等状况进行了社会调查研究，在此过程中，绝大多数受访者都表示遵循民主社会的基本准则和价值观，即法律面前平等，享有平等权利，不论其性别如何。但是，社会中对妇女仍存在陈规定型观念，期待妇女将更多的时间放在照顾孩子上，而男子负责提供大部分家庭收入。</w:t>
      </w:r>
    </w:p>
    <w:p w:rsidR="002F0C3A" w:rsidRDefault="002F0C3A" w:rsidP="002F0C3A">
      <w:pPr>
        <w:pStyle w:val="SingleTxt"/>
        <w:rPr>
          <w:rFonts w:hint="eastAsia"/>
        </w:rPr>
      </w:pPr>
      <w:r>
        <w:rPr>
          <w:rFonts w:hint="eastAsia"/>
        </w:rPr>
        <w:t>43.</w:t>
      </w:r>
      <w:r>
        <w:rPr>
          <w:rFonts w:hint="eastAsia"/>
        </w:rPr>
        <w:tab/>
        <w:t>不过，对妇女担任管理职位的普遍看法并未遭到排斥和反对；相反，今天人们已接受了这一现实。三分之二以上的受访者认为，抚养子女的责任不是个人而是集体的责任，应由父母双方共同承担，不论其性别如何。67.1%的受访者支持父亲而不是母亲利用育儿假。关于离婚/分居后抚养儿童的问题，52.7%的受访者认为，母亲应抚养子女。仅有34.3%的受访者认为父母双方具有同等责任。76.1%的受访者认为妇女应提早退休，这表明了其他调研中已确定的稳定趋势。造成这种看法是由于2001年以前保加利亚习俗的传承和传统上认为妇女具有“自然特权”的某种观念。抚养子女及相关休假使妇女在工龄上无法“同男子享有平等”；妇女在家庭的角色更为重要，在正常情况下，妇女承担的更多，因为她们在家里“操持家务”，这也是在家庭以外从事有薪工作的妇女“有权”提早退休的原因所在。关于家庭暴力，四分之三的受访者明确反对使用暴力，不论出于何种原因。</w:t>
      </w:r>
    </w:p>
    <w:p w:rsidR="002F0C3A" w:rsidRDefault="002F0C3A" w:rsidP="002F0C3A">
      <w:pPr>
        <w:pStyle w:val="SingleTxt"/>
        <w:rPr>
          <w:rFonts w:hint="eastAsia"/>
        </w:rPr>
      </w:pPr>
      <w:r>
        <w:rPr>
          <w:rFonts w:hint="eastAsia"/>
        </w:rPr>
        <w:t>44.</w:t>
      </w:r>
      <w:r>
        <w:rPr>
          <w:rFonts w:hint="eastAsia"/>
        </w:rPr>
        <w:tab/>
        <w:t>国家为改变男女社会和文化行为模式着重采取了一些立法和行政措施，并广泛开展了禁止滥用暴力和侵犯人权的运动。</w:t>
      </w:r>
    </w:p>
    <w:p w:rsidR="002F0C3A" w:rsidRDefault="002F0C3A" w:rsidP="002F0C3A">
      <w:pPr>
        <w:pStyle w:val="SingleTxt"/>
        <w:rPr>
          <w:rFonts w:hint="eastAsia"/>
        </w:rPr>
      </w:pPr>
      <w:r>
        <w:rPr>
          <w:rFonts w:hint="eastAsia"/>
        </w:rPr>
        <w:t>45.</w:t>
      </w:r>
      <w:r>
        <w:rPr>
          <w:rFonts w:hint="eastAsia"/>
        </w:rPr>
        <w:tab/>
        <w:t>2005年3月16日，国民议会通过了《防止家庭暴力法》。该法规定了家庭暴力条例并提出了防止家庭暴力的措施，该法从法律上给出了“家庭暴力”的定义，要求国家创造条件，促进实施预防和防止家庭暴力的方案以及为受害者提供帮助和支持的方案。</w:t>
      </w:r>
    </w:p>
    <w:p w:rsidR="002F0C3A" w:rsidRDefault="002F0C3A" w:rsidP="002F0C3A">
      <w:pPr>
        <w:pStyle w:val="SingleTxt"/>
        <w:rPr>
          <w:rFonts w:hint="eastAsia"/>
        </w:rPr>
      </w:pPr>
      <w:r>
        <w:rPr>
          <w:rFonts w:hint="eastAsia"/>
        </w:rPr>
        <w:t>46.</w:t>
      </w:r>
      <w:r>
        <w:rPr>
          <w:rFonts w:hint="eastAsia"/>
        </w:rPr>
        <w:tab/>
        <w:t>根据现行法律制定的《防止家庭暴力法》由地区法院通过行政行为，即“保护令”加以推行，要求施暴者不得采取任何家庭暴力行为，并依法将施暴者驱逐出居住场所，禁止施暴者靠近受害者的住所、工作场所、社会熟人和娱乐休闲场所，同时还要求施暴者参加特殊计划，对其处以200至1 000保加利亚新列弗的罚款。</w:t>
      </w:r>
    </w:p>
    <w:p w:rsidR="002F0C3A" w:rsidRDefault="002F0C3A" w:rsidP="002F0C3A">
      <w:pPr>
        <w:pStyle w:val="SingleTxt"/>
        <w:rPr>
          <w:rFonts w:hint="eastAsia"/>
        </w:rPr>
      </w:pPr>
      <w:r>
        <w:rPr>
          <w:rFonts w:hint="eastAsia"/>
        </w:rPr>
        <w:t>47.</w:t>
      </w:r>
      <w:r>
        <w:rPr>
          <w:rFonts w:hint="eastAsia"/>
        </w:rPr>
        <w:tab/>
        <w:t>2009年期间，对《刑法典》(第296条第1款)进行了修改，根据《防止家庭暴力法》加强了对受害者的保护，规定对不执行法院根据《防止家庭暴力法》发布的禁止家庭暴力保护令者加以惩罚。</w:t>
      </w:r>
    </w:p>
    <w:p w:rsidR="002F0C3A" w:rsidRDefault="002F0C3A" w:rsidP="002F0C3A">
      <w:pPr>
        <w:pStyle w:val="SingleTxt"/>
        <w:rPr>
          <w:rFonts w:hint="eastAsia"/>
        </w:rPr>
      </w:pPr>
      <w:r>
        <w:rPr>
          <w:rFonts w:hint="eastAsia"/>
        </w:rPr>
        <w:t>48.</w:t>
      </w:r>
      <w:r>
        <w:rPr>
          <w:rFonts w:hint="eastAsia"/>
        </w:rPr>
        <w:tab/>
        <w:t>2009年6月17日，部长会议通过了对《防止家庭暴力法》所做的修改，根据该法，政府应在每年3月31日通过《预防和防止家庭暴力的国家计划》，并根据《国家预算法》提供实现国家计划的资金，包括为非盈利法律实体提供资金，这些实体应制定并实施为家庭暴力受害者和施暴者重新接受教育提供资助的计划。2009年12月国民议会通过了该修正案。</w:t>
      </w:r>
    </w:p>
    <w:p w:rsidR="002F0C3A" w:rsidRDefault="002F0C3A" w:rsidP="002F0C3A">
      <w:pPr>
        <w:pStyle w:val="SingleTxt"/>
        <w:rPr>
          <w:rFonts w:hint="eastAsia"/>
        </w:rPr>
      </w:pPr>
      <w:r>
        <w:rPr>
          <w:rFonts w:hint="eastAsia"/>
        </w:rPr>
        <w:t>49.</w:t>
      </w:r>
      <w:r>
        <w:rPr>
          <w:rFonts w:hint="eastAsia"/>
        </w:rPr>
        <w:tab/>
        <w:t xml:space="preserve">2006年10月19日，政府批准了首个《2007-2008年预防和防止家庭暴力计划》。该计划符合与《防止家庭暴力法》第6条第1款有关的最后条款第2条，并符合国际标准、保加利亚共和国根据国际公约做出的承诺以及欧盟要求。该计划的目的是预防并防止家庭暴力。为实施该计划，向公众宣讲了家庭暴力问题和解决这个问题的办法，并提供了各种信息，说明什么是一级和二级预防、如何提高负责根据《防止家庭暴力法》保护受害者的人员的素质，以及如何为制定家庭暴力受害者恢复计划和针对施暴者的专门计划奠定基础等。内政部根据该计划做出的一项承诺，是制定一个防止家庭暴力参考指南，在为家庭暴力受害者提供快速、有效的保护方面提供建议。内政部反家庭暴力计划科在网站上公布了针对家庭暴力受害者的散页资料，以及警察如何向受害者提供支持的资料。它还在网上公布了向地方警察厅和地区法院申诉的样本，告诉受害者如何启动法律保护程序。 </w:t>
      </w:r>
    </w:p>
    <w:p w:rsidR="002F0C3A" w:rsidRDefault="002F0C3A" w:rsidP="002F0C3A">
      <w:pPr>
        <w:pStyle w:val="SingleTxt"/>
        <w:rPr>
          <w:rFonts w:hint="eastAsia"/>
        </w:rPr>
      </w:pPr>
      <w:r>
        <w:rPr>
          <w:rFonts w:hint="eastAsia"/>
        </w:rPr>
        <w:t>50.</w:t>
      </w:r>
      <w:r>
        <w:rPr>
          <w:rFonts w:hint="eastAsia"/>
        </w:rPr>
        <w:tab/>
        <w:t>2009年8月，全国24小时免费热线电话(0800 186 76)开通。热线为家庭暴力受害者获得心理学家建议、信息和法律支持提供了机会。</w:t>
      </w:r>
    </w:p>
    <w:p w:rsidR="002F0C3A" w:rsidRDefault="002F0C3A" w:rsidP="002F0C3A">
      <w:pPr>
        <w:pStyle w:val="SingleTxt"/>
        <w:rPr>
          <w:rFonts w:hint="eastAsia"/>
        </w:rPr>
      </w:pPr>
      <w:r>
        <w:rPr>
          <w:rFonts w:hint="eastAsia"/>
        </w:rPr>
        <w:t>51.</w:t>
      </w:r>
      <w:r>
        <w:rPr>
          <w:rFonts w:hint="eastAsia"/>
        </w:rPr>
        <w:tab/>
        <w:t>《社会援助法》还介绍了资金补贴机制，根据该法，可能借助国家授权活动，以市政招标的方式指定一些私营机构提供社会服务。这类服务的另一个资金来源是劳动和社会政策部下设立社会援助基金。该基金还进行项目拨款，为市政当局提供的各种社会服务供资。</w:t>
      </w:r>
    </w:p>
    <w:p w:rsidR="002F0C3A" w:rsidRDefault="002F0C3A" w:rsidP="002F0C3A">
      <w:pPr>
        <w:pStyle w:val="SingleTxt"/>
      </w:pPr>
      <w:r>
        <w:rPr>
          <w:rFonts w:hint="eastAsia"/>
        </w:rPr>
        <w:t>52.</w:t>
      </w:r>
      <w:r>
        <w:rPr>
          <w:rFonts w:hint="eastAsia"/>
        </w:rPr>
        <w:tab/>
        <w:t>目前，该国有三个收容所和五个危机中心，由非政府组织负责管理，有些资金来自项目和计划下的市政预算，还有些资金来自国家预算和其他来源。</w:t>
      </w:r>
    </w:p>
    <w:p w:rsidR="0053349A" w:rsidRDefault="0053349A" w:rsidP="002F0C3A">
      <w:pPr>
        <w:pStyle w:val="SingleTxt"/>
      </w:pPr>
    </w:p>
    <w:p w:rsidR="002F0C3A" w:rsidRDefault="002F0C3A" w:rsidP="0034595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第六条</w:t>
      </w:r>
    </w:p>
    <w:p w:rsidR="0034595D" w:rsidRPr="0034595D" w:rsidRDefault="0034595D" w:rsidP="0034595D">
      <w:pPr>
        <w:pStyle w:val="SingleTxt"/>
        <w:spacing w:after="0" w:line="120" w:lineRule="exact"/>
        <w:rPr>
          <w:rFonts w:hint="eastAsia"/>
          <w:sz w:val="10"/>
        </w:rPr>
      </w:pPr>
    </w:p>
    <w:p w:rsidR="002F0C3A" w:rsidRDefault="002F0C3A" w:rsidP="002F0C3A">
      <w:pPr>
        <w:pStyle w:val="SingleTxt"/>
        <w:rPr>
          <w:rFonts w:hint="eastAsia"/>
        </w:rPr>
      </w:pPr>
      <w:r>
        <w:rPr>
          <w:rFonts w:hint="eastAsia"/>
        </w:rPr>
        <w:t>53.</w:t>
      </w:r>
      <w:r>
        <w:rPr>
          <w:rFonts w:hint="eastAsia"/>
        </w:rPr>
        <w:tab/>
        <w:t>保加利亚共和国已签署并批准了《联合国打击跨国有组织犯罪公约》及其两个补充议定书：《联合国打击跨国有组织犯罪公约关于打击陆、海、空偷运移民的补充议定书》和《联合国打击跨国有组织犯罪公约关于预防、禁止和惩治贩运人口特别是妇女和儿童行为的补充议定书》(依法批准，2001年4月27日第42号政府公报予以公布)。在保加利亚共和国的国家立法中可以找到相关的国际标准：保加利亚共和国《刑法典》中关于人口贩运问题的特别规定，所通过的《打击贩运人口法及其实施条例》以及《保护涉及刑事诉讼法的受到威胁者及其实施条例》。2005年通过了《法律援助法》，2006年通过了《犯罪受害者援助和资金补偿法》(2007年1月1日生效) 。</w:t>
      </w:r>
    </w:p>
    <w:p w:rsidR="002F0C3A" w:rsidRDefault="002F0C3A" w:rsidP="002F0C3A">
      <w:pPr>
        <w:pStyle w:val="SingleTxt"/>
        <w:rPr>
          <w:rFonts w:hint="eastAsia"/>
        </w:rPr>
      </w:pPr>
      <w:r>
        <w:rPr>
          <w:rFonts w:hint="eastAsia"/>
        </w:rPr>
        <w:t>54.</w:t>
      </w:r>
      <w:r>
        <w:rPr>
          <w:rFonts w:hint="eastAsia"/>
        </w:rPr>
        <w:tab/>
        <w:t xml:space="preserve">自2002年10月1日经修改的《刑法典》生效以来，保加利亚共和国已将贩运人口定为刑事罪，认为这是一种特定形式的有组织犯罪活动。在第二章中，“侵害人身罪”是一个特别部分，单独作为第九节“贩运人口”。保加利亚立法并没有专门就这种罪行做出特别规定(如第3(a)条那样，《关于预防、禁止和惩治贩运人口特别是妇女和儿童行为的补充议定书》中的一句)。根据《刑法典》第159条(a)-(d)款的规定，处罚行为包括各种为剥削目的运送、转移、窝藏或接受人员的情况(不论为达到这类目的的采取什么途径)，以及利用人口贩运受害者从事卖淫活动、强迫劳动、切除器官或奴役他人的行为。 </w:t>
      </w:r>
    </w:p>
    <w:p w:rsidR="002F0C3A" w:rsidRDefault="002F0C3A" w:rsidP="002F0C3A">
      <w:pPr>
        <w:pStyle w:val="SingleTxt"/>
        <w:rPr>
          <w:rFonts w:hint="eastAsia"/>
        </w:rPr>
      </w:pPr>
      <w:r>
        <w:rPr>
          <w:rFonts w:hint="eastAsia"/>
        </w:rPr>
        <w:t>55.</w:t>
      </w:r>
      <w:r>
        <w:rPr>
          <w:rFonts w:hint="eastAsia"/>
        </w:rPr>
        <w:tab/>
        <w:t>为剥削目的以任何可能形式实施的行为，包括人体器官交易行为，在各种情况下都要进行惩处(《关于预防、禁止和惩治贩运人口特别是妇女和儿童行为的补充议定书》第3(a)条第二句)。在任何情况下，受害者同意“被贩运”不作为惩罚的事实依据，这不仅仅限于儿童受害者的案例。境外和国内贩运行为均应受到惩罚；为此，保加利亚建立了针对跨国贩运的独立严惩机构。应当指出的是，即使有组织的犯罪集团尚未实施贩运人口行为，或是贩运人口行为并非意味着复杂或有组织的犯罪活动，也应予以惩罚。</w:t>
      </w:r>
    </w:p>
    <w:p w:rsidR="002F0C3A" w:rsidRDefault="002F0C3A" w:rsidP="002F0C3A">
      <w:pPr>
        <w:pStyle w:val="SingleTxt"/>
        <w:rPr>
          <w:rFonts w:hint="eastAsia"/>
        </w:rPr>
      </w:pPr>
      <w:r>
        <w:rPr>
          <w:rFonts w:hint="eastAsia"/>
        </w:rPr>
        <w:t>56.</w:t>
      </w:r>
      <w:r>
        <w:rPr>
          <w:rFonts w:hint="eastAsia"/>
        </w:rPr>
        <w:tab/>
        <w:t xml:space="preserve">《刑法典》还规定了应惩罚的行为： </w:t>
      </w:r>
    </w:p>
    <w:p w:rsidR="002F0C3A" w:rsidRDefault="0034595D" w:rsidP="002F0C3A">
      <w:pPr>
        <w:pStyle w:val="SingleTxt"/>
        <w:rPr>
          <w:rFonts w:hint="eastAsia"/>
        </w:rPr>
      </w:pPr>
      <w:r>
        <w:rPr>
          <w:rFonts w:hint="eastAsia"/>
        </w:rPr>
        <w:tab/>
        <w:t>(a)</w:t>
      </w:r>
      <w:r w:rsidR="002F0C3A">
        <w:rPr>
          <w:rFonts w:hint="eastAsia"/>
        </w:rPr>
        <w:tab/>
        <w:t>强奸——第152条；</w:t>
      </w:r>
    </w:p>
    <w:p w:rsidR="002F0C3A" w:rsidRDefault="0034595D" w:rsidP="002F0C3A">
      <w:pPr>
        <w:pStyle w:val="SingleTxt"/>
        <w:rPr>
          <w:rFonts w:hint="eastAsia"/>
        </w:rPr>
      </w:pPr>
      <w:r>
        <w:rPr>
          <w:rFonts w:hint="eastAsia"/>
        </w:rPr>
        <w:tab/>
        <w:t>(b)</w:t>
      </w:r>
      <w:r w:rsidR="002F0C3A">
        <w:rPr>
          <w:rFonts w:hint="eastAsia"/>
        </w:rPr>
        <w:tab/>
        <w:t>诱使卖淫——第155条；</w:t>
      </w:r>
    </w:p>
    <w:p w:rsidR="002F0C3A" w:rsidRDefault="0034595D" w:rsidP="002F0C3A">
      <w:pPr>
        <w:pStyle w:val="SingleTxt"/>
        <w:rPr>
          <w:rFonts w:hint="eastAsia"/>
        </w:rPr>
      </w:pPr>
      <w:r>
        <w:rPr>
          <w:rFonts w:hint="eastAsia"/>
        </w:rPr>
        <w:tab/>
        <w:t>(c)</w:t>
      </w:r>
      <w:r w:rsidR="002F0C3A">
        <w:rPr>
          <w:rFonts w:hint="eastAsia"/>
        </w:rPr>
        <w:tab/>
        <w:t xml:space="preserve">利用其公务或物质依赖强制进行性行为——第153条； </w:t>
      </w:r>
    </w:p>
    <w:p w:rsidR="002F0C3A" w:rsidRDefault="0034595D" w:rsidP="002F0C3A">
      <w:pPr>
        <w:pStyle w:val="SingleTxt"/>
        <w:rPr>
          <w:rFonts w:hint="eastAsia"/>
        </w:rPr>
      </w:pPr>
      <w:r>
        <w:rPr>
          <w:rFonts w:hint="eastAsia"/>
        </w:rPr>
        <w:tab/>
        <w:t>(d)</w:t>
      </w:r>
      <w:r w:rsidR="002F0C3A">
        <w:rPr>
          <w:rFonts w:hint="eastAsia"/>
        </w:rPr>
        <w:tab/>
        <w:t>绑架和非法监禁——包括强迫被绑架者参加卖淫活动——第142条、142(a)条和第156条。</w:t>
      </w:r>
    </w:p>
    <w:p w:rsidR="002F0C3A" w:rsidRDefault="002F0C3A" w:rsidP="002F0C3A">
      <w:pPr>
        <w:pStyle w:val="SingleTxt"/>
        <w:rPr>
          <w:rFonts w:hint="eastAsia"/>
        </w:rPr>
      </w:pPr>
      <w:r>
        <w:rPr>
          <w:rFonts w:hint="eastAsia"/>
        </w:rPr>
        <w:t>57.</w:t>
      </w:r>
      <w:r>
        <w:rPr>
          <w:rFonts w:hint="eastAsia"/>
        </w:rPr>
        <w:tab/>
        <w:t>《打击贩运人口法》(2003年5月20日生效)规定了收容所、中心和委员会的地位以及为人口贩运受害者提供保护和支持的任务，同时还规定了预防和抵制贩运人口的举措、保护和支持人口贩运受害者，特别是妇女和儿童的措施，以及结合调查为人口贩运受害者提供特别保护的法规。本法的主要目的之一是确保国家与市政当局之间以及它们与非政府组织之间开展合作与协作，共同预防和抵制贩运人口行为，并确定这方面的国家政策。</w:t>
      </w:r>
    </w:p>
    <w:p w:rsidR="002F0C3A" w:rsidRDefault="002F0C3A" w:rsidP="002F0C3A">
      <w:pPr>
        <w:pStyle w:val="SingleTxt"/>
        <w:rPr>
          <w:rFonts w:hint="eastAsia"/>
        </w:rPr>
      </w:pPr>
      <w:r>
        <w:rPr>
          <w:rFonts w:hint="eastAsia"/>
        </w:rPr>
        <w:t>58.</w:t>
      </w:r>
      <w:r>
        <w:rPr>
          <w:rFonts w:hint="eastAsia"/>
        </w:rPr>
        <w:tab/>
        <w:t>根据本法在部长会议成立了保加利亚打击人口贩运全国委员会。任命部长会议选举产生的副总理担任全国委员会的主席。撰写本报告时委员会主席是内政部部长Tzvetan Tzvetanov 先生。委员会成员包括由各部委和主席任命的外交部副部长、劳动和社会政策部副部长、内政部副部长、司法部副部长、卫生部副部长、教育和科学部副部长、国家安全局副局长、国家保护儿童署副署长，以及控制青少年反社会行为中央委员会副主席。全国委员会还包括最高上诉法院院长、总检察官、国家调查局局长任命的代表。在该国从事预防人口贩运和保护受害者活动的非盈利实体和国际组织的代表也可参加全国委员会的会议。</w:t>
      </w:r>
    </w:p>
    <w:p w:rsidR="002F0C3A" w:rsidRDefault="002F0C3A" w:rsidP="002F0C3A">
      <w:pPr>
        <w:pStyle w:val="SingleTxt"/>
        <w:rPr>
          <w:rFonts w:hint="eastAsia"/>
        </w:rPr>
      </w:pPr>
      <w:r>
        <w:rPr>
          <w:rFonts w:hint="eastAsia"/>
        </w:rPr>
        <w:t>59.</w:t>
      </w:r>
      <w:r>
        <w:rPr>
          <w:rFonts w:hint="eastAsia"/>
        </w:rPr>
        <w:tab/>
        <w:t>根据该法，全国委员会应在地区一级建立地方委员会，地方委员会应寻求在某些市区推行打击贩运人口活动的国家政策和战略，并在调查研究的基础上确定这些市区是否存在贩运人口的危险。2005年《国家打击人口贩运方案》决定在六个城镇建立地方委员会。目前，帕扎尔吉克、布尔加斯、瓦尔纳、斯利文和索菲亚这五个城镇都建立了地方委员会。</w:t>
      </w:r>
    </w:p>
    <w:p w:rsidR="002F0C3A" w:rsidRDefault="002F0C3A" w:rsidP="002F0C3A">
      <w:pPr>
        <w:pStyle w:val="SingleTxt"/>
        <w:rPr>
          <w:rFonts w:hint="eastAsia"/>
        </w:rPr>
      </w:pPr>
      <w:r>
        <w:rPr>
          <w:rFonts w:hint="eastAsia"/>
        </w:rPr>
        <w:t>60.</w:t>
      </w:r>
      <w:r>
        <w:rPr>
          <w:rFonts w:hint="eastAsia"/>
        </w:rPr>
        <w:tab/>
        <w:t>《打击贩运人口法》规定建立两类专门机构：临时住所收容所以及人口贩运受害者保护和支持中心。根据法律规定建立了指定的社会服务机构。</w:t>
      </w:r>
    </w:p>
    <w:p w:rsidR="002F0C3A" w:rsidRDefault="002F0C3A" w:rsidP="002F0C3A">
      <w:pPr>
        <w:pStyle w:val="SingleTxt"/>
        <w:rPr>
          <w:rFonts w:hint="eastAsia"/>
        </w:rPr>
      </w:pPr>
      <w:r>
        <w:rPr>
          <w:rFonts w:hint="eastAsia"/>
        </w:rPr>
        <w:t>61.</w:t>
      </w:r>
      <w:r>
        <w:rPr>
          <w:rFonts w:hint="eastAsia"/>
        </w:rPr>
        <w:tab/>
        <w:t>以下机构具有设立收容所的权力：根据地区委员会或市政当局提议建立的打击人口贩运全国委员会；根据《商业法》注册的自然人；为人口贩运受害者提供收容所的非盈利司法机构。它们不仅向受害者提供住所，还提供社会、医疗、家庭服务和心理帮助，并创造条件帮助受害者与其亲人和特别机构与组织建立联系。目前，这些收容所对外开放，由非盈利司法机构掌管。</w:t>
      </w:r>
    </w:p>
    <w:p w:rsidR="002F0C3A" w:rsidRDefault="002F0C3A" w:rsidP="002F0C3A">
      <w:pPr>
        <w:pStyle w:val="SingleTxt"/>
        <w:rPr>
          <w:rFonts w:hint="eastAsia"/>
        </w:rPr>
      </w:pPr>
      <w:r>
        <w:rPr>
          <w:rFonts w:hint="eastAsia"/>
        </w:rPr>
        <w:t>62.</w:t>
      </w:r>
      <w:r>
        <w:rPr>
          <w:rFonts w:hint="eastAsia"/>
        </w:rPr>
        <w:tab/>
        <w:t>这类服务的资金不由国家预算提供，除非是国家授权的活动，这同家庭暴力受害妇女危机中心的情况类似。在不同时期，该非政府组织都能获得国家项目预算拨款，不过。没有这方面的简要资料。</w:t>
      </w:r>
    </w:p>
    <w:p w:rsidR="002F0C3A" w:rsidRDefault="002F0C3A" w:rsidP="002F0C3A">
      <w:pPr>
        <w:pStyle w:val="SingleTxt"/>
        <w:rPr>
          <w:rFonts w:hint="eastAsia"/>
        </w:rPr>
      </w:pPr>
      <w:r>
        <w:rPr>
          <w:rFonts w:hint="eastAsia"/>
        </w:rPr>
        <w:t>63.</w:t>
      </w:r>
      <w:r>
        <w:rPr>
          <w:rFonts w:hint="eastAsia"/>
        </w:rPr>
        <w:tab/>
        <w:t>非政府组织开办收容所的资料在打击人口贩运全国委员会的网页上公布。考虑到今后国家拨款给收容所的可能性，委员会正在制定为收容所提供支助的标准。2009年4月在瓦尔纳开办了首个隶属地区委员会，由国家供资的收容所。</w:t>
      </w:r>
    </w:p>
    <w:p w:rsidR="002F0C3A" w:rsidRDefault="002F0C3A" w:rsidP="002F0C3A">
      <w:pPr>
        <w:pStyle w:val="SingleTxt"/>
        <w:rPr>
          <w:rFonts w:hint="eastAsia"/>
        </w:rPr>
      </w:pPr>
      <w:r>
        <w:rPr>
          <w:rFonts w:hint="eastAsia"/>
        </w:rPr>
        <w:t>64.</w:t>
      </w:r>
      <w:r>
        <w:rPr>
          <w:rFonts w:hint="eastAsia"/>
        </w:rPr>
        <w:tab/>
        <w:t>地区委员会建立了人口贩运受害者保护和支持中心。该中心的主要职责是利用明白易懂的术语，向受害者说明使其得到支持和保护的行政和法律程序；提供专门的心理和医疗援助；以及支持他们重返家庭和社会。附则(条例)——《人口贩运受害者临时住所以及保护和支持中心条例》对这些专门机构的开办、工作安排、管理和控制做了规定。</w:t>
      </w:r>
    </w:p>
    <w:p w:rsidR="002F0C3A" w:rsidRDefault="002F0C3A" w:rsidP="002F0C3A">
      <w:pPr>
        <w:pStyle w:val="SingleTxt"/>
        <w:rPr>
          <w:rFonts w:hint="eastAsia"/>
        </w:rPr>
      </w:pPr>
      <w:r>
        <w:rPr>
          <w:rFonts w:hint="eastAsia"/>
        </w:rPr>
        <w:t>65.</w:t>
      </w:r>
      <w:r>
        <w:rPr>
          <w:rFonts w:hint="eastAsia"/>
        </w:rPr>
        <w:tab/>
        <w:t>负责转移和为贩运受害者提供支持的国家协调机构，包括所有参与打击贩运人口行为和帮助受害者重返社会的机构，正在与该领域的非政府组织合作。已经成立了两个由专家、公共机构和非政府组织建立的工作组，负责拟定国家机制、建议和反馈意见。</w:t>
      </w:r>
    </w:p>
    <w:p w:rsidR="002F0C3A" w:rsidRDefault="002F0C3A" w:rsidP="002F0C3A">
      <w:pPr>
        <w:pStyle w:val="SingleTxt"/>
        <w:rPr>
          <w:rFonts w:hint="eastAsia"/>
        </w:rPr>
      </w:pPr>
      <w:r>
        <w:rPr>
          <w:rFonts w:hint="eastAsia"/>
        </w:rPr>
        <w:t>66.</w:t>
      </w:r>
      <w:r>
        <w:rPr>
          <w:rFonts w:hint="eastAsia"/>
        </w:rPr>
        <w:tab/>
        <w:t>除标准业务程序外，还制定了鉴别贩运受害者身份的统一标准文件，国内所有机构和组织都可以根据这个标准文件来鉴别贩运受害者的身份。其他三个重要文件也在编写中：</w:t>
      </w:r>
    </w:p>
    <w:p w:rsidR="002F0C3A" w:rsidRDefault="0034595D" w:rsidP="002F0C3A">
      <w:pPr>
        <w:pStyle w:val="SingleTxt"/>
        <w:rPr>
          <w:rFonts w:hint="eastAsia"/>
        </w:rPr>
      </w:pPr>
      <w:r>
        <w:rPr>
          <w:rFonts w:hint="eastAsia"/>
        </w:rPr>
        <w:tab/>
      </w:r>
      <w:r w:rsidR="002F0C3A">
        <w:rPr>
          <w:rFonts w:hint="eastAsia"/>
        </w:rPr>
        <w:t>(a)</w:t>
      </w:r>
      <w:r>
        <w:rPr>
          <w:rFonts w:hint="eastAsia"/>
        </w:rPr>
        <w:tab/>
      </w:r>
      <w:r w:rsidR="002F0C3A">
        <w:rPr>
          <w:rFonts w:hint="eastAsia"/>
        </w:rPr>
        <w:t>贩运受害者风险评估标准；</w:t>
      </w:r>
    </w:p>
    <w:p w:rsidR="002F0C3A" w:rsidRDefault="0034595D" w:rsidP="002F0C3A">
      <w:pPr>
        <w:pStyle w:val="SingleTxt"/>
        <w:rPr>
          <w:rFonts w:hint="eastAsia"/>
        </w:rPr>
      </w:pPr>
      <w:r>
        <w:rPr>
          <w:rFonts w:hint="eastAsia"/>
        </w:rPr>
        <w:tab/>
      </w:r>
      <w:r w:rsidR="002F0C3A">
        <w:rPr>
          <w:rFonts w:hint="eastAsia"/>
        </w:rPr>
        <w:t>(b)</w:t>
      </w:r>
      <w:r w:rsidR="002F0C3A">
        <w:rPr>
          <w:rFonts w:hint="eastAsia"/>
        </w:rPr>
        <w:tab/>
        <w:t>为贩运受害者提供心理支持的标准；</w:t>
      </w:r>
    </w:p>
    <w:p w:rsidR="002F0C3A" w:rsidRDefault="0034595D" w:rsidP="002F0C3A">
      <w:pPr>
        <w:pStyle w:val="SingleTxt"/>
        <w:rPr>
          <w:rFonts w:hint="eastAsia"/>
        </w:rPr>
      </w:pPr>
      <w:r>
        <w:rPr>
          <w:rFonts w:hint="eastAsia"/>
        </w:rPr>
        <w:tab/>
      </w:r>
      <w:r w:rsidR="002F0C3A">
        <w:rPr>
          <w:rFonts w:hint="eastAsia"/>
        </w:rPr>
        <w:t>(c)</w:t>
      </w:r>
      <w:r w:rsidR="002F0C3A">
        <w:rPr>
          <w:rFonts w:hint="eastAsia"/>
        </w:rPr>
        <w:tab/>
        <w:t>为贩运受害者提供社会服务的最低标准。</w:t>
      </w:r>
    </w:p>
    <w:p w:rsidR="002F0C3A" w:rsidRDefault="002F0C3A" w:rsidP="002F0C3A">
      <w:pPr>
        <w:pStyle w:val="SingleTxt"/>
        <w:rPr>
          <w:rFonts w:hint="eastAsia"/>
        </w:rPr>
      </w:pPr>
      <w:r>
        <w:rPr>
          <w:rFonts w:hint="eastAsia"/>
        </w:rPr>
        <w:t>67.</w:t>
      </w:r>
      <w:r>
        <w:rPr>
          <w:rFonts w:hint="eastAsia"/>
        </w:rPr>
        <w:tab/>
        <w:t>上述所有文件都是保加利亚人口贩运受害者转诊和护理国家机制的一个组成部分。该国家机制的资金是通过打击人口贩运全国委员会,由共和国预算以及其他项目和/或计划预算提供。</w:t>
      </w:r>
    </w:p>
    <w:p w:rsidR="002F0C3A" w:rsidRDefault="002F0C3A" w:rsidP="002F0C3A">
      <w:pPr>
        <w:pStyle w:val="SingleTxt"/>
        <w:rPr>
          <w:rFonts w:hint="eastAsia"/>
        </w:rPr>
      </w:pPr>
      <w:r>
        <w:rPr>
          <w:rFonts w:hint="eastAsia"/>
        </w:rPr>
        <w:t>68.</w:t>
      </w:r>
      <w:r>
        <w:rPr>
          <w:rFonts w:hint="eastAsia"/>
        </w:rPr>
        <w:tab/>
        <w:t>依据《打击人口贩运全国委员会组织和活动规则》第4条，全国委员会每年编写《预防并打击人口贩运行为和保护受害者国家计划》，并提交供部长会议批准。2005年、2006年、2007年、2008年和2009年批准了这些计划。这些计划设想根据《打击人口贩运法》在国家和地区一级建立行政机构，增强公众对贩运人口、限制贩运人口机制以及建立公众容忍度的认识。这些措施旨在将危险人群考虑在内、对处理人口贩运问题的专家进行培训、进行这方面的专题研究、制作和推广宣传产品，以及开展宣传运动。打击人口贩运全国委员会开展年度提高认识运动，以防止危险人群中的贩运活动。</w:t>
      </w:r>
    </w:p>
    <w:p w:rsidR="002F0C3A" w:rsidRDefault="002F0C3A" w:rsidP="002F0C3A">
      <w:pPr>
        <w:pStyle w:val="SingleTxt"/>
        <w:rPr>
          <w:rFonts w:hint="eastAsia"/>
        </w:rPr>
      </w:pPr>
      <w:r>
        <w:rPr>
          <w:rFonts w:hint="eastAsia"/>
        </w:rPr>
        <w:t>69.</w:t>
      </w:r>
      <w:r>
        <w:rPr>
          <w:rFonts w:hint="eastAsia"/>
        </w:rPr>
        <w:tab/>
        <w:t>在国家和地方一级，由相关的地方委员会开展打击人口贩运运动。打击人口贩运全国委员会还与非政府组织合作在保加利亚开展这一运动。2007年以来，全国委员会已单独或与其他组织或机构合作开展了六次打击人口贩运运动。</w:t>
      </w:r>
    </w:p>
    <w:p w:rsidR="002F0C3A" w:rsidRDefault="002F0C3A" w:rsidP="002F0C3A">
      <w:pPr>
        <w:pStyle w:val="SingleTxt"/>
        <w:rPr>
          <w:rFonts w:hint="eastAsia"/>
        </w:rPr>
      </w:pPr>
      <w:r>
        <w:rPr>
          <w:rFonts w:hint="eastAsia"/>
        </w:rPr>
        <w:t>70.</w:t>
      </w:r>
      <w:r>
        <w:rPr>
          <w:rFonts w:hint="eastAsia"/>
        </w:rPr>
        <w:tab/>
        <w:t>自打击人口贩运全国委员会成立并开始行使其职能以来(2006-2009年)，委员会及其成员已经为从事跨国人口贩运案件的调查法官、检察官、警官、社会工作者、市政员工和非政府组织了50次培训；同时还为教师、教学辅导员以及边境警察提供了培训。</w:t>
      </w:r>
    </w:p>
    <w:p w:rsidR="002F0C3A" w:rsidRDefault="002F0C3A" w:rsidP="002F0C3A">
      <w:pPr>
        <w:pStyle w:val="SingleTxt"/>
        <w:rPr>
          <w:rFonts w:hint="eastAsia"/>
        </w:rPr>
      </w:pPr>
      <w:r>
        <w:rPr>
          <w:rFonts w:hint="eastAsia"/>
        </w:rPr>
        <w:t>71.</w:t>
      </w:r>
      <w:r>
        <w:rPr>
          <w:rFonts w:hint="eastAsia"/>
        </w:rPr>
        <w:tab/>
        <w:t>2008</w:t>
      </w:r>
      <w:r w:rsidR="0034595D">
        <w:rPr>
          <w:rFonts w:hint="eastAsia"/>
        </w:rPr>
        <w:t>-</w:t>
      </w:r>
      <w:r>
        <w:rPr>
          <w:rFonts w:hint="eastAsia"/>
        </w:rPr>
        <w:t>2009年，全国委员会在全国范围进行了几次统计调查，可登陆委员会网站查看(www.antitraffic.government.bg)，调查结果用于评估保加利亚人口贩运活动的趋势、主要根源、主要危险人群、相关的主要解决办法。在此基础上，有计划地开展旨在提高特殊专家群体能力的预防活动，以及与国家机构和组织建立双边关系的活动，以使保加利亚人口贩运受害者最终得到保护。列出的所有活动是《预防并打击人口贩运行为和保护受害者国家计划》的一个组成部分。</w:t>
      </w:r>
    </w:p>
    <w:p w:rsidR="002F0C3A" w:rsidRDefault="002F0C3A" w:rsidP="002F0C3A">
      <w:pPr>
        <w:pStyle w:val="SingleTxt"/>
        <w:rPr>
          <w:rFonts w:hint="eastAsia"/>
        </w:rPr>
      </w:pPr>
      <w:r>
        <w:rPr>
          <w:rFonts w:hint="eastAsia"/>
        </w:rPr>
        <w:t>72.</w:t>
      </w:r>
      <w:r>
        <w:rPr>
          <w:rFonts w:hint="eastAsia"/>
        </w:rPr>
        <w:tab/>
        <w:t>全国委员会年度活动报告中说明了打击人口贩运政策和措施的影响。</w:t>
      </w:r>
    </w:p>
    <w:p w:rsidR="002F0C3A" w:rsidRDefault="002F0C3A" w:rsidP="002F0C3A">
      <w:pPr>
        <w:pStyle w:val="SingleTxt"/>
        <w:rPr>
          <w:rFonts w:hint="eastAsia"/>
        </w:rPr>
      </w:pPr>
      <w:r>
        <w:rPr>
          <w:rFonts w:hint="eastAsia"/>
        </w:rPr>
        <w:t>73.</w:t>
      </w:r>
      <w:r>
        <w:rPr>
          <w:rFonts w:hint="eastAsia"/>
        </w:rPr>
        <w:tab/>
        <w:t>打击人口贩运全国委员会根据对人口贩运情况的分析确定了危险人群，并在此基础上着重开展了提高对潜在危险认识的工作，负责机构都参与了这项工作，其中包括内政部、监察院、法院以及负责照顾人口贩运受害者的机构。委员会还从本国非政府组织那里获得了分析数据。</w:t>
      </w:r>
    </w:p>
    <w:p w:rsidR="002F0C3A" w:rsidRDefault="002F0C3A" w:rsidP="002F0C3A">
      <w:pPr>
        <w:pStyle w:val="SingleTxt"/>
        <w:rPr>
          <w:rFonts w:hint="eastAsia"/>
        </w:rPr>
      </w:pPr>
      <w:r>
        <w:rPr>
          <w:rFonts w:hint="eastAsia"/>
        </w:rPr>
        <w:t>74.</w:t>
      </w:r>
      <w:r>
        <w:rPr>
          <w:rFonts w:hint="eastAsia"/>
        </w:rPr>
        <w:tab/>
        <w:t>打击人口贩运全国委员会建立人口贩运受害者数据库，并定期维护数据库。数据库包括五部分和50多个指标，这些指标是根据所有合作伙伴都使用的特别调查表归纳出来的。贩运者情况数据库计算机类比配置由保加利亚共和国最高检察院负责保管。</w:t>
      </w:r>
    </w:p>
    <w:p w:rsidR="002F0C3A" w:rsidRDefault="002F0C3A" w:rsidP="002F0C3A">
      <w:pPr>
        <w:pStyle w:val="SingleTxt"/>
      </w:pPr>
      <w:r>
        <w:rPr>
          <w:rFonts w:hint="eastAsia"/>
        </w:rPr>
        <w:t>75.</w:t>
      </w:r>
      <w:r>
        <w:rPr>
          <w:rFonts w:hint="eastAsia"/>
        </w:rPr>
        <w:tab/>
        <w:t>最高检察院的统计数字显示了以下事实：</w:t>
      </w:r>
    </w:p>
    <w:tbl>
      <w:tblPr>
        <w:tblW w:w="7370" w:type="dxa"/>
        <w:tblInd w:w="1264" w:type="dxa"/>
        <w:tblCellMar>
          <w:left w:w="0" w:type="dxa"/>
        </w:tblCellMar>
        <w:tblLook w:val="0000" w:firstRow="0" w:lastRow="0" w:firstColumn="0" w:lastColumn="0" w:noHBand="0" w:noVBand="0"/>
      </w:tblPr>
      <w:tblGrid>
        <w:gridCol w:w="3890"/>
        <w:gridCol w:w="3480"/>
      </w:tblGrid>
      <w:tr w:rsidR="00A228DE" w:rsidRPr="00176BC4" w:rsidTr="00A228DE">
        <w:trPr>
          <w:trHeight w:val="240"/>
          <w:tblHeader/>
        </w:trPr>
        <w:tc>
          <w:tcPr>
            <w:tcW w:w="3742" w:type="dxa"/>
            <w:tcBorders>
              <w:top w:val="single" w:sz="4" w:space="0" w:color="auto"/>
              <w:bottom w:val="single" w:sz="12" w:space="0" w:color="auto"/>
            </w:tcBorders>
            <w:shd w:val="clear" w:color="auto" w:fill="auto"/>
            <w:vAlign w:val="bottom"/>
          </w:tcPr>
          <w:p w:rsidR="00A228DE" w:rsidRPr="00176BC4" w:rsidRDefault="00A228DE" w:rsidP="00A228DE">
            <w:pPr>
              <w:suppressAutoHyphens/>
              <w:spacing w:before="60" w:after="60" w:line="200" w:lineRule="exact"/>
              <w:ind w:right="57"/>
              <w:jc w:val="center"/>
              <w:rPr>
                <w:rFonts w:ascii="KaiTi_GB2312" w:eastAsia="KaiTi_GB2312"/>
                <w:sz w:val="15"/>
                <w:szCs w:val="18"/>
              </w:rPr>
            </w:pPr>
            <w:r w:rsidRPr="00176BC4">
              <w:rPr>
                <w:rFonts w:ascii="KaiTi_GB2312" w:eastAsia="KaiTi_GB2312"/>
                <w:sz w:val="15"/>
                <w:szCs w:val="18"/>
              </w:rPr>
              <w:t>2009</w:t>
            </w:r>
            <w:r w:rsidRPr="00176BC4">
              <w:rPr>
                <w:rFonts w:ascii="KaiTi_GB2312" w:eastAsia="KaiTi_GB2312" w:hAnsi="SimSun"/>
                <w:sz w:val="15"/>
                <w:szCs w:val="18"/>
              </w:rPr>
              <w:t>年</w:t>
            </w:r>
          </w:p>
        </w:tc>
        <w:tc>
          <w:tcPr>
            <w:tcW w:w="3348" w:type="dxa"/>
            <w:tcBorders>
              <w:top w:val="single" w:sz="4" w:space="0" w:color="auto"/>
              <w:bottom w:val="single" w:sz="12" w:space="0" w:color="auto"/>
            </w:tcBorders>
            <w:shd w:val="clear" w:color="auto" w:fill="auto"/>
            <w:vAlign w:val="bottom"/>
          </w:tcPr>
          <w:p w:rsidR="00A228DE" w:rsidRPr="00176BC4" w:rsidRDefault="00A228DE" w:rsidP="00A228DE">
            <w:pPr>
              <w:suppressAutoHyphens/>
              <w:spacing w:before="60" w:after="60" w:line="200" w:lineRule="exact"/>
              <w:ind w:right="57"/>
              <w:jc w:val="center"/>
              <w:rPr>
                <w:rFonts w:ascii="KaiTi_GB2312" w:eastAsia="KaiTi_GB2312"/>
                <w:sz w:val="15"/>
                <w:szCs w:val="18"/>
              </w:rPr>
            </w:pPr>
            <w:r w:rsidRPr="00176BC4">
              <w:rPr>
                <w:rFonts w:ascii="KaiTi_GB2312" w:eastAsia="KaiTi_GB2312"/>
                <w:sz w:val="15"/>
                <w:szCs w:val="18"/>
              </w:rPr>
              <w:t>2008</w:t>
            </w:r>
            <w:r w:rsidRPr="00176BC4">
              <w:rPr>
                <w:rFonts w:ascii="KaiTi_GB2312" w:eastAsia="KaiTi_GB2312" w:hAnsi="SimSun"/>
                <w:sz w:val="15"/>
                <w:szCs w:val="18"/>
              </w:rPr>
              <w:t>年</w:t>
            </w:r>
          </w:p>
        </w:tc>
      </w:tr>
      <w:tr w:rsidR="00A228DE" w:rsidRPr="00176BC4" w:rsidTr="00A228DE">
        <w:trPr>
          <w:trHeight w:hRule="exact" w:val="115"/>
          <w:tblHeader/>
        </w:trPr>
        <w:tc>
          <w:tcPr>
            <w:tcW w:w="3742" w:type="dxa"/>
            <w:tcBorders>
              <w:top w:val="single" w:sz="12" w:space="0" w:color="auto"/>
            </w:tcBorders>
            <w:shd w:val="clear" w:color="auto" w:fill="auto"/>
            <w:vAlign w:val="bottom"/>
          </w:tcPr>
          <w:p w:rsidR="00A228DE" w:rsidRPr="00176BC4" w:rsidRDefault="00A228DE" w:rsidP="00A228DE">
            <w:pPr>
              <w:suppressAutoHyphens/>
              <w:spacing w:after="60" w:line="280" w:lineRule="exact"/>
              <w:ind w:right="57"/>
              <w:rPr>
                <w:rFonts w:hAnsi="SimSun"/>
                <w:sz w:val="17"/>
                <w:szCs w:val="18"/>
              </w:rPr>
            </w:pPr>
          </w:p>
        </w:tc>
        <w:tc>
          <w:tcPr>
            <w:tcW w:w="3348" w:type="dxa"/>
            <w:tcBorders>
              <w:top w:val="single" w:sz="12" w:space="0" w:color="auto"/>
            </w:tcBorders>
            <w:shd w:val="clear" w:color="auto" w:fill="auto"/>
            <w:vAlign w:val="bottom"/>
          </w:tcPr>
          <w:p w:rsidR="00A228DE" w:rsidRPr="00176BC4" w:rsidRDefault="00A228DE" w:rsidP="00A228DE">
            <w:pPr>
              <w:suppressAutoHyphens/>
              <w:spacing w:after="60" w:line="280" w:lineRule="exact"/>
              <w:ind w:right="57"/>
              <w:jc w:val="right"/>
              <w:rPr>
                <w:rFonts w:hAnsi="SimSun"/>
                <w:sz w:val="17"/>
                <w:szCs w:val="18"/>
              </w:rPr>
            </w:pPr>
          </w:p>
        </w:tc>
      </w:tr>
      <w:tr w:rsidR="00A228DE" w:rsidRPr="00176BC4" w:rsidTr="00A228DE">
        <w:trPr>
          <w:trHeight w:val="240"/>
        </w:trPr>
        <w:tc>
          <w:tcPr>
            <w:tcW w:w="3742" w:type="dxa"/>
            <w:shd w:val="clear" w:color="auto" w:fill="auto"/>
            <w:vAlign w:val="bottom"/>
          </w:tcPr>
          <w:p w:rsidR="00A228DE" w:rsidRPr="00176BC4" w:rsidRDefault="00A228DE" w:rsidP="00A228DE">
            <w:pPr>
              <w:tabs>
                <w:tab w:val="left" w:pos="334"/>
                <w:tab w:val="left" w:pos="669"/>
                <w:tab w:val="left" w:pos="1003"/>
                <w:tab w:val="left" w:pos="1338"/>
              </w:tabs>
              <w:suppressAutoHyphens/>
              <w:spacing w:after="60" w:line="280" w:lineRule="exact"/>
              <w:ind w:right="57"/>
              <w:rPr>
                <w:sz w:val="17"/>
                <w:szCs w:val="18"/>
              </w:rPr>
            </w:pPr>
            <w:bookmarkStart w:id="1" w:name="OLE_LINK76"/>
            <w:r w:rsidRPr="00176BC4">
              <w:rPr>
                <w:rFonts w:hAnsi="SimSun"/>
                <w:sz w:val="17"/>
                <w:szCs w:val="18"/>
              </w:rPr>
              <w:t>受害者人数</w:t>
            </w:r>
            <w:bookmarkEnd w:id="1"/>
            <w:r w:rsidRPr="00176BC4">
              <w:rPr>
                <w:sz w:val="17"/>
                <w:szCs w:val="18"/>
              </w:rPr>
              <w:t>-297</w:t>
            </w:r>
            <w:r w:rsidRPr="00176BC4">
              <w:rPr>
                <w:rFonts w:hAnsi="SimSun"/>
                <w:sz w:val="17"/>
                <w:szCs w:val="18"/>
              </w:rPr>
              <w:t>人</w:t>
            </w:r>
          </w:p>
        </w:tc>
        <w:tc>
          <w:tcPr>
            <w:tcW w:w="3348" w:type="dxa"/>
            <w:shd w:val="clear" w:color="auto" w:fill="auto"/>
            <w:vAlign w:val="bottom"/>
          </w:tcPr>
          <w:p w:rsidR="00A228DE" w:rsidRPr="00176BC4" w:rsidRDefault="00A228DE" w:rsidP="00A228DE">
            <w:pPr>
              <w:tabs>
                <w:tab w:val="left" w:pos="334"/>
                <w:tab w:val="left" w:pos="669"/>
                <w:tab w:val="left" w:pos="1003"/>
                <w:tab w:val="left" w:pos="1338"/>
              </w:tabs>
              <w:suppressAutoHyphens/>
              <w:spacing w:after="60" w:line="280" w:lineRule="exact"/>
              <w:ind w:right="57"/>
              <w:jc w:val="right"/>
              <w:rPr>
                <w:sz w:val="17"/>
                <w:szCs w:val="18"/>
              </w:rPr>
            </w:pPr>
            <w:r w:rsidRPr="00176BC4">
              <w:rPr>
                <w:rFonts w:hAnsi="SimSun"/>
                <w:sz w:val="17"/>
                <w:szCs w:val="18"/>
              </w:rPr>
              <w:t>受害者人数</w:t>
            </w:r>
            <w:r w:rsidRPr="00176BC4">
              <w:rPr>
                <w:sz w:val="17"/>
                <w:szCs w:val="18"/>
              </w:rPr>
              <w:t>-250</w:t>
            </w:r>
            <w:bookmarkStart w:id="2" w:name="OLE_LINK79"/>
            <w:r w:rsidRPr="00176BC4">
              <w:rPr>
                <w:rFonts w:hAnsi="SimSun"/>
                <w:sz w:val="17"/>
                <w:szCs w:val="18"/>
              </w:rPr>
              <w:t>人</w:t>
            </w:r>
            <w:bookmarkEnd w:id="2"/>
          </w:p>
        </w:tc>
      </w:tr>
      <w:tr w:rsidR="00A228DE" w:rsidRPr="00176BC4" w:rsidTr="00A228DE">
        <w:trPr>
          <w:trHeight w:val="240"/>
        </w:trPr>
        <w:tc>
          <w:tcPr>
            <w:tcW w:w="3742" w:type="dxa"/>
            <w:tcBorders>
              <w:bottom w:val="single" w:sz="12" w:space="0" w:color="auto"/>
            </w:tcBorders>
            <w:shd w:val="clear" w:color="auto" w:fill="auto"/>
          </w:tcPr>
          <w:p w:rsidR="00A228DE" w:rsidRPr="00176BC4" w:rsidRDefault="00A228DE" w:rsidP="00A228DE">
            <w:pPr>
              <w:tabs>
                <w:tab w:val="left" w:pos="334"/>
                <w:tab w:val="left" w:pos="669"/>
                <w:tab w:val="left" w:pos="1003"/>
                <w:tab w:val="left" w:pos="1338"/>
              </w:tabs>
              <w:suppressAutoHyphens/>
              <w:spacing w:after="60" w:line="280" w:lineRule="exact"/>
              <w:ind w:right="57"/>
              <w:rPr>
                <w:sz w:val="17"/>
                <w:szCs w:val="18"/>
              </w:rPr>
            </w:pPr>
            <w:bookmarkStart w:id="3" w:name="OLE_LINK78"/>
            <w:r w:rsidRPr="00176BC4">
              <w:rPr>
                <w:rFonts w:hAnsi="SimSun"/>
                <w:sz w:val="17"/>
                <w:szCs w:val="18"/>
              </w:rPr>
              <w:t>外国公民</w:t>
            </w:r>
            <w:bookmarkEnd w:id="3"/>
            <w:r w:rsidRPr="00176BC4">
              <w:rPr>
                <w:sz w:val="17"/>
                <w:szCs w:val="18"/>
              </w:rPr>
              <w:t>-0</w:t>
            </w:r>
            <w:r w:rsidRPr="00176BC4">
              <w:rPr>
                <w:rFonts w:hAnsi="SimSun"/>
                <w:sz w:val="17"/>
                <w:szCs w:val="18"/>
              </w:rPr>
              <w:t>人</w:t>
            </w:r>
          </w:p>
          <w:p w:rsidR="00A228DE" w:rsidRPr="00176BC4" w:rsidRDefault="00A228DE" w:rsidP="00A228DE">
            <w:pPr>
              <w:tabs>
                <w:tab w:val="left" w:pos="334"/>
                <w:tab w:val="left" w:pos="669"/>
                <w:tab w:val="left" w:pos="1003"/>
                <w:tab w:val="left" w:pos="1338"/>
              </w:tabs>
              <w:suppressAutoHyphens/>
              <w:spacing w:after="60" w:line="280" w:lineRule="exact"/>
              <w:ind w:right="57"/>
              <w:rPr>
                <w:sz w:val="17"/>
                <w:szCs w:val="18"/>
              </w:rPr>
            </w:pPr>
            <w:r w:rsidRPr="00176BC4">
              <w:rPr>
                <w:rFonts w:hAnsi="SimSun"/>
                <w:sz w:val="17"/>
                <w:szCs w:val="18"/>
              </w:rPr>
              <w:t>妇女</w:t>
            </w:r>
            <w:r w:rsidRPr="00176BC4">
              <w:rPr>
                <w:sz w:val="17"/>
                <w:szCs w:val="18"/>
              </w:rPr>
              <w:t>-220</w:t>
            </w:r>
            <w:r w:rsidRPr="00176BC4">
              <w:rPr>
                <w:rFonts w:hAnsi="SimSun"/>
                <w:sz w:val="17"/>
                <w:szCs w:val="18"/>
              </w:rPr>
              <w:t>人</w:t>
            </w:r>
          </w:p>
          <w:p w:rsidR="00A228DE" w:rsidRPr="00176BC4" w:rsidRDefault="00A228DE" w:rsidP="00A228DE">
            <w:pPr>
              <w:tabs>
                <w:tab w:val="left" w:pos="334"/>
                <w:tab w:val="left" w:pos="669"/>
                <w:tab w:val="left" w:pos="1003"/>
                <w:tab w:val="left" w:pos="1338"/>
              </w:tabs>
              <w:suppressAutoHyphens/>
              <w:spacing w:after="60" w:line="280" w:lineRule="exact"/>
              <w:ind w:right="57"/>
              <w:rPr>
                <w:sz w:val="17"/>
                <w:szCs w:val="18"/>
              </w:rPr>
            </w:pPr>
            <w:r w:rsidRPr="00176BC4">
              <w:rPr>
                <w:rFonts w:hAnsi="SimSun"/>
                <w:sz w:val="17"/>
                <w:szCs w:val="18"/>
              </w:rPr>
              <w:t>男子</w:t>
            </w:r>
            <w:r w:rsidRPr="00176BC4">
              <w:rPr>
                <w:sz w:val="17"/>
                <w:szCs w:val="18"/>
              </w:rPr>
              <w:t>-31</w:t>
            </w:r>
            <w:r w:rsidRPr="00176BC4">
              <w:rPr>
                <w:rFonts w:hAnsi="SimSun"/>
                <w:sz w:val="17"/>
                <w:szCs w:val="18"/>
              </w:rPr>
              <w:t>人</w:t>
            </w:r>
          </w:p>
          <w:p w:rsidR="00A228DE" w:rsidRPr="00176BC4" w:rsidRDefault="00A228DE" w:rsidP="00A228DE">
            <w:pPr>
              <w:tabs>
                <w:tab w:val="left" w:pos="334"/>
                <w:tab w:val="left" w:pos="669"/>
                <w:tab w:val="left" w:pos="1003"/>
                <w:tab w:val="left" w:pos="1338"/>
              </w:tabs>
              <w:suppressAutoHyphens/>
              <w:spacing w:after="60" w:line="280" w:lineRule="exact"/>
              <w:ind w:right="57"/>
              <w:rPr>
                <w:sz w:val="17"/>
                <w:szCs w:val="18"/>
              </w:rPr>
            </w:pPr>
            <w:bookmarkStart w:id="4" w:name="OLE_LINK81"/>
            <w:r w:rsidRPr="00176BC4">
              <w:rPr>
                <w:rFonts w:hAnsi="SimSun"/>
                <w:sz w:val="17"/>
                <w:szCs w:val="18"/>
              </w:rPr>
              <w:t>未成年</w:t>
            </w:r>
            <w:bookmarkEnd w:id="4"/>
            <w:r w:rsidRPr="00176BC4">
              <w:rPr>
                <w:rFonts w:hAnsi="SimSun"/>
                <w:sz w:val="17"/>
                <w:szCs w:val="18"/>
              </w:rPr>
              <w:t>女孩</w:t>
            </w:r>
            <w:r w:rsidRPr="00176BC4">
              <w:rPr>
                <w:sz w:val="17"/>
                <w:szCs w:val="18"/>
              </w:rPr>
              <w:t>-4</w:t>
            </w:r>
            <w:r w:rsidRPr="00176BC4">
              <w:rPr>
                <w:rFonts w:hAnsi="SimSun"/>
                <w:sz w:val="17"/>
                <w:szCs w:val="18"/>
              </w:rPr>
              <w:t>人</w:t>
            </w:r>
          </w:p>
          <w:p w:rsidR="00A228DE" w:rsidRPr="00176BC4" w:rsidRDefault="00A228DE" w:rsidP="00A228DE">
            <w:pPr>
              <w:tabs>
                <w:tab w:val="left" w:pos="334"/>
                <w:tab w:val="left" w:pos="669"/>
                <w:tab w:val="left" w:pos="1003"/>
                <w:tab w:val="left" w:pos="1338"/>
              </w:tabs>
              <w:suppressAutoHyphens/>
              <w:spacing w:after="60" w:line="280" w:lineRule="exact"/>
              <w:ind w:right="57"/>
              <w:rPr>
                <w:sz w:val="17"/>
                <w:szCs w:val="18"/>
              </w:rPr>
            </w:pPr>
            <w:r w:rsidRPr="00176BC4">
              <w:rPr>
                <w:rFonts w:hAnsi="SimSun"/>
                <w:sz w:val="17"/>
                <w:szCs w:val="18"/>
              </w:rPr>
              <w:t>未成年男孩</w:t>
            </w:r>
            <w:r w:rsidRPr="00176BC4">
              <w:rPr>
                <w:sz w:val="17"/>
                <w:szCs w:val="18"/>
              </w:rPr>
              <w:t>-2</w:t>
            </w:r>
            <w:r w:rsidRPr="00176BC4">
              <w:rPr>
                <w:rFonts w:hAnsi="SimSun"/>
                <w:sz w:val="17"/>
                <w:szCs w:val="18"/>
              </w:rPr>
              <w:t>人</w:t>
            </w:r>
          </w:p>
        </w:tc>
        <w:tc>
          <w:tcPr>
            <w:tcW w:w="3348" w:type="dxa"/>
            <w:tcBorders>
              <w:bottom w:val="single" w:sz="12" w:space="0" w:color="auto"/>
            </w:tcBorders>
            <w:shd w:val="clear" w:color="auto" w:fill="auto"/>
          </w:tcPr>
          <w:p w:rsidR="00A228DE" w:rsidRPr="00176BC4" w:rsidRDefault="00A228DE" w:rsidP="00A228DE">
            <w:pPr>
              <w:tabs>
                <w:tab w:val="left" w:pos="334"/>
                <w:tab w:val="left" w:pos="669"/>
                <w:tab w:val="left" w:pos="1003"/>
                <w:tab w:val="left" w:pos="1338"/>
              </w:tabs>
              <w:suppressAutoHyphens/>
              <w:spacing w:after="60" w:line="280" w:lineRule="exact"/>
              <w:ind w:right="57"/>
              <w:jc w:val="right"/>
              <w:rPr>
                <w:sz w:val="17"/>
                <w:szCs w:val="18"/>
              </w:rPr>
            </w:pPr>
            <w:r w:rsidRPr="00176BC4">
              <w:rPr>
                <w:rFonts w:hAnsi="SimSun"/>
                <w:sz w:val="17"/>
                <w:szCs w:val="18"/>
              </w:rPr>
              <w:t>外国公民</w:t>
            </w:r>
            <w:r w:rsidRPr="00176BC4">
              <w:rPr>
                <w:sz w:val="17"/>
                <w:szCs w:val="18"/>
              </w:rPr>
              <w:t>-1</w:t>
            </w:r>
            <w:r w:rsidRPr="00176BC4">
              <w:rPr>
                <w:rFonts w:hAnsi="SimSun"/>
                <w:sz w:val="17"/>
                <w:szCs w:val="18"/>
              </w:rPr>
              <w:t>人</w:t>
            </w:r>
          </w:p>
          <w:p w:rsidR="00A228DE" w:rsidRPr="00176BC4" w:rsidRDefault="00A228DE" w:rsidP="00A228DE">
            <w:pPr>
              <w:tabs>
                <w:tab w:val="left" w:pos="334"/>
                <w:tab w:val="left" w:pos="669"/>
                <w:tab w:val="left" w:pos="1003"/>
                <w:tab w:val="left" w:pos="1338"/>
              </w:tabs>
              <w:suppressAutoHyphens/>
              <w:spacing w:after="60" w:line="280" w:lineRule="exact"/>
              <w:ind w:right="57"/>
              <w:jc w:val="right"/>
              <w:rPr>
                <w:sz w:val="17"/>
                <w:szCs w:val="18"/>
              </w:rPr>
            </w:pPr>
            <w:r w:rsidRPr="00176BC4">
              <w:rPr>
                <w:rFonts w:hAnsi="SimSun"/>
                <w:sz w:val="17"/>
                <w:szCs w:val="18"/>
              </w:rPr>
              <w:t>妇女</w:t>
            </w:r>
            <w:r w:rsidRPr="00176BC4">
              <w:rPr>
                <w:sz w:val="17"/>
                <w:szCs w:val="18"/>
              </w:rPr>
              <w:t>-202</w:t>
            </w:r>
            <w:r w:rsidRPr="00176BC4">
              <w:rPr>
                <w:rFonts w:hAnsi="SimSun"/>
                <w:sz w:val="17"/>
                <w:szCs w:val="18"/>
              </w:rPr>
              <w:t>人</w:t>
            </w:r>
          </w:p>
          <w:p w:rsidR="00A228DE" w:rsidRPr="00176BC4" w:rsidRDefault="00A228DE" w:rsidP="00A228DE">
            <w:pPr>
              <w:tabs>
                <w:tab w:val="left" w:pos="334"/>
                <w:tab w:val="left" w:pos="669"/>
                <w:tab w:val="left" w:pos="1003"/>
                <w:tab w:val="left" w:pos="1338"/>
              </w:tabs>
              <w:suppressAutoHyphens/>
              <w:spacing w:after="60" w:line="280" w:lineRule="exact"/>
              <w:ind w:right="57"/>
              <w:jc w:val="right"/>
              <w:rPr>
                <w:sz w:val="17"/>
                <w:szCs w:val="18"/>
              </w:rPr>
            </w:pPr>
            <w:r w:rsidRPr="00176BC4">
              <w:rPr>
                <w:rFonts w:hAnsi="SimSun"/>
                <w:sz w:val="17"/>
                <w:szCs w:val="18"/>
              </w:rPr>
              <w:t>男子</w:t>
            </w:r>
            <w:r w:rsidRPr="00176BC4">
              <w:rPr>
                <w:sz w:val="17"/>
                <w:szCs w:val="18"/>
              </w:rPr>
              <w:t>-10</w:t>
            </w:r>
            <w:r w:rsidRPr="00176BC4">
              <w:rPr>
                <w:rFonts w:hAnsi="SimSun"/>
                <w:sz w:val="17"/>
                <w:szCs w:val="18"/>
              </w:rPr>
              <w:t>人</w:t>
            </w:r>
          </w:p>
          <w:p w:rsidR="00A228DE" w:rsidRPr="00176BC4" w:rsidRDefault="00A228DE" w:rsidP="00A228DE">
            <w:pPr>
              <w:tabs>
                <w:tab w:val="left" w:pos="334"/>
                <w:tab w:val="left" w:pos="669"/>
                <w:tab w:val="left" w:pos="1003"/>
                <w:tab w:val="left" w:pos="1338"/>
              </w:tabs>
              <w:suppressAutoHyphens/>
              <w:spacing w:after="60" w:line="280" w:lineRule="exact"/>
              <w:ind w:right="57"/>
              <w:jc w:val="right"/>
              <w:rPr>
                <w:sz w:val="17"/>
                <w:szCs w:val="18"/>
              </w:rPr>
            </w:pPr>
            <w:r w:rsidRPr="00176BC4">
              <w:rPr>
                <w:rFonts w:hAnsi="SimSun"/>
                <w:sz w:val="17"/>
                <w:szCs w:val="18"/>
              </w:rPr>
              <w:t>未成年女孩</w:t>
            </w:r>
            <w:r w:rsidRPr="00176BC4">
              <w:rPr>
                <w:sz w:val="17"/>
                <w:szCs w:val="18"/>
              </w:rPr>
              <w:t>-38</w:t>
            </w:r>
            <w:r w:rsidRPr="00176BC4">
              <w:rPr>
                <w:rFonts w:hAnsi="SimSun"/>
                <w:sz w:val="17"/>
                <w:szCs w:val="18"/>
              </w:rPr>
              <w:t>人</w:t>
            </w:r>
          </w:p>
        </w:tc>
      </w:tr>
    </w:tbl>
    <w:p w:rsidR="00A228DE" w:rsidRPr="00A228DE" w:rsidRDefault="00A228DE" w:rsidP="00A228DE">
      <w:pPr>
        <w:pStyle w:val="SingleTxt"/>
        <w:spacing w:after="0" w:line="120" w:lineRule="exact"/>
        <w:rPr>
          <w:sz w:val="10"/>
        </w:rPr>
      </w:pPr>
    </w:p>
    <w:p w:rsidR="00A228DE" w:rsidRPr="00A228DE" w:rsidRDefault="00A228DE" w:rsidP="00A228DE">
      <w:pPr>
        <w:pStyle w:val="SingleTxt"/>
        <w:spacing w:after="0" w:line="120" w:lineRule="exact"/>
        <w:rPr>
          <w:sz w:val="10"/>
        </w:rPr>
      </w:pPr>
    </w:p>
    <w:p w:rsidR="00D0166D" w:rsidRDefault="00D0166D" w:rsidP="00D0166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第七条 </w:t>
      </w:r>
    </w:p>
    <w:p w:rsidR="00D0166D" w:rsidRPr="00D0166D" w:rsidRDefault="00D0166D" w:rsidP="00D0166D">
      <w:pPr>
        <w:pStyle w:val="SingleTxt"/>
        <w:spacing w:after="0" w:line="120" w:lineRule="exact"/>
        <w:rPr>
          <w:rFonts w:hint="eastAsia"/>
          <w:sz w:val="10"/>
        </w:rPr>
      </w:pPr>
    </w:p>
    <w:p w:rsidR="00D0166D" w:rsidRDefault="00D0166D" w:rsidP="00D0166D">
      <w:pPr>
        <w:pStyle w:val="SingleTxt"/>
        <w:rPr>
          <w:rFonts w:hint="eastAsia"/>
        </w:rPr>
      </w:pPr>
      <w:r>
        <w:rPr>
          <w:rFonts w:hint="eastAsia"/>
        </w:rPr>
        <w:t>76.</w:t>
      </w:r>
      <w:r>
        <w:rPr>
          <w:rFonts w:hint="eastAsia"/>
        </w:rPr>
        <w:tab/>
        <w:t>根据《保加利亚共和国宪法》，“国家和地方的全民选举和公民投票是在普遍平等和直接投票的基础上，以秘密投票方式进行”(第十条)。选举法中对这项权利做了进一步规定。所有公民都享有选举权和被选举权，不受任何性别限制，多项单独法案也保障了这项权利：《共和国总统和副总选举统法》、《议会成员选举法》、《保加利亚共和国欧洲议会成员选举法》以及《地方选举法》。</w:t>
      </w:r>
    </w:p>
    <w:p w:rsidR="00D0166D" w:rsidRDefault="00D0166D" w:rsidP="00D0166D">
      <w:pPr>
        <w:pStyle w:val="SingleTxt"/>
        <w:rPr>
          <w:rFonts w:hint="eastAsia"/>
        </w:rPr>
      </w:pPr>
      <w:r>
        <w:rPr>
          <w:rFonts w:hint="eastAsia"/>
        </w:rPr>
        <w:t>77.</w:t>
      </w:r>
      <w:r>
        <w:rPr>
          <w:rFonts w:hint="eastAsia"/>
        </w:rPr>
        <w:tab/>
        <w:t>选举法或《政党法》都未规定妇女参加选举的配额。</w:t>
      </w:r>
    </w:p>
    <w:p w:rsidR="00D0166D" w:rsidRDefault="00D0166D" w:rsidP="00D0166D">
      <w:pPr>
        <w:pStyle w:val="SingleTxt"/>
        <w:rPr>
          <w:rFonts w:hint="eastAsia"/>
        </w:rPr>
      </w:pPr>
      <w:r>
        <w:rPr>
          <w:rFonts w:hint="eastAsia"/>
        </w:rPr>
        <w:t>78.</w:t>
      </w:r>
      <w:r>
        <w:rPr>
          <w:rFonts w:hint="eastAsia"/>
        </w:rPr>
        <w:tab/>
        <w:t>妇女的选举活动通常较为活跃，根据社会机构在选举后提供的某些数据，参加投票的妇女人数超过了男子人数。所有年龄组和所有地方的妇女选举活动都非常多，包括欠发达地区的小镇和村庄。政党和非政府组织都开展宣传活动，鼓励妇女参加选举。</w:t>
      </w:r>
    </w:p>
    <w:p w:rsidR="00D0166D" w:rsidRDefault="00D0166D" w:rsidP="00D0166D">
      <w:pPr>
        <w:pStyle w:val="SingleTxt"/>
        <w:rPr>
          <w:rFonts w:hint="eastAsia"/>
        </w:rPr>
      </w:pPr>
      <w:r>
        <w:rPr>
          <w:rFonts w:hint="eastAsia"/>
        </w:rPr>
        <w:t>79.</w:t>
      </w:r>
      <w:r>
        <w:rPr>
          <w:rFonts w:hint="eastAsia"/>
        </w:rPr>
        <w:tab/>
        <w:t>妇女参与组织各种选举——总统、国民议会、欧洲议会以及地方当局的选举，表明妇女在选举进程中非常活跃。</w:t>
      </w:r>
    </w:p>
    <w:p w:rsidR="00D0166D" w:rsidRDefault="00D0166D" w:rsidP="00D0166D">
      <w:pPr>
        <w:pStyle w:val="SingleTxt"/>
        <w:rPr>
          <w:rFonts w:hint="eastAsia"/>
        </w:rPr>
      </w:pPr>
      <w:r>
        <w:rPr>
          <w:rFonts w:hint="eastAsia"/>
        </w:rPr>
        <w:t>80.</w:t>
      </w:r>
      <w:r>
        <w:rPr>
          <w:rFonts w:hint="eastAsia"/>
        </w:rPr>
        <w:tab/>
        <w:t>在被指定参加各自选举的中央选举委员会成员中，有40%以上是妇女。2009年议会选举期间，中央选举委员会主席是一名女性，该委员会的一名发言人也是女性。</w:t>
      </w:r>
    </w:p>
    <w:p w:rsidR="00D0166D" w:rsidRDefault="00D0166D" w:rsidP="00D0166D">
      <w:pPr>
        <w:pStyle w:val="SingleTxt"/>
        <w:rPr>
          <w:rFonts w:hint="eastAsia"/>
        </w:rPr>
      </w:pPr>
      <w:r>
        <w:rPr>
          <w:rFonts w:hint="eastAsia"/>
        </w:rPr>
        <w:t>81.</w:t>
      </w:r>
      <w:r>
        <w:rPr>
          <w:rFonts w:hint="eastAsia"/>
        </w:rPr>
        <w:tab/>
        <w:t>传统上多数妇女担任区域和地区选举委员会的资深成员或主席。在参加该国2009年议会选举的31名委员会主席中，地方选举委员会的女主席有10名。</w:t>
      </w:r>
    </w:p>
    <w:p w:rsidR="00D0166D" w:rsidRDefault="00D0166D" w:rsidP="00D0166D">
      <w:pPr>
        <w:pStyle w:val="SingleTxt"/>
        <w:rPr>
          <w:rFonts w:hint="eastAsia"/>
        </w:rPr>
      </w:pPr>
      <w:r>
        <w:rPr>
          <w:rFonts w:hint="eastAsia"/>
        </w:rPr>
        <w:t>82.</w:t>
      </w:r>
      <w:r>
        <w:rPr>
          <w:rFonts w:hint="eastAsia"/>
        </w:rPr>
        <w:tab/>
        <w:t>《防止歧视法》除其他外，旨在确保所有人享受同等待遇，享有平等机会参与公共生活(第2条，第2款)，要求国家和公共机构以及地方自治政府机构制定政策，鼓励男女以及属于族裔、宗教或语言少数群体的个人均衡参与决策过程(第38条)。</w:t>
      </w:r>
    </w:p>
    <w:p w:rsidR="00D0166D" w:rsidRDefault="00D0166D" w:rsidP="00D0166D">
      <w:pPr>
        <w:pStyle w:val="SingleTxt"/>
        <w:rPr>
          <w:rFonts w:hint="eastAsia"/>
        </w:rPr>
      </w:pPr>
      <w:r>
        <w:rPr>
          <w:rFonts w:hint="eastAsia"/>
        </w:rPr>
        <w:t>83.</w:t>
      </w:r>
      <w:r>
        <w:rPr>
          <w:rFonts w:hint="eastAsia"/>
        </w:rPr>
        <w:tab/>
        <w:t>《政党法》第20条第2款规定，政党有权建立青年组织、妇女组织及其他组织。</w:t>
      </w:r>
    </w:p>
    <w:p w:rsidR="00D0166D" w:rsidRDefault="00D0166D" w:rsidP="00D0166D">
      <w:pPr>
        <w:pStyle w:val="SingleTxt"/>
        <w:rPr>
          <w:rFonts w:hint="eastAsia"/>
        </w:rPr>
      </w:pPr>
      <w:r>
        <w:rPr>
          <w:rFonts w:hint="eastAsia"/>
        </w:rPr>
        <w:t>84.</w:t>
      </w:r>
      <w:r>
        <w:rPr>
          <w:rFonts w:hint="eastAsia"/>
        </w:rPr>
        <w:tab/>
        <w:t>各政党都十分重视妇女参与政党生活。1994年以后的各个不同时期，一些政党——包括一个有代表性的议会，均由妇女领导或由妇女担任主席，这些正常包括：保加利亚农民联盟、民主力量联盟、联合人民常、民族强盛与稳定运动，以及保加利亚妇女党，2001-2005年期间，该党是任务执行人。目前，一些妇女参与所有主要政党的领导工作，担任这些正常的副主席或其他高级职务。</w:t>
      </w:r>
    </w:p>
    <w:p w:rsidR="00D0166D" w:rsidRDefault="00D0166D" w:rsidP="00D0166D">
      <w:pPr>
        <w:pStyle w:val="SingleTxt"/>
        <w:rPr>
          <w:rFonts w:hint="eastAsia"/>
        </w:rPr>
      </w:pPr>
      <w:r>
        <w:rPr>
          <w:rFonts w:hint="eastAsia"/>
        </w:rPr>
        <w:t>85.</w:t>
      </w:r>
      <w:r>
        <w:rPr>
          <w:rFonts w:hint="eastAsia"/>
        </w:rPr>
        <w:tab/>
        <w:t xml:space="preserve">过去15年来，一些政党通过任命妇女在政党机构内和行政部门担任高级职务，以及在国民议会选举中将女性候选人列入领导人选举名单，来鼓励妇女参与政治进程。来自不同政党的一些女性政治家具有丰富的经验和资历，这使她们在政治角逐中具有竞争力。 </w:t>
      </w:r>
    </w:p>
    <w:p w:rsidR="00D0166D" w:rsidRDefault="00D0166D" w:rsidP="00D0166D">
      <w:pPr>
        <w:pStyle w:val="SingleTxt"/>
        <w:rPr>
          <w:rFonts w:hint="eastAsia"/>
        </w:rPr>
      </w:pPr>
      <w:r>
        <w:rPr>
          <w:rFonts w:hint="eastAsia"/>
        </w:rPr>
        <w:t>86.</w:t>
      </w:r>
      <w:r>
        <w:rPr>
          <w:rFonts w:hint="eastAsia"/>
        </w:rPr>
        <w:tab/>
        <w:t>全国民意研究学会定期进行的调查显示，公众态度正在朝着更多支持妇女参与政治的方向发展，而不论其具体职位如何。例如，保加利亚加入欧盟(2007年)时，任欧盟专员一职的就是一名保加利亚妇女。目前任欧盟专员一职(2009年)的仍是保加利亚妇女。</w:t>
      </w:r>
    </w:p>
    <w:p w:rsidR="00D0166D" w:rsidRDefault="00D0166D" w:rsidP="00D0166D">
      <w:pPr>
        <w:pStyle w:val="SingleTxt"/>
        <w:rPr>
          <w:rFonts w:hint="eastAsia"/>
        </w:rPr>
      </w:pPr>
      <w:r>
        <w:rPr>
          <w:rFonts w:hint="eastAsia"/>
        </w:rPr>
        <w:t>87.</w:t>
      </w:r>
      <w:r>
        <w:rPr>
          <w:rFonts w:hint="eastAsia"/>
        </w:rPr>
        <w:tab/>
        <w:t>在过去10年间，加快了在政党内部建立妇女组织的步伐。一些类似的妇女组织在全国各地建立起了政治上活跃的妇女地方机构和网络，这些妇女定期参与制定政党的政策，任命候选人，增强全民对政党政策的了解，对其成员进行培训，并为政党内的职业生涯创造条件。保加利亚社会党、民主力量联盟、农民联盟、保加利亚公民促进欧洲发展党、VMRO-民族运动等也不同程度地建立了类似机制。</w:t>
      </w:r>
    </w:p>
    <w:p w:rsidR="00D0166D" w:rsidRDefault="00D0166D" w:rsidP="00D0166D">
      <w:pPr>
        <w:pStyle w:val="SingleTxt"/>
        <w:rPr>
          <w:rFonts w:hint="eastAsia"/>
        </w:rPr>
      </w:pPr>
      <w:r>
        <w:rPr>
          <w:rFonts w:hint="eastAsia"/>
        </w:rPr>
        <w:t>88.</w:t>
      </w:r>
      <w:r>
        <w:rPr>
          <w:rFonts w:hint="eastAsia"/>
        </w:rPr>
        <w:tab/>
        <w:t>主要政党的妇女组织非常积极，能够单独或与性别非政府组织组织大量社会活动，主要关注全国和地方各级的妇女和社会。在这些组织中，许多都具有大量因特网网站，定期公布通讯或其他新闻材料，并积极参与其他类似政治组织的国际生活。许多妇女组织对其成员进行妇女参与选举进程、人权等方面的专门培训。其资金来自政党预算或项目本金。</w:t>
      </w:r>
    </w:p>
    <w:p w:rsidR="00D0166D" w:rsidRDefault="00D0166D" w:rsidP="00D0166D">
      <w:pPr>
        <w:pStyle w:val="SingleTxt"/>
        <w:rPr>
          <w:rFonts w:hint="eastAsia"/>
        </w:rPr>
      </w:pPr>
      <w:r>
        <w:rPr>
          <w:rFonts w:hint="eastAsia"/>
        </w:rPr>
        <w:t>89.</w:t>
      </w:r>
      <w:r>
        <w:rPr>
          <w:rFonts w:hint="eastAsia"/>
        </w:rPr>
        <w:tab/>
        <w:t>议会女性成员人数日益增加，表明保加利亚妇女的公民地位和政治地位在提高。自1990年代中期以来，议会女性成员人数增加了一倍并继续在增加。在240名议会成员中，女性议员人数为50名。在国民议会过去三次(2001-2005年；2005-2009年；2009-2013年)任命中，女性同男性的比例分别为28% 对72%，21%对79%，以及22%对78%。2009年7月选举期间，在31位多数候选人中，26%为妇女。</w:t>
      </w:r>
    </w:p>
    <w:p w:rsidR="00D0166D" w:rsidRDefault="00D0166D" w:rsidP="00D0166D">
      <w:pPr>
        <w:pStyle w:val="SingleTxt"/>
        <w:rPr>
          <w:rFonts w:hint="eastAsia"/>
        </w:rPr>
      </w:pPr>
      <w:r>
        <w:rPr>
          <w:rFonts w:hint="eastAsia"/>
        </w:rPr>
        <w:t>90.</w:t>
      </w:r>
      <w:r>
        <w:rPr>
          <w:rFonts w:hint="eastAsia"/>
        </w:rPr>
        <w:tab/>
        <w:t>2009年6月欧洲议会当选成员中妇女的比例更具有说服力——在保加利亚共和国17名代表中，妇女占47%。妇女在政党和欧洲联盟名单中的比例平均为33%，因为绝大多数政治力量都采纳了国际机构关于决策机构中男女比例均衡的建议，除极少例外情况，包括其选举名单中第一至第五职位一级40%以上为妇女。在参加选举的13个政党和联盟中，4个将妇女作为领导人列入其名单。一个政党(保加利亚公民促进欧洲发展党)首次通过所谓的“男女并进”或“男女混合”制度——男女连续交替——安排其候选人，认为这是选举进程中国际社会遵循两性平等原则的最佳办法。</w:t>
      </w:r>
    </w:p>
    <w:p w:rsidR="00D0166D" w:rsidRDefault="00D0166D" w:rsidP="00D0166D">
      <w:pPr>
        <w:pStyle w:val="SingleTxt"/>
        <w:rPr>
          <w:rFonts w:hint="eastAsia"/>
        </w:rPr>
      </w:pPr>
      <w:r>
        <w:rPr>
          <w:rFonts w:hint="eastAsia"/>
        </w:rPr>
        <w:t>91.</w:t>
      </w:r>
      <w:r>
        <w:rPr>
          <w:rFonts w:hint="eastAsia"/>
        </w:rPr>
        <w:tab/>
        <w:t>2009年7月14日选举后，第41届国民议会主席是女性。女性副主席和男性副主席的比例(根据议会各派的人数)为1:5。2005-2009年期间，第40届国民议会女性副主席的人数(根据轮换原则)同男性人数相等。</w:t>
      </w:r>
    </w:p>
    <w:p w:rsidR="00D0166D" w:rsidRDefault="00D0166D" w:rsidP="00D0166D">
      <w:pPr>
        <w:pStyle w:val="SingleTxt"/>
        <w:rPr>
          <w:rFonts w:hint="eastAsia"/>
        </w:rPr>
      </w:pPr>
      <w:r>
        <w:rPr>
          <w:rFonts w:hint="eastAsia"/>
        </w:rPr>
        <w:t>92.</w:t>
      </w:r>
      <w:r>
        <w:rPr>
          <w:rFonts w:hint="eastAsia"/>
        </w:rPr>
        <w:tab/>
        <w:t>妇女还担任常务委员会主席。目前17个委员会中，有6个委员会的主席为妇女——这些委员会包括预算和财务委员会、法律委员会、劳动和社会政策委员会、生态委员会、农业委员会、文化委员会以及民间社会和媒体。考虑到前几次任命中26个委员会中仅有2个委员会的主席为妇女，这是一项了不起的进步。但是，女性议员在政党议会党团中的职务不高。只有一个议会党团的共同主席为妇女。</w:t>
      </w:r>
    </w:p>
    <w:p w:rsidR="00D0166D" w:rsidRDefault="00D0166D" w:rsidP="00D0166D">
      <w:pPr>
        <w:pStyle w:val="SingleTxt"/>
        <w:rPr>
          <w:rFonts w:hint="eastAsia"/>
        </w:rPr>
      </w:pPr>
      <w:r>
        <w:rPr>
          <w:rFonts w:hint="eastAsia"/>
        </w:rPr>
        <w:t>93.</w:t>
      </w:r>
      <w:r>
        <w:rPr>
          <w:rFonts w:hint="eastAsia"/>
        </w:rPr>
        <w:tab/>
        <w:t>1990年代中期以来一直到现在，妇女一直担任政治和政府高级职位：总理(1994-1995年)；不同任命中担任副总理；部长；国家机构主席等。在国家和市政管理层中妇女占多数，因为在某些机构中妇女的人数超过了65%。</w:t>
      </w:r>
    </w:p>
    <w:p w:rsidR="00D0166D" w:rsidRDefault="00D0166D" w:rsidP="00D0166D">
      <w:pPr>
        <w:pStyle w:val="SingleTxt"/>
        <w:rPr>
          <w:rFonts w:hint="eastAsia"/>
        </w:rPr>
      </w:pPr>
      <w:r>
        <w:rPr>
          <w:rFonts w:hint="eastAsia"/>
        </w:rPr>
        <w:t>94.</w:t>
      </w:r>
      <w:r>
        <w:rPr>
          <w:rFonts w:hint="eastAsia"/>
        </w:rPr>
        <w:tab/>
        <w:t>2009年7月选举后组成的部长会议中，三位部长是妇女——司法部部长、教育、青年与科学部部长以及环境和水资源部部长。三分之一的副部长为妇女。环境和水资源部的整个领导层(部长和副部长)均为妇女。</w:t>
      </w:r>
    </w:p>
    <w:p w:rsidR="00D0166D" w:rsidRDefault="00D0166D" w:rsidP="00D0166D">
      <w:pPr>
        <w:pStyle w:val="SingleTxt"/>
        <w:rPr>
          <w:rFonts w:hint="eastAsia"/>
        </w:rPr>
      </w:pPr>
      <w:r>
        <w:rPr>
          <w:rFonts w:hint="eastAsia"/>
        </w:rPr>
        <w:t>95.</w:t>
      </w:r>
      <w:r>
        <w:rPr>
          <w:rFonts w:hint="eastAsia"/>
        </w:rPr>
        <w:tab/>
        <w:t>除国防部、内政部和外交部以及文化部外，中央管理机构中各部的司长和首脑一级中妇女占多数。以下将详细介绍公共行政机构中的性别比例。</w:t>
      </w:r>
    </w:p>
    <w:p w:rsidR="00D0166D" w:rsidRDefault="00D0166D" w:rsidP="00D0166D">
      <w:pPr>
        <w:pStyle w:val="SingleTxt"/>
        <w:rPr>
          <w:rFonts w:hint="eastAsia"/>
        </w:rPr>
      </w:pPr>
      <w:r>
        <w:rPr>
          <w:rFonts w:hint="eastAsia"/>
        </w:rPr>
        <w:t>96.</w:t>
      </w:r>
      <w:r>
        <w:rPr>
          <w:rFonts w:hint="eastAsia"/>
        </w:rPr>
        <w:tab/>
        <w:t xml:space="preserve">司法部： </w:t>
      </w:r>
    </w:p>
    <w:p w:rsidR="00D0166D" w:rsidRDefault="003069A0" w:rsidP="00D0166D">
      <w:pPr>
        <w:pStyle w:val="SingleTxt"/>
        <w:rPr>
          <w:rFonts w:hint="eastAsia"/>
        </w:rPr>
      </w:pPr>
      <w:r>
        <w:tab/>
      </w:r>
      <w:r w:rsidR="00D0166D">
        <w:rPr>
          <w:rFonts w:hint="eastAsia"/>
        </w:rPr>
        <w:t>(a)</w:t>
      </w:r>
      <w:r>
        <w:tab/>
      </w:r>
      <w:r w:rsidR="00D0166D">
        <w:rPr>
          <w:rFonts w:hint="eastAsia"/>
        </w:rPr>
        <w:t>中央管理机构雇员性别均衡——管理层——2名女性/名男性，公职人员——191名女性/51名男性；</w:t>
      </w:r>
    </w:p>
    <w:p w:rsidR="00D0166D" w:rsidRDefault="003069A0" w:rsidP="00D0166D">
      <w:pPr>
        <w:pStyle w:val="SingleTxt"/>
        <w:rPr>
          <w:rFonts w:hint="eastAsia"/>
        </w:rPr>
      </w:pPr>
      <w:r>
        <w:tab/>
      </w:r>
      <w:r w:rsidR="00D0166D">
        <w:rPr>
          <w:rFonts w:hint="eastAsia"/>
        </w:rPr>
        <w:t>(b)</w:t>
      </w:r>
      <w:r>
        <w:tab/>
      </w:r>
      <w:r w:rsidR="00D0166D">
        <w:rPr>
          <w:rFonts w:hint="eastAsia"/>
        </w:rPr>
        <w:t>法律司雇员性别均衡——管理层——4名女性/1名男性，公职人员——14名性女/7名男性；</w:t>
      </w:r>
    </w:p>
    <w:p w:rsidR="00D0166D" w:rsidRDefault="007B23AA" w:rsidP="00D0166D">
      <w:pPr>
        <w:pStyle w:val="SingleTxt"/>
        <w:rPr>
          <w:rFonts w:hint="eastAsia"/>
        </w:rPr>
      </w:pPr>
      <w:r>
        <w:tab/>
      </w:r>
      <w:r w:rsidR="00D0166D">
        <w:rPr>
          <w:rFonts w:hint="eastAsia"/>
        </w:rPr>
        <w:t>(c)</w:t>
      </w:r>
      <w:r w:rsidR="00D0166D">
        <w:rPr>
          <w:rFonts w:hint="eastAsia"/>
        </w:rPr>
        <w:tab/>
        <w:t>安全司雇员性别均衡——管理层——4名女性/1名男性，公职人员——210名女性/1 200名男性；</w:t>
      </w:r>
    </w:p>
    <w:p w:rsidR="00D0166D" w:rsidRDefault="007B23AA" w:rsidP="00D0166D">
      <w:pPr>
        <w:pStyle w:val="SingleTxt"/>
        <w:rPr>
          <w:rFonts w:hint="eastAsia"/>
        </w:rPr>
      </w:pPr>
      <w:r>
        <w:tab/>
      </w:r>
      <w:r w:rsidR="00D0166D">
        <w:rPr>
          <w:rFonts w:hint="eastAsia"/>
        </w:rPr>
        <w:t>(d)</w:t>
      </w:r>
      <w:r w:rsidR="00D0166D">
        <w:rPr>
          <w:rFonts w:hint="eastAsia"/>
        </w:rPr>
        <w:tab/>
        <w:t>执行判决司雇员性别均衡——管理层——25名女性/111名男性，公职人员——916名女性/3 542名男性；</w:t>
      </w:r>
    </w:p>
    <w:p w:rsidR="00D0166D" w:rsidRDefault="007B23AA" w:rsidP="00D0166D">
      <w:pPr>
        <w:pStyle w:val="SingleTxt"/>
        <w:rPr>
          <w:rFonts w:hint="eastAsia"/>
        </w:rPr>
      </w:pPr>
      <w:r>
        <w:tab/>
      </w:r>
      <w:r w:rsidR="00D0166D">
        <w:rPr>
          <w:rFonts w:hint="eastAsia"/>
        </w:rPr>
        <w:t>(e)</w:t>
      </w:r>
      <w:r w:rsidR="00D0166D">
        <w:rPr>
          <w:rFonts w:hint="eastAsia"/>
        </w:rPr>
        <w:tab/>
        <w:t>注册机构雇员性别均衡表现为——管理层——12名女性/10名男性，公职人员——482名女性/39名男性；</w:t>
      </w:r>
    </w:p>
    <w:p w:rsidR="00D0166D" w:rsidRDefault="007B23AA" w:rsidP="00D0166D">
      <w:pPr>
        <w:pStyle w:val="SingleTxt"/>
        <w:rPr>
          <w:rFonts w:hint="eastAsia"/>
        </w:rPr>
      </w:pPr>
      <w:r>
        <w:tab/>
      </w:r>
      <w:r w:rsidR="00D0166D">
        <w:rPr>
          <w:rFonts w:hint="eastAsia"/>
        </w:rPr>
        <w:t>(f)</w:t>
      </w:r>
      <w:r>
        <w:tab/>
      </w:r>
      <w:r w:rsidR="00D0166D">
        <w:rPr>
          <w:rFonts w:hint="eastAsia"/>
        </w:rPr>
        <w:t>特别担保人中央注册处雇员性别均衡——管理层——4名女性/1名男性，公职人员——28名女性/1名男性。</w:t>
      </w:r>
    </w:p>
    <w:p w:rsidR="00D0166D" w:rsidRDefault="00D0166D" w:rsidP="00D0166D">
      <w:pPr>
        <w:pStyle w:val="SingleTxt"/>
        <w:rPr>
          <w:rFonts w:hint="eastAsia"/>
        </w:rPr>
      </w:pPr>
      <w:r>
        <w:rPr>
          <w:rFonts w:hint="eastAsia"/>
        </w:rPr>
        <w:t>97.</w:t>
      </w:r>
      <w:r>
        <w:rPr>
          <w:rFonts w:hint="eastAsia"/>
        </w:rPr>
        <w:tab/>
        <w:t xml:space="preserve">外交部：  </w:t>
      </w:r>
    </w:p>
    <w:p w:rsidR="00D0166D" w:rsidRDefault="007B23AA" w:rsidP="00D0166D">
      <w:pPr>
        <w:pStyle w:val="SingleTxt"/>
        <w:rPr>
          <w:rFonts w:hint="eastAsia"/>
        </w:rPr>
      </w:pPr>
      <w:r>
        <w:tab/>
      </w:r>
      <w:r w:rsidR="00D0166D">
        <w:rPr>
          <w:rFonts w:hint="eastAsia"/>
        </w:rPr>
        <w:t>(a)</w:t>
      </w:r>
      <w:r w:rsidR="00D0166D">
        <w:rPr>
          <w:rFonts w:hint="eastAsia"/>
        </w:rPr>
        <w:tab/>
        <w:t>管理职位性别均衡——司长：28.5%为女性/71.5%为男性；各科科长中，30.6 %为女性/69.4 %为男性；</w:t>
      </w:r>
    </w:p>
    <w:p w:rsidR="00D0166D" w:rsidRDefault="007B23AA" w:rsidP="00D0166D">
      <w:pPr>
        <w:pStyle w:val="SingleTxt"/>
        <w:rPr>
          <w:rFonts w:hint="eastAsia"/>
        </w:rPr>
      </w:pPr>
      <w:r>
        <w:tab/>
      </w:r>
      <w:r w:rsidR="00D0166D">
        <w:rPr>
          <w:rFonts w:hint="eastAsia"/>
        </w:rPr>
        <w:t>(b)</w:t>
      </w:r>
      <w:r w:rsidR="00D0166D">
        <w:rPr>
          <w:rFonts w:hint="eastAsia"/>
        </w:rPr>
        <w:tab/>
        <w:t>具有外交官衔的雇员性别均衡——201名女性/309名男性；</w:t>
      </w:r>
    </w:p>
    <w:p w:rsidR="00D0166D" w:rsidRDefault="007B23AA" w:rsidP="00D0166D">
      <w:pPr>
        <w:pStyle w:val="SingleTxt"/>
        <w:rPr>
          <w:rFonts w:hint="eastAsia"/>
        </w:rPr>
      </w:pPr>
      <w:r>
        <w:tab/>
      </w:r>
      <w:r w:rsidR="00D0166D">
        <w:rPr>
          <w:rFonts w:hint="eastAsia"/>
        </w:rPr>
        <w:t>(c)</w:t>
      </w:r>
      <w:r w:rsidR="00D0166D">
        <w:rPr>
          <w:rFonts w:hint="eastAsia"/>
        </w:rPr>
        <w:tab/>
        <w:t>不具有外交官衔的雇员的性别均衡——504名女性/514名男性。</w:t>
      </w:r>
    </w:p>
    <w:p w:rsidR="00D0166D" w:rsidRDefault="00D0166D" w:rsidP="00D0166D">
      <w:pPr>
        <w:pStyle w:val="SingleTxt"/>
        <w:rPr>
          <w:rFonts w:hint="eastAsia"/>
        </w:rPr>
      </w:pPr>
      <w:r>
        <w:rPr>
          <w:rFonts w:hint="eastAsia"/>
        </w:rPr>
        <w:t>98.</w:t>
      </w:r>
      <w:r>
        <w:rPr>
          <w:rFonts w:hint="eastAsia"/>
        </w:rPr>
        <w:tab/>
        <w:t xml:space="preserve">内政部： </w:t>
      </w:r>
    </w:p>
    <w:p w:rsidR="00D0166D" w:rsidRDefault="007B23AA" w:rsidP="00D0166D">
      <w:pPr>
        <w:pStyle w:val="SingleTxt"/>
        <w:rPr>
          <w:rFonts w:hint="eastAsia"/>
        </w:rPr>
      </w:pPr>
      <w:r>
        <w:tab/>
      </w:r>
      <w:r w:rsidR="00D0166D">
        <w:rPr>
          <w:rFonts w:hint="eastAsia"/>
        </w:rPr>
        <w:t>(a)</w:t>
      </w:r>
      <w:r w:rsidR="00D0166D">
        <w:rPr>
          <w:rFonts w:hint="eastAsia"/>
        </w:rPr>
        <w:tab/>
        <w:t>管理职位性别均衡——15%为女性/85%为男性；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中央行政机构中公职人员性别均衡——50%为女性/50% 为男性。</w:t>
      </w:r>
    </w:p>
    <w:p w:rsidR="00D0166D" w:rsidRDefault="00D0166D" w:rsidP="00D0166D">
      <w:pPr>
        <w:pStyle w:val="SingleTxt"/>
        <w:rPr>
          <w:rFonts w:hint="eastAsia"/>
        </w:rPr>
      </w:pPr>
      <w:r>
        <w:rPr>
          <w:rFonts w:hint="eastAsia"/>
        </w:rPr>
        <w:t>99.</w:t>
      </w:r>
      <w:r>
        <w:rPr>
          <w:rFonts w:hint="eastAsia"/>
        </w:rPr>
        <w:tab/>
        <w:t xml:space="preserve">国防部： </w:t>
      </w:r>
    </w:p>
    <w:p w:rsidR="00D0166D" w:rsidRDefault="007B23AA" w:rsidP="00D0166D">
      <w:pPr>
        <w:pStyle w:val="SingleTxt"/>
        <w:rPr>
          <w:rFonts w:hint="eastAsia"/>
        </w:rPr>
      </w:pPr>
      <w:r>
        <w:tab/>
      </w:r>
      <w:r>
        <w:rPr>
          <w:rFonts w:hint="eastAsia"/>
        </w:rPr>
        <w:t>(a)</w:t>
      </w:r>
      <w:r w:rsidR="00D0166D">
        <w:rPr>
          <w:rFonts w:hint="eastAsia"/>
        </w:rPr>
        <w:tab/>
        <w:t>中央行政机构雇员均衡——管理层——23.95%为女性/76.05%为男性，公职人员——44.33 %为女性/55.67%为男性；</w:t>
      </w:r>
    </w:p>
    <w:p w:rsidR="00D0166D" w:rsidRDefault="007B23AA" w:rsidP="00D0166D">
      <w:pPr>
        <w:pStyle w:val="SingleTxt"/>
        <w:rPr>
          <w:rFonts w:hint="eastAsia"/>
        </w:rPr>
      </w:pPr>
      <w:r>
        <w:tab/>
      </w:r>
      <w:r w:rsidR="00D0166D">
        <w:rPr>
          <w:rFonts w:hint="eastAsia"/>
        </w:rPr>
        <w:t>(b)</w:t>
      </w:r>
      <w:r w:rsidR="00D0166D">
        <w:rPr>
          <w:rFonts w:hint="eastAsia"/>
        </w:rPr>
        <w:tab/>
        <w:t>国防部直属各机构雇员性别均衡——管理层——22.8%为女性/77.20% 为男性，公职人员——36.1%为女性/63.9%为男性；</w:t>
      </w:r>
    </w:p>
    <w:p w:rsidR="00D0166D" w:rsidRDefault="007B23AA" w:rsidP="00D0166D">
      <w:pPr>
        <w:pStyle w:val="SingleTxt"/>
        <w:rPr>
          <w:rFonts w:hint="eastAsia"/>
        </w:rPr>
      </w:pPr>
      <w:r>
        <w:tab/>
      </w:r>
      <w:r w:rsidR="00D0166D">
        <w:rPr>
          <w:rFonts w:hint="eastAsia"/>
        </w:rPr>
        <w:t>(c)</w:t>
      </w:r>
      <w:r w:rsidR="00D0166D">
        <w:rPr>
          <w:rFonts w:hint="eastAsia"/>
        </w:rPr>
        <w:tab/>
      </w:r>
      <w:r w:rsidR="00D0166D" w:rsidRPr="007B23AA">
        <w:rPr>
          <w:rFonts w:hint="eastAsia"/>
          <w:spacing w:val="2"/>
        </w:rPr>
        <w:t>保加利亚军队中雇员性别均衡</w:t>
      </w:r>
      <w:r w:rsidR="00D0166D">
        <w:rPr>
          <w:rFonts w:hint="eastAsia"/>
        </w:rPr>
        <w:t>——</w:t>
      </w:r>
      <w:r w:rsidR="00D0166D" w:rsidRPr="007B23AA">
        <w:rPr>
          <w:rFonts w:hint="eastAsia"/>
          <w:spacing w:val="2"/>
        </w:rPr>
        <w:t>管理层</w:t>
      </w:r>
      <w:r w:rsidR="00D0166D">
        <w:rPr>
          <w:rFonts w:hint="eastAsia"/>
        </w:rPr>
        <w:t>——100%为男性，公职人员——20.2%为妇女/79.8 %为男性。</w:t>
      </w:r>
    </w:p>
    <w:p w:rsidR="00D0166D" w:rsidRDefault="00D0166D" w:rsidP="00D0166D">
      <w:pPr>
        <w:pStyle w:val="SingleTxt"/>
        <w:rPr>
          <w:rFonts w:hint="eastAsia"/>
        </w:rPr>
      </w:pPr>
      <w:r>
        <w:rPr>
          <w:rFonts w:hint="eastAsia"/>
        </w:rPr>
        <w:t>100.</w:t>
      </w:r>
      <w:r w:rsidR="007B23AA">
        <w:t xml:space="preserve">  </w:t>
      </w:r>
      <w:r>
        <w:rPr>
          <w:rFonts w:hint="eastAsia"/>
        </w:rPr>
        <w:t>卫生部：</w:t>
      </w:r>
    </w:p>
    <w:p w:rsidR="00D0166D" w:rsidRDefault="007B23AA" w:rsidP="00D0166D">
      <w:pPr>
        <w:pStyle w:val="SingleTxt"/>
        <w:rPr>
          <w:rFonts w:hint="eastAsia"/>
        </w:rPr>
      </w:pPr>
      <w:r>
        <w:tab/>
      </w:r>
      <w:r w:rsidR="00D0166D">
        <w:rPr>
          <w:rFonts w:hint="eastAsia"/>
        </w:rPr>
        <w:t>(a)</w:t>
      </w:r>
      <w:r w:rsidR="00D0166D">
        <w:rPr>
          <w:rFonts w:hint="eastAsia"/>
        </w:rPr>
        <w:tab/>
        <w:t xml:space="preserve">中央行政机构管理层性别均衡——43名女性/17名男性； </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中央行政机构中公职人员性别均衡——217名女性/63名男性。</w:t>
      </w:r>
    </w:p>
    <w:p w:rsidR="00D0166D" w:rsidRDefault="00D0166D" w:rsidP="00D0166D">
      <w:pPr>
        <w:pStyle w:val="SingleTxt"/>
        <w:rPr>
          <w:rFonts w:hint="eastAsia"/>
        </w:rPr>
      </w:pPr>
      <w:r>
        <w:rPr>
          <w:rFonts w:hint="eastAsia"/>
        </w:rPr>
        <w:t>101.</w:t>
      </w:r>
      <w:r w:rsidR="007B23AA">
        <w:t xml:space="preserve">  </w:t>
      </w:r>
      <w:r>
        <w:rPr>
          <w:rFonts w:hint="eastAsia"/>
        </w:rPr>
        <w:t>地区发展和公共工程部：</w:t>
      </w:r>
    </w:p>
    <w:p w:rsidR="00D0166D" w:rsidRDefault="007B23AA" w:rsidP="00D0166D">
      <w:pPr>
        <w:pStyle w:val="SingleTxt"/>
        <w:rPr>
          <w:rFonts w:hint="eastAsia"/>
        </w:rPr>
      </w:pPr>
      <w:r>
        <w:tab/>
      </w:r>
      <w:r>
        <w:rPr>
          <w:rFonts w:hint="eastAsia"/>
        </w:rPr>
        <w:t>(a)</w:t>
      </w:r>
      <w:r w:rsidR="00D0166D">
        <w:rPr>
          <w:rFonts w:hint="eastAsia"/>
        </w:rPr>
        <w:tab/>
        <w:t>中央行政机构管理层性别均衡——71名女性/29名男性；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中央行政机构中公职人员的性别均衡——319名女性/148名男性。</w:t>
      </w:r>
    </w:p>
    <w:p w:rsidR="00D0166D" w:rsidRDefault="00D0166D" w:rsidP="00D0166D">
      <w:pPr>
        <w:pStyle w:val="SingleTxt"/>
        <w:rPr>
          <w:rFonts w:hint="eastAsia"/>
        </w:rPr>
      </w:pPr>
      <w:r>
        <w:rPr>
          <w:rFonts w:hint="eastAsia"/>
        </w:rPr>
        <w:t>102.</w:t>
      </w:r>
      <w:r w:rsidR="007B23AA">
        <w:t xml:space="preserve">  </w:t>
      </w:r>
      <w:r>
        <w:rPr>
          <w:rFonts w:hint="eastAsia"/>
        </w:rPr>
        <w:t>文化部：</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中央行政机构管理层性别均衡——14名女性/16名男性；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中央行政机构中公职人员的性别均衡——85名女性/38名男性。</w:t>
      </w:r>
    </w:p>
    <w:p w:rsidR="00D0166D" w:rsidRDefault="00D0166D" w:rsidP="00D0166D">
      <w:pPr>
        <w:pStyle w:val="SingleTxt"/>
        <w:rPr>
          <w:rFonts w:hint="eastAsia"/>
        </w:rPr>
      </w:pPr>
      <w:r>
        <w:rPr>
          <w:rFonts w:hint="eastAsia"/>
        </w:rPr>
        <w:t>103.</w:t>
      </w:r>
      <w:r w:rsidR="007B23AA">
        <w:t xml:space="preserve">  </w:t>
      </w:r>
      <w:r>
        <w:rPr>
          <w:rFonts w:hint="eastAsia"/>
        </w:rPr>
        <w:t>教育、青年与科学部：</w:t>
      </w:r>
    </w:p>
    <w:p w:rsidR="00D0166D" w:rsidRDefault="007B23AA" w:rsidP="00D0166D">
      <w:pPr>
        <w:pStyle w:val="SingleTxt"/>
        <w:rPr>
          <w:rFonts w:hint="eastAsia"/>
        </w:rPr>
      </w:pPr>
      <w:r>
        <w:tab/>
      </w:r>
      <w:r w:rsidR="00D0166D">
        <w:rPr>
          <w:rFonts w:hint="eastAsia"/>
        </w:rPr>
        <w:t>(a)</w:t>
      </w:r>
      <w:r w:rsidR="00D0166D">
        <w:rPr>
          <w:rFonts w:hint="eastAsia"/>
        </w:rPr>
        <w:tab/>
        <w:t xml:space="preserve">中央行政机构管理层性别均衡——43名女性/17名男性； </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中央行政机构中公职人员性别均衡——337名女性/93名男性；</w:t>
      </w:r>
    </w:p>
    <w:p w:rsidR="00D0166D" w:rsidRDefault="007B23AA" w:rsidP="00D0166D">
      <w:pPr>
        <w:pStyle w:val="SingleTxt"/>
        <w:rPr>
          <w:rFonts w:hint="eastAsia"/>
        </w:rPr>
      </w:pPr>
      <w:r>
        <w:tab/>
      </w:r>
      <w:r w:rsidR="00D0166D">
        <w:rPr>
          <w:rFonts w:hint="eastAsia"/>
        </w:rPr>
        <w:t>(c)</w:t>
      </w:r>
      <w:r w:rsidR="00D0166D">
        <w:rPr>
          <w:rFonts w:hint="eastAsia"/>
        </w:rPr>
        <w:tab/>
        <w:t xml:space="preserve">地区教育监察局管理层性别均衡——52名女性/28名男性；  </w:t>
      </w:r>
    </w:p>
    <w:p w:rsidR="00D0166D" w:rsidRDefault="007B23AA" w:rsidP="00D0166D">
      <w:pPr>
        <w:pStyle w:val="SingleTxt"/>
        <w:rPr>
          <w:rFonts w:hint="eastAsia"/>
        </w:rPr>
      </w:pPr>
      <w:r>
        <w:tab/>
      </w:r>
      <w:r w:rsidR="00D0166D">
        <w:rPr>
          <w:rFonts w:hint="eastAsia"/>
        </w:rPr>
        <w:t>(d)</w:t>
      </w:r>
      <w:r w:rsidR="00D0166D">
        <w:rPr>
          <w:rFonts w:hint="eastAsia"/>
        </w:rPr>
        <w:tab/>
        <w:t>地区教育监察局公职人员性别均衡——421名女性/129名男性。</w:t>
      </w:r>
    </w:p>
    <w:p w:rsidR="00D0166D" w:rsidRDefault="00D0166D" w:rsidP="00D0166D">
      <w:pPr>
        <w:pStyle w:val="SingleTxt"/>
        <w:rPr>
          <w:rFonts w:hint="eastAsia"/>
        </w:rPr>
      </w:pPr>
      <w:r>
        <w:rPr>
          <w:rFonts w:hint="eastAsia"/>
        </w:rPr>
        <w:t>104.</w:t>
      </w:r>
      <w:r w:rsidR="007B23AA">
        <w:t xml:space="preserve">  </w:t>
      </w:r>
      <w:r>
        <w:rPr>
          <w:rFonts w:hint="eastAsia"/>
        </w:rPr>
        <w:t>经济、能源和旅游部：</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中央行政机构管理层性别均衡——65名女性/24名男性；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中央行政机构中公职人员性别均衡——319名女性/147名男性。</w:t>
      </w:r>
    </w:p>
    <w:p w:rsidR="00D0166D" w:rsidRDefault="00D0166D" w:rsidP="00D0166D">
      <w:pPr>
        <w:pStyle w:val="SingleTxt"/>
        <w:rPr>
          <w:rFonts w:hint="eastAsia"/>
        </w:rPr>
      </w:pPr>
      <w:r>
        <w:rPr>
          <w:rFonts w:hint="eastAsia"/>
        </w:rPr>
        <w:t>105.</w:t>
      </w:r>
      <w:r w:rsidR="007B23AA">
        <w:t xml:space="preserve">  </w:t>
      </w:r>
      <w:r>
        <w:rPr>
          <w:rFonts w:hint="eastAsia"/>
        </w:rPr>
        <w:t>财政部：</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中央行政机构管理层性别均衡——66名女性/29名男性；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中央行政机构中公职人员性别均衡——416名女性/152名男性；</w:t>
      </w:r>
    </w:p>
    <w:p w:rsidR="00D0166D" w:rsidRDefault="00D0166D" w:rsidP="00D0166D">
      <w:pPr>
        <w:pStyle w:val="SingleTxt"/>
        <w:rPr>
          <w:rFonts w:hint="eastAsia"/>
        </w:rPr>
      </w:pPr>
      <w:r>
        <w:rPr>
          <w:rFonts w:hint="eastAsia"/>
        </w:rPr>
        <w:t>106.</w:t>
      </w:r>
      <w:r w:rsidR="007B23AA">
        <w:t xml:space="preserve">  </w:t>
      </w:r>
      <w:r>
        <w:rPr>
          <w:rFonts w:hint="eastAsia"/>
        </w:rPr>
        <w:t>环境和水资源部：</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中央行政机构管理层性别均衡——29名女性/17名男性；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中央行政机构中公职人员性别均衡——287名女性/101名男性。</w:t>
      </w:r>
    </w:p>
    <w:p w:rsidR="00D0166D" w:rsidRDefault="007B23AA" w:rsidP="00D0166D">
      <w:pPr>
        <w:pStyle w:val="SingleTxt"/>
        <w:rPr>
          <w:rFonts w:hint="eastAsia"/>
        </w:rPr>
      </w:pPr>
      <w:r>
        <w:rPr>
          <w:rFonts w:hint="eastAsia"/>
        </w:rPr>
        <w:t>107.</w:t>
      </w:r>
      <w:r>
        <w:t xml:space="preserve">  </w:t>
      </w:r>
      <w:r w:rsidR="00D0166D">
        <w:rPr>
          <w:rFonts w:hint="eastAsia"/>
        </w:rPr>
        <w:t>农业和食品部：</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中央行政机构管理层性别均衡——34名女性/24名男性；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中央行政机构中公职人员性别均衡——334名女性/119名男性。</w:t>
      </w:r>
    </w:p>
    <w:p w:rsidR="00D0166D" w:rsidRDefault="00D0166D" w:rsidP="00D0166D">
      <w:pPr>
        <w:pStyle w:val="SingleTxt"/>
        <w:rPr>
          <w:rFonts w:hint="eastAsia"/>
        </w:rPr>
      </w:pPr>
      <w:r>
        <w:rPr>
          <w:rFonts w:hint="eastAsia"/>
        </w:rPr>
        <w:t>108.</w:t>
      </w:r>
      <w:r w:rsidR="007B23AA">
        <w:t xml:space="preserve">  </w:t>
      </w:r>
      <w:r>
        <w:rPr>
          <w:rFonts w:hint="eastAsia"/>
        </w:rPr>
        <w:t>劳动和社会政策部：</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中央行政机构管理层性别均衡——14名女性/3名男性；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中央行政机构中公职人员性别均衡——234名女性/81名男性；</w:t>
      </w:r>
    </w:p>
    <w:p w:rsidR="00D0166D" w:rsidRDefault="00D0166D" w:rsidP="00D0166D">
      <w:pPr>
        <w:pStyle w:val="SingleTxt"/>
        <w:rPr>
          <w:rFonts w:hint="eastAsia"/>
        </w:rPr>
      </w:pPr>
      <w:r>
        <w:rPr>
          <w:rFonts w:hint="eastAsia"/>
        </w:rPr>
        <w:t>109.</w:t>
      </w:r>
      <w:r w:rsidR="007B23AA">
        <w:t xml:space="preserve">  </w:t>
      </w:r>
      <w:r>
        <w:rPr>
          <w:rFonts w:hint="eastAsia"/>
        </w:rPr>
        <w:t>交通、信息技术和通信部：</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中央行政机构管理层性别均衡——28名女性/19名男性；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中央行政机构中公职人员性别均衡——207名女性/86名男性。</w:t>
      </w:r>
    </w:p>
    <w:p w:rsidR="00D0166D" w:rsidRDefault="00D0166D" w:rsidP="00D0166D">
      <w:pPr>
        <w:pStyle w:val="SingleTxt"/>
        <w:rPr>
          <w:rFonts w:hint="eastAsia"/>
        </w:rPr>
      </w:pPr>
      <w:r>
        <w:rPr>
          <w:rFonts w:hint="eastAsia"/>
        </w:rPr>
        <w:t>110.</w:t>
      </w:r>
      <w:r w:rsidR="007B23AA">
        <w:t xml:space="preserve">  </w:t>
      </w:r>
      <w:r>
        <w:rPr>
          <w:rFonts w:hint="eastAsia"/>
        </w:rPr>
        <w:t xml:space="preserve">体育部： </w:t>
      </w:r>
    </w:p>
    <w:p w:rsidR="00D0166D" w:rsidRDefault="007B23AA" w:rsidP="00D0166D">
      <w:pPr>
        <w:pStyle w:val="SingleTxt"/>
        <w:rPr>
          <w:rFonts w:hint="eastAsia"/>
        </w:rPr>
      </w:pPr>
      <w:r>
        <w:tab/>
      </w:r>
      <w:r w:rsidR="00D0166D">
        <w:rPr>
          <w:rFonts w:hint="eastAsia"/>
        </w:rPr>
        <w:t>(a)</w:t>
      </w:r>
      <w:r w:rsidR="00D0166D">
        <w:rPr>
          <w:rFonts w:hint="eastAsia"/>
        </w:rPr>
        <w:tab/>
        <w:t>中央行政机构管理层性别均衡——25名女性/10名男性；</w:t>
      </w:r>
    </w:p>
    <w:p w:rsidR="00D0166D" w:rsidRDefault="007B23AA" w:rsidP="00D0166D">
      <w:pPr>
        <w:pStyle w:val="SingleTxt"/>
        <w:rPr>
          <w:rFonts w:hint="eastAsia"/>
        </w:rPr>
      </w:pPr>
      <w:r>
        <w:tab/>
      </w:r>
      <w:r w:rsidR="00D0166D">
        <w:rPr>
          <w:rFonts w:hint="eastAsia"/>
        </w:rPr>
        <w:t>(b)</w:t>
      </w:r>
      <w:r w:rsidR="00D0166D">
        <w:rPr>
          <w:rFonts w:hint="eastAsia"/>
        </w:rPr>
        <w:tab/>
        <w:t>中央行政机构中公职人员性别均衡——10名女性/54名男性。</w:t>
      </w:r>
    </w:p>
    <w:p w:rsidR="00D0166D" w:rsidRDefault="00D0166D" w:rsidP="00D0166D">
      <w:pPr>
        <w:pStyle w:val="SingleTxt"/>
        <w:rPr>
          <w:rFonts w:hint="eastAsia"/>
        </w:rPr>
      </w:pPr>
      <w:r>
        <w:rPr>
          <w:rFonts w:hint="eastAsia"/>
        </w:rPr>
        <w:t>111.</w:t>
      </w:r>
      <w:r w:rsidR="007B23AA">
        <w:t xml:space="preserve">  </w:t>
      </w:r>
      <w:r>
        <w:rPr>
          <w:rFonts w:hint="eastAsia"/>
        </w:rPr>
        <w:t>最高上诉法院：</w:t>
      </w:r>
    </w:p>
    <w:p w:rsidR="00D0166D" w:rsidRDefault="007B23AA" w:rsidP="00D0166D">
      <w:pPr>
        <w:pStyle w:val="SingleTxt"/>
        <w:rPr>
          <w:rFonts w:hint="eastAsia"/>
        </w:rPr>
      </w:pPr>
      <w:r>
        <w:tab/>
      </w:r>
      <w:r w:rsidR="00D0166D">
        <w:rPr>
          <w:rFonts w:hint="eastAsia"/>
        </w:rPr>
        <w:t>(a)</w:t>
      </w:r>
      <w:r w:rsidR="00D0166D">
        <w:rPr>
          <w:rFonts w:hint="eastAsia"/>
        </w:rPr>
        <w:tab/>
        <w:t xml:space="preserve">最高上诉法院管理层性别均衡——55%女性/45%男性； </w:t>
      </w:r>
    </w:p>
    <w:p w:rsidR="00D0166D" w:rsidRDefault="007B23AA" w:rsidP="00D0166D">
      <w:pPr>
        <w:pStyle w:val="SingleTxt"/>
        <w:rPr>
          <w:rFonts w:hint="eastAsia"/>
        </w:rPr>
      </w:pPr>
      <w:r>
        <w:tab/>
      </w:r>
      <w:r w:rsidR="00D0166D">
        <w:rPr>
          <w:rFonts w:hint="eastAsia"/>
        </w:rPr>
        <w:t>(b)</w:t>
      </w:r>
      <w:r w:rsidR="00D0166D">
        <w:rPr>
          <w:rFonts w:hint="eastAsia"/>
        </w:rPr>
        <w:tab/>
        <w:t>最高上诉法院管理层法庭人员性别均衡——法庭人员总数为222人——80%为女性/20%为男性，其中管理层中——56%为女性/44%为男性；</w:t>
      </w:r>
    </w:p>
    <w:p w:rsidR="00D0166D" w:rsidRDefault="007B23AA" w:rsidP="00D0166D">
      <w:pPr>
        <w:pStyle w:val="SingleTxt"/>
        <w:rPr>
          <w:rFonts w:hint="eastAsia"/>
        </w:rPr>
      </w:pPr>
      <w:r>
        <w:tab/>
      </w:r>
      <w:r w:rsidR="00D0166D">
        <w:rPr>
          <w:rFonts w:hint="eastAsia"/>
        </w:rPr>
        <w:t>(c)</w:t>
      </w:r>
      <w:r w:rsidR="00D0166D">
        <w:rPr>
          <w:rFonts w:hint="eastAsia"/>
        </w:rPr>
        <w:tab/>
        <w:t>最高上诉法院法官性别均衡——法官总数为91人——79%为女性/21%为男性，其中管理层——54%为女性/46%为男性。</w:t>
      </w:r>
    </w:p>
    <w:p w:rsidR="00D0166D" w:rsidRDefault="00D0166D" w:rsidP="00D0166D">
      <w:pPr>
        <w:pStyle w:val="SingleTxt"/>
        <w:rPr>
          <w:rFonts w:hint="eastAsia"/>
        </w:rPr>
      </w:pPr>
      <w:r>
        <w:rPr>
          <w:rFonts w:hint="eastAsia"/>
        </w:rPr>
        <w:t>112.</w:t>
      </w:r>
      <w:r w:rsidR="007B23AA">
        <w:t xml:space="preserve">  </w:t>
      </w:r>
      <w:r>
        <w:rPr>
          <w:rFonts w:hint="eastAsia"/>
        </w:rPr>
        <w:t>最高行政法院：</w:t>
      </w:r>
    </w:p>
    <w:p w:rsidR="00D0166D" w:rsidRDefault="007B23AA" w:rsidP="00D0166D">
      <w:pPr>
        <w:pStyle w:val="SingleTxt"/>
        <w:rPr>
          <w:rFonts w:hint="eastAsia"/>
        </w:rPr>
      </w:pPr>
      <w:r>
        <w:tab/>
      </w:r>
      <w:r w:rsidR="00D0166D">
        <w:rPr>
          <w:rFonts w:hint="eastAsia"/>
        </w:rPr>
        <w:t>(a)</w:t>
      </w:r>
      <w:r w:rsidR="00D0166D">
        <w:rPr>
          <w:rFonts w:hint="eastAsia"/>
        </w:rPr>
        <w:tab/>
        <w:t>最高行政法院管理层性别均衡——10名女性/4名男性；</w:t>
      </w:r>
    </w:p>
    <w:p w:rsidR="00D0166D" w:rsidRDefault="007B23AA" w:rsidP="00D0166D">
      <w:pPr>
        <w:pStyle w:val="SingleTxt"/>
        <w:rPr>
          <w:rFonts w:hint="eastAsia"/>
        </w:rPr>
      </w:pPr>
      <w:r>
        <w:tab/>
      </w:r>
      <w:r w:rsidR="00D0166D">
        <w:rPr>
          <w:rFonts w:hint="eastAsia"/>
        </w:rPr>
        <w:t>(b)</w:t>
      </w:r>
      <w:r w:rsidR="00D0166D">
        <w:rPr>
          <w:rFonts w:hint="eastAsia"/>
        </w:rPr>
        <w:tab/>
        <w:t>最高行政法院管理层法庭人员性别均衡——法庭人员总数为159人——140名女性/19名男性；</w:t>
      </w:r>
    </w:p>
    <w:p w:rsidR="00D0166D" w:rsidRDefault="007B23AA" w:rsidP="00D0166D">
      <w:pPr>
        <w:pStyle w:val="SingleTxt"/>
        <w:rPr>
          <w:rFonts w:hint="eastAsia"/>
        </w:rPr>
      </w:pPr>
      <w:r>
        <w:tab/>
      </w:r>
      <w:r w:rsidR="00D0166D">
        <w:rPr>
          <w:rFonts w:hint="eastAsia"/>
        </w:rPr>
        <w:t>(c)</w:t>
      </w:r>
      <w:r w:rsidR="00D0166D">
        <w:rPr>
          <w:rFonts w:hint="eastAsia"/>
        </w:rPr>
        <w:tab/>
        <w:t>最高行政法院法官性别均衡——法官总数为80人——62名女性/18名男性，其中决策层——6名女性/5名男性。</w:t>
      </w:r>
    </w:p>
    <w:p w:rsidR="00D0166D" w:rsidRDefault="00D0166D" w:rsidP="00D0166D">
      <w:pPr>
        <w:pStyle w:val="SingleTxt"/>
        <w:rPr>
          <w:rFonts w:hint="eastAsia"/>
        </w:rPr>
      </w:pPr>
      <w:r>
        <w:rPr>
          <w:rFonts w:hint="eastAsia"/>
        </w:rPr>
        <w:t>113.</w:t>
      </w:r>
      <w:r w:rsidR="007B23AA">
        <w:t xml:space="preserve">  </w:t>
      </w:r>
      <w:r>
        <w:rPr>
          <w:rFonts w:hint="eastAsia"/>
        </w:rPr>
        <w:t>索菲亚地区法院：</w:t>
      </w:r>
    </w:p>
    <w:p w:rsidR="00D0166D" w:rsidRDefault="007B23AA" w:rsidP="00D0166D">
      <w:pPr>
        <w:pStyle w:val="SingleTxt"/>
        <w:rPr>
          <w:rFonts w:hint="eastAsia"/>
        </w:rPr>
      </w:pPr>
      <w:r>
        <w:tab/>
      </w:r>
      <w:r w:rsidR="00D0166D">
        <w:rPr>
          <w:rFonts w:hint="eastAsia"/>
        </w:rPr>
        <w:t>(a)</w:t>
      </w:r>
      <w:r w:rsidR="00D0166D">
        <w:rPr>
          <w:rFonts w:hint="eastAsia"/>
        </w:rPr>
        <w:tab/>
        <w:t>索菲亚地区法院管理层管理职位性别均衡——2名女性/5名男性；</w:t>
      </w:r>
    </w:p>
    <w:p w:rsidR="00D0166D" w:rsidRDefault="007B23AA" w:rsidP="00D0166D">
      <w:pPr>
        <w:pStyle w:val="SingleTxt"/>
        <w:rPr>
          <w:rFonts w:hint="eastAsia"/>
        </w:rPr>
      </w:pPr>
      <w:r>
        <w:tab/>
      </w:r>
      <w:r w:rsidR="00D0166D">
        <w:rPr>
          <w:rFonts w:hint="eastAsia"/>
        </w:rPr>
        <w:t>(b)</w:t>
      </w:r>
      <w:r w:rsidR="00D0166D">
        <w:rPr>
          <w:rFonts w:hint="eastAsia"/>
        </w:rPr>
        <w:tab/>
      </w:r>
      <w:r w:rsidR="00D0166D" w:rsidRPr="007B23AA">
        <w:rPr>
          <w:rFonts w:hint="eastAsia"/>
          <w:spacing w:val="2"/>
        </w:rPr>
        <w:t>索菲亚地区法院管理层法庭官员性别均衡</w:t>
      </w:r>
      <w:r w:rsidR="00D0166D">
        <w:rPr>
          <w:rFonts w:hint="eastAsia"/>
        </w:rPr>
        <w:t>——法庭官员总数为445人——412名女性/33名男性；</w:t>
      </w:r>
    </w:p>
    <w:p w:rsidR="00D0166D" w:rsidRDefault="007B23AA" w:rsidP="00D0166D">
      <w:pPr>
        <w:pStyle w:val="SingleTxt"/>
        <w:rPr>
          <w:rFonts w:hint="eastAsia"/>
        </w:rPr>
      </w:pPr>
      <w:r>
        <w:tab/>
      </w:r>
      <w:r w:rsidR="00D0166D">
        <w:rPr>
          <w:rFonts w:hint="eastAsia"/>
        </w:rPr>
        <w:t>(c)</w:t>
      </w:r>
      <w:r w:rsidR="00D0166D">
        <w:rPr>
          <w:rFonts w:hint="eastAsia"/>
        </w:rPr>
        <w:tab/>
        <w:t>索菲亚地区法院法官性别均衡——法官总数为634人——531名女性/103名男性。。</w:t>
      </w:r>
    </w:p>
    <w:p w:rsidR="00D0166D" w:rsidRDefault="00D0166D" w:rsidP="00D0166D">
      <w:pPr>
        <w:pStyle w:val="SingleTxt"/>
        <w:rPr>
          <w:rFonts w:hint="eastAsia"/>
        </w:rPr>
      </w:pPr>
      <w:r>
        <w:rPr>
          <w:rFonts w:hint="eastAsia"/>
        </w:rPr>
        <w:t>114.</w:t>
      </w:r>
      <w:r w:rsidR="007B23AA">
        <w:t xml:space="preserve">  </w:t>
      </w:r>
      <w:r>
        <w:rPr>
          <w:rFonts w:hint="eastAsia"/>
        </w:rPr>
        <w:t>最高检察院：</w:t>
      </w:r>
    </w:p>
    <w:p w:rsidR="00D0166D" w:rsidRDefault="007B23AA" w:rsidP="00D0166D">
      <w:pPr>
        <w:pStyle w:val="SingleTxt"/>
        <w:rPr>
          <w:rFonts w:hint="eastAsia"/>
        </w:rPr>
      </w:pPr>
      <w:r>
        <w:tab/>
      </w:r>
      <w:r w:rsidR="00D0166D">
        <w:rPr>
          <w:rFonts w:hint="eastAsia"/>
        </w:rPr>
        <w:t>(a)</w:t>
      </w:r>
      <w:r w:rsidR="00D0166D">
        <w:rPr>
          <w:rFonts w:hint="eastAsia"/>
        </w:rPr>
        <w:tab/>
        <w:t>最高检察院管理层法庭官员性别均衡——法庭官员总数为2 912人——2 310名女性/601名男性；其中决策层——326名女性/37名男性；</w:t>
      </w:r>
    </w:p>
    <w:p w:rsidR="00D0166D" w:rsidRDefault="007B23AA" w:rsidP="00D0166D">
      <w:pPr>
        <w:pStyle w:val="SingleTxt"/>
        <w:rPr>
          <w:rFonts w:hint="eastAsia"/>
        </w:rPr>
      </w:pPr>
      <w:r>
        <w:tab/>
      </w:r>
      <w:r w:rsidR="00D0166D">
        <w:rPr>
          <w:rFonts w:hint="eastAsia"/>
        </w:rPr>
        <w:t>(b)</w:t>
      </w:r>
      <w:r w:rsidR="00D0166D">
        <w:rPr>
          <w:rFonts w:hint="eastAsia"/>
        </w:rPr>
        <w:tab/>
        <w:t>最高检察院性别均衡——检察官总数为2 028人——867名女性/1 161名男性，其中决策层——113名女性/190名男性。</w:t>
      </w:r>
    </w:p>
    <w:p w:rsidR="00D0166D" w:rsidRDefault="00D0166D" w:rsidP="00D0166D">
      <w:pPr>
        <w:pStyle w:val="SingleTxt"/>
        <w:rPr>
          <w:rFonts w:hint="eastAsia"/>
        </w:rPr>
      </w:pPr>
      <w:r>
        <w:rPr>
          <w:rFonts w:hint="eastAsia"/>
        </w:rPr>
        <w:t>115.</w:t>
      </w:r>
      <w:r w:rsidR="007B23AA">
        <w:t xml:space="preserve">  </w:t>
      </w:r>
      <w:r>
        <w:rPr>
          <w:rFonts w:hint="eastAsia"/>
        </w:rPr>
        <w:t>在地方当局行政管理层中女性也占很大比例。在国内264个市政当局中，30%的市政顾问为女性。迄今为止，仅有6.9%的市长为女性；不过其中三位为大城市市长；一位是首都城市市长。在地区和市政当局管理层，女性占管理人员总数的70%，她们很多是在决策层。例如，在首都，7位副市长中有4位是女性。首都监察局局长也是一名女性。</w:t>
      </w:r>
    </w:p>
    <w:p w:rsidR="00D0166D" w:rsidRDefault="00D0166D" w:rsidP="00D0166D">
      <w:pPr>
        <w:pStyle w:val="SingleTxt"/>
        <w:rPr>
          <w:rFonts w:hint="eastAsia"/>
        </w:rPr>
      </w:pPr>
      <w:r>
        <w:rPr>
          <w:rFonts w:hint="eastAsia"/>
        </w:rPr>
        <w:t>116.</w:t>
      </w:r>
      <w:r w:rsidR="007B23AA">
        <w:t xml:space="preserve">  </w:t>
      </w:r>
      <w:r>
        <w:rPr>
          <w:rFonts w:hint="eastAsia"/>
        </w:rPr>
        <w:t>在地方当局和地方自治政府成立的一些协会和工会中，女性工作人员中妇女也占很大比例。保加利亚共和国全国市政协会由一名女市长担任领导。该协会在地方自治政府内设有两性问题常设委员会，常设委员会与非政府组织积极合作推进两性平等。在全国市议会主席协会中，有25%的成员是女性，她们还担任领导。</w:t>
      </w:r>
    </w:p>
    <w:p w:rsidR="00D0166D" w:rsidRDefault="00D0166D" w:rsidP="00D0166D">
      <w:pPr>
        <w:pStyle w:val="SingleTxt"/>
        <w:rPr>
          <w:rFonts w:hint="eastAsia"/>
        </w:rPr>
      </w:pPr>
      <w:r>
        <w:rPr>
          <w:rFonts w:hint="eastAsia"/>
        </w:rPr>
        <w:t>117.</w:t>
      </w:r>
      <w:r w:rsidR="007B23AA">
        <w:t xml:space="preserve">  </w:t>
      </w:r>
      <w:r>
        <w:rPr>
          <w:rFonts w:hint="eastAsia"/>
        </w:rPr>
        <w:t>在保加利亚各级和各类治安法院的法官中，女法官占三分之二。不过，在司法系统决策层，男性占主导地位。直到最近，保加利亚法官联盟(治安法官的职业协会)才由女性担任主席。</w:t>
      </w:r>
    </w:p>
    <w:p w:rsidR="00D0166D" w:rsidRDefault="00D0166D" w:rsidP="00D0166D">
      <w:pPr>
        <w:pStyle w:val="SingleTxt"/>
        <w:rPr>
          <w:rFonts w:hint="eastAsia"/>
        </w:rPr>
      </w:pPr>
      <w:r>
        <w:rPr>
          <w:rFonts w:hint="eastAsia"/>
        </w:rPr>
        <w:t>118.</w:t>
      </w:r>
      <w:r w:rsidR="007B23AA">
        <w:t xml:space="preserve">  </w:t>
      </w:r>
      <w:r>
        <w:rPr>
          <w:rFonts w:hint="eastAsia"/>
        </w:rPr>
        <w:t>在保加利亚共和国检察官办公室，43%的治安法官为妇女，2009年以来有一位副检察长是女性。</w:t>
      </w:r>
    </w:p>
    <w:p w:rsidR="00D0166D" w:rsidRDefault="00D0166D" w:rsidP="00D0166D">
      <w:pPr>
        <w:pStyle w:val="SingleTxt"/>
        <w:rPr>
          <w:rFonts w:hint="eastAsia"/>
        </w:rPr>
      </w:pPr>
      <w:r>
        <w:rPr>
          <w:rFonts w:hint="eastAsia"/>
        </w:rPr>
        <w:t>119.</w:t>
      </w:r>
      <w:r w:rsidR="007B23AA">
        <w:t xml:space="preserve">  </w:t>
      </w:r>
      <w:r>
        <w:rPr>
          <w:rFonts w:hint="eastAsia"/>
        </w:rPr>
        <w:t>妇女在非政府领域也非常活跃。她们多数为不同非政府组织的成员和领导，过去10年来，其人数已多达5 000至8 000人(依据其活动)。她们参加与立法和中央执行部门的不同协商，并且是不同协商机构的成员，这些协商机构可直接参与制定、监测和评估各项政策。</w:t>
      </w:r>
    </w:p>
    <w:p w:rsidR="00D0166D" w:rsidRDefault="00D0166D" w:rsidP="00D0166D">
      <w:pPr>
        <w:pStyle w:val="SingleTxt"/>
        <w:rPr>
          <w:rFonts w:hint="eastAsia"/>
        </w:rPr>
      </w:pPr>
      <w:r>
        <w:rPr>
          <w:rFonts w:hint="eastAsia"/>
        </w:rPr>
        <w:t>120.</w:t>
      </w:r>
      <w:r w:rsidR="007B23AA">
        <w:t xml:space="preserve">  </w:t>
      </w:r>
      <w:r>
        <w:rPr>
          <w:rFonts w:hint="eastAsia"/>
        </w:rPr>
        <w:t>两性平等非政府组织是部长会议国家两性平等委员会准成员，这些组织参与提出意见和建议。它们还是男女机会平等协商委员会的合作伙伴，并与劳动和社会政策部部长合作，帮助劳动力市场的弱势群体。它们还积极参与打击人口贩运全国委员会的工作，并与两性平等非政府组织的代表和专家联合启动和制定了两性平等和保护妇女权利领域的主要立法举措。</w:t>
      </w:r>
    </w:p>
    <w:p w:rsidR="00D0166D" w:rsidRDefault="00D0166D" w:rsidP="00D0166D">
      <w:pPr>
        <w:pStyle w:val="SingleTxt"/>
        <w:rPr>
          <w:rFonts w:hint="eastAsia"/>
        </w:rPr>
      </w:pPr>
      <w:r>
        <w:rPr>
          <w:rFonts w:hint="eastAsia"/>
        </w:rPr>
        <w:t>121.</w:t>
      </w:r>
      <w:r w:rsidR="007B23AA">
        <w:t xml:space="preserve">  </w:t>
      </w:r>
      <w:r>
        <w:rPr>
          <w:rFonts w:hint="eastAsia"/>
        </w:rPr>
        <w:t>工会成员中许多都是妇女，她们积极参加工会活动。当地工会组织管理层有很多是妇女，但在中央一级工会的领导层，男性则占主导地位。国内两个最大的全国工人组织机构都建立了两性平等联盟/组织。还开办了讲习班，以对话方式与雇主和非政府组织及执行机构讨论工人所关心的问题。并为其成员提供两性平等培训。</w:t>
      </w:r>
    </w:p>
    <w:p w:rsidR="00D0166D" w:rsidRDefault="00D0166D" w:rsidP="007B23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第八条 </w:t>
      </w:r>
    </w:p>
    <w:p w:rsidR="007B23AA" w:rsidRPr="007B23AA" w:rsidRDefault="007B23AA" w:rsidP="007B23AA">
      <w:pPr>
        <w:pStyle w:val="SingleTxt"/>
        <w:spacing w:after="0" w:line="120" w:lineRule="exact"/>
        <w:rPr>
          <w:rFonts w:hint="eastAsia"/>
          <w:sz w:val="10"/>
        </w:rPr>
      </w:pPr>
    </w:p>
    <w:p w:rsidR="00D0166D" w:rsidRDefault="00D0166D" w:rsidP="00D0166D">
      <w:pPr>
        <w:pStyle w:val="SingleTxt"/>
        <w:rPr>
          <w:rFonts w:hint="eastAsia"/>
        </w:rPr>
      </w:pPr>
      <w:r>
        <w:rPr>
          <w:rFonts w:hint="eastAsia"/>
        </w:rPr>
        <w:t>122</w:t>
      </w:r>
      <w:r w:rsidR="00A907F4">
        <w:rPr>
          <w:rFonts w:hint="eastAsia"/>
        </w:rPr>
        <w:t xml:space="preserve">.  </w:t>
      </w:r>
      <w:r>
        <w:rPr>
          <w:rFonts w:hint="eastAsia"/>
        </w:rPr>
        <w:t>在保加利亚，妇女代表国家参加国际活动或妇女参加国际组织不存在任何法律或体制障碍。例如，保加利亚常驻联合国教育、科学及文化组织(教科文组织)代表伊琳娜</w:t>
      </w:r>
      <w:r w:rsidR="00A907F4">
        <w:rPr>
          <w:rFonts w:hint="eastAsia"/>
        </w:rPr>
        <w:t>·</w:t>
      </w:r>
      <w:r>
        <w:rPr>
          <w:rFonts w:hint="eastAsia"/>
        </w:rPr>
        <w:t>博科娃女士于2009年当选为教科文组织总干事。许多女性外交官作为政府代表团成员，代表保加利亚出席了联合国大会各届会议以及其他联合国机构、欧洲委员会和其他国际组织的会议。许多保加利亚妇女在联合国、协约理事会、欧洲联盟和其他国际和区域组织秘书处任职。</w:t>
      </w:r>
    </w:p>
    <w:p w:rsidR="00D0166D" w:rsidRDefault="00D0166D" w:rsidP="00D0166D">
      <w:pPr>
        <w:pStyle w:val="SingleTxt"/>
        <w:rPr>
          <w:rFonts w:hint="eastAsia"/>
        </w:rPr>
      </w:pPr>
      <w:r>
        <w:rPr>
          <w:rFonts w:hint="eastAsia"/>
        </w:rPr>
        <w:t>123</w:t>
      </w:r>
      <w:r w:rsidR="00A907F4">
        <w:rPr>
          <w:rFonts w:hint="eastAsia"/>
        </w:rPr>
        <w:t xml:space="preserve">.  </w:t>
      </w:r>
      <w:r>
        <w:rPr>
          <w:rFonts w:hint="eastAsia"/>
        </w:rPr>
        <w:t>在保加利亚加入欧盟的前后七年里，都是由妇女担任欧洲事务大臣一职。</w:t>
      </w:r>
    </w:p>
    <w:p w:rsidR="00D0166D" w:rsidRDefault="00D0166D" w:rsidP="00D0166D">
      <w:pPr>
        <w:pStyle w:val="SingleTxt"/>
        <w:rPr>
          <w:rFonts w:hint="eastAsia"/>
        </w:rPr>
      </w:pPr>
      <w:r>
        <w:rPr>
          <w:rFonts w:hint="eastAsia"/>
        </w:rPr>
        <w:t>124</w:t>
      </w:r>
      <w:r w:rsidR="00A907F4">
        <w:rPr>
          <w:rFonts w:hint="eastAsia"/>
        </w:rPr>
        <w:t xml:space="preserve">.  </w:t>
      </w:r>
      <w:r>
        <w:rPr>
          <w:rFonts w:hint="eastAsia"/>
        </w:rPr>
        <w:t>在参加国际论坛的议会代表团中，女国会议员占15%。各国议会联盟(议会联盟)常驻代表团的领导层全部由妇女组成。</w:t>
      </w:r>
    </w:p>
    <w:p w:rsidR="00D0166D" w:rsidRDefault="00D0166D" w:rsidP="00D0166D">
      <w:pPr>
        <w:pStyle w:val="SingleTxt"/>
        <w:rPr>
          <w:rFonts w:hint="eastAsia"/>
        </w:rPr>
      </w:pPr>
      <w:r>
        <w:rPr>
          <w:rFonts w:hint="eastAsia"/>
        </w:rPr>
        <w:t>125</w:t>
      </w:r>
      <w:r w:rsidR="00A907F4">
        <w:rPr>
          <w:rFonts w:hint="eastAsia"/>
        </w:rPr>
        <w:t xml:space="preserve">.  </w:t>
      </w:r>
      <w:r>
        <w:rPr>
          <w:rFonts w:hint="eastAsia"/>
        </w:rPr>
        <w:t>1989年以来，外交部部长两次由一位女部长担任(1997-2001年和2009年)。</w:t>
      </w:r>
    </w:p>
    <w:p w:rsidR="00D0166D" w:rsidRDefault="00D0166D" w:rsidP="00D0166D">
      <w:pPr>
        <w:pStyle w:val="SingleTxt"/>
        <w:rPr>
          <w:rFonts w:hint="eastAsia"/>
        </w:rPr>
      </w:pPr>
      <w:r>
        <w:rPr>
          <w:rFonts w:hint="eastAsia"/>
        </w:rPr>
        <w:t>126</w:t>
      </w:r>
      <w:r w:rsidR="00A907F4">
        <w:rPr>
          <w:rFonts w:hint="eastAsia"/>
        </w:rPr>
        <w:t xml:space="preserve">.  </w:t>
      </w:r>
      <w:r>
        <w:rPr>
          <w:rFonts w:hint="eastAsia"/>
        </w:rPr>
        <w:t>上述第七条对关于外交部决策层妇女的比例做了规定。外交部的发言人为女性。在外交部外交司部门具有外交官衔的人员中，妇女占40%。在保加利亚驻世界各地的外交使团70位团长中，有5位是女大使(2009年)。</w:t>
      </w:r>
    </w:p>
    <w:p w:rsidR="00D0166D" w:rsidRDefault="00D0166D" w:rsidP="00D0166D">
      <w:pPr>
        <w:pStyle w:val="SingleTxt"/>
        <w:rPr>
          <w:rFonts w:hint="eastAsia"/>
        </w:rPr>
      </w:pPr>
      <w:r>
        <w:rPr>
          <w:rFonts w:hint="eastAsia"/>
        </w:rPr>
        <w:t>127</w:t>
      </w:r>
      <w:r w:rsidR="00A907F4">
        <w:rPr>
          <w:rFonts w:hint="eastAsia"/>
        </w:rPr>
        <w:t xml:space="preserve">.  </w:t>
      </w:r>
      <w:r>
        <w:rPr>
          <w:rFonts w:hint="eastAsia"/>
        </w:rPr>
        <w:t>希望获得外交和国际关系领域职业经历的青年妇女并未遇到任何体制或其他基于性别的障碍。她们有机会在本国一些大学学习国际关系，并获得外交部外交学院授予的专业资格。</w:t>
      </w:r>
    </w:p>
    <w:p w:rsidR="00D0166D" w:rsidRDefault="00D0166D" w:rsidP="00D0166D">
      <w:pPr>
        <w:pStyle w:val="SingleTxt"/>
        <w:rPr>
          <w:rFonts w:hint="eastAsia"/>
        </w:rPr>
      </w:pPr>
      <w:r>
        <w:rPr>
          <w:rFonts w:hint="eastAsia"/>
        </w:rPr>
        <w:t>128</w:t>
      </w:r>
      <w:r w:rsidR="00A907F4">
        <w:rPr>
          <w:rFonts w:hint="eastAsia"/>
        </w:rPr>
        <w:t xml:space="preserve">.  </w:t>
      </w:r>
      <w:r>
        <w:rPr>
          <w:rFonts w:hint="eastAsia"/>
        </w:rPr>
        <w:t>国际一级也有许多保加利亚女法官，斯特拉斯堡欧洲人权法院任命的第三名保加利亚法官就是一名妇女。还有一些保加利亚妇女是科索沃宪法法院和国际刑事法院成员。</w:t>
      </w:r>
    </w:p>
    <w:p w:rsidR="00D0166D" w:rsidRDefault="00D0166D" w:rsidP="00A907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第九条 </w:t>
      </w:r>
    </w:p>
    <w:p w:rsidR="00A907F4" w:rsidRPr="00A907F4" w:rsidRDefault="00A907F4" w:rsidP="00A907F4">
      <w:pPr>
        <w:pStyle w:val="SingleTxt"/>
        <w:spacing w:after="0" w:line="120" w:lineRule="exact"/>
        <w:rPr>
          <w:rFonts w:hint="eastAsia"/>
          <w:sz w:val="10"/>
        </w:rPr>
      </w:pPr>
    </w:p>
    <w:p w:rsidR="00D0166D" w:rsidRDefault="00D0166D" w:rsidP="00D0166D">
      <w:pPr>
        <w:pStyle w:val="SingleTxt"/>
        <w:rPr>
          <w:rFonts w:hint="eastAsia"/>
        </w:rPr>
      </w:pPr>
      <w:r>
        <w:rPr>
          <w:rFonts w:hint="eastAsia"/>
        </w:rPr>
        <w:t>129</w:t>
      </w:r>
      <w:r w:rsidR="00A907F4">
        <w:rPr>
          <w:rFonts w:hint="eastAsia"/>
        </w:rPr>
        <w:t xml:space="preserve">.  </w:t>
      </w:r>
      <w:r>
        <w:rPr>
          <w:rFonts w:hint="eastAsia"/>
        </w:rPr>
        <w:t>根据《保加利亚共和国宪法》第二十五条中规定的一般准则：“保加利亚公民是指生父母至少一方为保加利亚公民或者出生于保加利亚共和国境内，且没有基于其血统获得其他国籍的人。保加利亚国籍可以通过入籍的方式取得”。由此可知，基于父母性别获得保加利亚国籍方面不存在任何区别。</w:t>
      </w:r>
    </w:p>
    <w:p w:rsidR="00D0166D" w:rsidRDefault="00D0166D" w:rsidP="00D0166D">
      <w:pPr>
        <w:pStyle w:val="SingleTxt"/>
        <w:rPr>
          <w:rFonts w:hint="eastAsia"/>
        </w:rPr>
      </w:pPr>
      <w:r>
        <w:rPr>
          <w:rFonts w:hint="eastAsia"/>
        </w:rPr>
        <w:t>130</w:t>
      </w:r>
      <w:r w:rsidR="00A907F4">
        <w:rPr>
          <w:rFonts w:hint="eastAsia"/>
        </w:rPr>
        <w:t xml:space="preserve">.  </w:t>
      </w:r>
      <w:r>
        <w:rPr>
          <w:rFonts w:hint="eastAsia"/>
        </w:rPr>
        <w:t>《保加利亚国籍法》对平等获得保加利亚国籍的原则做了进一步规定，本法规定了保加利亚国籍的取得、丧失和恢复及相关程序。1999年2月19日本法生效，2001年和2002年进行了修订。</w:t>
      </w:r>
    </w:p>
    <w:p w:rsidR="00D0166D" w:rsidRDefault="00D0166D" w:rsidP="00D0166D">
      <w:pPr>
        <w:pStyle w:val="SingleTxt"/>
        <w:rPr>
          <w:rFonts w:hint="eastAsia"/>
        </w:rPr>
      </w:pPr>
      <w:r>
        <w:rPr>
          <w:rFonts w:hint="eastAsia"/>
        </w:rPr>
        <w:t>131</w:t>
      </w:r>
      <w:r w:rsidR="00A907F4">
        <w:rPr>
          <w:rFonts w:hint="eastAsia"/>
        </w:rPr>
        <w:t xml:space="preserve">.  </w:t>
      </w:r>
      <w:r>
        <w:rPr>
          <w:rFonts w:hint="eastAsia"/>
        </w:rPr>
        <w:t>《宪法》规定儿童在获得保加利亚国籍上享有平等权利，不论持有保加利亚国籍的父母一方是父亲或母亲。</w:t>
      </w:r>
    </w:p>
    <w:p w:rsidR="00D0166D" w:rsidRDefault="00D0166D" w:rsidP="00D0166D">
      <w:pPr>
        <w:pStyle w:val="SingleTxt"/>
        <w:rPr>
          <w:rFonts w:hint="eastAsia"/>
        </w:rPr>
      </w:pPr>
      <w:r>
        <w:rPr>
          <w:rFonts w:hint="eastAsia"/>
        </w:rPr>
        <w:t>132</w:t>
      </w:r>
      <w:r w:rsidR="00A907F4">
        <w:rPr>
          <w:rFonts w:hint="eastAsia"/>
        </w:rPr>
        <w:t xml:space="preserve">.  </w:t>
      </w:r>
      <w:r>
        <w:rPr>
          <w:rFonts w:hint="eastAsia"/>
        </w:rPr>
        <w:t xml:space="preserve">依照《宪法》和《保加利亚国籍法》，可通过三种方式获得保加利亚国籍： </w:t>
      </w:r>
    </w:p>
    <w:p w:rsidR="00D0166D" w:rsidRDefault="00A907F4" w:rsidP="00D0166D">
      <w:pPr>
        <w:pStyle w:val="SingleTxt"/>
        <w:rPr>
          <w:rFonts w:hint="eastAsia"/>
        </w:rPr>
      </w:pPr>
      <w:r>
        <w:tab/>
      </w:r>
      <w:r w:rsidR="00D0166D">
        <w:rPr>
          <w:rFonts w:hint="eastAsia"/>
        </w:rPr>
        <w:t>(a)</w:t>
      </w:r>
      <w:r w:rsidR="00D0166D">
        <w:rPr>
          <w:rFonts w:hint="eastAsia"/>
        </w:rPr>
        <w:tab/>
        <w:t xml:space="preserve">按血统，父母至少有一方是保加利亚公民，不论获得国籍的方式如何，以及持有国籍一方是父亲还是母亲，即可取得保加利亚国籍； </w:t>
      </w:r>
    </w:p>
    <w:p w:rsidR="00D0166D" w:rsidRDefault="00A907F4" w:rsidP="00D0166D">
      <w:pPr>
        <w:pStyle w:val="SingleTxt"/>
        <w:rPr>
          <w:rFonts w:hint="eastAsia"/>
        </w:rPr>
      </w:pPr>
      <w:r>
        <w:tab/>
      </w:r>
      <w:r w:rsidR="00D0166D">
        <w:rPr>
          <w:rFonts w:hint="eastAsia"/>
        </w:rPr>
        <w:t>(b)</w:t>
      </w:r>
      <w:r w:rsidR="00D0166D">
        <w:rPr>
          <w:rFonts w:hint="eastAsia"/>
        </w:rPr>
        <w:tab/>
        <w:t xml:space="preserve">按出生地——任何人，只要出生在保加利亚共和国境内，如果未按血统取得别国国籍，即可取得保加利亚国籍； </w:t>
      </w:r>
    </w:p>
    <w:p w:rsidR="00D0166D" w:rsidRDefault="00A907F4" w:rsidP="00D0166D">
      <w:pPr>
        <w:pStyle w:val="SingleTxt"/>
        <w:rPr>
          <w:rFonts w:hint="eastAsia"/>
        </w:rPr>
      </w:pPr>
      <w:r>
        <w:tab/>
      </w:r>
      <w:r w:rsidR="00D0166D">
        <w:rPr>
          <w:rFonts w:hint="eastAsia"/>
        </w:rPr>
        <w:t>(c)</w:t>
      </w:r>
      <w:r w:rsidR="00D0166D">
        <w:rPr>
          <w:rFonts w:hint="eastAsia"/>
        </w:rPr>
        <w:tab/>
        <w:t>根据入籍规定，如果符合法律规定的条件且得到司法部国籍委员会授权，即可取得保加利亚国籍。</w:t>
      </w:r>
    </w:p>
    <w:p w:rsidR="00D0166D" w:rsidRDefault="00D0166D" w:rsidP="00D0166D">
      <w:pPr>
        <w:pStyle w:val="SingleTxt"/>
        <w:rPr>
          <w:rFonts w:hint="eastAsia"/>
        </w:rPr>
      </w:pPr>
      <w:r>
        <w:rPr>
          <w:rFonts w:hint="eastAsia"/>
        </w:rPr>
        <w:t>133</w:t>
      </w:r>
      <w:r w:rsidR="00A907F4">
        <w:rPr>
          <w:rFonts w:hint="eastAsia"/>
        </w:rPr>
        <w:t xml:space="preserve">.  </w:t>
      </w:r>
      <w:r>
        <w:rPr>
          <w:rFonts w:hint="eastAsia"/>
        </w:rPr>
        <w:t xml:space="preserve">强制性法规对获得保加利亚国籍的两种途径(按血统和出生地)做了规定，法规依据《宪法》立即采取行动。获得保加利亚国籍的这两个途径符合《欧洲国籍公约》第6条第1款A项和《批准欧洲国籍法公约法》第6条第2款A项(2005年12月20日第102号政府公报予以公布)。 </w:t>
      </w:r>
    </w:p>
    <w:p w:rsidR="00D0166D" w:rsidRDefault="00D0166D" w:rsidP="00D0166D">
      <w:pPr>
        <w:pStyle w:val="SingleTxt"/>
        <w:rPr>
          <w:rFonts w:hint="eastAsia"/>
        </w:rPr>
      </w:pPr>
      <w:r>
        <w:rPr>
          <w:rFonts w:hint="eastAsia"/>
        </w:rPr>
        <w:t>134</w:t>
      </w:r>
      <w:r w:rsidR="00A907F4">
        <w:rPr>
          <w:rFonts w:hint="eastAsia"/>
        </w:rPr>
        <w:t xml:space="preserve">.  </w:t>
      </w:r>
      <w:r>
        <w:rPr>
          <w:rFonts w:hint="eastAsia"/>
        </w:rPr>
        <w:t>根据《保加利亚国籍法》第八条，“任何人，只要其父母其中一人为保加利亚公民，即可按血统取得保加利亚国籍”。依据法律，母亲为保加利亚公民但居住在国外的儿童为保加利亚公民。</w:t>
      </w:r>
    </w:p>
    <w:p w:rsidR="00D0166D" w:rsidRDefault="00D0166D" w:rsidP="00D0166D">
      <w:pPr>
        <w:pStyle w:val="SingleTxt"/>
        <w:rPr>
          <w:rFonts w:hint="eastAsia"/>
        </w:rPr>
      </w:pPr>
      <w:r>
        <w:rPr>
          <w:rFonts w:hint="eastAsia"/>
        </w:rPr>
        <w:t>135</w:t>
      </w:r>
      <w:r w:rsidR="00A907F4">
        <w:rPr>
          <w:rFonts w:hint="eastAsia"/>
        </w:rPr>
        <w:t xml:space="preserve">.  </w:t>
      </w:r>
      <w:r>
        <w:rPr>
          <w:rFonts w:hint="eastAsia"/>
        </w:rPr>
        <w:t>根据入籍规定获得保加利亚国籍也建立在平等原则的基础之上：对于未满14周岁的儿童，父母双方应提交申请，而对于14岁至18岁的人士，申请应得到父母双方的签名。如果父母双方未达成一致，可适用于法律裁决。</w:t>
      </w:r>
    </w:p>
    <w:p w:rsidR="00D0166D" w:rsidRDefault="00D0166D" w:rsidP="00D0166D">
      <w:pPr>
        <w:pStyle w:val="SingleTxt"/>
        <w:rPr>
          <w:rFonts w:hint="eastAsia"/>
        </w:rPr>
      </w:pPr>
      <w:r>
        <w:rPr>
          <w:rFonts w:hint="eastAsia"/>
        </w:rPr>
        <w:t>136</w:t>
      </w:r>
      <w:r w:rsidR="00A907F4">
        <w:rPr>
          <w:rFonts w:hint="eastAsia"/>
        </w:rPr>
        <w:t xml:space="preserve">.  </w:t>
      </w:r>
      <w:r>
        <w:rPr>
          <w:rFonts w:hint="eastAsia"/>
        </w:rPr>
        <w:t>根据《宪法》，生来就是保加利亚公民的人不得被剥夺保加利亚国籍(第二十五条，第3款)。该条例为强制性条例。放弃保加利亚国籍的前提建立在平等原则以及本人自由选择且不存在任何歧视的基础上。</w:t>
      </w:r>
    </w:p>
    <w:p w:rsidR="00D0166D" w:rsidRDefault="00D0166D" w:rsidP="00D0166D">
      <w:pPr>
        <w:pStyle w:val="SingleTxt"/>
        <w:rPr>
          <w:rFonts w:hint="eastAsia"/>
        </w:rPr>
      </w:pPr>
      <w:r>
        <w:rPr>
          <w:rFonts w:hint="eastAsia"/>
        </w:rPr>
        <w:t>137</w:t>
      </w:r>
      <w:r w:rsidR="00A907F4">
        <w:rPr>
          <w:rFonts w:hint="eastAsia"/>
        </w:rPr>
        <w:t xml:space="preserve">.  </w:t>
      </w:r>
      <w:r>
        <w:rPr>
          <w:rFonts w:hint="eastAsia"/>
        </w:rPr>
        <w:t>《保加利亚国籍法》还采纳了这一原则，即保加利亚公民与外国公民缔结或终止婚姻，或夫妻中一方改变国籍，不改变另一方的国籍权(《保加利亚国籍法》第五条)。这一民主条例符合保加利亚共和国缔结的国际公约。《宪法》还对双重国籍做了规定。《保加利亚国籍法》第三条中对这一法律身份做了进一步规定。因此，根据保加利亚立法，父母具有不同国籍的儿童有权获得父母双方的国籍，前提是对父母一方国籍做出规定的外国立法允许这样做。</w:t>
      </w:r>
    </w:p>
    <w:p w:rsidR="00D0166D" w:rsidRDefault="00D0166D" w:rsidP="00D0166D">
      <w:pPr>
        <w:pStyle w:val="SingleTxt"/>
        <w:rPr>
          <w:rFonts w:hint="eastAsia"/>
        </w:rPr>
      </w:pPr>
      <w:r>
        <w:rPr>
          <w:rFonts w:hint="eastAsia"/>
        </w:rPr>
        <w:t>138</w:t>
      </w:r>
      <w:r w:rsidR="00A907F4">
        <w:rPr>
          <w:rFonts w:hint="eastAsia"/>
        </w:rPr>
        <w:t xml:space="preserve">.  </w:t>
      </w:r>
      <w:r>
        <w:rPr>
          <w:rFonts w:hint="eastAsia"/>
        </w:rPr>
        <w:t>收养同样不改变被收养者的国籍(《保加利亚国籍法》第六条)，这一准则同国际收养的前提直接相关。还确立了自由选择国籍的原则，不论其性别如何。</w:t>
      </w:r>
    </w:p>
    <w:p w:rsidR="00D0166D" w:rsidRDefault="00D0166D" w:rsidP="00D0166D">
      <w:pPr>
        <w:pStyle w:val="SingleTxt"/>
        <w:rPr>
          <w:rFonts w:hint="eastAsia"/>
        </w:rPr>
      </w:pPr>
      <w:r>
        <w:rPr>
          <w:rFonts w:hint="eastAsia"/>
        </w:rPr>
        <w:t>139</w:t>
      </w:r>
      <w:r w:rsidR="00A907F4">
        <w:rPr>
          <w:rFonts w:hint="eastAsia"/>
        </w:rPr>
        <w:t xml:space="preserve">.  </w:t>
      </w:r>
      <w:r>
        <w:rPr>
          <w:rFonts w:hint="eastAsia"/>
        </w:rPr>
        <w:t>儿童有权持自己的护照到国外旅行，如果儿童与父母一方去旅行，则要求与另一方父母提供公证协议。如果父母双方存在分歧，则应通过法院解决争端。</w:t>
      </w:r>
    </w:p>
    <w:p w:rsidR="00D0166D" w:rsidRDefault="00D0166D" w:rsidP="00D0166D">
      <w:pPr>
        <w:pStyle w:val="SingleTxt"/>
        <w:rPr>
          <w:rFonts w:hint="eastAsia"/>
        </w:rPr>
      </w:pPr>
      <w:r>
        <w:rPr>
          <w:rFonts w:hint="eastAsia"/>
        </w:rPr>
        <w:t>140</w:t>
      </w:r>
      <w:r w:rsidR="00A907F4">
        <w:rPr>
          <w:rFonts w:hint="eastAsia"/>
        </w:rPr>
        <w:t xml:space="preserve">.  </w:t>
      </w:r>
      <w:r>
        <w:rPr>
          <w:rFonts w:hint="eastAsia"/>
        </w:rPr>
        <w:t>保加利亚妇女有权获得身份证件，包括国际护照，并且，他们随时有权独立到国外旅行，而无需征得任何人的同意。</w:t>
      </w:r>
    </w:p>
    <w:p w:rsidR="00D0166D" w:rsidRDefault="00D0166D" w:rsidP="00A907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第十条</w:t>
      </w:r>
    </w:p>
    <w:p w:rsidR="00A907F4" w:rsidRPr="00A907F4" w:rsidRDefault="00A907F4" w:rsidP="00A907F4">
      <w:pPr>
        <w:pStyle w:val="SingleTxt"/>
        <w:spacing w:after="0" w:line="120" w:lineRule="exact"/>
        <w:rPr>
          <w:rFonts w:hint="eastAsia"/>
          <w:sz w:val="10"/>
        </w:rPr>
      </w:pPr>
    </w:p>
    <w:p w:rsidR="00D0166D" w:rsidRDefault="00D0166D" w:rsidP="00D0166D">
      <w:pPr>
        <w:pStyle w:val="SingleTxt"/>
        <w:rPr>
          <w:rFonts w:hint="eastAsia"/>
        </w:rPr>
      </w:pPr>
      <w:r>
        <w:rPr>
          <w:rFonts w:hint="eastAsia"/>
        </w:rPr>
        <w:t>141</w:t>
      </w:r>
      <w:r w:rsidR="00A907F4">
        <w:rPr>
          <w:rFonts w:hint="eastAsia"/>
        </w:rPr>
        <w:t xml:space="preserve">.  </w:t>
      </w:r>
      <w:r>
        <w:rPr>
          <w:rFonts w:hint="eastAsia"/>
        </w:rPr>
        <w:t>保加利亚共和国的教育政策和实践以及获得教育和资质的有效制度框架都不允许保加利亚教育制度存在性别歧视。</w:t>
      </w:r>
    </w:p>
    <w:p w:rsidR="00D0166D" w:rsidRDefault="00D0166D" w:rsidP="00D0166D">
      <w:pPr>
        <w:pStyle w:val="SingleTxt"/>
        <w:rPr>
          <w:rFonts w:hint="eastAsia"/>
        </w:rPr>
      </w:pPr>
      <w:r>
        <w:rPr>
          <w:rFonts w:hint="eastAsia"/>
        </w:rPr>
        <w:t>142</w:t>
      </w:r>
      <w:r w:rsidR="00A907F4">
        <w:rPr>
          <w:rFonts w:hint="eastAsia"/>
        </w:rPr>
        <w:t xml:space="preserve">.  </w:t>
      </w:r>
      <w:r>
        <w:rPr>
          <w:rFonts w:hint="eastAsia"/>
        </w:rPr>
        <w:t>根据《公共教育法》第4条第2款，不得基于种族、国籍、性别、族裔或社会出身、宗教和社会地位设置任何限制或赋予特权。教育、青年和科学部教育政策的一大目的是为所有保加利亚学生提供获得优质教育的平等机会。国家和城镇学校学生录取委员会第11号法令对这类学校录取想要的学生的条件和程序做了规定。学校录取学生时不得按性别确定录取名额。</w:t>
      </w:r>
    </w:p>
    <w:p w:rsidR="00D0166D" w:rsidRDefault="00D0166D" w:rsidP="00D0166D">
      <w:pPr>
        <w:pStyle w:val="SingleTxt"/>
        <w:rPr>
          <w:rFonts w:hint="eastAsia"/>
        </w:rPr>
      </w:pPr>
      <w:r>
        <w:rPr>
          <w:rFonts w:hint="eastAsia"/>
        </w:rPr>
        <w:t>143</w:t>
      </w:r>
      <w:r w:rsidR="00A907F4">
        <w:rPr>
          <w:rFonts w:hint="eastAsia"/>
        </w:rPr>
        <w:t xml:space="preserve">.  </w:t>
      </w:r>
      <w:r>
        <w:rPr>
          <w:rFonts w:hint="eastAsia"/>
        </w:rPr>
        <w:t>小学一年级学生中女孩几乎占了100%。截止2009年，所有儿童在小学入学前都必须接受学前教育。目前，在3至6岁的儿童中，73.8%的儿童就读幼儿园，其性别比例接近50:50。</w:t>
      </w:r>
    </w:p>
    <w:p w:rsidR="00D0166D" w:rsidRDefault="00D0166D" w:rsidP="00D0166D">
      <w:pPr>
        <w:pStyle w:val="SingleTxt"/>
        <w:rPr>
          <w:rFonts w:hint="eastAsia"/>
        </w:rPr>
      </w:pPr>
      <w:r>
        <w:rPr>
          <w:rFonts w:hint="eastAsia"/>
        </w:rPr>
        <w:t>144</w:t>
      </w:r>
      <w:r w:rsidR="00A907F4">
        <w:rPr>
          <w:rFonts w:hint="eastAsia"/>
        </w:rPr>
        <w:t xml:space="preserve">.  </w:t>
      </w:r>
      <w:r>
        <w:rPr>
          <w:rFonts w:hint="eastAsia"/>
        </w:rPr>
        <w:t>国家统计数字显示，2002-2008年，学校总入学人数中，女孩比例约为50.6% ，而同一时期各类中学中女孩的比例为48%。</w:t>
      </w:r>
    </w:p>
    <w:p w:rsidR="00D0166D" w:rsidRDefault="00D0166D" w:rsidP="00D0166D">
      <w:pPr>
        <w:pStyle w:val="SingleTxt"/>
        <w:rPr>
          <w:rFonts w:hint="eastAsia"/>
        </w:rPr>
      </w:pPr>
      <w:r>
        <w:rPr>
          <w:rFonts w:hint="eastAsia"/>
        </w:rPr>
        <w:t>145</w:t>
      </w:r>
      <w:r w:rsidR="00A907F4">
        <w:rPr>
          <w:rFonts w:hint="eastAsia"/>
        </w:rPr>
        <w:t xml:space="preserve">.  </w:t>
      </w:r>
      <w:r>
        <w:rPr>
          <w:rFonts w:hint="eastAsia"/>
        </w:rPr>
        <w:t>同一时期，艺术学校中女孩占多数，比例高达64%。与此同时，职业学校中女孩的比例也在显著增长：从47%攀升至54%。</w:t>
      </w:r>
    </w:p>
    <w:p w:rsidR="00D0166D" w:rsidRDefault="00D0166D" w:rsidP="00D0166D">
      <w:pPr>
        <w:pStyle w:val="SingleTxt"/>
        <w:rPr>
          <w:rFonts w:hint="eastAsia"/>
        </w:rPr>
      </w:pPr>
      <w:r>
        <w:rPr>
          <w:rFonts w:hint="eastAsia"/>
        </w:rPr>
        <w:t>146</w:t>
      </w:r>
      <w:r w:rsidR="00A907F4">
        <w:rPr>
          <w:rFonts w:hint="eastAsia"/>
        </w:rPr>
        <w:t xml:space="preserve">.  </w:t>
      </w:r>
      <w:r>
        <w:rPr>
          <w:rFonts w:hint="eastAsia"/>
        </w:rPr>
        <w:t>完成基础教育(八年级)后离校的学生占最大比例——占2007/2008学年学生总人数的3.6%，这主要出于“家庭原因”。政府正在采取措施，通过切合实际的计划，例如《进一步普及学龄儿童义务教育国家计划》、《提供其他培训以提高总体教育水平计划》等，控制辍学现象。</w:t>
      </w:r>
    </w:p>
    <w:p w:rsidR="00D0166D" w:rsidRDefault="00D0166D" w:rsidP="00D0166D">
      <w:pPr>
        <w:pStyle w:val="SingleTxt"/>
        <w:rPr>
          <w:rFonts w:hint="eastAsia"/>
        </w:rPr>
      </w:pPr>
      <w:r>
        <w:rPr>
          <w:rFonts w:hint="eastAsia"/>
        </w:rPr>
        <w:t>147</w:t>
      </w:r>
      <w:r w:rsidR="00A907F4">
        <w:rPr>
          <w:rFonts w:hint="eastAsia"/>
        </w:rPr>
        <w:t xml:space="preserve">.  </w:t>
      </w:r>
      <w:r>
        <w:rPr>
          <w:rFonts w:hint="eastAsia"/>
        </w:rPr>
        <w:t>《职业教育与培训法》保障所有公民依据其个人利益和能力享有接受职业教育和培训的权利。职业教育制度依照《职业教育与培训职业名单》按职业提供培训。职业学校网络基本上遍布全国领域。职业学校网络为所有人提供职业教育机会和培训，包括来自偏远小居住区的学生以及具有特殊教育需要的学生。</w:t>
      </w:r>
    </w:p>
    <w:p w:rsidR="00D0166D" w:rsidRDefault="00D0166D" w:rsidP="00D0166D">
      <w:pPr>
        <w:pStyle w:val="SingleTxt"/>
        <w:rPr>
          <w:rFonts w:hint="eastAsia"/>
        </w:rPr>
      </w:pPr>
      <w:r>
        <w:rPr>
          <w:rFonts w:hint="eastAsia"/>
        </w:rPr>
        <w:t>148</w:t>
      </w:r>
      <w:r w:rsidR="00A907F4">
        <w:rPr>
          <w:rFonts w:hint="eastAsia"/>
        </w:rPr>
        <w:t xml:space="preserve">.  </w:t>
      </w:r>
      <w:r>
        <w:rPr>
          <w:rFonts w:hint="eastAsia"/>
        </w:rPr>
        <w:t>职业学校入学总人数为167 780人，其中102 280人为男性，66 500人为女性。上一学年(2009/2010年)，有40 045人被职业学校录取，其中男性为23 963人，女性为16 082人。男性占被录取的多数，是由于男性倾向于中等职业教育以及运输、机械工程、建造、作物耕作和家畜饲养、电机工程和电子学等技术职业。妇女在企业管理、轻工业、旅游、社会服务等领域占多数。</w:t>
      </w:r>
    </w:p>
    <w:p w:rsidR="00D0166D" w:rsidRDefault="00D0166D" w:rsidP="00D0166D">
      <w:pPr>
        <w:pStyle w:val="SingleTxt"/>
        <w:rPr>
          <w:rFonts w:hint="eastAsia"/>
        </w:rPr>
      </w:pPr>
      <w:r>
        <w:rPr>
          <w:rFonts w:hint="eastAsia"/>
        </w:rPr>
        <w:t>149</w:t>
      </w:r>
      <w:r w:rsidR="00A907F4">
        <w:rPr>
          <w:rFonts w:hint="eastAsia"/>
        </w:rPr>
        <w:t xml:space="preserve">.  </w:t>
      </w:r>
      <w:r>
        <w:rPr>
          <w:rFonts w:hint="eastAsia"/>
        </w:rPr>
        <w:t>在接受中等教育时，学生有机会积极参加由行政预算和其他来源资助的课外活动。这些活动主要集中于体育和艺术。</w:t>
      </w:r>
    </w:p>
    <w:p w:rsidR="00D0166D" w:rsidRDefault="00D0166D" w:rsidP="00D0166D">
      <w:pPr>
        <w:pStyle w:val="SingleTxt"/>
        <w:rPr>
          <w:rFonts w:hint="eastAsia"/>
        </w:rPr>
      </w:pPr>
      <w:r>
        <w:rPr>
          <w:rFonts w:hint="eastAsia"/>
        </w:rPr>
        <w:t>150</w:t>
      </w:r>
      <w:r w:rsidR="00A907F4">
        <w:rPr>
          <w:rFonts w:hint="eastAsia"/>
        </w:rPr>
        <w:t xml:space="preserve">.  </w:t>
      </w:r>
      <w:r>
        <w:rPr>
          <w:rFonts w:hint="eastAsia"/>
        </w:rPr>
        <w:t>每年组织九个不同运动项目(篮球、排球、手球、田径、乒乓球、羽毛球、象棋、游泳和足球)的学校运动会，2008年和2009年高年龄组中女孩与男孩的比例分别为45:55和40:60。女孩参与率不高主要与其年龄组(15-18岁)的特点有关。</w:t>
      </w:r>
    </w:p>
    <w:p w:rsidR="00D0166D" w:rsidRDefault="00D0166D" w:rsidP="00D0166D">
      <w:pPr>
        <w:pStyle w:val="SingleTxt"/>
        <w:rPr>
          <w:rFonts w:hint="eastAsia"/>
        </w:rPr>
      </w:pPr>
      <w:r>
        <w:rPr>
          <w:rFonts w:hint="eastAsia"/>
        </w:rPr>
        <w:t>151</w:t>
      </w:r>
      <w:r w:rsidR="00A907F4">
        <w:rPr>
          <w:rFonts w:hint="eastAsia"/>
        </w:rPr>
        <w:t xml:space="preserve">.  </w:t>
      </w:r>
      <w:r>
        <w:rPr>
          <w:rFonts w:hint="eastAsia"/>
        </w:rPr>
        <w:t>政府对有才华的学生进行鼓励，根据教育、青年与科学部《才华横溢儿童保护计划》为他们提供奖学金。自2005年起，在此计划下获得奖学金的女孩比例从2005年的23%增加到52%。</w:t>
      </w:r>
    </w:p>
    <w:p w:rsidR="00D0166D" w:rsidRDefault="00D0166D" w:rsidP="00D0166D">
      <w:pPr>
        <w:pStyle w:val="SingleTxt"/>
        <w:rPr>
          <w:rFonts w:hint="eastAsia"/>
        </w:rPr>
      </w:pPr>
      <w:r>
        <w:rPr>
          <w:rFonts w:hint="eastAsia"/>
        </w:rPr>
        <w:t>152</w:t>
      </w:r>
      <w:r w:rsidR="00A907F4">
        <w:rPr>
          <w:rFonts w:hint="eastAsia"/>
        </w:rPr>
        <w:t xml:space="preserve">.  </w:t>
      </w:r>
      <w:r>
        <w:rPr>
          <w:rFonts w:hint="eastAsia"/>
        </w:rPr>
        <w:t>同时还应指出，有必要制定并进一步完善这类计划及教学方法和模式，以强化学生在性和生殖健康方面的知识。孕产的学龄女孩(19岁以下)人数有增加，尽管增幅不大。教育、青年与科学部同保加利亚妇产科协会合作，为学生制作有关早育风险的教具，这种教具现已在国内大多数学校使用。</w:t>
      </w:r>
    </w:p>
    <w:p w:rsidR="00D0166D" w:rsidRDefault="00D0166D" w:rsidP="00D0166D">
      <w:pPr>
        <w:pStyle w:val="SingleTxt"/>
        <w:rPr>
          <w:rFonts w:hint="eastAsia"/>
        </w:rPr>
      </w:pPr>
      <w:r>
        <w:rPr>
          <w:rFonts w:hint="eastAsia"/>
        </w:rPr>
        <w:t>153</w:t>
      </w:r>
      <w:r w:rsidR="00A907F4">
        <w:rPr>
          <w:rFonts w:hint="eastAsia"/>
        </w:rPr>
        <w:t xml:space="preserve">.  </w:t>
      </w:r>
      <w:r>
        <w:rPr>
          <w:rFonts w:hint="eastAsia"/>
        </w:rPr>
        <w:t>从教师的情况来看，保加利亚的特点同许多其他国家类似——教师职业严重女性化。幼儿园女教师的比例接近99%，所有各类学校一年级至十二年级的教师中，有86%为女教师。同时，在学校校长总人数中，男校长占三分之一。</w:t>
      </w:r>
    </w:p>
    <w:p w:rsidR="00D0166D" w:rsidRDefault="00D0166D" w:rsidP="00D0166D">
      <w:pPr>
        <w:pStyle w:val="SingleTxt"/>
        <w:rPr>
          <w:rFonts w:hint="eastAsia"/>
        </w:rPr>
      </w:pPr>
      <w:r>
        <w:rPr>
          <w:rFonts w:hint="eastAsia"/>
        </w:rPr>
        <w:t>154</w:t>
      </w:r>
      <w:r w:rsidR="00A907F4">
        <w:rPr>
          <w:rFonts w:hint="eastAsia"/>
        </w:rPr>
        <w:t xml:space="preserve">.  </w:t>
      </w:r>
      <w:r>
        <w:rPr>
          <w:rFonts w:hint="eastAsia"/>
        </w:rPr>
        <w:t>职业学校中教师的性别比例为：男性占28%，女性占72%。根据教育、青年与科学部的统计数字，过去10-15年中等职业教育系统中女教师占绝大多数，这是由于多数男毕业生选择了在私企工作而非从事教育工作。</w:t>
      </w:r>
    </w:p>
    <w:p w:rsidR="00D0166D" w:rsidRDefault="00D0166D" w:rsidP="00D0166D">
      <w:pPr>
        <w:pStyle w:val="SingleTxt"/>
        <w:rPr>
          <w:rFonts w:hint="eastAsia"/>
        </w:rPr>
      </w:pPr>
      <w:r>
        <w:rPr>
          <w:rFonts w:hint="eastAsia"/>
        </w:rPr>
        <w:t>155</w:t>
      </w:r>
      <w:r w:rsidR="00A907F4">
        <w:rPr>
          <w:rFonts w:hint="eastAsia"/>
        </w:rPr>
        <w:t xml:space="preserve">.  </w:t>
      </w:r>
      <w:r>
        <w:rPr>
          <w:rFonts w:hint="eastAsia"/>
        </w:rPr>
        <w:t>《高等教育法》第4条规定，高等教育中不允许存在同年龄、种族、国籍、族裔、性别、社会出身、政治观点和宗教有关的种种限制或特权。</w:t>
      </w:r>
    </w:p>
    <w:p w:rsidR="00D0166D" w:rsidRDefault="00D0166D" w:rsidP="00D0166D">
      <w:pPr>
        <w:pStyle w:val="SingleTxt"/>
        <w:rPr>
          <w:rFonts w:hint="eastAsia"/>
        </w:rPr>
      </w:pPr>
      <w:r>
        <w:rPr>
          <w:rFonts w:hint="eastAsia"/>
        </w:rPr>
        <w:t>156</w:t>
      </w:r>
      <w:r w:rsidR="00A907F4">
        <w:rPr>
          <w:rFonts w:hint="eastAsia"/>
        </w:rPr>
        <w:t xml:space="preserve">.  </w:t>
      </w:r>
      <w:r>
        <w:rPr>
          <w:rFonts w:hint="eastAsia"/>
        </w:rPr>
        <w:t>根据《高等教育法》第9条第3款第6项，部长会议每年按职业趋势和教育程度批准就读高等教育院校的学生人数。部长会议还批准私立高等教育院校的学生人数以及高等教育院校，即保加利亚科学院、全国农业科学中心及其他科学组织的博士生人数。</w:t>
      </w:r>
    </w:p>
    <w:p w:rsidR="00D0166D" w:rsidRDefault="00D0166D" w:rsidP="00D0166D">
      <w:pPr>
        <w:pStyle w:val="SingleTxt"/>
        <w:rPr>
          <w:rFonts w:hint="eastAsia"/>
        </w:rPr>
      </w:pPr>
      <w:r>
        <w:rPr>
          <w:rFonts w:hint="eastAsia"/>
        </w:rPr>
        <w:t>157</w:t>
      </w:r>
      <w:r w:rsidR="00A907F4">
        <w:rPr>
          <w:rFonts w:hint="eastAsia"/>
        </w:rPr>
        <w:t xml:space="preserve">.  </w:t>
      </w:r>
      <w:r>
        <w:rPr>
          <w:rFonts w:hint="eastAsia"/>
        </w:rPr>
        <w:t>由于高等教育学院学术自治以及教育特定领域男女有必要保持一定比例的原因，部长会议批准了性别配额分配，同时考虑到他们今后的职业发展与国家的需要(例如，保持人文学科领域的男性配额，鼓励他们从事教师职业)。</w:t>
      </w:r>
    </w:p>
    <w:p w:rsidR="00D0166D" w:rsidRDefault="00D0166D" w:rsidP="00D0166D">
      <w:pPr>
        <w:pStyle w:val="SingleTxt"/>
        <w:rPr>
          <w:rFonts w:hint="eastAsia"/>
        </w:rPr>
      </w:pPr>
      <w:r>
        <w:rPr>
          <w:rFonts w:hint="eastAsia"/>
        </w:rPr>
        <w:t>158</w:t>
      </w:r>
      <w:r w:rsidR="00A907F4">
        <w:rPr>
          <w:rFonts w:hint="eastAsia"/>
        </w:rPr>
        <w:t xml:space="preserve">.  </w:t>
      </w:r>
      <w:r>
        <w:rPr>
          <w:rFonts w:hint="eastAsia"/>
        </w:rPr>
        <w:t>根据《高等教育法》第21条第1款第3项，高等教育院校可自行决定研究和教学人员、录用条件、教授学生的方式、博士生以及研究生。</w:t>
      </w:r>
    </w:p>
    <w:p w:rsidR="00D0166D" w:rsidRDefault="00D0166D" w:rsidP="00D0166D">
      <w:pPr>
        <w:pStyle w:val="SingleTxt"/>
        <w:rPr>
          <w:rFonts w:hint="eastAsia"/>
        </w:rPr>
      </w:pPr>
      <w:r>
        <w:rPr>
          <w:rFonts w:hint="eastAsia"/>
        </w:rPr>
        <w:t>159</w:t>
      </w:r>
      <w:r w:rsidR="00A907F4">
        <w:rPr>
          <w:rFonts w:hint="eastAsia"/>
        </w:rPr>
        <w:t xml:space="preserve">.  </w:t>
      </w:r>
      <w:r>
        <w:rPr>
          <w:rFonts w:hint="eastAsia"/>
        </w:rPr>
        <w:t>不过，配额原则并不适用于美术类高等教育院校。在戏剧学院，男女生各占一半，因此实现了学习期间参加剧场演出学生的两性平等。</w:t>
      </w:r>
    </w:p>
    <w:p w:rsidR="00D0166D" w:rsidRDefault="00D0166D" w:rsidP="00D0166D">
      <w:pPr>
        <w:pStyle w:val="SingleTxt"/>
        <w:rPr>
          <w:rFonts w:hint="eastAsia"/>
        </w:rPr>
      </w:pPr>
      <w:r>
        <w:rPr>
          <w:rFonts w:hint="eastAsia"/>
        </w:rPr>
        <w:t>160</w:t>
      </w:r>
      <w:r w:rsidR="00A907F4">
        <w:rPr>
          <w:rFonts w:hint="eastAsia"/>
        </w:rPr>
        <w:t xml:space="preserve">.  </w:t>
      </w:r>
      <w:r>
        <w:rPr>
          <w:rFonts w:hint="eastAsia"/>
        </w:rPr>
        <w:t>2002-2008年，女学生比例从52.8% 增加到55.6%。主要体现在以下教育领域：教师培训和教学(2008年为83.9%)；社会工作(2008年为85.1%)以及新闻工作、大众传播和宣传(2008年为77.4%)——专业达到本科学位水平。这种情形同学士和硕士学位的情况非常相似，男女平均占71.3%、74%和73.6%,女性更多一些。</w:t>
      </w:r>
    </w:p>
    <w:p w:rsidR="00D0166D" w:rsidRDefault="00D0166D" w:rsidP="00D0166D">
      <w:pPr>
        <w:pStyle w:val="SingleTxt"/>
        <w:rPr>
          <w:rFonts w:hint="eastAsia"/>
        </w:rPr>
      </w:pPr>
      <w:r>
        <w:rPr>
          <w:rFonts w:hint="eastAsia"/>
        </w:rPr>
        <w:t>161</w:t>
      </w:r>
      <w:r w:rsidR="00A907F4">
        <w:rPr>
          <w:rFonts w:hint="eastAsia"/>
        </w:rPr>
        <w:t xml:space="preserve">.  </w:t>
      </w:r>
      <w:r>
        <w:rPr>
          <w:rFonts w:hint="eastAsia"/>
        </w:rPr>
        <w:t xml:space="preserve">同中等教育中教师的情形不同，高等教育中男性教师的比例为4%至7%。2002-2008年，女教师的比例从42.6%上升到46.2%。同期女教授的人数增加了一倍，但在总人数中比例仍未达到25%。自集权主义时代一直持续的非常落后的法定框架可能解释这种现象。这个框架要求妇女在35岁以前获得博士学位，这长期阻碍了妇女在学科领域的职业发展。学科法定框架的改革对妇女具有积极影响，在相关时期助理研究员的人数增加了近三倍。 </w:t>
      </w:r>
    </w:p>
    <w:p w:rsidR="00D0166D" w:rsidRDefault="00D0166D" w:rsidP="00D0166D">
      <w:pPr>
        <w:pStyle w:val="SingleTxt"/>
        <w:rPr>
          <w:rFonts w:hint="eastAsia"/>
        </w:rPr>
      </w:pPr>
      <w:r>
        <w:rPr>
          <w:rFonts w:hint="eastAsia"/>
        </w:rPr>
        <w:t>162</w:t>
      </w:r>
      <w:r w:rsidR="00A907F4">
        <w:rPr>
          <w:rFonts w:hint="eastAsia"/>
        </w:rPr>
        <w:t xml:space="preserve">.  </w:t>
      </w:r>
      <w:r>
        <w:rPr>
          <w:rFonts w:hint="eastAsia"/>
        </w:rPr>
        <w:t>关于妇女参与研究和发展活动，应指出的是，2002-2008年期间，该领域的性别均衡比例接近50:50。</w:t>
      </w:r>
    </w:p>
    <w:p w:rsidR="00D0166D" w:rsidRDefault="00D0166D" w:rsidP="00D0166D">
      <w:pPr>
        <w:pStyle w:val="SingleTxt"/>
        <w:rPr>
          <w:rFonts w:hint="eastAsia"/>
        </w:rPr>
      </w:pPr>
      <w:r>
        <w:rPr>
          <w:rFonts w:hint="eastAsia"/>
        </w:rPr>
        <w:t>163</w:t>
      </w:r>
      <w:r w:rsidR="00A907F4">
        <w:rPr>
          <w:rFonts w:hint="eastAsia"/>
        </w:rPr>
        <w:t xml:space="preserve">.  </w:t>
      </w:r>
      <w:r>
        <w:rPr>
          <w:rFonts w:hint="eastAsia"/>
        </w:rPr>
        <w:t>索菲亚大学哲学系性别研究中心的学生可攻读性别研究课程的硕士学位。这是国内绝无仅有的课程；其他高等教育院校开设社会学、文化学、跨学科研究等领域学位课程内各学科的课程。</w:t>
      </w:r>
    </w:p>
    <w:p w:rsidR="00D0166D" w:rsidRDefault="00D0166D" w:rsidP="00A907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第十一条</w:t>
      </w:r>
    </w:p>
    <w:p w:rsidR="00A907F4" w:rsidRPr="00A907F4" w:rsidRDefault="00A907F4" w:rsidP="00A907F4">
      <w:pPr>
        <w:pStyle w:val="SingleTxt"/>
        <w:spacing w:after="0" w:line="120" w:lineRule="exact"/>
        <w:rPr>
          <w:rFonts w:hint="eastAsia"/>
          <w:sz w:val="10"/>
        </w:rPr>
      </w:pPr>
    </w:p>
    <w:p w:rsidR="00D0166D" w:rsidRDefault="00D0166D" w:rsidP="00D0166D">
      <w:pPr>
        <w:pStyle w:val="SingleTxt"/>
        <w:rPr>
          <w:rFonts w:hint="eastAsia"/>
        </w:rPr>
      </w:pPr>
      <w:r>
        <w:rPr>
          <w:rFonts w:hint="eastAsia"/>
        </w:rPr>
        <w:t>164</w:t>
      </w:r>
      <w:r w:rsidR="00A907F4">
        <w:rPr>
          <w:rFonts w:hint="eastAsia"/>
        </w:rPr>
        <w:t xml:space="preserve">.  </w:t>
      </w:r>
      <w:r>
        <w:rPr>
          <w:rFonts w:hint="eastAsia"/>
        </w:rPr>
        <w:t>保加利亚在实施两性平等政策方面具有丰富的经验，一般来说，其国内妇女参加经济活动和实现就业的比率相当高。近年来，特别是欧洲一体化进程启动以来，保加利亚完善了其国内立法，在就业、择业、社会保障领域纳入欧盟关于男女平等待遇的指令，并建立相关机构，制定相关政策，以落实两性平等原则和实现两性平等。</w:t>
      </w:r>
    </w:p>
    <w:p w:rsidR="00D0166D" w:rsidRDefault="00D0166D" w:rsidP="00D0166D">
      <w:pPr>
        <w:pStyle w:val="SingleTxt"/>
        <w:rPr>
          <w:rFonts w:hint="eastAsia"/>
        </w:rPr>
      </w:pPr>
      <w:r>
        <w:rPr>
          <w:rFonts w:hint="eastAsia"/>
        </w:rPr>
        <w:t>165</w:t>
      </w:r>
      <w:r w:rsidR="00A907F4">
        <w:rPr>
          <w:rFonts w:hint="eastAsia"/>
        </w:rPr>
        <w:t xml:space="preserve">.  </w:t>
      </w:r>
      <w:r>
        <w:rPr>
          <w:rFonts w:hint="eastAsia"/>
        </w:rPr>
        <w:t>保加利亚在制定积极的劳动力市场两性平等政策以及劳动力市场和社会男女机会平等政策方面取得了很大进展。公众对该领域的认识和敏感性也得以大大提高，这主要归功于许多从事妇女工作和两性平等工作的非政府组织的努力，这些组织大多数是在1995年北京第四次妇女问题世界会议后建立的。</w:t>
      </w:r>
    </w:p>
    <w:p w:rsidR="00D0166D" w:rsidRDefault="00D0166D" w:rsidP="00D0166D">
      <w:pPr>
        <w:pStyle w:val="SingleTxt"/>
        <w:rPr>
          <w:rFonts w:hint="eastAsia"/>
        </w:rPr>
      </w:pPr>
      <w:r>
        <w:rPr>
          <w:rFonts w:hint="eastAsia"/>
        </w:rPr>
        <w:t>166</w:t>
      </w:r>
      <w:r w:rsidR="00A907F4">
        <w:rPr>
          <w:rFonts w:hint="eastAsia"/>
        </w:rPr>
        <w:t xml:space="preserve">.  </w:t>
      </w:r>
      <w:r>
        <w:rPr>
          <w:rFonts w:hint="eastAsia"/>
        </w:rPr>
        <w:t>保加利亚立法符合保加利亚共和国加入的国际公约：国际劳工组织(劳工组织)《就业政策公约》(1964年《第122号公约》)；劳工组织《关于就业及职业歧视的公约》(1958年《第111号公约》)；《消除对妇女一切形式歧视公约》；《消除一切形式种族歧视国际公约》以及其他公约；关于在就业和职业以及社会生活领域适用两性平等与男女平等待遇原则的欧洲共同体指令。</w:t>
      </w:r>
    </w:p>
    <w:p w:rsidR="00D0166D" w:rsidRDefault="00D0166D" w:rsidP="00D0166D">
      <w:pPr>
        <w:pStyle w:val="SingleTxt"/>
        <w:rPr>
          <w:rFonts w:hint="eastAsia"/>
        </w:rPr>
      </w:pPr>
      <w:r>
        <w:rPr>
          <w:rFonts w:hint="eastAsia"/>
        </w:rPr>
        <w:t>167</w:t>
      </w:r>
      <w:r w:rsidR="00A907F4">
        <w:rPr>
          <w:rFonts w:hint="eastAsia"/>
        </w:rPr>
        <w:t xml:space="preserve">.  </w:t>
      </w:r>
      <w:r>
        <w:rPr>
          <w:rFonts w:hint="eastAsia"/>
        </w:rPr>
        <w:t>上述第1条中介绍了保加利亚立法中反歧视条例的数目。</w:t>
      </w:r>
    </w:p>
    <w:p w:rsidR="00D0166D" w:rsidRDefault="00D0166D" w:rsidP="00D0166D">
      <w:pPr>
        <w:pStyle w:val="SingleTxt"/>
        <w:rPr>
          <w:rFonts w:hint="eastAsia"/>
        </w:rPr>
      </w:pPr>
      <w:r>
        <w:rPr>
          <w:rFonts w:hint="eastAsia"/>
        </w:rPr>
        <w:t>168</w:t>
      </w:r>
      <w:r w:rsidR="00A907F4">
        <w:rPr>
          <w:rFonts w:hint="eastAsia"/>
        </w:rPr>
        <w:t xml:space="preserve">.  </w:t>
      </w:r>
      <w:r>
        <w:rPr>
          <w:rFonts w:hint="eastAsia"/>
        </w:rPr>
        <w:t>过去十年间，旨在防止劳动歧视的劳动和社会立法有了很大改进。《劳工法修改和增补法案》的规定非常重要，该法案是在包括工会专家在内的社会伙伴积极参与下拟订的，禁止基于各种理由直接或间接歧视的规定</w:t>
      </w:r>
      <w:r w:rsidR="009D036F">
        <w:rPr>
          <w:rStyle w:val="FootnoteReference"/>
        </w:rPr>
        <w:footnoteReference w:id="3"/>
      </w:r>
      <w:r>
        <w:rPr>
          <w:rFonts w:hint="eastAsia"/>
        </w:rPr>
        <w:t xml:space="preserve"> 以及关于同工同酬权利或男女工作具有同等价值的规定也非常重要。</w:t>
      </w:r>
    </w:p>
    <w:p w:rsidR="00D0166D" w:rsidRDefault="00D0166D" w:rsidP="00D0166D">
      <w:pPr>
        <w:pStyle w:val="SingleTxt"/>
        <w:rPr>
          <w:rFonts w:hint="eastAsia"/>
        </w:rPr>
      </w:pPr>
      <w:r>
        <w:rPr>
          <w:rFonts w:hint="eastAsia"/>
        </w:rPr>
        <w:t>169</w:t>
      </w:r>
      <w:r w:rsidR="00A907F4">
        <w:rPr>
          <w:rFonts w:hint="eastAsia"/>
        </w:rPr>
        <w:t xml:space="preserve">.  </w:t>
      </w:r>
      <w:r>
        <w:rPr>
          <w:rFonts w:hint="eastAsia"/>
        </w:rPr>
        <w:t>保加利亚宪法、劳动法和刑法载有重要条款，保障了工作权利、劳动自由权和保护权。国家有义务为行使这项权利创造条件，包括身心残疾者(具有完全或部分工作能力)的这项权利。后者可以在其他具体法律(例如《残疾人保护、康复和融入社会法》、2005年《残疾人重返社会法》)、二级立法、执行机构的具体计划和措施中找到。这些计划和措施常常为雇主提供经济鼓励，鼓励其聘用由于各种原因难以找到工作或在劳动力市场竞争力弱的人，其中包括性别原因。雇主必须遵守法律和其他法律文书的要求，如果希望为其提供经济鼓励，则在人事管理中尽可能采用这一做法，确保尊重工厂和办公室工作人员的基本权利，不允许工作中存在任何歧视，并为工作、休息和休假创造必要的条件。</w:t>
      </w:r>
    </w:p>
    <w:p w:rsidR="00D0166D" w:rsidRDefault="00D0166D" w:rsidP="00D0166D">
      <w:pPr>
        <w:pStyle w:val="SingleTxt"/>
        <w:rPr>
          <w:rFonts w:hint="eastAsia"/>
        </w:rPr>
      </w:pPr>
      <w:r>
        <w:rPr>
          <w:rFonts w:hint="eastAsia"/>
        </w:rPr>
        <w:t>170</w:t>
      </w:r>
      <w:r w:rsidR="00A907F4">
        <w:rPr>
          <w:rFonts w:hint="eastAsia"/>
        </w:rPr>
        <w:t xml:space="preserve">.  </w:t>
      </w:r>
      <w:r>
        <w:rPr>
          <w:rFonts w:hint="eastAsia"/>
        </w:rPr>
        <w:t xml:space="preserve">妇女享有工作者一般享有的各种权利。同时，她们还享有其他权利，对工作环境具有更严格的要求，要考虑到女性身体的结构和生理特点，以及妇女成为未来母亲或幼儿母亲的情况。这些补充条款包括两类： </w:t>
      </w:r>
    </w:p>
    <w:p w:rsidR="00D0166D" w:rsidRDefault="00A907F4" w:rsidP="00D0166D">
      <w:pPr>
        <w:pStyle w:val="SingleTxt"/>
        <w:rPr>
          <w:rFonts w:hint="eastAsia"/>
        </w:rPr>
      </w:pPr>
      <w:r>
        <w:tab/>
      </w:r>
      <w:r w:rsidR="00D0166D">
        <w:rPr>
          <w:rFonts w:hint="eastAsia"/>
        </w:rPr>
        <w:t>(a)</w:t>
      </w:r>
      <w:r w:rsidR="00D0166D">
        <w:rPr>
          <w:rFonts w:hint="eastAsia"/>
        </w:rPr>
        <w:tab/>
        <w:t>关于所有妇女的工作——涉及以下方面：禁止让妇女从事繁重工作或有害妇女健康和生育功能的工作；提供并维护妇女私人卫生间；参照男性最低劳动负荷标准制定女性这方面的标准；</w:t>
      </w:r>
    </w:p>
    <w:p w:rsidR="00D0166D" w:rsidRDefault="00A907F4" w:rsidP="00D0166D">
      <w:pPr>
        <w:pStyle w:val="SingleTxt"/>
        <w:rPr>
          <w:rFonts w:hint="eastAsia"/>
        </w:rPr>
      </w:pPr>
      <w:r>
        <w:tab/>
      </w:r>
      <w:r w:rsidR="00D0166D">
        <w:rPr>
          <w:rFonts w:hint="eastAsia"/>
        </w:rPr>
        <w:t>(b)</w:t>
      </w:r>
      <w:r w:rsidR="00D0166D">
        <w:rPr>
          <w:rFonts w:hint="eastAsia"/>
        </w:rPr>
        <w:tab/>
        <w:t>关于身为母亲的女职工的工作:提供和维护孕妇休息室；对于那些所从事的工作不适合自己身体状况的孕妇和哺乳期妇女，为她们创造职业康复条件；禁止未经同意借调怀孕女工和子女不满3岁的女工；怀孕、生育和育儿假(《劳动法》第163-168条)；为子女未满6岁的女工提供在家工作的机会，并保持聘用关系；提供超前特殊保护，防止解雇怀孕女工和子女未满3岁的女工(《劳动法》第333条第1款)。</w:t>
      </w:r>
    </w:p>
    <w:p w:rsidR="00D0166D" w:rsidRDefault="00D0166D" w:rsidP="00D0166D">
      <w:pPr>
        <w:pStyle w:val="SingleTxt"/>
        <w:rPr>
          <w:rFonts w:hint="eastAsia"/>
        </w:rPr>
      </w:pPr>
      <w:r>
        <w:rPr>
          <w:rFonts w:hint="eastAsia"/>
        </w:rPr>
        <w:t>171</w:t>
      </w:r>
      <w:r w:rsidR="00A907F4">
        <w:rPr>
          <w:rFonts w:hint="eastAsia"/>
        </w:rPr>
        <w:t xml:space="preserve">.  </w:t>
      </w:r>
      <w:r>
        <w:rPr>
          <w:rFonts w:hint="eastAsia"/>
        </w:rPr>
        <w:t>保加利亚立法对特定职业和无歧视的某些职业做了若干规定(属于劳工组织《第111号公约》的定义范畴)。这些规定也禁止基于性别、种族、肤色、宗教、民族血统的区别对待、特殊待遇和偏护，包括禁止妇女从事某些类型的工作(《劳动法》第307条)。这一禁令包括繁重工作或对妇女健康或生育功能有害的工作。政府的一项法案(法令)确定了这项清单。在此情形下，该禁令被视为是保护妇女生活和健康的一种途径，不因性别而有例外(从歧视角度)。保加利亚和国际劳工组织(《各种矿场井下劳动使用妇女公约》(1935年《第45号公约》)都实际采纳并确认了这一点。</w:t>
      </w:r>
    </w:p>
    <w:p w:rsidR="00D0166D" w:rsidRDefault="00D0166D" w:rsidP="00D0166D">
      <w:pPr>
        <w:pStyle w:val="SingleTxt"/>
        <w:rPr>
          <w:rFonts w:hint="eastAsia"/>
        </w:rPr>
      </w:pPr>
      <w:r>
        <w:rPr>
          <w:rFonts w:hint="eastAsia"/>
        </w:rPr>
        <w:t>172</w:t>
      </w:r>
      <w:r w:rsidR="00A907F4">
        <w:rPr>
          <w:rFonts w:hint="eastAsia"/>
        </w:rPr>
        <w:t xml:space="preserve">.  </w:t>
      </w:r>
      <w:r>
        <w:rPr>
          <w:rFonts w:hint="eastAsia"/>
        </w:rPr>
        <w:t>《劳动法》对怀孕、生育和儿童保育假做了规定。产假按工龄计算。产假资格限于聘用关系下的劳动者。对于不工作的妇女，妊娠、生育和儿童保育假只按就业时间计算。</w:t>
      </w:r>
    </w:p>
    <w:p w:rsidR="00D0166D" w:rsidRDefault="00D0166D" w:rsidP="00D0166D">
      <w:pPr>
        <w:pStyle w:val="SingleTxt"/>
        <w:rPr>
          <w:rFonts w:hint="eastAsia"/>
        </w:rPr>
      </w:pPr>
      <w:r>
        <w:rPr>
          <w:rFonts w:hint="eastAsia"/>
        </w:rPr>
        <w:t>173</w:t>
      </w:r>
      <w:r w:rsidR="00A907F4">
        <w:rPr>
          <w:rFonts w:hint="eastAsia"/>
        </w:rPr>
        <w:t xml:space="preserve">.  </w:t>
      </w:r>
      <w:r>
        <w:rPr>
          <w:rFonts w:hint="eastAsia"/>
        </w:rPr>
        <w:t>如上所述，《保加利亚共和国宪法》规定，不得基于种族、民族、民族归属、性别、出身、宗教、教育、信仰、政治派别、个人和社会地位或财产状况而限制任何公民权利或使其享有特权(第六十四条第2款)；所有公民和法人享有进行经济活动的平等法律条件(第十九条第2款)；人人都有权自由选择其宗教，表达宗教或无神论观点(第三十七条，第1款)；配偶在婚姻中享有平等权利，履行平等义务(第四十六条)；非婚生子女同婚生子女享有同等权利(第四十七条第3款)；公民有劳动权，有权获得与其所从事工作相符的报酬，每个公民均可自由选择职业和工作地点(第四十八条)。</w:t>
      </w:r>
    </w:p>
    <w:p w:rsidR="00D0166D" w:rsidRDefault="00D0166D" w:rsidP="00D0166D">
      <w:pPr>
        <w:pStyle w:val="SingleTxt"/>
      </w:pPr>
      <w:r>
        <w:rPr>
          <w:rFonts w:hint="eastAsia"/>
        </w:rPr>
        <w:t>174</w:t>
      </w:r>
      <w:r w:rsidR="00A907F4">
        <w:rPr>
          <w:rFonts w:hint="eastAsia"/>
        </w:rPr>
        <w:t xml:space="preserve">.  </w:t>
      </w:r>
      <w:r>
        <w:rPr>
          <w:rFonts w:hint="eastAsia"/>
        </w:rPr>
        <w:t>《劳动法》包括禁止在雇佣关系上实行歧视的条款，特别是：公民在行使劳动权和义务时不得基于民族、出身、性别、肤色、年龄、政治和宗教信仰、从事特殊行业、婚姻、社会和财产状况以及残疾状况而直接或间接歧视(第8条，第3款)；男女享有同工同酬或同值工作的权利(第243条)。《劳动法》对“间接歧视”作了进一步定义(附则1，第7项)，规定根据从事具体工作的资格要求加以区别对待和提出先决条件并不构成歧视，并规定为法定文书所确认的某些工厂工人和办公室人员提供特别保护(未成年人、孕妇、幼儿妈妈、残疾人、职业康复者等)。</w:t>
      </w:r>
    </w:p>
    <w:p w:rsidR="00D0166D" w:rsidRDefault="00D0166D" w:rsidP="00D0166D">
      <w:pPr>
        <w:pStyle w:val="SingleTxt"/>
        <w:rPr>
          <w:rFonts w:hint="eastAsia"/>
        </w:rPr>
      </w:pPr>
      <w:r>
        <w:rPr>
          <w:rFonts w:hint="eastAsia"/>
        </w:rPr>
        <w:t>175</w:t>
      </w:r>
      <w:r w:rsidR="00A907F4">
        <w:rPr>
          <w:rFonts w:hint="eastAsia"/>
        </w:rPr>
        <w:t xml:space="preserve">.  </w:t>
      </w:r>
      <w:r>
        <w:rPr>
          <w:rFonts w:hint="eastAsia"/>
        </w:rPr>
        <w:t>《公务员法》明文规定，禁止因种族、民族、族裔、性别、出身、宗教、政治、工会和其他公共组织或运动成员、个人、社会或财产状况而对公务员加以歧视、赋予特权或设置种种限制(第7条第4款)。</w:t>
      </w:r>
    </w:p>
    <w:p w:rsidR="00D0166D" w:rsidRDefault="00D0166D" w:rsidP="00D0166D">
      <w:pPr>
        <w:pStyle w:val="SingleTxt"/>
        <w:rPr>
          <w:rFonts w:hint="eastAsia"/>
        </w:rPr>
      </w:pPr>
      <w:r>
        <w:rPr>
          <w:rFonts w:hint="eastAsia"/>
        </w:rPr>
        <w:t>176</w:t>
      </w:r>
      <w:r w:rsidR="00A907F4">
        <w:rPr>
          <w:rFonts w:hint="eastAsia"/>
        </w:rPr>
        <w:t xml:space="preserve">.  </w:t>
      </w:r>
      <w:r>
        <w:rPr>
          <w:rFonts w:hint="eastAsia"/>
        </w:rPr>
        <w:t>《就业促进法》明确规定不得因性别、国籍、种族、肤色和年龄而进行直接或间接歧视(第2条)；为任何保加利亚公民提供机会，不论登记失业时其民族、性别、年龄如何(第18条)。</w:t>
      </w:r>
    </w:p>
    <w:p w:rsidR="00D0166D" w:rsidRDefault="00D0166D" w:rsidP="00D0166D">
      <w:pPr>
        <w:pStyle w:val="SingleTxt"/>
        <w:rPr>
          <w:rFonts w:hint="eastAsia"/>
        </w:rPr>
      </w:pPr>
      <w:r>
        <w:rPr>
          <w:rFonts w:hint="eastAsia"/>
        </w:rPr>
        <w:t>177</w:t>
      </w:r>
      <w:r w:rsidR="00A907F4">
        <w:rPr>
          <w:rFonts w:hint="eastAsia"/>
        </w:rPr>
        <w:t xml:space="preserve">.  </w:t>
      </w:r>
      <w:r>
        <w:rPr>
          <w:rFonts w:hint="eastAsia"/>
        </w:rPr>
        <w:t>《消费者保护和贸易规则法》规定，任何由于性别、种族、宗教、民族、政治信仰、年龄、身体或心理能力而含有歧视成分的宣传均属“不公正”行为(第34条，第1项)。</w:t>
      </w:r>
    </w:p>
    <w:p w:rsidR="00D0166D" w:rsidRDefault="00D0166D" w:rsidP="00D0166D">
      <w:pPr>
        <w:pStyle w:val="SingleTxt"/>
        <w:rPr>
          <w:rFonts w:hint="eastAsia"/>
        </w:rPr>
      </w:pPr>
      <w:r>
        <w:rPr>
          <w:rFonts w:hint="eastAsia"/>
        </w:rPr>
        <w:t>178</w:t>
      </w:r>
      <w:r w:rsidR="00A907F4">
        <w:rPr>
          <w:rFonts w:hint="eastAsia"/>
        </w:rPr>
        <w:t xml:space="preserve">.  </w:t>
      </w:r>
      <w:r>
        <w:rPr>
          <w:rFonts w:hint="eastAsia"/>
        </w:rPr>
        <w:t>《社会援助法》禁止歧视行为(第3条)，不包括在提供社会援助时由于性别、种族、肤色、种族认同、宗教或信仰、残疾、年龄、性取向、婚姻状况或出身、工会与其他公共组织和运动成员而直接或间接实行歧视的行为。</w:t>
      </w:r>
    </w:p>
    <w:p w:rsidR="00D0166D" w:rsidRDefault="00D0166D" w:rsidP="00D0166D">
      <w:pPr>
        <w:pStyle w:val="SingleTxt"/>
        <w:rPr>
          <w:rFonts w:hint="eastAsia"/>
        </w:rPr>
      </w:pPr>
      <w:r>
        <w:rPr>
          <w:rFonts w:hint="eastAsia"/>
        </w:rPr>
        <w:t>179</w:t>
      </w:r>
      <w:r w:rsidR="00A907F4">
        <w:rPr>
          <w:rFonts w:hint="eastAsia"/>
        </w:rPr>
        <w:t xml:space="preserve">.  </w:t>
      </w:r>
      <w:r>
        <w:rPr>
          <w:rFonts w:hint="eastAsia"/>
        </w:rPr>
        <w:t>《广播电视法》禁止基于民族、政治、族裔、宗教、种族、性或任何其他形式歧视的商业广播节目(第76条第2款)，对违反该禁令，进行歧视性商业广播的处以2 000至15 000保加利亚新列弗的罚款(第126条)。再次违反该禁令则处以双倍罚款。</w:t>
      </w:r>
    </w:p>
    <w:p w:rsidR="00D0166D" w:rsidRDefault="00D0166D" w:rsidP="00D0166D">
      <w:pPr>
        <w:pStyle w:val="SingleTxt"/>
        <w:rPr>
          <w:rFonts w:hint="eastAsia"/>
        </w:rPr>
      </w:pPr>
      <w:r>
        <w:rPr>
          <w:rFonts w:hint="eastAsia"/>
        </w:rPr>
        <w:t>180</w:t>
      </w:r>
      <w:r w:rsidR="00A907F4">
        <w:rPr>
          <w:rFonts w:hint="eastAsia"/>
        </w:rPr>
        <w:t xml:space="preserve">.  </w:t>
      </w:r>
      <w:r>
        <w:rPr>
          <w:rFonts w:hint="eastAsia"/>
        </w:rPr>
        <w:t>根据《防止歧视法》第7条第1款第2项，劳动和社会政策部于2004年3月30日通过了关于职业或活动种类的第4号法令，根据其性质或颁布的背景，性别是一个真正的、决定性的职业要求，国防部部长与劳动和社会政策部部长于2005年10月18日联合发布了关于自愿在武装部队服兵役的活动的第14号法令，根据其性质或颁布的背景，性别是一个真正的、决定性的职业要求。</w:t>
      </w:r>
    </w:p>
    <w:p w:rsidR="00D0166D" w:rsidRDefault="00D0166D" w:rsidP="00D0166D">
      <w:pPr>
        <w:pStyle w:val="SingleTxt"/>
        <w:rPr>
          <w:rFonts w:hint="eastAsia"/>
        </w:rPr>
      </w:pPr>
      <w:r>
        <w:rPr>
          <w:rFonts w:hint="eastAsia"/>
        </w:rPr>
        <w:t>181</w:t>
      </w:r>
      <w:r w:rsidR="00A907F4">
        <w:rPr>
          <w:rFonts w:hint="eastAsia"/>
        </w:rPr>
        <w:t xml:space="preserve">.  </w:t>
      </w:r>
      <w:r>
        <w:rPr>
          <w:rFonts w:hint="eastAsia"/>
        </w:rPr>
        <w:t>《保加利亚共和国就业战略》(2004-2010年)及其最新版本(2008-2015年)力求将基于性别的歧视案例包括在内，并减少这种情况的发生，使劳动力市场高危人群进一步融入社会，特别是妇女等特殊群体，包括确保她们进入劳动力市场和获得生产就业机会。实现两性平等是《国家就业战略》的一项主要方针。该战略符合《欧洲就业战略》，并采纳了为两性提供平等就业机会的国家战略目标和政策。制定并实施《年度国家就业计划》的目的在于促进实现《国家就业战略》目标，支持增加就业人数，并普遍降低失业率，尤其是要解决男女的就业和失业问题。每个计划都包括有许多具体方案，并附有指定的参与者和合同商，资源和安排。</w:t>
      </w:r>
    </w:p>
    <w:p w:rsidR="00D0166D" w:rsidRDefault="00D0166D" w:rsidP="00D0166D">
      <w:pPr>
        <w:pStyle w:val="SingleTxt"/>
        <w:rPr>
          <w:rFonts w:hint="eastAsia"/>
        </w:rPr>
      </w:pPr>
      <w:r>
        <w:rPr>
          <w:rFonts w:hint="eastAsia"/>
        </w:rPr>
        <w:t>182</w:t>
      </w:r>
      <w:r w:rsidR="00A907F4">
        <w:rPr>
          <w:rFonts w:hint="eastAsia"/>
        </w:rPr>
        <w:t xml:space="preserve">.  </w:t>
      </w:r>
      <w:r>
        <w:rPr>
          <w:rFonts w:hint="eastAsia"/>
        </w:rPr>
        <w:t>实现劳动力市场男女平等机会的指导方针主要包括如下有关政策：通过提高妇女就业率，缩小男女就业率和失业率之间的差距；实现所有行业男女就业比率均衡；减少男女薪酬差距；使受扶养者得到照顾，实施各种计划确保男女职工享有育儿假。</w:t>
      </w:r>
    </w:p>
    <w:p w:rsidR="00D0166D" w:rsidRDefault="00D0166D" w:rsidP="00D0166D">
      <w:pPr>
        <w:pStyle w:val="SingleTxt"/>
        <w:rPr>
          <w:rFonts w:hint="eastAsia"/>
        </w:rPr>
      </w:pPr>
      <w:r>
        <w:rPr>
          <w:rFonts w:hint="eastAsia"/>
        </w:rPr>
        <w:t>183</w:t>
      </w:r>
      <w:r w:rsidR="00A907F4">
        <w:rPr>
          <w:rFonts w:hint="eastAsia"/>
        </w:rPr>
        <w:t xml:space="preserve">.  </w:t>
      </w:r>
      <w:r>
        <w:rPr>
          <w:rFonts w:hint="eastAsia"/>
        </w:rPr>
        <w:t>实现所有人口群体平等，以此实现男女平等进入劳动力市场。采取各项措施，努力解决劳动力市场基于性别、年龄、健康状况、种族或其他理由存在的特定人口群体遭受不平等待遇的问题，这些措施可归类为两大基本措施：一般和具体措施。一般措施包括建立立法、体制和资源框架，保障特定社会群体享有平等机会。这些措施包括：提供信息；体制安排，评估某项政策对两性成员地位的影响(社会性别主流化)。</w:t>
      </w:r>
    </w:p>
    <w:p w:rsidR="00D0166D" w:rsidRDefault="00D0166D" w:rsidP="00D0166D">
      <w:pPr>
        <w:pStyle w:val="SingleTxt"/>
        <w:rPr>
          <w:rFonts w:hint="eastAsia"/>
        </w:rPr>
      </w:pPr>
      <w:r>
        <w:rPr>
          <w:rFonts w:hint="eastAsia"/>
        </w:rPr>
        <w:t>184</w:t>
      </w:r>
      <w:r w:rsidR="00A907F4">
        <w:rPr>
          <w:rFonts w:hint="eastAsia"/>
        </w:rPr>
        <w:t xml:space="preserve">.  </w:t>
      </w:r>
      <w:r>
        <w:rPr>
          <w:rFonts w:hint="eastAsia"/>
        </w:rPr>
        <w:t>在广义解释《战略》的范围内实现男女机会平等的政策包括各项政策和具体机会、方案和包括经济、社会政策、就业以及减少失业在内所有其他领域的各项活动。</w:t>
      </w:r>
    </w:p>
    <w:p w:rsidR="00D0166D" w:rsidRDefault="00D0166D" w:rsidP="00D0166D">
      <w:pPr>
        <w:pStyle w:val="SingleTxt"/>
        <w:rPr>
          <w:rFonts w:hint="eastAsia"/>
        </w:rPr>
      </w:pPr>
      <w:r>
        <w:rPr>
          <w:rFonts w:hint="eastAsia"/>
        </w:rPr>
        <w:t>185</w:t>
      </w:r>
      <w:r w:rsidR="00A907F4">
        <w:rPr>
          <w:rFonts w:hint="eastAsia"/>
        </w:rPr>
        <w:t xml:space="preserve">.  </w:t>
      </w:r>
      <w:r>
        <w:rPr>
          <w:rFonts w:hint="eastAsia"/>
        </w:rPr>
        <w:t>将性别原则纳入各项就业政策，即已通过的《就业战略》和《年度国家就业计划》，这是保加利亚的一项无可争辩的成就。这些政策都确保在国家一级始终重视人口就业问题。这种方法和培训班的举办无疑促使决策者的心态、行政程序以及与社会伙伴、媒体和公众的协作发生变化。</w:t>
      </w:r>
    </w:p>
    <w:p w:rsidR="00D0166D" w:rsidRDefault="00D0166D" w:rsidP="00D0166D">
      <w:pPr>
        <w:pStyle w:val="SingleTxt"/>
        <w:rPr>
          <w:rFonts w:hint="eastAsia"/>
        </w:rPr>
      </w:pPr>
      <w:r>
        <w:rPr>
          <w:rFonts w:hint="eastAsia"/>
        </w:rPr>
        <w:t>186</w:t>
      </w:r>
      <w:r w:rsidR="00A907F4">
        <w:rPr>
          <w:rFonts w:hint="eastAsia"/>
        </w:rPr>
        <w:t xml:space="preserve">.  </w:t>
      </w:r>
      <w:r>
        <w:rPr>
          <w:rFonts w:hint="eastAsia"/>
        </w:rPr>
        <w:t>由于经济的发展，力推各项一般性和具体就业政策，限制劳动力市场和就业的歧视和社会排斥问题，经济活动、就业和失业规模以及缩小男女就业和失业率方面的差距发生了变化。近年来已通过制定增加就业，降低属于特定社会群体(老人、单身母亲等)中妇女的失业率的具体方案推行缩小经济活动、男女就业和失业规模差距的政策。</w:t>
      </w:r>
    </w:p>
    <w:p w:rsidR="00D0166D" w:rsidRDefault="00D0166D" w:rsidP="00D0166D">
      <w:pPr>
        <w:pStyle w:val="SingleTxt"/>
        <w:rPr>
          <w:rFonts w:hint="eastAsia"/>
        </w:rPr>
      </w:pPr>
      <w:r>
        <w:rPr>
          <w:rFonts w:hint="eastAsia"/>
        </w:rPr>
        <w:t>187</w:t>
      </w:r>
      <w:r w:rsidR="00A907F4">
        <w:rPr>
          <w:rFonts w:hint="eastAsia"/>
        </w:rPr>
        <w:t xml:space="preserve">.  </w:t>
      </w:r>
      <w:r>
        <w:rPr>
          <w:rFonts w:hint="eastAsia"/>
        </w:rPr>
        <w:t>妇女在保加利亚劳动力市场起着十分重要的作用，她们在就业领域占参加经济活动人口的比例以及她们在社会各行业和国民经济各部门的参与率可以表明这一点。目前妇女在国内正式就业人口中占45%，</w:t>
      </w:r>
      <w:r w:rsidR="009D036F">
        <w:rPr>
          <w:rStyle w:val="FootnoteReference"/>
        </w:rPr>
        <w:footnoteReference w:id="4"/>
      </w:r>
      <w:r w:rsidR="009D036F">
        <w:rPr>
          <w:vertAlign w:val="superscript"/>
        </w:rPr>
        <w:t xml:space="preserve"> </w:t>
      </w:r>
      <w:r>
        <w:rPr>
          <w:rFonts w:hint="eastAsia"/>
        </w:rPr>
        <w:t>实际上她们参与了所有经济活动和经济部门。2008年底妇女在国内15-64岁年龄组的就业率接近欧盟在《里斯本战略》中设定的妇女平均就业率目标：2010年为60%。</w:t>
      </w:r>
    </w:p>
    <w:p w:rsidR="00D0166D" w:rsidRDefault="00D0166D" w:rsidP="00D0166D">
      <w:pPr>
        <w:pStyle w:val="SingleTxt"/>
        <w:rPr>
          <w:rFonts w:hint="eastAsia"/>
        </w:rPr>
      </w:pPr>
      <w:r>
        <w:rPr>
          <w:rFonts w:hint="eastAsia"/>
        </w:rPr>
        <w:t>188</w:t>
      </w:r>
      <w:r w:rsidR="00A907F4">
        <w:rPr>
          <w:rFonts w:hint="eastAsia"/>
        </w:rPr>
        <w:t xml:space="preserve">.  </w:t>
      </w:r>
      <w:r>
        <w:rPr>
          <w:rFonts w:hint="eastAsia"/>
        </w:rPr>
        <w:t>保加利亚的经济活动水平和男女就业率同其他国家包括欧盟相比，差距并不大，不过呈逐步拉大趋势(第9-12要点)，尽管其经济活动和就业总比率在增长。2009年，大多数参加经济活动年龄(15-64岁)的妇女参加经济活动的比率为62.8%，而男性为72.8 %，就业率和失业率分别为69.2 %和59.6%。</w:t>
      </w:r>
      <w:r w:rsidR="009D036F">
        <w:rPr>
          <w:rStyle w:val="FootnoteReference"/>
        </w:rPr>
        <w:footnoteReference w:id="5"/>
      </w:r>
      <w:r>
        <w:rPr>
          <w:rFonts w:hint="eastAsia"/>
        </w:rPr>
        <w:t xml:space="preserve"> 某种程度上，造成这种差距是由于目前获得养恤金权的两性成员在年龄上有差距(2009年从5年到3年不等)。</w:t>
      </w:r>
    </w:p>
    <w:p w:rsidR="00D0166D" w:rsidRDefault="00D0166D" w:rsidP="00D0166D">
      <w:pPr>
        <w:pStyle w:val="SingleTxt"/>
        <w:rPr>
          <w:rFonts w:hint="eastAsia"/>
        </w:rPr>
      </w:pPr>
      <w:r>
        <w:rPr>
          <w:rFonts w:hint="eastAsia"/>
        </w:rPr>
        <w:t>189</w:t>
      </w:r>
      <w:r w:rsidR="00A907F4">
        <w:rPr>
          <w:rFonts w:hint="eastAsia"/>
        </w:rPr>
        <w:t xml:space="preserve">.  </w:t>
      </w:r>
      <w:r>
        <w:rPr>
          <w:rFonts w:hint="eastAsia"/>
        </w:rPr>
        <w:t>近年来，两性失业率大幅降低，2008年第四季度两性差距并不大(妇女为6.2%，男性为6.5%)。</w:t>
      </w:r>
    </w:p>
    <w:p w:rsidR="00D0166D" w:rsidRDefault="00D0166D" w:rsidP="00D0166D">
      <w:pPr>
        <w:pStyle w:val="SingleTxt"/>
        <w:rPr>
          <w:rFonts w:hint="eastAsia"/>
        </w:rPr>
      </w:pPr>
      <w:r>
        <w:rPr>
          <w:rFonts w:hint="eastAsia"/>
        </w:rPr>
        <w:t>190</w:t>
      </w:r>
      <w:r w:rsidR="00A907F4">
        <w:rPr>
          <w:rFonts w:hint="eastAsia"/>
        </w:rPr>
        <w:t xml:space="preserve">.  </w:t>
      </w:r>
      <w:r>
        <w:rPr>
          <w:rFonts w:hint="eastAsia"/>
        </w:rPr>
        <w:t>根据有效的国家立法，妇女退休年龄是55岁以上，这是女性失业率低的一个决定性因素，尤其是当前正在进行的养恤金改革，减少了两性退休年龄上的差异，虽不明显，但却大大提高了妇女获得养恤金的年龄。</w:t>
      </w:r>
    </w:p>
    <w:p w:rsidR="00D0166D" w:rsidRDefault="00D0166D" w:rsidP="00D0166D">
      <w:pPr>
        <w:pStyle w:val="SingleTxt"/>
        <w:rPr>
          <w:rFonts w:hint="eastAsia"/>
        </w:rPr>
      </w:pPr>
      <w:r>
        <w:rPr>
          <w:rFonts w:hint="eastAsia"/>
        </w:rPr>
        <w:t>191</w:t>
      </w:r>
      <w:r w:rsidR="00A907F4">
        <w:rPr>
          <w:rFonts w:hint="eastAsia"/>
        </w:rPr>
        <w:t xml:space="preserve">.  </w:t>
      </w:r>
      <w:r>
        <w:rPr>
          <w:rFonts w:hint="eastAsia"/>
        </w:rPr>
        <w:t>受过良好教育和职业培训的妇女在经济上更为活跃，更加主动积极地参加工作，在劳动力市场上的活动更为频繁。她们还更多地获得高薪就业机会。对受过高等教育的妇女尤其如此。教育水平不仅是经济活动和就业机会的一个重要因素，也是社会性别分工的一个重要因素。随着教育水平的提高，男女就业率的差距正在缩小，受过高等教育的妇女的就业率往往高于男性。自2003年以来，受到高等教育的妇女的就业率达到最高值(2007年第一季度为73.6%，而男性为71.7%，</w:t>
      </w:r>
      <w:r w:rsidRPr="00A907F4">
        <w:rPr>
          <w:rFonts w:hint="eastAsia"/>
          <w:spacing w:val="2"/>
        </w:rPr>
        <w:t>全国总就业率为52</w:t>
      </w:r>
      <w:r w:rsidR="00A907F4" w:rsidRPr="00A907F4">
        <w:rPr>
          <w:spacing w:val="2"/>
        </w:rPr>
        <w:t>.</w:t>
      </w:r>
      <w:r w:rsidRPr="00A907F4">
        <w:rPr>
          <w:rFonts w:hint="eastAsia"/>
          <w:spacing w:val="2"/>
        </w:rPr>
        <w:t>4%)。这期间大部分时间受过高等教育的两性的就业</w:t>
      </w:r>
      <w:r>
        <w:rPr>
          <w:rFonts w:hint="eastAsia"/>
        </w:rPr>
        <w:t>率差距小于1%，达到3.3%是例外情况，即就业率实际是平等的。</w:t>
      </w:r>
    </w:p>
    <w:p w:rsidR="00D0166D" w:rsidRDefault="00D0166D" w:rsidP="00D0166D">
      <w:pPr>
        <w:pStyle w:val="SingleTxt"/>
        <w:rPr>
          <w:rFonts w:hint="eastAsia"/>
        </w:rPr>
      </w:pPr>
      <w:r>
        <w:rPr>
          <w:rFonts w:hint="eastAsia"/>
        </w:rPr>
        <w:t>192</w:t>
      </w:r>
      <w:r w:rsidR="00A907F4">
        <w:rPr>
          <w:rFonts w:hint="eastAsia"/>
        </w:rPr>
        <w:t xml:space="preserve">.  </w:t>
      </w:r>
      <w:r>
        <w:rPr>
          <w:rFonts w:hint="eastAsia"/>
        </w:rPr>
        <w:t>分类调查证实，妇女的高等教育水平导致工作合同类型，职业保障和职业发展方面具有更多保障。同男性相比，教育在很大程度上对妇女而言是一个决定性因素。妇女受过更好的教育多数时候预先决定了妇女在有偿就业领域获得更好的工作，更多的保障。</w:t>
      </w:r>
    </w:p>
    <w:p w:rsidR="00D0166D" w:rsidRDefault="00D0166D" w:rsidP="00D0166D">
      <w:pPr>
        <w:pStyle w:val="SingleTxt"/>
        <w:rPr>
          <w:rFonts w:hint="eastAsia"/>
        </w:rPr>
      </w:pPr>
      <w:r>
        <w:rPr>
          <w:rFonts w:hint="eastAsia"/>
        </w:rPr>
        <w:t>193</w:t>
      </w:r>
      <w:r w:rsidR="00A907F4">
        <w:rPr>
          <w:rFonts w:hint="eastAsia"/>
        </w:rPr>
        <w:t xml:space="preserve">.  </w:t>
      </w:r>
      <w:r>
        <w:rPr>
          <w:rFonts w:hint="eastAsia"/>
        </w:rPr>
        <w:t>缩小两性就业差异的一个主要因素，是让更多的妇女进入劳动力市场，2008年以前经济的稳步增长以及执行相关政策对该领域产生的直接和间接影响起到了决定性作用。</w:t>
      </w:r>
    </w:p>
    <w:p w:rsidR="00D0166D" w:rsidRDefault="00D0166D" w:rsidP="00D0166D">
      <w:pPr>
        <w:pStyle w:val="SingleTxt"/>
        <w:rPr>
          <w:rFonts w:hint="eastAsia"/>
        </w:rPr>
      </w:pPr>
      <w:r>
        <w:rPr>
          <w:rFonts w:hint="eastAsia"/>
        </w:rPr>
        <w:t>194</w:t>
      </w:r>
      <w:r w:rsidR="00A907F4">
        <w:rPr>
          <w:rFonts w:hint="eastAsia"/>
        </w:rPr>
        <w:t xml:space="preserve">.  </w:t>
      </w:r>
      <w:r>
        <w:rPr>
          <w:rFonts w:hint="eastAsia"/>
        </w:rPr>
        <w:t>过去8年里，政府在《国家促进就业行动计划》框架内实施了各种具体措施和项目，以使保加利亚社会了解平等问题以及兼顾家庭和职业生活的问题。这些措施和项目旨在提高公众和雇主对两性平等原则的认识，从而消除就业方面的各种障碍。其他已实施的项目旨在推动在就业时可能遇到阻碍或可能难保工作的各群体进入劳动力市场(例如题为“鼓励妇女进行独立经济活动，从而提供儿童保育服务”以及“重返工作”等方案)。</w:t>
      </w:r>
    </w:p>
    <w:p w:rsidR="00D0166D" w:rsidRDefault="00D0166D" w:rsidP="00D0166D">
      <w:pPr>
        <w:pStyle w:val="SingleTxt"/>
        <w:rPr>
          <w:rFonts w:hint="eastAsia"/>
        </w:rPr>
      </w:pPr>
      <w:r>
        <w:rPr>
          <w:rFonts w:hint="eastAsia"/>
        </w:rPr>
        <w:t>195</w:t>
      </w:r>
      <w:r w:rsidR="00A907F4">
        <w:rPr>
          <w:rFonts w:hint="eastAsia"/>
        </w:rPr>
        <w:t xml:space="preserve">.  </w:t>
      </w:r>
      <w:r>
        <w:rPr>
          <w:rFonts w:hint="eastAsia"/>
        </w:rPr>
        <w:t>近年来实施了各种既定的政策和做法。2005年开始执行第一个《推动两性平等国家行动计划》，其各项措施的目的是增加妇女的经济活动(创业)，为妇女平等进入劳动力市场和获得有偿就业机会创造条件。国家职业介绍所实施了增强妇女在劳动力市场上经济活动的项目，例如：“儿童家庭中心”项目，“支持母亲”国家计划，“残疾人助手”计划、“退休支助”国家计划等。为劳动力市场高危群体妇女(青年妇女、照顾残疾儿童的父母，50岁以上妇女)参加职业资历和再培训课程提供机会，以提高她们的就业能力，包括自营职业的能力。</w:t>
      </w:r>
    </w:p>
    <w:p w:rsidR="00D0166D" w:rsidRDefault="00D0166D" w:rsidP="00D0166D">
      <w:pPr>
        <w:pStyle w:val="SingleTxt"/>
        <w:rPr>
          <w:rFonts w:hint="eastAsia"/>
        </w:rPr>
      </w:pPr>
      <w:r>
        <w:rPr>
          <w:rFonts w:hint="eastAsia"/>
        </w:rPr>
        <w:t>196</w:t>
      </w:r>
      <w:r w:rsidR="00A907F4">
        <w:rPr>
          <w:rFonts w:hint="eastAsia"/>
        </w:rPr>
        <w:t xml:space="preserve">.  </w:t>
      </w:r>
      <w:r>
        <w:rPr>
          <w:rFonts w:hint="eastAsia"/>
        </w:rPr>
        <w:t>妇女仍集中在有限的活动领域，特别是在教育和医疗部门、裁缝业，这些行业的薪酬低于全国平均水平。男性往往在扩大的制造业和建筑业工作，相对而言，这些行业创造了更多工作和职业，并且薪酬较高。受过高等教育的妇女多数从事技能要求相对较低的活动，薪水较少，通常提供的培训和资历更为有限。</w:t>
      </w:r>
      <w:r w:rsidR="009D036F">
        <w:rPr>
          <w:rStyle w:val="FootnoteReference"/>
        </w:rPr>
        <w:footnoteReference w:id="6"/>
      </w:r>
      <w:r>
        <w:rPr>
          <w:rFonts w:hint="eastAsia"/>
        </w:rPr>
        <w:t xml:space="preserve"> </w:t>
      </w:r>
    </w:p>
    <w:p w:rsidR="00D0166D" w:rsidRDefault="00D0166D" w:rsidP="00D0166D">
      <w:pPr>
        <w:pStyle w:val="SingleTxt"/>
        <w:rPr>
          <w:rFonts w:hint="eastAsia"/>
        </w:rPr>
      </w:pPr>
      <w:r>
        <w:rPr>
          <w:rFonts w:hint="eastAsia"/>
        </w:rPr>
        <w:t>197</w:t>
      </w:r>
      <w:r w:rsidR="00A907F4">
        <w:rPr>
          <w:rFonts w:hint="eastAsia"/>
        </w:rPr>
        <w:t xml:space="preserve">.  </w:t>
      </w:r>
      <w:r>
        <w:rPr>
          <w:rFonts w:hint="eastAsia"/>
        </w:rPr>
        <w:t xml:space="preserve"> 有效立法规定同工同酬或工作价值相同，其假设是两性在工作场所(职能或职位)获得的薪酬不应有任何区别，这要求工作在复杂性、责任上相同，且要求同等程度的教育和职业资格和表现。薪酬制度、制定和分配薪酬的规则，包括全国和某些组织存在的补助金和奖励(奖金)，并未规定性别方面存在薪酬差异。这一点同样适用于集体协议和个人聘用合同。</w:t>
      </w:r>
    </w:p>
    <w:p w:rsidR="00D0166D" w:rsidRDefault="00D0166D" w:rsidP="00D0166D">
      <w:pPr>
        <w:pStyle w:val="SingleTxt"/>
        <w:rPr>
          <w:rFonts w:hint="eastAsia"/>
        </w:rPr>
      </w:pPr>
      <w:r>
        <w:rPr>
          <w:rFonts w:hint="eastAsia"/>
        </w:rPr>
        <w:t>198</w:t>
      </w:r>
      <w:r w:rsidR="00A907F4">
        <w:rPr>
          <w:rFonts w:hint="eastAsia"/>
        </w:rPr>
        <w:t xml:space="preserve">.  </w:t>
      </w:r>
      <w:r>
        <w:rPr>
          <w:rFonts w:hint="eastAsia"/>
        </w:rPr>
        <w:t>官方统计数字显示，男女失业率差异并不大，不过，这种差异由于妇女的年龄、家庭状况和教育而较为明显。总体而言，妇女失业率高于男性，但这个差异主要反映在受教育水平较低的妇女、离婚妇女和单身母亲身上。</w:t>
      </w:r>
      <w:r w:rsidR="009D036F">
        <w:rPr>
          <w:rStyle w:val="FootnoteReference"/>
        </w:rPr>
        <w:footnoteReference w:id="7"/>
      </w:r>
      <w:r>
        <w:rPr>
          <w:rFonts w:hint="eastAsia"/>
        </w:rPr>
        <w:t xml:space="preserve"> 这个群体由于要照顾孩子和家庭，因此难以谋职或找到工作。全国灵活就业制度发展水平滞后，大城市和其他地方缺少儿童日托设施，这也影响了妇女就业。由于同样的原因，在暂时退出劳动力市场的无工作人口中，妇女的比例要大于男性。</w:t>
      </w:r>
    </w:p>
    <w:p w:rsidR="00D0166D" w:rsidRDefault="00D0166D" w:rsidP="00D0166D">
      <w:pPr>
        <w:pStyle w:val="SingleTxt"/>
        <w:rPr>
          <w:rFonts w:hint="eastAsia"/>
        </w:rPr>
      </w:pPr>
      <w:r>
        <w:rPr>
          <w:rFonts w:hint="eastAsia"/>
        </w:rPr>
        <w:t>199</w:t>
      </w:r>
      <w:r w:rsidR="00A907F4">
        <w:rPr>
          <w:rFonts w:hint="eastAsia"/>
        </w:rPr>
        <w:t xml:space="preserve">.  </w:t>
      </w:r>
      <w:r>
        <w:rPr>
          <w:rFonts w:hint="eastAsia"/>
        </w:rPr>
        <w:t>政府推行的兼顾职业和家庭的政策鼓励发展灵活的就业形式，为儿童保育提供服务，照顾受抚养的家庭成员。</w:t>
      </w:r>
    </w:p>
    <w:p w:rsidR="00D0166D" w:rsidRDefault="00D0166D" w:rsidP="00D0166D">
      <w:pPr>
        <w:pStyle w:val="SingleTxt"/>
        <w:rPr>
          <w:rFonts w:hint="eastAsia"/>
        </w:rPr>
      </w:pPr>
      <w:r>
        <w:rPr>
          <w:rFonts w:hint="eastAsia"/>
        </w:rPr>
        <w:t>200</w:t>
      </w:r>
      <w:r w:rsidR="00A907F4">
        <w:rPr>
          <w:rFonts w:hint="eastAsia"/>
        </w:rPr>
        <w:t xml:space="preserve">.  </w:t>
      </w:r>
      <w:r>
        <w:rPr>
          <w:rFonts w:hint="eastAsia"/>
        </w:rPr>
        <w:t>根据有效的国内立法，父亲同样有资格享受儿童保育假，但社会实践仍十分不同。另外，还实行了所谓的“育儿假”。2008年12月17日通过了对立法的主要修改，2009年1月1日起生效，从中可以看到以下几点：育儿假为315天至410天(其中分娩前为45天)，这期间怀孕和分娩仍可领取薪水；如果参加了一般性疾病和生育社会保险，父亲也可享受休假，在儿童满6个月后，父亲可代替母亲休完410日历天剩余的育儿假，在此期间可领取现金补贴。不过，要享受育儿假并按计算数额领取怀孕和分娩现金补贴，需要缴纳社会保险金，缴纳期限从6个月增加到12个月。</w:t>
      </w:r>
    </w:p>
    <w:p w:rsidR="00D0166D" w:rsidRDefault="00D0166D" w:rsidP="00D0166D">
      <w:pPr>
        <w:pStyle w:val="SingleTxt"/>
        <w:rPr>
          <w:rFonts w:hint="eastAsia"/>
        </w:rPr>
      </w:pPr>
      <w:r>
        <w:rPr>
          <w:rFonts w:hint="eastAsia"/>
        </w:rPr>
        <w:t>201</w:t>
      </w:r>
      <w:r w:rsidR="00A907F4">
        <w:rPr>
          <w:rFonts w:hint="eastAsia"/>
        </w:rPr>
        <w:t xml:space="preserve">.  </w:t>
      </w:r>
      <w:r>
        <w:rPr>
          <w:rFonts w:hint="eastAsia"/>
        </w:rPr>
        <w:t>为了促进男女在育儿上平等享有社会保险权利，为参加社会保险的父亲制定了鼓励措施，使他们更积极履行育儿承诺，让参加社会保险的父母亲更好地兼顾职业和家庭。自2009年1月1日起，参加一般性疾病和生育社会保险的父亲有权使用从孩子在妇产科医院出生之日算起的15天假期，并可领取产后公共社会保险津贴，这是为了鼓励父亲在孩子出生后进一步担负起照顾孩子的责任。这方面的改革是克服性别陈规定型观念的重要一步。上述规定扩大了这项权利，因此与母亲不是配偶关系而是事实夫妻关系并同居的父亲同样享有规定的假期和福利。照顾的对象是孩子，至于孩子是已婚夫妇还是实际同居情侣所生并不重要。</w:t>
      </w:r>
    </w:p>
    <w:p w:rsidR="00D0166D" w:rsidRDefault="00D0166D" w:rsidP="00D0166D">
      <w:pPr>
        <w:pStyle w:val="SingleTxt"/>
        <w:rPr>
          <w:rFonts w:hint="eastAsia"/>
        </w:rPr>
      </w:pPr>
      <w:r>
        <w:rPr>
          <w:rFonts w:hint="eastAsia"/>
        </w:rPr>
        <w:t>202</w:t>
      </w:r>
      <w:r w:rsidR="00A907F4">
        <w:rPr>
          <w:rFonts w:hint="eastAsia"/>
        </w:rPr>
        <w:t xml:space="preserve">.  </w:t>
      </w:r>
      <w:r>
        <w:rPr>
          <w:rFonts w:hint="eastAsia"/>
        </w:rPr>
        <w:t>2009年修改了《防止歧视法》，介绍了妊娠、分娩、收养子女的妇女的权利，在孩子2岁前享有假期或育儿假，享有休假前的同等地位，或者在规定时限内休假结束时享有另一个同等职位，其待遇没有降低，并享有休假期间本应享有的工作环境改善带来的惠益(适用男女机会平等、待遇相同的原则)。同样的原则适用于接受体外受孕程序的妇女。</w:t>
      </w:r>
    </w:p>
    <w:p w:rsidR="00D0166D" w:rsidRDefault="00D0166D" w:rsidP="00D0166D">
      <w:pPr>
        <w:pStyle w:val="SingleTxt"/>
        <w:rPr>
          <w:rFonts w:hint="eastAsia"/>
        </w:rPr>
      </w:pPr>
      <w:r>
        <w:rPr>
          <w:rFonts w:hint="eastAsia"/>
        </w:rPr>
        <w:t>203</w:t>
      </w:r>
      <w:r w:rsidR="00A907F4">
        <w:rPr>
          <w:rFonts w:hint="eastAsia"/>
        </w:rPr>
        <w:t xml:space="preserve">.  </w:t>
      </w:r>
      <w:r>
        <w:rPr>
          <w:rFonts w:hint="eastAsia"/>
        </w:rPr>
        <w:t>父亲还享有同样的权利，即陪产假和/或收养假和育儿假，直到孩子2岁。假期期满之后，父亲有权返回工作岗位或依据条件和待遇未降低的程序返回同等职位，并享有缺席期间本应享有的任何工作条件改善带来的福利。</w:t>
      </w:r>
    </w:p>
    <w:p w:rsidR="00D0166D" w:rsidRDefault="00D0166D" w:rsidP="00D0166D">
      <w:pPr>
        <w:pStyle w:val="SingleTxt"/>
        <w:rPr>
          <w:rFonts w:hint="eastAsia"/>
        </w:rPr>
      </w:pPr>
      <w:r>
        <w:rPr>
          <w:rFonts w:hint="eastAsia"/>
        </w:rPr>
        <w:t>204</w:t>
      </w:r>
      <w:r w:rsidR="00A907F4">
        <w:rPr>
          <w:rFonts w:hint="eastAsia"/>
        </w:rPr>
        <w:t xml:space="preserve">.  </w:t>
      </w:r>
      <w:r>
        <w:rPr>
          <w:rFonts w:hint="eastAsia"/>
        </w:rPr>
        <w:t>劳动和社会政策部与国家就业机构、社会保障机构和国家儿童保护机构联合采取措施，推动育儿或照顾受抚养家庭成员的父母采取灵活的就业形式。增加并扩大了有效计划“个人工作人员”、“社会工作人员”、“新就业社会服务”项目以及“儿童家庭中心”项目的范围，从而便于妇女返回并参加有偿就业，同时降低某些妇女群体的失业率。</w:t>
      </w:r>
    </w:p>
    <w:p w:rsidR="00D0166D" w:rsidRDefault="00D0166D" w:rsidP="00D0166D">
      <w:pPr>
        <w:pStyle w:val="SingleTxt"/>
        <w:rPr>
          <w:rFonts w:hint="eastAsia"/>
        </w:rPr>
      </w:pPr>
      <w:r>
        <w:rPr>
          <w:rFonts w:hint="eastAsia"/>
        </w:rPr>
        <w:t>205</w:t>
      </w:r>
      <w:r w:rsidR="00A907F4">
        <w:rPr>
          <w:rFonts w:hint="eastAsia"/>
        </w:rPr>
        <w:t xml:space="preserve">.  </w:t>
      </w:r>
      <w:r>
        <w:rPr>
          <w:rFonts w:hint="eastAsia"/>
        </w:rPr>
        <w:t>2000-2008年经济高速稳定增长，就业增加，而失业率大幅减少(从1990年代末的19%降低到2008年末的不到6%)，同时在社会范围内实施改革，通过各种决定以增加养恤金——总体上更大幅度地提高了某些群体的养恤金，这些有助于缩小全国贫困范围和规模，减少社会排斥现象。</w:t>
      </w:r>
    </w:p>
    <w:p w:rsidR="00D0166D" w:rsidRDefault="00D0166D" w:rsidP="00D0166D">
      <w:pPr>
        <w:pStyle w:val="SingleTxt"/>
        <w:rPr>
          <w:rFonts w:hint="eastAsia"/>
        </w:rPr>
      </w:pPr>
      <w:r>
        <w:rPr>
          <w:rFonts w:hint="eastAsia"/>
        </w:rPr>
        <w:t>206</w:t>
      </w:r>
      <w:r w:rsidR="00A907F4">
        <w:rPr>
          <w:rFonts w:hint="eastAsia"/>
        </w:rPr>
        <w:t xml:space="preserve">.  </w:t>
      </w:r>
      <w:r>
        <w:rPr>
          <w:rFonts w:hint="eastAsia"/>
        </w:rPr>
        <w:t>尽管取得了这些成就，男女在收入和贫困程度上仍存在差异，一些群体的差异尤其大。他们包括在业人员、养恤金领取人以及老人。这些差异在很大程度上是由于目前或之前的工作、所从事工作的薪酬水平造成的。就全国平均水平而言，2006年10月妇女的月薪比男性低22.8%。</w:t>
      </w:r>
      <w:r w:rsidR="00850879">
        <w:rPr>
          <w:rStyle w:val="FootnoteReference"/>
        </w:rPr>
        <w:footnoteReference w:id="8"/>
      </w:r>
      <w:r>
        <w:rPr>
          <w:rFonts w:hint="eastAsia"/>
        </w:rPr>
        <w:t xml:space="preserve"> 薪酬低预示着妇女领取的养恤金较低。由于工作年限较短，妇女比男性更早退休，这也导致妇女中贫穷者更多。</w:t>
      </w:r>
    </w:p>
    <w:p w:rsidR="00D0166D" w:rsidRDefault="00D0166D" w:rsidP="00A907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第十二条 </w:t>
      </w:r>
    </w:p>
    <w:p w:rsidR="00A907F4" w:rsidRPr="00A907F4" w:rsidRDefault="00A907F4" w:rsidP="00A907F4">
      <w:pPr>
        <w:pStyle w:val="SingleTxt"/>
        <w:spacing w:after="0" w:line="120" w:lineRule="exact"/>
        <w:rPr>
          <w:rFonts w:hint="eastAsia"/>
          <w:sz w:val="10"/>
        </w:rPr>
      </w:pPr>
    </w:p>
    <w:p w:rsidR="00D0166D" w:rsidRDefault="00D0166D" w:rsidP="00D0166D">
      <w:pPr>
        <w:pStyle w:val="SingleTxt"/>
        <w:rPr>
          <w:rFonts w:hint="eastAsia"/>
        </w:rPr>
      </w:pPr>
      <w:r>
        <w:rPr>
          <w:rFonts w:hint="eastAsia"/>
        </w:rPr>
        <w:t>207</w:t>
      </w:r>
      <w:r w:rsidR="00A907F4">
        <w:rPr>
          <w:rFonts w:hint="eastAsia"/>
        </w:rPr>
        <w:t xml:space="preserve">.  </w:t>
      </w:r>
      <w:r>
        <w:rPr>
          <w:rFonts w:hint="eastAsia"/>
        </w:rPr>
        <w:t>《保加利亚共和国宪法》申明，根据条件和法律规定的程序，男女公民有权享受能保障他们获得负担得起的医疗救护的医疗保险，并有权享有免费的医疗服务(第五十二条第1款)。医疗费用由国家预算、雇主、个人或集体社会保障费以及其他资源提供(第五十二条第2款)。</w:t>
      </w:r>
    </w:p>
    <w:p w:rsidR="00D0166D" w:rsidRDefault="00D0166D" w:rsidP="00D0166D">
      <w:pPr>
        <w:pStyle w:val="SingleTxt"/>
        <w:rPr>
          <w:rFonts w:hint="eastAsia"/>
        </w:rPr>
      </w:pPr>
      <w:r>
        <w:rPr>
          <w:rFonts w:hint="eastAsia"/>
        </w:rPr>
        <w:t>208</w:t>
      </w:r>
      <w:r w:rsidR="00A907F4">
        <w:rPr>
          <w:rFonts w:hint="eastAsia"/>
        </w:rPr>
        <w:t xml:space="preserve">.  </w:t>
      </w:r>
      <w:r>
        <w:rPr>
          <w:rFonts w:hint="eastAsia"/>
        </w:rPr>
        <w:t>保加利亚正在进行医疗制度改革。近些年，它通过了有关医疗工作的全新法律和一系列战略文件及道德规则。《卫生法》(2004年)通过适用一系列原则，将保护公民健康确定为一项国家优先事项，包括公平获得医疗服务原则。本法列述了病患者的权利，包括获得负担得起的医疗救护(第八十一条第1款)；不论性别、性取向和其他事由，获得平等治疗的权利(第八十五条)，可获得的优质医疗服务；获得有关疾病预断、诊断和治疗的第二次医疗意见的权利；保护令人担心的健康状况(第八十六条)；知情同意的权利(第八十七条)等。</w:t>
      </w:r>
    </w:p>
    <w:p w:rsidR="00D0166D" w:rsidRDefault="00D0166D" w:rsidP="00D0166D">
      <w:pPr>
        <w:pStyle w:val="SingleTxt"/>
        <w:rPr>
          <w:rFonts w:hint="eastAsia"/>
        </w:rPr>
      </w:pPr>
      <w:r>
        <w:rPr>
          <w:rFonts w:hint="eastAsia"/>
        </w:rPr>
        <w:t>209</w:t>
      </w:r>
      <w:r w:rsidR="00A907F4">
        <w:rPr>
          <w:rFonts w:hint="eastAsia"/>
        </w:rPr>
        <w:t xml:space="preserve">.  </w:t>
      </w:r>
      <w:r>
        <w:rPr>
          <w:rFonts w:hint="eastAsia"/>
        </w:rPr>
        <w:t>《医疗保险法》(1998年)把医疗保险引入非医院医疗机构，并于2001年将医院部门也包括在内。国家医疗保险基金是保加利亚唯一一家实行强制性医疗保险的机构。公民还可在私人医疗保险基金办理补充保险。强制性保费根据工资比例计算得出，由雇主和雇员公平分担(各方缴纳3%)。自营职业者自行缴纳其医疗保险费，养恤金领取者、不满18岁的儿童、学生和社管机构人员的保险费由国家或市政当局承担。所有保加利亚公民都要参加强制性保险，这类保险涵盖一整套医疗服务，由国家医疗保险基金负担。</w:t>
      </w:r>
    </w:p>
    <w:p w:rsidR="00D0166D" w:rsidRDefault="00D0166D" w:rsidP="00D0166D">
      <w:pPr>
        <w:pStyle w:val="SingleTxt"/>
        <w:rPr>
          <w:rFonts w:hint="eastAsia"/>
        </w:rPr>
      </w:pPr>
      <w:r>
        <w:rPr>
          <w:rFonts w:hint="eastAsia"/>
        </w:rPr>
        <w:t>210</w:t>
      </w:r>
      <w:r w:rsidR="00A907F4">
        <w:rPr>
          <w:rFonts w:hint="eastAsia"/>
        </w:rPr>
        <w:t xml:space="preserve">.  </w:t>
      </w:r>
      <w:r>
        <w:rPr>
          <w:rFonts w:hint="eastAsia"/>
        </w:rPr>
        <w:t>已在非医院护理机构引入了普通医师制度。普通医师是初级医疗服务的主要提供者，以个人或集体开业的形式提供医疗服务。</w:t>
      </w:r>
    </w:p>
    <w:p w:rsidR="00D0166D" w:rsidRDefault="00D0166D" w:rsidP="00D0166D">
      <w:pPr>
        <w:pStyle w:val="SingleTxt"/>
        <w:rPr>
          <w:rFonts w:hint="eastAsia"/>
        </w:rPr>
      </w:pPr>
      <w:r>
        <w:rPr>
          <w:rFonts w:hint="eastAsia"/>
        </w:rPr>
        <w:t>211</w:t>
      </w:r>
      <w:r w:rsidR="00A907F4">
        <w:rPr>
          <w:rFonts w:hint="eastAsia"/>
        </w:rPr>
        <w:t xml:space="preserve">.  </w:t>
      </w:r>
      <w:r>
        <w:rPr>
          <w:rFonts w:hint="eastAsia"/>
        </w:rPr>
        <w:t>随着强制性医疗保险模式的引入和国家医疗保险基金的成立，直到2005年，为医疗服务提供的资金一直由国家医疗保险基金和行政部门预算共同承担，且基金所占比例稳步增加。目前，保加利亚医疗体系的资金主要来自公共资源，医疗保险缴费率相对较低(6%)。国家在医疗方面的预算支出每年约占国内生产总值的4%(2009年为4.2%)。重新确认并加快从预算资助转向根据医疗保险原则的资助，这已成为一种趋势。为加强对医疗体系的资助，计划提高医疗保险缴费率，发展自愿医疗保险和增加医疗方面的公共支出等。</w:t>
      </w:r>
    </w:p>
    <w:p w:rsidR="00D0166D" w:rsidRDefault="00D0166D" w:rsidP="00D0166D">
      <w:pPr>
        <w:pStyle w:val="SingleTxt"/>
        <w:rPr>
          <w:rFonts w:hint="eastAsia"/>
        </w:rPr>
      </w:pPr>
      <w:r>
        <w:rPr>
          <w:rFonts w:hint="eastAsia"/>
        </w:rPr>
        <w:t>212</w:t>
      </w:r>
      <w:r w:rsidR="00A907F4">
        <w:rPr>
          <w:rFonts w:hint="eastAsia"/>
        </w:rPr>
        <w:t xml:space="preserve">.  </w:t>
      </w:r>
      <w:r>
        <w:rPr>
          <w:rFonts w:hint="eastAsia"/>
        </w:rPr>
        <w:t>政府承认迫切需要改善保加利亚医疗状况。《国家卫生战略》(2008-2013年)和其他部门政策都以全面更新卫生政策为主题，卫生战略和政策是根据以下战略文件制定的：</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《保加利亚共和国国家人口战略》(2006-2020年)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《少数民族弱势成员健康战略》</w:t>
      </w:r>
      <w:r>
        <w:rPr>
          <w:rStyle w:val="FootnoteReference"/>
        </w:rPr>
        <w:footnoteReference w:id="9"/>
      </w:r>
      <w:r w:rsidR="00D0166D">
        <w:rPr>
          <w:rFonts w:hint="eastAsia"/>
        </w:rPr>
        <w:t xml:space="preserve"> </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《控制骨质疏松症国家方案》(2006-2016年)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《保加利亚共和国毒瘾预防、治疗和康复国家方案》(2001-2005年)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《预防遗传病、素质和先天性畸形国家方案》(2000-2005年)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《国家禁毒战略》(2003-2008年)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《国家儿童战略》(2008-2018年)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《保加利亚共和国社会保护与社会包容战略国家报告》(2008-2010年)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《保加利亚共和国心理健康政策》(2004-2012年)</w:t>
      </w:r>
    </w:p>
    <w:p w:rsidR="00D0166D" w:rsidRDefault="00071487" w:rsidP="00071487">
      <w:pPr>
        <w:pStyle w:val="SingleTxt"/>
        <w:ind w:left="2126" w:hanging="431"/>
        <w:rPr>
          <w:rFonts w:hint="eastAsia"/>
        </w:rPr>
      </w:pPr>
      <w:r>
        <w:rPr>
          <w:rFonts w:hint="eastAsia"/>
        </w:rPr>
        <w:sym w:font="Symbol" w:char="F0B7"/>
      </w:r>
      <w:r>
        <w:tab/>
      </w:r>
      <w:r w:rsidR="00D0166D">
        <w:rPr>
          <w:rFonts w:hint="eastAsia"/>
        </w:rPr>
        <w:t>《执行心理健康政策国家行动计划》(2006-2012年)等。</w:t>
      </w:r>
    </w:p>
    <w:p w:rsidR="00D0166D" w:rsidRDefault="00D0166D" w:rsidP="00D0166D">
      <w:pPr>
        <w:pStyle w:val="SingleTxt"/>
        <w:rPr>
          <w:rFonts w:hint="eastAsia"/>
        </w:rPr>
      </w:pPr>
      <w:r>
        <w:rPr>
          <w:rFonts w:hint="eastAsia"/>
        </w:rPr>
        <w:t>213</w:t>
      </w:r>
      <w:r w:rsidR="00A907F4">
        <w:rPr>
          <w:rFonts w:hint="eastAsia"/>
        </w:rPr>
        <w:t xml:space="preserve">.  </w:t>
      </w:r>
      <w:r>
        <w:rPr>
          <w:rFonts w:hint="eastAsia"/>
        </w:rPr>
        <w:t>强制性医疗保险和选择全科医师保障妇女能够获得医疗服务。参加医疗保险的妇女能够获得一系列基本的医疗服务，费用由国家医疗保险基金承担，其中包括：由医生和牙医实施的疾病预防和早期检查程序；疾病临床诊断与治疗方面的非医院和医院医疗服务；医疗康复；急救护理；怀孕、生育和产假医护；治疗性流产和终止强奸所致怀孕的流产；牙科和牙科例行护理；家庭医疗护理；可用药品的开方和配给，提供国内家庭治疗服务等。通常情况下，这套服务包括基本检查和化验，患者如需进行更复杂的检查和化验，还需另付费用。如未缴纳或未定期缴纳医疗保险费，在获得医疗服务时就会出现问题，这可能是很多情况造成的结果：持续失业、在未缴纳医疗保险费的灰色部门供职、缺少信息等。未参保妇女可获得以下由国家提供保障、行政预算负担的急救护理：利用行政预算拨款为未参保妇女提供产科护理服务；精神病住院治疗；提供血液和血液制品；器官、组织和细胞移植；强制治疗和/或强制隔离；残疾和永久丧失工作能力程度的专家检查；根据卫生部长确定的程序支付疾病治疗费和药费；提供医疗运送服务。</w:t>
      </w:r>
    </w:p>
    <w:p w:rsidR="00D0166D" w:rsidRDefault="00D0166D" w:rsidP="00D0166D">
      <w:pPr>
        <w:pStyle w:val="SingleTxt"/>
        <w:rPr>
          <w:rFonts w:hint="eastAsia"/>
        </w:rPr>
      </w:pPr>
      <w:r>
        <w:rPr>
          <w:rFonts w:hint="eastAsia"/>
        </w:rPr>
        <w:t>214</w:t>
      </w:r>
      <w:r w:rsidR="00A907F4">
        <w:rPr>
          <w:rFonts w:hint="eastAsia"/>
        </w:rPr>
        <w:t xml:space="preserve">.  </w:t>
      </w:r>
      <w:r>
        <w:rPr>
          <w:rFonts w:hint="eastAsia"/>
        </w:rPr>
        <w:t>向妇女提供的医疗服务的质量获得以下文书的保障：医学标准(到2009年，卫生部长批准了25项标准)，临床路径，诊断-治疗方案和医疗图表，医疗机构资格认定。卫生部长批准的以下领域的标准与妇女医疗护理质量明确相关：妇产科(2008年)、新生儿科(2003年)和辅助生殖(2007年)。</w:t>
      </w:r>
    </w:p>
    <w:p w:rsidR="00D0166D" w:rsidRDefault="00D0166D" w:rsidP="00D0166D">
      <w:pPr>
        <w:pStyle w:val="SingleTxt"/>
        <w:rPr>
          <w:rFonts w:hint="eastAsia"/>
        </w:rPr>
      </w:pPr>
      <w:r>
        <w:rPr>
          <w:rFonts w:hint="eastAsia"/>
        </w:rPr>
        <w:t>215</w:t>
      </w:r>
      <w:r w:rsidR="00A907F4">
        <w:rPr>
          <w:rFonts w:hint="eastAsia"/>
        </w:rPr>
        <w:t xml:space="preserve">.  </w:t>
      </w:r>
      <w:r>
        <w:rPr>
          <w:rFonts w:hint="eastAsia"/>
        </w:rPr>
        <w:t>近些年登记的总发病率高达13‰左右(2002年为13.36‰)。造成这种情况的原因是无法连续获得医疗服务和医疗服务质量低下，以及生活方式不健康。</w:t>
      </w:r>
    </w:p>
    <w:p w:rsidR="00D0166D" w:rsidRDefault="00D0166D" w:rsidP="00D0166D">
      <w:pPr>
        <w:pStyle w:val="SingleTxt"/>
        <w:rPr>
          <w:rFonts w:hint="eastAsia"/>
        </w:rPr>
      </w:pPr>
      <w:r>
        <w:rPr>
          <w:rFonts w:hint="eastAsia"/>
        </w:rPr>
        <w:t>216</w:t>
      </w:r>
      <w:r w:rsidR="00A907F4">
        <w:rPr>
          <w:rFonts w:hint="eastAsia"/>
        </w:rPr>
        <w:t xml:space="preserve">.  </w:t>
      </w:r>
      <w:r>
        <w:rPr>
          <w:rFonts w:hint="eastAsia"/>
        </w:rPr>
        <w:t>国家统计研究所和卫生部国家卫生信息中心的年度参考出版物列举了这方面更重要的因素：不平衡的食物摄取、吸食烟草产品、减少体育运动和未达到法定年龄的饮酒者人数不断增加。在某些年龄组中体重不足是普遍现象，尤其是19-30岁的年轻女性(16.8%)和10-14岁的女孩(9-4%)。</w:t>
      </w:r>
      <w:r w:rsidR="00850879">
        <w:rPr>
          <w:rStyle w:val="FootnoteReference"/>
        </w:rPr>
        <w:footnoteReference w:id="10"/>
      </w:r>
      <w:r>
        <w:rPr>
          <w:rFonts w:hint="eastAsia"/>
        </w:rPr>
        <w:t xml:space="preserve"> 同时，超重和肥胖在成年人和儿童中十分普遍，这多是由于不健康的食品摄入和缺乏锻炼所致。儿童超重是一个严重问题，但已显示出良好的下降态势，特别是在女孩中。烟草产品的消费量不断上升。在上个十年间，经常吸烟者的比例提高，特别是在女性和年轻人中。保加利亚约有300万烟民，超过三分之二的儿童受到二手烟的侵害。专家评估显示，约有280 000-300 000名保加利亚人是积重难返的酒徒。青少年饮酒人数不断增加，首次饮酒年龄已降至12.5岁。为预防儿童饮酒和抽烟，已经采取了一些立法措施，如禁止向未满18岁者出售此类产品，包括对出售酒精饮料刑事定罪(《刑法》第193条)。</w:t>
      </w:r>
    </w:p>
    <w:p w:rsidR="00D0166D" w:rsidRDefault="00D0166D" w:rsidP="00D0166D">
      <w:pPr>
        <w:pStyle w:val="SingleTxt"/>
        <w:rPr>
          <w:rFonts w:hint="eastAsia"/>
        </w:rPr>
      </w:pPr>
      <w:r>
        <w:rPr>
          <w:rFonts w:hint="eastAsia"/>
        </w:rPr>
        <w:t>217</w:t>
      </w:r>
      <w:r w:rsidR="00A907F4">
        <w:rPr>
          <w:rFonts w:hint="eastAsia"/>
        </w:rPr>
        <w:t xml:space="preserve">.  </w:t>
      </w:r>
      <w:r>
        <w:rPr>
          <w:rFonts w:hint="eastAsia"/>
        </w:rPr>
        <w:t>女性发病的主要原因是：循环系统疾病；瘤，包括恶性肿瘤；呼吸系统疾病；消化系统疾病，内分泌、营养和代谢疾病，以及免疫机能紊乱，女性整体的发病率低于男性。</w:t>
      </w:r>
    </w:p>
    <w:p w:rsidR="00850879" w:rsidRDefault="00D0166D" w:rsidP="00D0166D">
      <w:pPr>
        <w:pStyle w:val="SingleTxt"/>
      </w:pPr>
      <w:r>
        <w:rPr>
          <w:rFonts w:hint="eastAsia"/>
        </w:rPr>
        <w:t>218</w:t>
      </w:r>
      <w:r w:rsidR="00A907F4">
        <w:rPr>
          <w:rFonts w:hint="eastAsia"/>
        </w:rPr>
        <w:t xml:space="preserve">.  </w:t>
      </w:r>
      <w:r>
        <w:rPr>
          <w:rFonts w:hint="eastAsia"/>
        </w:rPr>
        <w:t>登记的活动性结核病例数量不断增加(从1990年的106例/100 000人增加到2004年的145例/100 000人)。尤其令人担忧的是该指标在未满17岁的儿童中呈上升趋势。恶性肿瘤在女性中的流行率和发生率也在不断上升(从2000年的297例/100 000名妇女增加到2007年的383例/100 000名妇女)。精神疾病发生率从1990年的2 656.7例/100 000人增加到2004年的2 892.1人/100 000人。2007年，该指标有所下降：2 255.0例/100 000人。</w:t>
      </w:r>
    </w:p>
    <w:p w:rsidR="00D0166D" w:rsidRDefault="00D0166D" w:rsidP="00D0166D">
      <w:pPr>
        <w:pStyle w:val="SingleTxt"/>
        <w:rPr>
          <w:rFonts w:hint="eastAsia"/>
        </w:rPr>
      </w:pPr>
      <w:r>
        <w:rPr>
          <w:rFonts w:hint="eastAsia"/>
        </w:rPr>
        <w:t>219</w:t>
      </w:r>
      <w:r w:rsidR="00A907F4">
        <w:rPr>
          <w:rFonts w:hint="eastAsia"/>
        </w:rPr>
        <w:t xml:space="preserve">.  </w:t>
      </w:r>
      <w:r>
        <w:rPr>
          <w:rFonts w:hint="eastAsia"/>
        </w:rPr>
        <w:t>女性死亡率低于男性。在外部原因致死(意外、事件)方面，性别差距尤为显著，男性死亡率高出女性几倍。</w:t>
      </w:r>
    </w:p>
    <w:p w:rsidR="00D0166D" w:rsidRDefault="00D0166D" w:rsidP="00D0166D">
      <w:pPr>
        <w:pStyle w:val="SingleTxt"/>
        <w:rPr>
          <w:rFonts w:hint="eastAsia"/>
        </w:rPr>
      </w:pPr>
      <w:r>
        <w:rPr>
          <w:rFonts w:hint="eastAsia"/>
        </w:rPr>
        <w:t>220</w:t>
      </w:r>
      <w:r w:rsidR="00A907F4">
        <w:rPr>
          <w:rFonts w:hint="eastAsia"/>
        </w:rPr>
        <w:t xml:space="preserve">.  </w:t>
      </w:r>
      <w:r>
        <w:rPr>
          <w:rFonts w:hint="eastAsia"/>
        </w:rPr>
        <w:t>保加利亚的产妇死亡率逐步下降。2006-2007年期间，这个比率为12-11.9人/100 000名妇女。</w:t>
      </w:r>
    </w:p>
    <w:p w:rsidR="00D0166D" w:rsidRDefault="00D0166D" w:rsidP="00D0166D">
      <w:pPr>
        <w:pStyle w:val="SingleTxt"/>
        <w:rPr>
          <w:rFonts w:hint="eastAsia"/>
        </w:rPr>
      </w:pPr>
      <w:r>
        <w:rPr>
          <w:rFonts w:hint="eastAsia"/>
        </w:rPr>
        <w:t>221</w:t>
      </w:r>
      <w:r w:rsidR="00A907F4">
        <w:rPr>
          <w:rFonts w:hint="eastAsia"/>
        </w:rPr>
        <w:t xml:space="preserve">.  </w:t>
      </w:r>
      <w:r>
        <w:rPr>
          <w:rFonts w:hint="eastAsia"/>
        </w:rPr>
        <w:t>为了在本国实现千年发展目标，保加利亚根据千年发展目标5制定了如下指标：指标A：大幅降低孕产妇死亡率，单一指标：孕产妇死亡率(怀孕和生育期间死亡妇女人数/100 000名活产)和指标B：极大改善孕妇医疗服务，包括以下指标：(a)</w:t>
      </w:r>
      <w:r w:rsidR="00017DAB">
        <w:t xml:space="preserve"> </w:t>
      </w:r>
      <w:r>
        <w:rPr>
          <w:rFonts w:hint="eastAsia"/>
        </w:rPr>
        <w:t>流产(每1 000名妇女)；(b)</w:t>
      </w:r>
      <w:r w:rsidR="00017DAB">
        <w:t xml:space="preserve"> </w:t>
      </w:r>
      <w:r>
        <w:rPr>
          <w:rFonts w:hint="eastAsia"/>
        </w:rPr>
        <w:t>接受医学监测的孕妇(直至怀孕第三个月)(百分比)；(c)</w:t>
      </w:r>
      <w:r w:rsidR="00017DAB">
        <w:t xml:space="preserve"> </w:t>
      </w:r>
      <w:r>
        <w:rPr>
          <w:rFonts w:hint="eastAsia"/>
        </w:rPr>
        <w:t>在合格医护人员的协助下生产的比例(百分比)。</w:t>
      </w:r>
    </w:p>
    <w:p w:rsidR="00D0166D" w:rsidRDefault="00D0166D" w:rsidP="00D0166D">
      <w:pPr>
        <w:pStyle w:val="SingleTxt"/>
        <w:rPr>
          <w:rFonts w:hint="eastAsia"/>
        </w:rPr>
      </w:pPr>
      <w:r>
        <w:rPr>
          <w:rFonts w:hint="eastAsia"/>
        </w:rPr>
        <w:t>222</w:t>
      </w:r>
      <w:r w:rsidR="00A907F4">
        <w:rPr>
          <w:rFonts w:hint="eastAsia"/>
        </w:rPr>
        <w:t xml:space="preserve">.  </w:t>
      </w:r>
      <w:r>
        <w:rPr>
          <w:rFonts w:hint="eastAsia"/>
        </w:rPr>
        <w:t>在实现千年发展目标5方面，保加利亚取得了显著成效，孕产妇死亡率下降，院外生产率极低。流产率也在可接受的限度内。</w:t>
      </w:r>
    </w:p>
    <w:p w:rsidR="00D0166D" w:rsidRDefault="00D0166D" w:rsidP="00D0166D">
      <w:pPr>
        <w:pStyle w:val="SingleTxt"/>
        <w:rPr>
          <w:rFonts w:hint="eastAsia"/>
        </w:rPr>
      </w:pPr>
      <w:r>
        <w:rPr>
          <w:rFonts w:hint="eastAsia"/>
        </w:rPr>
        <w:t>223</w:t>
      </w:r>
      <w:r w:rsidR="00A907F4">
        <w:rPr>
          <w:rFonts w:hint="eastAsia"/>
        </w:rPr>
        <w:t xml:space="preserve">.  </w:t>
      </w:r>
      <w:r>
        <w:rPr>
          <w:rFonts w:hint="eastAsia"/>
        </w:rPr>
        <w:t>就接受医学监测的孕妇比例(1990年为89.4%，2003年为76.1%，2006年为64.5%)、早产率、死胎率和产前婴儿死亡率这些指标而言，还需要进一步加以改进。因此，为2015年设定的目标是把接受医学监测的孕妇比例恢复到1990年的水平。</w:t>
      </w:r>
    </w:p>
    <w:p w:rsidR="00D0166D" w:rsidRDefault="00D0166D" w:rsidP="00D0166D">
      <w:pPr>
        <w:pStyle w:val="SingleTxt"/>
        <w:rPr>
          <w:rFonts w:hint="eastAsia"/>
        </w:rPr>
      </w:pPr>
      <w:r>
        <w:rPr>
          <w:rFonts w:hint="eastAsia"/>
        </w:rPr>
        <w:t>224</w:t>
      </w:r>
      <w:r w:rsidR="00A907F4">
        <w:rPr>
          <w:rFonts w:hint="eastAsia"/>
        </w:rPr>
        <w:t xml:space="preserve">.  </w:t>
      </w:r>
      <w:r>
        <w:rPr>
          <w:rFonts w:hint="eastAsia"/>
        </w:rPr>
        <w:t>卫生部发布的一项特别条例(关于预防性检查和门诊病人监测的第39号条例)的附件规定应对孕妇进行预防性检查。国家医疗保险基金还设有一个“产妇医疗保健”项目。有效的妊娠和生育临床检查有助于医生对症治疗。同时，十分需要对妇产科和全科医师进行专家培训。《卫生法》第82条修正案获得通过是一项重大成就，因为它确保没有参加医疗保险的孕妇也能获得免费的检查和化验(大部分孕产死亡事故都发生在没有接受医疗监测的少数群体和社会弱势群体中)。为此，卫生部推行了向罗姆人提供免费预防性检查的政策，并通过偏远和难接进地区的流动服务诊所进行这种检查。卫生部考虑了这方面存在的各种困难，并于2010年针对这些措施开展公共讨论。</w:t>
      </w:r>
    </w:p>
    <w:p w:rsidR="00D0166D" w:rsidRDefault="00D0166D" w:rsidP="00D0166D">
      <w:pPr>
        <w:pStyle w:val="SingleTxt"/>
        <w:rPr>
          <w:rFonts w:hint="eastAsia"/>
        </w:rPr>
      </w:pPr>
      <w:r>
        <w:rPr>
          <w:rFonts w:hint="eastAsia"/>
        </w:rPr>
        <w:t>225</w:t>
      </w:r>
      <w:r w:rsidR="00A907F4">
        <w:rPr>
          <w:rFonts w:hint="eastAsia"/>
        </w:rPr>
        <w:t xml:space="preserve">.  </w:t>
      </w:r>
      <w:r>
        <w:rPr>
          <w:rFonts w:hint="eastAsia"/>
        </w:rPr>
        <w:t>1997年，出生率达到1964年以来的最低值7.7‰，此后，缓慢上升，过去十年大约为9‰。在过去十年出生的新生儿中，男婴人数超过女婴。</w:t>
      </w:r>
      <w:r w:rsidR="00017DAB">
        <w:rPr>
          <w:rStyle w:val="FootnoteReference"/>
        </w:rPr>
        <w:footnoteReference w:id="11"/>
      </w:r>
      <w:r>
        <w:rPr>
          <w:rFonts w:hint="eastAsia"/>
        </w:rPr>
        <w:t xml:space="preserve"> 妇女的平均育龄和头胎年龄也缓慢上升。育龄从20-24岁年龄组转移到25-29岁年龄组。尽管这种趋势在城市很明显，但农村地区的普遍生育年龄仍然是20-24岁。在农村地区，大部分妇女仍倾向于在15-19岁生育子女。</w:t>
      </w:r>
    </w:p>
    <w:p w:rsidR="00D0166D" w:rsidRDefault="00D0166D" w:rsidP="00D0166D">
      <w:pPr>
        <w:pStyle w:val="SingleTxt"/>
        <w:rPr>
          <w:rFonts w:hint="eastAsia"/>
        </w:rPr>
      </w:pPr>
      <w:r>
        <w:rPr>
          <w:rFonts w:hint="eastAsia"/>
        </w:rPr>
        <w:t>226</w:t>
      </w:r>
      <w:r w:rsidR="00A907F4">
        <w:rPr>
          <w:rFonts w:hint="eastAsia"/>
        </w:rPr>
        <w:t xml:space="preserve">.  </w:t>
      </w:r>
      <w:r>
        <w:rPr>
          <w:rFonts w:hint="eastAsia"/>
        </w:rPr>
        <w:t>近些年来，保加利亚国民的性健康知识不断增长，他们进一步认识到了生殖健康危险与性的关系，并懂得了如何预防性传播疾病和避免意外怀孕等。根据对全国典型人口的调查，青年和教育程度较高者都会使用现代避孕药具，多数为安全套：具有基础教育水平的人采取避孕措施的比例为33.2%；具有中学以下或基础教育水平者的避孕率为36.4%；完成中等教育水平的人避孕率为50.9%；具有高等教育水平的人为54.7%。然而，有关研究表明，了解现代避孕方法并认真采用这些方法的人仍不足一半。在形成更好的性健康和生殖健康风气方面所采取的方法并不系统，主要是依据非政府组织(保加利亚计划生育与性健康协会)的方案，并在很大程度上要依靠国际资助(联合国开发计划署(开发署))而且这种资助是有期限的，因而不足以满足这方面的需要。最近的研究发现，发生首次性接触的年龄越来越早。</w:t>
      </w:r>
      <w:r w:rsidR="00017DAB">
        <w:rPr>
          <w:rStyle w:val="FootnoteReference"/>
        </w:rPr>
        <w:footnoteReference w:id="12"/>
      </w:r>
      <w:r>
        <w:rPr>
          <w:rFonts w:hint="eastAsia"/>
        </w:rPr>
        <w:t xml:space="preserve"> 在对学生进行的一般健康教育中，没有包括青少年性教育(见上文第十条)。</w:t>
      </w:r>
    </w:p>
    <w:p w:rsidR="00D0166D" w:rsidRDefault="00D0166D" w:rsidP="00D0166D">
      <w:pPr>
        <w:pStyle w:val="SingleTxt"/>
        <w:rPr>
          <w:rFonts w:hint="eastAsia"/>
        </w:rPr>
      </w:pPr>
      <w:r>
        <w:rPr>
          <w:rFonts w:hint="eastAsia"/>
        </w:rPr>
        <w:t>227</w:t>
      </w:r>
      <w:r w:rsidR="00A907F4">
        <w:rPr>
          <w:rFonts w:hint="eastAsia"/>
        </w:rPr>
        <w:t xml:space="preserve">.  </w:t>
      </w:r>
      <w:r>
        <w:rPr>
          <w:rFonts w:hint="eastAsia"/>
        </w:rPr>
        <w:t>《卫生法》规定孕妇和年幼子女的母亲可在自怀孕至生育后第42天这段期间获得广泛的各种保健服务，以确保母亲和胎儿的最佳健康状况。这些服务是：旨在的确保母亲及胎儿健康的宣传活动：关于人工流产和早产儿风险的预防性护理；医疗机构通过门诊提供积极的孕期医学监测以便进行初级和专科非医院护理；按照条款和遵照卫生部条例规定的程序进行产前检查和预防遗传及其他疾病；针对产妇和儿童的门诊病人监测及医疗护理；孕妇或产妇可免费获得医疗机构提供的专科非医院护理；对于危及妊娠的情况，孕妇可免费获得医疗机构提供的专科非医院护理或医院护理；孕妇有权选择在哪家医疗机构接受医院生育护理。</w:t>
      </w:r>
    </w:p>
    <w:p w:rsidR="00D0166D" w:rsidRDefault="00D0166D" w:rsidP="00D0166D">
      <w:pPr>
        <w:pStyle w:val="SingleTxt"/>
        <w:rPr>
          <w:rFonts w:hint="eastAsia"/>
        </w:rPr>
      </w:pPr>
      <w:r>
        <w:rPr>
          <w:rFonts w:hint="eastAsia"/>
        </w:rPr>
        <w:t>228</w:t>
      </w:r>
      <w:r w:rsidR="00A907F4">
        <w:rPr>
          <w:rFonts w:hint="eastAsia"/>
        </w:rPr>
        <w:t xml:space="preserve">.  </w:t>
      </w:r>
      <w:r>
        <w:rPr>
          <w:rFonts w:hint="eastAsia"/>
        </w:rPr>
        <w:t>卫生部称新生儿检查方案覆盖95%的新生儿。检查方案在检测严重遗传疾病方面尤为有效。近期引入的一项评估最普遍的染色体疾病和畸形综合症风险的新生儿方案正在积极执行中(超过7 606名孕妇已经过检查，该方案结束时所有孕妇都将接受检查)。在保加利亚专科医生看来，尽管获得合格的生育医疗护理基本上不成问题，但受监测孕妇怀孕后三个月的状况让人深感忧虑。无论社会地位和种族如何，约99%的妇女都会在医院生产(1990-2006年数据)。</w:t>
      </w:r>
      <w:r w:rsidR="00017DAB">
        <w:rPr>
          <w:rStyle w:val="FootnoteReference"/>
        </w:rPr>
        <w:footnoteReference w:id="13"/>
      </w:r>
      <w:r>
        <w:rPr>
          <w:rFonts w:hint="eastAsia"/>
        </w:rPr>
        <w:t xml:space="preserve"> </w:t>
      </w:r>
    </w:p>
    <w:p w:rsidR="00D0166D" w:rsidRDefault="00D0166D" w:rsidP="00D0166D">
      <w:pPr>
        <w:pStyle w:val="SingleTxt"/>
        <w:rPr>
          <w:rFonts w:hint="eastAsia"/>
        </w:rPr>
      </w:pPr>
      <w:r>
        <w:rPr>
          <w:rFonts w:hint="eastAsia"/>
        </w:rPr>
        <w:t>229</w:t>
      </w:r>
      <w:r w:rsidR="00A907F4">
        <w:rPr>
          <w:rFonts w:hint="eastAsia"/>
        </w:rPr>
        <w:t xml:space="preserve">.  </w:t>
      </w:r>
      <w:r>
        <w:rPr>
          <w:rFonts w:hint="eastAsia"/>
        </w:rPr>
        <w:t>数据显示所有年龄组的妇女迫不得已都会选择人工流产，尤其是20-35岁的年轻女性。最年轻者、女孩及20岁以下妇女所占比例一直很大。2005年，19岁以下女孩进行人工流产的比例占登记人数的9.3%(3 890人)，其中211人不满</w:t>
      </w:r>
      <w:r w:rsidRPr="00017DAB">
        <w:rPr>
          <w:rFonts w:hint="eastAsia"/>
          <w:spacing w:val="2"/>
        </w:rPr>
        <w:t>15岁。在怀孕第12周之前，通过特定医学检查后都允许选择实施人工流产。国家医疗保险基金负担的一揽子医疗服务中包括人工流产。妇产科的医学标准也包括安全流产标准。</w:t>
      </w:r>
      <w:r w:rsidR="00017DAB" w:rsidRPr="00017DAB">
        <w:rPr>
          <w:rStyle w:val="FootnoteReference"/>
          <w:spacing w:val="2"/>
        </w:rPr>
        <w:footnoteReference w:id="14"/>
      </w:r>
      <w:r w:rsidRPr="00017DAB">
        <w:rPr>
          <w:rFonts w:hint="eastAsia"/>
          <w:spacing w:val="2"/>
        </w:rPr>
        <w:t xml:space="preserve"> 然而，自2000年以来不断下降的人工流产数量(绝对数量和占新生儿的比例)表明，人工流产作为一种避孕方法的重要作用正在减弱。2001年，出现了一种倾向于生育的明显变化：人工流产51</w:t>
      </w:r>
      <w:r w:rsidR="00017DAB" w:rsidRPr="00017DAB">
        <w:rPr>
          <w:spacing w:val="2"/>
        </w:rPr>
        <w:t xml:space="preserve"> </w:t>
      </w:r>
      <w:r w:rsidRPr="00017DAB">
        <w:rPr>
          <w:rFonts w:hint="eastAsia"/>
          <w:spacing w:val="2"/>
        </w:rPr>
        <w:t>165例，而生育68 680</w:t>
      </w:r>
      <w:r>
        <w:rPr>
          <w:rFonts w:hint="eastAsia"/>
        </w:rPr>
        <w:t>例。</w:t>
      </w:r>
      <w:r w:rsidR="00261401">
        <w:rPr>
          <w:rStyle w:val="FootnoteReference"/>
        </w:rPr>
        <w:footnoteReference w:id="15"/>
      </w:r>
      <w:r>
        <w:rPr>
          <w:rFonts w:hint="eastAsia"/>
        </w:rPr>
        <w:t xml:space="preserve"> 从这一年开始，生育数量一直稳步上升，而人工流产数量大幅下降。</w:t>
      </w:r>
    </w:p>
    <w:p w:rsidR="00D0166D" w:rsidRDefault="00D0166D" w:rsidP="00D0166D">
      <w:pPr>
        <w:pStyle w:val="SingleTxt"/>
        <w:rPr>
          <w:rFonts w:hint="eastAsia"/>
        </w:rPr>
      </w:pPr>
      <w:r>
        <w:rPr>
          <w:rFonts w:hint="eastAsia"/>
        </w:rPr>
        <w:t>230</w:t>
      </w:r>
      <w:r w:rsidR="00A907F4">
        <w:rPr>
          <w:rFonts w:hint="eastAsia"/>
        </w:rPr>
        <w:t xml:space="preserve">.  </w:t>
      </w:r>
      <w:r>
        <w:rPr>
          <w:rFonts w:hint="eastAsia"/>
        </w:rPr>
        <w:t>根据2003年的一项调查，保加利亚有超过250 000对不孕不育夫妻。</w:t>
      </w:r>
      <w:r w:rsidR="00261401">
        <w:rPr>
          <w:rStyle w:val="FootnoteReference"/>
        </w:rPr>
        <w:footnoteReference w:id="16"/>
      </w:r>
      <w:r>
        <w:rPr>
          <w:rFonts w:hint="eastAsia"/>
        </w:rPr>
        <w:t xml:space="preserve"> 其中60%是因男性不育造成的。然而，通常情况下，妇女会先接受干预措施，随后才会对其伴侣进行检查。原因是无法获得健康方面的信息和合格的医疗人员，特别是在小市镇，大众对不孕不育的不容忍态度导致家庭不愿尽早求医，并且经常怀有羞耻感和自卑感。</w:t>
      </w:r>
      <w:r w:rsidR="00261401">
        <w:rPr>
          <w:rStyle w:val="FootnoteReference"/>
        </w:rPr>
        <w:footnoteReference w:id="17"/>
      </w:r>
      <w:r>
        <w:rPr>
          <w:rFonts w:hint="eastAsia"/>
        </w:rPr>
        <w:t xml:space="preserve"> 因此，亟需开展提高认识活动，改进医疗服务质量，并提高对不孕不育症进行化验、检查和治疗的医务人员的资质。截止2009年，索菲亚(9)、瓦尔纳(2)、普罗夫迪夫(2)、普列文(1)以及其他地方的不育症治疗中心几乎配备了治疗不育症的所有现代化技术。</w:t>
      </w:r>
    </w:p>
    <w:p w:rsidR="00D0166D" w:rsidRDefault="00D0166D" w:rsidP="00D0166D">
      <w:pPr>
        <w:pStyle w:val="SingleTxt"/>
        <w:rPr>
          <w:rFonts w:hint="eastAsia"/>
        </w:rPr>
      </w:pPr>
      <w:r>
        <w:rPr>
          <w:rFonts w:hint="eastAsia"/>
        </w:rPr>
        <w:t>231</w:t>
      </w:r>
      <w:r w:rsidR="00A907F4">
        <w:rPr>
          <w:rFonts w:hint="eastAsia"/>
        </w:rPr>
        <w:t xml:space="preserve">.  </w:t>
      </w:r>
      <w:r>
        <w:rPr>
          <w:rFonts w:hint="eastAsia"/>
        </w:rPr>
        <w:t>2005年启动了第一个女性不育症治疗方案，由国家医疗保险基金提供资助，仅限符合特定条件(年龄在18-40岁，一次尝试和报销规定金额内的治疗费用)的有限人员(1 000名存在生殖问题的参保妇女)。本方案包括的辅助生殖方法为体外受孕、胚胎转移和人工受精承认的临床和生物程序。根据《卫生法》修正案，2008年成立了辅助生殖基金，初始资金1 000万新列弗由国家预算资金提供，该基金于2009年4月投入运营。该基金主要开展以下活动：在一个日历年度内资助3例体外程序，每例最高提供5 000新列弗；成立和保留一份统一的生殖健康问题人员登记册；参与辅助生殖标准的增订工作；开展与预防和治疗生殖问题的机会有关的媒体和宣传活动。这些活动应覆盖尽可能多的人群，优先考虑中小型定居点，以确保平等获得高质量的医疗服务。</w:t>
      </w:r>
    </w:p>
    <w:p w:rsidR="00D0166D" w:rsidRDefault="00D0166D" w:rsidP="00D0166D">
      <w:pPr>
        <w:pStyle w:val="SingleTxt"/>
        <w:rPr>
          <w:rFonts w:hint="eastAsia"/>
        </w:rPr>
      </w:pPr>
      <w:r>
        <w:rPr>
          <w:rFonts w:hint="eastAsia"/>
        </w:rPr>
        <w:t>232</w:t>
      </w:r>
      <w:r w:rsidR="00A907F4">
        <w:rPr>
          <w:rFonts w:hint="eastAsia"/>
        </w:rPr>
        <w:t xml:space="preserve">.  </w:t>
      </w:r>
      <w:r>
        <w:rPr>
          <w:rFonts w:hint="eastAsia"/>
        </w:rPr>
        <w:t>在执行千年发展目标6时，保加利亚奉行一项以遏制艾滋病毒/艾滋病、性传播疾病、输血感染和肺结核的传播，以及减少社会的健康、人口及社会-经济影响为目标的长期政策。保加利亚是在国家和地方级别采取有效的国家政策和高效的措施预防艾滋病毒/艾滋病的榜样。</w:t>
      </w:r>
    </w:p>
    <w:p w:rsidR="00D0166D" w:rsidRDefault="00D0166D" w:rsidP="00D0166D">
      <w:pPr>
        <w:pStyle w:val="SingleTxt"/>
        <w:rPr>
          <w:rFonts w:hint="eastAsia"/>
        </w:rPr>
      </w:pPr>
      <w:r>
        <w:rPr>
          <w:rFonts w:hint="eastAsia"/>
        </w:rPr>
        <w:t>233</w:t>
      </w:r>
      <w:r w:rsidR="00A907F4">
        <w:rPr>
          <w:rFonts w:hint="eastAsia"/>
        </w:rPr>
        <w:t xml:space="preserve">.  </w:t>
      </w:r>
      <w:r>
        <w:rPr>
          <w:rFonts w:hint="eastAsia"/>
        </w:rPr>
        <w:t>保加利亚位于一个艾滋病毒感染人口快速增加的地区。近些年来，艾滋病毒/艾滋病、性传播疾病和血液传播疾病，比如病毒性肝炎，成为一个日益严重的问题。鉴于保加利亚和毗邻的黑海国家以及西欧的流行病状况，有必要定义两个新的追踪指标：艾滋病毒在注射毒品使用者和男性同性性行为者中的传播情况。这种设想的目的在于防止集中性流行病在这些人群中蔓延，例如，把每个人群的艾滋病毒传播率维持在5%以下。通过采取确实有效的干预措施，确保这些措施的可持续性，以及分配国家资源用于防止艾滋病毒，到2015年就有希望把高危人群的艾滋病毒传染率维持在较低水平。</w:t>
      </w:r>
    </w:p>
    <w:p w:rsidR="00D0166D" w:rsidRDefault="00D0166D" w:rsidP="00D0166D">
      <w:pPr>
        <w:pStyle w:val="SingleTxt"/>
        <w:rPr>
          <w:rFonts w:hint="eastAsia"/>
        </w:rPr>
      </w:pPr>
      <w:r>
        <w:rPr>
          <w:rFonts w:hint="eastAsia"/>
        </w:rPr>
        <w:t>234</w:t>
      </w:r>
      <w:r w:rsidR="00A907F4">
        <w:rPr>
          <w:rFonts w:hint="eastAsia"/>
        </w:rPr>
        <w:t xml:space="preserve">.  </w:t>
      </w:r>
      <w:r>
        <w:rPr>
          <w:rFonts w:hint="eastAsia"/>
        </w:rPr>
        <w:t>在现阶段，保加利亚的艾滋病毒/艾滋病传染率较低。截至2008年底，卫生部登记的艾滋病毒阳性者为926人。</w:t>
      </w:r>
      <w:r w:rsidR="00261401">
        <w:rPr>
          <w:rStyle w:val="FootnoteReference"/>
        </w:rPr>
        <w:footnoteReference w:id="18"/>
      </w:r>
      <w:r>
        <w:rPr>
          <w:rFonts w:hint="eastAsia"/>
        </w:rPr>
        <w:t xml:space="preserve"> 登记的男性人数是新登记女性人数的五倍。所有年龄组都受到影响，低年龄组出现明显下降。50%新登记者(2008年)位于15-30岁年龄组(2007年该年龄组的新登记者占55%)。自2008年初开始，没有登记艾滋病毒阳性的母亲产下艾滋病毒阳性的儿童，但是登记了两名艾滋病毒阳性的孕妇。</w:t>
      </w:r>
    </w:p>
    <w:p w:rsidR="00D0166D" w:rsidRDefault="00D0166D" w:rsidP="00D0166D">
      <w:pPr>
        <w:pStyle w:val="SingleTxt"/>
        <w:rPr>
          <w:rFonts w:hint="eastAsia"/>
        </w:rPr>
      </w:pPr>
      <w:r>
        <w:rPr>
          <w:rFonts w:hint="eastAsia"/>
        </w:rPr>
        <w:t>235</w:t>
      </w:r>
      <w:r w:rsidR="00A907F4">
        <w:rPr>
          <w:rFonts w:hint="eastAsia"/>
        </w:rPr>
        <w:t xml:space="preserve">.  </w:t>
      </w:r>
      <w:r>
        <w:rPr>
          <w:rFonts w:hint="eastAsia"/>
        </w:rPr>
        <w:t>2008年6月，保加利亚在实施2004年启动的《国家预防和控制艾滋病毒/艾滋病和性传播疾病方案》方面取得了明显成效。根据全球抗击艾滋病、结核病和疟疾基金与卫生部之间的一项协定，保加利亚收到了2009-2014年的3 240万欧元持续资金支持。本方案的主要目标是帮助遏制艾滋病毒的传播和提高艾滋病毒感染者的生活质量。本方案的目标人群包括妓女、暴露在危险中的青年和艾滋病毒/艾滋病感染者。由国家预算资金负担向有需要的艾滋病毒/艾滋病感染者提供免费的抗逆转录病毒治疗，及向艾滋病毒阳性的孕妇提供监测和预防性护理。全球抗击艾滋病、结核病和疟疾基金提供资金，用于向机会性感染提供免费治疗。艾滋病毒/艾滋病患者一年的治疗费用为12 000-16 000新列弗，卫生部每年划拨500万新列弗用于治疗此类疾病患者。</w:t>
      </w:r>
    </w:p>
    <w:p w:rsidR="00D0166D" w:rsidRDefault="00D0166D" w:rsidP="00D0166D">
      <w:pPr>
        <w:pStyle w:val="SingleTxt"/>
        <w:rPr>
          <w:rFonts w:hint="eastAsia"/>
        </w:rPr>
      </w:pPr>
      <w:r>
        <w:rPr>
          <w:rFonts w:hint="eastAsia"/>
        </w:rPr>
        <w:t>236</w:t>
      </w:r>
      <w:r w:rsidR="00A907F4">
        <w:rPr>
          <w:rFonts w:hint="eastAsia"/>
        </w:rPr>
        <w:t xml:space="preserve">.  </w:t>
      </w:r>
      <w:r>
        <w:rPr>
          <w:rFonts w:hint="eastAsia"/>
        </w:rPr>
        <w:t>2003-2005年，在开发计划署以及全球抗击艾滋病、结核病和疟疾基金的资助下，在全国各大区域城市开设了15家中心提供艾滋病毒/艾滋病方面的匿名免费咨询和检测。在新成立的中心中有三家提供性传播疾病的免费咨询和治疗。除了从今年开始提供艾滋病毒免费咨询和检测，所有15家中心还提供乙型肝炎、丙型肝炎和梅毒的免费检测。</w:t>
      </w:r>
    </w:p>
    <w:p w:rsidR="00D0166D" w:rsidRDefault="00D0166D" w:rsidP="00D0166D">
      <w:pPr>
        <w:pStyle w:val="SingleTxt"/>
        <w:rPr>
          <w:rFonts w:hint="eastAsia"/>
        </w:rPr>
      </w:pPr>
      <w:r>
        <w:rPr>
          <w:rFonts w:hint="eastAsia"/>
        </w:rPr>
        <w:t>237</w:t>
      </w:r>
      <w:r w:rsidR="00A907F4">
        <w:rPr>
          <w:rFonts w:hint="eastAsia"/>
        </w:rPr>
        <w:t xml:space="preserve">.  </w:t>
      </w:r>
      <w:r>
        <w:rPr>
          <w:rFonts w:hint="eastAsia"/>
        </w:rPr>
        <w:t>这些活动已被证实是有效的：近几年避孕套的使用率不断提高，特别是在年轻人中，从而大幅降低了梅毒和淋病的发病率。</w:t>
      </w:r>
    </w:p>
    <w:p w:rsidR="00D0166D" w:rsidRDefault="00D0166D" w:rsidP="00D0166D">
      <w:pPr>
        <w:pStyle w:val="SingleTxt"/>
        <w:rPr>
          <w:rFonts w:hint="eastAsia"/>
        </w:rPr>
      </w:pPr>
      <w:r>
        <w:rPr>
          <w:rFonts w:hint="eastAsia"/>
        </w:rPr>
        <w:t>238</w:t>
      </w:r>
      <w:r w:rsidR="00A907F4">
        <w:rPr>
          <w:rFonts w:hint="eastAsia"/>
        </w:rPr>
        <w:t xml:space="preserve">.  </w:t>
      </w:r>
      <w:r>
        <w:rPr>
          <w:rFonts w:hint="eastAsia"/>
        </w:rPr>
        <w:t>保加利亚对恶性疾病实施强制登记可追溯至1964年，并随着《国际疾病分类》的引入在1990年和2005年得到加强。特别是，妇女发生某种恶性肿瘤的频率更高：与1990年相比，女性乳腺癌的发病率增加了1.5倍，子宫颈癌增加了1.6倍，子宫癌增加了1.5倍；肺结核、性病和精神病的发病率也在不断增加。</w:t>
      </w:r>
    </w:p>
    <w:p w:rsidR="00D0166D" w:rsidRDefault="00D0166D" w:rsidP="00D0166D">
      <w:pPr>
        <w:pStyle w:val="SingleTxt"/>
        <w:rPr>
          <w:rFonts w:hint="eastAsia"/>
        </w:rPr>
      </w:pPr>
      <w:r>
        <w:rPr>
          <w:rFonts w:hint="eastAsia"/>
        </w:rPr>
        <w:t>239</w:t>
      </w:r>
      <w:r w:rsidR="00A907F4">
        <w:rPr>
          <w:rFonts w:hint="eastAsia"/>
        </w:rPr>
        <w:t xml:space="preserve">.  </w:t>
      </w:r>
      <w:r>
        <w:rPr>
          <w:rFonts w:hint="eastAsia"/>
        </w:rPr>
        <w:t>乳腺癌是保加利亚妇女中最常见的恶性肿瘤(占所有恶性肿瘤的25 %)，在肿瘤疾病致死原因中位列第二。平均来说，保加利亚每100 000名女性中有72人患乳腺癌，每100</w:t>
      </w:r>
      <w:r w:rsidR="00261401">
        <w:t xml:space="preserve"> </w:t>
      </w:r>
      <w:r>
        <w:rPr>
          <w:rFonts w:hint="eastAsia"/>
        </w:rPr>
        <w:t>000名女性中约有30人死于这种疾病。国家医疗保险基金每年资助一名不在门诊病人监测范围内的18岁以上且参加医保的妇女的预防性检查。</w:t>
      </w:r>
    </w:p>
    <w:p w:rsidR="00D0166D" w:rsidRDefault="00D0166D" w:rsidP="00D0166D">
      <w:pPr>
        <w:pStyle w:val="SingleTxt"/>
        <w:rPr>
          <w:rFonts w:hint="eastAsia"/>
        </w:rPr>
      </w:pPr>
      <w:r>
        <w:rPr>
          <w:rFonts w:hint="eastAsia"/>
        </w:rPr>
        <w:t>240</w:t>
      </w:r>
      <w:r w:rsidR="00A907F4">
        <w:rPr>
          <w:rFonts w:hint="eastAsia"/>
        </w:rPr>
        <w:t xml:space="preserve">.  </w:t>
      </w:r>
      <w:r>
        <w:rPr>
          <w:rFonts w:hint="eastAsia"/>
        </w:rPr>
        <w:t>2001年3月，随着国家癌症研究所、抗癌基金会、国家癌症登记处和AstraZeneca保加利亚的成立，开展了第一次国家抗击乳腺癌运动。目前，保加利亚的所有肿瘤类药房都拥有专门设备。</w:t>
      </w:r>
    </w:p>
    <w:p w:rsidR="00D0166D" w:rsidRDefault="00D0166D" w:rsidP="00D0166D">
      <w:pPr>
        <w:pStyle w:val="SingleTxt"/>
        <w:rPr>
          <w:rFonts w:hint="eastAsia"/>
        </w:rPr>
      </w:pPr>
      <w:r>
        <w:rPr>
          <w:rFonts w:hint="eastAsia"/>
        </w:rPr>
        <w:t>241</w:t>
      </w:r>
      <w:r w:rsidR="00A907F4">
        <w:rPr>
          <w:rFonts w:hint="eastAsia"/>
        </w:rPr>
        <w:t xml:space="preserve">. </w:t>
      </w:r>
      <w:r>
        <w:rPr>
          <w:rFonts w:hint="eastAsia"/>
        </w:rPr>
        <w:t xml:space="preserve"> 子宫颈癌占所有女性癌症疾病的7.6%，前两名分别是乳腺癌(约占25%)和皮肤癌(10.4%)。1981-1999年，保加利亚的子宫颈癌发病率从10.3例增加到17.3例(每100 000人)，死亡率增加了一倍。2009年底，该问题的严重性迫使政府和议会开展广泛的公众磋商，思索扭转这一趋势的措施。</w:t>
      </w:r>
    </w:p>
    <w:p w:rsidR="00D0166D" w:rsidRDefault="00D0166D" w:rsidP="00D0166D">
      <w:pPr>
        <w:pStyle w:val="SingleTxt"/>
        <w:rPr>
          <w:rFonts w:hint="eastAsia"/>
        </w:rPr>
      </w:pPr>
      <w:r>
        <w:rPr>
          <w:rFonts w:hint="eastAsia"/>
        </w:rPr>
        <w:t>242</w:t>
      </w:r>
      <w:r w:rsidR="00A907F4">
        <w:rPr>
          <w:rFonts w:hint="eastAsia"/>
        </w:rPr>
        <w:t xml:space="preserve">.  </w:t>
      </w:r>
      <w:r>
        <w:rPr>
          <w:rFonts w:hint="eastAsia"/>
        </w:rPr>
        <w:t>预防和治疗骨质疏松是保加利亚国家卫生政策的优先事项之一。为此，制订了《保加利亚控制骨质疏松国家方案》(2006-2010年)。这些活动是卫生部、远离骨质疏松妇女协会和保加利亚预防骨质疏松联盟共同开展的。</w:t>
      </w:r>
    </w:p>
    <w:p w:rsidR="00D0166D" w:rsidRDefault="00D0166D" w:rsidP="00D0166D">
      <w:pPr>
        <w:pStyle w:val="SingleTxt"/>
        <w:rPr>
          <w:rFonts w:hint="eastAsia"/>
        </w:rPr>
      </w:pPr>
      <w:r>
        <w:rPr>
          <w:rFonts w:hint="eastAsia"/>
        </w:rPr>
        <w:t>243</w:t>
      </w:r>
      <w:r w:rsidR="00A907F4">
        <w:rPr>
          <w:rFonts w:hint="eastAsia"/>
        </w:rPr>
        <w:t xml:space="preserve">.  </w:t>
      </w:r>
      <w:r>
        <w:rPr>
          <w:rFonts w:hint="eastAsia"/>
        </w:rPr>
        <w:t>2001年，保加利亚开展了最大规模的骨质疏松流行病学研究。研究显示在保加利亚，约有820 000名女性和150 000-160 000名男性更易患骨折。约90 000名妇女身患椎骨骨折。每年约有4 500人股骨颈损伤。</w:t>
      </w:r>
      <w:r w:rsidR="0047268F">
        <w:rPr>
          <w:rStyle w:val="FootnoteReference"/>
        </w:rPr>
        <w:footnoteReference w:id="19"/>
      </w:r>
      <w:r>
        <w:rPr>
          <w:rFonts w:hint="eastAsia"/>
        </w:rPr>
        <w:t xml:space="preserve"> 股骨颈骨折以及随后的手术治疗的平均住院时间为30-35天。骨折系生活方式和饮食习惯所致：保加利亚妇女仅食用非常少量的奶制品，过度吸烟和饮用咖啡非常普遍。</w:t>
      </w:r>
    </w:p>
    <w:p w:rsidR="00D0166D" w:rsidRDefault="00D0166D" w:rsidP="00D0166D">
      <w:pPr>
        <w:pStyle w:val="SingleTxt"/>
        <w:rPr>
          <w:rFonts w:hint="eastAsia"/>
        </w:rPr>
      </w:pPr>
      <w:r>
        <w:rPr>
          <w:rFonts w:hint="eastAsia"/>
        </w:rPr>
        <w:t>244</w:t>
      </w:r>
      <w:r w:rsidR="00A907F4">
        <w:rPr>
          <w:rFonts w:hint="eastAsia"/>
        </w:rPr>
        <w:t xml:space="preserve">.  </w:t>
      </w:r>
      <w:r>
        <w:rPr>
          <w:rFonts w:hint="eastAsia"/>
        </w:rPr>
        <w:t>根据国家医疗保险基金的数据，18岁以上患有骨质疏松的医保参保人员需接受内分泌学或创伤学专科医生提供的门诊病人监测，并终生接受观察。他们每年应当接受两次门诊病人检查，与一名妇产科医生和一名矫形外科医生进行一次咨询。</w:t>
      </w:r>
    </w:p>
    <w:p w:rsidR="00D0166D" w:rsidRDefault="00D0166D" w:rsidP="00D0166D">
      <w:pPr>
        <w:pStyle w:val="SingleTxt"/>
        <w:rPr>
          <w:rFonts w:hint="eastAsia"/>
        </w:rPr>
      </w:pPr>
      <w:r>
        <w:rPr>
          <w:rFonts w:hint="eastAsia"/>
        </w:rPr>
        <w:t>245</w:t>
      </w:r>
      <w:r w:rsidR="00A907F4">
        <w:rPr>
          <w:rFonts w:hint="eastAsia"/>
        </w:rPr>
        <w:t xml:space="preserve">.  </w:t>
      </w:r>
      <w:r>
        <w:rPr>
          <w:rFonts w:hint="eastAsia"/>
        </w:rPr>
        <w:t>根据卫生部第38号政令，在确定国家医疗保险基金可全部或部分报销药品费用的可在家治疗的疾病列表时，就七种药品——国家医疗保险基金资助25%-75%——签订合同，并已包含在药品列表中。</w:t>
      </w:r>
    </w:p>
    <w:p w:rsidR="00D0166D" w:rsidRDefault="00D0166D" w:rsidP="00D0166D">
      <w:pPr>
        <w:pStyle w:val="SingleTxt"/>
        <w:rPr>
          <w:rFonts w:hint="eastAsia"/>
        </w:rPr>
      </w:pPr>
      <w:r>
        <w:rPr>
          <w:rFonts w:hint="eastAsia"/>
        </w:rPr>
        <w:t>246</w:t>
      </w:r>
      <w:r w:rsidR="00A907F4">
        <w:rPr>
          <w:rFonts w:hint="eastAsia"/>
        </w:rPr>
        <w:t xml:space="preserve">.  </w:t>
      </w:r>
      <w:r>
        <w:rPr>
          <w:rFonts w:hint="eastAsia"/>
        </w:rPr>
        <w:t>保加利亚在麻醉药品领域的国家卫生政策受特殊的《国家禁毒战略》(2009-2013年)管理。它以一种综合平衡的方法为基础，在这种方法中，减少需求和供给是禁毒政策的两个相互支持的因素。该战略是根据《欧盟2005-2012年禁毒战略》详细编制的，符合其他国家战略和方案：《国家卫生战略》；全球抗击艾滋病、结核病和疟疾基金资助的《预防和控制艾滋病毒/艾滋病方案》；《精神健康政策》；《减少饮酒及其危害政策》；《2006-2008年透明施政以及防止和打击腐败战略》；《国家打击犯罪战略》；《保加利亚共和国边界综合管理战略》。为执行《国家禁毒战略》编制了一份《行动计划》。</w:t>
      </w:r>
    </w:p>
    <w:p w:rsidR="00D0166D" w:rsidRDefault="00D0166D" w:rsidP="00D0166D">
      <w:pPr>
        <w:pStyle w:val="SingleTxt"/>
        <w:rPr>
          <w:rFonts w:hint="eastAsia"/>
        </w:rPr>
      </w:pPr>
      <w:r>
        <w:rPr>
          <w:rFonts w:hint="eastAsia"/>
        </w:rPr>
        <w:t>247</w:t>
      </w:r>
      <w:r w:rsidR="00A907F4">
        <w:rPr>
          <w:rFonts w:hint="eastAsia"/>
        </w:rPr>
        <w:t xml:space="preserve">.  </w:t>
      </w:r>
      <w:r>
        <w:rPr>
          <w:rFonts w:hint="eastAsia"/>
        </w:rPr>
        <w:t>与一些欧洲国家相比，麻醉品在15-64岁公民中的使用水平还很低。然而，至少尝试过一次麻醉品的人数却在不断增加，特别是在青年人中。</w:t>
      </w:r>
      <w:r w:rsidR="0047268F">
        <w:rPr>
          <w:rStyle w:val="FootnoteReference"/>
        </w:rPr>
        <w:footnoteReference w:id="20"/>
      </w:r>
      <w:r>
        <w:rPr>
          <w:rFonts w:hint="eastAsia"/>
        </w:rPr>
        <w:t xml:space="preserve"> 18-24岁年龄组中至少尝试过一次麻醉品的人占14.6%，18-34岁年龄组占10.2%，成人组(18-60岁)为2%。另一个令人担忧的事实是对吸毒日益增加的容忍度：38%的人认为吸食“草”没什么不对；17%的人称“偶尔”使用麻醉品没有上瘾的危险。2003年的数据显示有三分之一的学生(15-18岁)吸食过大麻，27.1%的十一和十二年级学生至少吸食过一次大麻。研究显示在保加利亚，吸食毒品的男性多于女性(男性为7.8%，女性为2.5%)，吸食者为富人；大城市居民，而非小市镇居民。然而，经常寻求治疗的女性人数少于男性：2005年寻求治疗者中仅有16.9%为女性。</w:t>
      </w:r>
    </w:p>
    <w:p w:rsidR="00D0166D" w:rsidRDefault="00D0166D" w:rsidP="00D0166D">
      <w:pPr>
        <w:pStyle w:val="SingleTxt"/>
        <w:rPr>
          <w:rFonts w:hint="eastAsia"/>
        </w:rPr>
      </w:pPr>
      <w:r>
        <w:rPr>
          <w:rFonts w:hint="eastAsia"/>
        </w:rPr>
        <w:t>248</w:t>
      </w:r>
      <w:r w:rsidR="00A907F4">
        <w:rPr>
          <w:rFonts w:hint="eastAsia"/>
        </w:rPr>
        <w:t xml:space="preserve">.  </w:t>
      </w:r>
      <w:r>
        <w:rPr>
          <w:rFonts w:hint="eastAsia"/>
        </w:rPr>
        <w:t>全球各地成立了27个区域麻醉物质理事会及其附属的22家预防与信息中心。通过7个恢复方案帮助吸毒者康复和重返社会。向已经成功通过住院病人方案的患者提供收容性住房方案，以帮助其摆脱对治疗社区的依赖。</w:t>
      </w:r>
    </w:p>
    <w:p w:rsidR="00D0166D" w:rsidRDefault="00D0166D" w:rsidP="004726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第十三条</w:t>
      </w:r>
    </w:p>
    <w:p w:rsidR="0047268F" w:rsidRPr="0047268F" w:rsidRDefault="0047268F" w:rsidP="0047268F">
      <w:pPr>
        <w:pStyle w:val="SingleTxt"/>
        <w:spacing w:after="0" w:line="120" w:lineRule="exact"/>
        <w:rPr>
          <w:rFonts w:hint="eastAsia"/>
          <w:sz w:val="10"/>
        </w:rPr>
      </w:pPr>
    </w:p>
    <w:p w:rsidR="00D0166D" w:rsidRDefault="00D0166D" w:rsidP="00D0166D">
      <w:pPr>
        <w:pStyle w:val="SingleTxt"/>
        <w:rPr>
          <w:rFonts w:hint="eastAsia"/>
        </w:rPr>
      </w:pPr>
      <w:r>
        <w:rPr>
          <w:rFonts w:hint="eastAsia"/>
        </w:rPr>
        <w:t>249</w:t>
      </w:r>
      <w:r w:rsidR="00A907F4">
        <w:rPr>
          <w:rFonts w:hint="eastAsia"/>
        </w:rPr>
        <w:t xml:space="preserve">.  </w:t>
      </w:r>
      <w:r>
        <w:rPr>
          <w:rFonts w:hint="eastAsia"/>
        </w:rPr>
        <w:t>《家庭子女津贴法》(2002年开始生效，2010年完成最后一次修订)规定了获得家庭津贴的权利及其发放形式和程序。</w:t>
      </w:r>
    </w:p>
    <w:p w:rsidR="00D0166D" w:rsidRDefault="00D0166D" w:rsidP="00D0166D">
      <w:pPr>
        <w:pStyle w:val="SingleTxt"/>
        <w:rPr>
          <w:rFonts w:hint="eastAsia"/>
        </w:rPr>
      </w:pPr>
      <w:r>
        <w:rPr>
          <w:rFonts w:hint="eastAsia"/>
        </w:rPr>
        <w:t>250</w:t>
      </w:r>
      <w:r w:rsidR="00A907F4">
        <w:rPr>
          <w:rFonts w:hint="eastAsia"/>
        </w:rPr>
        <w:t xml:space="preserve">.  </w:t>
      </w:r>
      <w:r>
        <w:rPr>
          <w:rFonts w:hint="eastAsia"/>
        </w:rPr>
        <w:t>本法规定了以下家庭津贴：一次性总付怀孕现金津贴；一次性总付生育现金津贴；一次性总付养育双胞胎直至其一周岁的现金津贴；一次性总付身为全职学生的母亲抚养一名子女至其一周岁的现金津贴；向子女发放月度津贴，直至其完成中学学业，但不超过20岁；发放月度育儿津贴，至其年满一周岁；学生定向津贴。可以按照有关条件和依据本法适用条例规定的程序，以现金和/或社会投资形式发放津贴。下述人员有权获得儿童家庭津贴：身为保加利亚公民的孕妇；保加利亚公民家庭在本国抚养子女的；父母双方中有一人为保加利亚公民的家庭，子女为保加利亚公民身份且在本国养育；被选定作为给离开社会福利机构的儿童提供家庭成长环境的直系和扩大家庭或寄养家庭；身为外国公民和外国公民家属的孕妇，如果是保加利亚永久居民并在该国抚养其子女，则在其他法律或者保加利亚共和国所加入的国际条约有此规定的情况下领取该津贴。</w:t>
      </w:r>
    </w:p>
    <w:p w:rsidR="00D0166D" w:rsidRDefault="00D0166D" w:rsidP="00D0166D">
      <w:pPr>
        <w:pStyle w:val="SingleTxt"/>
        <w:rPr>
          <w:rFonts w:hint="eastAsia"/>
        </w:rPr>
      </w:pPr>
      <w:r>
        <w:rPr>
          <w:rFonts w:hint="eastAsia"/>
        </w:rPr>
        <w:t>251</w:t>
      </w:r>
      <w:r w:rsidR="00A907F4">
        <w:rPr>
          <w:rFonts w:hint="eastAsia"/>
        </w:rPr>
        <w:t xml:space="preserve">.  </w:t>
      </w:r>
      <w:r>
        <w:rPr>
          <w:rFonts w:hint="eastAsia"/>
        </w:rPr>
        <w:t>家庭和孕妇若想获得家庭津贴，则每位家庭成员在之前12个月的月平均工资必须低于或者等于《保加利亚共和国国家预算法》在相关年份为此确定的收入。不论家庭收入多少，只要不将婴儿交由公共机构抚养，母亲就有资格在生产且婴儿成活时获得一笔总付津贴。津贴将支付给母亲，如其无法领受，则将支付给孩子的另一名法定代表。如果在孩子二周岁之前确定其永久残疾程度达到50%或以上，则将支付给母亲一次性总付的补充津贴。这笔津贴的金额每年由《保加利亚共和国国家预算法》为相关年份确定，但是不得低于上一年的金额。</w:t>
      </w:r>
    </w:p>
    <w:p w:rsidR="00D0166D" w:rsidRDefault="00D0166D" w:rsidP="00D0166D">
      <w:pPr>
        <w:pStyle w:val="SingleTxt"/>
        <w:rPr>
          <w:rFonts w:hint="eastAsia"/>
        </w:rPr>
      </w:pPr>
      <w:r>
        <w:rPr>
          <w:rFonts w:hint="eastAsia"/>
        </w:rPr>
        <w:t>252</w:t>
      </w:r>
      <w:r w:rsidR="00A907F4">
        <w:rPr>
          <w:rFonts w:hint="eastAsia"/>
        </w:rPr>
        <w:t xml:space="preserve">.  </w:t>
      </w:r>
      <w:r>
        <w:rPr>
          <w:rFonts w:hint="eastAsia"/>
        </w:rPr>
        <w:t>也可以现金形式向单亲父亲(收养者)发放一次性总付育儿津贴。离异父母的儿童月度津贴以现金和/或社会投入形式发给获得父母权利的一方。</w:t>
      </w:r>
    </w:p>
    <w:p w:rsidR="00D0166D" w:rsidRDefault="00D0166D" w:rsidP="00D0166D">
      <w:pPr>
        <w:pStyle w:val="SingleTxt"/>
        <w:rPr>
          <w:rFonts w:hint="eastAsia"/>
        </w:rPr>
      </w:pPr>
      <w:r>
        <w:rPr>
          <w:rFonts w:hint="eastAsia"/>
        </w:rPr>
        <w:t>253</w:t>
      </w:r>
      <w:r w:rsidR="00A907F4">
        <w:rPr>
          <w:rFonts w:hint="eastAsia"/>
        </w:rPr>
        <w:t xml:space="preserve">.  </w:t>
      </w:r>
      <w:r>
        <w:rPr>
          <w:rFonts w:hint="eastAsia"/>
        </w:rPr>
        <w:t>子女进入国立或市级学校一年级的家庭可获得一次性总付定向津贴用于负担学年开始的部分费用。</w:t>
      </w:r>
    </w:p>
    <w:p w:rsidR="00D0166D" w:rsidRDefault="00D0166D" w:rsidP="00D0166D">
      <w:pPr>
        <w:pStyle w:val="SingleTxt"/>
        <w:rPr>
          <w:rFonts w:hint="eastAsia"/>
        </w:rPr>
      </w:pPr>
      <w:r>
        <w:rPr>
          <w:rFonts w:hint="eastAsia"/>
        </w:rPr>
        <w:t>254</w:t>
      </w:r>
      <w:r w:rsidR="00A907F4">
        <w:rPr>
          <w:rFonts w:hint="eastAsia"/>
        </w:rPr>
        <w:t xml:space="preserve">.  </w:t>
      </w:r>
      <w:r>
        <w:rPr>
          <w:rFonts w:hint="eastAsia"/>
        </w:rPr>
        <w:t>本法规定的儿童家庭津贴由行政预算资金负担。</w:t>
      </w:r>
    </w:p>
    <w:p w:rsidR="00D0166D" w:rsidRDefault="00D0166D" w:rsidP="00D0166D">
      <w:pPr>
        <w:pStyle w:val="SingleTxt"/>
        <w:rPr>
          <w:rFonts w:hint="eastAsia"/>
        </w:rPr>
      </w:pPr>
      <w:r>
        <w:rPr>
          <w:rFonts w:hint="eastAsia"/>
        </w:rPr>
        <w:t>255</w:t>
      </w:r>
      <w:r w:rsidR="00A907F4">
        <w:rPr>
          <w:rFonts w:hint="eastAsia"/>
        </w:rPr>
        <w:t xml:space="preserve">.  </w:t>
      </w:r>
      <w:r>
        <w:rPr>
          <w:rFonts w:hint="eastAsia"/>
        </w:rPr>
        <w:t>《社会援助法》(1998年开始生效，2010年最后一次修订)规定向无法在不接受援助的条件下满足其基本生活需求的公民提供支助。根据本法第3条，除一份其他原因列表规定的事由外，在提供社会援助时不容许存在任何基于性别和家庭地位的直接或间接歧视。</w:t>
      </w:r>
    </w:p>
    <w:p w:rsidR="00D0166D" w:rsidRDefault="00D0166D" w:rsidP="00D0166D">
      <w:pPr>
        <w:pStyle w:val="SingleTxt"/>
        <w:rPr>
          <w:rFonts w:hint="eastAsia"/>
        </w:rPr>
      </w:pPr>
      <w:r>
        <w:rPr>
          <w:rFonts w:hint="eastAsia"/>
        </w:rPr>
        <w:t>256</w:t>
      </w:r>
      <w:r w:rsidR="00A907F4">
        <w:rPr>
          <w:rFonts w:hint="eastAsia"/>
        </w:rPr>
        <w:t xml:space="preserve">.  </w:t>
      </w:r>
      <w:r>
        <w:rPr>
          <w:rFonts w:hint="eastAsia"/>
        </w:rPr>
        <w:t>社会援助以福利金和服务的形式提供。根据《社会援助法》，社会援助福利金为按月发放的一次性总付定向资金。获取每月社会援助福利金的资格取决于完成社会有益劳动的情况，休产假或者受益人的年龄和/或健康状况不允许，以及失业者正在参加就业方案的情况除外。以下人士可选择参加就业方案：母亲(女性或男性收养者)和抚养不满3岁子女的单亲父母或监护人；怀孕三个月后的孕妇；照顾患病的家庭成员或第二亲等内需要永久援助的残疾老人或子孙。社会援助资源来自行政预算、市级预算和国家及国际方案，居民和非居民自然人或法人等的捐赠。</w:t>
      </w:r>
    </w:p>
    <w:p w:rsidR="00D0166D" w:rsidRDefault="00D0166D" w:rsidP="00D0166D">
      <w:pPr>
        <w:pStyle w:val="SingleTxt"/>
        <w:rPr>
          <w:rFonts w:hint="eastAsia"/>
        </w:rPr>
      </w:pPr>
      <w:r>
        <w:rPr>
          <w:rFonts w:hint="eastAsia"/>
        </w:rPr>
        <w:t>257</w:t>
      </w:r>
      <w:r w:rsidR="00A907F4">
        <w:rPr>
          <w:rFonts w:hint="eastAsia"/>
        </w:rPr>
        <w:t xml:space="preserve">.  </w:t>
      </w:r>
      <w:r>
        <w:rPr>
          <w:rFonts w:hint="eastAsia"/>
        </w:rPr>
        <w:t>例如，根据《社会援助局报告》，2009年：</w:t>
      </w:r>
    </w:p>
    <w:p w:rsidR="00D0166D" w:rsidRDefault="0047268F" w:rsidP="00D0166D">
      <w:pPr>
        <w:pStyle w:val="SingleTxt"/>
        <w:rPr>
          <w:rFonts w:hint="eastAsia"/>
        </w:rPr>
      </w:pPr>
      <w:r>
        <w:tab/>
      </w:r>
      <w:r w:rsidR="00D0166D">
        <w:rPr>
          <w:rFonts w:hint="eastAsia"/>
        </w:rPr>
        <w:t>(a)</w:t>
      </w:r>
      <w:r w:rsidR="00D0166D">
        <w:rPr>
          <w:rFonts w:hint="eastAsia"/>
        </w:rPr>
        <w:tab/>
        <w:t>有18 158名生育或领养并抚养三名及以上一岁以上子女的母亲领取了一次性总付公交出行福利金；</w:t>
      </w:r>
    </w:p>
    <w:p w:rsidR="00D0166D" w:rsidRDefault="0047268F" w:rsidP="00D0166D">
      <w:pPr>
        <w:pStyle w:val="SingleTxt"/>
        <w:rPr>
          <w:rFonts w:hint="eastAsia"/>
        </w:rPr>
      </w:pPr>
      <w:r>
        <w:tab/>
      </w:r>
      <w:r w:rsidR="00D0166D">
        <w:rPr>
          <w:rFonts w:hint="eastAsia"/>
        </w:rPr>
        <w:t>(b)</w:t>
      </w:r>
      <w:r w:rsidR="00D0166D">
        <w:rPr>
          <w:rFonts w:hint="eastAsia"/>
        </w:rPr>
        <w:tab/>
        <w:t>有19 818名孕妇领取了一次性总付怀孕福利金；</w:t>
      </w:r>
    </w:p>
    <w:p w:rsidR="00D0166D" w:rsidRDefault="0047268F" w:rsidP="00D0166D">
      <w:pPr>
        <w:pStyle w:val="SingleTxt"/>
        <w:rPr>
          <w:rFonts w:hint="eastAsia"/>
        </w:rPr>
      </w:pPr>
      <w:r>
        <w:tab/>
      </w:r>
      <w:r w:rsidR="00D0166D">
        <w:rPr>
          <w:rFonts w:hint="eastAsia"/>
        </w:rPr>
        <w:t>(c)</w:t>
      </w:r>
      <w:r w:rsidR="00D0166D">
        <w:rPr>
          <w:rFonts w:hint="eastAsia"/>
        </w:rPr>
        <w:tab/>
        <w:t>有77 002名母亲——她们共生产了77 900名子女，领取一次性总付生产福利金，其中有438名母亲领取了补充性的一次总付儿童残疾福利金；</w:t>
      </w:r>
    </w:p>
    <w:p w:rsidR="00D0166D" w:rsidRDefault="0047268F" w:rsidP="00D0166D">
      <w:pPr>
        <w:pStyle w:val="SingleTxt"/>
        <w:rPr>
          <w:rFonts w:hint="eastAsia"/>
        </w:rPr>
      </w:pPr>
      <w:r>
        <w:tab/>
      </w:r>
      <w:r w:rsidR="00D0166D">
        <w:rPr>
          <w:rFonts w:hint="eastAsia"/>
        </w:rPr>
        <w:t>(d)</w:t>
      </w:r>
      <w:r w:rsidR="00D0166D">
        <w:rPr>
          <w:rFonts w:hint="eastAsia"/>
        </w:rPr>
        <w:tab/>
        <w:t xml:space="preserve">根据月平均值，有571 416个家庭为841 728名儿童领取月度福利金； </w:t>
      </w:r>
    </w:p>
    <w:p w:rsidR="00D0166D" w:rsidRDefault="0047268F" w:rsidP="00D0166D">
      <w:pPr>
        <w:pStyle w:val="SingleTxt"/>
        <w:rPr>
          <w:rFonts w:hint="eastAsia"/>
        </w:rPr>
      </w:pPr>
      <w:r>
        <w:tab/>
      </w:r>
      <w:r w:rsidR="00D0166D">
        <w:rPr>
          <w:rFonts w:hint="eastAsia"/>
        </w:rPr>
        <w:t>(e)</w:t>
      </w:r>
      <w:r w:rsidR="00D0166D">
        <w:rPr>
          <w:rFonts w:hint="eastAsia"/>
        </w:rPr>
        <w:tab/>
        <w:t>根据月平均值，有22 089名母亲在子女年满一岁前领取月度育儿津贴；</w:t>
      </w:r>
    </w:p>
    <w:p w:rsidR="00D0166D" w:rsidRDefault="0047268F" w:rsidP="00D0166D">
      <w:pPr>
        <w:pStyle w:val="SingleTxt"/>
        <w:rPr>
          <w:rFonts w:hint="eastAsia"/>
        </w:rPr>
      </w:pPr>
      <w:r>
        <w:tab/>
      </w:r>
      <w:r w:rsidR="00D0166D">
        <w:rPr>
          <w:rFonts w:hint="eastAsia"/>
        </w:rPr>
        <w:t>(f)</w:t>
      </w:r>
      <w:r w:rsidR="00D0166D">
        <w:rPr>
          <w:rFonts w:hint="eastAsia"/>
        </w:rPr>
        <w:tab/>
        <w:t>向40 883名一年级学生提供了一次性总付定向福利金；</w:t>
      </w:r>
    </w:p>
    <w:p w:rsidR="00D0166D" w:rsidRDefault="0047268F" w:rsidP="00D0166D">
      <w:pPr>
        <w:pStyle w:val="SingleTxt"/>
        <w:rPr>
          <w:rFonts w:hint="eastAsia"/>
        </w:rPr>
      </w:pPr>
      <w:r>
        <w:tab/>
      </w:r>
      <w:r w:rsidR="00D0166D">
        <w:rPr>
          <w:rFonts w:hint="eastAsia"/>
        </w:rPr>
        <w:t>(g)</w:t>
      </w:r>
      <w:r w:rsidR="00D0166D">
        <w:rPr>
          <w:rFonts w:hint="eastAsia"/>
        </w:rPr>
        <w:tab/>
        <w:t>1 434名学生母亲领取了一次性总付现金福利金，用于在保证作为全职学生的同时抚养子女直至其年满一岁。</w:t>
      </w:r>
    </w:p>
    <w:p w:rsidR="00D0166D" w:rsidRDefault="00D0166D" w:rsidP="00D0166D">
      <w:pPr>
        <w:pStyle w:val="SingleTxt"/>
        <w:rPr>
          <w:rFonts w:hint="eastAsia"/>
        </w:rPr>
      </w:pPr>
      <w:r>
        <w:rPr>
          <w:rFonts w:hint="eastAsia"/>
        </w:rPr>
        <w:t>258</w:t>
      </w:r>
      <w:r w:rsidR="00A907F4">
        <w:rPr>
          <w:rFonts w:hint="eastAsia"/>
        </w:rPr>
        <w:t xml:space="preserve">.  </w:t>
      </w:r>
      <w:r>
        <w:rPr>
          <w:rFonts w:hint="eastAsia"/>
        </w:rPr>
        <w:t>《消费信贷法》(2006年开始生效)规定，可通过创造平等的获取条件延长消费信贷获得消费者保护(第2条第2款)。对一些提供消费信贷的商业银行的观察显示，60%的商品信贷用户为女性(根据2008年数据)。</w:t>
      </w:r>
    </w:p>
    <w:p w:rsidR="00D0166D" w:rsidRDefault="00D0166D" w:rsidP="00D0166D">
      <w:pPr>
        <w:pStyle w:val="SingleTxt"/>
        <w:rPr>
          <w:rFonts w:hint="eastAsia"/>
        </w:rPr>
      </w:pPr>
      <w:r>
        <w:rPr>
          <w:rFonts w:hint="eastAsia"/>
        </w:rPr>
        <w:t>259</w:t>
      </w:r>
      <w:r w:rsidR="00A907F4">
        <w:rPr>
          <w:rFonts w:hint="eastAsia"/>
        </w:rPr>
        <w:t xml:space="preserve">.  </w:t>
      </w:r>
      <w:r>
        <w:rPr>
          <w:rFonts w:hint="eastAsia"/>
        </w:rPr>
        <w:t>贷款资助是向女企业家提供支助的固定形式。劳动和社会政策部2007年的数据显示，超过62%的女企业家都是靠自有资金或贷款开业的，三分之一(33%)为接手家族企业。</w:t>
      </w:r>
    </w:p>
    <w:p w:rsidR="00D0166D" w:rsidRDefault="00D0166D" w:rsidP="00D0166D">
      <w:pPr>
        <w:pStyle w:val="SingleTxt"/>
        <w:rPr>
          <w:rFonts w:hint="eastAsia"/>
        </w:rPr>
      </w:pPr>
      <w:r>
        <w:rPr>
          <w:rFonts w:hint="eastAsia"/>
        </w:rPr>
        <w:t>260</w:t>
      </w:r>
      <w:r w:rsidR="00A907F4">
        <w:rPr>
          <w:rFonts w:hint="eastAsia"/>
        </w:rPr>
        <w:t xml:space="preserve">.  </w:t>
      </w:r>
      <w:r>
        <w:rPr>
          <w:rFonts w:hint="eastAsia"/>
        </w:rPr>
        <w:t>为方便获得开业启动资助，劳动和社会政策部在过去五年独立或与伙伴合作实施了如下各种举措：</w:t>
      </w:r>
    </w:p>
    <w:p w:rsidR="00D0166D" w:rsidRDefault="0047268F" w:rsidP="00D0166D">
      <w:pPr>
        <w:pStyle w:val="SingleTxt"/>
        <w:rPr>
          <w:rFonts w:hint="eastAsia"/>
        </w:rPr>
      </w:pPr>
      <w:r>
        <w:tab/>
      </w:r>
      <w:r w:rsidR="00D0166D">
        <w:rPr>
          <w:rFonts w:hint="eastAsia"/>
        </w:rPr>
        <w:t>(a)</w:t>
      </w:r>
      <w:r w:rsidR="00D0166D">
        <w:rPr>
          <w:rFonts w:hint="eastAsia"/>
        </w:rPr>
        <w:tab/>
        <w:t>设立“小额贷款项目担保基金”，以期通过向中小型企业和新成立的企业划拨发展和扩大其活动所需的财政资源创造新增就业。为贷款提供现金担保，优惠条件，以及免费咨询。2007年，使用这些贷款的人中有36%为妇女；</w:t>
      </w:r>
    </w:p>
    <w:p w:rsidR="00D0166D" w:rsidRDefault="0047268F" w:rsidP="00D0166D">
      <w:pPr>
        <w:pStyle w:val="SingleTxt"/>
        <w:rPr>
          <w:rFonts w:hint="eastAsia"/>
        </w:rPr>
      </w:pPr>
      <w:r>
        <w:tab/>
      </w:r>
      <w:r w:rsidR="00D0166D">
        <w:rPr>
          <w:rFonts w:hint="eastAsia"/>
        </w:rPr>
        <w:t>(b)</w:t>
      </w:r>
      <w:r w:rsidR="00D0166D">
        <w:rPr>
          <w:rFonts w:hint="eastAsia"/>
        </w:rPr>
        <w:tab/>
        <w:t xml:space="preserve">商业支助创造就业机会项目。建立了一个由42家商业中心组成的网络，支持妇女在高失业率区域创立和发展中小型企业。除了现有企业，该项目还向起步阶段的创业者和拥有好的经商点子的失业者提供支助。接受适当的创业和商业计划起草方面的培训后，申请求职者有资格根据金融租赁方案购置技术设备； </w:t>
      </w:r>
    </w:p>
    <w:p w:rsidR="00D0166D" w:rsidRDefault="0047268F" w:rsidP="00D0166D">
      <w:pPr>
        <w:pStyle w:val="SingleTxt"/>
        <w:rPr>
          <w:rFonts w:hint="eastAsia"/>
        </w:rPr>
      </w:pPr>
      <w:r>
        <w:tab/>
      </w:r>
      <w:r w:rsidR="00D0166D">
        <w:rPr>
          <w:rFonts w:hint="eastAsia"/>
        </w:rPr>
        <w:t>(c)</w:t>
      </w:r>
      <w:r w:rsidR="00D0166D">
        <w:rPr>
          <w:rFonts w:hint="eastAsia"/>
        </w:rPr>
        <w:tab/>
        <w:t>正在与经济、能源和旅游部联合开展100个“创立具有竞争力的新企业”项目。该项目旨在帮助拥有完全合理的商业想法的人创建具有竞争力的小企业。接受速成培训后，求职者有机会将他们的想法编制成商业计划和参加竞赛赢取奖金。</w:t>
      </w:r>
    </w:p>
    <w:p w:rsidR="00D0166D" w:rsidRDefault="0047268F" w:rsidP="00D0166D">
      <w:pPr>
        <w:pStyle w:val="SingleTxt"/>
        <w:rPr>
          <w:rFonts w:hint="eastAsia"/>
        </w:rPr>
      </w:pPr>
      <w:r>
        <w:tab/>
      </w:r>
      <w:r w:rsidR="00D0166D">
        <w:rPr>
          <w:rFonts w:hint="eastAsia"/>
        </w:rPr>
        <w:t>(d)</w:t>
      </w:r>
      <w:r w:rsidR="00D0166D">
        <w:rPr>
          <w:rFonts w:hint="eastAsia"/>
        </w:rPr>
        <w:tab/>
        <w:t>还以失业人员创业启动补贴的形式向女性创业者提供支助。</w:t>
      </w:r>
    </w:p>
    <w:p w:rsidR="00D0166D" w:rsidRDefault="00D0166D" w:rsidP="00D0166D">
      <w:pPr>
        <w:pStyle w:val="SingleTxt"/>
        <w:rPr>
          <w:rFonts w:hint="eastAsia"/>
        </w:rPr>
      </w:pPr>
      <w:r>
        <w:rPr>
          <w:rFonts w:hint="eastAsia"/>
        </w:rPr>
        <w:t>261</w:t>
      </w:r>
      <w:r w:rsidR="00A907F4">
        <w:rPr>
          <w:rFonts w:hint="eastAsia"/>
        </w:rPr>
        <w:t xml:space="preserve">.  </w:t>
      </w:r>
      <w:r>
        <w:rPr>
          <w:rFonts w:hint="eastAsia"/>
        </w:rPr>
        <w:t>商业银行和国家通过各种方案向新成立的中小型企业提供资金，此外还有其他债权人，如股份公司，组成非政府组织通过小额贷款向城市和农村地区的中小型企业提供支助。市场经济学研究所的一项调查发现，来自这种机构的贷款接受者中有40%-70%是妇女(2008年数据)。</w:t>
      </w:r>
    </w:p>
    <w:p w:rsidR="00D0166D" w:rsidRDefault="00D0166D" w:rsidP="00D0166D">
      <w:pPr>
        <w:pStyle w:val="SingleTxt"/>
        <w:rPr>
          <w:rFonts w:hint="eastAsia"/>
        </w:rPr>
      </w:pPr>
      <w:r>
        <w:rPr>
          <w:rFonts w:hint="eastAsia"/>
        </w:rPr>
        <w:t>262</w:t>
      </w:r>
      <w:r w:rsidR="00A907F4">
        <w:rPr>
          <w:rFonts w:hint="eastAsia"/>
        </w:rPr>
        <w:t xml:space="preserve">.  </w:t>
      </w:r>
      <w:r>
        <w:rPr>
          <w:rFonts w:hint="eastAsia"/>
        </w:rPr>
        <w:t>有些贷款机构优先向女性创业者提供支助(例如，2010年索菲亚的中小型企业市级担保基金)。</w:t>
      </w:r>
    </w:p>
    <w:p w:rsidR="00D0166D" w:rsidRDefault="00D0166D" w:rsidP="00D0166D">
      <w:pPr>
        <w:pStyle w:val="SingleTxt"/>
        <w:rPr>
          <w:rFonts w:hint="eastAsia"/>
        </w:rPr>
      </w:pPr>
      <w:r>
        <w:rPr>
          <w:rFonts w:hint="eastAsia"/>
        </w:rPr>
        <w:t>263</w:t>
      </w:r>
      <w:r w:rsidR="00A907F4">
        <w:rPr>
          <w:rFonts w:hint="eastAsia"/>
        </w:rPr>
        <w:t xml:space="preserve">.  </w:t>
      </w:r>
      <w:r>
        <w:rPr>
          <w:rFonts w:hint="eastAsia"/>
        </w:rPr>
        <w:t>在保加利亚，妇女在休息和娱乐、参加体育活动或文化生活方面不存在法律或体质障碍。</w:t>
      </w:r>
    </w:p>
    <w:p w:rsidR="00D0166D" w:rsidRDefault="00D0166D" w:rsidP="00D0166D">
      <w:pPr>
        <w:pStyle w:val="SingleTxt"/>
        <w:rPr>
          <w:rFonts w:hint="eastAsia"/>
        </w:rPr>
      </w:pPr>
      <w:r>
        <w:rPr>
          <w:rFonts w:hint="eastAsia"/>
        </w:rPr>
        <w:t>264</w:t>
      </w:r>
      <w:r w:rsidR="00A907F4">
        <w:rPr>
          <w:rFonts w:hint="eastAsia"/>
        </w:rPr>
        <w:t xml:space="preserve">.  </w:t>
      </w:r>
      <w:r>
        <w:rPr>
          <w:rFonts w:hint="eastAsia"/>
        </w:rPr>
        <w:t>妇女可在业余时间积极参加体育训练或者以体育作为职业。一批从奥林匹克运动会、世界或者欧洲各赛事载誉而归的女运动员很受欢迎，并且在退役后进入政坛和公共经济生活的各个领域，或者从事体育管理。比如，保加利亚奥利匹克委员会主席就是一名女性。</w:t>
      </w:r>
    </w:p>
    <w:p w:rsidR="00D0166D" w:rsidRDefault="00D0166D" w:rsidP="00D0166D">
      <w:pPr>
        <w:pStyle w:val="SingleTxt"/>
        <w:rPr>
          <w:rFonts w:hint="eastAsia"/>
        </w:rPr>
      </w:pPr>
      <w:r>
        <w:rPr>
          <w:rFonts w:hint="eastAsia"/>
        </w:rPr>
        <w:t>265</w:t>
      </w:r>
      <w:r w:rsidR="00A907F4">
        <w:rPr>
          <w:rFonts w:hint="eastAsia"/>
        </w:rPr>
        <w:t xml:space="preserve">.  </w:t>
      </w:r>
      <w:r>
        <w:rPr>
          <w:rFonts w:hint="eastAsia"/>
        </w:rPr>
        <w:t>国家通过各种专门的方案和举措，努力激发活动量小的妇女活动起来。开展的一项覆盖过去3-4年的社会调查显示，60%-75%女性的工作活动量较低，相应地，48%-70%的女性在闲暇时间里的活动量也很低。2010年，体育运动部通过开展健康宣传活动执行了一个项目，以激励缺少运动的妇女多运动、改善她们的健康状况和减少对其健康的不利影响。提高公众认识可为增强她们自身的积极性和对自身健康的责任创造前提条件，促进体育锻炼、运动和旅游的措施可确保把这项活动作为人们日常生活的一部分，作为现代健康生活方式模范的一个关键要素。</w:t>
      </w:r>
    </w:p>
    <w:p w:rsidR="00D0166D" w:rsidRDefault="00D0166D" w:rsidP="00D0166D">
      <w:pPr>
        <w:pStyle w:val="SingleTxt"/>
      </w:pPr>
      <w:r>
        <w:rPr>
          <w:rFonts w:hint="eastAsia"/>
        </w:rPr>
        <w:t>266</w:t>
      </w:r>
      <w:r w:rsidR="00A907F4">
        <w:rPr>
          <w:rFonts w:hint="eastAsia"/>
        </w:rPr>
        <w:t xml:space="preserve">.  </w:t>
      </w:r>
      <w:r>
        <w:rPr>
          <w:rFonts w:hint="eastAsia"/>
        </w:rPr>
        <w:t>保加利亚妇女通过传统的保加利亚地方机构(chitalishte)的活动，积极参加她们所在社区的文化生活。该机构集图书馆、剧院、外语、舞蹈、音乐等选修课程的提供者，讨论和商谈的举办场所，电影放映厅和兴趣俱乐部等各种功能于一身。现在，在保加利亚登记的chitalishtes超过3 400家，其中90%的管理者都是女性。女性还是chitalishtes 组织的许多文化活动的主要目标群体。传统民俗受到支持，主要通过chitalishtes举办了一系列民俗庆祝活动，所有年龄段的妇女都是这种活动的主要表演者。</w:t>
      </w:r>
    </w:p>
    <w:p w:rsidR="00D0166D" w:rsidRDefault="00D0166D" w:rsidP="0047268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第十四条</w:t>
      </w:r>
    </w:p>
    <w:p w:rsidR="0047268F" w:rsidRPr="0047268F" w:rsidRDefault="0047268F" w:rsidP="0047268F">
      <w:pPr>
        <w:pStyle w:val="SingleTxt"/>
        <w:spacing w:after="0" w:line="120" w:lineRule="exact"/>
        <w:rPr>
          <w:rFonts w:hint="eastAsia"/>
          <w:sz w:val="10"/>
        </w:rPr>
      </w:pPr>
    </w:p>
    <w:p w:rsidR="00D0166D" w:rsidRDefault="00D0166D" w:rsidP="00D0166D">
      <w:pPr>
        <w:pStyle w:val="SingleTxt"/>
        <w:rPr>
          <w:rFonts w:hint="eastAsia"/>
        </w:rPr>
      </w:pPr>
      <w:r>
        <w:rPr>
          <w:rFonts w:hint="eastAsia"/>
        </w:rPr>
        <w:t>267</w:t>
      </w:r>
      <w:r w:rsidR="00A907F4">
        <w:rPr>
          <w:rFonts w:hint="eastAsia"/>
        </w:rPr>
        <w:t xml:space="preserve">.  </w:t>
      </w:r>
      <w:r>
        <w:rPr>
          <w:rFonts w:hint="eastAsia"/>
        </w:rPr>
        <w:t xml:space="preserve">《保加利亚共和国宪法》、国家法律、法定框架、国家战略、确保男女获得事实上的平等机会的机制和措施也奉行两性平等和不歧视原则——这是《消除对妇女一切形式歧视公约》的原则，同时也是欧盟的一项主要原则，这项原则也完全适用于农村妇女。保加利亚在加入欧盟的过程中，在《公约》范畴内通过了各种针对农村妇女的特殊政策和措施。自2000年开始，关于两性平等的国家政策主要体现在为农业和农村发展以及区域发展编制国家计划和方案时对欧盟指令、原则和措施的执行中，这些计划和方案是： </w:t>
      </w:r>
    </w:p>
    <w:p w:rsidR="00D0166D" w:rsidRDefault="0047268F" w:rsidP="00D0166D">
      <w:pPr>
        <w:pStyle w:val="SingleTxt"/>
        <w:rPr>
          <w:rFonts w:hint="eastAsia"/>
        </w:rPr>
      </w:pPr>
      <w:r>
        <w:tab/>
      </w:r>
      <w:r w:rsidR="00D0166D">
        <w:rPr>
          <w:rFonts w:hint="eastAsia"/>
        </w:rPr>
        <w:t>(a)</w:t>
      </w:r>
      <w:r w:rsidR="00D0166D">
        <w:rPr>
          <w:rFonts w:hint="eastAsia"/>
        </w:rPr>
        <w:tab/>
        <w:t>根据《欧盟农业和农村发展特别加入方案》制定的《2000-2006年国家农业和农村发展计划》。措施2.1申明“不容忍对潜在受益者实行任何基于宗教、性别或身体残疾的歧视。如果妇女和残疾人决定‘靠自己所掌握的’手艺进行创业和得到发展，他们将获得特别关注、组织和培训”。</w:t>
      </w:r>
      <w:r>
        <w:rPr>
          <w:rStyle w:val="FootnoteReference"/>
        </w:rPr>
        <w:footnoteReference w:id="21"/>
      </w:r>
      <w:r w:rsidR="00D0166D">
        <w:rPr>
          <w:rFonts w:hint="eastAsia"/>
        </w:rPr>
        <w:t xml:space="preserve"> </w:t>
      </w:r>
    </w:p>
    <w:p w:rsidR="00D0166D" w:rsidRDefault="0047268F" w:rsidP="00D0166D">
      <w:pPr>
        <w:pStyle w:val="SingleTxt"/>
        <w:rPr>
          <w:rFonts w:hint="eastAsia"/>
        </w:rPr>
      </w:pPr>
      <w:r>
        <w:tab/>
      </w:r>
      <w:r w:rsidR="00D0166D">
        <w:rPr>
          <w:rFonts w:hint="eastAsia"/>
        </w:rPr>
        <w:t>(b)</w:t>
      </w:r>
      <w:r w:rsidR="00D0166D">
        <w:rPr>
          <w:rFonts w:hint="eastAsia"/>
        </w:rPr>
        <w:tab/>
        <w:t>《2007-2013年农村发展方案》确定了在根据《方案》各种标准和措施申请并执行项目时应遵循的男女平等和不歧视原则(项目15)。对妇女提交的项目给出了额外排名得分，作为按照《方案》措施311和312</w:t>
      </w:r>
      <w:r w:rsidR="00551059">
        <w:rPr>
          <w:rStyle w:val="FootnoteReference"/>
        </w:rPr>
        <w:footnoteReference w:id="22"/>
      </w:r>
      <w:r w:rsidR="00D0166D">
        <w:rPr>
          <w:rFonts w:hint="eastAsia"/>
        </w:rPr>
        <w:t xml:space="preserve"> 进行项目评价的标准的一部分。</w:t>
      </w:r>
    </w:p>
    <w:p w:rsidR="00D0166D" w:rsidRDefault="0047268F" w:rsidP="00D0166D">
      <w:pPr>
        <w:pStyle w:val="SingleTxt"/>
        <w:rPr>
          <w:rFonts w:hint="eastAsia"/>
        </w:rPr>
      </w:pPr>
      <w:r>
        <w:tab/>
      </w:r>
      <w:r w:rsidR="00D0166D">
        <w:rPr>
          <w:rFonts w:hint="eastAsia"/>
        </w:rPr>
        <w:t>(c)</w:t>
      </w:r>
      <w:r w:rsidR="00D0166D">
        <w:rPr>
          <w:rFonts w:hint="eastAsia"/>
        </w:rPr>
        <w:tab/>
        <w:t>国家两性平等委员会参与了《农村发展方案》(2007-2013年)的编制工作，以确保在制订农村发展措施时兼顾两性平等。委员会的一名成员同时也是方案监测委员会的成员，以此确保《方案》措施规定的男女公平参与项目能够得到切实执行。</w:t>
      </w:r>
    </w:p>
    <w:p w:rsidR="00D0166D" w:rsidRDefault="0047268F" w:rsidP="00D0166D">
      <w:pPr>
        <w:pStyle w:val="SingleTxt"/>
        <w:rPr>
          <w:rFonts w:hint="eastAsia"/>
        </w:rPr>
      </w:pPr>
      <w:r>
        <w:tab/>
      </w:r>
      <w:r w:rsidR="00D0166D">
        <w:rPr>
          <w:rFonts w:hint="eastAsia"/>
        </w:rPr>
        <w:t>(d)</w:t>
      </w:r>
      <w:r w:rsidR="00D0166D">
        <w:rPr>
          <w:rFonts w:hint="eastAsia"/>
        </w:rPr>
        <w:tab/>
        <w:t>从克服区域不平衡和把具有区域及微型区域重要性的自治市放在优先地位的角度来说，《区域发展活动方案》(2007-2013年)也建立在男女平等的基础上(项目3.3.7)。</w:t>
      </w:r>
    </w:p>
    <w:p w:rsidR="00D0166D" w:rsidRDefault="00D0166D" w:rsidP="00D0166D">
      <w:pPr>
        <w:pStyle w:val="SingleTxt"/>
        <w:rPr>
          <w:rFonts w:hint="eastAsia"/>
        </w:rPr>
      </w:pPr>
      <w:r>
        <w:rPr>
          <w:rFonts w:hint="eastAsia"/>
        </w:rPr>
        <w:t>268</w:t>
      </w:r>
      <w:r w:rsidR="00A907F4">
        <w:rPr>
          <w:rFonts w:hint="eastAsia"/>
        </w:rPr>
        <w:t xml:space="preserve">.  </w:t>
      </w:r>
      <w:r>
        <w:rPr>
          <w:rFonts w:hint="eastAsia"/>
        </w:rPr>
        <w:t>在保加利亚，农村妇女通常对农村经济做出巨大贡献，特别是在农业、家庭经济、手工业以及近些年的农村旅游方面。妇女遭受了这种转变的更大冲击，她们失业率更高，就业与个人发展的机会或选择更少，获取资源、进入社会和享受其他服务的途径更有限。</w:t>
      </w:r>
    </w:p>
    <w:p w:rsidR="00D0166D" w:rsidRDefault="00D0166D" w:rsidP="00D0166D">
      <w:pPr>
        <w:pStyle w:val="SingleTxt"/>
        <w:rPr>
          <w:rFonts w:hint="eastAsia"/>
        </w:rPr>
      </w:pPr>
      <w:r>
        <w:rPr>
          <w:rFonts w:hint="eastAsia"/>
        </w:rPr>
        <w:t>269</w:t>
      </w:r>
      <w:r w:rsidR="00A907F4">
        <w:rPr>
          <w:rFonts w:hint="eastAsia"/>
        </w:rPr>
        <w:t xml:space="preserve">.  </w:t>
      </w:r>
      <w:r>
        <w:rPr>
          <w:rFonts w:hint="eastAsia"/>
        </w:rPr>
        <w:t>自2000年以来，随着保加利亚加入欧洲联盟进程的加快，国家法律与共同体法律实现了统一，并执行了欧盟促进男女平等参与农业部门和农村发展政策的基本原则，包括相关指令和机制。农村妇女成为农业和粮食部各项旨在实现平等待遇和将农村妇女融入国家经济、政治和公共生活的方案及试点项目的重点。2001年，国家统计研究所在人口普查和住房普查(1989年以来的第一次)框架内进行了一次农场普查，自此，农业和粮食部农业统计局每年都在不同类型的农场收集按性别分列的就业数据。</w:t>
      </w:r>
    </w:p>
    <w:p w:rsidR="00D0166D" w:rsidRDefault="00D0166D" w:rsidP="00D0166D">
      <w:pPr>
        <w:pStyle w:val="SingleTxt"/>
        <w:rPr>
          <w:rFonts w:hint="eastAsia"/>
        </w:rPr>
      </w:pPr>
      <w:r>
        <w:rPr>
          <w:rFonts w:hint="eastAsia"/>
        </w:rPr>
        <w:t>270</w:t>
      </w:r>
      <w:r w:rsidR="00A907F4">
        <w:rPr>
          <w:rFonts w:hint="eastAsia"/>
        </w:rPr>
        <w:t xml:space="preserve">.  </w:t>
      </w:r>
      <w:r>
        <w:rPr>
          <w:rFonts w:hint="eastAsia"/>
        </w:rPr>
        <w:t>根据欧盟标准，保加利亚有81%的领土为农村地区。在总共5 340个住区中，有5 051个是村庄。根据国家统计研究所提供的数据，2007年，保加利亚的农村人口占总人口的29.3%，性别比为1 026名女性/1 000名男性。农村地区的人口指标不断恶化：与城市地区(-2.1‰)相比，自然增长率达到很高的负值(-12.4‰)，这是由于农村地区出生率更低(8.5‰)，而死亡率更高(20.7‰)，这在男性中(16.1‰)比在女性中(11‰)更为常见。然而，农村地区的生育率(1.60名儿童/1 000名育龄妇女)高于城市地区(1.31名儿童)，这是因为很大一部分新生儿是少数民族，特别是罗姆人。</w:t>
      </w:r>
    </w:p>
    <w:p w:rsidR="00D0166D" w:rsidRDefault="00D0166D" w:rsidP="00D0166D">
      <w:pPr>
        <w:pStyle w:val="SingleTxt"/>
        <w:rPr>
          <w:rFonts w:hint="eastAsia"/>
        </w:rPr>
      </w:pPr>
      <w:r>
        <w:rPr>
          <w:rFonts w:hint="eastAsia"/>
        </w:rPr>
        <w:t>271</w:t>
      </w:r>
      <w:r w:rsidR="00A907F4">
        <w:rPr>
          <w:rFonts w:hint="eastAsia"/>
        </w:rPr>
        <w:t xml:space="preserve">.  </w:t>
      </w:r>
      <w:r>
        <w:rPr>
          <w:rFonts w:hint="eastAsia"/>
        </w:rPr>
        <w:t>老龄化进程影响到了整个国家，但在农村地区更加显著，这里人口的平均年龄是45.4岁，相比之下，全国为41.5岁(2007年)。除最老年龄组(60岁以上)外——女性人数多于男性，所有年龄组中，农村地区女性的比例都小于男性。农村妇女的平均寿命(75.6岁)高于男性(67.9岁)(国家统计研究所，2006年)。</w:t>
      </w:r>
    </w:p>
    <w:p w:rsidR="00D0166D" w:rsidRDefault="00D0166D" w:rsidP="00D0166D">
      <w:pPr>
        <w:pStyle w:val="SingleTxt"/>
        <w:rPr>
          <w:rFonts w:hint="eastAsia"/>
        </w:rPr>
      </w:pPr>
      <w:r>
        <w:rPr>
          <w:rFonts w:hint="eastAsia"/>
        </w:rPr>
        <w:t>272</w:t>
      </w:r>
      <w:r w:rsidR="00A907F4">
        <w:rPr>
          <w:rFonts w:hint="eastAsia"/>
        </w:rPr>
        <w:t xml:space="preserve">.  </w:t>
      </w:r>
      <w:r>
        <w:rPr>
          <w:rFonts w:hint="eastAsia"/>
        </w:rPr>
        <w:t>2008年，农村地区的合同婚姻数量继续减少：2007年为6 184个，2008年为5 878个(约占合同婚姻的20%)。</w:t>
      </w:r>
      <w:r w:rsidR="00551059">
        <w:rPr>
          <w:rStyle w:val="FootnoteReference"/>
        </w:rPr>
        <w:footnoteReference w:id="23"/>
      </w:r>
      <w:r>
        <w:rPr>
          <w:rFonts w:hint="eastAsia"/>
        </w:rPr>
        <w:t xml:space="preserve"> 导致合同婚姻数量减少的原因是农村适龄结婚总人口减少，而且希望同居而不愿订立公证婚姻的年轻人的数量增加。一般情况下，农村妇女的初婚年龄早于男子四年，男子通常在28岁结婚。农村地区未婚男性的人数远远超过未婚女性。在农村地区，妇女的头胎生育平均年龄(22.7岁)小于城市地区(25.2岁)。大家庭多为少数群体的农村家庭，主要是罗姆人。农村地区的平均家庭规模为2.7名成员(2001年)。关于婚姻状况，村庄中约一半的家庭为已婚家庭，由寡妇组成的农村家庭的比例超过由单身男性组成的家庭。</w:t>
      </w:r>
    </w:p>
    <w:p w:rsidR="00D0166D" w:rsidRDefault="00D0166D" w:rsidP="00D0166D">
      <w:pPr>
        <w:pStyle w:val="SingleTxt"/>
        <w:rPr>
          <w:rFonts w:hint="eastAsia"/>
        </w:rPr>
      </w:pPr>
      <w:r>
        <w:rPr>
          <w:rFonts w:hint="eastAsia"/>
        </w:rPr>
        <w:t>273</w:t>
      </w:r>
      <w:r w:rsidR="00A907F4">
        <w:rPr>
          <w:rFonts w:hint="eastAsia"/>
        </w:rPr>
        <w:t xml:space="preserve">.  </w:t>
      </w:r>
      <w:r>
        <w:rPr>
          <w:rFonts w:hint="eastAsia"/>
        </w:rPr>
        <w:t>农村妇女主要是在地方政府中任市长、副市长和市议员，并参与决策和身居管理职位。统计调查显示，近几年，她们在地方政府的参与程度不断提高。</w:t>
      </w:r>
      <w:r w:rsidR="00551059">
        <w:rPr>
          <w:rStyle w:val="FootnoteReference"/>
        </w:rPr>
        <w:footnoteReference w:id="24"/>
      </w:r>
      <w:r>
        <w:rPr>
          <w:rFonts w:hint="eastAsia"/>
        </w:rPr>
        <w:t xml:space="preserve"> 另一方面，数据显示，在全国(所有区域)大部分农村乡镇，全职就业的妇女占绝大多数。</w:t>
      </w:r>
      <w:r w:rsidR="00551059">
        <w:rPr>
          <w:rStyle w:val="FootnoteReference"/>
        </w:rPr>
        <w:footnoteReference w:id="25"/>
      </w:r>
      <w:r>
        <w:rPr>
          <w:rFonts w:hint="eastAsia"/>
        </w:rPr>
        <w:t xml:space="preserve"> 由欧盟的结构基金资助的《2007-2013年农村发展方案》LEADER方法</w:t>
      </w:r>
      <w:r w:rsidR="00551059">
        <w:rPr>
          <w:rStyle w:val="FootnoteReference"/>
        </w:rPr>
        <w:footnoteReference w:id="26"/>
      </w:r>
      <w:r>
        <w:rPr>
          <w:rFonts w:hint="eastAsia"/>
        </w:rPr>
        <w:t xml:space="preserve"> (标准4)鼓励地方自治，创造更多机会吸引农村妇女在伙伴关系原则基础上参加与发展和执行地方发展战略和计划有关的集体活动，</w:t>
      </w:r>
      <w:r w:rsidR="00551059">
        <w:rPr>
          <w:rStyle w:val="FootnoteReference"/>
        </w:rPr>
        <w:footnoteReference w:id="27"/>
      </w:r>
      <w:r>
        <w:rPr>
          <w:rFonts w:hint="eastAsia"/>
        </w:rPr>
        <w:t xml:space="preserve"> 促进建立推动两性平等的机构。</w:t>
      </w:r>
    </w:p>
    <w:p w:rsidR="00D0166D" w:rsidRDefault="00D0166D" w:rsidP="00D0166D">
      <w:pPr>
        <w:pStyle w:val="SingleTxt"/>
        <w:rPr>
          <w:rFonts w:hint="eastAsia"/>
        </w:rPr>
      </w:pPr>
      <w:r>
        <w:rPr>
          <w:rFonts w:hint="eastAsia"/>
        </w:rPr>
        <w:t>274</w:t>
      </w:r>
      <w:r w:rsidR="00A907F4">
        <w:rPr>
          <w:rFonts w:hint="eastAsia"/>
        </w:rPr>
        <w:t xml:space="preserve">.  </w:t>
      </w:r>
      <w:r>
        <w:rPr>
          <w:rFonts w:hint="eastAsia"/>
        </w:rPr>
        <w:t>自1999年以来，农村地区只能提供初级医疗护理，亦即全科医生。所有参加医疗保险的农村妇女都有权获得初级医疗护理。不满18岁的女孩和女性养老金领取者可免费获得初级医疗护理。</w:t>
      </w:r>
    </w:p>
    <w:p w:rsidR="00D0166D" w:rsidRDefault="00D0166D" w:rsidP="00D0166D">
      <w:pPr>
        <w:pStyle w:val="SingleTxt"/>
        <w:rPr>
          <w:rFonts w:hint="eastAsia"/>
        </w:rPr>
      </w:pPr>
      <w:r>
        <w:rPr>
          <w:rFonts w:hint="eastAsia"/>
        </w:rPr>
        <w:t>275</w:t>
      </w:r>
      <w:r w:rsidR="00A907F4">
        <w:rPr>
          <w:rFonts w:hint="eastAsia"/>
        </w:rPr>
        <w:t xml:space="preserve">.  </w:t>
      </w:r>
      <w:r>
        <w:rPr>
          <w:rFonts w:hint="eastAsia"/>
        </w:rPr>
        <w:t>国家法律保障所有确定雇用关系的人享有平等的社会保障权利和保护。法律规定，农村妇女享有以下平等权利：休产假(出于退休保险目的算作服务年限)，使用《社会保险法》(《社会保险法》第四条)规定的临时残疾和职业康复、永久残疾、孕妇和失业抚恤金。</w:t>
      </w:r>
    </w:p>
    <w:p w:rsidR="00D0166D" w:rsidRDefault="00D0166D" w:rsidP="00D0166D">
      <w:pPr>
        <w:pStyle w:val="SingleTxt"/>
        <w:rPr>
          <w:rFonts w:hint="eastAsia"/>
        </w:rPr>
      </w:pPr>
      <w:r>
        <w:rPr>
          <w:rFonts w:hint="eastAsia"/>
        </w:rPr>
        <w:t>276</w:t>
      </w:r>
      <w:r w:rsidR="00A907F4">
        <w:rPr>
          <w:rFonts w:hint="eastAsia"/>
        </w:rPr>
        <w:t xml:space="preserve">.  </w:t>
      </w:r>
      <w:r>
        <w:rPr>
          <w:rFonts w:hint="eastAsia"/>
        </w:rPr>
        <w:t>登记的农业和烟草生产者有义务缴纳一般疾病残疾、老年和死亡社会保险费。涵盖这些风险的社会保险费为月收入的23%——月收入不得低于《公共社会保险预算法》确定的当年最低额(240保加利亚列弗)和高于最高额(2 000保加利亚列弗)。</w:t>
      </w:r>
      <w:r w:rsidR="00C46079">
        <w:rPr>
          <w:rStyle w:val="FootnoteReference"/>
        </w:rPr>
        <w:footnoteReference w:id="28"/>
      </w:r>
      <w:r>
        <w:rPr>
          <w:rFonts w:hint="eastAsia"/>
        </w:rPr>
        <w:t xml:space="preserve"> 优先选择只开展农业活动的登记的农业和烟草生产者，这是因为他们可以在到期社会保险适用的日历年之后一年的3月31日再行缴纳，也可以重新安排在更长期限内履行其缴纳公共社会保险的义务。</w:t>
      </w:r>
      <w:r w:rsidR="00C46079">
        <w:rPr>
          <w:rStyle w:val="FootnoteReference"/>
        </w:rPr>
        <w:footnoteReference w:id="29"/>
      </w:r>
      <w:r>
        <w:rPr>
          <w:rFonts w:hint="eastAsia"/>
        </w:rPr>
        <w:t xml:space="preserve">  </w:t>
      </w:r>
    </w:p>
    <w:p w:rsidR="00D0166D" w:rsidRDefault="00D0166D" w:rsidP="00D0166D">
      <w:pPr>
        <w:pStyle w:val="SingleTxt"/>
        <w:rPr>
          <w:rFonts w:hint="eastAsia"/>
        </w:rPr>
      </w:pPr>
      <w:r>
        <w:rPr>
          <w:rFonts w:hint="eastAsia"/>
        </w:rPr>
        <w:t>277</w:t>
      </w:r>
      <w:r w:rsidR="00A907F4">
        <w:rPr>
          <w:rFonts w:hint="eastAsia"/>
        </w:rPr>
        <w:t xml:space="preserve">.  </w:t>
      </w:r>
      <w:r>
        <w:rPr>
          <w:rFonts w:hint="eastAsia"/>
        </w:rPr>
        <w:t>根据统计情况，农村妇女的受教育程度略低于男子，只有完成初级教育的男性的比例大于女性(2001年)。</w:t>
      </w:r>
      <w:r w:rsidR="00C46079">
        <w:rPr>
          <w:rStyle w:val="FootnoteReference"/>
        </w:rPr>
        <w:footnoteReference w:id="30"/>
      </w:r>
      <w:r>
        <w:rPr>
          <w:rFonts w:hint="eastAsia"/>
        </w:rPr>
        <w:t xml:space="preserve"> 由于距离教育机构路程遥远以及经济原因，及她们在家庭经济及社会家庭的正常运作方面发挥的重要劳力贡献，农村妇女更难获得高等教育。农村妇女的教育状况存在巨大的民族差异：少数民族的教育程度最低(最甚者为罗姆妇女和女孩)，文盲率最高。为消除教育获取不公平状况——特别是对罗姆女孩和妇女来说，实施《保护少数民族框架公约》(1999年，特别是第4.2条和第6条)和争取实现“接纳罗姆人十年”的目标，编制了《少数民族儿童和学生教育接纳战略》(2004年)，并执行了国家方案(开放社会学会的教育和罗姆人方案-索非亚等)，以及区域和地方项目(补习学校法尔方案资助的促进罗姆人融合项目——通过入门扫盲促进社会融合项目，辅助学校项目，逐步方案基金会实施的部长理事会支持罗姆人融合试点项目等)。他们都切实促进罗姆女孩和妇女的平等机会，并把她们完全融入公共生活的各个领域，主要通过提高她们的教育水平、促进罗姆儿童入学、入门扫盲课程和提高认识方案及职业指导等。</w:t>
      </w:r>
    </w:p>
    <w:p w:rsidR="00D0166D" w:rsidRDefault="00D0166D" w:rsidP="00D0166D">
      <w:pPr>
        <w:pStyle w:val="SingleTxt"/>
        <w:rPr>
          <w:rFonts w:hint="eastAsia"/>
        </w:rPr>
      </w:pPr>
      <w:r>
        <w:rPr>
          <w:rFonts w:hint="eastAsia"/>
        </w:rPr>
        <w:t>278</w:t>
      </w:r>
      <w:r w:rsidR="00A907F4">
        <w:rPr>
          <w:rFonts w:hint="eastAsia"/>
        </w:rPr>
        <w:t xml:space="preserve">.  </w:t>
      </w:r>
      <w:r>
        <w:rPr>
          <w:rFonts w:hint="eastAsia"/>
        </w:rPr>
        <w:t>在执行《2000-2006年国家农村发展计划》，特别是《2007-2013年农村发展方案》的过程中，农村妇女获得市镇农业服务，以及区域农业咨询服务的情况显著改善。这主要是通过农村妇女在申请这些方案项目——农业和粮食部通过各种活动实施的——资金时参加培训课程和加强她们专门技能的课程实现的。自2006年以来，参加各种形式培训的妇女人数和不同规模的实际项目数量都在增加。因此，农业和粮食部为推广各方采用《2007-2013年农村发展方案》措施开展的名为“流动农业顾问小组：走家串户”的信息活动包括依照农业和粮食部网站发布的时间表，在区域首府举办讨论会和在所有市镇中心(包括大的村庄)举行开放信息日。共有超过10,000人参加了所有培训和信息活动，妇女对于措施141——支持重组中的半自给农场和措施112——扶持年轻农民。依照措施112核准的2008年项目分析显示，核准的申请中有32.8%是年轻女农民提交的。</w:t>
      </w:r>
    </w:p>
    <w:p w:rsidR="00D0166D" w:rsidRDefault="00D0166D" w:rsidP="00D0166D">
      <w:pPr>
        <w:pStyle w:val="SingleTxt"/>
        <w:rPr>
          <w:rFonts w:hint="eastAsia"/>
        </w:rPr>
      </w:pPr>
      <w:r>
        <w:rPr>
          <w:rFonts w:hint="eastAsia"/>
        </w:rPr>
        <w:t>279</w:t>
      </w:r>
      <w:r w:rsidR="00A907F4">
        <w:rPr>
          <w:rFonts w:hint="eastAsia"/>
        </w:rPr>
        <w:t xml:space="preserve">.  </w:t>
      </w:r>
      <w:r>
        <w:rPr>
          <w:rFonts w:hint="eastAsia"/>
        </w:rPr>
        <w:t>根据关于知识培训、信息和传播的措施111，该方案为在农业领域工作的男女提供了一次免费培训(包括交通和食宿费用)的机会。</w:t>
      </w:r>
    </w:p>
    <w:p w:rsidR="002F0C3A" w:rsidRDefault="00D0166D" w:rsidP="00D0166D">
      <w:pPr>
        <w:pStyle w:val="SingleTxt"/>
      </w:pPr>
      <w:r>
        <w:rPr>
          <w:rFonts w:hint="eastAsia"/>
        </w:rPr>
        <w:t>280</w:t>
      </w:r>
      <w:r w:rsidR="00A907F4">
        <w:rPr>
          <w:rFonts w:hint="eastAsia"/>
        </w:rPr>
        <w:t xml:space="preserve">.  </w:t>
      </w:r>
      <w:r>
        <w:rPr>
          <w:rFonts w:hint="eastAsia"/>
        </w:rPr>
        <w:t>农业和粮食部国家农业咨询处依照《2007-2013年农村发展方案》关于提供农场咨询和推广服务的措施143开展各种活动。2008年，国家农业咨询处筹备的女性受益人项目增加了13%。2008年6月至2009年1月间，根据关于农业环境付款的措施214和关于扶持年轻农民的措施112，总共筹备了2 604组咨询服务，以下数据显示女性受益人——农业生产者提交的项目数量大幅增加：</w:t>
      </w:r>
      <w:r w:rsidR="00C46079">
        <w:rPr>
          <w:rStyle w:val="FootnoteReference"/>
        </w:rPr>
        <w:footnoteReference w:id="31"/>
      </w:r>
    </w:p>
    <w:tbl>
      <w:tblPr>
        <w:tblW w:w="0" w:type="auto"/>
        <w:tblInd w:w="1368" w:type="dxa"/>
        <w:tblLayout w:type="fixed"/>
        <w:tblLook w:val="0000" w:firstRow="0" w:lastRow="0" w:firstColumn="0" w:lastColumn="0" w:noHBand="0" w:noVBand="0"/>
      </w:tblPr>
      <w:tblGrid>
        <w:gridCol w:w="1837"/>
        <w:gridCol w:w="1837"/>
        <w:gridCol w:w="1837"/>
        <w:gridCol w:w="1838"/>
      </w:tblGrid>
      <w:tr w:rsidR="00811328" w:rsidRPr="00811328" w:rsidTr="00811328">
        <w:trPr>
          <w:tblHeader/>
        </w:trPr>
        <w:tc>
          <w:tcPr>
            <w:tcW w:w="1837" w:type="dxa"/>
            <w:tcBorders>
              <w:top w:val="single" w:sz="4" w:space="0" w:color="auto"/>
              <w:bottom w:val="single" w:sz="12" w:space="0" w:color="auto"/>
            </w:tcBorders>
            <w:shd w:val="clear" w:color="auto" w:fill="auto"/>
            <w:vAlign w:val="bottom"/>
          </w:tcPr>
          <w:p w:rsidR="00811328" w:rsidRPr="00811328" w:rsidRDefault="00811328" w:rsidP="00811328">
            <w:pPr>
              <w:suppressAutoHyphens/>
              <w:spacing w:before="60" w:after="60" w:line="200" w:lineRule="exact"/>
              <w:ind w:right="57"/>
              <w:rPr>
                <w:rFonts w:ascii="KaiTi_GB2312" w:eastAsia="KaiTi_GB2312" w:hint="eastAsia"/>
                <w:sz w:val="15"/>
                <w:szCs w:val="18"/>
              </w:rPr>
            </w:pPr>
            <w:r w:rsidRPr="00811328">
              <w:rPr>
                <w:rFonts w:ascii="KaiTi_GB2312" w:eastAsia="KaiTi_GB2312" w:hint="eastAsia"/>
                <w:sz w:val="15"/>
                <w:szCs w:val="18"/>
              </w:rPr>
              <w:t>项目</w:t>
            </w:r>
          </w:p>
        </w:tc>
        <w:tc>
          <w:tcPr>
            <w:tcW w:w="1837" w:type="dxa"/>
            <w:tcBorders>
              <w:top w:val="single" w:sz="4" w:space="0" w:color="auto"/>
              <w:bottom w:val="single" w:sz="12" w:space="0" w:color="auto"/>
            </w:tcBorders>
            <w:shd w:val="clear" w:color="auto" w:fill="auto"/>
            <w:vAlign w:val="bottom"/>
          </w:tcPr>
          <w:p w:rsidR="00811328" w:rsidRPr="00811328" w:rsidRDefault="00811328" w:rsidP="00811328">
            <w:pPr>
              <w:suppressAutoHyphens/>
              <w:spacing w:before="60" w:after="60" w:line="200" w:lineRule="exact"/>
              <w:ind w:right="57"/>
              <w:jc w:val="right"/>
              <w:rPr>
                <w:rFonts w:ascii="KaiTi_GB2312" w:eastAsia="KaiTi_GB2312" w:hint="eastAsia"/>
                <w:sz w:val="15"/>
                <w:szCs w:val="18"/>
              </w:rPr>
            </w:pPr>
            <w:r w:rsidRPr="00811328">
              <w:rPr>
                <w:rFonts w:ascii="KaiTi_GB2312" w:eastAsia="KaiTi_GB2312"/>
                <w:sz w:val="15"/>
                <w:szCs w:val="18"/>
              </w:rPr>
              <w:t>2008</w:t>
            </w:r>
            <w:r w:rsidRPr="00811328">
              <w:rPr>
                <w:rFonts w:ascii="KaiTi_GB2312" w:eastAsia="KaiTi_GB2312" w:hint="eastAsia"/>
                <w:sz w:val="15"/>
                <w:szCs w:val="18"/>
              </w:rPr>
              <w:t>年6月</w:t>
            </w:r>
          </w:p>
        </w:tc>
        <w:tc>
          <w:tcPr>
            <w:tcW w:w="1837" w:type="dxa"/>
            <w:tcBorders>
              <w:top w:val="single" w:sz="4" w:space="0" w:color="auto"/>
              <w:bottom w:val="single" w:sz="12" w:space="0" w:color="auto"/>
            </w:tcBorders>
            <w:shd w:val="clear" w:color="auto" w:fill="auto"/>
            <w:vAlign w:val="bottom"/>
          </w:tcPr>
          <w:p w:rsidR="00811328" w:rsidRPr="00811328" w:rsidRDefault="00811328" w:rsidP="00811328">
            <w:pPr>
              <w:suppressAutoHyphens/>
              <w:spacing w:before="60" w:after="60" w:line="200" w:lineRule="exact"/>
              <w:ind w:right="57"/>
              <w:jc w:val="right"/>
              <w:rPr>
                <w:rFonts w:ascii="KaiTi_GB2312" w:eastAsia="KaiTi_GB2312" w:hint="eastAsia"/>
                <w:sz w:val="15"/>
                <w:szCs w:val="18"/>
              </w:rPr>
            </w:pPr>
            <w:r w:rsidRPr="00811328">
              <w:rPr>
                <w:rFonts w:ascii="KaiTi_GB2312" w:eastAsia="KaiTi_GB2312"/>
                <w:sz w:val="15"/>
                <w:szCs w:val="18"/>
              </w:rPr>
              <w:t>2008</w:t>
            </w:r>
            <w:r w:rsidRPr="00811328">
              <w:rPr>
                <w:rFonts w:ascii="KaiTi_GB2312" w:eastAsia="KaiTi_GB2312" w:hint="eastAsia"/>
                <w:sz w:val="15"/>
                <w:szCs w:val="18"/>
              </w:rPr>
              <w:t>年9月</w:t>
            </w:r>
          </w:p>
        </w:tc>
        <w:tc>
          <w:tcPr>
            <w:tcW w:w="1838" w:type="dxa"/>
            <w:tcBorders>
              <w:top w:val="single" w:sz="4" w:space="0" w:color="auto"/>
              <w:bottom w:val="single" w:sz="12" w:space="0" w:color="auto"/>
            </w:tcBorders>
            <w:shd w:val="clear" w:color="auto" w:fill="auto"/>
            <w:vAlign w:val="bottom"/>
          </w:tcPr>
          <w:p w:rsidR="00811328" w:rsidRPr="00811328" w:rsidRDefault="00811328" w:rsidP="00811328">
            <w:pPr>
              <w:suppressAutoHyphens/>
              <w:spacing w:before="60" w:after="60" w:line="200" w:lineRule="exact"/>
              <w:ind w:right="57"/>
              <w:jc w:val="right"/>
              <w:rPr>
                <w:rFonts w:ascii="KaiTi_GB2312" w:eastAsia="KaiTi_GB2312" w:hint="eastAsia"/>
                <w:sz w:val="15"/>
                <w:szCs w:val="18"/>
              </w:rPr>
            </w:pPr>
            <w:r w:rsidRPr="00811328">
              <w:rPr>
                <w:rFonts w:ascii="KaiTi_GB2312" w:eastAsia="KaiTi_GB2312"/>
                <w:sz w:val="15"/>
                <w:szCs w:val="18"/>
              </w:rPr>
              <w:t>2009</w:t>
            </w:r>
            <w:r w:rsidRPr="00811328">
              <w:rPr>
                <w:rFonts w:ascii="KaiTi_GB2312" w:eastAsia="KaiTi_GB2312" w:hint="eastAsia"/>
                <w:sz w:val="15"/>
                <w:szCs w:val="18"/>
              </w:rPr>
              <w:t>年1月</w:t>
            </w:r>
          </w:p>
        </w:tc>
      </w:tr>
      <w:tr w:rsidR="00811328" w:rsidRPr="00811328" w:rsidTr="00811328">
        <w:trPr>
          <w:trHeight w:hRule="exact" w:val="115"/>
          <w:tblHeader/>
        </w:trPr>
        <w:tc>
          <w:tcPr>
            <w:tcW w:w="1837" w:type="dxa"/>
            <w:tcBorders>
              <w:top w:val="single" w:sz="12" w:space="0" w:color="auto"/>
            </w:tcBorders>
            <w:shd w:val="clear" w:color="auto" w:fill="auto"/>
            <w:vAlign w:val="bottom"/>
          </w:tcPr>
          <w:p w:rsidR="00811328" w:rsidRPr="00811328" w:rsidRDefault="00811328" w:rsidP="00811328">
            <w:pPr>
              <w:suppressAutoHyphens/>
              <w:spacing w:after="60" w:line="280" w:lineRule="exact"/>
              <w:ind w:right="57"/>
              <w:rPr>
                <w:rFonts w:hint="eastAsia"/>
                <w:sz w:val="17"/>
                <w:szCs w:val="18"/>
              </w:rPr>
            </w:pPr>
          </w:p>
        </w:tc>
        <w:tc>
          <w:tcPr>
            <w:tcW w:w="1837" w:type="dxa"/>
            <w:tcBorders>
              <w:top w:val="single" w:sz="12" w:space="0" w:color="auto"/>
            </w:tcBorders>
            <w:shd w:val="clear" w:color="auto" w:fill="auto"/>
            <w:vAlign w:val="bottom"/>
          </w:tcPr>
          <w:p w:rsidR="00811328" w:rsidRPr="00811328" w:rsidRDefault="00811328" w:rsidP="00811328">
            <w:pPr>
              <w:suppressAutoHyphens/>
              <w:spacing w:after="60" w:line="280" w:lineRule="exact"/>
              <w:ind w:right="57"/>
              <w:jc w:val="right"/>
              <w:rPr>
                <w:sz w:val="17"/>
                <w:szCs w:val="18"/>
              </w:rPr>
            </w:pPr>
          </w:p>
        </w:tc>
        <w:tc>
          <w:tcPr>
            <w:tcW w:w="1837" w:type="dxa"/>
            <w:tcBorders>
              <w:top w:val="single" w:sz="12" w:space="0" w:color="auto"/>
            </w:tcBorders>
            <w:shd w:val="clear" w:color="auto" w:fill="auto"/>
            <w:vAlign w:val="bottom"/>
          </w:tcPr>
          <w:p w:rsidR="00811328" w:rsidRPr="00811328" w:rsidRDefault="00811328" w:rsidP="00811328">
            <w:pPr>
              <w:suppressAutoHyphens/>
              <w:spacing w:after="60" w:line="280" w:lineRule="exact"/>
              <w:ind w:right="57"/>
              <w:jc w:val="right"/>
              <w:rPr>
                <w:sz w:val="17"/>
                <w:szCs w:val="18"/>
              </w:rPr>
            </w:pPr>
          </w:p>
        </w:tc>
        <w:tc>
          <w:tcPr>
            <w:tcW w:w="1838" w:type="dxa"/>
            <w:tcBorders>
              <w:top w:val="single" w:sz="12" w:space="0" w:color="auto"/>
            </w:tcBorders>
            <w:shd w:val="clear" w:color="auto" w:fill="auto"/>
            <w:vAlign w:val="bottom"/>
          </w:tcPr>
          <w:p w:rsidR="00811328" w:rsidRPr="00811328" w:rsidRDefault="00811328" w:rsidP="00811328">
            <w:pPr>
              <w:suppressAutoHyphens/>
              <w:spacing w:after="60" w:line="280" w:lineRule="exact"/>
              <w:ind w:right="57"/>
              <w:jc w:val="right"/>
              <w:rPr>
                <w:sz w:val="17"/>
                <w:szCs w:val="18"/>
              </w:rPr>
            </w:pPr>
          </w:p>
        </w:tc>
      </w:tr>
      <w:tr w:rsidR="00811328" w:rsidRPr="00811328" w:rsidTr="00811328">
        <w:tc>
          <w:tcPr>
            <w:tcW w:w="1837"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rPr>
                <w:rFonts w:hint="eastAsia"/>
                <w:sz w:val="17"/>
                <w:szCs w:val="18"/>
              </w:rPr>
            </w:pPr>
            <w:r w:rsidRPr="00811328">
              <w:rPr>
                <w:rFonts w:hint="eastAsia"/>
                <w:sz w:val="17"/>
                <w:szCs w:val="18"/>
              </w:rPr>
              <w:t>总数</w:t>
            </w:r>
          </w:p>
        </w:tc>
        <w:tc>
          <w:tcPr>
            <w:tcW w:w="1837"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1,603</w:t>
            </w:r>
          </w:p>
        </w:tc>
        <w:tc>
          <w:tcPr>
            <w:tcW w:w="1837"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449</w:t>
            </w:r>
          </w:p>
        </w:tc>
        <w:tc>
          <w:tcPr>
            <w:tcW w:w="1838"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552</w:t>
            </w:r>
          </w:p>
        </w:tc>
      </w:tr>
      <w:tr w:rsidR="00811328" w:rsidRPr="00811328" w:rsidTr="00811328">
        <w:tc>
          <w:tcPr>
            <w:tcW w:w="1837"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rPr>
                <w:rFonts w:hint="eastAsia"/>
                <w:sz w:val="17"/>
                <w:szCs w:val="18"/>
              </w:rPr>
            </w:pPr>
            <w:r w:rsidRPr="00811328">
              <w:rPr>
                <w:rFonts w:hint="eastAsia"/>
                <w:sz w:val="17"/>
                <w:szCs w:val="18"/>
              </w:rPr>
              <w:t>妇女申请的数量</w:t>
            </w:r>
          </w:p>
        </w:tc>
        <w:tc>
          <w:tcPr>
            <w:tcW w:w="1837"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466</w:t>
            </w:r>
          </w:p>
        </w:tc>
        <w:tc>
          <w:tcPr>
            <w:tcW w:w="1837"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184</w:t>
            </w:r>
          </w:p>
        </w:tc>
        <w:tc>
          <w:tcPr>
            <w:tcW w:w="1838" w:type="dxa"/>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230</w:t>
            </w:r>
          </w:p>
        </w:tc>
      </w:tr>
      <w:tr w:rsidR="00811328" w:rsidRPr="00811328" w:rsidTr="00811328">
        <w:tc>
          <w:tcPr>
            <w:tcW w:w="1837" w:type="dxa"/>
            <w:tcBorders>
              <w:bottom w:val="single" w:sz="12" w:space="0" w:color="auto"/>
            </w:tcBorders>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rPr>
                <w:rFonts w:hint="eastAsia"/>
                <w:sz w:val="17"/>
                <w:szCs w:val="18"/>
              </w:rPr>
            </w:pPr>
            <w:r w:rsidRPr="00811328">
              <w:rPr>
                <w:rFonts w:hint="eastAsia"/>
                <w:sz w:val="17"/>
                <w:szCs w:val="18"/>
              </w:rPr>
              <w:t>妇女申请百分比</w:t>
            </w:r>
          </w:p>
        </w:tc>
        <w:tc>
          <w:tcPr>
            <w:tcW w:w="1837" w:type="dxa"/>
            <w:tcBorders>
              <w:bottom w:val="single" w:sz="12" w:space="0" w:color="auto"/>
            </w:tcBorders>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29.7 %</w:t>
            </w:r>
          </w:p>
        </w:tc>
        <w:tc>
          <w:tcPr>
            <w:tcW w:w="1837" w:type="dxa"/>
            <w:tcBorders>
              <w:bottom w:val="single" w:sz="12" w:space="0" w:color="auto"/>
            </w:tcBorders>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40.9 %</w:t>
            </w:r>
          </w:p>
        </w:tc>
        <w:tc>
          <w:tcPr>
            <w:tcW w:w="1838" w:type="dxa"/>
            <w:tcBorders>
              <w:bottom w:val="single" w:sz="12" w:space="0" w:color="auto"/>
            </w:tcBorders>
            <w:shd w:val="clear" w:color="auto" w:fill="auto"/>
            <w:vAlign w:val="bottom"/>
          </w:tcPr>
          <w:p w:rsidR="00811328" w:rsidRPr="00811328" w:rsidRDefault="00811328" w:rsidP="00811328">
            <w:pPr>
              <w:tabs>
                <w:tab w:val="left" w:pos="334"/>
                <w:tab w:val="left" w:pos="669"/>
                <w:tab w:val="left" w:pos="1003"/>
                <w:tab w:val="left" w:pos="1338"/>
              </w:tabs>
              <w:suppressAutoHyphens/>
              <w:spacing w:after="60" w:line="280" w:lineRule="exact"/>
              <w:ind w:right="57"/>
              <w:jc w:val="right"/>
              <w:rPr>
                <w:sz w:val="17"/>
                <w:szCs w:val="18"/>
              </w:rPr>
            </w:pPr>
            <w:r w:rsidRPr="00811328">
              <w:rPr>
                <w:sz w:val="17"/>
                <w:szCs w:val="18"/>
              </w:rPr>
              <w:t>42.7 %</w:t>
            </w:r>
          </w:p>
        </w:tc>
      </w:tr>
    </w:tbl>
    <w:p w:rsidR="00811328" w:rsidRPr="00811328" w:rsidRDefault="00811328" w:rsidP="00811328">
      <w:pPr>
        <w:pStyle w:val="SingleTxt"/>
        <w:spacing w:after="0" w:line="120" w:lineRule="exact"/>
        <w:rPr>
          <w:sz w:val="10"/>
        </w:rPr>
      </w:pPr>
    </w:p>
    <w:p w:rsidR="00811328" w:rsidRPr="00811328" w:rsidRDefault="00811328" w:rsidP="00811328">
      <w:pPr>
        <w:pStyle w:val="SingleTxt"/>
        <w:spacing w:after="0" w:line="120" w:lineRule="exact"/>
        <w:rPr>
          <w:sz w:val="10"/>
        </w:rPr>
      </w:pPr>
    </w:p>
    <w:p w:rsidR="00DB32A1" w:rsidRDefault="00DB32A1" w:rsidP="00DB32A1">
      <w:pPr>
        <w:pStyle w:val="SingleTxt"/>
        <w:rPr>
          <w:rFonts w:hint="eastAsia"/>
        </w:rPr>
      </w:pPr>
      <w:r>
        <w:rPr>
          <w:rFonts w:hint="eastAsia"/>
        </w:rPr>
        <w:t>281.  国家农业咨询处积极开展工作，并与非农业部门就两性平等问题开展了密切合作。2009年，农业和粮食部计划收集了更多的数据，以了解参加解释性活动、培训讨论会和在资助方案下实施的项目的男女比例。</w:t>
      </w:r>
    </w:p>
    <w:p w:rsidR="00DB32A1" w:rsidRDefault="00DB32A1" w:rsidP="00DB32A1">
      <w:pPr>
        <w:pStyle w:val="SingleTxt"/>
        <w:rPr>
          <w:rFonts w:hint="eastAsia"/>
        </w:rPr>
      </w:pPr>
      <w:r>
        <w:rPr>
          <w:rFonts w:hint="eastAsia"/>
        </w:rPr>
        <w:t>282.  在所有达到工作年龄的这一类人中，农村妇女占44.7%，超过工作年龄的农村妇女的比例很高，达到61.8%。</w:t>
      </w:r>
      <w:r>
        <w:rPr>
          <w:rStyle w:val="FootnoteReference"/>
        </w:rPr>
        <w:footnoteReference w:id="32"/>
      </w:r>
      <w:r>
        <w:rPr>
          <w:rFonts w:hint="eastAsia"/>
        </w:rPr>
        <w:t xml:space="preserve"> 这一比例还影响了农村地区的就业结构，特别是妇女的就业和农村妇女对农村经济的贡献。根据统计信息，2007年，在农业、狩猎、林业和渔业工作的妇女达1 521 100人，约占这些部门就业总人口的46 %。尽管在这些部门就业的妇女人数整体减少，他们在农村地区妇女就业方面仍处于领先地位。由于经济原因，有些农村妇女又返回私人农业部门(411 460人)(特别是在未依据任何法律登记的自然人农场，有397 161名妇女在这里工作)、合作社或其他形式的农业协会就业。</w:t>
      </w:r>
      <w:r>
        <w:rPr>
          <w:rStyle w:val="FootnoteReference"/>
        </w:rPr>
        <w:footnoteReference w:id="33"/>
      </w:r>
      <w:r>
        <w:rPr>
          <w:rFonts w:hint="eastAsia"/>
        </w:rPr>
        <w:t xml:space="preserve"> 在农业领域发挥管理职能的农村妇女的比例远远低于男子，这使得她们在部门管理和决策进程中处于不利地位。管理农场的妇女的比例有所提高，尽管涨幅不大，从2004年的17.7%增至2007年的20%。</w:t>
      </w:r>
      <w:r>
        <w:rPr>
          <w:rStyle w:val="FootnoteReference"/>
        </w:rPr>
        <w:footnoteReference w:id="34"/>
      </w:r>
      <w:r>
        <w:rPr>
          <w:rFonts w:hint="eastAsia"/>
        </w:rPr>
        <w:t xml:space="preserve"> </w:t>
      </w:r>
    </w:p>
    <w:p w:rsidR="00DB32A1" w:rsidRDefault="00DB32A1" w:rsidP="00DB32A1">
      <w:pPr>
        <w:pStyle w:val="SingleTxt"/>
        <w:rPr>
          <w:rFonts w:hint="eastAsia"/>
        </w:rPr>
      </w:pPr>
      <w:r>
        <w:rPr>
          <w:rFonts w:hint="eastAsia"/>
        </w:rPr>
        <w:t>283.  然而，与全国平均值和男性相比，农村妇女的失业率最高。劳动和社会政策部《国家就业行动计划》通过各种方案和项目，包括在农村地区，为切实实现男女在实现就业方面的平等机会和克服失业做出了巨大贡献。农村妇女是这些就业和培训方案及措施的主要受益人，特别是2003年发起的退休援助方案中的“从社会援助到提供就业”方案和其他此类举措。</w:t>
      </w:r>
    </w:p>
    <w:p w:rsidR="00DB32A1" w:rsidRDefault="00DB32A1" w:rsidP="00DB32A1">
      <w:pPr>
        <w:pStyle w:val="SingleTxt"/>
        <w:rPr>
          <w:rFonts w:hint="eastAsia"/>
        </w:rPr>
      </w:pPr>
      <w:r>
        <w:rPr>
          <w:rFonts w:hint="eastAsia"/>
        </w:rPr>
        <w:t>284.  根据保加利亚法律，农村妇女在享有土地所有权和土地继承权方面不受歧视。这些权利受到《农业用地所有权和使用法》规定的一般法律程序的保障。然而，土地所有权通常都是以男性姓名登记注册的。</w:t>
      </w:r>
    </w:p>
    <w:p w:rsidR="00DB32A1" w:rsidRDefault="00DB32A1" w:rsidP="00DB32A1">
      <w:pPr>
        <w:pStyle w:val="SingleTxt"/>
        <w:rPr>
          <w:rFonts w:hint="eastAsia"/>
        </w:rPr>
      </w:pPr>
      <w:r>
        <w:rPr>
          <w:rFonts w:hint="eastAsia"/>
        </w:rPr>
        <w:t>285.  签订农场贷款合同仍然存在风险，因此实际采用的人很少，特别是拥有或者经营农场的妇女。这主要是因为贷款延期手续复杂且耗时，以及农业生产者无法提供银行要求的担保品(比如，土地和农业资产没有资格作为抵押品)。</w:t>
      </w:r>
    </w:p>
    <w:p w:rsidR="00DB32A1" w:rsidRDefault="00DB32A1" w:rsidP="00DB32A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第十五条</w:t>
      </w:r>
    </w:p>
    <w:p w:rsidR="00DB32A1" w:rsidRPr="00DB32A1" w:rsidRDefault="00DB32A1" w:rsidP="00DB32A1">
      <w:pPr>
        <w:pStyle w:val="SingleTxt"/>
        <w:spacing w:after="0" w:line="120" w:lineRule="exact"/>
        <w:rPr>
          <w:rFonts w:hint="eastAsia"/>
          <w:sz w:val="10"/>
        </w:rPr>
      </w:pPr>
    </w:p>
    <w:p w:rsidR="00DB32A1" w:rsidRDefault="00DB32A1" w:rsidP="00DB32A1">
      <w:pPr>
        <w:pStyle w:val="SingleTxt"/>
        <w:rPr>
          <w:rFonts w:hint="eastAsia"/>
        </w:rPr>
      </w:pPr>
      <w:r>
        <w:rPr>
          <w:rFonts w:hint="eastAsia"/>
        </w:rPr>
        <w:t>286.  《民法典》(2008年3月1日起生效)的规则规定，法院授予当事各方行使赋予他们的权利和在所有方面平等适用法律的相同机会(第9条)。所有有效的法律和法典中都规定了当事各方之间平等的原则。因此，国家立法从法律上确保事实上的两性平等。</w:t>
      </w:r>
    </w:p>
    <w:p w:rsidR="00DB32A1" w:rsidRDefault="00DB32A1" w:rsidP="00DB32A1">
      <w:pPr>
        <w:pStyle w:val="SingleTxt"/>
        <w:rPr>
          <w:rFonts w:hint="eastAsia"/>
        </w:rPr>
      </w:pPr>
      <w:r>
        <w:rPr>
          <w:rFonts w:hint="eastAsia"/>
        </w:rPr>
        <w:t>287.  法律授予妇女订立合同、取得财产、获得动产和不动产、组成和代表商业公司、签订消费信贷或抵押贷款合同的自由。</w:t>
      </w:r>
    </w:p>
    <w:p w:rsidR="00DB32A1" w:rsidRDefault="00DB32A1" w:rsidP="00DB32A1">
      <w:pPr>
        <w:pStyle w:val="SingleTxt"/>
        <w:rPr>
          <w:rFonts w:hint="eastAsia"/>
        </w:rPr>
      </w:pPr>
      <w:r>
        <w:rPr>
          <w:rFonts w:hint="eastAsia"/>
        </w:rPr>
        <w:t>288.  妇女有权独立处置她们的财产。如财产系在婚姻存续期间取得，除在特定情况下，依据迄今有效的《家庭法》，它构成夫妻共有财产。除一条法律条文规定可根据某项司法程序证明一方享有更大份额外，这意味着该财产等量地归属于夫妻双方。夫妻共有财产制度下财产的处置要求配偶双方共同参与交易。2009年10月1日生效的新《家庭法》介绍了配偶之间的三种财产关系制度：夫妻共有财产、个人财产和婚姻合同下的安排。《家庭法》规定，可以根据管理在婚姻存续期间获得的财产的新机会在预先存在的婚姻下重新安排财产关系。</w:t>
      </w:r>
    </w:p>
    <w:p w:rsidR="00DB32A1" w:rsidRDefault="00DB32A1" w:rsidP="00DB32A1">
      <w:pPr>
        <w:pStyle w:val="SingleTxt"/>
        <w:rPr>
          <w:rFonts w:hint="eastAsia"/>
        </w:rPr>
      </w:pPr>
      <w:r>
        <w:rPr>
          <w:rFonts w:hint="eastAsia"/>
        </w:rPr>
        <w:t>289.  根据《宪法》第六条，法律面前，男女平等。第五十六条详细阐述了该原则，具体是“每个其权利或合法利益遭到侵犯或损害的公民都有权获得补偿。公民向任何国家司法机构上诉时，可由法律顾问作为其代理”。</w:t>
      </w:r>
    </w:p>
    <w:p w:rsidR="00DB32A1" w:rsidRDefault="00DB32A1" w:rsidP="00DB32A1">
      <w:pPr>
        <w:pStyle w:val="SingleTxt"/>
        <w:rPr>
          <w:rFonts w:hint="eastAsia"/>
        </w:rPr>
      </w:pPr>
      <w:r>
        <w:rPr>
          <w:rFonts w:hint="eastAsia"/>
        </w:rPr>
        <w:t>290.  以下三部程序法也奉行同样的原则：《民事诉讼法》、《刑事诉讼法》和《行政诉讼法》。此外，平等还是《税收和社会保险程序法》的一项基本原则。无论妇女参与该程序的身份为何，她们都享有与男子平等的权利。在律师行业执业时，也确保平等，妇女有权自由且不受歧视地从事所有律师行业的职业。该法律完全符合《公约》第15条的规定。</w:t>
      </w:r>
    </w:p>
    <w:p w:rsidR="00DB32A1" w:rsidRDefault="00DB32A1" w:rsidP="00DB32A1">
      <w:pPr>
        <w:pStyle w:val="SingleTxt"/>
        <w:rPr>
          <w:rFonts w:hint="eastAsia"/>
        </w:rPr>
      </w:pPr>
      <w:r>
        <w:rPr>
          <w:rFonts w:hint="eastAsia"/>
        </w:rPr>
        <w:t>291.  保加利亚法律未对行动自由和住所选择做出任何相关的限制规定。两性平等这项宪法原则的效力得到了保障，无论妇女的婚姻状况如何，她们在选择时都不受限制。国家统计信息显示，妇女变更住所的次数比男子多四次，原因各种各样，包括婚姻等。</w:t>
      </w:r>
    </w:p>
    <w:p w:rsidR="00DB32A1" w:rsidRDefault="00DB32A1" w:rsidP="00DB32A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第十六条</w:t>
      </w:r>
    </w:p>
    <w:p w:rsidR="00DB32A1" w:rsidRPr="00DB32A1" w:rsidRDefault="00DB32A1" w:rsidP="00DB32A1">
      <w:pPr>
        <w:pStyle w:val="SingleTxt"/>
        <w:spacing w:after="0" w:line="120" w:lineRule="exact"/>
        <w:rPr>
          <w:rFonts w:hint="eastAsia"/>
          <w:sz w:val="10"/>
        </w:rPr>
      </w:pPr>
    </w:p>
    <w:p w:rsidR="00DB32A1" w:rsidRDefault="00DB32A1" w:rsidP="00DB32A1">
      <w:pPr>
        <w:pStyle w:val="SingleTxt"/>
        <w:rPr>
          <w:rFonts w:hint="eastAsia"/>
        </w:rPr>
      </w:pPr>
      <w:r>
        <w:rPr>
          <w:rFonts w:hint="eastAsia"/>
        </w:rPr>
        <w:t>292.  2009年6月12日，国民议会通过了新的《家庭法》，这是保加利亚通过第三个《家庭法》(2009年6月23日第47号政府公报予以公布，2009年10月1日起生效)。新《家庭法》保留了婚姻和家庭生活中两性平等的原则，从而取代了1985年《家庭法》中公布的这一原则。新法列出了制定家庭立法以及建立配偶间关系的各项原则：国家和社会保护婚姻和家庭；男女平等；自愿性婚姻；为儿童提供特别保护；婚生、私生和收养的儿童都享受平等待遇；尊重家庭中的人格地位；尊重、照顾和支助家庭成员。男女平等包括在婚姻和婚姻关系上的平等，以及平等的育儿权和义务。</w:t>
      </w:r>
    </w:p>
    <w:p w:rsidR="00DB32A1" w:rsidRDefault="00DB32A1" w:rsidP="00DB32A1">
      <w:pPr>
        <w:pStyle w:val="SingleTxt"/>
        <w:rPr>
          <w:rFonts w:hint="eastAsia"/>
        </w:rPr>
      </w:pPr>
      <w:r>
        <w:rPr>
          <w:rFonts w:hint="eastAsia"/>
        </w:rPr>
        <w:t>293.  《家庭法》宣布所有人的婚姻权和家庭权遵循法律规定的条件。不妨碍举行宗教式婚姻典礼，但宗教仪式不具有法律效力。</w:t>
      </w:r>
    </w:p>
    <w:p w:rsidR="00DB32A1" w:rsidRDefault="00DB32A1" w:rsidP="00DB32A1">
      <w:pPr>
        <w:pStyle w:val="SingleTxt"/>
        <w:rPr>
          <w:rFonts w:hint="eastAsia"/>
        </w:rPr>
      </w:pPr>
      <w:r>
        <w:rPr>
          <w:rFonts w:hint="eastAsia"/>
        </w:rPr>
        <w:t>294.  缔结婚姻要求男女双方亲自到登记机构表示同意。在结婚时双方必须自由、明确地表示同意结婚。如果不同意，则婚姻无效。保加利亚只允许异性伴侣婚姻。新的《家庭法》全面重申了限制某些婚姻的各种原因(如重婚、疾病和近亲等)，这适用于配偶双方。</w:t>
      </w:r>
    </w:p>
    <w:p w:rsidR="00DB32A1" w:rsidRDefault="00DB32A1" w:rsidP="00DB32A1">
      <w:pPr>
        <w:pStyle w:val="SingleTxt"/>
        <w:rPr>
          <w:rFonts w:hint="eastAsia"/>
        </w:rPr>
      </w:pPr>
      <w:r>
        <w:rPr>
          <w:rFonts w:hint="eastAsia"/>
        </w:rPr>
        <w:t>295.  男女最低婚龄均为18岁。一个例外情况是，达到最低年龄16岁，且得到地区法院的批准，则可以结婚，法院应决定结婚是否有重要理由。与未满16岁的未成年人缔结的婚姻无效。根据该法律，未成年配偶要得到补救；他或她可向法院提起诉讼，要求解除婚姻关系。这可在达到法定年龄后6个月内进行，前提是婚内未生育孩子，且妻子没有怀孕。保加利亚的早婚具有罗姆族裔群体和其他某些信奉正统伊斯兰教群体的典型特点。原则上不可以在登记机构注册早婚(未满16岁者之间的婚姻)，因为这在法律上是不准许的，但人们时常通过宗教仪式举行早婚典礼，如上所述，这不具有法律效力。</w:t>
      </w:r>
    </w:p>
    <w:p w:rsidR="00DB32A1" w:rsidRDefault="00DB32A1" w:rsidP="00DB32A1">
      <w:pPr>
        <w:pStyle w:val="SingleTxt"/>
        <w:rPr>
          <w:rFonts w:hint="eastAsia"/>
        </w:rPr>
      </w:pPr>
      <w:r>
        <w:rPr>
          <w:rFonts w:hint="eastAsia"/>
        </w:rPr>
        <w:t>296.  采取措施为儿童创造更好的受教育条件，使他们能够坚持上学读书，并在学校开展健康教育和性教育，制定儿童保护政策，支持为罗姆族妇女和女孩开展领导能力培训和社区活动，为社区培训卫生协调员，并打击贩运人口现象，藉此防止早婚。</w:t>
      </w:r>
      <w:r>
        <w:rPr>
          <w:rStyle w:val="FootnoteReference"/>
        </w:rPr>
        <w:footnoteReference w:id="35"/>
      </w:r>
      <w:r>
        <w:rPr>
          <w:rFonts w:hint="eastAsia"/>
        </w:rPr>
        <w:t xml:space="preserve"> </w:t>
      </w:r>
    </w:p>
    <w:p w:rsidR="00DB32A1" w:rsidRDefault="00DB32A1" w:rsidP="00DB32A1">
      <w:pPr>
        <w:pStyle w:val="SingleTxt"/>
        <w:rPr>
          <w:rFonts w:hint="eastAsia"/>
        </w:rPr>
      </w:pPr>
      <w:r>
        <w:rPr>
          <w:rFonts w:hint="eastAsia"/>
        </w:rPr>
        <w:t>297.  依据《刑法》，与未成年人同居构成刑事罪。对未满14岁者实施的任何性侵犯，包括性交行为，同样构成刑事罪。</w:t>
      </w:r>
    </w:p>
    <w:p w:rsidR="00DB32A1" w:rsidRDefault="00DB32A1" w:rsidP="00DB32A1">
      <w:pPr>
        <w:pStyle w:val="SingleTxt"/>
        <w:rPr>
          <w:rFonts w:hint="eastAsia"/>
        </w:rPr>
      </w:pPr>
      <w:r>
        <w:rPr>
          <w:rFonts w:hint="eastAsia"/>
        </w:rPr>
        <w:t>298.  新的《家庭法》取消了在结婚典礼前30天内声明结婚意愿的要求，并取消了对可能成为结婚之地的种种限制，这有助于促成婚姻。要结婚者可自由选择缔结婚姻的城市。</w:t>
      </w:r>
    </w:p>
    <w:p w:rsidR="00DB32A1" w:rsidRDefault="00DB32A1" w:rsidP="00DB32A1">
      <w:pPr>
        <w:pStyle w:val="SingleTxt"/>
        <w:rPr>
          <w:rFonts w:hint="eastAsia"/>
        </w:rPr>
      </w:pPr>
      <w:r>
        <w:rPr>
          <w:rFonts w:hint="eastAsia"/>
        </w:rPr>
        <w:t>299.  新法典保留了关于配偶姓氏的原有框架。任何一方都可以选择保留其姓氏还是采用配偶的姓氏，或者在自己姓氏后加上配偶的姓氏。离婚时，可恢复姓氏。根据《民事登记法》，父母共同决定孩子的名字，但如果孩子有法定父亲，则根据父亲的名字和姓氏取名。如果没有法定父系亲属，则根据母亲或母亲的父亲的名字和姓氏取名。</w:t>
      </w:r>
    </w:p>
    <w:p w:rsidR="00DB32A1" w:rsidRDefault="00DB32A1" w:rsidP="00DB32A1">
      <w:pPr>
        <w:pStyle w:val="SingleTxt"/>
        <w:rPr>
          <w:rFonts w:hint="eastAsia"/>
        </w:rPr>
      </w:pPr>
      <w:r>
        <w:rPr>
          <w:rFonts w:hint="eastAsia"/>
        </w:rPr>
        <w:t>300.  新的《家庭法》完全保留了配偶双方之间关系框架，其中以婚姻中享有平等权利并履行平等义务作为一项指导原则。配偶双方生活在一起，除非由于重要原因而不得不分居。配偶双方均享有个人发展和职业选择自由。配偶双方具有相同、平等的义务，相互谅解，共同努力，根据其能力、财产和收入，共谋家庭福利，抚养、抚育、教育并保护子女。</w:t>
      </w:r>
    </w:p>
    <w:p w:rsidR="00DB32A1" w:rsidRDefault="00DB32A1" w:rsidP="00DB32A1">
      <w:pPr>
        <w:pStyle w:val="SingleTxt"/>
        <w:rPr>
          <w:rFonts w:hint="eastAsia"/>
        </w:rPr>
      </w:pPr>
      <w:r>
        <w:rPr>
          <w:rFonts w:hint="eastAsia"/>
        </w:rPr>
        <w:t>301.  新的《家庭法》介绍了三种夫妻财产制度。到目前为止，有效框架仅适用于配偶双方在婚姻存续期间获得的由所有物和现金组成的夫妻共同财产。新法典为丈夫和妻子提供了在两种法律制度——共同财产或独有财产——与约定财产制之间进行选择的机会。共同财产法律制度(行之有效)严格适用于如下情况：结婚时为未成年人或在限制性禁令范围之内、配偶未选择一种财产关系制度，或者未能通过婚姻合同解决某种关系的情形。根据这个制度，配偶任何一方在婚姻存续期间由于共同收入而获得的物权属于配偶双方共同所有。配偶双方的共同收益由双方共同所有，除非有证据证明收益不属于配偶双方，而且共同收益体现在经济来源、照顾子女和家务劳动方面。配偶在共同财产上享有平等权利，具有共同支配权。配偶双方共同承担家庭需要的费用。</w:t>
      </w:r>
    </w:p>
    <w:p w:rsidR="00DB32A1" w:rsidRDefault="00DB32A1" w:rsidP="00DB32A1">
      <w:pPr>
        <w:pStyle w:val="SingleTxt"/>
        <w:rPr>
          <w:rFonts w:hint="eastAsia"/>
        </w:rPr>
      </w:pPr>
      <w:r>
        <w:rPr>
          <w:rFonts w:hint="eastAsia"/>
        </w:rPr>
        <w:t>302.  如果选择独有财产法律制度，则配偶一方在婚姻存续在期间获得的各项权利成为其个人财产，但配偶双方共同承担费用，并共同履行义务。</w:t>
      </w:r>
    </w:p>
    <w:p w:rsidR="00DB32A1" w:rsidRDefault="00DB32A1" w:rsidP="00DB32A1">
      <w:pPr>
        <w:pStyle w:val="SingleTxt"/>
        <w:rPr>
          <w:rFonts w:hint="eastAsia"/>
        </w:rPr>
      </w:pPr>
      <w:r>
        <w:rPr>
          <w:rFonts w:hint="eastAsia"/>
        </w:rPr>
        <w:t>303.  配偶还可通过合同选择自行处理其财产关系，包括婚前财产和婚姻财产权利、家庭开支、赡养费、离婚后财产分配以及其他财产关系。如果出现重大变动，合同因此严重损害配偶、未成年子女和家庭的利益，配偶任何一方均可采取行动，终止婚姻合同。</w:t>
      </w:r>
    </w:p>
    <w:p w:rsidR="00DB32A1" w:rsidRDefault="00DB32A1" w:rsidP="00DB32A1">
      <w:pPr>
        <w:pStyle w:val="SingleTxt"/>
        <w:rPr>
          <w:rFonts w:hint="eastAsia"/>
        </w:rPr>
      </w:pPr>
      <w:r>
        <w:rPr>
          <w:rFonts w:hint="eastAsia"/>
        </w:rPr>
        <w:t>304.  《家庭法》为丈夫提供了具体而平等的经济保障，从法律上确认了配偶为夫妻共同财产做出了平等贡献的假设，解决了家庭成员之间的赡养费问题，并在前配偶通过工作收益、资金来源、照顾孩子、家务劳动或其他方式做出贡献的情况下，为前配偶在离婚后从另一配偶那里获得部分财产和应收款项提供了机会。同时如果家庭住宅属于配偶一方的个人财产，则按处置家庭住宅的标准办理。属于所有者的配偶只有征得另一配偶的同意后才可处置住宅。如果另一配偶不同意，只有认定这不会损害未成年子女和家庭时，才可经地区法院同意后处置住宅。</w:t>
      </w:r>
    </w:p>
    <w:p w:rsidR="00DB32A1" w:rsidRDefault="00DB32A1" w:rsidP="00DB32A1">
      <w:pPr>
        <w:pStyle w:val="SingleTxt"/>
        <w:rPr>
          <w:rFonts w:hint="eastAsia"/>
        </w:rPr>
      </w:pPr>
      <w:r>
        <w:rPr>
          <w:rFonts w:hint="eastAsia"/>
        </w:rPr>
        <w:t>305.  新的《家庭法》取消了以婚姻存续时间作为双方同意离婚的条件，这有利于离婚。配偶双方均有权采取离婚行动。只有任何一方配偶在离婚时由于婚姻破灭不可救药，要求法庭介入时，离婚法庭才会调查婚姻破碎的原因。</w:t>
      </w:r>
    </w:p>
    <w:p w:rsidR="00DB32A1" w:rsidRDefault="00DB32A1" w:rsidP="00DB32A1">
      <w:pPr>
        <w:pStyle w:val="SingleTxt"/>
        <w:rPr>
          <w:rFonts w:hint="eastAsia"/>
        </w:rPr>
      </w:pPr>
      <w:r>
        <w:rPr>
          <w:rFonts w:hint="eastAsia"/>
        </w:rPr>
        <w:t xml:space="preserve">306.  父母在抚养和抚育子女方面具有平等的权利和义务，不论他们是否结婚。新的《家庭法》鼓励父母在发生分歧，试图通过调解等方式达成一致时共同行使育儿权，仅把诉诸法庭视为最后手段。父母双方代表子女本身，仅在最符合其子女利益的情况下同意其未成年子女采取法律行动。在双方同意离婚的情况下，父母从有利于子女的角度出发决定抚养和养育未成年子女有关的所有事项。共识必须得到法院的认可。如果未达成共识，法院依裁定子女将归父母哪一方，哪一方行使育儿权，裁定行使这些权利，子女与父母的个人关系以及子女赡养费方面的各项措施。离婚后母亲一方常常更多地行使育儿权，特别是子女年幼或是女孩时。新的《家庭法》详细规定了保障父母与其没有生活在一起的子女私下来往的各项事宜。如果阻碍联络，法院要求采取适当的保护措施，确保执行判决，例如： </w:t>
      </w:r>
    </w:p>
    <w:p w:rsidR="00DB32A1" w:rsidRDefault="00DB32A1" w:rsidP="00DB32A1">
      <w:pPr>
        <w:pStyle w:val="SingleTxt"/>
        <w:rPr>
          <w:rFonts w:hint="eastAsia"/>
        </w:rPr>
      </w:pPr>
      <w:r>
        <w:tab/>
      </w:r>
      <w:r>
        <w:rPr>
          <w:rFonts w:hint="eastAsia"/>
        </w:rPr>
        <w:t>(a)</w:t>
      </w:r>
      <w:r>
        <w:rPr>
          <w:rFonts w:hint="eastAsia"/>
        </w:rPr>
        <w:tab/>
        <w:t>在指定人员在场的情况下亲自探望；</w:t>
      </w:r>
    </w:p>
    <w:p w:rsidR="00DB32A1" w:rsidRDefault="00DB32A1" w:rsidP="00DB32A1">
      <w:pPr>
        <w:pStyle w:val="SingleTxt"/>
        <w:rPr>
          <w:rFonts w:hint="eastAsia"/>
        </w:rPr>
      </w:pPr>
      <w:r>
        <w:tab/>
      </w:r>
      <w:r>
        <w:rPr>
          <w:rFonts w:hint="eastAsia"/>
        </w:rPr>
        <w:t>(b)</w:t>
      </w:r>
      <w:r>
        <w:rPr>
          <w:rFonts w:hint="eastAsia"/>
        </w:rPr>
        <w:tab/>
        <w:t xml:space="preserve">在指定地点亲自探望； </w:t>
      </w:r>
    </w:p>
    <w:p w:rsidR="00DB32A1" w:rsidRDefault="00DB32A1" w:rsidP="00DB32A1">
      <w:pPr>
        <w:pStyle w:val="SingleTxt"/>
        <w:rPr>
          <w:rFonts w:hint="eastAsia"/>
        </w:rPr>
      </w:pPr>
      <w:r>
        <w:tab/>
      </w:r>
      <w:r>
        <w:rPr>
          <w:rFonts w:hint="eastAsia"/>
        </w:rPr>
        <w:t>(c)</w:t>
      </w:r>
      <w:r>
        <w:rPr>
          <w:rFonts w:hint="eastAsia"/>
        </w:rPr>
        <w:tab/>
        <w:t>承担子女的差旅费，必要时还要承担子女陪同人员的差旅费。</w:t>
      </w:r>
    </w:p>
    <w:p w:rsidR="00DB32A1" w:rsidRDefault="00DB32A1" w:rsidP="00DB32A1">
      <w:pPr>
        <w:pStyle w:val="SingleTxt"/>
        <w:rPr>
          <w:rFonts w:hint="eastAsia"/>
        </w:rPr>
      </w:pPr>
      <w:r>
        <w:rPr>
          <w:rFonts w:hint="eastAsia"/>
        </w:rPr>
        <w:t>307.  以新的方式对儿童赡养问题做了规定。《家庭法》确立了这一原则，即依据父母的能力、财产状况和经济能力，父母双方必须确保为儿童发展提供必要的生活条件。离婚后，父母双方应支付赡养费，费用必须确保子女享有离婚前的生活条件，除非这将给承担赡养义务的父母造成特殊困难。履行赡养义务的相关框架并没有变化。可强制执行这项义务，拒不支付赡养费的父母要承担刑事责任。对于判决支付但却未支付的赡养费，可由国家承担赡养费。</w:t>
      </w:r>
    </w:p>
    <w:p w:rsidR="00DB32A1" w:rsidRDefault="00DB32A1" w:rsidP="00DB32A1">
      <w:pPr>
        <w:pStyle w:val="SingleTxt"/>
        <w:rPr>
          <w:rFonts w:hint="eastAsia"/>
        </w:rPr>
      </w:pPr>
      <w:r>
        <w:rPr>
          <w:rFonts w:hint="eastAsia"/>
        </w:rPr>
        <w:t>308.  还为解除婚约后育儿权的行使提供经济保障。如果抚养子女的父母由于这个原因面临困难，他或她可能收到较多的共同财产。如果在婚姻内有未成年子女，且家庭住宅不属于将与子女生活在一起的父母，法院可准予这一方父母在行使育儿权期间内使用住宅(如果住宅所有者为另一方父母)或者在最长一年内使用该住宅(如果家庭住宅为配偶扩大家庭的成员所有)。如果配偶双方共同享有所有权或者共同具有使用该家庭住宅的权利，法院准予配偶一方使用住宅，同时考虑子女的利益、过失、健康状况和其他情形。根据第(4)款，如果与准予使用有关的情况发生变化，那么原配偶一方可提议改变住宅的使用权。</w:t>
      </w:r>
    </w:p>
    <w:p w:rsidR="00DB32A1" w:rsidRDefault="00DB32A1" w:rsidP="00DB32A1">
      <w:pPr>
        <w:pStyle w:val="SingleTxt"/>
        <w:rPr>
          <w:rFonts w:hint="eastAsia"/>
        </w:rPr>
      </w:pPr>
      <w:r>
        <w:rPr>
          <w:rFonts w:hint="eastAsia"/>
        </w:rPr>
        <w:t>309.  《家庭法》通过各种方式对子女的血统做了规定。出生决定了母亲一方的血统。孩子的母亲指的是生育这个孩子的妇女，包括所有辅助生殖案例，不论采用什么技术。《健康法》对执行辅助生殖的条件、技术和程序做了界定。保加利亚立法并未规范代孕母亲制度。如果生育孩子的妇女同意，提供生物材料的父母通过收养孩子可获得育儿权并履行与孩子有关的义务。</w:t>
      </w:r>
    </w:p>
    <w:p w:rsidR="00DB32A1" w:rsidRDefault="00DB32A1" w:rsidP="00DB32A1">
      <w:pPr>
        <w:pStyle w:val="SingleTxt"/>
        <w:rPr>
          <w:rFonts w:hint="eastAsia"/>
        </w:rPr>
      </w:pPr>
      <w:r>
        <w:rPr>
          <w:rFonts w:hint="eastAsia"/>
        </w:rPr>
        <w:t>310.  之前的框架和新《家庭法》都没有对以收养、看护以及监护儿童为目的的男女进行任何区分。</w:t>
      </w:r>
    </w:p>
    <w:p w:rsidR="00DB32A1" w:rsidRDefault="00DB32A1" w:rsidP="00DB32A1">
      <w:pPr>
        <w:pStyle w:val="SingleTxt"/>
        <w:rPr>
          <w:rFonts w:hint="eastAsia"/>
        </w:rPr>
      </w:pPr>
      <w:r>
        <w:rPr>
          <w:rFonts w:hint="eastAsia"/>
        </w:rPr>
        <w:t>311.  继承方面的规则并未发生变化。在法律上依法裁定继承人及其份额同其性别无关。</w:t>
      </w:r>
    </w:p>
    <w:p w:rsidR="00DB32A1" w:rsidRDefault="00DB32A1" w:rsidP="00DB32A1">
      <w:pPr>
        <w:pStyle w:val="SingleTxt"/>
        <w:rPr>
          <w:rFonts w:hint="eastAsia"/>
        </w:rPr>
      </w:pPr>
      <w:r>
        <w:rPr>
          <w:rFonts w:hint="eastAsia"/>
        </w:rPr>
        <w:t>312.  2004年保加利亚通过了《防止家庭暴力法》。该法规定了家庭暴力受害者的权利、保护其弱势地位的措施以及执行的程序。保加利亚立法首次引入了“家庭暴力”一词，并列出了家庭暴力的主要形式：“家庭暴力是指任何身体、精神和性暴力行为以及任何试图实施此类暴力，强行限制人身自由和隐私，对家庭关系成员或亲属、事实同居者或居住在同一住所的成员实施此类暴力的行为”。该法还规定了许多人，受害者可向其寻求保护。不再局限于狭隘意义上的家庭关系，即配偶间关系。不依据受害者的性别区别对待，所有遭受家庭暴力的受害者都可寻求保护。任何遭受配偶或原配偶的家庭暴力；受害者与其生活在一起或者事实同居者；受害者与其有孩子；亲属；后代；兄弟姐妹；第二代以内亲属；监护人；家庭教师；监护人身份或养父母，都可根据本法寻求保护。</w:t>
      </w:r>
    </w:p>
    <w:p w:rsidR="00DB32A1" w:rsidRDefault="00DB32A1" w:rsidP="00DB32A1">
      <w:pPr>
        <w:pStyle w:val="SingleTxt"/>
        <w:rPr>
          <w:rFonts w:hint="eastAsia"/>
        </w:rPr>
      </w:pPr>
      <w:r>
        <w:rPr>
          <w:rFonts w:hint="eastAsia"/>
        </w:rPr>
        <w:t>313.  根据立即保护令和法院发出的保护令来防止家庭暴力；包括法院可自行决定的以下各项措施：要求施暴者停止实施家庭暴力；将施暴者赶出共同住所，时间由法院决定；根据一定的条件禁止施暴者接近受害者的住所、工作场所、社会关系和其他场所，时间由法院决定；根据一定的条件，让孩子临时与受害的父母或未实施暴力的父母生活在一起，时间由法院决定，如果这样做不会损害孩子的利益；命令施暴者参加专门计划；让受害者参加康复计划。根据本法，本法规定的责任不排除依据其他法律追究施暴者的民事和刑事责任。</w:t>
      </w:r>
    </w:p>
    <w:p w:rsidR="00DB32A1" w:rsidRDefault="00DB32A1" w:rsidP="00DB32A1">
      <w:pPr>
        <w:pStyle w:val="SingleTxt"/>
        <w:rPr>
          <w:rFonts w:hint="eastAsia"/>
        </w:rPr>
      </w:pPr>
      <w:r>
        <w:rPr>
          <w:rFonts w:hint="eastAsia"/>
        </w:rPr>
        <w:t>314.  根据司法程序实施制止家庭暴力的保护措施，如果涉及施暴者和受害者或涉及其中任何一方的案件是基于《家庭法》中规定的理由发生的，且尚未提交法庭审理，法院有权进一步执行保护措施。在受害者、社会援助局局长、受害者的兄弟姊妹或其任何直系亲属提出申请，要求立即提供保护的情况下，将启动法庭程序。在需要立即提供保护的案件中，申请要提交管辖区最近的警察局审理。</w:t>
      </w:r>
    </w:p>
    <w:p w:rsidR="00DB32A1" w:rsidRDefault="00DB32A1" w:rsidP="00DB32A1">
      <w:pPr>
        <w:pStyle w:val="SingleTxt"/>
        <w:rPr>
          <w:rFonts w:hint="eastAsia"/>
        </w:rPr>
      </w:pPr>
      <w:r>
        <w:rPr>
          <w:rFonts w:hint="eastAsia"/>
        </w:rPr>
        <w:t>315.  本法明显扩大了作为第一机构的警察局的权力，在发生家庭暴力后，受害者通常到警察局寻求帮助。在此情况下，会强迫施暴者停止实施家庭暴力，并在法院规定的期限内将施暴者赶出共同住所，包括在法院规定的期限内和一定条件下，禁止施暴者接近受害者住所、工作场所、社会活动场所和其他场所，在这方面，警察局具体负责监督保护令的履行情况。如果罪犯拒不执行法院命令，警察局将在查明罪犯的违法行为后，拘捕罪犯并立即通知检察机关。本法的通过加强了国家作用，为执行防止和预防家庭暴力的计划以及为受害者提供帮助的计划创造了条件。行政当局依据本法挑选保护人员并对他们进行培训。保护人员与非政府组织合作，共同保护家庭暴力受害者。</w:t>
      </w:r>
    </w:p>
    <w:p w:rsidR="00DB32A1" w:rsidRDefault="00DB32A1" w:rsidP="00DB32A1">
      <w:pPr>
        <w:pStyle w:val="SingleTxt"/>
        <w:rPr>
          <w:rFonts w:hint="eastAsia"/>
        </w:rPr>
      </w:pPr>
      <w:r>
        <w:rPr>
          <w:rFonts w:hint="eastAsia"/>
        </w:rPr>
        <w:t>316.  2010年通过了《防止家庭暴力法》最新修正案，以保障为儿童提供更好的保护，改进预防措施，并为执行本法提供资源。该法案对暴力的概念做了补充完善，在身体暴力、性暴力和精神暴力的基础上增加了情感暴力和经济暴力。预计将把当着孩子的面实施的暴力视为暴力侵害儿童行为。</w:t>
      </w:r>
    </w:p>
    <w:p w:rsidR="00DB32A1" w:rsidRDefault="00DB32A1" w:rsidP="00DB32A1">
      <w:pPr>
        <w:pStyle w:val="SingleTxt"/>
        <w:rPr>
          <w:rFonts w:hint="eastAsia"/>
        </w:rPr>
      </w:pPr>
      <w:r>
        <w:rPr>
          <w:rFonts w:hint="eastAsia"/>
        </w:rPr>
        <w:t>317.  新条款扩大了受害者可向其寻求保护的范围，包括旁系亲属乃至第四代宗亲以及三代内直系亲属。条款还规定如果施暴者未根据法院规定的措施自愿离开共同住所，警察局要强制将施暴者驱逐出去。每年3月31日前，政府必须通过《防止和预防家庭暴力国家计划》，根据《国家预算法》为该计划的实施安排资金。另外，还要有计划地为非盈利组织提供资源，协助这些组织制定并实施有关方案，为家庭暴力受害者提供支助，培训为家庭暴力受害者提供保护的人员，以及开展受害者再教育活动。该法案还提议对本法进行其他技术修订，本法是根据其在地区法院三年适用情况的调查结果起草的。</w:t>
      </w:r>
    </w:p>
    <w:p w:rsidR="00DB32A1" w:rsidRPr="00DB32A1" w:rsidRDefault="00DB32A1" w:rsidP="00DB32A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DB32A1" w:rsidRDefault="00DB32A1" w:rsidP="00DB32A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hint="eastAsia"/>
        </w:rPr>
        <w:t>三</w:t>
      </w:r>
      <w:r>
        <w:rPr>
          <w:rFonts w:ascii="Times New Roman"/>
        </w:rPr>
        <w:t>.</w:t>
      </w:r>
      <w:r>
        <w:rPr>
          <w:rFonts w:ascii="Times New Roman"/>
        </w:rPr>
        <w:tab/>
      </w:r>
      <w:r>
        <w:rPr>
          <w:rFonts w:hint="eastAsia"/>
        </w:rPr>
        <w:t>《公约任择议定书》的现状及其执行情况</w:t>
      </w:r>
    </w:p>
    <w:p w:rsidR="00DB32A1" w:rsidRPr="00DB32A1" w:rsidRDefault="00DB32A1" w:rsidP="00DB32A1">
      <w:pPr>
        <w:pStyle w:val="SingleTxt"/>
        <w:spacing w:after="0" w:line="120" w:lineRule="exact"/>
        <w:rPr>
          <w:rFonts w:hint="eastAsia"/>
          <w:sz w:val="10"/>
        </w:rPr>
      </w:pPr>
    </w:p>
    <w:p w:rsidR="00DB32A1" w:rsidRPr="00DB32A1" w:rsidRDefault="00DB32A1" w:rsidP="00DB32A1">
      <w:pPr>
        <w:pStyle w:val="SingleTxt"/>
        <w:spacing w:after="0" w:line="120" w:lineRule="exact"/>
        <w:rPr>
          <w:rFonts w:hint="eastAsia"/>
          <w:sz w:val="10"/>
        </w:rPr>
      </w:pPr>
    </w:p>
    <w:p w:rsidR="002F0C3A" w:rsidRDefault="00DB32A1" w:rsidP="00DB32A1">
      <w:pPr>
        <w:pStyle w:val="SingleTxt"/>
      </w:pPr>
      <w:r>
        <w:rPr>
          <w:rFonts w:hint="eastAsia"/>
        </w:rPr>
        <w:t>318.  2006年7月19日国民议会通过一项法律批准了《任择议定书》，并在2006年8月1日第62号政府公报中公布了该议定书批准情况。2010年3月2日第17号政府公报公布了《任择议定书》。这项议定书为那些声称自己受到了侵犯《公约》所涉任何权利行为伤害以及为使这些权利得到保护已用尽一切补救办法的妇女或妇女群体提供了机会，有助于她们向委员会提出申诉。如果委员会认定罪犯实施了这些侵权行为，就会责成缔约国采取措施，确保受害者行使这些权利，并确保法律框架保障这些权利不受侵犯。</w:t>
      </w:r>
    </w:p>
    <w:p w:rsidR="00DB32A1" w:rsidRPr="00DB32A1" w:rsidRDefault="00DB32A1" w:rsidP="00DB32A1">
      <w:pPr>
        <w:pStyle w:val="SingleTxt"/>
      </w:pPr>
    </w:p>
    <w:p w:rsidR="00591B1E" w:rsidRDefault="00591B1E" w:rsidP="00591B1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附件</w:t>
      </w:r>
    </w:p>
    <w:p w:rsidR="00591B1E" w:rsidRPr="00591B1E" w:rsidRDefault="00591B1E" w:rsidP="00591B1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91B1E" w:rsidRDefault="00591B1E" w:rsidP="00591B1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其他参考资料和表格</w:t>
      </w:r>
    </w:p>
    <w:p w:rsidR="00591B1E" w:rsidRPr="00591B1E" w:rsidRDefault="00591B1E" w:rsidP="00591B1E">
      <w:pPr>
        <w:pStyle w:val="SingleTxt"/>
        <w:spacing w:after="0" w:line="120" w:lineRule="exact"/>
        <w:rPr>
          <w:rFonts w:hint="eastAsia"/>
          <w:sz w:val="10"/>
        </w:rPr>
      </w:pPr>
    </w:p>
    <w:p w:rsidR="00591B1E" w:rsidRPr="00591B1E" w:rsidRDefault="00591B1E" w:rsidP="00591B1E">
      <w:pPr>
        <w:pStyle w:val="SingleTxt"/>
        <w:spacing w:after="0" w:line="120" w:lineRule="exact"/>
        <w:rPr>
          <w:rFonts w:hint="eastAsia"/>
          <w:sz w:val="10"/>
        </w:rPr>
      </w:pPr>
    </w:p>
    <w:p w:rsidR="00591B1E" w:rsidRDefault="00591B1E" w:rsidP="00591B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第一条</w:t>
      </w:r>
    </w:p>
    <w:p w:rsidR="00591B1E" w:rsidRPr="00591B1E" w:rsidRDefault="00591B1E" w:rsidP="00591B1E">
      <w:pPr>
        <w:pStyle w:val="SingleTxt"/>
        <w:spacing w:after="0" w:line="120" w:lineRule="exact"/>
        <w:rPr>
          <w:rFonts w:hint="eastAsia"/>
          <w:sz w:val="10"/>
        </w:rPr>
      </w:pPr>
    </w:p>
    <w:p w:rsidR="00591B1E" w:rsidRDefault="00591B1E" w:rsidP="00591B1E">
      <w:pPr>
        <w:pStyle w:val="SingleTxt"/>
        <w:rPr>
          <w:rFonts w:hint="eastAsia"/>
        </w:rPr>
      </w:pPr>
      <w:r>
        <w:tab/>
      </w:r>
      <w:r w:rsidRPr="00591B1E">
        <w:rPr>
          <w:rFonts w:hint="eastAsia"/>
          <w:spacing w:val="-2"/>
        </w:rPr>
        <w:t>2004年10月在联合国欧洲经济委员会上提交了关于《北京纲要》执行情况的保加利亚共和国政府报告(http://www.mlsp.government.bg/equal/index.asp)</w:t>
      </w:r>
      <w:r>
        <w:rPr>
          <w:rFonts w:hint="eastAsia"/>
        </w:rPr>
        <w:t>。</w:t>
      </w:r>
    </w:p>
    <w:p w:rsidR="00591B1E" w:rsidRDefault="00591B1E" w:rsidP="00591B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第二条和第三条</w:t>
      </w:r>
    </w:p>
    <w:p w:rsidR="00591B1E" w:rsidRPr="00591B1E" w:rsidRDefault="00591B1E" w:rsidP="00591B1E">
      <w:pPr>
        <w:pStyle w:val="SingleTxt"/>
        <w:spacing w:after="0" w:line="120" w:lineRule="exact"/>
        <w:rPr>
          <w:rFonts w:hint="eastAsia"/>
          <w:sz w:val="10"/>
        </w:rPr>
      </w:pPr>
    </w:p>
    <w:p w:rsidR="00C46079" w:rsidRDefault="00591B1E" w:rsidP="00591B1E">
      <w:pPr>
        <w:pStyle w:val="SingleTxt"/>
      </w:pPr>
      <w:r>
        <w:rPr>
          <w:rFonts w:hint="eastAsia"/>
        </w:rPr>
        <w:t>表1</w:t>
      </w:r>
      <w:r>
        <w:br/>
      </w:r>
      <w:r w:rsidRPr="00591B1E">
        <w:rPr>
          <w:rFonts w:ascii="SimHei" w:eastAsia="SimHei" w:hint="eastAsia"/>
        </w:rPr>
        <w:t>关于2006-2009年地区法院依据《防止歧视法》审理的民事诉讼案件数量的参考资料</w:t>
      </w:r>
    </w:p>
    <w:tbl>
      <w:tblPr>
        <w:tblW w:w="9856" w:type="dxa"/>
        <w:tblLayout w:type="fixed"/>
        <w:tblCellMar>
          <w:left w:w="0" w:type="dxa"/>
          <w:right w:w="0" w:type="dxa"/>
        </w:tblCellMar>
        <w:tblLook w:val="0000" w:firstRow="0" w:lastRow="0" w:firstColumn="0" w:lastColumn="0" w:noHBand="0" w:noVBand="0"/>
      </w:tblPr>
      <w:tblGrid>
        <w:gridCol w:w="1785"/>
        <w:gridCol w:w="973"/>
        <w:gridCol w:w="497"/>
        <w:gridCol w:w="10"/>
        <w:gridCol w:w="507"/>
        <w:gridCol w:w="507"/>
        <w:gridCol w:w="507"/>
        <w:gridCol w:w="507"/>
        <w:gridCol w:w="62"/>
        <w:gridCol w:w="445"/>
        <w:gridCol w:w="507"/>
        <w:gridCol w:w="507"/>
        <w:gridCol w:w="507"/>
        <w:gridCol w:w="507"/>
        <w:gridCol w:w="507"/>
        <w:gridCol w:w="507"/>
        <w:gridCol w:w="507"/>
        <w:gridCol w:w="507"/>
      </w:tblGrid>
      <w:tr w:rsidR="00E87CAD" w:rsidRPr="002C167F" w:rsidTr="00E87CAD">
        <w:tblPrEx>
          <w:tblCellMar>
            <w:top w:w="0" w:type="dxa"/>
            <w:bottom w:w="0" w:type="dxa"/>
          </w:tblCellMar>
        </w:tblPrEx>
        <w:trPr>
          <w:tblHeader/>
        </w:trPr>
        <w:tc>
          <w:tcPr>
            <w:tcW w:w="1785" w:type="dxa"/>
            <w:tcBorders>
              <w:top w:val="single" w:sz="4" w:space="0" w:color="auto"/>
            </w:tcBorders>
            <w:shd w:val="clear" w:color="auto" w:fill="auto"/>
            <w:vAlign w:val="bottom"/>
          </w:tcPr>
          <w:p w:rsidR="00E87CAD" w:rsidRPr="002C167F" w:rsidRDefault="00E87CAD" w:rsidP="002C167F">
            <w:pPr>
              <w:suppressAutoHyphens/>
              <w:spacing w:before="60" w:after="60" w:line="200" w:lineRule="exact"/>
              <w:ind w:right="57"/>
              <w:rPr>
                <w:rFonts w:ascii="KaiTi_GB2312" w:eastAsia="KaiTi_GB2312"/>
                <w:sz w:val="15"/>
                <w:szCs w:val="15"/>
              </w:rPr>
            </w:pPr>
          </w:p>
        </w:tc>
        <w:tc>
          <w:tcPr>
            <w:tcW w:w="973" w:type="dxa"/>
            <w:tcBorders>
              <w:top w:val="single" w:sz="4" w:space="0" w:color="auto"/>
            </w:tcBorders>
            <w:shd w:val="clear" w:color="auto" w:fill="auto"/>
            <w:vAlign w:val="bottom"/>
          </w:tcPr>
          <w:p w:rsidR="00E87CAD" w:rsidRPr="002C167F" w:rsidRDefault="00E87CAD" w:rsidP="002C167F">
            <w:pPr>
              <w:suppressAutoHyphens/>
              <w:spacing w:before="60" w:after="60" w:line="200" w:lineRule="exact"/>
              <w:ind w:right="57"/>
              <w:jc w:val="right"/>
              <w:rPr>
                <w:rFonts w:ascii="KaiTi_GB2312" w:eastAsia="KaiTi_GB2312"/>
                <w:sz w:val="15"/>
                <w:szCs w:val="15"/>
              </w:rPr>
            </w:pPr>
          </w:p>
        </w:tc>
        <w:tc>
          <w:tcPr>
            <w:tcW w:w="2535" w:type="dxa"/>
            <w:gridSpan w:val="6"/>
            <w:tcBorders>
              <w:top w:val="single" w:sz="4" w:space="0" w:color="auto"/>
              <w:bottom w:val="single" w:sz="4" w:space="0" w:color="auto"/>
            </w:tcBorders>
            <w:shd w:val="clear" w:color="auto" w:fill="auto"/>
            <w:vAlign w:val="bottom"/>
          </w:tcPr>
          <w:p w:rsidR="00E87CAD" w:rsidRPr="002C167F" w:rsidRDefault="00E87CAD" w:rsidP="00CC5764">
            <w:pPr>
              <w:suppressAutoHyphens/>
              <w:spacing w:before="60" w:after="60" w:line="200" w:lineRule="exact"/>
              <w:ind w:right="57"/>
              <w:jc w:val="center"/>
              <w:rPr>
                <w:rFonts w:ascii="KaiTi_GB2312" w:eastAsia="KaiTi_GB2312"/>
                <w:sz w:val="15"/>
                <w:szCs w:val="15"/>
              </w:rPr>
            </w:pPr>
            <w:r w:rsidRPr="002C167F">
              <w:rPr>
                <w:rFonts w:ascii="KaiTi_GB2312" w:eastAsia="KaiTi_GB2312" w:hint="eastAsia"/>
                <w:sz w:val="15"/>
                <w:szCs w:val="15"/>
              </w:rPr>
              <w:t>登记的诉讼案件</w:t>
            </w:r>
          </w:p>
        </w:tc>
        <w:tc>
          <w:tcPr>
            <w:tcW w:w="62" w:type="dxa"/>
            <w:tcBorders>
              <w:top w:val="single" w:sz="4" w:space="0" w:color="auto"/>
            </w:tcBorders>
            <w:shd w:val="clear" w:color="auto" w:fill="auto"/>
            <w:vAlign w:val="bottom"/>
          </w:tcPr>
          <w:p w:rsidR="00E87CAD" w:rsidRPr="002C167F" w:rsidRDefault="00E87CAD" w:rsidP="002C167F">
            <w:pPr>
              <w:suppressAutoHyphens/>
              <w:spacing w:before="60" w:after="60" w:line="200" w:lineRule="exact"/>
              <w:ind w:right="57"/>
              <w:jc w:val="right"/>
              <w:rPr>
                <w:rFonts w:ascii="KaiTi_GB2312" w:eastAsia="KaiTi_GB2312"/>
                <w:sz w:val="15"/>
                <w:szCs w:val="15"/>
              </w:rPr>
            </w:pPr>
          </w:p>
        </w:tc>
        <w:tc>
          <w:tcPr>
            <w:tcW w:w="3487" w:type="dxa"/>
            <w:gridSpan w:val="7"/>
            <w:tcBorders>
              <w:top w:val="single" w:sz="4" w:space="0" w:color="auto"/>
              <w:bottom w:val="single" w:sz="4" w:space="0" w:color="auto"/>
            </w:tcBorders>
            <w:shd w:val="clear" w:color="auto" w:fill="auto"/>
            <w:vAlign w:val="bottom"/>
          </w:tcPr>
          <w:p w:rsidR="00E87CAD" w:rsidRPr="002C167F" w:rsidRDefault="00E87CAD" w:rsidP="002C167F">
            <w:pPr>
              <w:suppressAutoHyphens/>
              <w:spacing w:before="60" w:after="60" w:line="200" w:lineRule="exact"/>
              <w:ind w:right="57"/>
              <w:jc w:val="right"/>
              <w:rPr>
                <w:rFonts w:ascii="KaiTi_GB2312" w:eastAsia="KaiTi_GB2312"/>
                <w:sz w:val="15"/>
                <w:szCs w:val="15"/>
              </w:rPr>
            </w:pPr>
            <w:r w:rsidRPr="002C167F">
              <w:rPr>
                <w:rFonts w:ascii="KaiTi_GB2312" w:eastAsia="KaiTi_GB2312" w:hint="eastAsia"/>
                <w:sz w:val="15"/>
                <w:szCs w:val="15"/>
              </w:rPr>
              <w:t>已结案的诉讼案件</w:t>
            </w:r>
            <w:r w:rsidRPr="002C167F">
              <w:rPr>
                <w:rFonts w:ascii="KaiTi_GB2312" w:eastAsia="KaiTi_GB2312"/>
                <w:sz w:val="15"/>
                <w:szCs w:val="15"/>
              </w:rPr>
              <w:t>/ 6</w:t>
            </w:r>
            <w:r w:rsidRPr="002C167F">
              <w:rPr>
                <w:rFonts w:ascii="KaiTi_GB2312" w:eastAsia="KaiTi_GB2312" w:hint="eastAsia"/>
                <w:sz w:val="15"/>
                <w:szCs w:val="15"/>
              </w:rPr>
              <w:t>件</w:t>
            </w:r>
            <w:r w:rsidRPr="002C167F">
              <w:rPr>
                <w:rFonts w:ascii="KaiTi_GB2312" w:eastAsia="KaiTi_GB2312"/>
                <w:sz w:val="15"/>
                <w:szCs w:val="15"/>
              </w:rPr>
              <w:t xml:space="preserve"> = 7 + 8 + 9 + 10 + 11/</w:t>
            </w:r>
          </w:p>
        </w:tc>
        <w:tc>
          <w:tcPr>
            <w:tcW w:w="507" w:type="dxa"/>
            <w:tcBorders>
              <w:top w:val="single" w:sz="4" w:space="0" w:color="auto"/>
            </w:tcBorders>
            <w:shd w:val="clear" w:color="auto" w:fill="auto"/>
            <w:vAlign w:val="bottom"/>
          </w:tcPr>
          <w:p w:rsidR="00E87CAD" w:rsidRPr="002C167F" w:rsidRDefault="00E87CAD" w:rsidP="002C167F">
            <w:pPr>
              <w:suppressAutoHyphens/>
              <w:spacing w:before="60" w:after="60" w:line="200" w:lineRule="exact"/>
              <w:ind w:right="57"/>
              <w:jc w:val="right"/>
              <w:rPr>
                <w:rFonts w:ascii="KaiTi_GB2312" w:eastAsia="KaiTi_GB2312"/>
                <w:sz w:val="15"/>
                <w:szCs w:val="15"/>
              </w:rPr>
            </w:pPr>
          </w:p>
        </w:tc>
        <w:tc>
          <w:tcPr>
            <w:tcW w:w="507" w:type="dxa"/>
            <w:tcBorders>
              <w:top w:val="single" w:sz="4" w:space="0" w:color="auto"/>
            </w:tcBorders>
            <w:shd w:val="clear" w:color="auto" w:fill="auto"/>
            <w:vAlign w:val="bottom"/>
          </w:tcPr>
          <w:p w:rsidR="00E87CAD" w:rsidRPr="002C167F" w:rsidRDefault="00E87CAD" w:rsidP="002C167F">
            <w:pPr>
              <w:suppressAutoHyphens/>
              <w:spacing w:before="60" w:after="60" w:line="200" w:lineRule="exact"/>
              <w:ind w:right="57"/>
              <w:jc w:val="right"/>
              <w:rPr>
                <w:rFonts w:ascii="KaiTi_GB2312" w:eastAsia="KaiTi_GB2312"/>
                <w:sz w:val="15"/>
                <w:szCs w:val="15"/>
              </w:rPr>
            </w:pPr>
          </w:p>
        </w:tc>
      </w:tr>
      <w:tr w:rsidR="00054620" w:rsidRPr="002C167F" w:rsidTr="00054620">
        <w:tblPrEx>
          <w:tblCellMar>
            <w:top w:w="0" w:type="dxa"/>
            <w:bottom w:w="0" w:type="dxa"/>
          </w:tblCellMar>
        </w:tblPrEx>
        <w:trPr>
          <w:tblHeader/>
        </w:trPr>
        <w:tc>
          <w:tcPr>
            <w:tcW w:w="1785" w:type="dxa"/>
            <w:shd w:val="clear" w:color="auto" w:fill="auto"/>
            <w:vAlign w:val="bottom"/>
          </w:tcPr>
          <w:p w:rsidR="00054620" w:rsidRPr="002C167F" w:rsidRDefault="00054620" w:rsidP="002C167F">
            <w:pPr>
              <w:suppressAutoHyphens/>
              <w:spacing w:after="60" w:line="200" w:lineRule="exact"/>
              <w:ind w:right="57"/>
              <w:rPr>
                <w:rFonts w:ascii="KaiTi_GB2312" w:eastAsia="KaiTi_GB2312"/>
                <w:sz w:val="15"/>
                <w:szCs w:val="15"/>
              </w:rPr>
            </w:pPr>
          </w:p>
        </w:tc>
        <w:tc>
          <w:tcPr>
            <w:tcW w:w="973" w:type="dxa"/>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c>
          <w:tcPr>
            <w:tcW w:w="497" w:type="dxa"/>
            <w:tcBorders>
              <w:top w:val="single" w:sz="4" w:space="0" w:color="auto"/>
            </w:tcBorders>
            <w:shd w:val="clear" w:color="auto" w:fill="auto"/>
            <w:vAlign w:val="bottom"/>
          </w:tcPr>
          <w:p w:rsidR="00054620" w:rsidRPr="002C167F" w:rsidRDefault="00054620" w:rsidP="00CC5764">
            <w:pPr>
              <w:suppressAutoHyphens/>
              <w:spacing w:after="60" w:line="200" w:lineRule="exact"/>
              <w:ind w:right="57"/>
              <w:jc w:val="center"/>
              <w:rPr>
                <w:rFonts w:ascii="KaiTi_GB2312" w:eastAsia="KaiTi_GB2312"/>
                <w:sz w:val="15"/>
                <w:szCs w:val="15"/>
              </w:rPr>
            </w:pPr>
          </w:p>
        </w:tc>
        <w:tc>
          <w:tcPr>
            <w:tcW w:w="2038" w:type="dxa"/>
            <w:gridSpan w:val="5"/>
            <w:tcBorders>
              <w:top w:val="single" w:sz="4" w:space="0" w:color="auto"/>
            </w:tcBorders>
            <w:shd w:val="clear" w:color="auto" w:fill="auto"/>
            <w:vAlign w:val="bottom"/>
          </w:tcPr>
          <w:p w:rsidR="00054620" w:rsidRPr="002C167F" w:rsidRDefault="00054620" w:rsidP="00CC5764">
            <w:pPr>
              <w:suppressAutoHyphens/>
              <w:spacing w:after="60" w:line="200" w:lineRule="exact"/>
              <w:ind w:right="57"/>
              <w:jc w:val="center"/>
              <w:rPr>
                <w:rFonts w:ascii="KaiTi_GB2312" w:eastAsia="KaiTi_GB2312"/>
                <w:sz w:val="15"/>
                <w:szCs w:val="15"/>
              </w:rPr>
            </w:pPr>
          </w:p>
        </w:tc>
        <w:tc>
          <w:tcPr>
            <w:tcW w:w="507" w:type="dxa"/>
            <w:gridSpan w:val="2"/>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c>
          <w:tcPr>
            <w:tcW w:w="507" w:type="dxa"/>
            <w:tcBorders>
              <w:top w:val="single" w:sz="4" w:space="0" w:color="auto"/>
            </w:tcBorders>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c>
          <w:tcPr>
            <w:tcW w:w="507" w:type="dxa"/>
            <w:tcBorders>
              <w:top w:val="single" w:sz="4" w:space="0" w:color="auto"/>
            </w:tcBorders>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c>
          <w:tcPr>
            <w:tcW w:w="507" w:type="dxa"/>
            <w:tcBorders>
              <w:top w:val="single" w:sz="4" w:space="0" w:color="auto"/>
            </w:tcBorders>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c>
          <w:tcPr>
            <w:tcW w:w="1014" w:type="dxa"/>
            <w:gridSpan w:val="2"/>
            <w:tcBorders>
              <w:top w:val="single" w:sz="4" w:space="0" w:color="auto"/>
              <w:bottom w:val="single" w:sz="4" w:space="0" w:color="auto"/>
            </w:tcBorders>
            <w:shd w:val="clear" w:color="auto" w:fill="auto"/>
            <w:vAlign w:val="bottom"/>
          </w:tcPr>
          <w:p w:rsidR="00054620" w:rsidRPr="002C167F" w:rsidRDefault="00054620" w:rsidP="00CC5764">
            <w:pPr>
              <w:suppressAutoHyphens/>
              <w:spacing w:after="60" w:line="200" w:lineRule="exact"/>
              <w:ind w:right="57"/>
              <w:jc w:val="center"/>
              <w:rPr>
                <w:rFonts w:ascii="KaiTi_GB2312" w:eastAsia="KaiTi_GB2312"/>
                <w:sz w:val="15"/>
                <w:szCs w:val="15"/>
              </w:rPr>
            </w:pPr>
            <w:r w:rsidRPr="002C167F">
              <w:rPr>
                <w:rFonts w:ascii="KaiTi_GB2312" w:eastAsia="KaiTi_GB2312" w:hint="eastAsia"/>
                <w:sz w:val="15"/>
                <w:szCs w:val="15"/>
              </w:rPr>
              <w:t>诉讼中止</w:t>
            </w:r>
          </w:p>
        </w:tc>
        <w:tc>
          <w:tcPr>
            <w:tcW w:w="507" w:type="dxa"/>
            <w:tcBorders>
              <w:top w:val="single" w:sz="4" w:space="0" w:color="auto"/>
            </w:tcBorders>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c>
          <w:tcPr>
            <w:tcW w:w="507" w:type="dxa"/>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c>
          <w:tcPr>
            <w:tcW w:w="507" w:type="dxa"/>
            <w:shd w:val="clear" w:color="auto" w:fill="auto"/>
            <w:vAlign w:val="bottom"/>
          </w:tcPr>
          <w:p w:rsidR="00054620" w:rsidRPr="002C167F" w:rsidRDefault="00054620" w:rsidP="002C167F">
            <w:pPr>
              <w:suppressAutoHyphens/>
              <w:spacing w:after="60" w:line="200" w:lineRule="exact"/>
              <w:ind w:right="57"/>
              <w:jc w:val="right"/>
              <w:rPr>
                <w:rFonts w:ascii="KaiTi_GB2312" w:eastAsia="KaiTi_GB2312"/>
                <w:sz w:val="15"/>
                <w:szCs w:val="15"/>
              </w:rPr>
            </w:pPr>
          </w:p>
        </w:tc>
      </w:tr>
      <w:tr w:rsidR="002C167F" w:rsidRPr="002C167F" w:rsidTr="00CC5764">
        <w:tblPrEx>
          <w:tblCellMar>
            <w:top w:w="0" w:type="dxa"/>
            <w:bottom w:w="0" w:type="dxa"/>
          </w:tblCellMar>
        </w:tblPrEx>
        <w:trPr>
          <w:tblHeader/>
        </w:trPr>
        <w:tc>
          <w:tcPr>
            <w:tcW w:w="1785"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rPr>
                <w:rFonts w:ascii="KaiTi_GB2312" w:eastAsia="KaiTi_GB2312"/>
                <w:sz w:val="15"/>
                <w:szCs w:val="15"/>
              </w:rPr>
            </w:pPr>
            <w:r w:rsidRPr="002C167F">
              <w:rPr>
                <w:rFonts w:ascii="KaiTi_GB2312" w:eastAsia="KaiTi_GB2312" w:hint="eastAsia"/>
                <w:sz w:val="15"/>
                <w:szCs w:val="15"/>
              </w:rPr>
              <w:t>民事纠纷的类型</w:t>
            </w:r>
          </w:p>
        </w:tc>
        <w:tc>
          <w:tcPr>
            <w:tcW w:w="973"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sz w:val="15"/>
                <w:szCs w:val="15"/>
              </w:rPr>
            </w:pPr>
            <w:r w:rsidRPr="002C167F">
              <w:rPr>
                <w:rFonts w:ascii="KaiTi_GB2312" w:eastAsia="KaiTi_GB2312" w:hint="eastAsia"/>
                <w:sz w:val="15"/>
                <w:szCs w:val="15"/>
              </w:rPr>
              <w:t>年</w:t>
            </w:r>
          </w:p>
        </w:tc>
        <w:tc>
          <w:tcPr>
            <w:tcW w:w="507" w:type="dxa"/>
            <w:gridSpan w:val="2"/>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报告所述期间开始阶段</w:t>
            </w:r>
          </w:p>
          <w:p w:rsidR="002C167F" w:rsidRPr="002C167F" w:rsidRDefault="002C167F" w:rsidP="002C167F">
            <w:pPr>
              <w:suppressAutoHyphens/>
              <w:spacing w:after="60" w:line="200" w:lineRule="exact"/>
              <w:ind w:right="57"/>
              <w:jc w:val="right"/>
              <w:rPr>
                <w:rFonts w:ascii="KaiTi_GB2312" w:eastAsia="KaiTi_GB2312"/>
                <w:sz w:val="15"/>
                <w:szCs w:val="15"/>
              </w:rPr>
            </w:pPr>
            <w:r w:rsidRPr="002C167F">
              <w:rPr>
                <w:rFonts w:ascii="KaiTi_GB2312" w:eastAsia="KaiTi_GB2312" w:hint="eastAsia"/>
                <w:sz w:val="15"/>
                <w:szCs w:val="15"/>
              </w:rPr>
              <w:t>未结案的诉讼案件</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新成立的诉讼案件</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法院管辖范围内登记的诉讼案件</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发回重审的诉讼案件</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sz w:val="15"/>
                <w:szCs w:val="15"/>
              </w:rPr>
            </w:pPr>
            <w:r w:rsidRPr="002C167F">
              <w:rPr>
                <w:rFonts w:ascii="KaiTi_GB2312" w:eastAsia="KaiTi_GB2312" w:hint="eastAsia"/>
                <w:sz w:val="15"/>
                <w:szCs w:val="15"/>
              </w:rPr>
              <w:t>要审理的诉讼案件总数</w:t>
            </w:r>
            <w:r w:rsidRPr="002C167F">
              <w:rPr>
                <w:rFonts w:ascii="KaiTi_GB2312" w:eastAsia="KaiTi_GB2312"/>
                <w:sz w:val="15"/>
                <w:szCs w:val="15"/>
              </w:rPr>
              <w:t xml:space="preserve">/1+ 2+3 </w:t>
            </w:r>
            <w:r w:rsidR="000E37F6">
              <w:rPr>
                <w:rFonts w:ascii="KaiTi_GB2312" w:eastAsia="KaiTi_GB2312" w:hint="eastAsia"/>
                <w:sz w:val="15"/>
                <w:szCs w:val="15"/>
              </w:rPr>
              <w:br/>
            </w:r>
            <w:r w:rsidRPr="002C167F">
              <w:rPr>
                <w:rFonts w:ascii="KaiTi_GB2312" w:eastAsia="KaiTi_GB2312"/>
                <w:sz w:val="15"/>
                <w:szCs w:val="15"/>
              </w:rPr>
              <w:t>+ 4</w:t>
            </w:r>
          </w:p>
        </w:tc>
        <w:tc>
          <w:tcPr>
            <w:tcW w:w="507" w:type="dxa"/>
            <w:gridSpan w:val="2"/>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共计</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受理全部诉讼要求</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sz w:val="15"/>
                <w:szCs w:val="15"/>
              </w:rPr>
            </w:pPr>
            <w:r w:rsidRPr="002C167F">
              <w:rPr>
                <w:rFonts w:ascii="KaiTi_GB2312" w:eastAsia="KaiTi_GB2312" w:hint="eastAsia"/>
                <w:sz w:val="15"/>
                <w:szCs w:val="15"/>
              </w:rPr>
              <w:t>受理部分诉讼要求</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诉讼要求被驳回</w:t>
            </w:r>
          </w:p>
        </w:tc>
        <w:tc>
          <w:tcPr>
            <w:tcW w:w="507" w:type="dxa"/>
            <w:tcBorders>
              <w:top w:val="single" w:sz="4" w:space="0" w:color="auto"/>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公约</w:t>
            </w:r>
          </w:p>
        </w:tc>
        <w:tc>
          <w:tcPr>
            <w:tcW w:w="507" w:type="dxa"/>
            <w:tcBorders>
              <w:top w:val="single" w:sz="4" w:space="0" w:color="auto"/>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sz w:val="15"/>
                <w:szCs w:val="15"/>
              </w:rPr>
            </w:pPr>
            <w:r w:rsidRPr="002C167F">
              <w:rPr>
                <w:rFonts w:ascii="KaiTi_GB2312" w:eastAsia="KaiTi_GB2312" w:hint="eastAsia"/>
                <w:sz w:val="15"/>
                <w:szCs w:val="15"/>
              </w:rPr>
              <w:t>其他原因</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sz w:val="15"/>
                <w:szCs w:val="15"/>
              </w:rPr>
            </w:pPr>
            <w:r w:rsidRPr="002C167F">
              <w:rPr>
                <w:rFonts w:ascii="KaiTi_GB2312" w:eastAsia="KaiTi_GB2312" w:hint="eastAsia"/>
                <w:sz w:val="15"/>
                <w:szCs w:val="15"/>
              </w:rPr>
              <w:t>三个月内结案</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sz w:val="15"/>
                <w:szCs w:val="15"/>
              </w:rPr>
            </w:pPr>
            <w:r w:rsidRPr="002C167F">
              <w:rPr>
                <w:rFonts w:ascii="KaiTi_GB2312" w:eastAsia="KaiTi_GB2312" w:hint="eastAsia"/>
                <w:sz w:val="15"/>
                <w:szCs w:val="15"/>
              </w:rPr>
              <w:t>报告所述期间未结案的诉讼案件</w:t>
            </w:r>
          </w:p>
        </w:tc>
        <w:tc>
          <w:tcPr>
            <w:tcW w:w="507" w:type="dxa"/>
            <w:tcBorders>
              <w:bottom w:val="single" w:sz="12" w:space="0" w:color="auto"/>
            </w:tcBorders>
            <w:shd w:val="clear" w:color="auto" w:fill="auto"/>
            <w:vAlign w:val="bottom"/>
          </w:tcPr>
          <w:p w:rsidR="002C167F" w:rsidRPr="002C167F" w:rsidRDefault="002C167F" w:rsidP="002C167F">
            <w:pPr>
              <w:suppressAutoHyphens/>
              <w:spacing w:after="60" w:line="200" w:lineRule="exact"/>
              <w:ind w:right="57"/>
              <w:jc w:val="right"/>
              <w:rPr>
                <w:rFonts w:ascii="KaiTi_GB2312" w:eastAsia="KaiTi_GB2312" w:hint="eastAsia"/>
                <w:sz w:val="15"/>
                <w:szCs w:val="15"/>
              </w:rPr>
            </w:pPr>
            <w:r w:rsidRPr="002C167F">
              <w:rPr>
                <w:rFonts w:ascii="KaiTi_GB2312" w:eastAsia="KaiTi_GB2312" w:hint="eastAsia"/>
                <w:sz w:val="15"/>
                <w:szCs w:val="15"/>
              </w:rPr>
              <w:t>上诉诉讼案件</w:t>
            </w:r>
          </w:p>
        </w:tc>
      </w:tr>
      <w:tr w:rsidR="002C167F" w:rsidRPr="002C167F" w:rsidTr="00CC5764">
        <w:tblPrEx>
          <w:tblCellMar>
            <w:top w:w="0" w:type="dxa"/>
            <w:bottom w:w="0" w:type="dxa"/>
          </w:tblCellMar>
        </w:tblPrEx>
        <w:trPr>
          <w:trHeight w:hRule="exact" w:val="115"/>
          <w:tblHeader/>
        </w:trPr>
        <w:tc>
          <w:tcPr>
            <w:tcW w:w="1785"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rPr>
                <w:rFonts w:hint="eastAsia"/>
                <w:sz w:val="17"/>
                <w:szCs w:val="15"/>
              </w:rPr>
            </w:pPr>
          </w:p>
        </w:tc>
        <w:tc>
          <w:tcPr>
            <w:tcW w:w="973"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gridSpan w:val="2"/>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gridSpan w:val="2"/>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c>
          <w:tcPr>
            <w:tcW w:w="507" w:type="dxa"/>
            <w:tcBorders>
              <w:top w:val="single" w:sz="12" w:space="0" w:color="auto"/>
            </w:tcBorders>
            <w:shd w:val="clear" w:color="auto" w:fill="auto"/>
            <w:vAlign w:val="bottom"/>
          </w:tcPr>
          <w:p w:rsidR="002C167F" w:rsidRPr="002C167F" w:rsidRDefault="002C167F" w:rsidP="002C167F">
            <w:pPr>
              <w:suppressAutoHyphens/>
              <w:spacing w:after="60" w:line="280" w:lineRule="exact"/>
              <w:ind w:right="57"/>
              <w:jc w:val="right"/>
              <w:rPr>
                <w:sz w:val="17"/>
                <w:szCs w:val="15"/>
              </w:rPr>
            </w:pPr>
          </w:p>
        </w:tc>
      </w:tr>
      <w:tr w:rsidR="002C167F" w:rsidRPr="002C167F" w:rsidTr="00CC5764">
        <w:tblPrEx>
          <w:tblCellMar>
            <w:top w:w="0" w:type="dxa"/>
            <w:bottom w:w="0" w:type="dxa"/>
          </w:tblCellMar>
        </w:tblPrEx>
        <w:tc>
          <w:tcPr>
            <w:tcW w:w="1785"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rPr>
                <w:sz w:val="17"/>
                <w:szCs w:val="15"/>
              </w:rPr>
            </w:pPr>
            <w:r w:rsidRPr="002C167F">
              <w:rPr>
                <w:rFonts w:hint="eastAsia"/>
                <w:sz w:val="17"/>
                <w:szCs w:val="15"/>
              </w:rPr>
              <w:t>依据《保护免遭歧视法》</w:t>
            </w:r>
          </w:p>
        </w:tc>
        <w:tc>
          <w:tcPr>
            <w:tcW w:w="973"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C167F">
              <w:rPr>
                <w:rFonts w:hAnsi="SimSun"/>
                <w:sz w:val="17"/>
                <w:szCs w:val="17"/>
              </w:rPr>
              <w:t>2006</w:t>
            </w:r>
            <w:r w:rsidRPr="002C167F">
              <w:rPr>
                <w:rFonts w:hAnsi="SimSun" w:hint="eastAsia"/>
                <w:sz w:val="17"/>
                <w:szCs w:val="17"/>
              </w:rPr>
              <w:t>年</w:t>
            </w:r>
          </w:p>
        </w:tc>
        <w:tc>
          <w:tcPr>
            <w:tcW w:w="507" w:type="dxa"/>
            <w:gridSpan w:val="2"/>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2</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44</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46</w:t>
            </w:r>
          </w:p>
        </w:tc>
        <w:tc>
          <w:tcPr>
            <w:tcW w:w="507" w:type="dxa"/>
            <w:gridSpan w:val="2"/>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18</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5</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3</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10</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11</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28</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3</w:t>
            </w:r>
          </w:p>
        </w:tc>
      </w:tr>
      <w:tr w:rsidR="002C167F" w:rsidRPr="002C167F" w:rsidTr="00CC5764">
        <w:tblPrEx>
          <w:tblCellMar>
            <w:top w:w="0" w:type="dxa"/>
            <w:bottom w:w="0" w:type="dxa"/>
          </w:tblCellMar>
        </w:tblPrEx>
        <w:tc>
          <w:tcPr>
            <w:tcW w:w="1785"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rPr>
                <w:sz w:val="17"/>
                <w:szCs w:val="15"/>
              </w:rPr>
            </w:pPr>
            <w:r w:rsidRPr="002C167F">
              <w:rPr>
                <w:rFonts w:hint="eastAsia"/>
                <w:sz w:val="17"/>
                <w:szCs w:val="15"/>
              </w:rPr>
              <w:t>依据《保护免遭歧视法》</w:t>
            </w:r>
          </w:p>
        </w:tc>
        <w:tc>
          <w:tcPr>
            <w:tcW w:w="973"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2007</w:t>
            </w:r>
            <w:r w:rsidRPr="002C167F">
              <w:rPr>
                <w:rFonts w:hAnsi="SimSun" w:hint="eastAsia"/>
                <w:sz w:val="17"/>
                <w:szCs w:val="17"/>
              </w:rPr>
              <w:t>年</w:t>
            </w:r>
          </w:p>
        </w:tc>
        <w:tc>
          <w:tcPr>
            <w:tcW w:w="507" w:type="dxa"/>
            <w:gridSpan w:val="2"/>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35</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97</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5</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137</w:t>
            </w:r>
          </w:p>
        </w:tc>
        <w:tc>
          <w:tcPr>
            <w:tcW w:w="507" w:type="dxa"/>
            <w:gridSpan w:val="2"/>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119</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98</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4</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17</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106</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18</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8</w:t>
            </w:r>
          </w:p>
        </w:tc>
      </w:tr>
      <w:tr w:rsidR="002C167F" w:rsidRPr="002C167F" w:rsidTr="00CC5764">
        <w:tblPrEx>
          <w:tblCellMar>
            <w:top w:w="0" w:type="dxa"/>
            <w:bottom w:w="0" w:type="dxa"/>
          </w:tblCellMar>
        </w:tblPrEx>
        <w:tc>
          <w:tcPr>
            <w:tcW w:w="1785"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rPr>
                <w:sz w:val="17"/>
                <w:szCs w:val="15"/>
              </w:rPr>
            </w:pPr>
            <w:r w:rsidRPr="002C167F">
              <w:rPr>
                <w:rFonts w:hint="eastAsia"/>
                <w:sz w:val="17"/>
                <w:szCs w:val="15"/>
              </w:rPr>
              <w:t>依据《保护免遭歧视法》</w:t>
            </w:r>
          </w:p>
        </w:tc>
        <w:tc>
          <w:tcPr>
            <w:tcW w:w="973"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2008</w:t>
            </w:r>
            <w:r w:rsidRPr="002C167F">
              <w:rPr>
                <w:rFonts w:hAnsi="SimSun" w:hint="eastAsia"/>
                <w:sz w:val="17"/>
                <w:szCs w:val="17"/>
              </w:rPr>
              <w:t>年</w:t>
            </w:r>
          </w:p>
        </w:tc>
        <w:tc>
          <w:tcPr>
            <w:tcW w:w="507" w:type="dxa"/>
            <w:gridSpan w:val="2"/>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18</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36</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4</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58</w:t>
            </w:r>
          </w:p>
        </w:tc>
        <w:tc>
          <w:tcPr>
            <w:tcW w:w="507" w:type="dxa"/>
            <w:gridSpan w:val="2"/>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37</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15</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2</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19</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31</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21</w:t>
            </w:r>
          </w:p>
        </w:tc>
        <w:tc>
          <w:tcPr>
            <w:tcW w:w="507" w:type="dxa"/>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6</w:t>
            </w:r>
          </w:p>
        </w:tc>
      </w:tr>
      <w:tr w:rsidR="002C167F" w:rsidRPr="002C167F" w:rsidTr="00CC5764">
        <w:tblPrEx>
          <w:tblCellMar>
            <w:top w:w="0" w:type="dxa"/>
            <w:bottom w:w="0" w:type="dxa"/>
          </w:tblCellMar>
        </w:tblPrEx>
        <w:tc>
          <w:tcPr>
            <w:tcW w:w="1785"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rPr>
                <w:sz w:val="17"/>
                <w:szCs w:val="15"/>
              </w:rPr>
            </w:pPr>
            <w:r w:rsidRPr="002C167F">
              <w:rPr>
                <w:rFonts w:hint="eastAsia"/>
                <w:sz w:val="17"/>
                <w:szCs w:val="15"/>
              </w:rPr>
              <w:t>《保护免遭歧视法》</w:t>
            </w:r>
          </w:p>
        </w:tc>
        <w:tc>
          <w:tcPr>
            <w:tcW w:w="973"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2009</w:t>
            </w:r>
            <w:r w:rsidRPr="002C167F">
              <w:rPr>
                <w:rFonts w:hAnsi="SimSun" w:hint="eastAsia"/>
                <w:sz w:val="17"/>
                <w:szCs w:val="17"/>
              </w:rPr>
              <w:t>年</w:t>
            </w:r>
          </w:p>
        </w:tc>
        <w:tc>
          <w:tcPr>
            <w:tcW w:w="507" w:type="dxa"/>
            <w:gridSpan w:val="2"/>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21</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22</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43</w:t>
            </w:r>
          </w:p>
        </w:tc>
        <w:tc>
          <w:tcPr>
            <w:tcW w:w="507" w:type="dxa"/>
            <w:gridSpan w:val="2"/>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19</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6</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0</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12</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9</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bCs/>
                <w:sz w:val="17"/>
                <w:szCs w:val="17"/>
              </w:rPr>
            </w:pPr>
            <w:r w:rsidRPr="002C167F">
              <w:rPr>
                <w:rFonts w:hAnsi="SimSun"/>
                <w:bCs/>
                <w:sz w:val="17"/>
                <w:szCs w:val="17"/>
              </w:rPr>
              <w:t>24</w:t>
            </w:r>
          </w:p>
        </w:tc>
        <w:tc>
          <w:tcPr>
            <w:tcW w:w="507" w:type="dxa"/>
            <w:tcBorders>
              <w:bottom w:val="single" w:sz="12" w:space="0" w:color="auto"/>
            </w:tcBorders>
            <w:shd w:val="clear" w:color="auto" w:fill="auto"/>
            <w:vAlign w:val="bottom"/>
          </w:tcPr>
          <w:p w:rsidR="002C167F" w:rsidRPr="002C167F" w:rsidRDefault="002C167F" w:rsidP="002C167F">
            <w:pPr>
              <w:tabs>
                <w:tab w:val="left" w:pos="334"/>
                <w:tab w:val="left" w:pos="669"/>
                <w:tab w:val="left" w:pos="1003"/>
                <w:tab w:val="left" w:pos="1338"/>
              </w:tabs>
              <w:suppressAutoHyphens/>
              <w:spacing w:after="60" w:line="280" w:lineRule="exact"/>
              <w:ind w:right="57"/>
              <w:jc w:val="right"/>
              <w:rPr>
                <w:rFonts w:hAnsi="SimSun"/>
                <w:sz w:val="17"/>
                <w:szCs w:val="17"/>
              </w:rPr>
            </w:pPr>
            <w:r w:rsidRPr="002C167F">
              <w:rPr>
                <w:rFonts w:hAnsi="SimSun"/>
                <w:sz w:val="17"/>
                <w:szCs w:val="17"/>
              </w:rPr>
              <w:t>7</w:t>
            </w:r>
          </w:p>
        </w:tc>
      </w:tr>
    </w:tbl>
    <w:p w:rsidR="00CC5764" w:rsidRPr="00CC5764" w:rsidRDefault="00CC5764" w:rsidP="00CC5764">
      <w:pPr>
        <w:pStyle w:val="SingleTxt"/>
        <w:spacing w:after="0" w:line="120" w:lineRule="exact"/>
        <w:rPr>
          <w:sz w:val="10"/>
        </w:rPr>
      </w:pPr>
    </w:p>
    <w:p w:rsidR="00CC5764" w:rsidRPr="00CC5764" w:rsidRDefault="00CC5764" w:rsidP="00CC5764">
      <w:pPr>
        <w:pStyle w:val="SingleTxt"/>
        <w:spacing w:after="0" w:line="120" w:lineRule="exact"/>
        <w:rPr>
          <w:sz w:val="10"/>
        </w:rPr>
      </w:pPr>
    </w:p>
    <w:p w:rsidR="00CC5764" w:rsidRDefault="00CC5764" w:rsidP="00CC576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第五条</w:t>
      </w:r>
    </w:p>
    <w:p w:rsidR="00CC5764" w:rsidRPr="00CC5764" w:rsidRDefault="00CC5764" w:rsidP="00CC5764">
      <w:pPr>
        <w:pStyle w:val="SingleTxt"/>
        <w:spacing w:after="0" w:line="120" w:lineRule="exact"/>
        <w:rPr>
          <w:rFonts w:hint="eastAsia"/>
          <w:sz w:val="10"/>
        </w:rPr>
      </w:pPr>
    </w:p>
    <w:p w:rsidR="00E87CAD" w:rsidRPr="00E87CAD" w:rsidRDefault="00CC5764" w:rsidP="00CC5764">
      <w:pPr>
        <w:pStyle w:val="SingleTxt"/>
        <w:rPr>
          <w:rFonts w:ascii="Times New Roman" w:eastAsia="SimHei"/>
        </w:rPr>
      </w:pPr>
      <w:r>
        <w:rPr>
          <w:rFonts w:hint="eastAsia"/>
        </w:rPr>
        <w:t>表1</w:t>
      </w:r>
      <w:r>
        <w:br/>
      </w:r>
      <w:r w:rsidRPr="00CC5764">
        <w:rPr>
          <w:rFonts w:ascii="SimHei" w:eastAsia="SimHei" w:hint="eastAsia"/>
        </w:rPr>
        <w:t>每年根据《防止家庭暴力法》提出的诉讼数量</w:t>
      </w:r>
    </w:p>
    <w:tbl>
      <w:tblPr>
        <w:tblW w:w="9842" w:type="dxa"/>
        <w:tblLayout w:type="fixed"/>
        <w:tblCellMar>
          <w:left w:w="0" w:type="dxa"/>
          <w:right w:w="0" w:type="dxa"/>
        </w:tblCellMar>
        <w:tblLook w:val="0000" w:firstRow="0" w:lastRow="0" w:firstColumn="0" w:lastColumn="0" w:noHBand="0" w:noVBand="0"/>
      </w:tblPr>
      <w:tblGrid>
        <w:gridCol w:w="1792"/>
        <w:gridCol w:w="966"/>
        <w:gridCol w:w="506"/>
        <w:gridCol w:w="506"/>
        <w:gridCol w:w="506"/>
        <w:gridCol w:w="506"/>
        <w:gridCol w:w="506"/>
        <w:gridCol w:w="67"/>
        <w:gridCol w:w="439"/>
        <w:gridCol w:w="506"/>
        <w:gridCol w:w="506"/>
        <w:gridCol w:w="506"/>
        <w:gridCol w:w="506"/>
        <w:gridCol w:w="506"/>
        <w:gridCol w:w="506"/>
        <w:gridCol w:w="506"/>
        <w:gridCol w:w="506"/>
      </w:tblGrid>
      <w:tr w:rsidR="00054620" w:rsidRPr="00E87CAD" w:rsidTr="00054620">
        <w:tblPrEx>
          <w:tblCellMar>
            <w:top w:w="0" w:type="dxa"/>
            <w:bottom w:w="0" w:type="dxa"/>
          </w:tblCellMar>
        </w:tblPrEx>
        <w:trPr>
          <w:tblHeader/>
        </w:trPr>
        <w:tc>
          <w:tcPr>
            <w:tcW w:w="1792" w:type="dxa"/>
            <w:tcBorders>
              <w:top w:val="single" w:sz="4" w:space="0" w:color="auto"/>
            </w:tcBorders>
            <w:shd w:val="clear" w:color="auto" w:fill="auto"/>
            <w:vAlign w:val="bottom"/>
          </w:tcPr>
          <w:p w:rsidR="00054620" w:rsidRPr="00E87CAD" w:rsidRDefault="00054620" w:rsidP="00E87CAD">
            <w:pPr>
              <w:suppressAutoHyphens/>
              <w:spacing w:before="60" w:after="60" w:line="200" w:lineRule="exact"/>
              <w:ind w:right="57"/>
              <w:rPr>
                <w:rFonts w:ascii="KaiTi_GB2312" w:eastAsia="KaiTi_GB2312"/>
                <w:sz w:val="15"/>
              </w:rPr>
            </w:pPr>
          </w:p>
        </w:tc>
        <w:tc>
          <w:tcPr>
            <w:tcW w:w="966" w:type="dxa"/>
            <w:tcBorders>
              <w:top w:val="single" w:sz="4" w:space="0" w:color="auto"/>
            </w:tcBorders>
            <w:shd w:val="clear" w:color="auto" w:fill="auto"/>
            <w:vAlign w:val="bottom"/>
          </w:tcPr>
          <w:p w:rsidR="00054620" w:rsidRPr="00E87CAD" w:rsidRDefault="00054620" w:rsidP="00E87CAD">
            <w:pPr>
              <w:suppressAutoHyphens/>
              <w:spacing w:before="60" w:after="60" w:line="200" w:lineRule="exact"/>
              <w:ind w:right="57"/>
              <w:jc w:val="right"/>
              <w:rPr>
                <w:rFonts w:ascii="KaiTi_GB2312" w:eastAsia="KaiTi_GB2312"/>
                <w:sz w:val="15"/>
              </w:rPr>
            </w:pPr>
          </w:p>
        </w:tc>
        <w:tc>
          <w:tcPr>
            <w:tcW w:w="506" w:type="dxa"/>
            <w:tcBorders>
              <w:top w:val="single" w:sz="4" w:space="0" w:color="auto"/>
            </w:tcBorders>
            <w:shd w:val="clear" w:color="auto" w:fill="auto"/>
            <w:vAlign w:val="bottom"/>
          </w:tcPr>
          <w:p w:rsidR="00054620" w:rsidRPr="00E87CAD" w:rsidRDefault="00054620" w:rsidP="00E87CAD">
            <w:pPr>
              <w:suppressAutoHyphens/>
              <w:spacing w:before="60" w:after="60" w:line="200" w:lineRule="exact"/>
              <w:ind w:right="57"/>
              <w:jc w:val="right"/>
              <w:rPr>
                <w:rFonts w:ascii="KaiTi_GB2312" w:eastAsia="KaiTi_GB2312"/>
                <w:sz w:val="15"/>
              </w:rPr>
            </w:pPr>
          </w:p>
        </w:tc>
        <w:tc>
          <w:tcPr>
            <w:tcW w:w="1518" w:type="dxa"/>
            <w:gridSpan w:val="3"/>
            <w:tcBorders>
              <w:top w:val="single" w:sz="4" w:space="0" w:color="auto"/>
              <w:bottom w:val="single" w:sz="4" w:space="0" w:color="auto"/>
            </w:tcBorders>
            <w:shd w:val="clear" w:color="auto" w:fill="auto"/>
            <w:vAlign w:val="bottom"/>
          </w:tcPr>
          <w:p w:rsidR="00054620" w:rsidRPr="00E87CAD" w:rsidRDefault="00054620" w:rsidP="00054620">
            <w:pPr>
              <w:suppressAutoHyphens/>
              <w:spacing w:before="60" w:after="60" w:line="200" w:lineRule="exact"/>
              <w:ind w:right="57"/>
              <w:jc w:val="center"/>
              <w:rPr>
                <w:rFonts w:ascii="KaiTi_GB2312" w:eastAsia="KaiTi_GB2312"/>
                <w:sz w:val="15"/>
              </w:rPr>
            </w:pPr>
            <w:r w:rsidRPr="00E87CAD">
              <w:rPr>
                <w:rFonts w:ascii="KaiTi_GB2312" w:eastAsia="KaiTi_GB2312" w:hint="eastAsia"/>
                <w:sz w:val="15"/>
                <w:szCs w:val="15"/>
              </w:rPr>
              <w:t>登记的诉讼案件</w:t>
            </w:r>
          </w:p>
        </w:tc>
        <w:tc>
          <w:tcPr>
            <w:tcW w:w="506" w:type="dxa"/>
            <w:tcBorders>
              <w:top w:val="single" w:sz="4" w:space="0" w:color="auto"/>
            </w:tcBorders>
            <w:shd w:val="clear" w:color="auto" w:fill="auto"/>
            <w:vAlign w:val="bottom"/>
          </w:tcPr>
          <w:p w:rsidR="00054620" w:rsidRPr="00E87CAD" w:rsidRDefault="00054620" w:rsidP="00E87CAD">
            <w:pPr>
              <w:suppressAutoHyphens/>
              <w:spacing w:before="60" w:after="60" w:line="200" w:lineRule="exact"/>
              <w:ind w:right="57"/>
              <w:jc w:val="right"/>
              <w:rPr>
                <w:rFonts w:ascii="KaiTi_GB2312" w:eastAsia="KaiTi_GB2312"/>
                <w:sz w:val="15"/>
              </w:rPr>
            </w:pPr>
          </w:p>
        </w:tc>
        <w:tc>
          <w:tcPr>
            <w:tcW w:w="67" w:type="dxa"/>
            <w:tcBorders>
              <w:top w:val="single" w:sz="4" w:space="0" w:color="auto"/>
            </w:tcBorders>
            <w:shd w:val="clear" w:color="auto" w:fill="auto"/>
            <w:vAlign w:val="bottom"/>
          </w:tcPr>
          <w:p w:rsidR="00054620" w:rsidRPr="00E87CAD" w:rsidRDefault="00054620" w:rsidP="00E87CAD">
            <w:pPr>
              <w:suppressAutoHyphens/>
              <w:spacing w:before="60" w:after="60" w:line="200" w:lineRule="exact"/>
              <w:ind w:right="57"/>
              <w:jc w:val="right"/>
              <w:rPr>
                <w:rFonts w:ascii="KaiTi_GB2312" w:eastAsia="KaiTi_GB2312"/>
                <w:sz w:val="15"/>
              </w:rPr>
            </w:pPr>
          </w:p>
        </w:tc>
        <w:tc>
          <w:tcPr>
            <w:tcW w:w="3475" w:type="dxa"/>
            <w:gridSpan w:val="7"/>
            <w:tcBorders>
              <w:top w:val="single" w:sz="4" w:space="0" w:color="auto"/>
              <w:bottom w:val="single" w:sz="4" w:space="0" w:color="auto"/>
            </w:tcBorders>
            <w:shd w:val="clear" w:color="auto" w:fill="auto"/>
            <w:vAlign w:val="bottom"/>
          </w:tcPr>
          <w:p w:rsidR="00054620" w:rsidRPr="00E87CAD" w:rsidRDefault="00054620" w:rsidP="00E87CAD">
            <w:pPr>
              <w:suppressAutoHyphens/>
              <w:spacing w:before="60" w:after="60" w:line="200" w:lineRule="exact"/>
              <w:ind w:right="57"/>
              <w:jc w:val="right"/>
              <w:rPr>
                <w:rFonts w:ascii="KaiTi_GB2312" w:eastAsia="KaiTi_GB2312"/>
                <w:sz w:val="15"/>
              </w:rPr>
            </w:pPr>
            <w:r w:rsidRPr="00E87CAD">
              <w:rPr>
                <w:rFonts w:ascii="KaiTi_GB2312" w:eastAsia="KaiTi_GB2312" w:hint="eastAsia"/>
                <w:sz w:val="15"/>
                <w:szCs w:val="15"/>
              </w:rPr>
              <w:t>已结案的诉讼案件</w:t>
            </w:r>
            <w:r w:rsidRPr="00E87CAD">
              <w:rPr>
                <w:rFonts w:ascii="KaiTi_GB2312" w:eastAsia="KaiTi_GB2312"/>
                <w:sz w:val="15"/>
                <w:szCs w:val="15"/>
              </w:rPr>
              <w:t>/ 6</w:t>
            </w:r>
            <w:r w:rsidRPr="00E87CAD">
              <w:rPr>
                <w:rFonts w:ascii="KaiTi_GB2312" w:eastAsia="KaiTi_GB2312" w:hint="eastAsia"/>
                <w:sz w:val="15"/>
                <w:szCs w:val="15"/>
              </w:rPr>
              <w:t>件</w:t>
            </w:r>
            <w:r w:rsidRPr="00E87CAD">
              <w:rPr>
                <w:rFonts w:ascii="KaiTi_GB2312" w:eastAsia="KaiTi_GB2312"/>
                <w:sz w:val="15"/>
                <w:szCs w:val="15"/>
              </w:rPr>
              <w:t>= 7 + 8 + 9 + 10 + 11/</w:t>
            </w:r>
          </w:p>
        </w:tc>
        <w:tc>
          <w:tcPr>
            <w:tcW w:w="506" w:type="dxa"/>
            <w:tcBorders>
              <w:top w:val="single" w:sz="4" w:space="0" w:color="auto"/>
            </w:tcBorders>
            <w:shd w:val="clear" w:color="auto" w:fill="auto"/>
            <w:vAlign w:val="bottom"/>
          </w:tcPr>
          <w:p w:rsidR="00054620" w:rsidRPr="00E87CAD" w:rsidRDefault="00054620" w:rsidP="00E87CAD">
            <w:pPr>
              <w:suppressAutoHyphens/>
              <w:spacing w:before="60" w:after="60" w:line="200" w:lineRule="exact"/>
              <w:ind w:right="57"/>
              <w:jc w:val="right"/>
              <w:rPr>
                <w:rFonts w:ascii="KaiTi_GB2312" w:eastAsia="KaiTi_GB2312"/>
                <w:sz w:val="15"/>
              </w:rPr>
            </w:pPr>
          </w:p>
        </w:tc>
        <w:tc>
          <w:tcPr>
            <w:tcW w:w="506" w:type="dxa"/>
            <w:tcBorders>
              <w:top w:val="single" w:sz="4" w:space="0" w:color="auto"/>
            </w:tcBorders>
            <w:shd w:val="clear" w:color="auto" w:fill="auto"/>
            <w:vAlign w:val="bottom"/>
          </w:tcPr>
          <w:p w:rsidR="00054620" w:rsidRPr="00E87CAD" w:rsidRDefault="00054620" w:rsidP="00E87CAD">
            <w:pPr>
              <w:suppressAutoHyphens/>
              <w:spacing w:before="60" w:after="60" w:line="200" w:lineRule="exact"/>
              <w:ind w:right="57"/>
              <w:jc w:val="right"/>
              <w:rPr>
                <w:rFonts w:ascii="KaiTi_GB2312" w:eastAsia="KaiTi_GB2312"/>
                <w:sz w:val="15"/>
              </w:rPr>
            </w:pPr>
          </w:p>
        </w:tc>
      </w:tr>
      <w:tr w:rsidR="00054620" w:rsidRPr="00E87CAD" w:rsidTr="00054620">
        <w:tblPrEx>
          <w:tblCellMar>
            <w:top w:w="0" w:type="dxa"/>
            <w:bottom w:w="0" w:type="dxa"/>
          </w:tblCellMar>
        </w:tblPrEx>
        <w:trPr>
          <w:tblHeader/>
        </w:trPr>
        <w:tc>
          <w:tcPr>
            <w:tcW w:w="1792" w:type="dxa"/>
            <w:shd w:val="clear" w:color="auto" w:fill="auto"/>
            <w:vAlign w:val="bottom"/>
          </w:tcPr>
          <w:p w:rsidR="00054620" w:rsidRPr="00E87CAD" w:rsidRDefault="00054620" w:rsidP="00E87CAD">
            <w:pPr>
              <w:suppressAutoHyphens/>
              <w:spacing w:after="60" w:line="200" w:lineRule="exact"/>
              <w:ind w:right="57"/>
              <w:rPr>
                <w:rFonts w:ascii="KaiTi_GB2312" w:eastAsia="KaiTi_GB2312"/>
                <w:sz w:val="15"/>
              </w:rPr>
            </w:pPr>
          </w:p>
        </w:tc>
        <w:tc>
          <w:tcPr>
            <w:tcW w:w="966" w:type="dxa"/>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506" w:type="dxa"/>
            <w:vMerge w:val="restart"/>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r w:rsidRPr="00E87CAD">
              <w:rPr>
                <w:rFonts w:ascii="KaiTi_GB2312" w:eastAsia="KaiTi_GB2312" w:hint="eastAsia"/>
                <w:sz w:val="15"/>
                <w:szCs w:val="15"/>
              </w:rPr>
              <w:t>报告所述期间开始阶段</w:t>
            </w:r>
          </w:p>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sz w:val="15"/>
                <w:szCs w:val="15"/>
              </w:rPr>
              <w:t>未结案的诉讼案件</w:t>
            </w:r>
          </w:p>
        </w:tc>
        <w:tc>
          <w:tcPr>
            <w:tcW w:w="506" w:type="dxa"/>
            <w:vMerge w:val="restart"/>
            <w:tcBorders>
              <w:top w:val="single" w:sz="4"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sz w:val="15"/>
                <w:szCs w:val="15"/>
              </w:rPr>
              <w:t>新成立的诉讼案件</w:t>
            </w:r>
          </w:p>
        </w:tc>
        <w:tc>
          <w:tcPr>
            <w:tcW w:w="506" w:type="dxa"/>
            <w:vMerge w:val="restart"/>
            <w:tcBorders>
              <w:top w:val="single" w:sz="4"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sz w:val="15"/>
                <w:szCs w:val="15"/>
              </w:rPr>
              <w:t>法院管辖范围内登记的诉讼案件</w:t>
            </w:r>
          </w:p>
        </w:tc>
        <w:tc>
          <w:tcPr>
            <w:tcW w:w="506" w:type="dxa"/>
            <w:vMerge w:val="restart"/>
            <w:tcBorders>
              <w:top w:val="single" w:sz="4"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sz w:val="15"/>
                <w:szCs w:val="15"/>
              </w:rPr>
              <w:t>发回重审的诉讼案件</w:t>
            </w:r>
          </w:p>
        </w:tc>
        <w:tc>
          <w:tcPr>
            <w:tcW w:w="506" w:type="dxa"/>
            <w:vMerge w:val="restart"/>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bCs/>
                <w:sz w:val="15"/>
                <w:szCs w:val="15"/>
              </w:rPr>
              <w:t>要审理的诉讼案件总数</w:t>
            </w:r>
            <w:r>
              <w:rPr>
                <w:rFonts w:ascii="Times New Roman" w:eastAsia="KaiTi_GB2312"/>
                <w:bCs/>
                <w:sz w:val="15"/>
                <w:szCs w:val="15"/>
              </w:rPr>
              <w:br/>
            </w:r>
            <w:r w:rsidRPr="00E87CAD">
              <w:rPr>
                <w:rFonts w:ascii="KaiTi_GB2312" w:eastAsia="KaiTi_GB2312"/>
                <w:sz w:val="15"/>
                <w:szCs w:val="15"/>
              </w:rPr>
              <w:t xml:space="preserve">/1+ 2 + 3 </w:t>
            </w:r>
            <w:r w:rsidR="000E37F6">
              <w:rPr>
                <w:rFonts w:ascii="KaiTi_GB2312" w:eastAsia="KaiTi_GB2312" w:hint="eastAsia"/>
                <w:sz w:val="15"/>
                <w:szCs w:val="15"/>
              </w:rPr>
              <w:br/>
            </w:r>
            <w:r w:rsidRPr="00E87CAD">
              <w:rPr>
                <w:rFonts w:ascii="KaiTi_GB2312" w:eastAsia="KaiTi_GB2312"/>
                <w:sz w:val="15"/>
                <w:szCs w:val="15"/>
              </w:rPr>
              <w:t>+ 4/</w:t>
            </w:r>
          </w:p>
        </w:tc>
        <w:tc>
          <w:tcPr>
            <w:tcW w:w="506" w:type="dxa"/>
            <w:gridSpan w:val="2"/>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506" w:type="dxa"/>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506" w:type="dxa"/>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506" w:type="dxa"/>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1012" w:type="dxa"/>
            <w:gridSpan w:val="2"/>
            <w:tcBorders>
              <w:bottom w:val="single" w:sz="4" w:space="0" w:color="auto"/>
            </w:tcBorders>
            <w:shd w:val="clear" w:color="auto" w:fill="auto"/>
            <w:vAlign w:val="bottom"/>
          </w:tcPr>
          <w:p w:rsidR="00054620" w:rsidRPr="00E87CAD" w:rsidRDefault="00054620" w:rsidP="00054620">
            <w:pPr>
              <w:suppressAutoHyphens/>
              <w:spacing w:after="60" w:line="200" w:lineRule="exact"/>
              <w:ind w:right="57"/>
              <w:jc w:val="center"/>
              <w:rPr>
                <w:rFonts w:ascii="KaiTi_GB2312" w:eastAsia="KaiTi_GB2312"/>
                <w:sz w:val="15"/>
              </w:rPr>
            </w:pPr>
            <w:r w:rsidRPr="00E87CAD">
              <w:rPr>
                <w:rFonts w:ascii="KaiTi_GB2312" w:eastAsia="KaiTi_GB2312" w:hint="eastAsia"/>
                <w:sz w:val="15"/>
                <w:szCs w:val="15"/>
              </w:rPr>
              <w:t>诉讼中止</w:t>
            </w:r>
          </w:p>
        </w:tc>
        <w:tc>
          <w:tcPr>
            <w:tcW w:w="506" w:type="dxa"/>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506" w:type="dxa"/>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506" w:type="dxa"/>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r>
      <w:tr w:rsidR="00054620" w:rsidRPr="00E87CAD" w:rsidTr="00054620">
        <w:tblPrEx>
          <w:tblCellMar>
            <w:top w:w="0" w:type="dxa"/>
            <w:bottom w:w="0" w:type="dxa"/>
          </w:tblCellMar>
        </w:tblPrEx>
        <w:trPr>
          <w:tblHeader/>
        </w:trPr>
        <w:tc>
          <w:tcPr>
            <w:tcW w:w="1792"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rPr>
                <w:rFonts w:ascii="KaiTi_GB2312" w:eastAsia="KaiTi_GB2312"/>
                <w:sz w:val="15"/>
                <w:szCs w:val="15"/>
              </w:rPr>
            </w:pPr>
            <w:r w:rsidRPr="00E87CAD">
              <w:rPr>
                <w:rFonts w:ascii="KaiTi_GB2312" w:eastAsia="KaiTi_GB2312" w:hint="eastAsia"/>
                <w:sz w:val="15"/>
                <w:szCs w:val="15"/>
              </w:rPr>
              <w:t>民事纠纷的类型</w:t>
            </w:r>
          </w:p>
        </w:tc>
        <w:tc>
          <w:tcPr>
            <w:tcW w:w="966"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r w:rsidRPr="00E87CAD">
              <w:rPr>
                <w:rFonts w:ascii="KaiTi_GB2312" w:eastAsia="KaiTi_GB2312" w:hint="eastAsia"/>
                <w:sz w:val="15"/>
                <w:szCs w:val="15"/>
              </w:rPr>
              <w:t>年</w:t>
            </w:r>
          </w:p>
        </w:tc>
        <w:tc>
          <w:tcPr>
            <w:tcW w:w="506" w:type="dxa"/>
            <w:vMerge/>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p>
        </w:tc>
        <w:tc>
          <w:tcPr>
            <w:tcW w:w="506" w:type="dxa"/>
            <w:vMerge/>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p>
        </w:tc>
        <w:tc>
          <w:tcPr>
            <w:tcW w:w="506" w:type="dxa"/>
            <w:vMerge/>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p>
        </w:tc>
        <w:tc>
          <w:tcPr>
            <w:tcW w:w="506" w:type="dxa"/>
            <w:vMerge/>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p>
        </w:tc>
        <w:tc>
          <w:tcPr>
            <w:tcW w:w="506" w:type="dxa"/>
            <w:vMerge/>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p>
        </w:tc>
        <w:tc>
          <w:tcPr>
            <w:tcW w:w="506" w:type="dxa"/>
            <w:gridSpan w:val="2"/>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hint="eastAsia"/>
                <w:bCs/>
                <w:sz w:val="15"/>
                <w:szCs w:val="15"/>
              </w:rPr>
            </w:pPr>
            <w:r w:rsidRPr="00E87CAD">
              <w:rPr>
                <w:rFonts w:ascii="KaiTi_GB2312" w:eastAsia="KaiTi_GB2312" w:hint="eastAsia"/>
                <w:bCs/>
                <w:sz w:val="15"/>
                <w:szCs w:val="15"/>
              </w:rPr>
              <w:t>共计</w:t>
            </w:r>
          </w:p>
        </w:tc>
        <w:tc>
          <w:tcPr>
            <w:tcW w:w="506"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r w:rsidRPr="00E87CAD">
              <w:rPr>
                <w:rFonts w:ascii="KaiTi_GB2312" w:eastAsia="KaiTi_GB2312" w:hint="eastAsia"/>
                <w:sz w:val="15"/>
                <w:szCs w:val="15"/>
              </w:rPr>
              <w:t>受理全部诉讼要求</w:t>
            </w:r>
          </w:p>
        </w:tc>
        <w:tc>
          <w:tcPr>
            <w:tcW w:w="506"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r w:rsidRPr="00E87CAD">
              <w:rPr>
                <w:rFonts w:ascii="KaiTi_GB2312" w:eastAsia="KaiTi_GB2312" w:hint="eastAsia"/>
                <w:sz w:val="15"/>
                <w:szCs w:val="15"/>
              </w:rPr>
              <w:t>受理部分诉讼要求</w:t>
            </w:r>
          </w:p>
        </w:tc>
        <w:tc>
          <w:tcPr>
            <w:tcW w:w="506"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r w:rsidRPr="00E87CAD">
              <w:rPr>
                <w:rFonts w:ascii="KaiTi_GB2312" w:eastAsia="KaiTi_GB2312" w:hint="eastAsia"/>
                <w:sz w:val="15"/>
                <w:szCs w:val="15"/>
              </w:rPr>
              <w:t>诉讼要求被驳回</w:t>
            </w:r>
          </w:p>
        </w:tc>
        <w:tc>
          <w:tcPr>
            <w:tcW w:w="506" w:type="dxa"/>
            <w:tcBorders>
              <w:top w:val="single" w:sz="4" w:space="0" w:color="auto"/>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r w:rsidRPr="00E87CAD">
              <w:rPr>
                <w:rFonts w:ascii="KaiTi_GB2312" w:eastAsia="KaiTi_GB2312" w:hint="eastAsia"/>
                <w:sz w:val="15"/>
                <w:szCs w:val="15"/>
              </w:rPr>
              <w:t>公约</w:t>
            </w:r>
          </w:p>
        </w:tc>
        <w:tc>
          <w:tcPr>
            <w:tcW w:w="506" w:type="dxa"/>
            <w:tcBorders>
              <w:top w:val="single" w:sz="4" w:space="0" w:color="auto"/>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szCs w:val="15"/>
              </w:rPr>
            </w:pPr>
            <w:r w:rsidRPr="00E87CAD">
              <w:rPr>
                <w:rFonts w:ascii="KaiTi_GB2312" w:eastAsia="KaiTi_GB2312" w:hint="eastAsia"/>
                <w:sz w:val="15"/>
                <w:szCs w:val="15"/>
              </w:rPr>
              <w:t>其他原因</w:t>
            </w:r>
          </w:p>
        </w:tc>
        <w:tc>
          <w:tcPr>
            <w:tcW w:w="506"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sz w:val="15"/>
                <w:szCs w:val="15"/>
              </w:rPr>
              <w:t>三个月内结案</w:t>
            </w:r>
          </w:p>
        </w:tc>
        <w:tc>
          <w:tcPr>
            <w:tcW w:w="506"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sz w:val="15"/>
                <w:szCs w:val="15"/>
              </w:rPr>
              <w:t>三个月内结案</w:t>
            </w:r>
          </w:p>
        </w:tc>
        <w:tc>
          <w:tcPr>
            <w:tcW w:w="506" w:type="dxa"/>
            <w:tcBorders>
              <w:bottom w:val="single" w:sz="12" w:space="0" w:color="auto"/>
            </w:tcBorders>
            <w:shd w:val="clear" w:color="auto" w:fill="auto"/>
            <w:vAlign w:val="bottom"/>
          </w:tcPr>
          <w:p w:rsidR="00054620" w:rsidRPr="00E87CAD" w:rsidRDefault="00054620" w:rsidP="00E87CAD">
            <w:pPr>
              <w:suppressAutoHyphens/>
              <w:spacing w:after="60" w:line="200" w:lineRule="exact"/>
              <w:ind w:right="57"/>
              <w:jc w:val="right"/>
              <w:rPr>
                <w:rFonts w:ascii="KaiTi_GB2312" w:eastAsia="KaiTi_GB2312"/>
                <w:sz w:val="15"/>
              </w:rPr>
            </w:pPr>
            <w:r w:rsidRPr="00E87CAD">
              <w:rPr>
                <w:rFonts w:ascii="KaiTi_GB2312" w:eastAsia="KaiTi_GB2312" w:hint="eastAsia"/>
                <w:sz w:val="15"/>
                <w:szCs w:val="15"/>
              </w:rPr>
              <w:t>三个月内结案</w:t>
            </w:r>
          </w:p>
        </w:tc>
      </w:tr>
      <w:tr w:rsidR="00E87CAD" w:rsidRPr="00E87CAD" w:rsidTr="00E87CAD">
        <w:tblPrEx>
          <w:tblCellMar>
            <w:top w:w="0" w:type="dxa"/>
            <w:bottom w:w="0" w:type="dxa"/>
          </w:tblCellMar>
        </w:tblPrEx>
        <w:trPr>
          <w:trHeight w:hRule="exact" w:val="115"/>
          <w:tblHeader/>
        </w:trPr>
        <w:tc>
          <w:tcPr>
            <w:tcW w:w="1792"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rPr>
                <w:rFonts w:hint="eastAsia"/>
                <w:sz w:val="17"/>
                <w:szCs w:val="15"/>
              </w:rPr>
            </w:pPr>
          </w:p>
        </w:tc>
        <w:tc>
          <w:tcPr>
            <w:tcW w:w="96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gridSpan w:val="2"/>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c>
          <w:tcPr>
            <w:tcW w:w="506" w:type="dxa"/>
            <w:tcBorders>
              <w:top w:val="single" w:sz="12" w:space="0" w:color="auto"/>
            </w:tcBorders>
            <w:shd w:val="clear" w:color="auto" w:fill="auto"/>
            <w:vAlign w:val="bottom"/>
          </w:tcPr>
          <w:p w:rsidR="00E87CAD" w:rsidRPr="00E87CAD" w:rsidRDefault="00E87CAD" w:rsidP="00E87CAD">
            <w:pPr>
              <w:suppressAutoHyphens/>
              <w:spacing w:after="60" w:line="280" w:lineRule="exact"/>
              <w:ind w:right="57"/>
              <w:jc w:val="right"/>
              <w:rPr>
                <w:sz w:val="17"/>
                <w:szCs w:val="15"/>
              </w:rPr>
            </w:pPr>
          </w:p>
        </w:tc>
      </w:tr>
      <w:tr w:rsidR="00E87CAD" w:rsidRPr="00E87CAD" w:rsidTr="00E87CAD">
        <w:tblPrEx>
          <w:tblCellMar>
            <w:top w:w="0" w:type="dxa"/>
            <w:bottom w:w="0" w:type="dxa"/>
          </w:tblCellMar>
        </w:tblPrEx>
        <w:tc>
          <w:tcPr>
            <w:tcW w:w="1792"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rPr>
                <w:rFonts w:hint="eastAsia"/>
                <w:sz w:val="17"/>
                <w:szCs w:val="15"/>
              </w:rPr>
            </w:pPr>
            <w:r w:rsidRPr="00E87CAD">
              <w:rPr>
                <w:rFonts w:hint="eastAsia"/>
                <w:sz w:val="17"/>
                <w:szCs w:val="15"/>
              </w:rPr>
              <w:t>分栏</w:t>
            </w:r>
          </w:p>
        </w:tc>
        <w:tc>
          <w:tcPr>
            <w:tcW w:w="96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4</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5</w:t>
            </w:r>
          </w:p>
        </w:tc>
        <w:tc>
          <w:tcPr>
            <w:tcW w:w="506" w:type="dxa"/>
            <w:gridSpan w:val="2"/>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6</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7</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8</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9</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10</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11</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12</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13</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14</w:t>
            </w:r>
          </w:p>
        </w:tc>
      </w:tr>
      <w:tr w:rsidR="00E87CAD" w:rsidRPr="00E87CAD" w:rsidTr="00E87CAD">
        <w:tblPrEx>
          <w:tblCellMar>
            <w:top w:w="0" w:type="dxa"/>
            <w:bottom w:w="0" w:type="dxa"/>
          </w:tblCellMar>
        </w:tblPrEx>
        <w:tc>
          <w:tcPr>
            <w:tcW w:w="1792"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rPr>
                <w:sz w:val="17"/>
                <w:szCs w:val="15"/>
              </w:rPr>
            </w:pPr>
            <w:bookmarkStart w:id="5" w:name="OLE_LINK27"/>
            <w:r w:rsidRPr="00E87CAD">
              <w:rPr>
                <w:rFonts w:hint="eastAsia"/>
                <w:sz w:val="17"/>
                <w:szCs w:val="15"/>
              </w:rPr>
              <w:t>依据《防止家庭暴力法》</w:t>
            </w:r>
            <w:bookmarkEnd w:id="5"/>
          </w:p>
        </w:tc>
        <w:tc>
          <w:tcPr>
            <w:tcW w:w="96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rFonts w:hint="eastAsia"/>
                <w:sz w:val="17"/>
                <w:szCs w:val="15"/>
              </w:rPr>
            </w:pPr>
            <w:r w:rsidRPr="00E87CAD">
              <w:rPr>
                <w:sz w:val="17"/>
                <w:szCs w:val="15"/>
              </w:rPr>
              <w:t>2006</w:t>
            </w:r>
            <w:r w:rsidRPr="00E87CAD">
              <w:rPr>
                <w:rFonts w:hint="eastAsia"/>
                <w:sz w:val="17"/>
                <w:szCs w:val="15"/>
              </w:rPr>
              <w:t>年</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86</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988</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15</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w:t>
            </w:r>
            <w:r w:rsidRPr="00E87CAD">
              <w:rPr>
                <w:rFonts w:hint="eastAsia"/>
                <w:sz w:val="17"/>
                <w:szCs w:val="15"/>
              </w:rPr>
              <w:t xml:space="preserve"> </w:t>
            </w:r>
            <w:r w:rsidRPr="00E87CAD">
              <w:rPr>
                <w:sz w:val="17"/>
                <w:szCs w:val="15"/>
              </w:rPr>
              <w:t>092</w:t>
            </w:r>
          </w:p>
        </w:tc>
        <w:tc>
          <w:tcPr>
            <w:tcW w:w="506" w:type="dxa"/>
            <w:gridSpan w:val="2"/>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502</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866</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24</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85</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15</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512</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252</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590</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215</w:t>
            </w:r>
          </w:p>
        </w:tc>
      </w:tr>
      <w:tr w:rsidR="00E87CAD" w:rsidRPr="00E87CAD" w:rsidTr="00E87CAD">
        <w:tblPrEx>
          <w:tblCellMar>
            <w:top w:w="0" w:type="dxa"/>
            <w:bottom w:w="0" w:type="dxa"/>
          </w:tblCellMar>
        </w:tblPrEx>
        <w:tc>
          <w:tcPr>
            <w:tcW w:w="1792"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rPr>
                <w:sz w:val="17"/>
                <w:szCs w:val="15"/>
              </w:rPr>
            </w:pPr>
            <w:r w:rsidRPr="00E87CAD">
              <w:rPr>
                <w:rFonts w:hint="eastAsia"/>
                <w:sz w:val="17"/>
                <w:szCs w:val="15"/>
              </w:rPr>
              <w:t>依据《防止家庭暴力法》</w:t>
            </w:r>
          </w:p>
        </w:tc>
        <w:tc>
          <w:tcPr>
            <w:tcW w:w="96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rFonts w:hint="eastAsia"/>
                <w:sz w:val="17"/>
                <w:szCs w:val="15"/>
              </w:rPr>
            </w:pPr>
            <w:r w:rsidRPr="00E87CAD">
              <w:rPr>
                <w:sz w:val="17"/>
                <w:szCs w:val="15"/>
              </w:rPr>
              <w:t>2007</w:t>
            </w:r>
            <w:r w:rsidRPr="00E87CAD">
              <w:rPr>
                <w:rFonts w:hint="eastAsia"/>
                <w:sz w:val="17"/>
                <w:szCs w:val="15"/>
              </w:rPr>
              <w:t>年</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301</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750</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4</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w:t>
            </w:r>
            <w:r w:rsidRPr="00E87CAD">
              <w:rPr>
                <w:rFonts w:hint="eastAsia"/>
                <w:sz w:val="17"/>
                <w:szCs w:val="15"/>
              </w:rPr>
              <w:t xml:space="preserve"> </w:t>
            </w:r>
            <w:r w:rsidRPr="00E87CAD">
              <w:rPr>
                <w:sz w:val="17"/>
                <w:szCs w:val="15"/>
              </w:rPr>
              <w:t>058</w:t>
            </w:r>
          </w:p>
        </w:tc>
        <w:tc>
          <w:tcPr>
            <w:tcW w:w="506" w:type="dxa"/>
            <w:gridSpan w:val="2"/>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703</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754</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38</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123</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37</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751</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422</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355</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153</w:t>
            </w:r>
          </w:p>
        </w:tc>
      </w:tr>
      <w:tr w:rsidR="00E87CAD" w:rsidRPr="00E87CAD" w:rsidTr="00E87CAD">
        <w:tblPrEx>
          <w:tblCellMar>
            <w:top w:w="0" w:type="dxa"/>
            <w:bottom w:w="0" w:type="dxa"/>
          </w:tblCellMar>
        </w:tblPrEx>
        <w:tc>
          <w:tcPr>
            <w:tcW w:w="1792"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rPr>
                <w:sz w:val="17"/>
                <w:szCs w:val="15"/>
              </w:rPr>
            </w:pPr>
            <w:r w:rsidRPr="00E87CAD">
              <w:rPr>
                <w:rFonts w:hint="eastAsia"/>
                <w:sz w:val="17"/>
                <w:szCs w:val="15"/>
              </w:rPr>
              <w:t>依据《防止家庭暴力法》</w:t>
            </w:r>
          </w:p>
        </w:tc>
        <w:tc>
          <w:tcPr>
            <w:tcW w:w="96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2008</w:t>
            </w:r>
            <w:r w:rsidRPr="00E87CAD">
              <w:rPr>
                <w:rFonts w:hint="eastAsia"/>
                <w:sz w:val="17"/>
                <w:szCs w:val="15"/>
              </w:rPr>
              <w:t>年</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337</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018</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6</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4</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365</w:t>
            </w:r>
          </w:p>
        </w:tc>
        <w:tc>
          <w:tcPr>
            <w:tcW w:w="506" w:type="dxa"/>
            <w:gridSpan w:val="2"/>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976</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377</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12</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90</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19</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478</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778</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389</w:t>
            </w:r>
          </w:p>
        </w:tc>
        <w:tc>
          <w:tcPr>
            <w:tcW w:w="506" w:type="dxa"/>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93</w:t>
            </w:r>
          </w:p>
        </w:tc>
      </w:tr>
      <w:tr w:rsidR="00E87CAD" w:rsidRPr="00E87CAD" w:rsidTr="00E87CAD">
        <w:tblPrEx>
          <w:tblCellMar>
            <w:top w:w="0" w:type="dxa"/>
            <w:bottom w:w="0" w:type="dxa"/>
          </w:tblCellMar>
        </w:tblPrEx>
        <w:tc>
          <w:tcPr>
            <w:tcW w:w="1792"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rPr>
                <w:sz w:val="17"/>
                <w:szCs w:val="15"/>
              </w:rPr>
            </w:pPr>
            <w:r w:rsidRPr="00E87CAD">
              <w:rPr>
                <w:rFonts w:hint="eastAsia"/>
                <w:sz w:val="17"/>
                <w:szCs w:val="15"/>
              </w:rPr>
              <w:t>依据《防止家庭暴力法》</w:t>
            </w:r>
          </w:p>
        </w:tc>
        <w:tc>
          <w:tcPr>
            <w:tcW w:w="96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2009</w:t>
            </w:r>
            <w:r w:rsidRPr="00E87CAD">
              <w:rPr>
                <w:rFonts w:hint="eastAsia"/>
                <w:sz w:val="17"/>
                <w:szCs w:val="15"/>
              </w:rPr>
              <w:t>年</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399</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w:t>
            </w:r>
            <w:r w:rsidRPr="00E87CAD">
              <w:rPr>
                <w:rFonts w:hint="eastAsia"/>
                <w:sz w:val="17"/>
                <w:szCs w:val="15"/>
              </w:rPr>
              <w:t xml:space="preserve"> </w:t>
            </w:r>
            <w:r w:rsidRPr="00E87CAD">
              <w:rPr>
                <w:sz w:val="17"/>
                <w:szCs w:val="15"/>
              </w:rPr>
              <w:t>464</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15</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7</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w:t>
            </w:r>
            <w:r w:rsidRPr="00E87CAD">
              <w:rPr>
                <w:rFonts w:hint="eastAsia"/>
                <w:sz w:val="17"/>
                <w:szCs w:val="15"/>
              </w:rPr>
              <w:t xml:space="preserve"> </w:t>
            </w:r>
            <w:r w:rsidRPr="00E87CAD">
              <w:rPr>
                <w:sz w:val="17"/>
                <w:szCs w:val="15"/>
              </w:rPr>
              <w:t>885</w:t>
            </w:r>
          </w:p>
        </w:tc>
        <w:tc>
          <w:tcPr>
            <w:tcW w:w="506" w:type="dxa"/>
            <w:gridSpan w:val="2"/>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w:t>
            </w:r>
            <w:r w:rsidRPr="00E87CAD">
              <w:rPr>
                <w:rFonts w:hint="eastAsia"/>
                <w:sz w:val="17"/>
                <w:szCs w:val="15"/>
              </w:rPr>
              <w:t xml:space="preserve"> </w:t>
            </w:r>
            <w:r w:rsidRPr="00E87CAD">
              <w:rPr>
                <w:sz w:val="17"/>
                <w:szCs w:val="15"/>
              </w:rPr>
              <w:t>409</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965</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71</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160</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36</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1177</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1</w:t>
            </w:r>
            <w:r w:rsidRPr="00E87CAD">
              <w:rPr>
                <w:rFonts w:hint="eastAsia"/>
                <w:sz w:val="17"/>
                <w:szCs w:val="15"/>
              </w:rPr>
              <w:t xml:space="preserve"> </w:t>
            </w:r>
            <w:r w:rsidRPr="00E87CAD">
              <w:rPr>
                <w:sz w:val="17"/>
                <w:szCs w:val="15"/>
              </w:rPr>
              <w:t>912</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476</w:t>
            </w:r>
          </w:p>
        </w:tc>
        <w:tc>
          <w:tcPr>
            <w:tcW w:w="506" w:type="dxa"/>
            <w:tcBorders>
              <w:bottom w:val="single" w:sz="12" w:space="0" w:color="auto"/>
            </w:tcBorders>
            <w:shd w:val="clear" w:color="auto" w:fill="auto"/>
            <w:vAlign w:val="bottom"/>
          </w:tcPr>
          <w:p w:rsidR="00E87CAD" w:rsidRPr="00E87CAD" w:rsidRDefault="00E87CAD" w:rsidP="00E87CAD">
            <w:pPr>
              <w:tabs>
                <w:tab w:val="left" w:pos="334"/>
                <w:tab w:val="left" w:pos="669"/>
                <w:tab w:val="left" w:pos="1003"/>
                <w:tab w:val="left" w:pos="1338"/>
              </w:tabs>
              <w:suppressAutoHyphens/>
              <w:spacing w:after="60" w:line="280" w:lineRule="exact"/>
              <w:ind w:right="57"/>
              <w:jc w:val="right"/>
              <w:rPr>
                <w:sz w:val="17"/>
                <w:szCs w:val="15"/>
              </w:rPr>
            </w:pPr>
            <w:r w:rsidRPr="00E87CAD">
              <w:rPr>
                <w:sz w:val="17"/>
                <w:szCs w:val="15"/>
              </w:rPr>
              <w:t>271</w:t>
            </w:r>
          </w:p>
        </w:tc>
      </w:tr>
    </w:tbl>
    <w:p w:rsidR="00054620" w:rsidRPr="00054620" w:rsidRDefault="00054620" w:rsidP="00054620">
      <w:pPr>
        <w:pStyle w:val="SingleTxt"/>
        <w:spacing w:after="0" w:line="120" w:lineRule="exact"/>
        <w:rPr>
          <w:sz w:val="10"/>
        </w:rPr>
      </w:pPr>
    </w:p>
    <w:p w:rsidR="00054620" w:rsidRPr="00054620" w:rsidRDefault="00054620" w:rsidP="00054620">
      <w:pPr>
        <w:pStyle w:val="SingleTxt"/>
        <w:spacing w:after="0" w:line="120" w:lineRule="exact"/>
        <w:rPr>
          <w:sz w:val="10"/>
        </w:rPr>
      </w:pPr>
    </w:p>
    <w:p w:rsidR="00054620" w:rsidRDefault="00054620" w:rsidP="000546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第六条</w:t>
      </w:r>
    </w:p>
    <w:p w:rsidR="00054620" w:rsidRDefault="00054620" w:rsidP="00054620">
      <w:pPr>
        <w:pStyle w:val="SingleTxt"/>
        <w:rPr>
          <w:rFonts w:hint="eastAsia"/>
        </w:rPr>
      </w:pPr>
      <w:r>
        <w:rPr>
          <w:rFonts w:hint="eastAsia"/>
        </w:rPr>
        <w:t>向人口贩运和家庭暴力受害者提供服务的非政府组织图：http://antitraffic.</w:t>
      </w:r>
      <w:r>
        <w:br/>
      </w:r>
      <w:r>
        <w:rPr>
          <w:rFonts w:hint="eastAsia"/>
        </w:rPr>
        <w:t>government.bg/images/info_files/1257407275.PDF。</w:t>
      </w:r>
    </w:p>
    <w:p w:rsidR="00054620" w:rsidRDefault="00054620" w:rsidP="000546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第十二条</w:t>
      </w:r>
    </w:p>
    <w:p w:rsidR="00054620" w:rsidRPr="00054620" w:rsidRDefault="00054620" w:rsidP="00054620">
      <w:pPr>
        <w:pStyle w:val="SingleTxt"/>
        <w:spacing w:after="0" w:line="120" w:lineRule="exact"/>
        <w:rPr>
          <w:rFonts w:hint="eastAsia"/>
          <w:sz w:val="10"/>
        </w:rPr>
      </w:pPr>
    </w:p>
    <w:p w:rsidR="00C46079" w:rsidRDefault="00054620" w:rsidP="002B7A11">
      <w:pPr>
        <w:pStyle w:val="SingleTxt"/>
        <w:rPr>
          <w:rFonts w:ascii="Times New Roman" w:eastAsia="SimHei"/>
        </w:rPr>
      </w:pPr>
      <w:r>
        <w:rPr>
          <w:rFonts w:hint="eastAsia"/>
        </w:rPr>
        <w:t>表1</w:t>
      </w:r>
      <w:r>
        <w:br/>
      </w:r>
      <w:r w:rsidRPr="00054620">
        <w:rPr>
          <w:rFonts w:ascii="SimHei" w:eastAsia="SimHei" w:hint="eastAsia"/>
        </w:rPr>
        <w:t>用于医疗保健的预算支出在国内生产总值中所占的比例</w:t>
      </w:r>
    </w:p>
    <w:tbl>
      <w:tblPr>
        <w:tblW w:w="7370" w:type="dxa"/>
        <w:tblInd w:w="1264" w:type="dxa"/>
        <w:tblCellMar>
          <w:left w:w="0" w:type="dxa"/>
          <w:right w:w="0" w:type="dxa"/>
        </w:tblCellMar>
        <w:tblLook w:val="0000" w:firstRow="0" w:lastRow="0" w:firstColumn="0" w:lastColumn="0" w:noHBand="0" w:noVBand="0"/>
      </w:tblPr>
      <w:tblGrid>
        <w:gridCol w:w="3636"/>
        <w:gridCol w:w="3734"/>
      </w:tblGrid>
      <w:tr w:rsidR="00054620" w:rsidRPr="00054620" w:rsidTr="00054620">
        <w:trPr>
          <w:trHeight w:val="240"/>
          <w:tblHeader/>
        </w:trPr>
        <w:tc>
          <w:tcPr>
            <w:tcW w:w="3636" w:type="dxa"/>
            <w:tcBorders>
              <w:top w:val="single" w:sz="4" w:space="0" w:color="auto"/>
              <w:bottom w:val="single" w:sz="12" w:space="0" w:color="auto"/>
            </w:tcBorders>
            <w:shd w:val="clear" w:color="auto" w:fill="auto"/>
            <w:vAlign w:val="bottom"/>
          </w:tcPr>
          <w:p w:rsidR="00054620" w:rsidRPr="00054620" w:rsidRDefault="00054620" w:rsidP="00054620">
            <w:pPr>
              <w:suppressAutoHyphens/>
              <w:spacing w:before="60" w:after="60" w:line="200" w:lineRule="exact"/>
              <w:ind w:right="57"/>
              <w:jc w:val="center"/>
              <w:rPr>
                <w:rFonts w:ascii="KaiTi_GB2312" w:eastAsia="KaiTi_GB2312" w:hint="eastAsia"/>
                <w:sz w:val="15"/>
                <w:szCs w:val="18"/>
              </w:rPr>
            </w:pPr>
            <w:r w:rsidRPr="00054620">
              <w:rPr>
                <w:rFonts w:ascii="KaiTi_GB2312" w:eastAsia="KaiTi_GB2312" w:hint="eastAsia"/>
                <w:sz w:val="15"/>
                <w:szCs w:val="18"/>
              </w:rPr>
              <w:t>年份</w:t>
            </w:r>
          </w:p>
        </w:tc>
        <w:tc>
          <w:tcPr>
            <w:tcW w:w="3734" w:type="dxa"/>
            <w:tcBorders>
              <w:top w:val="single" w:sz="4" w:space="0" w:color="auto"/>
              <w:bottom w:val="single" w:sz="12" w:space="0" w:color="auto"/>
            </w:tcBorders>
            <w:shd w:val="clear" w:color="auto" w:fill="auto"/>
            <w:vAlign w:val="bottom"/>
          </w:tcPr>
          <w:p w:rsidR="00054620" w:rsidRPr="00054620" w:rsidRDefault="00054620" w:rsidP="00054620">
            <w:pPr>
              <w:suppressAutoHyphens/>
              <w:spacing w:before="60" w:after="60" w:line="200" w:lineRule="exact"/>
              <w:ind w:right="57"/>
              <w:jc w:val="right"/>
              <w:rPr>
                <w:rFonts w:ascii="KaiTi_GB2312" w:eastAsia="KaiTi_GB2312"/>
                <w:sz w:val="15"/>
                <w:szCs w:val="18"/>
              </w:rPr>
            </w:pPr>
            <w:r w:rsidRPr="00054620">
              <w:rPr>
                <w:rFonts w:ascii="KaiTi_GB2312" w:eastAsia="KaiTi_GB2312" w:hint="eastAsia"/>
                <w:sz w:val="15"/>
                <w:szCs w:val="18"/>
              </w:rPr>
              <w:t>占国内生产总值的比例</w:t>
            </w:r>
          </w:p>
        </w:tc>
      </w:tr>
      <w:tr w:rsidR="00054620" w:rsidRPr="00054620" w:rsidTr="00054620">
        <w:trPr>
          <w:trHeight w:hRule="exact" w:val="115"/>
          <w:tblHeader/>
        </w:trPr>
        <w:tc>
          <w:tcPr>
            <w:tcW w:w="3636" w:type="dxa"/>
            <w:tcBorders>
              <w:top w:val="single" w:sz="12" w:space="0" w:color="auto"/>
            </w:tcBorders>
            <w:shd w:val="clear" w:color="auto" w:fill="auto"/>
            <w:vAlign w:val="bottom"/>
          </w:tcPr>
          <w:p w:rsidR="00054620" w:rsidRPr="00054620" w:rsidRDefault="00054620" w:rsidP="00054620">
            <w:pPr>
              <w:suppressAutoHyphens/>
              <w:spacing w:after="60" w:line="280" w:lineRule="exact"/>
              <w:ind w:right="57"/>
              <w:jc w:val="center"/>
              <w:rPr>
                <w:sz w:val="17"/>
                <w:szCs w:val="18"/>
              </w:rPr>
            </w:pPr>
          </w:p>
        </w:tc>
        <w:tc>
          <w:tcPr>
            <w:tcW w:w="3734" w:type="dxa"/>
            <w:tcBorders>
              <w:top w:val="single" w:sz="12" w:space="0" w:color="auto"/>
            </w:tcBorders>
            <w:shd w:val="clear" w:color="auto" w:fill="auto"/>
            <w:vAlign w:val="bottom"/>
          </w:tcPr>
          <w:p w:rsidR="00054620" w:rsidRPr="00054620" w:rsidRDefault="00054620" w:rsidP="00054620">
            <w:pPr>
              <w:suppressAutoHyphens/>
              <w:spacing w:after="60" w:line="280" w:lineRule="exact"/>
              <w:ind w:right="57"/>
              <w:jc w:val="right"/>
              <w:rPr>
                <w:sz w:val="17"/>
                <w:szCs w:val="18"/>
              </w:rPr>
            </w:pPr>
          </w:p>
        </w:tc>
      </w:tr>
      <w:tr w:rsidR="00054620" w:rsidRPr="00054620" w:rsidTr="00054620">
        <w:trPr>
          <w:trHeight w:val="240"/>
        </w:trPr>
        <w:tc>
          <w:tcPr>
            <w:tcW w:w="3636"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rPr>
                <w:rFonts w:hint="eastAsia"/>
                <w:sz w:val="17"/>
                <w:szCs w:val="18"/>
              </w:rPr>
            </w:pPr>
            <w:r w:rsidRPr="00054620">
              <w:rPr>
                <w:sz w:val="17"/>
                <w:szCs w:val="18"/>
              </w:rPr>
              <w:t>2001</w:t>
            </w:r>
          </w:p>
        </w:tc>
        <w:tc>
          <w:tcPr>
            <w:tcW w:w="373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3</w:t>
            </w:r>
            <w:r w:rsidRPr="00054620">
              <w:rPr>
                <w:rFonts w:hint="eastAsia"/>
                <w:sz w:val="17"/>
                <w:szCs w:val="18"/>
              </w:rPr>
              <w:t>.</w:t>
            </w:r>
            <w:r w:rsidRPr="00054620">
              <w:rPr>
                <w:sz w:val="17"/>
                <w:szCs w:val="18"/>
              </w:rPr>
              <w:t>7 %</w:t>
            </w:r>
          </w:p>
        </w:tc>
      </w:tr>
      <w:tr w:rsidR="00054620" w:rsidRPr="00054620" w:rsidTr="00054620">
        <w:trPr>
          <w:trHeight w:val="240"/>
        </w:trPr>
        <w:tc>
          <w:tcPr>
            <w:tcW w:w="3636"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rPr>
                <w:sz w:val="17"/>
                <w:szCs w:val="18"/>
              </w:rPr>
            </w:pPr>
            <w:r w:rsidRPr="00054620">
              <w:rPr>
                <w:sz w:val="17"/>
                <w:szCs w:val="18"/>
              </w:rPr>
              <w:t>2006</w:t>
            </w:r>
          </w:p>
        </w:tc>
        <w:tc>
          <w:tcPr>
            <w:tcW w:w="373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4</w:t>
            </w:r>
            <w:r w:rsidRPr="00054620">
              <w:rPr>
                <w:rFonts w:hint="eastAsia"/>
                <w:sz w:val="17"/>
                <w:szCs w:val="18"/>
              </w:rPr>
              <w:t>.</w:t>
            </w:r>
            <w:r w:rsidRPr="00054620">
              <w:rPr>
                <w:sz w:val="17"/>
                <w:szCs w:val="18"/>
              </w:rPr>
              <w:t>4 %</w:t>
            </w:r>
          </w:p>
        </w:tc>
      </w:tr>
      <w:tr w:rsidR="00054620" w:rsidRPr="00054620" w:rsidTr="00054620">
        <w:trPr>
          <w:trHeight w:val="240"/>
        </w:trPr>
        <w:tc>
          <w:tcPr>
            <w:tcW w:w="3636" w:type="dxa"/>
            <w:tcBorders>
              <w:bottom w:val="single" w:sz="12" w:space="0" w:color="auto"/>
            </w:tcBorders>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rPr>
                <w:sz w:val="17"/>
                <w:szCs w:val="18"/>
              </w:rPr>
            </w:pPr>
            <w:r w:rsidRPr="00054620">
              <w:rPr>
                <w:sz w:val="17"/>
                <w:szCs w:val="18"/>
              </w:rPr>
              <w:t>2007</w:t>
            </w:r>
          </w:p>
        </w:tc>
        <w:tc>
          <w:tcPr>
            <w:tcW w:w="3734" w:type="dxa"/>
            <w:tcBorders>
              <w:bottom w:val="single" w:sz="12" w:space="0" w:color="auto"/>
            </w:tcBorders>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4</w:t>
            </w:r>
            <w:r w:rsidRPr="00054620">
              <w:rPr>
                <w:rFonts w:hint="eastAsia"/>
                <w:sz w:val="17"/>
                <w:szCs w:val="18"/>
              </w:rPr>
              <w:t>.</w:t>
            </w:r>
            <w:r w:rsidRPr="00054620">
              <w:rPr>
                <w:sz w:val="17"/>
                <w:szCs w:val="18"/>
              </w:rPr>
              <w:t>3 %</w:t>
            </w:r>
          </w:p>
        </w:tc>
      </w:tr>
    </w:tbl>
    <w:p w:rsidR="00054620" w:rsidRPr="00054620" w:rsidRDefault="00054620" w:rsidP="00054620">
      <w:pPr>
        <w:pStyle w:val="SingleTxtG"/>
        <w:spacing w:after="0" w:line="120" w:lineRule="exact"/>
        <w:rPr>
          <w:rFonts w:eastAsia="SimHei" w:hint="eastAsia"/>
          <w:bCs/>
          <w:sz w:val="10"/>
          <w:szCs w:val="21"/>
          <w:lang w:eastAsia="zh-CN"/>
        </w:rPr>
      </w:pPr>
    </w:p>
    <w:p w:rsidR="00054620" w:rsidRPr="002941D3" w:rsidRDefault="00054620" w:rsidP="002B7A11">
      <w:pPr>
        <w:pStyle w:val="SingleTxt"/>
        <w:rPr>
          <w:rFonts w:eastAsia="SimHei"/>
          <w:bCs/>
          <w:szCs w:val="21"/>
        </w:rPr>
      </w:pPr>
      <w:r w:rsidRPr="00054620">
        <w:rPr>
          <w:rFonts w:hAnsi="SimSun" w:hint="eastAsia"/>
          <w:bCs/>
          <w:szCs w:val="21"/>
        </w:rPr>
        <w:t>表</w:t>
      </w:r>
      <w:r w:rsidRPr="00054620">
        <w:rPr>
          <w:rFonts w:hAnsi="SimSun"/>
          <w:bCs/>
          <w:szCs w:val="21"/>
        </w:rPr>
        <w:t>2</w:t>
      </w:r>
      <w:r>
        <w:rPr>
          <w:rFonts w:eastAsia="SimHei"/>
          <w:bCs/>
          <w:szCs w:val="21"/>
        </w:rPr>
        <w:br/>
      </w:r>
      <w:r w:rsidRPr="002941D3">
        <w:rPr>
          <w:rFonts w:eastAsia="SimHei" w:hint="eastAsia"/>
          <w:bCs/>
          <w:szCs w:val="21"/>
        </w:rPr>
        <w:t>与妇女有关的主要人口指数</w:t>
      </w:r>
    </w:p>
    <w:tbl>
      <w:tblPr>
        <w:tblW w:w="7371" w:type="dxa"/>
        <w:tblInd w:w="1264" w:type="dxa"/>
        <w:tblCellMar>
          <w:left w:w="0" w:type="dxa"/>
          <w:right w:w="0" w:type="dxa"/>
        </w:tblCellMar>
        <w:tblLook w:val="0000" w:firstRow="0" w:lastRow="0" w:firstColumn="0" w:lastColumn="0" w:noHBand="0" w:noVBand="0"/>
      </w:tblPr>
      <w:tblGrid>
        <w:gridCol w:w="1474"/>
        <w:gridCol w:w="1474"/>
        <w:gridCol w:w="1474"/>
        <w:gridCol w:w="1474"/>
        <w:gridCol w:w="1475"/>
      </w:tblGrid>
      <w:tr w:rsidR="00054620" w:rsidRPr="00054620" w:rsidTr="00054620">
        <w:trPr>
          <w:trHeight w:val="240"/>
          <w:tblHeader/>
        </w:trPr>
        <w:tc>
          <w:tcPr>
            <w:tcW w:w="1474" w:type="dxa"/>
            <w:tcBorders>
              <w:top w:val="single" w:sz="4" w:space="0" w:color="auto"/>
              <w:bottom w:val="single" w:sz="12" w:space="0" w:color="auto"/>
            </w:tcBorders>
            <w:shd w:val="clear" w:color="auto" w:fill="auto"/>
            <w:vAlign w:val="bottom"/>
          </w:tcPr>
          <w:p w:rsidR="00054620" w:rsidRPr="00054620" w:rsidRDefault="00054620" w:rsidP="00054620">
            <w:pPr>
              <w:suppressAutoHyphens/>
              <w:spacing w:before="60" w:after="60" w:line="200" w:lineRule="exact"/>
              <w:ind w:right="57"/>
              <w:jc w:val="center"/>
              <w:rPr>
                <w:rFonts w:ascii="KaiTi_GB2312" w:eastAsia="KaiTi_GB2312" w:hint="eastAsia"/>
                <w:sz w:val="15"/>
                <w:szCs w:val="18"/>
              </w:rPr>
            </w:pPr>
            <w:r w:rsidRPr="00054620">
              <w:rPr>
                <w:rFonts w:ascii="KaiTi_GB2312" w:eastAsia="KaiTi_GB2312" w:hint="eastAsia"/>
                <w:sz w:val="15"/>
                <w:szCs w:val="18"/>
              </w:rPr>
              <w:t>年份</w:t>
            </w:r>
          </w:p>
        </w:tc>
        <w:tc>
          <w:tcPr>
            <w:tcW w:w="1474" w:type="dxa"/>
            <w:tcBorders>
              <w:top w:val="single" w:sz="4" w:space="0" w:color="auto"/>
              <w:bottom w:val="single" w:sz="12" w:space="0" w:color="auto"/>
            </w:tcBorders>
            <w:shd w:val="clear" w:color="auto" w:fill="auto"/>
            <w:vAlign w:val="bottom"/>
          </w:tcPr>
          <w:p w:rsidR="00054620" w:rsidRPr="00054620" w:rsidRDefault="00054620" w:rsidP="00054620">
            <w:pPr>
              <w:suppressAutoHyphens/>
              <w:spacing w:before="60" w:after="60" w:line="200" w:lineRule="exact"/>
              <w:ind w:right="57"/>
              <w:jc w:val="right"/>
              <w:rPr>
                <w:rFonts w:ascii="KaiTi_GB2312" w:eastAsia="KaiTi_GB2312" w:hint="eastAsia"/>
                <w:sz w:val="15"/>
                <w:szCs w:val="18"/>
              </w:rPr>
            </w:pPr>
            <w:r w:rsidRPr="00054620">
              <w:rPr>
                <w:rFonts w:ascii="KaiTi_GB2312" w:eastAsia="KaiTi_GB2312" w:hint="eastAsia"/>
                <w:sz w:val="15"/>
                <w:szCs w:val="18"/>
              </w:rPr>
              <w:t>围产期死亡率</w:t>
            </w:r>
          </w:p>
        </w:tc>
        <w:tc>
          <w:tcPr>
            <w:tcW w:w="1474" w:type="dxa"/>
            <w:tcBorders>
              <w:top w:val="single" w:sz="4" w:space="0" w:color="auto"/>
              <w:bottom w:val="single" w:sz="12" w:space="0" w:color="auto"/>
            </w:tcBorders>
            <w:shd w:val="clear" w:color="auto" w:fill="auto"/>
            <w:vAlign w:val="bottom"/>
          </w:tcPr>
          <w:p w:rsidR="00054620" w:rsidRPr="00054620" w:rsidRDefault="00054620" w:rsidP="00054620">
            <w:pPr>
              <w:suppressAutoHyphens/>
              <w:spacing w:before="60" w:after="60" w:line="200" w:lineRule="exact"/>
              <w:ind w:right="57"/>
              <w:jc w:val="right"/>
              <w:rPr>
                <w:rFonts w:ascii="KaiTi_GB2312" w:eastAsia="KaiTi_GB2312" w:hint="eastAsia"/>
                <w:sz w:val="15"/>
                <w:szCs w:val="18"/>
              </w:rPr>
            </w:pPr>
            <w:r w:rsidRPr="00054620">
              <w:rPr>
                <w:rFonts w:ascii="KaiTi_GB2312" w:eastAsia="KaiTi_GB2312" w:hint="eastAsia"/>
                <w:sz w:val="15"/>
                <w:szCs w:val="18"/>
              </w:rPr>
              <w:t>儿童死亡率</w:t>
            </w:r>
          </w:p>
        </w:tc>
        <w:tc>
          <w:tcPr>
            <w:tcW w:w="1474" w:type="dxa"/>
            <w:tcBorders>
              <w:top w:val="single" w:sz="4" w:space="0" w:color="auto"/>
              <w:bottom w:val="single" w:sz="12" w:space="0" w:color="auto"/>
            </w:tcBorders>
            <w:shd w:val="clear" w:color="auto" w:fill="auto"/>
            <w:vAlign w:val="bottom"/>
          </w:tcPr>
          <w:p w:rsidR="00054620" w:rsidRPr="00054620" w:rsidRDefault="00054620" w:rsidP="00054620">
            <w:pPr>
              <w:suppressAutoHyphens/>
              <w:spacing w:before="60" w:after="60" w:line="200" w:lineRule="exact"/>
              <w:ind w:right="57"/>
              <w:jc w:val="right"/>
              <w:rPr>
                <w:rFonts w:ascii="KaiTi_GB2312" w:eastAsia="KaiTi_GB2312" w:hint="eastAsia"/>
                <w:sz w:val="15"/>
                <w:szCs w:val="18"/>
              </w:rPr>
            </w:pPr>
            <w:r w:rsidRPr="00054620">
              <w:rPr>
                <w:rFonts w:ascii="KaiTi_GB2312" w:eastAsia="KaiTi_GB2312" w:hint="eastAsia"/>
                <w:sz w:val="15"/>
                <w:szCs w:val="18"/>
              </w:rPr>
              <w:t>总死亡率</w:t>
            </w:r>
          </w:p>
        </w:tc>
        <w:tc>
          <w:tcPr>
            <w:tcW w:w="1475" w:type="dxa"/>
            <w:tcBorders>
              <w:top w:val="single" w:sz="4" w:space="0" w:color="auto"/>
              <w:bottom w:val="single" w:sz="12" w:space="0" w:color="auto"/>
            </w:tcBorders>
            <w:shd w:val="clear" w:color="auto" w:fill="auto"/>
            <w:vAlign w:val="bottom"/>
          </w:tcPr>
          <w:p w:rsidR="00054620" w:rsidRPr="00054620" w:rsidRDefault="00054620" w:rsidP="00054620">
            <w:pPr>
              <w:suppressAutoHyphens/>
              <w:spacing w:before="60" w:after="60" w:line="200" w:lineRule="exact"/>
              <w:ind w:right="57"/>
              <w:jc w:val="right"/>
              <w:rPr>
                <w:rFonts w:ascii="KaiTi_GB2312" w:eastAsia="KaiTi_GB2312" w:hint="eastAsia"/>
                <w:sz w:val="15"/>
                <w:szCs w:val="18"/>
              </w:rPr>
            </w:pPr>
            <w:r w:rsidRPr="00054620">
              <w:rPr>
                <w:rFonts w:ascii="KaiTi_GB2312" w:eastAsia="KaiTi_GB2312" w:hint="eastAsia"/>
                <w:sz w:val="15"/>
                <w:szCs w:val="18"/>
              </w:rPr>
              <w:t>产妇死亡率</w:t>
            </w:r>
          </w:p>
        </w:tc>
      </w:tr>
      <w:tr w:rsidR="00054620" w:rsidRPr="00054620" w:rsidTr="00054620">
        <w:trPr>
          <w:trHeight w:hRule="exact" w:val="115"/>
          <w:tblHeader/>
        </w:trPr>
        <w:tc>
          <w:tcPr>
            <w:tcW w:w="1474" w:type="dxa"/>
            <w:tcBorders>
              <w:top w:val="single" w:sz="12" w:space="0" w:color="auto"/>
            </w:tcBorders>
            <w:shd w:val="clear" w:color="auto" w:fill="auto"/>
            <w:vAlign w:val="bottom"/>
          </w:tcPr>
          <w:p w:rsidR="00054620" w:rsidRPr="00054620" w:rsidRDefault="00054620" w:rsidP="00054620">
            <w:pPr>
              <w:suppressAutoHyphens/>
              <w:spacing w:after="60" w:line="280" w:lineRule="exact"/>
              <w:ind w:right="57"/>
              <w:jc w:val="center"/>
              <w:rPr>
                <w:sz w:val="17"/>
                <w:szCs w:val="18"/>
              </w:rPr>
            </w:pPr>
          </w:p>
        </w:tc>
        <w:tc>
          <w:tcPr>
            <w:tcW w:w="1474" w:type="dxa"/>
            <w:tcBorders>
              <w:top w:val="single" w:sz="12" w:space="0" w:color="auto"/>
            </w:tcBorders>
            <w:shd w:val="clear" w:color="auto" w:fill="auto"/>
            <w:vAlign w:val="bottom"/>
          </w:tcPr>
          <w:p w:rsidR="00054620" w:rsidRPr="00054620" w:rsidRDefault="00054620" w:rsidP="00054620">
            <w:pPr>
              <w:suppressAutoHyphens/>
              <w:spacing w:after="60" w:line="280" w:lineRule="exact"/>
              <w:ind w:right="57"/>
              <w:jc w:val="right"/>
              <w:rPr>
                <w:sz w:val="17"/>
                <w:szCs w:val="18"/>
              </w:rPr>
            </w:pPr>
          </w:p>
        </w:tc>
        <w:tc>
          <w:tcPr>
            <w:tcW w:w="1474" w:type="dxa"/>
            <w:tcBorders>
              <w:top w:val="single" w:sz="12" w:space="0" w:color="auto"/>
            </w:tcBorders>
            <w:shd w:val="clear" w:color="auto" w:fill="auto"/>
            <w:vAlign w:val="bottom"/>
          </w:tcPr>
          <w:p w:rsidR="00054620" w:rsidRPr="00054620" w:rsidRDefault="00054620" w:rsidP="00054620">
            <w:pPr>
              <w:suppressAutoHyphens/>
              <w:spacing w:after="60" w:line="280" w:lineRule="exact"/>
              <w:ind w:right="57"/>
              <w:jc w:val="right"/>
              <w:rPr>
                <w:sz w:val="17"/>
                <w:szCs w:val="18"/>
              </w:rPr>
            </w:pPr>
          </w:p>
        </w:tc>
        <w:tc>
          <w:tcPr>
            <w:tcW w:w="1474" w:type="dxa"/>
            <w:tcBorders>
              <w:top w:val="single" w:sz="12" w:space="0" w:color="auto"/>
            </w:tcBorders>
            <w:shd w:val="clear" w:color="auto" w:fill="auto"/>
            <w:vAlign w:val="bottom"/>
          </w:tcPr>
          <w:p w:rsidR="00054620" w:rsidRPr="00054620" w:rsidRDefault="00054620" w:rsidP="00054620">
            <w:pPr>
              <w:suppressAutoHyphens/>
              <w:spacing w:after="60" w:line="280" w:lineRule="exact"/>
              <w:ind w:right="57"/>
              <w:jc w:val="right"/>
              <w:rPr>
                <w:sz w:val="17"/>
                <w:szCs w:val="18"/>
              </w:rPr>
            </w:pPr>
          </w:p>
        </w:tc>
        <w:tc>
          <w:tcPr>
            <w:tcW w:w="1475" w:type="dxa"/>
            <w:tcBorders>
              <w:top w:val="single" w:sz="12" w:space="0" w:color="auto"/>
            </w:tcBorders>
            <w:shd w:val="clear" w:color="auto" w:fill="auto"/>
            <w:vAlign w:val="bottom"/>
          </w:tcPr>
          <w:p w:rsidR="00054620" w:rsidRPr="00054620" w:rsidRDefault="00054620" w:rsidP="00054620">
            <w:pPr>
              <w:suppressAutoHyphens/>
              <w:spacing w:after="60" w:line="280" w:lineRule="exact"/>
              <w:ind w:right="57"/>
              <w:jc w:val="right"/>
              <w:rPr>
                <w:sz w:val="17"/>
                <w:szCs w:val="18"/>
              </w:rPr>
            </w:pPr>
          </w:p>
        </w:tc>
      </w:tr>
      <w:tr w:rsidR="00054620" w:rsidRPr="00054620" w:rsidTr="00054620">
        <w:trPr>
          <w:trHeight w:val="240"/>
        </w:trPr>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rPr>
                <w:sz w:val="17"/>
                <w:szCs w:val="18"/>
              </w:rPr>
            </w:pPr>
            <w:r w:rsidRPr="00054620">
              <w:rPr>
                <w:sz w:val="17"/>
                <w:szCs w:val="18"/>
              </w:rPr>
              <w:t>2001</w:t>
            </w:r>
          </w:p>
        </w:tc>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12.2</w:t>
            </w:r>
          </w:p>
        </w:tc>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14.4</w:t>
            </w:r>
          </w:p>
        </w:tc>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p>
        </w:tc>
        <w:tc>
          <w:tcPr>
            <w:tcW w:w="1475"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19.1</w:t>
            </w:r>
          </w:p>
        </w:tc>
      </w:tr>
      <w:tr w:rsidR="00054620" w:rsidRPr="00054620" w:rsidTr="00054620">
        <w:trPr>
          <w:trHeight w:val="240"/>
        </w:trPr>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rPr>
                <w:sz w:val="17"/>
                <w:szCs w:val="18"/>
              </w:rPr>
            </w:pPr>
            <w:r w:rsidRPr="00054620">
              <w:rPr>
                <w:sz w:val="17"/>
                <w:szCs w:val="18"/>
              </w:rPr>
              <w:t>2006</w:t>
            </w:r>
          </w:p>
        </w:tc>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10.7</w:t>
            </w:r>
          </w:p>
        </w:tc>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9.7</w:t>
            </w:r>
          </w:p>
        </w:tc>
        <w:tc>
          <w:tcPr>
            <w:tcW w:w="1474"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14.7</w:t>
            </w:r>
          </w:p>
        </w:tc>
        <w:tc>
          <w:tcPr>
            <w:tcW w:w="1475" w:type="dxa"/>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10.6</w:t>
            </w:r>
          </w:p>
        </w:tc>
      </w:tr>
      <w:tr w:rsidR="00054620" w:rsidRPr="00054620" w:rsidTr="00054620">
        <w:trPr>
          <w:trHeight w:val="240"/>
        </w:trPr>
        <w:tc>
          <w:tcPr>
            <w:tcW w:w="1474" w:type="dxa"/>
            <w:tcBorders>
              <w:bottom w:val="single" w:sz="12" w:space="0" w:color="auto"/>
            </w:tcBorders>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rPr>
                <w:sz w:val="17"/>
                <w:szCs w:val="18"/>
              </w:rPr>
            </w:pPr>
            <w:r w:rsidRPr="00054620">
              <w:rPr>
                <w:sz w:val="17"/>
                <w:szCs w:val="18"/>
              </w:rPr>
              <w:t>2008</w:t>
            </w:r>
          </w:p>
        </w:tc>
        <w:tc>
          <w:tcPr>
            <w:tcW w:w="1474" w:type="dxa"/>
            <w:tcBorders>
              <w:bottom w:val="single" w:sz="12" w:space="0" w:color="auto"/>
            </w:tcBorders>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11</w:t>
            </w:r>
          </w:p>
        </w:tc>
        <w:tc>
          <w:tcPr>
            <w:tcW w:w="1474" w:type="dxa"/>
            <w:tcBorders>
              <w:bottom w:val="single" w:sz="12" w:space="0" w:color="auto"/>
            </w:tcBorders>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8.6</w:t>
            </w:r>
          </w:p>
        </w:tc>
        <w:tc>
          <w:tcPr>
            <w:tcW w:w="1474" w:type="dxa"/>
            <w:tcBorders>
              <w:bottom w:val="single" w:sz="12" w:space="0" w:color="auto"/>
            </w:tcBorders>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14.5</w:t>
            </w:r>
          </w:p>
        </w:tc>
        <w:tc>
          <w:tcPr>
            <w:tcW w:w="1475" w:type="dxa"/>
            <w:tcBorders>
              <w:bottom w:val="single" w:sz="12" w:space="0" w:color="auto"/>
            </w:tcBorders>
            <w:shd w:val="clear" w:color="auto" w:fill="auto"/>
            <w:vAlign w:val="bottom"/>
          </w:tcPr>
          <w:p w:rsidR="00054620" w:rsidRPr="00054620" w:rsidRDefault="00054620" w:rsidP="00054620">
            <w:pPr>
              <w:tabs>
                <w:tab w:val="left" w:pos="334"/>
                <w:tab w:val="left" w:pos="669"/>
                <w:tab w:val="left" w:pos="1003"/>
                <w:tab w:val="left" w:pos="1338"/>
              </w:tabs>
              <w:suppressAutoHyphens/>
              <w:spacing w:after="60" w:line="280" w:lineRule="exact"/>
              <w:ind w:right="57"/>
              <w:jc w:val="right"/>
              <w:rPr>
                <w:sz w:val="17"/>
                <w:szCs w:val="18"/>
              </w:rPr>
            </w:pPr>
            <w:r w:rsidRPr="00054620">
              <w:rPr>
                <w:sz w:val="17"/>
                <w:szCs w:val="18"/>
              </w:rPr>
              <w:t>11.9</w:t>
            </w:r>
          </w:p>
        </w:tc>
      </w:tr>
    </w:tbl>
    <w:p w:rsidR="00054620" w:rsidRPr="00054620" w:rsidRDefault="00054620" w:rsidP="00054620">
      <w:pPr>
        <w:pStyle w:val="SingleTxtG"/>
        <w:spacing w:after="0" w:line="120" w:lineRule="exact"/>
        <w:rPr>
          <w:rFonts w:eastAsia="SimHei" w:hint="eastAsia"/>
          <w:bCs/>
          <w:sz w:val="10"/>
          <w:szCs w:val="21"/>
          <w:lang w:val="en-US" w:eastAsia="zh-CN"/>
        </w:rPr>
      </w:pPr>
    </w:p>
    <w:p w:rsidR="00054620" w:rsidRPr="002941D3" w:rsidRDefault="00054620" w:rsidP="002B7A11">
      <w:pPr>
        <w:pStyle w:val="SingleTxt"/>
        <w:rPr>
          <w:rFonts w:eastAsia="SimHei" w:hint="eastAsia"/>
          <w:bCs/>
          <w:szCs w:val="21"/>
        </w:rPr>
      </w:pPr>
      <w:r w:rsidRPr="00D66085">
        <w:rPr>
          <w:rFonts w:hAnsi="SimSun" w:hint="eastAsia"/>
          <w:bCs/>
          <w:szCs w:val="21"/>
          <w:lang w:val="en-GB"/>
        </w:rPr>
        <w:t>表</w:t>
      </w:r>
      <w:r w:rsidRPr="00D66085">
        <w:rPr>
          <w:rFonts w:hAnsi="SimSun"/>
          <w:bCs/>
          <w:szCs w:val="21"/>
        </w:rPr>
        <w:t>3</w:t>
      </w:r>
      <w:r w:rsidR="00D66085">
        <w:rPr>
          <w:rFonts w:eastAsia="SimHei"/>
          <w:bCs/>
          <w:szCs w:val="21"/>
        </w:rPr>
        <w:br/>
      </w:r>
      <w:r w:rsidRPr="002941D3">
        <w:rPr>
          <w:rFonts w:eastAsia="SimHei" w:hint="eastAsia"/>
          <w:bCs/>
          <w:szCs w:val="21"/>
        </w:rPr>
        <w:t>女性发病率</w:t>
      </w:r>
    </w:p>
    <w:tbl>
      <w:tblPr>
        <w:tblW w:w="7367" w:type="dxa"/>
        <w:tblInd w:w="1264" w:type="dxa"/>
        <w:tblCellMar>
          <w:left w:w="0" w:type="dxa"/>
          <w:right w:w="0" w:type="dxa"/>
        </w:tblCellMar>
        <w:tblLook w:val="0000" w:firstRow="0" w:lastRow="0" w:firstColumn="0" w:lastColumn="0" w:noHBand="0" w:noVBand="0"/>
      </w:tblPr>
      <w:tblGrid>
        <w:gridCol w:w="3104"/>
        <w:gridCol w:w="1421"/>
        <w:gridCol w:w="1421"/>
        <w:gridCol w:w="1421"/>
      </w:tblGrid>
      <w:tr w:rsidR="00054620" w:rsidRPr="00565D5F" w:rsidTr="00565D5F">
        <w:trPr>
          <w:trHeight w:val="240"/>
          <w:tblHeader/>
        </w:trPr>
        <w:tc>
          <w:tcPr>
            <w:tcW w:w="3104" w:type="dxa"/>
            <w:tcBorders>
              <w:top w:val="single" w:sz="4" w:space="0" w:color="auto"/>
              <w:bottom w:val="single" w:sz="12" w:space="0" w:color="auto"/>
            </w:tcBorders>
            <w:shd w:val="clear" w:color="auto" w:fill="auto"/>
            <w:vAlign w:val="bottom"/>
          </w:tcPr>
          <w:p w:rsidR="00054620" w:rsidRPr="00565D5F" w:rsidRDefault="00054620" w:rsidP="00565D5F">
            <w:pPr>
              <w:suppressAutoHyphens/>
              <w:spacing w:before="60" w:after="60" w:line="200" w:lineRule="exact"/>
              <w:ind w:right="57"/>
              <w:jc w:val="center"/>
              <w:rPr>
                <w:rFonts w:ascii="KaiTi_GB2312" w:eastAsia="KaiTi_GB2312" w:hint="eastAsia"/>
                <w:sz w:val="15"/>
                <w:szCs w:val="18"/>
              </w:rPr>
            </w:pPr>
            <w:r w:rsidRPr="00565D5F">
              <w:rPr>
                <w:rFonts w:ascii="KaiTi_GB2312" w:eastAsia="KaiTi_GB2312" w:hint="eastAsia"/>
                <w:sz w:val="15"/>
                <w:szCs w:val="18"/>
              </w:rPr>
              <w:t>疾病种类</w:t>
            </w:r>
          </w:p>
        </w:tc>
        <w:tc>
          <w:tcPr>
            <w:tcW w:w="1421" w:type="dxa"/>
            <w:tcBorders>
              <w:top w:val="single" w:sz="4" w:space="0" w:color="auto"/>
              <w:bottom w:val="single" w:sz="12" w:space="0" w:color="auto"/>
            </w:tcBorders>
            <w:shd w:val="clear" w:color="auto" w:fill="auto"/>
            <w:vAlign w:val="bottom"/>
          </w:tcPr>
          <w:p w:rsidR="00054620" w:rsidRPr="00565D5F" w:rsidRDefault="00054620" w:rsidP="00565D5F">
            <w:pPr>
              <w:suppressAutoHyphens/>
              <w:spacing w:before="60" w:after="60" w:line="200" w:lineRule="exact"/>
              <w:ind w:right="57"/>
              <w:jc w:val="right"/>
              <w:rPr>
                <w:rFonts w:ascii="KaiTi_GB2312" w:eastAsia="KaiTi_GB2312" w:hint="eastAsia"/>
                <w:sz w:val="15"/>
                <w:szCs w:val="18"/>
              </w:rPr>
            </w:pPr>
            <w:r w:rsidRPr="00565D5F">
              <w:rPr>
                <w:rFonts w:ascii="KaiTi_GB2312" w:eastAsia="KaiTi_GB2312" w:hint="eastAsia"/>
                <w:sz w:val="15"/>
                <w:szCs w:val="18"/>
              </w:rPr>
              <w:t>合计</w:t>
            </w:r>
          </w:p>
        </w:tc>
        <w:tc>
          <w:tcPr>
            <w:tcW w:w="1421" w:type="dxa"/>
            <w:tcBorders>
              <w:top w:val="single" w:sz="4" w:space="0" w:color="auto"/>
              <w:bottom w:val="single" w:sz="12" w:space="0" w:color="auto"/>
            </w:tcBorders>
            <w:shd w:val="clear" w:color="auto" w:fill="auto"/>
            <w:vAlign w:val="bottom"/>
          </w:tcPr>
          <w:p w:rsidR="00054620" w:rsidRPr="00565D5F" w:rsidRDefault="00054620" w:rsidP="00565D5F">
            <w:pPr>
              <w:suppressAutoHyphens/>
              <w:spacing w:before="60" w:after="60" w:line="200" w:lineRule="exact"/>
              <w:ind w:right="57"/>
              <w:jc w:val="right"/>
              <w:rPr>
                <w:rFonts w:ascii="KaiTi_GB2312" w:eastAsia="KaiTi_GB2312" w:hint="eastAsia"/>
                <w:sz w:val="15"/>
                <w:szCs w:val="18"/>
              </w:rPr>
            </w:pPr>
            <w:r w:rsidRPr="00565D5F">
              <w:rPr>
                <w:rFonts w:ascii="KaiTi_GB2312" w:eastAsia="KaiTi_GB2312" w:hint="eastAsia"/>
                <w:sz w:val="15"/>
                <w:szCs w:val="18"/>
              </w:rPr>
              <w:t>女性</w:t>
            </w:r>
          </w:p>
        </w:tc>
        <w:tc>
          <w:tcPr>
            <w:tcW w:w="1421" w:type="dxa"/>
            <w:tcBorders>
              <w:top w:val="single" w:sz="4" w:space="0" w:color="auto"/>
              <w:bottom w:val="single" w:sz="12" w:space="0" w:color="auto"/>
            </w:tcBorders>
            <w:shd w:val="clear" w:color="auto" w:fill="auto"/>
            <w:vAlign w:val="bottom"/>
          </w:tcPr>
          <w:p w:rsidR="00054620" w:rsidRPr="00565D5F" w:rsidRDefault="00054620" w:rsidP="00565D5F">
            <w:pPr>
              <w:suppressAutoHyphens/>
              <w:spacing w:before="60" w:after="60" w:line="200" w:lineRule="exact"/>
              <w:ind w:right="57"/>
              <w:jc w:val="right"/>
              <w:rPr>
                <w:rFonts w:ascii="KaiTi_GB2312" w:eastAsia="KaiTi_GB2312" w:hint="eastAsia"/>
                <w:sz w:val="15"/>
                <w:szCs w:val="18"/>
              </w:rPr>
            </w:pPr>
            <w:r w:rsidRPr="00565D5F">
              <w:rPr>
                <w:rFonts w:ascii="KaiTi_GB2312" w:eastAsia="KaiTi_GB2312" w:hint="eastAsia"/>
                <w:sz w:val="15"/>
                <w:szCs w:val="18"/>
              </w:rPr>
              <w:t>男性</w:t>
            </w:r>
          </w:p>
        </w:tc>
      </w:tr>
      <w:tr w:rsidR="00565D5F" w:rsidRPr="00565D5F" w:rsidTr="00565D5F">
        <w:trPr>
          <w:trHeight w:hRule="exact" w:val="115"/>
          <w:tblHeader/>
        </w:trPr>
        <w:tc>
          <w:tcPr>
            <w:tcW w:w="3104" w:type="dxa"/>
            <w:tcBorders>
              <w:top w:val="single" w:sz="12" w:space="0" w:color="auto"/>
            </w:tcBorders>
            <w:shd w:val="clear" w:color="auto" w:fill="auto"/>
            <w:vAlign w:val="bottom"/>
          </w:tcPr>
          <w:p w:rsidR="00565D5F" w:rsidRPr="00565D5F" w:rsidRDefault="00565D5F" w:rsidP="00565D5F">
            <w:pPr>
              <w:suppressAutoHyphens/>
              <w:spacing w:after="60" w:line="280" w:lineRule="exact"/>
              <w:ind w:right="57"/>
              <w:rPr>
                <w:sz w:val="17"/>
                <w:szCs w:val="18"/>
              </w:rPr>
            </w:pPr>
          </w:p>
        </w:tc>
        <w:tc>
          <w:tcPr>
            <w:tcW w:w="1421" w:type="dxa"/>
            <w:tcBorders>
              <w:top w:val="single" w:sz="12" w:space="0" w:color="auto"/>
            </w:tcBorders>
            <w:shd w:val="clear" w:color="auto" w:fill="auto"/>
            <w:vAlign w:val="bottom"/>
          </w:tcPr>
          <w:p w:rsidR="00565D5F" w:rsidRPr="00565D5F" w:rsidRDefault="00565D5F" w:rsidP="00565D5F">
            <w:pPr>
              <w:suppressAutoHyphens/>
              <w:spacing w:after="60" w:line="280" w:lineRule="exact"/>
              <w:ind w:right="57"/>
              <w:jc w:val="right"/>
              <w:rPr>
                <w:sz w:val="17"/>
                <w:szCs w:val="18"/>
              </w:rPr>
            </w:pPr>
          </w:p>
        </w:tc>
        <w:tc>
          <w:tcPr>
            <w:tcW w:w="1421" w:type="dxa"/>
            <w:tcBorders>
              <w:top w:val="single" w:sz="12" w:space="0" w:color="auto"/>
            </w:tcBorders>
            <w:shd w:val="clear" w:color="auto" w:fill="auto"/>
            <w:vAlign w:val="bottom"/>
          </w:tcPr>
          <w:p w:rsidR="00565D5F" w:rsidRPr="00565D5F" w:rsidRDefault="00565D5F" w:rsidP="00565D5F">
            <w:pPr>
              <w:suppressAutoHyphens/>
              <w:spacing w:after="60" w:line="280" w:lineRule="exact"/>
              <w:ind w:right="57"/>
              <w:jc w:val="right"/>
              <w:rPr>
                <w:sz w:val="17"/>
                <w:szCs w:val="18"/>
              </w:rPr>
            </w:pPr>
          </w:p>
        </w:tc>
        <w:tc>
          <w:tcPr>
            <w:tcW w:w="1421" w:type="dxa"/>
            <w:tcBorders>
              <w:top w:val="single" w:sz="12" w:space="0" w:color="auto"/>
            </w:tcBorders>
            <w:shd w:val="clear" w:color="auto" w:fill="auto"/>
            <w:vAlign w:val="bottom"/>
          </w:tcPr>
          <w:p w:rsidR="00565D5F" w:rsidRPr="00565D5F" w:rsidRDefault="00565D5F" w:rsidP="00565D5F">
            <w:pPr>
              <w:suppressAutoHyphens/>
              <w:spacing w:after="60" w:line="280" w:lineRule="exact"/>
              <w:ind w:right="57"/>
              <w:jc w:val="right"/>
              <w:rPr>
                <w:sz w:val="17"/>
                <w:szCs w:val="18"/>
              </w:rPr>
            </w:pPr>
          </w:p>
        </w:tc>
      </w:tr>
      <w:tr w:rsidR="00054620" w:rsidRPr="00565D5F" w:rsidTr="00565D5F">
        <w:trPr>
          <w:trHeight w:val="240"/>
        </w:trPr>
        <w:tc>
          <w:tcPr>
            <w:tcW w:w="3104" w:type="dxa"/>
            <w:shd w:val="clear" w:color="auto" w:fill="auto"/>
            <w:vAlign w:val="bottom"/>
          </w:tcPr>
          <w:p w:rsidR="00054620" w:rsidRPr="00565D5F" w:rsidRDefault="00054620" w:rsidP="00565D5F">
            <w:pPr>
              <w:tabs>
                <w:tab w:val="left" w:pos="334"/>
                <w:tab w:val="left" w:pos="669"/>
                <w:tab w:val="left" w:pos="1003"/>
                <w:tab w:val="left" w:pos="1338"/>
              </w:tabs>
              <w:suppressAutoHyphens/>
              <w:spacing w:after="60" w:line="280" w:lineRule="exact"/>
              <w:ind w:right="57"/>
              <w:rPr>
                <w:rFonts w:hint="eastAsia"/>
                <w:sz w:val="17"/>
                <w:szCs w:val="18"/>
              </w:rPr>
            </w:pPr>
            <w:r w:rsidRPr="00565D5F">
              <w:rPr>
                <w:sz w:val="17"/>
                <w:szCs w:val="18"/>
              </w:rPr>
              <w:t>2001</w:t>
            </w:r>
            <w:r w:rsidRPr="00565D5F">
              <w:rPr>
                <w:rFonts w:hint="eastAsia"/>
                <w:sz w:val="17"/>
                <w:szCs w:val="18"/>
              </w:rPr>
              <w:t>年</w:t>
            </w:r>
          </w:p>
        </w:tc>
        <w:tc>
          <w:tcPr>
            <w:tcW w:w="1421" w:type="dxa"/>
            <w:shd w:val="clear" w:color="auto" w:fill="auto"/>
            <w:vAlign w:val="bottom"/>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c>
          <w:tcPr>
            <w:tcW w:w="1421" w:type="dxa"/>
            <w:shd w:val="clear" w:color="auto" w:fill="auto"/>
            <w:vAlign w:val="bottom"/>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c>
          <w:tcPr>
            <w:tcW w:w="1421" w:type="dxa"/>
            <w:shd w:val="clear" w:color="auto" w:fill="auto"/>
            <w:vAlign w:val="bottom"/>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left="335" w:right="57" w:hanging="335"/>
              <w:rPr>
                <w:sz w:val="17"/>
                <w:szCs w:val="18"/>
              </w:rPr>
            </w:pPr>
            <w:bookmarkStart w:id="6" w:name="_Hlk289940850"/>
            <w:r w:rsidRPr="00565D5F">
              <w:rPr>
                <w:sz w:val="17"/>
                <w:szCs w:val="18"/>
              </w:rPr>
              <w:t>1.</w:t>
            </w:r>
            <w:r w:rsidR="00565D5F">
              <w:rPr>
                <w:sz w:val="17"/>
                <w:szCs w:val="18"/>
              </w:rPr>
              <w:tab/>
            </w:r>
            <w:r w:rsidRPr="00565D5F">
              <w:rPr>
                <w:rFonts w:hint="eastAsia"/>
                <w:sz w:val="17"/>
                <w:szCs w:val="18"/>
              </w:rPr>
              <w:t>循环器官疾病(发作、心脏病、缺血性心脏病等)</w:t>
            </w:r>
            <w:r w:rsidRPr="00565D5F">
              <w:rPr>
                <w:sz w:val="17"/>
                <w:szCs w:val="18"/>
              </w:rPr>
              <w:t xml:space="preserve"> </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76 297</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37</w:t>
            </w:r>
            <w:r w:rsidRPr="00565D5F">
              <w:rPr>
                <w:rFonts w:hint="eastAsia"/>
                <w:sz w:val="17"/>
                <w:szCs w:val="18"/>
              </w:rPr>
              <w:t xml:space="preserve"> </w:t>
            </w:r>
            <w:r w:rsidRPr="00565D5F">
              <w:rPr>
                <w:sz w:val="17"/>
                <w:szCs w:val="18"/>
              </w:rPr>
              <w:t>536</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38</w:t>
            </w:r>
            <w:r w:rsidRPr="00565D5F">
              <w:rPr>
                <w:rFonts w:hint="eastAsia"/>
                <w:sz w:val="17"/>
                <w:szCs w:val="18"/>
              </w:rPr>
              <w:t xml:space="preserve"> </w:t>
            </w:r>
            <w:r w:rsidRPr="00565D5F">
              <w:rPr>
                <w:sz w:val="17"/>
                <w:szCs w:val="18"/>
              </w:rPr>
              <w:t>761</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rFonts w:hint="eastAsia"/>
                <w:sz w:val="17"/>
                <w:szCs w:val="18"/>
              </w:rPr>
            </w:pPr>
            <w:r w:rsidRPr="00565D5F">
              <w:rPr>
                <w:sz w:val="17"/>
                <w:szCs w:val="18"/>
              </w:rPr>
              <w:t>2.</w:t>
            </w:r>
            <w:r w:rsidR="00565D5F">
              <w:rPr>
                <w:sz w:val="17"/>
                <w:szCs w:val="18"/>
              </w:rPr>
              <w:tab/>
            </w:r>
            <w:r w:rsidRPr="00565D5F">
              <w:rPr>
                <w:rFonts w:hint="eastAsia"/>
                <w:sz w:val="17"/>
                <w:szCs w:val="18"/>
              </w:rPr>
              <w:t>发病率</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15 343</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6 548</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8</w:t>
            </w:r>
            <w:r w:rsidRPr="00565D5F">
              <w:rPr>
                <w:rFonts w:hint="eastAsia"/>
                <w:sz w:val="17"/>
                <w:szCs w:val="18"/>
              </w:rPr>
              <w:t xml:space="preserve"> </w:t>
            </w:r>
            <w:r w:rsidRPr="00565D5F">
              <w:rPr>
                <w:sz w:val="17"/>
                <w:szCs w:val="18"/>
              </w:rPr>
              <w:t>795</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rFonts w:hint="eastAsia"/>
                <w:sz w:val="17"/>
                <w:szCs w:val="18"/>
              </w:rPr>
            </w:pPr>
            <w:r w:rsidRPr="00565D5F">
              <w:rPr>
                <w:sz w:val="17"/>
                <w:szCs w:val="18"/>
              </w:rPr>
              <w:t>3.</w:t>
            </w:r>
            <w:r w:rsidR="00565D5F">
              <w:rPr>
                <w:sz w:val="17"/>
                <w:szCs w:val="18"/>
              </w:rPr>
              <w:tab/>
            </w:r>
            <w:r w:rsidRPr="00565D5F">
              <w:rPr>
                <w:rFonts w:hint="eastAsia"/>
                <w:sz w:val="17"/>
                <w:szCs w:val="18"/>
              </w:rPr>
              <w:t>呼吸系统疾病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4</w:t>
            </w:r>
            <w:r w:rsidRPr="00565D5F">
              <w:rPr>
                <w:rFonts w:hint="eastAsia"/>
                <w:sz w:val="17"/>
                <w:szCs w:val="18"/>
              </w:rPr>
              <w:t xml:space="preserve"> </w:t>
            </w:r>
            <w:r w:rsidRPr="00565D5F">
              <w:rPr>
                <w:sz w:val="17"/>
                <w:szCs w:val="18"/>
              </w:rPr>
              <w:t>500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760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740</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rFonts w:hint="eastAsia"/>
                <w:sz w:val="17"/>
                <w:szCs w:val="18"/>
              </w:rPr>
            </w:pPr>
            <w:r w:rsidRPr="00565D5F">
              <w:rPr>
                <w:sz w:val="17"/>
                <w:szCs w:val="18"/>
              </w:rPr>
              <w:t>4.</w:t>
            </w:r>
            <w:r w:rsidR="00565D5F">
              <w:rPr>
                <w:sz w:val="17"/>
                <w:szCs w:val="18"/>
              </w:rPr>
              <w:tab/>
            </w:r>
            <w:r w:rsidRPr="00565D5F">
              <w:rPr>
                <w:rFonts w:hint="eastAsia"/>
                <w:sz w:val="17"/>
                <w:szCs w:val="18"/>
              </w:rPr>
              <w:t>消化系统疾病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974</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873</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101</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rFonts w:hint="eastAsia"/>
                <w:sz w:val="17"/>
                <w:szCs w:val="18"/>
              </w:rPr>
            </w:pPr>
            <w:r w:rsidRPr="00565D5F">
              <w:rPr>
                <w:sz w:val="17"/>
                <w:szCs w:val="18"/>
              </w:rPr>
              <w:t>5.</w:t>
            </w:r>
            <w:r w:rsidR="00565D5F">
              <w:rPr>
                <w:sz w:val="17"/>
                <w:szCs w:val="18"/>
              </w:rPr>
              <w:tab/>
            </w:r>
            <w:r w:rsidRPr="00565D5F">
              <w:rPr>
                <w:rFonts w:hint="eastAsia"/>
                <w:sz w:val="17"/>
                <w:szCs w:val="18"/>
              </w:rPr>
              <w:t>内分泌疾病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135</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210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925</w:t>
            </w:r>
          </w:p>
        </w:tc>
      </w:tr>
      <w:bookmarkEnd w:id="6"/>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rFonts w:hint="eastAsia"/>
                <w:sz w:val="17"/>
                <w:szCs w:val="18"/>
              </w:rPr>
            </w:pPr>
            <w:r w:rsidRPr="00565D5F">
              <w:rPr>
                <w:sz w:val="17"/>
                <w:szCs w:val="18"/>
              </w:rPr>
              <w:t>2006</w:t>
            </w:r>
            <w:r w:rsidRPr="00565D5F">
              <w:rPr>
                <w:rFonts w:hint="eastAsia"/>
                <w:sz w:val="17"/>
                <w:szCs w:val="18"/>
              </w:rPr>
              <w:t>年</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left="335" w:right="57" w:hanging="335"/>
              <w:rPr>
                <w:sz w:val="17"/>
                <w:szCs w:val="18"/>
              </w:rPr>
            </w:pPr>
            <w:r w:rsidRPr="00565D5F">
              <w:rPr>
                <w:sz w:val="17"/>
                <w:szCs w:val="18"/>
              </w:rPr>
              <w:t>1.</w:t>
            </w:r>
            <w:r w:rsidR="00565D5F">
              <w:rPr>
                <w:sz w:val="17"/>
                <w:szCs w:val="18"/>
              </w:rPr>
              <w:tab/>
            </w:r>
            <w:r w:rsidRPr="00565D5F">
              <w:rPr>
                <w:rFonts w:hint="eastAsia"/>
                <w:sz w:val="17"/>
                <w:szCs w:val="18"/>
              </w:rPr>
              <w:t>循环器官疾病(发作、心脏病、缺血性心脏病等)</w:t>
            </w:r>
            <w:r w:rsidRPr="00565D5F">
              <w:rPr>
                <w:sz w:val="17"/>
                <w:szCs w:val="18"/>
              </w:rPr>
              <w:t xml:space="preserve"> </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75</w:t>
            </w:r>
            <w:r w:rsidRPr="00565D5F">
              <w:rPr>
                <w:rFonts w:hint="eastAsia"/>
                <w:sz w:val="17"/>
                <w:szCs w:val="18"/>
              </w:rPr>
              <w:t xml:space="preserve"> </w:t>
            </w:r>
            <w:r w:rsidRPr="00565D5F">
              <w:rPr>
                <w:sz w:val="17"/>
                <w:szCs w:val="18"/>
              </w:rPr>
              <w:t>332</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37</w:t>
            </w:r>
            <w:r w:rsidRPr="00565D5F">
              <w:rPr>
                <w:rFonts w:hint="eastAsia"/>
                <w:sz w:val="17"/>
                <w:szCs w:val="18"/>
              </w:rPr>
              <w:t xml:space="preserve"> </w:t>
            </w:r>
            <w:r w:rsidRPr="00565D5F">
              <w:rPr>
                <w:sz w:val="17"/>
                <w:szCs w:val="18"/>
              </w:rPr>
              <w:t>573</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37</w:t>
            </w:r>
            <w:r w:rsidRPr="00565D5F">
              <w:rPr>
                <w:rFonts w:hint="eastAsia"/>
                <w:sz w:val="17"/>
                <w:szCs w:val="18"/>
              </w:rPr>
              <w:t xml:space="preserve"> </w:t>
            </w:r>
            <w:r w:rsidRPr="00565D5F">
              <w:rPr>
                <w:sz w:val="17"/>
                <w:szCs w:val="18"/>
              </w:rPr>
              <w:t>759</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left="335" w:right="57" w:hanging="335"/>
              <w:rPr>
                <w:sz w:val="17"/>
                <w:szCs w:val="18"/>
              </w:rPr>
            </w:pPr>
            <w:r w:rsidRPr="00565D5F">
              <w:rPr>
                <w:sz w:val="17"/>
                <w:szCs w:val="18"/>
              </w:rPr>
              <w:t>2.</w:t>
            </w:r>
            <w:r w:rsidR="00565D5F">
              <w:rPr>
                <w:sz w:val="17"/>
                <w:szCs w:val="18"/>
              </w:rPr>
              <w:tab/>
            </w:r>
            <w:r w:rsidRPr="00565D5F">
              <w:rPr>
                <w:rFonts w:hint="eastAsia"/>
                <w:sz w:val="17"/>
                <w:szCs w:val="18"/>
              </w:rPr>
              <w:t>发病率</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17</w:t>
            </w:r>
            <w:r w:rsidRPr="00565D5F">
              <w:rPr>
                <w:rFonts w:hint="eastAsia"/>
                <w:sz w:val="17"/>
                <w:szCs w:val="18"/>
              </w:rPr>
              <w:t xml:space="preserve"> </w:t>
            </w:r>
            <w:r w:rsidRPr="00565D5F">
              <w:rPr>
                <w:sz w:val="17"/>
                <w:szCs w:val="18"/>
              </w:rPr>
              <w:t>710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7</w:t>
            </w:r>
            <w:r w:rsidRPr="00565D5F">
              <w:rPr>
                <w:rFonts w:hint="eastAsia"/>
                <w:sz w:val="17"/>
                <w:szCs w:val="18"/>
              </w:rPr>
              <w:t xml:space="preserve"> </w:t>
            </w:r>
            <w:r w:rsidRPr="00565D5F">
              <w:rPr>
                <w:sz w:val="17"/>
                <w:szCs w:val="18"/>
              </w:rPr>
              <w:t>354</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10</w:t>
            </w:r>
            <w:r w:rsidRPr="00565D5F">
              <w:rPr>
                <w:rFonts w:hint="eastAsia"/>
                <w:sz w:val="17"/>
                <w:szCs w:val="18"/>
              </w:rPr>
              <w:t xml:space="preserve"> </w:t>
            </w:r>
            <w:r w:rsidRPr="00565D5F">
              <w:rPr>
                <w:sz w:val="17"/>
                <w:szCs w:val="18"/>
              </w:rPr>
              <w:t>356</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sz w:val="17"/>
                <w:szCs w:val="18"/>
              </w:rPr>
            </w:pPr>
            <w:r w:rsidRPr="00565D5F">
              <w:rPr>
                <w:sz w:val="17"/>
                <w:szCs w:val="18"/>
              </w:rPr>
              <w:t>3.</w:t>
            </w:r>
            <w:r w:rsidR="00565D5F">
              <w:rPr>
                <w:sz w:val="17"/>
                <w:szCs w:val="18"/>
              </w:rPr>
              <w:tab/>
            </w:r>
            <w:r w:rsidRPr="00565D5F">
              <w:rPr>
                <w:rFonts w:hint="eastAsia"/>
                <w:sz w:val="17"/>
                <w:szCs w:val="18"/>
              </w:rPr>
              <w:t>呼吸系统疾病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4</w:t>
            </w:r>
            <w:r w:rsidRPr="00565D5F">
              <w:rPr>
                <w:rFonts w:hint="eastAsia"/>
                <w:sz w:val="17"/>
                <w:szCs w:val="18"/>
              </w:rPr>
              <w:t xml:space="preserve"> </w:t>
            </w:r>
            <w:r w:rsidRPr="00565D5F">
              <w:rPr>
                <w:sz w:val="17"/>
                <w:szCs w:val="18"/>
              </w:rPr>
              <w:t>181</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576</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605</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sz w:val="17"/>
                <w:szCs w:val="18"/>
              </w:rPr>
            </w:pPr>
            <w:r w:rsidRPr="00565D5F">
              <w:rPr>
                <w:sz w:val="17"/>
                <w:szCs w:val="18"/>
              </w:rPr>
              <w:t>4.</w:t>
            </w:r>
            <w:r w:rsidR="00565D5F">
              <w:rPr>
                <w:sz w:val="17"/>
                <w:szCs w:val="18"/>
              </w:rPr>
              <w:tab/>
            </w:r>
            <w:r w:rsidRPr="00565D5F">
              <w:rPr>
                <w:rFonts w:hint="eastAsia"/>
                <w:sz w:val="17"/>
                <w:szCs w:val="18"/>
              </w:rPr>
              <w:t>消化系统疾病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w:t>
            </w:r>
            <w:r w:rsidRPr="00565D5F">
              <w:rPr>
                <w:rFonts w:hint="eastAsia"/>
                <w:sz w:val="17"/>
                <w:szCs w:val="18"/>
              </w:rPr>
              <w:t xml:space="preserve"> </w:t>
            </w:r>
            <w:r w:rsidRPr="00565D5F">
              <w:rPr>
                <w:sz w:val="17"/>
                <w:szCs w:val="18"/>
              </w:rPr>
              <w:t>196</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054</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142</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sz w:val="17"/>
                <w:szCs w:val="18"/>
              </w:rPr>
            </w:pPr>
            <w:r w:rsidRPr="00565D5F">
              <w:rPr>
                <w:sz w:val="17"/>
                <w:szCs w:val="18"/>
              </w:rPr>
              <w:t>5.</w:t>
            </w:r>
            <w:r w:rsidR="00565D5F">
              <w:rPr>
                <w:sz w:val="17"/>
                <w:szCs w:val="18"/>
              </w:rPr>
              <w:tab/>
            </w:r>
            <w:r w:rsidRPr="00565D5F">
              <w:rPr>
                <w:rFonts w:hint="eastAsia"/>
                <w:sz w:val="17"/>
                <w:szCs w:val="18"/>
              </w:rPr>
              <w:t>内分泌疾病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237</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209</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028</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rFonts w:hint="eastAsia"/>
                <w:sz w:val="17"/>
                <w:szCs w:val="18"/>
              </w:rPr>
            </w:pPr>
            <w:r w:rsidRPr="00565D5F">
              <w:rPr>
                <w:sz w:val="17"/>
                <w:szCs w:val="18"/>
              </w:rPr>
              <w:t>2007</w:t>
            </w:r>
            <w:r w:rsidRPr="00565D5F">
              <w:rPr>
                <w:rFonts w:hint="eastAsia"/>
                <w:sz w:val="17"/>
                <w:szCs w:val="18"/>
              </w:rPr>
              <w:t>年</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left="335" w:right="57" w:hanging="335"/>
              <w:rPr>
                <w:sz w:val="17"/>
                <w:szCs w:val="18"/>
              </w:rPr>
            </w:pPr>
            <w:r w:rsidRPr="00565D5F">
              <w:rPr>
                <w:sz w:val="17"/>
                <w:szCs w:val="18"/>
              </w:rPr>
              <w:t>1.</w:t>
            </w:r>
            <w:r w:rsidR="00565D5F">
              <w:rPr>
                <w:sz w:val="17"/>
                <w:szCs w:val="18"/>
              </w:rPr>
              <w:tab/>
            </w:r>
            <w:r w:rsidRPr="00565D5F">
              <w:rPr>
                <w:rFonts w:hint="eastAsia"/>
                <w:sz w:val="17"/>
                <w:szCs w:val="18"/>
              </w:rPr>
              <w:t>循环器官疾病(发作、心脏病、缺血性心脏病等)</w:t>
            </w:r>
            <w:r w:rsidRPr="00565D5F">
              <w:rPr>
                <w:sz w:val="17"/>
                <w:szCs w:val="18"/>
              </w:rPr>
              <w:t xml:space="preserve"> </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74</w:t>
            </w:r>
            <w:r w:rsidRPr="00565D5F">
              <w:rPr>
                <w:rFonts w:hint="eastAsia"/>
                <w:sz w:val="17"/>
                <w:szCs w:val="18"/>
              </w:rPr>
              <w:t xml:space="preserve"> </w:t>
            </w:r>
            <w:r w:rsidRPr="00565D5F">
              <w:rPr>
                <w:sz w:val="17"/>
                <w:szCs w:val="18"/>
              </w:rPr>
              <w:t>380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w:t>
            </w:r>
            <w:r w:rsidRPr="00565D5F">
              <w:rPr>
                <w:rFonts w:hint="eastAsia"/>
                <w:sz w:val="17"/>
                <w:szCs w:val="18"/>
              </w:rPr>
              <w:t xml:space="preserve"> </w:t>
            </w:r>
            <w:r w:rsidRPr="00565D5F">
              <w:rPr>
                <w:sz w:val="17"/>
                <w:szCs w:val="18"/>
              </w:rPr>
              <w:t>7610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36</w:t>
            </w:r>
            <w:r w:rsidRPr="00565D5F">
              <w:rPr>
                <w:rFonts w:hint="eastAsia"/>
                <w:sz w:val="17"/>
                <w:szCs w:val="18"/>
              </w:rPr>
              <w:t xml:space="preserve"> </w:t>
            </w:r>
            <w:r w:rsidRPr="00565D5F">
              <w:rPr>
                <w:sz w:val="17"/>
                <w:szCs w:val="18"/>
              </w:rPr>
              <w:t>770</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sz w:val="17"/>
                <w:szCs w:val="18"/>
              </w:rPr>
            </w:pPr>
            <w:r w:rsidRPr="00565D5F">
              <w:rPr>
                <w:sz w:val="17"/>
                <w:szCs w:val="18"/>
              </w:rPr>
              <w:t>2.</w:t>
            </w:r>
            <w:r w:rsidR="00565D5F">
              <w:rPr>
                <w:sz w:val="17"/>
                <w:szCs w:val="18"/>
              </w:rPr>
              <w:tab/>
            </w:r>
            <w:r w:rsidRPr="00565D5F">
              <w:rPr>
                <w:rFonts w:hint="eastAsia"/>
                <w:sz w:val="17"/>
                <w:szCs w:val="18"/>
              </w:rPr>
              <w:t>发病率</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17</w:t>
            </w:r>
            <w:r w:rsidRPr="00565D5F">
              <w:rPr>
                <w:rFonts w:hint="eastAsia"/>
                <w:sz w:val="17"/>
                <w:szCs w:val="18"/>
              </w:rPr>
              <w:t xml:space="preserve"> </w:t>
            </w:r>
            <w:r w:rsidRPr="00565D5F">
              <w:rPr>
                <w:sz w:val="17"/>
                <w:szCs w:val="18"/>
              </w:rPr>
              <w:t>992</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7</w:t>
            </w:r>
            <w:r w:rsidRPr="00565D5F">
              <w:rPr>
                <w:rFonts w:hint="eastAsia"/>
                <w:sz w:val="17"/>
                <w:szCs w:val="18"/>
              </w:rPr>
              <w:t xml:space="preserve"> </w:t>
            </w:r>
            <w:r w:rsidRPr="00565D5F">
              <w:rPr>
                <w:sz w:val="17"/>
                <w:szCs w:val="18"/>
              </w:rPr>
              <w:t>526</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10</w:t>
            </w:r>
            <w:r w:rsidRPr="00565D5F">
              <w:rPr>
                <w:rFonts w:hint="eastAsia"/>
                <w:sz w:val="17"/>
                <w:szCs w:val="18"/>
              </w:rPr>
              <w:t xml:space="preserve"> </w:t>
            </w:r>
            <w:r w:rsidRPr="00565D5F">
              <w:rPr>
                <w:sz w:val="17"/>
                <w:szCs w:val="18"/>
              </w:rPr>
              <w:t>466</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sz w:val="17"/>
                <w:szCs w:val="18"/>
              </w:rPr>
            </w:pPr>
            <w:r w:rsidRPr="00565D5F">
              <w:rPr>
                <w:sz w:val="17"/>
                <w:szCs w:val="18"/>
              </w:rPr>
              <w:t>3.</w:t>
            </w:r>
            <w:r w:rsidR="00565D5F">
              <w:rPr>
                <w:sz w:val="17"/>
                <w:szCs w:val="18"/>
              </w:rPr>
              <w:tab/>
            </w:r>
            <w:r w:rsidRPr="00565D5F">
              <w:rPr>
                <w:rFonts w:hint="eastAsia"/>
                <w:sz w:val="17"/>
                <w:szCs w:val="18"/>
              </w:rPr>
              <w:t>呼吸系统疾病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4</w:t>
            </w:r>
            <w:r w:rsidRPr="00565D5F">
              <w:rPr>
                <w:rFonts w:hint="eastAsia"/>
                <w:sz w:val="17"/>
                <w:szCs w:val="18"/>
              </w:rPr>
              <w:t xml:space="preserve"> </w:t>
            </w:r>
            <w:r w:rsidRPr="00565D5F">
              <w:rPr>
                <w:sz w:val="17"/>
                <w:szCs w:val="18"/>
              </w:rPr>
              <w:t>540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720</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820</w:t>
            </w:r>
          </w:p>
        </w:tc>
      </w:tr>
      <w:tr w:rsidR="00054620" w:rsidRPr="00565D5F" w:rsidTr="00565D5F">
        <w:trPr>
          <w:trHeight w:val="240"/>
        </w:trPr>
        <w:tc>
          <w:tcPr>
            <w:tcW w:w="3104"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sz w:val="17"/>
                <w:szCs w:val="18"/>
              </w:rPr>
            </w:pPr>
            <w:r w:rsidRPr="00565D5F">
              <w:rPr>
                <w:sz w:val="17"/>
                <w:szCs w:val="18"/>
              </w:rPr>
              <w:t>4.</w:t>
            </w:r>
            <w:r w:rsidR="00565D5F">
              <w:rPr>
                <w:sz w:val="17"/>
                <w:szCs w:val="18"/>
              </w:rPr>
              <w:tab/>
            </w:r>
            <w:r w:rsidRPr="00565D5F">
              <w:rPr>
                <w:rFonts w:hint="eastAsia"/>
                <w:sz w:val="17"/>
                <w:szCs w:val="18"/>
              </w:rPr>
              <w:t>消化系统疾病</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3</w:t>
            </w:r>
            <w:r w:rsidRPr="00565D5F">
              <w:rPr>
                <w:rFonts w:hint="eastAsia"/>
                <w:sz w:val="17"/>
                <w:szCs w:val="18"/>
              </w:rPr>
              <w:t xml:space="preserve"> </w:t>
            </w:r>
            <w:r w:rsidRPr="00565D5F">
              <w:rPr>
                <w:sz w:val="17"/>
                <w:szCs w:val="18"/>
              </w:rPr>
              <w:t>493</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133</w:t>
            </w:r>
          </w:p>
        </w:tc>
        <w:tc>
          <w:tcPr>
            <w:tcW w:w="1421" w:type="dxa"/>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360</w:t>
            </w:r>
          </w:p>
        </w:tc>
      </w:tr>
      <w:tr w:rsidR="00054620" w:rsidRPr="00565D5F" w:rsidTr="00565D5F">
        <w:trPr>
          <w:trHeight w:val="240"/>
        </w:trPr>
        <w:tc>
          <w:tcPr>
            <w:tcW w:w="3104" w:type="dxa"/>
            <w:tcBorders>
              <w:bottom w:val="single" w:sz="12" w:space="0" w:color="auto"/>
            </w:tcBorders>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rPr>
                <w:sz w:val="17"/>
                <w:szCs w:val="18"/>
              </w:rPr>
            </w:pPr>
            <w:r w:rsidRPr="00565D5F">
              <w:rPr>
                <w:sz w:val="17"/>
                <w:szCs w:val="18"/>
              </w:rPr>
              <w:t>5.</w:t>
            </w:r>
            <w:r w:rsidR="00565D5F">
              <w:rPr>
                <w:sz w:val="17"/>
                <w:szCs w:val="18"/>
              </w:rPr>
              <w:tab/>
            </w:r>
            <w:r w:rsidRPr="00565D5F">
              <w:rPr>
                <w:rFonts w:hint="eastAsia"/>
                <w:sz w:val="17"/>
                <w:szCs w:val="18"/>
              </w:rPr>
              <w:t>内分泌疾病</w:t>
            </w:r>
          </w:p>
        </w:tc>
        <w:tc>
          <w:tcPr>
            <w:tcW w:w="1421" w:type="dxa"/>
            <w:tcBorders>
              <w:bottom w:val="single" w:sz="12" w:space="0" w:color="auto"/>
            </w:tcBorders>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2</w:t>
            </w:r>
            <w:r w:rsidRPr="00565D5F">
              <w:rPr>
                <w:rFonts w:hint="eastAsia"/>
                <w:sz w:val="17"/>
                <w:szCs w:val="18"/>
              </w:rPr>
              <w:t xml:space="preserve"> </w:t>
            </w:r>
            <w:r w:rsidRPr="00565D5F">
              <w:rPr>
                <w:sz w:val="17"/>
                <w:szCs w:val="18"/>
              </w:rPr>
              <w:t>166</w:t>
            </w:r>
          </w:p>
        </w:tc>
        <w:tc>
          <w:tcPr>
            <w:tcW w:w="1421" w:type="dxa"/>
            <w:tcBorders>
              <w:bottom w:val="single" w:sz="12" w:space="0" w:color="auto"/>
            </w:tcBorders>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1</w:t>
            </w:r>
            <w:r w:rsidRPr="00565D5F">
              <w:rPr>
                <w:rFonts w:hint="eastAsia"/>
                <w:sz w:val="17"/>
                <w:szCs w:val="18"/>
              </w:rPr>
              <w:t xml:space="preserve"> </w:t>
            </w:r>
            <w:r w:rsidRPr="00565D5F">
              <w:rPr>
                <w:sz w:val="17"/>
                <w:szCs w:val="18"/>
              </w:rPr>
              <w:t>214</w:t>
            </w:r>
          </w:p>
        </w:tc>
        <w:tc>
          <w:tcPr>
            <w:tcW w:w="1421" w:type="dxa"/>
            <w:tcBorders>
              <w:bottom w:val="single" w:sz="12" w:space="0" w:color="auto"/>
            </w:tcBorders>
            <w:shd w:val="clear" w:color="auto" w:fill="auto"/>
          </w:tcPr>
          <w:p w:rsidR="00054620" w:rsidRPr="00565D5F" w:rsidRDefault="00054620" w:rsidP="00565D5F">
            <w:pPr>
              <w:tabs>
                <w:tab w:val="left" w:pos="334"/>
                <w:tab w:val="left" w:pos="669"/>
                <w:tab w:val="left" w:pos="1003"/>
                <w:tab w:val="left" w:pos="1338"/>
              </w:tabs>
              <w:suppressAutoHyphens/>
              <w:spacing w:after="60" w:line="280" w:lineRule="exact"/>
              <w:ind w:right="57"/>
              <w:jc w:val="right"/>
              <w:rPr>
                <w:sz w:val="17"/>
                <w:szCs w:val="18"/>
              </w:rPr>
            </w:pPr>
            <w:r w:rsidRPr="00565D5F">
              <w:rPr>
                <w:sz w:val="17"/>
                <w:szCs w:val="18"/>
              </w:rPr>
              <w:t>952</w:t>
            </w:r>
          </w:p>
        </w:tc>
      </w:tr>
    </w:tbl>
    <w:p w:rsidR="00565D5F" w:rsidRPr="00565D5F" w:rsidRDefault="00565D5F" w:rsidP="00565D5F">
      <w:pPr>
        <w:pStyle w:val="SingleTxt"/>
        <w:spacing w:after="0" w:line="120" w:lineRule="exact"/>
        <w:rPr>
          <w:sz w:val="10"/>
        </w:rPr>
      </w:pPr>
    </w:p>
    <w:p w:rsidR="00565D5F" w:rsidRPr="00565D5F" w:rsidRDefault="00565D5F" w:rsidP="00565D5F">
      <w:pPr>
        <w:pStyle w:val="SingleTxt"/>
        <w:spacing w:after="0" w:line="120" w:lineRule="exact"/>
        <w:rPr>
          <w:sz w:val="10"/>
        </w:rPr>
      </w:pPr>
    </w:p>
    <w:p w:rsidR="00D66085" w:rsidRPr="002941D3" w:rsidRDefault="00D66085" w:rsidP="002B7A11">
      <w:pPr>
        <w:pStyle w:val="SingleTxt"/>
        <w:rPr>
          <w:rFonts w:eastAsia="SimHei"/>
          <w:bCs/>
          <w:szCs w:val="21"/>
        </w:rPr>
      </w:pPr>
      <w:r w:rsidRPr="00D66085">
        <w:rPr>
          <w:rFonts w:hAnsi="SimSun"/>
          <w:bCs/>
          <w:szCs w:val="21"/>
        </w:rPr>
        <w:t>表4</w:t>
      </w:r>
      <w:r>
        <w:rPr>
          <w:rFonts w:hAnsi="SimSun"/>
          <w:bCs/>
          <w:szCs w:val="21"/>
        </w:rPr>
        <w:br/>
      </w:r>
      <w:r w:rsidRPr="002941D3">
        <w:rPr>
          <w:rFonts w:eastAsia="SimHei" w:hint="eastAsia"/>
          <w:bCs/>
          <w:szCs w:val="21"/>
        </w:rPr>
        <w:t>各年龄组女性发病率</w:t>
      </w:r>
      <w:r w:rsidRPr="002941D3">
        <w:rPr>
          <w:rFonts w:eastAsia="SimHei"/>
          <w:bCs/>
          <w:szCs w:val="21"/>
        </w:rPr>
        <w:t xml:space="preserve"> </w:t>
      </w:r>
    </w:p>
    <w:tbl>
      <w:tblPr>
        <w:tblW w:w="7266" w:type="dxa"/>
        <w:tblInd w:w="1264" w:type="dxa"/>
        <w:tblCellMar>
          <w:left w:w="0" w:type="dxa"/>
          <w:right w:w="0" w:type="dxa"/>
        </w:tblCellMar>
        <w:tblLook w:val="0000" w:firstRow="0" w:lastRow="0" w:firstColumn="0" w:lastColumn="0" w:noHBand="0" w:noVBand="0"/>
      </w:tblPr>
      <w:tblGrid>
        <w:gridCol w:w="851"/>
        <w:gridCol w:w="803"/>
        <w:gridCol w:w="804"/>
        <w:gridCol w:w="824"/>
        <w:gridCol w:w="824"/>
        <w:gridCol w:w="824"/>
        <w:gridCol w:w="1136"/>
        <w:gridCol w:w="1200"/>
      </w:tblGrid>
      <w:tr w:rsidR="00D66085" w:rsidRPr="00D66085" w:rsidTr="00D66085">
        <w:trPr>
          <w:trHeight w:val="240"/>
          <w:tblHeader/>
        </w:trPr>
        <w:tc>
          <w:tcPr>
            <w:tcW w:w="851"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rPr>
                <w:rFonts w:ascii="KaiTi_GB2312" w:eastAsia="KaiTi_GB2312" w:hint="eastAsia"/>
                <w:sz w:val="15"/>
                <w:szCs w:val="18"/>
              </w:rPr>
            </w:pPr>
            <w:r w:rsidRPr="00D66085">
              <w:rPr>
                <w:rFonts w:ascii="KaiTi_GB2312" w:eastAsia="KaiTi_GB2312" w:hint="eastAsia"/>
                <w:sz w:val="15"/>
                <w:szCs w:val="18"/>
              </w:rPr>
              <w:t>年份</w:t>
            </w:r>
          </w:p>
        </w:tc>
        <w:tc>
          <w:tcPr>
            <w:tcW w:w="803"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hint="eastAsia"/>
                <w:sz w:val="15"/>
                <w:szCs w:val="18"/>
              </w:rPr>
            </w:pPr>
            <w:r w:rsidRPr="00D66085">
              <w:rPr>
                <w:rFonts w:ascii="KaiTi_GB2312" w:eastAsia="KaiTi_GB2312"/>
                <w:sz w:val="15"/>
                <w:szCs w:val="18"/>
              </w:rPr>
              <w:t>0-4</w:t>
            </w:r>
            <w:r w:rsidRPr="00D66085">
              <w:rPr>
                <w:rFonts w:ascii="KaiTi_GB2312" w:eastAsia="KaiTi_GB2312" w:hint="eastAsia"/>
                <w:sz w:val="15"/>
                <w:szCs w:val="18"/>
              </w:rPr>
              <w:t>岁</w:t>
            </w:r>
          </w:p>
        </w:tc>
        <w:tc>
          <w:tcPr>
            <w:tcW w:w="804"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hint="eastAsia"/>
                <w:sz w:val="15"/>
                <w:szCs w:val="18"/>
              </w:rPr>
            </w:pPr>
            <w:r w:rsidRPr="00D66085">
              <w:rPr>
                <w:rFonts w:ascii="KaiTi_GB2312" w:eastAsia="KaiTi_GB2312"/>
                <w:sz w:val="15"/>
                <w:szCs w:val="18"/>
              </w:rPr>
              <w:t>5-14</w:t>
            </w:r>
            <w:r w:rsidRPr="00D66085">
              <w:rPr>
                <w:rFonts w:ascii="KaiTi_GB2312" w:eastAsia="KaiTi_GB2312" w:hint="eastAsia"/>
                <w:sz w:val="15"/>
                <w:szCs w:val="18"/>
              </w:rPr>
              <w:t>岁</w:t>
            </w:r>
          </w:p>
        </w:tc>
        <w:tc>
          <w:tcPr>
            <w:tcW w:w="824"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sz w:val="15"/>
                <w:szCs w:val="18"/>
              </w:rPr>
              <w:t>15-24</w:t>
            </w:r>
            <w:r w:rsidRPr="00D66085">
              <w:rPr>
                <w:rFonts w:ascii="KaiTi_GB2312" w:eastAsia="KaiTi_GB2312" w:hint="eastAsia"/>
                <w:sz w:val="15"/>
                <w:szCs w:val="18"/>
              </w:rPr>
              <w:t>岁</w:t>
            </w:r>
          </w:p>
        </w:tc>
        <w:tc>
          <w:tcPr>
            <w:tcW w:w="824"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sz w:val="15"/>
                <w:szCs w:val="18"/>
              </w:rPr>
              <w:t>25-34</w:t>
            </w:r>
            <w:r w:rsidRPr="00D66085">
              <w:rPr>
                <w:rFonts w:ascii="KaiTi_GB2312" w:eastAsia="KaiTi_GB2312" w:hint="eastAsia"/>
                <w:sz w:val="15"/>
                <w:szCs w:val="18"/>
              </w:rPr>
              <w:t>岁</w:t>
            </w:r>
          </w:p>
        </w:tc>
        <w:tc>
          <w:tcPr>
            <w:tcW w:w="824"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sz w:val="15"/>
                <w:szCs w:val="18"/>
              </w:rPr>
              <w:t>35-49</w:t>
            </w:r>
            <w:r w:rsidRPr="00D66085">
              <w:rPr>
                <w:rFonts w:ascii="KaiTi_GB2312" w:eastAsia="KaiTi_GB2312" w:hint="eastAsia"/>
                <w:sz w:val="15"/>
                <w:szCs w:val="18"/>
              </w:rPr>
              <w:t>岁</w:t>
            </w:r>
          </w:p>
        </w:tc>
        <w:tc>
          <w:tcPr>
            <w:tcW w:w="1136"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sz w:val="15"/>
                <w:szCs w:val="18"/>
              </w:rPr>
              <w:t xml:space="preserve">50 </w:t>
            </w:r>
            <w:r w:rsidRPr="00D66085">
              <w:rPr>
                <w:rFonts w:ascii="KaiTi_GB2312" w:eastAsia="KaiTi_GB2312" w:hint="eastAsia"/>
                <w:sz w:val="15"/>
                <w:szCs w:val="18"/>
              </w:rPr>
              <w:t>岁及以上</w:t>
            </w:r>
          </w:p>
        </w:tc>
        <w:tc>
          <w:tcPr>
            <w:tcW w:w="1200"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sz w:val="15"/>
                <w:szCs w:val="18"/>
              </w:rPr>
              <w:t xml:space="preserve">60 </w:t>
            </w:r>
            <w:r w:rsidRPr="00D66085">
              <w:rPr>
                <w:rFonts w:ascii="KaiTi_GB2312" w:eastAsia="KaiTi_GB2312" w:hint="eastAsia"/>
                <w:sz w:val="15"/>
                <w:szCs w:val="18"/>
              </w:rPr>
              <w:t>岁及以上</w:t>
            </w:r>
          </w:p>
        </w:tc>
      </w:tr>
      <w:tr w:rsidR="00D66085" w:rsidRPr="00D66085" w:rsidTr="00D66085">
        <w:trPr>
          <w:trHeight w:hRule="exact" w:val="115"/>
          <w:tblHeader/>
        </w:trPr>
        <w:tc>
          <w:tcPr>
            <w:tcW w:w="851"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rPr>
                <w:sz w:val="17"/>
                <w:szCs w:val="18"/>
              </w:rPr>
            </w:pPr>
          </w:p>
        </w:tc>
        <w:tc>
          <w:tcPr>
            <w:tcW w:w="803"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804"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824"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824"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824"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1136"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1200"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r>
      <w:tr w:rsidR="00D66085" w:rsidRPr="00D66085" w:rsidTr="00D66085">
        <w:trPr>
          <w:trHeight w:val="240"/>
        </w:trPr>
        <w:tc>
          <w:tcPr>
            <w:tcW w:w="851"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2001</w:t>
            </w:r>
          </w:p>
        </w:tc>
        <w:tc>
          <w:tcPr>
            <w:tcW w:w="803"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0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136"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2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r>
      <w:tr w:rsidR="00D66085" w:rsidRPr="00D66085" w:rsidTr="00D66085">
        <w:trPr>
          <w:trHeight w:val="240"/>
        </w:trPr>
        <w:tc>
          <w:tcPr>
            <w:tcW w:w="851"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 xml:space="preserve">2006 </w:t>
            </w:r>
          </w:p>
        </w:tc>
        <w:tc>
          <w:tcPr>
            <w:tcW w:w="803"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0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136"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2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r>
      <w:tr w:rsidR="00D66085" w:rsidRPr="00D66085" w:rsidTr="00D66085">
        <w:trPr>
          <w:trHeight w:val="240"/>
        </w:trPr>
        <w:tc>
          <w:tcPr>
            <w:tcW w:w="851"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2008</w:t>
            </w:r>
          </w:p>
        </w:tc>
        <w:tc>
          <w:tcPr>
            <w:tcW w:w="803"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04"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24"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136"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200"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r>
    </w:tbl>
    <w:p w:rsidR="002B7A11" w:rsidRPr="002B7A11" w:rsidRDefault="002B7A11" w:rsidP="002B7A11">
      <w:pPr>
        <w:pStyle w:val="SingleTxt"/>
        <w:spacing w:after="0" w:line="120" w:lineRule="exact"/>
        <w:rPr>
          <w:rFonts w:hAnsi="SimSun"/>
          <w:bCs/>
          <w:sz w:val="10"/>
          <w:szCs w:val="21"/>
          <w:lang w:val="en-GB"/>
        </w:rPr>
      </w:pPr>
    </w:p>
    <w:p w:rsidR="002B7A11" w:rsidRPr="002B7A11" w:rsidRDefault="002B7A11" w:rsidP="002B7A11">
      <w:pPr>
        <w:pStyle w:val="SingleTxt"/>
        <w:spacing w:after="0" w:line="120" w:lineRule="exact"/>
        <w:rPr>
          <w:rFonts w:hAnsi="SimSun"/>
          <w:bCs/>
          <w:sz w:val="10"/>
          <w:szCs w:val="21"/>
          <w:lang w:val="en-GB"/>
        </w:rPr>
      </w:pPr>
    </w:p>
    <w:p w:rsidR="00D66085" w:rsidRPr="002941D3" w:rsidRDefault="00D66085" w:rsidP="002B7A11">
      <w:pPr>
        <w:pStyle w:val="SingleTxt"/>
        <w:rPr>
          <w:rFonts w:eastAsia="SimHei"/>
          <w:bCs/>
          <w:szCs w:val="21"/>
        </w:rPr>
      </w:pPr>
      <w:r w:rsidRPr="00D66085">
        <w:rPr>
          <w:rFonts w:hAnsi="SimSun"/>
          <w:bCs/>
          <w:szCs w:val="21"/>
          <w:lang w:val="en-GB"/>
        </w:rPr>
        <w:t>表</w:t>
      </w:r>
      <w:r w:rsidRPr="00D66085">
        <w:rPr>
          <w:rFonts w:hAnsi="SimSun"/>
          <w:bCs/>
          <w:szCs w:val="21"/>
        </w:rPr>
        <w:t>5</w:t>
      </w:r>
      <w:r>
        <w:rPr>
          <w:rFonts w:hAnsi="SimSun"/>
          <w:bCs/>
          <w:szCs w:val="21"/>
        </w:rPr>
        <w:br/>
      </w:r>
      <w:r w:rsidRPr="002941D3">
        <w:rPr>
          <w:rFonts w:eastAsia="SimHei" w:hint="eastAsia"/>
          <w:bCs/>
          <w:szCs w:val="21"/>
        </w:rPr>
        <w:t>女性恶性疾病发病率</w:t>
      </w:r>
    </w:p>
    <w:tbl>
      <w:tblPr>
        <w:tblW w:w="7303" w:type="dxa"/>
        <w:tblInd w:w="1264" w:type="dxa"/>
        <w:tblCellMar>
          <w:left w:w="0" w:type="dxa"/>
          <w:right w:w="0" w:type="dxa"/>
        </w:tblCellMar>
        <w:tblLook w:val="0000" w:firstRow="0" w:lastRow="0" w:firstColumn="0" w:lastColumn="0" w:noHBand="0" w:noVBand="0"/>
      </w:tblPr>
      <w:tblGrid>
        <w:gridCol w:w="1130"/>
        <w:gridCol w:w="1042"/>
        <w:gridCol w:w="1394"/>
        <w:gridCol w:w="700"/>
        <w:gridCol w:w="800"/>
        <w:gridCol w:w="1600"/>
        <w:gridCol w:w="637"/>
      </w:tblGrid>
      <w:tr w:rsidR="00D66085" w:rsidRPr="00D66085" w:rsidTr="00D66085">
        <w:trPr>
          <w:trHeight w:val="240"/>
          <w:tblHeader/>
        </w:trPr>
        <w:tc>
          <w:tcPr>
            <w:tcW w:w="1130"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center"/>
              <w:rPr>
                <w:rFonts w:ascii="KaiTi_GB2312" w:eastAsia="KaiTi_GB2312" w:hint="eastAsia"/>
                <w:sz w:val="15"/>
                <w:szCs w:val="18"/>
              </w:rPr>
            </w:pPr>
            <w:r w:rsidRPr="00D66085">
              <w:rPr>
                <w:rFonts w:ascii="KaiTi_GB2312" w:eastAsia="KaiTi_GB2312" w:hint="eastAsia"/>
                <w:sz w:val="15"/>
                <w:szCs w:val="18"/>
              </w:rPr>
              <w:t>年份</w:t>
            </w:r>
          </w:p>
        </w:tc>
        <w:tc>
          <w:tcPr>
            <w:tcW w:w="1042"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hint="eastAsia"/>
                <w:sz w:val="15"/>
                <w:szCs w:val="18"/>
              </w:rPr>
              <w:t>新增乳腺癌</w:t>
            </w:r>
            <w:r w:rsidRPr="00D66085">
              <w:rPr>
                <w:rFonts w:ascii="KaiTi_GB2312" w:eastAsia="KaiTi_GB2312"/>
                <w:sz w:val="15"/>
                <w:szCs w:val="18"/>
              </w:rPr>
              <w:t xml:space="preserve">     </w:t>
            </w:r>
          </w:p>
        </w:tc>
        <w:tc>
          <w:tcPr>
            <w:tcW w:w="1394"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bookmarkStart w:id="7" w:name="OLE_LINK35"/>
            <w:r w:rsidRPr="00D66085">
              <w:rPr>
                <w:rFonts w:ascii="KaiTi_GB2312" w:eastAsia="KaiTi_GB2312"/>
                <w:sz w:val="15"/>
                <w:szCs w:val="18"/>
              </w:rPr>
              <w:t>100</w:t>
            </w:r>
            <w:r w:rsidRPr="00D66085">
              <w:rPr>
                <w:rFonts w:ascii="KaiTi_GB2312" w:eastAsia="KaiTi_GB2312"/>
                <w:sz w:val="15"/>
                <w:szCs w:val="18"/>
              </w:rPr>
              <w:t> </w:t>
            </w:r>
            <w:r w:rsidRPr="00D66085">
              <w:rPr>
                <w:rFonts w:ascii="KaiTi_GB2312" w:eastAsia="KaiTi_GB2312"/>
                <w:sz w:val="15"/>
                <w:szCs w:val="18"/>
              </w:rPr>
              <w:t xml:space="preserve">000 </w:t>
            </w:r>
            <w:r w:rsidRPr="00D66085">
              <w:rPr>
                <w:rFonts w:ascii="KaiTi_GB2312" w:eastAsia="KaiTi_GB2312" w:hint="eastAsia"/>
                <w:sz w:val="15"/>
                <w:szCs w:val="18"/>
              </w:rPr>
              <w:t>以上妇女</w:t>
            </w:r>
            <w:bookmarkEnd w:id="7"/>
            <w:r w:rsidRPr="00D66085">
              <w:rPr>
                <w:rFonts w:ascii="KaiTi_GB2312" w:eastAsia="KaiTi_GB2312" w:hint="eastAsia"/>
                <w:sz w:val="15"/>
                <w:szCs w:val="18"/>
              </w:rPr>
              <w:t>中</w:t>
            </w:r>
          </w:p>
        </w:tc>
        <w:tc>
          <w:tcPr>
            <w:tcW w:w="700"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hint="eastAsia"/>
                <w:sz w:val="15"/>
                <w:szCs w:val="18"/>
              </w:rPr>
            </w:pPr>
            <w:r w:rsidRPr="00D66085">
              <w:rPr>
                <w:rFonts w:ascii="KaiTi_GB2312" w:eastAsia="KaiTi_GB2312" w:hint="eastAsia"/>
                <w:sz w:val="15"/>
                <w:szCs w:val="18"/>
              </w:rPr>
              <w:t>死亡率</w:t>
            </w:r>
          </w:p>
        </w:tc>
        <w:tc>
          <w:tcPr>
            <w:tcW w:w="800"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hint="eastAsia"/>
                <w:sz w:val="15"/>
                <w:szCs w:val="18"/>
              </w:rPr>
            </w:pPr>
            <w:r w:rsidRPr="00D66085">
              <w:rPr>
                <w:rFonts w:ascii="KaiTi_GB2312" w:eastAsia="KaiTi_GB2312" w:hint="eastAsia"/>
                <w:sz w:val="15"/>
                <w:szCs w:val="18"/>
              </w:rPr>
              <w:t>宫颈癌</w:t>
            </w:r>
          </w:p>
        </w:tc>
        <w:tc>
          <w:tcPr>
            <w:tcW w:w="1600"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sz w:val="15"/>
                <w:szCs w:val="18"/>
              </w:rPr>
              <w:t>100</w:t>
            </w:r>
            <w:r w:rsidRPr="00D66085">
              <w:rPr>
                <w:rFonts w:ascii="KaiTi_GB2312" w:eastAsia="KaiTi_GB2312"/>
                <w:sz w:val="15"/>
                <w:szCs w:val="18"/>
              </w:rPr>
              <w:t> </w:t>
            </w:r>
            <w:r w:rsidRPr="00D66085">
              <w:rPr>
                <w:rFonts w:ascii="KaiTi_GB2312" w:eastAsia="KaiTi_GB2312"/>
                <w:sz w:val="15"/>
                <w:szCs w:val="18"/>
              </w:rPr>
              <w:t xml:space="preserve">000 </w:t>
            </w:r>
            <w:r w:rsidRPr="00D66085">
              <w:rPr>
                <w:rFonts w:ascii="KaiTi_GB2312" w:eastAsia="KaiTi_GB2312" w:hint="eastAsia"/>
                <w:sz w:val="15"/>
                <w:szCs w:val="18"/>
              </w:rPr>
              <w:t>以上妇女中</w:t>
            </w:r>
          </w:p>
        </w:tc>
        <w:tc>
          <w:tcPr>
            <w:tcW w:w="637"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hint="eastAsia"/>
                <w:sz w:val="15"/>
                <w:szCs w:val="18"/>
              </w:rPr>
            </w:pPr>
            <w:r w:rsidRPr="00D66085">
              <w:rPr>
                <w:rFonts w:ascii="KaiTi_GB2312" w:eastAsia="KaiTi_GB2312" w:hint="eastAsia"/>
                <w:sz w:val="15"/>
                <w:szCs w:val="18"/>
              </w:rPr>
              <w:t>死亡率</w:t>
            </w:r>
          </w:p>
        </w:tc>
      </w:tr>
      <w:tr w:rsidR="00D66085" w:rsidRPr="00D66085" w:rsidTr="00D66085">
        <w:trPr>
          <w:trHeight w:hRule="exact" w:val="115"/>
          <w:tblHeader/>
        </w:trPr>
        <w:tc>
          <w:tcPr>
            <w:tcW w:w="1130"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center"/>
              <w:rPr>
                <w:sz w:val="17"/>
                <w:szCs w:val="18"/>
              </w:rPr>
            </w:pPr>
          </w:p>
        </w:tc>
        <w:tc>
          <w:tcPr>
            <w:tcW w:w="1042"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1394"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700"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800"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1600"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637"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r>
      <w:tr w:rsidR="00D66085" w:rsidRPr="00D66085" w:rsidTr="00D66085">
        <w:trPr>
          <w:trHeight w:val="240"/>
        </w:trPr>
        <w:tc>
          <w:tcPr>
            <w:tcW w:w="113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2000</w:t>
            </w:r>
          </w:p>
        </w:tc>
        <w:tc>
          <w:tcPr>
            <w:tcW w:w="1042"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3</w:t>
            </w:r>
            <w:r w:rsidRPr="00D66085">
              <w:rPr>
                <w:rFonts w:hint="eastAsia"/>
                <w:sz w:val="17"/>
                <w:szCs w:val="18"/>
              </w:rPr>
              <w:t xml:space="preserve"> </w:t>
            </w:r>
            <w:r w:rsidRPr="00D66085">
              <w:rPr>
                <w:sz w:val="17"/>
                <w:szCs w:val="18"/>
              </w:rPr>
              <w:t>097</w:t>
            </w:r>
          </w:p>
        </w:tc>
        <w:tc>
          <w:tcPr>
            <w:tcW w:w="139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rFonts w:hint="eastAsia"/>
                <w:sz w:val="17"/>
                <w:szCs w:val="18"/>
              </w:rPr>
            </w:pPr>
            <w:r w:rsidRPr="00D66085">
              <w:rPr>
                <w:sz w:val="17"/>
                <w:szCs w:val="18"/>
              </w:rPr>
              <w:t>73.9/</w:t>
            </w:r>
            <w:r w:rsidRPr="00D66085">
              <w:rPr>
                <w:rFonts w:hint="eastAsia"/>
                <w:sz w:val="17"/>
                <w:szCs w:val="18"/>
              </w:rPr>
              <w:t>共</w:t>
            </w:r>
            <w:r w:rsidRPr="00D66085">
              <w:rPr>
                <w:sz w:val="17"/>
                <w:szCs w:val="18"/>
              </w:rPr>
              <w:t xml:space="preserve"> 801.2</w:t>
            </w:r>
            <w:r w:rsidRPr="00D66085">
              <w:rPr>
                <w:rFonts w:hint="eastAsia"/>
                <w:sz w:val="17"/>
                <w:szCs w:val="18"/>
              </w:rPr>
              <w:t>例</w:t>
            </w:r>
          </w:p>
        </w:tc>
        <w:tc>
          <w:tcPr>
            <w:tcW w:w="7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5</w:t>
            </w:r>
            <w:r w:rsidRPr="00D66085">
              <w:rPr>
                <w:rFonts w:hint="eastAsia"/>
                <w:sz w:val="17"/>
                <w:szCs w:val="18"/>
              </w:rPr>
              <w:t xml:space="preserve"> </w:t>
            </w:r>
            <w:r w:rsidRPr="00D66085">
              <w:rPr>
                <w:sz w:val="17"/>
                <w:szCs w:val="18"/>
              </w:rPr>
              <w:t>707</w:t>
            </w:r>
          </w:p>
        </w:tc>
        <w:tc>
          <w:tcPr>
            <w:tcW w:w="16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rFonts w:hint="eastAsia"/>
                <w:sz w:val="17"/>
                <w:szCs w:val="18"/>
              </w:rPr>
            </w:pPr>
            <w:r w:rsidRPr="00D66085">
              <w:rPr>
                <w:sz w:val="17"/>
                <w:szCs w:val="18"/>
              </w:rPr>
              <w:t>69.9/</w:t>
            </w:r>
            <w:r w:rsidRPr="00D66085">
              <w:rPr>
                <w:rFonts w:hint="eastAsia"/>
                <w:sz w:val="17"/>
                <w:szCs w:val="18"/>
              </w:rPr>
              <w:t>共</w:t>
            </w:r>
            <w:r w:rsidRPr="00D66085">
              <w:rPr>
                <w:sz w:val="17"/>
                <w:szCs w:val="18"/>
              </w:rPr>
              <w:t>603.6</w:t>
            </w:r>
            <w:r w:rsidRPr="00D66085">
              <w:rPr>
                <w:rFonts w:hint="eastAsia"/>
                <w:sz w:val="17"/>
                <w:szCs w:val="18"/>
              </w:rPr>
              <w:t>例</w:t>
            </w:r>
          </w:p>
        </w:tc>
        <w:tc>
          <w:tcPr>
            <w:tcW w:w="637"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r>
      <w:tr w:rsidR="00D66085" w:rsidRPr="00D66085" w:rsidTr="00D66085">
        <w:trPr>
          <w:trHeight w:val="240"/>
        </w:trPr>
        <w:tc>
          <w:tcPr>
            <w:tcW w:w="113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2006</w:t>
            </w:r>
          </w:p>
        </w:tc>
        <w:tc>
          <w:tcPr>
            <w:tcW w:w="1042"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3</w:t>
            </w:r>
            <w:r w:rsidRPr="00D66085">
              <w:rPr>
                <w:rFonts w:hint="eastAsia"/>
                <w:sz w:val="17"/>
                <w:szCs w:val="18"/>
              </w:rPr>
              <w:t xml:space="preserve"> </w:t>
            </w:r>
            <w:r w:rsidRPr="00D66085">
              <w:rPr>
                <w:sz w:val="17"/>
                <w:szCs w:val="18"/>
              </w:rPr>
              <w:t>407</w:t>
            </w:r>
          </w:p>
        </w:tc>
        <w:tc>
          <w:tcPr>
            <w:tcW w:w="1394"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85.9/</w:t>
            </w:r>
            <w:r w:rsidRPr="00D66085">
              <w:rPr>
                <w:rFonts w:hint="eastAsia"/>
                <w:sz w:val="17"/>
                <w:szCs w:val="18"/>
              </w:rPr>
              <w:t>共</w:t>
            </w:r>
            <w:r w:rsidRPr="00D66085">
              <w:rPr>
                <w:sz w:val="17"/>
                <w:szCs w:val="18"/>
              </w:rPr>
              <w:t>1</w:t>
            </w:r>
            <w:r w:rsidRPr="00D66085">
              <w:rPr>
                <w:rFonts w:hint="eastAsia"/>
                <w:sz w:val="17"/>
                <w:szCs w:val="18"/>
              </w:rPr>
              <w:t xml:space="preserve"> </w:t>
            </w:r>
            <w:r w:rsidRPr="00D66085">
              <w:rPr>
                <w:sz w:val="17"/>
                <w:szCs w:val="18"/>
              </w:rPr>
              <w:t>093.1</w:t>
            </w:r>
            <w:r w:rsidRPr="00D66085">
              <w:rPr>
                <w:rFonts w:hint="eastAsia"/>
                <w:sz w:val="17"/>
                <w:szCs w:val="18"/>
              </w:rPr>
              <w:t>例</w:t>
            </w:r>
          </w:p>
        </w:tc>
        <w:tc>
          <w:tcPr>
            <w:tcW w:w="7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1</w:t>
            </w:r>
            <w:r w:rsidRPr="00D66085">
              <w:rPr>
                <w:rFonts w:hint="eastAsia"/>
                <w:sz w:val="17"/>
                <w:szCs w:val="18"/>
              </w:rPr>
              <w:t xml:space="preserve"> </w:t>
            </w:r>
            <w:r w:rsidRPr="00D66085">
              <w:rPr>
                <w:sz w:val="17"/>
                <w:szCs w:val="18"/>
              </w:rPr>
              <w:t>162</w:t>
            </w:r>
          </w:p>
        </w:tc>
        <w:tc>
          <w:tcPr>
            <w:tcW w:w="1600"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29.3/</w:t>
            </w:r>
            <w:r w:rsidRPr="00D66085">
              <w:rPr>
                <w:rFonts w:hint="eastAsia"/>
                <w:sz w:val="17"/>
                <w:szCs w:val="18"/>
              </w:rPr>
              <w:t>共</w:t>
            </w:r>
            <w:r w:rsidRPr="00D66085">
              <w:rPr>
                <w:sz w:val="17"/>
                <w:szCs w:val="18"/>
              </w:rPr>
              <w:t>339.9</w:t>
            </w:r>
            <w:r w:rsidRPr="00D66085">
              <w:rPr>
                <w:rFonts w:hint="eastAsia"/>
                <w:sz w:val="17"/>
                <w:szCs w:val="18"/>
              </w:rPr>
              <w:t>例</w:t>
            </w:r>
          </w:p>
        </w:tc>
        <w:tc>
          <w:tcPr>
            <w:tcW w:w="637"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r>
      <w:tr w:rsidR="00D66085" w:rsidRPr="00D66085" w:rsidTr="00D66085">
        <w:trPr>
          <w:trHeight w:val="240"/>
        </w:trPr>
        <w:tc>
          <w:tcPr>
            <w:tcW w:w="1130"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2008</w:t>
            </w:r>
          </w:p>
        </w:tc>
        <w:tc>
          <w:tcPr>
            <w:tcW w:w="1042"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3</w:t>
            </w:r>
            <w:r w:rsidRPr="00D66085">
              <w:rPr>
                <w:rFonts w:hint="eastAsia"/>
                <w:sz w:val="17"/>
                <w:szCs w:val="18"/>
              </w:rPr>
              <w:t xml:space="preserve"> </w:t>
            </w:r>
            <w:r w:rsidRPr="00D66085">
              <w:rPr>
                <w:sz w:val="17"/>
                <w:szCs w:val="18"/>
              </w:rPr>
              <w:t>398</w:t>
            </w:r>
          </w:p>
        </w:tc>
        <w:tc>
          <w:tcPr>
            <w:tcW w:w="1394"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86 /</w:t>
            </w:r>
            <w:r w:rsidRPr="00D66085">
              <w:rPr>
                <w:rFonts w:hint="eastAsia"/>
                <w:sz w:val="17"/>
                <w:szCs w:val="18"/>
              </w:rPr>
              <w:t>共</w:t>
            </w:r>
            <w:r w:rsidRPr="00D66085">
              <w:rPr>
                <w:sz w:val="17"/>
                <w:szCs w:val="18"/>
              </w:rPr>
              <w:t>1</w:t>
            </w:r>
            <w:r w:rsidRPr="00D66085">
              <w:rPr>
                <w:rFonts w:hint="eastAsia"/>
                <w:sz w:val="17"/>
                <w:szCs w:val="18"/>
              </w:rPr>
              <w:t xml:space="preserve"> </w:t>
            </w:r>
            <w:r w:rsidRPr="00D66085">
              <w:rPr>
                <w:sz w:val="17"/>
                <w:szCs w:val="18"/>
              </w:rPr>
              <w:t>124.8</w:t>
            </w:r>
            <w:r w:rsidRPr="00D66085">
              <w:rPr>
                <w:rFonts w:hint="eastAsia"/>
                <w:sz w:val="17"/>
                <w:szCs w:val="18"/>
              </w:rPr>
              <w:t>例</w:t>
            </w:r>
          </w:p>
        </w:tc>
        <w:tc>
          <w:tcPr>
            <w:tcW w:w="700"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800"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1</w:t>
            </w:r>
            <w:r w:rsidRPr="00D66085">
              <w:rPr>
                <w:rFonts w:hint="eastAsia"/>
                <w:sz w:val="17"/>
                <w:szCs w:val="18"/>
              </w:rPr>
              <w:t xml:space="preserve"> </w:t>
            </w:r>
            <w:r w:rsidRPr="00D66085">
              <w:rPr>
                <w:sz w:val="17"/>
                <w:szCs w:val="18"/>
              </w:rPr>
              <w:t>069</w:t>
            </w:r>
          </w:p>
        </w:tc>
        <w:tc>
          <w:tcPr>
            <w:tcW w:w="1600"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27.1/</w:t>
            </w:r>
            <w:r w:rsidRPr="00D66085">
              <w:rPr>
                <w:rFonts w:hint="eastAsia"/>
                <w:sz w:val="17"/>
                <w:szCs w:val="18"/>
              </w:rPr>
              <w:t>共</w:t>
            </w:r>
            <w:r w:rsidRPr="00D66085">
              <w:rPr>
                <w:sz w:val="17"/>
                <w:szCs w:val="18"/>
              </w:rPr>
              <w:t>342.1</w:t>
            </w:r>
            <w:r w:rsidRPr="00D66085">
              <w:rPr>
                <w:rFonts w:hint="eastAsia"/>
                <w:sz w:val="17"/>
                <w:szCs w:val="18"/>
              </w:rPr>
              <w:t>例</w:t>
            </w:r>
          </w:p>
        </w:tc>
        <w:tc>
          <w:tcPr>
            <w:tcW w:w="637"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r>
    </w:tbl>
    <w:p w:rsidR="00D66085" w:rsidRDefault="00D66085" w:rsidP="00D66085">
      <w:pPr>
        <w:pStyle w:val="SingleTxtG"/>
        <w:spacing w:before="120"/>
        <w:rPr>
          <w:rFonts w:ascii="SimSun" w:hAnsi="SimSun"/>
          <w:bCs/>
          <w:sz w:val="21"/>
          <w:szCs w:val="21"/>
          <w:lang w:val="en-US" w:eastAsia="zh-CN"/>
        </w:rPr>
      </w:pPr>
    </w:p>
    <w:p w:rsidR="00D66085" w:rsidRPr="002941D3" w:rsidRDefault="00D66085" w:rsidP="002B7A11">
      <w:pPr>
        <w:pStyle w:val="SingleTxt"/>
        <w:rPr>
          <w:rFonts w:eastAsia="SimHei" w:hint="eastAsia"/>
          <w:bCs/>
          <w:szCs w:val="21"/>
        </w:rPr>
      </w:pPr>
      <w:r w:rsidRPr="00D66085">
        <w:rPr>
          <w:rFonts w:hAnsi="SimSun"/>
          <w:bCs/>
          <w:szCs w:val="21"/>
          <w:lang w:val="en-GB"/>
        </w:rPr>
        <w:t>表</w:t>
      </w:r>
      <w:r w:rsidRPr="00D66085">
        <w:rPr>
          <w:rFonts w:hAnsi="SimSun"/>
          <w:bCs/>
          <w:szCs w:val="21"/>
        </w:rPr>
        <w:t>6</w:t>
      </w:r>
      <w:r>
        <w:rPr>
          <w:rFonts w:hAnsi="SimSun"/>
          <w:bCs/>
          <w:szCs w:val="21"/>
        </w:rPr>
        <w:br/>
      </w:r>
      <w:r w:rsidRPr="002941D3">
        <w:rPr>
          <w:rFonts w:eastAsia="SimHei" w:hint="eastAsia"/>
          <w:bCs/>
          <w:szCs w:val="21"/>
        </w:rPr>
        <w:t>出生率</w:t>
      </w:r>
    </w:p>
    <w:tbl>
      <w:tblPr>
        <w:tblW w:w="7370" w:type="dxa"/>
        <w:tblInd w:w="1264" w:type="dxa"/>
        <w:tblCellMar>
          <w:left w:w="0" w:type="dxa"/>
          <w:right w:w="0" w:type="dxa"/>
        </w:tblCellMar>
        <w:tblLook w:val="0000" w:firstRow="0" w:lastRow="0" w:firstColumn="0" w:lastColumn="0" w:noHBand="0" w:noVBand="0"/>
      </w:tblPr>
      <w:tblGrid>
        <w:gridCol w:w="921"/>
        <w:gridCol w:w="1221"/>
        <w:gridCol w:w="1329"/>
        <w:gridCol w:w="1127"/>
        <w:gridCol w:w="1437"/>
        <w:gridCol w:w="1335"/>
      </w:tblGrid>
      <w:tr w:rsidR="00D66085" w:rsidRPr="00D66085" w:rsidTr="00D66085">
        <w:trPr>
          <w:trHeight w:val="240"/>
          <w:tblHeader/>
        </w:trPr>
        <w:tc>
          <w:tcPr>
            <w:tcW w:w="921"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rPr>
                <w:rFonts w:ascii="KaiTi_GB2312" w:eastAsia="KaiTi_GB2312" w:hint="eastAsia"/>
                <w:sz w:val="15"/>
                <w:szCs w:val="18"/>
              </w:rPr>
            </w:pPr>
            <w:r w:rsidRPr="00D66085">
              <w:rPr>
                <w:rFonts w:ascii="KaiTi_GB2312" w:eastAsia="KaiTi_GB2312" w:hint="eastAsia"/>
                <w:sz w:val="15"/>
                <w:szCs w:val="18"/>
              </w:rPr>
              <w:t>年份</w:t>
            </w:r>
          </w:p>
        </w:tc>
        <w:tc>
          <w:tcPr>
            <w:tcW w:w="1221"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hint="eastAsia"/>
                <w:sz w:val="15"/>
                <w:szCs w:val="18"/>
              </w:rPr>
            </w:pPr>
            <w:r w:rsidRPr="00D66085">
              <w:rPr>
                <w:rFonts w:ascii="KaiTi_GB2312" w:eastAsia="KaiTi_GB2312" w:hint="eastAsia"/>
                <w:sz w:val="15"/>
                <w:szCs w:val="18"/>
              </w:rPr>
              <w:t>总系数</w:t>
            </w:r>
          </w:p>
        </w:tc>
        <w:tc>
          <w:tcPr>
            <w:tcW w:w="1329"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hint="eastAsia"/>
                <w:sz w:val="15"/>
                <w:szCs w:val="18"/>
              </w:rPr>
              <w:t>生育力系数</w:t>
            </w:r>
            <w:r w:rsidRPr="00D66085">
              <w:rPr>
                <w:rFonts w:ascii="KaiTi_GB2312" w:eastAsia="KaiTi_GB2312"/>
                <w:sz w:val="15"/>
                <w:szCs w:val="18"/>
              </w:rPr>
              <w:br/>
            </w:r>
            <w:r w:rsidRPr="00D66085">
              <w:rPr>
                <w:rFonts w:ascii="KaiTi_GB2312" w:eastAsia="KaiTi_GB2312" w:hint="eastAsia"/>
                <w:sz w:val="15"/>
                <w:szCs w:val="18"/>
              </w:rPr>
              <w:t>总和</w:t>
            </w:r>
          </w:p>
        </w:tc>
        <w:tc>
          <w:tcPr>
            <w:tcW w:w="1127"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sz w:val="15"/>
                <w:szCs w:val="18"/>
              </w:rPr>
            </w:pPr>
            <w:r w:rsidRPr="00D66085">
              <w:rPr>
                <w:rFonts w:ascii="KaiTi_GB2312" w:eastAsia="KaiTi_GB2312" w:hint="eastAsia"/>
                <w:sz w:val="15"/>
                <w:szCs w:val="18"/>
              </w:rPr>
              <w:t>按每</w:t>
            </w:r>
            <w:r w:rsidRPr="00D66085">
              <w:rPr>
                <w:rFonts w:ascii="KaiTi_GB2312" w:eastAsia="KaiTi_GB2312"/>
                <w:sz w:val="15"/>
                <w:szCs w:val="18"/>
              </w:rPr>
              <w:t xml:space="preserve"> 1</w:t>
            </w:r>
            <w:r w:rsidRPr="00D66085">
              <w:rPr>
                <w:rFonts w:ascii="KaiTi_GB2312" w:eastAsia="KaiTi_GB2312" w:hint="eastAsia"/>
                <w:sz w:val="15"/>
                <w:szCs w:val="18"/>
              </w:rPr>
              <w:t xml:space="preserve"> </w:t>
            </w:r>
            <w:r w:rsidRPr="00D66085">
              <w:rPr>
                <w:rFonts w:ascii="KaiTi_GB2312" w:eastAsia="KaiTi_GB2312"/>
                <w:sz w:val="15"/>
                <w:szCs w:val="18"/>
              </w:rPr>
              <w:t xml:space="preserve">000 </w:t>
            </w:r>
            <w:r w:rsidRPr="00D66085">
              <w:rPr>
                <w:rFonts w:ascii="KaiTi_GB2312" w:eastAsia="KaiTi_GB2312" w:hint="eastAsia"/>
                <w:sz w:val="15"/>
                <w:szCs w:val="18"/>
              </w:rPr>
              <w:t>名男孩计算，女孩的人数</w:t>
            </w:r>
            <w:r w:rsidRPr="00D66085">
              <w:rPr>
                <w:rFonts w:ascii="KaiTi_GB2312" w:eastAsia="KaiTi_GB2312"/>
                <w:sz w:val="15"/>
                <w:szCs w:val="18"/>
              </w:rPr>
              <w:t xml:space="preserve">  </w:t>
            </w:r>
          </w:p>
        </w:tc>
        <w:tc>
          <w:tcPr>
            <w:tcW w:w="1437"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bCs/>
                <w:sz w:val="15"/>
                <w:szCs w:val="18"/>
              </w:rPr>
            </w:pPr>
            <w:r w:rsidRPr="00D66085">
              <w:rPr>
                <w:rFonts w:ascii="KaiTi_GB2312" w:eastAsia="KaiTi_GB2312" w:hint="eastAsia"/>
                <w:bCs/>
                <w:sz w:val="15"/>
                <w:szCs w:val="18"/>
              </w:rPr>
              <w:t>生育第一个孩子时母亲的平均年龄</w:t>
            </w:r>
            <w:r w:rsidRPr="00D66085">
              <w:rPr>
                <w:rFonts w:ascii="KaiTi_GB2312" w:eastAsia="KaiTi_GB2312"/>
                <w:bCs/>
                <w:sz w:val="15"/>
                <w:szCs w:val="18"/>
              </w:rPr>
              <w:t xml:space="preserve">  </w:t>
            </w:r>
          </w:p>
        </w:tc>
        <w:tc>
          <w:tcPr>
            <w:tcW w:w="1335" w:type="dxa"/>
            <w:tcBorders>
              <w:top w:val="single" w:sz="4" w:space="0" w:color="auto"/>
              <w:bottom w:val="single" w:sz="12" w:space="0" w:color="auto"/>
            </w:tcBorders>
            <w:shd w:val="clear" w:color="auto" w:fill="auto"/>
            <w:vAlign w:val="bottom"/>
          </w:tcPr>
          <w:p w:rsidR="00D66085" w:rsidRPr="00D66085" w:rsidRDefault="00D66085" w:rsidP="00D66085">
            <w:pPr>
              <w:suppressAutoHyphens/>
              <w:spacing w:before="60" w:after="60" w:line="200" w:lineRule="exact"/>
              <w:ind w:right="57"/>
              <w:jc w:val="right"/>
              <w:rPr>
                <w:rFonts w:ascii="KaiTi_GB2312" w:eastAsia="KaiTi_GB2312"/>
                <w:bCs/>
                <w:sz w:val="15"/>
                <w:szCs w:val="18"/>
              </w:rPr>
            </w:pPr>
            <w:r w:rsidRPr="00D66085">
              <w:rPr>
                <w:rFonts w:ascii="KaiTi_GB2312" w:eastAsia="KaiTi_GB2312" w:hint="eastAsia"/>
                <w:bCs/>
                <w:sz w:val="15"/>
                <w:szCs w:val="18"/>
              </w:rPr>
              <w:t>婚外生儿童的比例</w:t>
            </w:r>
          </w:p>
        </w:tc>
      </w:tr>
      <w:tr w:rsidR="00D66085" w:rsidRPr="00D66085" w:rsidTr="00D66085">
        <w:trPr>
          <w:trHeight w:hRule="exact" w:val="115"/>
          <w:tblHeader/>
        </w:trPr>
        <w:tc>
          <w:tcPr>
            <w:tcW w:w="921"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rPr>
                <w:sz w:val="17"/>
                <w:szCs w:val="18"/>
              </w:rPr>
            </w:pPr>
          </w:p>
        </w:tc>
        <w:tc>
          <w:tcPr>
            <w:tcW w:w="1221"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1329"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1127"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sz w:val="17"/>
                <w:szCs w:val="18"/>
              </w:rPr>
            </w:pPr>
          </w:p>
        </w:tc>
        <w:tc>
          <w:tcPr>
            <w:tcW w:w="1437"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bCs/>
                <w:sz w:val="17"/>
                <w:szCs w:val="18"/>
              </w:rPr>
            </w:pPr>
          </w:p>
        </w:tc>
        <w:tc>
          <w:tcPr>
            <w:tcW w:w="1335" w:type="dxa"/>
            <w:tcBorders>
              <w:top w:val="single" w:sz="12" w:space="0" w:color="auto"/>
            </w:tcBorders>
            <w:shd w:val="clear" w:color="auto" w:fill="auto"/>
            <w:vAlign w:val="bottom"/>
          </w:tcPr>
          <w:p w:rsidR="00D66085" w:rsidRPr="00D66085" w:rsidRDefault="00D66085" w:rsidP="00D66085">
            <w:pPr>
              <w:suppressAutoHyphens/>
              <w:spacing w:after="60" w:line="280" w:lineRule="exact"/>
              <w:ind w:right="57"/>
              <w:jc w:val="right"/>
              <w:rPr>
                <w:bCs/>
                <w:sz w:val="17"/>
                <w:szCs w:val="18"/>
              </w:rPr>
            </w:pPr>
          </w:p>
        </w:tc>
      </w:tr>
      <w:tr w:rsidR="00D66085" w:rsidRPr="00D66085" w:rsidTr="00D66085">
        <w:trPr>
          <w:trHeight w:val="240"/>
        </w:trPr>
        <w:tc>
          <w:tcPr>
            <w:tcW w:w="921"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 xml:space="preserve">2001 </w:t>
            </w:r>
          </w:p>
        </w:tc>
        <w:tc>
          <w:tcPr>
            <w:tcW w:w="1221"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8.6</w:t>
            </w:r>
            <w:r w:rsidRPr="00D66085">
              <w:rPr>
                <w:sz w:val="17"/>
                <w:szCs w:val="18"/>
              </w:rPr>
              <w:t>‰</w:t>
            </w:r>
          </w:p>
        </w:tc>
        <w:tc>
          <w:tcPr>
            <w:tcW w:w="1329"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1.24</w:t>
            </w:r>
          </w:p>
        </w:tc>
        <w:tc>
          <w:tcPr>
            <w:tcW w:w="1127"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437"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rFonts w:hint="eastAsia"/>
                <w:bCs/>
                <w:sz w:val="17"/>
                <w:szCs w:val="18"/>
              </w:rPr>
            </w:pPr>
            <w:r w:rsidRPr="00D66085">
              <w:rPr>
                <w:bCs/>
                <w:sz w:val="17"/>
                <w:szCs w:val="18"/>
              </w:rPr>
              <w:t>23.8</w:t>
            </w:r>
            <w:r w:rsidRPr="00D66085">
              <w:rPr>
                <w:rFonts w:hint="eastAsia"/>
                <w:bCs/>
                <w:sz w:val="17"/>
                <w:szCs w:val="18"/>
              </w:rPr>
              <w:t>岁</w:t>
            </w:r>
          </w:p>
        </w:tc>
        <w:tc>
          <w:tcPr>
            <w:tcW w:w="1335"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bCs/>
                <w:sz w:val="17"/>
                <w:szCs w:val="18"/>
              </w:rPr>
            </w:pPr>
            <w:r w:rsidRPr="00D66085">
              <w:rPr>
                <w:bCs/>
                <w:sz w:val="17"/>
                <w:szCs w:val="18"/>
              </w:rPr>
              <w:t>42.1%</w:t>
            </w:r>
          </w:p>
        </w:tc>
      </w:tr>
      <w:tr w:rsidR="00D66085" w:rsidRPr="00D66085" w:rsidTr="00D66085">
        <w:trPr>
          <w:trHeight w:val="240"/>
        </w:trPr>
        <w:tc>
          <w:tcPr>
            <w:tcW w:w="921"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 xml:space="preserve">2006 </w:t>
            </w:r>
          </w:p>
        </w:tc>
        <w:tc>
          <w:tcPr>
            <w:tcW w:w="1221"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9.6</w:t>
            </w:r>
            <w:r w:rsidRPr="00D66085">
              <w:rPr>
                <w:sz w:val="17"/>
                <w:szCs w:val="18"/>
              </w:rPr>
              <w:t>‰</w:t>
            </w:r>
          </w:p>
        </w:tc>
        <w:tc>
          <w:tcPr>
            <w:tcW w:w="1329"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1.38</w:t>
            </w:r>
          </w:p>
        </w:tc>
        <w:tc>
          <w:tcPr>
            <w:tcW w:w="1127"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p>
        </w:tc>
        <w:tc>
          <w:tcPr>
            <w:tcW w:w="1437"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bCs/>
                <w:sz w:val="17"/>
                <w:szCs w:val="18"/>
              </w:rPr>
            </w:pPr>
            <w:r w:rsidRPr="00D66085">
              <w:rPr>
                <w:bCs/>
                <w:sz w:val="17"/>
                <w:szCs w:val="18"/>
              </w:rPr>
              <w:t>25.2</w:t>
            </w:r>
            <w:r w:rsidRPr="00D66085">
              <w:rPr>
                <w:rFonts w:hint="eastAsia"/>
                <w:bCs/>
                <w:sz w:val="17"/>
                <w:szCs w:val="18"/>
              </w:rPr>
              <w:t>岁</w:t>
            </w:r>
          </w:p>
        </w:tc>
        <w:tc>
          <w:tcPr>
            <w:tcW w:w="1335" w:type="dxa"/>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bCs/>
                <w:sz w:val="17"/>
                <w:szCs w:val="18"/>
              </w:rPr>
            </w:pPr>
            <w:r w:rsidRPr="00D66085">
              <w:rPr>
                <w:bCs/>
                <w:sz w:val="17"/>
                <w:szCs w:val="18"/>
              </w:rPr>
              <w:t>49%</w:t>
            </w:r>
          </w:p>
        </w:tc>
      </w:tr>
      <w:tr w:rsidR="00D66085" w:rsidRPr="00D66085" w:rsidTr="00D66085">
        <w:trPr>
          <w:trHeight w:val="240"/>
        </w:trPr>
        <w:tc>
          <w:tcPr>
            <w:tcW w:w="921"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rPr>
                <w:sz w:val="17"/>
                <w:szCs w:val="18"/>
              </w:rPr>
            </w:pPr>
            <w:r w:rsidRPr="00D66085">
              <w:rPr>
                <w:sz w:val="17"/>
                <w:szCs w:val="18"/>
              </w:rPr>
              <w:t>2008</w:t>
            </w:r>
          </w:p>
        </w:tc>
        <w:tc>
          <w:tcPr>
            <w:tcW w:w="1221"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10.2</w:t>
            </w:r>
            <w:r w:rsidRPr="00D66085">
              <w:rPr>
                <w:sz w:val="17"/>
                <w:szCs w:val="18"/>
              </w:rPr>
              <w:t>‰</w:t>
            </w:r>
            <w:r w:rsidRPr="00D66085">
              <w:rPr>
                <w:sz w:val="17"/>
                <w:szCs w:val="18"/>
              </w:rPr>
              <w:t>.</w:t>
            </w:r>
          </w:p>
        </w:tc>
        <w:tc>
          <w:tcPr>
            <w:tcW w:w="1329"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1.48</w:t>
            </w:r>
          </w:p>
        </w:tc>
        <w:tc>
          <w:tcPr>
            <w:tcW w:w="1127"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sz w:val="17"/>
                <w:szCs w:val="18"/>
              </w:rPr>
            </w:pPr>
            <w:r w:rsidRPr="00D66085">
              <w:rPr>
                <w:sz w:val="17"/>
                <w:szCs w:val="18"/>
              </w:rPr>
              <w:t>943</w:t>
            </w:r>
          </w:p>
        </w:tc>
        <w:tc>
          <w:tcPr>
            <w:tcW w:w="1437"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bCs/>
                <w:sz w:val="17"/>
                <w:szCs w:val="18"/>
              </w:rPr>
            </w:pPr>
            <w:r w:rsidRPr="00D66085">
              <w:rPr>
                <w:bCs/>
                <w:sz w:val="17"/>
                <w:szCs w:val="18"/>
              </w:rPr>
              <w:t>25.4</w:t>
            </w:r>
            <w:r w:rsidRPr="00D66085">
              <w:rPr>
                <w:rFonts w:hint="eastAsia"/>
                <w:bCs/>
                <w:sz w:val="17"/>
                <w:szCs w:val="18"/>
              </w:rPr>
              <w:t>岁</w:t>
            </w:r>
          </w:p>
        </w:tc>
        <w:tc>
          <w:tcPr>
            <w:tcW w:w="1335" w:type="dxa"/>
            <w:tcBorders>
              <w:bottom w:val="single" w:sz="12" w:space="0" w:color="auto"/>
            </w:tcBorders>
            <w:shd w:val="clear" w:color="auto" w:fill="auto"/>
            <w:vAlign w:val="bottom"/>
          </w:tcPr>
          <w:p w:rsidR="00D66085" w:rsidRPr="00D66085" w:rsidRDefault="00D66085" w:rsidP="00D66085">
            <w:pPr>
              <w:tabs>
                <w:tab w:val="left" w:pos="334"/>
                <w:tab w:val="left" w:pos="669"/>
                <w:tab w:val="left" w:pos="1003"/>
                <w:tab w:val="left" w:pos="1338"/>
              </w:tabs>
              <w:suppressAutoHyphens/>
              <w:spacing w:after="60" w:line="280" w:lineRule="exact"/>
              <w:ind w:right="57"/>
              <w:jc w:val="right"/>
              <w:rPr>
                <w:bCs/>
                <w:sz w:val="17"/>
                <w:szCs w:val="18"/>
              </w:rPr>
            </w:pPr>
            <w:r w:rsidRPr="00D66085">
              <w:rPr>
                <w:bCs/>
                <w:sz w:val="17"/>
                <w:szCs w:val="18"/>
              </w:rPr>
              <w:t>51.1%</w:t>
            </w:r>
          </w:p>
        </w:tc>
      </w:tr>
    </w:tbl>
    <w:p w:rsidR="002B7A11" w:rsidRPr="002B7A11" w:rsidRDefault="002B7A11" w:rsidP="002B7A11">
      <w:pPr>
        <w:pStyle w:val="SingleTxt"/>
        <w:spacing w:after="0" w:line="120" w:lineRule="exact"/>
        <w:rPr>
          <w:rFonts w:hAnsi="SimSun"/>
          <w:bCs/>
          <w:sz w:val="10"/>
          <w:szCs w:val="21"/>
          <w:lang w:val="en-GB"/>
        </w:rPr>
      </w:pPr>
    </w:p>
    <w:p w:rsidR="00D66085" w:rsidRPr="002941D3" w:rsidRDefault="00D66085" w:rsidP="002B7A11">
      <w:pPr>
        <w:pStyle w:val="SingleTxt"/>
        <w:rPr>
          <w:rFonts w:eastAsia="SimHei" w:hint="eastAsia"/>
          <w:bCs/>
          <w:szCs w:val="21"/>
        </w:rPr>
      </w:pPr>
      <w:r w:rsidRPr="00D66085">
        <w:rPr>
          <w:rFonts w:hAnsi="SimSun"/>
          <w:bCs/>
          <w:szCs w:val="21"/>
          <w:lang w:val="en-GB"/>
        </w:rPr>
        <w:t>表</w:t>
      </w:r>
      <w:r w:rsidRPr="00D66085">
        <w:rPr>
          <w:rFonts w:hAnsi="SimSun"/>
          <w:bCs/>
          <w:szCs w:val="21"/>
        </w:rPr>
        <w:t>7</w:t>
      </w:r>
      <w:r>
        <w:rPr>
          <w:rFonts w:hAnsi="SimSun"/>
          <w:bCs/>
          <w:szCs w:val="21"/>
        </w:rPr>
        <w:br/>
      </w:r>
      <w:r w:rsidRPr="002941D3">
        <w:rPr>
          <w:rFonts w:eastAsia="SimHei" w:hint="eastAsia"/>
          <w:bCs/>
          <w:szCs w:val="21"/>
        </w:rPr>
        <w:t>按居住地妇女生育年龄分列的活产数</w:t>
      </w:r>
    </w:p>
    <w:tbl>
      <w:tblPr>
        <w:tblW w:w="7387" w:type="dxa"/>
        <w:tblInd w:w="1264" w:type="dxa"/>
        <w:tblCellMar>
          <w:left w:w="0" w:type="dxa"/>
          <w:right w:w="0" w:type="dxa"/>
        </w:tblCellMar>
        <w:tblLook w:val="0000" w:firstRow="0" w:lastRow="0" w:firstColumn="0" w:lastColumn="0" w:noHBand="0" w:noVBand="0"/>
      </w:tblPr>
      <w:tblGrid>
        <w:gridCol w:w="873"/>
        <w:gridCol w:w="723"/>
        <w:gridCol w:w="724"/>
        <w:gridCol w:w="724"/>
        <w:gridCol w:w="102"/>
        <w:gridCol w:w="622"/>
        <w:gridCol w:w="723"/>
        <w:gridCol w:w="724"/>
        <w:gridCol w:w="136"/>
        <w:gridCol w:w="588"/>
        <w:gridCol w:w="724"/>
        <w:gridCol w:w="724"/>
      </w:tblGrid>
      <w:tr w:rsidR="002B7A11" w:rsidRPr="002B7A11" w:rsidTr="002B7A11">
        <w:trPr>
          <w:trHeight w:val="240"/>
          <w:tblHeader/>
        </w:trPr>
        <w:tc>
          <w:tcPr>
            <w:tcW w:w="873" w:type="dxa"/>
            <w:tcBorders>
              <w:top w:val="single" w:sz="4" w:space="0" w:color="auto"/>
            </w:tcBorders>
            <w:shd w:val="clear" w:color="auto" w:fill="auto"/>
            <w:vAlign w:val="bottom"/>
          </w:tcPr>
          <w:p w:rsidR="002B7A11" w:rsidRPr="002B7A11" w:rsidRDefault="002B7A11" w:rsidP="002B7A11">
            <w:pPr>
              <w:suppressAutoHyphens/>
              <w:spacing w:before="60" w:after="60" w:line="200" w:lineRule="exact"/>
              <w:ind w:right="57"/>
              <w:rPr>
                <w:rFonts w:ascii="KaiTi_GB2312" w:eastAsia="KaiTi_GB2312" w:hint="eastAsia"/>
                <w:sz w:val="15"/>
                <w:szCs w:val="18"/>
              </w:rPr>
            </w:pPr>
          </w:p>
        </w:tc>
        <w:tc>
          <w:tcPr>
            <w:tcW w:w="2171" w:type="dxa"/>
            <w:gridSpan w:val="3"/>
            <w:tcBorders>
              <w:top w:val="single" w:sz="4" w:space="0" w:color="auto"/>
              <w:bottom w:val="single" w:sz="4" w:space="0" w:color="auto"/>
            </w:tcBorders>
            <w:shd w:val="clear" w:color="auto" w:fill="auto"/>
            <w:vAlign w:val="bottom"/>
          </w:tcPr>
          <w:p w:rsidR="002B7A11" w:rsidRPr="002B7A11" w:rsidRDefault="002B7A11" w:rsidP="002B7A11">
            <w:pPr>
              <w:suppressAutoHyphens/>
              <w:spacing w:before="60" w:after="60" w:line="200" w:lineRule="exact"/>
              <w:ind w:right="57"/>
              <w:jc w:val="right"/>
              <w:rPr>
                <w:rFonts w:ascii="KaiTi_GB2312" w:eastAsia="KaiTi_GB2312"/>
                <w:spacing w:val="-6"/>
                <w:sz w:val="15"/>
                <w:szCs w:val="18"/>
              </w:rPr>
            </w:pPr>
            <w:r w:rsidRPr="002B7A11">
              <w:rPr>
                <w:rFonts w:eastAsia="KaiTi_GB2312" w:hint="eastAsia"/>
                <w:spacing w:val="-6"/>
                <w:sz w:val="18"/>
                <w:szCs w:val="18"/>
              </w:rPr>
              <w:t>每</w:t>
            </w:r>
            <w:r w:rsidRPr="002B7A11">
              <w:rPr>
                <w:rFonts w:eastAsia="KaiTi_GB2312" w:hint="eastAsia"/>
                <w:spacing w:val="-6"/>
                <w:sz w:val="18"/>
                <w:szCs w:val="18"/>
              </w:rPr>
              <w:t>1 000</w:t>
            </w:r>
            <w:r w:rsidRPr="002B7A11">
              <w:rPr>
                <w:rFonts w:eastAsia="KaiTi_GB2312" w:hint="eastAsia"/>
                <w:spacing w:val="-6"/>
                <w:sz w:val="18"/>
                <w:szCs w:val="18"/>
              </w:rPr>
              <w:t>名妇女中的</w:t>
            </w:r>
            <w:r>
              <w:rPr>
                <w:rFonts w:eastAsia="KaiTi_GB2312"/>
                <w:spacing w:val="-6"/>
                <w:sz w:val="18"/>
                <w:szCs w:val="18"/>
              </w:rPr>
              <w:br/>
            </w:r>
            <w:r w:rsidRPr="002B7A11">
              <w:rPr>
                <w:rFonts w:eastAsia="KaiTi_GB2312" w:hint="eastAsia"/>
                <w:spacing w:val="-6"/>
                <w:sz w:val="18"/>
                <w:szCs w:val="18"/>
              </w:rPr>
              <w:t>活产总数</w:t>
            </w:r>
          </w:p>
        </w:tc>
        <w:tc>
          <w:tcPr>
            <w:tcW w:w="102" w:type="dxa"/>
            <w:tcBorders>
              <w:top w:val="single" w:sz="4" w:space="0" w:color="auto"/>
            </w:tcBorders>
            <w:shd w:val="clear" w:color="auto" w:fill="auto"/>
            <w:vAlign w:val="bottom"/>
          </w:tcPr>
          <w:p w:rsidR="002B7A11" w:rsidRPr="002B7A11" w:rsidRDefault="002B7A11" w:rsidP="002B7A11">
            <w:pPr>
              <w:suppressAutoHyphens/>
              <w:spacing w:before="60" w:after="60" w:line="200" w:lineRule="exact"/>
              <w:ind w:right="57"/>
              <w:jc w:val="right"/>
              <w:rPr>
                <w:rFonts w:ascii="KaiTi_GB2312" w:eastAsia="KaiTi_GB2312"/>
                <w:sz w:val="15"/>
                <w:szCs w:val="18"/>
              </w:rPr>
            </w:pPr>
          </w:p>
        </w:tc>
        <w:tc>
          <w:tcPr>
            <w:tcW w:w="2069" w:type="dxa"/>
            <w:gridSpan w:val="3"/>
            <w:tcBorders>
              <w:top w:val="single" w:sz="4" w:space="0" w:color="auto"/>
              <w:bottom w:val="single" w:sz="4" w:space="0" w:color="auto"/>
            </w:tcBorders>
            <w:shd w:val="clear" w:color="auto" w:fill="auto"/>
            <w:vAlign w:val="bottom"/>
          </w:tcPr>
          <w:p w:rsidR="002B7A11" w:rsidRPr="002B7A11" w:rsidRDefault="002B7A11" w:rsidP="002B7A11">
            <w:pPr>
              <w:suppressAutoHyphens/>
              <w:spacing w:before="60" w:after="60" w:line="200" w:lineRule="exact"/>
              <w:ind w:right="57"/>
              <w:jc w:val="right"/>
              <w:rPr>
                <w:rFonts w:ascii="KaiTi_GB2312" w:eastAsia="KaiTi_GB2312"/>
                <w:sz w:val="15"/>
                <w:szCs w:val="18"/>
              </w:rPr>
            </w:pPr>
            <w:r w:rsidRPr="002941D3">
              <w:rPr>
                <w:rFonts w:eastAsia="KaiTi_GB2312" w:hint="eastAsia"/>
                <w:sz w:val="18"/>
                <w:szCs w:val="18"/>
              </w:rPr>
              <w:t>城市每</w:t>
            </w:r>
            <w:r w:rsidRPr="002941D3">
              <w:rPr>
                <w:rFonts w:eastAsia="KaiTi_GB2312"/>
                <w:sz w:val="18"/>
                <w:szCs w:val="18"/>
              </w:rPr>
              <w:t>1000</w:t>
            </w:r>
            <w:r w:rsidRPr="002941D3">
              <w:rPr>
                <w:rFonts w:eastAsia="KaiTi_GB2312" w:hint="eastAsia"/>
                <w:sz w:val="18"/>
                <w:szCs w:val="18"/>
              </w:rPr>
              <w:t>名妇女中的活产总数</w:t>
            </w:r>
          </w:p>
        </w:tc>
        <w:tc>
          <w:tcPr>
            <w:tcW w:w="136" w:type="dxa"/>
            <w:tcBorders>
              <w:top w:val="single" w:sz="4" w:space="0" w:color="auto"/>
            </w:tcBorders>
            <w:shd w:val="clear" w:color="auto" w:fill="auto"/>
            <w:vAlign w:val="bottom"/>
          </w:tcPr>
          <w:p w:rsidR="002B7A11" w:rsidRPr="002B7A11" w:rsidRDefault="002B7A11" w:rsidP="002B7A11">
            <w:pPr>
              <w:suppressAutoHyphens/>
              <w:spacing w:before="60" w:after="60" w:line="200" w:lineRule="exact"/>
              <w:ind w:right="57"/>
              <w:jc w:val="right"/>
              <w:rPr>
                <w:rFonts w:ascii="KaiTi_GB2312" w:eastAsia="KaiTi_GB2312"/>
                <w:sz w:val="15"/>
                <w:szCs w:val="18"/>
              </w:rPr>
            </w:pPr>
          </w:p>
        </w:tc>
        <w:tc>
          <w:tcPr>
            <w:tcW w:w="2036" w:type="dxa"/>
            <w:gridSpan w:val="3"/>
            <w:tcBorders>
              <w:top w:val="single" w:sz="4" w:space="0" w:color="auto"/>
              <w:bottom w:val="single" w:sz="4" w:space="0" w:color="auto"/>
            </w:tcBorders>
            <w:shd w:val="clear" w:color="auto" w:fill="auto"/>
            <w:vAlign w:val="bottom"/>
          </w:tcPr>
          <w:p w:rsidR="002B7A11" w:rsidRPr="002B7A11" w:rsidRDefault="002B7A11" w:rsidP="002B7A11">
            <w:pPr>
              <w:suppressAutoHyphens/>
              <w:spacing w:before="60" w:after="60" w:line="200" w:lineRule="exact"/>
              <w:ind w:right="57"/>
              <w:jc w:val="right"/>
              <w:rPr>
                <w:rFonts w:ascii="KaiTi_GB2312" w:eastAsia="KaiTi_GB2312"/>
                <w:sz w:val="15"/>
                <w:szCs w:val="18"/>
              </w:rPr>
            </w:pPr>
            <w:r w:rsidRPr="002941D3">
              <w:rPr>
                <w:rFonts w:eastAsia="KaiTi_GB2312" w:hint="eastAsia"/>
                <w:sz w:val="18"/>
                <w:szCs w:val="18"/>
              </w:rPr>
              <w:t>农村城市每</w:t>
            </w:r>
            <w:r w:rsidRPr="002941D3">
              <w:rPr>
                <w:rFonts w:eastAsia="KaiTi_GB2312"/>
                <w:sz w:val="18"/>
                <w:szCs w:val="18"/>
              </w:rPr>
              <w:t>1</w:t>
            </w:r>
            <w:r w:rsidRPr="002941D3">
              <w:rPr>
                <w:rFonts w:eastAsia="KaiTi_GB2312" w:hint="eastAsia"/>
                <w:sz w:val="18"/>
                <w:szCs w:val="18"/>
              </w:rPr>
              <w:t xml:space="preserve"> </w:t>
            </w:r>
            <w:r w:rsidRPr="002941D3">
              <w:rPr>
                <w:rFonts w:eastAsia="KaiTi_GB2312"/>
                <w:sz w:val="18"/>
                <w:szCs w:val="18"/>
              </w:rPr>
              <w:t>000</w:t>
            </w:r>
            <w:r w:rsidRPr="002941D3">
              <w:rPr>
                <w:rFonts w:eastAsia="KaiTi_GB2312" w:hint="eastAsia"/>
                <w:sz w:val="18"/>
                <w:szCs w:val="18"/>
              </w:rPr>
              <w:t>名妇女中的活产总数</w:t>
            </w:r>
          </w:p>
        </w:tc>
      </w:tr>
      <w:tr w:rsidR="002B7A11" w:rsidRPr="002B7A11" w:rsidTr="002B7A11">
        <w:trPr>
          <w:trHeight w:val="240"/>
          <w:tblHeader/>
        </w:trPr>
        <w:tc>
          <w:tcPr>
            <w:tcW w:w="873" w:type="dxa"/>
            <w:tcBorders>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rPr>
                <w:rFonts w:ascii="KaiTi_GB2312" w:eastAsia="KaiTi_GB2312" w:hint="eastAsia"/>
                <w:sz w:val="15"/>
                <w:szCs w:val="18"/>
              </w:rPr>
            </w:pPr>
            <w:r w:rsidRPr="002B7A11">
              <w:rPr>
                <w:rFonts w:ascii="KaiTi_GB2312" w:eastAsia="KaiTi_GB2312" w:hint="eastAsia"/>
                <w:sz w:val="15"/>
                <w:szCs w:val="18"/>
              </w:rPr>
              <w:t>妇女生育年龄</w:t>
            </w:r>
          </w:p>
        </w:tc>
        <w:tc>
          <w:tcPr>
            <w:tcW w:w="723" w:type="dxa"/>
            <w:tcBorders>
              <w:top w:val="single" w:sz="4" w:space="0" w:color="auto"/>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hint="eastAsia"/>
                <w:sz w:val="15"/>
                <w:szCs w:val="18"/>
              </w:rPr>
            </w:pPr>
            <w:r w:rsidRPr="002B7A11">
              <w:rPr>
                <w:rFonts w:ascii="KaiTi_GB2312" w:eastAsia="KaiTi_GB2312"/>
                <w:sz w:val="15"/>
                <w:szCs w:val="18"/>
              </w:rPr>
              <w:t>2000</w:t>
            </w:r>
            <w:r w:rsidRPr="002B7A11">
              <w:rPr>
                <w:rFonts w:ascii="KaiTi_GB2312" w:eastAsia="KaiTi_GB2312" w:hint="eastAsia"/>
                <w:sz w:val="15"/>
                <w:szCs w:val="18"/>
              </w:rPr>
              <w:t>年</w:t>
            </w:r>
          </w:p>
        </w:tc>
        <w:tc>
          <w:tcPr>
            <w:tcW w:w="724" w:type="dxa"/>
            <w:tcBorders>
              <w:top w:val="single" w:sz="4" w:space="0" w:color="auto"/>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2006</w:t>
            </w:r>
            <w:r w:rsidRPr="002B7A11">
              <w:rPr>
                <w:rFonts w:ascii="KaiTi_GB2312" w:eastAsia="KaiTi_GB2312" w:hint="eastAsia"/>
                <w:sz w:val="15"/>
                <w:szCs w:val="18"/>
              </w:rPr>
              <w:t>年</w:t>
            </w:r>
          </w:p>
        </w:tc>
        <w:tc>
          <w:tcPr>
            <w:tcW w:w="724" w:type="dxa"/>
            <w:tcBorders>
              <w:top w:val="single" w:sz="4" w:space="0" w:color="auto"/>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2007</w:t>
            </w:r>
            <w:r w:rsidRPr="002B7A11">
              <w:rPr>
                <w:rFonts w:ascii="KaiTi_GB2312" w:eastAsia="KaiTi_GB2312" w:hint="eastAsia"/>
                <w:sz w:val="15"/>
                <w:szCs w:val="18"/>
              </w:rPr>
              <w:t>年</w:t>
            </w:r>
          </w:p>
        </w:tc>
        <w:tc>
          <w:tcPr>
            <w:tcW w:w="724" w:type="dxa"/>
            <w:gridSpan w:val="2"/>
            <w:tcBorders>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2000</w:t>
            </w:r>
            <w:r w:rsidRPr="002B7A11">
              <w:rPr>
                <w:rFonts w:ascii="KaiTi_GB2312" w:eastAsia="KaiTi_GB2312" w:hint="eastAsia"/>
                <w:sz w:val="15"/>
                <w:szCs w:val="18"/>
              </w:rPr>
              <w:t>年</w:t>
            </w:r>
          </w:p>
        </w:tc>
        <w:tc>
          <w:tcPr>
            <w:tcW w:w="723" w:type="dxa"/>
            <w:tcBorders>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2006</w:t>
            </w:r>
            <w:r w:rsidRPr="002B7A11">
              <w:rPr>
                <w:rFonts w:ascii="KaiTi_GB2312" w:eastAsia="KaiTi_GB2312" w:hint="eastAsia"/>
                <w:sz w:val="15"/>
                <w:szCs w:val="18"/>
              </w:rPr>
              <w:t>年</w:t>
            </w:r>
          </w:p>
        </w:tc>
        <w:tc>
          <w:tcPr>
            <w:tcW w:w="724" w:type="dxa"/>
            <w:tcBorders>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2007</w:t>
            </w:r>
            <w:r w:rsidRPr="002B7A11">
              <w:rPr>
                <w:rFonts w:ascii="KaiTi_GB2312" w:eastAsia="KaiTi_GB2312" w:hint="eastAsia"/>
                <w:sz w:val="15"/>
                <w:szCs w:val="18"/>
              </w:rPr>
              <w:t>年</w:t>
            </w:r>
          </w:p>
        </w:tc>
        <w:tc>
          <w:tcPr>
            <w:tcW w:w="724" w:type="dxa"/>
            <w:gridSpan w:val="2"/>
            <w:tcBorders>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2000</w:t>
            </w:r>
            <w:r w:rsidRPr="002B7A11">
              <w:rPr>
                <w:rFonts w:ascii="KaiTi_GB2312" w:eastAsia="KaiTi_GB2312" w:hint="eastAsia"/>
                <w:sz w:val="15"/>
                <w:szCs w:val="18"/>
              </w:rPr>
              <w:t>年</w:t>
            </w:r>
          </w:p>
        </w:tc>
        <w:tc>
          <w:tcPr>
            <w:tcW w:w="724" w:type="dxa"/>
            <w:tcBorders>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2006</w:t>
            </w:r>
            <w:r w:rsidRPr="002B7A11">
              <w:rPr>
                <w:rFonts w:ascii="KaiTi_GB2312" w:eastAsia="KaiTi_GB2312" w:hint="eastAsia"/>
                <w:sz w:val="15"/>
                <w:szCs w:val="18"/>
              </w:rPr>
              <w:t>年</w:t>
            </w:r>
          </w:p>
        </w:tc>
        <w:tc>
          <w:tcPr>
            <w:tcW w:w="724" w:type="dxa"/>
            <w:tcBorders>
              <w:bottom w:val="single" w:sz="12" w:space="0" w:color="auto"/>
            </w:tcBorders>
            <w:shd w:val="clear" w:color="auto" w:fill="auto"/>
            <w:vAlign w:val="bottom"/>
          </w:tcPr>
          <w:p w:rsidR="002B7A11" w:rsidRPr="002B7A11" w:rsidRDefault="002B7A11" w:rsidP="002B7A11">
            <w:pPr>
              <w:suppressAutoHyphens/>
              <w:spacing w:before="40" w:after="60" w:line="200" w:lineRule="exact"/>
              <w:ind w:right="57"/>
              <w:jc w:val="right"/>
              <w:rPr>
                <w:rFonts w:ascii="KaiTi_GB2312" w:eastAsia="KaiTi_GB2312"/>
                <w:sz w:val="15"/>
                <w:szCs w:val="18"/>
              </w:rPr>
            </w:pPr>
            <w:r w:rsidRPr="002B7A11">
              <w:rPr>
                <w:rFonts w:ascii="KaiTi_GB2312" w:eastAsia="KaiTi_GB2312"/>
                <w:sz w:val="15"/>
                <w:szCs w:val="18"/>
              </w:rPr>
              <w:t>2007</w:t>
            </w:r>
            <w:r w:rsidRPr="002B7A11">
              <w:rPr>
                <w:rFonts w:ascii="KaiTi_GB2312" w:eastAsia="KaiTi_GB2312" w:hint="eastAsia"/>
                <w:sz w:val="15"/>
                <w:szCs w:val="18"/>
              </w:rPr>
              <w:t>年</w:t>
            </w:r>
          </w:p>
        </w:tc>
      </w:tr>
      <w:tr w:rsidR="002B7A11" w:rsidRPr="002B7A11" w:rsidTr="002B7A11">
        <w:trPr>
          <w:trHeight w:hRule="exact" w:val="115"/>
          <w:tblHeader/>
        </w:trPr>
        <w:tc>
          <w:tcPr>
            <w:tcW w:w="873"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rPr>
                <w:rFonts w:hint="eastAsia"/>
                <w:sz w:val="17"/>
                <w:szCs w:val="18"/>
              </w:rPr>
            </w:pPr>
          </w:p>
        </w:tc>
        <w:tc>
          <w:tcPr>
            <w:tcW w:w="723"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4" w:type="dxa"/>
            <w:gridSpan w:val="2"/>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3"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4" w:type="dxa"/>
            <w:gridSpan w:val="2"/>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2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r>
      <w:tr w:rsidR="002B7A11" w:rsidRPr="002B7A11" w:rsidTr="002B7A11">
        <w:trPr>
          <w:trHeight w:val="240"/>
        </w:trPr>
        <w:tc>
          <w:tcPr>
            <w:tcW w:w="87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合计</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36.7</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39.8</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40.9</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35.0</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38.5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39.7</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42.2</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44.1</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44.6</w:t>
            </w:r>
          </w:p>
        </w:tc>
      </w:tr>
      <w:tr w:rsidR="002B7A11" w:rsidRPr="002B7A11" w:rsidTr="002B7A11">
        <w:trPr>
          <w:trHeight w:val="240"/>
        </w:trPr>
        <w:tc>
          <w:tcPr>
            <w:tcW w:w="87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sz w:val="17"/>
                <w:szCs w:val="18"/>
              </w:rPr>
              <w:t>15-19</w:t>
            </w:r>
            <w:r w:rsidRPr="002B7A11">
              <w:rPr>
                <w:rFonts w:hint="eastAsia"/>
                <w:sz w:val="17"/>
                <w:szCs w:val="18"/>
              </w:rPr>
              <w:t>岁</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47.1</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41.9</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43.0</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38.2</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33.8</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35.0</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70.2</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64.5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64.4</w:t>
            </w:r>
          </w:p>
        </w:tc>
      </w:tr>
      <w:tr w:rsidR="002B7A11" w:rsidRPr="002B7A11" w:rsidTr="002B7A11">
        <w:trPr>
          <w:trHeight w:val="240"/>
        </w:trPr>
        <w:tc>
          <w:tcPr>
            <w:tcW w:w="87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20-24</w:t>
            </w:r>
            <w:r w:rsidRPr="002B7A11">
              <w:rPr>
                <w:rFonts w:hint="eastAsia"/>
                <w:sz w:val="17"/>
                <w:szCs w:val="18"/>
              </w:rPr>
              <w:t>岁</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89.7</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79.5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77.9</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80.6</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67.1</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66.4</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120.2</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126.5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120.7</w:t>
            </w:r>
          </w:p>
        </w:tc>
      </w:tr>
      <w:tr w:rsidR="002B7A11" w:rsidRPr="002B7A11" w:rsidTr="002B7A11">
        <w:trPr>
          <w:trHeight w:val="240"/>
        </w:trPr>
        <w:tc>
          <w:tcPr>
            <w:tcW w:w="87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25-29</w:t>
            </w:r>
            <w:r w:rsidRPr="002B7A11">
              <w:rPr>
                <w:rFonts w:hint="eastAsia"/>
                <w:sz w:val="17"/>
                <w:szCs w:val="18"/>
              </w:rPr>
              <w:t>岁</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72.9</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84.2</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85.6</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74.8</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85.8</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86.1</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67.0</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78.5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83.9</w:t>
            </w:r>
          </w:p>
        </w:tc>
      </w:tr>
      <w:tr w:rsidR="002B7A11" w:rsidRPr="002B7A11" w:rsidTr="002B7A11">
        <w:trPr>
          <w:trHeight w:val="240"/>
        </w:trPr>
        <w:tc>
          <w:tcPr>
            <w:tcW w:w="87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30-34</w:t>
            </w:r>
            <w:r w:rsidRPr="002B7A11">
              <w:rPr>
                <w:rFonts w:hint="eastAsia"/>
                <w:sz w:val="17"/>
                <w:szCs w:val="18"/>
              </w:rPr>
              <w:t>岁</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32.3</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52.5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56.1</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34.9</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56.5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61.0</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24.7</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37.4</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39.2</w:t>
            </w:r>
          </w:p>
        </w:tc>
      </w:tr>
      <w:tr w:rsidR="002B7A11" w:rsidRPr="002B7A11" w:rsidTr="002B7A11">
        <w:trPr>
          <w:trHeight w:val="240"/>
        </w:trPr>
        <w:tc>
          <w:tcPr>
            <w:tcW w:w="87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35-39</w:t>
            </w:r>
            <w:r w:rsidRPr="002B7A11">
              <w:rPr>
                <w:rFonts w:hint="eastAsia"/>
                <w:sz w:val="17"/>
                <w:szCs w:val="18"/>
              </w:rPr>
              <w:t>岁</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9.5</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16.3</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18.4</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9.9</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17.9</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20.0</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8.4</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10.9</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12.9</w:t>
            </w:r>
          </w:p>
        </w:tc>
      </w:tr>
      <w:tr w:rsidR="002B7A11" w:rsidRPr="002B7A11" w:rsidTr="002B7A11">
        <w:trPr>
          <w:trHeight w:val="240"/>
        </w:trPr>
        <w:tc>
          <w:tcPr>
            <w:tcW w:w="87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40-44</w:t>
            </w:r>
            <w:r w:rsidRPr="002B7A11">
              <w:rPr>
                <w:rFonts w:hint="eastAsia"/>
                <w:sz w:val="17"/>
                <w:szCs w:val="18"/>
              </w:rPr>
              <w:t>岁</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1.9</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2.2</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2.8</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1.9</w:t>
            </w:r>
          </w:p>
        </w:tc>
        <w:tc>
          <w:tcPr>
            <w:tcW w:w="723"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2.4</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3.0</w:t>
            </w:r>
          </w:p>
        </w:tc>
        <w:tc>
          <w:tcPr>
            <w:tcW w:w="724" w:type="dxa"/>
            <w:gridSpan w:val="2"/>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1.9</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1.6</w:t>
            </w:r>
          </w:p>
        </w:tc>
        <w:tc>
          <w:tcPr>
            <w:tcW w:w="724" w:type="dxa"/>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2.1</w:t>
            </w:r>
          </w:p>
        </w:tc>
      </w:tr>
      <w:tr w:rsidR="002B7A11" w:rsidRPr="002B7A11" w:rsidTr="002B7A11">
        <w:trPr>
          <w:trHeight w:val="240"/>
        </w:trPr>
        <w:tc>
          <w:tcPr>
            <w:tcW w:w="873"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45-49</w:t>
            </w:r>
            <w:r w:rsidRPr="002B7A11">
              <w:rPr>
                <w:rFonts w:hint="eastAsia"/>
                <w:sz w:val="17"/>
                <w:szCs w:val="18"/>
              </w:rPr>
              <w:t>岁</w:t>
            </w:r>
          </w:p>
        </w:tc>
        <w:tc>
          <w:tcPr>
            <w:tcW w:w="723"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c>
          <w:tcPr>
            <w:tcW w:w="724"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c>
          <w:tcPr>
            <w:tcW w:w="724"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0.2</w:t>
            </w:r>
          </w:p>
        </w:tc>
        <w:tc>
          <w:tcPr>
            <w:tcW w:w="724" w:type="dxa"/>
            <w:gridSpan w:val="2"/>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c>
          <w:tcPr>
            <w:tcW w:w="723"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c>
          <w:tcPr>
            <w:tcW w:w="724"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0.2</w:t>
            </w:r>
          </w:p>
        </w:tc>
        <w:tc>
          <w:tcPr>
            <w:tcW w:w="724" w:type="dxa"/>
            <w:gridSpan w:val="2"/>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0.0</w:t>
            </w:r>
          </w:p>
        </w:tc>
        <w:tc>
          <w:tcPr>
            <w:tcW w:w="724"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c>
          <w:tcPr>
            <w:tcW w:w="724" w:type="dxa"/>
            <w:tcBorders>
              <w:bottom w:val="single" w:sz="12" w:space="0" w:color="auto"/>
            </w:tcBorders>
            <w:shd w:val="clear" w:color="auto" w:fill="auto"/>
            <w:vAlign w:val="bottom"/>
          </w:tcPr>
          <w:p w:rsidR="002B7A11" w:rsidRPr="002B7A11" w:rsidRDefault="002B7A11"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r>
    </w:tbl>
    <w:p w:rsidR="002B7A11" w:rsidRPr="002B7A11" w:rsidRDefault="002B7A11" w:rsidP="002B7A11">
      <w:pPr>
        <w:pStyle w:val="SingleTxt"/>
        <w:spacing w:after="0" w:line="120" w:lineRule="exact"/>
        <w:rPr>
          <w:rFonts w:hAnsi="SimSun"/>
          <w:bCs/>
          <w:sz w:val="10"/>
          <w:szCs w:val="21"/>
        </w:rPr>
      </w:pPr>
    </w:p>
    <w:p w:rsidR="00D66085" w:rsidRPr="002941D3" w:rsidRDefault="00D66085" w:rsidP="002B7A11">
      <w:pPr>
        <w:pStyle w:val="SingleTxt"/>
        <w:rPr>
          <w:rFonts w:eastAsia="SimHei"/>
          <w:bCs/>
          <w:szCs w:val="21"/>
        </w:rPr>
      </w:pPr>
      <w:r w:rsidRPr="00D66085">
        <w:rPr>
          <w:rFonts w:hAnsi="SimSun"/>
          <w:bCs/>
          <w:szCs w:val="21"/>
        </w:rPr>
        <w:t>表8</w:t>
      </w:r>
      <w:r w:rsidR="002B7A11">
        <w:rPr>
          <w:rFonts w:hAnsi="SimSun"/>
          <w:bCs/>
          <w:szCs w:val="21"/>
        </w:rPr>
        <w:br/>
      </w:r>
      <w:r w:rsidRPr="002941D3">
        <w:rPr>
          <w:rFonts w:eastAsia="SimHei" w:hint="eastAsia"/>
          <w:bCs/>
          <w:szCs w:val="21"/>
        </w:rPr>
        <w:t>保加利亚每</w:t>
      </w:r>
      <w:r w:rsidRPr="002941D3">
        <w:rPr>
          <w:rFonts w:eastAsia="SimHei"/>
          <w:bCs/>
          <w:szCs w:val="21"/>
        </w:rPr>
        <w:t>1</w:t>
      </w:r>
      <w:r w:rsidRPr="002941D3">
        <w:rPr>
          <w:rFonts w:eastAsia="SimHei" w:hint="eastAsia"/>
          <w:bCs/>
          <w:szCs w:val="21"/>
        </w:rPr>
        <w:t xml:space="preserve"> </w:t>
      </w:r>
      <w:r w:rsidRPr="002941D3">
        <w:rPr>
          <w:rFonts w:eastAsia="SimHei"/>
          <w:bCs/>
          <w:szCs w:val="21"/>
        </w:rPr>
        <w:t>000</w:t>
      </w:r>
      <w:r w:rsidRPr="002941D3">
        <w:rPr>
          <w:rFonts w:eastAsia="SimHei" w:hint="eastAsia"/>
          <w:bCs/>
          <w:szCs w:val="21"/>
        </w:rPr>
        <w:t>名活产中的儿童死亡率</w:t>
      </w:r>
      <w:r w:rsidRPr="002941D3">
        <w:rPr>
          <w:rFonts w:eastAsia="SimHei"/>
          <w:bCs/>
          <w:szCs w:val="21"/>
        </w:rPr>
        <w:t xml:space="preserve"> </w:t>
      </w:r>
    </w:p>
    <w:tbl>
      <w:tblPr>
        <w:tblW w:w="7370" w:type="dxa"/>
        <w:tblInd w:w="1264" w:type="dxa"/>
        <w:tblCellMar>
          <w:left w:w="0" w:type="dxa"/>
          <w:right w:w="0" w:type="dxa"/>
        </w:tblCellMar>
        <w:tblLook w:val="0000" w:firstRow="0" w:lastRow="0" w:firstColumn="0" w:lastColumn="0" w:noHBand="0" w:noVBand="0"/>
      </w:tblPr>
      <w:tblGrid>
        <w:gridCol w:w="1766"/>
        <w:gridCol w:w="862"/>
        <w:gridCol w:w="742"/>
        <w:gridCol w:w="742"/>
        <w:gridCol w:w="629"/>
        <w:gridCol w:w="629"/>
        <w:gridCol w:w="629"/>
        <w:gridCol w:w="742"/>
        <w:gridCol w:w="629"/>
      </w:tblGrid>
      <w:tr w:rsidR="00D66085" w:rsidRPr="002B7A11" w:rsidTr="002B7A11">
        <w:trPr>
          <w:trHeight w:val="240"/>
          <w:tblHeader/>
        </w:trPr>
        <w:tc>
          <w:tcPr>
            <w:tcW w:w="1766"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rPr>
                <w:rFonts w:ascii="KaiTi_GB2312" w:eastAsia="KaiTi_GB2312" w:hint="eastAsia"/>
                <w:sz w:val="15"/>
                <w:szCs w:val="18"/>
              </w:rPr>
            </w:pPr>
            <w:r w:rsidRPr="002B7A11">
              <w:rPr>
                <w:rFonts w:ascii="KaiTi_GB2312" w:eastAsia="KaiTi_GB2312" w:hint="eastAsia"/>
                <w:sz w:val="15"/>
                <w:szCs w:val="18"/>
              </w:rPr>
              <w:t>年份</w:t>
            </w:r>
          </w:p>
        </w:tc>
        <w:tc>
          <w:tcPr>
            <w:tcW w:w="862"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hint="eastAsia"/>
                <w:sz w:val="15"/>
                <w:szCs w:val="18"/>
              </w:rPr>
            </w:pPr>
            <w:r w:rsidRPr="002B7A11">
              <w:rPr>
                <w:rFonts w:ascii="KaiTi_GB2312" w:eastAsia="KaiTi_GB2312"/>
                <w:sz w:val="15"/>
                <w:szCs w:val="18"/>
              </w:rPr>
              <w:t>2000</w:t>
            </w:r>
            <w:r w:rsidRPr="002B7A11">
              <w:rPr>
                <w:rFonts w:ascii="KaiTi_GB2312" w:eastAsia="KaiTi_GB2312" w:hint="eastAsia"/>
                <w:sz w:val="15"/>
                <w:szCs w:val="18"/>
              </w:rPr>
              <w:t>年</w:t>
            </w:r>
          </w:p>
        </w:tc>
        <w:tc>
          <w:tcPr>
            <w:tcW w:w="742"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2001</w:t>
            </w:r>
            <w:r w:rsidRPr="002B7A11">
              <w:rPr>
                <w:rFonts w:ascii="KaiTi_GB2312" w:eastAsia="KaiTi_GB2312" w:hint="eastAsia"/>
                <w:sz w:val="15"/>
                <w:szCs w:val="18"/>
              </w:rPr>
              <w:t>年</w:t>
            </w:r>
          </w:p>
        </w:tc>
        <w:tc>
          <w:tcPr>
            <w:tcW w:w="742"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2002</w:t>
            </w:r>
            <w:r w:rsidRPr="002B7A11">
              <w:rPr>
                <w:rFonts w:ascii="KaiTi_GB2312" w:eastAsia="KaiTi_GB2312" w:hint="eastAsia"/>
                <w:sz w:val="15"/>
                <w:szCs w:val="18"/>
              </w:rPr>
              <w:t>年</w:t>
            </w:r>
          </w:p>
        </w:tc>
        <w:tc>
          <w:tcPr>
            <w:tcW w:w="62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2003</w:t>
            </w:r>
            <w:r w:rsidRPr="002B7A11">
              <w:rPr>
                <w:rFonts w:ascii="KaiTi_GB2312" w:eastAsia="KaiTi_GB2312" w:hint="eastAsia"/>
                <w:sz w:val="15"/>
                <w:szCs w:val="18"/>
              </w:rPr>
              <w:t>年</w:t>
            </w:r>
          </w:p>
        </w:tc>
        <w:tc>
          <w:tcPr>
            <w:tcW w:w="62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2004</w:t>
            </w:r>
            <w:r w:rsidRPr="002B7A11">
              <w:rPr>
                <w:rFonts w:ascii="KaiTi_GB2312" w:eastAsia="KaiTi_GB2312" w:hint="eastAsia"/>
                <w:sz w:val="15"/>
                <w:szCs w:val="18"/>
              </w:rPr>
              <w:t>年</w:t>
            </w:r>
          </w:p>
        </w:tc>
        <w:tc>
          <w:tcPr>
            <w:tcW w:w="62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2005</w:t>
            </w:r>
            <w:r w:rsidRPr="002B7A11">
              <w:rPr>
                <w:rFonts w:ascii="KaiTi_GB2312" w:eastAsia="KaiTi_GB2312" w:hint="eastAsia"/>
                <w:sz w:val="15"/>
                <w:szCs w:val="18"/>
              </w:rPr>
              <w:t>年</w:t>
            </w:r>
          </w:p>
        </w:tc>
        <w:tc>
          <w:tcPr>
            <w:tcW w:w="742"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2006</w:t>
            </w:r>
            <w:r w:rsidRPr="002B7A11">
              <w:rPr>
                <w:rFonts w:ascii="KaiTi_GB2312" w:eastAsia="KaiTi_GB2312" w:hint="eastAsia"/>
                <w:sz w:val="15"/>
                <w:szCs w:val="18"/>
              </w:rPr>
              <w:t>年</w:t>
            </w:r>
          </w:p>
        </w:tc>
        <w:tc>
          <w:tcPr>
            <w:tcW w:w="62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2007</w:t>
            </w:r>
            <w:r w:rsidRPr="002B7A11">
              <w:rPr>
                <w:rFonts w:ascii="KaiTi_GB2312" w:eastAsia="KaiTi_GB2312" w:hint="eastAsia"/>
                <w:sz w:val="15"/>
                <w:szCs w:val="18"/>
              </w:rPr>
              <w:t>年</w:t>
            </w:r>
          </w:p>
        </w:tc>
      </w:tr>
      <w:tr w:rsidR="002B7A11" w:rsidRPr="002B7A11" w:rsidTr="002B7A11">
        <w:trPr>
          <w:trHeight w:hRule="exact" w:val="115"/>
          <w:tblHeader/>
        </w:trPr>
        <w:tc>
          <w:tcPr>
            <w:tcW w:w="1766"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rPr>
                <w:rFonts w:hint="eastAsia"/>
                <w:sz w:val="17"/>
                <w:szCs w:val="18"/>
              </w:rPr>
            </w:pPr>
          </w:p>
        </w:tc>
        <w:tc>
          <w:tcPr>
            <w:tcW w:w="862"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42"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42"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62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62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62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742"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62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r>
      <w:tr w:rsidR="00D66085" w:rsidRPr="002B7A11" w:rsidTr="002B7A11">
        <w:trPr>
          <w:trHeight w:val="240"/>
        </w:trPr>
        <w:tc>
          <w:tcPr>
            <w:tcW w:w="1766"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儿童死亡率(每</w:t>
            </w:r>
            <w:r w:rsidRPr="002B7A11">
              <w:rPr>
                <w:sz w:val="17"/>
                <w:szCs w:val="18"/>
              </w:rPr>
              <w:t>1000</w:t>
            </w:r>
            <w:r w:rsidRPr="002B7A11">
              <w:rPr>
                <w:rFonts w:hint="eastAsia"/>
                <w:sz w:val="17"/>
                <w:szCs w:val="18"/>
              </w:rPr>
              <w:t>名活产)</w:t>
            </w:r>
          </w:p>
        </w:tc>
        <w:tc>
          <w:tcPr>
            <w:tcW w:w="862"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13.3</w:t>
            </w:r>
          </w:p>
        </w:tc>
        <w:tc>
          <w:tcPr>
            <w:tcW w:w="742"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14.4</w:t>
            </w:r>
          </w:p>
        </w:tc>
        <w:tc>
          <w:tcPr>
            <w:tcW w:w="742"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13.3</w:t>
            </w:r>
          </w:p>
        </w:tc>
        <w:tc>
          <w:tcPr>
            <w:tcW w:w="62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12.3</w:t>
            </w:r>
          </w:p>
        </w:tc>
        <w:tc>
          <w:tcPr>
            <w:tcW w:w="62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11.6</w:t>
            </w:r>
          </w:p>
        </w:tc>
        <w:tc>
          <w:tcPr>
            <w:tcW w:w="62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10.4</w:t>
            </w:r>
          </w:p>
        </w:tc>
        <w:tc>
          <w:tcPr>
            <w:tcW w:w="742"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9.7</w:t>
            </w:r>
          </w:p>
        </w:tc>
        <w:tc>
          <w:tcPr>
            <w:tcW w:w="62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9.2</w:t>
            </w:r>
          </w:p>
        </w:tc>
      </w:tr>
    </w:tbl>
    <w:p w:rsidR="00D66085" w:rsidRPr="00D66085" w:rsidRDefault="00D66085" w:rsidP="00D66085">
      <w:pPr>
        <w:pStyle w:val="SingleTxtG"/>
        <w:spacing w:after="0" w:line="120" w:lineRule="exact"/>
        <w:rPr>
          <w:rFonts w:eastAsia="KaiTi_GB2312" w:hint="eastAsia"/>
          <w:iCs/>
          <w:sz w:val="10"/>
          <w:szCs w:val="18"/>
          <w:lang w:val="en-US" w:eastAsia="zh-CN"/>
        </w:rPr>
      </w:pPr>
    </w:p>
    <w:p w:rsidR="00D66085" w:rsidRPr="002941D3" w:rsidRDefault="00D66085" w:rsidP="00D66085">
      <w:pPr>
        <w:pStyle w:val="FootnoteText"/>
        <w:tabs>
          <w:tab w:val="clear" w:pos="418"/>
          <w:tab w:val="right" w:pos="1476"/>
          <w:tab w:val="left" w:pos="1548"/>
          <w:tab w:val="right" w:pos="1836"/>
          <w:tab w:val="left" w:pos="1908"/>
        </w:tabs>
        <w:ind w:left="1548" w:right="1267" w:hanging="288"/>
        <w:rPr>
          <w:rFonts w:hint="eastAsia"/>
        </w:rPr>
      </w:pPr>
      <w:r w:rsidRPr="00D66085">
        <w:rPr>
          <w:rFonts w:ascii="KaiTi_GB2312" w:eastAsia="KaiTi_GB2312" w:hint="eastAsia"/>
        </w:rPr>
        <w:t>资料来源</w:t>
      </w:r>
      <w:r w:rsidRPr="002941D3">
        <w:rPr>
          <w:rFonts w:hint="eastAsia"/>
        </w:rPr>
        <w:t>：国家统计局</w:t>
      </w:r>
      <w:r w:rsidRPr="002941D3">
        <w:t xml:space="preserve"> </w:t>
      </w:r>
      <w:r w:rsidRPr="002941D3">
        <w:rPr>
          <w:rFonts w:hint="eastAsia"/>
        </w:rPr>
        <w:t>。</w:t>
      </w:r>
    </w:p>
    <w:p w:rsidR="00D66085" w:rsidRPr="002941D3" w:rsidRDefault="00D66085" w:rsidP="002B7A11">
      <w:pPr>
        <w:pStyle w:val="SingleTxt"/>
        <w:rPr>
          <w:rFonts w:eastAsia="SimHei"/>
          <w:bCs/>
          <w:szCs w:val="21"/>
        </w:rPr>
      </w:pPr>
      <w:r w:rsidRPr="00D66085">
        <w:rPr>
          <w:rFonts w:hAnsi="SimSun"/>
          <w:bCs/>
          <w:szCs w:val="21"/>
          <w:lang w:val="en-GB"/>
        </w:rPr>
        <w:t>表</w:t>
      </w:r>
      <w:r w:rsidRPr="00D66085">
        <w:rPr>
          <w:rFonts w:hAnsi="SimSun"/>
          <w:bCs/>
          <w:szCs w:val="21"/>
        </w:rPr>
        <w:t>9</w:t>
      </w:r>
      <w:r w:rsidR="002B7A11">
        <w:rPr>
          <w:rFonts w:hAnsi="SimSun"/>
          <w:bCs/>
          <w:szCs w:val="21"/>
        </w:rPr>
        <w:br/>
      </w:r>
      <w:r w:rsidRPr="002941D3">
        <w:rPr>
          <w:rFonts w:eastAsia="SimHei" w:hint="eastAsia"/>
          <w:bCs/>
          <w:szCs w:val="21"/>
        </w:rPr>
        <w:t>保加利亚每</w:t>
      </w:r>
      <w:r w:rsidRPr="002941D3">
        <w:rPr>
          <w:rFonts w:eastAsia="SimHei"/>
          <w:bCs/>
          <w:szCs w:val="21"/>
        </w:rPr>
        <w:t>100 000</w:t>
      </w:r>
      <w:r w:rsidRPr="002941D3">
        <w:rPr>
          <w:rFonts w:eastAsia="SimHei" w:hint="eastAsia"/>
          <w:bCs/>
          <w:szCs w:val="21"/>
        </w:rPr>
        <w:t>人中登记的梅毒病比例</w:t>
      </w:r>
    </w:p>
    <w:tbl>
      <w:tblPr>
        <w:tblW w:w="7370" w:type="dxa"/>
        <w:tblInd w:w="1264" w:type="dxa"/>
        <w:tblCellMar>
          <w:left w:w="0" w:type="dxa"/>
          <w:right w:w="0" w:type="dxa"/>
        </w:tblCellMar>
        <w:tblLook w:val="0000" w:firstRow="0" w:lastRow="0" w:firstColumn="0" w:lastColumn="0" w:noHBand="0" w:noVBand="0"/>
      </w:tblPr>
      <w:tblGrid>
        <w:gridCol w:w="1854"/>
        <w:gridCol w:w="1828"/>
        <w:gridCol w:w="1809"/>
        <w:gridCol w:w="1879"/>
      </w:tblGrid>
      <w:tr w:rsidR="00D66085" w:rsidRPr="002B7A11" w:rsidTr="002B7A11">
        <w:trPr>
          <w:trHeight w:val="240"/>
          <w:tblHeader/>
        </w:trPr>
        <w:tc>
          <w:tcPr>
            <w:tcW w:w="1854"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rPr>
                <w:rFonts w:ascii="KaiTi_GB2312" w:eastAsia="KaiTi_GB2312"/>
                <w:sz w:val="15"/>
              </w:rPr>
            </w:pPr>
          </w:p>
        </w:tc>
        <w:tc>
          <w:tcPr>
            <w:tcW w:w="1828"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hint="eastAsia"/>
                <w:sz w:val="15"/>
              </w:rPr>
            </w:pPr>
            <w:r w:rsidRPr="002B7A11">
              <w:rPr>
                <w:rFonts w:ascii="KaiTi_GB2312" w:eastAsia="KaiTi_GB2312"/>
                <w:sz w:val="15"/>
              </w:rPr>
              <w:t>2001</w:t>
            </w:r>
            <w:r w:rsidRPr="002B7A11">
              <w:rPr>
                <w:rFonts w:ascii="KaiTi_GB2312" w:eastAsia="KaiTi_GB2312" w:hint="eastAsia"/>
                <w:sz w:val="15"/>
              </w:rPr>
              <w:t>年</w:t>
            </w:r>
          </w:p>
        </w:tc>
        <w:tc>
          <w:tcPr>
            <w:tcW w:w="180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rPr>
            </w:pPr>
            <w:r w:rsidRPr="002B7A11">
              <w:rPr>
                <w:rFonts w:ascii="KaiTi_GB2312" w:eastAsia="KaiTi_GB2312"/>
                <w:sz w:val="15"/>
              </w:rPr>
              <w:t>2006</w:t>
            </w:r>
            <w:r w:rsidRPr="002B7A11">
              <w:rPr>
                <w:rFonts w:ascii="KaiTi_GB2312" w:eastAsia="KaiTi_GB2312" w:hint="eastAsia"/>
                <w:sz w:val="15"/>
              </w:rPr>
              <w:t>年</w:t>
            </w:r>
          </w:p>
        </w:tc>
        <w:tc>
          <w:tcPr>
            <w:tcW w:w="187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rPr>
            </w:pPr>
            <w:r w:rsidRPr="002B7A11">
              <w:rPr>
                <w:rFonts w:ascii="KaiTi_GB2312" w:eastAsia="KaiTi_GB2312"/>
                <w:sz w:val="15"/>
              </w:rPr>
              <w:t>2008</w:t>
            </w:r>
            <w:r w:rsidRPr="002B7A11">
              <w:rPr>
                <w:rFonts w:ascii="KaiTi_GB2312" w:eastAsia="KaiTi_GB2312" w:hint="eastAsia"/>
                <w:sz w:val="15"/>
              </w:rPr>
              <w:t>年</w:t>
            </w:r>
          </w:p>
        </w:tc>
      </w:tr>
      <w:tr w:rsidR="002B7A11" w:rsidRPr="002B7A11" w:rsidTr="002B7A11">
        <w:trPr>
          <w:trHeight w:hRule="exact" w:val="115"/>
          <w:tblHeader/>
        </w:trPr>
        <w:tc>
          <w:tcPr>
            <w:tcW w:w="185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rPr>
                <w:rFonts w:hint="eastAsia"/>
                <w:sz w:val="17"/>
              </w:rPr>
            </w:pPr>
          </w:p>
        </w:tc>
        <w:tc>
          <w:tcPr>
            <w:tcW w:w="1828"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rPr>
            </w:pPr>
          </w:p>
        </w:tc>
        <w:tc>
          <w:tcPr>
            <w:tcW w:w="180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rPr>
            </w:pPr>
          </w:p>
        </w:tc>
        <w:tc>
          <w:tcPr>
            <w:tcW w:w="187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rPr>
            </w:pPr>
          </w:p>
        </w:tc>
      </w:tr>
      <w:tr w:rsidR="00D66085" w:rsidRPr="002B7A11" w:rsidTr="002B7A11">
        <w:trPr>
          <w:trHeight w:val="240"/>
        </w:trPr>
        <w:tc>
          <w:tcPr>
            <w:tcW w:w="1854"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rFonts w:hint="eastAsia"/>
                <w:sz w:val="17"/>
              </w:rPr>
            </w:pPr>
            <w:r w:rsidRPr="002B7A11">
              <w:rPr>
                <w:rFonts w:hint="eastAsia"/>
                <w:sz w:val="17"/>
              </w:rPr>
              <w:t>疾病</w:t>
            </w:r>
          </w:p>
        </w:tc>
        <w:tc>
          <w:tcPr>
            <w:tcW w:w="1828"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rPr>
            </w:pPr>
            <w:r w:rsidRPr="002B7A11">
              <w:rPr>
                <w:sz w:val="17"/>
              </w:rPr>
              <w:t>119.7</w:t>
            </w:r>
          </w:p>
        </w:tc>
        <w:tc>
          <w:tcPr>
            <w:tcW w:w="1809"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rPr>
            </w:pPr>
            <w:r w:rsidRPr="002B7A11">
              <w:rPr>
                <w:sz w:val="17"/>
              </w:rPr>
              <w:t>62.2</w:t>
            </w:r>
          </w:p>
        </w:tc>
        <w:tc>
          <w:tcPr>
            <w:tcW w:w="1879"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rPr>
            </w:pPr>
          </w:p>
        </w:tc>
      </w:tr>
      <w:tr w:rsidR="00D66085" w:rsidRPr="002B7A11" w:rsidTr="002B7A11">
        <w:trPr>
          <w:trHeight w:val="240"/>
        </w:trPr>
        <w:tc>
          <w:tcPr>
            <w:tcW w:w="1854"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sz w:val="17"/>
              </w:rPr>
            </w:pPr>
            <w:r w:rsidRPr="002B7A11">
              <w:rPr>
                <w:rFonts w:hint="eastAsia"/>
                <w:sz w:val="17"/>
              </w:rPr>
              <w:t>新发现的病例</w:t>
            </w:r>
            <w:r w:rsidRPr="002B7A11">
              <w:rPr>
                <w:sz w:val="17"/>
              </w:rPr>
              <w:t xml:space="preserve"> </w:t>
            </w:r>
          </w:p>
        </w:tc>
        <w:tc>
          <w:tcPr>
            <w:tcW w:w="1828"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rPr>
            </w:pPr>
            <w:r w:rsidRPr="002B7A11">
              <w:rPr>
                <w:sz w:val="17"/>
              </w:rPr>
              <w:t>19.4</w:t>
            </w:r>
          </w:p>
        </w:tc>
        <w:tc>
          <w:tcPr>
            <w:tcW w:w="180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rPr>
            </w:pPr>
            <w:r w:rsidRPr="002B7A11">
              <w:rPr>
                <w:sz w:val="17"/>
              </w:rPr>
              <w:t>6.6</w:t>
            </w:r>
          </w:p>
        </w:tc>
        <w:tc>
          <w:tcPr>
            <w:tcW w:w="187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rPr>
            </w:pPr>
          </w:p>
        </w:tc>
      </w:tr>
    </w:tbl>
    <w:p w:rsidR="00D66085" w:rsidRPr="002941D3" w:rsidRDefault="00D66085" w:rsidP="002B7A11">
      <w:pPr>
        <w:pStyle w:val="SingleTxt"/>
      </w:pPr>
      <w:r w:rsidRPr="00D66085">
        <w:rPr>
          <w:rFonts w:hAnsi="SimSun"/>
          <w:lang w:val="en-GB"/>
        </w:rPr>
        <w:t>表</w:t>
      </w:r>
      <w:r w:rsidRPr="00D66085">
        <w:rPr>
          <w:rFonts w:hAnsi="SimSun"/>
        </w:rPr>
        <w:t>10</w:t>
      </w:r>
      <w:r w:rsidR="002B7A11">
        <w:rPr>
          <w:rFonts w:hAnsi="SimSun"/>
        </w:rPr>
        <w:br/>
      </w:r>
      <w:r w:rsidRPr="002B7A11">
        <w:rPr>
          <w:rFonts w:ascii="SimHei" w:eastAsia="SimHei" w:hint="eastAsia"/>
        </w:rPr>
        <w:t>分娩和堕胎</w:t>
      </w:r>
      <w:r w:rsidRPr="002941D3">
        <w:t xml:space="preserve"> </w:t>
      </w:r>
    </w:p>
    <w:tbl>
      <w:tblPr>
        <w:tblW w:w="7359" w:type="dxa"/>
        <w:tblInd w:w="1264" w:type="dxa"/>
        <w:tblCellMar>
          <w:left w:w="0" w:type="dxa"/>
          <w:right w:w="0" w:type="dxa"/>
        </w:tblCellMar>
        <w:tblLook w:val="0000" w:firstRow="0" w:lastRow="0" w:firstColumn="0" w:lastColumn="0" w:noHBand="0" w:noVBand="0"/>
      </w:tblPr>
      <w:tblGrid>
        <w:gridCol w:w="944"/>
        <w:gridCol w:w="1203"/>
        <w:gridCol w:w="2299"/>
        <w:gridCol w:w="1115"/>
        <w:gridCol w:w="1798"/>
      </w:tblGrid>
      <w:tr w:rsidR="00D66085" w:rsidRPr="002B7A11" w:rsidTr="002B7A11">
        <w:trPr>
          <w:trHeight w:val="240"/>
          <w:tblHeader/>
        </w:trPr>
        <w:tc>
          <w:tcPr>
            <w:tcW w:w="944"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rPr>
                <w:rFonts w:ascii="KaiTi_GB2312" w:eastAsia="KaiTi_GB2312" w:hint="eastAsia"/>
                <w:sz w:val="15"/>
                <w:szCs w:val="18"/>
              </w:rPr>
            </w:pPr>
            <w:r w:rsidRPr="002B7A11">
              <w:rPr>
                <w:rFonts w:ascii="KaiTi_GB2312" w:eastAsia="KaiTi_GB2312" w:hint="eastAsia"/>
                <w:sz w:val="15"/>
                <w:szCs w:val="18"/>
              </w:rPr>
              <w:t>年份</w:t>
            </w:r>
          </w:p>
        </w:tc>
        <w:tc>
          <w:tcPr>
            <w:tcW w:w="1203"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hint="eastAsia"/>
                <w:sz w:val="15"/>
                <w:szCs w:val="18"/>
              </w:rPr>
              <w:t>分娩</w:t>
            </w:r>
          </w:p>
        </w:tc>
        <w:tc>
          <w:tcPr>
            <w:tcW w:w="229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hint="eastAsia"/>
                <w:sz w:val="15"/>
                <w:szCs w:val="18"/>
              </w:rPr>
              <w:t>每</w:t>
            </w:r>
            <w:r w:rsidRPr="002B7A11">
              <w:rPr>
                <w:rFonts w:ascii="KaiTi_GB2312" w:eastAsia="KaiTi_GB2312"/>
                <w:sz w:val="15"/>
                <w:szCs w:val="18"/>
              </w:rPr>
              <w:t>1</w:t>
            </w:r>
            <w:r w:rsidRPr="002B7A11">
              <w:rPr>
                <w:rFonts w:ascii="KaiTi_GB2312" w:eastAsia="KaiTi_GB2312" w:hint="eastAsia"/>
                <w:sz w:val="15"/>
                <w:szCs w:val="18"/>
              </w:rPr>
              <w:t xml:space="preserve"> </w:t>
            </w:r>
            <w:r w:rsidRPr="002B7A11">
              <w:rPr>
                <w:rFonts w:ascii="KaiTi_GB2312" w:eastAsia="KaiTi_GB2312"/>
                <w:sz w:val="15"/>
                <w:szCs w:val="18"/>
              </w:rPr>
              <w:t>000</w:t>
            </w:r>
            <w:r w:rsidRPr="002B7A11">
              <w:rPr>
                <w:rFonts w:ascii="KaiTi_GB2312" w:eastAsia="KaiTi_GB2312" w:hint="eastAsia"/>
                <w:sz w:val="15"/>
                <w:szCs w:val="18"/>
              </w:rPr>
              <w:t>名育龄妇女</w:t>
            </w:r>
            <w:r w:rsidRPr="002B7A11">
              <w:rPr>
                <w:rFonts w:ascii="KaiTi_GB2312" w:eastAsia="KaiTi_GB2312"/>
                <w:sz w:val="15"/>
                <w:szCs w:val="18"/>
              </w:rPr>
              <w:t xml:space="preserve"> </w:t>
            </w:r>
          </w:p>
        </w:tc>
        <w:tc>
          <w:tcPr>
            <w:tcW w:w="1115"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hint="eastAsia"/>
                <w:sz w:val="15"/>
                <w:szCs w:val="18"/>
              </w:rPr>
            </w:pPr>
            <w:r w:rsidRPr="002B7A11">
              <w:rPr>
                <w:rFonts w:ascii="KaiTi_GB2312" w:eastAsia="KaiTi_GB2312" w:hint="eastAsia"/>
                <w:sz w:val="15"/>
                <w:szCs w:val="18"/>
              </w:rPr>
              <w:t>堕胎</w:t>
            </w:r>
          </w:p>
        </w:tc>
        <w:tc>
          <w:tcPr>
            <w:tcW w:w="1798"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hint="eastAsia"/>
                <w:sz w:val="15"/>
                <w:szCs w:val="18"/>
              </w:rPr>
              <w:t>每</w:t>
            </w:r>
            <w:r w:rsidRPr="002B7A11">
              <w:rPr>
                <w:rFonts w:ascii="KaiTi_GB2312" w:eastAsia="KaiTi_GB2312"/>
                <w:sz w:val="15"/>
                <w:szCs w:val="18"/>
              </w:rPr>
              <w:t>1</w:t>
            </w:r>
            <w:r w:rsidRPr="002B7A11">
              <w:rPr>
                <w:rFonts w:ascii="KaiTi_GB2312" w:eastAsia="KaiTi_GB2312" w:hint="eastAsia"/>
                <w:sz w:val="15"/>
                <w:szCs w:val="18"/>
              </w:rPr>
              <w:t xml:space="preserve"> </w:t>
            </w:r>
            <w:r w:rsidRPr="002B7A11">
              <w:rPr>
                <w:rFonts w:ascii="KaiTi_GB2312" w:eastAsia="KaiTi_GB2312"/>
                <w:sz w:val="15"/>
                <w:szCs w:val="18"/>
              </w:rPr>
              <w:t>000</w:t>
            </w:r>
            <w:r w:rsidRPr="002B7A11">
              <w:rPr>
                <w:rFonts w:ascii="KaiTi_GB2312" w:eastAsia="KaiTi_GB2312" w:hint="eastAsia"/>
                <w:sz w:val="15"/>
                <w:szCs w:val="18"/>
              </w:rPr>
              <w:t>名育龄妇女</w:t>
            </w:r>
          </w:p>
        </w:tc>
      </w:tr>
      <w:tr w:rsidR="002B7A11" w:rsidRPr="002B7A11" w:rsidTr="002B7A11">
        <w:trPr>
          <w:trHeight w:hRule="exact" w:val="115"/>
          <w:tblHeader/>
        </w:trPr>
        <w:tc>
          <w:tcPr>
            <w:tcW w:w="94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rPr>
                <w:sz w:val="17"/>
                <w:szCs w:val="18"/>
              </w:rPr>
            </w:pPr>
          </w:p>
        </w:tc>
        <w:tc>
          <w:tcPr>
            <w:tcW w:w="1203"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229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1115"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1798"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bCs/>
                <w:sz w:val="17"/>
                <w:szCs w:val="18"/>
              </w:rPr>
            </w:pPr>
          </w:p>
        </w:tc>
      </w:tr>
      <w:tr w:rsidR="00D66085" w:rsidRPr="002B7A11" w:rsidTr="002B7A11">
        <w:trPr>
          <w:trHeight w:val="240"/>
        </w:trPr>
        <w:tc>
          <w:tcPr>
            <w:tcW w:w="944"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 xml:space="preserve">2001 </w:t>
            </w:r>
          </w:p>
        </w:tc>
        <w:tc>
          <w:tcPr>
            <w:tcW w:w="1203"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68 680</w:t>
            </w:r>
          </w:p>
        </w:tc>
        <w:tc>
          <w:tcPr>
            <w:tcW w:w="2299"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35.2</w:t>
            </w:r>
          </w:p>
        </w:tc>
        <w:tc>
          <w:tcPr>
            <w:tcW w:w="1115"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51 165</w:t>
            </w:r>
          </w:p>
        </w:tc>
        <w:tc>
          <w:tcPr>
            <w:tcW w:w="1798"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bCs/>
                <w:sz w:val="17"/>
                <w:szCs w:val="18"/>
              </w:rPr>
            </w:pPr>
            <w:r w:rsidRPr="002B7A11">
              <w:rPr>
                <w:bCs/>
                <w:sz w:val="17"/>
                <w:szCs w:val="18"/>
              </w:rPr>
              <w:t>26.2</w:t>
            </w:r>
          </w:p>
        </w:tc>
      </w:tr>
      <w:tr w:rsidR="00D66085" w:rsidRPr="002B7A11" w:rsidTr="002B7A11">
        <w:trPr>
          <w:trHeight w:val="240"/>
        </w:trPr>
        <w:tc>
          <w:tcPr>
            <w:tcW w:w="944"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 xml:space="preserve">2006 </w:t>
            </w:r>
          </w:p>
        </w:tc>
        <w:tc>
          <w:tcPr>
            <w:tcW w:w="1203"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74 495</w:t>
            </w:r>
          </w:p>
        </w:tc>
        <w:tc>
          <w:tcPr>
            <w:tcW w:w="2299"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40.0</w:t>
            </w:r>
          </w:p>
        </w:tc>
        <w:tc>
          <w:tcPr>
            <w:tcW w:w="1115"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37 272</w:t>
            </w:r>
          </w:p>
        </w:tc>
        <w:tc>
          <w:tcPr>
            <w:tcW w:w="1798"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20.0</w:t>
            </w:r>
          </w:p>
        </w:tc>
      </w:tr>
      <w:tr w:rsidR="00D66085" w:rsidRPr="002B7A11" w:rsidTr="002B7A11">
        <w:trPr>
          <w:trHeight w:val="240"/>
        </w:trPr>
        <w:tc>
          <w:tcPr>
            <w:tcW w:w="944"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sz w:val="17"/>
                <w:szCs w:val="18"/>
              </w:rPr>
            </w:pPr>
            <w:r w:rsidRPr="002B7A11">
              <w:rPr>
                <w:sz w:val="17"/>
                <w:szCs w:val="18"/>
              </w:rPr>
              <w:t>2007</w:t>
            </w:r>
          </w:p>
        </w:tc>
        <w:tc>
          <w:tcPr>
            <w:tcW w:w="1203"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75 915</w:t>
            </w:r>
          </w:p>
        </w:tc>
        <w:tc>
          <w:tcPr>
            <w:tcW w:w="229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41.2</w:t>
            </w:r>
          </w:p>
        </w:tc>
        <w:tc>
          <w:tcPr>
            <w:tcW w:w="1115"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37 594</w:t>
            </w:r>
          </w:p>
        </w:tc>
        <w:tc>
          <w:tcPr>
            <w:tcW w:w="1798"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20.4</w:t>
            </w:r>
          </w:p>
        </w:tc>
      </w:tr>
    </w:tbl>
    <w:p w:rsidR="002B7A11" w:rsidRPr="002B7A11" w:rsidRDefault="002B7A11" w:rsidP="002B7A11">
      <w:pPr>
        <w:pStyle w:val="SingleTxtG"/>
        <w:spacing w:after="0" w:line="120" w:lineRule="exact"/>
        <w:rPr>
          <w:rFonts w:ascii="SimSun" w:hAnsi="SimSun"/>
          <w:bCs/>
          <w:sz w:val="10"/>
          <w:szCs w:val="21"/>
          <w:lang w:eastAsia="zh-CN"/>
        </w:rPr>
      </w:pPr>
    </w:p>
    <w:p w:rsidR="00D66085" w:rsidRPr="002941D3" w:rsidRDefault="00D66085" w:rsidP="002B7A11">
      <w:pPr>
        <w:pStyle w:val="SingleTxt"/>
      </w:pPr>
      <w:r w:rsidRPr="00D66085">
        <w:rPr>
          <w:rFonts w:hAnsi="SimSun"/>
          <w:lang w:val="en-GB"/>
        </w:rPr>
        <w:t>表</w:t>
      </w:r>
      <w:r w:rsidRPr="00D66085">
        <w:rPr>
          <w:rFonts w:hAnsi="SimSun"/>
        </w:rPr>
        <w:t>11</w:t>
      </w:r>
      <w:r w:rsidR="002B7A11">
        <w:rPr>
          <w:rFonts w:hAnsi="SimSun"/>
        </w:rPr>
        <w:br/>
      </w:r>
      <w:r w:rsidRPr="002B7A11">
        <w:rPr>
          <w:rFonts w:ascii="SimHei" w:eastAsia="SimHei" w:hint="eastAsia"/>
        </w:rPr>
        <w:t>结婚率</w:t>
      </w:r>
      <w:r w:rsidRPr="002941D3">
        <w:t xml:space="preserve"> </w:t>
      </w:r>
    </w:p>
    <w:tbl>
      <w:tblPr>
        <w:tblW w:w="7370" w:type="dxa"/>
        <w:tblInd w:w="1264" w:type="dxa"/>
        <w:tblCellMar>
          <w:left w:w="0" w:type="dxa"/>
          <w:right w:w="0" w:type="dxa"/>
        </w:tblCellMar>
        <w:tblLook w:val="0000" w:firstRow="0" w:lastRow="0" w:firstColumn="0" w:lastColumn="0" w:noHBand="0" w:noVBand="0"/>
      </w:tblPr>
      <w:tblGrid>
        <w:gridCol w:w="1889"/>
        <w:gridCol w:w="1804"/>
        <w:gridCol w:w="1804"/>
        <w:gridCol w:w="1873"/>
      </w:tblGrid>
      <w:tr w:rsidR="00D66085" w:rsidRPr="002B7A11" w:rsidTr="002B7A11">
        <w:trPr>
          <w:trHeight w:val="240"/>
          <w:tblHeader/>
        </w:trPr>
        <w:tc>
          <w:tcPr>
            <w:tcW w:w="1889"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rPr>
                <w:rFonts w:ascii="KaiTi_GB2312" w:eastAsia="KaiTi_GB2312"/>
                <w:sz w:val="15"/>
                <w:szCs w:val="18"/>
              </w:rPr>
            </w:pPr>
          </w:p>
        </w:tc>
        <w:tc>
          <w:tcPr>
            <w:tcW w:w="1804"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hint="eastAsia"/>
                <w:sz w:val="15"/>
                <w:szCs w:val="18"/>
              </w:rPr>
            </w:pPr>
            <w:r w:rsidRPr="002B7A11">
              <w:rPr>
                <w:rFonts w:ascii="KaiTi_GB2312" w:eastAsia="KaiTi_GB2312"/>
                <w:sz w:val="15"/>
                <w:szCs w:val="18"/>
              </w:rPr>
              <w:t>2001</w:t>
            </w:r>
            <w:r w:rsidRPr="002B7A11">
              <w:rPr>
                <w:rFonts w:ascii="KaiTi_GB2312" w:eastAsia="KaiTi_GB2312" w:hint="eastAsia"/>
                <w:sz w:val="15"/>
                <w:szCs w:val="18"/>
              </w:rPr>
              <w:t>年</w:t>
            </w:r>
          </w:p>
        </w:tc>
        <w:tc>
          <w:tcPr>
            <w:tcW w:w="1804"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2006</w:t>
            </w:r>
            <w:r w:rsidRPr="002B7A11">
              <w:rPr>
                <w:rFonts w:ascii="KaiTi_GB2312" w:eastAsia="KaiTi_GB2312" w:hint="eastAsia"/>
                <w:sz w:val="15"/>
                <w:szCs w:val="18"/>
              </w:rPr>
              <w:t>年</w:t>
            </w:r>
          </w:p>
        </w:tc>
        <w:tc>
          <w:tcPr>
            <w:tcW w:w="1873" w:type="dxa"/>
            <w:tcBorders>
              <w:top w:val="single" w:sz="4" w:space="0" w:color="auto"/>
              <w:bottom w:val="single" w:sz="12" w:space="0" w:color="auto"/>
            </w:tcBorders>
            <w:shd w:val="clear" w:color="auto" w:fill="auto"/>
            <w:vAlign w:val="bottom"/>
          </w:tcPr>
          <w:p w:rsidR="00D66085" w:rsidRPr="002B7A11" w:rsidRDefault="00D66085" w:rsidP="002B7A11">
            <w:pPr>
              <w:suppressAutoHyphens/>
              <w:spacing w:before="60" w:after="60" w:line="200" w:lineRule="exact"/>
              <w:ind w:right="57"/>
              <w:jc w:val="right"/>
              <w:rPr>
                <w:rFonts w:ascii="KaiTi_GB2312" w:eastAsia="KaiTi_GB2312"/>
                <w:sz w:val="15"/>
                <w:szCs w:val="18"/>
              </w:rPr>
            </w:pPr>
            <w:r w:rsidRPr="002B7A11">
              <w:rPr>
                <w:rFonts w:ascii="KaiTi_GB2312" w:eastAsia="KaiTi_GB2312"/>
                <w:sz w:val="15"/>
                <w:szCs w:val="18"/>
              </w:rPr>
              <w:t>2008</w:t>
            </w:r>
            <w:r w:rsidRPr="002B7A11">
              <w:rPr>
                <w:rFonts w:ascii="KaiTi_GB2312" w:eastAsia="KaiTi_GB2312" w:hint="eastAsia"/>
                <w:sz w:val="15"/>
                <w:szCs w:val="18"/>
              </w:rPr>
              <w:t>年</w:t>
            </w:r>
          </w:p>
        </w:tc>
      </w:tr>
      <w:tr w:rsidR="002B7A11" w:rsidRPr="002B7A11" w:rsidTr="002B7A11">
        <w:trPr>
          <w:trHeight w:hRule="exact" w:val="115"/>
          <w:tblHeader/>
        </w:trPr>
        <w:tc>
          <w:tcPr>
            <w:tcW w:w="1889"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rPr>
                <w:rFonts w:hint="eastAsia"/>
                <w:sz w:val="17"/>
                <w:szCs w:val="18"/>
              </w:rPr>
            </w:pPr>
          </w:p>
        </w:tc>
        <w:tc>
          <w:tcPr>
            <w:tcW w:w="180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1804"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c>
          <w:tcPr>
            <w:tcW w:w="1873" w:type="dxa"/>
            <w:tcBorders>
              <w:top w:val="single" w:sz="12" w:space="0" w:color="auto"/>
            </w:tcBorders>
            <w:shd w:val="clear" w:color="auto" w:fill="auto"/>
            <w:vAlign w:val="bottom"/>
          </w:tcPr>
          <w:p w:rsidR="002B7A11" w:rsidRPr="002B7A11" w:rsidRDefault="002B7A11" w:rsidP="002B7A11">
            <w:pPr>
              <w:suppressAutoHyphens/>
              <w:spacing w:after="60" w:line="280" w:lineRule="exact"/>
              <w:ind w:right="57"/>
              <w:jc w:val="right"/>
              <w:rPr>
                <w:sz w:val="17"/>
                <w:szCs w:val="18"/>
              </w:rPr>
            </w:pPr>
          </w:p>
        </w:tc>
      </w:tr>
      <w:tr w:rsidR="00D66085" w:rsidRPr="002B7A11" w:rsidTr="002B7A11">
        <w:trPr>
          <w:trHeight w:val="240"/>
        </w:trPr>
        <w:tc>
          <w:tcPr>
            <w:tcW w:w="1889"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结婚率</w:t>
            </w:r>
          </w:p>
        </w:tc>
        <w:tc>
          <w:tcPr>
            <w:tcW w:w="1804"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4.0</w:t>
            </w:r>
          </w:p>
        </w:tc>
        <w:tc>
          <w:tcPr>
            <w:tcW w:w="1804"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4.3</w:t>
            </w:r>
          </w:p>
        </w:tc>
        <w:tc>
          <w:tcPr>
            <w:tcW w:w="1873" w:type="dxa"/>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3.6</w:t>
            </w:r>
          </w:p>
        </w:tc>
      </w:tr>
      <w:tr w:rsidR="00D66085" w:rsidRPr="002B7A11" w:rsidTr="002B7A11">
        <w:trPr>
          <w:trHeight w:val="240"/>
        </w:trPr>
        <w:tc>
          <w:tcPr>
            <w:tcW w:w="1889"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女孩平均结婚年龄</w:t>
            </w:r>
          </w:p>
        </w:tc>
        <w:tc>
          <w:tcPr>
            <w:tcW w:w="1804"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24.8</w:t>
            </w:r>
          </w:p>
        </w:tc>
        <w:tc>
          <w:tcPr>
            <w:tcW w:w="1804"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25.9</w:t>
            </w:r>
          </w:p>
        </w:tc>
        <w:tc>
          <w:tcPr>
            <w:tcW w:w="1873" w:type="dxa"/>
            <w:tcBorders>
              <w:bottom w:val="single" w:sz="12" w:space="0" w:color="auto"/>
            </w:tcBorders>
            <w:shd w:val="clear" w:color="auto" w:fill="auto"/>
            <w:vAlign w:val="bottom"/>
          </w:tcPr>
          <w:p w:rsidR="00D66085" w:rsidRPr="002B7A11" w:rsidRDefault="00D66085" w:rsidP="002B7A11">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26.1</w:t>
            </w:r>
          </w:p>
        </w:tc>
      </w:tr>
    </w:tbl>
    <w:p w:rsidR="002B7A11" w:rsidRPr="002B7A11" w:rsidRDefault="002B7A11" w:rsidP="002B7A11">
      <w:pPr>
        <w:pStyle w:val="SingleTxt"/>
        <w:spacing w:after="0" w:line="120" w:lineRule="exact"/>
        <w:rPr>
          <w:rFonts w:hAnsi="SimSun"/>
          <w:bCs/>
          <w:sz w:val="10"/>
          <w:szCs w:val="21"/>
          <w:lang w:val="en-GB"/>
        </w:rPr>
      </w:pPr>
    </w:p>
    <w:p w:rsidR="00D66085" w:rsidRPr="002941D3" w:rsidRDefault="00D66085" w:rsidP="002B7A11">
      <w:pPr>
        <w:pStyle w:val="SingleTxt"/>
        <w:rPr>
          <w:rFonts w:eastAsia="SimHei"/>
          <w:bCs/>
          <w:szCs w:val="21"/>
        </w:rPr>
      </w:pPr>
      <w:r w:rsidRPr="00D66085">
        <w:rPr>
          <w:rFonts w:hAnsi="SimSun"/>
          <w:bCs/>
          <w:szCs w:val="21"/>
          <w:lang w:val="en-GB"/>
        </w:rPr>
        <w:t>表</w:t>
      </w:r>
      <w:r w:rsidRPr="00D66085">
        <w:rPr>
          <w:rFonts w:hAnsi="SimSun"/>
          <w:bCs/>
          <w:szCs w:val="21"/>
        </w:rPr>
        <w:t>12</w:t>
      </w:r>
      <w:r w:rsidR="002B7A11">
        <w:rPr>
          <w:rFonts w:eastAsia="SimHei"/>
          <w:bCs/>
          <w:szCs w:val="21"/>
        </w:rPr>
        <w:br/>
      </w:r>
      <w:r w:rsidRPr="002941D3">
        <w:rPr>
          <w:rFonts w:eastAsia="SimHei" w:hint="eastAsia"/>
          <w:bCs/>
          <w:szCs w:val="21"/>
        </w:rPr>
        <w:t>2007</w:t>
      </w:r>
      <w:r w:rsidRPr="002941D3">
        <w:rPr>
          <w:rFonts w:eastAsia="SimHei" w:hint="eastAsia"/>
          <w:bCs/>
          <w:szCs w:val="21"/>
        </w:rPr>
        <w:t>年期间由于各种原因导致的死亡</w:t>
      </w:r>
      <w:r w:rsidRPr="002941D3">
        <w:rPr>
          <w:rFonts w:eastAsia="SimHei"/>
          <w:bCs/>
          <w:szCs w:val="21"/>
        </w:rPr>
        <w:t xml:space="preserve"> </w:t>
      </w:r>
    </w:p>
    <w:tbl>
      <w:tblPr>
        <w:tblW w:w="7253" w:type="dxa"/>
        <w:tblInd w:w="1264" w:type="dxa"/>
        <w:tblBorders>
          <w:top w:val="single" w:sz="4" w:space="0" w:color="auto"/>
        </w:tblBorders>
        <w:tblCellMar>
          <w:left w:w="0" w:type="dxa"/>
          <w:right w:w="0" w:type="dxa"/>
        </w:tblCellMar>
        <w:tblLook w:val="0000" w:firstRow="0" w:lastRow="0" w:firstColumn="0" w:lastColumn="0" w:noHBand="0" w:noVBand="0"/>
      </w:tblPr>
      <w:tblGrid>
        <w:gridCol w:w="3137"/>
        <w:gridCol w:w="654"/>
        <w:gridCol w:w="581"/>
        <w:gridCol w:w="724"/>
        <w:gridCol w:w="681"/>
        <w:gridCol w:w="626"/>
        <w:gridCol w:w="850"/>
      </w:tblGrid>
      <w:tr w:rsidR="00D66085" w:rsidRPr="002941D3" w:rsidTr="002B7A11">
        <w:trPr>
          <w:trHeight w:val="240"/>
          <w:tblHeader/>
        </w:trPr>
        <w:tc>
          <w:tcPr>
            <w:tcW w:w="3137" w:type="dxa"/>
            <w:vMerge w:val="restart"/>
            <w:tcBorders>
              <w:top w:val="single" w:sz="4" w:space="0" w:color="auto"/>
              <w:bottom w:val="single" w:sz="12" w:space="0" w:color="auto"/>
            </w:tcBorders>
            <w:shd w:val="clear" w:color="auto" w:fill="auto"/>
            <w:vAlign w:val="bottom"/>
          </w:tcPr>
          <w:p w:rsidR="00D66085" w:rsidRPr="002941D3" w:rsidRDefault="00D66085" w:rsidP="00BE0720">
            <w:pPr>
              <w:spacing w:before="80" w:after="80" w:line="200" w:lineRule="exact"/>
              <w:rPr>
                <w:rFonts w:eastAsia="KaiTi_GB2312"/>
                <w:bCs/>
                <w:sz w:val="18"/>
                <w:szCs w:val="18"/>
              </w:rPr>
            </w:pPr>
            <w:bookmarkStart w:id="8" w:name="_Hlk289950046"/>
          </w:p>
        </w:tc>
        <w:tc>
          <w:tcPr>
            <w:tcW w:w="654" w:type="dxa"/>
            <w:tcBorders>
              <w:top w:val="single" w:sz="4" w:space="0" w:color="auto"/>
              <w:bottom w:val="single" w:sz="12" w:space="0" w:color="auto"/>
            </w:tcBorders>
            <w:shd w:val="clear" w:color="auto" w:fill="auto"/>
            <w:vAlign w:val="bottom"/>
          </w:tcPr>
          <w:p w:rsidR="00D66085" w:rsidRPr="002941D3" w:rsidRDefault="00D66085" w:rsidP="00BE0720">
            <w:pPr>
              <w:spacing w:before="80" w:after="80" w:line="200" w:lineRule="exact"/>
              <w:jc w:val="center"/>
              <w:rPr>
                <w:rFonts w:eastAsia="KaiTi_GB2312" w:hint="eastAsia"/>
                <w:bCs/>
                <w:sz w:val="18"/>
                <w:szCs w:val="18"/>
              </w:rPr>
            </w:pPr>
          </w:p>
        </w:tc>
        <w:tc>
          <w:tcPr>
            <w:tcW w:w="581" w:type="dxa"/>
            <w:tcBorders>
              <w:top w:val="single" w:sz="4" w:space="0" w:color="auto"/>
              <w:bottom w:val="single" w:sz="12" w:space="0" w:color="auto"/>
            </w:tcBorders>
            <w:shd w:val="clear" w:color="auto" w:fill="auto"/>
            <w:vAlign w:val="bottom"/>
          </w:tcPr>
          <w:p w:rsidR="00D66085" w:rsidRPr="002941D3" w:rsidRDefault="00D66085" w:rsidP="00BE0720">
            <w:pPr>
              <w:spacing w:before="80" w:after="80" w:line="200" w:lineRule="exact"/>
              <w:jc w:val="center"/>
              <w:rPr>
                <w:rFonts w:eastAsia="KaiTi_GB2312" w:hint="eastAsia"/>
                <w:bCs/>
                <w:sz w:val="18"/>
                <w:szCs w:val="18"/>
              </w:rPr>
            </w:pPr>
          </w:p>
        </w:tc>
        <w:tc>
          <w:tcPr>
            <w:tcW w:w="724" w:type="dxa"/>
            <w:tcBorders>
              <w:top w:val="single" w:sz="4" w:space="0" w:color="auto"/>
              <w:bottom w:val="single" w:sz="12" w:space="0" w:color="auto"/>
            </w:tcBorders>
            <w:shd w:val="clear" w:color="auto" w:fill="auto"/>
            <w:vAlign w:val="bottom"/>
          </w:tcPr>
          <w:p w:rsidR="00D66085" w:rsidRPr="002941D3" w:rsidRDefault="00D66085" w:rsidP="00BE0720">
            <w:pPr>
              <w:spacing w:before="80" w:after="80" w:line="200" w:lineRule="exact"/>
              <w:jc w:val="center"/>
              <w:rPr>
                <w:rFonts w:eastAsia="KaiTi_GB2312" w:hint="eastAsia"/>
                <w:bCs/>
                <w:sz w:val="18"/>
                <w:szCs w:val="18"/>
              </w:rPr>
            </w:pPr>
          </w:p>
        </w:tc>
        <w:tc>
          <w:tcPr>
            <w:tcW w:w="681" w:type="dxa"/>
            <w:tcBorders>
              <w:top w:val="single" w:sz="4" w:space="0" w:color="auto"/>
              <w:bottom w:val="single" w:sz="12" w:space="0" w:color="auto"/>
            </w:tcBorders>
            <w:shd w:val="clear" w:color="auto" w:fill="auto"/>
            <w:vAlign w:val="bottom"/>
          </w:tcPr>
          <w:p w:rsidR="00D66085" w:rsidRPr="002941D3" w:rsidRDefault="00D66085" w:rsidP="00BE0720">
            <w:pPr>
              <w:spacing w:before="80" w:after="80" w:line="200" w:lineRule="exact"/>
              <w:jc w:val="center"/>
              <w:rPr>
                <w:rFonts w:eastAsia="KaiTi_GB2312" w:hint="eastAsia"/>
                <w:bCs/>
                <w:sz w:val="18"/>
                <w:szCs w:val="18"/>
              </w:rPr>
            </w:pPr>
          </w:p>
        </w:tc>
        <w:tc>
          <w:tcPr>
            <w:tcW w:w="626" w:type="dxa"/>
            <w:tcBorders>
              <w:top w:val="single" w:sz="4" w:space="0" w:color="auto"/>
              <w:bottom w:val="single" w:sz="12" w:space="0" w:color="auto"/>
            </w:tcBorders>
            <w:shd w:val="clear" w:color="auto" w:fill="auto"/>
            <w:vAlign w:val="bottom"/>
          </w:tcPr>
          <w:p w:rsidR="00D66085" w:rsidRPr="002941D3" w:rsidRDefault="00D66085" w:rsidP="00BE0720">
            <w:pPr>
              <w:spacing w:before="80" w:after="80" w:line="200" w:lineRule="exact"/>
              <w:jc w:val="center"/>
              <w:rPr>
                <w:rFonts w:eastAsia="KaiTi_GB2312"/>
                <w:bCs/>
                <w:sz w:val="18"/>
                <w:szCs w:val="18"/>
              </w:rPr>
            </w:pPr>
          </w:p>
        </w:tc>
        <w:tc>
          <w:tcPr>
            <w:tcW w:w="850" w:type="dxa"/>
            <w:tcBorders>
              <w:top w:val="single" w:sz="4" w:space="0" w:color="auto"/>
              <w:bottom w:val="single" w:sz="12" w:space="0" w:color="auto"/>
            </w:tcBorders>
            <w:shd w:val="clear" w:color="auto" w:fill="auto"/>
            <w:vAlign w:val="bottom"/>
          </w:tcPr>
          <w:p w:rsidR="00D66085" w:rsidRPr="002941D3" w:rsidRDefault="00D66085" w:rsidP="00BE0720">
            <w:pPr>
              <w:spacing w:before="80" w:after="80" w:line="200" w:lineRule="exact"/>
              <w:jc w:val="center"/>
              <w:rPr>
                <w:rFonts w:eastAsia="KaiTi_GB2312"/>
                <w:bCs/>
                <w:sz w:val="18"/>
                <w:szCs w:val="18"/>
              </w:rPr>
            </w:pPr>
          </w:p>
        </w:tc>
      </w:tr>
      <w:bookmarkEnd w:id="8"/>
      <w:tr w:rsidR="00D66085" w:rsidRPr="002941D3" w:rsidTr="002B7A11">
        <w:trPr>
          <w:trHeight w:val="240"/>
          <w:tblHeader/>
        </w:trPr>
        <w:tc>
          <w:tcPr>
            <w:tcW w:w="3137" w:type="dxa"/>
            <w:vMerge/>
            <w:tcBorders>
              <w:top w:val="single" w:sz="12" w:space="0" w:color="auto"/>
            </w:tcBorders>
            <w:shd w:val="clear" w:color="auto" w:fill="auto"/>
            <w:vAlign w:val="bottom"/>
          </w:tcPr>
          <w:p w:rsidR="00D66085" w:rsidRPr="002941D3" w:rsidRDefault="00D66085" w:rsidP="00BE0720">
            <w:pPr>
              <w:spacing w:before="40" w:after="40" w:line="220" w:lineRule="exact"/>
              <w:rPr>
                <w:bCs/>
                <w:sz w:val="18"/>
                <w:szCs w:val="18"/>
              </w:rPr>
            </w:pPr>
          </w:p>
        </w:tc>
        <w:tc>
          <w:tcPr>
            <w:tcW w:w="1959" w:type="dxa"/>
            <w:gridSpan w:val="3"/>
            <w:tcBorders>
              <w:top w:val="single" w:sz="12" w:space="0" w:color="auto"/>
            </w:tcBorders>
            <w:shd w:val="clear" w:color="auto" w:fill="auto"/>
            <w:vAlign w:val="bottom"/>
          </w:tcPr>
          <w:p w:rsidR="00D66085" w:rsidRPr="002941D3" w:rsidRDefault="00D66085" w:rsidP="00BE0720">
            <w:pPr>
              <w:spacing w:before="40" w:after="40" w:line="220" w:lineRule="exact"/>
              <w:jc w:val="right"/>
              <w:rPr>
                <w:rFonts w:hint="eastAsia"/>
                <w:bCs/>
                <w:sz w:val="18"/>
                <w:szCs w:val="18"/>
              </w:rPr>
            </w:pPr>
          </w:p>
        </w:tc>
        <w:tc>
          <w:tcPr>
            <w:tcW w:w="2157" w:type="dxa"/>
            <w:gridSpan w:val="3"/>
            <w:tcBorders>
              <w:top w:val="single" w:sz="12" w:space="0" w:color="auto"/>
            </w:tcBorders>
            <w:shd w:val="clear" w:color="auto" w:fill="auto"/>
            <w:vAlign w:val="bottom"/>
          </w:tcPr>
          <w:p w:rsidR="00D66085" w:rsidRPr="002941D3" w:rsidRDefault="00D66085" w:rsidP="00BE0720">
            <w:pPr>
              <w:spacing w:before="40" w:after="40" w:line="220" w:lineRule="exact"/>
              <w:jc w:val="right"/>
              <w:rPr>
                <w:bCs/>
                <w:sz w:val="18"/>
                <w:szCs w:val="18"/>
              </w:rPr>
            </w:pPr>
            <w:r w:rsidRPr="002941D3">
              <w:rPr>
                <w:bCs/>
                <w:sz w:val="18"/>
                <w:szCs w:val="18"/>
              </w:rPr>
              <w:t> </w:t>
            </w:r>
          </w:p>
        </w:tc>
      </w:tr>
    </w:tbl>
    <w:p w:rsidR="002B7A11" w:rsidRDefault="002B7A11"/>
    <w:tbl>
      <w:tblPr>
        <w:tblW w:w="7253" w:type="dxa"/>
        <w:tblInd w:w="1264" w:type="dxa"/>
        <w:tblCellMar>
          <w:left w:w="0" w:type="dxa"/>
          <w:right w:w="0" w:type="dxa"/>
        </w:tblCellMar>
        <w:tblLook w:val="0000" w:firstRow="0" w:lastRow="0" w:firstColumn="0" w:lastColumn="0" w:noHBand="0" w:noVBand="0"/>
      </w:tblPr>
      <w:tblGrid>
        <w:gridCol w:w="3244"/>
        <w:gridCol w:w="668"/>
        <w:gridCol w:w="668"/>
        <w:gridCol w:w="668"/>
        <w:gridCol w:w="668"/>
        <w:gridCol w:w="668"/>
        <w:gridCol w:w="669"/>
      </w:tblGrid>
      <w:tr w:rsidR="007245AC" w:rsidRPr="002B7A11" w:rsidTr="007245AC">
        <w:trPr>
          <w:trHeight w:val="240"/>
        </w:trPr>
        <w:tc>
          <w:tcPr>
            <w:tcW w:w="3244" w:type="dxa"/>
            <w:tcBorders>
              <w:top w:val="single" w:sz="4" w:space="0" w:color="auto"/>
            </w:tcBorders>
            <w:shd w:val="clear" w:color="auto" w:fill="auto"/>
          </w:tcPr>
          <w:p w:rsidR="007245AC" w:rsidRPr="002B7A11" w:rsidRDefault="007245AC" w:rsidP="002B7A11">
            <w:pPr>
              <w:spacing w:before="60" w:after="60" w:line="200" w:lineRule="exact"/>
              <w:ind w:right="57"/>
              <w:rPr>
                <w:rFonts w:ascii="KaiTi_GB2312" w:eastAsia="KaiTi_GB2312" w:hint="eastAsia"/>
                <w:bCs/>
                <w:sz w:val="15"/>
                <w:szCs w:val="18"/>
              </w:rPr>
            </w:pPr>
          </w:p>
        </w:tc>
        <w:tc>
          <w:tcPr>
            <w:tcW w:w="668" w:type="dxa"/>
            <w:tcBorders>
              <w:top w:val="single" w:sz="4" w:space="0" w:color="auto"/>
              <w:bottom w:val="single" w:sz="4" w:space="0" w:color="auto"/>
            </w:tcBorders>
            <w:shd w:val="clear" w:color="auto" w:fill="auto"/>
            <w:vAlign w:val="bottom"/>
          </w:tcPr>
          <w:p w:rsidR="007245AC" w:rsidRPr="002941D3" w:rsidRDefault="007245AC" w:rsidP="00BE0720">
            <w:pPr>
              <w:spacing w:before="80" w:after="80" w:line="200" w:lineRule="exact"/>
              <w:jc w:val="center"/>
              <w:rPr>
                <w:rFonts w:eastAsia="KaiTi_GB2312" w:hint="eastAsia"/>
                <w:bCs/>
                <w:sz w:val="18"/>
                <w:szCs w:val="18"/>
              </w:rPr>
            </w:pPr>
            <w:r w:rsidRPr="002941D3">
              <w:rPr>
                <w:rFonts w:eastAsia="KaiTi_GB2312" w:hint="eastAsia"/>
                <w:bCs/>
                <w:sz w:val="18"/>
                <w:szCs w:val="18"/>
              </w:rPr>
              <w:t>合计</w:t>
            </w:r>
          </w:p>
        </w:tc>
        <w:tc>
          <w:tcPr>
            <w:tcW w:w="668" w:type="dxa"/>
            <w:tcBorders>
              <w:top w:val="single" w:sz="4" w:space="0" w:color="auto"/>
              <w:bottom w:val="single" w:sz="4" w:space="0" w:color="auto"/>
            </w:tcBorders>
            <w:shd w:val="clear" w:color="auto" w:fill="auto"/>
            <w:vAlign w:val="bottom"/>
          </w:tcPr>
          <w:p w:rsidR="007245AC" w:rsidRPr="002941D3" w:rsidRDefault="007245AC" w:rsidP="00BE0720">
            <w:pPr>
              <w:spacing w:before="80" w:after="80" w:line="200" w:lineRule="exact"/>
              <w:jc w:val="center"/>
              <w:rPr>
                <w:rFonts w:eastAsia="KaiTi_GB2312" w:hint="eastAsia"/>
                <w:bCs/>
                <w:sz w:val="18"/>
                <w:szCs w:val="18"/>
              </w:rPr>
            </w:pPr>
            <w:r w:rsidRPr="002941D3">
              <w:rPr>
                <w:rFonts w:eastAsia="KaiTi_GB2312" w:hint="eastAsia"/>
                <w:bCs/>
                <w:sz w:val="18"/>
                <w:szCs w:val="18"/>
              </w:rPr>
              <w:t>男</w:t>
            </w:r>
          </w:p>
        </w:tc>
        <w:tc>
          <w:tcPr>
            <w:tcW w:w="668" w:type="dxa"/>
            <w:tcBorders>
              <w:top w:val="single" w:sz="4" w:space="0" w:color="auto"/>
              <w:bottom w:val="single" w:sz="4" w:space="0" w:color="auto"/>
            </w:tcBorders>
            <w:shd w:val="clear" w:color="auto" w:fill="auto"/>
            <w:vAlign w:val="bottom"/>
          </w:tcPr>
          <w:p w:rsidR="007245AC" w:rsidRPr="002941D3" w:rsidRDefault="007245AC" w:rsidP="00BE0720">
            <w:pPr>
              <w:spacing w:before="80" w:after="80" w:line="200" w:lineRule="exact"/>
              <w:jc w:val="center"/>
              <w:rPr>
                <w:rFonts w:eastAsia="KaiTi_GB2312" w:hint="eastAsia"/>
                <w:bCs/>
                <w:sz w:val="18"/>
                <w:szCs w:val="18"/>
              </w:rPr>
            </w:pPr>
            <w:r w:rsidRPr="002941D3">
              <w:rPr>
                <w:rFonts w:eastAsia="KaiTi_GB2312" w:hint="eastAsia"/>
                <w:bCs/>
                <w:sz w:val="18"/>
                <w:szCs w:val="18"/>
              </w:rPr>
              <w:t>女</w:t>
            </w:r>
          </w:p>
        </w:tc>
        <w:tc>
          <w:tcPr>
            <w:tcW w:w="668" w:type="dxa"/>
            <w:tcBorders>
              <w:top w:val="single" w:sz="4" w:space="0" w:color="auto"/>
            </w:tcBorders>
            <w:shd w:val="clear" w:color="auto" w:fill="auto"/>
            <w:vAlign w:val="bottom"/>
          </w:tcPr>
          <w:p w:rsidR="007245AC" w:rsidRPr="007245AC" w:rsidRDefault="007245AC" w:rsidP="002B7A11">
            <w:pPr>
              <w:spacing w:before="60" w:after="60" w:line="200" w:lineRule="exact"/>
              <w:ind w:right="57"/>
              <w:jc w:val="right"/>
              <w:rPr>
                <w:rFonts w:eastAsia="KaiTi_GB2312"/>
                <w:bCs/>
                <w:sz w:val="18"/>
                <w:szCs w:val="18"/>
              </w:rPr>
            </w:pPr>
          </w:p>
        </w:tc>
        <w:tc>
          <w:tcPr>
            <w:tcW w:w="668" w:type="dxa"/>
            <w:tcBorders>
              <w:top w:val="single" w:sz="4" w:space="0" w:color="auto"/>
              <w:bottom w:val="single" w:sz="4" w:space="0" w:color="auto"/>
            </w:tcBorders>
            <w:shd w:val="clear" w:color="auto" w:fill="auto"/>
            <w:vAlign w:val="bottom"/>
          </w:tcPr>
          <w:p w:rsidR="007245AC" w:rsidRPr="002941D3" w:rsidRDefault="007245AC" w:rsidP="00BE0720">
            <w:pPr>
              <w:spacing w:before="80" w:after="80" w:line="200" w:lineRule="exact"/>
              <w:jc w:val="center"/>
              <w:rPr>
                <w:rFonts w:eastAsia="KaiTi_GB2312"/>
                <w:bCs/>
                <w:sz w:val="18"/>
                <w:szCs w:val="18"/>
              </w:rPr>
            </w:pPr>
            <w:r w:rsidRPr="002941D3">
              <w:rPr>
                <w:rFonts w:eastAsia="KaiTi_GB2312" w:hint="eastAsia"/>
                <w:bCs/>
                <w:sz w:val="18"/>
                <w:szCs w:val="18"/>
              </w:rPr>
              <w:t>男</w:t>
            </w:r>
          </w:p>
        </w:tc>
        <w:tc>
          <w:tcPr>
            <w:tcW w:w="669" w:type="dxa"/>
            <w:tcBorders>
              <w:top w:val="single" w:sz="4" w:space="0" w:color="auto"/>
              <w:bottom w:val="single" w:sz="4" w:space="0" w:color="auto"/>
            </w:tcBorders>
            <w:shd w:val="clear" w:color="auto" w:fill="auto"/>
            <w:vAlign w:val="bottom"/>
          </w:tcPr>
          <w:p w:rsidR="007245AC" w:rsidRPr="002941D3" w:rsidRDefault="007245AC" w:rsidP="00BE0720">
            <w:pPr>
              <w:spacing w:before="80" w:after="80" w:line="200" w:lineRule="exact"/>
              <w:jc w:val="center"/>
              <w:rPr>
                <w:rFonts w:eastAsia="KaiTi_GB2312"/>
                <w:bCs/>
                <w:sz w:val="18"/>
                <w:szCs w:val="18"/>
              </w:rPr>
            </w:pPr>
            <w:r w:rsidRPr="002941D3">
              <w:rPr>
                <w:rFonts w:eastAsia="KaiTi_GB2312" w:hint="eastAsia"/>
                <w:bCs/>
                <w:sz w:val="18"/>
                <w:szCs w:val="18"/>
              </w:rPr>
              <w:t>女</w:t>
            </w:r>
          </w:p>
        </w:tc>
      </w:tr>
      <w:tr w:rsidR="007245AC" w:rsidRPr="002B7A11" w:rsidTr="007245AC">
        <w:trPr>
          <w:trHeight w:val="240"/>
        </w:trPr>
        <w:tc>
          <w:tcPr>
            <w:tcW w:w="3244" w:type="dxa"/>
            <w:tcBorders>
              <w:bottom w:val="single" w:sz="12" w:space="0" w:color="auto"/>
            </w:tcBorders>
            <w:shd w:val="clear" w:color="auto" w:fill="auto"/>
          </w:tcPr>
          <w:p w:rsidR="007245AC" w:rsidRPr="002B7A11" w:rsidRDefault="007245AC" w:rsidP="002B7A11">
            <w:pPr>
              <w:spacing w:before="40" w:after="60" w:line="200" w:lineRule="exact"/>
              <w:rPr>
                <w:rFonts w:ascii="KaiTi_GB2312" w:eastAsia="KaiTi_GB2312" w:hint="eastAsia"/>
                <w:bCs/>
                <w:sz w:val="15"/>
                <w:szCs w:val="18"/>
              </w:rPr>
            </w:pPr>
            <w:r w:rsidRPr="002941D3">
              <w:rPr>
                <w:rFonts w:eastAsia="KaiTi_GB2312" w:hint="eastAsia"/>
                <w:bCs/>
                <w:sz w:val="18"/>
                <w:szCs w:val="18"/>
              </w:rPr>
              <w:t>死亡原因，</w:t>
            </w:r>
            <w:bookmarkStart w:id="9" w:name="OLE_LINK50"/>
            <w:r w:rsidRPr="002941D3">
              <w:rPr>
                <w:rFonts w:eastAsia="KaiTi_GB2312" w:hint="eastAsia"/>
                <w:bCs/>
                <w:sz w:val="18"/>
                <w:szCs w:val="18"/>
              </w:rPr>
              <w:t>《国际疾病分类》</w:t>
            </w:r>
            <w:r w:rsidRPr="002941D3">
              <w:rPr>
                <w:rFonts w:eastAsia="KaiTi_GB2312" w:hint="eastAsia"/>
                <w:bCs/>
                <w:sz w:val="18"/>
                <w:szCs w:val="18"/>
              </w:rPr>
              <w:t>-</w:t>
            </w:r>
            <w:r w:rsidRPr="002941D3">
              <w:rPr>
                <w:rFonts w:eastAsia="KaiTi_GB2312" w:hint="eastAsia"/>
                <w:bCs/>
                <w:sz w:val="18"/>
                <w:szCs w:val="18"/>
              </w:rPr>
              <w:t>第十版</w:t>
            </w:r>
            <w:r w:rsidRPr="002941D3">
              <w:rPr>
                <w:rFonts w:eastAsia="KaiTi_GB2312"/>
                <w:bCs/>
                <w:sz w:val="18"/>
                <w:szCs w:val="18"/>
              </w:rPr>
              <w:t xml:space="preserve"> </w:t>
            </w:r>
            <w:bookmarkEnd w:id="9"/>
            <w:r w:rsidRPr="007245AC">
              <w:rPr>
                <w:rFonts w:eastAsia="KaiTi_GB2312"/>
                <w:bCs/>
                <w:sz w:val="18"/>
                <w:szCs w:val="18"/>
                <w:vertAlign w:val="superscript"/>
              </w:rPr>
              <w:t>*</w:t>
            </w:r>
          </w:p>
        </w:tc>
        <w:tc>
          <w:tcPr>
            <w:tcW w:w="2004" w:type="dxa"/>
            <w:gridSpan w:val="3"/>
            <w:tcBorders>
              <w:top w:val="single" w:sz="4" w:space="0" w:color="auto"/>
              <w:bottom w:val="single" w:sz="12" w:space="0" w:color="auto"/>
            </w:tcBorders>
            <w:shd w:val="clear" w:color="auto" w:fill="auto"/>
            <w:vAlign w:val="bottom"/>
          </w:tcPr>
          <w:p w:rsidR="007245AC" w:rsidRPr="007245AC" w:rsidRDefault="007245AC" w:rsidP="007245AC">
            <w:pPr>
              <w:spacing w:before="40" w:after="60" w:line="200" w:lineRule="exact"/>
              <w:jc w:val="center"/>
              <w:rPr>
                <w:rFonts w:eastAsia="KaiTi_GB2312"/>
                <w:bCs/>
                <w:sz w:val="18"/>
                <w:szCs w:val="18"/>
              </w:rPr>
            </w:pPr>
            <w:r w:rsidRPr="007245AC">
              <w:rPr>
                <w:rFonts w:eastAsia="KaiTi_GB2312" w:hint="eastAsia"/>
                <w:bCs/>
                <w:sz w:val="18"/>
                <w:szCs w:val="18"/>
              </w:rPr>
              <w:t>数量</w:t>
            </w:r>
          </w:p>
        </w:tc>
        <w:tc>
          <w:tcPr>
            <w:tcW w:w="668" w:type="dxa"/>
            <w:tcBorders>
              <w:bottom w:val="single" w:sz="12" w:space="0" w:color="auto"/>
            </w:tcBorders>
            <w:shd w:val="clear" w:color="auto" w:fill="auto"/>
            <w:vAlign w:val="bottom"/>
          </w:tcPr>
          <w:p w:rsidR="007245AC" w:rsidRPr="007245AC" w:rsidRDefault="007245AC" w:rsidP="002B7A11">
            <w:pPr>
              <w:spacing w:before="40" w:after="60" w:line="200" w:lineRule="exact"/>
              <w:jc w:val="right"/>
              <w:rPr>
                <w:rFonts w:eastAsia="KaiTi_GB2312"/>
                <w:bCs/>
                <w:sz w:val="18"/>
                <w:szCs w:val="18"/>
              </w:rPr>
            </w:pPr>
            <w:r w:rsidRPr="002941D3">
              <w:rPr>
                <w:rFonts w:eastAsia="KaiTi_GB2312" w:hint="eastAsia"/>
                <w:bCs/>
                <w:sz w:val="18"/>
                <w:szCs w:val="18"/>
              </w:rPr>
              <w:t>合计</w:t>
            </w:r>
          </w:p>
        </w:tc>
        <w:tc>
          <w:tcPr>
            <w:tcW w:w="1337" w:type="dxa"/>
            <w:gridSpan w:val="2"/>
            <w:tcBorders>
              <w:top w:val="single" w:sz="4" w:space="0" w:color="auto"/>
              <w:bottom w:val="single" w:sz="12" w:space="0" w:color="auto"/>
            </w:tcBorders>
            <w:shd w:val="clear" w:color="auto" w:fill="auto"/>
            <w:vAlign w:val="bottom"/>
          </w:tcPr>
          <w:p w:rsidR="007245AC" w:rsidRPr="007245AC" w:rsidRDefault="007245AC" w:rsidP="002B7A11">
            <w:pPr>
              <w:spacing w:before="40" w:after="60" w:line="200" w:lineRule="exact"/>
              <w:jc w:val="right"/>
              <w:rPr>
                <w:rFonts w:eastAsia="KaiTi_GB2312"/>
                <w:bCs/>
                <w:sz w:val="18"/>
                <w:szCs w:val="18"/>
              </w:rPr>
            </w:pPr>
            <w:r w:rsidRPr="007245AC">
              <w:rPr>
                <w:rFonts w:eastAsia="KaiTi_GB2312" w:hint="eastAsia"/>
                <w:bCs/>
                <w:sz w:val="18"/>
                <w:szCs w:val="18"/>
              </w:rPr>
              <w:t>每</w:t>
            </w:r>
            <w:r w:rsidRPr="007245AC">
              <w:rPr>
                <w:rFonts w:eastAsia="KaiTi_GB2312" w:hint="eastAsia"/>
                <w:bCs/>
                <w:sz w:val="18"/>
                <w:szCs w:val="18"/>
              </w:rPr>
              <w:t>100 000</w:t>
            </w:r>
            <w:r w:rsidRPr="007245AC">
              <w:rPr>
                <w:rFonts w:eastAsia="KaiTi_GB2312" w:hint="eastAsia"/>
                <w:bCs/>
                <w:sz w:val="18"/>
                <w:szCs w:val="18"/>
              </w:rPr>
              <w:t>人</w:t>
            </w:r>
          </w:p>
        </w:tc>
      </w:tr>
      <w:tr w:rsidR="007245AC" w:rsidRPr="002B7A11" w:rsidTr="007245AC">
        <w:trPr>
          <w:trHeight w:hRule="exact" w:val="115"/>
        </w:trPr>
        <w:tc>
          <w:tcPr>
            <w:tcW w:w="3244" w:type="dxa"/>
            <w:tcBorders>
              <w:top w:val="single" w:sz="12" w:space="0" w:color="auto"/>
            </w:tcBorders>
            <w:shd w:val="clear" w:color="auto" w:fill="auto"/>
          </w:tcPr>
          <w:p w:rsidR="007245AC" w:rsidRPr="002B7A11" w:rsidRDefault="007245AC" w:rsidP="002B7A11">
            <w:pPr>
              <w:spacing w:after="60" w:line="280" w:lineRule="exact"/>
              <w:ind w:right="57"/>
              <w:rPr>
                <w:rFonts w:hint="eastAsia"/>
                <w:bCs/>
                <w:sz w:val="17"/>
                <w:szCs w:val="18"/>
              </w:rPr>
            </w:pPr>
          </w:p>
        </w:tc>
        <w:tc>
          <w:tcPr>
            <w:tcW w:w="668" w:type="dxa"/>
            <w:tcBorders>
              <w:top w:val="single" w:sz="12" w:space="0" w:color="auto"/>
            </w:tcBorders>
            <w:shd w:val="clear" w:color="auto" w:fill="auto"/>
            <w:vAlign w:val="bottom"/>
          </w:tcPr>
          <w:p w:rsidR="007245AC" w:rsidRPr="002B7A11" w:rsidRDefault="007245AC" w:rsidP="002B7A11">
            <w:pPr>
              <w:spacing w:after="60" w:line="280" w:lineRule="exact"/>
              <w:ind w:right="57"/>
              <w:jc w:val="right"/>
              <w:rPr>
                <w:bCs/>
                <w:sz w:val="17"/>
                <w:szCs w:val="18"/>
              </w:rPr>
            </w:pPr>
          </w:p>
        </w:tc>
        <w:tc>
          <w:tcPr>
            <w:tcW w:w="668" w:type="dxa"/>
            <w:tcBorders>
              <w:top w:val="single" w:sz="12" w:space="0" w:color="auto"/>
            </w:tcBorders>
            <w:shd w:val="clear" w:color="auto" w:fill="auto"/>
            <w:vAlign w:val="bottom"/>
          </w:tcPr>
          <w:p w:rsidR="007245AC" w:rsidRPr="002B7A11" w:rsidRDefault="007245AC" w:rsidP="002B7A11">
            <w:pPr>
              <w:spacing w:after="60" w:line="280" w:lineRule="exact"/>
              <w:ind w:right="57"/>
              <w:jc w:val="right"/>
              <w:rPr>
                <w:bCs/>
                <w:sz w:val="17"/>
                <w:szCs w:val="18"/>
              </w:rPr>
            </w:pPr>
          </w:p>
        </w:tc>
        <w:tc>
          <w:tcPr>
            <w:tcW w:w="668" w:type="dxa"/>
            <w:tcBorders>
              <w:top w:val="single" w:sz="12" w:space="0" w:color="auto"/>
            </w:tcBorders>
            <w:shd w:val="clear" w:color="auto" w:fill="auto"/>
            <w:vAlign w:val="bottom"/>
          </w:tcPr>
          <w:p w:rsidR="007245AC" w:rsidRPr="002B7A11" w:rsidRDefault="007245AC" w:rsidP="002B7A11">
            <w:pPr>
              <w:spacing w:after="60" w:line="280" w:lineRule="exact"/>
              <w:ind w:right="57"/>
              <w:jc w:val="right"/>
              <w:rPr>
                <w:bCs/>
                <w:sz w:val="17"/>
                <w:szCs w:val="18"/>
              </w:rPr>
            </w:pPr>
          </w:p>
        </w:tc>
        <w:tc>
          <w:tcPr>
            <w:tcW w:w="668" w:type="dxa"/>
            <w:tcBorders>
              <w:top w:val="single" w:sz="12" w:space="0" w:color="auto"/>
            </w:tcBorders>
            <w:shd w:val="clear" w:color="auto" w:fill="auto"/>
            <w:vAlign w:val="bottom"/>
          </w:tcPr>
          <w:p w:rsidR="007245AC" w:rsidRPr="002B7A11" w:rsidRDefault="007245AC" w:rsidP="002B7A11">
            <w:pPr>
              <w:spacing w:after="60" w:line="280" w:lineRule="exact"/>
              <w:ind w:right="57"/>
              <w:jc w:val="right"/>
              <w:rPr>
                <w:bCs/>
                <w:sz w:val="17"/>
                <w:szCs w:val="18"/>
              </w:rPr>
            </w:pPr>
          </w:p>
        </w:tc>
        <w:tc>
          <w:tcPr>
            <w:tcW w:w="668" w:type="dxa"/>
            <w:tcBorders>
              <w:top w:val="single" w:sz="12" w:space="0" w:color="auto"/>
            </w:tcBorders>
            <w:shd w:val="clear" w:color="auto" w:fill="auto"/>
            <w:vAlign w:val="bottom"/>
          </w:tcPr>
          <w:p w:rsidR="007245AC" w:rsidRPr="002B7A11" w:rsidRDefault="007245AC" w:rsidP="002B7A11">
            <w:pPr>
              <w:spacing w:after="60" w:line="280" w:lineRule="exact"/>
              <w:ind w:right="57"/>
              <w:jc w:val="right"/>
              <w:rPr>
                <w:bCs/>
                <w:sz w:val="17"/>
                <w:szCs w:val="18"/>
              </w:rPr>
            </w:pPr>
          </w:p>
        </w:tc>
        <w:tc>
          <w:tcPr>
            <w:tcW w:w="669" w:type="dxa"/>
            <w:tcBorders>
              <w:top w:val="single" w:sz="12" w:space="0" w:color="auto"/>
            </w:tcBorders>
            <w:shd w:val="clear" w:color="auto" w:fill="auto"/>
            <w:vAlign w:val="bottom"/>
          </w:tcPr>
          <w:p w:rsidR="007245AC" w:rsidRPr="002B7A11" w:rsidRDefault="007245AC" w:rsidP="002B7A11">
            <w:pPr>
              <w:spacing w:after="60" w:line="280" w:lineRule="exact"/>
              <w:ind w:right="57"/>
              <w:jc w:val="right"/>
              <w:rPr>
                <w:bCs/>
                <w:sz w:val="17"/>
                <w:szCs w:val="18"/>
              </w:rPr>
            </w:pP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bCs/>
                <w:sz w:val="17"/>
                <w:szCs w:val="18"/>
              </w:rPr>
            </w:pPr>
            <w:r w:rsidRPr="002B7A11">
              <w:rPr>
                <w:rFonts w:hint="eastAsia"/>
                <w:bCs/>
                <w:sz w:val="17"/>
                <w:szCs w:val="18"/>
              </w:rPr>
              <w:t>合计</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bCs/>
                <w:sz w:val="17"/>
                <w:szCs w:val="18"/>
              </w:rPr>
            </w:pPr>
            <w:r w:rsidRPr="002B7A11">
              <w:rPr>
                <w:bCs/>
                <w:sz w:val="17"/>
                <w:szCs w:val="18"/>
              </w:rPr>
              <w:t>113 004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bCs/>
                <w:sz w:val="17"/>
                <w:szCs w:val="18"/>
              </w:rPr>
            </w:pPr>
            <w:r w:rsidRPr="002B7A11">
              <w:rPr>
                <w:bCs/>
                <w:sz w:val="17"/>
                <w:szCs w:val="18"/>
              </w:rPr>
              <w:t>59 823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bCs/>
                <w:sz w:val="17"/>
                <w:szCs w:val="18"/>
              </w:rPr>
            </w:pPr>
            <w:r w:rsidRPr="002B7A11">
              <w:rPr>
                <w:bCs/>
                <w:sz w:val="17"/>
                <w:szCs w:val="18"/>
              </w:rPr>
              <w:t>53 181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bCs/>
                <w:sz w:val="17"/>
                <w:szCs w:val="18"/>
              </w:rPr>
            </w:pPr>
            <w:r w:rsidRPr="002B7A11">
              <w:rPr>
                <w:bCs/>
                <w:sz w:val="17"/>
                <w:szCs w:val="18"/>
              </w:rPr>
              <w:t>1 475.3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bCs/>
                <w:sz w:val="17"/>
                <w:szCs w:val="18"/>
              </w:rPr>
            </w:pPr>
            <w:r w:rsidRPr="002B7A11">
              <w:rPr>
                <w:bCs/>
                <w:sz w:val="17"/>
                <w:szCs w:val="18"/>
              </w:rPr>
              <w:t>1 612.3</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bCs/>
                <w:sz w:val="17"/>
                <w:szCs w:val="18"/>
              </w:rPr>
            </w:pPr>
            <w:r w:rsidRPr="002B7A11">
              <w:rPr>
                <w:bCs/>
                <w:sz w:val="17"/>
                <w:szCs w:val="18"/>
              </w:rPr>
              <w:t>1 346.5</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某些传染病和寄生虫病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710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461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249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12.4</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6.3</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发病率</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17 992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10 466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7 526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234.9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282.1</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190.6</w:t>
            </w:r>
          </w:p>
        </w:tc>
      </w:tr>
      <w:tr w:rsidR="007245AC" w:rsidRPr="002B7A11" w:rsidTr="002B7A11">
        <w:trPr>
          <w:trHeight w:val="240"/>
        </w:trPr>
        <w:tc>
          <w:tcPr>
            <w:tcW w:w="7253" w:type="dxa"/>
            <w:gridSpan w:val="7"/>
            <w:shd w:val="clear" w:color="auto" w:fill="auto"/>
          </w:tcPr>
          <w:p w:rsidR="007245AC" w:rsidRPr="002B7A11" w:rsidRDefault="007245AC" w:rsidP="007245AC">
            <w:pPr>
              <w:tabs>
                <w:tab w:val="left" w:pos="334"/>
                <w:tab w:val="left" w:pos="669"/>
                <w:tab w:val="left" w:pos="1003"/>
                <w:tab w:val="left" w:pos="1338"/>
              </w:tabs>
              <w:suppressAutoHyphens/>
              <w:spacing w:after="60" w:line="280" w:lineRule="exact"/>
              <w:ind w:right="57"/>
              <w:jc w:val="left"/>
              <w:rPr>
                <w:rFonts w:hint="eastAsia"/>
                <w:sz w:val="17"/>
                <w:szCs w:val="18"/>
              </w:rPr>
            </w:pPr>
            <w:r w:rsidRPr="002B7A11">
              <w:rPr>
                <w:rFonts w:hint="eastAsia"/>
                <w:sz w:val="17"/>
                <w:szCs w:val="18"/>
              </w:rPr>
              <w:t>包括：</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消化器官恶性病变</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6 450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3 767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2 683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84.2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101.5</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67.9</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呼吸器官和胸部恶性病变</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3 914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3 236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678</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51.1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87.2</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17.2</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血液病、与免疫系统有关的造血器官疾病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2.4</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内分泌疾病、营养和新陈代谢失调</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2 166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952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1 214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28.3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25.7</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30.7</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精神和行为障碍</w:t>
            </w:r>
            <w:r w:rsidRPr="002B7A11">
              <w:rPr>
                <w:sz w:val="17"/>
                <w:szCs w:val="18"/>
              </w:rPr>
              <w:t xml:space="preserve"> </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0.8</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神经系统疾病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975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550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425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14.8</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10.8</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眼睛及其附件疾病</w:t>
            </w:r>
            <w:r w:rsidRPr="002B7A11">
              <w:rPr>
                <w:sz w:val="17"/>
                <w:szCs w:val="18"/>
              </w:rPr>
              <w:t xml:space="preserve"> </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0.0</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耳疾和乳突</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0.0</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循环器官疾病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74 380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36 770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37 610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971.0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991.0</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952.3</w:t>
            </w:r>
          </w:p>
        </w:tc>
      </w:tr>
      <w:tr w:rsidR="007245AC" w:rsidRPr="002B7A11" w:rsidTr="002B7A11">
        <w:trPr>
          <w:trHeight w:val="240"/>
        </w:trPr>
        <w:tc>
          <w:tcPr>
            <w:tcW w:w="7253" w:type="dxa"/>
            <w:gridSpan w:val="7"/>
            <w:shd w:val="clear" w:color="auto" w:fill="auto"/>
          </w:tcPr>
          <w:p w:rsidR="007245AC" w:rsidRPr="002B7A11" w:rsidRDefault="007245AC" w:rsidP="007245AC">
            <w:pPr>
              <w:tabs>
                <w:tab w:val="left" w:pos="334"/>
                <w:tab w:val="left" w:pos="669"/>
                <w:tab w:val="left" w:pos="1003"/>
                <w:tab w:val="left" w:pos="1338"/>
              </w:tabs>
              <w:suppressAutoHyphens/>
              <w:spacing w:after="60" w:line="280" w:lineRule="exact"/>
              <w:ind w:right="57"/>
              <w:jc w:val="left"/>
              <w:rPr>
                <w:rFonts w:hint="eastAsia"/>
                <w:sz w:val="17"/>
                <w:szCs w:val="18"/>
              </w:rPr>
            </w:pPr>
            <w:r w:rsidRPr="002B7A11">
              <w:rPr>
                <w:rFonts w:hint="eastAsia"/>
                <w:sz w:val="17"/>
                <w:szCs w:val="18"/>
              </w:rPr>
              <w:t>包括：</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张力亢进疾病</w:t>
            </w:r>
            <w:r w:rsidRPr="002B7A11">
              <w:rPr>
                <w:sz w:val="17"/>
                <w:szCs w:val="18"/>
              </w:rPr>
              <w:t xml:space="preserve"> </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8 282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3 817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4 465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108.1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102.9</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113.1</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缺血性心脏病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15 322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8 604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6 718</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200.0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231.9</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170.1</w:t>
            </w:r>
          </w:p>
        </w:tc>
      </w:tr>
      <w:tr w:rsidR="007245AC" w:rsidRPr="002B7A11" w:rsidTr="002B7A11">
        <w:trPr>
          <w:trHeight w:val="240"/>
        </w:trPr>
        <w:tc>
          <w:tcPr>
            <w:tcW w:w="7253" w:type="dxa"/>
            <w:gridSpan w:val="7"/>
            <w:shd w:val="clear" w:color="auto" w:fill="auto"/>
          </w:tcPr>
          <w:p w:rsidR="007245AC" w:rsidRPr="002B7A11" w:rsidRDefault="007245AC" w:rsidP="007245AC">
            <w:pPr>
              <w:tabs>
                <w:tab w:val="left" w:pos="334"/>
                <w:tab w:val="left" w:pos="669"/>
                <w:tab w:val="left" w:pos="1003"/>
                <w:tab w:val="left" w:pos="1338"/>
              </w:tabs>
              <w:suppressAutoHyphens/>
              <w:spacing w:after="60" w:line="280" w:lineRule="exact"/>
              <w:ind w:right="57"/>
              <w:jc w:val="left"/>
              <w:rPr>
                <w:rFonts w:hint="eastAsia"/>
                <w:sz w:val="17"/>
                <w:szCs w:val="18"/>
              </w:rPr>
            </w:pPr>
            <w:r w:rsidRPr="002B7A11">
              <w:rPr>
                <w:rFonts w:hint="eastAsia"/>
                <w:sz w:val="17"/>
                <w:szCs w:val="18"/>
              </w:rPr>
              <w:t>包括：</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急性心肌梗死</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6 646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4 174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2 472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86.8</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112.5</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62.6</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脑血管疾病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23 105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10 635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12 470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301.6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286.6</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315.7</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呼吸道疾病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4 540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2 820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1 720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59.3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76.0</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43.6</w:t>
            </w:r>
          </w:p>
        </w:tc>
      </w:tr>
      <w:tr w:rsidR="007245AC" w:rsidRPr="002B7A11" w:rsidTr="002B7A11">
        <w:trPr>
          <w:trHeight w:val="240"/>
        </w:trPr>
        <w:tc>
          <w:tcPr>
            <w:tcW w:w="7253" w:type="dxa"/>
            <w:gridSpan w:val="7"/>
            <w:shd w:val="clear" w:color="auto" w:fill="auto"/>
          </w:tcPr>
          <w:p w:rsidR="007245AC" w:rsidRPr="002B7A11" w:rsidRDefault="007245AC" w:rsidP="007245AC">
            <w:pPr>
              <w:tabs>
                <w:tab w:val="left" w:pos="334"/>
                <w:tab w:val="left" w:pos="669"/>
                <w:tab w:val="left" w:pos="1003"/>
                <w:tab w:val="left" w:pos="1338"/>
              </w:tabs>
              <w:suppressAutoHyphens/>
              <w:spacing w:after="60" w:line="280" w:lineRule="exact"/>
              <w:ind w:right="57"/>
              <w:jc w:val="left"/>
              <w:rPr>
                <w:rFonts w:hint="eastAsia"/>
                <w:sz w:val="17"/>
                <w:szCs w:val="18"/>
              </w:rPr>
            </w:pPr>
            <w:r w:rsidRPr="002B7A11">
              <w:rPr>
                <w:rFonts w:hint="eastAsia"/>
                <w:sz w:val="17"/>
                <w:szCs w:val="18"/>
              </w:rPr>
              <w:t>包括：</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流感和肺炎</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1 773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959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814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25.8</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20.6</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慢性下呼吸道疾病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1 927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1 328</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599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25.2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35.8</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15.2</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消化系统疾病</w:t>
            </w:r>
            <w:r w:rsidRPr="002B7A11">
              <w:rPr>
                <w:sz w:val="17"/>
                <w:szCs w:val="18"/>
              </w:rPr>
              <w:t xml:space="preserve">  </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3 493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2 360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1 133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45.6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63.6</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28.7</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皮肤病和皮下组织疾病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18</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0.5</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0.5</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骨骼肌肉系统疾病和连接组织疾病</w:t>
            </w:r>
            <w:r w:rsidRPr="002B7A11">
              <w:rPr>
                <w:sz w:val="17"/>
                <w:szCs w:val="18"/>
              </w:rPr>
              <w:t xml:space="preserve">  </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0.6</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0.8</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生殖泌尿系统疾病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1 320</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744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576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20.1</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14.6</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妊娠、分娩和产后疾病</w:t>
            </w:r>
            <w:r w:rsidRPr="002B7A11">
              <w:rPr>
                <w:sz w:val="17"/>
                <w:szCs w:val="18"/>
              </w:rPr>
              <w:t xml:space="preserve"> </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0.1</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0.2</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rFonts w:hint="eastAsia"/>
                <w:sz w:val="17"/>
                <w:szCs w:val="18"/>
              </w:rPr>
            </w:pPr>
            <w:r w:rsidRPr="002B7A11">
              <w:rPr>
                <w:rFonts w:hint="eastAsia"/>
                <w:sz w:val="17"/>
                <w:szCs w:val="18"/>
              </w:rPr>
              <w:t>围产期发作的某些疾病</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293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174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119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3.8</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4.7</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3.0</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先天性异常(生长缺陷)、畸形和染色体畸变</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169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85</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84</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2.1</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临床和实验室检测发现的症状、迹象和变异</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2 812</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1 409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1 403</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36.7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38.0</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35.5</w:t>
            </w:r>
          </w:p>
        </w:tc>
      </w:tr>
      <w:tr w:rsidR="007245AC" w:rsidRPr="002B7A11" w:rsidTr="007245AC">
        <w:trPr>
          <w:trHeight w:val="240"/>
        </w:trPr>
        <w:tc>
          <w:tcPr>
            <w:tcW w:w="3244" w:type="dxa"/>
            <w:shd w:val="clear" w:color="auto" w:fill="auto"/>
          </w:tcPr>
          <w:p w:rsidR="007245AC" w:rsidRPr="002B7A11" w:rsidRDefault="007245AC" w:rsidP="002B7A11">
            <w:pPr>
              <w:tabs>
                <w:tab w:val="left" w:pos="334"/>
                <w:tab w:val="left" w:pos="669"/>
                <w:tab w:val="left" w:pos="1003"/>
                <w:tab w:val="left" w:pos="1338"/>
              </w:tabs>
              <w:suppressAutoHyphens/>
              <w:spacing w:after="60" w:line="280" w:lineRule="exact"/>
              <w:ind w:right="57"/>
              <w:rPr>
                <w:sz w:val="17"/>
                <w:szCs w:val="18"/>
              </w:rPr>
            </w:pPr>
            <w:r w:rsidRPr="002B7A11">
              <w:rPr>
                <w:rFonts w:hint="eastAsia"/>
                <w:sz w:val="17"/>
                <w:szCs w:val="18"/>
              </w:rPr>
              <w:t>造成发病率和死亡率的内在原因</w:t>
            </w:r>
            <w:r w:rsidRPr="002B7A11">
              <w:rPr>
                <w:sz w:val="17"/>
                <w:szCs w:val="18"/>
              </w:rPr>
              <w:t xml:space="preserve"> </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3 797</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2 859</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938</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49.6</w:t>
            </w:r>
          </w:p>
        </w:tc>
        <w:tc>
          <w:tcPr>
            <w:tcW w:w="668"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77.1</w:t>
            </w:r>
          </w:p>
        </w:tc>
        <w:tc>
          <w:tcPr>
            <w:tcW w:w="669" w:type="dxa"/>
            <w:shd w:val="clear" w:color="auto" w:fill="auto"/>
            <w:vAlign w:val="bottom"/>
          </w:tcPr>
          <w:p w:rsidR="007245AC" w:rsidRPr="002B7A11" w:rsidRDefault="007245AC" w:rsidP="007245AC">
            <w:pPr>
              <w:tabs>
                <w:tab w:val="left" w:pos="334"/>
                <w:tab w:val="left" w:pos="669"/>
                <w:tab w:val="left" w:pos="1003"/>
                <w:tab w:val="left" w:pos="1338"/>
              </w:tabs>
              <w:suppressAutoHyphens/>
              <w:spacing w:after="60" w:line="280" w:lineRule="exact"/>
              <w:ind w:right="57"/>
              <w:jc w:val="right"/>
              <w:rPr>
                <w:sz w:val="17"/>
                <w:szCs w:val="18"/>
              </w:rPr>
            </w:pPr>
            <w:r w:rsidRPr="002B7A11">
              <w:rPr>
                <w:sz w:val="17"/>
                <w:szCs w:val="18"/>
              </w:rPr>
              <w:t>23.8</w:t>
            </w:r>
          </w:p>
        </w:tc>
      </w:tr>
      <w:tr w:rsidR="007245AC" w:rsidRPr="002B7A11" w:rsidTr="007245AC">
        <w:trPr>
          <w:trHeight w:val="240"/>
        </w:trPr>
        <w:tc>
          <w:tcPr>
            <w:tcW w:w="3244" w:type="dxa"/>
            <w:tcBorders>
              <w:bottom w:val="single" w:sz="12" w:space="0" w:color="auto"/>
            </w:tcBorders>
            <w:shd w:val="clear" w:color="auto" w:fill="auto"/>
          </w:tcPr>
          <w:p w:rsidR="007245AC" w:rsidRPr="002B7A11" w:rsidRDefault="007245AC" w:rsidP="007245AC">
            <w:pPr>
              <w:tabs>
                <w:tab w:val="left" w:pos="334"/>
                <w:tab w:val="left" w:pos="669"/>
                <w:tab w:val="left" w:pos="1003"/>
                <w:tab w:val="left" w:pos="1338"/>
              </w:tabs>
              <w:suppressAutoHyphens/>
              <w:spacing w:after="120" w:line="280" w:lineRule="exact"/>
              <w:ind w:right="57"/>
              <w:rPr>
                <w:sz w:val="17"/>
                <w:szCs w:val="18"/>
              </w:rPr>
            </w:pPr>
            <w:r w:rsidRPr="002B7A11">
              <w:rPr>
                <w:rFonts w:hint="eastAsia"/>
                <w:sz w:val="17"/>
                <w:szCs w:val="18"/>
              </w:rPr>
              <w:t>包括：交通事故</w:t>
            </w:r>
            <w:r w:rsidRPr="002B7A11">
              <w:rPr>
                <w:sz w:val="17"/>
                <w:szCs w:val="18"/>
              </w:rPr>
              <w:t xml:space="preserve"> </w:t>
            </w:r>
          </w:p>
        </w:tc>
        <w:tc>
          <w:tcPr>
            <w:tcW w:w="668" w:type="dxa"/>
            <w:tcBorders>
              <w:bottom w:val="single" w:sz="12" w:space="0" w:color="auto"/>
            </w:tcBorders>
            <w:shd w:val="clear" w:color="auto" w:fill="auto"/>
            <w:vAlign w:val="bottom"/>
          </w:tcPr>
          <w:p w:rsidR="007245AC" w:rsidRPr="002B7A11" w:rsidRDefault="007245AC" w:rsidP="007245AC">
            <w:pPr>
              <w:tabs>
                <w:tab w:val="left" w:pos="334"/>
                <w:tab w:val="left" w:pos="669"/>
                <w:tab w:val="left" w:pos="1003"/>
                <w:tab w:val="left" w:pos="1338"/>
              </w:tabs>
              <w:suppressAutoHyphens/>
              <w:spacing w:after="120" w:line="280" w:lineRule="exact"/>
              <w:ind w:right="57"/>
              <w:jc w:val="right"/>
              <w:rPr>
                <w:sz w:val="17"/>
                <w:szCs w:val="18"/>
              </w:rPr>
            </w:pPr>
            <w:r w:rsidRPr="002B7A11">
              <w:rPr>
                <w:sz w:val="17"/>
                <w:szCs w:val="18"/>
              </w:rPr>
              <w:t>1 070</w:t>
            </w:r>
          </w:p>
        </w:tc>
        <w:tc>
          <w:tcPr>
            <w:tcW w:w="668" w:type="dxa"/>
            <w:tcBorders>
              <w:bottom w:val="single" w:sz="12" w:space="0" w:color="auto"/>
            </w:tcBorders>
            <w:shd w:val="clear" w:color="auto" w:fill="auto"/>
            <w:vAlign w:val="bottom"/>
          </w:tcPr>
          <w:p w:rsidR="007245AC" w:rsidRPr="002B7A11" w:rsidRDefault="007245AC" w:rsidP="007245AC">
            <w:pPr>
              <w:tabs>
                <w:tab w:val="left" w:pos="334"/>
                <w:tab w:val="left" w:pos="669"/>
                <w:tab w:val="left" w:pos="1003"/>
                <w:tab w:val="left" w:pos="1338"/>
              </w:tabs>
              <w:suppressAutoHyphens/>
              <w:spacing w:after="120" w:line="280" w:lineRule="exact"/>
              <w:ind w:right="57"/>
              <w:jc w:val="right"/>
              <w:rPr>
                <w:sz w:val="17"/>
                <w:szCs w:val="18"/>
              </w:rPr>
            </w:pPr>
            <w:r w:rsidRPr="002B7A11">
              <w:rPr>
                <w:sz w:val="17"/>
                <w:szCs w:val="18"/>
              </w:rPr>
              <w:t>803</w:t>
            </w:r>
          </w:p>
        </w:tc>
        <w:tc>
          <w:tcPr>
            <w:tcW w:w="668" w:type="dxa"/>
            <w:tcBorders>
              <w:bottom w:val="single" w:sz="12" w:space="0" w:color="auto"/>
            </w:tcBorders>
            <w:shd w:val="clear" w:color="auto" w:fill="auto"/>
            <w:vAlign w:val="bottom"/>
          </w:tcPr>
          <w:p w:rsidR="007245AC" w:rsidRPr="002B7A11" w:rsidRDefault="007245AC" w:rsidP="007245AC">
            <w:pPr>
              <w:tabs>
                <w:tab w:val="left" w:pos="334"/>
                <w:tab w:val="left" w:pos="669"/>
                <w:tab w:val="left" w:pos="1003"/>
                <w:tab w:val="left" w:pos="1338"/>
              </w:tabs>
              <w:suppressAutoHyphens/>
              <w:spacing w:after="120" w:line="280" w:lineRule="exact"/>
              <w:ind w:right="57"/>
              <w:jc w:val="right"/>
              <w:rPr>
                <w:sz w:val="17"/>
                <w:szCs w:val="18"/>
              </w:rPr>
            </w:pPr>
            <w:r w:rsidRPr="002B7A11">
              <w:rPr>
                <w:sz w:val="17"/>
                <w:szCs w:val="18"/>
              </w:rPr>
              <w:t>267</w:t>
            </w:r>
          </w:p>
        </w:tc>
        <w:tc>
          <w:tcPr>
            <w:tcW w:w="668" w:type="dxa"/>
            <w:tcBorders>
              <w:bottom w:val="single" w:sz="12" w:space="0" w:color="auto"/>
            </w:tcBorders>
            <w:shd w:val="clear" w:color="auto" w:fill="auto"/>
            <w:vAlign w:val="bottom"/>
          </w:tcPr>
          <w:p w:rsidR="007245AC" w:rsidRPr="002B7A11" w:rsidRDefault="007245AC" w:rsidP="007245AC">
            <w:pPr>
              <w:tabs>
                <w:tab w:val="left" w:pos="334"/>
                <w:tab w:val="left" w:pos="669"/>
                <w:tab w:val="left" w:pos="1003"/>
                <w:tab w:val="left" w:pos="1338"/>
              </w:tabs>
              <w:suppressAutoHyphens/>
              <w:spacing w:after="120" w:line="280" w:lineRule="exact"/>
              <w:ind w:right="57"/>
              <w:jc w:val="right"/>
              <w:rPr>
                <w:sz w:val="17"/>
                <w:szCs w:val="18"/>
              </w:rPr>
            </w:pPr>
            <w:r w:rsidRPr="002B7A11">
              <w:rPr>
                <w:sz w:val="17"/>
                <w:szCs w:val="18"/>
              </w:rPr>
              <w:t>14.0</w:t>
            </w:r>
          </w:p>
        </w:tc>
        <w:tc>
          <w:tcPr>
            <w:tcW w:w="668" w:type="dxa"/>
            <w:tcBorders>
              <w:bottom w:val="single" w:sz="12" w:space="0" w:color="auto"/>
            </w:tcBorders>
            <w:shd w:val="clear" w:color="auto" w:fill="auto"/>
            <w:vAlign w:val="bottom"/>
          </w:tcPr>
          <w:p w:rsidR="007245AC" w:rsidRPr="002B7A11" w:rsidRDefault="007245AC" w:rsidP="007245AC">
            <w:pPr>
              <w:tabs>
                <w:tab w:val="left" w:pos="334"/>
                <w:tab w:val="left" w:pos="669"/>
                <w:tab w:val="left" w:pos="1003"/>
                <w:tab w:val="left" w:pos="1338"/>
              </w:tabs>
              <w:suppressAutoHyphens/>
              <w:spacing w:after="120" w:line="280" w:lineRule="exact"/>
              <w:ind w:right="57"/>
              <w:jc w:val="right"/>
              <w:rPr>
                <w:sz w:val="17"/>
                <w:szCs w:val="18"/>
              </w:rPr>
            </w:pPr>
            <w:r w:rsidRPr="002B7A11">
              <w:rPr>
                <w:sz w:val="17"/>
                <w:szCs w:val="18"/>
              </w:rPr>
              <w:t>21.6</w:t>
            </w:r>
          </w:p>
        </w:tc>
        <w:tc>
          <w:tcPr>
            <w:tcW w:w="669" w:type="dxa"/>
            <w:tcBorders>
              <w:bottom w:val="single" w:sz="12" w:space="0" w:color="auto"/>
            </w:tcBorders>
            <w:shd w:val="clear" w:color="auto" w:fill="auto"/>
            <w:vAlign w:val="bottom"/>
          </w:tcPr>
          <w:p w:rsidR="007245AC" w:rsidRPr="002B7A11" w:rsidRDefault="007245AC" w:rsidP="007245AC">
            <w:pPr>
              <w:tabs>
                <w:tab w:val="left" w:pos="334"/>
                <w:tab w:val="left" w:pos="669"/>
                <w:tab w:val="left" w:pos="1003"/>
                <w:tab w:val="left" w:pos="1338"/>
              </w:tabs>
              <w:suppressAutoHyphens/>
              <w:spacing w:after="120" w:line="280" w:lineRule="exact"/>
              <w:ind w:right="57"/>
              <w:jc w:val="right"/>
              <w:rPr>
                <w:sz w:val="17"/>
                <w:szCs w:val="18"/>
              </w:rPr>
            </w:pPr>
            <w:r w:rsidRPr="002B7A11">
              <w:rPr>
                <w:sz w:val="17"/>
                <w:szCs w:val="18"/>
              </w:rPr>
              <w:t>6.8</w:t>
            </w:r>
          </w:p>
        </w:tc>
      </w:tr>
    </w:tbl>
    <w:p w:rsidR="007245AC" w:rsidRPr="007245AC" w:rsidRDefault="007245AC" w:rsidP="007245AC">
      <w:pPr>
        <w:pStyle w:val="SingleTxtG"/>
        <w:spacing w:after="0" w:line="120" w:lineRule="exact"/>
        <w:rPr>
          <w:rFonts w:eastAsia="KaiTi_GB2312"/>
          <w:iCs/>
          <w:sz w:val="10"/>
          <w:szCs w:val="18"/>
          <w:lang w:val="en-US" w:eastAsia="zh-CN"/>
        </w:rPr>
      </w:pPr>
    </w:p>
    <w:p w:rsidR="007245AC" w:rsidRDefault="007245AC" w:rsidP="007245AC">
      <w:pPr>
        <w:pStyle w:val="FootnoteText"/>
        <w:tabs>
          <w:tab w:val="clear" w:pos="418"/>
          <w:tab w:val="right" w:pos="1476"/>
          <w:tab w:val="left" w:pos="1548"/>
          <w:tab w:val="right" w:pos="1836"/>
          <w:tab w:val="left" w:pos="1908"/>
        </w:tabs>
        <w:ind w:left="1548" w:right="1267" w:hanging="288"/>
        <w:rPr>
          <w:rFonts w:eastAsia="KaiTi_GB2312"/>
          <w:iCs/>
        </w:rPr>
      </w:pPr>
      <w:r>
        <w:tab/>
      </w:r>
      <w:r w:rsidRPr="007245AC">
        <w:rPr>
          <w:vertAlign w:val="superscript"/>
        </w:rPr>
        <w:t>*</w:t>
      </w:r>
      <w:r>
        <w:tab/>
      </w:r>
      <w:r w:rsidRPr="002B7A11">
        <w:rPr>
          <w:rFonts w:hint="eastAsia"/>
        </w:rPr>
        <w:t>世界卫生组织对疾病和健康相关问题进行的国际分类。</w:t>
      </w:r>
    </w:p>
    <w:p w:rsidR="00D66085" w:rsidRPr="002941D3" w:rsidRDefault="00D66085" w:rsidP="007245AC">
      <w:pPr>
        <w:pStyle w:val="FootnoteText"/>
        <w:tabs>
          <w:tab w:val="clear" w:pos="418"/>
          <w:tab w:val="right" w:pos="1476"/>
          <w:tab w:val="left" w:pos="1548"/>
          <w:tab w:val="right" w:pos="1836"/>
          <w:tab w:val="left" w:pos="1908"/>
        </w:tabs>
        <w:ind w:left="1548" w:right="1267" w:hanging="288"/>
        <w:rPr>
          <w:rFonts w:eastAsia="KaiTi_GB2312"/>
          <w:iCs/>
        </w:rPr>
      </w:pPr>
      <w:r w:rsidRPr="007245AC">
        <w:rPr>
          <w:rFonts w:ascii="KaiTi_GB2312" w:eastAsia="KaiTi_GB2312" w:hint="eastAsia"/>
        </w:rPr>
        <w:t>资料来源</w:t>
      </w:r>
      <w:r w:rsidRPr="007245AC">
        <w:rPr>
          <w:rFonts w:hint="eastAsia"/>
        </w:rPr>
        <w:t>：国家统计局。</w:t>
      </w:r>
    </w:p>
    <w:p w:rsidR="00D66085" w:rsidRPr="002941D3" w:rsidRDefault="00D66085" w:rsidP="002B7A11">
      <w:pPr>
        <w:pStyle w:val="SingleTxt"/>
        <w:rPr>
          <w:rFonts w:eastAsia="SimHei"/>
          <w:bCs/>
          <w:szCs w:val="21"/>
        </w:rPr>
      </w:pPr>
      <w:r w:rsidRPr="00D66085">
        <w:rPr>
          <w:rFonts w:hAnsi="SimSun"/>
          <w:bCs/>
          <w:szCs w:val="21"/>
          <w:lang w:val="en-GB"/>
        </w:rPr>
        <w:t>表</w:t>
      </w:r>
      <w:r w:rsidRPr="00D66085">
        <w:rPr>
          <w:rFonts w:hAnsi="SimSun"/>
          <w:bCs/>
          <w:szCs w:val="21"/>
        </w:rPr>
        <w:t>13</w:t>
      </w:r>
      <w:r w:rsidR="007245AC">
        <w:rPr>
          <w:rFonts w:eastAsia="SimHei"/>
          <w:bCs/>
          <w:szCs w:val="21"/>
        </w:rPr>
        <w:br/>
      </w:r>
      <w:r w:rsidRPr="002941D3">
        <w:rPr>
          <w:rFonts w:eastAsia="SimHei" w:hint="eastAsia"/>
          <w:bCs/>
          <w:szCs w:val="21"/>
        </w:rPr>
        <w:t>主要人口指数</w:t>
      </w:r>
      <w:r w:rsidRPr="002941D3">
        <w:rPr>
          <w:rFonts w:eastAsia="SimHei"/>
          <w:bCs/>
          <w:szCs w:val="21"/>
        </w:rPr>
        <w:t xml:space="preserve"> </w:t>
      </w:r>
    </w:p>
    <w:tbl>
      <w:tblPr>
        <w:tblW w:w="0" w:type="auto"/>
        <w:tblLayout w:type="fixed"/>
        <w:tblCellMar>
          <w:left w:w="0" w:type="dxa"/>
          <w:right w:w="0" w:type="dxa"/>
        </w:tblCellMar>
        <w:tblLook w:val="0000" w:firstRow="0" w:lastRow="0" w:firstColumn="0" w:lastColumn="0" w:noHBand="0" w:noVBand="0"/>
      </w:tblPr>
      <w:tblGrid>
        <w:gridCol w:w="1890"/>
        <w:gridCol w:w="884"/>
        <w:gridCol w:w="884"/>
        <w:gridCol w:w="884"/>
        <w:gridCol w:w="78"/>
        <w:gridCol w:w="806"/>
        <w:gridCol w:w="884"/>
        <w:gridCol w:w="884"/>
        <w:gridCol w:w="85"/>
        <w:gridCol w:w="799"/>
        <w:gridCol w:w="884"/>
        <w:gridCol w:w="884"/>
      </w:tblGrid>
      <w:tr w:rsidR="00BE0720" w:rsidRPr="00BE0720" w:rsidTr="00BE0720">
        <w:tblPrEx>
          <w:tblCellMar>
            <w:top w:w="0" w:type="dxa"/>
            <w:bottom w:w="0" w:type="dxa"/>
          </w:tblCellMar>
        </w:tblPrEx>
        <w:trPr>
          <w:tblHeader/>
        </w:trPr>
        <w:tc>
          <w:tcPr>
            <w:tcW w:w="1890" w:type="dxa"/>
            <w:tcBorders>
              <w:top w:val="single" w:sz="4" w:space="0" w:color="auto"/>
            </w:tcBorders>
            <w:shd w:val="clear" w:color="auto" w:fill="auto"/>
            <w:vAlign w:val="bottom"/>
          </w:tcPr>
          <w:p w:rsidR="00BE0720" w:rsidRPr="00BE0720" w:rsidRDefault="00BE0720" w:rsidP="00BE0720">
            <w:pPr>
              <w:suppressAutoHyphens/>
              <w:spacing w:before="60" w:after="60" w:line="200" w:lineRule="exact"/>
              <w:ind w:right="57"/>
              <w:rPr>
                <w:rFonts w:ascii="KaiTi_GB2312" w:eastAsia="KaiTi_GB2312"/>
                <w:sz w:val="15"/>
                <w:szCs w:val="18"/>
              </w:rPr>
            </w:pPr>
            <w:bookmarkStart w:id="10" w:name="_Hlk289952355"/>
          </w:p>
        </w:tc>
        <w:tc>
          <w:tcPr>
            <w:tcW w:w="2652" w:type="dxa"/>
            <w:gridSpan w:val="3"/>
            <w:tcBorders>
              <w:top w:val="single" w:sz="4" w:space="0" w:color="auto"/>
              <w:bottom w:val="single" w:sz="4" w:space="0" w:color="auto"/>
            </w:tcBorders>
            <w:shd w:val="clear" w:color="auto" w:fill="auto"/>
            <w:vAlign w:val="bottom"/>
          </w:tcPr>
          <w:p w:rsidR="00BE0720" w:rsidRPr="00BE0720" w:rsidRDefault="00BE0720" w:rsidP="00BE0720">
            <w:pPr>
              <w:suppressAutoHyphens/>
              <w:spacing w:before="60" w:after="60" w:line="200" w:lineRule="exact"/>
              <w:ind w:right="57"/>
              <w:jc w:val="center"/>
              <w:rPr>
                <w:rFonts w:ascii="KaiTi_GB2312" w:eastAsia="KaiTi_GB2312"/>
                <w:sz w:val="15"/>
                <w:szCs w:val="18"/>
              </w:rPr>
            </w:pPr>
            <w:r w:rsidRPr="00BE0720">
              <w:rPr>
                <w:rFonts w:ascii="KaiTi_GB2312" w:eastAsia="KaiTi_GB2312"/>
                <w:sz w:val="15"/>
                <w:szCs w:val="18"/>
              </w:rPr>
              <w:t>2005</w:t>
            </w:r>
            <w:r w:rsidRPr="00BE0720">
              <w:rPr>
                <w:rFonts w:ascii="KaiTi_GB2312" w:eastAsia="KaiTi_GB2312" w:hint="eastAsia"/>
                <w:sz w:val="15"/>
                <w:szCs w:val="18"/>
              </w:rPr>
              <w:t>年</w:t>
            </w:r>
          </w:p>
        </w:tc>
        <w:tc>
          <w:tcPr>
            <w:tcW w:w="78" w:type="dxa"/>
            <w:tcBorders>
              <w:top w:val="single" w:sz="4" w:space="0" w:color="auto"/>
            </w:tcBorders>
            <w:shd w:val="clear" w:color="auto" w:fill="auto"/>
            <w:vAlign w:val="bottom"/>
          </w:tcPr>
          <w:p w:rsidR="00BE0720" w:rsidRPr="00BE0720" w:rsidRDefault="00BE0720" w:rsidP="00BE0720">
            <w:pPr>
              <w:suppressAutoHyphens/>
              <w:spacing w:before="60" w:after="60" w:line="200" w:lineRule="exact"/>
              <w:ind w:right="57"/>
              <w:jc w:val="right"/>
              <w:rPr>
                <w:rFonts w:ascii="KaiTi_GB2312" w:eastAsia="KaiTi_GB2312"/>
                <w:sz w:val="15"/>
                <w:szCs w:val="18"/>
              </w:rPr>
            </w:pPr>
          </w:p>
        </w:tc>
        <w:tc>
          <w:tcPr>
            <w:tcW w:w="2574" w:type="dxa"/>
            <w:gridSpan w:val="3"/>
            <w:tcBorders>
              <w:top w:val="single" w:sz="4" w:space="0" w:color="auto"/>
              <w:bottom w:val="single" w:sz="4" w:space="0" w:color="auto"/>
            </w:tcBorders>
            <w:shd w:val="clear" w:color="auto" w:fill="auto"/>
            <w:vAlign w:val="bottom"/>
          </w:tcPr>
          <w:p w:rsidR="00BE0720" w:rsidRPr="00BE0720" w:rsidRDefault="00BE0720" w:rsidP="00BE0720">
            <w:pPr>
              <w:suppressAutoHyphens/>
              <w:spacing w:before="60" w:after="60" w:line="200" w:lineRule="exact"/>
              <w:ind w:right="57"/>
              <w:jc w:val="center"/>
              <w:rPr>
                <w:rFonts w:ascii="KaiTi_GB2312" w:eastAsia="KaiTi_GB2312"/>
                <w:sz w:val="15"/>
                <w:szCs w:val="18"/>
              </w:rPr>
            </w:pPr>
            <w:r w:rsidRPr="00BE0720">
              <w:rPr>
                <w:rFonts w:ascii="KaiTi_GB2312" w:eastAsia="KaiTi_GB2312"/>
                <w:sz w:val="15"/>
                <w:szCs w:val="18"/>
              </w:rPr>
              <w:t>2006</w:t>
            </w:r>
            <w:r w:rsidRPr="00BE0720">
              <w:rPr>
                <w:rFonts w:ascii="KaiTi_GB2312" w:eastAsia="KaiTi_GB2312" w:hint="eastAsia"/>
                <w:sz w:val="15"/>
                <w:szCs w:val="18"/>
              </w:rPr>
              <w:t>年</w:t>
            </w:r>
          </w:p>
        </w:tc>
        <w:tc>
          <w:tcPr>
            <w:tcW w:w="85" w:type="dxa"/>
            <w:tcBorders>
              <w:top w:val="single" w:sz="4" w:space="0" w:color="auto"/>
            </w:tcBorders>
            <w:shd w:val="clear" w:color="auto" w:fill="auto"/>
            <w:vAlign w:val="bottom"/>
          </w:tcPr>
          <w:p w:rsidR="00BE0720" w:rsidRPr="00BE0720" w:rsidRDefault="00BE0720" w:rsidP="00BE0720">
            <w:pPr>
              <w:suppressAutoHyphens/>
              <w:spacing w:before="60" w:after="60" w:line="200" w:lineRule="exact"/>
              <w:ind w:right="57"/>
              <w:jc w:val="right"/>
              <w:rPr>
                <w:rFonts w:ascii="KaiTi_GB2312" w:eastAsia="KaiTi_GB2312"/>
                <w:sz w:val="15"/>
                <w:szCs w:val="18"/>
              </w:rPr>
            </w:pPr>
          </w:p>
        </w:tc>
        <w:tc>
          <w:tcPr>
            <w:tcW w:w="2567" w:type="dxa"/>
            <w:gridSpan w:val="3"/>
            <w:tcBorders>
              <w:top w:val="single" w:sz="4" w:space="0" w:color="auto"/>
              <w:bottom w:val="single" w:sz="4" w:space="0" w:color="auto"/>
            </w:tcBorders>
            <w:shd w:val="clear" w:color="auto" w:fill="auto"/>
            <w:vAlign w:val="bottom"/>
          </w:tcPr>
          <w:p w:rsidR="00BE0720" w:rsidRPr="00BE0720" w:rsidRDefault="00BE0720" w:rsidP="00BE0720">
            <w:pPr>
              <w:suppressAutoHyphens/>
              <w:spacing w:before="60" w:after="60" w:line="200" w:lineRule="exact"/>
              <w:ind w:right="57"/>
              <w:jc w:val="center"/>
              <w:rPr>
                <w:rFonts w:ascii="KaiTi_GB2312" w:eastAsia="KaiTi_GB2312"/>
                <w:sz w:val="15"/>
                <w:szCs w:val="18"/>
              </w:rPr>
            </w:pPr>
            <w:r w:rsidRPr="00BE0720">
              <w:rPr>
                <w:rFonts w:ascii="KaiTi_GB2312" w:eastAsia="KaiTi_GB2312"/>
                <w:sz w:val="15"/>
                <w:szCs w:val="18"/>
              </w:rPr>
              <w:t>2007</w:t>
            </w:r>
            <w:r w:rsidRPr="00BE0720">
              <w:rPr>
                <w:rFonts w:ascii="KaiTi_GB2312" w:eastAsia="KaiTi_GB2312" w:hint="eastAsia"/>
                <w:sz w:val="15"/>
                <w:szCs w:val="18"/>
              </w:rPr>
              <w:t>年</w:t>
            </w:r>
          </w:p>
        </w:tc>
      </w:tr>
      <w:tr w:rsidR="00BE0720" w:rsidRPr="00BE0720" w:rsidTr="00BE0720">
        <w:tblPrEx>
          <w:tblCellMar>
            <w:top w:w="0" w:type="dxa"/>
            <w:bottom w:w="0" w:type="dxa"/>
          </w:tblCellMar>
        </w:tblPrEx>
        <w:trPr>
          <w:tblHeader/>
        </w:trPr>
        <w:tc>
          <w:tcPr>
            <w:tcW w:w="1890" w:type="dxa"/>
            <w:tcBorders>
              <w:bottom w:val="single" w:sz="12" w:space="0" w:color="auto"/>
            </w:tcBorders>
            <w:shd w:val="clear" w:color="auto" w:fill="auto"/>
            <w:vAlign w:val="bottom"/>
          </w:tcPr>
          <w:p w:rsidR="00BE0720" w:rsidRPr="00BE0720" w:rsidRDefault="00BE0720" w:rsidP="00BE0720">
            <w:pPr>
              <w:suppressAutoHyphens/>
              <w:spacing w:after="60" w:line="200" w:lineRule="exact"/>
              <w:ind w:right="57"/>
              <w:rPr>
                <w:rFonts w:ascii="KaiTi_GB2312" w:eastAsia="KaiTi_GB2312"/>
                <w:sz w:val="15"/>
                <w:szCs w:val="18"/>
              </w:rPr>
            </w:pPr>
            <w:r w:rsidRPr="00BE0720">
              <w:rPr>
                <w:rFonts w:ascii="KaiTi_GB2312" w:eastAsia="KaiTi_GB2312" w:hint="eastAsia"/>
                <w:sz w:val="15"/>
                <w:szCs w:val="18"/>
              </w:rPr>
              <w:t>指数</w:t>
            </w:r>
          </w:p>
        </w:tc>
        <w:tc>
          <w:tcPr>
            <w:tcW w:w="884" w:type="dxa"/>
            <w:tcBorders>
              <w:top w:val="single" w:sz="4" w:space="0" w:color="auto"/>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hint="eastAsia"/>
                <w:sz w:val="15"/>
                <w:szCs w:val="18"/>
              </w:rPr>
            </w:pPr>
            <w:r w:rsidRPr="00BE0720">
              <w:rPr>
                <w:rFonts w:ascii="KaiTi_GB2312" w:eastAsia="KaiTi_GB2312" w:hint="eastAsia"/>
                <w:sz w:val="15"/>
                <w:szCs w:val="18"/>
              </w:rPr>
              <w:t>合计</w:t>
            </w:r>
          </w:p>
        </w:tc>
        <w:tc>
          <w:tcPr>
            <w:tcW w:w="884" w:type="dxa"/>
            <w:tcBorders>
              <w:top w:val="single" w:sz="4" w:space="0" w:color="auto"/>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hint="eastAsia"/>
                <w:sz w:val="15"/>
                <w:szCs w:val="18"/>
              </w:rPr>
            </w:pPr>
            <w:r w:rsidRPr="00BE0720">
              <w:rPr>
                <w:rFonts w:ascii="KaiTi_GB2312" w:eastAsia="KaiTi_GB2312" w:hint="eastAsia"/>
                <w:sz w:val="15"/>
                <w:szCs w:val="18"/>
              </w:rPr>
              <w:t>城市</w:t>
            </w:r>
          </w:p>
        </w:tc>
        <w:tc>
          <w:tcPr>
            <w:tcW w:w="884" w:type="dxa"/>
            <w:tcBorders>
              <w:top w:val="single" w:sz="4" w:space="0" w:color="auto"/>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hint="eastAsia"/>
                <w:sz w:val="15"/>
                <w:szCs w:val="18"/>
              </w:rPr>
            </w:pPr>
            <w:r w:rsidRPr="00BE0720">
              <w:rPr>
                <w:rFonts w:ascii="KaiTi_GB2312" w:eastAsia="KaiTi_GB2312" w:hint="eastAsia"/>
                <w:sz w:val="15"/>
                <w:szCs w:val="18"/>
              </w:rPr>
              <w:t>农村</w:t>
            </w:r>
          </w:p>
        </w:tc>
        <w:tc>
          <w:tcPr>
            <w:tcW w:w="884" w:type="dxa"/>
            <w:gridSpan w:val="2"/>
            <w:tcBorders>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sz w:val="15"/>
                <w:szCs w:val="18"/>
              </w:rPr>
            </w:pPr>
            <w:r w:rsidRPr="00BE0720">
              <w:rPr>
                <w:rFonts w:ascii="KaiTi_GB2312" w:eastAsia="KaiTi_GB2312" w:hint="eastAsia"/>
                <w:sz w:val="15"/>
                <w:szCs w:val="18"/>
              </w:rPr>
              <w:t>合计</w:t>
            </w:r>
          </w:p>
        </w:tc>
        <w:tc>
          <w:tcPr>
            <w:tcW w:w="884" w:type="dxa"/>
            <w:tcBorders>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sz w:val="15"/>
                <w:szCs w:val="18"/>
              </w:rPr>
            </w:pPr>
            <w:r w:rsidRPr="00BE0720">
              <w:rPr>
                <w:rFonts w:ascii="KaiTi_GB2312" w:eastAsia="KaiTi_GB2312" w:hint="eastAsia"/>
                <w:sz w:val="15"/>
                <w:szCs w:val="18"/>
              </w:rPr>
              <w:t>城市</w:t>
            </w:r>
          </w:p>
        </w:tc>
        <w:tc>
          <w:tcPr>
            <w:tcW w:w="884" w:type="dxa"/>
            <w:tcBorders>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hint="eastAsia"/>
                <w:sz w:val="15"/>
                <w:szCs w:val="18"/>
              </w:rPr>
            </w:pPr>
            <w:r w:rsidRPr="00BE0720">
              <w:rPr>
                <w:rFonts w:ascii="KaiTi_GB2312" w:eastAsia="KaiTi_GB2312" w:hint="eastAsia"/>
                <w:sz w:val="15"/>
                <w:szCs w:val="18"/>
              </w:rPr>
              <w:t>农村</w:t>
            </w:r>
          </w:p>
        </w:tc>
        <w:tc>
          <w:tcPr>
            <w:tcW w:w="884" w:type="dxa"/>
            <w:gridSpan w:val="2"/>
            <w:tcBorders>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sz w:val="15"/>
                <w:szCs w:val="18"/>
              </w:rPr>
            </w:pPr>
            <w:r w:rsidRPr="00BE0720">
              <w:rPr>
                <w:rFonts w:ascii="KaiTi_GB2312" w:eastAsia="KaiTi_GB2312" w:hint="eastAsia"/>
                <w:sz w:val="15"/>
                <w:szCs w:val="18"/>
              </w:rPr>
              <w:t>合计</w:t>
            </w:r>
          </w:p>
        </w:tc>
        <w:tc>
          <w:tcPr>
            <w:tcW w:w="884" w:type="dxa"/>
            <w:tcBorders>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sz w:val="15"/>
                <w:szCs w:val="18"/>
              </w:rPr>
            </w:pPr>
            <w:r w:rsidRPr="00BE0720">
              <w:rPr>
                <w:rFonts w:ascii="KaiTi_GB2312" w:eastAsia="KaiTi_GB2312" w:hint="eastAsia"/>
                <w:sz w:val="15"/>
                <w:szCs w:val="18"/>
              </w:rPr>
              <w:t>城市</w:t>
            </w:r>
          </w:p>
        </w:tc>
        <w:tc>
          <w:tcPr>
            <w:tcW w:w="884" w:type="dxa"/>
            <w:tcBorders>
              <w:bottom w:val="single" w:sz="12" w:space="0" w:color="auto"/>
            </w:tcBorders>
            <w:shd w:val="clear" w:color="auto" w:fill="auto"/>
            <w:vAlign w:val="bottom"/>
          </w:tcPr>
          <w:p w:rsidR="00BE0720" w:rsidRPr="00BE0720" w:rsidRDefault="00BE0720" w:rsidP="00BE0720">
            <w:pPr>
              <w:suppressAutoHyphens/>
              <w:spacing w:before="40" w:after="60" w:line="200" w:lineRule="exact"/>
              <w:ind w:right="57"/>
              <w:jc w:val="right"/>
              <w:rPr>
                <w:rFonts w:ascii="KaiTi_GB2312" w:eastAsia="KaiTi_GB2312"/>
                <w:sz w:val="15"/>
                <w:szCs w:val="18"/>
              </w:rPr>
            </w:pPr>
            <w:r w:rsidRPr="00BE0720">
              <w:rPr>
                <w:rFonts w:ascii="KaiTi_GB2312" w:eastAsia="KaiTi_GB2312" w:hint="eastAsia"/>
                <w:sz w:val="15"/>
                <w:szCs w:val="18"/>
              </w:rPr>
              <w:t>农村</w:t>
            </w:r>
          </w:p>
        </w:tc>
      </w:tr>
      <w:tr w:rsidR="00BE0720" w:rsidRPr="00BE0720" w:rsidTr="00BE0720">
        <w:tblPrEx>
          <w:tblCellMar>
            <w:top w:w="0" w:type="dxa"/>
            <w:bottom w:w="0" w:type="dxa"/>
          </w:tblCellMar>
        </w:tblPrEx>
        <w:trPr>
          <w:trHeight w:hRule="exact" w:val="115"/>
          <w:tblHeader/>
        </w:trPr>
        <w:tc>
          <w:tcPr>
            <w:tcW w:w="1890"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p>
        </w:tc>
        <w:tc>
          <w:tcPr>
            <w:tcW w:w="884"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tcBorders>
              <w:top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人口密度(每平方公里)</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68.9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自然增长(每1 000人)</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-5.4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-12.7</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-5.1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-12.4</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-5.0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-12.3</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性别比例(按每1 000名男性计，女性人数)</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1062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1077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1028</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1064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1078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1030</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1065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1080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1030</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各居住地的人口结构(</w:t>
            </w:r>
            <w:r w:rsidRPr="00BE0720">
              <w:rPr>
                <w:sz w:val="17"/>
                <w:szCs w:val="18"/>
              </w:rPr>
              <w:t>%</w:t>
            </w:r>
            <w:r w:rsidRPr="00BE0720">
              <w:rPr>
                <w:rFonts w:hint="eastAsia"/>
                <w:sz w:val="17"/>
                <w:szCs w:val="18"/>
              </w:rPr>
              <w:t>)</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100.0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70.2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29.8</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100.0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70.6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29.4</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100.0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70.7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29.3</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受抚养人年龄比(%)</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44.5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37.5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64.0</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44.3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37.5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63.8</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44.3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37.8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63.1</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出生率(每1 000人)</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9.2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9.6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8.1</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9.6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8.3</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9.8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8.5</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生育率总和</w:t>
            </w:r>
            <w:r w:rsidRPr="00BE0720">
              <w:rPr>
                <w:sz w:val="17"/>
                <w:szCs w:val="18"/>
              </w:rPr>
              <w:t xml:space="preserve"> </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1.56</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1.60</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1.42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1.62</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死亡率(每</w:t>
            </w:r>
            <w:r w:rsidRPr="00BE0720">
              <w:rPr>
                <w:sz w:val="17"/>
                <w:szCs w:val="18"/>
              </w:rPr>
              <w:t>1</w:t>
            </w:r>
            <w:r w:rsidRPr="00BE0720">
              <w:rPr>
                <w:rFonts w:hint="eastAsia"/>
                <w:sz w:val="17"/>
                <w:szCs w:val="18"/>
              </w:rPr>
              <w:t xml:space="preserve"> </w:t>
            </w:r>
            <w:r w:rsidRPr="00BE0720">
              <w:rPr>
                <w:sz w:val="17"/>
                <w:szCs w:val="18"/>
              </w:rPr>
              <w:t>000</w:t>
            </w:r>
            <w:r w:rsidRPr="00BE0720">
              <w:rPr>
                <w:rFonts w:hint="eastAsia"/>
                <w:sz w:val="17"/>
                <w:szCs w:val="18"/>
              </w:rPr>
              <w:t>人)</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14.6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20.8</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14.7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20.7</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14.8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20.7</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sz w:val="17"/>
                <w:szCs w:val="18"/>
              </w:rPr>
              <w:t>  </w:t>
            </w:r>
            <w:r w:rsidRPr="00BE0720">
              <w:rPr>
                <w:rFonts w:hint="eastAsia"/>
                <w:sz w:val="17"/>
                <w:szCs w:val="18"/>
              </w:rPr>
              <w:t>男</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16.2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22.4</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16.2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22.3</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16.1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22.1</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sz w:val="17"/>
                <w:szCs w:val="18"/>
              </w:rPr>
              <w:t>  </w:t>
            </w:r>
            <w:r w:rsidRPr="00BE0720">
              <w:rPr>
                <w:rFonts w:hint="eastAsia"/>
                <w:sz w:val="17"/>
                <w:szCs w:val="18"/>
              </w:rPr>
              <w:t>女</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19.2</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11.0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19.2</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11.1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19.4</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儿童死亡率(每</w:t>
            </w:r>
            <w:r w:rsidRPr="00BE0720">
              <w:rPr>
                <w:sz w:val="17"/>
                <w:szCs w:val="18"/>
              </w:rPr>
              <w:t>1</w:t>
            </w:r>
            <w:r w:rsidRPr="00BE0720">
              <w:rPr>
                <w:rFonts w:hint="eastAsia"/>
                <w:sz w:val="17"/>
                <w:szCs w:val="18"/>
              </w:rPr>
              <w:t xml:space="preserve"> </w:t>
            </w:r>
            <w:r w:rsidRPr="00BE0720">
              <w:rPr>
                <w:sz w:val="17"/>
                <w:szCs w:val="18"/>
              </w:rPr>
              <w:t>000</w:t>
            </w:r>
            <w:r w:rsidRPr="00BE0720">
              <w:rPr>
                <w:rFonts w:hint="eastAsia"/>
                <w:sz w:val="17"/>
                <w:szCs w:val="18"/>
              </w:rPr>
              <w:t>名活产)</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10.4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8.9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14.6</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9.7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8.6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13.1</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9.2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12.7</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平均寿命</w:t>
            </w:r>
            <w:r w:rsidRPr="00BE0720">
              <w:rPr>
                <w:sz w:val="17"/>
                <w:szCs w:val="18"/>
              </w:rPr>
              <w:t xml:space="preserve"> </w:t>
            </w:r>
            <w:r w:rsidRPr="00BE0720">
              <w:rPr>
                <w:rFonts w:hint="eastAsia"/>
                <w:sz w:val="17"/>
                <w:szCs w:val="18"/>
              </w:rPr>
              <w:t>(年)</w:t>
            </w:r>
            <w:r w:rsidRPr="00BE0720">
              <w:rPr>
                <w:sz w:val="17"/>
                <w:szCs w:val="18"/>
              </w:rPr>
              <w:t>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vertAlign w:val="superscript"/>
              </w:rPr>
              <w:t>*</w:t>
            </w:r>
            <w:r w:rsidRPr="00BE0720">
              <w:rPr>
                <w:sz w:val="17"/>
                <w:szCs w:val="18"/>
              </w:rPr>
              <w:t>72.6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72.9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71.6</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vertAlign w:val="superscript"/>
              </w:rPr>
              <w:t>**</w:t>
            </w:r>
            <w:r w:rsidRPr="00BE0720">
              <w:rPr>
                <w:sz w:val="17"/>
                <w:szCs w:val="18"/>
              </w:rPr>
              <w:t>72.6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73.0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71.5</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vertAlign w:val="superscript"/>
              </w:rPr>
              <w:t>***</w:t>
            </w:r>
            <w:r w:rsidRPr="00BE0720">
              <w:rPr>
                <w:sz w:val="17"/>
                <w:szCs w:val="18"/>
              </w:rPr>
              <w:t>72.7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73.0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71.5</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sz w:val="17"/>
                <w:szCs w:val="18"/>
              </w:rPr>
              <w:t>   </w:t>
            </w:r>
            <w:r w:rsidRPr="00BE0720">
              <w:rPr>
                <w:rFonts w:hint="eastAsia"/>
                <w:sz w:val="17"/>
                <w:szCs w:val="18"/>
              </w:rPr>
              <w:t>男</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68.1</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67.9</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69.6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68.1</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sz w:val="17"/>
                <w:szCs w:val="18"/>
              </w:rPr>
              <w:t>  </w:t>
            </w:r>
            <w:r w:rsidRPr="00BE0720">
              <w:rPr>
                <w:rFonts w:hint="eastAsia"/>
                <w:sz w:val="17"/>
                <w:szCs w:val="18"/>
              </w:rPr>
              <w:t>女</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76.3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76.6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75.7</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76.3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76.5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75.6</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76.3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76.6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75.5</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结婚率(每</w:t>
            </w:r>
            <w:r w:rsidRPr="00BE0720">
              <w:rPr>
                <w:sz w:val="17"/>
                <w:szCs w:val="18"/>
              </w:rPr>
              <w:t>1</w:t>
            </w:r>
            <w:r w:rsidRPr="00BE0720">
              <w:rPr>
                <w:rFonts w:hint="eastAsia"/>
                <w:sz w:val="17"/>
                <w:szCs w:val="18"/>
              </w:rPr>
              <w:t xml:space="preserve"> </w:t>
            </w:r>
            <w:r w:rsidRPr="00BE0720">
              <w:rPr>
                <w:sz w:val="17"/>
                <w:szCs w:val="18"/>
              </w:rPr>
              <w:t>000</w:t>
            </w:r>
            <w:r w:rsidRPr="00BE0720">
              <w:rPr>
                <w:rFonts w:hint="eastAsia"/>
                <w:sz w:val="17"/>
                <w:szCs w:val="18"/>
              </w:rPr>
              <w:t>人)</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3.0</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2.8</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rFonts w:hint="eastAsia"/>
                <w:sz w:val="17"/>
                <w:szCs w:val="18"/>
              </w:rPr>
              <w:t>离婚率(每</w:t>
            </w:r>
            <w:r w:rsidRPr="00BE0720">
              <w:rPr>
                <w:sz w:val="17"/>
                <w:szCs w:val="18"/>
              </w:rPr>
              <w:t>1</w:t>
            </w:r>
            <w:r w:rsidRPr="00BE0720">
              <w:rPr>
                <w:rFonts w:hint="eastAsia"/>
                <w:sz w:val="17"/>
                <w:szCs w:val="18"/>
              </w:rPr>
              <w:t xml:space="preserve"> </w:t>
            </w:r>
            <w:r w:rsidRPr="00BE0720">
              <w:rPr>
                <w:sz w:val="17"/>
                <w:szCs w:val="18"/>
              </w:rPr>
              <w:t>000</w:t>
            </w:r>
            <w:r w:rsidRPr="00BE0720">
              <w:rPr>
                <w:rFonts w:hint="eastAsia"/>
                <w:sz w:val="17"/>
                <w:szCs w:val="18"/>
              </w:rPr>
              <w:t>人)</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1.2</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平均年龄(年)：</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人口</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39.5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45.2</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39.7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45.3</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41.5</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39.9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45.4</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育龄妇女</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sz w:val="17"/>
                <w:szCs w:val="18"/>
              </w:rPr>
              <w:t> </w:t>
            </w:r>
            <w:r w:rsidRPr="00BE0720">
              <w:rPr>
                <w:rFonts w:hint="eastAsia"/>
                <w:sz w:val="17"/>
                <w:szCs w:val="18"/>
              </w:rPr>
              <w:t>生育第一个孩子</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22.5</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22.7</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22.8</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sz w:val="17"/>
                <w:szCs w:val="18"/>
              </w:rPr>
              <w:t>  </w:t>
            </w:r>
            <w:r w:rsidRPr="00BE0720">
              <w:rPr>
                <w:rFonts w:hint="eastAsia"/>
                <w:sz w:val="17"/>
                <w:szCs w:val="18"/>
              </w:rPr>
              <w:t>孩子</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24.4</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27.0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24.5</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26.7</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27.3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24.8</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结婚：</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sz w:val="17"/>
                <w:szCs w:val="18"/>
              </w:rPr>
              <w:t xml:space="preserve">  </w:t>
            </w:r>
            <w:r w:rsidRPr="00BE0720">
              <w:rPr>
                <w:rFonts w:hint="eastAsia"/>
                <w:sz w:val="17"/>
                <w:szCs w:val="18"/>
              </w:rPr>
              <w:t>男</w:t>
            </w:r>
            <w:r w:rsidRPr="00BE0720">
              <w:rPr>
                <w:sz w:val="17"/>
                <w:szCs w:val="18"/>
              </w:rPr>
              <w:t xml:space="preserve"> </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28.0</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29.6</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28.1</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29.0</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29.3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28.0</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sz w:val="17"/>
                <w:szCs w:val="18"/>
              </w:rPr>
              <w:t xml:space="preserve">  </w:t>
            </w:r>
            <w:r w:rsidRPr="00BE0720">
              <w:rPr>
                <w:rFonts w:hint="eastAsia"/>
                <w:sz w:val="17"/>
                <w:szCs w:val="18"/>
              </w:rPr>
              <w:t>女</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26.2</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24.5</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24.5</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25.9</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26.4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24.4</w:t>
            </w: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rFonts w:hint="eastAsia"/>
                <w:sz w:val="17"/>
                <w:szCs w:val="18"/>
              </w:rPr>
            </w:pPr>
            <w:r w:rsidRPr="00BE0720">
              <w:rPr>
                <w:rFonts w:hint="eastAsia"/>
                <w:sz w:val="17"/>
                <w:szCs w:val="18"/>
              </w:rPr>
              <w:t>离婚：</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p>
        </w:tc>
      </w:tr>
      <w:tr w:rsidR="00BE0720" w:rsidRPr="00BE0720" w:rsidTr="00BE0720">
        <w:tblPrEx>
          <w:tblCellMar>
            <w:top w:w="0" w:type="dxa"/>
            <w:bottom w:w="0" w:type="dxa"/>
          </w:tblCellMar>
        </w:tblPrEx>
        <w:tc>
          <w:tcPr>
            <w:tcW w:w="1890"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sz w:val="17"/>
                <w:szCs w:val="18"/>
              </w:rPr>
              <w:t xml:space="preserve">  </w:t>
            </w:r>
            <w:r w:rsidRPr="00BE0720">
              <w:rPr>
                <w:rFonts w:hint="eastAsia"/>
                <w:sz w:val="17"/>
                <w:szCs w:val="18"/>
              </w:rPr>
              <w:t>男</w:t>
            </w:r>
            <w:r w:rsidRPr="00BE0720">
              <w:rPr>
                <w:sz w:val="17"/>
                <w:szCs w:val="18"/>
              </w:rPr>
              <w:t xml:space="preserve"> </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40.8</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42.1</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41.1</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41.9</w:t>
            </w:r>
          </w:p>
        </w:tc>
        <w:tc>
          <w:tcPr>
            <w:tcW w:w="884" w:type="dxa"/>
            <w:gridSpan w:val="2"/>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41.4</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41.3</w:t>
            </w:r>
          </w:p>
        </w:tc>
        <w:tc>
          <w:tcPr>
            <w:tcW w:w="884" w:type="dxa"/>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42.3</w:t>
            </w:r>
          </w:p>
        </w:tc>
      </w:tr>
      <w:tr w:rsidR="00BE0720" w:rsidRPr="00BE0720" w:rsidTr="00BE0720">
        <w:tblPrEx>
          <w:tblCellMar>
            <w:top w:w="0" w:type="dxa"/>
            <w:bottom w:w="0" w:type="dxa"/>
          </w:tblCellMar>
        </w:tblPrEx>
        <w:tc>
          <w:tcPr>
            <w:tcW w:w="1890"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rPr>
                <w:sz w:val="17"/>
                <w:szCs w:val="18"/>
              </w:rPr>
            </w:pPr>
            <w:r w:rsidRPr="00BE0720">
              <w:rPr>
                <w:sz w:val="17"/>
                <w:szCs w:val="18"/>
              </w:rPr>
              <w:t xml:space="preserve">  </w:t>
            </w:r>
            <w:r w:rsidRPr="00BE0720">
              <w:rPr>
                <w:rFonts w:hint="eastAsia"/>
                <w:sz w:val="17"/>
                <w:szCs w:val="18"/>
              </w:rPr>
              <w:t>女</w:t>
            </w:r>
          </w:p>
        </w:tc>
        <w:tc>
          <w:tcPr>
            <w:tcW w:w="884"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37.6</w:t>
            </w:r>
          </w:p>
        </w:tc>
        <w:tc>
          <w:tcPr>
            <w:tcW w:w="884"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37.4</w:t>
            </w:r>
          </w:p>
        </w:tc>
        <w:tc>
          <w:tcPr>
            <w:tcW w:w="884"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38.4</w:t>
            </w:r>
          </w:p>
        </w:tc>
        <w:tc>
          <w:tcPr>
            <w:tcW w:w="884" w:type="dxa"/>
            <w:gridSpan w:val="2"/>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37.7</w:t>
            </w:r>
          </w:p>
        </w:tc>
        <w:tc>
          <w:tcPr>
            <w:tcW w:w="884"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37.6</w:t>
            </w:r>
          </w:p>
        </w:tc>
        <w:tc>
          <w:tcPr>
            <w:tcW w:w="884"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38.3</w:t>
            </w:r>
          </w:p>
        </w:tc>
        <w:tc>
          <w:tcPr>
            <w:tcW w:w="884" w:type="dxa"/>
            <w:gridSpan w:val="2"/>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38.0</w:t>
            </w:r>
          </w:p>
        </w:tc>
        <w:tc>
          <w:tcPr>
            <w:tcW w:w="884"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38.0</w:t>
            </w:r>
          </w:p>
        </w:tc>
        <w:tc>
          <w:tcPr>
            <w:tcW w:w="884" w:type="dxa"/>
            <w:tcBorders>
              <w:bottom w:val="single" w:sz="12" w:space="0" w:color="auto"/>
            </w:tcBorders>
            <w:shd w:val="clear" w:color="auto" w:fill="auto"/>
            <w:vAlign w:val="bottom"/>
          </w:tcPr>
          <w:p w:rsidR="00BE0720" w:rsidRPr="00BE0720" w:rsidRDefault="00BE0720" w:rsidP="00BE0720">
            <w:pPr>
              <w:tabs>
                <w:tab w:val="left" w:pos="334"/>
                <w:tab w:val="left" w:pos="669"/>
                <w:tab w:val="left" w:pos="1003"/>
                <w:tab w:val="left" w:pos="1338"/>
              </w:tabs>
              <w:suppressAutoHyphens/>
              <w:spacing w:after="60" w:line="280" w:lineRule="exact"/>
              <w:ind w:right="57"/>
              <w:jc w:val="right"/>
              <w:rPr>
                <w:sz w:val="17"/>
                <w:szCs w:val="18"/>
              </w:rPr>
            </w:pPr>
            <w:r w:rsidRPr="00BE0720">
              <w:rPr>
                <w:sz w:val="17"/>
                <w:szCs w:val="18"/>
              </w:rPr>
              <w:t>38.4</w:t>
            </w:r>
          </w:p>
        </w:tc>
      </w:tr>
    </w:tbl>
    <w:p w:rsidR="007245AC" w:rsidRDefault="007245AC"/>
    <w:p w:rsidR="00BE0720" w:rsidRDefault="003503C6" w:rsidP="00BE0720">
      <w:pPr>
        <w:pStyle w:val="FootnoteText"/>
        <w:tabs>
          <w:tab w:val="clear" w:pos="418"/>
          <w:tab w:val="right" w:pos="1476"/>
          <w:tab w:val="left" w:pos="1548"/>
          <w:tab w:val="right" w:pos="1836"/>
          <w:tab w:val="left" w:pos="1908"/>
        </w:tabs>
        <w:ind w:left="1548" w:right="1267" w:hanging="288"/>
        <w:rPr>
          <w:rFonts w:hint="eastAsia"/>
        </w:rPr>
      </w:pPr>
      <w:r>
        <w:tab/>
      </w:r>
      <w:r w:rsidR="00BE0720">
        <w:rPr>
          <w:rFonts w:hint="eastAsia"/>
        </w:rPr>
        <w:t>1</w:t>
      </w:r>
      <w:r w:rsidR="00BE0720">
        <w:tab/>
      </w:r>
      <w:r w:rsidR="00BE0720">
        <w:rPr>
          <w:rFonts w:hint="eastAsia"/>
        </w:rPr>
        <w:t>分别列出关于平均寿命的数据：</w:t>
      </w:r>
    </w:p>
    <w:p w:rsidR="00BE0720" w:rsidRDefault="003503C6" w:rsidP="00BE0720">
      <w:pPr>
        <w:pStyle w:val="FootnoteText"/>
        <w:tabs>
          <w:tab w:val="clear" w:pos="418"/>
          <w:tab w:val="right" w:pos="1476"/>
          <w:tab w:val="left" w:pos="1548"/>
          <w:tab w:val="right" w:pos="1836"/>
          <w:tab w:val="left" w:pos="1908"/>
        </w:tabs>
        <w:ind w:left="1548" w:right="1267" w:hanging="288"/>
        <w:rPr>
          <w:rFonts w:hint="eastAsia"/>
        </w:rPr>
      </w:pPr>
      <w:r>
        <w:rPr>
          <w:rFonts w:hint="eastAsia"/>
          <w:vertAlign w:val="superscript"/>
        </w:rPr>
        <w:tab/>
      </w:r>
      <w:r w:rsidR="00BE0720" w:rsidRPr="00BE0720">
        <w:rPr>
          <w:rFonts w:hint="eastAsia"/>
          <w:vertAlign w:val="superscript"/>
        </w:rPr>
        <w:t>*</w:t>
      </w:r>
      <w:r w:rsidR="00BE0720">
        <w:tab/>
      </w:r>
      <w:r w:rsidR="00BE0720">
        <w:tab/>
      </w:r>
      <w:r w:rsidR="00BE0720">
        <w:rPr>
          <w:rFonts w:hint="eastAsia"/>
        </w:rPr>
        <w:t>2003</w:t>
      </w:r>
      <w:r w:rsidR="00BE0720">
        <w:t>-</w:t>
      </w:r>
      <w:r w:rsidR="00BE0720">
        <w:rPr>
          <w:rFonts w:hint="eastAsia"/>
        </w:rPr>
        <w:t>2005年</w:t>
      </w:r>
    </w:p>
    <w:p w:rsidR="00BE0720" w:rsidRDefault="00BE0720" w:rsidP="00BE0720">
      <w:pPr>
        <w:pStyle w:val="FootnoteText"/>
        <w:tabs>
          <w:tab w:val="clear" w:pos="418"/>
          <w:tab w:val="right" w:pos="1476"/>
          <w:tab w:val="left" w:pos="1548"/>
          <w:tab w:val="right" w:pos="1836"/>
          <w:tab w:val="left" w:pos="1908"/>
        </w:tabs>
        <w:ind w:left="1548" w:right="1267" w:hanging="288"/>
        <w:rPr>
          <w:rFonts w:hint="eastAsia"/>
        </w:rPr>
      </w:pPr>
      <w:r>
        <w:tab/>
      </w:r>
      <w:r w:rsidRPr="00BE0720">
        <w:rPr>
          <w:rFonts w:hint="eastAsia"/>
          <w:vertAlign w:val="superscript"/>
        </w:rPr>
        <w:t>**</w:t>
      </w:r>
      <w:r>
        <w:tab/>
      </w:r>
      <w:r>
        <w:tab/>
      </w:r>
      <w:r>
        <w:rPr>
          <w:rFonts w:hint="eastAsia"/>
        </w:rPr>
        <w:t>2004</w:t>
      </w:r>
      <w:r>
        <w:t>-</w:t>
      </w:r>
      <w:r>
        <w:rPr>
          <w:rFonts w:hint="eastAsia"/>
        </w:rPr>
        <w:t>2006年</w:t>
      </w:r>
    </w:p>
    <w:p w:rsidR="00BE0720" w:rsidRDefault="00BE0720" w:rsidP="00BE0720">
      <w:pPr>
        <w:pStyle w:val="FootnoteText"/>
        <w:tabs>
          <w:tab w:val="clear" w:pos="418"/>
          <w:tab w:val="right" w:pos="1476"/>
          <w:tab w:val="left" w:pos="1548"/>
          <w:tab w:val="right" w:pos="1836"/>
          <w:tab w:val="left" w:pos="1908"/>
        </w:tabs>
        <w:ind w:left="1548" w:right="1267" w:hanging="288"/>
        <w:rPr>
          <w:rFonts w:hint="eastAsia"/>
        </w:rPr>
      </w:pPr>
      <w:r>
        <w:tab/>
      </w:r>
      <w:r w:rsidRPr="00BE0720">
        <w:rPr>
          <w:rFonts w:hint="eastAsia"/>
          <w:vertAlign w:val="superscript"/>
        </w:rPr>
        <w:t>***</w:t>
      </w:r>
      <w:r w:rsidRPr="00BE0720">
        <w:rPr>
          <w:vertAlign w:val="superscript"/>
        </w:rPr>
        <w:tab/>
      </w:r>
      <w:r w:rsidRPr="00BE0720">
        <w:rPr>
          <w:vertAlign w:val="superscript"/>
        </w:rPr>
        <w:tab/>
      </w:r>
      <w:r>
        <w:rPr>
          <w:rFonts w:hint="eastAsia"/>
        </w:rPr>
        <w:t>2005</w:t>
      </w:r>
      <w:r>
        <w:t>-</w:t>
      </w:r>
      <w:r>
        <w:rPr>
          <w:rFonts w:hint="eastAsia"/>
        </w:rPr>
        <w:t>2007年</w:t>
      </w:r>
    </w:p>
    <w:p w:rsidR="007245AC" w:rsidRDefault="00BE0720" w:rsidP="00BE0720">
      <w:pPr>
        <w:pStyle w:val="FootnoteText"/>
        <w:tabs>
          <w:tab w:val="clear" w:pos="418"/>
          <w:tab w:val="right" w:pos="1476"/>
          <w:tab w:val="left" w:pos="1548"/>
          <w:tab w:val="right" w:pos="1836"/>
          <w:tab w:val="left" w:pos="1908"/>
        </w:tabs>
        <w:ind w:left="1548" w:right="1267" w:hanging="288"/>
      </w:pPr>
      <w:r>
        <w:tab/>
      </w:r>
      <w:r w:rsidRPr="00BE0720">
        <w:rPr>
          <w:rFonts w:ascii="KaiTi_GB2312" w:eastAsia="KaiTi_GB2312" w:hint="eastAsia"/>
        </w:rPr>
        <w:t>资料来源</w:t>
      </w:r>
      <w:r>
        <w:rPr>
          <w:rFonts w:hint="eastAsia"/>
        </w:rPr>
        <w:t>：国家统计局。</w:t>
      </w:r>
    </w:p>
    <w:bookmarkEnd w:id="10"/>
    <w:p w:rsidR="00054620" w:rsidRPr="00E215BA" w:rsidRDefault="00172B77" w:rsidP="00E215BA">
      <w:pPr>
        <w:pStyle w:val="SingleTxt"/>
        <w:spacing w:after="0" w:line="120" w:lineRule="exact"/>
        <w:rPr>
          <w:sz w:val="10"/>
        </w:rPr>
      </w:pPr>
      <w:r>
        <w:br w:type="page"/>
      </w:r>
    </w:p>
    <w:p w:rsidR="00172B77" w:rsidRDefault="00564395" w:rsidP="00564395">
      <w:pPr>
        <w:pStyle w:val="SingleTxt"/>
        <w:spacing w:line="240" w:lineRule="auto"/>
        <w:ind w:left="567"/>
      </w:pPr>
      <w:r>
        <w:rPr>
          <w:noProof/>
        </w:rPr>
        <w:pict>
          <v:group id="_x0000_s1040" style="position:absolute;left:0;text-align:left;margin-left:37.05pt;margin-top:21.4pt;width:438pt;height:270pt;z-index:2" coordorigin="1936,2281" coordsize="8760,5400">
            <v:shapetype id="_x0000_t202" coordsize="21600,21600" o:spt="202" path="m,l,21600r21600,l21600,xe">
              <v:stroke joinstyle="miter"/>
              <v:path gradientshapeok="t" o:connecttype="rect"/>
            </v:shapetype>
            <v:shape id="_x0000_s1041" type="#_x0000_t202" style="position:absolute;left:2596;top:2281;width:2900;height:540" filled="f" stroked="f">
              <v:textbox inset="0,0,0,0">
                <w:txbxContent>
                  <w:p w:rsidR="00D3764F" w:rsidRPr="002859FE" w:rsidRDefault="00D3764F" w:rsidP="00564395">
                    <w:pPr>
                      <w:rPr>
                        <w:rFonts w:eastAsia="SimHei"/>
                      </w:rPr>
                    </w:pPr>
                    <w:r w:rsidRPr="002859FE">
                      <w:rPr>
                        <w:rFonts w:eastAsia="SimHei"/>
                        <w:szCs w:val="21"/>
                        <w:lang w:val="bg-BG"/>
                      </w:rPr>
                      <w:t>2006</w:t>
                    </w:r>
                    <w:r w:rsidRPr="002859FE">
                      <w:rPr>
                        <w:rFonts w:eastAsia="SimHei"/>
                        <w:szCs w:val="21"/>
                        <w:lang w:val="bg-BG"/>
                      </w:rPr>
                      <w:t>年各种原因造成的死亡率</w:t>
                    </w:r>
                  </w:p>
                </w:txbxContent>
              </v:textbox>
            </v:shape>
            <v:shape id="_x0000_s1042" type="#_x0000_t202" style="position:absolute;left:7196;top:2281;width:2900;height:540" filled="f" stroked="f">
              <v:textbox inset="0,0,0,0">
                <w:txbxContent>
                  <w:p w:rsidR="00D3764F" w:rsidRPr="002859FE" w:rsidRDefault="00D3764F" w:rsidP="00564395">
                    <w:pPr>
                      <w:rPr>
                        <w:rFonts w:eastAsia="SimHei"/>
                      </w:rPr>
                    </w:pPr>
                    <w:r w:rsidRPr="002859FE">
                      <w:rPr>
                        <w:rFonts w:eastAsia="SimHei"/>
                        <w:szCs w:val="21"/>
                        <w:lang w:val="bg-BG"/>
                      </w:rPr>
                      <w:t>200</w:t>
                    </w:r>
                    <w:r>
                      <w:rPr>
                        <w:rFonts w:eastAsia="SimHei" w:hint="eastAsia"/>
                        <w:szCs w:val="21"/>
                        <w:lang w:val="bg-BG"/>
                      </w:rPr>
                      <w:t>7</w:t>
                    </w:r>
                    <w:r w:rsidRPr="002859FE">
                      <w:rPr>
                        <w:rFonts w:eastAsia="SimHei"/>
                        <w:szCs w:val="21"/>
                        <w:lang w:val="bg-BG"/>
                      </w:rPr>
                      <w:t>年各种原因造成的死亡率</w:t>
                    </w:r>
                  </w:p>
                </w:txbxContent>
              </v:textbox>
            </v:shape>
            <v:shape id="_x0000_s1043" type="#_x0000_t202" style="position:absolute;left:2596;top:3361;width:2300;height:540" filled="f" stroked="f">
              <v:textbox inset="0,0,0,0">
                <w:txbxContent>
                  <w:p w:rsidR="00D3764F" w:rsidRPr="002859FE" w:rsidRDefault="00D3764F" w:rsidP="00564395">
                    <w:pPr>
                      <w:spacing w:line="240" w:lineRule="exact"/>
                    </w:pPr>
                    <w:r w:rsidRPr="00790210">
                      <w:rPr>
                        <w:rFonts w:hint="eastAsia"/>
                        <w:sz w:val="18"/>
                        <w:szCs w:val="18"/>
                        <w:lang w:val="bg-BG"/>
                      </w:rPr>
                      <w:t>外伤、中毒、外部原因影响</w:t>
                    </w:r>
                    <w:r>
                      <w:rPr>
                        <w:sz w:val="18"/>
                        <w:szCs w:val="18"/>
                        <w:lang w:val="bg-BG"/>
                      </w:rPr>
                      <w:br/>
                    </w:r>
                    <w:r w:rsidRPr="00790210">
                      <w:rPr>
                        <w:rFonts w:hint="eastAsia"/>
                        <w:sz w:val="18"/>
                        <w:szCs w:val="18"/>
                        <w:lang w:val="bg-BG"/>
                      </w:rPr>
                      <w:t>导致的其他后果</w:t>
                    </w:r>
                  </w:p>
                </w:txbxContent>
              </v:textbox>
            </v:shape>
            <v:shape id="_x0000_s1044" type="#_x0000_t202" style="position:absolute;left:1936;top:4471;width:1960;height:330" filled="f" stroked="f">
              <v:textbox inset="0,0,0,0">
                <w:txbxContent>
                  <w:p w:rsidR="00D3764F" w:rsidRPr="002859FE" w:rsidRDefault="00D3764F" w:rsidP="00564395">
                    <w:pPr>
                      <w:spacing w:line="240" w:lineRule="exact"/>
                    </w:pPr>
                    <w:r w:rsidRPr="00790210">
                      <w:rPr>
                        <w:rFonts w:hint="eastAsia"/>
                        <w:sz w:val="18"/>
                        <w:szCs w:val="18"/>
                        <w:lang w:val="bg-BG"/>
                      </w:rPr>
                      <w:t>呼吸道系统疾病</w:t>
                    </w:r>
                  </w:p>
                </w:txbxContent>
              </v:textbox>
            </v:shape>
            <v:shape id="_x0000_s1045" type="#_x0000_t202" style="position:absolute;left:4496;top:4261;width:2300;height:540" filled="f" stroked="f">
              <v:textbox inset="0,0,0,0">
                <w:txbxContent>
                  <w:p w:rsidR="00D3764F" w:rsidRPr="002859FE" w:rsidRDefault="00D3764F" w:rsidP="00564395">
                    <w:pPr>
                      <w:spacing w:line="240" w:lineRule="exact"/>
                    </w:pPr>
                    <w:r>
                      <w:rPr>
                        <w:rFonts w:hint="eastAsia"/>
                        <w:sz w:val="18"/>
                        <w:szCs w:val="18"/>
                        <w:lang w:val="bg-BG"/>
                      </w:rPr>
                      <w:t>消化</w:t>
                    </w:r>
                    <w:r w:rsidRPr="00790210">
                      <w:rPr>
                        <w:rFonts w:hint="eastAsia"/>
                        <w:sz w:val="18"/>
                        <w:szCs w:val="18"/>
                        <w:lang w:val="bg-BG"/>
                      </w:rPr>
                      <w:t>系统疾病</w:t>
                    </w:r>
                  </w:p>
                </w:txbxContent>
              </v:textbox>
            </v:shape>
            <v:shape id="_x0000_s1046" type="#_x0000_t202" style="position:absolute;left:1956;top:4981;width:520;height:270" filled="f" stroked="f">
              <v:textbox inset="0,0,0,0">
                <w:txbxContent>
                  <w:p w:rsidR="00D3764F" w:rsidRPr="002859FE" w:rsidRDefault="00D3764F" w:rsidP="00564395">
                    <w:pPr>
                      <w:spacing w:line="240" w:lineRule="exact"/>
                    </w:pPr>
                    <w:r>
                      <w:rPr>
                        <w:rFonts w:hint="eastAsia"/>
                        <w:sz w:val="18"/>
                        <w:szCs w:val="18"/>
                        <w:lang w:val="bg-BG"/>
                      </w:rPr>
                      <w:t>其他</w:t>
                    </w:r>
                  </w:p>
                </w:txbxContent>
              </v:textbox>
            </v:shape>
            <v:shape id="_x0000_s1047" type="#_x0000_t202" style="position:absolute;left:2296;top:6961;width:700;height:360" filled="f" stroked="f">
              <v:textbox inset="0,0,0,0">
                <w:txbxContent>
                  <w:p w:rsidR="00D3764F" w:rsidRPr="002859FE" w:rsidRDefault="00D3764F" w:rsidP="00564395">
                    <w:pPr>
                      <w:spacing w:line="240" w:lineRule="exact"/>
                    </w:pPr>
                    <w:r>
                      <w:rPr>
                        <w:rFonts w:hint="eastAsia"/>
                        <w:sz w:val="18"/>
                        <w:szCs w:val="18"/>
                        <w:lang w:val="bg-BG"/>
                      </w:rPr>
                      <w:t>发病率</w:t>
                    </w:r>
                  </w:p>
                </w:txbxContent>
              </v:textbox>
            </v:shape>
            <v:shape id="_x0000_s1048" type="#_x0000_t202" style="position:absolute;left:4196;top:7471;width:2300;height:210" filled="f" stroked="f">
              <v:textbox inset="0,0,0,0">
                <w:txbxContent>
                  <w:p w:rsidR="00D3764F" w:rsidRPr="002859FE" w:rsidRDefault="00D3764F" w:rsidP="00564395">
                    <w:pPr>
                      <w:spacing w:line="240" w:lineRule="exact"/>
                    </w:pPr>
                    <w:r w:rsidRPr="00790210">
                      <w:rPr>
                        <w:rFonts w:hint="eastAsia"/>
                        <w:sz w:val="18"/>
                        <w:szCs w:val="18"/>
                        <w:lang w:val="bg-BG"/>
                      </w:rPr>
                      <w:t>血液循环器官</w:t>
                    </w:r>
                    <w:r w:rsidRPr="00564395">
                      <w:rPr>
                        <w:rFonts w:hint="eastAsia"/>
                      </w:rPr>
                      <w:t>疾病</w:t>
                    </w:r>
                  </w:p>
                </w:txbxContent>
              </v:textbox>
            </v:shape>
            <v:shape id="_x0000_s1049" type="#_x0000_t202" style="position:absolute;left:7636;top:4036;width:1960;height:330" filled="f" stroked="f">
              <v:textbox inset="0,0,0,0">
                <w:txbxContent>
                  <w:p w:rsidR="00D3764F" w:rsidRPr="002859FE" w:rsidRDefault="00D3764F" w:rsidP="00564395">
                    <w:pPr>
                      <w:spacing w:line="240" w:lineRule="exact"/>
                    </w:pPr>
                    <w:r>
                      <w:rPr>
                        <w:rFonts w:hint="eastAsia"/>
                        <w:sz w:val="18"/>
                        <w:szCs w:val="18"/>
                        <w:lang w:val="bg-BG"/>
                      </w:rPr>
                      <w:t>其他各类</w:t>
                    </w:r>
                    <w:r w:rsidRPr="00790210">
                      <w:rPr>
                        <w:rFonts w:hint="eastAsia"/>
                        <w:sz w:val="18"/>
                        <w:szCs w:val="18"/>
                        <w:lang w:val="bg-BG"/>
                      </w:rPr>
                      <w:t>疾病</w:t>
                    </w:r>
                  </w:p>
                </w:txbxContent>
              </v:textbox>
            </v:shape>
            <v:shape id="_x0000_s1050" type="#_x0000_t202" style="position:absolute;left:6596;top:4441;width:1960;height:540" filled="f" stroked="f">
              <v:textbox inset="0,0,0,0">
                <w:txbxContent>
                  <w:p w:rsidR="00D3764F" w:rsidRPr="002859FE" w:rsidRDefault="00D3764F" w:rsidP="00564395">
                    <w:pPr>
                      <w:spacing w:line="240" w:lineRule="exact"/>
                    </w:pPr>
                    <w:r w:rsidRPr="00790210">
                      <w:rPr>
                        <w:rFonts w:hint="eastAsia"/>
                        <w:sz w:val="18"/>
                        <w:szCs w:val="18"/>
                        <w:lang w:val="bg-BG"/>
                      </w:rPr>
                      <w:t>呼吸道系统</w:t>
                    </w:r>
                    <w:r>
                      <w:rPr>
                        <w:sz w:val="18"/>
                        <w:szCs w:val="18"/>
                        <w:lang w:val="bg-BG"/>
                      </w:rPr>
                      <w:br/>
                    </w:r>
                    <w:r w:rsidRPr="00790210">
                      <w:rPr>
                        <w:rFonts w:hint="eastAsia"/>
                        <w:sz w:val="18"/>
                        <w:szCs w:val="18"/>
                        <w:lang w:val="bg-BG"/>
                      </w:rPr>
                      <w:t>疾病</w:t>
                    </w:r>
                  </w:p>
                </w:txbxContent>
              </v:textbox>
            </v:shape>
            <v:shape id="_x0000_s1051" type="#_x0000_t202" style="position:absolute;left:9791;top:4261;width:905;height:540" filled="f" stroked="f">
              <v:textbox inset="0,0,0,0">
                <w:txbxContent>
                  <w:p w:rsidR="00D3764F" w:rsidRPr="002859FE" w:rsidRDefault="00D3764F" w:rsidP="00564395">
                    <w:pPr>
                      <w:spacing w:line="240" w:lineRule="exact"/>
                    </w:pPr>
                    <w:r w:rsidRPr="00790210">
                      <w:rPr>
                        <w:rFonts w:hint="eastAsia"/>
                        <w:sz w:val="18"/>
                        <w:szCs w:val="18"/>
                        <w:lang w:val="bg-BG"/>
                      </w:rPr>
                      <w:t>血液循环</w:t>
                    </w:r>
                    <w:r>
                      <w:rPr>
                        <w:sz w:val="18"/>
                        <w:szCs w:val="18"/>
                        <w:lang w:val="bg-BG"/>
                      </w:rPr>
                      <w:br/>
                    </w:r>
                    <w:r w:rsidRPr="00790210">
                      <w:rPr>
                        <w:rFonts w:hint="eastAsia"/>
                        <w:sz w:val="18"/>
                        <w:szCs w:val="18"/>
                        <w:lang w:val="bg-BG"/>
                      </w:rPr>
                      <w:t>器官疾病</w:t>
                    </w:r>
                  </w:p>
                </w:txbxContent>
              </v:textbox>
            </v:shape>
            <v:shape id="_x0000_s1052" type="#_x0000_t202" style="position:absolute;left:6696;top:6061;width:700;height:360" filled="f" stroked="f">
              <v:textbox inset="0,0,0,0">
                <w:txbxContent>
                  <w:p w:rsidR="00D3764F" w:rsidRPr="002859FE" w:rsidRDefault="00D3764F" w:rsidP="00564395">
                    <w:r>
                      <w:rPr>
                        <w:rFonts w:hint="eastAsia"/>
                        <w:sz w:val="18"/>
                        <w:szCs w:val="18"/>
                        <w:lang w:val="bg-BG"/>
                      </w:rPr>
                      <w:t>发病率</w:t>
                    </w:r>
                  </w:p>
                </w:txbxContent>
              </v:textbox>
            </v:shape>
          </v:group>
        </w:pict>
      </w:r>
      <w:r w:rsidRPr="002941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357.75pt" o:allowoverlap="f">
            <v:imagedata r:id="rId14" o:title=""/>
          </v:shape>
        </w:pict>
      </w:r>
    </w:p>
    <w:p w:rsidR="00564395" w:rsidRDefault="00564395" w:rsidP="005643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第14条</w:t>
      </w:r>
    </w:p>
    <w:p w:rsidR="00564395" w:rsidRPr="00564395" w:rsidRDefault="00564395" w:rsidP="00564395">
      <w:pPr>
        <w:pStyle w:val="SingleTxt"/>
        <w:spacing w:after="0" w:line="120" w:lineRule="exact"/>
        <w:rPr>
          <w:rFonts w:hint="eastAsia"/>
          <w:sz w:val="10"/>
        </w:rPr>
      </w:pPr>
    </w:p>
    <w:p w:rsidR="00054620" w:rsidRDefault="00564395" w:rsidP="00564395">
      <w:pPr>
        <w:pStyle w:val="SingleTxt"/>
        <w:rPr>
          <w:rFonts w:ascii="SimHei" w:eastAsia="SimHei"/>
        </w:rPr>
      </w:pPr>
      <w:r>
        <w:rPr>
          <w:rFonts w:hint="eastAsia"/>
        </w:rPr>
        <w:t>表1</w:t>
      </w:r>
      <w:r>
        <w:br/>
      </w:r>
      <w:r w:rsidRPr="00564395">
        <w:rPr>
          <w:rFonts w:ascii="SimHei" w:eastAsia="SimHei" w:hint="eastAsia"/>
        </w:rPr>
        <w:t>截止2007年12月31日按性别和年龄分列的农村人口(百分比)</w:t>
      </w:r>
    </w:p>
    <w:tbl>
      <w:tblPr>
        <w:tblW w:w="7370" w:type="dxa"/>
        <w:tblInd w:w="1264" w:type="dxa"/>
        <w:tblCellMar>
          <w:left w:w="0" w:type="dxa"/>
          <w:right w:w="0" w:type="dxa"/>
        </w:tblCellMar>
        <w:tblLook w:val="0000" w:firstRow="0" w:lastRow="0" w:firstColumn="0" w:lastColumn="0" w:noHBand="0" w:noVBand="0"/>
      </w:tblPr>
      <w:tblGrid>
        <w:gridCol w:w="2948"/>
        <w:gridCol w:w="1290"/>
        <w:gridCol w:w="1474"/>
        <w:gridCol w:w="1658"/>
      </w:tblGrid>
      <w:tr w:rsidR="00564395" w:rsidRPr="00E215BA" w:rsidTr="00E215BA">
        <w:trPr>
          <w:cantSplit/>
          <w:trHeight w:val="240"/>
          <w:tblHeader/>
        </w:trPr>
        <w:tc>
          <w:tcPr>
            <w:tcW w:w="2948" w:type="dxa"/>
            <w:tcBorders>
              <w:top w:val="single" w:sz="4" w:space="0" w:color="auto"/>
              <w:bottom w:val="single" w:sz="12" w:space="0" w:color="auto"/>
            </w:tcBorders>
            <w:shd w:val="clear" w:color="auto" w:fill="auto"/>
            <w:vAlign w:val="bottom"/>
          </w:tcPr>
          <w:p w:rsidR="00564395" w:rsidRPr="00E215BA" w:rsidRDefault="00564395" w:rsidP="00E215BA">
            <w:pPr>
              <w:suppressAutoHyphens/>
              <w:spacing w:before="60" w:after="60" w:line="200" w:lineRule="exact"/>
              <w:ind w:right="57"/>
              <w:rPr>
                <w:rFonts w:ascii="KaiTi_GB2312" w:eastAsia="KaiTi_GB2312" w:hint="eastAsia"/>
                <w:bCs/>
                <w:sz w:val="15"/>
                <w:szCs w:val="18"/>
              </w:rPr>
            </w:pPr>
            <w:r w:rsidRPr="00E215BA">
              <w:rPr>
                <w:rFonts w:ascii="KaiTi_GB2312" w:eastAsia="KaiTi_GB2312" w:hint="eastAsia"/>
                <w:bCs/>
                <w:sz w:val="15"/>
                <w:szCs w:val="18"/>
              </w:rPr>
              <w:t>性别</w:t>
            </w:r>
          </w:p>
        </w:tc>
        <w:tc>
          <w:tcPr>
            <w:tcW w:w="1290" w:type="dxa"/>
            <w:tcBorders>
              <w:top w:val="single" w:sz="4" w:space="0" w:color="auto"/>
              <w:bottom w:val="single" w:sz="12" w:space="0" w:color="auto"/>
            </w:tcBorders>
            <w:shd w:val="clear" w:color="auto" w:fill="auto"/>
            <w:vAlign w:val="bottom"/>
          </w:tcPr>
          <w:p w:rsidR="00564395" w:rsidRPr="00E215BA" w:rsidRDefault="00564395" w:rsidP="00E215BA">
            <w:pPr>
              <w:suppressAutoHyphens/>
              <w:spacing w:before="60" w:after="60" w:line="200" w:lineRule="exact"/>
              <w:ind w:right="57"/>
              <w:jc w:val="right"/>
              <w:rPr>
                <w:rFonts w:ascii="KaiTi_GB2312" w:eastAsia="KaiTi_GB2312"/>
                <w:sz w:val="15"/>
                <w:szCs w:val="18"/>
              </w:rPr>
            </w:pPr>
          </w:p>
        </w:tc>
        <w:tc>
          <w:tcPr>
            <w:tcW w:w="1474" w:type="dxa"/>
            <w:tcBorders>
              <w:top w:val="single" w:sz="4" w:space="0" w:color="auto"/>
              <w:bottom w:val="single" w:sz="12" w:space="0" w:color="auto"/>
            </w:tcBorders>
            <w:shd w:val="clear" w:color="auto" w:fill="auto"/>
            <w:vAlign w:val="bottom"/>
          </w:tcPr>
          <w:p w:rsidR="00564395" w:rsidRPr="00E215BA" w:rsidRDefault="00564395" w:rsidP="00E215BA">
            <w:pPr>
              <w:suppressAutoHyphens/>
              <w:spacing w:before="60" w:after="60" w:line="200" w:lineRule="exact"/>
              <w:ind w:right="57"/>
              <w:jc w:val="right"/>
              <w:rPr>
                <w:rFonts w:ascii="KaiTi_GB2312" w:eastAsia="KaiTi_GB2312"/>
                <w:sz w:val="15"/>
                <w:szCs w:val="18"/>
              </w:rPr>
            </w:pPr>
            <w:r w:rsidRPr="00E215BA">
              <w:rPr>
                <w:rFonts w:ascii="KaiTi_GB2312" w:eastAsia="KaiTi_GB2312" w:hint="eastAsia"/>
                <w:sz w:val="15"/>
                <w:szCs w:val="18"/>
              </w:rPr>
              <w:t>男</w:t>
            </w:r>
          </w:p>
        </w:tc>
        <w:tc>
          <w:tcPr>
            <w:tcW w:w="1658" w:type="dxa"/>
            <w:tcBorders>
              <w:top w:val="single" w:sz="4" w:space="0" w:color="auto"/>
              <w:bottom w:val="single" w:sz="12" w:space="0" w:color="auto"/>
            </w:tcBorders>
            <w:shd w:val="clear" w:color="auto" w:fill="auto"/>
            <w:vAlign w:val="bottom"/>
          </w:tcPr>
          <w:p w:rsidR="00564395" w:rsidRPr="00E215BA" w:rsidRDefault="00564395" w:rsidP="00E215BA">
            <w:pPr>
              <w:suppressAutoHyphens/>
              <w:spacing w:before="60" w:after="60" w:line="200" w:lineRule="exact"/>
              <w:ind w:right="57"/>
              <w:jc w:val="right"/>
              <w:rPr>
                <w:rFonts w:ascii="KaiTi_GB2312" w:eastAsia="KaiTi_GB2312" w:hint="eastAsia"/>
                <w:sz w:val="15"/>
                <w:szCs w:val="18"/>
              </w:rPr>
            </w:pPr>
            <w:r w:rsidRPr="00E215BA">
              <w:rPr>
                <w:rFonts w:ascii="KaiTi_GB2312" w:eastAsia="KaiTi_GB2312" w:hint="eastAsia"/>
                <w:sz w:val="15"/>
                <w:szCs w:val="18"/>
              </w:rPr>
              <w:t>女</w:t>
            </w:r>
          </w:p>
        </w:tc>
      </w:tr>
      <w:tr w:rsidR="00E215BA" w:rsidRPr="00E215BA" w:rsidTr="00E215BA">
        <w:trPr>
          <w:cantSplit/>
          <w:trHeight w:hRule="exact" w:val="115"/>
          <w:tblHeader/>
        </w:trPr>
        <w:tc>
          <w:tcPr>
            <w:tcW w:w="2948"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rPr>
                <w:rFonts w:hint="eastAsia"/>
                <w:bCs/>
                <w:sz w:val="17"/>
                <w:szCs w:val="18"/>
              </w:rPr>
            </w:pPr>
          </w:p>
        </w:tc>
        <w:tc>
          <w:tcPr>
            <w:tcW w:w="129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1474"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1658"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r>
      <w:tr w:rsidR="00564395" w:rsidRPr="00E215BA" w:rsidTr="00E215BA">
        <w:trPr>
          <w:cantSplit/>
          <w:trHeight w:val="240"/>
        </w:trPr>
        <w:tc>
          <w:tcPr>
            <w:tcW w:w="294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bCs/>
                <w:sz w:val="17"/>
                <w:szCs w:val="18"/>
              </w:rPr>
            </w:pPr>
            <w:r w:rsidRPr="00E215BA">
              <w:rPr>
                <w:rFonts w:hint="eastAsia"/>
                <w:bCs/>
                <w:sz w:val="17"/>
                <w:szCs w:val="18"/>
              </w:rPr>
              <w:t>合计(千人)</w:t>
            </w:r>
            <w:r w:rsidRPr="00E215BA">
              <w:rPr>
                <w:bCs/>
                <w:sz w:val="17"/>
                <w:szCs w:val="18"/>
                <w:vertAlign w:val="superscript"/>
              </w:rPr>
              <w:t>*</w:t>
            </w:r>
          </w:p>
        </w:tc>
        <w:tc>
          <w:tcPr>
            <w:tcW w:w="1290"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w:t>
            </w:r>
            <w:r w:rsidRPr="00E215BA">
              <w:rPr>
                <w:rFonts w:hint="eastAsia"/>
                <w:sz w:val="17"/>
                <w:szCs w:val="18"/>
              </w:rPr>
              <w:t xml:space="preserve"> </w:t>
            </w:r>
            <w:r w:rsidRPr="00E215BA">
              <w:rPr>
                <w:sz w:val="17"/>
                <w:szCs w:val="18"/>
              </w:rPr>
              <w:t>245.5</w:t>
            </w:r>
          </w:p>
        </w:tc>
        <w:tc>
          <w:tcPr>
            <w:tcW w:w="1474"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w:t>
            </w:r>
            <w:r w:rsidRPr="00E215BA">
              <w:rPr>
                <w:rFonts w:hint="eastAsia"/>
                <w:sz w:val="17"/>
                <w:szCs w:val="18"/>
              </w:rPr>
              <w:t xml:space="preserve"> </w:t>
            </w:r>
            <w:r w:rsidRPr="00E215BA">
              <w:rPr>
                <w:sz w:val="17"/>
                <w:szCs w:val="18"/>
              </w:rPr>
              <w:t>106.1</w:t>
            </w:r>
          </w:p>
        </w:tc>
        <w:tc>
          <w:tcPr>
            <w:tcW w:w="165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w:t>
            </w:r>
            <w:r w:rsidRPr="00E215BA">
              <w:rPr>
                <w:rFonts w:hint="eastAsia"/>
                <w:sz w:val="17"/>
                <w:szCs w:val="18"/>
              </w:rPr>
              <w:t xml:space="preserve"> </w:t>
            </w:r>
            <w:r w:rsidRPr="00E215BA">
              <w:rPr>
                <w:sz w:val="17"/>
                <w:szCs w:val="18"/>
              </w:rPr>
              <w:t>139.4</w:t>
            </w:r>
          </w:p>
        </w:tc>
      </w:tr>
      <w:tr w:rsidR="00564395" w:rsidRPr="00E215BA" w:rsidTr="00E215BA">
        <w:trPr>
          <w:cantSplit/>
          <w:trHeight w:val="240"/>
        </w:trPr>
        <w:tc>
          <w:tcPr>
            <w:tcW w:w="294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合计(</w:t>
            </w:r>
            <w:r w:rsidRPr="00E215BA">
              <w:rPr>
                <w:sz w:val="17"/>
                <w:szCs w:val="18"/>
              </w:rPr>
              <w:t>%</w:t>
            </w:r>
            <w:r w:rsidRPr="00E215BA">
              <w:rPr>
                <w:rFonts w:hint="eastAsia"/>
                <w:sz w:val="17"/>
                <w:szCs w:val="18"/>
              </w:rPr>
              <w:t>)</w:t>
            </w:r>
          </w:p>
        </w:tc>
        <w:tc>
          <w:tcPr>
            <w:tcW w:w="1290"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p>
        </w:tc>
        <w:tc>
          <w:tcPr>
            <w:tcW w:w="1474"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49,3</w:t>
            </w:r>
          </w:p>
        </w:tc>
        <w:tc>
          <w:tcPr>
            <w:tcW w:w="165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50</w:t>
            </w:r>
            <w:r w:rsidRPr="00E215BA">
              <w:rPr>
                <w:rFonts w:hint="eastAsia"/>
                <w:sz w:val="17"/>
                <w:szCs w:val="18"/>
              </w:rPr>
              <w:t>.</w:t>
            </w:r>
            <w:r w:rsidRPr="00E215BA">
              <w:rPr>
                <w:sz w:val="17"/>
                <w:szCs w:val="18"/>
              </w:rPr>
              <w:t>7</w:t>
            </w:r>
          </w:p>
        </w:tc>
      </w:tr>
      <w:tr w:rsidR="00564395" w:rsidRPr="00E215BA" w:rsidTr="00E215BA">
        <w:trPr>
          <w:cantSplit/>
          <w:trHeight w:val="240"/>
        </w:trPr>
        <w:tc>
          <w:tcPr>
            <w:tcW w:w="294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年龄(</w:t>
            </w:r>
            <w:bookmarkStart w:id="11" w:name="OLE_LINK73"/>
            <w:r w:rsidRPr="00E215BA">
              <w:rPr>
                <w:rFonts w:hint="eastAsia"/>
                <w:sz w:val="17"/>
                <w:szCs w:val="18"/>
              </w:rPr>
              <w:t>岁</w:t>
            </w:r>
            <w:bookmarkEnd w:id="11"/>
            <w:r w:rsidRPr="00E215BA">
              <w:rPr>
                <w:rFonts w:hint="eastAsia"/>
                <w:sz w:val="17"/>
                <w:szCs w:val="18"/>
              </w:rPr>
              <w:t>)</w:t>
            </w:r>
          </w:p>
        </w:tc>
        <w:tc>
          <w:tcPr>
            <w:tcW w:w="1290"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p>
        </w:tc>
        <w:tc>
          <w:tcPr>
            <w:tcW w:w="1474"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p>
        </w:tc>
        <w:tc>
          <w:tcPr>
            <w:tcW w:w="165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p>
        </w:tc>
      </w:tr>
      <w:tr w:rsidR="00564395" w:rsidRPr="00E215BA" w:rsidTr="00E215BA">
        <w:trPr>
          <w:cantSplit/>
          <w:trHeight w:val="240"/>
        </w:trPr>
        <w:tc>
          <w:tcPr>
            <w:tcW w:w="294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合计</w:t>
            </w:r>
          </w:p>
        </w:tc>
        <w:tc>
          <w:tcPr>
            <w:tcW w:w="1290"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p>
        </w:tc>
        <w:tc>
          <w:tcPr>
            <w:tcW w:w="1474"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p>
        </w:tc>
        <w:tc>
          <w:tcPr>
            <w:tcW w:w="165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p>
        </w:tc>
      </w:tr>
      <w:tr w:rsidR="00564395" w:rsidRPr="00E215BA" w:rsidTr="00E215BA">
        <w:trPr>
          <w:cantSplit/>
          <w:trHeight w:val="240"/>
        </w:trPr>
        <w:tc>
          <w:tcPr>
            <w:tcW w:w="294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sz w:val="17"/>
                <w:szCs w:val="18"/>
              </w:rPr>
            </w:pPr>
            <w:r w:rsidRPr="00E215BA">
              <w:rPr>
                <w:sz w:val="17"/>
                <w:szCs w:val="18"/>
              </w:rPr>
              <w:t>0-14</w:t>
            </w:r>
            <w:r w:rsidRPr="00E215BA">
              <w:rPr>
                <w:rFonts w:hint="eastAsia"/>
                <w:sz w:val="17"/>
                <w:szCs w:val="18"/>
              </w:rPr>
              <w:t>岁</w:t>
            </w:r>
          </w:p>
        </w:tc>
        <w:tc>
          <w:tcPr>
            <w:tcW w:w="1290"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14.9</w:t>
            </w:r>
          </w:p>
        </w:tc>
        <w:tc>
          <w:tcPr>
            <w:tcW w:w="1474"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15.5</w:t>
            </w:r>
          </w:p>
        </w:tc>
        <w:tc>
          <w:tcPr>
            <w:tcW w:w="165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14.3</w:t>
            </w:r>
          </w:p>
        </w:tc>
      </w:tr>
      <w:tr w:rsidR="00564395" w:rsidRPr="00E215BA" w:rsidTr="00E215BA">
        <w:trPr>
          <w:cantSplit/>
          <w:trHeight w:val="240"/>
        </w:trPr>
        <w:tc>
          <w:tcPr>
            <w:tcW w:w="294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sz w:val="17"/>
                <w:szCs w:val="18"/>
              </w:rPr>
            </w:pPr>
            <w:r w:rsidRPr="00E215BA">
              <w:rPr>
                <w:sz w:val="17"/>
                <w:szCs w:val="18"/>
              </w:rPr>
              <w:t>15-29</w:t>
            </w:r>
            <w:r w:rsidRPr="00E215BA">
              <w:rPr>
                <w:rFonts w:hint="eastAsia"/>
                <w:sz w:val="17"/>
                <w:szCs w:val="18"/>
              </w:rPr>
              <w:t>岁</w:t>
            </w:r>
          </w:p>
        </w:tc>
        <w:tc>
          <w:tcPr>
            <w:tcW w:w="1290"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17.8</w:t>
            </w:r>
          </w:p>
        </w:tc>
        <w:tc>
          <w:tcPr>
            <w:tcW w:w="1474"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19.2</w:t>
            </w:r>
          </w:p>
        </w:tc>
        <w:tc>
          <w:tcPr>
            <w:tcW w:w="165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16.5</w:t>
            </w:r>
          </w:p>
        </w:tc>
      </w:tr>
      <w:tr w:rsidR="00564395" w:rsidRPr="00E215BA" w:rsidTr="00E215BA">
        <w:trPr>
          <w:cantSplit/>
          <w:trHeight w:val="240"/>
        </w:trPr>
        <w:tc>
          <w:tcPr>
            <w:tcW w:w="294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sz w:val="17"/>
                <w:szCs w:val="18"/>
              </w:rPr>
            </w:pPr>
            <w:r w:rsidRPr="00E215BA">
              <w:rPr>
                <w:sz w:val="17"/>
                <w:szCs w:val="18"/>
              </w:rPr>
              <w:t>30-59</w:t>
            </w:r>
            <w:r w:rsidRPr="00E215BA">
              <w:rPr>
                <w:rFonts w:hint="eastAsia"/>
                <w:sz w:val="17"/>
                <w:szCs w:val="18"/>
              </w:rPr>
              <w:t>岁</w:t>
            </w:r>
          </w:p>
        </w:tc>
        <w:tc>
          <w:tcPr>
            <w:tcW w:w="1290"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35.5</w:t>
            </w:r>
          </w:p>
        </w:tc>
        <w:tc>
          <w:tcPr>
            <w:tcW w:w="1474"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37.1</w:t>
            </w:r>
          </w:p>
        </w:tc>
        <w:tc>
          <w:tcPr>
            <w:tcW w:w="1658" w:type="dxa"/>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33.9</w:t>
            </w:r>
          </w:p>
        </w:tc>
      </w:tr>
      <w:tr w:rsidR="00564395" w:rsidRPr="00E215BA" w:rsidTr="00E215BA">
        <w:trPr>
          <w:cantSplit/>
          <w:trHeight w:val="240"/>
        </w:trPr>
        <w:tc>
          <w:tcPr>
            <w:tcW w:w="2948" w:type="dxa"/>
            <w:tcBorders>
              <w:bottom w:val="single" w:sz="12" w:space="0" w:color="auto"/>
            </w:tcBorders>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rPr>
                <w:sz w:val="17"/>
                <w:szCs w:val="18"/>
              </w:rPr>
            </w:pPr>
            <w:r w:rsidRPr="00E215BA">
              <w:rPr>
                <w:sz w:val="17"/>
                <w:szCs w:val="18"/>
              </w:rPr>
              <w:t>60</w:t>
            </w:r>
            <w:r w:rsidRPr="00E215BA">
              <w:rPr>
                <w:rFonts w:hint="eastAsia"/>
                <w:sz w:val="17"/>
                <w:szCs w:val="18"/>
              </w:rPr>
              <w:t>岁及以上</w:t>
            </w:r>
            <w:r w:rsidRPr="00E215BA">
              <w:rPr>
                <w:sz w:val="17"/>
                <w:szCs w:val="18"/>
              </w:rPr>
              <w:t xml:space="preserve"> </w:t>
            </w:r>
          </w:p>
        </w:tc>
        <w:tc>
          <w:tcPr>
            <w:tcW w:w="1290" w:type="dxa"/>
            <w:tcBorders>
              <w:bottom w:val="single" w:sz="12" w:space="0" w:color="auto"/>
            </w:tcBorders>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31.8</w:t>
            </w:r>
          </w:p>
        </w:tc>
        <w:tc>
          <w:tcPr>
            <w:tcW w:w="1474" w:type="dxa"/>
            <w:tcBorders>
              <w:bottom w:val="single" w:sz="12" w:space="0" w:color="auto"/>
            </w:tcBorders>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28.2</w:t>
            </w:r>
          </w:p>
        </w:tc>
        <w:tc>
          <w:tcPr>
            <w:tcW w:w="1658" w:type="dxa"/>
            <w:tcBorders>
              <w:bottom w:val="single" w:sz="12" w:space="0" w:color="auto"/>
            </w:tcBorders>
            <w:shd w:val="clear" w:color="auto" w:fill="auto"/>
            <w:vAlign w:val="bottom"/>
          </w:tcPr>
          <w:p w:rsidR="00564395" w:rsidRPr="00E215BA" w:rsidRDefault="00564395"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35.3</w:t>
            </w:r>
          </w:p>
        </w:tc>
      </w:tr>
    </w:tbl>
    <w:p w:rsidR="00E215BA" w:rsidRPr="00E215BA" w:rsidRDefault="00E215BA" w:rsidP="00E215BA">
      <w:pPr>
        <w:pStyle w:val="FootnoteText"/>
        <w:tabs>
          <w:tab w:val="clear" w:pos="418"/>
          <w:tab w:val="right" w:pos="1476"/>
          <w:tab w:val="left" w:pos="1548"/>
          <w:tab w:val="right" w:pos="1836"/>
          <w:tab w:val="left" w:pos="1908"/>
        </w:tabs>
        <w:spacing w:after="0" w:line="120" w:lineRule="exact"/>
        <w:ind w:left="1548" w:right="1267" w:hanging="288"/>
        <w:rPr>
          <w:sz w:val="10"/>
        </w:rPr>
      </w:pPr>
    </w:p>
    <w:p w:rsidR="00564395" w:rsidRPr="00E215BA" w:rsidRDefault="00E215BA" w:rsidP="00E215BA">
      <w:pPr>
        <w:pStyle w:val="FootnoteText"/>
        <w:tabs>
          <w:tab w:val="clear" w:pos="418"/>
          <w:tab w:val="right" w:pos="1476"/>
          <w:tab w:val="left" w:pos="1548"/>
          <w:tab w:val="right" w:pos="1836"/>
          <w:tab w:val="left" w:pos="1908"/>
        </w:tabs>
        <w:ind w:left="1548" w:right="1267" w:hanging="288"/>
      </w:pPr>
      <w:r>
        <w:tab/>
      </w:r>
      <w:r w:rsidRPr="00E215BA">
        <w:rPr>
          <w:rFonts w:hint="eastAsia"/>
          <w:vertAlign w:val="superscript"/>
        </w:rPr>
        <w:t>*</w:t>
      </w:r>
      <w:r>
        <w:tab/>
      </w:r>
      <w:r w:rsidRPr="00E215BA">
        <w:rPr>
          <w:rFonts w:hint="eastAsia"/>
        </w:rPr>
        <w:t>年度平均数字，2007年。资料来源：《保加利亚统计年鉴》，2008年: 57。</w:t>
      </w:r>
    </w:p>
    <w:p w:rsidR="00E215BA" w:rsidRPr="002941D3" w:rsidRDefault="00E215BA" w:rsidP="00E215BA">
      <w:pPr>
        <w:pStyle w:val="SingleTxt"/>
      </w:pPr>
      <w:r w:rsidRPr="002941D3">
        <w:t>表2</w:t>
      </w:r>
      <w:r>
        <w:br/>
      </w:r>
      <w:r w:rsidRPr="00E215BA">
        <w:rPr>
          <w:rFonts w:ascii="SimHei" w:eastAsia="SimHei" w:hint="eastAsia"/>
        </w:rPr>
        <w:t>截止2001年3月1日各居住地住户和平均成员人数</w:t>
      </w:r>
    </w:p>
    <w:tbl>
      <w:tblPr>
        <w:tblW w:w="7370" w:type="dxa"/>
        <w:tblInd w:w="1264" w:type="dxa"/>
        <w:tblLook w:val="0000" w:firstRow="0" w:lastRow="0" w:firstColumn="0" w:lastColumn="0" w:noHBand="0" w:noVBand="0"/>
      </w:tblPr>
      <w:tblGrid>
        <w:gridCol w:w="1522"/>
        <w:gridCol w:w="950"/>
        <w:gridCol w:w="950"/>
        <w:gridCol w:w="950"/>
        <w:gridCol w:w="950"/>
        <w:gridCol w:w="950"/>
        <w:gridCol w:w="1098"/>
      </w:tblGrid>
      <w:tr w:rsidR="00E215BA" w:rsidRPr="00E215BA" w:rsidTr="00E215BA">
        <w:trPr>
          <w:trHeight w:val="240"/>
          <w:tblHeader/>
        </w:trPr>
        <w:tc>
          <w:tcPr>
            <w:tcW w:w="1522" w:type="dxa"/>
            <w:tcBorders>
              <w:top w:val="single" w:sz="4" w:space="0" w:color="auto"/>
            </w:tcBorders>
            <w:shd w:val="clear" w:color="auto" w:fill="auto"/>
            <w:vAlign w:val="bottom"/>
          </w:tcPr>
          <w:p w:rsidR="00E215BA" w:rsidRPr="00E215BA" w:rsidRDefault="00E215BA" w:rsidP="00E215BA">
            <w:pPr>
              <w:suppressAutoHyphens/>
              <w:spacing w:before="60" w:after="60" w:line="200" w:lineRule="exact"/>
              <w:ind w:right="57"/>
              <w:rPr>
                <w:rFonts w:ascii="KaiTi_GB2312" w:eastAsia="KaiTi_GB2312" w:hint="eastAsia"/>
                <w:sz w:val="15"/>
                <w:szCs w:val="18"/>
              </w:rPr>
            </w:pPr>
          </w:p>
        </w:tc>
        <w:tc>
          <w:tcPr>
            <w:tcW w:w="5848" w:type="dxa"/>
            <w:gridSpan w:val="6"/>
            <w:tcBorders>
              <w:top w:val="single" w:sz="4" w:space="0" w:color="auto"/>
              <w:bottom w:val="single" w:sz="4" w:space="0" w:color="auto"/>
            </w:tcBorders>
            <w:shd w:val="clear" w:color="auto" w:fill="auto"/>
            <w:vAlign w:val="bottom"/>
          </w:tcPr>
          <w:p w:rsidR="00E215BA" w:rsidRPr="00E215BA" w:rsidRDefault="00E215BA" w:rsidP="00E215BA">
            <w:pPr>
              <w:suppressAutoHyphens/>
              <w:spacing w:before="60" w:after="60" w:line="200" w:lineRule="exact"/>
              <w:ind w:right="57"/>
              <w:jc w:val="center"/>
              <w:rPr>
                <w:rFonts w:ascii="KaiTi_GB2312" w:eastAsia="KaiTi_GB2312"/>
                <w:sz w:val="15"/>
                <w:szCs w:val="18"/>
              </w:rPr>
            </w:pPr>
            <w:r w:rsidRPr="00E215BA">
              <w:rPr>
                <w:rFonts w:ascii="KaiTi_GB2312" w:eastAsia="KaiTi_GB2312" w:hint="eastAsia"/>
                <w:sz w:val="15"/>
                <w:szCs w:val="18"/>
              </w:rPr>
              <w:t>普查年</w:t>
            </w:r>
          </w:p>
        </w:tc>
      </w:tr>
      <w:tr w:rsidR="00E215BA" w:rsidRPr="00E215BA" w:rsidTr="00E215BA">
        <w:trPr>
          <w:trHeight w:val="240"/>
          <w:tblHeader/>
        </w:trPr>
        <w:tc>
          <w:tcPr>
            <w:tcW w:w="1522" w:type="dxa"/>
            <w:tcBorders>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rPr>
                <w:rFonts w:ascii="KaiTi_GB2312" w:eastAsia="KaiTi_GB2312" w:hint="eastAsia"/>
                <w:sz w:val="15"/>
                <w:szCs w:val="18"/>
              </w:rPr>
            </w:pPr>
            <w:r w:rsidRPr="00E215BA">
              <w:rPr>
                <w:rFonts w:ascii="KaiTi_GB2312" w:eastAsia="KaiTi_GB2312" w:hint="eastAsia"/>
                <w:sz w:val="15"/>
                <w:szCs w:val="18"/>
              </w:rPr>
              <w:t>居住地</w:t>
            </w:r>
            <w:r w:rsidRPr="00E215BA">
              <w:rPr>
                <w:rFonts w:ascii="KaiTi_GB2312" w:eastAsia="KaiTi_GB2312"/>
                <w:sz w:val="15"/>
                <w:szCs w:val="18"/>
              </w:rPr>
              <w:t>/</w:t>
            </w:r>
            <w:r w:rsidRPr="00E215BA">
              <w:rPr>
                <w:rFonts w:ascii="KaiTi_GB2312" w:eastAsia="KaiTi_GB2312" w:hint="eastAsia"/>
                <w:sz w:val="15"/>
                <w:szCs w:val="18"/>
              </w:rPr>
              <w:t>家庭成员人数</w:t>
            </w:r>
          </w:p>
        </w:tc>
        <w:tc>
          <w:tcPr>
            <w:tcW w:w="950"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sz w:val="15"/>
                <w:szCs w:val="18"/>
              </w:rPr>
              <w:t>1946</w:t>
            </w:r>
            <w:r w:rsidRPr="00E215BA">
              <w:rPr>
                <w:rFonts w:ascii="KaiTi_GB2312" w:eastAsia="KaiTi_GB2312" w:hint="eastAsia"/>
                <w:sz w:val="15"/>
                <w:szCs w:val="18"/>
              </w:rPr>
              <w:t>年</w:t>
            </w:r>
          </w:p>
        </w:tc>
        <w:tc>
          <w:tcPr>
            <w:tcW w:w="950"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sz w:val="15"/>
                <w:szCs w:val="18"/>
              </w:rPr>
              <w:t>1965</w:t>
            </w:r>
            <w:r w:rsidRPr="00E215BA">
              <w:rPr>
                <w:rFonts w:ascii="KaiTi_GB2312" w:eastAsia="KaiTi_GB2312" w:hint="eastAsia"/>
                <w:sz w:val="15"/>
                <w:szCs w:val="18"/>
              </w:rPr>
              <w:t>年</w:t>
            </w:r>
          </w:p>
        </w:tc>
        <w:tc>
          <w:tcPr>
            <w:tcW w:w="950"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sz w:val="15"/>
                <w:szCs w:val="18"/>
              </w:rPr>
              <w:t>1975</w:t>
            </w:r>
            <w:r w:rsidRPr="00E215BA">
              <w:rPr>
                <w:rFonts w:ascii="KaiTi_GB2312" w:eastAsia="KaiTi_GB2312" w:hint="eastAsia"/>
                <w:sz w:val="15"/>
                <w:szCs w:val="18"/>
              </w:rPr>
              <w:t>年</w:t>
            </w:r>
          </w:p>
        </w:tc>
        <w:tc>
          <w:tcPr>
            <w:tcW w:w="950"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sz w:val="15"/>
                <w:szCs w:val="18"/>
              </w:rPr>
              <w:t>1985</w:t>
            </w:r>
            <w:r w:rsidRPr="00E215BA">
              <w:rPr>
                <w:rFonts w:ascii="KaiTi_GB2312" w:eastAsia="KaiTi_GB2312" w:hint="eastAsia"/>
                <w:sz w:val="15"/>
                <w:szCs w:val="18"/>
              </w:rPr>
              <w:t>年</w:t>
            </w:r>
          </w:p>
        </w:tc>
        <w:tc>
          <w:tcPr>
            <w:tcW w:w="950"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sz w:val="15"/>
                <w:szCs w:val="18"/>
              </w:rPr>
              <w:t>1992</w:t>
            </w:r>
            <w:r w:rsidRPr="00E215BA">
              <w:rPr>
                <w:rFonts w:ascii="KaiTi_GB2312" w:eastAsia="KaiTi_GB2312" w:hint="eastAsia"/>
                <w:sz w:val="15"/>
                <w:szCs w:val="18"/>
              </w:rPr>
              <w:t>年</w:t>
            </w:r>
          </w:p>
        </w:tc>
        <w:tc>
          <w:tcPr>
            <w:tcW w:w="1098"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sz w:val="15"/>
                <w:szCs w:val="18"/>
              </w:rPr>
              <w:t>2001</w:t>
            </w:r>
            <w:r w:rsidRPr="00E215BA">
              <w:rPr>
                <w:rFonts w:ascii="KaiTi_GB2312" w:eastAsia="KaiTi_GB2312" w:hint="eastAsia"/>
                <w:sz w:val="15"/>
                <w:szCs w:val="18"/>
              </w:rPr>
              <w:t>年</w:t>
            </w:r>
          </w:p>
        </w:tc>
      </w:tr>
      <w:tr w:rsidR="00E215BA" w:rsidRPr="00E215BA" w:rsidTr="00E215BA">
        <w:trPr>
          <w:trHeight w:hRule="exact" w:val="115"/>
          <w:tblHeader/>
        </w:trPr>
        <w:tc>
          <w:tcPr>
            <w:tcW w:w="1522"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rPr>
                <w:rFonts w:hint="eastAsia"/>
                <w:sz w:val="17"/>
                <w:szCs w:val="18"/>
              </w:rPr>
            </w:pPr>
          </w:p>
        </w:tc>
        <w:tc>
          <w:tcPr>
            <w:tcW w:w="95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95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95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95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95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1098"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结构</w:t>
            </w:r>
            <w:r w:rsidRPr="00E215BA">
              <w:rPr>
                <w:sz w:val="17"/>
                <w:szCs w:val="18"/>
              </w:rPr>
              <w:t>-</w:t>
            </w:r>
            <w:r w:rsidRPr="00E215BA">
              <w:rPr>
                <w:rFonts w:hint="eastAsia"/>
                <w:sz w:val="17"/>
                <w:szCs w:val="18"/>
              </w:rPr>
              <w:t>百分比</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乡村</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r w:rsidRPr="00E215BA">
              <w:rPr>
                <w:rFonts w:hint="eastAsia"/>
                <w:sz w:val="17"/>
                <w:szCs w:val="18"/>
              </w:rPr>
              <w:t>.</w:t>
            </w:r>
            <w:r w:rsidRPr="00E215BA">
              <w:rPr>
                <w:sz w:val="17"/>
                <w:szCs w:val="18"/>
              </w:rPr>
              <w:t>0</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r w:rsidRPr="00E215BA">
              <w:rPr>
                <w:rFonts w:hint="eastAsia"/>
                <w:sz w:val="17"/>
                <w:szCs w:val="18"/>
              </w:rPr>
              <w:t>.</w:t>
            </w:r>
            <w:r w:rsidRPr="00E215BA">
              <w:rPr>
                <w:sz w:val="17"/>
                <w:szCs w:val="18"/>
              </w:rPr>
              <w:t>0</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r w:rsidRPr="00E215BA">
              <w:rPr>
                <w:rFonts w:hint="eastAsia"/>
                <w:sz w:val="17"/>
                <w:szCs w:val="18"/>
              </w:rPr>
              <w:t>.</w:t>
            </w:r>
            <w:r w:rsidRPr="00E215BA">
              <w:rPr>
                <w:sz w:val="17"/>
                <w:szCs w:val="18"/>
              </w:rPr>
              <w:t>0</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r w:rsidRPr="00E215BA">
              <w:rPr>
                <w:rFonts w:hint="eastAsia"/>
                <w:sz w:val="17"/>
                <w:szCs w:val="18"/>
              </w:rPr>
              <w:t>.</w:t>
            </w:r>
            <w:r w:rsidRPr="00E215BA">
              <w:rPr>
                <w:sz w:val="17"/>
                <w:szCs w:val="18"/>
              </w:rPr>
              <w:t>0</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r w:rsidRPr="00E215BA">
              <w:rPr>
                <w:rFonts w:hint="eastAsia"/>
                <w:sz w:val="17"/>
                <w:szCs w:val="18"/>
              </w:rPr>
              <w:t>.</w:t>
            </w:r>
            <w:r w:rsidRPr="00E215BA">
              <w:rPr>
                <w:sz w:val="17"/>
                <w:szCs w:val="18"/>
              </w:rPr>
              <w:t>0</w:t>
            </w: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w:t>
            </w:r>
            <w:r w:rsidRPr="00E215BA">
              <w:rPr>
                <w:rFonts w:hint="eastAsia"/>
                <w:sz w:val="17"/>
                <w:szCs w:val="18"/>
              </w:rPr>
              <w:t>.</w:t>
            </w:r>
            <w:r w:rsidRPr="00E215BA">
              <w:rPr>
                <w:sz w:val="17"/>
                <w:szCs w:val="18"/>
              </w:rPr>
              <w:t>0</w:t>
            </w: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bookmarkStart w:id="12" w:name="OLE_LINK74"/>
            <w:r w:rsidRPr="00E215BA">
              <w:rPr>
                <w:rFonts w:hint="eastAsia"/>
                <w:sz w:val="17"/>
                <w:szCs w:val="18"/>
              </w:rPr>
              <w:t>一人</w:t>
            </w:r>
            <w:bookmarkEnd w:id="12"/>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w:t>
            </w:r>
            <w:r w:rsidRPr="00E215BA">
              <w:rPr>
                <w:rFonts w:hint="eastAsia"/>
                <w:sz w:val="17"/>
                <w:szCs w:val="18"/>
              </w:rPr>
              <w:t>.</w:t>
            </w:r>
            <w:r w:rsidRPr="00E215BA">
              <w:rPr>
                <w:sz w:val="17"/>
                <w:szCs w:val="18"/>
              </w:rPr>
              <w:t>3</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9</w:t>
            </w:r>
            <w:r w:rsidRPr="00E215BA">
              <w:rPr>
                <w:rFonts w:hint="eastAsia"/>
                <w:sz w:val="17"/>
                <w:szCs w:val="18"/>
              </w:rPr>
              <w:t>.</w:t>
            </w:r>
            <w:r w:rsidRPr="00E215BA">
              <w:rPr>
                <w:sz w:val="17"/>
                <w:szCs w:val="18"/>
              </w:rPr>
              <w:t>9</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11</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17</w:t>
            </w:r>
            <w:r w:rsidRPr="00E215BA">
              <w:rPr>
                <w:rFonts w:hint="eastAsia"/>
                <w:sz w:val="17"/>
                <w:szCs w:val="18"/>
              </w:rPr>
              <w:t>.</w:t>
            </w:r>
            <w:r w:rsidRPr="00E215BA">
              <w:rPr>
                <w:sz w:val="17"/>
                <w:szCs w:val="18"/>
              </w:rPr>
              <w:t>9</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21</w:t>
            </w:r>
            <w:r w:rsidRPr="00E215BA">
              <w:rPr>
                <w:rFonts w:hint="eastAsia"/>
                <w:sz w:val="17"/>
                <w:szCs w:val="18"/>
              </w:rPr>
              <w:t>.</w:t>
            </w:r>
            <w:r w:rsidRPr="00E215BA">
              <w:rPr>
                <w:sz w:val="17"/>
                <w:szCs w:val="18"/>
              </w:rPr>
              <w:t>4</w:t>
            </w: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24</w:t>
            </w:r>
            <w:r w:rsidRPr="00E215BA">
              <w:rPr>
                <w:rFonts w:hint="eastAsia"/>
                <w:sz w:val="17"/>
                <w:szCs w:val="18"/>
              </w:rPr>
              <w:t>.</w:t>
            </w:r>
            <w:r w:rsidRPr="00E215BA">
              <w:rPr>
                <w:sz w:val="17"/>
                <w:szCs w:val="18"/>
              </w:rPr>
              <w:t>4</w:t>
            </w: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两人</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w:t>
            </w:r>
            <w:r w:rsidRPr="00E215BA">
              <w:rPr>
                <w:rFonts w:hint="eastAsia"/>
                <w:sz w:val="17"/>
                <w:szCs w:val="18"/>
              </w:rPr>
              <w:t>.</w:t>
            </w:r>
            <w:r w:rsidRPr="00E215BA">
              <w:rPr>
                <w:sz w:val="17"/>
                <w:szCs w:val="18"/>
              </w:rPr>
              <w:t>7</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24</w:t>
            </w:r>
            <w:r w:rsidRPr="00E215BA">
              <w:rPr>
                <w:rFonts w:hint="eastAsia"/>
                <w:sz w:val="17"/>
                <w:szCs w:val="18"/>
              </w:rPr>
              <w:t>.</w:t>
            </w:r>
            <w:r w:rsidRPr="00E215BA">
              <w:rPr>
                <w:sz w:val="17"/>
                <w:szCs w:val="18"/>
              </w:rPr>
              <w:t>7</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30</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32</w:t>
            </w:r>
            <w:r w:rsidRPr="00E215BA">
              <w:rPr>
                <w:rFonts w:hint="eastAsia"/>
                <w:sz w:val="17"/>
                <w:szCs w:val="18"/>
              </w:rPr>
              <w:t>.</w:t>
            </w:r>
            <w:r w:rsidRPr="00E215BA">
              <w:rPr>
                <w:sz w:val="17"/>
                <w:szCs w:val="18"/>
              </w:rPr>
              <w:t>2</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33</w:t>
            </w:r>
            <w:r w:rsidRPr="00E215BA">
              <w:rPr>
                <w:rFonts w:hint="eastAsia"/>
                <w:sz w:val="17"/>
                <w:szCs w:val="18"/>
              </w:rPr>
              <w:t>.</w:t>
            </w:r>
            <w:r w:rsidRPr="00E215BA">
              <w:rPr>
                <w:sz w:val="17"/>
                <w:szCs w:val="18"/>
              </w:rPr>
              <w:t>6</w:t>
            </w: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34</w:t>
            </w:r>
            <w:r w:rsidRPr="00E215BA">
              <w:rPr>
                <w:rFonts w:hint="eastAsia"/>
                <w:sz w:val="17"/>
                <w:szCs w:val="18"/>
              </w:rPr>
              <w:t>.</w:t>
            </w:r>
            <w:r w:rsidRPr="00E215BA">
              <w:rPr>
                <w:sz w:val="17"/>
                <w:szCs w:val="18"/>
              </w:rPr>
              <w:t>2</w:t>
            </w: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三人</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18</w:t>
            </w:r>
            <w:r w:rsidRPr="00E215BA">
              <w:rPr>
                <w:rFonts w:hint="eastAsia"/>
                <w:sz w:val="17"/>
                <w:szCs w:val="18"/>
              </w:rPr>
              <w:t>.</w:t>
            </w:r>
            <w:r w:rsidRPr="00E215BA">
              <w:rPr>
                <w:sz w:val="17"/>
                <w:szCs w:val="18"/>
              </w:rPr>
              <w:t>0</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19</w:t>
            </w:r>
            <w:r w:rsidRPr="00E215BA">
              <w:rPr>
                <w:rFonts w:hint="eastAsia"/>
                <w:sz w:val="17"/>
                <w:szCs w:val="18"/>
              </w:rPr>
              <w:t>.</w:t>
            </w:r>
            <w:r w:rsidRPr="00E215BA">
              <w:rPr>
                <w:sz w:val="17"/>
                <w:szCs w:val="18"/>
              </w:rPr>
              <w:t>5</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17</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15</w:t>
            </w:r>
            <w:r w:rsidRPr="00E215BA">
              <w:rPr>
                <w:rFonts w:hint="eastAsia"/>
                <w:sz w:val="17"/>
                <w:szCs w:val="18"/>
              </w:rPr>
              <w:t>.</w:t>
            </w:r>
            <w:r w:rsidRPr="00E215BA">
              <w:rPr>
                <w:sz w:val="17"/>
                <w:szCs w:val="18"/>
              </w:rPr>
              <w:t>2</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14</w:t>
            </w:r>
            <w:r w:rsidRPr="00E215BA">
              <w:rPr>
                <w:rFonts w:hint="eastAsia"/>
                <w:sz w:val="17"/>
                <w:szCs w:val="18"/>
              </w:rPr>
              <w:t>.</w:t>
            </w:r>
            <w:r w:rsidRPr="00E215BA">
              <w:rPr>
                <w:sz w:val="17"/>
                <w:szCs w:val="18"/>
              </w:rPr>
              <w:t>9</w:t>
            </w: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15</w:t>
            </w:r>
            <w:r w:rsidRPr="00E215BA">
              <w:rPr>
                <w:rFonts w:hint="eastAsia"/>
                <w:sz w:val="17"/>
                <w:szCs w:val="18"/>
              </w:rPr>
              <w:t>.</w:t>
            </w:r>
            <w:r w:rsidRPr="00E215BA">
              <w:rPr>
                <w:sz w:val="17"/>
                <w:szCs w:val="18"/>
              </w:rPr>
              <w:t>8</w:t>
            </w: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四人</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22</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19</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16</w:t>
            </w:r>
            <w:r w:rsidRPr="00E215BA">
              <w:rPr>
                <w:rFonts w:hint="eastAsia"/>
                <w:sz w:val="17"/>
                <w:szCs w:val="18"/>
              </w:rPr>
              <w:t>.</w:t>
            </w:r>
            <w:r w:rsidRPr="00E215BA">
              <w:rPr>
                <w:sz w:val="17"/>
                <w:szCs w:val="18"/>
              </w:rPr>
              <w:t>7</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14</w:t>
            </w:r>
            <w:r w:rsidRPr="00E215BA">
              <w:rPr>
                <w:rFonts w:hint="eastAsia"/>
                <w:sz w:val="17"/>
                <w:szCs w:val="18"/>
              </w:rPr>
              <w:t>.</w:t>
            </w:r>
            <w:r w:rsidRPr="00E215BA">
              <w:rPr>
                <w:sz w:val="17"/>
                <w:szCs w:val="18"/>
              </w:rPr>
              <w:t>9</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13</w:t>
            </w:r>
            <w:r w:rsidRPr="00E215BA">
              <w:rPr>
                <w:rFonts w:hint="eastAsia"/>
                <w:sz w:val="17"/>
                <w:szCs w:val="18"/>
              </w:rPr>
              <w:t>.</w:t>
            </w:r>
            <w:r w:rsidRPr="00E215BA">
              <w:rPr>
                <w:sz w:val="17"/>
                <w:szCs w:val="18"/>
              </w:rPr>
              <w:t>9</w:t>
            </w: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13</w:t>
            </w:r>
            <w:r w:rsidRPr="00E215BA">
              <w:rPr>
                <w:rFonts w:hint="eastAsia"/>
                <w:sz w:val="17"/>
                <w:szCs w:val="18"/>
              </w:rPr>
              <w:t>.</w:t>
            </w:r>
            <w:r w:rsidRPr="00E215BA">
              <w:rPr>
                <w:sz w:val="17"/>
                <w:szCs w:val="18"/>
              </w:rPr>
              <w:t>6</w:t>
            </w: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五人</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18</w:t>
            </w:r>
            <w:r w:rsidRPr="00E215BA">
              <w:rPr>
                <w:rFonts w:hint="eastAsia"/>
                <w:sz w:val="17"/>
                <w:szCs w:val="18"/>
              </w:rPr>
              <w:t>.</w:t>
            </w:r>
            <w:r w:rsidRPr="00E215BA">
              <w:rPr>
                <w:sz w:val="17"/>
                <w:szCs w:val="18"/>
              </w:rPr>
              <w:t>9</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13</w:t>
            </w:r>
            <w:r w:rsidRPr="00E215BA">
              <w:rPr>
                <w:rFonts w:hint="eastAsia"/>
                <w:sz w:val="17"/>
                <w:szCs w:val="18"/>
              </w:rPr>
              <w:t>.</w:t>
            </w:r>
            <w:r w:rsidRPr="00E215BA">
              <w:rPr>
                <w:sz w:val="17"/>
                <w:szCs w:val="18"/>
              </w:rPr>
              <w:t>4</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11</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9</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8</w:t>
            </w:r>
            <w:r w:rsidRPr="00E215BA">
              <w:rPr>
                <w:rFonts w:hint="eastAsia"/>
                <w:sz w:val="17"/>
                <w:szCs w:val="18"/>
              </w:rPr>
              <w:t>.</w:t>
            </w:r>
            <w:r w:rsidRPr="00E215BA">
              <w:rPr>
                <w:sz w:val="17"/>
                <w:szCs w:val="18"/>
              </w:rPr>
              <w:t>0</w:t>
            </w: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6</w:t>
            </w:r>
            <w:r w:rsidRPr="00E215BA">
              <w:rPr>
                <w:rFonts w:hint="eastAsia"/>
                <w:sz w:val="17"/>
                <w:szCs w:val="18"/>
              </w:rPr>
              <w:t>.</w:t>
            </w:r>
            <w:r w:rsidRPr="00E215BA">
              <w:rPr>
                <w:sz w:val="17"/>
                <w:szCs w:val="18"/>
              </w:rPr>
              <w:t>9</w:t>
            </w:r>
          </w:p>
        </w:tc>
      </w:tr>
      <w:tr w:rsidR="00E215BA" w:rsidRPr="00E215BA" w:rsidTr="00E215BA">
        <w:trPr>
          <w:trHeight w:val="240"/>
        </w:trPr>
        <w:tc>
          <w:tcPr>
            <w:tcW w:w="15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六人</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12</w:t>
            </w:r>
            <w:r w:rsidRPr="00E215BA">
              <w:rPr>
                <w:rFonts w:hint="eastAsia"/>
                <w:sz w:val="17"/>
                <w:szCs w:val="18"/>
              </w:rPr>
              <w:t>.</w:t>
            </w:r>
            <w:r w:rsidRPr="00E215BA">
              <w:rPr>
                <w:sz w:val="17"/>
                <w:szCs w:val="18"/>
              </w:rPr>
              <w:t>6</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8</w:t>
            </w:r>
            <w:r w:rsidRPr="00E215BA">
              <w:rPr>
                <w:rFonts w:hint="eastAsia"/>
                <w:sz w:val="17"/>
                <w:szCs w:val="18"/>
              </w:rPr>
              <w:t>.</w:t>
            </w:r>
            <w:r w:rsidRPr="00E215BA">
              <w:rPr>
                <w:sz w:val="17"/>
                <w:szCs w:val="18"/>
              </w:rPr>
              <w:t>7</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w:t>
            </w:r>
            <w:r w:rsidRPr="00E215BA">
              <w:rPr>
                <w:rFonts w:hint="eastAsia"/>
                <w:sz w:val="17"/>
                <w:szCs w:val="18"/>
              </w:rPr>
              <w:t>.</w:t>
            </w:r>
            <w:r w:rsidRPr="00E215BA">
              <w:rPr>
                <w:sz w:val="17"/>
                <w:szCs w:val="18"/>
              </w:rPr>
              <w:t>9</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6</w:t>
            </w:r>
            <w:r w:rsidRPr="00E215BA">
              <w:rPr>
                <w:rFonts w:hint="eastAsia"/>
                <w:sz w:val="17"/>
                <w:szCs w:val="18"/>
              </w:rPr>
              <w:t>.</w:t>
            </w:r>
            <w:r w:rsidRPr="00E215BA">
              <w:rPr>
                <w:sz w:val="17"/>
                <w:szCs w:val="18"/>
              </w:rPr>
              <w:t>8</w:t>
            </w:r>
          </w:p>
        </w:tc>
        <w:tc>
          <w:tcPr>
            <w:tcW w:w="95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w:t>
            </w:r>
            <w:r w:rsidRPr="00E215BA">
              <w:rPr>
                <w:rFonts w:hint="eastAsia"/>
                <w:sz w:val="17"/>
                <w:szCs w:val="18"/>
              </w:rPr>
              <w:t>.</w:t>
            </w:r>
            <w:r w:rsidRPr="00E215BA">
              <w:rPr>
                <w:sz w:val="17"/>
                <w:szCs w:val="18"/>
              </w:rPr>
              <w:t>3</w:t>
            </w:r>
          </w:p>
        </w:tc>
        <w:tc>
          <w:tcPr>
            <w:tcW w:w="109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w:t>
            </w:r>
            <w:r w:rsidRPr="00E215BA">
              <w:rPr>
                <w:rFonts w:hint="eastAsia"/>
                <w:sz w:val="17"/>
                <w:szCs w:val="18"/>
              </w:rPr>
              <w:t>.</w:t>
            </w:r>
            <w:r w:rsidRPr="00E215BA">
              <w:rPr>
                <w:sz w:val="17"/>
                <w:szCs w:val="18"/>
              </w:rPr>
              <w:t>2</w:t>
            </w:r>
          </w:p>
        </w:tc>
      </w:tr>
      <w:tr w:rsidR="00E215BA" w:rsidRPr="00E215BA" w:rsidTr="00E215BA">
        <w:trPr>
          <w:trHeight w:val="240"/>
        </w:trPr>
        <w:tc>
          <w:tcPr>
            <w:tcW w:w="1522"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七人及以上</w:t>
            </w:r>
          </w:p>
        </w:tc>
        <w:tc>
          <w:tcPr>
            <w:tcW w:w="950"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12</w:t>
            </w:r>
            <w:r w:rsidRPr="00E215BA">
              <w:rPr>
                <w:rFonts w:hint="eastAsia"/>
                <w:sz w:val="17"/>
                <w:szCs w:val="18"/>
              </w:rPr>
              <w:t>.</w:t>
            </w:r>
            <w:r w:rsidRPr="00E215BA">
              <w:rPr>
                <w:sz w:val="17"/>
                <w:szCs w:val="18"/>
              </w:rPr>
              <w:t>8</w:t>
            </w:r>
          </w:p>
        </w:tc>
        <w:tc>
          <w:tcPr>
            <w:tcW w:w="950"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w:t>
            </w:r>
            <w:r w:rsidRPr="00E215BA">
              <w:rPr>
                <w:rFonts w:hint="eastAsia"/>
                <w:sz w:val="17"/>
                <w:szCs w:val="18"/>
              </w:rPr>
              <w:t>.</w:t>
            </w:r>
            <w:r w:rsidRPr="00E215BA">
              <w:rPr>
                <w:sz w:val="17"/>
                <w:szCs w:val="18"/>
              </w:rPr>
              <w:t>4</w:t>
            </w:r>
          </w:p>
        </w:tc>
        <w:tc>
          <w:tcPr>
            <w:tcW w:w="950"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w:t>
            </w:r>
            <w:r w:rsidRPr="00E215BA">
              <w:rPr>
                <w:rFonts w:hint="eastAsia"/>
                <w:sz w:val="17"/>
                <w:szCs w:val="18"/>
              </w:rPr>
              <w:t>.</w:t>
            </w:r>
            <w:r w:rsidRPr="00E215BA">
              <w:rPr>
                <w:sz w:val="17"/>
                <w:szCs w:val="18"/>
              </w:rPr>
              <w:t>1</w:t>
            </w:r>
          </w:p>
        </w:tc>
        <w:tc>
          <w:tcPr>
            <w:tcW w:w="950"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w:t>
            </w:r>
            <w:r w:rsidRPr="00E215BA">
              <w:rPr>
                <w:rFonts w:hint="eastAsia"/>
                <w:sz w:val="17"/>
                <w:szCs w:val="18"/>
              </w:rPr>
              <w:t>.</w:t>
            </w:r>
            <w:r w:rsidRPr="00E215BA">
              <w:rPr>
                <w:sz w:val="17"/>
                <w:szCs w:val="18"/>
              </w:rPr>
              <w:t>5</w:t>
            </w:r>
          </w:p>
        </w:tc>
        <w:tc>
          <w:tcPr>
            <w:tcW w:w="950"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w:t>
            </w:r>
            <w:r w:rsidRPr="00E215BA">
              <w:rPr>
                <w:rFonts w:hint="eastAsia"/>
                <w:sz w:val="17"/>
                <w:szCs w:val="18"/>
              </w:rPr>
              <w:t>.</w:t>
            </w:r>
            <w:r w:rsidRPr="00E215BA">
              <w:rPr>
                <w:sz w:val="17"/>
                <w:szCs w:val="18"/>
              </w:rPr>
              <w:t>9</w:t>
            </w:r>
          </w:p>
        </w:tc>
        <w:tc>
          <w:tcPr>
            <w:tcW w:w="1098"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1.9</w:t>
            </w:r>
          </w:p>
        </w:tc>
      </w:tr>
    </w:tbl>
    <w:p w:rsidR="00E215BA" w:rsidRPr="00E215BA" w:rsidRDefault="00E215BA" w:rsidP="00E215BA">
      <w:pPr>
        <w:pStyle w:val="SingleTxtG"/>
        <w:spacing w:after="0" w:line="120" w:lineRule="exact"/>
        <w:rPr>
          <w:rFonts w:eastAsia="KaiTi_GB2312" w:hint="eastAsia"/>
          <w:iCs/>
          <w:sz w:val="10"/>
          <w:szCs w:val="18"/>
          <w:lang w:val="en-US" w:eastAsia="zh-CN"/>
        </w:rPr>
      </w:pPr>
      <w:bookmarkStart w:id="13" w:name="OLE_LINK85"/>
    </w:p>
    <w:p w:rsidR="00E215BA" w:rsidRPr="002941D3" w:rsidRDefault="00E215BA" w:rsidP="00E215BA">
      <w:pPr>
        <w:pStyle w:val="FootnoteText"/>
        <w:tabs>
          <w:tab w:val="clear" w:pos="418"/>
          <w:tab w:val="right" w:pos="1476"/>
          <w:tab w:val="left" w:pos="1548"/>
          <w:tab w:val="right" w:pos="1836"/>
          <w:tab w:val="left" w:pos="1908"/>
        </w:tabs>
        <w:ind w:left="1548" w:right="1267" w:hanging="288"/>
      </w:pPr>
      <w:r w:rsidRPr="00E215BA">
        <w:rPr>
          <w:rFonts w:ascii="KaiTi_GB2312" w:eastAsia="KaiTi_GB2312" w:hint="eastAsia"/>
        </w:rPr>
        <w:t>资料来源</w:t>
      </w:r>
      <w:r w:rsidRPr="002941D3">
        <w:rPr>
          <w:rFonts w:hint="eastAsia"/>
        </w:rPr>
        <w:t>：保加利亚共和国人口普查和住宅基金，国家统计局，2001年</w:t>
      </w:r>
      <w:bookmarkEnd w:id="13"/>
      <w:r w:rsidRPr="002941D3">
        <w:rPr>
          <w:rFonts w:hint="eastAsia"/>
        </w:rPr>
        <w:t>。</w:t>
      </w:r>
      <w:r w:rsidRPr="002941D3">
        <w:t xml:space="preserve"> </w:t>
      </w:r>
    </w:p>
    <w:p w:rsidR="00E215BA" w:rsidRPr="002941D3" w:rsidRDefault="00E215BA" w:rsidP="00E215BA">
      <w:pPr>
        <w:pStyle w:val="SingleTxt"/>
      </w:pPr>
      <w:r w:rsidRPr="002941D3">
        <w:t>表3</w:t>
      </w:r>
      <w:r>
        <w:br/>
      </w:r>
      <w:r w:rsidRPr="00E215BA">
        <w:rPr>
          <w:rFonts w:ascii="SimHei" w:eastAsia="SimHei" w:hint="eastAsia"/>
        </w:rPr>
        <w:t>截止2001年3月1日按性别和教育程度分列的农村受过8年和8年以上教育的人口</w:t>
      </w:r>
    </w:p>
    <w:tbl>
      <w:tblPr>
        <w:tblW w:w="7370" w:type="dxa"/>
        <w:tblInd w:w="1264" w:type="dxa"/>
        <w:tblCellMar>
          <w:left w:w="0" w:type="dxa"/>
          <w:right w:w="0" w:type="dxa"/>
        </w:tblCellMar>
        <w:tblLook w:val="0000" w:firstRow="0" w:lastRow="0" w:firstColumn="0" w:lastColumn="0" w:noHBand="0" w:noVBand="0"/>
      </w:tblPr>
      <w:tblGrid>
        <w:gridCol w:w="1965"/>
        <w:gridCol w:w="873"/>
        <w:gridCol w:w="873"/>
        <w:gridCol w:w="873"/>
        <w:gridCol w:w="873"/>
        <w:gridCol w:w="873"/>
        <w:gridCol w:w="1040"/>
      </w:tblGrid>
      <w:tr w:rsidR="00E215BA" w:rsidRPr="00E215BA" w:rsidTr="00E215BA">
        <w:trPr>
          <w:trHeight w:val="240"/>
          <w:tblHeader/>
        </w:trPr>
        <w:tc>
          <w:tcPr>
            <w:tcW w:w="1965"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60" w:after="60" w:line="200" w:lineRule="exact"/>
              <w:ind w:right="57"/>
              <w:rPr>
                <w:rFonts w:ascii="KaiTi_GB2312" w:eastAsia="KaiTi_GB2312" w:hint="eastAsia"/>
                <w:sz w:val="15"/>
                <w:szCs w:val="18"/>
              </w:rPr>
            </w:pPr>
            <w:r w:rsidRPr="00E215BA">
              <w:rPr>
                <w:rFonts w:ascii="KaiTi_GB2312" w:eastAsia="KaiTi_GB2312" w:hint="eastAsia"/>
                <w:sz w:val="15"/>
                <w:szCs w:val="18"/>
              </w:rPr>
              <w:t>农村</w:t>
            </w:r>
          </w:p>
        </w:tc>
        <w:tc>
          <w:tcPr>
            <w:tcW w:w="873"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60" w:after="60" w:line="200" w:lineRule="exact"/>
              <w:ind w:right="57"/>
              <w:jc w:val="right"/>
              <w:rPr>
                <w:rFonts w:ascii="KaiTi_GB2312" w:eastAsia="KaiTi_GB2312"/>
                <w:sz w:val="15"/>
                <w:szCs w:val="18"/>
              </w:rPr>
            </w:pPr>
            <w:r w:rsidRPr="00E215BA">
              <w:rPr>
                <w:rFonts w:ascii="KaiTi_GB2312" w:eastAsia="KaiTi_GB2312"/>
                <w:sz w:val="15"/>
                <w:szCs w:val="18"/>
              </w:rPr>
              <w:t>100</w:t>
            </w:r>
            <w:r w:rsidRPr="00E215BA">
              <w:rPr>
                <w:rFonts w:ascii="KaiTi_GB2312" w:eastAsia="KaiTi_GB2312" w:hint="eastAsia"/>
                <w:sz w:val="15"/>
                <w:szCs w:val="18"/>
              </w:rPr>
              <w:t>.</w:t>
            </w:r>
            <w:r w:rsidRPr="00E215BA">
              <w:rPr>
                <w:rFonts w:ascii="KaiTi_GB2312" w:eastAsia="KaiTi_GB2312"/>
                <w:sz w:val="15"/>
                <w:szCs w:val="18"/>
              </w:rPr>
              <w:t>0</w:t>
            </w:r>
          </w:p>
        </w:tc>
        <w:tc>
          <w:tcPr>
            <w:tcW w:w="873"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60" w:after="60" w:line="200" w:lineRule="exact"/>
              <w:ind w:right="57"/>
              <w:jc w:val="right"/>
              <w:rPr>
                <w:rFonts w:ascii="KaiTi_GB2312" w:eastAsia="KaiTi_GB2312"/>
                <w:sz w:val="15"/>
                <w:szCs w:val="18"/>
              </w:rPr>
            </w:pPr>
            <w:r w:rsidRPr="00E215BA">
              <w:rPr>
                <w:rFonts w:ascii="KaiTi_GB2312" w:eastAsia="KaiTi_GB2312"/>
                <w:sz w:val="15"/>
                <w:szCs w:val="18"/>
              </w:rPr>
              <w:t>100</w:t>
            </w:r>
            <w:r w:rsidRPr="00E215BA">
              <w:rPr>
                <w:rFonts w:ascii="KaiTi_GB2312" w:eastAsia="KaiTi_GB2312" w:hint="eastAsia"/>
                <w:sz w:val="15"/>
                <w:szCs w:val="18"/>
              </w:rPr>
              <w:t>.</w:t>
            </w:r>
            <w:r w:rsidRPr="00E215BA">
              <w:rPr>
                <w:rFonts w:ascii="KaiTi_GB2312" w:eastAsia="KaiTi_GB2312"/>
                <w:sz w:val="15"/>
                <w:szCs w:val="18"/>
              </w:rPr>
              <w:t>0</w:t>
            </w:r>
          </w:p>
        </w:tc>
        <w:tc>
          <w:tcPr>
            <w:tcW w:w="873"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60" w:after="60" w:line="200" w:lineRule="exact"/>
              <w:ind w:right="57"/>
              <w:jc w:val="right"/>
              <w:rPr>
                <w:rFonts w:ascii="KaiTi_GB2312" w:eastAsia="KaiTi_GB2312"/>
                <w:sz w:val="15"/>
                <w:szCs w:val="18"/>
              </w:rPr>
            </w:pPr>
            <w:r w:rsidRPr="00E215BA">
              <w:rPr>
                <w:rFonts w:ascii="KaiTi_GB2312" w:eastAsia="KaiTi_GB2312"/>
                <w:sz w:val="15"/>
                <w:szCs w:val="18"/>
              </w:rPr>
              <w:t>100</w:t>
            </w:r>
            <w:r w:rsidRPr="00E215BA">
              <w:rPr>
                <w:rFonts w:ascii="KaiTi_GB2312" w:eastAsia="KaiTi_GB2312" w:hint="eastAsia"/>
                <w:sz w:val="15"/>
                <w:szCs w:val="18"/>
              </w:rPr>
              <w:t>.</w:t>
            </w:r>
            <w:r w:rsidRPr="00E215BA">
              <w:rPr>
                <w:rFonts w:ascii="KaiTi_GB2312" w:eastAsia="KaiTi_GB2312"/>
                <w:sz w:val="15"/>
                <w:szCs w:val="18"/>
              </w:rPr>
              <w:t>0</w:t>
            </w:r>
          </w:p>
        </w:tc>
        <w:tc>
          <w:tcPr>
            <w:tcW w:w="873"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60" w:after="60" w:line="200" w:lineRule="exact"/>
              <w:ind w:right="57"/>
              <w:jc w:val="right"/>
              <w:rPr>
                <w:rFonts w:ascii="KaiTi_GB2312" w:eastAsia="KaiTi_GB2312"/>
                <w:sz w:val="15"/>
                <w:szCs w:val="18"/>
              </w:rPr>
            </w:pPr>
            <w:r w:rsidRPr="00E215BA">
              <w:rPr>
                <w:rFonts w:ascii="KaiTi_GB2312" w:eastAsia="KaiTi_GB2312"/>
                <w:sz w:val="15"/>
                <w:szCs w:val="18"/>
              </w:rPr>
              <w:t>100.0</w:t>
            </w:r>
          </w:p>
        </w:tc>
        <w:tc>
          <w:tcPr>
            <w:tcW w:w="873"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60" w:after="60" w:line="200" w:lineRule="exact"/>
              <w:ind w:right="57"/>
              <w:jc w:val="right"/>
              <w:rPr>
                <w:rFonts w:ascii="KaiTi_GB2312" w:eastAsia="KaiTi_GB2312"/>
                <w:sz w:val="15"/>
                <w:szCs w:val="18"/>
              </w:rPr>
            </w:pPr>
            <w:r w:rsidRPr="00E215BA">
              <w:rPr>
                <w:rFonts w:ascii="KaiTi_GB2312" w:eastAsia="KaiTi_GB2312"/>
                <w:sz w:val="15"/>
                <w:szCs w:val="18"/>
              </w:rPr>
              <w:t>100.0</w:t>
            </w:r>
          </w:p>
        </w:tc>
        <w:tc>
          <w:tcPr>
            <w:tcW w:w="1040"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60" w:after="60" w:line="200" w:lineRule="exact"/>
              <w:ind w:right="57"/>
              <w:jc w:val="right"/>
              <w:rPr>
                <w:rFonts w:ascii="KaiTi_GB2312" w:eastAsia="KaiTi_GB2312"/>
                <w:sz w:val="15"/>
                <w:szCs w:val="18"/>
              </w:rPr>
            </w:pPr>
            <w:r w:rsidRPr="00E215BA">
              <w:rPr>
                <w:rFonts w:ascii="KaiTi_GB2312" w:eastAsia="KaiTi_GB2312"/>
                <w:sz w:val="15"/>
                <w:szCs w:val="18"/>
              </w:rPr>
              <w:t>100.0</w:t>
            </w:r>
          </w:p>
        </w:tc>
      </w:tr>
      <w:tr w:rsidR="00E215BA" w:rsidRPr="00E215BA" w:rsidTr="00E215BA">
        <w:trPr>
          <w:trHeight w:hRule="exact" w:val="115"/>
          <w:tblHeader/>
        </w:trPr>
        <w:tc>
          <w:tcPr>
            <w:tcW w:w="1965"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rPr>
                <w:rFonts w:hint="eastAsia"/>
                <w:sz w:val="17"/>
                <w:szCs w:val="18"/>
              </w:rPr>
            </w:pPr>
          </w:p>
        </w:tc>
        <w:tc>
          <w:tcPr>
            <w:tcW w:w="87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87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87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87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87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104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bookmarkStart w:id="14" w:name="_Hlk289954115"/>
            <w:bookmarkStart w:id="15" w:name="_Hlk289954182"/>
            <w:r w:rsidRPr="00E215BA">
              <w:rPr>
                <w:rFonts w:hint="eastAsia"/>
                <w:sz w:val="17"/>
                <w:szCs w:val="18"/>
              </w:rPr>
              <w:t>大学</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0.1</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0.4</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0.5</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0.8</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1.3</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1.6</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bookmarkStart w:id="16" w:name="_Hlk289954063"/>
            <w:r w:rsidRPr="00E215BA">
              <w:rPr>
                <w:rFonts w:hint="eastAsia"/>
                <w:sz w:val="17"/>
                <w:szCs w:val="18"/>
              </w:rPr>
              <w:t>初中和高中</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1.9</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4.7</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8.5</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15.8</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21.6</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28.0</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小学</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14.8</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26.3</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32.1</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38.0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40.0</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40.6</w:t>
            </w:r>
          </w:p>
        </w:tc>
      </w:tr>
      <w:bookmarkEnd w:id="14"/>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初小</w:t>
            </w:r>
            <w:r w:rsidRPr="00E215BA">
              <w:rPr>
                <w:sz w:val="17"/>
                <w:szCs w:val="18"/>
              </w:rPr>
              <w:t xml:space="preserve"> </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83.2</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68.6</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58.9</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45.4</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37.1</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29.8</w:t>
            </w:r>
          </w:p>
        </w:tc>
      </w:tr>
      <w:bookmarkEnd w:id="15"/>
      <w:bookmarkEnd w:id="16"/>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bCs/>
                <w:sz w:val="17"/>
                <w:szCs w:val="18"/>
              </w:rPr>
            </w:pPr>
            <w:r w:rsidRPr="00E215BA">
              <w:rPr>
                <w:rFonts w:hint="eastAsia"/>
                <w:bCs/>
                <w:sz w:val="17"/>
                <w:szCs w:val="18"/>
              </w:rPr>
              <w:t>男</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大学</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0.2</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0.6</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0.7</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1.6</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1.5</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初中和高中</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2.6</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9.3</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17.9</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24.1</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31.0</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小学</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18.9</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31.9</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37.3</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42.0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42.7</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42.6</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初小</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78.3</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62.5</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52.7</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39.1</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31.6</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24.9</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bCs/>
                <w:sz w:val="17"/>
                <w:szCs w:val="18"/>
              </w:rPr>
            </w:pPr>
            <w:r w:rsidRPr="00E215BA">
              <w:rPr>
                <w:rFonts w:hint="eastAsia"/>
                <w:bCs/>
                <w:sz w:val="17"/>
                <w:szCs w:val="18"/>
              </w:rPr>
              <w:t>女</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100.0</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大学</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0.2</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0.3</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0.6</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1.1</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1.7</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初中和高中</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1.2</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4.4</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7.7</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13.8</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19.1</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25.2</w:t>
            </w:r>
          </w:p>
        </w:tc>
      </w:tr>
      <w:tr w:rsidR="00E215BA" w:rsidRPr="00E215BA" w:rsidTr="00E215BA">
        <w:trPr>
          <w:trHeight w:val="240"/>
        </w:trPr>
        <w:tc>
          <w:tcPr>
            <w:tcW w:w="1965"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小学</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10.7</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20.8</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26.8</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34.0</w:t>
            </w:r>
          </w:p>
        </w:tc>
        <w:tc>
          <w:tcPr>
            <w:tcW w:w="87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37.3</w:t>
            </w:r>
          </w:p>
        </w:tc>
        <w:tc>
          <w:tcPr>
            <w:tcW w:w="104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38.6</w:t>
            </w:r>
          </w:p>
        </w:tc>
      </w:tr>
      <w:tr w:rsidR="00E215BA" w:rsidRPr="00E215BA" w:rsidTr="00E215BA">
        <w:trPr>
          <w:trHeight w:val="240"/>
        </w:trPr>
        <w:tc>
          <w:tcPr>
            <w:tcW w:w="1965"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rFonts w:hint="eastAsia"/>
                <w:sz w:val="17"/>
                <w:szCs w:val="18"/>
              </w:rPr>
              <w:t>初小</w:t>
            </w:r>
            <w:r w:rsidRPr="00E215BA">
              <w:rPr>
                <w:sz w:val="17"/>
                <w:szCs w:val="18"/>
              </w:rPr>
              <w:t xml:space="preserve"> </w:t>
            </w:r>
          </w:p>
        </w:tc>
        <w:tc>
          <w:tcPr>
            <w:tcW w:w="87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88.1</w:t>
            </w:r>
          </w:p>
        </w:tc>
        <w:tc>
          <w:tcPr>
            <w:tcW w:w="87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74.6</w:t>
            </w:r>
          </w:p>
        </w:tc>
        <w:tc>
          <w:tcPr>
            <w:tcW w:w="87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65.1</w:t>
            </w:r>
          </w:p>
        </w:tc>
        <w:tc>
          <w:tcPr>
            <w:tcW w:w="87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51.6</w:t>
            </w:r>
          </w:p>
        </w:tc>
        <w:tc>
          <w:tcPr>
            <w:tcW w:w="87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42.5</w:t>
            </w:r>
          </w:p>
        </w:tc>
        <w:tc>
          <w:tcPr>
            <w:tcW w:w="1040"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34.6</w:t>
            </w:r>
          </w:p>
        </w:tc>
      </w:tr>
    </w:tbl>
    <w:p w:rsidR="00E215BA" w:rsidRPr="00E215BA" w:rsidRDefault="00E215BA" w:rsidP="00E215BA">
      <w:pPr>
        <w:spacing w:line="120" w:lineRule="exact"/>
        <w:ind w:left="562" w:firstLine="562"/>
        <w:rPr>
          <w:rFonts w:eastAsia="KaiTi_GB2312" w:hint="eastAsia"/>
          <w:iCs/>
          <w:sz w:val="10"/>
          <w:szCs w:val="18"/>
        </w:rPr>
      </w:pPr>
    </w:p>
    <w:p w:rsidR="00E215BA" w:rsidRPr="002941D3" w:rsidRDefault="00E215BA" w:rsidP="00E215BA">
      <w:pPr>
        <w:pStyle w:val="FootnoteText"/>
        <w:tabs>
          <w:tab w:val="clear" w:pos="418"/>
          <w:tab w:val="right" w:pos="1476"/>
          <w:tab w:val="left" w:pos="1548"/>
          <w:tab w:val="right" w:pos="1836"/>
          <w:tab w:val="left" w:pos="1908"/>
        </w:tabs>
        <w:ind w:left="1548" w:right="1267" w:hanging="288"/>
        <w:rPr>
          <w:rFonts w:hint="eastAsia"/>
        </w:rPr>
      </w:pPr>
      <w:r w:rsidRPr="00E215BA">
        <w:rPr>
          <w:rFonts w:ascii="KaiTi_GB2312" w:eastAsia="KaiTi_GB2312" w:hint="eastAsia"/>
        </w:rPr>
        <w:t>资料来源</w:t>
      </w:r>
      <w:r w:rsidRPr="002941D3">
        <w:rPr>
          <w:rFonts w:hint="eastAsia"/>
        </w:rPr>
        <w:t>：保加利亚共和国人口普查和住宅基金，国家统计局，</w:t>
      </w:r>
      <w:r w:rsidRPr="002941D3">
        <w:t>2001</w:t>
      </w:r>
      <w:r w:rsidRPr="002941D3">
        <w:rPr>
          <w:rFonts w:hint="eastAsia"/>
        </w:rPr>
        <w:t>年。</w:t>
      </w:r>
    </w:p>
    <w:p w:rsidR="00E215BA" w:rsidRPr="002941D3" w:rsidRDefault="00E215BA" w:rsidP="00E215BA">
      <w:pPr>
        <w:pStyle w:val="SingleTxt"/>
      </w:pPr>
      <w:r w:rsidRPr="002941D3">
        <w:t>表4</w:t>
      </w:r>
      <w:r>
        <w:br/>
      </w:r>
      <w:r w:rsidRPr="00E215BA">
        <w:rPr>
          <w:rFonts w:ascii="SimHei" w:eastAsia="SimHei" w:hint="eastAsia"/>
        </w:rPr>
        <w:t>2006年各居住地男女就业和失业劳动者</w:t>
      </w:r>
    </w:p>
    <w:tbl>
      <w:tblPr>
        <w:tblW w:w="7370" w:type="dxa"/>
        <w:tblInd w:w="1026" w:type="dxa"/>
        <w:tblCellMar>
          <w:left w:w="0" w:type="dxa"/>
          <w:right w:w="0" w:type="dxa"/>
        </w:tblCellMar>
        <w:tblLook w:val="0000" w:firstRow="0" w:lastRow="0" w:firstColumn="0" w:lastColumn="0" w:noHBand="0" w:noVBand="0"/>
      </w:tblPr>
      <w:tblGrid>
        <w:gridCol w:w="1083"/>
        <w:gridCol w:w="1093"/>
        <w:gridCol w:w="1018"/>
        <w:gridCol w:w="1070"/>
        <w:gridCol w:w="1261"/>
        <w:gridCol w:w="922"/>
        <w:gridCol w:w="923"/>
      </w:tblGrid>
      <w:tr w:rsidR="00E215BA" w:rsidRPr="00E215BA" w:rsidTr="00E215BA">
        <w:trPr>
          <w:trHeight w:val="240"/>
          <w:tblHeader/>
        </w:trPr>
        <w:tc>
          <w:tcPr>
            <w:tcW w:w="1083" w:type="dxa"/>
            <w:tcBorders>
              <w:top w:val="single" w:sz="4" w:space="0" w:color="auto"/>
            </w:tcBorders>
            <w:shd w:val="clear" w:color="auto" w:fill="auto"/>
            <w:vAlign w:val="bottom"/>
          </w:tcPr>
          <w:p w:rsidR="00E215BA" w:rsidRPr="00E215BA" w:rsidRDefault="00E215BA" w:rsidP="00E215BA">
            <w:pPr>
              <w:suppressAutoHyphens/>
              <w:spacing w:before="60" w:after="60" w:line="200" w:lineRule="exact"/>
              <w:ind w:right="57"/>
              <w:rPr>
                <w:rFonts w:ascii="KaiTi_GB2312" w:eastAsia="KaiTi_GB2312" w:hint="eastAsia"/>
                <w:sz w:val="15"/>
                <w:szCs w:val="18"/>
              </w:rPr>
            </w:pPr>
          </w:p>
        </w:tc>
        <w:tc>
          <w:tcPr>
            <w:tcW w:w="3181" w:type="dxa"/>
            <w:gridSpan w:val="3"/>
            <w:tcBorders>
              <w:top w:val="single" w:sz="4" w:space="0" w:color="auto"/>
              <w:bottom w:val="single" w:sz="4" w:space="0" w:color="auto"/>
            </w:tcBorders>
            <w:shd w:val="clear" w:color="auto" w:fill="auto"/>
            <w:vAlign w:val="bottom"/>
          </w:tcPr>
          <w:p w:rsidR="00E215BA" w:rsidRPr="00E215BA" w:rsidRDefault="00E215BA" w:rsidP="00E215BA">
            <w:pPr>
              <w:suppressAutoHyphens/>
              <w:spacing w:before="60" w:after="60" w:line="200" w:lineRule="exact"/>
              <w:ind w:right="57"/>
              <w:jc w:val="center"/>
              <w:rPr>
                <w:rFonts w:ascii="KaiTi_GB2312" w:eastAsia="KaiTi_GB2312"/>
                <w:sz w:val="15"/>
                <w:szCs w:val="18"/>
              </w:rPr>
            </w:pPr>
            <w:r w:rsidRPr="00E215BA">
              <w:rPr>
                <w:rFonts w:ascii="KaiTi_GB2312" w:eastAsia="KaiTi_GB2312" w:hint="eastAsia"/>
                <w:sz w:val="15"/>
                <w:szCs w:val="18"/>
              </w:rPr>
              <w:t>劳动者</w:t>
            </w:r>
          </w:p>
        </w:tc>
        <w:tc>
          <w:tcPr>
            <w:tcW w:w="1261" w:type="dxa"/>
            <w:vMerge w:val="restart"/>
            <w:tcBorders>
              <w:top w:val="single" w:sz="4" w:space="0" w:color="auto"/>
            </w:tcBorders>
            <w:shd w:val="clear" w:color="auto" w:fill="auto"/>
            <w:vAlign w:val="bottom"/>
          </w:tcPr>
          <w:p w:rsidR="00E215BA" w:rsidRPr="00E215BA" w:rsidRDefault="00E215BA" w:rsidP="00E215BA">
            <w:pPr>
              <w:suppressAutoHyphens/>
              <w:spacing w:before="80" w:after="60" w:line="200" w:lineRule="exact"/>
              <w:ind w:right="57"/>
              <w:jc w:val="right"/>
              <w:rPr>
                <w:rFonts w:ascii="KaiTi_GB2312" w:eastAsia="KaiTi_GB2312"/>
                <w:sz w:val="15"/>
                <w:szCs w:val="18"/>
              </w:rPr>
            </w:pPr>
            <w:r w:rsidRPr="00E215BA">
              <w:rPr>
                <w:rFonts w:ascii="KaiTi_GB2312" w:eastAsia="KaiTi_GB2312" w:hint="eastAsia"/>
                <w:sz w:val="15"/>
                <w:szCs w:val="18"/>
              </w:rPr>
              <w:t>参加经济活动的比率(百分比</w:t>
            </w:r>
            <w:r w:rsidRPr="00E215BA">
              <w:rPr>
                <w:rFonts w:ascii="KaiTi_GB2312" w:eastAsia="KaiTi_GB2312"/>
                <w:sz w:val="15"/>
                <w:szCs w:val="18"/>
              </w:rPr>
              <w:t xml:space="preserve"> </w:t>
            </w:r>
            <w:r w:rsidRPr="00E215BA">
              <w:rPr>
                <w:rFonts w:ascii="KaiTi_GB2312" w:eastAsia="KaiTi_GB2312" w:hint="eastAsia"/>
                <w:sz w:val="15"/>
                <w:szCs w:val="18"/>
              </w:rPr>
              <w:t>)</w:t>
            </w:r>
          </w:p>
        </w:tc>
        <w:tc>
          <w:tcPr>
            <w:tcW w:w="922" w:type="dxa"/>
            <w:vMerge w:val="restart"/>
            <w:tcBorders>
              <w:top w:val="single" w:sz="4" w:space="0" w:color="auto"/>
            </w:tcBorders>
            <w:shd w:val="clear" w:color="auto" w:fill="auto"/>
            <w:vAlign w:val="bottom"/>
          </w:tcPr>
          <w:p w:rsidR="00E215BA" w:rsidRPr="00E215BA" w:rsidRDefault="00E215BA" w:rsidP="00E215BA">
            <w:pPr>
              <w:suppressAutoHyphens/>
              <w:spacing w:before="80" w:after="60" w:line="200" w:lineRule="exact"/>
              <w:ind w:right="57"/>
              <w:jc w:val="right"/>
              <w:rPr>
                <w:rFonts w:ascii="KaiTi_GB2312" w:eastAsia="KaiTi_GB2312"/>
                <w:sz w:val="15"/>
                <w:szCs w:val="18"/>
              </w:rPr>
            </w:pPr>
            <w:r w:rsidRPr="00E215BA">
              <w:rPr>
                <w:rFonts w:ascii="KaiTi_GB2312" w:eastAsia="KaiTi_GB2312" w:hint="eastAsia"/>
                <w:sz w:val="15"/>
                <w:szCs w:val="18"/>
              </w:rPr>
              <w:t>就业率</w:t>
            </w:r>
            <w:r>
              <w:rPr>
                <w:rFonts w:ascii="Times New Roman" w:eastAsia="KaiTi_GB2312"/>
                <w:sz w:val="15"/>
                <w:szCs w:val="18"/>
              </w:rPr>
              <w:br/>
            </w:r>
            <w:r w:rsidRPr="00E215BA">
              <w:rPr>
                <w:rFonts w:ascii="KaiTi_GB2312" w:eastAsia="KaiTi_GB2312" w:hint="eastAsia"/>
                <w:sz w:val="15"/>
                <w:szCs w:val="18"/>
              </w:rPr>
              <w:t>(百分比)</w:t>
            </w:r>
          </w:p>
        </w:tc>
        <w:tc>
          <w:tcPr>
            <w:tcW w:w="923" w:type="dxa"/>
            <w:vMerge w:val="restart"/>
            <w:tcBorders>
              <w:top w:val="single" w:sz="4" w:space="0" w:color="auto"/>
            </w:tcBorders>
            <w:shd w:val="clear" w:color="auto" w:fill="auto"/>
            <w:vAlign w:val="bottom"/>
          </w:tcPr>
          <w:p w:rsidR="00E215BA" w:rsidRPr="00E215BA" w:rsidRDefault="00E215BA" w:rsidP="00E215BA">
            <w:pPr>
              <w:suppressAutoHyphens/>
              <w:spacing w:before="80" w:after="60" w:line="200" w:lineRule="exact"/>
              <w:ind w:right="57"/>
              <w:jc w:val="right"/>
              <w:rPr>
                <w:rFonts w:ascii="KaiTi_GB2312" w:eastAsia="KaiTi_GB2312"/>
                <w:sz w:val="15"/>
                <w:szCs w:val="18"/>
              </w:rPr>
            </w:pPr>
            <w:r w:rsidRPr="00E215BA">
              <w:rPr>
                <w:rFonts w:ascii="KaiTi_GB2312" w:eastAsia="KaiTi_GB2312" w:hint="eastAsia"/>
                <w:sz w:val="15"/>
                <w:szCs w:val="18"/>
              </w:rPr>
              <w:t>失业率</w:t>
            </w:r>
            <w:r>
              <w:rPr>
                <w:rFonts w:ascii="Times New Roman" w:eastAsia="KaiTi_GB2312"/>
                <w:sz w:val="15"/>
                <w:szCs w:val="18"/>
              </w:rPr>
              <w:br/>
            </w:r>
            <w:r w:rsidRPr="00E215BA">
              <w:rPr>
                <w:rFonts w:ascii="KaiTi_GB2312" w:eastAsia="KaiTi_GB2312" w:hint="eastAsia"/>
                <w:sz w:val="15"/>
                <w:szCs w:val="18"/>
              </w:rPr>
              <w:t>(百分比)</w:t>
            </w:r>
          </w:p>
        </w:tc>
      </w:tr>
      <w:tr w:rsidR="00E215BA" w:rsidRPr="00E215BA" w:rsidTr="00E215BA">
        <w:trPr>
          <w:trHeight w:val="240"/>
          <w:tblHeader/>
        </w:trPr>
        <w:tc>
          <w:tcPr>
            <w:tcW w:w="1083" w:type="dxa"/>
            <w:tcBorders>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rPr>
                <w:rFonts w:ascii="KaiTi_GB2312" w:eastAsia="KaiTi_GB2312" w:hint="eastAsia"/>
                <w:sz w:val="15"/>
                <w:szCs w:val="18"/>
              </w:rPr>
            </w:pPr>
            <w:r w:rsidRPr="00E215BA">
              <w:rPr>
                <w:rFonts w:ascii="KaiTi_GB2312" w:eastAsia="KaiTi_GB2312" w:hint="eastAsia"/>
                <w:sz w:val="15"/>
                <w:szCs w:val="18"/>
              </w:rPr>
              <w:t>居住地，性别</w:t>
            </w:r>
          </w:p>
        </w:tc>
        <w:tc>
          <w:tcPr>
            <w:tcW w:w="1093"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hint="eastAsia"/>
                <w:sz w:val="15"/>
                <w:szCs w:val="18"/>
              </w:rPr>
              <w:t>合计：千人</w:t>
            </w:r>
          </w:p>
        </w:tc>
        <w:tc>
          <w:tcPr>
            <w:tcW w:w="1018"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hint="eastAsia"/>
                <w:sz w:val="15"/>
                <w:szCs w:val="18"/>
              </w:rPr>
              <w:t>就业者：千人</w:t>
            </w:r>
          </w:p>
        </w:tc>
        <w:tc>
          <w:tcPr>
            <w:tcW w:w="1070" w:type="dxa"/>
            <w:tcBorders>
              <w:top w:val="single" w:sz="4" w:space="0" w:color="auto"/>
              <w:bottom w:val="single" w:sz="12" w:space="0" w:color="auto"/>
            </w:tcBorders>
            <w:shd w:val="clear" w:color="auto" w:fill="auto"/>
            <w:vAlign w:val="bottom"/>
          </w:tcPr>
          <w:p w:rsidR="00E215BA" w:rsidRPr="00E215BA" w:rsidRDefault="00E215BA" w:rsidP="00E215BA">
            <w:pPr>
              <w:suppressAutoHyphens/>
              <w:spacing w:before="40" w:after="60" w:line="200" w:lineRule="exact"/>
              <w:ind w:right="57"/>
              <w:jc w:val="right"/>
              <w:rPr>
                <w:rFonts w:ascii="KaiTi_GB2312" w:eastAsia="KaiTi_GB2312"/>
                <w:sz w:val="15"/>
                <w:szCs w:val="18"/>
              </w:rPr>
            </w:pPr>
            <w:r w:rsidRPr="00E215BA">
              <w:rPr>
                <w:rFonts w:ascii="KaiTi_GB2312" w:eastAsia="KaiTi_GB2312" w:hint="eastAsia"/>
                <w:sz w:val="15"/>
                <w:szCs w:val="18"/>
              </w:rPr>
              <w:t>失业者：千人</w:t>
            </w:r>
          </w:p>
        </w:tc>
        <w:tc>
          <w:tcPr>
            <w:tcW w:w="1261" w:type="dxa"/>
            <w:vMerge/>
            <w:tcBorders>
              <w:bottom w:val="single" w:sz="12" w:space="0" w:color="auto"/>
            </w:tcBorders>
            <w:shd w:val="clear" w:color="auto" w:fill="auto"/>
            <w:vAlign w:val="bottom"/>
          </w:tcPr>
          <w:p w:rsidR="00E215BA" w:rsidRPr="00E215BA" w:rsidRDefault="00E215BA" w:rsidP="00E215BA">
            <w:pPr>
              <w:suppressAutoHyphens/>
              <w:spacing w:before="80" w:after="60" w:line="200" w:lineRule="exact"/>
              <w:ind w:right="57"/>
              <w:jc w:val="right"/>
              <w:rPr>
                <w:rFonts w:ascii="KaiTi_GB2312" w:eastAsia="KaiTi_GB2312" w:hint="eastAsia"/>
                <w:sz w:val="15"/>
                <w:szCs w:val="18"/>
              </w:rPr>
            </w:pPr>
          </w:p>
        </w:tc>
        <w:tc>
          <w:tcPr>
            <w:tcW w:w="922" w:type="dxa"/>
            <w:vMerge/>
            <w:tcBorders>
              <w:bottom w:val="single" w:sz="12" w:space="0" w:color="auto"/>
            </w:tcBorders>
            <w:shd w:val="clear" w:color="auto" w:fill="auto"/>
            <w:vAlign w:val="bottom"/>
          </w:tcPr>
          <w:p w:rsidR="00E215BA" w:rsidRPr="00E215BA" w:rsidRDefault="00E215BA" w:rsidP="00E215BA">
            <w:pPr>
              <w:suppressAutoHyphens/>
              <w:spacing w:before="80" w:after="60" w:line="200" w:lineRule="exact"/>
              <w:ind w:right="57"/>
              <w:jc w:val="right"/>
              <w:rPr>
                <w:rFonts w:ascii="KaiTi_GB2312" w:eastAsia="KaiTi_GB2312" w:hint="eastAsia"/>
                <w:sz w:val="15"/>
                <w:szCs w:val="18"/>
              </w:rPr>
            </w:pPr>
          </w:p>
        </w:tc>
        <w:tc>
          <w:tcPr>
            <w:tcW w:w="923" w:type="dxa"/>
            <w:vMerge/>
            <w:tcBorders>
              <w:bottom w:val="single" w:sz="12" w:space="0" w:color="auto"/>
            </w:tcBorders>
            <w:shd w:val="clear" w:color="auto" w:fill="auto"/>
            <w:vAlign w:val="bottom"/>
          </w:tcPr>
          <w:p w:rsidR="00E215BA" w:rsidRPr="00E215BA" w:rsidRDefault="00E215BA" w:rsidP="00E215BA">
            <w:pPr>
              <w:suppressAutoHyphens/>
              <w:spacing w:before="80" w:after="60" w:line="200" w:lineRule="exact"/>
              <w:ind w:right="57"/>
              <w:jc w:val="right"/>
              <w:rPr>
                <w:rFonts w:ascii="KaiTi_GB2312" w:eastAsia="KaiTi_GB2312" w:hint="eastAsia"/>
                <w:sz w:val="15"/>
                <w:szCs w:val="18"/>
              </w:rPr>
            </w:pPr>
          </w:p>
        </w:tc>
      </w:tr>
      <w:tr w:rsidR="00E215BA" w:rsidRPr="00E215BA" w:rsidTr="00E215BA">
        <w:trPr>
          <w:trHeight w:hRule="exact" w:val="115"/>
          <w:tblHeader/>
        </w:trPr>
        <w:tc>
          <w:tcPr>
            <w:tcW w:w="108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rPr>
                <w:rFonts w:hint="eastAsia"/>
                <w:sz w:val="17"/>
                <w:szCs w:val="18"/>
              </w:rPr>
            </w:pPr>
          </w:p>
        </w:tc>
        <w:tc>
          <w:tcPr>
            <w:tcW w:w="109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1018"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1070"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1261"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922"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c>
          <w:tcPr>
            <w:tcW w:w="923" w:type="dxa"/>
            <w:tcBorders>
              <w:top w:val="single" w:sz="12" w:space="0" w:color="auto"/>
            </w:tcBorders>
            <w:shd w:val="clear" w:color="auto" w:fill="auto"/>
            <w:vAlign w:val="bottom"/>
          </w:tcPr>
          <w:p w:rsidR="00E215BA" w:rsidRPr="00E215BA" w:rsidRDefault="00E215BA" w:rsidP="00E215BA">
            <w:pPr>
              <w:suppressAutoHyphens/>
              <w:spacing w:after="60" w:line="280" w:lineRule="exact"/>
              <w:ind w:right="57"/>
              <w:jc w:val="right"/>
              <w:rPr>
                <w:sz w:val="17"/>
                <w:szCs w:val="18"/>
              </w:rPr>
            </w:pPr>
          </w:p>
        </w:tc>
      </w:tr>
      <w:tr w:rsidR="00E215BA" w:rsidRPr="00E215BA" w:rsidTr="00E215BA">
        <w:trPr>
          <w:trHeight w:val="240"/>
        </w:trPr>
        <w:tc>
          <w:tcPr>
            <w:tcW w:w="108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合计</w:t>
            </w:r>
          </w:p>
        </w:tc>
        <w:tc>
          <w:tcPr>
            <w:tcW w:w="109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w:t>
            </w:r>
            <w:r w:rsidRPr="00E215BA">
              <w:rPr>
                <w:rFonts w:hint="eastAsia"/>
                <w:sz w:val="17"/>
                <w:szCs w:val="18"/>
              </w:rPr>
              <w:t xml:space="preserve"> </w:t>
            </w:r>
            <w:r w:rsidRPr="00E215BA">
              <w:rPr>
                <w:sz w:val="17"/>
                <w:szCs w:val="18"/>
              </w:rPr>
              <w:t>415.7</w:t>
            </w:r>
          </w:p>
        </w:tc>
        <w:tc>
          <w:tcPr>
            <w:tcW w:w="101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w:t>
            </w:r>
            <w:r w:rsidRPr="00E215BA">
              <w:rPr>
                <w:rFonts w:hint="eastAsia"/>
                <w:sz w:val="17"/>
                <w:szCs w:val="18"/>
              </w:rPr>
              <w:t xml:space="preserve"> </w:t>
            </w:r>
            <w:r w:rsidRPr="00E215BA">
              <w:rPr>
                <w:sz w:val="17"/>
                <w:szCs w:val="18"/>
              </w:rPr>
              <w:t>110.0</w:t>
            </w:r>
          </w:p>
        </w:tc>
        <w:tc>
          <w:tcPr>
            <w:tcW w:w="107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305.7</w:t>
            </w:r>
          </w:p>
        </w:tc>
        <w:tc>
          <w:tcPr>
            <w:tcW w:w="1261"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c>
          <w:tcPr>
            <w:tcW w:w="9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c>
          <w:tcPr>
            <w:tcW w:w="92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p>
        </w:tc>
      </w:tr>
      <w:tr w:rsidR="00E215BA" w:rsidRPr="00E215BA" w:rsidTr="00E215BA">
        <w:trPr>
          <w:trHeight w:val="240"/>
        </w:trPr>
        <w:tc>
          <w:tcPr>
            <w:tcW w:w="108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城市</w:t>
            </w:r>
          </w:p>
        </w:tc>
        <w:tc>
          <w:tcPr>
            <w:tcW w:w="109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w:t>
            </w:r>
            <w:r w:rsidRPr="00E215BA">
              <w:rPr>
                <w:rFonts w:hint="eastAsia"/>
                <w:sz w:val="17"/>
                <w:szCs w:val="18"/>
              </w:rPr>
              <w:t xml:space="preserve"> </w:t>
            </w:r>
            <w:r w:rsidRPr="00E215BA">
              <w:rPr>
                <w:sz w:val="17"/>
                <w:szCs w:val="18"/>
              </w:rPr>
              <w:t>471.6</w:t>
            </w:r>
          </w:p>
        </w:tc>
        <w:tc>
          <w:tcPr>
            <w:tcW w:w="101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w:t>
            </w:r>
            <w:r w:rsidRPr="00E215BA">
              <w:rPr>
                <w:rFonts w:hint="eastAsia"/>
                <w:sz w:val="17"/>
                <w:szCs w:val="18"/>
              </w:rPr>
              <w:t xml:space="preserve"> </w:t>
            </w:r>
            <w:r w:rsidRPr="00E215BA">
              <w:rPr>
                <w:sz w:val="17"/>
                <w:szCs w:val="18"/>
              </w:rPr>
              <w:t>409.4</w:t>
            </w:r>
          </w:p>
        </w:tc>
        <w:tc>
          <w:tcPr>
            <w:tcW w:w="107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195.3</w:t>
            </w:r>
          </w:p>
        </w:tc>
        <w:tc>
          <w:tcPr>
            <w:tcW w:w="1261"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55.8</w:t>
            </w:r>
          </w:p>
        </w:tc>
        <w:tc>
          <w:tcPr>
            <w:tcW w:w="9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51.6</w:t>
            </w:r>
          </w:p>
        </w:tc>
        <w:tc>
          <w:tcPr>
            <w:tcW w:w="92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7.5</w:t>
            </w:r>
          </w:p>
        </w:tc>
      </w:tr>
      <w:tr w:rsidR="00E215BA" w:rsidRPr="00E215BA" w:rsidTr="00E215BA">
        <w:trPr>
          <w:trHeight w:val="240"/>
        </w:trPr>
        <w:tc>
          <w:tcPr>
            <w:tcW w:w="108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bookmarkStart w:id="17" w:name="_Hlk289954500"/>
            <w:r w:rsidRPr="00E215BA">
              <w:rPr>
                <w:sz w:val="17"/>
                <w:szCs w:val="18"/>
              </w:rPr>
              <w:t xml:space="preserve">  </w:t>
            </w:r>
            <w:r w:rsidRPr="00E215BA">
              <w:rPr>
                <w:rFonts w:hint="eastAsia"/>
                <w:sz w:val="17"/>
                <w:szCs w:val="18"/>
              </w:rPr>
              <w:t>男</w:t>
            </w:r>
            <w:r w:rsidRPr="00E215BA">
              <w:rPr>
                <w:sz w:val="17"/>
                <w:szCs w:val="18"/>
              </w:rPr>
              <w:t xml:space="preserve"> </w:t>
            </w:r>
          </w:p>
        </w:tc>
        <w:tc>
          <w:tcPr>
            <w:tcW w:w="109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w:t>
            </w:r>
            <w:r w:rsidRPr="00E215BA">
              <w:rPr>
                <w:rFonts w:hint="eastAsia"/>
                <w:sz w:val="17"/>
                <w:szCs w:val="18"/>
              </w:rPr>
              <w:t xml:space="preserve"> </w:t>
            </w:r>
            <w:r w:rsidRPr="00E215BA">
              <w:rPr>
                <w:sz w:val="17"/>
                <w:szCs w:val="18"/>
              </w:rPr>
              <w:t>350.5</w:t>
            </w:r>
          </w:p>
        </w:tc>
        <w:tc>
          <w:tcPr>
            <w:tcW w:w="101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w:t>
            </w:r>
            <w:r w:rsidRPr="00E215BA">
              <w:rPr>
                <w:rFonts w:hint="eastAsia"/>
                <w:sz w:val="17"/>
                <w:szCs w:val="18"/>
              </w:rPr>
              <w:t xml:space="preserve"> </w:t>
            </w:r>
            <w:r w:rsidRPr="00E215BA">
              <w:rPr>
                <w:sz w:val="17"/>
                <w:szCs w:val="18"/>
              </w:rPr>
              <w:t>253.3</w:t>
            </w:r>
          </w:p>
        </w:tc>
        <w:tc>
          <w:tcPr>
            <w:tcW w:w="107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97.2</w:t>
            </w:r>
          </w:p>
        </w:tc>
        <w:tc>
          <w:tcPr>
            <w:tcW w:w="1261"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60.8</w:t>
            </w:r>
          </w:p>
        </w:tc>
        <w:tc>
          <w:tcPr>
            <w:tcW w:w="9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56.4</w:t>
            </w:r>
          </w:p>
        </w:tc>
        <w:tc>
          <w:tcPr>
            <w:tcW w:w="92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7.2</w:t>
            </w:r>
          </w:p>
        </w:tc>
      </w:tr>
      <w:tr w:rsidR="00E215BA" w:rsidRPr="00E215BA" w:rsidTr="00E215BA">
        <w:trPr>
          <w:trHeight w:val="240"/>
        </w:trPr>
        <w:tc>
          <w:tcPr>
            <w:tcW w:w="108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sz w:val="17"/>
                <w:szCs w:val="18"/>
              </w:rPr>
              <w:t xml:space="preserve">  </w:t>
            </w:r>
            <w:r w:rsidRPr="00E215BA">
              <w:rPr>
                <w:rFonts w:hint="eastAsia"/>
                <w:sz w:val="17"/>
                <w:szCs w:val="18"/>
              </w:rPr>
              <w:t>女</w:t>
            </w:r>
          </w:p>
        </w:tc>
        <w:tc>
          <w:tcPr>
            <w:tcW w:w="109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w:t>
            </w:r>
            <w:r w:rsidRPr="00E215BA">
              <w:rPr>
                <w:rFonts w:hint="eastAsia"/>
                <w:sz w:val="17"/>
                <w:szCs w:val="18"/>
              </w:rPr>
              <w:t xml:space="preserve"> </w:t>
            </w:r>
            <w:r w:rsidRPr="00E215BA">
              <w:rPr>
                <w:sz w:val="17"/>
                <w:szCs w:val="18"/>
              </w:rPr>
              <w:t>254.2</w:t>
            </w:r>
          </w:p>
        </w:tc>
        <w:tc>
          <w:tcPr>
            <w:tcW w:w="101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w:t>
            </w:r>
            <w:r w:rsidRPr="00E215BA">
              <w:rPr>
                <w:rFonts w:hint="eastAsia"/>
                <w:sz w:val="17"/>
                <w:szCs w:val="18"/>
              </w:rPr>
              <w:t xml:space="preserve"> </w:t>
            </w:r>
            <w:r w:rsidRPr="00E215BA">
              <w:rPr>
                <w:sz w:val="17"/>
                <w:szCs w:val="18"/>
              </w:rPr>
              <w:t>156.1</w:t>
            </w:r>
          </w:p>
        </w:tc>
        <w:tc>
          <w:tcPr>
            <w:tcW w:w="107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98.1</w:t>
            </w:r>
          </w:p>
        </w:tc>
        <w:tc>
          <w:tcPr>
            <w:tcW w:w="1261"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51.2</w:t>
            </w:r>
          </w:p>
        </w:tc>
        <w:tc>
          <w:tcPr>
            <w:tcW w:w="9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47.2</w:t>
            </w:r>
          </w:p>
        </w:tc>
        <w:tc>
          <w:tcPr>
            <w:tcW w:w="92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7.8</w:t>
            </w:r>
          </w:p>
        </w:tc>
      </w:tr>
      <w:bookmarkEnd w:id="17"/>
      <w:tr w:rsidR="00E215BA" w:rsidRPr="00E215BA" w:rsidTr="00E215BA">
        <w:trPr>
          <w:trHeight w:val="240"/>
        </w:trPr>
        <w:tc>
          <w:tcPr>
            <w:tcW w:w="108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rFonts w:hint="eastAsia"/>
                <w:sz w:val="17"/>
                <w:szCs w:val="18"/>
              </w:rPr>
            </w:pPr>
            <w:r w:rsidRPr="00E215BA">
              <w:rPr>
                <w:rFonts w:hint="eastAsia"/>
                <w:sz w:val="17"/>
                <w:szCs w:val="18"/>
              </w:rPr>
              <w:t>农村</w:t>
            </w:r>
          </w:p>
        </w:tc>
        <w:tc>
          <w:tcPr>
            <w:tcW w:w="109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811.0</w:t>
            </w:r>
          </w:p>
        </w:tc>
        <w:tc>
          <w:tcPr>
            <w:tcW w:w="101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700.6</w:t>
            </w:r>
          </w:p>
        </w:tc>
        <w:tc>
          <w:tcPr>
            <w:tcW w:w="107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110.4</w:t>
            </w:r>
          </w:p>
        </w:tc>
        <w:tc>
          <w:tcPr>
            <w:tcW w:w="1261"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40.8</w:t>
            </w:r>
          </w:p>
        </w:tc>
        <w:tc>
          <w:tcPr>
            <w:tcW w:w="9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35.2</w:t>
            </w:r>
          </w:p>
        </w:tc>
        <w:tc>
          <w:tcPr>
            <w:tcW w:w="92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13.6</w:t>
            </w:r>
          </w:p>
        </w:tc>
      </w:tr>
      <w:tr w:rsidR="00E215BA" w:rsidRPr="00E215BA" w:rsidTr="00E215BA">
        <w:trPr>
          <w:trHeight w:val="240"/>
        </w:trPr>
        <w:tc>
          <w:tcPr>
            <w:tcW w:w="108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sz w:val="17"/>
                <w:szCs w:val="18"/>
              </w:rPr>
              <w:t xml:space="preserve">  </w:t>
            </w:r>
            <w:r w:rsidRPr="00E215BA">
              <w:rPr>
                <w:rFonts w:hint="eastAsia"/>
                <w:sz w:val="17"/>
                <w:szCs w:val="18"/>
              </w:rPr>
              <w:t>男</w:t>
            </w:r>
            <w:r w:rsidRPr="00E215BA">
              <w:rPr>
                <w:sz w:val="17"/>
                <w:szCs w:val="18"/>
              </w:rPr>
              <w:t xml:space="preserve"> </w:t>
            </w:r>
          </w:p>
        </w:tc>
        <w:tc>
          <w:tcPr>
            <w:tcW w:w="109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458.6</w:t>
            </w:r>
          </w:p>
        </w:tc>
        <w:tc>
          <w:tcPr>
            <w:tcW w:w="1018"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399.5</w:t>
            </w:r>
          </w:p>
        </w:tc>
        <w:tc>
          <w:tcPr>
            <w:tcW w:w="1070"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59.3</w:t>
            </w:r>
          </w:p>
        </w:tc>
        <w:tc>
          <w:tcPr>
            <w:tcW w:w="1261"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47.2</w:t>
            </w:r>
          </w:p>
        </w:tc>
        <w:tc>
          <w:tcPr>
            <w:tcW w:w="922"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41.1</w:t>
            </w:r>
          </w:p>
        </w:tc>
        <w:tc>
          <w:tcPr>
            <w:tcW w:w="923" w:type="dxa"/>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12.9</w:t>
            </w:r>
          </w:p>
        </w:tc>
      </w:tr>
      <w:tr w:rsidR="00E215BA" w:rsidRPr="00E215BA" w:rsidTr="00E215BA">
        <w:trPr>
          <w:trHeight w:val="240"/>
        </w:trPr>
        <w:tc>
          <w:tcPr>
            <w:tcW w:w="108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rPr>
                <w:sz w:val="17"/>
                <w:szCs w:val="18"/>
              </w:rPr>
            </w:pPr>
            <w:r w:rsidRPr="00E215BA">
              <w:rPr>
                <w:sz w:val="17"/>
                <w:szCs w:val="18"/>
              </w:rPr>
              <w:t xml:space="preserve">  </w:t>
            </w:r>
            <w:r w:rsidRPr="00E215BA">
              <w:rPr>
                <w:rFonts w:hint="eastAsia"/>
                <w:sz w:val="17"/>
                <w:szCs w:val="18"/>
              </w:rPr>
              <w:t>女</w:t>
            </w:r>
          </w:p>
        </w:tc>
        <w:tc>
          <w:tcPr>
            <w:tcW w:w="109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352.4</w:t>
            </w:r>
          </w:p>
        </w:tc>
        <w:tc>
          <w:tcPr>
            <w:tcW w:w="1018"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301.1</w:t>
            </w:r>
          </w:p>
        </w:tc>
        <w:tc>
          <w:tcPr>
            <w:tcW w:w="1070"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51.2</w:t>
            </w:r>
          </w:p>
        </w:tc>
        <w:tc>
          <w:tcPr>
            <w:tcW w:w="1261"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34.6</w:t>
            </w:r>
          </w:p>
        </w:tc>
        <w:tc>
          <w:tcPr>
            <w:tcW w:w="922"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29.6</w:t>
            </w:r>
          </w:p>
        </w:tc>
        <w:tc>
          <w:tcPr>
            <w:tcW w:w="923" w:type="dxa"/>
            <w:tcBorders>
              <w:bottom w:val="single" w:sz="12" w:space="0" w:color="auto"/>
            </w:tcBorders>
            <w:shd w:val="clear" w:color="auto" w:fill="auto"/>
            <w:vAlign w:val="bottom"/>
          </w:tcPr>
          <w:p w:rsidR="00E215BA" w:rsidRPr="00E215BA" w:rsidRDefault="00E215BA" w:rsidP="00E215BA">
            <w:pPr>
              <w:tabs>
                <w:tab w:val="left" w:pos="334"/>
                <w:tab w:val="left" w:pos="669"/>
                <w:tab w:val="left" w:pos="1003"/>
                <w:tab w:val="left" w:pos="1338"/>
              </w:tabs>
              <w:suppressAutoHyphens/>
              <w:spacing w:after="60" w:line="280" w:lineRule="exact"/>
              <w:ind w:right="57"/>
              <w:jc w:val="right"/>
              <w:rPr>
                <w:sz w:val="17"/>
                <w:szCs w:val="18"/>
              </w:rPr>
            </w:pPr>
            <w:r w:rsidRPr="00E215BA">
              <w:rPr>
                <w:sz w:val="17"/>
                <w:szCs w:val="18"/>
              </w:rPr>
              <w:t>14.5</w:t>
            </w:r>
          </w:p>
        </w:tc>
      </w:tr>
    </w:tbl>
    <w:p w:rsidR="00E215BA" w:rsidRPr="00E215BA" w:rsidRDefault="00E215BA" w:rsidP="00E215BA">
      <w:pPr>
        <w:pStyle w:val="SingleTxtG"/>
        <w:spacing w:after="0" w:line="120" w:lineRule="exact"/>
        <w:rPr>
          <w:rFonts w:eastAsia="KaiTi_GB2312" w:hint="eastAsia"/>
          <w:iCs/>
          <w:sz w:val="10"/>
          <w:szCs w:val="18"/>
          <w:lang w:val="en-US" w:eastAsia="zh-CN"/>
        </w:rPr>
      </w:pPr>
    </w:p>
    <w:p w:rsidR="00E215BA" w:rsidRPr="002941D3" w:rsidRDefault="00E215BA" w:rsidP="00E215BA">
      <w:pPr>
        <w:pStyle w:val="FootnoteText"/>
        <w:tabs>
          <w:tab w:val="clear" w:pos="418"/>
          <w:tab w:val="right" w:pos="1476"/>
          <w:tab w:val="left" w:pos="1548"/>
          <w:tab w:val="right" w:pos="1836"/>
          <w:tab w:val="left" w:pos="1908"/>
        </w:tabs>
        <w:ind w:left="1548" w:right="1267" w:hanging="288"/>
        <w:rPr>
          <w:rFonts w:hint="eastAsia"/>
        </w:rPr>
      </w:pPr>
      <w:r w:rsidRPr="00E215BA">
        <w:rPr>
          <w:rFonts w:ascii="KaiTi_GB2312" w:eastAsia="KaiTi_GB2312" w:hint="eastAsia"/>
        </w:rPr>
        <w:t>资料来源</w:t>
      </w:r>
      <w:r w:rsidRPr="002941D3">
        <w:rPr>
          <w:rFonts w:hint="eastAsia"/>
        </w:rPr>
        <w:t>：《保加利亚统计年鉴》，国家统计局，2</w:t>
      </w:r>
      <w:r w:rsidRPr="002941D3">
        <w:t>007</w:t>
      </w:r>
      <w:r w:rsidRPr="002941D3">
        <w:rPr>
          <w:rFonts w:hint="eastAsia"/>
        </w:rPr>
        <w:t>年</w:t>
      </w:r>
      <w:r w:rsidRPr="002941D3">
        <w:t>: 70</w:t>
      </w:r>
      <w:r w:rsidRPr="002941D3">
        <w:rPr>
          <w:rFonts w:hint="eastAsia"/>
        </w:rPr>
        <w:t>。</w:t>
      </w:r>
    </w:p>
    <w:p w:rsidR="00564395" w:rsidRDefault="00564395" w:rsidP="00E215BA">
      <w:pPr>
        <w:pStyle w:val="SingleTxt"/>
      </w:pPr>
    </w:p>
    <w:p w:rsidR="00E215BA" w:rsidRPr="00E215BA" w:rsidRDefault="00E215BA" w:rsidP="00E215BA">
      <w:pPr>
        <w:pStyle w:val="SingleTxt"/>
        <w:spacing w:after="0" w:line="240" w:lineRule="auto"/>
        <w:rPr>
          <w:sz w:val="20"/>
        </w:rPr>
      </w:pPr>
      <w:r>
        <w:rPr>
          <w:noProof/>
          <w:sz w:val="20"/>
        </w:rPr>
        <w:pict>
          <v:line id="_x0000_s1079" style="position:absolute;left:0;text-align:left;z-index:3;mso-position-horizontal:center" from="0,30pt" to="1in,30pt" strokeweight=".25pt">
            <w10:wrap side="right"/>
          </v:line>
        </w:pict>
      </w:r>
    </w:p>
    <w:sectPr w:rsidR="00E215BA" w:rsidRPr="00E215BA" w:rsidSect="00087467">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18T15:59:00Z" w:initials="Start">
    <w:p w:rsidR="00D3764F" w:rsidRDefault="00D3764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NO&gt;&gt;N1120276C&lt;&lt;ODS JOB NO&gt;&gt;</w:t>
      </w:r>
    </w:p>
    <w:p w:rsidR="00D3764F" w:rsidRDefault="00D3764F">
      <w:pPr>
        <w:pStyle w:val="CommentText"/>
      </w:pPr>
      <w:r>
        <w:t>&lt;&lt;ODS DOC SYMBOL1&gt;&gt;CEDAW/C/BGR/4-7&lt;&lt;ODS DOC SYMBOL1&gt;&gt;</w:t>
      </w:r>
    </w:p>
    <w:p w:rsidR="00D3764F" w:rsidRDefault="00D376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F0C" w:rsidRDefault="009D3F0C">
      <w:r>
        <w:separator/>
      </w:r>
    </w:p>
  </w:endnote>
  <w:endnote w:type="continuationSeparator" w:id="0">
    <w:p w:rsidR="009D3F0C" w:rsidRDefault="009D3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64F" w:rsidTr="00087467">
      <w:tblPrEx>
        <w:tblCellMar>
          <w:top w:w="0" w:type="dxa"/>
          <w:bottom w:w="0" w:type="dxa"/>
        </w:tblCellMar>
      </w:tblPrEx>
      <w:tc>
        <w:tcPr>
          <w:tcW w:w="5033" w:type="dxa"/>
          <w:shd w:val="clear" w:color="auto" w:fill="auto"/>
        </w:tcPr>
        <w:p w:rsidR="00D3764F" w:rsidRPr="00087467" w:rsidRDefault="00D3764F" w:rsidP="000874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11-20276 (C)</w:t>
          </w:r>
          <w:r>
            <w:rPr>
              <w:b w:val="0"/>
              <w:w w:val="103"/>
              <w:sz w:val="14"/>
            </w:rPr>
            <w:fldChar w:fldCharType="end"/>
          </w:r>
        </w:p>
      </w:tc>
      <w:tc>
        <w:tcPr>
          <w:tcW w:w="5033" w:type="dxa"/>
          <w:shd w:val="clear" w:color="auto" w:fill="auto"/>
        </w:tcPr>
        <w:p w:rsidR="00D3764F" w:rsidRPr="00087467" w:rsidRDefault="00D3764F" w:rsidP="00087467">
          <w:pPr>
            <w:pStyle w:val="Footer"/>
            <w:jc w:val="left"/>
            <w:rPr>
              <w:w w:val="103"/>
            </w:rPr>
          </w:pPr>
          <w:r>
            <w:rPr>
              <w:w w:val="103"/>
            </w:rPr>
            <w:fldChar w:fldCharType="begin"/>
          </w:r>
          <w:r>
            <w:rPr>
              <w:w w:val="103"/>
            </w:rPr>
            <w:instrText xml:space="preserve"> PAGE  \* MERGEFORMAT </w:instrText>
          </w:r>
          <w:r>
            <w:rPr>
              <w:w w:val="103"/>
            </w:rPr>
            <w:fldChar w:fldCharType="separate"/>
          </w:r>
          <w:r w:rsidR="00942560">
            <w:rPr>
              <w:w w:val="103"/>
            </w:rPr>
            <w:t>62</w:t>
          </w:r>
          <w:r>
            <w:rPr>
              <w:w w:val="103"/>
            </w:rPr>
            <w:fldChar w:fldCharType="end"/>
          </w:r>
        </w:p>
      </w:tc>
    </w:tr>
  </w:tbl>
  <w:p w:rsidR="00D3764F" w:rsidRPr="00087467" w:rsidRDefault="00D3764F" w:rsidP="000874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64F" w:rsidTr="00087467">
      <w:tblPrEx>
        <w:tblCellMar>
          <w:top w:w="0" w:type="dxa"/>
          <w:bottom w:w="0" w:type="dxa"/>
        </w:tblCellMar>
      </w:tblPrEx>
      <w:tc>
        <w:tcPr>
          <w:tcW w:w="5033" w:type="dxa"/>
          <w:shd w:val="clear" w:color="auto" w:fill="auto"/>
        </w:tcPr>
        <w:p w:rsidR="00D3764F" w:rsidRPr="00087467" w:rsidRDefault="00D3764F" w:rsidP="00087467">
          <w:pPr>
            <w:pStyle w:val="Footer"/>
            <w:jc w:val="right"/>
          </w:pPr>
          <w:r>
            <w:fldChar w:fldCharType="begin"/>
          </w:r>
          <w:r>
            <w:instrText xml:space="preserve"> PAGE  \* MERGEFORMAT </w:instrText>
          </w:r>
          <w:r>
            <w:fldChar w:fldCharType="separate"/>
          </w:r>
          <w:r w:rsidR="00942560">
            <w:t>61</w:t>
          </w:r>
          <w:r>
            <w:fldChar w:fldCharType="end"/>
          </w:r>
        </w:p>
      </w:tc>
      <w:tc>
        <w:tcPr>
          <w:tcW w:w="5033" w:type="dxa"/>
          <w:shd w:val="clear" w:color="auto" w:fill="auto"/>
        </w:tcPr>
        <w:p w:rsidR="00D3764F" w:rsidRPr="00087467" w:rsidRDefault="00D3764F" w:rsidP="00087467">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11-20276 (C)</w:t>
          </w:r>
          <w:r>
            <w:rPr>
              <w:b w:val="0"/>
              <w:w w:val="103"/>
              <w:sz w:val="14"/>
            </w:rPr>
            <w:fldChar w:fldCharType="end"/>
          </w:r>
        </w:p>
      </w:tc>
    </w:tr>
  </w:tbl>
  <w:p w:rsidR="00D3764F" w:rsidRPr="00087467" w:rsidRDefault="00D3764F" w:rsidP="000874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3764F">
      <w:tblPrEx>
        <w:tblCellMar>
          <w:top w:w="0" w:type="dxa"/>
          <w:bottom w:w="0" w:type="dxa"/>
        </w:tblCellMar>
      </w:tblPrEx>
      <w:tc>
        <w:tcPr>
          <w:tcW w:w="5033" w:type="dxa"/>
        </w:tcPr>
        <w:p w:rsidR="00D3764F" w:rsidRDefault="00942560" w:rsidP="00087467">
          <w:pPr>
            <w:pStyle w:val="Footer"/>
            <w:rPr>
              <w:b w:val="0"/>
              <w:sz w:val="21"/>
            </w:rPr>
          </w:pPr>
          <w:r w:rsidRPr="00942560">
            <w:rPr>
              <w:b w:val="0"/>
              <w:sz w:val="21"/>
            </w:rPr>
            <w:t xml:space="preserve">11-20276 </w:t>
          </w:r>
          <w:r>
            <w:rPr>
              <w:rFonts w:hint="eastAsia"/>
              <w:b w:val="0"/>
              <w:sz w:val="21"/>
            </w:rPr>
            <w:t>X</w:t>
          </w:r>
          <w:r>
            <w:rPr>
              <w:b w:val="0"/>
              <w:sz w:val="21"/>
            </w:rPr>
            <w:t xml:space="preserve"> </w:t>
          </w:r>
          <w:r w:rsidRPr="00942560">
            <w:rPr>
              <w:b w:val="0"/>
              <w:sz w:val="21"/>
            </w:rPr>
            <w:t>(C)</w:t>
          </w:r>
          <w:r w:rsidR="00D3764F">
            <w:rPr>
              <w:b w:val="0"/>
              <w:sz w:val="21"/>
            </w:rPr>
            <w:t xml:space="preserve">    1</w:t>
          </w:r>
          <w:r w:rsidR="00D3764F">
            <w:rPr>
              <w:rFonts w:hint="eastAsia"/>
              <w:b w:val="0"/>
              <w:sz w:val="21"/>
            </w:rPr>
            <w:t>5</w:t>
          </w:r>
          <w:r w:rsidR="00D3764F">
            <w:rPr>
              <w:b w:val="0"/>
              <w:sz w:val="21"/>
            </w:rPr>
            <w:t>0411    1</w:t>
          </w:r>
          <w:r w:rsidR="00D3764F">
            <w:rPr>
              <w:rFonts w:hint="eastAsia"/>
              <w:b w:val="0"/>
              <w:sz w:val="21"/>
            </w:rPr>
            <w:t>9</w:t>
          </w:r>
          <w:r w:rsidR="00D3764F">
            <w:rPr>
              <w:b w:val="0"/>
              <w:sz w:val="21"/>
            </w:rPr>
            <w:t>0411</w:t>
          </w:r>
        </w:p>
        <w:p w:rsidR="00D3764F" w:rsidRPr="00087467" w:rsidRDefault="00D3764F" w:rsidP="0008746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*1120276*</w:t>
          </w:r>
          <w:r>
            <w:rPr>
              <w:rFonts w:ascii="Barcode 3 of 9 by request" w:hAnsi="Barcode 3 of 9 by request" w:hint="eastAsia"/>
              <w:sz w:val="24"/>
            </w:rPr>
            <w:fldChar w:fldCharType="end"/>
          </w:r>
        </w:p>
      </w:tc>
      <w:tc>
        <w:tcPr>
          <w:tcW w:w="5033" w:type="dxa"/>
        </w:tcPr>
        <w:p w:rsidR="00D3764F" w:rsidRDefault="00D3764F" w:rsidP="00087467">
          <w:pPr>
            <w:pStyle w:val="Footer"/>
            <w:jc w:val="right"/>
            <w:rPr>
              <w:b w:val="0"/>
              <w:sz w:val="21"/>
            </w:rPr>
          </w:pPr>
          <w:r w:rsidRPr="0008746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tc>
    </w:tr>
  </w:tbl>
  <w:p w:rsidR="00D3764F" w:rsidRPr="00087467" w:rsidRDefault="00D3764F" w:rsidP="00087467">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F0C" w:rsidRPr="00A228DE" w:rsidRDefault="009D3F0C" w:rsidP="00A228DE">
      <w:pPr>
        <w:pStyle w:val="Footer"/>
        <w:spacing w:after="80"/>
        <w:ind w:left="792"/>
        <w:rPr>
          <w:sz w:val="16"/>
        </w:rPr>
      </w:pPr>
      <w:r w:rsidRPr="00A228DE">
        <w:rPr>
          <w:sz w:val="16"/>
        </w:rPr>
        <w:t>__________________</w:t>
      </w:r>
    </w:p>
  </w:footnote>
  <w:footnote w:type="continuationSeparator" w:id="0">
    <w:p w:rsidR="009D3F0C" w:rsidRPr="00A228DE" w:rsidRDefault="009D3F0C" w:rsidP="00A228DE">
      <w:pPr>
        <w:pStyle w:val="Footer"/>
        <w:spacing w:after="80"/>
        <w:ind w:left="792"/>
        <w:rPr>
          <w:sz w:val="16"/>
        </w:rPr>
      </w:pPr>
      <w:r w:rsidRPr="00A228DE">
        <w:rPr>
          <w:sz w:val="16"/>
        </w:rPr>
        <w:t>__________________</w:t>
      </w:r>
    </w:p>
  </w:footnote>
  <w:footnote w:id="1">
    <w:p w:rsidR="00D3764F" w:rsidRPr="00A228DE" w:rsidRDefault="00D3764F" w:rsidP="00A22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228DE">
        <w:rPr>
          <w:rFonts w:hint="eastAsia"/>
        </w:rPr>
        <w:t>初始诉讼文件是受理后供委员会审查的文件。</w:t>
      </w:r>
    </w:p>
  </w:footnote>
  <w:footnote w:id="2">
    <w:p w:rsidR="00D3764F" w:rsidRPr="00A228DE" w:rsidRDefault="00D3764F" w:rsidP="00A228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228DE">
        <w:rPr>
          <w:rFonts w:hint="eastAsia"/>
        </w:rPr>
        <w:t>国家统计局的数据，收集自劳动和社会政策部项目“建立实现两性平等主流化的有效体制能力”</w:t>
      </w:r>
      <w:r>
        <w:t>(</w:t>
      </w:r>
      <w:r w:rsidRPr="00A228DE">
        <w:rPr>
          <w:rFonts w:hint="eastAsia"/>
        </w:rPr>
        <w:t>2008-2009年</w:t>
      </w:r>
      <w:r>
        <w:rPr>
          <w:rFonts w:hint="eastAsia"/>
        </w:rPr>
        <w:t>)</w:t>
      </w:r>
      <w:r w:rsidRPr="00A228DE">
        <w:rPr>
          <w:rFonts w:hint="eastAsia"/>
        </w:rPr>
        <w:t>，发表于“保加利亚共和国的男女公民——人口和社会经济情况分析”，除非另有其他资料来源。</w:t>
      </w:r>
    </w:p>
  </w:footnote>
  <w:footnote w:id="3">
    <w:p w:rsidR="00D3764F" w:rsidRPr="009D036F" w:rsidRDefault="00D3764F" w:rsidP="009D03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D036F">
        <w:rPr>
          <w:rFonts w:hint="eastAsia"/>
        </w:rPr>
        <w:t>根据《宪法》第六条所列理由，补充了肤色、年龄和婚姻状况。《保加利亚劳动法》中首次引入了“间接歧视”一词。</w:t>
      </w:r>
    </w:p>
  </w:footnote>
  <w:footnote w:id="4">
    <w:p w:rsidR="00D3764F" w:rsidRPr="009D036F" w:rsidRDefault="00D3764F" w:rsidP="009D03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D036F">
        <w:rPr>
          <w:rFonts w:hint="eastAsia"/>
        </w:rPr>
        <w:t>根据国家统计局广泛领域动态数据计算得出。</w:t>
      </w:r>
    </w:p>
  </w:footnote>
  <w:footnote w:id="5">
    <w:p w:rsidR="00D3764F" w:rsidRPr="009D036F" w:rsidRDefault="00D3764F" w:rsidP="009D03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D036F">
        <w:rPr>
          <w:rFonts w:hint="eastAsia"/>
        </w:rPr>
        <w:t>资料来源：国家统计局：“就业与失业”，索菲亚，2009年。</w:t>
      </w:r>
    </w:p>
  </w:footnote>
  <w:footnote w:id="6">
    <w:p w:rsidR="00D3764F" w:rsidRPr="009D036F" w:rsidRDefault="00D3764F" w:rsidP="009D03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D036F">
        <w:rPr>
          <w:rFonts w:hint="eastAsia"/>
        </w:rPr>
        <w:t>“薪水结构”，国家统计局，索菲亚，2004年，2008年。</w:t>
      </w:r>
    </w:p>
  </w:footnote>
  <w:footnote w:id="7">
    <w:p w:rsidR="00D3764F" w:rsidRPr="009D036F" w:rsidRDefault="00D3764F" w:rsidP="009D03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D036F">
        <w:rPr>
          <w:rFonts w:hint="eastAsia"/>
        </w:rPr>
        <w:t>“就业与失业状况”，国家统计局定期公布的数字。</w:t>
      </w:r>
    </w:p>
  </w:footnote>
  <w:footnote w:id="8">
    <w:p w:rsidR="00D3764F" w:rsidRPr="00850879" w:rsidRDefault="00D3764F" w:rsidP="0085087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50879">
        <w:rPr>
          <w:rFonts w:hint="eastAsia"/>
        </w:rPr>
        <w:t>资料来源：“2006年薪资结构”，国家统计局，索菲亚，2004年。</w:t>
      </w:r>
    </w:p>
  </w:footnote>
  <w:footnote w:id="9">
    <w:p w:rsidR="00D3764F" w:rsidRPr="00071487" w:rsidRDefault="00D3764F" w:rsidP="0007148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71487">
        <w:rPr>
          <w:rFonts w:hint="eastAsia"/>
        </w:rPr>
        <w:t>《2005-2015年罗姆人融合十年国家行动计划》执行工作的一部分。</w:t>
      </w:r>
    </w:p>
  </w:footnote>
  <w:footnote w:id="10">
    <w:p w:rsidR="00D3764F" w:rsidRPr="00850879" w:rsidRDefault="00D3764F" w:rsidP="0085087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50879">
        <w:rPr>
          <w:rFonts w:hint="eastAsia"/>
        </w:rPr>
        <w:t>《国家研究报告》，2004年。</w:t>
      </w:r>
    </w:p>
  </w:footnote>
  <w:footnote w:id="11">
    <w:p w:rsidR="00D3764F" w:rsidRPr="00017DAB" w:rsidRDefault="00D3764F" w:rsidP="00017D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17DAB">
        <w:rPr>
          <w:rFonts w:hint="eastAsia"/>
        </w:rPr>
        <w:t>见www.nsi.bg/Population/Population.htm。</w:t>
      </w:r>
    </w:p>
  </w:footnote>
  <w:footnote w:id="12">
    <w:p w:rsidR="00D3764F" w:rsidRPr="00017DAB" w:rsidRDefault="00D3764F" w:rsidP="00017D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17DAB">
        <w:rPr>
          <w:rFonts w:hint="eastAsia"/>
        </w:rPr>
        <w:t>Kotzeva, Т., D. Коstova (2003年),《保加利亚年轻人初次体验性生活的因素和趋势》，Naselenie, 第1-2期, 第68-85页。</w:t>
      </w:r>
    </w:p>
  </w:footnote>
  <w:footnote w:id="13">
    <w:p w:rsidR="00D3764F" w:rsidRPr="00017DAB" w:rsidRDefault="00D3764F" w:rsidP="00017D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17DAB">
        <w:rPr>
          <w:rFonts w:hint="eastAsia"/>
        </w:rPr>
        <w:t>见国家医疗信息中心。</w:t>
      </w:r>
    </w:p>
  </w:footnote>
  <w:footnote w:id="14">
    <w:p w:rsidR="00D3764F" w:rsidRPr="00017DAB" w:rsidRDefault="00D3764F" w:rsidP="00017DA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17DAB">
        <w:rPr>
          <w:rFonts w:hint="eastAsia"/>
        </w:rPr>
        <w:t>http://www.mh.government.bg/Articles.aspx?lang=bg-BG&amp;pageid=397。</w:t>
      </w:r>
    </w:p>
  </w:footnote>
  <w:footnote w:id="15">
    <w:p w:rsidR="00D3764F" w:rsidRPr="00261401" w:rsidRDefault="00D3764F" w:rsidP="0026140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61401">
        <w:rPr>
          <w:rFonts w:hint="eastAsia"/>
        </w:rPr>
        <w:t>Jekova, V.,《二十世纪前半叶生殖行为方面的社会规范和传统》，Sofia，2002年。</w:t>
      </w:r>
    </w:p>
  </w:footnote>
  <w:footnote w:id="16">
    <w:p w:rsidR="00D3764F" w:rsidRPr="00261401" w:rsidRDefault="00D3764F" w:rsidP="0026140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61401">
        <w:rPr>
          <w:rFonts w:hint="eastAsia"/>
        </w:rPr>
        <w:t>保加利亚不育症与生殖健康协会和保加利亚妇产科学会于2003年开展的人口基金研究。</w:t>
      </w:r>
    </w:p>
  </w:footnote>
  <w:footnote w:id="17">
    <w:p w:rsidR="00D3764F" w:rsidRDefault="00D3764F" w:rsidP="0026140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t>http://www.zachatie.org/index.php?option=com_content&amp;task=view&amp;id=780&amp;Itemid=</w:t>
      </w:r>
      <w:r>
        <w:rPr>
          <w:rFonts w:hint="eastAsia"/>
        </w:rPr>
        <w:t>45?</w:t>
      </w:r>
      <w:r>
        <w:br/>
      </w:r>
      <w:r>
        <w:rPr>
          <w:rFonts w:hint="eastAsia"/>
        </w:rPr>
        <w:t>option=com_content&amp;task=view&amp;id=780&amp;Itemid=45。</w:t>
      </w:r>
    </w:p>
  </w:footnote>
  <w:footnote w:id="18">
    <w:p w:rsidR="00D3764F" w:rsidRPr="00261401" w:rsidRDefault="00D3764F" w:rsidP="0026140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61401">
        <w:rPr>
          <w:rFonts w:hint="eastAsia"/>
        </w:rPr>
        <w:t>http://www.unaids-bulgaria.org/index.php?magic=1.40.0.0。</w:t>
      </w:r>
    </w:p>
  </w:footnote>
  <w:footnote w:id="19">
    <w:p w:rsidR="00D3764F" w:rsidRPr="0047268F" w:rsidRDefault="00D3764F" w:rsidP="0047268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47268F">
        <w:rPr>
          <w:rFonts w:hint="eastAsia"/>
        </w:rPr>
        <w:t>保加利亚女性更年期和男性更年期协会：http://www.climacterium.com/bama/。</w:t>
      </w:r>
    </w:p>
  </w:footnote>
  <w:footnote w:id="20">
    <w:p w:rsidR="00D3764F" w:rsidRPr="0047268F" w:rsidRDefault="00D3764F" w:rsidP="0047268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47268F">
        <w:rPr>
          <w:rFonts w:hint="eastAsia"/>
        </w:rPr>
        <w:t>http://www.ncn-bg.org/docs/reports/Report_NFZ_2006.pdf。</w:t>
      </w:r>
    </w:p>
  </w:footnote>
  <w:footnote w:id="21">
    <w:p w:rsidR="00D3764F" w:rsidRPr="0047268F" w:rsidRDefault="00D3764F" w:rsidP="0047268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47268F">
        <w:rPr>
          <w:rFonts w:hint="eastAsia"/>
        </w:rPr>
        <w:t>措施2.1——“经济活动的发展和多样化，提供多种活动和替代性收入”，《国家农业和农村发展计划》：288；http://www.mzgar.government.bg/Sapard/Merki/Bg%20Measure%202.1-27.</w:t>
      </w:r>
      <w:r>
        <w:br/>
      </w:r>
      <w:r w:rsidRPr="0047268F">
        <w:rPr>
          <w:rFonts w:hint="eastAsia"/>
        </w:rPr>
        <w:t>05.03.htm。</w:t>
      </w:r>
    </w:p>
  </w:footnote>
  <w:footnote w:id="22">
    <w:p w:rsidR="00D3764F" w:rsidRPr="00551059" w:rsidRDefault="00D3764F" w:rsidP="0055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51059">
        <w:rPr>
          <w:rFonts w:hint="eastAsia"/>
        </w:rPr>
        <w:t>措施311“向非农业活动领域的多样化发展”；措施312“支持创立和发展微型企业”。</w:t>
      </w:r>
    </w:p>
  </w:footnote>
  <w:footnote w:id="23">
    <w:p w:rsidR="00D3764F" w:rsidRPr="00551059" w:rsidRDefault="00D3764F" w:rsidP="0055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51059">
        <w:rPr>
          <w:rFonts w:hint="eastAsia"/>
        </w:rPr>
        <w:t>2008年人口和人口统计进程：http://www.nsi.bg/population/Population08.htm。</w:t>
      </w:r>
    </w:p>
  </w:footnote>
  <w:footnote w:id="24">
    <w:p w:rsidR="00D3764F" w:rsidRPr="00551059" w:rsidRDefault="00D3764F" w:rsidP="0055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51059">
        <w:rPr>
          <w:rFonts w:hint="eastAsia"/>
        </w:rPr>
        <w:t>“2008年保加利亚共和国地方自治机构”，国家统计研究所，2008年。</w:t>
      </w:r>
    </w:p>
  </w:footnote>
  <w:footnote w:id="25">
    <w:p w:rsidR="00D3764F" w:rsidRPr="00551059" w:rsidRDefault="00D3764F" w:rsidP="0055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51059">
        <w:rPr>
          <w:rFonts w:hint="eastAsia"/>
        </w:rPr>
        <w:t>同上。</w:t>
      </w:r>
    </w:p>
  </w:footnote>
  <w:footnote w:id="26">
    <w:p w:rsidR="00D3764F" w:rsidRPr="00551059" w:rsidRDefault="00D3764F" w:rsidP="0055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51059">
        <w:rPr>
          <w:rFonts w:hint="eastAsia"/>
        </w:rPr>
        <w:t>简称“LEADER”的全称是：“农村经济发展活动之间的关系”——翻译自法语。</w:t>
      </w:r>
    </w:p>
  </w:footnote>
  <w:footnote w:id="27">
    <w:p w:rsidR="00D3764F" w:rsidRPr="00551059" w:rsidRDefault="00D3764F" w:rsidP="0055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51059">
        <w:rPr>
          <w:rFonts w:hint="eastAsia"/>
        </w:rPr>
        <w:t>第1698/2005号《理事会条例》关于欧洲农村发展农业基金为农村发展提供支助的第六条。</w:t>
      </w:r>
    </w:p>
  </w:footnote>
  <w:footnote w:id="28">
    <w:p w:rsidR="00D3764F" w:rsidRPr="00C46079" w:rsidRDefault="00D3764F" w:rsidP="00C4607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46079">
        <w:rPr>
          <w:rFonts w:hint="eastAsia"/>
        </w:rPr>
        <w:t>《公共社会保险预算法》第8条</w:t>
      </w:r>
      <w:r>
        <w:rPr>
          <w:rFonts w:hint="eastAsia"/>
        </w:rPr>
        <w:t>(</w:t>
      </w:r>
      <w:r w:rsidRPr="00C46079">
        <w:rPr>
          <w:rFonts w:hint="eastAsia"/>
        </w:rPr>
        <w:t>第99号《国家公报》2009年12月15日颁布，2010年1月1日生效</w:t>
      </w:r>
      <w:r>
        <w:rPr>
          <w:rFonts w:hint="eastAsia"/>
        </w:rPr>
        <w:t>)</w:t>
      </w:r>
      <w:r w:rsidRPr="00C46079">
        <w:rPr>
          <w:rFonts w:hint="eastAsia"/>
        </w:rPr>
        <w:t>。</w:t>
      </w:r>
    </w:p>
  </w:footnote>
  <w:footnote w:id="29">
    <w:p w:rsidR="00D3764F" w:rsidRPr="00C46079" w:rsidRDefault="00D3764F" w:rsidP="00C4607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46079">
        <w:rPr>
          <w:rFonts w:hint="eastAsia"/>
        </w:rPr>
        <w:t>《公共社会保险预算法补充条款》第9条，2010年1月1日生效。</w:t>
      </w:r>
    </w:p>
  </w:footnote>
  <w:footnote w:id="30">
    <w:p w:rsidR="00D3764F" w:rsidRPr="00C46079" w:rsidRDefault="00D3764F" w:rsidP="00C4607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46079">
        <w:rPr>
          <w:rFonts w:hint="eastAsia"/>
        </w:rPr>
        <w:t>保加利亚共和国人口普查和住房普查，2001年。</w:t>
      </w:r>
    </w:p>
  </w:footnote>
  <w:footnote w:id="31">
    <w:p w:rsidR="00D3764F" w:rsidRPr="00C46079" w:rsidRDefault="00D3764F" w:rsidP="00C4607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46079">
        <w:rPr>
          <w:rFonts w:hint="eastAsia"/>
        </w:rPr>
        <w:t>《2008-2009年国家促进两性平等行动计划》，至2008年12月31日</w:t>
      </w:r>
      <w:r>
        <w:rPr>
          <w:rFonts w:hint="eastAsia"/>
        </w:rPr>
        <w:t>(</w:t>
      </w:r>
      <w:r w:rsidRPr="00C46079">
        <w:rPr>
          <w:rFonts w:hint="eastAsia"/>
        </w:rPr>
        <w:t>临时报告</w:t>
      </w:r>
      <w:r>
        <w:rPr>
          <w:rFonts w:hint="eastAsia"/>
        </w:rPr>
        <w:t>)</w:t>
      </w:r>
      <w:r w:rsidRPr="00C46079">
        <w:rPr>
          <w:rFonts w:hint="eastAsia"/>
        </w:rPr>
        <w:t>。</w:t>
      </w:r>
    </w:p>
  </w:footnote>
  <w:footnote w:id="32">
    <w:p w:rsidR="00D3764F" w:rsidRPr="00DB32A1" w:rsidRDefault="00D3764F" w:rsidP="00DB32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B32A1">
        <w:rPr>
          <w:rFonts w:hint="eastAsia"/>
        </w:rPr>
        <w:t>保加利亚共和国统计参考书。国家统计研究所，2007：16。</w:t>
      </w:r>
    </w:p>
  </w:footnote>
  <w:footnote w:id="33">
    <w:p w:rsidR="00D3764F" w:rsidRPr="00DB32A1" w:rsidRDefault="00D3764F" w:rsidP="00DB32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B32A1">
        <w:rPr>
          <w:rFonts w:hint="eastAsia"/>
        </w:rPr>
        <w:t>2007年保加利亚农场结构。劳动力。农业和粮食部，农业统计局，2007年。</w:t>
      </w:r>
    </w:p>
  </w:footnote>
  <w:footnote w:id="34">
    <w:p w:rsidR="00D3764F" w:rsidRPr="00DB32A1" w:rsidRDefault="00D3764F" w:rsidP="00DB32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B32A1">
        <w:rPr>
          <w:rFonts w:hint="eastAsia"/>
        </w:rPr>
        <w:t>统计研究“2004/2005经济年度保加利亚农场结构”和“2007年保加利亚农场结构”。劳动力。农业和粮食部，农业统计局，2006年，2007年。</w:t>
      </w:r>
    </w:p>
  </w:footnote>
  <w:footnote w:id="35">
    <w:p w:rsidR="00D3764F" w:rsidRPr="00DB32A1" w:rsidRDefault="00D3764F" w:rsidP="00DB32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B32A1">
        <w:rPr>
          <w:rFonts w:hint="eastAsia"/>
        </w:rPr>
        <w:t>《国家儿童战略》</w:t>
      </w:r>
      <w:r>
        <w:rPr>
          <w:rFonts w:hint="eastAsia"/>
        </w:rPr>
        <w:t>(</w:t>
      </w:r>
      <w:r w:rsidRPr="00DB32A1">
        <w:rPr>
          <w:rFonts w:hint="eastAsia"/>
        </w:rPr>
        <w:t>2008-2018年</w:t>
      </w:r>
      <w:r>
        <w:rPr>
          <w:rFonts w:hint="eastAsia"/>
        </w:rPr>
        <w:t>)</w:t>
      </w:r>
      <w:r w:rsidRPr="00DB32A1">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3764F" w:rsidTr="00087467">
      <w:tblPrEx>
        <w:tblCellMar>
          <w:top w:w="0" w:type="dxa"/>
          <w:bottom w:w="0" w:type="dxa"/>
        </w:tblCellMar>
      </w:tblPrEx>
      <w:trPr>
        <w:trHeight w:hRule="exact" w:val="864"/>
      </w:trPr>
      <w:tc>
        <w:tcPr>
          <w:tcW w:w="4838" w:type="dxa"/>
          <w:shd w:val="clear" w:color="auto" w:fill="auto"/>
          <w:vAlign w:val="bottom"/>
        </w:tcPr>
        <w:p w:rsidR="00D3764F" w:rsidRPr="00087467" w:rsidRDefault="00D3764F" w:rsidP="0008746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CEDAW/C/BGR/4-7</w:t>
          </w:r>
          <w:r>
            <w:rPr>
              <w:b/>
              <w:sz w:val="17"/>
            </w:rPr>
            <w:fldChar w:fldCharType="end"/>
          </w:r>
        </w:p>
      </w:tc>
      <w:tc>
        <w:tcPr>
          <w:tcW w:w="5033" w:type="dxa"/>
          <w:shd w:val="clear" w:color="auto" w:fill="auto"/>
          <w:vAlign w:val="bottom"/>
        </w:tcPr>
        <w:p w:rsidR="00D3764F" w:rsidRDefault="00D3764F" w:rsidP="00087467">
          <w:pPr>
            <w:pStyle w:val="Header"/>
          </w:pPr>
        </w:p>
      </w:tc>
    </w:tr>
  </w:tbl>
  <w:p w:rsidR="00D3764F" w:rsidRPr="00087467" w:rsidRDefault="00D3764F" w:rsidP="000874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3764F" w:rsidTr="00087467">
      <w:tblPrEx>
        <w:tblCellMar>
          <w:top w:w="0" w:type="dxa"/>
          <w:bottom w:w="0" w:type="dxa"/>
        </w:tblCellMar>
      </w:tblPrEx>
      <w:trPr>
        <w:trHeight w:hRule="exact" w:val="864"/>
      </w:trPr>
      <w:tc>
        <w:tcPr>
          <w:tcW w:w="4838" w:type="dxa"/>
          <w:shd w:val="clear" w:color="auto" w:fill="auto"/>
          <w:vAlign w:val="bottom"/>
        </w:tcPr>
        <w:p w:rsidR="00D3764F" w:rsidRDefault="00D3764F" w:rsidP="00087467">
          <w:pPr>
            <w:pStyle w:val="Header"/>
          </w:pPr>
        </w:p>
      </w:tc>
      <w:tc>
        <w:tcPr>
          <w:tcW w:w="5033" w:type="dxa"/>
          <w:shd w:val="clear" w:color="auto" w:fill="auto"/>
          <w:vAlign w:val="bottom"/>
        </w:tcPr>
        <w:p w:rsidR="00D3764F" w:rsidRPr="00087467" w:rsidRDefault="00D3764F" w:rsidP="0008746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CEDAW/C/BGR/4-7</w:t>
          </w:r>
          <w:r>
            <w:rPr>
              <w:b/>
              <w:sz w:val="17"/>
            </w:rPr>
            <w:fldChar w:fldCharType="end"/>
          </w:r>
        </w:p>
      </w:tc>
    </w:tr>
  </w:tbl>
  <w:p w:rsidR="00D3764F" w:rsidRPr="00087467" w:rsidRDefault="00D3764F" w:rsidP="000874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3764F" w:rsidTr="000874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3764F" w:rsidRDefault="00D3764F" w:rsidP="00087467">
          <w:pPr>
            <w:pStyle w:val="Header"/>
            <w:spacing w:after="120"/>
          </w:pPr>
        </w:p>
      </w:tc>
      <w:tc>
        <w:tcPr>
          <w:tcW w:w="1872" w:type="dxa"/>
          <w:tcBorders>
            <w:bottom w:val="single" w:sz="4" w:space="0" w:color="auto"/>
          </w:tcBorders>
          <w:shd w:val="clear" w:color="auto" w:fill="auto"/>
          <w:vAlign w:val="bottom"/>
        </w:tcPr>
        <w:p w:rsidR="00D3764F" w:rsidRPr="00087467" w:rsidRDefault="00D3764F" w:rsidP="0008746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3764F" w:rsidRDefault="00D3764F" w:rsidP="00087467">
          <w:pPr>
            <w:pStyle w:val="Header"/>
            <w:spacing w:after="120"/>
          </w:pPr>
        </w:p>
      </w:tc>
      <w:tc>
        <w:tcPr>
          <w:tcW w:w="6523" w:type="dxa"/>
          <w:gridSpan w:val="3"/>
          <w:tcBorders>
            <w:bottom w:val="single" w:sz="4" w:space="0" w:color="auto"/>
          </w:tcBorders>
          <w:shd w:val="clear" w:color="auto" w:fill="auto"/>
          <w:vAlign w:val="bottom"/>
        </w:tcPr>
        <w:p w:rsidR="00D3764F" w:rsidRPr="00087467" w:rsidRDefault="00D3764F" w:rsidP="00087467">
          <w:pPr>
            <w:spacing w:after="80" w:line="240" w:lineRule="auto"/>
            <w:jc w:val="right"/>
            <w:rPr>
              <w:rFonts w:ascii="Times New Roman"/>
              <w:position w:val="-4"/>
            </w:rPr>
          </w:pPr>
          <w:r>
            <w:rPr>
              <w:rFonts w:ascii="Times New Roman"/>
              <w:position w:val="-4"/>
              <w:sz w:val="40"/>
            </w:rPr>
            <w:t>CEDAW</w:t>
          </w:r>
          <w:r>
            <w:rPr>
              <w:rFonts w:ascii="Times New Roman"/>
              <w:position w:val="-4"/>
            </w:rPr>
            <w:t>/C/BGR/4-7</w:t>
          </w:r>
        </w:p>
      </w:tc>
    </w:tr>
    <w:tr w:rsidR="00D3764F" w:rsidRPr="00087467" w:rsidTr="000874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3764F" w:rsidRDefault="00D3764F" w:rsidP="0008746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D3764F" w:rsidRPr="00087467" w:rsidRDefault="00D3764F" w:rsidP="00087467">
          <w:pPr>
            <w:pStyle w:val="Header"/>
            <w:spacing w:before="109"/>
            <w:ind w:left="-72"/>
          </w:pPr>
        </w:p>
      </w:tc>
      <w:tc>
        <w:tcPr>
          <w:tcW w:w="5227" w:type="dxa"/>
          <w:gridSpan w:val="3"/>
          <w:tcBorders>
            <w:top w:val="single" w:sz="4" w:space="0" w:color="auto"/>
            <w:bottom w:val="single" w:sz="12" w:space="0" w:color="auto"/>
          </w:tcBorders>
          <w:shd w:val="clear" w:color="auto" w:fill="auto"/>
        </w:tcPr>
        <w:p w:rsidR="00D3764F" w:rsidRPr="00087467" w:rsidRDefault="00D3764F" w:rsidP="0008746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3764F" w:rsidRPr="00087467" w:rsidRDefault="00D3764F" w:rsidP="00087467">
          <w:pPr>
            <w:pStyle w:val="Header"/>
            <w:spacing w:before="109"/>
          </w:pPr>
        </w:p>
      </w:tc>
      <w:tc>
        <w:tcPr>
          <w:tcW w:w="3180" w:type="dxa"/>
          <w:gridSpan w:val="2"/>
          <w:tcBorders>
            <w:top w:val="single" w:sz="4" w:space="0" w:color="auto"/>
            <w:bottom w:val="single" w:sz="12" w:space="0" w:color="auto"/>
          </w:tcBorders>
          <w:shd w:val="clear" w:color="auto" w:fill="auto"/>
        </w:tcPr>
        <w:p w:rsidR="00D3764F" w:rsidRDefault="00D3764F" w:rsidP="00087467">
          <w:pPr>
            <w:spacing w:before="240" w:line="240" w:lineRule="exact"/>
            <w:rPr>
              <w:rFonts w:ascii="Times New Roman"/>
            </w:rPr>
          </w:pPr>
          <w:r>
            <w:rPr>
              <w:rFonts w:ascii="Times New Roman"/>
            </w:rPr>
            <w:t>Distr.: General</w:t>
          </w:r>
        </w:p>
        <w:p w:rsidR="00D3764F" w:rsidRDefault="00D3764F" w:rsidP="00087467">
          <w:pPr>
            <w:spacing w:line="240" w:lineRule="exact"/>
            <w:rPr>
              <w:rFonts w:ascii="Times New Roman"/>
            </w:rPr>
          </w:pPr>
          <w:r>
            <w:rPr>
              <w:rFonts w:ascii="Times New Roman"/>
            </w:rPr>
            <w:t>7 January 2011</w:t>
          </w:r>
        </w:p>
        <w:p w:rsidR="00D3764F" w:rsidRDefault="00D3764F" w:rsidP="00087467">
          <w:pPr>
            <w:spacing w:line="240" w:lineRule="exact"/>
            <w:rPr>
              <w:rFonts w:ascii="Times New Roman"/>
            </w:rPr>
          </w:pPr>
          <w:r>
            <w:rPr>
              <w:rFonts w:ascii="Times New Roman"/>
            </w:rPr>
            <w:t>Chinese</w:t>
          </w:r>
        </w:p>
        <w:p w:rsidR="00D3764F" w:rsidRPr="00087467" w:rsidRDefault="00D3764F" w:rsidP="00087467">
          <w:pPr>
            <w:spacing w:line="240" w:lineRule="exact"/>
            <w:rPr>
              <w:rFonts w:ascii="Times New Roman"/>
            </w:rPr>
          </w:pPr>
          <w:r>
            <w:rPr>
              <w:rFonts w:ascii="Times New Roman"/>
            </w:rPr>
            <w:t>Original: English</w:t>
          </w:r>
        </w:p>
      </w:tc>
    </w:tr>
  </w:tbl>
  <w:p w:rsidR="00D3764F" w:rsidRPr="00087467" w:rsidRDefault="00D3764F" w:rsidP="000874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76*"/>
    <w:docVar w:name="CreationDt" w:val="18/04/2011 09:23:24"/>
    <w:docVar w:name="DocCategory" w:val="Doc"/>
    <w:docVar w:name="DocType" w:val="Final"/>
    <w:docVar w:name="FooterJN" w:val="11-20276 (C)"/>
    <w:docVar w:name="jobn" w:val="11-20276 (C)"/>
    <w:docVar w:name="jobnDT" w:val="11-20276 (C)   180411"/>
    <w:docVar w:name="jobnDTDT" w:val="11-20276 (C)   180411   180411"/>
    <w:docVar w:name="JobNo" w:val="1120276C"/>
    <w:docVar w:name="OandT" w:val="ji sx"/>
    <w:docVar w:name="sss1" w:val="CEDAW/C/BGR/4-7"/>
    <w:docVar w:name="sss2" w:val="-"/>
    <w:docVar w:name="Symbol1" w:val="CEDAW/C/BGR/4-7"/>
    <w:docVar w:name="Symbol2" w:val="-"/>
  </w:docVars>
  <w:rsids>
    <w:rsidRoot w:val="008F48F5"/>
    <w:rsid w:val="0000347C"/>
    <w:rsid w:val="000125BC"/>
    <w:rsid w:val="00017DAB"/>
    <w:rsid w:val="00021A2B"/>
    <w:rsid w:val="00037B39"/>
    <w:rsid w:val="00044CA4"/>
    <w:rsid w:val="00045EFE"/>
    <w:rsid w:val="00054620"/>
    <w:rsid w:val="00071487"/>
    <w:rsid w:val="0007337D"/>
    <w:rsid w:val="000758DF"/>
    <w:rsid w:val="00076EB8"/>
    <w:rsid w:val="00087467"/>
    <w:rsid w:val="00095C67"/>
    <w:rsid w:val="000A31F9"/>
    <w:rsid w:val="000C1786"/>
    <w:rsid w:val="000C4DDE"/>
    <w:rsid w:val="000E240F"/>
    <w:rsid w:val="000E37F6"/>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121F"/>
    <w:rsid w:val="00172B77"/>
    <w:rsid w:val="0017506F"/>
    <w:rsid w:val="001B2814"/>
    <w:rsid w:val="001B4F95"/>
    <w:rsid w:val="001C17ED"/>
    <w:rsid w:val="001C3F7F"/>
    <w:rsid w:val="001C5166"/>
    <w:rsid w:val="001D0354"/>
    <w:rsid w:val="001E20EC"/>
    <w:rsid w:val="001E4442"/>
    <w:rsid w:val="001E5A51"/>
    <w:rsid w:val="001F03A7"/>
    <w:rsid w:val="00207135"/>
    <w:rsid w:val="00231575"/>
    <w:rsid w:val="00247382"/>
    <w:rsid w:val="00252E35"/>
    <w:rsid w:val="00254858"/>
    <w:rsid w:val="00257053"/>
    <w:rsid w:val="00261401"/>
    <w:rsid w:val="00266257"/>
    <w:rsid w:val="00271BE6"/>
    <w:rsid w:val="0027454D"/>
    <w:rsid w:val="00280671"/>
    <w:rsid w:val="002814F9"/>
    <w:rsid w:val="00282D17"/>
    <w:rsid w:val="002A4AEF"/>
    <w:rsid w:val="002B305F"/>
    <w:rsid w:val="002B564F"/>
    <w:rsid w:val="002B5F5D"/>
    <w:rsid w:val="002B7A11"/>
    <w:rsid w:val="002C167F"/>
    <w:rsid w:val="002C2254"/>
    <w:rsid w:val="002C3BC9"/>
    <w:rsid w:val="002C54DB"/>
    <w:rsid w:val="002D039F"/>
    <w:rsid w:val="002D0694"/>
    <w:rsid w:val="002D0B62"/>
    <w:rsid w:val="002D2BE2"/>
    <w:rsid w:val="002D4ACE"/>
    <w:rsid w:val="002D5503"/>
    <w:rsid w:val="002E66D5"/>
    <w:rsid w:val="002F0C3A"/>
    <w:rsid w:val="002F41E2"/>
    <w:rsid w:val="003069A0"/>
    <w:rsid w:val="00320C99"/>
    <w:rsid w:val="00323ED6"/>
    <w:rsid w:val="003274A9"/>
    <w:rsid w:val="00331221"/>
    <w:rsid w:val="0034595D"/>
    <w:rsid w:val="003503C6"/>
    <w:rsid w:val="003649EE"/>
    <w:rsid w:val="00371BC6"/>
    <w:rsid w:val="00372FFF"/>
    <w:rsid w:val="00373A15"/>
    <w:rsid w:val="00383ACA"/>
    <w:rsid w:val="00394A02"/>
    <w:rsid w:val="003C7B20"/>
    <w:rsid w:val="003D075F"/>
    <w:rsid w:val="003E1760"/>
    <w:rsid w:val="003E4565"/>
    <w:rsid w:val="003E748F"/>
    <w:rsid w:val="003E7612"/>
    <w:rsid w:val="00414423"/>
    <w:rsid w:val="004411AD"/>
    <w:rsid w:val="004424EF"/>
    <w:rsid w:val="00453BB0"/>
    <w:rsid w:val="00460162"/>
    <w:rsid w:val="004620A8"/>
    <w:rsid w:val="00466BB5"/>
    <w:rsid w:val="004700CF"/>
    <w:rsid w:val="0047268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1835"/>
    <w:rsid w:val="0053349A"/>
    <w:rsid w:val="005335B9"/>
    <w:rsid w:val="00536CCE"/>
    <w:rsid w:val="00551059"/>
    <w:rsid w:val="005541E4"/>
    <w:rsid w:val="00562FE7"/>
    <w:rsid w:val="00564395"/>
    <w:rsid w:val="00565D5F"/>
    <w:rsid w:val="0057450D"/>
    <w:rsid w:val="0058302A"/>
    <w:rsid w:val="00591B1E"/>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1B6"/>
    <w:rsid w:val="00666F57"/>
    <w:rsid w:val="006740A7"/>
    <w:rsid w:val="006767D5"/>
    <w:rsid w:val="00691524"/>
    <w:rsid w:val="006A654B"/>
    <w:rsid w:val="006E2924"/>
    <w:rsid w:val="006E7A26"/>
    <w:rsid w:val="006F2B3D"/>
    <w:rsid w:val="007052CC"/>
    <w:rsid w:val="007245AC"/>
    <w:rsid w:val="007319E0"/>
    <w:rsid w:val="007345AA"/>
    <w:rsid w:val="00737B00"/>
    <w:rsid w:val="0075155C"/>
    <w:rsid w:val="00753A05"/>
    <w:rsid w:val="00757193"/>
    <w:rsid w:val="00761190"/>
    <w:rsid w:val="00776537"/>
    <w:rsid w:val="007802AD"/>
    <w:rsid w:val="00783A25"/>
    <w:rsid w:val="007877F4"/>
    <w:rsid w:val="007B23AA"/>
    <w:rsid w:val="007C74B9"/>
    <w:rsid w:val="007E1B5E"/>
    <w:rsid w:val="007E6253"/>
    <w:rsid w:val="007F2278"/>
    <w:rsid w:val="00803014"/>
    <w:rsid w:val="00805783"/>
    <w:rsid w:val="00806F57"/>
    <w:rsid w:val="00806F90"/>
    <w:rsid w:val="00811328"/>
    <w:rsid w:val="008246FC"/>
    <w:rsid w:val="00824C19"/>
    <w:rsid w:val="00826250"/>
    <w:rsid w:val="008378D1"/>
    <w:rsid w:val="00846462"/>
    <w:rsid w:val="00850879"/>
    <w:rsid w:val="0086691F"/>
    <w:rsid w:val="00883DB0"/>
    <w:rsid w:val="00884C8F"/>
    <w:rsid w:val="00896D38"/>
    <w:rsid w:val="008C3296"/>
    <w:rsid w:val="008E2D03"/>
    <w:rsid w:val="008F2BB5"/>
    <w:rsid w:val="008F425D"/>
    <w:rsid w:val="008F48F5"/>
    <w:rsid w:val="008F5472"/>
    <w:rsid w:val="008F5D0F"/>
    <w:rsid w:val="009122E0"/>
    <w:rsid w:val="00913351"/>
    <w:rsid w:val="00942560"/>
    <w:rsid w:val="0096193C"/>
    <w:rsid w:val="009769E1"/>
    <w:rsid w:val="00977E0D"/>
    <w:rsid w:val="00986132"/>
    <w:rsid w:val="00986C04"/>
    <w:rsid w:val="009A2F76"/>
    <w:rsid w:val="009D036F"/>
    <w:rsid w:val="009D2AC2"/>
    <w:rsid w:val="009D3F0C"/>
    <w:rsid w:val="009E1774"/>
    <w:rsid w:val="009E2668"/>
    <w:rsid w:val="009E40A3"/>
    <w:rsid w:val="009E5C8C"/>
    <w:rsid w:val="009F10B1"/>
    <w:rsid w:val="009F47E3"/>
    <w:rsid w:val="009F6938"/>
    <w:rsid w:val="00A0537D"/>
    <w:rsid w:val="00A069AD"/>
    <w:rsid w:val="00A17A85"/>
    <w:rsid w:val="00A20856"/>
    <w:rsid w:val="00A228DE"/>
    <w:rsid w:val="00A24399"/>
    <w:rsid w:val="00A24CA5"/>
    <w:rsid w:val="00A268D1"/>
    <w:rsid w:val="00A33D6D"/>
    <w:rsid w:val="00A37345"/>
    <w:rsid w:val="00A5206D"/>
    <w:rsid w:val="00A625AF"/>
    <w:rsid w:val="00A72E47"/>
    <w:rsid w:val="00A907F4"/>
    <w:rsid w:val="00A90956"/>
    <w:rsid w:val="00A95404"/>
    <w:rsid w:val="00A968C5"/>
    <w:rsid w:val="00AA3C28"/>
    <w:rsid w:val="00AA759D"/>
    <w:rsid w:val="00AB2786"/>
    <w:rsid w:val="00AD4308"/>
    <w:rsid w:val="00AF2A33"/>
    <w:rsid w:val="00B0542A"/>
    <w:rsid w:val="00B309DD"/>
    <w:rsid w:val="00B36621"/>
    <w:rsid w:val="00B36D64"/>
    <w:rsid w:val="00B41B48"/>
    <w:rsid w:val="00B54B44"/>
    <w:rsid w:val="00B56194"/>
    <w:rsid w:val="00B60F41"/>
    <w:rsid w:val="00B61A34"/>
    <w:rsid w:val="00B64E8E"/>
    <w:rsid w:val="00B65E8B"/>
    <w:rsid w:val="00B8025A"/>
    <w:rsid w:val="00B827B1"/>
    <w:rsid w:val="00BB23A4"/>
    <w:rsid w:val="00BC2276"/>
    <w:rsid w:val="00BD2150"/>
    <w:rsid w:val="00BE0720"/>
    <w:rsid w:val="00BE1CC3"/>
    <w:rsid w:val="00BE365A"/>
    <w:rsid w:val="00BE47C4"/>
    <w:rsid w:val="00C052A2"/>
    <w:rsid w:val="00C06A4A"/>
    <w:rsid w:val="00C1391A"/>
    <w:rsid w:val="00C14CE6"/>
    <w:rsid w:val="00C15218"/>
    <w:rsid w:val="00C2725D"/>
    <w:rsid w:val="00C42033"/>
    <w:rsid w:val="00C46079"/>
    <w:rsid w:val="00C464DD"/>
    <w:rsid w:val="00C62EF9"/>
    <w:rsid w:val="00C76854"/>
    <w:rsid w:val="00C92AE0"/>
    <w:rsid w:val="00CA450F"/>
    <w:rsid w:val="00CB2B1E"/>
    <w:rsid w:val="00CC3E8B"/>
    <w:rsid w:val="00CC4E84"/>
    <w:rsid w:val="00CC5764"/>
    <w:rsid w:val="00CD5641"/>
    <w:rsid w:val="00CE64AC"/>
    <w:rsid w:val="00CF7718"/>
    <w:rsid w:val="00D0166D"/>
    <w:rsid w:val="00D177F1"/>
    <w:rsid w:val="00D323B5"/>
    <w:rsid w:val="00D3764F"/>
    <w:rsid w:val="00D42ACC"/>
    <w:rsid w:val="00D51DC5"/>
    <w:rsid w:val="00D66085"/>
    <w:rsid w:val="00D676D7"/>
    <w:rsid w:val="00D71517"/>
    <w:rsid w:val="00D7168D"/>
    <w:rsid w:val="00D874E1"/>
    <w:rsid w:val="00D9586D"/>
    <w:rsid w:val="00DA51B2"/>
    <w:rsid w:val="00DB0932"/>
    <w:rsid w:val="00DB32A1"/>
    <w:rsid w:val="00DC2506"/>
    <w:rsid w:val="00DC49FA"/>
    <w:rsid w:val="00DD3D6B"/>
    <w:rsid w:val="00DD4467"/>
    <w:rsid w:val="00DD61C8"/>
    <w:rsid w:val="00DD772B"/>
    <w:rsid w:val="00E041F4"/>
    <w:rsid w:val="00E050BA"/>
    <w:rsid w:val="00E215BA"/>
    <w:rsid w:val="00E25302"/>
    <w:rsid w:val="00E25442"/>
    <w:rsid w:val="00E25A1F"/>
    <w:rsid w:val="00E37EEB"/>
    <w:rsid w:val="00E710FB"/>
    <w:rsid w:val="00E806D9"/>
    <w:rsid w:val="00E82CA2"/>
    <w:rsid w:val="00E87CAD"/>
    <w:rsid w:val="00E94E5A"/>
    <w:rsid w:val="00E95594"/>
    <w:rsid w:val="00E96DA2"/>
    <w:rsid w:val="00EA31C3"/>
    <w:rsid w:val="00EB33AC"/>
    <w:rsid w:val="00EC4E98"/>
    <w:rsid w:val="00EC6F21"/>
    <w:rsid w:val="00EE0913"/>
    <w:rsid w:val="00F01440"/>
    <w:rsid w:val="00F13305"/>
    <w:rsid w:val="00F40463"/>
    <w:rsid w:val="00F50336"/>
    <w:rsid w:val="00F55E5B"/>
    <w:rsid w:val="00F55F7E"/>
    <w:rsid w:val="00F62E3F"/>
    <w:rsid w:val="00F67F90"/>
    <w:rsid w:val="00F77B3E"/>
    <w:rsid w:val="00F833CB"/>
    <w:rsid w:val="00F856BD"/>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2D2BE2"/>
    <w:pPr>
      <w:spacing w:after="120" w:line="240" w:lineRule="auto"/>
      <w:jc w:val="right"/>
    </w:pPr>
    <w:rPr>
      <w:rFonts w:eastAsia="KaiTi_GB2312" w:cs="SimSun"/>
      <w:sz w:val="15"/>
    </w:rPr>
  </w:style>
  <w:style w:type="paragraph" w:customStyle="1" w:styleId="HCh6">
    <w:name w:val="样式 _ H _Ch + (中文) 宋体 段后: 6 磅"/>
    <w:basedOn w:val="HCh"/>
    <w:rsid w:val="002D2BE2"/>
    <w:pPr>
      <w:spacing w:after="120"/>
      <w:jc w:val="left"/>
    </w:pPr>
    <w:rPr>
      <w:rFonts w:eastAsia="SimSun" w:cs="SimSun"/>
    </w:rPr>
  </w:style>
  <w:style w:type="paragraph" w:customStyle="1" w:styleId="SingleTxtG">
    <w:name w:val="_ Single Txt_G"/>
    <w:basedOn w:val="Normal"/>
    <w:link w:val="SingleTxtGChar"/>
    <w:rsid w:val="00054620"/>
    <w:pPr>
      <w:suppressAutoHyphens/>
      <w:spacing w:after="120" w:line="240" w:lineRule="atLeast"/>
      <w:ind w:left="1134" w:right="1134"/>
    </w:pPr>
    <w:rPr>
      <w:rFonts w:ascii="Times New Roman"/>
      <w:kern w:val="0"/>
      <w:sz w:val="20"/>
      <w:lang w:val="en-GB" w:eastAsia="en-US"/>
    </w:rPr>
  </w:style>
  <w:style w:type="character" w:customStyle="1" w:styleId="SingleTxtGChar">
    <w:name w:val="_ Single Txt_G Char"/>
    <w:link w:val="SingleTxtG"/>
    <w:rsid w:val="00054620"/>
    <w:rPr>
      <w:rFonts w:eastAsia="SimSun"/>
      <w:lang w:val="en-GB" w:eastAsia="en-US" w:bidi="ar-SA"/>
    </w:rPr>
  </w:style>
  <w:style w:type="character" w:styleId="Hyperlink">
    <w:name w:val="Hyperlink"/>
    <w:rsid w:val="005643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265</TotalTime>
  <Pages>1</Pages>
  <Words>8974</Words>
  <Characters>51152</Characters>
  <Application>Microsoft Office Word</Application>
  <DocSecurity>4</DocSecurity>
  <Lines>426</Lines>
  <Paragraphs>120</Paragraphs>
  <ScaleCrop>false</ScaleCrop>
  <Company>United Nations</Company>
  <LinksUpToDate>false</LinksUpToDate>
  <CharactersWithSpaces>60006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FrontDesk2</cp:lastModifiedBy>
  <cp:revision>49</cp:revision>
  <cp:lastPrinted>2011-04-18T15:34:00Z</cp:lastPrinted>
  <dcterms:created xsi:type="dcterms:W3CDTF">2011-04-18T08:20:00Z</dcterms:created>
  <dcterms:modified xsi:type="dcterms:W3CDTF">2011-04-19T10:39:00Z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1120276</vt:lpwstr>
  </property>
  <property fmtid="{D5CDD505-2E9C-101B-9397-08002B2CF9AE}" pid="3" name="Symbol1">
    <vt:lpwstr>CEDAW/C/BGR/4-7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62</vt:lpwstr>
  </property>
  <property fmtid="{D5CDD505-2E9C-101B-9397-08002B2CF9AE}" pid="8" name="Operator">
    <vt:lpwstr>ji sx</vt:lpwstr>
  </property>
</Properties>
</file>