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192B159" w14:textId="77777777" w:rsidTr="00CA1AEA">
        <w:trPr>
          <w:cantSplit/>
          <w:trHeight w:hRule="exact" w:val="851"/>
        </w:trPr>
        <w:tc>
          <w:tcPr>
            <w:tcW w:w="1276" w:type="dxa"/>
            <w:tcBorders>
              <w:bottom w:val="single" w:sz="4" w:space="0" w:color="auto"/>
            </w:tcBorders>
            <w:vAlign w:val="bottom"/>
          </w:tcPr>
          <w:p w14:paraId="5F9D097C" w14:textId="77777777" w:rsidR="00165C15" w:rsidRDefault="00165C15" w:rsidP="00CA1AEA">
            <w:pPr>
              <w:spacing w:after="80"/>
            </w:pPr>
          </w:p>
        </w:tc>
        <w:tc>
          <w:tcPr>
            <w:tcW w:w="2268" w:type="dxa"/>
            <w:tcBorders>
              <w:bottom w:val="single" w:sz="4" w:space="0" w:color="auto"/>
            </w:tcBorders>
            <w:vAlign w:val="bottom"/>
          </w:tcPr>
          <w:p w14:paraId="2681C2CC"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B1AE366" w14:textId="77777777" w:rsidR="00165C15" w:rsidRPr="00D47EEA" w:rsidRDefault="00F94499" w:rsidP="00F94499">
            <w:pPr>
              <w:suppressAutoHyphens w:val="0"/>
              <w:spacing w:after="20"/>
              <w:jc w:val="right"/>
            </w:pPr>
            <w:r w:rsidRPr="00F94499">
              <w:rPr>
                <w:sz w:val="40"/>
              </w:rPr>
              <w:t>CCPR</w:t>
            </w:r>
            <w:r>
              <w:t>/C/ARG/QPR/6</w:t>
            </w:r>
          </w:p>
        </w:tc>
      </w:tr>
      <w:tr w:rsidR="00165C15" w14:paraId="0E1EE520" w14:textId="77777777" w:rsidTr="00CA1AEA">
        <w:trPr>
          <w:cantSplit/>
          <w:trHeight w:hRule="exact" w:val="2835"/>
        </w:trPr>
        <w:tc>
          <w:tcPr>
            <w:tcW w:w="1276" w:type="dxa"/>
            <w:tcBorders>
              <w:top w:val="single" w:sz="4" w:space="0" w:color="auto"/>
              <w:bottom w:val="single" w:sz="12" w:space="0" w:color="auto"/>
            </w:tcBorders>
          </w:tcPr>
          <w:p w14:paraId="63AA6F62" w14:textId="77777777" w:rsidR="00165C15" w:rsidRDefault="00165C15" w:rsidP="00CA1AEA">
            <w:pPr>
              <w:spacing w:before="120"/>
            </w:pPr>
            <w:r>
              <w:rPr>
                <w:noProof/>
                <w:lang w:val="fr-CH" w:eastAsia="fr-CH"/>
              </w:rPr>
              <w:drawing>
                <wp:inline distT="0" distB="0" distL="0" distR="0" wp14:anchorId="37EDFC55" wp14:editId="3FF6290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7FEA74"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2523489" w14:textId="1F41EAA9" w:rsidR="00165C15" w:rsidRDefault="00F94499" w:rsidP="00F94499">
            <w:pPr>
              <w:suppressAutoHyphens w:val="0"/>
              <w:spacing w:before="240"/>
            </w:pPr>
            <w:r>
              <w:t>Distr.: General</w:t>
            </w:r>
          </w:p>
          <w:p w14:paraId="56B66826" w14:textId="1AE73777" w:rsidR="00F94499" w:rsidRDefault="00F94499" w:rsidP="00F94499">
            <w:pPr>
              <w:suppressAutoHyphens w:val="0"/>
            </w:pPr>
            <w:r>
              <w:t>27 August 2025</w:t>
            </w:r>
          </w:p>
          <w:p w14:paraId="2EC667BA" w14:textId="3BA3B29B" w:rsidR="00F94499" w:rsidRDefault="00F94499" w:rsidP="00F94499">
            <w:pPr>
              <w:suppressAutoHyphens w:val="0"/>
            </w:pPr>
            <w:r>
              <w:t>English</w:t>
            </w:r>
          </w:p>
          <w:p w14:paraId="258A9FC7" w14:textId="77777777" w:rsidR="00F94499" w:rsidRDefault="00F94499" w:rsidP="00F94499">
            <w:pPr>
              <w:suppressAutoHyphens w:val="0"/>
            </w:pPr>
            <w:r>
              <w:t>Original: Spanish</w:t>
            </w:r>
          </w:p>
          <w:p w14:paraId="0C860FF5" w14:textId="136D21C9" w:rsidR="00F94499" w:rsidRDefault="00F94499" w:rsidP="00F94499">
            <w:pPr>
              <w:suppressAutoHyphens w:val="0"/>
            </w:pPr>
            <w:r>
              <w:t>English, French and Spanish only</w:t>
            </w:r>
          </w:p>
        </w:tc>
      </w:tr>
    </w:tbl>
    <w:p w14:paraId="36267A74" w14:textId="77777777" w:rsidR="00F94499" w:rsidRPr="00F94499" w:rsidRDefault="00F94499" w:rsidP="00F94499">
      <w:pPr>
        <w:spacing w:before="120"/>
        <w:rPr>
          <w:b/>
          <w:bCs/>
          <w:color w:val="000000" w:themeColor="text1"/>
          <w:sz w:val="24"/>
          <w:szCs w:val="24"/>
          <w:lang w:val="en-US"/>
        </w:rPr>
      </w:pPr>
      <w:r w:rsidRPr="00F94499">
        <w:rPr>
          <w:b/>
          <w:bCs/>
          <w:color w:val="000000" w:themeColor="text1"/>
          <w:sz w:val="24"/>
          <w:szCs w:val="24"/>
        </w:rPr>
        <w:t>Human Rights Committee</w:t>
      </w:r>
    </w:p>
    <w:p w14:paraId="7D349399" w14:textId="77777777" w:rsidR="00F94499" w:rsidRPr="003F452E" w:rsidRDefault="00F94499" w:rsidP="00F94499">
      <w:pPr>
        <w:pStyle w:val="HChG"/>
        <w:rPr>
          <w:lang w:val="en-US"/>
        </w:rPr>
      </w:pPr>
      <w:r w:rsidRPr="003F452E">
        <w:tab/>
      </w:r>
      <w:r w:rsidRPr="003F452E">
        <w:tab/>
        <w:t>List of issues prior to submission of the sixth periodic report of Argentina</w:t>
      </w:r>
      <w:r w:rsidRPr="00F94499">
        <w:rPr>
          <w:b w:val="0"/>
          <w:bCs/>
          <w:sz w:val="20"/>
          <w:szCs w:val="14"/>
        </w:rPr>
        <w:footnoteReference w:customMarkFollows="1" w:id="1"/>
        <w:t>*</w:t>
      </w:r>
    </w:p>
    <w:p w14:paraId="650F3E27" w14:textId="77777777" w:rsidR="00F94499" w:rsidRPr="003F452E" w:rsidRDefault="00F94499" w:rsidP="00F94499">
      <w:pPr>
        <w:pStyle w:val="H1G"/>
        <w:rPr>
          <w:lang w:val="en-US"/>
        </w:rPr>
      </w:pPr>
      <w:r w:rsidRPr="003F452E">
        <w:tab/>
        <w:t>A.</w:t>
      </w:r>
      <w:r w:rsidRPr="003F452E">
        <w:tab/>
        <w:t>General information on the national human rights situation, including new measures and developments relating to the implementation of the Covenant</w:t>
      </w:r>
    </w:p>
    <w:p w14:paraId="14D05BD3" w14:textId="2687B38C" w:rsidR="00F94499" w:rsidRPr="003F452E" w:rsidRDefault="00F94499" w:rsidP="00F94499">
      <w:pPr>
        <w:pStyle w:val="SingleTxtG"/>
        <w:rPr>
          <w:lang w:val="en-US"/>
        </w:rPr>
      </w:pPr>
      <w:r w:rsidRPr="003F452E">
        <w:t>1.</w:t>
      </w:r>
      <w:r w:rsidRPr="003F452E">
        <w:tab/>
        <w:t>Please report on any significant developments in the legal and institutional framework within which human rights are promoted and protected that have taken place since the adoption of the Committee</w:t>
      </w:r>
      <w:r>
        <w:t>’</w:t>
      </w:r>
      <w:r w:rsidRPr="003F452E">
        <w:t>s previous concluding observations,</w:t>
      </w:r>
      <w:r w:rsidRPr="004628A7">
        <w:rPr>
          <w:rStyle w:val="FootnoteReference"/>
        </w:rPr>
        <w:footnoteReference w:id="2"/>
      </w:r>
      <w:r w:rsidRPr="003F452E">
        <w:t xml:space="preserve"> including examples of cases in which the provisions of the Covenant and the Committee</w:t>
      </w:r>
      <w:r>
        <w:t>’</w:t>
      </w:r>
      <w:r w:rsidRPr="003F452E">
        <w:t>s jurisprudence have been referred to by national courts. Please indicate what procedures have been established to implement the Committee</w:t>
      </w:r>
      <w:r>
        <w:t>’</w:t>
      </w:r>
      <w:r w:rsidRPr="003F452E">
        <w:t xml:space="preserve">s Views under the Optional Protocol, in particular to provide victims with an effective remedy for the violation of their rights, and provide information on measures taken to ensure full compliance with all Views adopted in relation to the State Party, including those adopted in the cases of </w:t>
      </w:r>
      <w:r w:rsidRPr="00F94499">
        <w:rPr>
          <w:i/>
          <w:iCs/>
        </w:rPr>
        <w:t>González v. Argentina</w:t>
      </w:r>
      <w:r w:rsidRPr="003F452E">
        <w:t>,</w:t>
      </w:r>
      <w:r w:rsidRPr="004628A7">
        <w:rPr>
          <w:rStyle w:val="FootnoteReference"/>
        </w:rPr>
        <w:footnoteReference w:id="3"/>
      </w:r>
      <w:r w:rsidRPr="003F452E">
        <w:t xml:space="preserve"> </w:t>
      </w:r>
      <w:r w:rsidRPr="00F94499">
        <w:rPr>
          <w:i/>
          <w:iCs/>
        </w:rPr>
        <w:t>L.N.P. v. Argentina</w:t>
      </w:r>
      <w:r w:rsidRPr="004628A7">
        <w:rPr>
          <w:rStyle w:val="FootnoteReference"/>
        </w:rPr>
        <w:footnoteReference w:id="4"/>
      </w:r>
      <w:r w:rsidRPr="003F452E">
        <w:t xml:space="preserve"> and </w:t>
      </w:r>
      <w:r w:rsidRPr="00F94499">
        <w:rPr>
          <w:i/>
          <w:iCs/>
        </w:rPr>
        <w:t>Gasparini v. Argentina</w:t>
      </w:r>
      <w:r w:rsidRPr="003F452E">
        <w:t>.</w:t>
      </w:r>
      <w:r w:rsidRPr="004628A7">
        <w:rPr>
          <w:rStyle w:val="FootnoteReference"/>
        </w:rPr>
        <w:footnoteReference w:id="5"/>
      </w:r>
    </w:p>
    <w:p w14:paraId="185F7895" w14:textId="77777777" w:rsidR="00F94499" w:rsidRPr="003F452E" w:rsidRDefault="00F94499" w:rsidP="00F94499">
      <w:pPr>
        <w:pStyle w:val="H1G"/>
        <w:rPr>
          <w:lang w:val="en-US"/>
        </w:rPr>
      </w:pPr>
      <w:r w:rsidRPr="003F452E">
        <w:tab/>
        <w:t>B.</w:t>
      </w:r>
      <w:r w:rsidRPr="003F452E">
        <w:tab/>
        <w:t>Specific information on the implementation of articles 1 to 27 of the Covenant, including with regard to the previous recommendations of the Committee</w:t>
      </w:r>
      <w:bookmarkStart w:id="0" w:name="_Hlk57969988"/>
      <w:bookmarkEnd w:id="0"/>
    </w:p>
    <w:p w14:paraId="21A1B82F" w14:textId="67F640D0" w:rsidR="00F94499" w:rsidRPr="003F452E" w:rsidRDefault="00F94499" w:rsidP="00F94499">
      <w:pPr>
        <w:pStyle w:val="H23G"/>
        <w:rPr>
          <w:lang w:val="en-US"/>
        </w:rPr>
      </w:pPr>
      <w:r w:rsidRPr="003F452E">
        <w:tab/>
      </w:r>
      <w:r w:rsidRPr="003F452E">
        <w:tab/>
        <w:t>Constitutional and legal framework within which the Covenant is implemented (art.</w:t>
      </w:r>
      <w:r>
        <w:t> </w:t>
      </w:r>
      <w:r w:rsidRPr="003F452E">
        <w:t>2)</w:t>
      </w:r>
    </w:p>
    <w:p w14:paraId="5423A490" w14:textId="77777777" w:rsidR="00F94499" w:rsidRPr="003F452E" w:rsidRDefault="00F94499" w:rsidP="00F94499">
      <w:pPr>
        <w:pStyle w:val="SingleTxtG"/>
        <w:rPr>
          <w:lang w:val="en-US"/>
        </w:rPr>
      </w:pPr>
      <w:r w:rsidRPr="003F452E">
        <w:t>2.</w:t>
      </w:r>
      <w:r w:rsidRPr="003F452E">
        <w:tab/>
        <w:t>With reference to the previous concluding observations (para. 5),</w:t>
      </w:r>
      <w:r w:rsidRPr="004D5951">
        <w:rPr>
          <w:rStyle w:val="FootnoteReference"/>
        </w:rPr>
        <w:footnoteReference w:id="6"/>
      </w:r>
      <w:r w:rsidRPr="003F452E">
        <w:t xml:space="preserve"> please provide information on the measures taken during the reporting period to strengthen the national institutions responsible for implementing human rights policies. Please describe the measures taken to ensure that the Office of the Ombudsperson fully adheres to the principles relating to the status of national institutions for the promotion and protection of human rights (the Paris Principles). Please also report on the progress made by the State Party in appointing both the Ombudsperson and the Ombudsperson for Children and Adolescents.</w:t>
      </w:r>
    </w:p>
    <w:p w14:paraId="766CF8B5" w14:textId="77777777" w:rsidR="00F94499" w:rsidRPr="003F452E" w:rsidRDefault="00F94499" w:rsidP="00F94499">
      <w:pPr>
        <w:pStyle w:val="H23G"/>
        <w:rPr>
          <w:lang w:val="en-US"/>
        </w:rPr>
      </w:pPr>
      <w:r w:rsidRPr="003F452E">
        <w:tab/>
      </w:r>
      <w:r w:rsidRPr="003F452E">
        <w:tab/>
        <w:t>Fight against impunity and past human rights violations (arts. 2, 6, 7 and 14)</w:t>
      </w:r>
    </w:p>
    <w:p w14:paraId="4D8E3422" w14:textId="754C39D9" w:rsidR="00F94499" w:rsidRPr="003F452E" w:rsidRDefault="00F94499" w:rsidP="00F94499">
      <w:pPr>
        <w:pStyle w:val="SingleTxtG"/>
        <w:rPr>
          <w:lang w:val="en-US"/>
        </w:rPr>
      </w:pPr>
      <w:r w:rsidRPr="003F452E">
        <w:t>3.</w:t>
      </w:r>
      <w:r w:rsidRPr="003F452E">
        <w:tab/>
        <w:t>With reference to the Committee</w:t>
      </w:r>
      <w:r>
        <w:t>’</w:t>
      </w:r>
      <w:r w:rsidRPr="003F452E">
        <w:t xml:space="preserve">s previous concluding observations (para. 28), please provide information on the steps taken during the reporting period to investigate all </w:t>
      </w:r>
      <w:r w:rsidRPr="003F452E">
        <w:lastRenderedPageBreak/>
        <w:t xml:space="preserve">past human rights violations committed during the dictatorship, including crimes committed by the owners and/or staff of companies that are suspected of having been involved in the commission of crimes against humanity, and to punish those responsible. Please address reports concerning the defunding and dismantling of memory, truth and justice policies, the withdrawal of funding from memorial sites and spaces, the dissolution of expert teams reviewing Armed Forces archives, the suspension of reparation payments to victims, the mass dismissal of staff from the National Secretariat for Human Rights and the closure of the Special Unit for the Investigation of the Disappearance of Children as a Consequence of Acts of State Terrorism. In the light of the judgment of 26 January 2024 of the Inter-American Court of Human Rights in the case of </w:t>
      </w:r>
      <w:proofErr w:type="spellStart"/>
      <w:r w:rsidRPr="00F94499">
        <w:rPr>
          <w:i/>
          <w:iCs/>
        </w:rPr>
        <w:t>Asociación</w:t>
      </w:r>
      <w:proofErr w:type="spellEnd"/>
      <w:r w:rsidRPr="00F94499">
        <w:rPr>
          <w:i/>
          <w:iCs/>
        </w:rPr>
        <w:t xml:space="preserve"> Civil Memoria Activa v. Argentina</w:t>
      </w:r>
      <w:r w:rsidRPr="003F452E">
        <w:t xml:space="preserve">, relating to the 1994 attack on the premises of the </w:t>
      </w:r>
      <w:proofErr w:type="spellStart"/>
      <w:r w:rsidRPr="003F452E">
        <w:t>Asociación</w:t>
      </w:r>
      <w:proofErr w:type="spellEnd"/>
      <w:r w:rsidRPr="003F452E">
        <w:t xml:space="preserve"> Mutual </w:t>
      </w:r>
      <w:proofErr w:type="spellStart"/>
      <w:r w:rsidRPr="003F452E">
        <w:t>Israelita</w:t>
      </w:r>
      <w:proofErr w:type="spellEnd"/>
      <w:r w:rsidRPr="003F452E">
        <w:t xml:space="preserve"> Argentina, please indicate the measures taken by the State Party to ensure the prompt, effective, independent, impartial and transparent investigation of the events, to remove all de facto and de jure obstacles that have led to total impunity in this case and to prosecute those responsible.</w:t>
      </w:r>
    </w:p>
    <w:p w14:paraId="6372EA45" w14:textId="77777777" w:rsidR="00F94499" w:rsidRPr="003F452E" w:rsidRDefault="00F94499" w:rsidP="00F94499">
      <w:pPr>
        <w:pStyle w:val="H23G"/>
        <w:rPr>
          <w:lang w:val="en-US"/>
        </w:rPr>
      </w:pPr>
      <w:r w:rsidRPr="003F452E">
        <w:tab/>
      </w:r>
      <w:r w:rsidRPr="003F452E">
        <w:tab/>
        <w:t>Anti-corruption measures (arts. 2 and 25)</w:t>
      </w:r>
    </w:p>
    <w:p w14:paraId="4A9244D0" w14:textId="77777777" w:rsidR="00F94499" w:rsidRPr="003F452E" w:rsidRDefault="00F94499" w:rsidP="00F94499">
      <w:pPr>
        <w:pStyle w:val="SingleTxtG"/>
        <w:rPr>
          <w:lang w:val="en-US"/>
        </w:rPr>
      </w:pPr>
      <w:r w:rsidRPr="003F452E">
        <w:t>4.</w:t>
      </w:r>
      <w:r w:rsidRPr="003F452E">
        <w:tab/>
        <w:t>Please provide information on the legal and institutional framework in place and the measures taken to prevent and combat corruption, including efforts to strengthen the accountability and transparency of the Government. Please indicate the steps taken to investigate alleged cases of the corruption of State officials, including judicial officials and political figures, and to prosecute those involved, providing statistical data on the number of investigations and prosecutions and the nature of the sanctions imposed, in particular in cases involving high-level public officials.</w:t>
      </w:r>
    </w:p>
    <w:p w14:paraId="6866C10B" w14:textId="77777777" w:rsidR="00F94499" w:rsidRPr="003F452E" w:rsidRDefault="00F94499" w:rsidP="00F94499">
      <w:pPr>
        <w:pStyle w:val="H23G"/>
        <w:rPr>
          <w:lang w:val="en-US"/>
        </w:rPr>
      </w:pPr>
      <w:r w:rsidRPr="003F452E">
        <w:tab/>
      </w:r>
      <w:r w:rsidRPr="003F452E">
        <w:tab/>
        <w:t>State of emergency (art. 4)</w:t>
      </w:r>
    </w:p>
    <w:p w14:paraId="4908A8E6" w14:textId="653E89AC" w:rsidR="00F94499" w:rsidRPr="003F452E" w:rsidRDefault="00F94499" w:rsidP="00F94499">
      <w:pPr>
        <w:pStyle w:val="SingleTxtG"/>
        <w:rPr>
          <w:lang w:val="en-US"/>
        </w:rPr>
      </w:pPr>
      <w:r w:rsidRPr="003F452E">
        <w:t>5.</w:t>
      </w:r>
      <w:r w:rsidRPr="003F452E">
        <w:tab/>
        <w:t>Please provide information on the state of public emergency decreed until 31</w:t>
      </w:r>
      <w:r w:rsidR="00404769">
        <w:t> </w:t>
      </w:r>
      <w:r w:rsidRPr="003F452E">
        <w:t>December 2025, indicate whether it is in accordance with article 4 of the Covenant, clarifying whether the State Party has derogated from its obligations under any provisions of the Covenant, and outline the measures taken to ensure that these reforms do not adversely affect the enjoyment of civil and political rights and remain consistent with the Committee</w:t>
      </w:r>
      <w:r>
        <w:t>’</w:t>
      </w:r>
      <w:r w:rsidRPr="003F452E">
        <w:t>s general comment No. 29 (2001) on derogations during a state of emergency. In addition, please provide information on the measures taken to ensure that legislative reforms adopted pursuant to emergency decrees, including Emergency Decree No. 70/2023 and subsequent decrees, respect the principles of legality, separation of powers and parliamentary oversight.</w:t>
      </w:r>
    </w:p>
    <w:p w14:paraId="6C445A97" w14:textId="77777777" w:rsidR="00F94499" w:rsidRPr="003F452E" w:rsidRDefault="00F94499" w:rsidP="00F94499">
      <w:pPr>
        <w:pStyle w:val="H23G"/>
        <w:rPr>
          <w:lang w:val="en-US"/>
        </w:rPr>
      </w:pPr>
      <w:r w:rsidRPr="003F452E">
        <w:tab/>
      </w:r>
      <w:r w:rsidRPr="003F452E">
        <w:tab/>
        <w:t>Non-discrimination (arts. 2, 19, 20 and 26)</w:t>
      </w:r>
    </w:p>
    <w:p w14:paraId="1554474C" w14:textId="0C6DBA63" w:rsidR="00F94499" w:rsidRPr="003F452E" w:rsidRDefault="00F94499" w:rsidP="00F94499">
      <w:pPr>
        <w:pStyle w:val="SingleTxtG"/>
        <w:rPr>
          <w:lang w:val="en-US"/>
        </w:rPr>
      </w:pPr>
      <w:r w:rsidRPr="003F452E">
        <w:t>6.</w:t>
      </w:r>
      <w:r w:rsidRPr="003F452E">
        <w:tab/>
        <w:t>Please provide information on the legislative and other measures taken during the reporting period, including existing bills to amend National Act No. 23.592 on Discriminatory Actions and to develop and adopt a national anti-discrimination plan, in order to ensure that the State Party</w:t>
      </w:r>
      <w:r>
        <w:t>’</w:t>
      </w:r>
      <w:r w:rsidRPr="003F452E">
        <w:t>s anti-discrimination legal framework provides full and effective protection against direct, indirect and multiple discrimination in all spheres, including the private sphere, and on all grounds covered by the Covenant, as well as effective judicial and administrative remedies for victims. Please provide information on the closure of the Ministry for Women, Gender and Diversity, the abolition of the National Institute to Combat Discrimination, Xenophobia and Racism and the discontinuation of the mandate of the Special Representative on Sexual Orientation and Gender Identity of the Ministry of Foreign Affairs, International Trade and Worship, in the light of concerns that such measures undermine the State</w:t>
      </w:r>
      <w:r>
        <w:t>’</w:t>
      </w:r>
      <w:r w:rsidRPr="003F452E">
        <w:t>s obligation to uphold rights without discrimination of any kind.</w:t>
      </w:r>
    </w:p>
    <w:p w14:paraId="5D3FEC93" w14:textId="77777777" w:rsidR="00F94499" w:rsidRPr="003F452E" w:rsidRDefault="00F94499" w:rsidP="00F94499">
      <w:pPr>
        <w:pStyle w:val="SingleTxtG"/>
        <w:rPr>
          <w:lang w:val="en-US"/>
        </w:rPr>
      </w:pPr>
      <w:r w:rsidRPr="003F452E">
        <w:t>7.</w:t>
      </w:r>
      <w:r w:rsidRPr="003F452E">
        <w:tab/>
        <w:t xml:space="preserve">Please provide information on the prevalence of hate speech and hate crimes in the State Party, in particular against women, persons with disabilities, lesbian, gay, bisexual and transgender persons, Indigenous Peoples, communities of persons of African descent, migrants and other vulnerable groups. Please indicate the legislative and other measures taken to combat and prevent hate crimes, hate speech and other acts of discrimination and stigmatization, including on the Internet and social media platforms, as well as by public figures and national and provincial authorities. Please also provide: (a) information on prosecutions for hate crimes and the outcomes of such prosecutions; and (b) statistical data on complaints of discrimination brought before the courts or relevant administrative bodies </w:t>
      </w:r>
      <w:r w:rsidRPr="003F452E">
        <w:lastRenderedPageBreak/>
        <w:t>in the past five years and an indication of the basis of the discrimination, the nature of the investigations conducted and their outcomes and any forms of redress provided to victims.</w:t>
      </w:r>
    </w:p>
    <w:p w14:paraId="7863A58E" w14:textId="77777777" w:rsidR="00F94499" w:rsidRPr="003F452E" w:rsidRDefault="00F94499" w:rsidP="00F94499">
      <w:pPr>
        <w:pStyle w:val="SingleTxtG"/>
        <w:rPr>
          <w:lang w:val="en-US"/>
        </w:rPr>
      </w:pPr>
      <w:r w:rsidRPr="003F452E">
        <w:t>8.</w:t>
      </w:r>
      <w:r w:rsidRPr="003F452E">
        <w:tab/>
        <w:t xml:space="preserve">Please provide information on efforts to prevent and combat violence and discrimination based on sexual orientation, gender identity, gender expression and sexual characteristics and to ensure adequate protection for lesbian, gay, bisexual and transgender persons. In particular, please clarify: (a) the status of Act No. 26.743 on Gender Identity following the issuance of Emergency Decree No. 62/2025, which, according to information submitted to the Committee, imposes severe restrictions on the exercise of the right to gender identity of transgender persons, including transgender adolescents; (b) the measures taken to reverse dismissals of trans persons in the public sector and to ensure effective compliance with Act No. 27.636 on the </w:t>
      </w:r>
      <w:proofErr w:type="spellStart"/>
      <w:r w:rsidRPr="003F452E">
        <w:t>Travesti</w:t>
      </w:r>
      <w:proofErr w:type="spellEnd"/>
      <w:r w:rsidRPr="003F452E">
        <w:t>-Trans Employment Quota; and (c) the content of Decree No. 61/2025, which, according to information submitted to the Committee, modifies the rights of transgender persons deprived of their liberty to the detriment of their right to gender identity, putting their physical and psychological safety at risk.</w:t>
      </w:r>
      <w:bookmarkStart w:id="1" w:name="_Hlk207108024"/>
      <w:bookmarkEnd w:id="1"/>
    </w:p>
    <w:p w14:paraId="21D336D8" w14:textId="404CF6C6" w:rsidR="00F94499" w:rsidRPr="003F452E" w:rsidRDefault="00F94499" w:rsidP="00F94499">
      <w:pPr>
        <w:pStyle w:val="H23G"/>
        <w:rPr>
          <w:lang w:val="en-US"/>
        </w:rPr>
      </w:pPr>
      <w:r w:rsidRPr="003F452E">
        <w:tab/>
      </w:r>
      <w:r w:rsidRPr="003F452E">
        <w:tab/>
        <w:t>Gender equality and violence against women (arts. 2, 3, 6, 7 and 26)</w:t>
      </w:r>
    </w:p>
    <w:p w14:paraId="3EEBB27E" w14:textId="149D1359" w:rsidR="00F94499" w:rsidRPr="003F452E" w:rsidRDefault="00F94499" w:rsidP="00F94499">
      <w:pPr>
        <w:pStyle w:val="SingleTxtG"/>
      </w:pPr>
      <w:r w:rsidRPr="003F452E">
        <w:t>9.</w:t>
      </w:r>
      <w:r w:rsidRPr="003F452E">
        <w:tab/>
        <w:t>Please provide information on the measures taken by the State Party to reduce the gender wage gap, including information on the implementation and impact of the Equalize (</w:t>
      </w:r>
      <w:proofErr w:type="spellStart"/>
      <w:r w:rsidRPr="003F452E">
        <w:t>Igualar</w:t>
      </w:r>
      <w:proofErr w:type="spellEnd"/>
      <w:r w:rsidRPr="003F452E">
        <w:t>) Programme and on the steps taken to eliminate gender stereotypes regarding the roles and responsibilities of men and women in the family and society. In the light of the Committee</w:t>
      </w:r>
      <w:r>
        <w:t>’</w:t>
      </w:r>
      <w:r w:rsidRPr="003F452E">
        <w:t>s previous concluding observations (para. 10), please also provide information on measures taken to effectively prevent, combat and punish all forms of gender-based violence, including domestic and sexual violence and femicide, and on measures to protect children and adolescents, including the children of female victims. Please indicate the measures taken to ensure the adequate implementation of protection and care programmes, including the Support (</w:t>
      </w:r>
      <w:proofErr w:type="spellStart"/>
      <w:r w:rsidRPr="003F452E">
        <w:t>Acompañar</w:t>
      </w:r>
      <w:proofErr w:type="spellEnd"/>
      <w:r w:rsidRPr="003F452E">
        <w:t>) Programme and the 144 emergency helpline, following the closure of the Ministry for Women, Gender and Diversity and the Office of the Undersecretary for Protection against Gender Violence and given the significant reduction in the budget and staff allocated to such activities.</w:t>
      </w:r>
    </w:p>
    <w:p w14:paraId="732B6430" w14:textId="63A3E69D" w:rsidR="00F94499" w:rsidRPr="003F452E" w:rsidRDefault="00F94499" w:rsidP="00F94499">
      <w:pPr>
        <w:pStyle w:val="H23G"/>
        <w:rPr>
          <w:lang w:val="en-US"/>
        </w:rPr>
      </w:pPr>
      <w:r w:rsidRPr="003F452E">
        <w:tab/>
      </w:r>
      <w:r w:rsidRPr="003F452E">
        <w:tab/>
        <w:t>Voluntary termination of pregnancy and sexual and reproductive rights (arts. 3, 6, 7 and 17)</w:t>
      </w:r>
    </w:p>
    <w:p w14:paraId="62AF6C2A" w14:textId="77777777" w:rsidR="00F94499" w:rsidRPr="003F452E" w:rsidRDefault="00F94499" w:rsidP="00F94499">
      <w:pPr>
        <w:pStyle w:val="SingleTxtG"/>
        <w:rPr>
          <w:lang w:val="en-US"/>
        </w:rPr>
      </w:pPr>
      <w:r w:rsidRPr="003F452E">
        <w:t>10.</w:t>
      </w:r>
      <w:r w:rsidRPr="003F452E">
        <w:tab/>
        <w:t>With reference to the previous concluding observations (para. 12) and the evaluation of the information on follow-up to the concluding observations,</w:t>
      </w:r>
      <w:r w:rsidRPr="004D5951">
        <w:rPr>
          <w:rStyle w:val="FootnoteReference"/>
        </w:rPr>
        <w:footnoteReference w:id="7"/>
      </w:r>
      <w:r w:rsidRPr="003F452E">
        <w:t xml:space="preserve"> please provide information on the steps taken to improve access to sexual and reproductive healthcare, including safe abortion services, contraception and information thereon, especially for women and girls living in remote and rural areas. In particular, please describe: (a) the measures taken to reduce the rates of maternal and infant mortality and early pregnancy and the current status of the National Plan for the Prevention of Unintended Pregnancy in Adolescence; and (b) the efforts undertaken to conduct education and awareness-raising programmes, especially youth-friendly programmes, on the importance of using contraceptives and sexual and reproductive health rights.</w:t>
      </w:r>
    </w:p>
    <w:p w14:paraId="7ED5624B" w14:textId="77777777" w:rsidR="00F94499" w:rsidRPr="003F452E" w:rsidRDefault="00F94499" w:rsidP="00F94499">
      <w:pPr>
        <w:pStyle w:val="H23G"/>
        <w:rPr>
          <w:lang w:val="en-US"/>
        </w:rPr>
      </w:pPr>
      <w:r w:rsidRPr="003F452E">
        <w:tab/>
      </w:r>
      <w:r w:rsidRPr="003F452E">
        <w:tab/>
        <w:t>Right to life (art. 6)</w:t>
      </w:r>
    </w:p>
    <w:p w14:paraId="5B28CBAF" w14:textId="5D377FA8" w:rsidR="00F94499" w:rsidRPr="003F452E" w:rsidRDefault="00F94499" w:rsidP="00F94499">
      <w:pPr>
        <w:pStyle w:val="SingleTxtG"/>
        <w:rPr>
          <w:lang w:val="en-US"/>
        </w:rPr>
      </w:pPr>
      <w:r w:rsidRPr="003F452E">
        <w:t>11.</w:t>
      </w:r>
      <w:r w:rsidRPr="003F452E">
        <w:tab/>
        <w:t>In the light of the Committee</w:t>
      </w:r>
      <w:r>
        <w:t>’</w:t>
      </w:r>
      <w:r w:rsidRPr="003F452E">
        <w:t>s general comment No. 36 (2018) on the right to life (paras. 26 and 62), please provide information on efforts to prevent and mitigate the effects of climate change and environmental degradation, including their impact on the right to life, in all areas of the territory of the State Party. Please include specific information on: (a)</w:t>
      </w:r>
      <w:r w:rsidR="00F91A21">
        <w:t> </w:t>
      </w:r>
      <w:r w:rsidRPr="003F452E">
        <w:t xml:space="preserve">measures to prevent and mitigate the effects of environmental pollution, including air and soil pollution and pollution resulting from deforestation and extractive activities, on the right to life and other rights protected under the Covenant; (b) measures to protect people, particularly the most disadvantaged, from natural disasters; and (c) processes to ensure the inclusive participation of civil society groups and the public, including women, persons with </w:t>
      </w:r>
      <w:r w:rsidRPr="003F452E">
        <w:lastRenderedPageBreak/>
        <w:t>disabilities, Indigenous Peoples and rural communities, in the development and implementation of climate change legislation and policy.</w:t>
      </w:r>
    </w:p>
    <w:p w14:paraId="471ADCE7" w14:textId="5F3F073C" w:rsidR="00F94499" w:rsidRPr="003F452E" w:rsidRDefault="00F94499" w:rsidP="00F94499">
      <w:pPr>
        <w:pStyle w:val="SingleTxtG"/>
        <w:rPr>
          <w:lang w:val="en-US"/>
        </w:rPr>
      </w:pPr>
      <w:r w:rsidRPr="003F452E">
        <w:t>12.</w:t>
      </w:r>
      <w:r w:rsidRPr="003F452E">
        <w:tab/>
        <w:t>Bearing in mind the Committee</w:t>
      </w:r>
      <w:r>
        <w:t>’</w:t>
      </w:r>
      <w:r w:rsidRPr="003F452E">
        <w:t>s general comment No. 36 (2018) (para. 26), please provide information on the measures taken to protect the right to life with dignity through prompt access to healthcare, especially for persons in situations of socioeconomic vulnerability. In this regard, please provide information on the impact of budget cuts on the public health system, including the closure of institutions such as the Directorate for Special Assistance, the National Cancer Institute and the Response Directorate for HIV, Sexually Transmitted Infections, Viral Hepatitis and Tuberculosis, among others. Please also describe the measures taken to ensure access to essential medicines and treatments, including oncological care and treatment for persons with HIV, in the light of reports of the death of 60 oncology patients over the course of 2024 owing to a lack of medication.</w:t>
      </w:r>
    </w:p>
    <w:p w14:paraId="6C996C12" w14:textId="77777777" w:rsidR="00F94499" w:rsidRPr="003F452E" w:rsidRDefault="00F94499" w:rsidP="00F94499">
      <w:pPr>
        <w:pStyle w:val="H23G"/>
        <w:rPr>
          <w:lang w:val="en-US"/>
        </w:rPr>
      </w:pPr>
      <w:r w:rsidRPr="003F452E">
        <w:tab/>
      </w:r>
      <w:r w:rsidRPr="003F452E">
        <w:tab/>
        <w:t>Prohibition of torture and other cruel, inhuman or degrading treatment or punishment and treatment of persons deprived of their liberty (arts. 7 and 10)</w:t>
      </w:r>
    </w:p>
    <w:p w14:paraId="54D3ECCB" w14:textId="77777777" w:rsidR="00F94499" w:rsidRPr="003F452E" w:rsidRDefault="00F94499" w:rsidP="00F94499">
      <w:pPr>
        <w:pStyle w:val="SingleTxtG"/>
        <w:rPr>
          <w:lang w:val="en-US"/>
        </w:rPr>
      </w:pPr>
      <w:r w:rsidRPr="003F452E">
        <w:t>13.</w:t>
      </w:r>
      <w:r w:rsidRPr="003F452E">
        <w:tab/>
        <w:t>Please provide updated data on allegations of torture and ill-treatment in places of detention and indicate the measures taken to prevent and investigate such acts, including those committed under special prison regimes such as the so-called “high-profile” regime, and to punish those found responsible. Please provide information on the measures adopted to reduce overcrowding in prisons and to end the prolonged use of police stations as places of detention, as well as on the mechanisms in place to ensure dignified conditions for all detainees, including women and transsexual persons, and to guarantee their access to basic services, healthcare and family contact. In addition, please provide information on the legal regulations governing solitary confinement in detention facilities and its use in practice.</w:t>
      </w:r>
    </w:p>
    <w:p w14:paraId="61300422" w14:textId="77777777" w:rsidR="00F94499" w:rsidRPr="003F452E" w:rsidRDefault="00F94499" w:rsidP="00F94499">
      <w:pPr>
        <w:pStyle w:val="H23G"/>
        <w:rPr>
          <w:lang w:val="en-US"/>
        </w:rPr>
      </w:pPr>
      <w:r w:rsidRPr="003F452E">
        <w:tab/>
      </w:r>
      <w:r w:rsidRPr="003F452E">
        <w:tab/>
        <w:t>Liberty and security of person (arts. 6 and 9)</w:t>
      </w:r>
    </w:p>
    <w:p w14:paraId="0A1B64C5" w14:textId="77777777" w:rsidR="00F94499" w:rsidRPr="003F452E" w:rsidRDefault="00F94499" w:rsidP="00F94499">
      <w:pPr>
        <w:pStyle w:val="SingleTxtG"/>
        <w:rPr>
          <w:lang w:val="en-US"/>
        </w:rPr>
      </w:pPr>
      <w:r w:rsidRPr="003F452E">
        <w:t>14.</w:t>
      </w:r>
      <w:r w:rsidRPr="003F452E">
        <w:tab/>
        <w:t>In the light of the previous concluding observations (paras. 18 and 20), please provide information on steps taken to put an end to the practice of detaining persons when such detention is not related to the commission of an offence, in accordance with article 9 of the Covenant, to review the regulations governing pretrial detention and to increase the use of alternatives. In particular, please provide detailed information on the legislative framework regulating the application of non-custodial measures in accordance with the United Nations Standard Minimum Rules for Non-custodial Measures (the Tokyo Rules) and the judicial review mechanisms in place to ensure compliance with maximum pretrial detention periods. Please also provide statistical data on the number of persons in pretrial detention, the proportion of the total number of persons deprived of liberty they represent and the application by the courts of non-custodial measures.</w:t>
      </w:r>
    </w:p>
    <w:p w14:paraId="57F599EE" w14:textId="77777777" w:rsidR="00F94499" w:rsidRPr="003F452E" w:rsidRDefault="00F94499" w:rsidP="00F94499">
      <w:pPr>
        <w:pStyle w:val="H23G"/>
        <w:rPr>
          <w:lang w:val="en-US"/>
        </w:rPr>
      </w:pPr>
      <w:r w:rsidRPr="003F452E">
        <w:tab/>
      </w:r>
      <w:r w:rsidRPr="003F452E">
        <w:tab/>
        <w:t>Elimination of slavery, servitude and trafficking in persons (arts. 2, 7, 8 and 26)</w:t>
      </w:r>
    </w:p>
    <w:p w14:paraId="041F1A6E" w14:textId="2BA06EC0" w:rsidR="00F94499" w:rsidRPr="003F452E" w:rsidRDefault="00F94499" w:rsidP="00F94499">
      <w:pPr>
        <w:pStyle w:val="SingleTxtG"/>
        <w:rPr>
          <w:lang w:val="en-US"/>
        </w:rPr>
      </w:pPr>
      <w:r w:rsidRPr="003F452E">
        <w:t>15.</w:t>
      </w:r>
      <w:r w:rsidRPr="003F452E">
        <w:tab/>
        <w:t>Please provide information on: (a) the legislative framework defining trafficking in persons and the measures taken to prevent it, including statistical data for the reporting period on the number of complaints received, investigations conducted and their outcomes and the sentences imposed on perpetrators; (b) the measures taken to identify victims and provide them with protection, rehabilitation, reparation and reintegration services, including information on the number of shelters available in the country; and (c) the State Party</w:t>
      </w:r>
      <w:r>
        <w:t>’</w:t>
      </w:r>
      <w:r w:rsidRPr="003F452E">
        <w:t>s response to reports of complicity by police officers and other public officials in trafficking, which fosters impunity and undermines the effective investigation of trafficking offences.</w:t>
      </w:r>
    </w:p>
    <w:p w14:paraId="38458EB5" w14:textId="77777777" w:rsidR="00F94499" w:rsidRPr="003F452E" w:rsidRDefault="00F94499" w:rsidP="00F94499">
      <w:pPr>
        <w:pStyle w:val="H23G"/>
        <w:rPr>
          <w:lang w:val="en-US"/>
        </w:rPr>
      </w:pPr>
      <w:r w:rsidRPr="003F452E">
        <w:tab/>
      </w:r>
      <w:r w:rsidRPr="003F452E">
        <w:tab/>
        <w:t>Treatment of migrants, refugees and asylum-seekers (arts. 7, 9, 12, 13 and 24)</w:t>
      </w:r>
    </w:p>
    <w:p w14:paraId="5F8077B0" w14:textId="087D28B8" w:rsidR="00F94499" w:rsidRPr="003F452E" w:rsidRDefault="00F94499" w:rsidP="00F94499">
      <w:pPr>
        <w:pStyle w:val="SingleTxtG"/>
        <w:rPr>
          <w:lang w:val="en-US"/>
        </w:rPr>
      </w:pPr>
      <w:r w:rsidRPr="003F452E">
        <w:t>16.</w:t>
      </w:r>
      <w:r w:rsidRPr="003F452E">
        <w:tab/>
        <w:t xml:space="preserve">Please provide information on the measures taken to ensure that all persons applying for international protection in the State Party have access to fair and efficient asylum procedures, protection against refoulement and an appeal mechanism with suspensive effect against negative asylum decisions. In this regard, please: (a) respond to concerns regarding Emergency Decree No. 942/2024, in particular its retroactive modification of the administrative procedure for refugee status determination and its judicial review, which could undermine access to justice and the procedural guarantees of the Covenant; and (b) provide detailed information on the measures taken to uphold the principle of non-refoulement and </w:t>
      </w:r>
      <w:r w:rsidRPr="003F452E">
        <w:lastRenderedPageBreak/>
        <w:t>the right to an effective remedy. Please also provide detailed information on the status, scope and content of the recently announced initiative of the executive branch to reform the national migration policy, including whether it will affect the legal regime on nationality, and describe the steps taken to ensure that any reform in this area is fully compatible with the State Party</w:t>
      </w:r>
      <w:r>
        <w:t>’</w:t>
      </w:r>
      <w:r w:rsidRPr="003F452E">
        <w:t>s obligations under the Covenant, in particular with regard to due process, the principle of non</w:t>
      </w:r>
      <w:r w:rsidR="00902106">
        <w:noBreakHyphen/>
      </w:r>
      <w:r w:rsidRPr="003F452E">
        <w:t xml:space="preserve">refoulement, the best interests of the child and the prohibition of discrimination. </w:t>
      </w:r>
    </w:p>
    <w:p w14:paraId="5E7C9525" w14:textId="77777777" w:rsidR="00F94499" w:rsidRPr="003F452E" w:rsidRDefault="00F94499" w:rsidP="00F94499">
      <w:pPr>
        <w:pStyle w:val="H23G"/>
        <w:rPr>
          <w:lang w:val="en-US"/>
        </w:rPr>
      </w:pPr>
      <w:r w:rsidRPr="003F452E">
        <w:tab/>
      </w:r>
      <w:r w:rsidRPr="003F452E">
        <w:tab/>
        <w:t>Access to justice, independence of the judiciary and right to a fair trial (art. 14)</w:t>
      </w:r>
    </w:p>
    <w:p w14:paraId="6C729018" w14:textId="20CE5737" w:rsidR="00F94499" w:rsidRPr="003F452E" w:rsidRDefault="00F94499" w:rsidP="00F94499">
      <w:pPr>
        <w:pStyle w:val="SingleTxtG"/>
      </w:pPr>
      <w:r w:rsidRPr="003F452E">
        <w:t>17.</w:t>
      </w:r>
      <w:r w:rsidRPr="003F452E">
        <w:tab/>
        <w:t>Please provide information on</w:t>
      </w:r>
      <w:r w:rsidRPr="003F452E">
        <w:rPr>
          <w:lang w:val="en-US"/>
        </w:rPr>
        <w:t xml:space="preserve"> the </w:t>
      </w:r>
      <w:r w:rsidRPr="003F452E">
        <w:t>measures taken to ensure the independence of the judiciary and the transparency of judicial appointment processes, in particular with regard to Supreme Court judges, in the light of the declaration of unconstitutionality of Decree No.</w:t>
      </w:r>
      <w:r w:rsidR="000C196F">
        <w:t> </w:t>
      </w:r>
      <w:r w:rsidRPr="003F452E">
        <w:t>137/2025 by La Plata Federal Civil, Commercial and Administrative Court of First Instance No. 2. In particular, please indicate the measures taken to strengthen the system of checks and balances, including efforts to fill existing judicial vacancies. Please also provide detailed information on the steps taken to ensure that judges can exercise their functions freely and without undue pressure or interference from the legislative and executive branches.</w:t>
      </w:r>
    </w:p>
    <w:p w14:paraId="020ED8E4" w14:textId="77777777" w:rsidR="00F94499" w:rsidRPr="003F452E" w:rsidRDefault="00F94499" w:rsidP="00F94499">
      <w:pPr>
        <w:pStyle w:val="SingleTxtG"/>
        <w:rPr>
          <w:lang w:val="en-US"/>
        </w:rPr>
      </w:pPr>
      <w:r w:rsidRPr="003F452E">
        <w:t>18.</w:t>
      </w:r>
      <w:r w:rsidRPr="003F452E">
        <w:tab/>
        <w:t>Please provide information on the measures taken to ensure effective access to justice, in particular for persons in situations of vulnerability. In this regard, please explain the impact of the closure of more than 80 of the 110 access-to-justice centres across the country and the measures taken to ensure equal access to legal services nationwide. In addition, please indicate the actions taken to ensure access to justice for persons with disabilities, including the adaptation of judicial procedures and provision of reasonable accommodation, and for Indigenous Peoples, particularly through the incorporation of an intercultural perspective, the availability of interpreters in Indigenous languages and adequate procedures for the protection of their collective rights.</w:t>
      </w:r>
    </w:p>
    <w:p w14:paraId="0EA35329" w14:textId="77777777" w:rsidR="00F94499" w:rsidRPr="003F452E" w:rsidRDefault="00F94499" w:rsidP="00F94499">
      <w:pPr>
        <w:pStyle w:val="H23G"/>
        <w:rPr>
          <w:lang w:val="en-US"/>
        </w:rPr>
      </w:pPr>
      <w:r w:rsidRPr="003F452E">
        <w:tab/>
      </w:r>
      <w:r w:rsidRPr="003F452E">
        <w:tab/>
        <w:t>Rights to freedom of expression and privacy (arts. 2, 17, 19 and 20)</w:t>
      </w:r>
    </w:p>
    <w:p w14:paraId="2ABA0572" w14:textId="77777777" w:rsidR="00F94499" w:rsidRPr="003F452E" w:rsidRDefault="00F94499" w:rsidP="00F94499">
      <w:pPr>
        <w:pStyle w:val="SingleTxtG"/>
        <w:rPr>
          <w:lang w:val="en-US"/>
        </w:rPr>
      </w:pPr>
      <w:r w:rsidRPr="003F452E">
        <w:t>19.</w:t>
      </w:r>
      <w:r w:rsidRPr="003F452E">
        <w:tab/>
        <w:t>Please provide information on the measures adopted to prevent acts of physical aggression, harassment, stigmatization and verbal violence against journalists and academics, particularly by public officials through social networks and the media, and to punish the perpetrators. In this regard, please indicate the measures taken to ensure that public comments by senior officials do not foster a climate of hostility that undermines freedom of the press, media pluralism</w:t>
      </w:r>
      <w:r w:rsidRPr="003F452E">
        <w:rPr>
          <w:lang w:val="en-US"/>
        </w:rPr>
        <w:t xml:space="preserve"> </w:t>
      </w:r>
      <w:r w:rsidRPr="003F452E">
        <w:t>or academic freedom, and to ensure that journalists and academics can carry out their work without fear of reprisals, intimidation or defamation. Please also provide information on the regulatory framework and safeguards in place to ensure that Resolutions No. 428/2024 and No. 710/2024 of the Ministry of Security, which authorize mass surveillance through social networks, facial recognition and predictive algorithms, comply with the principles of legality, necessity and proportionality and do not disproportionately affect journalists, human rights defenders and social leaders.</w:t>
      </w:r>
    </w:p>
    <w:p w14:paraId="3D6F9DB6" w14:textId="2431805B" w:rsidR="00F94499" w:rsidRPr="003F452E" w:rsidRDefault="00F94499" w:rsidP="00F94499">
      <w:pPr>
        <w:pStyle w:val="SingleTxtG"/>
        <w:rPr>
          <w:lang w:val="en-US"/>
        </w:rPr>
      </w:pPr>
      <w:r w:rsidRPr="003F452E">
        <w:t>20.</w:t>
      </w:r>
      <w:r w:rsidRPr="003F452E">
        <w:tab/>
        <w:t>With reference to the Committee</w:t>
      </w:r>
      <w:r>
        <w:t>’</w:t>
      </w:r>
      <w:r w:rsidRPr="003F452E">
        <w:t>s previous concluding observations (para. 36), please describe the measures taken to ensure freedom of expression and access to a variety of diverse sources of information. In this regard, please provide information on Emergency Decree No. 70/2023 and its impact on the limits to the concentration of audiovisual media ownership under Act No. 26.522, as well as the safeguards in place to protect editorial independence. In addition, please provide information on the impact of Decree No. 117/2024 and the measures taken to ensure participation in and democratic oversight of publicly owned media. Please also provide information on the status and content of Executive Decree No.</w:t>
      </w:r>
      <w:r w:rsidR="001776C6">
        <w:t> </w:t>
      </w:r>
      <w:r w:rsidRPr="003F452E">
        <w:t>780/2024, which amended the decree regulating Act No. 27.275, particularly regarding the criteria according to which: (a) access to information may be denied; and (b) it is determined whether information is of a public nature or should be considered to be in the private sphere of the authorities and therefore subject to special protection.</w:t>
      </w:r>
    </w:p>
    <w:p w14:paraId="7E022AE7" w14:textId="77777777" w:rsidR="00F94499" w:rsidRPr="003F452E" w:rsidRDefault="00F94499" w:rsidP="00F94499">
      <w:pPr>
        <w:pStyle w:val="H23G"/>
        <w:rPr>
          <w:lang w:val="en-US"/>
        </w:rPr>
      </w:pPr>
      <w:r w:rsidRPr="003F452E">
        <w:tab/>
      </w:r>
      <w:r w:rsidRPr="003F452E">
        <w:tab/>
        <w:t xml:space="preserve">Right of peaceful assembly (arts. 2, 6, 7, 9, 19–21, 26 and 27) </w:t>
      </w:r>
    </w:p>
    <w:p w14:paraId="3434CD50" w14:textId="77777777" w:rsidR="00F94499" w:rsidRPr="003F452E" w:rsidRDefault="00F94499" w:rsidP="00F94499">
      <w:pPr>
        <w:pStyle w:val="SingleTxtG"/>
        <w:rPr>
          <w:lang w:val="en-US"/>
        </w:rPr>
      </w:pPr>
      <w:r w:rsidRPr="003F452E">
        <w:t>21.</w:t>
      </w:r>
      <w:r w:rsidRPr="003F452E">
        <w:tab/>
        <w:t xml:space="preserve">Please provide detailed information on the measures taken to guarantee the effective exercise of the right to peaceful assembly and to ensure that public demonstrations are not criminalized or disproportionately repressed, particularly in the context of the implementation of the protocol for the maintenance of public order in the event of roadblocks </w:t>
      </w:r>
      <w:r w:rsidRPr="003F452E">
        <w:lastRenderedPageBreak/>
        <w:t>issued in December 2023. In this regard, please respond to concerns about the use of an official narrative that stigmatizes protesters, including Indigenous leaders, by systematically portraying them as “criminals”, “terrorists” or “violent groups” undermining social order. Please describe the safeguards in place to prevent the excessive use of force against and the arbitrary arrest and undue surveillance of demonstrators, journalists, human rights defenders and Indigenous leaders during public protests and to ensure that the use of force always complies with the fundamental principles of legality, necessity, proportionality, precaution and non-discrimination, and provide information on the accountability mechanisms established to investigate cases of police violence and disproportionate restrictions on the right to peaceful assembly, including incidents that resulted in serious injuries, and to sanction those responsible.</w:t>
      </w:r>
    </w:p>
    <w:p w14:paraId="68B55764" w14:textId="77777777" w:rsidR="00F94499" w:rsidRPr="003F452E" w:rsidRDefault="00F94499" w:rsidP="00F94499">
      <w:pPr>
        <w:pStyle w:val="SingleTxtG"/>
        <w:rPr>
          <w:lang w:val="en-US"/>
        </w:rPr>
      </w:pPr>
      <w:r w:rsidRPr="003F452E">
        <w:t>22.</w:t>
      </w:r>
      <w:r w:rsidRPr="003F452E">
        <w:tab/>
        <w:t>Please provide detailed information on the measures taken by the State Party to ensure that members of Indigenous Peoples in the province of Jujuy were able to exercise their right to freedom of peaceful assembly during and after the 2023 demonstrations in that province. Please respond to reports of the unlawful, arbitrary and excessive use of force by provincial security forces, including arbitrary arrests, the use of unregulated weapons and cruel, inhuman or degrading treatment during and after arrests. Please also describe the measures taken to ensure prompt, thorough and impartial investigations into these events, to hold those responsible accountable and to provide full reparations to the victims.</w:t>
      </w:r>
    </w:p>
    <w:p w14:paraId="0FE695A9" w14:textId="77777777" w:rsidR="00F94499" w:rsidRPr="003F452E" w:rsidRDefault="00F94499" w:rsidP="00F94499">
      <w:pPr>
        <w:pStyle w:val="H23G"/>
        <w:rPr>
          <w:lang w:val="en-US"/>
        </w:rPr>
      </w:pPr>
      <w:r w:rsidRPr="003F452E">
        <w:tab/>
      </w:r>
      <w:r w:rsidRPr="003F452E">
        <w:tab/>
        <w:t>Participation in public affairs (arts. 25 and 26)</w:t>
      </w:r>
    </w:p>
    <w:p w14:paraId="1C083150" w14:textId="3D264171" w:rsidR="00F94499" w:rsidRPr="003F452E" w:rsidRDefault="00F94499" w:rsidP="00F94499">
      <w:pPr>
        <w:pStyle w:val="SingleTxtG"/>
        <w:rPr>
          <w:lang w:val="en-US"/>
        </w:rPr>
      </w:pPr>
      <w:r w:rsidRPr="003F452E">
        <w:t>23.</w:t>
      </w:r>
      <w:r w:rsidRPr="003F452E">
        <w:tab/>
        <w:t>Please provide updated information on the measures taken to ensure the full, effective and equal participation of all citizens, including women and members of Indigenous Peoples, in public life and leadership positions, including temporary measures and those aimed at removing obstacles to their participation, and the results achieved. In this regard, please: (a)</w:t>
      </w:r>
      <w:r w:rsidR="00CA7C69">
        <w:t> </w:t>
      </w:r>
      <w:r w:rsidRPr="003F452E">
        <w:t>describe the measures taken to ensure the effective implementation of the legislative framework on parity at both the national and the provincial levels; (b) provide information on the measures adopted to prevent gender-based political violence, which is a form of systematic exclusion that hinders the equal exercise of political rights, and to punish those responsible; and (c) indicate the safeguards in place to ensure compliance with the principle of equality and non-discrimination in access to the highest positions in public and private life, including in the judicial system, in particular the Supreme Court of Justice.</w:t>
      </w:r>
    </w:p>
    <w:p w14:paraId="01589765" w14:textId="77777777" w:rsidR="00F94499" w:rsidRPr="003F452E" w:rsidRDefault="00F94499" w:rsidP="00F94499">
      <w:pPr>
        <w:pStyle w:val="H23G"/>
        <w:rPr>
          <w:lang w:val="en-US"/>
        </w:rPr>
      </w:pPr>
      <w:r w:rsidRPr="003F452E">
        <w:tab/>
      </w:r>
      <w:r w:rsidRPr="003F452E">
        <w:tab/>
        <w:t>Rights of Indigenous Peoples (arts. 2, 6, 7 and 27)</w:t>
      </w:r>
    </w:p>
    <w:p w14:paraId="3EB49C30" w14:textId="3FF58E03" w:rsidR="00F94499" w:rsidRPr="003F452E" w:rsidRDefault="00F94499" w:rsidP="00F94499">
      <w:pPr>
        <w:pStyle w:val="SingleTxtG"/>
        <w:rPr>
          <w:lang w:val="en-US"/>
        </w:rPr>
      </w:pPr>
      <w:r w:rsidRPr="003F452E">
        <w:t>24.</w:t>
      </w:r>
      <w:r w:rsidRPr="003F452E">
        <w:tab/>
        <w:t>In the light of the Committee</w:t>
      </w:r>
      <w:r>
        <w:t>’</w:t>
      </w:r>
      <w:r w:rsidRPr="003F452E">
        <w:t>s previous concluding observations (para. 38), please provide information on the measures taken to regularize Indigenous land tenure, demarcate and legally recognize the territories over which Indigenous Peoples have rights and protect Indigenous Peoples from forced evictions and violence. In addition, please provide information on the measures taken to ensure recognition of Indigenous Peoples on the basis of self-identification and to make sure that their free, prior and informed consent is obtained before the adoption of legislative or administrative measures that may directly affect their rights or lands or the approval of any development project, including lithium mining, oil extraction, logging, soybean production, pipeline construction and the designation of protected areas, in Indigenous territories. In this regard, please describe the measures taken to monitor the activities of extractive and agro-industrial companies, in particular those engaged in hydraulic fracturing, lithium extraction and genetically modified soybean production, which dump toxic waste and agrochemicals on Indigenous lands, contaminate land, water and means of subsistence and create health problems, and indicate how responsible entities are held accountable and how victims are ensured access to effective remedies.</w:t>
      </w:r>
    </w:p>
    <w:p w14:paraId="2B996CC1" w14:textId="3C22F6ED" w:rsidR="00A23459" w:rsidRDefault="00F94499" w:rsidP="00F94499">
      <w:pPr>
        <w:pStyle w:val="SingleTxtG"/>
        <w:keepLines/>
      </w:pPr>
      <w:r w:rsidRPr="003F452E">
        <w:lastRenderedPageBreak/>
        <w:t>25.</w:t>
      </w:r>
      <w:r w:rsidRPr="003F452E">
        <w:tab/>
        <w:t>Please provide information on the suspension of the work of the National Registry of Indigenous Communities, the repeal of the Indigenous Territorial Emergency Act and the restructuring of the National Institute of Indigenous Affairs. In addition, please provide information on the compatibility of Act No. 27.742 and the Large Investment Regime with the international standards set out in the United Nations Declaration on the Rights of Indigenous Peoples and the Indigenous and Tribal Peoples Convention, 1989 (No. 169), of the International Labour Organization, in particular those related to the rights of Indigenous Peoples to land ownership and to free, prior and informed consent.</w:t>
      </w:r>
    </w:p>
    <w:p w14:paraId="650FA56F" w14:textId="5001A540" w:rsidR="00F94499" w:rsidRPr="004628A7" w:rsidRDefault="00F94499" w:rsidP="00F94499">
      <w:pPr>
        <w:spacing w:before="240"/>
        <w:jc w:val="center"/>
        <w:rPr>
          <w:u w:val="single"/>
        </w:rPr>
      </w:pPr>
      <w:r w:rsidRPr="004628A7">
        <w:rPr>
          <w:u w:val="single"/>
        </w:rPr>
        <w:tab/>
      </w:r>
      <w:r w:rsidRPr="004628A7">
        <w:rPr>
          <w:u w:val="single"/>
        </w:rPr>
        <w:tab/>
      </w:r>
      <w:r w:rsidRPr="004628A7">
        <w:rPr>
          <w:u w:val="single"/>
        </w:rPr>
        <w:tab/>
      </w:r>
    </w:p>
    <w:sectPr w:rsidR="00F94499" w:rsidRPr="004628A7"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2F995" w14:textId="77777777" w:rsidR="00187990" w:rsidRPr="00B903E5" w:rsidRDefault="00187990" w:rsidP="00B903E5">
      <w:pPr>
        <w:pStyle w:val="Footer"/>
      </w:pPr>
    </w:p>
  </w:endnote>
  <w:endnote w:type="continuationSeparator" w:id="0">
    <w:p w14:paraId="0FF58F31" w14:textId="77777777" w:rsidR="00187990" w:rsidRPr="00B903E5" w:rsidRDefault="0018799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273A7" w14:textId="77777777" w:rsidR="00F94499" w:rsidRDefault="00F94499" w:rsidP="00F94499">
    <w:pPr>
      <w:pStyle w:val="Footer"/>
      <w:tabs>
        <w:tab w:val="right" w:pos="9638"/>
      </w:tabs>
    </w:pPr>
    <w:r w:rsidRPr="00F94499">
      <w:rPr>
        <w:b/>
        <w:bCs/>
        <w:sz w:val="18"/>
      </w:rPr>
      <w:fldChar w:fldCharType="begin"/>
    </w:r>
    <w:r w:rsidRPr="00F94499">
      <w:rPr>
        <w:b/>
        <w:bCs/>
        <w:sz w:val="18"/>
      </w:rPr>
      <w:instrText xml:space="preserve"> PAGE  \* MERGEFORMAT </w:instrText>
    </w:r>
    <w:r w:rsidRPr="00F94499">
      <w:rPr>
        <w:b/>
        <w:bCs/>
        <w:sz w:val="18"/>
      </w:rPr>
      <w:fldChar w:fldCharType="separate"/>
    </w:r>
    <w:r w:rsidRPr="00F94499">
      <w:rPr>
        <w:b/>
        <w:bCs/>
        <w:noProof/>
        <w:sz w:val="18"/>
      </w:rPr>
      <w:t>2</w:t>
    </w:r>
    <w:r w:rsidRPr="00F94499">
      <w:rPr>
        <w:b/>
        <w:bCs/>
        <w:sz w:val="18"/>
      </w:rPr>
      <w:fldChar w:fldCharType="end"/>
    </w:r>
    <w:r>
      <w:tab/>
      <w:t>GE.25-12820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8AC42" w14:textId="77777777" w:rsidR="00F94499" w:rsidRDefault="00F94499" w:rsidP="00F94499">
    <w:pPr>
      <w:pStyle w:val="Footer"/>
      <w:tabs>
        <w:tab w:val="right" w:pos="9638"/>
      </w:tabs>
    </w:pPr>
    <w:r>
      <w:t>GE.25-12820</w:t>
    </w:r>
    <w:r>
      <w:tab/>
    </w:r>
    <w:r w:rsidRPr="00F94499">
      <w:rPr>
        <w:b/>
        <w:bCs/>
        <w:sz w:val="18"/>
      </w:rPr>
      <w:fldChar w:fldCharType="begin"/>
    </w:r>
    <w:r w:rsidRPr="00F94499">
      <w:rPr>
        <w:b/>
        <w:bCs/>
        <w:sz w:val="18"/>
      </w:rPr>
      <w:instrText xml:space="preserve"> PAGE  \* MERGEFORMAT </w:instrText>
    </w:r>
    <w:r w:rsidRPr="00F94499">
      <w:rPr>
        <w:b/>
        <w:bCs/>
        <w:sz w:val="18"/>
      </w:rPr>
      <w:fldChar w:fldCharType="separate"/>
    </w:r>
    <w:r w:rsidRPr="00F94499">
      <w:rPr>
        <w:b/>
        <w:bCs/>
        <w:noProof/>
        <w:sz w:val="18"/>
      </w:rPr>
      <w:t>3</w:t>
    </w:r>
    <w:r w:rsidRPr="00F9449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F4364" w14:textId="77777777" w:rsidR="00F94499" w:rsidRDefault="00F94499">
    <w:pPr>
      <w:pStyle w:val="Footer"/>
      <w:rPr>
        <w:sz w:val="20"/>
      </w:rPr>
    </w:pPr>
    <w:r w:rsidRPr="0027112F">
      <w:rPr>
        <w:noProof/>
        <w:lang w:val="en-US"/>
      </w:rPr>
      <w:drawing>
        <wp:anchor distT="0" distB="0" distL="114300" distR="114300" simplePos="0" relativeHeight="251659264" behindDoc="0" locked="1" layoutInCell="1" allowOverlap="1" wp14:anchorId="3A98D426" wp14:editId="140F96F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689150B" w14:textId="43F5EE57" w:rsidR="00F94499" w:rsidRPr="00F94499" w:rsidRDefault="00F94499" w:rsidP="00F94499">
    <w:pPr>
      <w:pStyle w:val="Footer"/>
      <w:rPr>
        <w:sz w:val="20"/>
      </w:rPr>
    </w:pPr>
    <w:r>
      <w:rPr>
        <w:sz w:val="20"/>
      </w:rPr>
      <w:t>GE.25-12820  (E)</w:t>
    </w:r>
    <w:r>
      <w:rPr>
        <w:noProof/>
        <w:sz w:val="20"/>
      </w:rPr>
      <w:drawing>
        <wp:anchor distT="0" distB="0" distL="114300" distR="114300" simplePos="0" relativeHeight="251660288" behindDoc="0" locked="0" layoutInCell="1" allowOverlap="1" wp14:anchorId="352031F1" wp14:editId="2F28AFB6">
          <wp:simplePos x="0" y="0"/>
          <wp:positionH relativeFrom="margin">
            <wp:posOffset>5583555</wp:posOffset>
          </wp:positionH>
          <wp:positionV relativeFrom="margin">
            <wp:posOffset>8981440</wp:posOffset>
          </wp:positionV>
          <wp:extent cx="571500" cy="571500"/>
          <wp:effectExtent l="0" t="0" r="0" b="0"/>
          <wp:wrapNone/>
          <wp:docPr id="1210259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D5951">
      <w:rPr>
        <w:sz w:val="20"/>
      </w:rPr>
      <w:t xml:space="preserve">    0</w:t>
    </w:r>
    <w:r w:rsidR="00E505E8">
      <w:rPr>
        <w:sz w:val="20"/>
      </w:rPr>
      <w:t>8</w:t>
    </w:r>
    <w:r w:rsidR="004D5951">
      <w:rPr>
        <w:sz w:val="20"/>
      </w:rPr>
      <w:t>0925    090925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F7C3A" w14:textId="77777777" w:rsidR="00187990" w:rsidRPr="00B903E5" w:rsidRDefault="00187990" w:rsidP="00B903E5">
      <w:pPr>
        <w:tabs>
          <w:tab w:val="right" w:pos="2155"/>
        </w:tabs>
        <w:spacing w:after="80" w:line="240" w:lineRule="auto"/>
        <w:ind w:left="680"/>
      </w:pPr>
      <w:r>
        <w:rPr>
          <w:u w:val="single"/>
        </w:rPr>
        <w:tab/>
      </w:r>
    </w:p>
  </w:footnote>
  <w:footnote w:type="continuationSeparator" w:id="0">
    <w:p w14:paraId="61478B12" w14:textId="77777777" w:rsidR="00187990" w:rsidRPr="00B903E5" w:rsidRDefault="00187990" w:rsidP="00B903E5">
      <w:pPr>
        <w:tabs>
          <w:tab w:val="right" w:pos="2155"/>
        </w:tabs>
        <w:spacing w:after="80" w:line="240" w:lineRule="auto"/>
        <w:ind w:left="680"/>
      </w:pPr>
      <w:r>
        <w:rPr>
          <w:u w:val="single"/>
        </w:rPr>
        <w:tab/>
      </w:r>
    </w:p>
  </w:footnote>
  <w:footnote w:id="1">
    <w:p w14:paraId="2ACF5CE1" w14:textId="344D259A" w:rsidR="00F94499" w:rsidRPr="0030126A" w:rsidRDefault="00F94499" w:rsidP="00F94499">
      <w:pPr>
        <w:pStyle w:val="FootnoteText"/>
        <w:rPr>
          <w:bCs/>
          <w:lang w:val="en-US"/>
        </w:rPr>
      </w:pPr>
      <w:r w:rsidRPr="0030126A">
        <w:tab/>
        <w:t>*</w:t>
      </w:r>
      <w:r w:rsidRPr="0030126A">
        <w:tab/>
        <w:t>Adopted by the Committee at its 144th session (23 June–17 July 2025).</w:t>
      </w:r>
    </w:p>
  </w:footnote>
  <w:footnote w:id="2">
    <w:p w14:paraId="702AF9C1" w14:textId="13FF1E3B" w:rsidR="00F94499" w:rsidRPr="0030126A" w:rsidRDefault="00F94499" w:rsidP="00F94499">
      <w:pPr>
        <w:pStyle w:val="FootnoteText"/>
        <w:rPr>
          <w:lang w:val="en-US"/>
        </w:rPr>
      </w:pPr>
      <w:r w:rsidRPr="0030126A">
        <w:rPr>
          <w:bCs/>
        </w:rPr>
        <w:tab/>
      </w:r>
      <w:r w:rsidRPr="004D5951">
        <w:rPr>
          <w:rStyle w:val="FootnoteReference"/>
        </w:rPr>
        <w:footnoteRef/>
      </w:r>
      <w:r w:rsidRPr="0030126A">
        <w:tab/>
      </w:r>
      <w:hyperlink r:id="rId1" w:history="1">
        <w:r w:rsidRPr="0030126A">
          <w:rPr>
            <w:rStyle w:val="Hyperlink"/>
            <w:u w:val="none"/>
          </w:rPr>
          <w:t>CCPR/C/ARG/CO/5</w:t>
        </w:r>
      </w:hyperlink>
      <w:r w:rsidRPr="0030126A">
        <w:t>.</w:t>
      </w:r>
    </w:p>
  </w:footnote>
  <w:footnote w:id="3">
    <w:p w14:paraId="3BBC4F09" w14:textId="76C5E9FD" w:rsidR="00F94499" w:rsidRPr="0030126A" w:rsidRDefault="00F94499" w:rsidP="00F94499">
      <w:pPr>
        <w:pStyle w:val="FootnoteText"/>
        <w:rPr>
          <w:lang w:val="en-US"/>
        </w:rPr>
      </w:pPr>
      <w:r w:rsidRPr="0030126A">
        <w:tab/>
      </w:r>
      <w:r w:rsidRPr="004D5951">
        <w:rPr>
          <w:rStyle w:val="FootnoteReference"/>
        </w:rPr>
        <w:footnoteRef/>
      </w:r>
      <w:r w:rsidRPr="0030126A">
        <w:tab/>
      </w:r>
      <w:hyperlink r:id="rId2" w:history="1">
        <w:r w:rsidRPr="0030126A">
          <w:rPr>
            <w:rStyle w:val="Hyperlink"/>
            <w:u w:val="none"/>
          </w:rPr>
          <w:t>CCPR/C/101/D/1458/2006</w:t>
        </w:r>
      </w:hyperlink>
      <w:r w:rsidRPr="0030126A">
        <w:t>.</w:t>
      </w:r>
    </w:p>
  </w:footnote>
  <w:footnote w:id="4">
    <w:p w14:paraId="4230D1BA" w14:textId="533A0AB6" w:rsidR="00F94499" w:rsidRPr="0030126A" w:rsidRDefault="00F94499" w:rsidP="00F94499">
      <w:pPr>
        <w:pStyle w:val="FootnoteText"/>
        <w:rPr>
          <w:lang w:val="fr-CH"/>
        </w:rPr>
      </w:pPr>
      <w:r w:rsidRPr="0030126A">
        <w:tab/>
      </w:r>
      <w:r w:rsidRPr="004D5951">
        <w:rPr>
          <w:rStyle w:val="FootnoteReference"/>
        </w:rPr>
        <w:footnoteRef/>
      </w:r>
      <w:r w:rsidRPr="0030126A">
        <w:rPr>
          <w:lang w:val="fr-CH"/>
        </w:rPr>
        <w:tab/>
      </w:r>
      <w:hyperlink r:id="rId3" w:history="1">
        <w:r w:rsidRPr="0030126A">
          <w:rPr>
            <w:rStyle w:val="Hyperlink"/>
            <w:u w:val="none"/>
            <w:lang w:val="fr-CH"/>
          </w:rPr>
          <w:t>CCPR/C/102/D/1610/2007</w:t>
        </w:r>
      </w:hyperlink>
      <w:r w:rsidRPr="0030126A">
        <w:rPr>
          <w:lang w:val="fr-CH"/>
        </w:rPr>
        <w:t>.</w:t>
      </w:r>
    </w:p>
  </w:footnote>
  <w:footnote w:id="5">
    <w:p w14:paraId="65EAB505" w14:textId="3A814386" w:rsidR="00F94499" w:rsidRPr="0030126A" w:rsidRDefault="00F94499" w:rsidP="00F94499">
      <w:pPr>
        <w:pStyle w:val="FootnoteText"/>
        <w:rPr>
          <w:lang w:val="fr-CH"/>
        </w:rPr>
      </w:pPr>
      <w:r w:rsidRPr="0030126A">
        <w:rPr>
          <w:lang w:val="fr-CH"/>
        </w:rPr>
        <w:tab/>
      </w:r>
      <w:r w:rsidRPr="004D5951">
        <w:rPr>
          <w:rStyle w:val="FootnoteReference"/>
        </w:rPr>
        <w:footnoteRef/>
      </w:r>
      <w:r w:rsidRPr="0030126A">
        <w:rPr>
          <w:lang w:val="fr-CH"/>
        </w:rPr>
        <w:tab/>
      </w:r>
      <w:hyperlink r:id="rId4" w:history="1">
        <w:r w:rsidRPr="0030126A">
          <w:rPr>
            <w:rStyle w:val="Hyperlink"/>
            <w:u w:val="none"/>
            <w:lang w:val="fr-CH"/>
          </w:rPr>
          <w:t>CCPR/C/141/D/4035/2021</w:t>
        </w:r>
      </w:hyperlink>
      <w:r w:rsidRPr="0030126A">
        <w:rPr>
          <w:lang w:val="fr-CH"/>
        </w:rPr>
        <w:t>.</w:t>
      </w:r>
    </w:p>
  </w:footnote>
  <w:footnote w:id="6">
    <w:p w14:paraId="782F6298" w14:textId="63F68369" w:rsidR="00F94499" w:rsidRPr="0030126A" w:rsidRDefault="00F94499" w:rsidP="00F94499">
      <w:pPr>
        <w:pStyle w:val="FootnoteText"/>
        <w:rPr>
          <w:lang w:val="en-US"/>
        </w:rPr>
      </w:pPr>
      <w:r w:rsidRPr="0030126A">
        <w:rPr>
          <w:lang w:val="fr-CH"/>
        </w:rPr>
        <w:tab/>
      </w:r>
      <w:r w:rsidRPr="004D5951">
        <w:rPr>
          <w:rStyle w:val="FootnoteReference"/>
        </w:rPr>
        <w:footnoteRef/>
      </w:r>
      <w:r w:rsidRPr="0030126A">
        <w:tab/>
        <w:t xml:space="preserve">Unless otherwise indicated, paragraph numbers in parentheses refer to </w:t>
      </w:r>
      <w:hyperlink r:id="rId5" w:history="1">
        <w:r w:rsidRPr="0030126A">
          <w:rPr>
            <w:rStyle w:val="Hyperlink"/>
            <w:u w:val="none"/>
          </w:rPr>
          <w:t>CCPR/C/ARG/CO/5</w:t>
        </w:r>
      </w:hyperlink>
      <w:r w:rsidRPr="0030126A">
        <w:t>.</w:t>
      </w:r>
      <w:hyperlink r:id="rId6" w:history="1"/>
    </w:p>
  </w:footnote>
  <w:footnote w:id="7">
    <w:p w14:paraId="4CE662FE" w14:textId="323A1F2F" w:rsidR="00F94499" w:rsidRPr="0030126A" w:rsidRDefault="00F94499" w:rsidP="00F94499">
      <w:pPr>
        <w:pStyle w:val="FootnoteText"/>
      </w:pPr>
      <w:r w:rsidRPr="0030126A">
        <w:tab/>
      </w:r>
      <w:r w:rsidRPr="004D5951">
        <w:rPr>
          <w:rStyle w:val="FootnoteReference"/>
        </w:rPr>
        <w:footnoteRef/>
      </w:r>
      <w:r w:rsidRPr="0030126A">
        <w:tab/>
        <w:t xml:space="preserve">See </w:t>
      </w:r>
      <w:hyperlink r:id="rId7" w:history="1">
        <w:r w:rsidRPr="0030126A">
          <w:rPr>
            <w:rStyle w:val="Hyperlink"/>
            <w:u w:val="none"/>
          </w:rPr>
          <w:t>CCPR/C/126/2/Add.1</w:t>
        </w:r>
      </w:hyperlink>
      <w:r w:rsidRPr="0030126A">
        <w:t>.</w:t>
      </w:r>
      <w:hyperlink r:id="rId8"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0106A" w14:textId="77777777" w:rsidR="00F94499" w:rsidRDefault="00F94499" w:rsidP="00F94499">
    <w:pPr>
      <w:pStyle w:val="Header"/>
    </w:pPr>
    <w:r>
      <w:t>CCPR/C/ARG/QPR/6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DEA37" w14:textId="77777777" w:rsidR="00F94499" w:rsidRDefault="00F94499" w:rsidP="00F94499">
    <w:pPr>
      <w:pStyle w:val="Header"/>
      <w:jc w:val="right"/>
    </w:pPr>
    <w:r>
      <w:t>CCPR/C/ARG/QPR/6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990"/>
    <w:rsid w:val="00046E92"/>
    <w:rsid w:val="0006523D"/>
    <w:rsid w:val="000820E8"/>
    <w:rsid w:val="000C196F"/>
    <w:rsid w:val="00131D7A"/>
    <w:rsid w:val="00165C15"/>
    <w:rsid w:val="001776C6"/>
    <w:rsid w:val="00187990"/>
    <w:rsid w:val="0022249E"/>
    <w:rsid w:val="00247E2C"/>
    <w:rsid w:val="002D6C53"/>
    <w:rsid w:val="002F5595"/>
    <w:rsid w:val="0030126A"/>
    <w:rsid w:val="00334F6A"/>
    <w:rsid w:val="00342AC8"/>
    <w:rsid w:val="003A444F"/>
    <w:rsid w:val="003B4550"/>
    <w:rsid w:val="00404769"/>
    <w:rsid w:val="00461253"/>
    <w:rsid w:val="004628A7"/>
    <w:rsid w:val="00472FED"/>
    <w:rsid w:val="004D5951"/>
    <w:rsid w:val="005042C2"/>
    <w:rsid w:val="005D65FD"/>
    <w:rsid w:val="005F2E0B"/>
    <w:rsid w:val="00663C98"/>
    <w:rsid w:val="00671529"/>
    <w:rsid w:val="00693160"/>
    <w:rsid w:val="006C75C9"/>
    <w:rsid w:val="007268F9"/>
    <w:rsid w:val="007327A0"/>
    <w:rsid w:val="007C3AE6"/>
    <w:rsid w:val="007C52B0"/>
    <w:rsid w:val="00811B25"/>
    <w:rsid w:val="00817E57"/>
    <w:rsid w:val="00892361"/>
    <w:rsid w:val="008D3450"/>
    <w:rsid w:val="00902106"/>
    <w:rsid w:val="009411B4"/>
    <w:rsid w:val="009D0139"/>
    <w:rsid w:val="009F5CDC"/>
    <w:rsid w:val="00A23459"/>
    <w:rsid w:val="00A775CF"/>
    <w:rsid w:val="00B06045"/>
    <w:rsid w:val="00B53AA5"/>
    <w:rsid w:val="00B903E5"/>
    <w:rsid w:val="00BE429F"/>
    <w:rsid w:val="00C35A27"/>
    <w:rsid w:val="00CA1AEA"/>
    <w:rsid w:val="00CA7C69"/>
    <w:rsid w:val="00CB28B0"/>
    <w:rsid w:val="00CE630D"/>
    <w:rsid w:val="00D327D6"/>
    <w:rsid w:val="00DB065A"/>
    <w:rsid w:val="00DB515E"/>
    <w:rsid w:val="00E02C2B"/>
    <w:rsid w:val="00E05879"/>
    <w:rsid w:val="00E505E8"/>
    <w:rsid w:val="00ED6C48"/>
    <w:rsid w:val="00EF06FF"/>
    <w:rsid w:val="00F31B7A"/>
    <w:rsid w:val="00F41F0F"/>
    <w:rsid w:val="00F65F5D"/>
    <w:rsid w:val="00F86A3A"/>
    <w:rsid w:val="00F91A21"/>
    <w:rsid w:val="00F944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8CB998"/>
  <w15:docId w15:val="{EE4CC76B-05E9-41F5-81BC-97E2640EF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30126A"/>
    <w:rPr>
      <w:color w:val="0000FF"/>
      <w:u w:val="single"/>
    </w:rPr>
  </w:style>
  <w:style w:type="character" w:styleId="FollowedHyperlink">
    <w:name w:val="FollowedHyperlink"/>
    <w:basedOn w:val="DefaultParagraphFont"/>
    <w:uiPriority w:val="99"/>
    <w:semiHidden/>
    <w:unhideWhenUsed/>
    <w:rsid w:val="0030126A"/>
    <w:rPr>
      <w:color w:val="0000FF"/>
      <w:u w:val="single"/>
    </w:rPr>
  </w:style>
  <w:style w:type="character" w:styleId="UnresolvedMention">
    <w:name w:val="Unresolved Mention"/>
    <w:basedOn w:val="DefaultParagraphFont"/>
    <w:uiPriority w:val="99"/>
    <w:semiHidden/>
    <w:unhideWhenUsed/>
    <w:rsid w:val="003012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CPR/C/126/2/Add.1" TargetMode="External"/><Relationship Id="rId3" Type="http://schemas.openxmlformats.org/officeDocument/2006/relationships/hyperlink" Target="https://docs.un.org/en/CCPR/C/102/D/1610/2007" TargetMode="External"/><Relationship Id="rId7" Type="http://schemas.openxmlformats.org/officeDocument/2006/relationships/hyperlink" Target="https://docs.un.org/en/CCPR/C/126/2/Add.1" TargetMode="External"/><Relationship Id="rId2" Type="http://schemas.openxmlformats.org/officeDocument/2006/relationships/hyperlink" Target="https://docs.un.org/en/CCPR/C/101/D/1458/2006" TargetMode="External"/><Relationship Id="rId1" Type="http://schemas.openxmlformats.org/officeDocument/2006/relationships/hyperlink" Target="https://docs.un.org/en/CCPR/C/ARG/CO/5" TargetMode="External"/><Relationship Id="rId6" Type="http://schemas.openxmlformats.org/officeDocument/2006/relationships/hyperlink" Target="https://docs.un.org/CCPR/C/ARG/CO/5" TargetMode="External"/><Relationship Id="rId5" Type="http://schemas.openxmlformats.org/officeDocument/2006/relationships/hyperlink" Target="https://docs.un.org/en/CCPR/C/ARG/CO/5" TargetMode="External"/><Relationship Id="rId4" Type="http://schemas.openxmlformats.org/officeDocument/2006/relationships/hyperlink" Target="https://docs.un.org/en/CCPR/C/141/D/4035/202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3762</Words>
  <Characters>21621</Characters>
  <Application>Microsoft Office Word</Application>
  <DocSecurity>0</DocSecurity>
  <Lines>310</Lines>
  <Paragraphs>54</Paragraphs>
  <ScaleCrop>false</ScaleCrop>
  <HeadingPairs>
    <vt:vector size="2" baseType="variant">
      <vt:variant>
        <vt:lpstr>Title</vt:lpstr>
      </vt:variant>
      <vt:variant>
        <vt:i4>1</vt:i4>
      </vt:variant>
    </vt:vector>
  </HeadingPairs>
  <TitlesOfParts>
    <vt:vector size="1" baseType="lpstr">
      <vt:lpstr>CCPR/C/ARG/QPR/6</vt:lpstr>
    </vt:vector>
  </TitlesOfParts>
  <Company>DCM</Company>
  <LinksUpToDate>false</LinksUpToDate>
  <CharactersWithSpaces>25371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CCPR/C/ARG/QPR/6</dc:title>
  <dc:subject>2512820</dc:subject>
  <dc:creator>dm</dc:creator>
  <cp:keywords/>
  <dc:description/>
  <cp:lastModifiedBy>Ma. Cristina Brigoli</cp:lastModifiedBy>
  <cp:revision>2</cp:revision>
  <dcterms:created xsi:type="dcterms:W3CDTF">2025-09-09T09:38:00Z</dcterms:created>
  <dcterms:modified xsi:type="dcterms:W3CDTF">2025-09-09T09:38:00Z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