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GE.05-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42666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 110705     120705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3366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Distr</w:t>
            </w:r>
            <w:proofErr w:type="spellEnd"/>
            <w:r>
              <w:rPr>
                <w:sz w:val="22"/>
              </w:rPr>
              <w:t>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CAT/C/CR/34/CAN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 xml:space="preserve">7 </w:t>
            </w:r>
            <w:proofErr w:type="spellStart"/>
            <w:r>
              <w:rPr>
                <w:sz w:val="22"/>
              </w:rPr>
              <w:t>July</w:t>
            </w:r>
            <w:proofErr w:type="spellEnd"/>
            <w:r>
              <w:rPr>
                <w:sz w:val="22"/>
              </w:rPr>
              <w:fldChar w:fldCharType="end"/>
            </w:r>
            <w:r>
              <w:rPr>
                <w:sz w:val="22"/>
                <w:lang w:val="en-US"/>
              </w:rPr>
              <w:t xml:space="preserve"> 2005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RUSSIAN</w:t>
            </w:r>
            <w:proofErr w:type="spellEnd"/>
          </w:p>
          <w:p w:rsidR="00000000" w:rsidRDefault="00000000">
            <w:pPr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Original</w:t>
            </w:r>
            <w:proofErr w:type="spellEnd"/>
            <w:r>
              <w:rPr>
                <w:sz w:val="22"/>
              </w:rPr>
              <w:t xml:space="preserve">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</w:pPr>
    </w:p>
    <w:p w:rsidR="00000000" w:rsidRDefault="00000000">
      <w:r>
        <w:t>КОМИТЕТ ПРОТИВ ПЫТОК</w:t>
      </w:r>
    </w:p>
    <w:p w:rsidR="00000000" w:rsidRDefault="00000000">
      <w:r>
        <w:t>Тридцать четвертая сессия</w:t>
      </w:r>
    </w:p>
    <w:p w:rsidR="00000000" w:rsidRDefault="00000000">
      <w:r>
        <w:t>2-20 мая 2005 года</w:t>
      </w:r>
    </w:p>
    <w:p w:rsidR="00000000" w:rsidRDefault="00000000"/>
    <w:p w:rsidR="00000000" w:rsidRDefault="00000000">
      <w:pPr>
        <w:jc w:val="center"/>
      </w:pPr>
    </w:p>
    <w:p w:rsidR="00000000" w:rsidRDefault="00000000">
      <w:pPr>
        <w:jc w:val="center"/>
      </w:pPr>
    </w:p>
    <w:p w:rsidR="00000000" w:rsidRDefault="00000000">
      <w:pPr>
        <w:jc w:val="center"/>
      </w:pPr>
      <w:r>
        <w:rPr>
          <w:b/>
          <w:bCs/>
        </w:rPr>
        <w:t>РАССМОТРЕНИЕ ДОКЛАДОВ, ПРЕДСТАВЛЕННЫХ ГОСУДАРСТВАМИ-УЧАСТНИКАМИ В СООТВЕТСТВИИ СО СТАТЬЕЙ 19 КОНВЕНЦИИ</w:t>
      </w:r>
    </w:p>
    <w:p w:rsidR="00000000" w:rsidRDefault="00000000">
      <w:pPr>
        <w:jc w:val="center"/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Выводы и рекомендации Комитета против пыток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Канада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>Комитет рассмотрел четвертый и пятый периодические доклады Канады (</w:t>
      </w:r>
      <w:proofErr w:type="spellStart"/>
      <w:r>
        <w:t>CAT</w:t>
      </w:r>
      <w:proofErr w:type="spellEnd"/>
      <w:r>
        <w:t>/</w:t>
      </w:r>
      <w:proofErr w:type="spellStart"/>
      <w:r>
        <w:t>C</w:t>
      </w:r>
      <w:proofErr w:type="spellEnd"/>
      <w:r>
        <w:t xml:space="preserve">/55/Add.8 и </w:t>
      </w:r>
      <w:proofErr w:type="spellStart"/>
      <w:r>
        <w:t>CAT</w:t>
      </w:r>
      <w:proofErr w:type="spellEnd"/>
      <w:r>
        <w:t>/</w:t>
      </w:r>
      <w:proofErr w:type="spellStart"/>
      <w:r>
        <w:t>C</w:t>
      </w:r>
      <w:proofErr w:type="spellEnd"/>
      <w:r>
        <w:t>/81/Add.3, соответственно) на своих 643-м и 646-м заседаниях (</w:t>
      </w:r>
      <w:proofErr w:type="spellStart"/>
      <w:r>
        <w:t>CAT</w:t>
      </w:r>
      <w:proofErr w:type="spellEnd"/>
      <w:r>
        <w:t>/</w:t>
      </w:r>
      <w:proofErr w:type="spellStart"/>
      <w:r>
        <w:t>C</w:t>
      </w:r>
      <w:proofErr w:type="spellEnd"/>
      <w:r>
        <w:t>/SR.643 и 646), состоявшихся 4 и 6 мая 2005 года, и принял на своем 658-м заседании (</w:t>
      </w:r>
      <w:proofErr w:type="spellStart"/>
      <w:r>
        <w:t>CAT</w:t>
      </w:r>
      <w:proofErr w:type="spellEnd"/>
      <w:r>
        <w:t>/</w:t>
      </w:r>
      <w:proofErr w:type="spellStart"/>
      <w:r>
        <w:t>C</w:t>
      </w:r>
      <w:proofErr w:type="spellEnd"/>
      <w:r>
        <w:t>/SR.648) следующие выводы и рекомендации:</w:t>
      </w:r>
    </w:p>
    <w:p w:rsidR="00000000" w:rsidRDefault="00000000"/>
    <w:p w:rsidR="00000000" w:rsidRDefault="00000000">
      <w:pPr>
        <w:jc w:val="center"/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jc w:val="center"/>
      </w:pPr>
    </w:p>
    <w:p w:rsidR="00000000" w:rsidRDefault="00000000">
      <w:r>
        <w:t>2.</w:t>
      </w:r>
      <w:r>
        <w:tab/>
        <w:t>Четвертый периодический доклад Канады, подлежавший представлению 23 июля 2000 года, был представлен 20 августа 2002 года, а пятый периодический доклад, подлежавший представлению 23 июля 2004 года, был представлен 11 октября 2004 года, причем каждый из них представлен в соответствии с руководящими принципами Комитета в отношении составления докладов.  Комитет приветствует открытое и активное участие учреждений и неправительственных организаций, занимающихся вопросами защиты прав человека, в процессе подготовки докладов, включая отражение в этих докладах различных взглядов гражданского общества.</w:t>
      </w:r>
    </w:p>
    <w:p w:rsidR="00000000" w:rsidRDefault="00000000"/>
    <w:p w:rsidR="00000000" w:rsidRDefault="00000000">
      <w:pPr>
        <w:keepNext/>
        <w:jc w:val="center"/>
        <w:rPr>
          <w:b/>
          <w:bCs/>
        </w:rPr>
      </w:pPr>
      <w:r>
        <w:rPr>
          <w:b/>
          <w:bCs/>
          <w:lang w:val="en-US"/>
        </w:rPr>
        <w:t>B</w:t>
      </w:r>
      <w:r>
        <w:rPr>
          <w:b/>
          <w:bCs/>
        </w:rPr>
        <w:t>.</w:t>
      </w:r>
      <w:r>
        <w:rPr>
          <w:b/>
          <w:bCs/>
        </w:rPr>
        <w:tab/>
        <w:t>Позитивные аспекты</w:t>
      </w:r>
    </w:p>
    <w:p w:rsidR="00000000" w:rsidRDefault="00000000">
      <w:pPr>
        <w:keepNext/>
        <w:jc w:val="center"/>
        <w:rPr>
          <w:b/>
          <w:bCs/>
        </w:rPr>
      </w:pPr>
    </w:p>
    <w:p w:rsidR="00000000" w:rsidRDefault="00000000">
      <w:pPr>
        <w:keepNext/>
      </w:pPr>
      <w:r>
        <w:t>3.</w:t>
      </w:r>
      <w:r>
        <w:tab/>
        <w:t>Комитет отмечает:</w:t>
      </w:r>
    </w:p>
    <w:p w:rsidR="00000000" w:rsidRDefault="00000000">
      <w:pPr>
        <w:keepNext/>
      </w:pPr>
    </w:p>
    <w:p w:rsidR="00000000" w:rsidRDefault="00000000">
      <w:pPr>
        <w:keepNext/>
      </w:pPr>
      <w:r>
        <w:tab/>
        <w:t>а)</w:t>
      </w:r>
      <w:r>
        <w:tab/>
        <w:t>наличие в канадском Уголовном кодексе определения пытки, которое соответствует определению, содержащемуся в статье 1 Конвенции, и недопустимость, согласно Уголовному кодексу, защиты со ссылкой на приказ начальника и исключительные обстоятельства, в том числе в ходе вооруженного конфликта, равно как и приобщения к делу в результате применения пыток;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непосредственное применение уголовно-правовых норм, упомянутых в подпункте а) выше, к военнослужащим государства-участника, где бы они ни находились, на основе Закона о национальной обороне;</w:t>
      </w:r>
    </w:p>
    <w:p w:rsidR="00000000" w:rsidRDefault="00000000"/>
    <w:p w:rsidR="00000000" w:rsidRDefault="00000000">
      <w:r>
        <w:tab/>
        <w:t>с)</w:t>
      </w:r>
      <w:r>
        <w:tab/>
        <w:t xml:space="preserve">предусмотренное в Законе об иммиграции и защите беженцев 2002 года общее включение применения пыток по смыслу статьи 1 Конвенции в число отдельных оснований для вынесения заключения о том, что то или иное лицо нуждается в защите (статья 97, пункт 1, Закона), и в число оснований для </w:t>
      </w:r>
      <w:proofErr w:type="spellStart"/>
      <w:r>
        <w:t>невысылки</w:t>
      </w:r>
      <w:proofErr w:type="spellEnd"/>
      <w:r>
        <w:t xml:space="preserve"> (статья 115, пункт 1), когда имеются существенные основания говорить об угрозе применения пыток;</w:t>
      </w:r>
    </w:p>
    <w:p w:rsidR="00000000" w:rsidRDefault="00000000"/>
    <w:p w:rsidR="00000000" w:rsidRDefault="00000000">
      <w:r>
        <w:tab/>
      </w:r>
      <w:r>
        <w:rPr>
          <w:lang w:val="en-US"/>
        </w:rPr>
        <w:t>d</w:t>
      </w:r>
      <w:r>
        <w:t>)</w:t>
      </w:r>
      <w:r>
        <w:tab/>
        <w:t>строгий конституционный контроль полномочий, предусмотренных Законом о борьбе с терроризмом 2001 года;</w:t>
      </w:r>
    </w:p>
    <w:p w:rsidR="00000000" w:rsidRDefault="00000000"/>
    <w:p w:rsidR="00000000" w:rsidRDefault="00000000">
      <w:r>
        <w:tab/>
      </w:r>
      <w:proofErr w:type="spellStart"/>
      <w:r>
        <w:t>е</w:t>
      </w:r>
      <w:proofErr w:type="spellEnd"/>
      <w:r>
        <w:t>)</w:t>
      </w:r>
      <w:r>
        <w:tab/>
        <w:t>признание Верховным судом Канады необходимости усиления процессуальных гарантий даже в случаях, связанных с интересами национальной безопасности, и последующее решение государства-участника распространить усиленные процессуальные меры защиты на все случаи лиц, оспаривающих на основании риска пыток министерские постановления о высылке;</w:t>
      </w:r>
    </w:p>
    <w:p w:rsidR="00000000" w:rsidRDefault="00000000"/>
    <w:p w:rsidR="00000000" w:rsidRDefault="00000000">
      <w:r>
        <w:tab/>
      </w:r>
      <w:r>
        <w:rPr>
          <w:lang w:val="en-US"/>
        </w:rPr>
        <w:t>f</w:t>
      </w:r>
      <w:r>
        <w:t>)</w:t>
      </w:r>
      <w:r>
        <w:tab/>
        <w:t xml:space="preserve">изменения в политике и практике функционирования исправительных учреждений в целях выполнения рекомендаций, содержащихся в докладе судьи </w:t>
      </w:r>
      <w:proofErr w:type="spellStart"/>
      <w:r>
        <w:t>Арбур</w:t>
      </w:r>
      <w:proofErr w:type="spellEnd"/>
      <w:r>
        <w:t xml:space="preserve"> и касающихся обращения с женщинами-правонарушителями в федеральной тюремной системе;</w:t>
      </w:r>
    </w:p>
    <w:p w:rsidR="00000000" w:rsidRDefault="00000000"/>
    <w:p w:rsidR="00000000" w:rsidRDefault="00000000">
      <w:r>
        <w:tab/>
      </w:r>
      <w:r>
        <w:rPr>
          <w:lang w:val="en-US"/>
        </w:rPr>
        <w:t>g</w:t>
      </w:r>
      <w:r>
        <w:t>)</w:t>
      </w:r>
      <w:r>
        <w:tab/>
        <w:t>требования относительно того, чтобы обыски на внутриполостные вложения проводились не тюремным, а медицинским персоналом в нормальных условиях и после того, как было предоставлено письменное согласие и обеспечен доступ к адвокату;</w:t>
      </w:r>
    </w:p>
    <w:p w:rsidR="00000000" w:rsidRDefault="00000000"/>
    <w:p w:rsidR="00000000" w:rsidRDefault="00000000">
      <w:r>
        <w:tab/>
      </w:r>
      <w:r>
        <w:rPr>
          <w:lang w:val="en-US"/>
        </w:rPr>
        <w:t>h</w:t>
      </w:r>
      <w:r>
        <w:t>)</w:t>
      </w:r>
      <w:r>
        <w:tab/>
        <w:t xml:space="preserve">усилия, предпринятые государством-участником в свете проблемы чрезмерно высокого процента представителей коренных народов среди правонарушителей в системе исправительных учреждений, которая была отмечена Комитетом ранее, в целях разработки новаторских и учитывающих культурные особенности альтернативных механизмов уголовного правосудия, таких, как использование </w:t>
      </w:r>
      <w:proofErr w:type="spellStart"/>
      <w:r>
        <w:t>реабилитационно-профилактических</w:t>
      </w:r>
      <w:proofErr w:type="spellEnd"/>
      <w:r>
        <w:t xml:space="preserve"> центров.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С.</w:t>
      </w:r>
      <w:r>
        <w:rPr>
          <w:b/>
          <w:bCs/>
        </w:rPr>
        <w:tab/>
        <w:t>Вопросы, вызывающие обеспокоенность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4.</w:t>
      </w:r>
      <w:r>
        <w:tab/>
        <w:t>Комитет выражает обеспокоенность в связи с:</w:t>
      </w:r>
    </w:p>
    <w:p w:rsidR="00000000" w:rsidRDefault="00000000"/>
    <w:p w:rsidR="00000000" w:rsidRDefault="00000000">
      <w:r>
        <w:tab/>
      </w:r>
      <w:r>
        <w:rPr>
          <w:lang w:val="en-US"/>
        </w:rPr>
        <w:t>a</w:t>
      </w:r>
      <w:r>
        <w:t>)</w:t>
      </w:r>
      <w:r>
        <w:tab/>
        <w:t xml:space="preserve">тем, что в решении по делу </w:t>
      </w:r>
      <w:r>
        <w:rPr>
          <w:i/>
          <w:iCs/>
          <w:lang w:val="en-US"/>
        </w:rPr>
        <w:t>Suresh</w:t>
      </w:r>
      <w:r>
        <w:rPr>
          <w:i/>
          <w:iCs/>
        </w:rPr>
        <w:t xml:space="preserve"> </w:t>
      </w:r>
      <w:r>
        <w:rPr>
          <w:i/>
          <w:iCs/>
          <w:lang w:val="en-US"/>
        </w:rPr>
        <w:t>v</w:t>
      </w:r>
      <w:r>
        <w:rPr>
          <w:i/>
          <w:iCs/>
        </w:rPr>
        <w:t xml:space="preserve"> </w:t>
      </w:r>
      <w:r>
        <w:rPr>
          <w:i/>
          <w:iCs/>
          <w:lang w:val="en-US"/>
        </w:rPr>
        <w:t>Minister</w:t>
      </w:r>
      <w:r>
        <w:rPr>
          <w:i/>
          <w:iCs/>
        </w:rPr>
        <w:t xml:space="preserve"> </w:t>
      </w:r>
      <w:r>
        <w:rPr>
          <w:i/>
          <w:iCs/>
          <w:lang w:val="en-US"/>
        </w:rPr>
        <w:t>of</w:t>
      </w:r>
      <w:r>
        <w:rPr>
          <w:i/>
          <w:iCs/>
        </w:rPr>
        <w:t xml:space="preserve"> </w:t>
      </w:r>
      <w:r>
        <w:rPr>
          <w:i/>
          <w:iCs/>
          <w:lang w:val="en-US"/>
        </w:rPr>
        <w:t>Citizenship</w:t>
      </w:r>
      <w:r>
        <w:rPr>
          <w:i/>
          <w:iCs/>
        </w:rPr>
        <w:t xml:space="preserve"> </w:t>
      </w:r>
      <w:r>
        <w:rPr>
          <w:i/>
          <w:iCs/>
          <w:lang w:val="en-US"/>
        </w:rPr>
        <w:t>and</w:t>
      </w:r>
      <w:r>
        <w:rPr>
          <w:i/>
          <w:iCs/>
        </w:rPr>
        <w:t xml:space="preserve"> </w:t>
      </w:r>
      <w:r>
        <w:rPr>
          <w:i/>
          <w:iCs/>
          <w:lang w:val="en-US"/>
        </w:rPr>
        <w:t>Immigration</w:t>
      </w:r>
      <w:r>
        <w:t xml:space="preserve"> Верховный суд Канады не признал на уровне внутригосударственного права абсолютный характер защиты, обеспечиваемой статьей 3 Конвенции, которая не допускает никаких исключений;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 xml:space="preserve">предполагаемой ролью властей государства-участника в высылке канадского гражданина г-на </w:t>
      </w:r>
      <w:proofErr w:type="spellStart"/>
      <w:r>
        <w:t>Махера</w:t>
      </w:r>
      <w:proofErr w:type="spellEnd"/>
      <w:r>
        <w:t xml:space="preserve"> </w:t>
      </w:r>
      <w:proofErr w:type="spellStart"/>
      <w:r>
        <w:t>Арара</w:t>
      </w:r>
      <w:proofErr w:type="spellEnd"/>
      <w:r>
        <w:t>, высланного из Соединенных Штатов в Сирийскую Арабскую Республику, где, согласно сообщениям, практикуются пытки;</w:t>
      </w:r>
    </w:p>
    <w:p w:rsidR="00000000" w:rsidRDefault="00000000"/>
    <w:p w:rsidR="00000000" w:rsidRDefault="00000000">
      <w:r>
        <w:tab/>
      </w:r>
      <w:r>
        <w:rPr>
          <w:lang w:val="en-US"/>
        </w:rPr>
        <w:t>c</w:t>
      </w:r>
      <w:r>
        <w:t>)</w:t>
      </w:r>
      <w:r>
        <w:tab/>
        <w:t>предусматриваемым Законом об иммиграции и защите беженцев 2002 года (статья 97) общим отказом в предоставлении статуса беженца или лица, нуждающегося в защите, лицам, подпадающим под исключения, связанные с соображениями безопасности, которые закреплены в Конвенции о статусе беженцев и Протоколах к ней, в результате чего ходатайства таких лиц по вопросам существа не рассматриваются Отделом по защите беженцев и не пересматриваются Отделом по рассмотрению апелляций беженцев;</w:t>
      </w:r>
    </w:p>
    <w:p w:rsidR="00000000" w:rsidRDefault="00000000"/>
    <w:p w:rsidR="00000000" w:rsidRDefault="00000000">
      <w:r>
        <w:tab/>
      </w:r>
      <w:r>
        <w:rPr>
          <w:lang w:val="en-US"/>
        </w:rPr>
        <w:t>d</w:t>
      </w:r>
      <w:r>
        <w:t>)</w:t>
      </w:r>
      <w:r>
        <w:tab/>
        <w:t>прямым исключением определенных категорий лиц, создающих угрозу безопасности или риск нарушения уголовного законодательства, из сферы защиты от высылки, обеспечиваемой Законом об иммиграции и защите беженцев 2002 года (статья 115, пункт 2);</w:t>
      </w:r>
    </w:p>
    <w:p w:rsidR="00000000" w:rsidRDefault="00000000"/>
    <w:p w:rsidR="00000000" w:rsidRDefault="00000000">
      <w:r>
        <w:tab/>
      </w:r>
      <w:r>
        <w:rPr>
          <w:lang w:val="en-US"/>
        </w:rPr>
        <w:t>e</w:t>
      </w:r>
      <w:r>
        <w:t>)</w:t>
      </w:r>
      <w:r>
        <w:tab/>
        <w:t>по всей видимости, имеющим место, судя по малочисленности случаев привлечения к ответственности за акты терроризма и применения пыток, стремлением государства-участника прибегать в первую очередь к иммиграционным процессам для выдворения или высылки соответствующих лиц за пределы своей территории, что говорит о большей готовности задействовать положения статьи 3 Конвенции вместо того, чтобы возбуждать в отношении таких лиц уголовное разбирательство;</w:t>
      </w:r>
    </w:p>
    <w:p w:rsidR="00000000" w:rsidRDefault="00000000"/>
    <w:p w:rsidR="00000000" w:rsidRDefault="00000000">
      <w:r>
        <w:tab/>
      </w:r>
      <w:r>
        <w:rPr>
          <w:lang w:val="en-US"/>
        </w:rPr>
        <w:t>f</w:t>
      </w:r>
      <w:r>
        <w:t>)</w:t>
      </w:r>
      <w:r>
        <w:tab/>
        <w:t>нежеланием государства-участника удовлетворить все просьбы о принятии временных мер защиты, в контексте индивидуальных жалоб, поданных в соответствии со статьей 22 Конвенции;</w:t>
      </w:r>
    </w:p>
    <w:p w:rsidR="00000000" w:rsidRDefault="00000000"/>
    <w:p w:rsidR="00000000" w:rsidRDefault="00000000">
      <w:r>
        <w:tab/>
      </w:r>
      <w:r>
        <w:rPr>
          <w:lang w:val="en-US"/>
        </w:rPr>
        <w:t>g</w:t>
      </w:r>
      <w:r>
        <w:t>)</w:t>
      </w:r>
      <w:r>
        <w:tab/>
        <w:t>отсутствием эффективных мер для обеспечения гражданской компенсации жертвам пыток во всех случаях;</w:t>
      </w:r>
    </w:p>
    <w:p w:rsidR="00000000" w:rsidRDefault="00000000"/>
    <w:p w:rsidR="00000000" w:rsidRDefault="00000000">
      <w:r>
        <w:tab/>
      </w:r>
      <w:r>
        <w:rPr>
          <w:lang w:val="en-US"/>
        </w:rPr>
        <w:t>h</w:t>
      </w:r>
      <w:r>
        <w:t>)</w:t>
      </w:r>
      <w:r>
        <w:tab/>
        <w:t>по</w:t>
      </w:r>
      <w:r>
        <w:noBreakHyphen/>
        <w:t>прежнему существенным числом "серьезных инцидентов с применением силы", определенных государством-участником как акты нанесения тяжких телесных повреждений и/или захвата заложников, в федеральных исправительных учреждениях государства-участника;  а также</w:t>
      </w:r>
    </w:p>
    <w:p w:rsidR="00000000" w:rsidRDefault="00000000"/>
    <w:p w:rsidR="00000000" w:rsidRDefault="00000000">
      <w:r>
        <w:tab/>
      </w:r>
      <w:proofErr w:type="spellStart"/>
      <w:r>
        <w:rPr>
          <w:lang w:val="en-US"/>
        </w:rPr>
        <w:t>i</w:t>
      </w:r>
      <w:proofErr w:type="spellEnd"/>
      <w:r>
        <w:t>)</w:t>
      </w:r>
      <w:r>
        <w:tab/>
        <w:t xml:space="preserve">продолжающими поступать сообщениями о ненадлежащем применении химических реагентов, </w:t>
      </w:r>
      <w:proofErr w:type="spellStart"/>
      <w:r>
        <w:t>ирритантов</w:t>
      </w:r>
      <w:proofErr w:type="spellEnd"/>
      <w:r>
        <w:t xml:space="preserve">, </w:t>
      </w:r>
      <w:proofErr w:type="spellStart"/>
      <w:r>
        <w:t>инкапаситантов</w:t>
      </w:r>
      <w:proofErr w:type="spellEnd"/>
      <w:r>
        <w:t xml:space="preserve"> и механических средств сотрудниками правоохранительных органов в контексте борьбы с беспорядками.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  <w:lang w:val="en-US"/>
        </w:rPr>
        <w:t>D</w:t>
      </w:r>
      <w:r>
        <w:rPr>
          <w:b/>
          <w:bCs/>
        </w:rPr>
        <w:t>.</w:t>
      </w:r>
      <w:r>
        <w:rPr>
          <w:b/>
          <w:bCs/>
        </w:rPr>
        <w:tab/>
        <w:t>Рекомендации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5.</w:t>
      </w:r>
      <w:r>
        <w:tab/>
        <w:t>Комитет рекомендует:</w:t>
      </w:r>
    </w:p>
    <w:p w:rsidR="00000000" w:rsidRDefault="00000000"/>
    <w:p w:rsidR="00000000" w:rsidRDefault="00000000">
      <w:r>
        <w:tab/>
        <w:t>а)</w:t>
      </w:r>
      <w:r>
        <w:tab/>
        <w:t>государству-участнику следует взять на себя безоговорочное обязательство соблюдать абсолютный характер статьи 3 во всех обстоятельствах и в полном объеме включить положения статьи 3 в свое законодательство;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 xml:space="preserve">государству-участнику следует изъять из Закона об иммиграции и защите беженцев 2002 года исключения, указанные в подпунктах с) и </w:t>
      </w:r>
      <w:r>
        <w:rPr>
          <w:lang w:val="en-US"/>
        </w:rPr>
        <w:t>d</w:t>
      </w:r>
      <w:r>
        <w:t>) пункта 4 выше, тем самым предоставив всем лицам, подпадающим в настоящее время под действие этих исключений, статус защищаемого лица и обеспечив защиту от высылки в связи с наличием риска пыток;</w:t>
      </w:r>
    </w:p>
    <w:p w:rsidR="00000000" w:rsidRDefault="00000000"/>
    <w:p w:rsidR="00000000" w:rsidRDefault="00000000">
      <w:r>
        <w:tab/>
      </w:r>
      <w:r>
        <w:rPr>
          <w:lang w:val="en-US"/>
        </w:rPr>
        <w:t>c</w:t>
      </w:r>
      <w:r>
        <w:t>)</w:t>
      </w:r>
      <w:r>
        <w:tab/>
        <w:t>государству-участнику следует обеспечить судебное рассмотрение не просто обоснованности, а существа решений о высылке лиц в тех случаях, когда имеются существенные основания полагать, что лицо подвергается риску применения пыток;</w:t>
      </w:r>
    </w:p>
    <w:p w:rsidR="00000000" w:rsidRDefault="00000000"/>
    <w:p w:rsidR="00000000" w:rsidRDefault="00000000">
      <w:r>
        <w:tab/>
      </w:r>
      <w:r>
        <w:rPr>
          <w:lang w:val="en-US"/>
        </w:rPr>
        <w:t>d</w:t>
      </w:r>
      <w:r>
        <w:t>)</w:t>
      </w:r>
      <w:r>
        <w:tab/>
        <w:t>государству-участнику следует настаивать на предоставлении неограниченного консульского доступа ко всем гражданам, содержащимся под стражей за рубежом, с возможностью проведения встреч наедине и, если таковое требуется, надлежащего медицинского освидетельствования;</w:t>
      </w:r>
    </w:p>
    <w:p w:rsidR="00000000" w:rsidRDefault="00000000"/>
    <w:p w:rsidR="00000000" w:rsidRDefault="00000000">
      <w:r>
        <w:tab/>
      </w:r>
      <w:r>
        <w:rPr>
          <w:lang w:val="en-US"/>
        </w:rPr>
        <w:t>e</w:t>
      </w:r>
      <w:r>
        <w:t>)</w:t>
      </w:r>
      <w:r>
        <w:tab/>
        <w:t>учитывая абсолютный характер защиты от высылки, обеспечиваемой статьей 3, государству-участнику следует предоставить Комитету подробную информацию о том, сколько случаев высылки или выдворения после получения "дипломатических гарантий" произошло с 11 сентября 2001 года, какие минимальные требования, по мнению государства-участника, должны применяться к этим гарантиям, какие меры по последующему контролю были приняты в подобных случаях и каково правовое обеспечение соблюдения предоставленных гарантий;</w:t>
      </w:r>
    </w:p>
    <w:p w:rsidR="00000000" w:rsidRDefault="00000000"/>
    <w:p w:rsidR="00000000" w:rsidRDefault="00000000">
      <w:r>
        <w:tab/>
      </w:r>
      <w:r>
        <w:rPr>
          <w:lang w:val="en-US"/>
        </w:rPr>
        <w:t>f</w:t>
      </w:r>
      <w:r>
        <w:t>)</w:t>
      </w:r>
      <w:r>
        <w:tab/>
        <w:t>государству-участнику следует пересмотреть свою позицию по статье 14 Конвенции в отношении предоставления компенсации в рамках своей гражданской юрисдикции для всех жертв пыток;</w:t>
      </w:r>
    </w:p>
    <w:p w:rsidR="00000000" w:rsidRDefault="00000000"/>
    <w:p w:rsidR="00000000" w:rsidRDefault="00000000">
      <w:r>
        <w:tab/>
      </w:r>
      <w:r>
        <w:rPr>
          <w:lang w:val="en-US"/>
        </w:rPr>
        <w:t>g</w:t>
      </w:r>
      <w:r>
        <w:t>)</w:t>
      </w:r>
      <w:r>
        <w:tab/>
        <w:t>государству-участнику следует предпринять шаги для обеспечения постепенного сокращения числа "серьезных инцидентов с применением силы" в своих федеральных исправительных учреждениях;</w:t>
      </w:r>
    </w:p>
    <w:p w:rsidR="00000000" w:rsidRDefault="00000000"/>
    <w:p w:rsidR="00000000" w:rsidRDefault="00000000">
      <w:r>
        <w:tab/>
      </w:r>
      <w:r>
        <w:rPr>
          <w:lang w:val="en-US"/>
        </w:rPr>
        <w:t>h</w:t>
      </w:r>
      <w:r>
        <w:t>)</w:t>
      </w:r>
      <w:r>
        <w:tab/>
        <w:t>государству-участнику следует провести публичный и независимый анализ и обзор политики в отношении методов борьбы с беспорядками на федеральном уровне и уровне провинций, о которых говорилось в пункте 4 </w:t>
      </w:r>
      <w:proofErr w:type="spellStart"/>
      <w:r>
        <w:rPr>
          <w:lang w:val="en-US"/>
        </w:rPr>
        <w:t>i</w:t>
      </w:r>
      <w:proofErr w:type="spellEnd"/>
      <w:r>
        <w:t>) выше;</w:t>
      </w:r>
    </w:p>
    <w:p w:rsidR="00000000" w:rsidRDefault="00000000"/>
    <w:p w:rsidR="00000000" w:rsidRDefault="00000000">
      <w:r>
        <w:tab/>
      </w:r>
      <w:proofErr w:type="spellStart"/>
      <w:r>
        <w:rPr>
          <w:lang w:val="en-US"/>
        </w:rPr>
        <w:t>i</w:t>
      </w:r>
      <w:proofErr w:type="spellEnd"/>
      <w:r>
        <w:t>)</w:t>
      </w:r>
      <w:r>
        <w:tab/>
        <w:t xml:space="preserve">государству-участнику следует полностью разъяснить, при необходимости – посредством принятия законов, полномочия Комиссии по рассмотрению жалоб общественности на действия </w:t>
      </w:r>
      <w:proofErr w:type="spellStart"/>
      <w:r>
        <w:t>КККП</w:t>
      </w:r>
      <w:proofErr w:type="spellEnd"/>
      <w:r>
        <w:t xml:space="preserve"> (Королевской канадской конной полиции) в вопросах проведения расследований и представления информации о действиях </w:t>
      </w:r>
      <w:proofErr w:type="spellStart"/>
      <w:r>
        <w:t>КККП</w:t>
      </w:r>
      <w:proofErr w:type="spellEnd"/>
      <w:r>
        <w:t>, относящихся к ее мандату, связанному с рассмотрением жалоб;  а также</w:t>
      </w:r>
    </w:p>
    <w:p w:rsidR="00000000" w:rsidRDefault="00000000"/>
    <w:p w:rsidR="00000000" w:rsidRDefault="00000000">
      <w:r>
        <w:tab/>
      </w:r>
      <w:r>
        <w:rPr>
          <w:lang w:val="en-US"/>
        </w:rPr>
        <w:t>j</w:t>
      </w:r>
      <w:r>
        <w:t>)</w:t>
      </w:r>
      <w:r>
        <w:tab/>
        <w:t>государству-участнику следует рассмотреть вопрос об участии в Факультативном протоколе к Конвенции.</w:t>
      </w:r>
    </w:p>
    <w:p w:rsidR="00000000" w:rsidRDefault="00000000"/>
    <w:p w:rsidR="00000000" w:rsidRDefault="00000000">
      <w:r>
        <w:t>6.</w:t>
      </w:r>
      <w:r>
        <w:tab/>
        <w:t>Комитет просит государство-участник представить в течение одного года информацию в ответ на рекомендации Комитета, изложенные в подпунктах </w:t>
      </w:r>
      <w:r>
        <w:rPr>
          <w:lang w:val="en-US"/>
        </w:rPr>
        <w:t>d</w:t>
      </w:r>
      <w:r>
        <w:t xml:space="preserve">), </w:t>
      </w:r>
      <w:r>
        <w:rPr>
          <w:lang w:val="en-US"/>
        </w:rPr>
        <w:t>e</w:t>
      </w:r>
      <w:r>
        <w:t>) и </w:t>
      </w:r>
      <w:r>
        <w:rPr>
          <w:lang w:val="en-US"/>
        </w:rPr>
        <w:t>g</w:t>
      </w:r>
      <w:r>
        <w:t>) пункта 5.</w:t>
      </w:r>
    </w:p>
    <w:p w:rsidR="00000000" w:rsidRDefault="00000000"/>
    <w:p w:rsidR="00000000" w:rsidRDefault="00000000">
      <w:r>
        <w:t>7.</w:t>
      </w:r>
      <w:r>
        <w:tab/>
        <w:t>Комитет просит государство-участник своевременно представить его шестой периодический доклад, подлежащий представлению 23 июля 2008 года.</w:t>
      </w:r>
    </w:p>
    <w:p w:rsidR="00000000" w:rsidRDefault="00000000"/>
    <w:p w:rsidR="00000000" w:rsidRDefault="00000000"/>
    <w:p w:rsidR="00000000" w:rsidRDefault="00000000">
      <w:pPr>
        <w:jc w:val="center"/>
      </w:pPr>
      <w:r>
        <w:t>-----</w:t>
      </w: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CAT/C/CR/34/CAN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52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CAT/C/CR/34/CAN</w:t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</Pages>
  <Words>1351</Words>
  <Characters>7704</Characters>
  <Application>Microsoft Office Word</Application>
  <DocSecurity>4</DocSecurity>
  <Lines>64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9461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Любовь Катаева</dc:creator>
  <cp:keywords/>
  <dc:description/>
  <cp:lastModifiedBy>Любовь Катаева</cp:lastModifiedBy>
  <cp:revision>3</cp:revision>
  <cp:lastPrinted>2005-07-12T08:46:00Z</cp:lastPrinted>
  <dcterms:created xsi:type="dcterms:W3CDTF">2005-07-12T08:46:00Z</dcterms:created>
  <dcterms:modified xsi:type="dcterms:W3CDTF">2005-07-12T08:46:00Z</dcterms:modified>
</cp:coreProperties>
</file>