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820"/>
        <w:gridCol w:w="195"/>
        <w:gridCol w:w="1525"/>
        <w:gridCol w:w="2819"/>
      </w:tblGrid>
      <w:tr w:rsidR="00000000">
        <w:trPr>
          <w:trHeight w:hRule="exact" w:val="851"/>
        </w:trPr>
        <w:tc>
          <w:tcPr>
            <w:tcW w:w="5100" w:type="dxa"/>
            <w:gridSpan w:val="2"/>
            <w:tcBorders>
              <w:bottom w:val="single" w:sz="4" w:space="0" w:color="auto"/>
            </w:tcBorders>
            <w:vAlign w:val="bottom"/>
          </w:tcPr>
          <w:p w:rsidR="00000000" w:rsidRDefault="00000000">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000000" w:rsidRDefault="00000000">
            <w:pPr>
              <w:jc w:val="right"/>
              <w:rPr>
                <w:lang w:val="en-US"/>
              </w:rPr>
            </w:pPr>
          </w:p>
        </w:tc>
        <w:tc>
          <w:tcPr>
            <w:tcW w:w="4344" w:type="dxa"/>
            <w:gridSpan w:val="2"/>
            <w:tcBorders>
              <w:left w:val="nil"/>
              <w:bottom w:val="single" w:sz="4" w:space="0" w:color="auto"/>
            </w:tcBorders>
            <w:vAlign w:val="bottom"/>
          </w:tcPr>
          <w:p w:rsidR="00000000" w:rsidRDefault="00000000">
            <w:pPr>
              <w:jc w:val="right"/>
              <w:rPr>
                <w:lang w:val="en-US"/>
              </w:rPr>
            </w:pPr>
            <w:r>
              <w:rPr>
                <w:sz w:val="40"/>
                <w:szCs w:val="40"/>
                <w:lang w:val="en-US"/>
              </w:rPr>
              <w:t>A</w:t>
            </w:r>
            <w:r>
              <w:rPr>
                <w:lang w:val="en-US"/>
              </w:rPr>
              <w:t>/</w:t>
            </w:r>
            <w:proofErr w:type="spellStart"/>
            <w:r>
              <w:rPr>
                <w:lang w:val="en-US"/>
              </w:rPr>
              <w:t>HRC</w:t>
            </w:r>
            <w:proofErr w:type="spellEnd"/>
            <w:r>
              <w:rPr>
                <w:lang w:val="en-US"/>
              </w:rPr>
              <w:t>/</w:t>
            </w:r>
            <w:r>
              <w:fldChar w:fldCharType="begin"/>
            </w:r>
            <w:r>
              <w:instrText xml:space="preserve"> FILLIN  "Введите часть символа после A/HRC/"  \* MERGEFORMAT </w:instrText>
            </w:r>
            <w:r>
              <w:fldChar w:fldCharType="separate"/>
            </w:r>
            <w:r>
              <w:t>16/51/</w:t>
            </w:r>
            <w:proofErr w:type="spellStart"/>
            <w:r>
              <w:t>Add.3</w:t>
            </w:r>
            <w:proofErr w:type="spellEnd"/>
            <w:r>
              <w:fldChar w:fldCharType="end"/>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000000" w:rsidRDefault="00000000">
            <w:pPr>
              <w:spacing w:before="120" w:line="420" w:lineRule="exact"/>
              <w:rPr>
                <w:b/>
                <w:spacing w:val="-4"/>
                <w:w w:val="100"/>
                <w:sz w:val="40"/>
                <w:szCs w:val="40"/>
              </w:rPr>
            </w:pPr>
            <w:r>
              <w:rPr>
                <w:b/>
                <w:spacing w:val="-4"/>
                <w:w w:val="100"/>
                <w:sz w:val="40"/>
                <w:szCs w:val="40"/>
              </w:rPr>
              <w:t>Генеральная Ассамблея</w:t>
            </w:r>
          </w:p>
        </w:tc>
        <w:tc>
          <w:tcPr>
            <w:tcW w:w="2819" w:type="dxa"/>
            <w:tcBorders>
              <w:top w:val="single" w:sz="4" w:space="0" w:color="auto"/>
              <w:bottom w:val="single" w:sz="12" w:space="0" w:color="auto"/>
            </w:tcBorders>
          </w:tcPr>
          <w:p w:rsidR="00000000" w:rsidRDefault="00000000">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000000" w:rsidRDefault="00000000">
            <w:pPr>
              <w:rPr>
                <w:lang w:val="en-US"/>
              </w:rPr>
            </w:pPr>
            <w:fldSimple w:instr=" FILLIN  &quot;Введите дату документа&quot; \* MERGEFORMAT ">
              <w:r>
                <w:rPr>
                  <w:lang w:val="en-US"/>
                </w:rPr>
                <w:t>15 December 2010</w:t>
              </w:r>
            </w:fldSimple>
          </w:p>
          <w:p w:rsidR="00000000" w:rsidRDefault="00000000">
            <w:r>
              <w:rPr>
                <w:lang w:val="en-US"/>
              </w:rPr>
              <w:t>Russian</w:t>
            </w:r>
          </w:p>
          <w:p w:rsidR="00000000" w:rsidRDefault="00000000">
            <w:r>
              <w:rPr>
                <w:lang w:val="en-US"/>
              </w:rPr>
              <w:t>Original</w:t>
            </w:r>
            <w:r>
              <w:t xml:space="preserve">: </w:t>
            </w:r>
            <w:bookmarkStart w:id="1"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000000" w:rsidRDefault="00000000"/>
        </w:tc>
      </w:tr>
    </w:tbl>
    <w:p w:rsidR="00000000" w:rsidRDefault="00000000">
      <w:pPr>
        <w:spacing w:before="120"/>
        <w:rPr>
          <w:b/>
          <w:sz w:val="24"/>
          <w:szCs w:val="24"/>
          <w:lang w:val="en-US"/>
        </w:rPr>
      </w:pPr>
      <w:r>
        <w:rPr>
          <w:b/>
          <w:sz w:val="24"/>
          <w:szCs w:val="24"/>
        </w:rPr>
        <w:t>Совет по правам человека</w:t>
      </w:r>
    </w:p>
    <w:p w:rsidR="00000000" w:rsidRDefault="00000000">
      <w:pPr>
        <w:rPr>
          <w:b/>
        </w:rPr>
      </w:pPr>
      <w:r>
        <w:rPr>
          <w:b/>
        </w:rPr>
        <w:t>Шестнадцатая сессия</w:t>
      </w:r>
    </w:p>
    <w:p w:rsidR="00000000" w:rsidRDefault="00000000">
      <w:r>
        <w:t>Пункт 3 повестки дня</w:t>
      </w:r>
    </w:p>
    <w:p w:rsidR="00000000" w:rsidRDefault="00000000">
      <w:pPr>
        <w:rPr>
          <w:b/>
        </w:rPr>
      </w:pPr>
      <w:r>
        <w:rPr>
          <w:b/>
        </w:rPr>
        <w:t>Поощрение и защита всех прав человека,</w:t>
      </w:r>
      <w:r>
        <w:rPr>
          <w:b/>
        </w:rPr>
        <w:br/>
        <w:t>гражданских, политических, экономических,</w:t>
      </w:r>
      <w:r>
        <w:rPr>
          <w:b/>
        </w:rPr>
        <w:br/>
        <w:t>социал</w:t>
      </w:r>
      <w:r>
        <w:rPr>
          <w:b/>
        </w:rPr>
        <w:t>ь</w:t>
      </w:r>
      <w:r>
        <w:rPr>
          <w:b/>
        </w:rPr>
        <w:t>ных и культурных прав, включая</w:t>
      </w:r>
      <w:r>
        <w:rPr>
          <w:b/>
        </w:rPr>
        <w:br/>
        <w:t>право на развитие</w:t>
      </w:r>
    </w:p>
    <w:p w:rsidR="00000000" w:rsidRDefault="00000000">
      <w:pPr>
        <w:pStyle w:val="HChGR"/>
      </w:pPr>
      <w:r>
        <w:rPr>
          <w:lang w:val="en-US"/>
        </w:rPr>
        <w:tab/>
      </w:r>
      <w:r>
        <w:rPr>
          <w:lang w:val="en-US"/>
        </w:rPr>
        <w:tab/>
      </w:r>
      <w:r>
        <w:t>Доклад Специального докладчика по вопросу о поощрении и защите прав человека и основных свобод в условиях борьбы с терроризмом Мартина Шейнина</w:t>
      </w:r>
    </w:p>
    <w:p w:rsidR="00000000" w:rsidRDefault="00000000">
      <w:pPr>
        <w:pStyle w:val="H23GR"/>
      </w:pPr>
      <w:r>
        <w:tab/>
      </w:r>
      <w:r>
        <w:tab/>
        <w:t>Добавление</w:t>
      </w:r>
    </w:p>
    <w:p w:rsidR="00000000" w:rsidRDefault="00000000">
      <w:pPr>
        <w:pStyle w:val="H1GR"/>
      </w:pPr>
      <w:r>
        <w:rPr>
          <w:lang w:val="en-US"/>
        </w:rPr>
        <w:tab/>
      </w:r>
      <w:r>
        <w:rPr>
          <w:lang w:val="en-US"/>
        </w:rPr>
        <w:tab/>
      </w:r>
      <w:r>
        <w:t>Миссия в Перу</w:t>
      </w:r>
      <w:r>
        <w:rPr>
          <w:rStyle w:val="FootnoteReference"/>
          <w:szCs w:val="18"/>
          <w:vertAlign w:val="baseline"/>
        </w:rPr>
        <w:footnoteReference w:customMarkFollows="1" w:id="1"/>
        <w:t>*</w:t>
      </w:r>
    </w:p>
    <w:tbl>
      <w:tblPr>
        <w:tblStyle w:val="TableGrid"/>
        <w:tblW w:w="0" w:type="auto"/>
        <w:tblBorders>
          <w:insideH w:val="none" w:sz="0" w:space="0" w:color="auto"/>
        </w:tblBorders>
        <w:tblLook w:val="01E0"/>
      </w:tblPr>
      <w:tblGrid>
        <w:gridCol w:w="9855"/>
      </w:tblGrid>
      <w:tr w:rsidR="00000000">
        <w:tc>
          <w:tcPr>
            <w:tcW w:w="9855" w:type="dxa"/>
            <w:shd w:val="clear" w:color="auto" w:fill="auto"/>
          </w:tcPr>
          <w:p w:rsidR="00000000" w:rsidRDefault="00000000">
            <w:pPr>
              <w:suppressAutoHyphens/>
              <w:spacing w:after="120"/>
              <w:ind w:left="255"/>
              <w:rPr>
                <w:i/>
                <w:sz w:val="24"/>
                <w:szCs w:val="24"/>
                <w:lang w:eastAsia="ru-RU"/>
              </w:rPr>
            </w:pPr>
            <w:r>
              <w:rPr>
                <w:i/>
                <w:sz w:val="24"/>
                <w:szCs w:val="24"/>
                <w:lang w:eastAsia="ru-RU"/>
              </w:rPr>
              <w:t>Резюме</w:t>
            </w:r>
          </w:p>
        </w:tc>
      </w:tr>
      <w:tr w:rsidR="00000000">
        <w:tc>
          <w:tcPr>
            <w:tcW w:w="9855" w:type="dxa"/>
            <w:shd w:val="clear" w:color="auto" w:fill="auto"/>
          </w:tcPr>
          <w:p w:rsidR="00000000" w:rsidRDefault="00000000">
            <w:pPr>
              <w:spacing w:after="120"/>
              <w:ind w:left="1134" w:right="1134"/>
            </w:pPr>
            <w:r>
              <w:tab/>
              <w:t>Специальный докладчик по вопросу о поощрении и защите прав человека и основных свобод в условиях борьбы с терроризмом побывал в Перу с 1 по 8 сентября 2010 года. В настоящем докладе он рассматривает меры, принятые Перу в поддержку жертв террористических преступлений и нарушений прав человека, которые были совершены государственными силами безопасности в ходе внутреннего вооруженного конфликта в период 1980-2000 годов. Во вт</w:t>
            </w:r>
            <w:r>
              <w:t>о</w:t>
            </w:r>
            <w:r>
              <w:t>рой части доклада он анализирует существующие законодательные рамки бор</w:t>
            </w:r>
            <w:r>
              <w:t>ь</w:t>
            </w:r>
            <w:r>
              <w:t>бы с терроризмом и то, как они применяются и осуществляются на практ</w:t>
            </w:r>
            <w:r>
              <w:t>и</w:t>
            </w:r>
            <w:r>
              <w:t>ке.</w:t>
            </w:r>
          </w:p>
          <w:p w:rsidR="00000000" w:rsidRDefault="00000000">
            <w:pPr>
              <w:spacing w:after="120"/>
              <w:ind w:left="1134" w:right="1134"/>
            </w:pPr>
            <w:r>
              <w:tab/>
              <w:t>Специальный докладчик делает вывод о том, что пример Перу позволяет извлечь важные уроки с точки зрения отправления правосудия и выплаты ко</w:t>
            </w:r>
            <w:r>
              <w:t>м</w:t>
            </w:r>
            <w:r>
              <w:t>пенсации за те страдания, которые были причинены в ходе внутреннего воор</w:t>
            </w:r>
            <w:r>
              <w:t>у</w:t>
            </w:r>
            <w:r>
              <w:t>женного конфликта, и считает, что учреждение Комиссии по установлению и</w:t>
            </w:r>
            <w:r>
              <w:t>с</w:t>
            </w:r>
            <w:r>
              <w:t>тины и примирению является видом передовой практики. Уголовный процесс над бывшим Президентом Перу и его сподвижниками и вынесение им пригов</w:t>
            </w:r>
            <w:r>
              <w:t>о</w:t>
            </w:r>
            <w:r>
              <w:t>ров, а также многочисленные случаи проведения повторных судебных разбир</w:t>
            </w:r>
            <w:r>
              <w:t>а</w:t>
            </w:r>
            <w:r>
              <w:t>тельств в отношении лиц, осужденных за терроризм в результате несправедл</w:t>
            </w:r>
            <w:r>
              <w:t>и</w:t>
            </w:r>
            <w:r>
              <w:t>вых судебных процессов, представляют собой существенный шаг вперед в д</w:t>
            </w:r>
            <w:r>
              <w:t>е</w:t>
            </w:r>
            <w:r>
              <w:t>ле соблюдения государством его обязательств в соответствии с международными правозащитными стандартами.</w:t>
            </w:r>
          </w:p>
          <w:p w:rsidR="00000000" w:rsidRDefault="00000000">
            <w:pPr>
              <w:spacing w:after="120"/>
              <w:ind w:left="1134" w:right="1134"/>
            </w:pPr>
            <w:r>
              <w:tab/>
              <w:t>Вместе с тем Специальный докладчик озабочен медленными темпами продвижения вперед в деле осуществления плана выплаты компенсаций. Еще одним предметом озабоченности является наблюдаемая в определенных пол</w:t>
            </w:r>
            <w:r>
              <w:t>и</w:t>
            </w:r>
            <w:r>
              <w:t>тических кругах тенденция к тому, чтобы связывать правозащитников и учас</w:t>
            </w:r>
            <w:r>
              <w:t>т</w:t>
            </w:r>
            <w:r>
              <w:t>ников движений социального протеста с терроризмом. Он рекомендует прав</w:t>
            </w:r>
            <w:r>
              <w:t>и</w:t>
            </w:r>
            <w:r>
              <w:t>тельству Перу обратить вспять эту тенденцию с использованием всех име</w:t>
            </w:r>
            <w:r>
              <w:t>ю</w:t>
            </w:r>
            <w:r>
              <w:t>щихся в его распоряжении средств и поддерживать усилия по поощрению ме</w:t>
            </w:r>
            <w:r>
              <w:t>ж</w:t>
            </w:r>
            <w:r>
              <w:t>дународных прав человека в качестве важного элемента примирения и обесп</w:t>
            </w:r>
            <w:r>
              <w:t>е</w:t>
            </w:r>
            <w:r>
              <w:t>чения успеха нынешних и будущих контртеррористических мер.</w:t>
            </w:r>
          </w:p>
          <w:p w:rsidR="00000000" w:rsidRDefault="00000000">
            <w:pPr>
              <w:spacing w:after="120"/>
              <w:ind w:left="1134" w:right="1134"/>
            </w:pPr>
            <w:r>
              <w:tab/>
              <w:t>Специальный докладчик по-прежнему обеспокоен тем, что в уголовном законодательстве сохраняется широкое определение терроризма. Он особо ук</w:t>
            </w:r>
            <w:r>
              <w:t>а</w:t>
            </w:r>
            <w:r>
              <w:t>зывает на то, что введение чрезвычайного положения и развертывание воор</w:t>
            </w:r>
            <w:r>
              <w:t>у</w:t>
            </w:r>
            <w:r>
              <w:t>женных сил не только в качестве контртеррористической меры, но и во время массовых демонстраций грозит милитаризацией конфликтов, которые не дол</w:t>
            </w:r>
            <w:r>
              <w:t>ж</w:t>
            </w:r>
            <w:r>
              <w:t>ны урегулироваться с применением вооруженных сил. Государству необходимо наращивать присутствие своих служб и органов власти также и в наиболее о</w:t>
            </w:r>
            <w:r>
              <w:t>т</w:t>
            </w:r>
            <w:r>
              <w:t>даленных районах страны в целях обеспечения укрепления доверия и налаж</w:t>
            </w:r>
            <w:r>
              <w:t>и</w:t>
            </w:r>
            <w:r>
              <w:t>вания сотрудничества между сельскими и коренными общинами и централ</w:t>
            </w:r>
            <w:r>
              <w:t>ь</w:t>
            </w:r>
            <w:r>
              <w:t>ным прав</w:t>
            </w:r>
            <w:r>
              <w:t>и</w:t>
            </w:r>
            <w:r>
              <w:t>тельством.</w:t>
            </w:r>
          </w:p>
          <w:p w:rsidR="00000000" w:rsidRDefault="00000000">
            <w:pPr>
              <w:spacing w:after="120"/>
              <w:ind w:left="1134" w:right="1134"/>
            </w:pPr>
            <w:r>
              <w:tab/>
              <w:t>Специальный докладчик приветствует решение Конгресса об отмене З</w:t>
            </w:r>
            <w:r>
              <w:t>а</w:t>
            </w:r>
            <w:r>
              <w:t>конодательного указа № 1097, принятого исполнительной властью в рамках д</w:t>
            </w:r>
            <w:r>
              <w:t>е</w:t>
            </w:r>
            <w:r>
              <w:t>легированных законодательных полномочий. Этот указ позволил бы прекр</w:t>
            </w:r>
            <w:r>
              <w:t>а</w:t>
            </w:r>
            <w:r>
              <w:t>тить уголовное преследование за нарушения прав человека, совершенные в ходе внутреннего вооруженного конфликта, и выводил бы преступления такого рода из сферы действия Конвенции о неприменимости срока давности к военным преступлениям и преступлениям против человеч</w:t>
            </w:r>
            <w:r>
              <w:t>е</w:t>
            </w:r>
            <w:r>
              <w:t>ства.</w:t>
            </w:r>
          </w:p>
          <w:p w:rsidR="00000000" w:rsidRDefault="00000000">
            <w:pPr>
              <w:spacing w:after="120"/>
              <w:ind w:left="1134" w:right="1134"/>
            </w:pPr>
            <w:r>
              <w:tab/>
              <w:t>Специальный докладчик выносит ряд рекомендаций в целях содействия борьбе со стигматизацией правозащитников и участников движений социальн</w:t>
            </w:r>
            <w:r>
              <w:t>о</w:t>
            </w:r>
            <w:r>
              <w:t>го протеста как пособников терроризма, осуществлению программ коллекти</w:t>
            </w:r>
            <w:r>
              <w:t>в</w:t>
            </w:r>
            <w:r>
              <w:t>ной компенсации, ускорению процесса рассмотрения оставшихся дел в отн</w:t>
            </w:r>
            <w:r>
              <w:t>о</w:t>
            </w:r>
            <w:r>
              <w:t>шении нарушений прав человека, совершенных государственными силами без</w:t>
            </w:r>
            <w:r>
              <w:t>о</w:t>
            </w:r>
            <w:r>
              <w:t>пасности в ходе внутреннего вооруженного конфликта, и приведению ныне</w:t>
            </w:r>
            <w:r>
              <w:t>ш</w:t>
            </w:r>
            <w:r>
              <w:t>него уголовного законодательства по терроризму в соответствие с применим</w:t>
            </w:r>
            <w:r>
              <w:t>ы</w:t>
            </w:r>
            <w:r>
              <w:t>ми международными правозащитными стандартами. Он также рекомендует о</w:t>
            </w:r>
            <w:r>
              <w:t>т</w:t>
            </w:r>
            <w:r>
              <w:t>менить Законодательный указ № 1095 на том основании, что он опирается на неверное толкование того, как должно применяться международное гуманита</w:t>
            </w:r>
            <w:r>
              <w:t>р</w:t>
            </w:r>
            <w:r>
              <w:t>ное право.</w:t>
            </w:r>
          </w:p>
          <w:p w:rsidR="00000000" w:rsidRDefault="00000000">
            <w:pPr>
              <w:pStyle w:val="SingleTxtGR"/>
              <w:rPr>
                <w:lang w:eastAsia="ru-RU"/>
              </w:rPr>
            </w:pPr>
            <w:r>
              <w:tab/>
              <w:t>Выполнение этих рекомендаций поможет правительству не только пр</w:t>
            </w:r>
            <w:r>
              <w:t>о</w:t>
            </w:r>
            <w:r>
              <w:t>двинуться вперед в деле обеспечения соблюдения государством его междун</w:t>
            </w:r>
            <w:r>
              <w:t>а</w:t>
            </w:r>
            <w:r>
              <w:t>родных правозащитных обязательств, но и устранить условия, благоприятс</w:t>
            </w:r>
            <w:r>
              <w:t>т</w:t>
            </w:r>
            <w:r>
              <w:t>вующие терроризму, и, не в последнюю очередь, еще более повысить эффе</w:t>
            </w:r>
            <w:r>
              <w:t>к</w:t>
            </w:r>
            <w:r>
              <w:t>тивность легитимных контртеррористич</w:t>
            </w:r>
            <w:r>
              <w:t>е</w:t>
            </w:r>
            <w:r>
              <w:t>ских мер.</w:t>
            </w:r>
          </w:p>
        </w:tc>
      </w:tr>
    </w:tbl>
    <w:p w:rsidR="00000000" w:rsidRDefault="00000000">
      <w:pPr>
        <w:rPr>
          <w:lang w:eastAsia="ru-RU"/>
        </w:rPr>
      </w:pPr>
    </w:p>
    <w:p w:rsidR="00000000" w:rsidRDefault="00000000">
      <w:pPr>
        <w:pStyle w:val="HChG"/>
        <w:rPr>
          <w:lang w:val="en-US"/>
        </w:rPr>
      </w:pPr>
      <w:r>
        <w:rPr>
          <w:lang w:eastAsia="ru-RU"/>
        </w:rPr>
        <w:br w:type="page"/>
      </w:r>
      <w:r>
        <w:rPr>
          <w:lang w:val="en-US"/>
        </w:rPr>
        <w:t>Annex</w:t>
      </w:r>
    </w:p>
    <w:p w:rsidR="00000000" w:rsidRDefault="00000000">
      <w:pPr>
        <w:pStyle w:val="HChG"/>
        <w:rPr>
          <w:lang w:val="en-US"/>
        </w:rPr>
      </w:pPr>
      <w:r>
        <w:tab/>
      </w:r>
      <w:r>
        <w:tab/>
        <w:t xml:space="preserve">Report of the Special </w:t>
      </w:r>
      <w:proofErr w:type="spellStart"/>
      <w:r>
        <w:t>Rapporteur</w:t>
      </w:r>
      <w:proofErr w:type="spellEnd"/>
      <w:r>
        <w:t xml:space="preserve"> on the promotion and protection of human rights and fundamental freedoms while countering terrorism on his mission to Peru</w:t>
      </w:r>
    </w:p>
    <w:p w:rsidR="00000000" w:rsidRDefault="00000000">
      <w:pPr>
        <w:spacing w:after="120"/>
        <w:rPr>
          <w:sz w:val="28"/>
          <w:lang w:val="fr-FR"/>
        </w:rPr>
      </w:pPr>
      <w:r>
        <w:rPr>
          <w:sz w:val="28"/>
          <w:lang w:val="fr-FR"/>
        </w:rPr>
        <w:t>Contents</w:t>
      </w:r>
    </w:p>
    <w:p w:rsidR="00000000" w:rsidRDefault="00000000">
      <w:pPr>
        <w:tabs>
          <w:tab w:val="right" w:pos="8929"/>
          <w:tab w:val="right" w:pos="9638"/>
        </w:tabs>
        <w:spacing w:after="120"/>
        <w:ind w:left="283"/>
        <w:rPr>
          <w:lang w:val="fr-FR"/>
        </w:rPr>
      </w:pPr>
      <w:r>
        <w:rPr>
          <w:i/>
          <w:sz w:val="18"/>
          <w:lang w:val="fr-FR"/>
        </w:rPr>
        <w:tab/>
      </w:r>
      <w:proofErr w:type="spellStart"/>
      <w:r>
        <w:rPr>
          <w:i/>
          <w:sz w:val="18"/>
          <w:lang w:val="fr-FR"/>
        </w:rPr>
        <w:t>Paragraphs</w:t>
      </w:r>
      <w:proofErr w:type="spellEnd"/>
      <w:r>
        <w:rPr>
          <w:i/>
          <w:sz w:val="18"/>
          <w:lang w:val="fr-FR"/>
        </w:rPr>
        <w:tab/>
        <w:t>Page</w:t>
      </w:r>
    </w:p>
    <w:p w:rsidR="00000000" w:rsidRDefault="00000000">
      <w:pPr>
        <w:tabs>
          <w:tab w:val="right" w:pos="850"/>
          <w:tab w:val="left" w:pos="1134"/>
          <w:tab w:val="left" w:pos="1559"/>
          <w:tab w:val="left" w:pos="1984"/>
          <w:tab w:val="left" w:leader="dot" w:pos="7654"/>
          <w:tab w:val="right" w:pos="8929"/>
          <w:tab w:val="right" w:pos="9638"/>
        </w:tabs>
        <w:spacing w:after="120"/>
        <w:rPr>
          <w:lang w:val="fr-FR"/>
        </w:rPr>
      </w:pPr>
      <w:r>
        <w:rPr>
          <w:bCs/>
          <w:lang w:val="fr-FR"/>
        </w:rPr>
        <w:tab/>
        <w:t>I.</w:t>
      </w:r>
      <w:r>
        <w:rPr>
          <w:bCs/>
          <w:lang w:val="fr-FR"/>
        </w:rPr>
        <w:tab/>
        <w:t>Introduction</w:t>
      </w:r>
      <w:r>
        <w:rPr>
          <w:bCs/>
          <w:lang w:val="fr-FR"/>
        </w:rPr>
        <w:tab/>
      </w:r>
      <w:r>
        <w:rPr>
          <w:bCs/>
          <w:lang w:val="fr-FR"/>
        </w:rPr>
        <w:tab/>
      </w:r>
      <w:r>
        <w:rPr>
          <w:lang w:val="fr-FR"/>
        </w:rPr>
        <w:t>1–4</w:t>
      </w:r>
      <w:r>
        <w:rPr>
          <w:lang w:val="fr-FR"/>
        </w:rPr>
        <w:tab/>
        <w:t>4</w:t>
      </w:r>
    </w:p>
    <w:p w:rsidR="00000000" w:rsidRDefault="00000000">
      <w:pPr>
        <w:tabs>
          <w:tab w:val="right" w:pos="850"/>
          <w:tab w:val="left" w:pos="1134"/>
          <w:tab w:val="left" w:pos="1559"/>
          <w:tab w:val="left" w:pos="1984"/>
          <w:tab w:val="left" w:leader="dot" w:pos="7654"/>
          <w:tab w:val="right" w:pos="8929"/>
          <w:tab w:val="right" w:pos="9638"/>
        </w:tabs>
        <w:ind w:left="1134" w:hanging="1134"/>
        <w:rPr>
          <w:lang w:val="en-US"/>
        </w:rPr>
      </w:pPr>
      <w:r>
        <w:rPr>
          <w:lang w:val="fr-FR"/>
        </w:rPr>
        <w:tab/>
      </w:r>
      <w:r>
        <w:rPr>
          <w:lang w:val="en-US"/>
        </w:rPr>
        <w:t>II.</w:t>
      </w:r>
      <w:r>
        <w:rPr>
          <w:lang w:val="en-US"/>
        </w:rPr>
        <w:tab/>
        <w:t xml:space="preserve">Measures to support victims of terrorist crimes and of counter-terrorism </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n-US"/>
        </w:rPr>
      </w:pPr>
      <w:r>
        <w:rPr>
          <w:lang w:val="en-US"/>
        </w:rPr>
        <w:tab/>
      </w:r>
      <w:r>
        <w:rPr>
          <w:lang w:val="en-US"/>
        </w:rPr>
        <w:tab/>
        <w:t>measures during the internal armed conflict (1980-2000)</w:t>
      </w:r>
      <w:r>
        <w:rPr>
          <w:lang w:val="en-US"/>
        </w:rPr>
        <w:tab/>
      </w:r>
      <w:r>
        <w:rPr>
          <w:bCs/>
          <w:lang w:val="en-US"/>
        </w:rPr>
        <w:tab/>
        <w:t>5–21</w:t>
      </w:r>
      <w:r>
        <w:rPr>
          <w:bCs/>
          <w:lang w:val="en-US"/>
        </w:rPr>
        <w:tab/>
        <w:t>5</w:t>
      </w:r>
    </w:p>
    <w:p w:rsidR="00000000" w:rsidRDefault="00000000">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w:t>
      </w:r>
      <w:r>
        <w:rPr>
          <w:lang w:val="en-US"/>
        </w:rPr>
        <w:tab/>
        <w:t>Truth and Reconciliation Commission</w:t>
      </w:r>
      <w:r>
        <w:rPr>
          <w:lang w:val="en-US"/>
        </w:rPr>
        <w:tab/>
      </w:r>
      <w:r>
        <w:rPr>
          <w:lang w:val="en-US"/>
        </w:rPr>
        <w:tab/>
        <w:t>5–6</w:t>
      </w:r>
      <w:r>
        <w:rPr>
          <w:lang w:val="en-US"/>
        </w:rPr>
        <w:tab/>
        <w:t>5</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n-US"/>
        </w:rPr>
      </w:pPr>
      <w:r>
        <w:rPr>
          <w:lang w:val="en-US"/>
        </w:rPr>
        <w:tab/>
      </w:r>
      <w:r>
        <w:rPr>
          <w:lang w:val="en-US"/>
        </w:rPr>
        <w:tab/>
        <w:t>B.</w:t>
      </w:r>
      <w:r>
        <w:rPr>
          <w:lang w:val="en-US"/>
        </w:rPr>
        <w:tab/>
        <w:t xml:space="preserve">Implementation of individual and collective reparation </w:t>
      </w:r>
      <w:proofErr w:type="spellStart"/>
      <w:r>
        <w:rPr>
          <w:lang w:val="en-US"/>
        </w:rPr>
        <w:t>programmes</w:t>
      </w:r>
      <w:proofErr w:type="spellEnd"/>
      <w:r>
        <w:rPr>
          <w:bCs/>
          <w:lang w:val="en-US"/>
        </w:rPr>
        <w:tab/>
      </w:r>
      <w:r>
        <w:rPr>
          <w:bCs/>
          <w:lang w:val="en-US"/>
        </w:rPr>
        <w:tab/>
        <w:t>7–13</w:t>
      </w:r>
      <w:r>
        <w:rPr>
          <w:bCs/>
          <w:lang w:val="en-US"/>
        </w:rPr>
        <w:tab/>
        <w:t>5</w:t>
      </w:r>
    </w:p>
    <w:p w:rsidR="00000000" w:rsidRDefault="00000000">
      <w:pPr>
        <w:tabs>
          <w:tab w:val="right" w:pos="850"/>
          <w:tab w:val="left" w:pos="1134"/>
          <w:tab w:val="left" w:pos="1559"/>
          <w:tab w:val="left" w:pos="1984"/>
          <w:tab w:val="left" w:leader="dot" w:pos="7654"/>
          <w:tab w:val="right" w:pos="8929"/>
          <w:tab w:val="right" w:pos="9638"/>
        </w:tabs>
        <w:rPr>
          <w:lang w:val="en-US"/>
        </w:rPr>
      </w:pPr>
      <w:r>
        <w:rPr>
          <w:lang w:val="en-US"/>
        </w:rPr>
        <w:tab/>
      </w:r>
      <w:r>
        <w:rPr>
          <w:lang w:val="en-US"/>
        </w:rPr>
        <w:tab/>
        <w:t>C.</w:t>
      </w:r>
      <w:r>
        <w:rPr>
          <w:lang w:val="en-US"/>
        </w:rPr>
        <w:tab/>
        <w:t xml:space="preserve">Investigation, prosecution and trials of State officials involved in </w:t>
      </w:r>
    </w:p>
    <w:p w:rsidR="00000000" w:rsidRDefault="00000000">
      <w:pPr>
        <w:tabs>
          <w:tab w:val="right" w:pos="850"/>
          <w:tab w:val="left" w:pos="1134"/>
          <w:tab w:val="left" w:pos="1559"/>
          <w:tab w:val="left" w:pos="1984"/>
          <w:tab w:val="left" w:leader="dot" w:pos="7654"/>
          <w:tab w:val="right" w:pos="8929"/>
          <w:tab w:val="right" w:pos="9638"/>
        </w:tabs>
        <w:rPr>
          <w:lang w:val="en-US"/>
        </w:rPr>
      </w:pPr>
      <w:r>
        <w:rPr>
          <w:lang w:val="en-US"/>
        </w:rPr>
        <w:tab/>
      </w:r>
      <w:r>
        <w:rPr>
          <w:lang w:val="en-US"/>
        </w:rPr>
        <w:tab/>
      </w:r>
      <w:r>
        <w:rPr>
          <w:lang w:val="en-US"/>
        </w:rPr>
        <w:tab/>
        <w:t xml:space="preserve">human rights violations committed within the framework of </w:t>
      </w:r>
    </w:p>
    <w:p w:rsidR="00000000" w:rsidRDefault="00000000">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Pr>
          <w:lang w:val="en-US"/>
        </w:rPr>
        <w:tab/>
        <w:t>counter-terrorism operations</w:t>
      </w:r>
      <w:r>
        <w:rPr>
          <w:lang w:val="en-US"/>
        </w:rPr>
        <w:tab/>
      </w:r>
      <w:r>
        <w:rPr>
          <w:lang w:val="en-US"/>
        </w:rPr>
        <w:tab/>
        <w:t>14–20</w:t>
      </w:r>
      <w:r>
        <w:rPr>
          <w:lang w:val="en-US"/>
        </w:rPr>
        <w:tab/>
        <w:t>8</w:t>
      </w:r>
    </w:p>
    <w:p w:rsidR="00000000" w:rsidRDefault="00000000">
      <w:pPr>
        <w:tabs>
          <w:tab w:val="right" w:pos="850"/>
          <w:tab w:val="left" w:pos="1134"/>
          <w:tab w:val="left" w:pos="1559"/>
          <w:tab w:val="left" w:pos="1984"/>
          <w:tab w:val="left" w:leader="dot" w:pos="7654"/>
          <w:tab w:val="right" w:pos="8929"/>
          <w:tab w:val="right" w:pos="9638"/>
        </w:tabs>
        <w:rPr>
          <w:lang w:val="en-US"/>
        </w:rPr>
      </w:pPr>
      <w:r>
        <w:rPr>
          <w:lang w:val="en-US"/>
        </w:rPr>
        <w:tab/>
      </w:r>
      <w:r>
        <w:rPr>
          <w:lang w:val="en-US"/>
        </w:rPr>
        <w:tab/>
        <w:t>D.</w:t>
      </w:r>
      <w:r>
        <w:rPr>
          <w:lang w:val="en-US"/>
        </w:rPr>
        <w:tab/>
        <w:t xml:space="preserve">Measures to remedy the consequences of the application of earlier </w:t>
      </w:r>
    </w:p>
    <w:p w:rsidR="00000000" w:rsidRDefault="00000000">
      <w:pPr>
        <w:tabs>
          <w:tab w:val="right" w:pos="850"/>
          <w:tab w:val="left" w:pos="1134"/>
          <w:tab w:val="left" w:pos="1559"/>
          <w:tab w:val="left" w:pos="1984"/>
          <w:tab w:val="left" w:leader="dot" w:pos="7654"/>
          <w:tab w:val="right" w:pos="8929"/>
          <w:tab w:val="right" w:pos="9638"/>
        </w:tabs>
        <w:rPr>
          <w:lang w:val="en-US"/>
        </w:rPr>
      </w:pPr>
      <w:r>
        <w:rPr>
          <w:lang w:val="en-US"/>
        </w:rPr>
        <w:tab/>
      </w:r>
      <w:r>
        <w:rPr>
          <w:lang w:val="en-US"/>
        </w:rPr>
        <w:tab/>
      </w:r>
      <w:r>
        <w:rPr>
          <w:lang w:val="en-US"/>
        </w:rPr>
        <w:tab/>
        <w:t xml:space="preserve">counter-terrorism legislation that was contrary to international </w:t>
      </w:r>
    </w:p>
    <w:p w:rsidR="00000000" w:rsidRDefault="00000000">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Pr>
          <w:lang w:val="en-US"/>
        </w:rPr>
        <w:tab/>
        <w:t>human rights standards</w:t>
      </w:r>
      <w:r>
        <w:rPr>
          <w:lang w:val="en-US"/>
        </w:rPr>
        <w:tab/>
      </w:r>
      <w:r>
        <w:rPr>
          <w:lang w:val="en-US"/>
        </w:rPr>
        <w:tab/>
        <w:t>21</w:t>
      </w:r>
      <w:r>
        <w:rPr>
          <w:lang w:val="en-US"/>
        </w:rPr>
        <w:tab/>
        <w:t>11</w:t>
      </w:r>
    </w:p>
    <w:p w:rsidR="00000000" w:rsidRDefault="00000000">
      <w:pPr>
        <w:tabs>
          <w:tab w:val="right" w:pos="850"/>
          <w:tab w:val="left" w:pos="1134"/>
          <w:tab w:val="left" w:pos="1559"/>
          <w:tab w:val="left" w:pos="1984"/>
          <w:tab w:val="left" w:leader="dot" w:pos="7654"/>
          <w:tab w:val="right" w:pos="8929"/>
          <w:tab w:val="right" w:pos="9638"/>
        </w:tabs>
        <w:spacing w:after="120"/>
        <w:rPr>
          <w:lang w:val="en-US"/>
        </w:rPr>
      </w:pPr>
      <w:r>
        <w:rPr>
          <w:bCs/>
          <w:lang w:val="en-US"/>
        </w:rPr>
        <w:tab/>
        <w:t>III.</w:t>
      </w:r>
      <w:r>
        <w:rPr>
          <w:bCs/>
          <w:lang w:val="en-US"/>
        </w:rPr>
        <w:tab/>
      </w:r>
      <w:r>
        <w:rPr>
          <w:lang w:val="en-US"/>
        </w:rPr>
        <w:t>Current legislative counter-terrorism framework and related issues</w:t>
      </w:r>
      <w:r>
        <w:rPr>
          <w:bCs/>
          <w:lang w:val="en-US"/>
        </w:rPr>
        <w:tab/>
      </w:r>
      <w:r>
        <w:rPr>
          <w:bCs/>
          <w:lang w:val="en-US"/>
        </w:rPr>
        <w:tab/>
        <w:t>22–36</w:t>
      </w:r>
      <w:r>
        <w:rPr>
          <w:bCs/>
          <w:lang w:val="en-US"/>
        </w:rPr>
        <w:tab/>
        <w:t>12</w:t>
      </w:r>
    </w:p>
    <w:p w:rsidR="00000000" w:rsidRDefault="00000000">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w:t>
      </w:r>
      <w:r>
        <w:rPr>
          <w:lang w:val="en-US"/>
        </w:rPr>
        <w:tab/>
        <w:t>Definition of terrorism</w:t>
      </w:r>
      <w:r>
        <w:rPr>
          <w:lang w:val="en-US"/>
        </w:rPr>
        <w:tab/>
      </w:r>
      <w:r>
        <w:rPr>
          <w:lang w:val="en-US"/>
        </w:rPr>
        <w:tab/>
        <w:t>22–25</w:t>
      </w:r>
      <w:r>
        <w:rPr>
          <w:lang w:val="en-US"/>
        </w:rPr>
        <w:tab/>
        <w:t>12</w:t>
      </w:r>
    </w:p>
    <w:p w:rsidR="00000000" w:rsidRDefault="00000000">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B.</w:t>
      </w:r>
      <w:r>
        <w:rPr>
          <w:lang w:val="en-US"/>
        </w:rPr>
        <w:tab/>
        <w:t>Collaboration with terrorism and the crime of glorification</w:t>
      </w:r>
      <w:r>
        <w:rPr>
          <w:lang w:val="en-US"/>
        </w:rPr>
        <w:tab/>
      </w:r>
      <w:r>
        <w:rPr>
          <w:lang w:val="en-US"/>
        </w:rPr>
        <w:tab/>
        <w:t>26–28</w:t>
      </w:r>
      <w:r>
        <w:rPr>
          <w:lang w:val="en-US"/>
        </w:rPr>
        <w:tab/>
        <w:t>13</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n-US"/>
        </w:rPr>
      </w:pPr>
      <w:r>
        <w:rPr>
          <w:lang w:val="en-US"/>
        </w:rPr>
        <w:tab/>
      </w:r>
      <w:r>
        <w:rPr>
          <w:lang w:val="en-US"/>
        </w:rPr>
        <w:tab/>
        <w:t>C.</w:t>
      </w:r>
      <w:r>
        <w:rPr>
          <w:lang w:val="en-US"/>
        </w:rPr>
        <w:tab/>
      </w:r>
      <w:r>
        <w:rPr>
          <w:bCs/>
          <w:lang w:val="en-US"/>
        </w:rPr>
        <w:t>Penitentiary benefits for terrorist convicts</w:t>
      </w:r>
      <w:r>
        <w:rPr>
          <w:bCs/>
          <w:lang w:val="en-US"/>
        </w:rPr>
        <w:tab/>
      </w:r>
      <w:r>
        <w:rPr>
          <w:bCs/>
          <w:lang w:val="en-US"/>
        </w:rPr>
        <w:tab/>
        <w:t>29–30</w:t>
      </w:r>
      <w:r>
        <w:rPr>
          <w:bCs/>
          <w:lang w:val="en-US"/>
        </w:rPr>
        <w:tab/>
        <w:t>15</w:t>
      </w:r>
    </w:p>
    <w:p w:rsidR="00000000" w:rsidRDefault="00000000">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D.</w:t>
      </w:r>
      <w:r>
        <w:rPr>
          <w:lang w:val="en-US"/>
        </w:rPr>
        <w:tab/>
        <w:t>States of emergency and the regulation of the use of force by the armed</w:t>
      </w:r>
      <w:r>
        <w:rPr>
          <w:lang w:val="en-US"/>
        </w:rPr>
        <w:br/>
      </w:r>
      <w:r>
        <w:rPr>
          <w:lang w:val="en-US"/>
        </w:rPr>
        <w:tab/>
      </w:r>
      <w:r>
        <w:rPr>
          <w:lang w:val="en-US"/>
        </w:rPr>
        <w:tab/>
      </w:r>
      <w:r>
        <w:rPr>
          <w:lang w:val="en-US"/>
        </w:rPr>
        <w:tab/>
        <w:t>forces and the police</w:t>
      </w:r>
      <w:r>
        <w:rPr>
          <w:lang w:val="en-US"/>
        </w:rPr>
        <w:tab/>
      </w:r>
      <w:r>
        <w:rPr>
          <w:lang w:val="en-US"/>
        </w:rPr>
        <w:tab/>
        <w:t>31–34</w:t>
      </w:r>
      <w:r>
        <w:rPr>
          <w:lang w:val="en-US"/>
        </w:rPr>
        <w:tab/>
        <w:t>15</w:t>
      </w:r>
    </w:p>
    <w:p w:rsidR="00000000" w:rsidRDefault="00000000">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E.</w:t>
      </w:r>
      <w:r>
        <w:rPr>
          <w:lang w:val="en-US"/>
        </w:rPr>
        <w:tab/>
      </w:r>
      <w:r>
        <w:rPr>
          <w:bCs/>
          <w:lang w:val="en-US"/>
        </w:rPr>
        <w:t>Stigmatization of human rights defenders</w:t>
      </w:r>
      <w:r>
        <w:rPr>
          <w:bCs/>
          <w:lang w:val="en-US"/>
        </w:rPr>
        <w:tab/>
      </w:r>
      <w:r>
        <w:rPr>
          <w:bCs/>
          <w:lang w:val="en-US"/>
        </w:rPr>
        <w:tab/>
        <w:t>35</w:t>
      </w:r>
      <w:r>
        <w:rPr>
          <w:bCs/>
          <w:lang w:val="en-US"/>
        </w:rPr>
        <w:tab/>
        <w:t>17</w:t>
      </w:r>
    </w:p>
    <w:p w:rsidR="00000000" w:rsidRDefault="00000000">
      <w:pPr>
        <w:tabs>
          <w:tab w:val="right" w:pos="850"/>
          <w:tab w:val="left" w:pos="1134"/>
          <w:tab w:val="left" w:pos="1559"/>
          <w:tab w:val="left" w:pos="1984"/>
          <w:tab w:val="left" w:leader="dot" w:pos="7654"/>
          <w:tab w:val="right" w:pos="8929"/>
          <w:tab w:val="right" w:pos="9638"/>
        </w:tabs>
        <w:spacing w:after="120"/>
        <w:rPr>
          <w:lang w:val="en-US"/>
        </w:rPr>
      </w:pPr>
      <w:r>
        <w:rPr>
          <w:lang w:val="en-US"/>
        </w:rPr>
        <w:tab/>
        <w:t>IV.</w:t>
      </w:r>
      <w:r>
        <w:rPr>
          <w:lang w:val="en-US"/>
        </w:rPr>
        <w:tab/>
        <w:t>Conclusions and recommendations</w:t>
      </w:r>
      <w:r>
        <w:rPr>
          <w:lang w:val="en-US"/>
        </w:rPr>
        <w:tab/>
      </w:r>
      <w:r>
        <w:rPr>
          <w:lang w:val="en-US"/>
        </w:rPr>
        <w:tab/>
        <w:t>36–47</w:t>
      </w:r>
      <w:r>
        <w:rPr>
          <w:lang w:val="en-US"/>
        </w:rPr>
        <w:tab/>
        <w:t>17</w:t>
      </w:r>
    </w:p>
    <w:p w:rsidR="00000000" w:rsidRDefault="00000000">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w:t>
      </w:r>
      <w:r>
        <w:rPr>
          <w:lang w:val="en-US"/>
        </w:rPr>
        <w:tab/>
        <w:t>Conclusions</w:t>
      </w:r>
      <w:r>
        <w:rPr>
          <w:lang w:val="en-US"/>
        </w:rPr>
        <w:tab/>
      </w:r>
      <w:r>
        <w:rPr>
          <w:lang w:val="en-US"/>
        </w:rPr>
        <w:tab/>
        <w:t>36–37</w:t>
      </w:r>
      <w:r>
        <w:rPr>
          <w:lang w:val="en-US"/>
        </w:rPr>
        <w:tab/>
        <w:t>17</w:t>
      </w:r>
    </w:p>
    <w:p w:rsidR="00000000" w:rsidRDefault="00000000">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B.</w:t>
      </w:r>
      <w:r>
        <w:rPr>
          <w:lang w:val="en-US"/>
        </w:rPr>
        <w:tab/>
        <w:t>Recommendations</w:t>
      </w:r>
      <w:r>
        <w:rPr>
          <w:lang w:val="en-US"/>
        </w:rPr>
        <w:tab/>
      </w:r>
      <w:r>
        <w:rPr>
          <w:lang w:val="en-US"/>
        </w:rPr>
        <w:tab/>
        <w:t>38–47</w:t>
      </w:r>
      <w:r>
        <w:rPr>
          <w:lang w:val="en-US"/>
        </w:rPr>
        <w:tab/>
        <w:t>18</w:t>
      </w:r>
    </w:p>
    <w:p w:rsidR="00000000" w:rsidRDefault="00000000">
      <w:pPr>
        <w:pStyle w:val="HChG"/>
      </w:pPr>
      <w:r>
        <w:rPr>
          <w:lang w:val="en-US"/>
        </w:rPr>
        <w:br w:type="page"/>
      </w:r>
      <w:r>
        <w:tab/>
        <w:t>I.</w:t>
      </w:r>
      <w:r>
        <w:tab/>
        <w:t>Introduction</w:t>
      </w:r>
    </w:p>
    <w:p w:rsidR="00000000" w:rsidRDefault="00000000">
      <w:pPr>
        <w:pStyle w:val="SingleTxtG"/>
      </w:pPr>
      <w:r>
        <w:t>1.</w:t>
      </w:r>
      <w:r>
        <w:tab/>
        <w:t xml:space="preserve">The Special </w:t>
      </w:r>
      <w:proofErr w:type="spellStart"/>
      <w:r>
        <w:t>Rapporteur</w:t>
      </w:r>
      <w:proofErr w:type="spellEnd"/>
      <w:r>
        <w:t xml:space="preserve"> on the promotion and protection of human rights and fundamental freedoms while countering terrorism visited Peru from 1 to 8 September 2010 at the invitation of the Government. The Special </w:t>
      </w:r>
      <w:proofErr w:type="spellStart"/>
      <w:r>
        <w:t>Rapporteur</w:t>
      </w:r>
      <w:proofErr w:type="spellEnd"/>
      <w:r>
        <w:t xml:space="preserve"> would like to thank the Government of Peru and all his other interlocutors for their fine cooperation in the realization of a successful mission.</w:t>
      </w:r>
    </w:p>
    <w:p w:rsidR="00000000" w:rsidRDefault="00000000">
      <w:pPr>
        <w:pStyle w:val="SingleTxtG"/>
      </w:pPr>
      <w:r>
        <w:t xml:space="preserve">2. </w:t>
      </w:r>
      <w:r>
        <w:tab/>
        <w:t xml:space="preserve">During his visit, the Special </w:t>
      </w:r>
      <w:proofErr w:type="spellStart"/>
      <w:r>
        <w:t>Rapporteur</w:t>
      </w:r>
      <w:proofErr w:type="spellEnd"/>
      <w:r>
        <w:t xml:space="preserve"> visited Lima, Ayacucho and Cusco. He met with the Ministers for Foreign Affairs and for Defence, and with Government officials from the Ministries of Foreign Affairs, of Justice and of the Interior, as well as with prosecutors and officials from the armed forces, the police and the intelligence service. He also had meetings with parliamentarians, justices of the Supreme Court and other members of the judiciary, the Ombudsperson and her regional representatives, the President of the Truth and Reconciliation Commission, and regional and local authorities in Ayacucho and Cusco. In Miguel Castro </w:t>
      </w:r>
      <w:proofErr w:type="spellStart"/>
      <w:r>
        <w:t>Castro</w:t>
      </w:r>
      <w:proofErr w:type="spellEnd"/>
      <w:r>
        <w:t xml:space="preserve"> Prison in Lima and in </w:t>
      </w:r>
      <w:proofErr w:type="spellStart"/>
      <w:r>
        <w:t>Yanamilla</w:t>
      </w:r>
      <w:proofErr w:type="spellEnd"/>
      <w:r>
        <w:t xml:space="preserve"> Prison in Ayacucho, he was also able to privately interview suspects and convicts of terrorism-related crimes. He met with representatives of civil society, including non-governmental organizations, academics, lawyers, representatives of local, indigenous and peasant communities and of internally displaced persons, victims of terrorism, victims of human rights violations committed by State authorities during the fight against terrorism and members of compensation commissions. The Special </w:t>
      </w:r>
      <w:proofErr w:type="spellStart"/>
      <w:r>
        <w:t>Rapporteur</w:t>
      </w:r>
      <w:proofErr w:type="spellEnd"/>
      <w:r>
        <w:t xml:space="preserve"> also visited a resettled community of internally displaced persons and met with leaders from returned communities.</w:t>
      </w:r>
    </w:p>
    <w:p w:rsidR="00000000" w:rsidRDefault="00000000">
      <w:pPr>
        <w:pStyle w:val="SingleTxtG"/>
      </w:pPr>
      <w:r>
        <w:t xml:space="preserve">3. </w:t>
      </w:r>
      <w:r>
        <w:tab/>
        <w:t xml:space="preserve">Coinciding with the country’s transition to democracy after more than 10 years of military rule, the terrorist organization </w:t>
      </w:r>
      <w:proofErr w:type="spellStart"/>
      <w:r>
        <w:t>Partido</w:t>
      </w:r>
      <w:proofErr w:type="spellEnd"/>
      <w:r>
        <w:t xml:space="preserve"> </w:t>
      </w:r>
      <w:proofErr w:type="spellStart"/>
      <w:r>
        <w:t>Comunista</w:t>
      </w:r>
      <w:proofErr w:type="spellEnd"/>
      <w:r>
        <w:t xml:space="preserve"> del </w:t>
      </w:r>
      <w:proofErr w:type="spellStart"/>
      <w:r>
        <w:t>Perú</w:t>
      </w:r>
      <w:proofErr w:type="spellEnd"/>
      <w:r>
        <w:t xml:space="preserve"> – </w:t>
      </w:r>
      <w:proofErr w:type="spellStart"/>
      <w:r>
        <w:t>Sendero</w:t>
      </w:r>
      <w:proofErr w:type="spellEnd"/>
      <w:r>
        <w:t xml:space="preserve"> </w:t>
      </w:r>
      <w:proofErr w:type="spellStart"/>
      <w:r>
        <w:t>Luminoso</w:t>
      </w:r>
      <w:proofErr w:type="spellEnd"/>
      <w:r>
        <w:t xml:space="preserve"> (“Shining Path”) carried out its first acts of violence in May 1980. Following that incident, an internal armed conflict continued in the country for 20 years and led to the death or disappearance of 69,000 people, either as a consequence of the violence carried out by terrorist organizations or of the counter-terrorism activities conducted by the State. The Truth and Reconciliation Commission, which was established in the aftermath of the conflict, comprehensively documented the tragedies of the conflict and issued recommendations on measures to be taken by the Government in order to compensate for suffering, consolidate democracy and strengthen respect for human rights within the rule of law. He also learned about the important trial and conviction in 2006 of </w:t>
      </w:r>
      <w:proofErr w:type="spellStart"/>
      <w:r>
        <w:t>Abimael</w:t>
      </w:r>
      <w:proofErr w:type="spellEnd"/>
      <w:r>
        <w:t xml:space="preserve"> </w:t>
      </w:r>
      <w:proofErr w:type="spellStart"/>
      <w:r>
        <w:t>Guzmán</w:t>
      </w:r>
      <w:proofErr w:type="spellEnd"/>
      <w:r>
        <w:t xml:space="preserve">, leader of </w:t>
      </w:r>
      <w:proofErr w:type="spellStart"/>
      <w:r>
        <w:t>Sendero</w:t>
      </w:r>
      <w:proofErr w:type="spellEnd"/>
      <w:r>
        <w:t xml:space="preserve"> </w:t>
      </w:r>
      <w:proofErr w:type="spellStart"/>
      <w:r>
        <w:t>Luminoso</w:t>
      </w:r>
      <w:proofErr w:type="spellEnd"/>
      <w:r>
        <w:t xml:space="preserve">, and the equally significant criminal proceedings that confirmed the guilt of former President Alberto Fujimori </w:t>
      </w:r>
      <w:proofErr w:type="spellStart"/>
      <w:r>
        <w:t>Fujimori</w:t>
      </w:r>
      <w:proofErr w:type="spellEnd"/>
      <w:r>
        <w:t xml:space="preserve"> for human rights violations committed in the name of counter-terrorism.</w:t>
      </w:r>
    </w:p>
    <w:p w:rsidR="00000000" w:rsidRDefault="00000000">
      <w:pPr>
        <w:pStyle w:val="SingleTxtG"/>
      </w:pPr>
      <w:r>
        <w:t xml:space="preserve">4. </w:t>
      </w:r>
      <w:r>
        <w:tab/>
        <w:t xml:space="preserve">In his earlier reports, the Special </w:t>
      </w:r>
      <w:proofErr w:type="spellStart"/>
      <w:r>
        <w:t>Rapporteur</w:t>
      </w:r>
      <w:proofErr w:type="spellEnd"/>
      <w:r>
        <w:t xml:space="preserve"> emphasized that acts of terrorism amounted to the destruction of human rights. He is also aware of the damage caused by the internal armed conflict on the country’s economic and social development. While it remained unclear whether the terrorist organization </w:t>
      </w:r>
      <w:proofErr w:type="spellStart"/>
      <w:r>
        <w:t>Movimiento</w:t>
      </w:r>
      <w:proofErr w:type="spellEnd"/>
      <w:r>
        <w:t xml:space="preserve"> </w:t>
      </w:r>
      <w:proofErr w:type="spellStart"/>
      <w:r>
        <w:t>Revolucionario</w:t>
      </w:r>
      <w:proofErr w:type="spellEnd"/>
      <w:r>
        <w:t xml:space="preserve"> </w:t>
      </w:r>
      <w:proofErr w:type="spellStart"/>
      <w:r>
        <w:t>Túpac</w:t>
      </w:r>
      <w:proofErr w:type="spellEnd"/>
      <w:r>
        <w:t xml:space="preserve"> </w:t>
      </w:r>
      <w:proofErr w:type="spellStart"/>
      <w:r>
        <w:t>Amaru</w:t>
      </w:r>
      <w:proofErr w:type="spellEnd"/>
      <w:r>
        <w:t xml:space="preserve">, which participated actively in the conflict, still carries arms, the Peruvian authorities  consider the remnants of </w:t>
      </w:r>
      <w:proofErr w:type="spellStart"/>
      <w:r>
        <w:t>Sendero</w:t>
      </w:r>
      <w:proofErr w:type="spellEnd"/>
      <w:r>
        <w:t xml:space="preserve"> </w:t>
      </w:r>
      <w:proofErr w:type="spellStart"/>
      <w:r>
        <w:t>Luminoso</w:t>
      </w:r>
      <w:proofErr w:type="spellEnd"/>
      <w:r>
        <w:t xml:space="preserve">, which today operate in the regions of Valle de los Rios Apurímac y </w:t>
      </w:r>
      <w:proofErr w:type="spellStart"/>
      <w:r>
        <w:t>Ene</w:t>
      </w:r>
      <w:proofErr w:type="spellEnd"/>
      <w:r>
        <w:t xml:space="preserve"> (</w:t>
      </w:r>
      <w:proofErr w:type="spellStart"/>
      <w:r>
        <w:t>VRAE</w:t>
      </w:r>
      <w:proofErr w:type="spellEnd"/>
      <w:r>
        <w:t>) and Valle del Alto Huallaga regions, a security threat. The Government of Peru participates in international counter-terrorism activities at the level of the United Nations and within the Inter-American framework through, for example, international cooperation against money laundering and financing of transnational and organized crime, including terrorism, as part of the South American Financial Action Task Force. Although Peru does not currently perceive the phenomenon of international terrorism to be a threat against its own national security, it is aware of the global threat of international terrorism.</w:t>
      </w:r>
    </w:p>
    <w:p w:rsidR="00000000" w:rsidRDefault="00000000">
      <w:pPr>
        <w:pStyle w:val="HChG"/>
      </w:pPr>
      <w:r>
        <w:tab/>
        <w:t>II.</w:t>
      </w:r>
      <w:r>
        <w:tab/>
        <w:t>Measures to support victims of terrorist crimes and of counter-terrorism measures during the internal armed conflict (1980-2000)</w:t>
      </w:r>
    </w:p>
    <w:p w:rsidR="00000000" w:rsidRDefault="00000000">
      <w:pPr>
        <w:pStyle w:val="H1G"/>
      </w:pPr>
      <w:r>
        <w:tab/>
        <w:t xml:space="preserve">A. </w:t>
      </w:r>
      <w:r>
        <w:tab/>
        <w:t>Truth and Reconciliation Commission</w:t>
      </w:r>
    </w:p>
    <w:p w:rsidR="00000000" w:rsidRDefault="00000000">
      <w:pPr>
        <w:pStyle w:val="SingleTxtG"/>
      </w:pPr>
      <w:r>
        <w:t xml:space="preserve">5. </w:t>
      </w:r>
      <w:r>
        <w:tab/>
        <w:t>The Truth and Reconciliation Commission was established in September 2001</w:t>
      </w:r>
      <w:r>
        <w:rPr>
          <w:rStyle w:val="FootnoteReference"/>
        </w:rPr>
        <w:footnoteReference w:id="2"/>
      </w:r>
      <w:r>
        <w:t xml:space="preserve"> with the purpose of clarifying the processes, acts and responsibilities connected to the violence that took place in Peru between May 1980 and November 2000. The Special </w:t>
      </w:r>
      <w:proofErr w:type="spellStart"/>
      <w:r>
        <w:t>Rapporteur</w:t>
      </w:r>
      <w:proofErr w:type="spellEnd"/>
      <w:r>
        <w:t xml:space="preserve"> regards as an element of best practice the political decision to establish the Commission and to support its work, which essentially consisted of analysing the different conditions underlying the violence and, in order to contribute to the process of criminal prosecutions, documenting the crimes and human rights violations committed by terrorist organizations and by certain State agents in the conduct of counter-terrorism operations during that period. The Commission proposed reparations for the victims and their families together with a set of recommendations on measures to be taken by the Government in order to promote reconciliation and to prevent the repetition of similar events in the future. The work of the Commission lasted for more than two years and consisted of, inter alia, collecting close to 17,000 testimonies, holding more than 20 public hearings and conducting a number of interviews with different actors. In the view of the Special </w:t>
      </w:r>
      <w:proofErr w:type="spellStart"/>
      <w:r>
        <w:t>Rapporteur</w:t>
      </w:r>
      <w:proofErr w:type="spellEnd"/>
      <w:r>
        <w:t>, its work is an important element of the State’s compliance with its international human rights obligations to ensure that truth and justice are provided to the victims, which has been facilitated by the public nature of the Commission’s work, the wide dissemination of its findings and the investigation of criminal acts. He considers the findings of the Commission, as compiled in its final report of August 2003, a reliable source of information.</w:t>
      </w:r>
    </w:p>
    <w:p w:rsidR="00000000" w:rsidRDefault="00000000">
      <w:pPr>
        <w:pStyle w:val="SingleTxtG"/>
      </w:pPr>
      <w:r>
        <w:t xml:space="preserve">6. </w:t>
      </w:r>
      <w:r>
        <w:tab/>
        <w:t xml:space="preserve">According to the Commission, the majority of the killings and disappearances during the internal armed conflict is attributable to terrorist organizations, that is 54 per cent to </w:t>
      </w:r>
      <w:proofErr w:type="spellStart"/>
      <w:r>
        <w:t>Sendero</w:t>
      </w:r>
      <w:proofErr w:type="spellEnd"/>
      <w:r>
        <w:t xml:space="preserve"> </w:t>
      </w:r>
      <w:proofErr w:type="spellStart"/>
      <w:r>
        <w:t>Luminoso</w:t>
      </w:r>
      <w:proofErr w:type="spellEnd"/>
      <w:r>
        <w:t xml:space="preserve"> and 1.5 per cent to </w:t>
      </w:r>
      <w:proofErr w:type="spellStart"/>
      <w:r>
        <w:t>Movimiento</w:t>
      </w:r>
      <w:proofErr w:type="spellEnd"/>
      <w:r>
        <w:t xml:space="preserve"> </w:t>
      </w:r>
      <w:proofErr w:type="spellStart"/>
      <w:r>
        <w:t>Revolucionario</w:t>
      </w:r>
      <w:proofErr w:type="spellEnd"/>
      <w:r>
        <w:t xml:space="preserve"> </w:t>
      </w:r>
      <w:proofErr w:type="spellStart"/>
      <w:r>
        <w:t>Túpac</w:t>
      </w:r>
      <w:proofErr w:type="spellEnd"/>
      <w:r>
        <w:t xml:space="preserve"> </w:t>
      </w:r>
      <w:proofErr w:type="spellStart"/>
      <w:r>
        <w:t>Amaru</w:t>
      </w:r>
      <w:proofErr w:type="spellEnd"/>
      <w:r>
        <w:t xml:space="preserve">. However, considering that more than 40 per cent of grave human rights violations were committed by members of the security forces, the Special </w:t>
      </w:r>
      <w:proofErr w:type="spellStart"/>
      <w:r>
        <w:t>Rapporteur</w:t>
      </w:r>
      <w:proofErr w:type="spellEnd"/>
      <w:r>
        <w:t xml:space="preserve"> is concerned that some State officials, including some high-ranking Government representatives, still insist on referring to grave human rights violations perpetrated by the State’s security forces as “excesses” and isolated events. The Special </w:t>
      </w:r>
      <w:proofErr w:type="spellStart"/>
      <w:r>
        <w:t>Rapporteur</w:t>
      </w:r>
      <w:proofErr w:type="spellEnd"/>
      <w:r>
        <w:t xml:space="preserve"> acknowledges the intensity and unprecedented scale of the terrorist violence carried out, particularly by </w:t>
      </w:r>
      <w:proofErr w:type="spellStart"/>
      <w:r>
        <w:t>Sendero</w:t>
      </w:r>
      <w:proofErr w:type="spellEnd"/>
      <w:r>
        <w:t xml:space="preserve"> </w:t>
      </w:r>
      <w:proofErr w:type="spellStart"/>
      <w:r>
        <w:t>Luminoso</w:t>
      </w:r>
      <w:proofErr w:type="spellEnd"/>
      <w:r>
        <w:t>; he reiterates, however, that neither this nor the lack of experience or ability of the State security forces to fully grasp the scale and characteristics of the insurgent movements at the time can never justify measures and actions that are in flagrant violation of international human rights.</w:t>
      </w:r>
    </w:p>
    <w:p w:rsidR="00000000" w:rsidRDefault="00000000">
      <w:pPr>
        <w:pStyle w:val="H1G"/>
      </w:pPr>
      <w:r>
        <w:tab/>
        <w:t xml:space="preserve">B. </w:t>
      </w:r>
      <w:r>
        <w:tab/>
        <w:t>Implementation of individual and collective reparation programmes</w:t>
      </w:r>
    </w:p>
    <w:p w:rsidR="00000000" w:rsidRDefault="00000000">
      <w:pPr>
        <w:pStyle w:val="SingleTxtG"/>
      </w:pPr>
      <w:r>
        <w:t xml:space="preserve">7. </w:t>
      </w:r>
      <w:r>
        <w:tab/>
        <w:t>On 29 July 2005, Law No. 28592 was adopted with the objective of establishing the normative framework for a comprehensive reparations plan for victims of violence., in accordance with the conclusions and recommendations issued by the Truth and Reconciliation Commission in its final report. The  implementation of the Law also falls under the strategic guidelines listed in the national human rights plan for the period 2006</w:t>
      </w:r>
      <w:r>
        <w:noBreakHyphen/>
        <w:t>2010.</w:t>
      </w:r>
      <w:r>
        <w:rPr>
          <w:rStyle w:val="FootnoteReference"/>
        </w:rPr>
        <w:footnoteReference w:id="3"/>
      </w:r>
      <w:r>
        <w:t xml:space="preserve"> The Special </w:t>
      </w:r>
      <w:proofErr w:type="spellStart"/>
      <w:r>
        <w:t>Rapporteur</w:t>
      </w:r>
      <w:proofErr w:type="spellEnd"/>
      <w:r>
        <w:t xml:space="preserve"> welcomes the comprehensive nature of the reparation programmes, which include a number of initiatives on the individual as well as the collective level and which, according to the regulation of Law No. 28592, explicitly aim at recognizing victims as such and have the objective of allowing them access to justice, the restoration of their rights, the resolution of the consequences stemming from the violation of their human rights and material and moral reparation, whether specific or symbolic, for the damage that they have suffered.</w:t>
      </w:r>
      <w:r>
        <w:rPr>
          <w:rStyle w:val="FootnoteReference"/>
        </w:rPr>
        <w:footnoteReference w:id="4"/>
      </w:r>
      <w:r>
        <w:t xml:space="preserve"> He notes with appreciation the inclusive definition of the concept of “victim” as stipulated in Law No. 28592 and regards as an element of best practice the fact that the State has acknowledged responsibility on an equal basis towards those who suffered from terrorist attacks and those who were subjected to crimes committed by members of the State security forces. </w:t>
      </w:r>
    </w:p>
    <w:p w:rsidR="00000000" w:rsidRDefault="00000000">
      <w:pPr>
        <w:pStyle w:val="SingleTxtG"/>
      </w:pPr>
      <w:r>
        <w:t xml:space="preserve">8. </w:t>
      </w:r>
      <w:r>
        <w:tab/>
        <w:t xml:space="preserve">The Special </w:t>
      </w:r>
      <w:proofErr w:type="spellStart"/>
      <w:r>
        <w:t>Rapporteur</w:t>
      </w:r>
      <w:proofErr w:type="spellEnd"/>
      <w:r>
        <w:t xml:space="preserve"> is encouraged by the political decision made in July 2010 to establish a multi-sector commission in charge of developing the guidelines for determining the amounts, proceedings and modalities of payment to victims of violence.</w:t>
      </w:r>
      <w:r>
        <w:rPr>
          <w:rStyle w:val="FootnoteReference"/>
        </w:rPr>
        <w:footnoteReference w:id="5"/>
      </w:r>
      <w:r>
        <w:t xml:space="preserve"> He acknowledges the difficulties connected with identifying victims and verifying their identities for registration purposes as one element contributing to the delay in completing the central registry for victims, which serves to register victims and groups of victims that may be eligible to benefit from the different compensation schemes. However, he is concerned that, as a result of this delay (as at 23 July 2010), none of the close to 40,000 beneficiaries</w:t>
      </w:r>
      <w:r>
        <w:rPr>
          <w:rStyle w:val="FootnoteReference"/>
        </w:rPr>
        <w:footnoteReference w:id="6"/>
      </w:r>
      <w:r>
        <w:t xml:space="preserve"> entitled to individual economic reparations, including victims or relatives of victims subjected to extrajudicial killings, enforced disappearances or rape or those suffering from physical or mental disabilities as a result of the violence, has yet received any economic compensation.</w:t>
      </w:r>
    </w:p>
    <w:p w:rsidR="00000000" w:rsidRDefault="00000000">
      <w:pPr>
        <w:pStyle w:val="SingleTxtG"/>
      </w:pPr>
      <w:r>
        <w:t xml:space="preserve">9. </w:t>
      </w:r>
      <w:r>
        <w:tab/>
        <w:t>Beneficiaries of collective reparation programmes, as established in article 7 of Law No. 28592, include rural, indigenous, peasant and other communities that represent certain characteristics, such as high concentration of individual violations, devastation, enforced displacement or the breakdown or destruction of community institutions. Since this measure was first taken in April 2007, the High-Level Multi-Sector Commission,</w:t>
      </w:r>
      <w:r>
        <w:rPr>
          <w:rStyle w:val="FootnoteReference"/>
        </w:rPr>
        <w:footnoteReference w:id="7"/>
      </w:r>
      <w:r>
        <w:t xml:space="preserve"> which constitutes the central body responsible for the coordination and supervision of the implementation of collective reparation programmes, has approved funding for 1,475 projects, including for the construction of irrigation systems and community facilities and activities chosen by the affected communities themselves. The Special </w:t>
      </w:r>
      <w:proofErr w:type="spellStart"/>
      <w:r>
        <w:t>Rapporteur</w:t>
      </w:r>
      <w:proofErr w:type="spellEnd"/>
      <w:r>
        <w:t xml:space="preserve"> is aware of the work by the Commission to establish guidelines to facilitate the integration of both regional and local governments in the implementation process and of the recent initiative that aims at ensuring that displaced people who have not returned to their original places of residence and who, therefore, have faced difficulties in gaining access to the collective reparation programmes, are also accommodated on an equal basis.</w:t>
      </w:r>
      <w:r>
        <w:rPr>
          <w:rStyle w:val="FootnoteReference"/>
        </w:rPr>
        <w:footnoteReference w:id="8"/>
      </w:r>
      <w:r>
        <w:t xml:space="preserve"> However, he is concerned about the slow progress of and the lack of resources allocated to the reparation programmes, which adds to the challenges faced because of the extremely poor conditions in which many of the communities live and which were worsened as a direct consequence of the violence to which they were subjected. He learned about the frustration caused by the rigidity of administrative structures, which is partly reflected by the shortcomings in the coordination of action taken at the central level with that taken at the regional and local levels. Furthermore, in many cases the legal mandate to execute the programmes does not correspond to the allocation of resources. The Special </w:t>
      </w:r>
      <w:proofErr w:type="spellStart"/>
      <w:r>
        <w:t>Rapporteur</w:t>
      </w:r>
      <w:proofErr w:type="spellEnd"/>
      <w:r>
        <w:t xml:space="preserve"> believes that the success of collective reparation programmes in cooperation with actors at all levels ultimately depends on the political will of the Government. He urges the Government of Peru to take appropriate measures to actively tackle and overcome obstacles that hinder the effective implementation of Law No. 28592 and thereby promote progress towards reconciliation and justice in Peruvian society.</w:t>
      </w:r>
    </w:p>
    <w:p w:rsidR="00000000" w:rsidRDefault="00000000">
      <w:pPr>
        <w:pStyle w:val="H23G"/>
      </w:pPr>
      <w:r>
        <w:tab/>
        <w:t>1.</w:t>
      </w:r>
      <w:r>
        <w:tab/>
        <w:t>Indigenous, peasant and rural communities</w:t>
      </w:r>
    </w:p>
    <w:p w:rsidR="00000000" w:rsidRDefault="00000000">
      <w:pPr>
        <w:pStyle w:val="SingleTxtG"/>
      </w:pPr>
      <w:r>
        <w:t xml:space="preserve">10. </w:t>
      </w:r>
      <w:r>
        <w:tab/>
        <w:t xml:space="preserve">The atrocities committed during the internal armed conflict mainly affected  indigenous communities and peasants, including Quechua speakers, who had lived in extreme poverty and suffered from discrimination and marginalization. The Special </w:t>
      </w:r>
      <w:proofErr w:type="spellStart"/>
      <w:r>
        <w:t>Rapporteur</w:t>
      </w:r>
      <w:proofErr w:type="spellEnd"/>
      <w:r>
        <w:t xml:space="preserve"> is mindful that, as a consequence of the violence, entire social networks were destroyed, which had a serious impact on the organizational and cultural autonomy of indigenous peoples. He is aware of the intensity and the large-scale nature of human rights abuses committed against these communities, including the extreme suffering and extermination of segments of the </w:t>
      </w:r>
      <w:proofErr w:type="spellStart"/>
      <w:r>
        <w:t>Asháninka</w:t>
      </w:r>
      <w:proofErr w:type="spellEnd"/>
      <w:r>
        <w:t xml:space="preserve"> people caused by </w:t>
      </w:r>
      <w:proofErr w:type="spellStart"/>
      <w:r>
        <w:t>Sendero</w:t>
      </w:r>
      <w:proofErr w:type="spellEnd"/>
      <w:r>
        <w:t xml:space="preserve"> </w:t>
      </w:r>
      <w:proofErr w:type="spellStart"/>
      <w:r>
        <w:t>Luminoso</w:t>
      </w:r>
      <w:proofErr w:type="spellEnd"/>
      <w:r>
        <w:t>,</w:t>
      </w:r>
      <w:r>
        <w:rPr>
          <w:rStyle w:val="FootnoteReference"/>
        </w:rPr>
        <w:footnoteReference w:id="9"/>
      </w:r>
      <w:r>
        <w:t xml:space="preserve"> and that for many years these ordeals were not properly acknowledged and adequately addressed by the State. This is partly a consequence of deep-rooted discriminatory attitudes that still prevail in Peruvian society, and partly due to the fact that the violence often took place in areas that did not benefit from the presence of or protection by State authorities.</w:t>
      </w:r>
    </w:p>
    <w:p w:rsidR="00000000" w:rsidRDefault="00000000">
      <w:pPr>
        <w:pStyle w:val="SingleTxtG"/>
      </w:pPr>
      <w:r>
        <w:t xml:space="preserve">11. </w:t>
      </w:r>
      <w:r>
        <w:tab/>
        <w:t>In accordance with the regulation of Law No. 28592, the objective of the collective reparation programmes is, inter alia, to contribute to the reconstruction of the social, institutional, material and economic-productive capital of the rural and urban communities affected by the violence.</w:t>
      </w:r>
      <w:r>
        <w:rPr>
          <w:rStyle w:val="FootnoteReference"/>
        </w:rPr>
        <w:footnoteReference w:id="10"/>
      </w:r>
      <w:r>
        <w:t xml:space="preserve"> The Special </w:t>
      </w:r>
      <w:proofErr w:type="spellStart"/>
      <w:r>
        <w:t>Rapporteur</w:t>
      </w:r>
      <w:proofErr w:type="spellEnd"/>
      <w:r>
        <w:t xml:space="preserve"> notes that the regulation lists participation and the intercultural dimension as some of the issues guiding the implementation process. It thereby makes it mandatory for reconstruction projects to be carried out on the basis of dialogue and consultation with the communities themselves, and for all reparation measures to be based on the recognition of existing ethnic and cultural differences, as well as of the varying impact of the violence on different communities.</w:t>
      </w:r>
      <w:r>
        <w:rPr>
          <w:rStyle w:val="FootnoteReference"/>
        </w:rPr>
        <w:footnoteReference w:id="11"/>
      </w:r>
      <w:r>
        <w:t xml:space="preserve"> He is concerned, however, at complaints expressed by several of his interlocutors about the lack of an inclusive policy with regard to indigenous peoples and their claims and needs. He is aware of the large number of ongoing social conflicts in the country relating precisely to these circumstances and the lack of appropriate responses by the State authorities. He recalls that, by fully committing to the realization of collective reparation programmes, Peru would effectively prove its recognition of members of indigenous peoples as equal citizens who found themselves in the crossfire of the conflict because of their distinctiveness and the discrimination it generated. In addition, full implementation of these compensation schemes would be an important step towards the acknowledgement by the State that the preservation of this distinctiveness constitutes one of the fundamental rights enjoyed by indigenous peoples, as stipulated in articles 1 and 27 of the International Covenant on Civil and Political Rights and article 2 of the Indigenous and Tribal Peoples Convention (No. 169) of the International Labour Organization (</w:t>
      </w:r>
      <w:proofErr w:type="spellStart"/>
      <w:r>
        <w:t>ILO</w:t>
      </w:r>
      <w:proofErr w:type="spellEnd"/>
      <w:r>
        <w:t>).</w:t>
      </w:r>
    </w:p>
    <w:p w:rsidR="00000000" w:rsidRDefault="00000000">
      <w:pPr>
        <w:pStyle w:val="H23G"/>
      </w:pPr>
      <w:r>
        <w:br w:type="page"/>
      </w:r>
      <w:r>
        <w:tab/>
        <w:t>2.</w:t>
      </w:r>
      <w:r>
        <w:tab/>
        <w:t>Impact of violence on women</w:t>
      </w:r>
    </w:p>
    <w:p w:rsidR="00000000" w:rsidRDefault="00000000">
      <w:pPr>
        <w:pStyle w:val="SingleTxtG"/>
      </w:pPr>
      <w:r>
        <w:t xml:space="preserve">12. </w:t>
      </w:r>
      <w:r>
        <w:tab/>
        <w:t xml:space="preserve">The Special </w:t>
      </w:r>
      <w:proofErr w:type="spellStart"/>
      <w:r>
        <w:t>Rapporteur</w:t>
      </w:r>
      <w:proofErr w:type="spellEnd"/>
      <w:r>
        <w:t xml:space="preserve"> is mindful of the dual discrimination against indigenous and rural women in Peru as both women and members of extremely marginalized indigenous and rural communities. He is concerned that, despite the efforts made by the Truth and Reconciliation Commission to improve the visibility of the gender violence committed during the internal armed conflict and the long-term impact it had on women’s social status, in practice very little has been done to highlight and remedy the specific effects of the internal armed conflict on women’s lives. The regulation of Law No. 28592 stipulates that specific attention should be paid to gender equality and equal opportunities</w:t>
      </w:r>
      <w:r>
        <w:rPr>
          <w:rStyle w:val="FootnoteReference"/>
        </w:rPr>
        <w:footnoteReference w:id="12"/>
      </w:r>
      <w:r>
        <w:t xml:space="preserve"> in the implementation of collective reparation programmes. However, apart from the inclusion of a gender quota to be applied in the composition of the management committees in charge of matters relating to the execution of collective reparations at the local level, none of the Special </w:t>
      </w:r>
      <w:proofErr w:type="spellStart"/>
      <w:r>
        <w:t>Rapporteur's</w:t>
      </w:r>
      <w:proofErr w:type="spellEnd"/>
      <w:r>
        <w:t xml:space="preserve"> interlocutors was able to inform him of any specific project or action falling within the reparations scheme that directly or indirectly aimed at providing better conditions for women in terms of non-discrimination, equal opportunities and social status. Furthermore, he notes that Law No. 28592, within the framework of economic reparations, does not fully take into account that it was typically women, who, following the loss of their spouses or other male family members, have had to take over and on their own handle new tasks, including economic responsibility, in order to support and maintain their families. Such situations, which were often exacerbated by enforced displacement and stigmatization for allegedly being associated with terrorists, were not only a consequence of killings and enforced disappearances but also of the many cases of arbitrary detention and prison sentences on charges of terrorism that affected innocent persons. </w:t>
      </w:r>
    </w:p>
    <w:p w:rsidR="00000000" w:rsidRDefault="00000000">
      <w:pPr>
        <w:pStyle w:val="SingleTxtG"/>
      </w:pPr>
      <w:r>
        <w:t xml:space="preserve">13. </w:t>
      </w:r>
      <w:r>
        <w:tab/>
        <w:t>It is essential that, in the construction of compensation schemes, as well as during the entire process leading to their implementation, full acknowledgement be given to the social, economic and political inequalities between men and women and that due respect is paid to the different impact that certain forms of abuse have on women.</w:t>
      </w:r>
      <w:r>
        <w:rPr>
          <w:rStyle w:val="FootnoteReference"/>
        </w:rPr>
        <w:footnoteReference w:id="13"/>
      </w:r>
      <w:r>
        <w:t xml:space="preserve"> The Special </w:t>
      </w:r>
      <w:proofErr w:type="spellStart"/>
      <w:r>
        <w:t>Rapporteur</w:t>
      </w:r>
      <w:proofErr w:type="spellEnd"/>
      <w:r>
        <w:t xml:space="preserve">, while highlighting the significance of women’s experiences of organizing themselves in order to fight violence and to fight for justice during the years of the conflict, wishes to emphasize that empowerment is a central element in the reconciliation. Effective participation and a sense of ownership among the affected population, in particular on the part of indigenous peoples and women, are of utmost importance for the successful realization of collective reparation programmes. The involvement of women, indigenous peoples and peasant and rural communities in the design and implementation of reparation programmes is, in his view, a cornerstone for building a society without terrorism. It will help to avoid further experiences of social injustice and the risk of creating a breeding ground for new manifestations of terrorism. </w:t>
      </w:r>
    </w:p>
    <w:p w:rsidR="00000000" w:rsidRDefault="00000000">
      <w:pPr>
        <w:pStyle w:val="H1G"/>
      </w:pPr>
      <w:r>
        <w:tab/>
        <w:t xml:space="preserve">C. </w:t>
      </w:r>
      <w:r>
        <w:tab/>
        <w:t>Investigation, prosecution and trials of State officials involved in human rights violations committed within the framework of counter-terrorism operations</w:t>
      </w:r>
    </w:p>
    <w:p w:rsidR="00000000" w:rsidRDefault="00000000">
      <w:pPr>
        <w:pStyle w:val="SingleTxtG"/>
      </w:pPr>
      <w:r>
        <w:t xml:space="preserve">14. </w:t>
      </w:r>
      <w:r>
        <w:tab/>
        <w:t>According to the Truth and Reconciliation Commission, an important component of the reconciliation process is the prosecution of all those criminally responsible, including not only members of the terrorist organizations but all other perpetrators of serious crimes and human rights violations that took place during the internal armed conflict. The criminal proceedings against former President Fujimori under the criminal legislation applicable in the country at the time the acts were committed constitute a significant step forward in the State’s compliance with its international human rights obligations to investigate, prosecute and sanction those responsible for human rights violations and to provide their victims with compensation.</w:t>
      </w:r>
      <w:r>
        <w:rPr>
          <w:rStyle w:val="FootnoteReference"/>
        </w:rPr>
        <w:footnoteReference w:id="14"/>
      </w:r>
      <w:r>
        <w:t xml:space="preserve"> Thus, applying the theory of “indirect authorship” as the most appropriate legal concept to establish the criminal responsibility attributable to the defendant, the Special Criminal Chamber of the Supreme Court found that, in his capacity as Head of State and by means of the power attached to this position, the former President created and controlled a criminal organization for the purposes of fighting subversive groups. In this context, the “</w:t>
      </w:r>
      <w:proofErr w:type="spellStart"/>
      <w:r>
        <w:t>Colina</w:t>
      </w:r>
      <w:proofErr w:type="spellEnd"/>
      <w:r>
        <w:t xml:space="preserve">” death squad, on his orders, carried out acts of torture, killings and enforced disappearance in Barrios Altos and La </w:t>
      </w:r>
      <w:proofErr w:type="spellStart"/>
      <w:r>
        <w:t>Cantuta</w:t>
      </w:r>
      <w:proofErr w:type="spellEnd"/>
      <w:r>
        <w:t>.</w:t>
      </w:r>
      <w:r>
        <w:rPr>
          <w:rStyle w:val="FootnoteReference"/>
        </w:rPr>
        <w:footnoteReference w:id="15"/>
      </w:r>
      <w:r>
        <w:t xml:space="preserve"> On appeal, the verdict and the prison sentence of 25 years were unanimously and definitively confirmed by the First Transitory Criminal Chamber of the Supreme Court, which, importantly, affirmed that the criminal acts amounted to crimes against humanity since they were part “of a State policy that consisted of the systematic elimination of alleged members of terrorist organizations” and affected a massive number of defenceless people.</w:t>
      </w:r>
      <w:r>
        <w:rPr>
          <w:rStyle w:val="FootnoteReference"/>
        </w:rPr>
        <w:footnoteReference w:id="16"/>
      </w:r>
      <w:r>
        <w:t xml:space="preserve"> The Special </w:t>
      </w:r>
      <w:proofErr w:type="spellStart"/>
      <w:r>
        <w:t>Rapporteur</w:t>
      </w:r>
      <w:proofErr w:type="spellEnd"/>
      <w:r>
        <w:t xml:space="preserve"> regards the trial as a best practice, as it was conducted in an impartial, public and transparent manner in accordance with international fair-trial guarantees. He is encouraged by the potential of international judicial cooperation in this field, as exemplified by the decision of the Supreme Court of Chile to respond to the extradition request submitted by Peru concerning the former President on charges of grave human rights violations. He also considers of utmost importance the affirmation by the Supreme Court of Peru that none of the victims of the killings in Barrios Altos and La </w:t>
      </w:r>
      <w:proofErr w:type="spellStart"/>
      <w:r>
        <w:t>Cantuta</w:t>
      </w:r>
      <w:proofErr w:type="spellEnd"/>
      <w:r>
        <w:t xml:space="preserve"> was a terrorist, which contributed significantly to the restoration of their dignity and that of their relatives.</w:t>
      </w:r>
      <w:r>
        <w:rPr>
          <w:rStyle w:val="FootnoteReference"/>
        </w:rPr>
        <w:footnoteReference w:id="17"/>
      </w:r>
      <w:r>
        <w:t xml:space="preserve"> </w:t>
      </w:r>
    </w:p>
    <w:p w:rsidR="00000000" w:rsidRDefault="00000000">
      <w:pPr>
        <w:pStyle w:val="SingleTxtG"/>
      </w:pPr>
      <w:r>
        <w:t xml:space="preserve">15. </w:t>
      </w:r>
      <w:r>
        <w:tab/>
        <w:t>Human rights violations committed during the internal armed conflict are prosecuted within the framework of a specialized judicial subsystem established specifically for this purpose under the Public Prosecutor’s Office and the Judiciary. The system is supported by the work on exhumations and analysis of human remains by specialized forensic teams of the Institute for Legal Medicine.</w:t>
      </w:r>
      <w:r>
        <w:rPr>
          <w:rStyle w:val="FootnoteReference"/>
        </w:rPr>
        <w:footnoteReference w:id="18"/>
      </w:r>
      <w:r>
        <w:rPr>
          <w:vertAlign w:val="superscript"/>
        </w:rPr>
        <w:t xml:space="preserve"> </w:t>
      </w:r>
      <w:r>
        <w:t xml:space="preserve">The Special </w:t>
      </w:r>
      <w:proofErr w:type="spellStart"/>
      <w:r>
        <w:t>Rapporteur</w:t>
      </w:r>
      <w:proofErr w:type="spellEnd"/>
      <w:r>
        <w:t xml:space="preserve"> is aware of the complexity and difficulty of many cases, partly due to the time that has lapsed since their perpetration, but also to the fact that witness protection, as established in the law, is not effectively implemented and prevents the courts from obtaining testimonies. In some cases, the documentation necessary for the identification of witnesses and suspects has been destroyed or was never available, because no registers were kept. He is, however, gravely concerned that the delay of the process and the relatively small number of convictions in this context are, to a significant extent, due to the unwillingness of the Ministry of Defence, apparently supported in certain other governmental circles, to allow access to its files, including lists of army officers present in the different regions affected by the conflict, and to information on the aliases and code names frequently used by military officials during the conflict.</w:t>
      </w:r>
    </w:p>
    <w:p w:rsidR="00000000" w:rsidRDefault="00000000">
      <w:pPr>
        <w:pStyle w:val="SingleTxtG"/>
      </w:pPr>
      <w:r>
        <w:t xml:space="preserve">16. </w:t>
      </w:r>
      <w:r>
        <w:tab/>
        <w:t xml:space="preserve">The atrocities committed during the years of internal armed conflict in Peru were mainly directed at men, who accounted for up 80 per cent of all deaths. Some of the human rights abuses, however, such as the whole range of criminal acts constituting sexual and gender violence, were particularly directed at women, with not only serious consequences for their physical and mental health, but also for their social status. The Special </w:t>
      </w:r>
      <w:proofErr w:type="spellStart"/>
      <w:r>
        <w:t>Rapporteur</w:t>
      </w:r>
      <w:proofErr w:type="spellEnd"/>
      <w:r>
        <w:t xml:space="preserve">, however, notes that the large majority of cases of rape were perpetrated by members of State security forces, and he is concerned that the rate of criminal proceedings in this context is still minimal. Furthermore, while rape is the only form of sexual violence that may give rise to economic individual compensation under Law No. 28592, this aspect of the Law is still awaiting implementation (see paragraph 8 above). </w:t>
      </w:r>
    </w:p>
    <w:p w:rsidR="00000000" w:rsidRDefault="00000000">
      <w:pPr>
        <w:pStyle w:val="SingleTxtG"/>
        <w:rPr>
          <w:vertAlign w:val="superscript"/>
        </w:rPr>
      </w:pPr>
      <w:r>
        <w:t xml:space="preserve">17. </w:t>
      </w:r>
      <w:r>
        <w:tab/>
        <w:t xml:space="preserve">The Special </w:t>
      </w:r>
      <w:proofErr w:type="spellStart"/>
      <w:r>
        <w:t>Rapporteur</w:t>
      </w:r>
      <w:proofErr w:type="spellEnd"/>
      <w:r>
        <w:t xml:space="preserve"> is concerned about judicial rulings in Peru that have as an effect the prevention of criminal justice in cases of serious human rights violations. Such outcomes are the result of the application of a statute of limitations or of the principle of </w:t>
      </w:r>
      <w:r>
        <w:rPr>
          <w:i/>
          <w:iCs/>
        </w:rPr>
        <w:t xml:space="preserve">non </w:t>
      </w:r>
      <w:proofErr w:type="spellStart"/>
      <w:r>
        <w:rPr>
          <w:i/>
          <w:iCs/>
        </w:rPr>
        <w:t>bis</w:t>
      </w:r>
      <w:proofErr w:type="spellEnd"/>
      <w:r>
        <w:rPr>
          <w:i/>
          <w:iCs/>
        </w:rPr>
        <w:t xml:space="preserve"> in idem</w:t>
      </w:r>
      <w:r>
        <w:t xml:space="preserve"> also in cases where the accused was wrongly exonerated of criminal responsibility or where an earlier trial did not comply with the requirements of impartiality and independence. In November 2009, the Supreme Court issued a legally binding interpretation of the crime of enforced disappearance,</w:t>
      </w:r>
      <w:r>
        <w:rPr>
          <w:rStyle w:val="FootnoteReference"/>
        </w:rPr>
        <w:footnoteReference w:id="19"/>
      </w:r>
      <w:r>
        <w:t xml:space="preserve"> which appears to bar the prosecution of public officials accused of involvement in the commission of that crime in cases where their employment status has changed after the date that the law came into force. The Special </w:t>
      </w:r>
      <w:proofErr w:type="spellStart"/>
      <w:r>
        <w:t>Rapporteur</w:t>
      </w:r>
      <w:proofErr w:type="spellEnd"/>
      <w:r>
        <w:t xml:space="preserve"> also highlights the controversies surrounding Legislative Decree No. 1097,</w:t>
      </w:r>
      <w:r>
        <w:rPr>
          <w:rStyle w:val="FootnoteReference"/>
        </w:rPr>
        <w:footnoteReference w:id="20"/>
      </w:r>
      <w:r>
        <w:t xml:space="preserve"> which was adopted by the Executive on the basis of powers delegated by Congress to legislate on procedural and penitentiary norms relating exclusively to military and police personnel who are subject to criminal proceedings or convicted for crimes that involve human rights violations.</w:t>
      </w:r>
      <w:r>
        <w:rPr>
          <w:rStyle w:val="FootnoteReference"/>
        </w:rPr>
        <w:footnoteReference w:id="21"/>
      </w:r>
      <w:r>
        <w:t xml:space="preserve"> The aid Decree, in its article 6, stipulated that discontinuation (</w:t>
      </w:r>
      <w:proofErr w:type="spellStart"/>
      <w:r>
        <w:rPr>
          <w:i/>
          <w:iCs/>
        </w:rPr>
        <w:t>sobreseimiento</w:t>
      </w:r>
      <w:proofErr w:type="spellEnd"/>
      <w:r>
        <w:t xml:space="preserve">) of criminal proceedings relating to human rights violations would be ordered by the courts in cases where the time allowed for investigation has expired. The Special </w:t>
      </w:r>
      <w:proofErr w:type="spellStart"/>
      <w:r>
        <w:t>Rapporteur</w:t>
      </w:r>
      <w:proofErr w:type="spellEnd"/>
      <w:r>
        <w:t xml:space="preserve"> notes that, according to article 202 of the Code on Criminal Procedure, this period amounts to 14 months in cases of a complicated nature. During his mission, the Special </w:t>
      </w:r>
      <w:proofErr w:type="spellStart"/>
      <w:r>
        <w:t>Rapporteur</w:t>
      </w:r>
      <w:proofErr w:type="spellEnd"/>
      <w:r>
        <w:t xml:space="preserve"> voiced serious concern about the Decree. While he is mindful of the right to be tried without undue delay on a criminal charge, he also believes that the non-cooperation of the Ministry of Defence essentially contributes to the delay affecting investigations into these specific cases, that the provision in question only concerned persons accused of human rights violations and, furthermore, that the statements made by members of the Executive and of Congress in relation to the Decree gave the clear impression that it might well have been adopted for the purpose of benefiting a specific and identifiable group of defendants. Under international law, the State has the obligation to ensure access to truth, justice, compensation and, ultimately, dignity for victims. Measures effectively promoting a climate of impunity constitute serious impediments to efforts made to consolidate democracy and to promote respect for human rights. This has clearly been stated by the Inter-American Court of Human Rights and the Human Rights Committee.</w:t>
      </w:r>
      <w:r>
        <w:rPr>
          <w:rStyle w:val="FootnoteReference"/>
        </w:rPr>
        <w:footnoteReference w:id="22"/>
      </w:r>
      <w:r>
        <w:rPr>
          <w:vertAlign w:val="superscript"/>
        </w:rPr>
        <w:t xml:space="preserve"> </w:t>
      </w:r>
    </w:p>
    <w:p w:rsidR="00000000" w:rsidRDefault="00000000">
      <w:pPr>
        <w:pStyle w:val="SingleTxtG"/>
      </w:pPr>
      <w:r>
        <w:t xml:space="preserve">18. </w:t>
      </w:r>
      <w:r>
        <w:tab/>
        <w:t>Legislative Decree No. 1097, in its first complementary provision, also established that the Convention on the Non-Applicability of Statutory Limitations to War Crimes and Crimes against Humanity would only apply as of 9 November 2003. To extend the consequences of such a provision to bar prosecutions on other legal bases, such as customary international law, substantive human rights treaties or domestic law, would be contrary to the object and purpose, and also the wording, of article 1 of the Convention itself, according to which the prescription of the crimes in question is prohibited “irrespective of the date of their commission”. With regard to the declaration by Peru in relation to the implementation of the Convention,</w:t>
      </w:r>
      <w:r>
        <w:rPr>
          <w:rStyle w:val="FootnoteReference"/>
        </w:rPr>
        <w:footnoteReference w:id="23"/>
      </w:r>
      <w:r>
        <w:t xml:space="preserve"> according to which the State acceded to the Convention with respect to crimes covered by the Convention that are committed after its entry into force for Peru, the Special </w:t>
      </w:r>
      <w:proofErr w:type="spellStart"/>
      <w:r>
        <w:t>Rapporteur</w:t>
      </w:r>
      <w:proofErr w:type="spellEnd"/>
      <w:r>
        <w:t xml:space="preserve"> emphasizes that it cannot be invoked to impose a statute of limitations for crimes that must not be subject to such limitations, because this would defeat the very object and purpose of the Convention.</w:t>
      </w:r>
    </w:p>
    <w:p w:rsidR="00000000" w:rsidRDefault="00000000">
      <w:pPr>
        <w:pStyle w:val="SingleTxtG"/>
      </w:pPr>
      <w:r>
        <w:t xml:space="preserve">19. </w:t>
      </w:r>
      <w:r>
        <w:tab/>
        <w:t xml:space="preserve">The Special </w:t>
      </w:r>
      <w:proofErr w:type="spellStart"/>
      <w:r>
        <w:t>Rapporteur</w:t>
      </w:r>
      <w:proofErr w:type="spellEnd"/>
      <w:r>
        <w:t xml:space="preserve"> notes with appreciation that, several days after his mission, on 15 September 2010, Legislative Decree No. 1097 was, with the support of the Executive, repealed by Congress by an overwhelming majority of 97 votes in favour to one against.</w:t>
      </w:r>
      <w:r>
        <w:rPr>
          <w:rStyle w:val="FootnoteReference"/>
        </w:rPr>
        <w:footnoteReference w:id="24"/>
      </w:r>
    </w:p>
    <w:p w:rsidR="00000000" w:rsidRDefault="00000000">
      <w:pPr>
        <w:pStyle w:val="SingleTxtG"/>
      </w:pPr>
      <w:r>
        <w:t xml:space="preserve">20. </w:t>
      </w:r>
      <w:r>
        <w:tab/>
        <w:t xml:space="preserve">During his visit, the Special </w:t>
      </w:r>
      <w:proofErr w:type="spellStart"/>
      <w:r>
        <w:t>Rapporteur</w:t>
      </w:r>
      <w:proofErr w:type="spellEnd"/>
      <w:r>
        <w:t xml:space="preserve"> experienced and expressed his concern at the ambiguity with which the concept of human rights was perceived in Peruvian society, including the fact that prosecutions of military and police officials for human rights violations were sometimes referred to in highly derogatory terms, even in certain sectors of the Government. The decision by Congress to repeal Legislative Decree No. 1097 as a matter of urgency, and as an immediate response to the strong opposition generated by the promulgation of that Decree among the Judiciary,</w:t>
      </w:r>
      <w:r>
        <w:rPr>
          <w:rStyle w:val="FootnoteReference"/>
        </w:rPr>
        <w:footnoteReference w:id="25"/>
      </w:r>
      <w:r>
        <w:t xml:space="preserve"> prosecutors, members of Congress and, not the least, within civil society, is for the Special </w:t>
      </w:r>
      <w:proofErr w:type="spellStart"/>
      <w:r>
        <w:t>Rapporteur</w:t>
      </w:r>
      <w:proofErr w:type="spellEnd"/>
      <w:r>
        <w:t xml:space="preserve"> an encouraging sign. He encourages the Government to be proud and take ownership of the promotion of and respect for human rights, together with other actors at all levels of society.</w:t>
      </w:r>
    </w:p>
    <w:p w:rsidR="00000000" w:rsidRDefault="00000000">
      <w:pPr>
        <w:pStyle w:val="H1G"/>
      </w:pPr>
      <w:r>
        <w:tab/>
        <w:t xml:space="preserve">D. </w:t>
      </w:r>
      <w:r>
        <w:tab/>
        <w:t>Measures to remedy the consequences of the application of earlier counter-terrorism legislation that was contrary to international human rights standards</w:t>
      </w:r>
    </w:p>
    <w:p w:rsidR="00000000" w:rsidRDefault="00000000">
      <w:pPr>
        <w:pStyle w:val="SingleTxtG"/>
      </w:pPr>
      <w:r>
        <w:t xml:space="preserve">21. </w:t>
      </w:r>
      <w:r>
        <w:tab/>
        <w:t xml:space="preserve">In his previous thematic and country-specific work on the right to a fair trial in the fight against terrorism, the Special </w:t>
      </w:r>
      <w:proofErr w:type="spellStart"/>
      <w:r>
        <w:t>Rapporteur</w:t>
      </w:r>
      <w:proofErr w:type="spellEnd"/>
      <w:r>
        <w:t xml:space="preserve"> emphasized the importance of the principle of normalcy, namely, his strong preference for dealing with terrorism as a serious crime, subject to ordinary proceedings before ordinary courts. The Constitutional Court ruling of 3 January 2003</w:t>
      </w:r>
      <w:r>
        <w:rPr>
          <w:rStyle w:val="FootnoteReference"/>
        </w:rPr>
        <w:footnoteReference w:id="26"/>
      </w:r>
      <w:r>
        <w:t xml:space="preserve"> constituted an important move away from the mentality embedded in counter-terrorism emergency legislation enacted under the rule of former President Fujimori. In its judgement, in which the compatibility of Decree Laws Nos. 25.475, 25.659, 25.708 and 25.880 with constitutional provisions and international human rights standards was reviewed, the Court declared unconstitutional, inter alia, provisions that allowed for criminal charges on the basis of vaguely and broadly formulated offences and for terrorist suspects to be tried by special courts without recourse to procedural guarantees.</w:t>
      </w:r>
      <w:r>
        <w:rPr>
          <w:rStyle w:val="FootnoteReference"/>
        </w:rPr>
        <w:footnoteReference w:id="27"/>
      </w:r>
      <w:r>
        <w:t xml:space="preserve"> Within the framework of a legislative process towards reform of earlier counter-terrorism legislation, the National Criminal Court, in accordance with Legislative Decrees Nos. 922 and 926 adopted on 11 and 19 February 2003, declared void the trials that led to more than 1,000 convictions for the crime of treason and for terrorist offences pronounced by military courts and faceless judges under the previous legislation. The retrials that followed, which, as at September 2009, had resulted in the conviction of 864 persons and the acquittal of 527 others for charges of terrorism, and the abandonment by the State of special courts for the trial of terrorist cases provide an important lesson and include, in the view of the Special </w:t>
      </w:r>
      <w:proofErr w:type="spellStart"/>
      <w:r>
        <w:t>Rapporteur</w:t>
      </w:r>
      <w:proofErr w:type="spellEnd"/>
      <w:r>
        <w:t xml:space="preserve">, elements of best practice in the restoration of the rule of law and the State’s responsibility to ensure procedural guarantees and a fair trial to all persons charged with a crime, including terrorism suspects. </w:t>
      </w:r>
    </w:p>
    <w:p w:rsidR="00000000" w:rsidRDefault="00000000">
      <w:pPr>
        <w:pStyle w:val="HChG"/>
      </w:pPr>
      <w:r>
        <w:tab/>
        <w:t>III.</w:t>
      </w:r>
      <w:r>
        <w:tab/>
        <w:t>Current legislative counter-terrorism framework and related issues</w:t>
      </w:r>
    </w:p>
    <w:p w:rsidR="00000000" w:rsidRDefault="00000000">
      <w:pPr>
        <w:pStyle w:val="H1G"/>
      </w:pPr>
      <w:r>
        <w:tab/>
        <w:t xml:space="preserve">A. </w:t>
      </w:r>
      <w:r>
        <w:tab/>
        <w:t>Definition of terrorism</w:t>
      </w:r>
    </w:p>
    <w:p w:rsidR="00000000" w:rsidRDefault="00000000">
      <w:pPr>
        <w:pStyle w:val="SingleTxtG"/>
      </w:pPr>
      <w:r>
        <w:t xml:space="preserve">22. </w:t>
      </w:r>
      <w:r>
        <w:tab/>
        <w:t xml:space="preserve">In the absence of a comprehensive international definition of the crime of terrorism, the Special </w:t>
      </w:r>
      <w:proofErr w:type="spellStart"/>
      <w:r>
        <w:t>Rapporteur</w:t>
      </w:r>
      <w:proofErr w:type="spellEnd"/>
      <w:r>
        <w:t xml:space="preserve"> has emphasized the need for strictly confining the applicability of counter-terrorism legislation to specific acts that amount to a level of violence that is sufficiently high to distinguish the particularly serious nature of terrorism from any other type of criminal act. For this purpose, he has advocated that domestic provisions on terrorism be formulated on the basis of the characterization of the crime as contained in Security Council resolution 1566 (2004) and, more specifically, that terrorist offences comprise three cumulative conditions: </w:t>
      </w:r>
    </w:p>
    <w:p w:rsidR="00000000" w:rsidRDefault="00000000">
      <w:pPr>
        <w:pStyle w:val="SingleTxtG"/>
      </w:pPr>
      <w:r>
        <w:tab/>
        <w:t>(a)</w:t>
      </w:r>
      <w:r>
        <w:tab/>
        <w:t xml:space="preserve">They are committed against members of the general population or segments of it, with the intention of causing death or serious bodily harm, or the taking of hostages; </w:t>
      </w:r>
    </w:p>
    <w:p w:rsidR="00000000" w:rsidRDefault="00000000">
      <w:pPr>
        <w:pStyle w:val="SingleTxtG"/>
      </w:pPr>
      <w:r>
        <w:tab/>
        <w:t>(b)</w:t>
      </w:r>
      <w:r>
        <w:tab/>
        <w:t xml:space="preserve">They are committed for the purpose of provoking a state of terror, intimidating a population or compelling a Government or international organization to do or abstain from doing any act; </w:t>
      </w:r>
    </w:p>
    <w:p w:rsidR="00000000" w:rsidRDefault="00000000">
      <w:pPr>
        <w:pStyle w:val="SingleTxtG"/>
      </w:pPr>
      <w:r>
        <w:tab/>
        <w:t>(c)</w:t>
      </w:r>
      <w:r>
        <w:tab/>
        <w:t xml:space="preserve">They correspond to all elements of a serious crime as defined by the law in force at the time of their commission. </w:t>
      </w:r>
    </w:p>
    <w:p w:rsidR="00000000" w:rsidRDefault="00000000">
      <w:pPr>
        <w:pStyle w:val="SingleTxtG"/>
      </w:pPr>
      <w:r>
        <w:t xml:space="preserve">23. </w:t>
      </w:r>
      <w:r>
        <w:tab/>
        <w:t xml:space="preserve">During his mission, the Special </w:t>
      </w:r>
      <w:proofErr w:type="spellStart"/>
      <w:r>
        <w:t>Rapporteur</w:t>
      </w:r>
      <w:proofErr w:type="spellEnd"/>
      <w:r>
        <w:t xml:space="preserve"> discussed in depth the contents of counter-terrorism legislation and learned about efforts to bring the relevant legal framework into line with international standards. He was informed about the work currently under way by an expert commission within the Prosecutor’s office to prepare a draft counter-terrorism law that would replace current provisions on terrorism-related crimes and that would also take into account the framework of the State’s international obligations under various conventions and protocols against terrorism, as well as Security Council resolutions. The Special </w:t>
      </w:r>
      <w:proofErr w:type="spellStart"/>
      <w:r>
        <w:t>Rapporteur</w:t>
      </w:r>
      <w:proofErr w:type="spellEnd"/>
      <w:r>
        <w:t xml:space="preserve"> welcomes the invitation extended to him during the mission to be consulted on the draft law. He considers such cooperation an essential aspect of his mandate, namely, the promotion of the adoption and application of adequately defined counter-terrorism legislation in strict adherence to the principle of legality. Furthermore, he regards the prospect of drafting and adopting a proper counter-terrorism law in Peru as an opportunity to move away from the laws adopted by the Executive through delegated authority or even under the previous authoritarian rule, and to strengthen the rule of law by enacting in the form of parliamentary legislation a proper framework for measures against terrorism. The Special </w:t>
      </w:r>
      <w:proofErr w:type="spellStart"/>
      <w:r>
        <w:t>Rapporteur</w:t>
      </w:r>
      <w:proofErr w:type="spellEnd"/>
      <w:r>
        <w:t xml:space="preserve"> gives his views on what he considers to be the most serious shortcomings of current counter-terrorism legislation in the section below.</w:t>
      </w:r>
    </w:p>
    <w:p w:rsidR="00000000" w:rsidRDefault="00000000">
      <w:pPr>
        <w:pStyle w:val="SingleTxtG"/>
      </w:pPr>
      <w:r>
        <w:t xml:space="preserve">24. </w:t>
      </w:r>
      <w:r>
        <w:tab/>
        <w:t>In its ruling of 3 January 2003 (see also paragraph 21 above), the Constitutional Court elaborated on the wording of article 2 in Decree Law No. 25.475 of 5 May 1992, which defines the basic crime of terrorism in State legislation. The Court, in its ruling, established guidelines that seek to guarantee that the principle of legality is respected, and that a restrictive interpretation is maintained through the requirement that article 2 only applies when all three elements codified in the provision have been proved (paragraphs 43</w:t>
      </w:r>
      <w:r>
        <w:noBreakHyphen/>
      </w:r>
      <w:proofErr w:type="spellStart"/>
      <w:r>
        <w:t>78bis</w:t>
      </w:r>
      <w:proofErr w:type="spellEnd"/>
      <w:r>
        <w:t xml:space="preserve"> of the judgement). The Special </w:t>
      </w:r>
      <w:proofErr w:type="spellStart"/>
      <w:r>
        <w:t>Rapporteur</w:t>
      </w:r>
      <w:proofErr w:type="spellEnd"/>
      <w:r>
        <w:t xml:space="preserve"> agrees with the formulation of the first element in the said article, that is, “any person who causes, creates or maintains a state of intimidation, alarm or fear among the population, or in any segment thereof”; he furthermore considers appropriate the reference to “acts against life" in the second element of the definition. He points out, however, that the second element thereafter moves to more open-ended criteria, starting with acts against the “physical integrity, health, freedom or safety of any person” and continuing with acts against “property, the security of public buildings, any means of communication or transport, power or transmission towers, power plants or any other property or services”, clearly departing, step by step, from the requirement of lethal or other forms of serious physical violence against members of the civilian population. Moreover, the reference in the third element of article 2 to “any other means capable of causing havoc or serious disturbance to peace or disruption of international relations or the safety of the public and the Government” gives the provision, as a whole, an open-ended character that may be applied beyond what is permissible under international law, since it does not adhere to the principle of legality enshrined in article 15 of the International Covenant on Civil and Political Rights. The Special </w:t>
      </w:r>
      <w:proofErr w:type="spellStart"/>
      <w:r>
        <w:t>Rapporteur</w:t>
      </w:r>
      <w:proofErr w:type="spellEnd"/>
      <w:r>
        <w:t xml:space="preserve"> recalls the importance of defining terrorism through the unjustifiable means it resorts to, also because this approach prevents the abusive application of counter-terrorism legislation, including through the stigmatization of other potentially criminal behaviour, which should not be associated with terrorism. In addition, broad and vague definitions of terrorism may contribute to reducing the distinctive force of this crime and the inexcusable nature of every single act of terrorism and, thereby, ultimately run the risk of undermining the legitimacy of counter-terrorism measures.</w:t>
      </w:r>
    </w:p>
    <w:p w:rsidR="00000000" w:rsidRDefault="00000000">
      <w:pPr>
        <w:pStyle w:val="SingleTxtG"/>
      </w:pPr>
      <w:r>
        <w:t xml:space="preserve">25. </w:t>
      </w:r>
      <w:r>
        <w:tab/>
        <w:t xml:space="preserve">Currently, the terrorism threat in Peru is considered to be limited primarily to the </w:t>
      </w:r>
      <w:proofErr w:type="spellStart"/>
      <w:r>
        <w:t>VRAE</w:t>
      </w:r>
      <w:proofErr w:type="spellEnd"/>
      <w:r>
        <w:t xml:space="preserve"> region, where remnants of </w:t>
      </w:r>
      <w:proofErr w:type="spellStart"/>
      <w:r>
        <w:t>Sendero</w:t>
      </w:r>
      <w:proofErr w:type="spellEnd"/>
      <w:r>
        <w:t xml:space="preserve"> </w:t>
      </w:r>
      <w:proofErr w:type="spellStart"/>
      <w:r>
        <w:t>Luminoso</w:t>
      </w:r>
      <w:proofErr w:type="spellEnd"/>
      <w:r>
        <w:t xml:space="preserve"> are still operating, including by carrying out attacks against State security forces. Drawing on the abundant information provided to him during his visit, the Special </w:t>
      </w:r>
      <w:proofErr w:type="spellStart"/>
      <w:r>
        <w:t>Rapporteur</w:t>
      </w:r>
      <w:proofErr w:type="spellEnd"/>
      <w:r>
        <w:t xml:space="preserve"> learned that there are both ongoing forms of organized crime that represent the legacy of the old </w:t>
      </w:r>
      <w:proofErr w:type="spellStart"/>
      <w:r>
        <w:t>Sendero</w:t>
      </w:r>
      <w:proofErr w:type="spellEnd"/>
      <w:r>
        <w:t xml:space="preserve"> </w:t>
      </w:r>
      <w:proofErr w:type="spellStart"/>
      <w:r>
        <w:t>Luminoso</w:t>
      </w:r>
      <w:proofErr w:type="spellEnd"/>
      <w:r>
        <w:t xml:space="preserve"> as well as forms of an ideological discourse that maintain or legitimize its slogans. He is convinced that the current forms of organized crime in question, rather than following a discourse or a modus operandi of killing and terrorizing the civilian population, are based on an alliance with the large number of drug producers and traffickers operating in the </w:t>
      </w:r>
      <w:proofErr w:type="spellStart"/>
      <w:r>
        <w:t>VRAE</w:t>
      </w:r>
      <w:proofErr w:type="spellEnd"/>
      <w:r>
        <w:t xml:space="preserve"> region and mainly concentrate on “taxing” the transportation of drugs through and out of the regions controlled by the remnants of </w:t>
      </w:r>
      <w:proofErr w:type="spellStart"/>
      <w:r>
        <w:t>Sendero</w:t>
      </w:r>
      <w:proofErr w:type="spellEnd"/>
      <w:r>
        <w:t xml:space="preserve"> </w:t>
      </w:r>
      <w:proofErr w:type="spellStart"/>
      <w:r>
        <w:t>Luminoso</w:t>
      </w:r>
      <w:proofErr w:type="spellEnd"/>
      <w:r>
        <w:t xml:space="preserve">. The Special </w:t>
      </w:r>
      <w:proofErr w:type="spellStart"/>
      <w:r>
        <w:t>Rapporteur</w:t>
      </w:r>
      <w:proofErr w:type="spellEnd"/>
      <w:r>
        <w:t xml:space="preserve"> acknowledges the complexities of this situation, including the fact that the extreme poverty in which a large proportion of the population in the </w:t>
      </w:r>
      <w:proofErr w:type="spellStart"/>
      <w:r>
        <w:t>VRAE</w:t>
      </w:r>
      <w:proofErr w:type="spellEnd"/>
      <w:r>
        <w:t xml:space="preserve"> region lives facilitates the recruitment of young people as drugs couriers and their falling under the ideological spell of </w:t>
      </w:r>
      <w:proofErr w:type="spellStart"/>
      <w:r>
        <w:t>Sendero</w:t>
      </w:r>
      <w:proofErr w:type="spellEnd"/>
      <w:r>
        <w:t xml:space="preserve"> </w:t>
      </w:r>
      <w:proofErr w:type="spellStart"/>
      <w:r>
        <w:t>Luminoso</w:t>
      </w:r>
      <w:proofErr w:type="spellEnd"/>
      <w:r>
        <w:t xml:space="preserve">. However, he emphasizes the responsibility of State authorities to avoid a conceptual conflation of the crime of drug trafficking with terrorism for the purpose of triggering the application of counter-terrorism measures in a context where they are not appropriate. </w:t>
      </w:r>
    </w:p>
    <w:p w:rsidR="00000000" w:rsidRDefault="00000000">
      <w:pPr>
        <w:pStyle w:val="H1G"/>
      </w:pPr>
      <w:r>
        <w:tab/>
        <w:t xml:space="preserve">B. </w:t>
      </w:r>
      <w:r>
        <w:tab/>
        <w:t>Collaboration with terrorism and the crime of glorification</w:t>
      </w:r>
    </w:p>
    <w:p w:rsidR="00000000" w:rsidRDefault="00000000">
      <w:pPr>
        <w:pStyle w:val="SingleTxtG"/>
      </w:pPr>
      <w:r>
        <w:t xml:space="preserve">26. </w:t>
      </w:r>
      <w:r>
        <w:tab/>
        <w:t xml:space="preserve">In article 4 of Decree Law No. 25.475, the crime of collaboration with terrorism is defined with reference to an extensive list of specific acts that are carried out with the purpose of contributing to the perpetration of terrorist crimes. From the chapeau of this article, however, it becomes clear that the criminalization of collaboration with terrorism is also targeted at the facilitation of “the achievement of the goals of a terrorist group”, thereby indicating that sharing goals with a terrorist organization without a genuine connection to the perpetration of terrorist acts or with the organization itself would be reason enough to accuse and convict a person for collaboration with terrorism. The Special </w:t>
      </w:r>
      <w:proofErr w:type="spellStart"/>
      <w:r>
        <w:t>Rapporteur</w:t>
      </w:r>
      <w:proofErr w:type="spellEnd"/>
      <w:r>
        <w:t>, acknowledging the assurances by the State authorities that criminal provisions on terrorism are only applied in cases where a clear link to the carrying out of actual terrorist acts can be established, recalls that the peaceful promotion of the same goals as those proclaimed by a terrorist organization may be perfectly legal. Any reference to goals per se in the context of the criminalization of terrorism can be erroneously applied and have serious consequences for the exercise of freedom of opinion and expression and related rights to freedom of association and of peaceful assembly, as enshrined in articles 19, 21 and 22 of the International Covenant on Civil and Political Rights.</w:t>
      </w:r>
    </w:p>
    <w:p w:rsidR="00000000" w:rsidRDefault="00000000">
      <w:pPr>
        <w:pStyle w:val="SingleTxtG"/>
      </w:pPr>
      <w:r>
        <w:t xml:space="preserve">27. </w:t>
      </w:r>
      <w:r>
        <w:tab/>
        <w:t>In penal legislation, as explained during the visit, there is a clear distinction between the crime of incitement and apology. Consequently, the crime of apology for terrorism, as established in article 316 of the Penal Code,</w:t>
      </w:r>
      <w:r>
        <w:rPr>
          <w:rStyle w:val="FootnoteReference"/>
        </w:rPr>
        <w:footnoteReference w:id="28"/>
      </w:r>
      <w:r>
        <w:t xml:space="preserve"> is constructed on the basis of “glorification (apology] of acts of terrorism or of a person that has been convicted as a perpetrator or accomplice in such act”. As clarified by the Constitutional Court in its ruling of 9 August 2006, the social damage of this crime lies in the fact that it contributes to the justification of criminal acts and, above all, to the strategy used by the armed groups themselves. The criminalization of this act, hence, serves to protect, inter alia, the maintenance of the constitutional democratic order.</w:t>
      </w:r>
      <w:r>
        <w:rPr>
          <w:rStyle w:val="FootnoteReference"/>
        </w:rPr>
        <w:footnoteReference w:id="29"/>
      </w:r>
      <w:r>
        <w:t xml:space="preserve"> The Special </w:t>
      </w:r>
      <w:proofErr w:type="spellStart"/>
      <w:r>
        <w:t>Rapporteur</w:t>
      </w:r>
      <w:proofErr w:type="spellEnd"/>
      <w:r>
        <w:t xml:space="preserve"> has firmly advocated that, in order to avoid unjustifiable infringements on the right to freedom of expression, any act of “glorification” that may be subject to criminal proceedings should be linked to the crime of incitement, whereby the following two criteria must be fulfilled: (a) the element of an intent to incite other persons to commit acts of terrorism; and (b) a real risk that, as a consequence of such incitement, an act of terrorism will be committed by one or more persons. He recognizes that, in these conditions, the crime of incitement may legitimately cover symbolic or coded speech even where the intent to incite to terrorism is only indirectly identifiable in the actual words. Ultimately, however, it is up to the judge to determine in each specific case whether both elements of intent and risk have been proved. The wording of article 316 of the Penal Code, if applied literally, seriously risks leading to violations of article 19 of the International Covenant on Civil and Political Rights.</w:t>
      </w:r>
    </w:p>
    <w:p w:rsidR="00000000" w:rsidRDefault="00000000">
      <w:pPr>
        <w:pStyle w:val="SingleTxtG"/>
      </w:pPr>
      <w:r>
        <w:t xml:space="preserve">28. </w:t>
      </w:r>
      <w:r>
        <w:tab/>
        <w:t xml:space="preserve">Related to this matter are the demonstrations that have been held at some Peruvian universities with the participation of former terrorist convicts and in connection to an amnesty request for </w:t>
      </w:r>
      <w:proofErr w:type="spellStart"/>
      <w:r>
        <w:t>Sendero</w:t>
      </w:r>
      <w:proofErr w:type="spellEnd"/>
      <w:r>
        <w:t xml:space="preserve"> </w:t>
      </w:r>
      <w:proofErr w:type="spellStart"/>
      <w:r>
        <w:t>Luminoso</w:t>
      </w:r>
      <w:proofErr w:type="spellEnd"/>
      <w:r>
        <w:t xml:space="preserve"> leaders currently serving prison sentences. Other instances include university teachers and students establishing study circles for the purpose of conducting political propaganda similar to that carried out by </w:t>
      </w:r>
      <w:proofErr w:type="spellStart"/>
      <w:r>
        <w:t>Sendero</w:t>
      </w:r>
      <w:proofErr w:type="spellEnd"/>
      <w:r>
        <w:t xml:space="preserve"> </w:t>
      </w:r>
      <w:proofErr w:type="spellStart"/>
      <w:r>
        <w:t>Luminoso</w:t>
      </w:r>
      <w:proofErr w:type="spellEnd"/>
      <w:r>
        <w:t xml:space="preserve"> before and during the internal armed conflict. The Special </w:t>
      </w:r>
      <w:proofErr w:type="spellStart"/>
      <w:r>
        <w:t>Rapporteur</w:t>
      </w:r>
      <w:proofErr w:type="spellEnd"/>
      <w:r>
        <w:t xml:space="preserve"> is deeply mindful of the horrific experiences connected to the organization’s terrorist activities during those years, the suspicions and fear among segments of the population in relation to so-called “radical ideas”, even when lacking the violent component, and fully acknowledges that action needs to be taken in order to effectively prevent terrorist acts from taking place in the future. He finds worrisome, however, the aggressive discourse maintained by some State officials that builds on a perceived need to neutralize any possible future agitation, and the pressure put on judges in this regard, although none of his interlocutors was able to inform him of the perpetration of a single act of terrorism within the context of the scenario described above. Considering the right to freedom of expression and related rights pertaining to freedom of association and peaceful assembly, he recognizes that States may take action, which, to a certain extent, interferes with the full exercise of these rights if certain conditions are met, including observing the principles of legality, necessity and proportionality, as established in the relevant provisions of the International Covenant on Civil and Political Rights.</w:t>
      </w:r>
      <w:r>
        <w:rPr>
          <w:rStyle w:val="FootnoteReference"/>
        </w:rPr>
        <w:footnoteReference w:id="30"/>
      </w:r>
      <w:r>
        <w:t xml:space="preserve"> In order to maintain a democratic society, however, the State has an obligation to ensure that channels are available for the peaceful expression of different, even radical, political ideologies. The State should take action to promote a climate where dissent is, to the greatest extent possible, met with initiatives for dialogue and a culture of peace. The Special </w:t>
      </w:r>
      <w:proofErr w:type="spellStart"/>
      <w:r>
        <w:t>Rapporteur</w:t>
      </w:r>
      <w:proofErr w:type="spellEnd"/>
      <w:r>
        <w:t xml:space="preserve"> reiterates that counter-terrorism measures taken at the cost of human rights are not effective and may ultimately serve merely to incite violent expressions of protest.</w:t>
      </w:r>
    </w:p>
    <w:p w:rsidR="00000000" w:rsidRDefault="00000000">
      <w:pPr>
        <w:pStyle w:val="H1G"/>
      </w:pPr>
      <w:r>
        <w:tab/>
        <w:t xml:space="preserve">C. </w:t>
      </w:r>
      <w:r>
        <w:tab/>
        <w:t>Penitentiary benefits for terrorist convicts</w:t>
      </w:r>
    </w:p>
    <w:p w:rsidR="00000000" w:rsidRDefault="00000000">
      <w:pPr>
        <w:pStyle w:val="SingleTxtG"/>
      </w:pPr>
      <w:r>
        <w:t xml:space="preserve">29. </w:t>
      </w:r>
      <w:r>
        <w:tab/>
        <w:t xml:space="preserve">Following the adoption of Law No. 29423 on 12 October 2009, persons convicted of terrorism and/or treason in Peru cannot claim penitentiary benefits that would allow for the reduction of their prison sentence on the basis of work or education, or that would grant them partial or conditional release. The law has retroactive effect with regard to all persons deprived of their liberty on the basis of terrorism sentences issued before it entered into force, despite the fact that, since February 2003, Legislative Decree No. 927 provides for proceedings, conditions and controls under which people convicted for terrorism may be granted conditional release following a case-by-case assessment by the judge. This interpretation does not depart from the jurisprudence of the Constitutional Court, according to which penitentiary benefits do not constitute fundamental rights, but are to be understood as guarantees aiming at the re-socialization and re-education of the prisoner. As clarified to the Special </w:t>
      </w:r>
      <w:proofErr w:type="spellStart"/>
      <w:r>
        <w:t>Rapporteur</w:t>
      </w:r>
      <w:proofErr w:type="spellEnd"/>
      <w:r>
        <w:t xml:space="preserve"> during his visit, the benefits cannot be claimed with reference to the principle of equality before the law or of legitimate expectations, since a convict’s expectation upon sentencing is to serve the prison term in full. Moreover, since these provisions are to be considered of a procedural nature and not of substantive penal law, the principle of non-retroactivity is, according to the Constitutional Court, not applicable, the only exception being those requests that were filed, but not resolved, before the entry into force of the new law.</w:t>
      </w:r>
      <w:r>
        <w:rPr>
          <w:rStyle w:val="FootnoteReference"/>
        </w:rPr>
        <w:footnoteReference w:id="31"/>
      </w:r>
    </w:p>
    <w:p w:rsidR="00000000" w:rsidRDefault="00000000">
      <w:pPr>
        <w:pStyle w:val="SingleTxtG"/>
      </w:pPr>
      <w:r>
        <w:t xml:space="preserve">30. </w:t>
      </w:r>
      <w:r>
        <w:tab/>
        <w:t xml:space="preserve">During his visit, the Special </w:t>
      </w:r>
      <w:proofErr w:type="spellStart"/>
      <w:r>
        <w:t>Rapporteur</w:t>
      </w:r>
      <w:proofErr w:type="spellEnd"/>
      <w:r>
        <w:t xml:space="preserve"> was informed of a legislative proposal developed by the National Human Rights Council for the purpose of implementing the Optional Protocol to the Convention against Torture and other Cruel, Inhuman or Degrading Treatment or Punishment, to which Peru acceded on 14 September 2006. He notes with encouragement the Council’s proposal to create an independent national preventive mechanism under the responsibility of the National Ombudsperson’s Office. Such a mechanism is one of the main treaty obligations under the Optional Protocol and particularly important in the context of counter-terrorism, since persons detained as terrorist suspects often face an aggravated risk of torture. An effective preventive mechanism is indispensible to eliminate any temptation to resort to prohibited means of interrogation in the investigation of cases of terrorism.</w:t>
      </w:r>
    </w:p>
    <w:p w:rsidR="00000000" w:rsidRDefault="00000000">
      <w:pPr>
        <w:pStyle w:val="H1G"/>
      </w:pPr>
      <w:r>
        <w:tab/>
        <w:t xml:space="preserve">D. </w:t>
      </w:r>
      <w:r>
        <w:tab/>
        <w:t>States of emergency and the regulation of the use of force by the armed forces and the police</w:t>
      </w:r>
    </w:p>
    <w:p w:rsidR="00000000" w:rsidRDefault="00000000">
      <w:pPr>
        <w:pStyle w:val="SingleTxtG"/>
      </w:pPr>
      <w:r>
        <w:t xml:space="preserve">31. </w:t>
      </w:r>
      <w:r>
        <w:tab/>
        <w:t xml:space="preserve">The declaration of a state of emergency, including for the purpose of fighting terrorism, is a tool frequently used by the Government. Peru is one of the very few countries to have invoked article 4 of the International Covenant on Civil and Political Rights with reference to terrorism when declaring a state of emergency. In recent years, this measure is used to a much lesser extent than during the internal armed conflict when, at times, approximately 50 per cent of the population was subjected to an emergency regime of political-military commands that controlled more than 20 per cent of the national territory, including the civilian authorities operating in these areas. Inside the </w:t>
      </w:r>
      <w:proofErr w:type="spellStart"/>
      <w:r>
        <w:t>VRAE</w:t>
      </w:r>
      <w:proofErr w:type="spellEnd"/>
      <w:r>
        <w:t xml:space="preserve"> region, however, the state of emergency under the control of the armed forces was still in force at the time of the visit owing to the ongoing activities in the region of the remnants of </w:t>
      </w:r>
      <w:proofErr w:type="spellStart"/>
      <w:r>
        <w:t>Sendero</w:t>
      </w:r>
      <w:proofErr w:type="spellEnd"/>
      <w:r>
        <w:t xml:space="preserve"> </w:t>
      </w:r>
      <w:proofErr w:type="spellStart"/>
      <w:r>
        <w:t>Luminoso</w:t>
      </w:r>
      <w:proofErr w:type="spellEnd"/>
      <w:r>
        <w:t xml:space="preserve">. The Special </w:t>
      </w:r>
      <w:proofErr w:type="spellStart"/>
      <w:r>
        <w:t>Rapporteur</w:t>
      </w:r>
      <w:proofErr w:type="spellEnd"/>
      <w:r>
        <w:t xml:space="preserve"> notes the adverse consequences of this situation for displaced communities that are still waiting to return. </w:t>
      </w:r>
    </w:p>
    <w:p w:rsidR="00000000" w:rsidRDefault="00000000">
      <w:pPr>
        <w:pStyle w:val="SingleTxtG"/>
      </w:pPr>
      <w:r>
        <w:t xml:space="preserve">32. </w:t>
      </w:r>
      <w:r>
        <w:tab/>
        <w:t xml:space="preserve">Legislative Decree No. 1095, which was promulgated on 1 September 2010, regulates the application and use of force by the armed forces within the national territory. The Special </w:t>
      </w:r>
      <w:proofErr w:type="spellStart"/>
      <w:r>
        <w:t>Rapporteur</w:t>
      </w:r>
      <w:proofErr w:type="spellEnd"/>
      <w:r>
        <w:t xml:space="preserve"> is greatly concerned about provisions in the Decree that determine international humanitarian law to be applicable in areas where the armed forces, following a declaration of a state of emergency, have taken control over the internal order for the purpose of confronting a “hostile group”. Firstly, international humanitarian law is applicable only where the objective facts on the ground prove the existence of an ongoing armed conflict between identifiable parties capable of and organized for conducting armed hostilities and, therefore, cannot be triggered by a domestic decision authorizing military forces to exercise the powers of the State in an area, as is presupposed in article 5.1 of the said Decree. Secondly, the definition of “hostile group” in article 3 (f) as “being minimally organized, having the capacity and intention to confront the State in a prolonged manner by means of fire arms, pointed and sharp items or blunt objects in quantities, and participating in the hostilities or collaborating in their realization” is so broad that it would encompass social protest movements not carrying firearms, and, consequently, trigger the application of international humanitarian law in situations of low-level violence not amounting to an armed conflict.</w:t>
      </w:r>
    </w:p>
    <w:p w:rsidR="00000000" w:rsidRDefault="00000000">
      <w:pPr>
        <w:pStyle w:val="SingleTxtG"/>
      </w:pPr>
      <w:r>
        <w:t xml:space="preserve">33. </w:t>
      </w:r>
      <w:r>
        <w:tab/>
        <w:t xml:space="preserve">Whereas under international humanitarian law it may be lawful for the State to use lethal force against persons who participate in hostilities, the Special </w:t>
      </w:r>
      <w:proofErr w:type="spellStart"/>
      <w:r>
        <w:t>Rapporteur</w:t>
      </w:r>
      <w:proofErr w:type="spellEnd"/>
      <w:r>
        <w:t xml:space="preserve"> emphasizes that, in any other situation, the use of armed force must be considered a measure of last resort and be carried out only in strict compliance with the principle of necessity and in accordance with the rules and regulations on the use of firearms.</w:t>
      </w:r>
      <w:r>
        <w:rPr>
          <w:rStyle w:val="FootnoteReference"/>
        </w:rPr>
        <w:footnoteReference w:id="32"/>
      </w:r>
      <w:r>
        <w:t xml:space="preserve"> He is concerned that the wording of article 27 of Legislative Decree No. 1095, by extending military jurisdiction to include any “illegal acts” committed by the military under the application of the said Decree or in the exercise of their duties, appears to go in the opposite direction by potentially allowing military courts to decide on cases of excessive use of force and even human rights violations.</w:t>
      </w:r>
    </w:p>
    <w:p w:rsidR="00000000" w:rsidRDefault="00000000">
      <w:pPr>
        <w:pStyle w:val="SingleTxtG"/>
      </w:pPr>
      <w:r>
        <w:t xml:space="preserve">34. </w:t>
      </w:r>
      <w:r>
        <w:tab/>
        <w:t>The deployment of the armed forces, including by means of a state of emergency has, on occasion, been used by the Government for the purpose of handling situations of mass demonstrations and other public expressions of protest against State policies.</w:t>
      </w:r>
      <w:r>
        <w:rPr>
          <w:rStyle w:val="FootnoteReference"/>
        </w:rPr>
        <w:footnoteReference w:id="33"/>
      </w:r>
      <w:r>
        <w:t xml:space="preserve"> The Special </w:t>
      </w:r>
      <w:proofErr w:type="spellStart"/>
      <w:r>
        <w:t>Rapporteur</w:t>
      </w:r>
      <w:proofErr w:type="spellEnd"/>
      <w:r>
        <w:t xml:space="preserve"> is aware that social conflicts in the country are often generated by State-driven development strategies aimed at the exploitation of natural resources and their adverse environmental, social, economic and cultural impact as experienced by indigenous peoples and peasant communities. He is concerned that indigenous leaders have been charged with terrorist offences for what clearly appears to be peaceful activities in defence of their livelihood. Such instances, which may reflect a trend of criminalizing social protest in Peru,</w:t>
      </w:r>
      <w:r>
        <w:rPr>
          <w:rStyle w:val="FootnoteReference"/>
        </w:rPr>
        <w:footnoteReference w:id="34"/>
      </w:r>
      <w:r>
        <w:t xml:space="preserve"> confirm highly worrying tendencies to apply the broad definition of terrorism used in article 2 of Decree Law No. 25.475 on acts that are not related to actual terrorism. In Cusco, the Special </w:t>
      </w:r>
      <w:proofErr w:type="spellStart"/>
      <w:r>
        <w:t>Rapporteur</w:t>
      </w:r>
      <w:proofErr w:type="spellEnd"/>
      <w:r>
        <w:t xml:space="preserve"> was informed of an incident in which the police had wrongly identified participants in a demonstration organized by a local community as associating with </w:t>
      </w:r>
      <w:proofErr w:type="spellStart"/>
      <w:r>
        <w:t>Sendero</w:t>
      </w:r>
      <w:proofErr w:type="spellEnd"/>
      <w:r>
        <w:t xml:space="preserve"> </w:t>
      </w:r>
      <w:proofErr w:type="spellStart"/>
      <w:r>
        <w:t>Luminoso</w:t>
      </w:r>
      <w:proofErr w:type="spellEnd"/>
      <w:r>
        <w:t xml:space="preserve">. In Ayacucho, the Special </w:t>
      </w:r>
      <w:proofErr w:type="spellStart"/>
      <w:r>
        <w:t>Rapporteur</w:t>
      </w:r>
      <w:proofErr w:type="spellEnd"/>
      <w:r>
        <w:t xml:space="preserve"> interviewed in prison two indigenous community leaders who had already been detained for several months awaiting trial for terrorism but had not been informed, or were unaware, of any specific acts to which the charge related. Against this background, the Special </w:t>
      </w:r>
      <w:proofErr w:type="spellStart"/>
      <w:r>
        <w:t>Rapporteur</w:t>
      </w:r>
      <w:proofErr w:type="spellEnd"/>
      <w:r>
        <w:t xml:space="preserve"> is deeply concerned that the wording of Legislative Decree No. 1095 may be applied to protesters taking part in demonstrations, including by indigenous people who legitimately claim the right to advance and informed consent in matters concerning the use of their lands. He notes that, at the time of the visit, the domestic implementation of </w:t>
      </w:r>
      <w:proofErr w:type="spellStart"/>
      <w:r>
        <w:t>ILO</w:t>
      </w:r>
      <w:proofErr w:type="spellEnd"/>
      <w:r>
        <w:t xml:space="preserve"> Convention No. 169 through the law on the right to previous consultation by indigenous peoples had still not been adopted. </w:t>
      </w:r>
    </w:p>
    <w:p w:rsidR="00000000" w:rsidRDefault="00000000">
      <w:pPr>
        <w:pStyle w:val="H1G"/>
      </w:pPr>
      <w:r>
        <w:tab/>
        <w:t xml:space="preserve">E. </w:t>
      </w:r>
      <w:r>
        <w:tab/>
        <w:t>Stigmatization of human rights defenders</w:t>
      </w:r>
    </w:p>
    <w:p w:rsidR="00000000" w:rsidRDefault="00000000">
      <w:pPr>
        <w:pStyle w:val="SingleTxtG"/>
      </w:pPr>
      <w:r>
        <w:t xml:space="preserve">35. </w:t>
      </w:r>
      <w:r>
        <w:tab/>
        <w:t xml:space="preserve">The Special </w:t>
      </w:r>
      <w:proofErr w:type="spellStart"/>
      <w:r>
        <w:t>Rapporteur</w:t>
      </w:r>
      <w:proofErr w:type="spellEnd"/>
      <w:r>
        <w:t xml:space="preserve"> notes the existence of a dynamic and independent human rights community present in different sectors of Peruvian society. He is, however, worried about the marked ambiguity with which the concept of human rights is characterized in Peruvian public discourse and the tendency to polarize retrials, seeking to ensure a fair trial for persons convicted for terrorism during the internal armed conflict, and trials against members of the State security forces accused of human rights violations during the same period. Related to this issue is the frequency with which different categories of people, including indigenous peoples, peasant and other communities, as previously mentioned, but also non-governmental organizations, lawyers and church organizations actively working for the advancement of human rights in the country are depicted as being associated with terrorism, both in the media and, most worrisome, in pronouncements made by certain high-level Government officials. Such tendencies could not only risk supporting illegitimate action against peaceful human rights advocacy, but also confuse the fundamental understanding that each and every individual is entitled to enjoy and claim all their human rights. </w:t>
      </w:r>
    </w:p>
    <w:p w:rsidR="00000000" w:rsidRDefault="00000000">
      <w:pPr>
        <w:pStyle w:val="HChG"/>
      </w:pPr>
      <w:r>
        <w:tab/>
        <w:t xml:space="preserve">IV. </w:t>
      </w:r>
      <w:r>
        <w:tab/>
        <w:t>Conclusions and recommendations</w:t>
      </w:r>
    </w:p>
    <w:p w:rsidR="00000000" w:rsidRDefault="00000000">
      <w:pPr>
        <w:pStyle w:val="H1G"/>
      </w:pPr>
      <w:r>
        <w:tab/>
        <w:t xml:space="preserve">A. </w:t>
      </w:r>
      <w:r>
        <w:tab/>
        <w:t>Conclusions</w:t>
      </w:r>
    </w:p>
    <w:p w:rsidR="00000000" w:rsidRDefault="00000000">
      <w:pPr>
        <w:pStyle w:val="SingleTxtG"/>
        <w:rPr>
          <w:b/>
          <w:bCs/>
        </w:rPr>
      </w:pPr>
      <w:r>
        <w:t xml:space="preserve">36. </w:t>
      </w:r>
      <w:r>
        <w:tab/>
      </w:r>
      <w:r>
        <w:rPr>
          <w:b/>
          <w:bCs/>
        </w:rPr>
        <w:t xml:space="preserve">Following 20 years of widespread terrorist violence provoking counter-measures of a repressive and highly militarized nature by State security forces, Peru provides, by means of a series of initiatives, important lessons with regard to the provision of justice and compensation for the suffering caused by the internal armed conflict. It is, however, troubling that, while the national economy is steadily growing, the most vulnerable and exposed sectors of Peruvian society, which because of discrimination and poverty were the most affected by the terrorist violence and human rights violations committed during the conflict, have still not received proper compensation. An additional concern is the prevailing tendency in political discourse of some sectors to associate human rights and their defenders with terrorism. The Special </w:t>
      </w:r>
      <w:proofErr w:type="spellStart"/>
      <w:r>
        <w:rPr>
          <w:b/>
          <w:bCs/>
        </w:rPr>
        <w:t>Rapporteur</w:t>
      </w:r>
      <w:proofErr w:type="spellEnd"/>
      <w:r>
        <w:rPr>
          <w:b/>
          <w:bCs/>
        </w:rPr>
        <w:t xml:space="preserve"> firmly believes that the Government should spare no effort to reverse this trend and actively support the promotion of international human rights standards at all levels of Peruvian society. Such action will help to ensure that all victims of the conflict, whether victimized by terrorist attacks or by counter-terrorism measures, are treated equally and will contribute to the building of bridges between different social strata. In addition, it will also have crucial implications for the success of current and future counter-terrorism measures and for the promotion of a climate of peace, where past experiences of systematic practices of human rights violations, including by members of State security forces, will not take place again. </w:t>
      </w:r>
    </w:p>
    <w:p w:rsidR="00000000" w:rsidRDefault="00000000">
      <w:pPr>
        <w:pStyle w:val="SingleTxtG"/>
        <w:rPr>
          <w:b/>
          <w:bCs/>
        </w:rPr>
      </w:pPr>
      <w:r>
        <w:t xml:space="preserve">37. </w:t>
      </w:r>
      <w:r>
        <w:tab/>
      </w:r>
      <w:r>
        <w:rPr>
          <w:b/>
          <w:bCs/>
        </w:rPr>
        <w:t xml:space="preserve">The Special </w:t>
      </w:r>
      <w:proofErr w:type="spellStart"/>
      <w:r>
        <w:rPr>
          <w:b/>
          <w:bCs/>
        </w:rPr>
        <w:t>Rapporteur</w:t>
      </w:r>
      <w:proofErr w:type="spellEnd"/>
      <w:r>
        <w:rPr>
          <w:b/>
          <w:bCs/>
        </w:rPr>
        <w:t xml:space="preserve"> is concerned about provisions on terrorism in State criminal legislation, the application of which risks going beyond actions that can legitimately be labelled as terrorism. Against the number of claims and instances indicating an increasing criminalization of social protest in the country, he wishes to emphasize that the frequent deployment of military forces, not only as a counter-terrorism measure but also in situations of mass demonstrations, seriously risks causing a militarization of conflicts that should not be settled by the armed forces. While recognizing that the population in all parts of the country needs to be protected by security forces, the Special </w:t>
      </w:r>
      <w:proofErr w:type="spellStart"/>
      <w:r>
        <w:rPr>
          <w:b/>
          <w:bCs/>
        </w:rPr>
        <w:t>Rapporteur</w:t>
      </w:r>
      <w:proofErr w:type="spellEnd"/>
      <w:r>
        <w:rPr>
          <w:b/>
          <w:bCs/>
        </w:rPr>
        <w:t xml:space="preserve"> urges Peru to strengthen the presence of all levels of State services and authorities even in the most remote areas of the country and, thereby, ensure that trust and cooperation can be established, or re-established, between rural and indigenous communities and the central Government.</w:t>
      </w:r>
    </w:p>
    <w:p w:rsidR="00000000" w:rsidRDefault="00000000">
      <w:pPr>
        <w:pStyle w:val="H1G"/>
      </w:pPr>
      <w:r>
        <w:tab/>
        <w:t xml:space="preserve">B. </w:t>
      </w:r>
      <w:r>
        <w:tab/>
        <w:t>Recommendations</w:t>
      </w:r>
    </w:p>
    <w:p w:rsidR="00000000" w:rsidRDefault="00000000">
      <w:pPr>
        <w:pStyle w:val="SingleTxtG"/>
        <w:rPr>
          <w:b/>
          <w:bCs/>
        </w:rPr>
      </w:pPr>
      <w:r>
        <w:t xml:space="preserve">38. </w:t>
      </w:r>
      <w:r>
        <w:tab/>
      </w:r>
      <w:r>
        <w:rPr>
          <w:b/>
          <w:bCs/>
        </w:rPr>
        <w:t xml:space="preserve">While emphasizing the need to promote in the public domain the understanding of the concept of human rights as a comprehensive set of international and legally binding standards that belong equally to all human beings, the Special </w:t>
      </w:r>
      <w:proofErr w:type="spellStart"/>
      <w:r>
        <w:rPr>
          <w:b/>
          <w:bCs/>
        </w:rPr>
        <w:t>Rapporteur</w:t>
      </w:r>
      <w:proofErr w:type="spellEnd"/>
      <w:r>
        <w:rPr>
          <w:b/>
          <w:bCs/>
        </w:rPr>
        <w:t xml:space="preserve"> urges the Government of Peru to counter, within the limits of the right to freedom of opinion, expression and the media, the stigmatization of human rights and their defenders as being associated with terrorism in political and media discourse. He also urges the Government to distance itself actively from statements to that effect. Equal recognition and treatment should be given to all victims of the conflict, including those wrongly accused and convicted of terrorism.</w:t>
      </w:r>
    </w:p>
    <w:p w:rsidR="00000000" w:rsidRDefault="00000000">
      <w:pPr>
        <w:pStyle w:val="SingleTxtG"/>
        <w:rPr>
          <w:b/>
          <w:bCs/>
        </w:rPr>
      </w:pPr>
      <w:r>
        <w:t xml:space="preserve">39. </w:t>
      </w:r>
      <w:r>
        <w:tab/>
      </w:r>
      <w:r>
        <w:rPr>
          <w:b/>
          <w:bCs/>
        </w:rPr>
        <w:t xml:space="preserve">The effective implementation of collective reparations programmes and full recognition by the State of indigenous, rural and other affected communities, particularly women, as victims of the violence constitute the cornerstone of the reconciliation process and an important element in the fight against the discrimination and marginalization that affect many members of the Peruvian population. The Special </w:t>
      </w:r>
      <w:proofErr w:type="spellStart"/>
      <w:r>
        <w:rPr>
          <w:b/>
          <w:bCs/>
        </w:rPr>
        <w:t>Rapporteur</w:t>
      </w:r>
      <w:proofErr w:type="spellEnd"/>
      <w:r>
        <w:rPr>
          <w:b/>
          <w:bCs/>
        </w:rPr>
        <w:t xml:space="preserve"> recommends that action be order to ensure effective coordination between different levels of Government, including between the legal mandates and allocation of resources assigned to implement measures, that sufficient resources are made available, and, most significantly, that the effective execution of collective reparations is considered a priority on the official agenda.</w:t>
      </w:r>
    </w:p>
    <w:p w:rsidR="00000000" w:rsidRDefault="00000000">
      <w:pPr>
        <w:pStyle w:val="SingleTxtG"/>
        <w:rPr>
          <w:b/>
          <w:bCs/>
        </w:rPr>
      </w:pPr>
      <w:r>
        <w:t xml:space="preserve">40. </w:t>
      </w:r>
      <w:r>
        <w:tab/>
      </w:r>
      <w:r>
        <w:rPr>
          <w:b/>
          <w:bCs/>
        </w:rPr>
        <w:t xml:space="preserve">The Special </w:t>
      </w:r>
      <w:proofErr w:type="spellStart"/>
      <w:r>
        <w:rPr>
          <w:b/>
          <w:bCs/>
        </w:rPr>
        <w:t>Rapporteur</w:t>
      </w:r>
      <w:proofErr w:type="spellEnd"/>
      <w:r>
        <w:rPr>
          <w:b/>
          <w:bCs/>
        </w:rPr>
        <w:t xml:space="preserve"> calls upon the Government of Peru to recognize fully the cultural and traditional distinctiveness of indigenous peoples and to initiate inclusive policies with regard to their communities, while taking into account the preservation of their cultures. In the view of the Special </w:t>
      </w:r>
      <w:proofErr w:type="spellStart"/>
      <w:r>
        <w:rPr>
          <w:b/>
          <w:bCs/>
        </w:rPr>
        <w:t>Rapporteur</w:t>
      </w:r>
      <w:proofErr w:type="spellEnd"/>
      <w:r>
        <w:rPr>
          <w:b/>
          <w:bCs/>
        </w:rPr>
        <w:t xml:space="preserve">, this should be seen as an element in addressing conditions conducive to the recruitment to terrorism and in a strategy of building a society without terrorism. He recommends that the Government proceed with the swift adoption of the law on the right to advance consultation of indigenous peoples in accordance with the State’s international obligations and in conformity with </w:t>
      </w:r>
      <w:proofErr w:type="spellStart"/>
      <w:r>
        <w:rPr>
          <w:b/>
          <w:bCs/>
        </w:rPr>
        <w:t>ILO</w:t>
      </w:r>
      <w:proofErr w:type="spellEnd"/>
      <w:r>
        <w:rPr>
          <w:b/>
          <w:bCs/>
        </w:rPr>
        <w:t xml:space="preserve"> Convention No. 169.</w:t>
      </w:r>
    </w:p>
    <w:p w:rsidR="00000000" w:rsidRDefault="00000000">
      <w:pPr>
        <w:pStyle w:val="SingleTxtG"/>
        <w:rPr>
          <w:b/>
          <w:bCs/>
        </w:rPr>
      </w:pPr>
      <w:r>
        <w:t xml:space="preserve">41. </w:t>
      </w:r>
      <w:r>
        <w:tab/>
      </w:r>
      <w:r>
        <w:rPr>
          <w:b/>
          <w:bCs/>
        </w:rPr>
        <w:t xml:space="preserve">While expressing his deep concern at discrimination against women, which is persistent on multiple levels, the Special </w:t>
      </w:r>
      <w:proofErr w:type="spellStart"/>
      <w:r>
        <w:rPr>
          <w:b/>
          <w:bCs/>
        </w:rPr>
        <w:t>Rapporteur</w:t>
      </w:r>
      <w:proofErr w:type="spellEnd"/>
      <w:r>
        <w:rPr>
          <w:b/>
          <w:bCs/>
        </w:rPr>
        <w:t xml:space="preserve"> recommends that measures be taken to guarantee the full participation of women in the implementation of collective reparation programmes. Furthermore, he urges the State to ensure that women subjected to gender violence, including the numerous cases of rape perpetrated during the internal armed conflict, have access to reparations and, when appropriate, receive all necessary assistance to obtain criminal justice remedies, while taking fully into account the sensitivity and specific impact of gender violence on women.</w:t>
      </w:r>
    </w:p>
    <w:p w:rsidR="00000000" w:rsidRDefault="00000000">
      <w:pPr>
        <w:pStyle w:val="SingleTxtG"/>
        <w:rPr>
          <w:b/>
          <w:bCs/>
        </w:rPr>
      </w:pPr>
      <w:r>
        <w:t xml:space="preserve">42. </w:t>
      </w:r>
      <w:r>
        <w:tab/>
      </w:r>
      <w:r>
        <w:rPr>
          <w:b/>
          <w:bCs/>
        </w:rPr>
        <w:t xml:space="preserve">The Special </w:t>
      </w:r>
      <w:proofErr w:type="spellStart"/>
      <w:r>
        <w:rPr>
          <w:b/>
          <w:bCs/>
        </w:rPr>
        <w:t>Rapporteur</w:t>
      </w:r>
      <w:proofErr w:type="spellEnd"/>
      <w:r>
        <w:rPr>
          <w:b/>
          <w:bCs/>
        </w:rPr>
        <w:t xml:space="preserve"> recommends that measures be taken to facilitate the work of the Reparations Council in order that the procedures allowing all beneficiaries of the individual economic reparation programmes to receive promptly the compensation to which they are entitled as victims may be finalized, in accordance with Law No. 28592 and its regulation and the recommendations of the Truth and Reconciliation Commission.</w:t>
      </w:r>
    </w:p>
    <w:p w:rsidR="00000000" w:rsidRDefault="00000000">
      <w:pPr>
        <w:pStyle w:val="SingleTxtG"/>
        <w:rPr>
          <w:b/>
          <w:bCs/>
        </w:rPr>
      </w:pPr>
      <w:r>
        <w:t xml:space="preserve">43. </w:t>
      </w:r>
      <w:r>
        <w:tab/>
      </w:r>
      <w:r>
        <w:rPr>
          <w:b/>
          <w:bCs/>
        </w:rPr>
        <w:t xml:space="preserve">With regard to criminal proceedings concerning human rights violations committed by members of the State security forces during the two decades of violence, the Special </w:t>
      </w:r>
      <w:proofErr w:type="spellStart"/>
      <w:r>
        <w:rPr>
          <w:b/>
          <w:bCs/>
        </w:rPr>
        <w:t>Rapporteur</w:t>
      </w:r>
      <w:proofErr w:type="spellEnd"/>
      <w:r>
        <w:rPr>
          <w:b/>
          <w:bCs/>
        </w:rPr>
        <w:t xml:space="preserve"> recognizes that important steps have been taken to bring those responsible to justice and to sanction them. However, noting a series of elements impeding the resolution of the many remaining cases, he recommends that the Government of Peru:</w:t>
      </w:r>
    </w:p>
    <w:p w:rsidR="00000000" w:rsidRDefault="00000000">
      <w:pPr>
        <w:pStyle w:val="SingleTxtG"/>
        <w:rPr>
          <w:b/>
          <w:bCs/>
        </w:rPr>
      </w:pPr>
      <w:r>
        <w:rPr>
          <w:b/>
          <w:bCs/>
        </w:rPr>
        <w:tab/>
        <w:t>(a)</w:t>
      </w:r>
      <w:r>
        <w:rPr>
          <w:b/>
          <w:bCs/>
        </w:rPr>
        <w:tab/>
        <w:t>Provide its support for and establish mechanisms to ensure that prosecutors and judges, to the highest degree possible, have the cooperation of the Ministry of Defence when requesting information on serving officers who are subject to criminal investigations or charges, and the use of aliases by military personnel during the conduct of counter-terrorism operations;</w:t>
      </w:r>
    </w:p>
    <w:p w:rsidR="00000000" w:rsidRDefault="00000000">
      <w:pPr>
        <w:pStyle w:val="SingleTxtG"/>
        <w:rPr>
          <w:b/>
          <w:bCs/>
        </w:rPr>
      </w:pPr>
      <w:r>
        <w:rPr>
          <w:b/>
          <w:bCs/>
        </w:rPr>
        <w:tab/>
        <w:t>(b)</w:t>
      </w:r>
      <w:r>
        <w:rPr>
          <w:b/>
          <w:bCs/>
        </w:rPr>
        <w:tab/>
        <w:t>Ensure that sufficient resources are provided for the purpose of effectively implementing the witness protection programme and that measures are taken to guarantee safety and security for all actors taking an active part in the resolution of these cases;</w:t>
      </w:r>
    </w:p>
    <w:p w:rsidR="00000000" w:rsidRDefault="00000000">
      <w:pPr>
        <w:pStyle w:val="SingleTxtG"/>
        <w:rPr>
          <w:b/>
          <w:bCs/>
        </w:rPr>
      </w:pPr>
      <w:r>
        <w:rPr>
          <w:b/>
          <w:bCs/>
        </w:rPr>
        <w:tab/>
        <w:t>(c)</w:t>
      </w:r>
      <w:r>
        <w:rPr>
          <w:b/>
          <w:bCs/>
        </w:rPr>
        <w:tab/>
        <w:t xml:space="preserve">Ensure that obstacles for prosecution and conviction for grave human rights violations in the course of counter-terrorism operations, such as those based on a statute of limitations in domestic law, are overcome in accordance with the jurisprudence of the Inter-American Court of Human Rights and applicable international human rights law. </w:t>
      </w:r>
    </w:p>
    <w:p w:rsidR="00000000" w:rsidRDefault="00000000">
      <w:pPr>
        <w:pStyle w:val="SingleTxtG"/>
        <w:rPr>
          <w:b/>
          <w:bCs/>
        </w:rPr>
      </w:pPr>
      <w:r>
        <w:t xml:space="preserve">44. </w:t>
      </w:r>
      <w:r>
        <w:tab/>
      </w:r>
      <w:r>
        <w:rPr>
          <w:b/>
          <w:bCs/>
        </w:rPr>
        <w:t xml:space="preserve">While welcoming the invitation by members of the Public Prosecutor’s office to provide his comments on the draft counter-terrorism law in preparation, the Special </w:t>
      </w:r>
      <w:proofErr w:type="spellStart"/>
      <w:r>
        <w:rPr>
          <w:b/>
          <w:bCs/>
        </w:rPr>
        <w:t>Rapporteur</w:t>
      </w:r>
      <w:proofErr w:type="spellEnd"/>
      <w:r>
        <w:rPr>
          <w:b/>
          <w:bCs/>
        </w:rPr>
        <w:t xml:space="preserve"> expresses his wish to receive a draft as soon as possible, and takes this opportunity to make the following preliminary recommendations in relation to current criminal legislation regulating terrorist offences:</w:t>
      </w:r>
    </w:p>
    <w:p w:rsidR="00000000" w:rsidRDefault="00000000">
      <w:pPr>
        <w:pStyle w:val="SingleTxtG"/>
        <w:rPr>
          <w:b/>
          <w:bCs/>
        </w:rPr>
      </w:pPr>
      <w:r>
        <w:rPr>
          <w:b/>
          <w:bCs/>
        </w:rPr>
        <w:tab/>
        <w:t>(a)</w:t>
      </w:r>
      <w:r>
        <w:rPr>
          <w:b/>
          <w:bCs/>
        </w:rPr>
        <w:tab/>
        <w:t>Article 2 of Decree Law No. 25.475 should be brought into compliance with the principle of legality as enshrined in article 15 of the International Covenant on Civil and Political Rights and be, at the same time, formulated in a manner that restricts its application to crimes of a genuinely terrorist nature;</w:t>
      </w:r>
    </w:p>
    <w:p w:rsidR="00000000" w:rsidRDefault="00000000">
      <w:pPr>
        <w:pStyle w:val="SingleTxtG"/>
        <w:rPr>
          <w:b/>
          <w:bCs/>
        </w:rPr>
      </w:pPr>
      <w:r>
        <w:rPr>
          <w:b/>
          <w:bCs/>
        </w:rPr>
        <w:tab/>
        <w:t>(b)</w:t>
      </w:r>
      <w:r>
        <w:rPr>
          <w:b/>
          <w:bCs/>
        </w:rPr>
        <w:tab/>
        <w:t>Article 4 of Decree Law No. 25.475 should be amended with the purpose of abandoning any reference to the promotion of goals of a terrorist organization as being an object of criminalization per se, and securing that any act falling under the provision be foreseeable on the basis of clear and precise formulations;</w:t>
      </w:r>
    </w:p>
    <w:p w:rsidR="00000000" w:rsidRDefault="00000000">
      <w:pPr>
        <w:pStyle w:val="SingleTxtG"/>
        <w:rPr>
          <w:b/>
          <w:bCs/>
        </w:rPr>
      </w:pPr>
      <w:r>
        <w:rPr>
          <w:b/>
          <w:bCs/>
        </w:rPr>
        <w:tab/>
        <w:t>(c)</w:t>
      </w:r>
      <w:r>
        <w:rPr>
          <w:b/>
          <w:bCs/>
        </w:rPr>
        <w:tab/>
        <w:t>The criminalization of glorification of or apology for terrorism, as established in article 316 of the Penal Code, should be amended to comprise acts that include any intent to incite the commission of terrorist acts and the risk that such acts are, in fact, committed as a consequence.</w:t>
      </w:r>
    </w:p>
    <w:p w:rsidR="00000000" w:rsidRDefault="00000000">
      <w:pPr>
        <w:pStyle w:val="SingleTxtG"/>
        <w:rPr>
          <w:b/>
          <w:bCs/>
        </w:rPr>
      </w:pPr>
      <w:r>
        <w:t xml:space="preserve">45. </w:t>
      </w:r>
      <w:r>
        <w:tab/>
      </w:r>
      <w:r>
        <w:rPr>
          <w:b/>
          <w:bCs/>
        </w:rPr>
        <w:t xml:space="preserve">The Special </w:t>
      </w:r>
      <w:proofErr w:type="spellStart"/>
      <w:r>
        <w:rPr>
          <w:b/>
          <w:bCs/>
        </w:rPr>
        <w:t>Rapporteur</w:t>
      </w:r>
      <w:proofErr w:type="spellEnd"/>
      <w:r>
        <w:rPr>
          <w:b/>
          <w:bCs/>
        </w:rPr>
        <w:t xml:space="preserve"> calls upon the Government of Peru to abandon its practice of delegating authority to the executive branch to legislate on terrorism, and recommends that a legislative counter-terrorism framework be enacted through proper parliamentary proceedings. </w:t>
      </w:r>
    </w:p>
    <w:p w:rsidR="00000000" w:rsidRDefault="00000000">
      <w:pPr>
        <w:pStyle w:val="SingleTxtG"/>
        <w:rPr>
          <w:b/>
          <w:bCs/>
        </w:rPr>
      </w:pPr>
      <w:r>
        <w:t xml:space="preserve">46. </w:t>
      </w:r>
      <w:r>
        <w:tab/>
      </w:r>
      <w:r>
        <w:rPr>
          <w:b/>
          <w:bCs/>
        </w:rPr>
        <w:t xml:space="preserve">Recalling that terrorist suspects belong to a category of detainees that is potentially vulnerable to illegal interrogation techniques, including torture and ill-treatment, the Special </w:t>
      </w:r>
      <w:proofErr w:type="spellStart"/>
      <w:r>
        <w:rPr>
          <w:b/>
          <w:bCs/>
        </w:rPr>
        <w:t>Rapporteur</w:t>
      </w:r>
      <w:proofErr w:type="spellEnd"/>
      <w:r>
        <w:rPr>
          <w:b/>
          <w:bCs/>
        </w:rPr>
        <w:t xml:space="preserve"> recommends that Peru establish, as soon as possible, an independent national preventive mechanism overseeing national detention facilities in accordance with its obligations as envisaged by the Optional Protocol to the Convention against Torture and other Cruel, Inhuman or Degrading Treatment or Punishment;</w:t>
      </w:r>
    </w:p>
    <w:p w:rsidR="00000000" w:rsidRDefault="00000000">
      <w:pPr>
        <w:pStyle w:val="SingleTxtG"/>
        <w:rPr>
          <w:b/>
          <w:bCs/>
        </w:rPr>
      </w:pPr>
      <w:r>
        <w:t xml:space="preserve">47. </w:t>
      </w:r>
      <w:r>
        <w:tab/>
      </w:r>
      <w:r>
        <w:rPr>
          <w:b/>
          <w:bCs/>
        </w:rPr>
        <w:t xml:space="preserve">The Special </w:t>
      </w:r>
      <w:proofErr w:type="spellStart"/>
      <w:r>
        <w:rPr>
          <w:b/>
          <w:bCs/>
        </w:rPr>
        <w:t>Rapporteur</w:t>
      </w:r>
      <w:proofErr w:type="spellEnd"/>
      <w:r>
        <w:rPr>
          <w:b/>
          <w:bCs/>
        </w:rPr>
        <w:t xml:space="preserve"> expresses his grave concern at the adoption of Legislative Decree No. 1095, which is based on a serious misconception of the legal application of international humanitarian law. Furthermore, he is deeply concerned about the definition of “hostile group” in the law, which appears to be directed at social protests carried out by indigenous peoples’ rights movements. The Special </w:t>
      </w:r>
      <w:proofErr w:type="spellStart"/>
      <w:r>
        <w:rPr>
          <w:b/>
          <w:bCs/>
        </w:rPr>
        <w:t>Rapporteur</w:t>
      </w:r>
      <w:proofErr w:type="spellEnd"/>
      <w:r>
        <w:rPr>
          <w:b/>
          <w:bCs/>
        </w:rPr>
        <w:t xml:space="preserve"> urges the Government of Peru to repeal the law and to confine declarations of a state of emergency and the deployment of military forces to only exceptional and temporary situations.</w:t>
      </w:r>
    </w:p>
    <w:p w:rsidR="00000000" w:rsidRDefault="00000000">
      <w:pPr>
        <w:spacing w:before="240"/>
        <w:jc w:val="center"/>
        <w:rPr>
          <w:u w:val="single"/>
          <w:lang w:val="en-US"/>
        </w:rPr>
      </w:pPr>
      <w:r>
        <w:rPr>
          <w:u w:val="single"/>
          <w:lang w:val="en-US"/>
        </w:rPr>
        <w:tab/>
      </w:r>
      <w:r>
        <w:rPr>
          <w:u w:val="single"/>
          <w:lang w:val="en-US"/>
        </w:rPr>
        <w:tab/>
      </w:r>
      <w:r>
        <w:rPr>
          <w:u w:val="single"/>
          <w:lang w:val="en-US"/>
        </w:rPr>
        <w:tab/>
      </w:r>
    </w:p>
    <w:p w:rsidR="00000000" w:rsidRDefault="00000000">
      <w:pPr>
        <w:rPr>
          <w:lang w:val="en-US" w:eastAsia="ru-RU"/>
        </w:rPr>
      </w:pPr>
    </w:p>
    <w:sectPr w:rsidR="0000000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rPr>
          <w:lang w:val="en-US"/>
        </w:rPr>
        <w:tab/>
      </w:r>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r>
      <w:rPr>
        <w:lang w:val="en-US"/>
      </w:rPr>
      <w:tab/>
      <w:t>GE.10-17788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rPr>
        <w:lang w:val="en-US"/>
      </w:rPr>
    </w:pPr>
    <w:r>
      <w:rPr>
        <w:lang w:val="en-US"/>
      </w:rPr>
      <w:t>GE.10-17788</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rPr>
        <w:sz w:val="20"/>
        <w:lang w:val="en-US"/>
      </w:rPr>
    </w:pPr>
    <w:r>
      <w:rPr>
        <w:sz w:val="20"/>
        <w:lang w:val="en-US"/>
      </w:rPr>
      <w:t>GE.10-17788  (R)  291210  291210</w:t>
    </w:r>
    <w:r>
      <w:rPr>
        <w:sz w:val="20"/>
        <w:lang w:val="en-US"/>
      </w:rPr>
      <w:tab/>
    </w:r>
    <w:r>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tabs>
          <w:tab w:val="right" w:pos="2155"/>
        </w:tabs>
        <w:spacing w:after="80" w:line="240" w:lineRule="auto"/>
        <w:ind w:left="680"/>
        <w:rPr>
          <w:u w:val="single"/>
          <w:lang w:val="en-US"/>
        </w:rPr>
      </w:pPr>
      <w:r>
        <w:rPr>
          <w:u w:val="single"/>
          <w:lang w:val="en-US"/>
        </w:rPr>
        <w:tab/>
      </w:r>
    </w:p>
  </w:footnote>
  <w:footnote w:type="continuationSeparator" w:id="0">
    <w:p w:rsidR="00000000" w:rsidRDefault="00000000">
      <w:pPr>
        <w:tabs>
          <w:tab w:val="right" w:pos="2155"/>
        </w:tabs>
        <w:spacing w:after="80" w:line="240" w:lineRule="auto"/>
        <w:rPr>
          <w:u w:val="single"/>
          <w:lang w:val="en-US"/>
        </w:rPr>
      </w:pPr>
      <w:r>
        <w:rPr>
          <w:u w:val="single"/>
          <w:lang w:val="en-US"/>
        </w:rPr>
        <w:tab/>
      </w:r>
    </w:p>
    <w:p w:rsidR="00000000" w:rsidRDefault="00000000">
      <w:pPr>
        <w:pStyle w:val="Footer"/>
      </w:pPr>
    </w:p>
  </w:footnote>
  <w:footnote w:id="1">
    <w:p w:rsidR="00000000" w:rsidRDefault="00000000">
      <w:pPr>
        <w:pStyle w:val="FootnoteText"/>
        <w:rPr>
          <w:lang w:val="ru-RU"/>
        </w:rPr>
      </w:pPr>
      <w:r>
        <w:rPr>
          <w:lang w:val="ru-RU"/>
        </w:rPr>
        <w:tab/>
      </w:r>
      <w:r>
        <w:rPr>
          <w:rStyle w:val="FootnoteReference"/>
          <w:lang w:val="ru-RU"/>
        </w:rPr>
        <w:t>*</w:t>
      </w:r>
      <w:r>
        <w:rPr>
          <w:lang w:val="ru-RU"/>
        </w:rPr>
        <w:t xml:space="preserve"> </w:t>
      </w:r>
      <w:r>
        <w:rPr>
          <w:lang w:val="ru-RU"/>
        </w:rPr>
        <w:tab/>
        <w:t>Резюме настоящего документа распространяется на всех официальных языках. Сам документ, содержащийся в приложении к резюме, распространяется только на том языке, на котором он был представлен, и на испанском языке.</w:t>
      </w:r>
    </w:p>
  </w:footnote>
  <w:footnote w:id="2">
    <w:p w:rsidR="00000000" w:rsidRDefault="00000000">
      <w:pPr>
        <w:pStyle w:val="FootnoteText"/>
        <w:rPr>
          <w:sz w:val="16"/>
          <w:szCs w:val="16"/>
        </w:rPr>
      </w:pPr>
      <w:r>
        <w:rPr>
          <w:sz w:val="16"/>
          <w:szCs w:val="16"/>
        </w:rPr>
        <w:tab/>
      </w:r>
      <w:r>
        <w:rPr>
          <w:rStyle w:val="FootnoteReference"/>
        </w:rPr>
        <w:footnoteRef/>
      </w:r>
      <w:r>
        <w:rPr>
          <w:sz w:val="16"/>
          <w:szCs w:val="16"/>
        </w:rPr>
        <w:tab/>
      </w:r>
      <w:r>
        <w:rPr>
          <w:rStyle w:val="EndnoteTextChar"/>
        </w:rPr>
        <w:t>Supreme Decree No. 065-2001-PCM, as ratified and complemented by Supreme Decree No.</w:t>
      </w:r>
      <w:r>
        <w:rPr>
          <w:rStyle w:val="EndnoteTextChar"/>
          <w:lang w:val="en-US"/>
        </w:rPr>
        <w:t> </w:t>
      </w:r>
      <w:r>
        <w:rPr>
          <w:rStyle w:val="EndnoteTextChar"/>
        </w:rPr>
        <w:t xml:space="preserve">101-2001-PCM. </w:t>
      </w:r>
    </w:p>
  </w:footnote>
  <w:footnote w:id="3">
    <w:p w:rsidR="00000000" w:rsidRDefault="00000000">
      <w:pPr>
        <w:pStyle w:val="FootnoteText"/>
        <w:spacing w:line="240" w:lineRule="auto"/>
        <w:ind w:left="0" w:firstLine="0"/>
        <w:rPr>
          <w:szCs w:val="18"/>
          <w:lang w:val="es-ES_tradnl"/>
        </w:rPr>
      </w:pPr>
      <w:r>
        <w:rPr>
          <w:szCs w:val="18"/>
          <w:lang w:val="en-US"/>
        </w:rPr>
        <w:tab/>
      </w:r>
      <w:r>
        <w:rPr>
          <w:rStyle w:val="FootnoteReference"/>
          <w:szCs w:val="18"/>
        </w:rPr>
        <w:footnoteRef/>
      </w:r>
      <w:r>
        <w:rPr>
          <w:szCs w:val="18"/>
          <w:lang w:val="es-ES_tradnl"/>
        </w:rPr>
        <w:tab/>
        <w:t>Supreme Decree No. 017-2005-JUS.</w:t>
      </w:r>
    </w:p>
  </w:footnote>
  <w:footnote w:id="4">
    <w:p w:rsidR="00000000" w:rsidRDefault="00000000">
      <w:pPr>
        <w:pStyle w:val="FootnoteText"/>
        <w:spacing w:line="240" w:lineRule="auto"/>
        <w:ind w:left="0" w:firstLine="0"/>
        <w:rPr>
          <w:szCs w:val="18"/>
          <w:lang w:val="es-ES_tradnl"/>
        </w:rPr>
      </w:pPr>
      <w:r>
        <w:rPr>
          <w:szCs w:val="18"/>
          <w:lang w:val="es-ES"/>
        </w:rPr>
        <w:tab/>
      </w:r>
      <w:r>
        <w:rPr>
          <w:rStyle w:val="FootnoteReference"/>
          <w:szCs w:val="18"/>
        </w:rPr>
        <w:footnoteRef/>
      </w:r>
      <w:r>
        <w:rPr>
          <w:rStyle w:val="FootnoteReference"/>
          <w:szCs w:val="18"/>
          <w:lang w:val="es-ES"/>
        </w:rPr>
        <w:tab/>
      </w:r>
      <w:r>
        <w:rPr>
          <w:szCs w:val="18"/>
          <w:lang w:val="es-ES_tradnl"/>
        </w:rPr>
        <w:t>Supreme Decree No. 015-2006-JUS, art. 3.</w:t>
      </w:r>
    </w:p>
  </w:footnote>
  <w:footnote w:id="5">
    <w:p w:rsidR="00000000" w:rsidRDefault="00000000">
      <w:pPr>
        <w:pStyle w:val="FootnoteText"/>
        <w:spacing w:line="240" w:lineRule="auto"/>
        <w:ind w:left="0" w:firstLine="0"/>
        <w:rPr>
          <w:szCs w:val="18"/>
        </w:rPr>
      </w:pPr>
      <w:r>
        <w:rPr>
          <w:szCs w:val="18"/>
          <w:lang w:val="es-ES"/>
        </w:rPr>
        <w:tab/>
      </w:r>
      <w:r>
        <w:rPr>
          <w:rStyle w:val="FootnoteReference"/>
          <w:szCs w:val="18"/>
        </w:rPr>
        <w:footnoteRef/>
      </w:r>
      <w:r>
        <w:rPr>
          <w:szCs w:val="18"/>
        </w:rPr>
        <w:tab/>
        <w:t>Supreme Resolution No. 171-2010-PCM.</w:t>
      </w:r>
    </w:p>
  </w:footnote>
  <w:footnote w:id="6">
    <w:p w:rsidR="00000000" w:rsidRDefault="00000000">
      <w:pPr>
        <w:pStyle w:val="FootnoteText"/>
        <w:spacing w:line="240" w:lineRule="auto"/>
        <w:ind w:left="0" w:firstLine="0"/>
        <w:rPr>
          <w:szCs w:val="18"/>
        </w:rPr>
      </w:pPr>
      <w:r>
        <w:rPr>
          <w:szCs w:val="18"/>
        </w:rPr>
        <w:tab/>
      </w:r>
      <w:r>
        <w:rPr>
          <w:rStyle w:val="FootnoteReference"/>
          <w:szCs w:val="18"/>
        </w:rPr>
        <w:footnoteRef/>
      </w:r>
      <w:r>
        <w:rPr>
          <w:szCs w:val="18"/>
        </w:rPr>
        <w:tab/>
        <w:t>Document No. 043-2010-PCM-CR/P.</w:t>
      </w:r>
    </w:p>
  </w:footnote>
  <w:footnote w:id="7">
    <w:p w:rsidR="00000000" w:rsidRDefault="00000000">
      <w:pPr>
        <w:pStyle w:val="FootnoteText"/>
        <w:rPr>
          <w:rStyle w:val="EndnoteTextChar"/>
        </w:rPr>
      </w:pPr>
      <w:r>
        <w:rPr>
          <w:szCs w:val="18"/>
        </w:rPr>
        <w:tab/>
      </w:r>
      <w:r>
        <w:rPr>
          <w:rStyle w:val="FootnoteReference"/>
          <w:szCs w:val="18"/>
        </w:rPr>
        <w:footnoteRef/>
      </w:r>
      <w:r>
        <w:rPr>
          <w:szCs w:val="18"/>
        </w:rPr>
        <w:tab/>
      </w:r>
      <w:r>
        <w:rPr>
          <w:rStyle w:val="EndnoteTextChar"/>
        </w:rPr>
        <w:t>The High-Level Multi-Sector Commission to monitor State Actions and Policies on matters relating to Peace, Collective Reparations and National Reconciliation was created by Supreme Decree No. 011-2004-PCM.</w:t>
      </w:r>
    </w:p>
  </w:footnote>
  <w:footnote w:id="8">
    <w:p w:rsidR="00000000" w:rsidRDefault="00000000">
      <w:pPr>
        <w:pStyle w:val="FootnoteText"/>
        <w:rPr>
          <w:szCs w:val="18"/>
        </w:rPr>
      </w:pPr>
      <w:r>
        <w:rPr>
          <w:szCs w:val="18"/>
        </w:rPr>
        <w:tab/>
      </w:r>
      <w:r>
        <w:rPr>
          <w:rStyle w:val="FootnoteReference"/>
          <w:szCs w:val="18"/>
        </w:rPr>
        <w:footnoteRef/>
      </w:r>
      <w:r>
        <w:rPr>
          <w:szCs w:val="18"/>
        </w:rPr>
        <w:tab/>
        <w:t>Guidelines for intervention for organized groups of internally displaced, Executive Secretary – CMAN, May, 2010</w:t>
      </w:r>
    </w:p>
  </w:footnote>
  <w:footnote w:id="9">
    <w:p w:rsidR="00000000" w:rsidRDefault="00000000">
      <w:pPr>
        <w:pStyle w:val="FootnoteText"/>
        <w:spacing w:line="240" w:lineRule="auto"/>
        <w:ind w:left="0" w:right="0" w:firstLine="0"/>
        <w:rPr>
          <w:szCs w:val="18"/>
        </w:rPr>
      </w:pPr>
      <w:r>
        <w:rPr>
          <w:szCs w:val="18"/>
        </w:rPr>
        <w:tab/>
      </w:r>
      <w:r>
        <w:rPr>
          <w:rStyle w:val="FootnoteReference"/>
          <w:szCs w:val="18"/>
        </w:rPr>
        <w:footnoteRef/>
      </w:r>
      <w:r>
        <w:rPr>
          <w:szCs w:val="18"/>
        </w:rPr>
        <w:tab/>
        <w:t>See the final report of the Truth and Reconciliation Commission 2003, Vol. V, chap. 2.8.</w:t>
      </w:r>
    </w:p>
  </w:footnote>
  <w:footnote w:id="10">
    <w:p w:rsidR="00000000" w:rsidRDefault="00000000">
      <w:pPr>
        <w:pStyle w:val="FootnoteText"/>
        <w:spacing w:line="240" w:lineRule="auto"/>
        <w:ind w:left="0" w:right="0" w:firstLine="0"/>
        <w:rPr>
          <w:szCs w:val="18"/>
        </w:rPr>
      </w:pPr>
      <w:r>
        <w:rPr>
          <w:szCs w:val="18"/>
        </w:rPr>
        <w:tab/>
      </w:r>
      <w:r>
        <w:rPr>
          <w:rStyle w:val="FootnoteReference"/>
          <w:szCs w:val="18"/>
        </w:rPr>
        <w:footnoteRef/>
      </w:r>
      <w:r>
        <w:rPr>
          <w:szCs w:val="18"/>
        </w:rPr>
        <w:tab/>
        <w:t>Supreme Decree 015-2006-JUS, art. 29.</w:t>
      </w:r>
    </w:p>
  </w:footnote>
  <w:footnote w:id="11">
    <w:p w:rsidR="00000000" w:rsidRDefault="00000000">
      <w:pPr>
        <w:pStyle w:val="FootnoteText"/>
        <w:spacing w:line="240" w:lineRule="auto"/>
        <w:ind w:left="0" w:right="0" w:firstLine="0"/>
        <w:rPr>
          <w:szCs w:val="18"/>
        </w:rPr>
      </w:pPr>
      <w:r>
        <w:rPr>
          <w:szCs w:val="18"/>
        </w:rPr>
        <w:tab/>
      </w:r>
      <w:r>
        <w:rPr>
          <w:rStyle w:val="FootnoteReference"/>
          <w:szCs w:val="18"/>
        </w:rPr>
        <w:footnoteRef/>
      </w:r>
      <w:r>
        <w:rPr>
          <w:szCs w:val="18"/>
        </w:rPr>
        <w:tab/>
        <w:t>Ibid., art. 7 (</w:t>
      </w:r>
      <w:r>
        <w:rPr>
          <w:i/>
          <w:iCs/>
          <w:szCs w:val="18"/>
        </w:rPr>
        <w:t>e</w:t>
      </w:r>
      <w:r>
        <w:rPr>
          <w:szCs w:val="18"/>
        </w:rPr>
        <w:t>) and (</w:t>
      </w:r>
      <w:r>
        <w:rPr>
          <w:i/>
          <w:iCs/>
          <w:szCs w:val="18"/>
        </w:rPr>
        <w:t>f</w:t>
      </w:r>
      <w:r>
        <w:rPr>
          <w:szCs w:val="18"/>
        </w:rPr>
        <w:t>).</w:t>
      </w:r>
    </w:p>
  </w:footnote>
  <w:footnote w:id="12">
    <w:p w:rsidR="00000000" w:rsidRDefault="00000000">
      <w:pPr>
        <w:pStyle w:val="FootnoteText"/>
        <w:spacing w:line="240" w:lineRule="auto"/>
        <w:rPr>
          <w:szCs w:val="18"/>
        </w:rPr>
      </w:pPr>
      <w:r>
        <w:rPr>
          <w:szCs w:val="18"/>
        </w:rPr>
        <w:tab/>
      </w:r>
      <w:r>
        <w:rPr>
          <w:rStyle w:val="FootnoteReference"/>
          <w:szCs w:val="18"/>
        </w:rPr>
        <w:footnoteRef/>
      </w:r>
      <w:r>
        <w:rPr>
          <w:szCs w:val="18"/>
        </w:rPr>
        <w:tab/>
        <w:t>Note that article 7(g) of Supreme Decree 015-2006-JUS uses the concept of “gender equity”.</w:t>
      </w:r>
    </w:p>
  </w:footnote>
  <w:footnote w:id="13">
    <w:p w:rsidR="00000000" w:rsidRDefault="00000000">
      <w:pPr>
        <w:pStyle w:val="FootnoteText"/>
        <w:spacing w:line="240" w:lineRule="auto"/>
        <w:rPr>
          <w:szCs w:val="18"/>
        </w:rPr>
      </w:pPr>
      <w:r>
        <w:rPr>
          <w:szCs w:val="18"/>
        </w:rPr>
        <w:tab/>
      </w:r>
      <w:r>
        <w:rPr>
          <w:rStyle w:val="FootnoteReference"/>
          <w:szCs w:val="18"/>
        </w:rPr>
        <w:footnoteRef/>
      </w:r>
      <w:r>
        <w:rPr>
          <w:szCs w:val="18"/>
        </w:rPr>
        <w:tab/>
        <w:t xml:space="preserve">See Julie Guillerot, “Linking gender and reparations in Peru: a failed opportunity” in </w:t>
      </w:r>
      <w:r>
        <w:rPr>
          <w:rStyle w:val="Emphasis"/>
          <w:szCs w:val="18"/>
        </w:rPr>
        <w:t>What Happened to the Women?: Gender and Reparations for Human Rights Violations</w:t>
      </w:r>
      <w:r>
        <w:rPr>
          <w:szCs w:val="18"/>
        </w:rPr>
        <w:t>, edited by Ruth Rubio-Marín, Social Science Research Council, New York, 2006, p. 171.</w:t>
      </w:r>
    </w:p>
  </w:footnote>
  <w:footnote w:id="14">
    <w:p w:rsidR="00000000" w:rsidRDefault="00000000">
      <w:pPr>
        <w:pStyle w:val="FootnoteText"/>
        <w:rPr>
          <w:szCs w:val="18"/>
        </w:rPr>
      </w:pPr>
      <w:r>
        <w:rPr>
          <w:szCs w:val="18"/>
        </w:rPr>
        <w:tab/>
      </w:r>
      <w:r>
        <w:rPr>
          <w:rStyle w:val="FootnoteReference"/>
          <w:szCs w:val="18"/>
        </w:rPr>
        <w:footnoteRef/>
      </w:r>
      <w:r>
        <w:rPr>
          <w:szCs w:val="18"/>
        </w:rPr>
        <w:tab/>
        <w:t xml:space="preserve">See </w:t>
      </w:r>
      <w:r>
        <w:rPr>
          <w:i/>
          <w:szCs w:val="18"/>
        </w:rPr>
        <w:t>Barrios Altos v. Peru</w:t>
      </w:r>
      <w:r>
        <w:rPr>
          <w:szCs w:val="18"/>
        </w:rPr>
        <w:t xml:space="preserve">, judgement of 14 March 2001, and </w:t>
      </w:r>
      <w:r>
        <w:rPr>
          <w:i/>
          <w:szCs w:val="18"/>
        </w:rPr>
        <w:t>La Cantuta v. Peru</w:t>
      </w:r>
      <w:r>
        <w:rPr>
          <w:szCs w:val="18"/>
        </w:rPr>
        <w:t>, judgement of 29 November 2006, Inter-American Court of Human Rights.</w:t>
      </w:r>
    </w:p>
  </w:footnote>
  <w:footnote w:id="15">
    <w:p w:rsidR="00000000" w:rsidRDefault="00000000">
      <w:pPr>
        <w:pStyle w:val="FootnoteText"/>
        <w:rPr>
          <w:szCs w:val="18"/>
        </w:rPr>
      </w:pPr>
      <w:r>
        <w:rPr>
          <w:szCs w:val="18"/>
        </w:rPr>
        <w:tab/>
      </w:r>
      <w:r>
        <w:rPr>
          <w:rStyle w:val="FootnoteReference"/>
          <w:szCs w:val="18"/>
        </w:rPr>
        <w:footnoteRef/>
      </w:r>
      <w:r>
        <w:rPr>
          <w:szCs w:val="18"/>
        </w:rPr>
        <w:tab/>
        <w:t>Judicial file No. 19-2001-AV, judgement of 7 April 2009.</w:t>
      </w:r>
    </w:p>
  </w:footnote>
  <w:footnote w:id="16">
    <w:p w:rsidR="00000000" w:rsidRDefault="00000000">
      <w:pPr>
        <w:pStyle w:val="FootnoteText"/>
        <w:spacing w:line="240" w:lineRule="auto"/>
        <w:ind w:left="0" w:right="0" w:firstLine="0"/>
        <w:rPr>
          <w:szCs w:val="18"/>
          <w:lang w:val="sv-FI"/>
        </w:rPr>
      </w:pPr>
      <w:r>
        <w:rPr>
          <w:szCs w:val="18"/>
        </w:rPr>
        <w:tab/>
      </w:r>
      <w:r>
        <w:rPr>
          <w:rStyle w:val="FootnoteReference"/>
          <w:szCs w:val="18"/>
        </w:rPr>
        <w:footnoteRef/>
      </w:r>
      <w:r>
        <w:rPr>
          <w:szCs w:val="18"/>
          <w:lang w:val="sv-FI"/>
        </w:rPr>
        <w:tab/>
        <w:t>Judicial file No. AV 19-2001-09-AV, 30 December 2009, p. 110.</w:t>
      </w:r>
    </w:p>
  </w:footnote>
  <w:footnote w:id="17">
    <w:p w:rsidR="00000000" w:rsidRDefault="00000000">
      <w:pPr>
        <w:pStyle w:val="FootnoteText"/>
        <w:spacing w:line="240" w:lineRule="auto"/>
        <w:ind w:left="0" w:right="0" w:firstLine="0"/>
        <w:rPr>
          <w:szCs w:val="18"/>
        </w:rPr>
      </w:pPr>
      <w:r>
        <w:rPr>
          <w:szCs w:val="18"/>
          <w:lang w:val="sv-FI"/>
        </w:rPr>
        <w:tab/>
      </w:r>
      <w:r>
        <w:rPr>
          <w:rStyle w:val="FootnoteReference"/>
          <w:szCs w:val="18"/>
        </w:rPr>
        <w:footnoteRef/>
      </w:r>
      <w:r>
        <w:rPr>
          <w:szCs w:val="18"/>
          <w:lang w:val="es-ES"/>
        </w:rPr>
        <w:tab/>
        <w:t xml:space="preserve">Judicial file No. 19-2001-AV, para. </w:t>
      </w:r>
      <w:r>
        <w:rPr>
          <w:szCs w:val="18"/>
        </w:rPr>
        <w:t>65.</w:t>
      </w:r>
    </w:p>
  </w:footnote>
  <w:footnote w:id="18">
    <w:p w:rsidR="00000000" w:rsidRDefault="00000000">
      <w:pPr>
        <w:pStyle w:val="FootnoteText"/>
        <w:spacing w:line="240" w:lineRule="auto"/>
        <w:ind w:left="0" w:right="0" w:firstLine="0"/>
        <w:rPr>
          <w:szCs w:val="18"/>
        </w:rPr>
      </w:pPr>
      <w:r>
        <w:rPr>
          <w:szCs w:val="18"/>
        </w:rPr>
        <w:tab/>
      </w:r>
      <w:r>
        <w:rPr>
          <w:rStyle w:val="FootnoteReference"/>
          <w:szCs w:val="18"/>
        </w:rPr>
        <w:footnoteRef/>
      </w:r>
      <w:r>
        <w:rPr>
          <w:szCs w:val="18"/>
        </w:rPr>
        <w:tab/>
        <w:t>Resolution of the Office of the Prosecutor-General No. 1262-2003-MP-FN, 13 August 2003.</w:t>
      </w:r>
    </w:p>
  </w:footnote>
  <w:footnote w:id="19">
    <w:p w:rsidR="00000000" w:rsidRDefault="00000000">
      <w:pPr>
        <w:pStyle w:val="FootnoteText"/>
        <w:spacing w:line="240" w:lineRule="auto"/>
        <w:ind w:left="0" w:right="0" w:firstLine="0"/>
        <w:rPr>
          <w:szCs w:val="18"/>
        </w:rPr>
      </w:pPr>
      <w:r>
        <w:rPr>
          <w:szCs w:val="18"/>
        </w:rPr>
        <w:tab/>
      </w:r>
      <w:r>
        <w:rPr>
          <w:rStyle w:val="FootnoteReference"/>
          <w:szCs w:val="18"/>
        </w:rPr>
        <w:footnoteRef/>
      </w:r>
      <w:r>
        <w:rPr>
          <w:szCs w:val="18"/>
        </w:rPr>
        <w:tab/>
        <w:t>Plenary Accord, 9-2009/CJ-116, 13 November, 2009.</w:t>
      </w:r>
    </w:p>
  </w:footnote>
  <w:footnote w:id="20">
    <w:p w:rsidR="00000000" w:rsidRDefault="00000000">
      <w:pPr>
        <w:pStyle w:val="FootnoteText"/>
        <w:spacing w:line="240" w:lineRule="auto"/>
        <w:ind w:left="0" w:right="0" w:firstLine="0"/>
        <w:rPr>
          <w:szCs w:val="18"/>
        </w:rPr>
      </w:pPr>
      <w:r>
        <w:rPr>
          <w:szCs w:val="18"/>
        </w:rPr>
        <w:tab/>
      </w:r>
      <w:r>
        <w:rPr>
          <w:rStyle w:val="FootnoteReference"/>
          <w:szCs w:val="18"/>
        </w:rPr>
        <w:footnoteRef/>
      </w:r>
      <w:r>
        <w:rPr>
          <w:szCs w:val="18"/>
        </w:rPr>
        <w:tab/>
      </w:r>
      <w:r>
        <w:rPr>
          <w:i/>
          <w:iCs/>
          <w:szCs w:val="18"/>
        </w:rPr>
        <w:t>El Peruano</w:t>
      </w:r>
      <w:r>
        <w:rPr>
          <w:szCs w:val="18"/>
        </w:rPr>
        <w:t xml:space="preserve"> (Official Journal), 1 September 2010.</w:t>
      </w:r>
    </w:p>
  </w:footnote>
  <w:footnote w:id="21">
    <w:p w:rsidR="00000000" w:rsidRDefault="00000000">
      <w:pPr>
        <w:pStyle w:val="FootnoteText"/>
        <w:spacing w:line="240" w:lineRule="auto"/>
        <w:ind w:left="0" w:right="0" w:firstLine="0"/>
        <w:rPr>
          <w:szCs w:val="18"/>
        </w:rPr>
      </w:pPr>
      <w:r>
        <w:rPr>
          <w:szCs w:val="18"/>
        </w:rPr>
        <w:tab/>
      </w:r>
      <w:r>
        <w:rPr>
          <w:rStyle w:val="FootnoteReference"/>
          <w:szCs w:val="18"/>
        </w:rPr>
        <w:footnoteRef/>
      </w:r>
      <w:r>
        <w:rPr>
          <w:szCs w:val="18"/>
        </w:rPr>
        <w:tab/>
        <w:t>Law No. 29548.</w:t>
      </w:r>
    </w:p>
  </w:footnote>
  <w:footnote w:id="22">
    <w:p w:rsidR="00000000" w:rsidRDefault="00000000">
      <w:pPr>
        <w:pStyle w:val="FootnoteText"/>
        <w:spacing w:line="240" w:lineRule="auto"/>
        <w:ind w:left="0" w:right="0" w:firstLine="0"/>
        <w:rPr>
          <w:szCs w:val="18"/>
        </w:rPr>
      </w:pPr>
      <w:r>
        <w:rPr>
          <w:szCs w:val="18"/>
        </w:rPr>
        <w:tab/>
      </w:r>
      <w:r>
        <w:rPr>
          <w:rStyle w:val="FootnoteReference"/>
          <w:szCs w:val="18"/>
        </w:rPr>
        <w:footnoteRef/>
      </w:r>
      <w:r>
        <w:rPr>
          <w:szCs w:val="18"/>
        </w:rPr>
        <w:tab/>
        <w:t xml:space="preserve">See for example the case of </w:t>
      </w:r>
      <w:r>
        <w:rPr>
          <w:i/>
          <w:szCs w:val="18"/>
        </w:rPr>
        <w:t>Barrios Altos v Peru</w:t>
      </w:r>
      <w:r>
        <w:rPr>
          <w:szCs w:val="18"/>
        </w:rPr>
        <w:t>, paras. 41-44, and CCPR/C/79/Add.72, para. 9.</w:t>
      </w:r>
    </w:p>
  </w:footnote>
  <w:footnote w:id="23">
    <w:p w:rsidR="00000000" w:rsidRDefault="00000000">
      <w:pPr>
        <w:pStyle w:val="FootnoteText"/>
        <w:spacing w:line="240" w:lineRule="auto"/>
        <w:ind w:left="0" w:right="0" w:firstLine="0"/>
        <w:rPr>
          <w:szCs w:val="18"/>
        </w:rPr>
      </w:pPr>
      <w:r>
        <w:rPr>
          <w:szCs w:val="18"/>
        </w:rPr>
        <w:tab/>
      </w:r>
      <w:r>
        <w:rPr>
          <w:rStyle w:val="FootnoteReference"/>
          <w:szCs w:val="18"/>
        </w:rPr>
        <w:footnoteRef/>
      </w:r>
      <w:r>
        <w:rPr>
          <w:szCs w:val="18"/>
        </w:rPr>
        <w:tab/>
        <w:t>Legislative Resolution No. 27998.</w:t>
      </w:r>
    </w:p>
  </w:footnote>
  <w:footnote w:id="24">
    <w:p w:rsidR="00000000" w:rsidRDefault="00000000">
      <w:pPr>
        <w:pStyle w:val="FootnoteText"/>
        <w:spacing w:line="240" w:lineRule="auto"/>
        <w:ind w:left="0" w:right="0" w:firstLine="0"/>
        <w:rPr>
          <w:szCs w:val="18"/>
        </w:rPr>
      </w:pPr>
      <w:r>
        <w:rPr>
          <w:szCs w:val="18"/>
        </w:rPr>
        <w:tab/>
      </w:r>
      <w:r>
        <w:rPr>
          <w:rStyle w:val="FootnoteReference"/>
          <w:szCs w:val="18"/>
        </w:rPr>
        <w:footnoteRef/>
      </w:r>
      <w:r>
        <w:rPr>
          <w:szCs w:val="18"/>
        </w:rPr>
        <w:tab/>
        <w:t>Law No. 29572 which repeals Legislative Decree No. 1097.</w:t>
      </w:r>
    </w:p>
  </w:footnote>
  <w:footnote w:id="25">
    <w:p w:rsidR="00000000" w:rsidRDefault="00000000">
      <w:pPr>
        <w:pStyle w:val="FootnoteText"/>
        <w:rPr>
          <w:szCs w:val="18"/>
        </w:rPr>
      </w:pPr>
      <w:r>
        <w:rPr>
          <w:szCs w:val="18"/>
        </w:rPr>
        <w:tab/>
      </w:r>
      <w:r>
        <w:rPr>
          <w:rStyle w:val="FootnoteReference"/>
          <w:szCs w:val="18"/>
        </w:rPr>
        <w:footnoteRef/>
      </w:r>
      <w:r>
        <w:rPr>
          <w:szCs w:val="18"/>
        </w:rPr>
        <w:tab/>
        <w:t>See First Special Criminal Chamber, judicial file No. 28-2008 of 15 September 2010, and Second Special Criminal Chamber, judicial file no. 67-2008 of 20 September 2010.</w:t>
      </w:r>
    </w:p>
  </w:footnote>
  <w:footnote w:id="26">
    <w:p w:rsidR="00000000" w:rsidRDefault="00000000">
      <w:pPr>
        <w:pStyle w:val="FootnoteText"/>
        <w:spacing w:line="240" w:lineRule="auto"/>
        <w:ind w:left="0" w:right="0" w:firstLine="0"/>
        <w:rPr>
          <w:szCs w:val="18"/>
        </w:rPr>
      </w:pPr>
      <w:r>
        <w:rPr>
          <w:szCs w:val="18"/>
        </w:rPr>
        <w:tab/>
      </w:r>
      <w:r>
        <w:rPr>
          <w:rStyle w:val="FootnoteReference"/>
          <w:szCs w:val="18"/>
        </w:rPr>
        <w:footnoteRef/>
      </w:r>
      <w:r>
        <w:rPr>
          <w:szCs w:val="18"/>
        </w:rPr>
        <w:tab/>
        <w:t>Judicial file No. 010-2002-AI/TC, 3 January 2003.</w:t>
      </w:r>
    </w:p>
  </w:footnote>
  <w:footnote w:id="27">
    <w:p w:rsidR="00000000" w:rsidRDefault="00000000">
      <w:pPr>
        <w:pStyle w:val="FootnoteText"/>
        <w:rPr>
          <w:lang w:val="sv-FI"/>
        </w:rPr>
      </w:pPr>
      <w:r>
        <w:tab/>
      </w:r>
      <w:r>
        <w:rPr>
          <w:rStyle w:val="FootnoteReference"/>
        </w:rPr>
        <w:footnoteRef/>
      </w:r>
      <w:r>
        <w:tab/>
      </w:r>
      <w:r>
        <w:rPr>
          <w:lang w:val="sv-FI"/>
        </w:rPr>
        <w:t>Ibid., paras. 36-42 and 94-109.</w:t>
      </w:r>
    </w:p>
  </w:footnote>
  <w:footnote w:id="28">
    <w:p w:rsidR="00000000" w:rsidRDefault="00000000">
      <w:pPr>
        <w:pStyle w:val="FootnoteText"/>
        <w:spacing w:line="240" w:lineRule="auto"/>
        <w:ind w:left="0" w:right="0" w:firstLine="0"/>
        <w:rPr>
          <w:szCs w:val="18"/>
        </w:rPr>
      </w:pPr>
      <w:r>
        <w:rPr>
          <w:szCs w:val="18"/>
        </w:rPr>
        <w:tab/>
      </w:r>
      <w:r>
        <w:rPr>
          <w:rStyle w:val="FootnoteReference"/>
          <w:szCs w:val="18"/>
        </w:rPr>
        <w:footnoteRef/>
      </w:r>
      <w:r>
        <w:rPr>
          <w:szCs w:val="18"/>
        </w:rPr>
        <w:tab/>
        <w:t>Paragraph inserted through article 1, Legislative Decree No. 924, 20 February 2003.</w:t>
      </w:r>
    </w:p>
  </w:footnote>
  <w:footnote w:id="29">
    <w:p w:rsidR="00000000" w:rsidRDefault="00000000">
      <w:pPr>
        <w:pStyle w:val="FootnoteText"/>
        <w:spacing w:line="240" w:lineRule="auto"/>
        <w:ind w:left="0" w:right="0" w:firstLine="0"/>
        <w:rPr>
          <w:szCs w:val="18"/>
          <w:lang w:val="es-ES"/>
        </w:rPr>
      </w:pPr>
      <w:r>
        <w:rPr>
          <w:szCs w:val="18"/>
        </w:rPr>
        <w:tab/>
      </w:r>
      <w:r>
        <w:rPr>
          <w:rStyle w:val="FootnoteReference"/>
          <w:szCs w:val="18"/>
        </w:rPr>
        <w:footnoteRef/>
      </w:r>
      <w:r>
        <w:rPr>
          <w:szCs w:val="18"/>
          <w:lang w:val="en-US"/>
        </w:rPr>
        <w:tab/>
        <w:t>Judicial file No. 003-2005-PI/TC, 9 Au</w:t>
      </w:r>
      <w:r>
        <w:rPr>
          <w:szCs w:val="18"/>
          <w:lang w:val="es-ES"/>
        </w:rPr>
        <w:t>gust 2006, paras. 238-239.</w:t>
      </w:r>
    </w:p>
  </w:footnote>
  <w:footnote w:id="30">
    <w:p w:rsidR="00000000" w:rsidRDefault="00000000">
      <w:pPr>
        <w:pStyle w:val="FootnoteText"/>
        <w:spacing w:line="240" w:lineRule="auto"/>
        <w:ind w:left="0" w:right="0" w:firstLine="0"/>
        <w:rPr>
          <w:szCs w:val="18"/>
          <w:lang w:val="en-US"/>
        </w:rPr>
      </w:pPr>
      <w:r>
        <w:rPr>
          <w:szCs w:val="18"/>
          <w:lang w:val="es-ES"/>
        </w:rPr>
        <w:tab/>
      </w:r>
      <w:r>
        <w:rPr>
          <w:rStyle w:val="FootnoteReference"/>
          <w:szCs w:val="18"/>
        </w:rPr>
        <w:footnoteRef/>
      </w:r>
      <w:r>
        <w:rPr>
          <w:szCs w:val="18"/>
          <w:lang w:val="es-ES"/>
        </w:rPr>
        <w:tab/>
        <w:t xml:space="preserve">A/61/267, paras. </w:t>
      </w:r>
      <w:r>
        <w:rPr>
          <w:szCs w:val="18"/>
          <w:lang w:val="en-US"/>
        </w:rPr>
        <w:t>9-29.</w:t>
      </w:r>
    </w:p>
  </w:footnote>
  <w:footnote w:id="31">
    <w:p w:rsidR="00000000" w:rsidRDefault="00000000">
      <w:pPr>
        <w:pStyle w:val="FootnoteText"/>
        <w:spacing w:line="240" w:lineRule="auto"/>
        <w:ind w:left="0" w:right="0" w:firstLine="0"/>
        <w:rPr>
          <w:szCs w:val="18"/>
        </w:rPr>
      </w:pPr>
      <w:r>
        <w:rPr>
          <w:szCs w:val="18"/>
          <w:lang w:val="en-US"/>
        </w:rPr>
        <w:tab/>
      </w:r>
      <w:r>
        <w:rPr>
          <w:rStyle w:val="FootnoteReference"/>
          <w:szCs w:val="18"/>
        </w:rPr>
        <w:footnoteRef/>
      </w:r>
      <w:r>
        <w:rPr>
          <w:szCs w:val="18"/>
        </w:rPr>
        <w:tab/>
        <w:t>See for example judicial file No. 00267-2008-PHC/TC, 7 October 2008, paras. 4-6.</w:t>
      </w:r>
    </w:p>
  </w:footnote>
  <w:footnote w:id="32">
    <w:p w:rsidR="00000000" w:rsidRDefault="00000000">
      <w:pPr>
        <w:tabs>
          <w:tab w:val="right" w:pos="1021"/>
        </w:tabs>
        <w:spacing w:line="220" w:lineRule="exact"/>
        <w:ind w:left="1134" w:right="1134" w:hanging="1134"/>
        <w:rPr>
          <w:sz w:val="18"/>
          <w:szCs w:val="18"/>
          <w:lang w:val="en-US"/>
        </w:rPr>
      </w:pPr>
      <w:r>
        <w:rPr>
          <w:sz w:val="18"/>
          <w:szCs w:val="18"/>
          <w:lang w:val="en-US"/>
        </w:rPr>
        <w:tab/>
      </w:r>
      <w:r>
        <w:rPr>
          <w:rStyle w:val="FootnoteReference"/>
          <w:szCs w:val="18"/>
        </w:rPr>
        <w:footnoteRef/>
      </w:r>
      <w:r>
        <w:rPr>
          <w:sz w:val="18"/>
          <w:szCs w:val="18"/>
          <w:lang w:val="en-US"/>
        </w:rPr>
        <w:tab/>
        <w:t>See for example Principle 11 of the Basic Principles on the Use of Force and Firearms by Law Enforcement Officials, and articles 2 and 3 of the Code of Conduct for Law Enforcement O</w:t>
      </w:r>
      <w:r>
        <w:rPr>
          <w:sz w:val="18"/>
          <w:szCs w:val="18"/>
          <w:lang w:val="en-US"/>
        </w:rPr>
        <w:t>f</w:t>
      </w:r>
      <w:r>
        <w:rPr>
          <w:sz w:val="18"/>
          <w:szCs w:val="18"/>
          <w:lang w:val="en-US"/>
        </w:rPr>
        <w:t>ficials.</w:t>
      </w:r>
    </w:p>
  </w:footnote>
  <w:footnote w:id="33">
    <w:p w:rsidR="00000000" w:rsidRDefault="00000000">
      <w:pPr>
        <w:pStyle w:val="FootnoteText"/>
        <w:spacing w:line="240" w:lineRule="auto"/>
        <w:ind w:left="0" w:right="0" w:firstLine="0"/>
        <w:rPr>
          <w:szCs w:val="18"/>
        </w:rPr>
      </w:pPr>
      <w:r>
        <w:rPr>
          <w:szCs w:val="18"/>
        </w:rPr>
        <w:tab/>
      </w:r>
      <w:r>
        <w:rPr>
          <w:rStyle w:val="FootnoteReference"/>
          <w:szCs w:val="18"/>
        </w:rPr>
        <w:footnoteRef/>
      </w:r>
      <w:r>
        <w:rPr>
          <w:szCs w:val="18"/>
        </w:rPr>
        <w:tab/>
        <w:t xml:space="preserve">See for example Supreme Decree No. 027-2009-PCM, 8 May 2009. </w:t>
      </w:r>
    </w:p>
  </w:footnote>
  <w:footnote w:id="34">
    <w:p w:rsidR="00000000" w:rsidRDefault="00000000">
      <w:pPr>
        <w:pStyle w:val="FootnoteText"/>
        <w:spacing w:line="240" w:lineRule="auto"/>
        <w:ind w:left="0" w:right="0" w:firstLine="0"/>
        <w:rPr>
          <w:szCs w:val="18"/>
        </w:rPr>
      </w:pPr>
      <w:r>
        <w:rPr>
          <w:szCs w:val="18"/>
        </w:rPr>
        <w:tab/>
      </w:r>
      <w:r>
        <w:rPr>
          <w:rStyle w:val="FootnoteReference"/>
          <w:szCs w:val="18"/>
        </w:rPr>
        <w:footnoteRef/>
      </w:r>
      <w:r>
        <w:rPr>
          <w:szCs w:val="18"/>
        </w:rPr>
        <w:tab/>
        <w:t>See for example article 2 of Legislative Decree 982, amending article 200 of the Criminal Code.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US"/>
      </w:rPr>
    </w:pPr>
    <w:r>
      <w:rPr>
        <w:lang w:val="en-US"/>
      </w:rPr>
      <w:t>A/HRC/16/51/Add.3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US"/>
      </w:rPr>
    </w:pPr>
    <w:r>
      <w:rPr>
        <w:lang w:val="en-US"/>
      </w:rPr>
      <w:tab/>
      <w:t>A/HRC/16/51/Add.3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s-ES"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spacing w:val="4"/>
      <w:w w:val="103"/>
      <w:kern w:val="14"/>
      <w:lang w:val="ru-RU"/>
    </w:rPr>
  </w:style>
  <w:style w:type="paragraph" w:styleId="Heading1">
    <w:name w:val="heading 1"/>
    <w:aliases w:val="Table_GR"/>
    <w:basedOn w:val="Normal"/>
    <w:next w:val="Normal"/>
    <w:qFormat/>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rPr>
  </w:style>
  <w:style w:type="paragraph" w:styleId="Heading8">
    <w:name w:val="heading 8"/>
    <w:basedOn w:val="Normal"/>
    <w:next w:val="Normal"/>
    <w:qFormat/>
    <w:pPr>
      <w:spacing w:before="240" w:after="60"/>
      <w:outlineLvl w:val="7"/>
    </w:pPr>
    <w:rPr>
      <w:i/>
      <w:iCs/>
      <w:sz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tyle>
  <w:style w:type="paragraph" w:customStyle="1" w:styleId="SLGR">
    <w:name w:val="__S_L_GR"/>
    <w:basedOn w:val="Normal"/>
    <w:next w:val="Normal"/>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pPr>
      <w:numPr>
        <w:numId w:val="20"/>
      </w:numPr>
      <w:spacing w:after="120"/>
      <w:ind w:right="1134"/>
      <w:jc w:val="both"/>
    </w:pPr>
    <w:rPr>
      <w:lang w:eastAsia="ru-RU"/>
    </w:rPr>
  </w:style>
  <w:style w:type="paragraph" w:customStyle="1" w:styleId="Bullet2GR">
    <w:name w:val="_Bullet 2_GR"/>
    <w:basedOn w:val="Normal"/>
    <w:pPr>
      <w:numPr>
        <w:numId w:val="21"/>
      </w:numPr>
      <w:spacing w:after="120"/>
      <w:ind w:right="1134"/>
      <w:jc w:val="both"/>
    </w:pPr>
    <w:rPr>
      <w:lang w:eastAsia="ru-RU"/>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style>
  <w:style w:type="paragraph" w:styleId="ListBullet5">
    <w:name w:val="List Bullet 5"/>
    <w:basedOn w:val="Normal"/>
    <w:semiHidden/>
    <w:pPr>
      <w:numPr>
        <w:numId w:val="10"/>
      </w:numPr>
    </w:pPr>
  </w:style>
  <w:style w:type="table" w:styleId="TableGrid">
    <w:name w:val="Table Grid"/>
    <w:basedOn w:val="TableNormal"/>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style>
  <w:style w:type="paragraph" w:styleId="Footer">
    <w:name w:val="footer"/>
    <w:aliases w:val="3_GR"/>
    <w:basedOn w:val="Normal"/>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Pr>
      <w:rFonts w:ascii="Times New Roman" w:hAnsi="Times New Roman"/>
      <w:b/>
      <w:sz w:val="18"/>
    </w:rPr>
  </w:style>
  <w:style w:type="paragraph" w:styleId="EndnoteText">
    <w:name w:val="endnote text"/>
    <w:aliases w:val="2_GR,2_G"/>
    <w:basedOn w:val="FootnoteText"/>
    <w:link w:val="EndnoteTextChar"/>
  </w:style>
  <w:style w:type="paragraph" w:styleId="FootnoteText">
    <w:name w:val="footnote text"/>
    <w:aliases w:val="5_GR,5_G,Voetnoottekst1, Char1,FA Fu1,Footnote Text Char Char Char1,Footnote Text Char Char Char Char1,Footnote Text Char Char1,Footnote Text Char Char Char Char Char1,Footnote Text Char,Footnote reference,FA Fu"/>
    <w:basedOn w:val="Normal"/>
    <w:link w:val="FootnoteTextChar1"/>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pPr>
      <w:numPr>
        <w:numId w:val="23"/>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rPr>
      <w:rFonts w:ascii="Times New Roman" w:hAnsi="Times New Roman"/>
      <w:dstrike w:val="0"/>
      <w:sz w:val="18"/>
      <w:vertAlign w:val="superscript"/>
    </w:rPr>
  </w:style>
  <w:style w:type="character" w:styleId="HTMLAcronym">
    <w:name w:val="HTML Acronym"/>
    <w:basedOn w:val="DefaultParagraphFont"/>
    <w:semiHidden/>
  </w:style>
  <w:style w:type="table" w:styleId="TableWeb1">
    <w:name w:val="Table Web 1"/>
    <w:basedOn w:val="TableNormal"/>
    <w:semiHidden/>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styleId="Emphasis">
    <w:name w:val="Emphasis"/>
    <w:basedOn w:val="DefaultParagraphFont"/>
    <w:qFormat/>
    <w:rPr>
      <w:i/>
      <w:iCs/>
    </w:rPr>
  </w:style>
  <w:style w:type="paragraph" w:styleId="NoteHeading">
    <w:name w:val="Note Heading"/>
    <w:basedOn w:val="Normal"/>
    <w:next w:val="Normal"/>
    <w:semiHidden/>
  </w:style>
  <w:style w:type="table" w:styleId="TableElegant">
    <w:name w:val="Table Elegant"/>
    <w:basedOn w:val="TableNormal"/>
    <w:semiHidden/>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Pr>
      <w:rFonts w:ascii="Courier New" w:hAnsi="Courier New" w:cs="Courier New"/>
      <w:sz w:val="20"/>
      <w:szCs w:val="20"/>
    </w:rPr>
  </w:style>
  <w:style w:type="table" w:styleId="TableClassic1">
    <w:name w:val="Table Classic 1"/>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Pr>
      <w:rFonts w:ascii="Courier New" w:hAnsi="Courier New" w:cs="Courier New"/>
      <w:sz w:val="20"/>
      <w:szCs w:val="20"/>
    </w:rPr>
  </w:style>
  <w:style w:type="paragraph" w:styleId="BodyText">
    <w:name w:val="Body Text"/>
    <w:basedOn w:val="Normal"/>
    <w:semiHidden/>
  </w:style>
  <w:style w:type="paragraph" w:styleId="BodyTextFirstIndent">
    <w:name w:val="Body Text First Indent"/>
    <w:basedOn w:val="BodyText"/>
    <w:semiHidden/>
    <w:pPr>
      <w:ind w:firstLine="210"/>
    </w:pPr>
  </w:style>
  <w:style w:type="paragraph" w:styleId="BodyTextIndent">
    <w:name w:val="Body Text Indent"/>
    <w:basedOn w:val="Normal"/>
    <w:semiHidden/>
    <w:pPr>
      <w:ind w:left="283"/>
    </w:pPr>
  </w:style>
  <w:style w:type="paragraph" w:styleId="BodyTextFirstIndent2">
    <w:name w:val="Body Text First Indent 2"/>
    <w:basedOn w:val="BodyTextIndent"/>
    <w:semiHidden/>
    <w:pPr>
      <w:ind w:firstLine="210"/>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style>
  <w:style w:type="paragraph" w:styleId="ListNumber">
    <w:name w:val="List Number"/>
    <w:basedOn w:val="Normal"/>
    <w:semiHidden/>
    <w:pPr>
      <w:numPr>
        <w:numId w:val="11"/>
      </w:numPr>
    </w:pPr>
  </w:style>
  <w:style w:type="paragraph" w:styleId="ListNumber2">
    <w:name w:val="List Number 2"/>
    <w:basedOn w:val="Normal"/>
    <w:semiHidden/>
    <w:pPr>
      <w:numPr>
        <w:numId w:val="12"/>
      </w:numPr>
    </w:pPr>
  </w:style>
  <w:style w:type="paragraph" w:styleId="ListNumber3">
    <w:name w:val="List Number 3"/>
    <w:basedOn w:val="Normal"/>
    <w:semiHidden/>
    <w:pPr>
      <w:numPr>
        <w:numId w:val="13"/>
      </w:numPr>
    </w:pPr>
  </w:style>
  <w:style w:type="paragraph" w:styleId="ListNumber4">
    <w:name w:val="List Number 4"/>
    <w:basedOn w:val="Normal"/>
    <w:semiHidden/>
    <w:pPr>
      <w:numPr>
        <w:numId w:val="14"/>
      </w:numPr>
    </w:pPr>
  </w:style>
  <w:style w:type="paragraph" w:styleId="ListNumber5">
    <w:name w:val="List Number 5"/>
    <w:basedOn w:val="Normal"/>
    <w:semiHidden/>
    <w:pPr>
      <w:numPr>
        <w:numId w:val="15"/>
      </w:numPr>
    </w:pPr>
  </w:style>
  <w:style w:type="character" w:styleId="HTMLSample">
    <w:name w:val="HTML Sample"/>
    <w:basedOn w:val="DefaultParagraphFont"/>
    <w:semiHidden/>
    <w:rPr>
      <w:rFonts w:ascii="Courier New" w:hAnsi="Courier New" w:cs="Courier New"/>
    </w:rPr>
  </w:style>
  <w:style w:type="paragraph" w:styleId="EnvelopeReturn">
    <w:name w:val="envelope return"/>
    <w:basedOn w:val="Normal"/>
    <w:semiHidden/>
    <w:rPr>
      <w:rFonts w:ascii="Arial" w:hAnsi="Arial" w:cs="Arial"/>
    </w:rPr>
  </w:style>
  <w:style w:type="table" w:styleId="Table3Deffects1">
    <w:name w:val="Table 3D effects 1"/>
    <w:basedOn w:val="TableNormal"/>
    <w:semiHidden/>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Pr>
      <w:sz w:val="24"/>
    </w:rPr>
  </w:style>
  <w:style w:type="paragraph" w:styleId="NormalIndent">
    <w:name w:val="Normal Indent"/>
    <w:basedOn w:val="Normal"/>
    <w:semiHidden/>
    <w:pPr>
      <w:ind w:left="567"/>
    </w:pPr>
  </w:style>
  <w:style w:type="character" w:styleId="HTMLDefinition">
    <w:name w:val="HTML Definition"/>
    <w:basedOn w:val="DefaultParagraphFont"/>
    <w:semiHidden/>
    <w:rPr>
      <w:i/>
      <w:iCs/>
    </w:rPr>
  </w:style>
  <w:style w:type="paragraph" w:styleId="BodyText2">
    <w:name w:val="Body Text 2"/>
    <w:basedOn w:val="Normal"/>
    <w:semiHidden/>
    <w:pPr>
      <w:spacing w:line="480" w:lineRule="auto"/>
    </w:pPr>
  </w:style>
  <w:style w:type="paragraph" w:styleId="BodyText3">
    <w:name w:val="Body Text 3"/>
    <w:basedOn w:val="Normal"/>
    <w:semiHidden/>
    <w:rPr>
      <w:sz w:val="16"/>
      <w:szCs w:val="16"/>
    </w:rPr>
  </w:style>
  <w:style w:type="paragraph" w:styleId="BodyTextIndent2">
    <w:name w:val="Body Text Indent 2"/>
    <w:basedOn w:val="Normal"/>
    <w:semiHidden/>
    <w:pPr>
      <w:spacing w:line="480" w:lineRule="auto"/>
      <w:ind w:left="283"/>
    </w:pPr>
  </w:style>
  <w:style w:type="paragraph" w:styleId="BodyTextIndent3">
    <w:name w:val="Body Text Indent 3"/>
    <w:basedOn w:val="Normal"/>
    <w:semiHidden/>
    <w:pPr>
      <w:ind w:left="283"/>
    </w:pPr>
    <w:rPr>
      <w:sz w:val="16"/>
      <w:szCs w:val="16"/>
    </w:rPr>
  </w:style>
  <w:style w:type="character" w:styleId="HTMLVariable">
    <w:name w:val="HTML Variable"/>
    <w:basedOn w:val="DefaultParagraphFont"/>
    <w:semiHidden/>
    <w:rPr>
      <w:i/>
      <w:iCs/>
    </w:rPr>
  </w:style>
  <w:style w:type="character" w:styleId="HTMLTypewriter">
    <w:name w:val="HTML Typewriter"/>
    <w:basedOn w:val="DefaultParagraphFont"/>
    <w:semiHidden/>
    <w:rPr>
      <w:rFonts w:ascii="Courier New" w:hAnsi="Courier New" w:cs="Courier New"/>
      <w:sz w:val="20"/>
      <w:szCs w:val="20"/>
    </w:rPr>
  </w:style>
  <w:style w:type="paragraph" w:styleId="Subtitle">
    <w:name w:val="Subtitle"/>
    <w:basedOn w:val="Normal"/>
    <w:qFormat/>
    <w:pPr>
      <w:spacing w:after="60"/>
      <w:jc w:val="center"/>
      <w:outlineLvl w:val="1"/>
    </w:pPr>
    <w:rPr>
      <w:rFonts w:ascii="Arial" w:hAnsi="Arial" w:cs="Arial"/>
      <w:sz w:val="24"/>
    </w:rPr>
  </w:style>
  <w:style w:type="paragraph" w:styleId="Signature">
    <w:name w:val="Signature"/>
    <w:basedOn w:val="Normal"/>
    <w:semiHidden/>
    <w:pPr>
      <w:ind w:left="4252"/>
    </w:pPr>
  </w:style>
  <w:style w:type="paragraph" w:styleId="Salutation">
    <w:name w:val="Salutation"/>
    <w:basedOn w:val="Normal"/>
    <w:next w:val="Normal"/>
    <w:semiHidden/>
  </w:style>
  <w:style w:type="paragraph" w:styleId="ListContinue">
    <w:name w:val="List Continue"/>
    <w:basedOn w:val="Normal"/>
    <w:semiHidden/>
    <w:pPr>
      <w:ind w:left="283"/>
    </w:pPr>
  </w:style>
  <w:style w:type="paragraph" w:styleId="ListContinue2">
    <w:name w:val="List Continue 2"/>
    <w:basedOn w:val="Normal"/>
    <w:semiHidden/>
    <w:pPr>
      <w:ind w:left="566"/>
    </w:pPr>
  </w:style>
  <w:style w:type="paragraph" w:styleId="ListContinue3">
    <w:name w:val="List Continue 3"/>
    <w:basedOn w:val="Normal"/>
    <w:semiHidden/>
    <w:pPr>
      <w:ind w:left="849"/>
    </w:pPr>
  </w:style>
  <w:style w:type="paragraph" w:styleId="ListContinue4">
    <w:name w:val="List Continue 4"/>
    <w:basedOn w:val="Normal"/>
    <w:semiHidden/>
    <w:pPr>
      <w:ind w:left="1132"/>
    </w:pPr>
  </w:style>
  <w:style w:type="paragraph" w:styleId="ListContinue5">
    <w:name w:val="List Continue 5"/>
    <w:basedOn w:val="Normal"/>
    <w:semiHidden/>
    <w:pPr>
      <w:ind w:left="1415"/>
    </w:pPr>
  </w:style>
  <w:style w:type="character" w:styleId="FollowedHyperlink">
    <w:name w:val="FollowedHyperlink"/>
    <w:basedOn w:val="DefaultParagraphFont"/>
    <w:semiHidden/>
    <w:rPr>
      <w:color w:val="800080"/>
      <w:u w:val="single"/>
    </w:rPr>
  </w:style>
  <w:style w:type="table" w:styleId="TableSimple2">
    <w:name w:val="Table Simple 2"/>
    <w:basedOn w:val="TableNormal"/>
    <w:semiHidden/>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pPr>
      <w:ind w:left="4252"/>
    </w:pPr>
  </w:style>
  <w:style w:type="table" w:styleId="TableGrid1">
    <w:name w:val="Table Grid 1"/>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HTMLPreformatted">
    <w:name w:val="HTML Preformatted"/>
    <w:basedOn w:val="Normal"/>
    <w:semiHidden/>
    <w:rPr>
      <w:rFonts w:ascii="Courier New" w:hAnsi="Courier New" w:cs="Courier New"/>
    </w:rPr>
  </w:style>
  <w:style w:type="numbering" w:styleId="ArticleSection">
    <w:name w:val="Outline List 3"/>
    <w:basedOn w:val="NoList"/>
    <w:semiHidden/>
    <w:pPr>
      <w:numPr>
        <w:numId w:val="16"/>
      </w:numPr>
    </w:pPr>
  </w:style>
  <w:style w:type="table" w:styleId="TableColumns1">
    <w:name w:val="Table Columns 1"/>
    <w:basedOn w:val="TableNormal"/>
    <w:semiHidden/>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Pr>
      <w:b/>
      <w:bCs/>
    </w:rPr>
  </w:style>
  <w:style w:type="table" w:styleId="TableList1">
    <w:name w:val="Table List 1"/>
    <w:basedOn w:val="TableNormal"/>
    <w:semiHidden/>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pPr>
      <w:ind w:left="1440" w:right="1440"/>
    </w:pPr>
  </w:style>
  <w:style w:type="character" w:styleId="HTMLCite">
    <w:name w:val="HTML Cite"/>
    <w:basedOn w:val="DefaultParagraphFont"/>
    <w:semiHidden/>
    <w:rPr>
      <w:i/>
      <w:iCs/>
    </w:rPr>
  </w:style>
  <w:style w:type="paragraph" w:styleId="E-mailSignature">
    <w:name w:val="E-mail Signature"/>
    <w:basedOn w:val="Normal"/>
    <w:semiHidden/>
  </w:style>
  <w:style w:type="character" w:styleId="Hyperlink">
    <w:name w:val="Hyperlink"/>
    <w:basedOn w:val="DefaultParagraphFont"/>
    <w:semiHidden/>
    <w:rPr>
      <w:color w:val="000000"/>
      <w:u w:val="single"/>
    </w:rPr>
  </w:style>
  <w:style w:type="paragraph" w:customStyle="1" w:styleId="SingleTxtG">
    <w:name w:val="_ Single Txt_G"/>
    <w:basedOn w:val="Normal"/>
    <w:pPr>
      <w:suppressAutoHyphens/>
      <w:spacing w:after="120"/>
      <w:ind w:left="1134" w:right="1134"/>
      <w:jc w:val="both"/>
    </w:pPr>
    <w:rPr>
      <w:spacing w:val="0"/>
      <w:w w:val="100"/>
      <w:kern w:val="0"/>
      <w:lang w:val="en-GB"/>
    </w:rPr>
  </w:style>
  <w:style w:type="paragraph" w:customStyle="1" w:styleId="H1GR">
    <w:name w:val="_ H_1_GR"/>
    <w:basedOn w:val="Normal"/>
    <w:next w:val="Normal"/>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pPr>
      <w:spacing w:before="120"/>
    </w:pPr>
    <w:rPr>
      <w:rFonts w:ascii="Arial" w:hAnsi="Arial" w:cs="Arial"/>
      <w:b/>
      <w:bCs/>
      <w:sz w:val="24"/>
    </w:rPr>
  </w:style>
  <w:style w:type="paragraph" w:customStyle="1" w:styleId="SingleTxtGR">
    <w:name w:val="_ Single Txt_GR"/>
    <w:basedOn w:val="Normal"/>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Pr>
      <w:sz w:val="16"/>
      <w:szCs w:val="16"/>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pacing w:val="0"/>
      <w:w w:val="100"/>
      <w:kern w:val="0"/>
      <w:sz w:val="24"/>
      <w:lang w:val="en-GB"/>
    </w:rPr>
  </w:style>
  <w:style w:type="table" w:customStyle="1" w:styleId="TabNum">
    <w:name w:val="_TabNum"/>
    <w:basedOn w:val="TableNormal"/>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spacing w:val="0"/>
      <w:w w:val="100"/>
      <w:kern w:val="0"/>
      <w:lang w:val="en-GB"/>
    </w:rPr>
  </w:style>
  <w:style w:type="character" w:customStyle="1" w:styleId="FootnoteTextChar1">
    <w:name w:val="Footnote Text Char1"/>
    <w:aliases w:val="5_GR Char,5_G Char,Voetnoottekst1 Char, Char1 Char,FA Fu1 Char,Footnote Text Char Char Char1 Char,Footnote Text Char Char Char Char1 Char,Footnote Text Char Char1 Char,Footnote Text Char Char Char Char Char1 Char,FA Fu Char"/>
    <w:basedOn w:val="DefaultParagraphFont"/>
    <w:link w:val="FootnoteText"/>
    <w:rPr>
      <w:spacing w:val="5"/>
      <w:w w:val="104"/>
      <w:kern w:val="14"/>
      <w:sz w:val="18"/>
      <w:lang w:val="en-GB" w:eastAsia="ru-RU" w:bidi="ar-SA"/>
    </w:rPr>
  </w:style>
  <w:style w:type="character" w:customStyle="1" w:styleId="EndnoteTextChar">
    <w:name w:val="Endnote Text Char"/>
    <w:aliases w:val="2_GR Char,2_G Char"/>
    <w:basedOn w:val="FootnoteTextChar1"/>
    <w:link w:val="EndnoteText"/>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G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GA</Template>
  <TotalTime>0</TotalTime>
  <Pages>20</Pages>
  <Words>10120</Words>
  <Characters>57690</Characters>
  <Application>Microsoft Office Outlook</Application>
  <DocSecurity>4</DocSecurity>
  <Lines>480</Lines>
  <Paragraphs>135</Paragraphs>
  <ScaleCrop>false</ScaleCrop>
  <HeadingPairs>
    <vt:vector size="2" baseType="variant">
      <vt:variant>
        <vt:lpstr>Название</vt:lpstr>
      </vt:variant>
      <vt:variant>
        <vt:i4>1</vt:i4>
      </vt:variant>
    </vt:vector>
  </HeadingPairs>
  <TitlesOfParts>
    <vt:vector size="1" baseType="lpstr">
      <vt:lpstr>1017788</vt:lpstr>
    </vt:vector>
  </TitlesOfParts>
  <Company>CSD</Company>
  <LinksUpToDate>false</LinksUpToDate>
  <CharactersWithSpaces>67675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1017788</dc:title>
  <dc:subject>Шаяхметов</dc:subject>
  <dc:creator>Tatiana Chvets</dc:creator>
  <cp:keywords/>
  <dc:description/>
  <cp:lastModifiedBy>Tatiana Chvets</cp:lastModifiedBy>
  <cp:revision>2</cp:revision>
  <cp:lastPrinted>2010-12-29T10:35:00Z</cp:lastPrinted>
  <dcterms:created xsi:type="dcterms:W3CDTF">2010-12-29T11:03:00Z</dcterms:created>
  <dcterms:modified xsi:type="dcterms:W3CDTF">2010-12-29T11:03:00Z</dcterms:modified>
</cp:coreProperties>
</file>