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3701D" w14:textId="77777777" w:rsidR="00F34E12" w:rsidRPr="00F1385E" w:rsidRDefault="00F34E12" w:rsidP="00F34E12">
      <w:pPr>
        <w:spacing w:line="240" w:lineRule="auto"/>
        <w:rPr>
          <w:sz w:val="2"/>
          <w:lang w:eastAsia="zh-CN"/>
        </w:rPr>
        <w:sectPr w:rsidR="00F34E12" w:rsidRPr="00F1385E" w:rsidSect="00F1385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1385E">
        <w:rPr>
          <w:rStyle w:val="CommentReference"/>
          <w:szCs w:val="20"/>
        </w:rPr>
        <w:commentReference w:id="0"/>
      </w:r>
    </w:p>
    <w:p w14:paraId="42A2C071" w14:textId="77777777" w:rsidR="00F1385E" w:rsidRPr="00F1385E" w:rsidRDefault="00F1385E" w:rsidP="00F138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Comité para la Eliminación de la Discriminación contra la Mujer</w:t>
      </w:r>
    </w:p>
    <w:p w14:paraId="78BD9301" w14:textId="77777777" w:rsidR="00F1385E" w:rsidRPr="00F1385E" w:rsidRDefault="00F1385E" w:rsidP="00F1385E">
      <w:pPr>
        <w:pStyle w:val="Session"/>
        <w:rPr>
          <w:lang w:eastAsia="zh-CN"/>
        </w:rPr>
      </w:pPr>
      <w:r w:rsidRPr="00F1385E">
        <w:rPr>
          <w:lang w:eastAsia="zh-CN"/>
        </w:rPr>
        <w:t>Septuagésimo tercer período de sesiones</w:t>
      </w:r>
    </w:p>
    <w:p w14:paraId="1BBD730B" w14:textId="77777777" w:rsidR="00F1385E" w:rsidRPr="00F1385E" w:rsidRDefault="00F1385E" w:rsidP="00F1385E">
      <w:pPr>
        <w:rPr>
          <w:lang w:eastAsia="zh-CN"/>
        </w:rPr>
      </w:pPr>
      <w:r w:rsidRPr="00F1385E">
        <w:rPr>
          <w:lang w:eastAsia="zh-CN"/>
        </w:rPr>
        <w:t>1 a 19 de julio de 2019</w:t>
      </w:r>
    </w:p>
    <w:p w14:paraId="4DF33334" w14:textId="77777777" w:rsidR="00F1385E" w:rsidRPr="00F1385E" w:rsidRDefault="00F1385E" w:rsidP="00F1385E">
      <w:pPr>
        <w:pStyle w:val="AgendaItemNormal"/>
        <w:rPr>
          <w:lang w:eastAsia="zh-CN"/>
        </w:rPr>
      </w:pPr>
      <w:r w:rsidRPr="00F1385E">
        <w:rPr>
          <w:lang w:eastAsia="zh-CN"/>
        </w:rPr>
        <w:t>Tema 2 del programa provisional</w:t>
      </w:r>
    </w:p>
    <w:p w14:paraId="0600334D" w14:textId="77777777" w:rsidR="00F1385E" w:rsidRPr="00F1385E" w:rsidRDefault="00F1385E" w:rsidP="00F1385E">
      <w:pPr>
        <w:pStyle w:val="AgendaTitleH2"/>
        <w:ind w:left="1267" w:right="1260" w:hanging="1267"/>
        <w:rPr>
          <w:lang w:eastAsia="zh-CN"/>
        </w:rPr>
      </w:pPr>
      <w:r w:rsidRPr="00F1385E">
        <w:rPr>
          <w:lang w:eastAsia="zh-CN"/>
        </w:rPr>
        <w:t>Aprobación del programa y organización de los trabajos</w:t>
      </w:r>
    </w:p>
    <w:p w14:paraId="50BCC98B" w14:textId="110C2E84" w:rsidR="00F1385E" w:rsidRPr="00F1385E" w:rsidRDefault="00F1385E" w:rsidP="00F1385E">
      <w:pPr>
        <w:pStyle w:val="SingleTxt"/>
        <w:spacing w:after="0" w:line="120" w:lineRule="exact"/>
        <w:rPr>
          <w:sz w:val="10"/>
          <w:lang w:eastAsia="zh-CN"/>
        </w:rPr>
      </w:pPr>
    </w:p>
    <w:p w14:paraId="1B614A4F" w14:textId="7E6C6FB1" w:rsidR="00F1385E" w:rsidRPr="00F1385E" w:rsidRDefault="00F1385E" w:rsidP="00F1385E">
      <w:pPr>
        <w:pStyle w:val="SingleTxt"/>
        <w:spacing w:after="0" w:line="120" w:lineRule="exact"/>
        <w:rPr>
          <w:sz w:val="10"/>
          <w:lang w:eastAsia="zh-CN"/>
        </w:rPr>
      </w:pPr>
    </w:p>
    <w:p w14:paraId="2105E5F2" w14:textId="7A532624" w:rsidR="00F1385E" w:rsidRPr="00F1385E" w:rsidRDefault="00F1385E" w:rsidP="00F1385E">
      <w:pPr>
        <w:pStyle w:val="SingleTxt"/>
        <w:spacing w:after="0" w:line="120" w:lineRule="exact"/>
        <w:rPr>
          <w:sz w:val="10"/>
          <w:lang w:eastAsia="zh-CN"/>
        </w:rPr>
      </w:pPr>
    </w:p>
    <w:p w14:paraId="126537B6" w14:textId="77777777" w:rsidR="00F1385E" w:rsidRPr="00F1385E" w:rsidRDefault="00F1385E" w:rsidP="00F1385E">
      <w:pPr>
        <w:pStyle w:val="TitleHCH"/>
        <w:rPr>
          <w:lang w:eastAsia="zh-CN"/>
        </w:rPr>
      </w:pPr>
      <w:r w:rsidRPr="00F1385E">
        <w:rPr>
          <w:lang w:eastAsia="zh-CN"/>
        </w:rPr>
        <w:tab/>
      </w:r>
      <w:r w:rsidRPr="00F1385E">
        <w:rPr>
          <w:lang w:eastAsia="zh-CN"/>
        </w:rPr>
        <w:tab/>
        <w:t>Programa provisional anotado</w:t>
      </w:r>
    </w:p>
    <w:p w14:paraId="50170A8C" w14:textId="704CAEAB" w:rsidR="00F1385E" w:rsidRPr="00F1385E" w:rsidRDefault="00F1385E" w:rsidP="00F1385E">
      <w:pPr>
        <w:pStyle w:val="SingleTxt"/>
        <w:spacing w:after="0" w:line="120" w:lineRule="exact"/>
        <w:rPr>
          <w:sz w:val="10"/>
          <w:lang w:eastAsia="zh-CN"/>
        </w:rPr>
      </w:pPr>
    </w:p>
    <w:p w14:paraId="48D5BF78" w14:textId="4B1F476B" w:rsidR="00F1385E" w:rsidRPr="00F1385E" w:rsidRDefault="00F1385E" w:rsidP="00F1385E">
      <w:pPr>
        <w:pStyle w:val="SingleTxt"/>
        <w:spacing w:after="0" w:line="120" w:lineRule="exact"/>
        <w:rPr>
          <w:sz w:val="10"/>
          <w:lang w:eastAsia="zh-CN"/>
        </w:rPr>
      </w:pPr>
    </w:p>
    <w:p w14:paraId="566E022E" w14:textId="77777777" w:rsidR="00F1385E" w:rsidRPr="00F1385E" w:rsidRDefault="00F1385E" w:rsidP="00F1385E">
      <w:pPr>
        <w:pStyle w:val="TitleH1"/>
        <w:rPr>
          <w:lang w:eastAsia="zh-CN"/>
        </w:rPr>
      </w:pPr>
      <w:r w:rsidRPr="00F1385E">
        <w:rPr>
          <w:lang w:eastAsia="zh-CN"/>
        </w:rPr>
        <w:tab/>
      </w:r>
      <w:r w:rsidRPr="00F1385E">
        <w:rPr>
          <w:lang w:eastAsia="zh-CN"/>
        </w:rPr>
        <w:tab/>
        <w:t>Programa provisional</w:t>
      </w:r>
    </w:p>
    <w:p w14:paraId="55568DFA" w14:textId="4AD58929" w:rsidR="00F1385E" w:rsidRPr="00F1385E" w:rsidRDefault="00F1385E" w:rsidP="00F1385E">
      <w:pPr>
        <w:pStyle w:val="SingleTxt"/>
        <w:spacing w:after="0" w:line="120" w:lineRule="exact"/>
        <w:rPr>
          <w:sz w:val="10"/>
          <w:lang w:eastAsia="zh-CN"/>
        </w:rPr>
      </w:pPr>
    </w:p>
    <w:p w14:paraId="7CFBB651" w14:textId="5F8E4C1E" w:rsidR="00F1385E" w:rsidRPr="00F1385E" w:rsidRDefault="00F1385E" w:rsidP="00F1385E">
      <w:pPr>
        <w:pStyle w:val="SingleTxt"/>
        <w:spacing w:after="0" w:line="120" w:lineRule="exact"/>
        <w:rPr>
          <w:sz w:val="10"/>
          <w:lang w:eastAsia="zh-CN"/>
        </w:rPr>
      </w:pPr>
    </w:p>
    <w:p w14:paraId="12969950" w14:textId="77777777" w:rsidR="00F1385E" w:rsidRPr="00F1385E" w:rsidRDefault="00F1385E" w:rsidP="00F1385E">
      <w:pPr>
        <w:pStyle w:val="SingleTxt"/>
        <w:jc w:val="left"/>
        <w:rPr>
          <w:lang w:eastAsia="zh-CN"/>
        </w:rPr>
      </w:pPr>
      <w:r w:rsidRPr="00F1385E">
        <w:rPr>
          <w:lang w:eastAsia="zh-CN"/>
        </w:rPr>
        <w:t>1.</w:t>
      </w:r>
      <w:r w:rsidRPr="00F1385E">
        <w:rPr>
          <w:lang w:eastAsia="zh-CN"/>
        </w:rPr>
        <w:tab/>
        <w:t>Apertura del período de sesiones.</w:t>
      </w:r>
    </w:p>
    <w:p w14:paraId="3684586C" w14:textId="77777777" w:rsidR="00F1385E" w:rsidRPr="00F1385E" w:rsidRDefault="00F1385E" w:rsidP="00F1385E">
      <w:pPr>
        <w:pStyle w:val="SingleTxt"/>
        <w:jc w:val="left"/>
        <w:rPr>
          <w:lang w:eastAsia="zh-CN"/>
        </w:rPr>
      </w:pPr>
      <w:r w:rsidRPr="00F1385E">
        <w:rPr>
          <w:lang w:eastAsia="zh-CN"/>
        </w:rPr>
        <w:t>2.</w:t>
      </w:r>
      <w:r w:rsidRPr="00F1385E">
        <w:rPr>
          <w:lang w:eastAsia="zh-CN"/>
        </w:rPr>
        <w:tab/>
        <w:t>Aprobación</w:t>
      </w:r>
      <w:bookmarkStart w:id="1" w:name="_GoBack"/>
      <w:bookmarkEnd w:id="1"/>
      <w:r w:rsidRPr="00F1385E">
        <w:rPr>
          <w:lang w:eastAsia="zh-CN"/>
        </w:rPr>
        <w:t xml:space="preserve"> del programa y organización de los trabajos.</w:t>
      </w:r>
    </w:p>
    <w:p w14:paraId="0E40F038" w14:textId="77777777" w:rsidR="00F1385E" w:rsidRPr="00F1385E" w:rsidRDefault="00F1385E" w:rsidP="00F1385E">
      <w:pPr>
        <w:pStyle w:val="SingleTxt"/>
        <w:ind w:left="1742" w:hanging="475"/>
        <w:jc w:val="left"/>
        <w:rPr>
          <w:lang w:eastAsia="zh-CN"/>
        </w:rPr>
      </w:pPr>
      <w:r w:rsidRPr="00F1385E">
        <w:rPr>
          <w:lang w:eastAsia="zh-CN"/>
        </w:rPr>
        <w:t>3.</w:t>
      </w:r>
      <w:r w:rsidRPr="00F1385E">
        <w:rPr>
          <w:lang w:eastAsia="zh-CN"/>
        </w:rPr>
        <w:tab/>
        <w:t>Informe de la Presidencia sobre las actividades realizadas entre los períodos de sesiones 72º y 73º del Comité.</w:t>
      </w:r>
    </w:p>
    <w:p w14:paraId="6C4C44AC" w14:textId="77777777" w:rsidR="00F1385E" w:rsidRPr="00F1385E" w:rsidRDefault="00F1385E" w:rsidP="00F1385E">
      <w:pPr>
        <w:pStyle w:val="SingleTxt"/>
        <w:ind w:left="1742" w:hanging="475"/>
        <w:jc w:val="left"/>
        <w:rPr>
          <w:lang w:eastAsia="zh-CN"/>
        </w:rPr>
      </w:pPr>
      <w:r w:rsidRPr="00F1385E">
        <w:rPr>
          <w:lang w:eastAsia="zh-CN"/>
        </w:rPr>
        <w:t>4.</w:t>
      </w:r>
      <w:r w:rsidRPr="00F1385E">
        <w:rPr>
          <w:lang w:eastAsia="zh-CN"/>
        </w:rPr>
        <w:tab/>
        <w:t>Examen de los informes presentados por los Estados partes en virtud del artículo 18 de la Convención sobre la Eliminación de Todas las Formas de Discriminación contra la Mujer.</w:t>
      </w:r>
    </w:p>
    <w:p w14:paraId="44F35A65" w14:textId="77777777" w:rsidR="00F1385E" w:rsidRPr="00F1385E" w:rsidRDefault="00F1385E" w:rsidP="00F1385E">
      <w:pPr>
        <w:pStyle w:val="SingleTxt"/>
        <w:ind w:left="1742" w:hanging="475"/>
        <w:jc w:val="left"/>
        <w:rPr>
          <w:lang w:eastAsia="zh-CN"/>
        </w:rPr>
      </w:pPr>
      <w:r w:rsidRPr="00F1385E">
        <w:rPr>
          <w:lang w:eastAsia="zh-CN"/>
        </w:rPr>
        <w:t>5.</w:t>
      </w:r>
      <w:r w:rsidRPr="00F1385E">
        <w:rPr>
          <w:lang w:eastAsia="zh-CN"/>
        </w:rPr>
        <w:tab/>
        <w:t>Seguimiento del examen de los informes presentados por los Estados partes en virtud del artículo 18 de la Convención.</w:t>
      </w:r>
    </w:p>
    <w:p w14:paraId="46DF9B59" w14:textId="77777777" w:rsidR="00F1385E" w:rsidRPr="00F1385E" w:rsidRDefault="00F1385E" w:rsidP="00F1385E">
      <w:pPr>
        <w:pStyle w:val="SingleTxt"/>
        <w:jc w:val="left"/>
        <w:rPr>
          <w:lang w:eastAsia="zh-CN"/>
        </w:rPr>
      </w:pPr>
      <w:r w:rsidRPr="00F1385E">
        <w:rPr>
          <w:lang w:eastAsia="zh-CN"/>
        </w:rPr>
        <w:t>6.</w:t>
      </w:r>
      <w:r w:rsidRPr="00F1385E">
        <w:rPr>
          <w:lang w:eastAsia="zh-CN"/>
        </w:rPr>
        <w:tab/>
        <w:t>Aplicación de los artículos 21 y 22 de la Convención.</w:t>
      </w:r>
    </w:p>
    <w:p w14:paraId="0B578A30" w14:textId="77777777" w:rsidR="00F1385E" w:rsidRPr="00F1385E" w:rsidRDefault="00F1385E" w:rsidP="00F1385E">
      <w:pPr>
        <w:pStyle w:val="SingleTxt"/>
        <w:jc w:val="left"/>
        <w:rPr>
          <w:lang w:eastAsia="zh-CN"/>
        </w:rPr>
      </w:pPr>
      <w:r w:rsidRPr="00F1385E">
        <w:rPr>
          <w:lang w:eastAsia="zh-CN"/>
        </w:rPr>
        <w:t>7.</w:t>
      </w:r>
      <w:r w:rsidRPr="00F1385E">
        <w:rPr>
          <w:lang w:eastAsia="zh-CN"/>
        </w:rPr>
        <w:tab/>
        <w:t>Medios de agilizar los trabajos del Comité.</w:t>
      </w:r>
    </w:p>
    <w:p w14:paraId="385D19A5" w14:textId="77777777" w:rsidR="00F1385E" w:rsidRPr="00F1385E" w:rsidRDefault="00F1385E" w:rsidP="00F1385E">
      <w:pPr>
        <w:pStyle w:val="SingleTxt"/>
        <w:ind w:left="1742" w:hanging="475"/>
        <w:jc w:val="left"/>
        <w:rPr>
          <w:lang w:eastAsia="zh-CN"/>
        </w:rPr>
      </w:pPr>
      <w:r w:rsidRPr="00F1385E">
        <w:rPr>
          <w:lang w:eastAsia="zh-CN"/>
        </w:rPr>
        <w:t>8.</w:t>
      </w:r>
      <w:r w:rsidRPr="00F1385E">
        <w:rPr>
          <w:lang w:eastAsia="zh-CN"/>
        </w:rPr>
        <w:tab/>
        <w:t>Actividades del Comité en relación con el Protocolo Facultativo de la Convención.</w:t>
      </w:r>
    </w:p>
    <w:p w14:paraId="66ADB059" w14:textId="77777777" w:rsidR="00F1385E" w:rsidRPr="00F1385E" w:rsidRDefault="00F1385E" w:rsidP="00F1385E">
      <w:pPr>
        <w:pStyle w:val="SingleTxt"/>
        <w:jc w:val="left"/>
        <w:rPr>
          <w:lang w:eastAsia="zh-CN"/>
        </w:rPr>
      </w:pPr>
      <w:r w:rsidRPr="00F1385E">
        <w:rPr>
          <w:lang w:eastAsia="zh-CN"/>
        </w:rPr>
        <w:t>9.</w:t>
      </w:r>
      <w:r w:rsidRPr="00F1385E">
        <w:rPr>
          <w:lang w:eastAsia="zh-CN"/>
        </w:rPr>
        <w:tab/>
        <w:t>Programa provisional del 74º período de sesiones del Comité.</w:t>
      </w:r>
    </w:p>
    <w:p w14:paraId="30532544" w14:textId="77777777" w:rsidR="00F1385E" w:rsidRPr="00F1385E" w:rsidRDefault="00F1385E" w:rsidP="00F1385E">
      <w:pPr>
        <w:pStyle w:val="SingleTxt"/>
        <w:jc w:val="left"/>
        <w:rPr>
          <w:lang w:eastAsia="zh-CN"/>
        </w:rPr>
      </w:pPr>
      <w:r w:rsidRPr="00F1385E">
        <w:rPr>
          <w:lang w:eastAsia="zh-CN"/>
        </w:rPr>
        <w:t>10.</w:t>
      </w:r>
      <w:r w:rsidRPr="00F1385E">
        <w:rPr>
          <w:lang w:eastAsia="zh-CN"/>
        </w:rPr>
        <w:tab/>
        <w:t>Aprobación del informe de la Comisión sobre su 73</w:t>
      </w:r>
      <w:r w:rsidRPr="00F1385E">
        <w:rPr>
          <w:vertAlign w:val="superscript"/>
          <w:lang w:eastAsia="zh-CN"/>
        </w:rPr>
        <w:t>er</w:t>
      </w:r>
      <w:r w:rsidRPr="00F1385E">
        <w:rPr>
          <w:lang w:eastAsia="zh-CN"/>
        </w:rPr>
        <w:t xml:space="preserve"> período de sesiones.</w:t>
      </w:r>
    </w:p>
    <w:p w14:paraId="00C980DE" w14:textId="4D9DB9D9" w:rsidR="00F1385E" w:rsidRPr="00F1385E" w:rsidRDefault="00F1385E" w:rsidP="00F1385E">
      <w:pPr>
        <w:pStyle w:val="SingleTxt"/>
        <w:spacing w:after="0" w:line="120" w:lineRule="exact"/>
        <w:jc w:val="left"/>
        <w:rPr>
          <w:sz w:val="10"/>
          <w:lang w:eastAsia="zh-CN"/>
        </w:rPr>
      </w:pPr>
    </w:p>
    <w:p w14:paraId="36EF922C" w14:textId="1FC781BF" w:rsidR="00F1385E" w:rsidRPr="00F1385E" w:rsidRDefault="00F1385E" w:rsidP="00F1385E">
      <w:pPr>
        <w:pStyle w:val="SingleTxt"/>
        <w:spacing w:after="0" w:line="120" w:lineRule="exact"/>
        <w:jc w:val="left"/>
        <w:rPr>
          <w:sz w:val="10"/>
          <w:lang w:eastAsia="zh-CN"/>
        </w:rPr>
      </w:pPr>
    </w:p>
    <w:p w14:paraId="2D788A40" w14:textId="77777777" w:rsidR="00F1385E" w:rsidRPr="009D38E1" w:rsidRDefault="00F1385E" w:rsidP="00F138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Anotaciones</w:t>
      </w:r>
    </w:p>
    <w:p w14:paraId="045C872E" w14:textId="190739E8" w:rsidR="00F1385E" w:rsidRPr="009D38E1" w:rsidRDefault="00F1385E" w:rsidP="00F1385E">
      <w:pPr>
        <w:pStyle w:val="SingleTxt"/>
        <w:spacing w:after="0" w:line="120" w:lineRule="exact"/>
        <w:rPr>
          <w:sz w:val="10"/>
          <w:lang w:eastAsia="zh-CN"/>
        </w:rPr>
      </w:pPr>
    </w:p>
    <w:p w14:paraId="45453EBD" w14:textId="0C84C11D" w:rsidR="00F1385E" w:rsidRPr="009D38E1" w:rsidRDefault="00F1385E" w:rsidP="00F1385E">
      <w:pPr>
        <w:pStyle w:val="SingleTxt"/>
        <w:spacing w:after="0" w:line="120" w:lineRule="exact"/>
        <w:rPr>
          <w:sz w:val="10"/>
          <w:lang w:eastAsia="zh-CN"/>
        </w:rPr>
      </w:pPr>
    </w:p>
    <w:p w14:paraId="4E894051" w14:textId="40D909E9" w:rsidR="00F1385E" w:rsidRPr="00F1385E" w:rsidRDefault="00F1385E" w:rsidP="00F13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t>1.</w:t>
      </w:r>
      <w:r>
        <w:rPr>
          <w:lang w:eastAsia="zh-CN"/>
        </w:rPr>
        <w:tab/>
      </w:r>
      <w:r w:rsidRPr="00F1385E">
        <w:rPr>
          <w:lang w:eastAsia="zh-CN"/>
        </w:rPr>
        <w:t>Apertura del período de sesiones</w:t>
      </w:r>
    </w:p>
    <w:p w14:paraId="027542F7" w14:textId="615E1180" w:rsidR="00F1385E" w:rsidRPr="00F1385E" w:rsidRDefault="00F1385E" w:rsidP="00F1385E">
      <w:pPr>
        <w:pStyle w:val="SingleTxt"/>
        <w:spacing w:after="0" w:line="120" w:lineRule="exact"/>
        <w:rPr>
          <w:sz w:val="10"/>
          <w:lang w:eastAsia="zh-CN"/>
        </w:rPr>
      </w:pPr>
    </w:p>
    <w:p w14:paraId="6796A18B" w14:textId="4167C3CA" w:rsidR="00F1385E" w:rsidRPr="00F1385E" w:rsidRDefault="00F1385E" w:rsidP="00F1385E">
      <w:pPr>
        <w:pStyle w:val="SingleTxt"/>
        <w:rPr>
          <w:lang w:eastAsia="zh-CN"/>
        </w:rPr>
      </w:pPr>
      <w:r w:rsidRPr="00F1385E">
        <w:rPr>
          <w:lang w:eastAsia="zh-CN"/>
        </w:rPr>
        <w:t>La Presidencia del Comité para la Eliminación de la Discriminación contra la Mujer inaugurará el 73</w:t>
      </w:r>
      <w:r w:rsidRPr="00F1385E">
        <w:rPr>
          <w:vertAlign w:val="superscript"/>
          <w:lang w:eastAsia="zh-CN"/>
        </w:rPr>
        <w:t>er</w:t>
      </w:r>
      <w:r w:rsidRPr="00F1385E">
        <w:rPr>
          <w:lang w:eastAsia="zh-CN"/>
        </w:rPr>
        <w:t xml:space="preserve"> período de sesiones del Comité.</w:t>
      </w:r>
    </w:p>
    <w:p w14:paraId="18C04AF6" w14:textId="374C165B" w:rsidR="00F1385E" w:rsidRDefault="00F1385E">
      <w:pPr>
        <w:suppressAutoHyphens w:val="0"/>
        <w:spacing w:after="200" w:line="276" w:lineRule="auto"/>
        <w:rPr>
          <w:kern w:val="14"/>
          <w:sz w:val="10"/>
          <w:lang w:eastAsia="zh-CN"/>
        </w:rPr>
      </w:pPr>
      <w:r>
        <w:rPr>
          <w:sz w:val="10"/>
          <w:lang w:eastAsia="zh-CN"/>
        </w:rPr>
        <w:br w:type="page"/>
      </w:r>
    </w:p>
    <w:p w14:paraId="24087458" w14:textId="77777777" w:rsidR="00F1385E" w:rsidRPr="00F1385E" w:rsidRDefault="00F1385E" w:rsidP="00F13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lastRenderedPageBreak/>
        <w:tab/>
        <w:t>2.</w:t>
      </w:r>
      <w:r w:rsidRPr="00F1385E">
        <w:rPr>
          <w:lang w:eastAsia="zh-CN"/>
        </w:rPr>
        <w:tab/>
        <w:t>Aprobación del programa y organización de los trabajos</w:t>
      </w:r>
    </w:p>
    <w:p w14:paraId="7364178D" w14:textId="011F67C8" w:rsidR="00F1385E" w:rsidRPr="00F1385E" w:rsidRDefault="00F1385E" w:rsidP="00F1385E">
      <w:pPr>
        <w:pStyle w:val="SingleTxt"/>
        <w:spacing w:after="0" w:line="120" w:lineRule="exact"/>
        <w:rPr>
          <w:sz w:val="10"/>
          <w:lang w:eastAsia="zh-CN"/>
        </w:rPr>
      </w:pPr>
    </w:p>
    <w:p w14:paraId="61E87647" w14:textId="77777777" w:rsidR="00F1385E" w:rsidRPr="00F1385E" w:rsidRDefault="00F1385E" w:rsidP="00F1385E">
      <w:pPr>
        <w:pStyle w:val="SingleTxt"/>
        <w:rPr>
          <w:lang w:eastAsia="zh-CN"/>
        </w:rPr>
      </w:pPr>
      <w:r w:rsidRPr="00F1385E">
        <w:rPr>
          <w:lang w:eastAsia="zh-CN"/>
        </w:rPr>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2E0E7DF3" w14:textId="77777777" w:rsidR="00F1385E" w:rsidRPr="00F1385E" w:rsidRDefault="00F1385E" w:rsidP="00F1385E">
      <w:pPr>
        <w:pStyle w:val="SingleTxt"/>
        <w:rPr>
          <w:lang w:eastAsia="zh-CN"/>
        </w:rPr>
      </w:pPr>
      <w:r w:rsidRPr="00F1385E">
        <w:rPr>
          <w:lang w:eastAsia="zh-CN"/>
        </w:rPr>
        <w:t>En su 72º período de sesiones, el Comité aprobó el programa provisional de su 73</w:t>
      </w:r>
      <w:r w:rsidRPr="00F1385E">
        <w:rPr>
          <w:vertAlign w:val="superscript"/>
          <w:lang w:eastAsia="zh-CN"/>
        </w:rPr>
        <w:t>er</w:t>
      </w:r>
      <w:r w:rsidRPr="00F1385E">
        <w:rPr>
          <w:lang w:eastAsia="zh-CN"/>
        </w:rPr>
        <w:t xml:space="preserve"> período de sesiones.</w:t>
      </w:r>
    </w:p>
    <w:p w14:paraId="016C1251" w14:textId="2A075DD5" w:rsidR="00F1385E" w:rsidRPr="00F1385E" w:rsidRDefault="00F1385E" w:rsidP="00F1385E">
      <w:pPr>
        <w:pStyle w:val="SingleTxt"/>
        <w:spacing w:after="0" w:line="120" w:lineRule="exact"/>
        <w:rPr>
          <w:b/>
          <w:sz w:val="10"/>
          <w:lang w:eastAsia="zh-CN"/>
        </w:rPr>
      </w:pPr>
    </w:p>
    <w:p w14:paraId="6A988AFE" w14:textId="615E8047" w:rsidR="00F1385E" w:rsidRPr="00F1385E" w:rsidRDefault="00F1385E" w:rsidP="00F13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3.</w:t>
      </w:r>
      <w:r w:rsidRPr="00F1385E">
        <w:rPr>
          <w:lang w:eastAsia="zh-CN"/>
        </w:rPr>
        <w:tab/>
        <w:t>Informe de la Presidencia sobre las actividades realizadas entre los períodos de sesiones 72º y 73º del Comité</w:t>
      </w:r>
    </w:p>
    <w:p w14:paraId="791912B4" w14:textId="6E3C433A" w:rsidR="00F1385E" w:rsidRPr="00F1385E" w:rsidRDefault="00F1385E" w:rsidP="00F1385E">
      <w:pPr>
        <w:pStyle w:val="SingleTxt"/>
        <w:spacing w:after="0" w:line="120" w:lineRule="exact"/>
        <w:rPr>
          <w:sz w:val="10"/>
          <w:lang w:eastAsia="zh-CN"/>
        </w:rPr>
      </w:pPr>
    </w:p>
    <w:p w14:paraId="51EF7AD3" w14:textId="77777777" w:rsidR="00F1385E" w:rsidRPr="00F1385E" w:rsidRDefault="00F1385E" w:rsidP="00F1385E">
      <w:pPr>
        <w:pStyle w:val="SingleTxt"/>
        <w:rPr>
          <w:lang w:eastAsia="zh-CN"/>
        </w:rPr>
      </w:pPr>
      <w:r w:rsidRPr="00F1385E">
        <w:rPr>
          <w:lang w:eastAsia="zh-CN"/>
        </w:rPr>
        <w:t>La Presidencia informará al Comité sobre las actividades y los acontecimientos relacionados con la labor del Comité que hayan ocurrido desde el período de sesiones anterior.</w:t>
      </w:r>
    </w:p>
    <w:p w14:paraId="52D62D11" w14:textId="7D8BC2D5" w:rsidR="00631187" w:rsidRPr="00631187" w:rsidRDefault="00631187" w:rsidP="00631187">
      <w:pPr>
        <w:pStyle w:val="SingleTxt"/>
        <w:spacing w:after="0" w:line="120" w:lineRule="exact"/>
        <w:rPr>
          <w:i/>
          <w:sz w:val="10"/>
          <w:lang w:eastAsia="zh-CN"/>
        </w:rPr>
      </w:pPr>
    </w:p>
    <w:p w14:paraId="3F4971C0" w14:textId="1EB64DDF" w:rsidR="00F1385E" w:rsidRPr="00F1385E" w:rsidRDefault="00F1385E" w:rsidP="00631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Documentación</w:t>
      </w:r>
    </w:p>
    <w:p w14:paraId="7F9DB9C6" w14:textId="24969384" w:rsidR="00F1385E" w:rsidRPr="00631187" w:rsidRDefault="00F1385E" w:rsidP="00631187">
      <w:pPr>
        <w:pStyle w:val="SingleTxt"/>
        <w:spacing w:after="0" w:line="120" w:lineRule="exact"/>
        <w:rPr>
          <w:sz w:val="10"/>
          <w:lang w:eastAsia="zh-CN"/>
        </w:rPr>
      </w:pPr>
    </w:p>
    <w:p w14:paraId="60ECD7C4" w14:textId="51646FE2" w:rsidR="00F1385E" w:rsidRPr="00F1385E" w:rsidRDefault="00F1385E" w:rsidP="00F1385E">
      <w:pPr>
        <w:pStyle w:val="SingleTxt"/>
        <w:rPr>
          <w:lang w:eastAsia="zh-CN"/>
        </w:rPr>
      </w:pPr>
      <w:r w:rsidRPr="00F1385E">
        <w:rPr>
          <w:lang w:eastAsia="zh-CN"/>
        </w:rPr>
        <w:t>Programa provisional anotado (</w:t>
      </w:r>
      <w:hyperlink r:id="rId15" w:history="1">
        <w:r w:rsidRPr="001102AA">
          <w:rPr>
            <w:rStyle w:val="Hyperlink"/>
            <w:lang w:eastAsia="zh-CN"/>
          </w:rPr>
          <w:t>CEDAW/C/73/1</w:t>
        </w:r>
      </w:hyperlink>
      <w:r w:rsidRPr="00F1385E">
        <w:rPr>
          <w:lang w:eastAsia="zh-CN"/>
        </w:rPr>
        <w:t>)</w:t>
      </w:r>
    </w:p>
    <w:p w14:paraId="791E5756" w14:textId="5C1A0E8B" w:rsidR="00F1385E" w:rsidRPr="00631187" w:rsidRDefault="00F1385E" w:rsidP="00631187">
      <w:pPr>
        <w:pStyle w:val="SingleTxt"/>
        <w:spacing w:after="0" w:line="120" w:lineRule="exact"/>
        <w:rPr>
          <w:sz w:val="10"/>
          <w:lang w:eastAsia="zh-CN"/>
        </w:rPr>
      </w:pPr>
    </w:p>
    <w:p w14:paraId="1C0975FB"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4.</w:t>
      </w:r>
      <w:r w:rsidRPr="00F1385E">
        <w:rPr>
          <w:lang w:eastAsia="zh-CN"/>
        </w:rPr>
        <w:tab/>
        <w:t>Examen de los informes presentados por los Estados partes en virtud del artículo 18 de la Convención sobre la Eliminación de Todas las Formas de Discriminación contra la Mujer</w:t>
      </w:r>
    </w:p>
    <w:p w14:paraId="31FFDBDA" w14:textId="75CF5F15" w:rsidR="00F1385E" w:rsidRPr="00631187" w:rsidRDefault="00F1385E" w:rsidP="00631187">
      <w:pPr>
        <w:pStyle w:val="SingleTxt"/>
        <w:spacing w:after="0" w:line="120" w:lineRule="exact"/>
        <w:rPr>
          <w:sz w:val="10"/>
          <w:lang w:eastAsia="zh-CN"/>
        </w:rPr>
      </w:pPr>
    </w:p>
    <w:p w14:paraId="3FA2007A" w14:textId="77777777" w:rsidR="00F1385E" w:rsidRPr="00F1385E" w:rsidRDefault="00F1385E" w:rsidP="00F1385E">
      <w:pPr>
        <w:pStyle w:val="SingleTxt"/>
        <w:rPr>
          <w:lang w:eastAsia="zh-CN"/>
        </w:rPr>
      </w:pPr>
      <w:r w:rsidRPr="00F1385E">
        <w:rPr>
          <w:lang w:eastAsia="zh-CN"/>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44F930B2" w14:textId="11456B4A" w:rsidR="00F1385E" w:rsidRPr="00F1385E" w:rsidRDefault="00F1385E" w:rsidP="00F1385E">
      <w:pPr>
        <w:pStyle w:val="SingleTxt"/>
        <w:rPr>
          <w:lang w:eastAsia="zh-CN"/>
        </w:rPr>
      </w:pPr>
      <w:r w:rsidRPr="00F1385E">
        <w:rPr>
          <w:lang w:eastAsia="zh-CN"/>
        </w:rPr>
        <w:t>Está previsto que el Comité examine los informes de los siguientes Estados partes en el 73</w:t>
      </w:r>
      <w:r w:rsidRPr="00F1385E">
        <w:rPr>
          <w:vertAlign w:val="superscript"/>
          <w:lang w:eastAsia="zh-CN"/>
        </w:rPr>
        <w:t>er</w:t>
      </w:r>
      <w:r w:rsidRPr="00F1385E">
        <w:rPr>
          <w:lang w:eastAsia="zh-CN"/>
        </w:rPr>
        <w:t xml:space="preserve"> período de sesiones del Comité:</w:t>
      </w:r>
      <w:r w:rsidRPr="00F1385E">
        <w:rPr>
          <w:b/>
          <w:bCs/>
          <w:lang w:eastAsia="zh-CN"/>
        </w:rPr>
        <w:t xml:space="preserve"> </w:t>
      </w:r>
      <w:r w:rsidRPr="00F1385E">
        <w:rPr>
          <w:lang w:eastAsia="zh-CN"/>
        </w:rPr>
        <w:t>Austria, Cabo Verde, Côte d</w:t>
      </w:r>
      <w:r w:rsidR="00692CC1">
        <w:rPr>
          <w:lang w:eastAsia="zh-CN"/>
        </w:rPr>
        <w:t>’</w:t>
      </w:r>
      <w:r w:rsidRPr="00F1385E">
        <w:rPr>
          <w:lang w:eastAsia="zh-CN"/>
        </w:rPr>
        <w:t>Ivoire, Guyana, Mozambique, Qatar y República Democrática del Congo.</w:t>
      </w:r>
    </w:p>
    <w:p w14:paraId="26CDF77B" w14:textId="77777777" w:rsidR="00F1385E" w:rsidRPr="00F1385E" w:rsidRDefault="00F1385E" w:rsidP="00F1385E">
      <w:pPr>
        <w:pStyle w:val="SingleTxt"/>
        <w:rPr>
          <w:lang w:eastAsia="zh-CN"/>
        </w:rPr>
      </w:pPr>
      <w:r w:rsidRPr="00F1385E">
        <w:rPr>
          <w:lang w:eastAsia="zh-CN"/>
        </w:rPr>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14:paraId="469BE2DB" w14:textId="77777777" w:rsidR="00F1385E" w:rsidRPr="00F1385E" w:rsidRDefault="00F1385E" w:rsidP="00F1385E">
      <w:pPr>
        <w:pStyle w:val="SingleTxt"/>
        <w:rPr>
          <w:lang w:eastAsia="zh-CN"/>
        </w:rPr>
      </w:pPr>
      <w:r w:rsidRPr="00F1385E">
        <w:rPr>
          <w:lang w:eastAsia="zh-CN"/>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655AB5BC" w14:textId="6A76E7B5" w:rsidR="00F1385E" w:rsidRPr="00F1385E" w:rsidRDefault="00F1385E" w:rsidP="00F1385E">
      <w:pPr>
        <w:pStyle w:val="SingleTxt"/>
        <w:rPr>
          <w:lang w:eastAsia="zh-CN"/>
        </w:rPr>
      </w:pPr>
      <w:r w:rsidRPr="00F1385E">
        <w:rPr>
          <w:lang w:eastAsia="zh-CN"/>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73</w:t>
      </w:r>
      <w:r w:rsidRPr="00F1385E">
        <w:rPr>
          <w:vertAlign w:val="superscript"/>
          <w:lang w:eastAsia="zh-CN"/>
        </w:rPr>
        <w:t>er</w:t>
      </w:r>
      <w:r w:rsidRPr="00F1385E">
        <w:rPr>
          <w:lang w:eastAsia="zh-CN"/>
        </w:rPr>
        <w:t xml:space="preserve"> período de sesiones se reunió en Ginebra del 12 al 16 de noviembre de 2018. El Comité tendrá ante sí el informe del grupo de trabajo anterior al período de sesiones (</w:t>
      </w:r>
      <w:hyperlink r:id="rId16" w:history="1">
        <w:r w:rsidRPr="001102AA">
          <w:rPr>
            <w:rStyle w:val="Hyperlink"/>
            <w:lang w:eastAsia="zh-CN"/>
          </w:rPr>
          <w:t>CEDAW/C/PSWG/73/1</w:t>
        </w:r>
      </w:hyperlink>
      <w:r w:rsidRPr="00F1385E">
        <w:rPr>
          <w:lang w:eastAsia="zh-CN"/>
        </w:rPr>
        <w:t>) y las respuestas de los Estados partes a las listas de cuestiones y preguntas.</w:t>
      </w:r>
    </w:p>
    <w:p w14:paraId="63FAE6C1" w14:textId="77777777" w:rsidR="00F1385E" w:rsidRPr="00F1385E" w:rsidRDefault="00F1385E" w:rsidP="00F1385E">
      <w:pPr>
        <w:pStyle w:val="SingleTxt"/>
        <w:rPr>
          <w:b/>
          <w:lang w:eastAsia="zh-CN"/>
        </w:rPr>
      </w:pPr>
      <w:r w:rsidRPr="00F1385E">
        <w:rPr>
          <w:lang w:eastAsia="zh-CN"/>
        </w:rPr>
        <w:br w:type="page"/>
      </w:r>
    </w:p>
    <w:p w14:paraId="2B7364D0"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lastRenderedPageBreak/>
        <w:tab/>
      </w:r>
      <w:r w:rsidRPr="00F1385E">
        <w:rPr>
          <w:lang w:eastAsia="zh-CN"/>
        </w:rPr>
        <w:tab/>
        <w:t>Documentación</w:t>
      </w:r>
    </w:p>
    <w:p w14:paraId="04EF4C38" w14:textId="4E7FD081" w:rsidR="00F1385E" w:rsidRPr="00631187" w:rsidRDefault="00F1385E" w:rsidP="00631187">
      <w:pPr>
        <w:pStyle w:val="SingleTxt"/>
        <w:spacing w:after="0" w:line="120" w:lineRule="exact"/>
        <w:rPr>
          <w:sz w:val="10"/>
          <w:lang w:eastAsia="zh-CN"/>
        </w:rPr>
      </w:pPr>
    </w:p>
    <w:p w14:paraId="6B4BACD9" w14:textId="77777777" w:rsidR="00F1385E" w:rsidRPr="00F1385E" w:rsidRDefault="00F1385E" w:rsidP="00631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Informes</w:t>
      </w:r>
    </w:p>
    <w:p w14:paraId="5132FCFD" w14:textId="0FC785CD" w:rsidR="00F1385E" w:rsidRPr="00631187" w:rsidRDefault="00F1385E" w:rsidP="00631187">
      <w:pPr>
        <w:pStyle w:val="SingleTxt"/>
        <w:spacing w:after="0" w:line="120" w:lineRule="exact"/>
        <w:rPr>
          <w:sz w:val="10"/>
          <w:lang w:eastAsia="zh-CN"/>
        </w:rPr>
      </w:pPr>
    </w:p>
    <w:p w14:paraId="2C204F00" w14:textId="0A02D5EA" w:rsidR="00F1385E" w:rsidRPr="00F1385E" w:rsidRDefault="00F1385E" w:rsidP="00631187">
      <w:pPr>
        <w:pStyle w:val="SingleTxt"/>
        <w:jc w:val="left"/>
        <w:rPr>
          <w:lang w:eastAsia="zh-CN"/>
        </w:rPr>
      </w:pPr>
      <w:r w:rsidRPr="00F1385E">
        <w:rPr>
          <w:lang w:eastAsia="zh-CN"/>
        </w:rPr>
        <w:t>Noveno informe periódico de Austria (</w:t>
      </w:r>
      <w:hyperlink r:id="rId17" w:history="1">
        <w:r w:rsidRPr="001102AA">
          <w:rPr>
            <w:rStyle w:val="Hyperlink"/>
            <w:lang w:eastAsia="zh-CN"/>
          </w:rPr>
          <w:t>CEDAW/C/AUT/9</w:t>
        </w:r>
      </w:hyperlink>
      <w:r w:rsidRPr="00F1385E">
        <w:rPr>
          <w:lang w:eastAsia="zh-CN"/>
        </w:rPr>
        <w:t>)</w:t>
      </w:r>
    </w:p>
    <w:p w14:paraId="6E838BB6" w14:textId="380CFF0A" w:rsidR="00F1385E" w:rsidRPr="00F1385E" w:rsidRDefault="00F1385E" w:rsidP="00631187">
      <w:pPr>
        <w:pStyle w:val="SingleTxt"/>
        <w:jc w:val="left"/>
        <w:rPr>
          <w:lang w:eastAsia="zh-CN"/>
        </w:rPr>
      </w:pPr>
      <w:r w:rsidRPr="00F1385E">
        <w:rPr>
          <w:lang w:eastAsia="zh-CN"/>
        </w:rPr>
        <w:t>Noveno informe periódico de Cabo Verde (</w:t>
      </w:r>
      <w:hyperlink r:id="rId18" w:history="1">
        <w:r w:rsidRPr="001102AA">
          <w:rPr>
            <w:rStyle w:val="Hyperlink"/>
            <w:lang w:eastAsia="zh-CN"/>
          </w:rPr>
          <w:t>CEDAW/C/CPV/9</w:t>
        </w:r>
      </w:hyperlink>
      <w:r w:rsidRPr="00F1385E">
        <w:rPr>
          <w:lang w:eastAsia="zh-CN"/>
        </w:rPr>
        <w:t>)</w:t>
      </w:r>
    </w:p>
    <w:p w14:paraId="4793C7B8" w14:textId="0BBF63E9" w:rsidR="00F1385E" w:rsidRPr="00F1385E" w:rsidRDefault="00F1385E" w:rsidP="00631187">
      <w:pPr>
        <w:pStyle w:val="SingleTxt"/>
        <w:jc w:val="left"/>
        <w:rPr>
          <w:lang w:eastAsia="zh-CN"/>
        </w:rPr>
      </w:pPr>
      <w:r w:rsidRPr="00F1385E">
        <w:rPr>
          <w:lang w:eastAsia="zh-CN"/>
        </w:rPr>
        <w:t>Cuarto informe periódico de Côte d</w:t>
      </w:r>
      <w:r w:rsidR="00692CC1">
        <w:rPr>
          <w:lang w:eastAsia="zh-CN"/>
        </w:rPr>
        <w:t>’</w:t>
      </w:r>
      <w:r w:rsidRPr="00F1385E">
        <w:rPr>
          <w:lang w:eastAsia="zh-CN"/>
        </w:rPr>
        <w:t>Ivoire (</w:t>
      </w:r>
      <w:hyperlink r:id="rId19" w:history="1">
        <w:r w:rsidRPr="001102AA">
          <w:rPr>
            <w:rStyle w:val="Hyperlink"/>
            <w:lang w:eastAsia="zh-CN"/>
          </w:rPr>
          <w:t>CEDAW/C/CIV/4</w:t>
        </w:r>
      </w:hyperlink>
      <w:r w:rsidRPr="00F1385E">
        <w:rPr>
          <w:lang w:eastAsia="zh-CN"/>
        </w:rPr>
        <w:t>)</w:t>
      </w:r>
    </w:p>
    <w:p w14:paraId="0B61A867" w14:textId="2EFF0440" w:rsidR="00F1385E" w:rsidRPr="00F1385E" w:rsidRDefault="00F1385E" w:rsidP="00631187">
      <w:pPr>
        <w:pStyle w:val="SingleTxt"/>
        <w:jc w:val="left"/>
        <w:rPr>
          <w:lang w:eastAsia="zh-CN"/>
        </w:rPr>
      </w:pPr>
      <w:r w:rsidRPr="00F1385E">
        <w:rPr>
          <w:lang w:eastAsia="zh-CN"/>
        </w:rPr>
        <w:t>Octavo informe periódico de la República Democrática del Congo (</w:t>
      </w:r>
      <w:hyperlink r:id="rId20" w:history="1">
        <w:r w:rsidRPr="001102AA">
          <w:rPr>
            <w:rStyle w:val="Hyperlink"/>
            <w:lang w:eastAsia="zh-CN"/>
          </w:rPr>
          <w:t>CEDAW/C/COD/8</w:t>
        </w:r>
      </w:hyperlink>
      <w:r w:rsidRPr="00F1385E">
        <w:rPr>
          <w:lang w:eastAsia="zh-CN"/>
        </w:rPr>
        <w:t>)</w:t>
      </w:r>
    </w:p>
    <w:p w14:paraId="3C8620A1" w14:textId="4E4ACF6A" w:rsidR="00F1385E" w:rsidRPr="00F1385E" w:rsidRDefault="00F1385E" w:rsidP="00631187">
      <w:pPr>
        <w:pStyle w:val="SingleTxt"/>
        <w:jc w:val="left"/>
        <w:rPr>
          <w:lang w:eastAsia="zh-CN"/>
        </w:rPr>
      </w:pPr>
      <w:r w:rsidRPr="00F1385E">
        <w:rPr>
          <w:lang w:eastAsia="zh-CN"/>
        </w:rPr>
        <w:t>Noveno informe periódico de Guyana (</w:t>
      </w:r>
      <w:hyperlink r:id="rId21" w:history="1">
        <w:r w:rsidRPr="001102AA">
          <w:rPr>
            <w:rStyle w:val="Hyperlink"/>
            <w:lang w:eastAsia="zh-CN"/>
          </w:rPr>
          <w:t>CEDAW/C/GUY/9</w:t>
        </w:r>
      </w:hyperlink>
      <w:r w:rsidRPr="00F1385E">
        <w:rPr>
          <w:lang w:eastAsia="zh-CN"/>
        </w:rPr>
        <w:t>)</w:t>
      </w:r>
    </w:p>
    <w:p w14:paraId="009E9696" w14:textId="74C3EB03" w:rsidR="00F1385E" w:rsidRPr="00F1385E" w:rsidRDefault="00F1385E" w:rsidP="00631187">
      <w:pPr>
        <w:pStyle w:val="SingleTxt"/>
        <w:jc w:val="left"/>
        <w:rPr>
          <w:lang w:eastAsia="zh-CN"/>
        </w:rPr>
      </w:pPr>
      <w:r w:rsidRPr="00F1385E">
        <w:rPr>
          <w:lang w:eastAsia="zh-CN"/>
        </w:rPr>
        <w:t>Informes periódicos tercero a quinto combinados de Mozambique (</w:t>
      </w:r>
      <w:hyperlink r:id="rId22" w:history="1">
        <w:r w:rsidRPr="001102AA">
          <w:rPr>
            <w:rStyle w:val="Hyperlink"/>
            <w:lang w:eastAsia="zh-CN"/>
          </w:rPr>
          <w:t>CEDAW/C/MOZ/3-5</w:t>
        </w:r>
      </w:hyperlink>
      <w:r w:rsidRPr="00F1385E">
        <w:rPr>
          <w:lang w:eastAsia="zh-CN"/>
        </w:rPr>
        <w:t>)</w:t>
      </w:r>
    </w:p>
    <w:p w14:paraId="5F03A0A7" w14:textId="3D884618" w:rsidR="00F1385E" w:rsidRPr="00F1385E" w:rsidRDefault="00F1385E" w:rsidP="00631187">
      <w:pPr>
        <w:pStyle w:val="SingleTxt"/>
        <w:jc w:val="left"/>
        <w:rPr>
          <w:lang w:eastAsia="zh-CN"/>
        </w:rPr>
      </w:pPr>
      <w:r w:rsidRPr="00F1385E">
        <w:rPr>
          <w:lang w:eastAsia="zh-CN"/>
        </w:rPr>
        <w:t>Segundo informe periódico de Qatar (</w:t>
      </w:r>
      <w:hyperlink r:id="rId23" w:history="1">
        <w:r w:rsidRPr="001102AA">
          <w:rPr>
            <w:rStyle w:val="Hyperlink"/>
            <w:lang w:eastAsia="zh-CN"/>
          </w:rPr>
          <w:t>CEDAW/C/QAT/2</w:t>
        </w:r>
      </w:hyperlink>
      <w:r w:rsidRPr="00F1385E">
        <w:rPr>
          <w:lang w:eastAsia="zh-CN"/>
        </w:rPr>
        <w:t>)</w:t>
      </w:r>
    </w:p>
    <w:p w14:paraId="29370E4C" w14:textId="59B6F0AB" w:rsidR="00F1385E" w:rsidRPr="00631187" w:rsidRDefault="00F1385E" w:rsidP="00631187">
      <w:pPr>
        <w:pStyle w:val="SingleTxt"/>
        <w:spacing w:after="0" w:line="120" w:lineRule="exact"/>
        <w:jc w:val="left"/>
        <w:rPr>
          <w:sz w:val="10"/>
          <w:lang w:eastAsia="zh-CN"/>
        </w:rPr>
      </w:pPr>
    </w:p>
    <w:p w14:paraId="402C4091" w14:textId="77777777" w:rsidR="00F1385E" w:rsidRPr="00F1385E" w:rsidRDefault="00F1385E" w:rsidP="00631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Listas de cuestiones y preguntas</w:t>
      </w:r>
    </w:p>
    <w:p w14:paraId="7CB5D509" w14:textId="41B9E896" w:rsidR="00F1385E" w:rsidRPr="00631187" w:rsidRDefault="00F1385E" w:rsidP="00631187">
      <w:pPr>
        <w:pStyle w:val="SingleTxt"/>
        <w:spacing w:after="0" w:line="120" w:lineRule="exact"/>
        <w:jc w:val="left"/>
        <w:rPr>
          <w:sz w:val="10"/>
          <w:lang w:eastAsia="zh-CN"/>
        </w:rPr>
      </w:pPr>
    </w:p>
    <w:p w14:paraId="66BABCB8" w14:textId="271B6611" w:rsidR="00F1385E" w:rsidRPr="00F1385E" w:rsidRDefault="00F1385E" w:rsidP="00631187">
      <w:pPr>
        <w:pStyle w:val="SingleTxt"/>
        <w:jc w:val="left"/>
        <w:rPr>
          <w:lang w:eastAsia="zh-CN"/>
        </w:rPr>
      </w:pPr>
      <w:r w:rsidRPr="00F1385E">
        <w:rPr>
          <w:lang w:eastAsia="zh-CN"/>
        </w:rPr>
        <w:t>Austria (</w:t>
      </w:r>
      <w:hyperlink r:id="rId24" w:history="1">
        <w:r w:rsidRPr="001102AA">
          <w:rPr>
            <w:rStyle w:val="Hyperlink"/>
            <w:lang w:eastAsia="zh-CN"/>
          </w:rPr>
          <w:t>CEDAW/C/AUT/Q/9</w:t>
        </w:r>
      </w:hyperlink>
      <w:r w:rsidRPr="00F1385E">
        <w:rPr>
          <w:lang w:eastAsia="zh-CN"/>
        </w:rPr>
        <w:t>)</w:t>
      </w:r>
    </w:p>
    <w:p w14:paraId="24E6C1D3" w14:textId="75CA03E0" w:rsidR="00F1385E" w:rsidRPr="00F1385E" w:rsidRDefault="00F1385E" w:rsidP="00631187">
      <w:pPr>
        <w:pStyle w:val="SingleTxt"/>
        <w:jc w:val="left"/>
        <w:rPr>
          <w:lang w:eastAsia="zh-CN"/>
        </w:rPr>
      </w:pPr>
      <w:r w:rsidRPr="00F1385E">
        <w:rPr>
          <w:lang w:eastAsia="zh-CN"/>
        </w:rPr>
        <w:t>Cabo Verde (</w:t>
      </w:r>
      <w:hyperlink r:id="rId25" w:history="1">
        <w:r w:rsidRPr="001102AA">
          <w:rPr>
            <w:rStyle w:val="Hyperlink"/>
            <w:lang w:eastAsia="zh-CN"/>
          </w:rPr>
          <w:t>CEDAW/C/CPV/Q/9</w:t>
        </w:r>
      </w:hyperlink>
      <w:r w:rsidRPr="00F1385E">
        <w:rPr>
          <w:lang w:eastAsia="zh-CN"/>
        </w:rPr>
        <w:t>)</w:t>
      </w:r>
    </w:p>
    <w:p w14:paraId="43A69378" w14:textId="774D9CB3" w:rsidR="00F1385E" w:rsidRPr="00F1385E" w:rsidRDefault="00F1385E" w:rsidP="00631187">
      <w:pPr>
        <w:pStyle w:val="SingleTxt"/>
        <w:jc w:val="left"/>
        <w:rPr>
          <w:lang w:val="fr-FR" w:eastAsia="zh-CN"/>
        </w:rPr>
      </w:pPr>
      <w:r w:rsidRPr="00F1385E">
        <w:rPr>
          <w:lang w:val="fr-FR" w:eastAsia="zh-CN"/>
        </w:rPr>
        <w:t>Côte d</w:t>
      </w:r>
      <w:r w:rsidR="00CB1837" w:rsidRPr="00CB1837">
        <w:rPr>
          <w:lang w:val="fr-FR" w:eastAsia="zh-CN"/>
        </w:rPr>
        <w:t>’</w:t>
      </w:r>
      <w:r w:rsidRPr="00F1385E">
        <w:rPr>
          <w:lang w:val="fr-FR" w:eastAsia="zh-CN"/>
        </w:rPr>
        <w:t>Ivoire (</w:t>
      </w:r>
      <w:hyperlink r:id="rId26" w:history="1">
        <w:r w:rsidRPr="001102AA">
          <w:rPr>
            <w:rStyle w:val="Hyperlink"/>
            <w:lang w:val="fr-FR" w:eastAsia="zh-CN"/>
          </w:rPr>
          <w:t>CEDAW/C/CIV/Q/4</w:t>
        </w:r>
      </w:hyperlink>
      <w:r w:rsidRPr="00F1385E">
        <w:rPr>
          <w:lang w:val="fr-FR" w:eastAsia="zh-CN"/>
        </w:rPr>
        <w:t>)</w:t>
      </w:r>
    </w:p>
    <w:p w14:paraId="687437EF" w14:textId="3E168F0D" w:rsidR="00F1385E" w:rsidRPr="00F1385E" w:rsidRDefault="00F1385E" w:rsidP="00631187">
      <w:pPr>
        <w:pStyle w:val="SingleTxt"/>
        <w:jc w:val="left"/>
        <w:rPr>
          <w:lang w:eastAsia="zh-CN"/>
        </w:rPr>
      </w:pPr>
      <w:r w:rsidRPr="00F1385E">
        <w:rPr>
          <w:lang w:eastAsia="zh-CN"/>
        </w:rPr>
        <w:t>República Democrática del Congo (</w:t>
      </w:r>
      <w:hyperlink r:id="rId27" w:history="1">
        <w:r w:rsidRPr="001102AA">
          <w:rPr>
            <w:rStyle w:val="Hyperlink"/>
            <w:lang w:eastAsia="zh-CN"/>
          </w:rPr>
          <w:t>CEDAW/C/COD/Q/8</w:t>
        </w:r>
      </w:hyperlink>
      <w:r w:rsidRPr="00F1385E">
        <w:rPr>
          <w:lang w:eastAsia="zh-CN"/>
        </w:rPr>
        <w:t>)</w:t>
      </w:r>
    </w:p>
    <w:p w14:paraId="4D92C7C1" w14:textId="599C0A5F" w:rsidR="00F1385E" w:rsidRPr="00F1385E" w:rsidRDefault="00F1385E" w:rsidP="00631187">
      <w:pPr>
        <w:pStyle w:val="SingleTxt"/>
        <w:jc w:val="left"/>
        <w:rPr>
          <w:lang w:eastAsia="zh-CN"/>
        </w:rPr>
      </w:pPr>
      <w:r w:rsidRPr="00F1385E">
        <w:rPr>
          <w:lang w:eastAsia="zh-CN"/>
        </w:rPr>
        <w:t>Guyana (</w:t>
      </w:r>
      <w:hyperlink r:id="rId28" w:history="1">
        <w:r w:rsidRPr="001102AA">
          <w:rPr>
            <w:rStyle w:val="Hyperlink"/>
            <w:lang w:eastAsia="zh-CN"/>
          </w:rPr>
          <w:t>CEDAW/C/GUY/Q/9</w:t>
        </w:r>
      </w:hyperlink>
      <w:r w:rsidRPr="00F1385E">
        <w:rPr>
          <w:lang w:eastAsia="zh-CN"/>
        </w:rPr>
        <w:t>)</w:t>
      </w:r>
    </w:p>
    <w:p w14:paraId="13062197" w14:textId="0256E18C" w:rsidR="00F1385E" w:rsidRPr="00F1385E" w:rsidRDefault="00F1385E" w:rsidP="00631187">
      <w:pPr>
        <w:pStyle w:val="SingleTxt"/>
        <w:jc w:val="left"/>
        <w:rPr>
          <w:lang w:eastAsia="zh-CN"/>
        </w:rPr>
      </w:pPr>
      <w:r w:rsidRPr="00F1385E">
        <w:rPr>
          <w:lang w:eastAsia="zh-CN"/>
        </w:rPr>
        <w:t>Mozambique (</w:t>
      </w:r>
      <w:hyperlink r:id="rId29" w:history="1">
        <w:r w:rsidRPr="001102AA">
          <w:rPr>
            <w:rStyle w:val="Hyperlink"/>
            <w:lang w:eastAsia="zh-CN"/>
          </w:rPr>
          <w:t>CEDAW/C/MOZ/Q/3-5</w:t>
        </w:r>
      </w:hyperlink>
      <w:r w:rsidRPr="00F1385E">
        <w:rPr>
          <w:lang w:eastAsia="zh-CN"/>
        </w:rPr>
        <w:t>)</w:t>
      </w:r>
    </w:p>
    <w:p w14:paraId="6D43559A" w14:textId="7A064AF7" w:rsidR="00F1385E" w:rsidRPr="00F1385E" w:rsidRDefault="00F1385E" w:rsidP="00631187">
      <w:pPr>
        <w:pStyle w:val="SingleTxt"/>
        <w:jc w:val="left"/>
        <w:rPr>
          <w:lang w:eastAsia="zh-CN"/>
        </w:rPr>
      </w:pPr>
      <w:r w:rsidRPr="00F1385E">
        <w:rPr>
          <w:lang w:eastAsia="zh-CN"/>
        </w:rPr>
        <w:t>Qatar (</w:t>
      </w:r>
      <w:hyperlink r:id="rId30" w:history="1">
        <w:r w:rsidRPr="001102AA">
          <w:rPr>
            <w:rStyle w:val="Hyperlink"/>
            <w:lang w:eastAsia="zh-CN"/>
          </w:rPr>
          <w:t>CEDAW/C/QAT/Q/2</w:t>
        </w:r>
      </w:hyperlink>
      <w:r w:rsidRPr="00F1385E">
        <w:rPr>
          <w:lang w:eastAsia="zh-CN"/>
        </w:rPr>
        <w:t>)</w:t>
      </w:r>
    </w:p>
    <w:p w14:paraId="4B37D42E" w14:textId="280B0189" w:rsidR="00F1385E" w:rsidRPr="00631187" w:rsidRDefault="00F1385E" w:rsidP="00631187">
      <w:pPr>
        <w:pStyle w:val="SingleTxt"/>
        <w:spacing w:after="0" w:line="120" w:lineRule="exact"/>
        <w:jc w:val="left"/>
        <w:rPr>
          <w:sz w:val="10"/>
          <w:lang w:eastAsia="zh-CN"/>
        </w:rPr>
      </w:pPr>
    </w:p>
    <w:p w14:paraId="37D3BD75" w14:textId="77777777" w:rsidR="00F1385E" w:rsidRPr="00F1385E" w:rsidRDefault="00F1385E" w:rsidP="00631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Respuestas a las listas de cuestiones y preguntas</w:t>
      </w:r>
    </w:p>
    <w:p w14:paraId="5117F5B0" w14:textId="38D4C650" w:rsidR="00F1385E" w:rsidRPr="00631187" w:rsidRDefault="00F1385E" w:rsidP="00631187">
      <w:pPr>
        <w:pStyle w:val="SingleTxt"/>
        <w:spacing w:after="0" w:line="120" w:lineRule="exact"/>
        <w:jc w:val="left"/>
        <w:rPr>
          <w:sz w:val="10"/>
          <w:lang w:eastAsia="zh-CN"/>
        </w:rPr>
      </w:pPr>
    </w:p>
    <w:p w14:paraId="1F394605" w14:textId="775A72CC" w:rsidR="00F1385E" w:rsidRPr="00F1385E" w:rsidRDefault="00F1385E" w:rsidP="00631187">
      <w:pPr>
        <w:pStyle w:val="SingleTxt"/>
        <w:jc w:val="left"/>
        <w:rPr>
          <w:lang w:eastAsia="zh-CN"/>
        </w:rPr>
      </w:pPr>
      <w:r w:rsidRPr="00F1385E">
        <w:rPr>
          <w:lang w:eastAsia="zh-CN"/>
        </w:rPr>
        <w:t>Austria (</w:t>
      </w:r>
      <w:hyperlink r:id="rId31" w:history="1">
        <w:r w:rsidRPr="001102AA">
          <w:rPr>
            <w:rStyle w:val="Hyperlink"/>
            <w:lang w:eastAsia="zh-CN"/>
          </w:rPr>
          <w:t>CEDAW/C/AUT/Q/9/Add.1</w:t>
        </w:r>
      </w:hyperlink>
      <w:r w:rsidRPr="00F1385E">
        <w:rPr>
          <w:lang w:eastAsia="zh-CN"/>
        </w:rPr>
        <w:t>)</w:t>
      </w:r>
    </w:p>
    <w:p w14:paraId="733FE290" w14:textId="4508E781" w:rsidR="00F1385E" w:rsidRPr="00F1385E" w:rsidRDefault="00F1385E" w:rsidP="00631187">
      <w:pPr>
        <w:pStyle w:val="SingleTxt"/>
        <w:jc w:val="left"/>
        <w:rPr>
          <w:lang w:eastAsia="zh-CN"/>
        </w:rPr>
      </w:pPr>
      <w:r w:rsidRPr="00F1385E">
        <w:rPr>
          <w:lang w:eastAsia="zh-CN"/>
        </w:rPr>
        <w:t>Cabo Verde (</w:t>
      </w:r>
      <w:hyperlink r:id="rId32" w:history="1">
        <w:r w:rsidRPr="001102AA">
          <w:rPr>
            <w:rStyle w:val="Hyperlink"/>
            <w:lang w:eastAsia="zh-CN"/>
          </w:rPr>
          <w:t>CEDAW/C/CPV/Q/9/Add.1</w:t>
        </w:r>
      </w:hyperlink>
      <w:r w:rsidRPr="00F1385E">
        <w:rPr>
          <w:lang w:eastAsia="zh-CN"/>
        </w:rPr>
        <w:t>)</w:t>
      </w:r>
    </w:p>
    <w:p w14:paraId="74E3A9B7" w14:textId="6788899A" w:rsidR="00F1385E" w:rsidRPr="00F1385E" w:rsidRDefault="00F1385E" w:rsidP="00631187">
      <w:pPr>
        <w:pStyle w:val="SingleTxt"/>
        <w:jc w:val="left"/>
        <w:rPr>
          <w:lang w:val="fr-FR" w:eastAsia="zh-CN"/>
        </w:rPr>
      </w:pPr>
      <w:r w:rsidRPr="00F1385E">
        <w:rPr>
          <w:lang w:val="fr-FR" w:eastAsia="zh-CN"/>
        </w:rPr>
        <w:t>Côte d</w:t>
      </w:r>
      <w:r w:rsidR="00CB1837">
        <w:rPr>
          <w:lang w:val="fr-FR" w:eastAsia="zh-CN"/>
        </w:rPr>
        <w:t>’</w:t>
      </w:r>
      <w:r w:rsidRPr="00F1385E">
        <w:rPr>
          <w:lang w:val="fr-FR" w:eastAsia="zh-CN"/>
        </w:rPr>
        <w:t>Ivoire (</w:t>
      </w:r>
      <w:hyperlink r:id="rId33" w:history="1">
        <w:r w:rsidRPr="001102AA">
          <w:rPr>
            <w:rStyle w:val="Hyperlink"/>
            <w:lang w:val="fr-FR" w:eastAsia="zh-CN"/>
          </w:rPr>
          <w:t>CEDAW/C/CIV/Q/4/Add.1</w:t>
        </w:r>
      </w:hyperlink>
      <w:r w:rsidRPr="00F1385E">
        <w:rPr>
          <w:lang w:val="fr-FR" w:eastAsia="zh-CN"/>
        </w:rPr>
        <w:t>)</w:t>
      </w:r>
    </w:p>
    <w:p w14:paraId="5CF2D7FA" w14:textId="7379FD87" w:rsidR="00F1385E" w:rsidRPr="00F1385E" w:rsidRDefault="00F1385E" w:rsidP="00631187">
      <w:pPr>
        <w:pStyle w:val="SingleTxt"/>
        <w:jc w:val="left"/>
        <w:rPr>
          <w:lang w:eastAsia="zh-CN"/>
        </w:rPr>
      </w:pPr>
      <w:r w:rsidRPr="00F1385E">
        <w:rPr>
          <w:lang w:eastAsia="zh-CN"/>
        </w:rPr>
        <w:t>República Democrática del Congo (</w:t>
      </w:r>
      <w:hyperlink r:id="rId34" w:history="1">
        <w:r w:rsidRPr="001102AA">
          <w:rPr>
            <w:rStyle w:val="Hyperlink"/>
            <w:lang w:eastAsia="zh-CN"/>
          </w:rPr>
          <w:t>CEDAW/C/COD/Q/8/Add.1</w:t>
        </w:r>
      </w:hyperlink>
      <w:r w:rsidRPr="00F1385E">
        <w:rPr>
          <w:lang w:eastAsia="zh-CN"/>
        </w:rPr>
        <w:t>)</w:t>
      </w:r>
    </w:p>
    <w:p w14:paraId="6B546D75" w14:textId="41CF243C" w:rsidR="00F1385E" w:rsidRPr="00F1385E" w:rsidRDefault="00F1385E" w:rsidP="00631187">
      <w:pPr>
        <w:pStyle w:val="SingleTxt"/>
        <w:jc w:val="left"/>
        <w:rPr>
          <w:lang w:eastAsia="zh-CN"/>
        </w:rPr>
      </w:pPr>
      <w:r w:rsidRPr="00F1385E">
        <w:rPr>
          <w:lang w:eastAsia="zh-CN"/>
        </w:rPr>
        <w:t>Guyana (</w:t>
      </w:r>
      <w:hyperlink r:id="rId35" w:history="1">
        <w:r w:rsidRPr="001102AA">
          <w:rPr>
            <w:rStyle w:val="Hyperlink"/>
            <w:lang w:eastAsia="zh-CN"/>
          </w:rPr>
          <w:t>CEDAW/C/GUY/Q/9/Add.1</w:t>
        </w:r>
      </w:hyperlink>
      <w:r w:rsidRPr="00F1385E">
        <w:rPr>
          <w:lang w:eastAsia="zh-CN"/>
        </w:rPr>
        <w:t>)</w:t>
      </w:r>
    </w:p>
    <w:p w14:paraId="20F800F7" w14:textId="68CA0EC7" w:rsidR="00F1385E" w:rsidRPr="00F1385E" w:rsidRDefault="00F1385E" w:rsidP="00631187">
      <w:pPr>
        <w:pStyle w:val="SingleTxt"/>
        <w:jc w:val="left"/>
        <w:rPr>
          <w:lang w:eastAsia="zh-CN"/>
        </w:rPr>
      </w:pPr>
      <w:r w:rsidRPr="00F1385E">
        <w:rPr>
          <w:lang w:eastAsia="zh-CN"/>
        </w:rPr>
        <w:t>Mozambique (</w:t>
      </w:r>
      <w:hyperlink r:id="rId36" w:history="1">
        <w:r w:rsidRPr="001102AA">
          <w:rPr>
            <w:rStyle w:val="Hyperlink"/>
            <w:lang w:eastAsia="zh-CN"/>
          </w:rPr>
          <w:t>CEDAW/C/MOZ/Q/3-5/Add.1</w:t>
        </w:r>
      </w:hyperlink>
      <w:r w:rsidRPr="00F1385E">
        <w:rPr>
          <w:lang w:eastAsia="zh-CN"/>
        </w:rPr>
        <w:t>)</w:t>
      </w:r>
    </w:p>
    <w:p w14:paraId="6549C717" w14:textId="260EF0D2" w:rsidR="00F1385E" w:rsidRPr="00F1385E" w:rsidRDefault="00F1385E" w:rsidP="00631187">
      <w:pPr>
        <w:pStyle w:val="SingleTxt"/>
        <w:jc w:val="left"/>
        <w:rPr>
          <w:lang w:eastAsia="zh-CN"/>
        </w:rPr>
      </w:pPr>
      <w:r w:rsidRPr="00F1385E">
        <w:rPr>
          <w:lang w:eastAsia="zh-CN"/>
        </w:rPr>
        <w:t>Qatar (</w:t>
      </w:r>
      <w:hyperlink r:id="rId37" w:history="1">
        <w:r w:rsidRPr="001102AA">
          <w:rPr>
            <w:rStyle w:val="Hyperlink"/>
            <w:lang w:eastAsia="zh-CN"/>
          </w:rPr>
          <w:t>CEDAW/C/QAT/Q/2/Add.1</w:t>
        </w:r>
      </w:hyperlink>
      <w:r w:rsidRPr="00F1385E">
        <w:rPr>
          <w:lang w:eastAsia="zh-CN"/>
        </w:rPr>
        <w:t>)</w:t>
      </w:r>
    </w:p>
    <w:p w14:paraId="5A67A282" w14:textId="0FDAFEC0" w:rsidR="00F1385E" w:rsidRPr="00631187" w:rsidRDefault="00F1385E" w:rsidP="00631187">
      <w:pPr>
        <w:pStyle w:val="SingleTxt"/>
        <w:spacing w:after="0" w:line="120" w:lineRule="exact"/>
        <w:jc w:val="left"/>
        <w:rPr>
          <w:sz w:val="10"/>
          <w:lang w:eastAsia="zh-CN"/>
        </w:rPr>
      </w:pPr>
    </w:p>
    <w:p w14:paraId="54D2374F"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5.</w:t>
      </w:r>
      <w:r w:rsidRPr="00F1385E">
        <w:rPr>
          <w:lang w:eastAsia="zh-CN"/>
        </w:rPr>
        <w:tab/>
        <w:t>Seguimiento del examen de los informes presentados por los Estados partes en virtud del artículo 18 de la Convención</w:t>
      </w:r>
    </w:p>
    <w:p w14:paraId="1FA0A2A0" w14:textId="46B8C188" w:rsidR="00F1385E" w:rsidRPr="00631187" w:rsidRDefault="00F1385E" w:rsidP="00631187">
      <w:pPr>
        <w:pStyle w:val="SingleTxt"/>
        <w:spacing w:after="0" w:line="120" w:lineRule="exact"/>
        <w:rPr>
          <w:sz w:val="10"/>
          <w:lang w:eastAsia="zh-CN"/>
        </w:rPr>
      </w:pPr>
    </w:p>
    <w:p w14:paraId="708B8E31" w14:textId="77777777" w:rsidR="00F1385E" w:rsidRPr="00F1385E" w:rsidRDefault="00F1385E" w:rsidP="00F1385E">
      <w:pPr>
        <w:pStyle w:val="SingleTxt"/>
        <w:rPr>
          <w:lang w:eastAsia="zh-CN"/>
        </w:rPr>
      </w:pPr>
      <w:r w:rsidRPr="00F1385E">
        <w:rPr>
          <w:lang w:eastAsia="zh-CN"/>
        </w:rPr>
        <w:t>El Comité examinará cuestiones relacionadas con el seguimiento de las observaciones finales.</w:t>
      </w:r>
    </w:p>
    <w:p w14:paraId="34DAE53D" w14:textId="50F30082" w:rsidR="00F1385E" w:rsidRPr="00631187" w:rsidRDefault="00F1385E" w:rsidP="00631187">
      <w:pPr>
        <w:pStyle w:val="SingleTxt"/>
        <w:spacing w:after="0" w:line="120" w:lineRule="exact"/>
        <w:rPr>
          <w:sz w:val="10"/>
          <w:lang w:eastAsia="zh-CN"/>
        </w:rPr>
      </w:pPr>
    </w:p>
    <w:p w14:paraId="4C991D51"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6.</w:t>
      </w:r>
      <w:r w:rsidRPr="00F1385E">
        <w:rPr>
          <w:lang w:eastAsia="zh-CN"/>
        </w:rPr>
        <w:tab/>
        <w:t>Aplicación de los artículos 21 y 22 de la Convención</w:t>
      </w:r>
    </w:p>
    <w:p w14:paraId="29068332" w14:textId="37CFC381" w:rsidR="00F1385E" w:rsidRPr="00631187" w:rsidRDefault="00F1385E" w:rsidP="00631187">
      <w:pPr>
        <w:pStyle w:val="SingleTxt"/>
        <w:spacing w:after="0" w:line="120" w:lineRule="exact"/>
        <w:rPr>
          <w:sz w:val="10"/>
          <w:lang w:eastAsia="zh-CN"/>
        </w:rPr>
      </w:pPr>
    </w:p>
    <w:p w14:paraId="79E3D5AD" w14:textId="77777777" w:rsidR="00F1385E" w:rsidRPr="00F1385E" w:rsidRDefault="00F1385E" w:rsidP="00F1385E">
      <w:pPr>
        <w:pStyle w:val="SingleTxt"/>
        <w:rPr>
          <w:lang w:eastAsia="zh-CN"/>
        </w:rPr>
      </w:pPr>
      <w:r w:rsidRPr="00F1385E">
        <w:rPr>
          <w:lang w:eastAsia="zh-CN"/>
        </w:rPr>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348936C0" w14:textId="77777777" w:rsidR="00F1385E" w:rsidRPr="00F1385E" w:rsidRDefault="00F1385E" w:rsidP="00F1385E">
      <w:pPr>
        <w:pStyle w:val="SingleTxt"/>
        <w:rPr>
          <w:lang w:eastAsia="zh-CN"/>
        </w:rPr>
      </w:pPr>
      <w:r w:rsidRPr="00F1385E">
        <w:rPr>
          <w:lang w:eastAsia="zh-CN"/>
        </w:rPr>
        <w:lastRenderedPageBreak/>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p>
    <w:p w14:paraId="0F06229E" w14:textId="6DEEE5A1" w:rsidR="00F1385E" w:rsidRPr="00631187" w:rsidRDefault="00F1385E" w:rsidP="00631187">
      <w:pPr>
        <w:pStyle w:val="SingleTxt"/>
        <w:spacing w:after="0" w:line="120" w:lineRule="exact"/>
        <w:rPr>
          <w:sz w:val="10"/>
          <w:lang w:eastAsia="zh-CN"/>
        </w:rPr>
      </w:pPr>
    </w:p>
    <w:p w14:paraId="796ACA15" w14:textId="77777777" w:rsidR="00F1385E" w:rsidRPr="00F1385E" w:rsidRDefault="00F1385E" w:rsidP="00631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Documentación</w:t>
      </w:r>
    </w:p>
    <w:p w14:paraId="10D77ACC" w14:textId="04AAC931" w:rsidR="00F1385E" w:rsidRPr="00631187" w:rsidRDefault="00F1385E" w:rsidP="00631187">
      <w:pPr>
        <w:pStyle w:val="SingleTxt"/>
        <w:spacing w:after="0" w:line="120" w:lineRule="exact"/>
        <w:rPr>
          <w:sz w:val="10"/>
          <w:lang w:eastAsia="zh-CN"/>
        </w:rPr>
      </w:pPr>
    </w:p>
    <w:p w14:paraId="358E9EA1" w14:textId="77777777" w:rsidR="00F1385E" w:rsidRPr="00F1385E" w:rsidRDefault="00F1385E" w:rsidP="00F1385E">
      <w:pPr>
        <w:pStyle w:val="SingleTxt"/>
        <w:rPr>
          <w:lang w:eastAsia="zh-CN"/>
        </w:rPr>
      </w:pPr>
      <w:r w:rsidRPr="00F1385E">
        <w:rPr>
          <w:lang w:eastAsia="zh-CN"/>
        </w:rPr>
        <w:t>Informes presentados por los organismos especializados del sistema de las Naciones Unidas sobre la aplicación de la Convención en la esfera de sus actividades</w:t>
      </w:r>
    </w:p>
    <w:p w14:paraId="3B685B02" w14:textId="203C8AF5" w:rsidR="00F1385E" w:rsidRPr="00631187" w:rsidRDefault="00F1385E" w:rsidP="00631187">
      <w:pPr>
        <w:pStyle w:val="SingleTxt"/>
        <w:spacing w:after="0" w:line="120" w:lineRule="exact"/>
        <w:rPr>
          <w:sz w:val="10"/>
          <w:lang w:eastAsia="zh-CN"/>
        </w:rPr>
      </w:pPr>
    </w:p>
    <w:p w14:paraId="2D78315F"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7.</w:t>
      </w:r>
      <w:r w:rsidRPr="00F1385E">
        <w:rPr>
          <w:lang w:eastAsia="zh-CN"/>
        </w:rPr>
        <w:tab/>
        <w:t>Medios de agilizar los trabajos del Comité</w:t>
      </w:r>
    </w:p>
    <w:p w14:paraId="770AD496" w14:textId="4D9B99DA" w:rsidR="00F1385E" w:rsidRPr="00631187" w:rsidRDefault="00F1385E" w:rsidP="00631187">
      <w:pPr>
        <w:pStyle w:val="SingleTxt"/>
        <w:spacing w:after="0" w:line="120" w:lineRule="exact"/>
        <w:rPr>
          <w:sz w:val="10"/>
          <w:lang w:eastAsia="zh-CN"/>
        </w:rPr>
      </w:pPr>
    </w:p>
    <w:p w14:paraId="758A7ED7" w14:textId="77777777" w:rsidR="00F1385E" w:rsidRPr="00F1385E" w:rsidRDefault="00F1385E" w:rsidP="00F1385E">
      <w:pPr>
        <w:pStyle w:val="SingleTxt"/>
        <w:rPr>
          <w:lang w:eastAsia="zh-CN"/>
        </w:rPr>
      </w:pPr>
      <w:r w:rsidRPr="00F1385E">
        <w:rPr>
          <w:lang w:eastAsia="zh-CN"/>
        </w:rPr>
        <w:t>El Comité examinará cuestiones relacionadas con sus métodos de trabajo.</w:t>
      </w:r>
    </w:p>
    <w:p w14:paraId="5D310427" w14:textId="3591D91E" w:rsidR="00F1385E" w:rsidRPr="00631187" w:rsidRDefault="00F1385E" w:rsidP="00631187">
      <w:pPr>
        <w:pStyle w:val="SingleTxt"/>
        <w:spacing w:after="0" w:line="120" w:lineRule="exact"/>
        <w:rPr>
          <w:sz w:val="10"/>
          <w:lang w:eastAsia="zh-CN"/>
        </w:rPr>
      </w:pPr>
    </w:p>
    <w:p w14:paraId="3C79245C"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8.</w:t>
      </w:r>
      <w:r w:rsidRPr="00F1385E">
        <w:rPr>
          <w:lang w:eastAsia="zh-CN"/>
        </w:rPr>
        <w:tab/>
        <w:t>Actividades del Comité en relación con el Protocolo Facultativo de la Convención</w:t>
      </w:r>
    </w:p>
    <w:p w14:paraId="0E74AF3F" w14:textId="28948DF2" w:rsidR="00F1385E" w:rsidRPr="00631187" w:rsidRDefault="00F1385E" w:rsidP="00631187">
      <w:pPr>
        <w:pStyle w:val="SingleTxt"/>
        <w:spacing w:after="0" w:line="120" w:lineRule="exact"/>
        <w:rPr>
          <w:sz w:val="10"/>
          <w:lang w:eastAsia="zh-CN"/>
        </w:rPr>
      </w:pPr>
    </w:p>
    <w:p w14:paraId="2D73C4DA" w14:textId="77777777" w:rsidR="00F1385E" w:rsidRPr="00F1385E" w:rsidRDefault="00F1385E" w:rsidP="00F1385E">
      <w:pPr>
        <w:pStyle w:val="SingleTxt"/>
        <w:rPr>
          <w:lang w:eastAsia="zh-CN"/>
        </w:rPr>
      </w:pPr>
      <w:r w:rsidRPr="00F1385E">
        <w:rPr>
          <w:lang w:eastAsia="zh-CN"/>
        </w:rPr>
        <w:t>El 44º período de sesiones del Grupo de Trabajo sobre las Comunicaciones presentadas en virtud del Protocolo Facultativo se celebrará del 26 al 28 de junio de 2019 en Ginebra.</w:t>
      </w:r>
    </w:p>
    <w:p w14:paraId="4D53A52E" w14:textId="77777777" w:rsidR="00F1385E" w:rsidRPr="00F1385E" w:rsidRDefault="00F1385E" w:rsidP="00F1385E">
      <w:pPr>
        <w:pStyle w:val="SingleTxt"/>
        <w:rPr>
          <w:lang w:eastAsia="zh-CN"/>
        </w:rPr>
      </w:pPr>
      <w:r w:rsidRPr="00F1385E">
        <w:rPr>
          <w:lang w:eastAsia="zh-CN"/>
        </w:rPr>
        <w:t>El 13</w:t>
      </w:r>
      <w:r w:rsidRPr="00F1385E">
        <w:rPr>
          <w:vertAlign w:val="superscript"/>
          <w:lang w:eastAsia="zh-CN"/>
        </w:rPr>
        <w:t>er</w:t>
      </w:r>
      <w:r w:rsidRPr="00F1385E">
        <w:rPr>
          <w:lang w:eastAsia="zh-CN"/>
        </w:rPr>
        <w:t xml:space="preserve"> período de sesiones del Grupo de Trabajo sobre Investigaciones con arreglo al Protocolo Facultativo se celebrará los días 27 y 28 de junio de 2019 en Ginebra.</w:t>
      </w:r>
    </w:p>
    <w:p w14:paraId="1CF4A237" w14:textId="77777777" w:rsidR="00F1385E" w:rsidRPr="00F1385E" w:rsidRDefault="00F1385E" w:rsidP="00F1385E">
      <w:pPr>
        <w:pStyle w:val="SingleTxt"/>
        <w:rPr>
          <w:lang w:eastAsia="zh-CN"/>
        </w:rPr>
      </w:pPr>
      <w:r w:rsidRPr="00F1385E">
        <w:rPr>
          <w:lang w:eastAsia="zh-CN"/>
        </w:rPr>
        <w:t>En su 73</w:t>
      </w:r>
      <w:r w:rsidRPr="00F1385E">
        <w:rPr>
          <w:vertAlign w:val="superscript"/>
          <w:lang w:eastAsia="zh-CN"/>
        </w:rPr>
        <w:t>er</w:t>
      </w:r>
      <w:r w:rsidRPr="00F1385E">
        <w:rPr>
          <w:lang w:eastAsia="zh-CN"/>
        </w:rPr>
        <w:t xml:space="preserve"> período de sesiones, el Comité continuará cumpliendo su mandato en virtud de los artículos 2 y 8 del Protocolo Facultativo de la Convención.</w:t>
      </w:r>
    </w:p>
    <w:p w14:paraId="6FFFDCE9" w14:textId="7D79106B" w:rsidR="00F1385E" w:rsidRPr="00631187" w:rsidRDefault="00F1385E" w:rsidP="00631187">
      <w:pPr>
        <w:pStyle w:val="SingleTxt"/>
        <w:spacing w:after="0" w:line="120" w:lineRule="exact"/>
        <w:rPr>
          <w:sz w:val="10"/>
          <w:lang w:eastAsia="zh-CN"/>
        </w:rPr>
      </w:pPr>
    </w:p>
    <w:p w14:paraId="45CADB0B" w14:textId="77777777" w:rsidR="00F1385E" w:rsidRPr="00F1385E"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9.</w:t>
      </w:r>
      <w:r w:rsidRPr="00F1385E">
        <w:rPr>
          <w:lang w:eastAsia="zh-CN"/>
        </w:rPr>
        <w:tab/>
        <w:t>Programa provisional del 74º período de sesiones del Comité</w:t>
      </w:r>
    </w:p>
    <w:p w14:paraId="12420D57" w14:textId="172332FF" w:rsidR="00F1385E" w:rsidRPr="00631187" w:rsidRDefault="00F1385E" w:rsidP="00631187">
      <w:pPr>
        <w:pStyle w:val="SingleTxt"/>
        <w:spacing w:after="0" w:line="120" w:lineRule="exact"/>
        <w:rPr>
          <w:sz w:val="10"/>
          <w:lang w:eastAsia="zh-CN"/>
        </w:rPr>
      </w:pPr>
    </w:p>
    <w:p w14:paraId="0B067C01" w14:textId="77777777" w:rsidR="00F1385E" w:rsidRPr="00F1385E" w:rsidRDefault="00F1385E" w:rsidP="00631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r>
      <w:r w:rsidRPr="00F1385E">
        <w:rPr>
          <w:lang w:eastAsia="zh-CN"/>
        </w:rPr>
        <w:tab/>
        <w:t>Documentación</w:t>
      </w:r>
    </w:p>
    <w:p w14:paraId="12CFEB16" w14:textId="01E6768B" w:rsidR="00F1385E" w:rsidRPr="00631187" w:rsidRDefault="00F1385E" w:rsidP="00631187">
      <w:pPr>
        <w:pStyle w:val="SingleTxt"/>
        <w:spacing w:after="0" w:line="120" w:lineRule="exact"/>
        <w:rPr>
          <w:sz w:val="10"/>
          <w:lang w:eastAsia="zh-CN"/>
        </w:rPr>
      </w:pPr>
    </w:p>
    <w:p w14:paraId="4D7A71B9" w14:textId="2D25B56A" w:rsidR="00F1385E" w:rsidRPr="00F1385E" w:rsidRDefault="00F1385E" w:rsidP="00F1385E">
      <w:pPr>
        <w:pStyle w:val="SingleTxt"/>
        <w:rPr>
          <w:lang w:eastAsia="zh-CN"/>
        </w:rPr>
      </w:pPr>
      <w:r w:rsidRPr="00F1385E">
        <w:rPr>
          <w:lang w:eastAsia="zh-CN"/>
        </w:rPr>
        <w:t>Programa provisional anotado del 74º período de sesiones (</w:t>
      </w:r>
      <w:hyperlink r:id="rId38" w:history="1">
        <w:r w:rsidRPr="001102AA">
          <w:rPr>
            <w:rStyle w:val="Hyperlink"/>
            <w:lang w:eastAsia="zh-CN"/>
          </w:rPr>
          <w:t>CEDAW/C/74/1</w:t>
        </w:r>
      </w:hyperlink>
      <w:r w:rsidRPr="00F1385E">
        <w:rPr>
          <w:lang w:eastAsia="zh-CN"/>
        </w:rPr>
        <w:t>)</w:t>
      </w:r>
      <w:bookmarkStart w:id="2" w:name="LinkName"/>
      <w:bookmarkEnd w:id="2"/>
    </w:p>
    <w:p w14:paraId="587E70E5" w14:textId="05BDF286" w:rsidR="00631187" w:rsidRPr="00631187" w:rsidRDefault="00631187" w:rsidP="00631187">
      <w:pPr>
        <w:pStyle w:val="SingleTxt"/>
        <w:spacing w:after="0" w:line="120" w:lineRule="exact"/>
        <w:rPr>
          <w:sz w:val="10"/>
          <w:lang w:eastAsia="zh-CN"/>
        </w:rPr>
      </w:pPr>
    </w:p>
    <w:p w14:paraId="396422A1" w14:textId="20CE8AD1" w:rsidR="00F34E12" w:rsidRDefault="00F1385E" w:rsidP="0063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F1385E">
        <w:rPr>
          <w:lang w:eastAsia="zh-CN"/>
        </w:rPr>
        <w:tab/>
        <w:t>10.</w:t>
      </w:r>
      <w:r w:rsidRPr="00F1385E">
        <w:rPr>
          <w:lang w:eastAsia="zh-CN"/>
        </w:rPr>
        <w:tab/>
        <w:t>Aprobación del informe de la Comisión sobre su 73</w:t>
      </w:r>
      <w:r w:rsidRPr="00F1385E">
        <w:rPr>
          <w:vertAlign w:val="superscript"/>
          <w:lang w:eastAsia="zh-CN"/>
        </w:rPr>
        <w:t>er</w:t>
      </w:r>
      <w:r w:rsidRPr="00F1385E">
        <w:rPr>
          <w:lang w:eastAsia="zh-CN"/>
        </w:rPr>
        <w:t xml:space="preserve"> período de sesiones</w:t>
      </w:r>
    </w:p>
    <w:p w14:paraId="2EF4F644" w14:textId="1E574089" w:rsidR="00631187" w:rsidRPr="00631187" w:rsidRDefault="00631187" w:rsidP="00631187">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1453848A" wp14:editId="59EF3CC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8F02B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31187" w:rsidRPr="00631187" w:rsidSect="00F1385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16T16:08:00Z" w:initials="Start">
    <w:p w14:paraId="608CB10D" w14:textId="77777777" w:rsidR="00F34E12" w:rsidRPr="00F1385E" w:rsidRDefault="00F34E12">
      <w:pPr>
        <w:pStyle w:val="CommentText"/>
        <w:rPr>
          <w:lang w:val="en-US"/>
        </w:rPr>
      </w:pPr>
      <w:r>
        <w:fldChar w:fldCharType="begin"/>
      </w:r>
      <w:r w:rsidRPr="00F1385E">
        <w:rPr>
          <w:rStyle w:val="CommentReference"/>
          <w:lang w:val="en-US"/>
        </w:rPr>
        <w:instrText xml:space="preserve"> </w:instrText>
      </w:r>
      <w:r w:rsidRPr="00F1385E">
        <w:rPr>
          <w:lang w:val="en-US"/>
        </w:rPr>
        <w:instrText>PAGE \# "'Page: '#'</w:instrText>
      </w:r>
      <w:r w:rsidRPr="00F1385E">
        <w:rPr>
          <w:lang w:val="en-US"/>
        </w:rPr>
        <w:br/>
        <w:instrText>'"</w:instrText>
      </w:r>
      <w:r w:rsidRPr="00F1385E">
        <w:rPr>
          <w:rStyle w:val="CommentReference"/>
          <w:lang w:val="en-US"/>
        </w:rPr>
        <w:instrText xml:space="preserve"> </w:instrText>
      </w:r>
      <w:r>
        <w:fldChar w:fldCharType="end"/>
      </w:r>
      <w:r>
        <w:rPr>
          <w:rStyle w:val="CommentReference"/>
        </w:rPr>
        <w:annotationRef/>
      </w:r>
      <w:r w:rsidRPr="00F1385E">
        <w:rPr>
          <w:lang w:val="en-US"/>
        </w:rPr>
        <w:t>&lt;&lt;ODS JOB NO&gt;&gt;N1913005S&lt;&lt;ODS JOB NO&gt;&gt;</w:t>
      </w:r>
    </w:p>
    <w:p w14:paraId="107129D3" w14:textId="77777777" w:rsidR="00F34E12" w:rsidRDefault="00F34E12">
      <w:pPr>
        <w:pStyle w:val="CommentText"/>
      </w:pPr>
      <w:r>
        <w:t>&lt;&lt;ODS DOC SYMBOL1&gt;&gt;CEDAW/C/73/1&lt;&lt;ODS DOC SYMBOL1&gt;&gt;</w:t>
      </w:r>
    </w:p>
    <w:p w14:paraId="605E3EEB" w14:textId="77777777" w:rsidR="00F34E12" w:rsidRDefault="00F34E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5E3EE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44AAF" w14:textId="77777777" w:rsidR="007E7850" w:rsidRDefault="007E7850" w:rsidP="00556720">
      <w:r>
        <w:separator/>
      </w:r>
    </w:p>
  </w:endnote>
  <w:endnote w:type="continuationSeparator" w:id="0">
    <w:p w14:paraId="739276EE" w14:textId="77777777" w:rsidR="007E7850" w:rsidRDefault="007E785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4E12" w14:paraId="14DF8997" w14:textId="77777777" w:rsidTr="00F34E12">
      <w:tc>
        <w:tcPr>
          <w:tcW w:w="4920" w:type="dxa"/>
          <w:shd w:val="clear" w:color="auto" w:fill="auto"/>
        </w:tcPr>
        <w:p w14:paraId="7E96433F" w14:textId="77777777" w:rsidR="00F34E12" w:rsidRPr="00F34E12" w:rsidRDefault="00F34E12" w:rsidP="00F34E1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19-07306</w:t>
          </w:r>
          <w:r>
            <w:rPr>
              <w:b w:val="0"/>
              <w:color w:val="000000"/>
              <w:w w:val="103"/>
              <w:sz w:val="14"/>
            </w:rPr>
            <w:fldChar w:fldCharType="end"/>
          </w:r>
        </w:p>
      </w:tc>
      <w:tc>
        <w:tcPr>
          <w:tcW w:w="4920" w:type="dxa"/>
          <w:shd w:val="clear" w:color="auto" w:fill="auto"/>
        </w:tcPr>
        <w:p w14:paraId="659EB701" w14:textId="77777777" w:rsidR="00F34E12" w:rsidRPr="00F34E12" w:rsidRDefault="00F34E12" w:rsidP="00F34E1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EAE32BB" w14:textId="77777777" w:rsidR="00F34E12" w:rsidRPr="00F34E12" w:rsidRDefault="00F34E12" w:rsidP="00F34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4E12" w14:paraId="0CC5622F" w14:textId="77777777" w:rsidTr="00F34E12">
      <w:tc>
        <w:tcPr>
          <w:tcW w:w="4920" w:type="dxa"/>
          <w:shd w:val="clear" w:color="auto" w:fill="auto"/>
        </w:tcPr>
        <w:p w14:paraId="4BE36A8C" w14:textId="77777777" w:rsidR="00F34E12" w:rsidRPr="00F34E12" w:rsidRDefault="00F34E12" w:rsidP="00F34E1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6E7B56FF" w14:textId="77777777" w:rsidR="00F34E12" w:rsidRPr="00F34E12" w:rsidRDefault="00F34E12" w:rsidP="00F34E1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19-07306</w:t>
          </w:r>
          <w:r>
            <w:rPr>
              <w:b w:val="0"/>
              <w:color w:val="000000"/>
              <w:w w:val="103"/>
              <w:sz w:val="14"/>
            </w:rPr>
            <w:fldChar w:fldCharType="end"/>
          </w:r>
        </w:p>
      </w:tc>
    </w:tr>
  </w:tbl>
  <w:p w14:paraId="0B546E22" w14:textId="77777777" w:rsidR="00F34E12" w:rsidRPr="00F34E12" w:rsidRDefault="00F34E12" w:rsidP="00F34E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0D68A" w14:textId="77777777" w:rsidR="00F34E12" w:rsidRPr="00F34E12" w:rsidRDefault="00F34E12" w:rsidP="00F34E12">
    <w:pPr>
      <w:pStyle w:val="Footer"/>
      <w:spacing w:line="120" w:lineRule="exact"/>
      <w:rPr>
        <w:b w:val="0"/>
        <w:sz w:val="10"/>
      </w:rPr>
    </w:pPr>
    <w:r>
      <w:rPr>
        <w:b w:val="0"/>
        <w:sz w:val="10"/>
      </w:rPr>
      <w:drawing>
        <wp:anchor distT="0" distB="0" distL="114300" distR="114300" simplePos="0" relativeHeight="251658240" behindDoc="0" locked="0" layoutInCell="1" allowOverlap="1" wp14:anchorId="6823C740" wp14:editId="3F9FD41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3/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3/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34E12" w14:paraId="0229AFF0" w14:textId="77777777" w:rsidTr="00F34E12">
      <w:tc>
        <w:tcPr>
          <w:tcW w:w="3830" w:type="dxa"/>
          <w:shd w:val="clear" w:color="auto" w:fill="auto"/>
        </w:tcPr>
        <w:p w14:paraId="09832F1F" w14:textId="41EA499C" w:rsidR="00F34E12" w:rsidRDefault="00F34E12" w:rsidP="00F34E12">
          <w:pPr>
            <w:pStyle w:val="ReleaseDate"/>
          </w:pPr>
          <w:r>
            <w:t xml:space="preserve">19-07306 (S)    </w:t>
          </w:r>
          <w:r w:rsidR="00631187">
            <w:t>08</w:t>
          </w:r>
          <w:r>
            <w:t>0519    160519</w:t>
          </w:r>
        </w:p>
        <w:p w14:paraId="08B37A94" w14:textId="77777777" w:rsidR="00F34E12" w:rsidRPr="00F34E12" w:rsidRDefault="00F34E12" w:rsidP="00F34E1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*1907306*</w:t>
          </w:r>
        </w:p>
      </w:tc>
      <w:tc>
        <w:tcPr>
          <w:tcW w:w="4920" w:type="dxa"/>
          <w:shd w:val="clear" w:color="auto" w:fill="auto"/>
        </w:tcPr>
        <w:p w14:paraId="687240B8" w14:textId="77777777" w:rsidR="00F34E12" w:rsidRDefault="00F34E12" w:rsidP="00F34E12">
          <w:pPr>
            <w:pStyle w:val="Footer"/>
            <w:jc w:val="right"/>
            <w:rPr>
              <w:b w:val="0"/>
              <w:sz w:val="20"/>
            </w:rPr>
          </w:pPr>
          <w:r>
            <w:rPr>
              <w:b w:val="0"/>
              <w:sz w:val="20"/>
            </w:rPr>
            <w:drawing>
              <wp:inline distT="0" distB="0" distL="0" distR="0" wp14:anchorId="719766A4" wp14:editId="584992F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44F35A6" w14:textId="77777777" w:rsidR="00F34E12" w:rsidRPr="00F34E12" w:rsidRDefault="00F34E12" w:rsidP="00F34E1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B376A" w14:textId="77777777" w:rsidR="007E7850" w:rsidRDefault="007E7850" w:rsidP="00556720">
      <w:r>
        <w:separator/>
      </w:r>
    </w:p>
  </w:footnote>
  <w:footnote w:type="continuationSeparator" w:id="0">
    <w:p w14:paraId="73651603" w14:textId="77777777" w:rsidR="007E7850" w:rsidRDefault="007E785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34E12" w14:paraId="387FC98F" w14:textId="77777777" w:rsidTr="00F34E12">
      <w:trPr>
        <w:trHeight w:hRule="exact" w:val="864"/>
      </w:trPr>
      <w:tc>
        <w:tcPr>
          <w:tcW w:w="4939" w:type="dxa"/>
          <w:shd w:val="clear" w:color="auto" w:fill="auto"/>
          <w:vAlign w:val="bottom"/>
        </w:tcPr>
        <w:p w14:paraId="1E5211C0" w14:textId="77777777" w:rsidR="00F34E12" w:rsidRPr="00F34E12" w:rsidRDefault="00F34E12" w:rsidP="00F34E1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CEDAW/C/73/1</w:t>
          </w:r>
          <w:r>
            <w:rPr>
              <w:b/>
              <w:color w:val="000000"/>
            </w:rPr>
            <w:fldChar w:fldCharType="end"/>
          </w:r>
        </w:p>
      </w:tc>
      <w:tc>
        <w:tcPr>
          <w:tcW w:w="4920" w:type="dxa"/>
          <w:shd w:val="clear" w:color="auto" w:fill="auto"/>
          <w:vAlign w:val="bottom"/>
        </w:tcPr>
        <w:p w14:paraId="4D7FBCEE" w14:textId="77777777" w:rsidR="00F34E12" w:rsidRDefault="00F34E12" w:rsidP="00F34E12">
          <w:pPr>
            <w:pStyle w:val="Header"/>
          </w:pPr>
        </w:p>
      </w:tc>
    </w:tr>
  </w:tbl>
  <w:p w14:paraId="19643749" w14:textId="77777777" w:rsidR="00F34E12" w:rsidRPr="00F34E12" w:rsidRDefault="00F34E12" w:rsidP="00F34E1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34E12" w14:paraId="360AD2C9" w14:textId="77777777" w:rsidTr="00F34E12">
      <w:trPr>
        <w:trHeight w:hRule="exact" w:val="864"/>
      </w:trPr>
      <w:tc>
        <w:tcPr>
          <w:tcW w:w="4939" w:type="dxa"/>
          <w:shd w:val="clear" w:color="auto" w:fill="auto"/>
          <w:vAlign w:val="bottom"/>
        </w:tcPr>
        <w:p w14:paraId="6E0B42DA" w14:textId="77777777" w:rsidR="00F34E12" w:rsidRDefault="00F34E12" w:rsidP="00F34E12">
          <w:pPr>
            <w:pStyle w:val="Header"/>
          </w:pPr>
        </w:p>
      </w:tc>
      <w:tc>
        <w:tcPr>
          <w:tcW w:w="4920" w:type="dxa"/>
          <w:shd w:val="clear" w:color="auto" w:fill="auto"/>
          <w:vAlign w:val="bottom"/>
        </w:tcPr>
        <w:p w14:paraId="4110A15A" w14:textId="77777777" w:rsidR="00F34E12" w:rsidRPr="00F34E12" w:rsidRDefault="00F34E12" w:rsidP="00F34E1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CEDAW/C/73/1</w:t>
          </w:r>
          <w:r>
            <w:rPr>
              <w:b/>
              <w:color w:val="000000"/>
            </w:rPr>
            <w:fldChar w:fldCharType="end"/>
          </w:r>
        </w:p>
      </w:tc>
    </w:tr>
  </w:tbl>
  <w:p w14:paraId="584541BC" w14:textId="77777777" w:rsidR="00F34E12" w:rsidRPr="00F34E12" w:rsidRDefault="00F34E12" w:rsidP="00F34E1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34E12" w14:paraId="239B6A80" w14:textId="77777777" w:rsidTr="00F34E12">
      <w:trPr>
        <w:gridAfter w:val="1"/>
        <w:wAfter w:w="15" w:type="dxa"/>
        <w:trHeight w:hRule="exact" w:val="864"/>
      </w:trPr>
      <w:tc>
        <w:tcPr>
          <w:tcW w:w="1267" w:type="dxa"/>
          <w:tcBorders>
            <w:bottom w:val="single" w:sz="4" w:space="0" w:color="auto"/>
          </w:tcBorders>
          <w:shd w:val="clear" w:color="auto" w:fill="auto"/>
          <w:vAlign w:val="bottom"/>
        </w:tcPr>
        <w:p w14:paraId="61D84D17" w14:textId="77777777" w:rsidR="00F34E12" w:rsidRDefault="00F34E12" w:rsidP="00F34E12">
          <w:pPr>
            <w:pStyle w:val="Header"/>
            <w:spacing w:after="120"/>
          </w:pPr>
        </w:p>
      </w:tc>
      <w:tc>
        <w:tcPr>
          <w:tcW w:w="2059" w:type="dxa"/>
          <w:tcBorders>
            <w:bottom w:val="single" w:sz="4" w:space="0" w:color="auto"/>
          </w:tcBorders>
          <w:shd w:val="clear" w:color="auto" w:fill="auto"/>
          <w:vAlign w:val="bottom"/>
        </w:tcPr>
        <w:p w14:paraId="421258C0" w14:textId="77777777" w:rsidR="00F34E12" w:rsidRPr="00F34E12" w:rsidRDefault="00F34E12" w:rsidP="00F34E1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4E39F15" w14:textId="77777777" w:rsidR="00F34E12" w:rsidRDefault="00F34E12" w:rsidP="00F34E12">
          <w:pPr>
            <w:pStyle w:val="Header"/>
            <w:spacing w:after="120"/>
          </w:pPr>
        </w:p>
      </w:tc>
      <w:tc>
        <w:tcPr>
          <w:tcW w:w="6480" w:type="dxa"/>
          <w:gridSpan w:val="3"/>
          <w:tcBorders>
            <w:bottom w:val="single" w:sz="4" w:space="0" w:color="auto"/>
          </w:tcBorders>
          <w:shd w:val="clear" w:color="auto" w:fill="auto"/>
          <w:vAlign w:val="bottom"/>
        </w:tcPr>
        <w:p w14:paraId="3B5AC098" w14:textId="77777777" w:rsidR="00F34E12" w:rsidRPr="00F34E12" w:rsidRDefault="00F34E12" w:rsidP="00F34E12">
          <w:pPr>
            <w:spacing w:after="80" w:line="240" w:lineRule="auto"/>
            <w:jc w:val="right"/>
            <w:rPr>
              <w:position w:val="-4"/>
            </w:rPr>
          </w:pPr>
          <w:r>
            <w:rPr>
              <w:position w:val="-4"/>
              <w:sz w:val="40"/>
            </w:rPr>
            <w:t>CEDAW</w:t>
          </w:r>
          <w:r>
            <w:rPr>
              <w:position w:val="-4"/>
            </w:rPr>
            <w:t>/C/73/1</w:t>
          </w:r>
        </w:p>
      </w:tc>
    </w:tr>
    <w:tr w:rsidR="00F34E12" w:rsidRPr="00F34E12" w14:paraId="577DCAB7" w14:textId="77777777" w:rsidTr="00F34E12">
      <w:trPr>
        <w:trHeight w:hRule="exact" w:val="2880"/>
      </w:trPr>
      <w:tc>
        <w:tcPr>
          <w:tcW w:w="1267" w:type="dxa"/>
          <w:tcBorders>
            <w:top w:val="single" w:sz="4" w:space="0" w:color="auto"/>
            <w:bottom w:val="single" w:sz="12" w:space="0" w:color="auto"/>
          </w:tcBorders>
          <w:shd w:val="clear" w:color="auto" w:fill="auto"/>
        </w:tcPr>
        <w:p w14:paraId="1C517DD4" w14:textId="77777777" w:rsidR="00F34E12" w:rsidRPr="00F34E12" w:rsidRDefault="00F34E12" w:rsidP="00F34E12">
          <w:pPr>
            <w:pStyle w:val="Header"/>
            <w:spacing w:before="120"/>
            <w:jc w:val="center"/>
          </w:pPr>
          <w:r>
            <w:t xml:space="preserve"> </w:t>
          </w:r>
          <w:r>
            <w:drawing>
              <wp:inline distT="0" distB="0" distL="0" distR="0" wp14:anchorId="4EF376D5" wp14:editId="6D22B91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54F2DF" w14:textId="77777777" w:rsidR="00F34E12" w:rsidRPr="00F34E12" w:rsidRDefault="00F34E12" w:rsidP="00F34E1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EF65271" w14:textId="77777777" w:rsidR="00F34E12" w:rsidRPr="00F1385E" w:rsidRDefault="00F34E12" w:rsidP="00F34E1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AC59597" w14:textId="77777777" w:rsidR="00F34E12" w:rsidRDefault="00F34E12" w:rsidP="00F34E12">
          <w:pPr>
            <w:pStyle w:val="Distribution"/>
            <w:spacing w:before="240"/>
          </w:pPr>
          <w:r>
            <w:t>Distr. general</w:t>
          </w:r>
        </w:p>
        <w:p w14:paraId="590881D8" w14:textId="77777777" w:rsidR="00F34E12" w:rsidRDefault="00F34E12" w:rsidP="00F34E12">
          <w:pPr>
            <w:pStyle w:val="Publication"/>
          </w:pPr>
          <w:r>
            <w:t>6 de mayo de 2019</w:t>
          </w:r>
        </w:p>
        <w:p w14:paraId="366A19F4" w14:textId="77777777" w:rsidR="00F34E12" w:rsidRDefault="00F34E12" w:rsidP="00F34E12">
          <w:r>
            <w:t>Español</w:t>
          </w:r>
        </w:p>
        <w:p w14:paraId="621D174B" w14:textId="257F4FEC" w:rsidR="00062969" w:rsidRDefault="00F34E12" w:rsidP="00F34E12">
          <w:pPr>
            <w:pStyle w:val="Original"/>
          </w:pPr>
          <w:r>
            <w:t>Original:</w:t>
          </w:r>
          <w:r w:rsidR="00062969">
            <w:t xml:space="preserve"> inglés</w:t>
          </w:r>
        </w:p>
        <w:p w14:paraId="1F72815B" w14:textId="7B05D292" w:rsidR="00F34E12" w:rsidRDefault="00062969" w:rsidP="00F34E12">
          <w:pPr>
            <w:pStyle w:val="Original"/>
          </w:pPr>
          <w:r>
            <w:t>E</w:t>
          </w:r>
          <w:r w:rsidR="00F34E12">
            <w:t>spañol</w:t>
          </w:r>
          <w:r w:rsidR="00F1385E">
            <w:t xml:space="preserve">, </w:t>
          </w:r>
          <w:r w:rsidR="00F34E12">
            <w:t>francés</w:t>
          </w:r>
          <w:r w:rsidR="00F1385E">
            <w:t xml:space="preserve"> e </w:t>
          </w:r>
          <w:r w:rsidR="00F34E12">
            <w:t>inglés</w:t>
          </w:r>
          <w:r>
            <w:br/>
          </w:r>
          <w:r w:rsidR="00E76D36" w:rsidRPr="00E76D36">
            <w:t>únicamente</w:t>
          </w:r>
        </w:p>
        <w:p w14:paraId="06D94020" w14:textId="77777777" w:rsidR="00F34E12" w:rsidRPr="00F34E12" w:rsidRDefault="00F34E12" w:rsidP="00F34E12"/>
      </w:tc>
    </w:tr>
  </w:tbl>
  <w:p w14:paraId="0FD6A613" w14:textId="77777777" w:rsidR="00F34E12" w:rsidRPr="00F1385E" w:rsidRDefault="00F34E12" w:rsidP="00F34E1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284D4C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4C88C1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4E8D3D16"/>
    <w:multiLevelType w:val="hybridMultilevel"/>
    <w:tmpl w:val="3AC86F72"/>
    <w:lvl w:ilvl="0" w:tplc="0409000F">
      <w:start w:val="1"/>
      <w:numFmt w:val="decimal"/>
      <w:lvlText w:val="%1."/>
      <w:lvlJc w:val="left"/>
      <w:pPr>
        <w:ind w:left="1310" w:hanging="360"/>
      </w:pPr>
      <w:rPr>
        <w:rFonts w:hint="default"/>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3" w15:restartNumberingAfterBreak="0">
    <w:nsid w:val="51376339"/>
    <w:multiLevelType w:val="hybridMultilevel"/>
    <w:tmpl w:val="B7A614B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D18A293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4"/>
  </w:num>
  <w:num w:numId="6">
    <w:abstractNumId w:val="0"/>
  </w:num>
  <w:num w:numId="7">
    <w:abstractNumId w:val="3"/>
  </w:num>
  <w:num w:numId="8">
    <w:abstractNumId w:val="1"/>
  </w:num>
  <w:num w:numId="9">
    <w:abstractNumId w:val="4"/>
  </w:num>
  <w:num w:numId="10">
    <w:abstractNumId w:val="0"/>
  </w:num>
  <w:num w:numId="11">
    <w:abstractNumId w:val="3"/>
  </w:num>
  <w:num w:numId="12">
    <w:abstractNumId w:val="1"/>
  </w:num>
  <w:num w:numId="13">
    <w:abstractNumId w:val="4"/>
  </w:num>
  <w:num w:numId="14">
    <w:abstractNumId w:val="0"/>
  </w:num>
  <w:num w:numId="15">
    <w:abstractNumId w:val="3"/>
  </w:num>
  <w:num w:numId="16">
    <w:abstractNumId w:val="1"/>
  </w:num>
  <w:num w:numId="17">
    <w:abstractNumId w:val="4"/>
  </w:num>
  <w:num w:numId="18">
    <w:abstractNumId w:val="0"/>
  </w:num>
  <w:num w:numId="19">
    <w:abstractNumId w:val="3"/>
  </w:num>
  <w:num w:numId="20">
    <w:abstractNumId w:val="1"/>
  </w:num>
  <w:num w:numId="2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7306*"/>
    <w:docVar w:name="CreationDt" w:val="16/05/2019 4:08: PM"/>
    <w:docVar w:name="DocCategory" w:val="Doc"/>
    <w:docVar w:name="DocType" w:val="Final"/>
    <w:docVar w:name="DutyStation" w:val="New York"/>
    <w:docVar w:name="FooterJN" w:val="19-07306"/>
    <w:docVar w:name="jobn" w:val="19-07306 (S)"/>
    <w:docVar w:name="jobnDT" w:val="19-07306 (S)   160519"/>
    <w:docVar w:name="jobnDTDT" w:val="19-07306 (S)   160519   160519"/>
    <w:docVar w:name="JobNo" w:val="1907306S"/>
    <w:docVar w:name="JobNo2" w:val="19130054:08: PM"/>
    <w:docVar w:name="LocalDrive" w:val="0"/>
    <w:docVar w:name="OandT" w:val="YB/Mercedes Calabozo"/>
    <w:docVar w:name="sss1" w:val="CEDAW/C/73/1"/>
    <w:docVar w:name="sss2" w:val="-"/>
    <w:docVar w:name="Symbol1" w:val="CEDAW/C/73/1"/>
    <w:docVar w:name="Symbol2" w:val="-"/>
  </w:docVars>
  <w:rsids>
    <w:rsidRoot w:val="007E7850"/>
    <w:rsid w:val="00017FCF"/>
    <w:rsid w:val="00024D1E"/>
    <w:rsid w:val="00062969"/>
    <w:rsid w:val="00065018"/>
    <w:rsid w:val="000C4C9C"/>
    <w:rsid w:val="000F5173"/>
    <w:rsid w:val="00104B4D"/>
    <w:rsid w:val="001102AA"/>
    <w:rsid w:val="0011115C"/>
    <w:rsid w:val="00112F3F"/>
    <w:rsid w:val="00113E1F"/>
    <w:rsid w:val="001204C4"/>
    <w:rsid w:val="001263EE"/>
    <w:rsid w:val="00131AF4"/>
    <w:rsid w:val="001F0FB0"/>
    <w:rsid w:val="00214645"/>
    <w:rsid w:val="002540F2"/>
    <w:rsid w:val="00262329"/>
    <w:rsid w:val="002706A2"/>
    <w:rsid w:val="00300BF5"/>
    <w:rsid w:val="003C5E36"/>
    <w:rsid w:val="003E3B08"/>
    <w:rsid w:val="003E723B"/>
    <w:rsid w:val="00420B10"/>
    <w:rsid w:val="00426D65"/>
    <w:rsid w:val="0044179B"/>
    <w:rsid w:val="004B4C46"/>
    <w:rsid w:val="004D17DB"/>
    <w:rsid w:val="005325F8"/>
    <w:rsid w:val="0054233B"/>
    <w:rsid w:val="00556720"/>
    <w:rsid w:val="00580B3B"/>
    <w:rsid w:val="005832B1"/>
    <w:rsid w:val="00583D31"/>
    <w:rsid w:val="005B6F9A"/>
    <w:rsid w:val="005C49C8"/>
    <w:rsid w:val="005D089B"/>
    <w:rsid w:val="005E363E"/>
    <w:rsid w:val="00630929"/>
    <w:rsid w:val="00631187"/>
    <w:rsid w:val="00645802"/>
    <w:rsid w:val="00674235"/>
    <w:rsid w:val="00692CC1"/>
    <w:rsid w:val="006B63BE"/>
    <w:rsid w:val="006E2E3D"/>
    <w:rsid w:val="006E71CD"/>
    <w:rsid w:val="007C5E21"/>
    <w:rsid w:val="007E7850"/>
    <w:rsid w:val="00810EF0"/>
    <w:rsid w:val="008350F0"/>
    <w:rsid w:val="00855FFA"/>
    <w:rsid w:val="008723C3"/>
    <w:rsid w:val="008F3E1E"/>
    <w:rsid w:val="008F5C2D"/>
    <w:rsid w:val="00926813"/>
    <w:rsid w:val="00927C82"/>
    <w:rsid w:val="009457D2"/>
    <w:rsid w:val="009D38E1"/>
    <w:rsid w:val="009E1969"/>
    <w:rsid w:val="00A20AC0"/>
    <w:rsid w:val="00A458DD"/>
    <w:rsid w:val="00A8524E"/>
    <w:rsid w:val="00A966CD"/>
    <w:rsid w:val="00AD5012"/>
    <w:rsid w:val="00AF38EB"/>
    <w:rsid w:val="00B40947"/>
    <w:rsid w:val="00B565FD"/>
    <w:rsid w:val="00B95B84"/>
    <w:rsid w:val="00B9620C"/>
    <w:rsid w:val="00BA765B"/>
    <w:rsid w:val="00BB778A"/>
    <w:rsid w:val="00BF259B"/>
    <w:rsid w:val="00BF2A7B"/>
    <w:rsid w:val="00BF5B27"/>
    <w:rsid w:val="00BF6BE0"/>
    <w:rsid w:val="00C02934"/>
    <w:rsid w:val="00C04769"/>
    <w:rsid w:val="00C779E4"/>
    <w:rsid w:val="00CA0E8B"/>
    <w:rsid w:val="00CB1837"/>
    <w:rsid w:val="00CD48D2"/>
    <w:rsid w:val="00D15D85"/>
    <w:rsid w:val="00D63DCA"/>
    <w:rsid w:val="00DA119C"/>
    <w:rsid w:val="00DC7B16"/>
    <w:rsid w:val="00DF34AE"/>
    <w:rsid w:val="00E33AEC"/>
    <w:rsid w:val="00E445F9"/>
    <w:rsid w:val="00E7541B"/>
    <w:rsid w:val="00E76D36"/>
    <w:rsid w:val="00EA779D"/>
    <w:rsid w:val="00EC6195"/>
    <w:rsid w:val="00F1385E"/>
    <w:rsid w:val="00F27BF6"/>
    <w:rsid w:val="00F30184"/>
    <w:rsid w:val="00F31052"/>
    <w:rsid w:val="00F32866"/>
    <w:rsid w:val="00F34E12"/>
    <w:rsid w:val="00F41482"/>
    <w:rsid w:val="00F5593E"/>
    <w:rsid w:val="00F94BC6"/>
    <w:rsid w:val="00FA0EFB"/>
    <w:rsid w:val="00FC3BDA"/>
    <w:rsid w:val="00FD3101"/>
    <w:rsid w:val="00FD6FB0"/>
    <w:rsid w:val="00FF6F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9972103"/>
  <w15:chartTrackingRefBased/>
  <w15:docId w15:val="{FC68A215-43D8-478C-9013-EB6B0D537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A7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F2A7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F2A7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F2A7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F2A7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F2A7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F2A7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F2A7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F2A7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F2A7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F2A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F2A7B"/>
    <w:pPr>
      <w:keepNext/>
      <w:keepLines/>
      <w:spacing w:line="270" w:lineRule="exact"/>
      <w:outlineLvl w:val="0"/>
    </w:pPr>
    <w:rPr>
      <w:b/>
      <w:kern w:val="14"/>
      <w:sz w:val="24"/>
    </w:rPr>
  </w:style>
  <w:style w:type="paragraph" w:customStyle="1" w:styleId="HCh">
    <w:name w:val="_ H _Ch"/>
    <w:basedOn w:val="H1"/>
    <w:next w:val="Normal"/>
    <w:qFormat/>
    <w:rsid w:val="00BF2A7B"/>
    <w:pPr>
      <w:spacing w:line="300" w:lineRule="exact"/>
    </w:pPr>
    <w:rPr>
      <w:spacing w:val="-2"/>
      <w:sz w:val="28"/>
    </w:rPr>
  </w:style>
  <w:style w:type="paragraph" w:customStyle="1" w:styleId="HM">
    <w:name w:val="_ H __M"/>
    <w:basedOn w:val="HCh"/>
    <w:next w:val="Normal"/>
    <w:qFormat/>
    <w:rsid w:val="00BF2A7B"/>
    <w:pPr>
      <w:spacing w:line="360" w:lineRule="exact"/>
    </w:pPr>
    <w:rPr>
      <w:spacing w:val="-3"/>
      <w:w w:val="99"/>
      <w:sz w:val="34"/>
    </w:rPr>
  </w:style>
  <w:style w:type="paragraph" w:customStyle="1" w:styleId="H23">
    <w:name w:val="_ H_2/3"/>
    <w:basedOn w:val="H1"/>
    <w:next w:val="SingleTxt"/>
    <w:qFormat/>
    <w:rsid w:val="00BF2A7B"/>
    <w:pPr>
      <w:spacing w:line="240" w:lineRule="exact"/>
      <w:outlineLvl w:val="1"/>
    </w:pPr>
    <w:rPr>
      <w:spacing w:val="2"/>
      <w:sz w:val="20"/>
    </w:rPr>
  </w:style>
  <w:style w:type="paragraph" w:customStyle="1" w:styleId="H4">
    <w:name w:val="_ H_4"/>
    <w:basedOn w:val="Normal"/>
    <w:next w:val="SingleTxt"/>
    <w:qFormat/>
    <w:rsid w:val="00BF2A7B"/>
    <w:pPr>
      <w:keepNext/>
      <w:keepLines/>
      <w:tabs>
        <w:tab w:val="right" w:pos="360"/>
      </w:tabs>
      <w:outlineLvl w:val="3"/>
    </w:pPr>
    <w:rPr>
      <w:i/>
      <w:spacing w:val="3"/>
      <w:kern w:val="14"/>
    </w:rPr>
  </w:style>
  <w:style w:type="paragraph" w:customStyle="1" w:styleId="H56">
    <w:name w:val="_ H_5/6"/>
    <w:basedOn w:val="Normal"/>
    <w:next w:val="Normal"/>
    <w:qFormat/>
    <w:rsid w:val="00BF2A7B"/>
    <w:pPr>
      <w:keepNext/>
      <w:keepLines/>
      <w:tabs>
        <w:tab w:val="right" w:pos="360"/>
      </w:tabs>
      <w:outlineLvl w:val="4"/>
    </w:pPr>
    <w:rPr>
      <w:kern w:val="14"/>
    </w:rPr>
  </w:style>
  <w:style w:type="paragraph" w:customStyle="1" w:styleId="DualTxt">
    <w:name w:val="__Dual Txt"/>
    <w:basedOn w:val="Normal"/>
    <w:qFormat/>
    <w:rsid w:val="00BF2A7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F2A7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F2A7B"/>
    <w:pPr>
      <w:spacing w:line="540" w:lineRule="exact"/>
    </w:pPr>
    <w:rPr>
      <w:spacing w:val="-8"/>
      <w:w w:val="96"/>
      <w:sz w:val="57"/>
    </w:rPr>
  </w:style>
  <w:style w:type="paragraph" w:customStyle="1" w:styleId="SS">
    <w:name w:val="__S_S"/>
    <w:basedOn w:val="HCh"/>
    <w:next w:val="Normal"/>
    <w:qFormat/>
    <w:rsid w:val="00BF2A7B"/>
    <w:pPr>
      <w:ind w:left="1267" w:right="1267"/>
    </w:pPr>
  </w:style>
  <w:style w:type="paragraph" w:customStyle="1" w:styleId="SingleTxt">
    <w:name w:val="__Single Txt"/>
    <w:basedOn w:val="Normal"/>
    <w:qFormat/>
    <w:rsid w:val="00BF2A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F2A7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F2A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F2A7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F2A7B"/>
    <w:rPr>
      <w:rFonts w:ascii="Tahoma" w:hAnsi="Tahoma" w:cs="Tahoma"/>
      <w:sz w:val="16"/>
      <w:szCs w:val="16"/>
    </w:rPr>
  </w:style>
  <w:style w:type="character" w:customStyle="1" w:styleId="BalloonTextChar">
    <w:name w:val="Balloon Text Char"/>
    <w:basedOn w:val="DefaultParagraphFont"/>
    <w:link w:val="BalloonText"/>
    <w:semiHidden/>
    <w:rsid w:val="00BF2A7B"/>
    <w:rPr>
      <w:rFonts w:ascii="Tahoma" w:eastAsiaTheme="minorHAnsi" w:hAnsi="Tahoma" w:cs="Tahoma"/>
      <w:spacing w:val="4"/>
      <w:w w:val="103"/>
      <w:sz w:val="16"/>
      <w:szCs w:val="16"/>
      <w:lang w:val="es-ES" w:eastAsia="en-US"/>
    </w:rPr>
  </w:style>
  <w:style w:type="paragraph" w:customStyle="1" w:styleId="Bullet1">
    <w:name w:val="Bullet 1"/>
    <w:basedOn w:val="Normal"/>
    <w:qFormat/>
    <w:rsid w:val="00BF2A7B"/>
    <w:pPr>
      <w:numPr>
        <w:numId w:val="17"/>
      </w:numPr>
      <w:spacing w:after="120"/>
      <w:ind w:right="1264"/>
      <w:jc w:val="both"/>
    </w:pPr>
  </w:style>
  <w:style w:type="paragraph" w:customStyle="1" w:styleId="Bullet2">
    <w:name w:val="Bullet 2"/>
    <w:basedOn w:val="Normal"/>
    <w:qFormat/>
    <w:rsid w:val="00BF2A7B"/>
    <w:pPr>
      <w:numPr>
        <w:numId w:val="18"/>
      </w:numPr>
      <w:spacing w:after="120"/>
      <w:ind w:right="1264"/>
      <w:jc w:val="both"/>
    </w:pPr>
  </w:style>
  <w:style w:type="paragraph" w:customStyle="1" w:styleId="Bullet3">
    <w:name w:val="Bullet 3"/>
    <w:basedOn w:val="SingleTxt"/>
    <w:qFormat/>
    <w:rsid w:val="00BF2A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F2A7B"/>
    <w:pPr>
      <w:spacing w:line="240" w:lineRule="auto"/>
    </w:pPr>
    <w:rPr>
      <w:b/>
      <w:bCs/>
      <w:color w:val="4F81BD"/>
      <w:sz w:val="18"/>
      <w:szCs w:val="18"/>
    </w:rPr>
  </w:style>
  <w:style w:type="character" w:styleId="CommentReference">
    <w:name w:val="annotation reference"/>
    <w:semiHidden/>
    <w:rsid w:val="00BF2A7B"/>
    <w:rPr>
      <w:sz w:val="6"/>
    </w:rPr>
  </w:style>
  <w:style w:type="paragraph" w:customStyle="1" w:styleId="Distribution">
    <w:name w:val="Distribution"/>
    <w:next w:val="Normal"/>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F2A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F2A7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F2A7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F2A7B"/>
    <w:pPr>
      <w:spacing w:after="80"/>
    </w:pPr>
  </w:style>
  <w:style w:type="character" w:customStyle="1" w:styleId="EndnoteTextChar">
    <w:name w:val="Endnote Text Char"/>
    <w:basedOn w:val="DefaultParagraphFont"/>
    <w:link w:val="EndnoteText"/>
    <w:semiHidden/>
    <w:rsid w:val="00BF2A7B"/>
    <w:rPr>
      <w:rFonts w:ascii="Times New Roman" w:eastAsiaTheme="minorHAnsi" w:hAnsi="Times New Roman" w:cs="Times New Roman"/>
      <w:spacing w:val="5"/>
      <w:w w:val="104"/>
      <w:sz w:val="17"/>
      <w:lang w:val="es-ES" w:eastAsia="en-US"/>
    </w:rPr>
  </w:style>
  <w:style w:type="paragraph" w:styleId="Footer">
    <w:name w:val="footer"/>
    <w:link w:val="FooterChar"/>
    <w:qFormat/>
    <w:rsid w:val="00BF2A7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F2A7B"/>
    <w:rPr>
      <w:rFonts w:ascii="Times New Roman" w:eastAsiaTheme="minorHAnsi" w:hAnsi="Times New Roman" w:cs="Times New Roman"/>
      <w:b/>
      <w:noProof/>
      <w:sz w:val="17"/>
      <w:lang w:val="en-US" w:eastAsia="en-US"/>
    </w:rPr>
  </w:style>
  <w:style w:type="character" w:styleId="FootnoteReference">
    <w:name w:val="footnote reference"/>
    <w:semiHidden/>
    <w:rsid w:val="00BF2A7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F2A7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F2A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F2A7B"/>
    <w:pPr>
      <w:spacing w:before="240"/>
    </w:pPr>
    <w:rPr>
      <w:b/>
      <w:spacing w:val="-2"/>
      <w:w w:val="100"/>
    </w:rPr>
  </w:style>
  <w:style w:type="paragraph" w:customStyle="1" w:styleId="HdChapterBdLg">
    <w:name w:val="Hd Chapter Bd Lg"/>
    <w:basedOn w:val="HdChapterBD"/>
    <w:next w:val="Normal"/>
    <w:qFormat/>
    <w:rsid w:val="00BF2A7B"/>
    <w:rPr>
      <w:spacing w:val="-3"/>
      <w:w w:val="99"/>
      <w:kern w:val="14"/>
      <w:sz w:val="34"/>
      <w:szCs w:val="34"/>
    </w:rPr>
  </w:style>
  <w:style w:type="paragraph" w:styleId="Header">
    <w:name w:val="header"/>
    <w:link w:val="HeaderChar"/>
    <w:qFormat/>
    <w:rsid w:val="00BF2A7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F2A7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F2A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F2A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F2A7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F2A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F2A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F2A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F2A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F2A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F2A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F2A7B"/>
    <w:pPr>
      <w:keepNext/>
      <w:spacing w:before="190" w:line="270" w:lineRule="exact"/>
    </w:pPr>
    <w:rPr>
      <w:b/>
      <w:kern w:val="14"/>
      <w:sz w:val="24"/>
    </w:rPr>
  </w:style>
  <w:style w:type="paragraph" w:customStyle="1" w:styleId="JournalHeading2">
    <w:name w:val="Journal_Heading2"/>
    <w:basedOn w:val="Normal"/>
    <w:next w:val="Normal"/>
    <w:qFormat/>
    <w:rsid w:val="00BF2A7B"/>
    <w:pPr>
      <w:keepNext/>
      <w:keepLines/>
      <w:spacing w:before="240"/>
      <w:outlineLvl w:val="1"/>
    </w:pPr>
    <w:rPr>
      <w:b/>
      <w:spacing w:val="2"/>
      <w:kern w:val="14"/>
    </w:rPr>
  </w:style>
  <w:style w:type="paragraph" w:customStyle="1" w:styleId="JournalHeading4">
    <w:name w:val="Journal_Heading4"/>
    <w:basedOn w:val="Normal"/>
    <w:next w:val="Normal"/>
    <w:qFormat/>
    <w:rsid w:val="00BF2A7B"/>
    <w:pPr>
      <w:keepNext/>
      <w:keepLines/>
      <w:spacing w:before="240"/>
      <w:outlineLvl w:val="3"/>
    </w:pPr>
    <w:rPr>
      <w:i/>
      <w:kern w:val="14"/>
    </w:rPr>
  </w:style>
  <w:style w:type="character" w:styleId="LineNumber">
    <w:name w:val="line number"/>
    <w:qFormat/>
    <w:rsid w:val="00BF2A7B"/>
    <w:rPr>
      <w:sz w:val="14"/>
    </w:rPr>
  </w:style>
  <w:style w:type="paragraph" w:styleId="NoSpacing">
    <w:name w:val="No Spacing"/>
    <w:basedOn w:val="Normal"/>
    <w:uiPriority w:val="1"/>
    <w:rsid w:val="00BF2A7B"/>
    <w:pPr>
      <w:spacing w:line="240" w:lineRule="auto"/>
    </w:pPr>
  </w:style>
  <w:style w:type="paragraph" w:customStyle="1" w:styleId="NormalBullet">
    <w:name w:val="Normal Bullet"/>
    <w:basedOn w:val="Normal"/>
    <w:next w:val="Normal"/>
    <w:qFormat/>
    <w:rsid w:val="00BF2A7B"/>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F2A7B"/>
    <w:pPr>
      <w:tabs>
        <w:tab w:val="left" w:leader="dot" w:pos="2218"/>
        <w:tab w:val="left" w:pos="2707"/>
        <w:tab w:val="right" w:leader="dot" w:pos="9835"/>
      </w:tabs>
    </w:pPr>
    <w:rPr>
      <w:kern w:val="14"/>
    </w:rPr>
  </w:style>
  <w:style w:type="paragraph" w:customStyle="1" w:styleId="Original">
    <w:name w:val="Original"/>
    <w:next w:val="Normal"/>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F2A7B"/>
    <w:pPr>
      <w:tabs>
        <w:tab w:val="right" w:pos="9965"/>
      </w:tabs>
      <w:spacing w:line="210" w:lineRule="exact"/>
    </w:pPr>
    <w:rPr>
      <w:spacing w:val="5"/>
      <w:w w:val="104"/>
      <w:kern w:val="14"/>
      <w:sz w:val="17"/>
    </w:rPr>
  </w:style>
  <w:style w:type="paragraph" w:customStyle="1" w:styleId="SmallX">
    <w:name w:val="SmallX"/>
    <w:basedOn w:val="Small"/>
    <w:next w:val="Normal"/>
    <w:qFormat/>
    <w:rsid w:val="00BF2A7B"/>
    <w:pPr>
      <w:spacing w:line="180" w:lineRule="exact"/>
      <w:jc w:val="right"/>
    </w:pPr>
    <w:rPr>
      <w:spacing w:val="6"/>
      <w:w w:val="106"/>
      <w:sz w:val="14"/>
    </w:rPr>
  </w:style>
  <w:style w:type="paragraph" w:customStyle="1" w:styleId="TitleHCH">
    <w:name w:val="Title_H_CH"/>
    <w:basedOn w:val="HCh"/>
    <w:next w:val="SingleTxt"/>
    <w:qFormat/>
    <w:rsid w:val="00BF2A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F2A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F2A7B"/>
    <w:pPr>
      <w:outlineLvl w:val="9"/>
    </w:pPr>
    <w:rPr>
      <w:rFonts w:eastAsiaTheme="majorEastAsia" w:cstheme="majorBidi"/>
      <w:lang w:bidi="en-US"/>
    </w:rPr>
  </w:style>
  <w:style w:type="paragraph" w:customStyle="1" w:styleId="XLarge">
    <w:name w:val="XLarge"/>
    <w:basedOn w:val="HM"/>
    <w:qFormat/>
    <w:rsid w:val="00BF2A7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34E12"/>
    <w:pPr>
      <w:spacing w:line="240" w:lineRule="auto"/>
    </w:pPr>
    <w:rPr>
      <w:szCs w:val="20"/>
    </w:rPr>
  </w:style>
  <w:style w:type="character" w:customStyle="1" w:styleId="CommentTextChar">
    <w:name w:val="Comment Text Char"/>
    <w:basedOn w:val="DefaultParagraphFont"/>
    <w:link w:val="CommentText"/>
    <w:uiPriority w:val="99"/>
    <w:semiHidden/>
    <w:rsid w:val="00F34E1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34E12"/>
    <w:rPr>
      <w:b/>
      <w:bCs/>
    </w:rPr>
  </w:style>
  <w:style w:type="character" w:customStyle="1" w:styleId="CommentSubjectChar">
    <w:name w:val="Comment Subject Char"/>
    <w:basedOn w:val="CommentTextChar"/>
    <w:link w:val="CommentSubject"/>
    <w:uiPriority w:val="99"/>
    <w:semiHidden/>
    <w:rsid w:val="00F34E12"/>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BA765B"/>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1102AA"/>
    <w:rPr>
      <w:color w:val="0000FF"/>
      <w:u w:val="none"/>
    </w:rPr>
  </w:style>
  <w:style w:type="character" w:styleId="FollowedHyperlink">
    <w:name w:val="FollowedHyperlink"/>
    <w:basedOn w:val="DefaultParagraphFont"/>
    <w:uiPriority w:val="99"/>
    <w:semiHidden/>
    <w:unhideWhenUsed/>
    <w:rsid w:val="001102AA"/>
    <w:rPr>
      <w:color w:val="0000FF"/>
      <w:u w:val="none"/>
    </w:rPr>
  </w:style>
  <w:style w:type="character" w:styleId="UnresolvedMention">
    <w:name w:val="Unresolved Mention"/>
    <w:basedOn w:val="DefaultParagraphFont"/>
    <w:uiPriority w:val="99"/>
    <w:semiHidden/>
    <w:unhideWhenUsed/>
    <w:rsid w:val="00110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PV/9" TargetMode="External"/><Relationship Id="rId26" Type="http://schemas.openxmlformats.org/officeDocument/2006/relationships/hyperlink" Target="https://undocs.org//CEDAW/C/CIV/Q/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CEDAW/C/GUY/9" TargetMode="External"/><Relationship Id="rId34" Type="http://schemas.openxmlformats.org/officeDocument/2006/relationships/hyperlink" Target="https://undocs.org//CEDAW/C/COD/Q/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AUT/9" TargetMode="External"/><Relationship Id="rId25" Type="http://schemas.openxmlformats.org/officeDocument/2006/relationships/hyperlink" Target="https://undocs.org//CEDAW/C/CPV/Q/9" TargetMode="External"/><Relationship Id="rId33" Type="http://schemas.openxmlformats.org/officeDocument/2006/relationships/hyperlink" Target="https://undocs.org//CEDAW/C/CIV/Q/4/Add.1" TargetMode="External"/><Relationship Id="rId38" Type="http://schemas.openxmlformats.org/officeDocument/2006/relationships/hyperlink" Target="https://undocs.org//CEDAW/C/74/1" TargetMode="External"/><Relationship Id="rId2" Type="http://schemas.openxmlformats.org/officeDocument/2006/relationships/styles" Target="styles.xml"/><Relationship Id="rId16" Type="http://schemas.openxmlformats.org/officeDocument/2006/relationships/hyperlink" Target="https://undocs.org//CEDAW/C/PSWG/73/1" TargetMode="External"/><Relationship Id="rId20" Type="http://schemas.openxmlformats.org/officeDocument/2006/relationships/hyperlink" Target="https://undocs.org//CEDAW/C/COD/8" TargetMode="External"/><Relationship Id="rId29" Type="http://schemas.openxmlformats.org/officeDocument/2006/relationships/hyperlink" Target="https://undocs.org//CEDAW/C/MOZ/Q/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AUT/Q/9" TargetMode="External"/><Relationship Id="rId32" Type="http://schemas.openxmlformats.org/officeDocument/2006/relationships/hyperlink" Target="https://undocs.org//CEDAW/C/CPV/Q/9/Add.1" TargetMode="External"/><Relationship Id="rId37" Type="http://schemas.openxmlformats.org/officeDocument/2006/relationships/hyperlink" Target="https://undocs.org//CEDAW/C/QAT/Q/2/Add.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73/1" TargetMode="External"/><Relationship Id="rId23" Type="http://schemas.openxmlformats.org/officeDocument/2006/relationships/hyperlink" Target="https://undocs.org//CEDAW/C/QAT/2" TargetMode="External"/><Relationship Id="rId28" Type="http://schemas.openxmlformats.org/officeDocument/2006/relationships/hyperlink" Target="https://undocs.org//CEDAW/C/GUY/Q/9" TargetMode="External"/><Relationship Id="rId36" Type="http://schemas.openxmlformats.org/officeDocument/2006/relationships/hyperlink" Target="https://undocs.org//CEDAW/C/MOZ/Q/3-5/Add.1" TargetMode="External"/><Relationship Id="rId10" Type="http://schemas.openxmlformats.org/officeDocument/2006/relationships/footer" Target="footer2.xml"/><Relationship Id="rId19" Type="http://schemas.openxmlformats.org/officeDocument/2006/relationships/hyperlink" Target="https://undocs.org//CEDAW/C/CIV/4" TargetMode="External"/><Relationship Id="rId31" Type="http://schemas.openxmlformats.org/officeDocument/2006/relationships/hyperlink" Target="https://undocs.org//CEDAW/C/AUT/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MOZ/3-5" TargetMode="External"/><Relationship Id="rId27" Type="http://schemas.openxmlformats.org/officeDocument/2006/relationships/hyperlink" Target="https://undocs.org//CEDAW/C/COD/Q/8" TargetMode="External"/><Relationship Id="rId30" Type="http://schemas.openxmlformats.org/officeDocument/2006/relationships/hyperlink" Target="https://undocs.org//CEDAW/C/QAT/Q/2" TargetMode="External"/><Relationship Id="rId35" Type="http://schemas.openxmlformats.org/officeDocument/2006/relationships/hyperlink" Target="https://undocs.org//CEDAW/C/GUY/Q/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Fernando Alvarez-Araujo</cp:lastModifiedBy>
  <cp:revision>2</cp:revision>
  <dcterms:created xsi:type="dcterms:W3CDTF">2019-05-16T22:34:00Z</dcterms:created>
  <dcterms:modified xsi:type="dcterms:W3CDTF">2019-05-16T22:34:00Z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1907306</vt:lpwstr>
  </property>
  <property fmtid="{D5CDD505-2E9C-101B-9397-08002B2CF9AE}" pid="3" name="ODSRefJobNo">
    <vt:lpwstr>1913005</vt:lpwstr>
  </property>
  <property fmtid="{D5CDD505-2E9C-101B-9397-08002B2CF9AE}" pid="4" name="Symbol1">
    <vt:lpwstr>CEDAW/C/73/1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1907306.MC.EDT.docx</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Mercedes Calabozo</vt:lpwstr>
  </property>
  <property fmtid="{D5CDD505-2E9C-101B-9397-08002B2CF9AE}" pid="12" name="Original">
    <vt:lpwstr>español, francés e inglés únicamente</vt:lpwstr>
  </property>
  <property fmtid="{D5CDD505-2E9C-101B-9397-08002B2CF9AE}" pid="13" name="Release Date">
    <vt:lpwstr>080519</vt:lpwstr>
  </property>
  <property fmtid="{D5CDD505-2E9C-101B-9397-08002B2CF9AE}" pid="14" name="Session">
    <vt:lpwstr>Septuagésimo tercer período de sesiones_x000d_</vt:lpwstr>
  </property>
  <property fmtid="{D5CDD505-2E9C-101B-9397-08002B2CF9AE}" pid="15" name="Agenda">
    <vt:lpwstr>Tema 2 del programa provisional_x000d_</vt:lpwstr>
  </property>
  <property fmtid="{D5CDD505-2E9C-101B-9397-08002B2CF9AE}" pid="16" name="Agenda Title1">
    <vt:lpwstr>Aprobación del programa y organización de los trabajos_x000d_</vt:lpwstr>
  </property>
  <property fmtid="{D5CDD505-2E9C-101B-9397-08002B2CF9AE}" pid="17" name="Title1">
    <vt:lpwstr>		Programa provisional anotado_x000d_</vt:lpwstr>
  </property>
  <property fmtid="{D5CDD505-2E9C-101B-9397-08002B2CF9AE}" pid="18" name="Title2">
    <vt:lpwstr>		Programa provisional_x000d_</vt:lpwstr>
  </property>
</Properties>
</file>