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632ª sesión</w:t>
      </w:r>
    </w:p>
    <w:p w:rsidR="00000000" w:rsidRDefault="00000000">
      <w:r>
        <w:t>Celebrada en la Sede, Nueva York, el miércoles 14 de enero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18 de la Convención (</w:t>
      </w:r>
      <w:r>
        <w:rPr>
          <w:i/>
        </w:rPr>
        <w:t>continuación</w:t>
      </w:r>
      <w:r>
        <w:t xml:space="preserve">) </w:t>
      </w:r>
    </w:p>
    <w:p w:rsidR="00000000" w:rsidRDefault="00000000">
      <w:pPr>
        <w:pStyle w:val="SingleTxt"/>
        <w:rPr>
          <w:i/>
        </w:rPr>
      </w:pPr>
      <w:r>
        <w:tab/>
      </w:r>
      <w:r>
        <w:rPr>
          <w:i/>
        </w:rPr>
        <w:t>Segundo informe periódico de Kirguistán</w:t>
      </w:r>
    </w:p>
    <w:p w:rsidR="00000000" w:rsidRDefault="00000000">
      <w:pPr>
        <w:pStyle w:val="SingleTxt"/>
        <w:spacing w:after="0" w:line="120" w:lineRule="exact"/>
        <w:rPr>
          <w:sz w:val="10"/>
        </w:rPr>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Examen de los informes presentados por los Estados partes en virtud del artículo 18 de la Convención </w:t>
      </w:r>
      <w:r>
        <w:rPr>
          <w:b w:val="0"/>
        </w:rPr>
        <w:t>(</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360" w:hanging="360"/>
        <w:rPr>
          <w:i w:val="0"/>
        </w:rPr>
      </w:pPr>
      <w:r>
        <w:tab/>
      </w:r>
      <w:r>
        <w:tab/>
        <w:t>Segundo informe periódico de Kirguistán</w:t>
      </w:r>
      <w:r>
        <w:rPr>
          <w:i w:val="0"/>
        </w:rPr>
        <w:t xml:space="preserve"> </w:t>
      </w:r>
      <w:r>
        <w:rPr>
          <w:i w:val="0"/>
        </w:rPr>
        <w:tab/>
        <w:t>(CEDAW/C/KGZ/2)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invitación de la Presidenta, Sra. Alysheva, el Sr. Baialinov, la Sra. Kangeldieva, la Sra. Kourbanova y la Sra. Kudaiberdieva (Kirguistán) toman asiento como participantes a la mesa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Kangeldieva</w:t>
      </w:r>
      <w:r>
        <w:t xml:space="preserve"> (Kirguistán) dice que Ki</w:t>
      </w:r>
      <w:r>
        <w:t>r</w:t>
      </w:r>
      <w:r>
        <w:t>guistán se adhirió a la Convención en marzo de 1996. Su segundo informe periódico data de septiembre de 2002, por lo que en su presentación facilitará inform</w:t>
      </w:r>
      <w:r>
        <w:t>a</w:t>
      </w:r>
      <w:r>
        <w:t>ción sobre los cambios sobrevenidos desde entonces. Desde su constitución como Estado soberano, Kirgui</w:t>
      </w:r>
      <w:r>
        <w:t>s</w:t>
      </w:r>
      <w:r>
        <w:t>tán se ha adentrado en la senda democrática y ha trat</w:t>
      </w:r>
      <w:r>
        <w:t>a</w:t>
      </w:r>
      <w:r>
        <w:t>do de erigir sus instituciones, consolidar la sociedad civil y fomentar una mentalidad basada en el consenso político. El país goza de estabilidad política y armonía étnica. Hay 43 partidos políticos, ocho de los cuales están representados en el Zhogorku Kenesh (Parl</w:t>
      </w:r>
      <w:r>
        <w:t>a</w:t>
      </w:r>
      <w:r>
        <w:t>mento). Existe un número superior a 9.000 organiz</w:t>
      </w:r>
      <w:r>
        <w:t>a</w:t>
      </w:r>
      <w:r>
        <w:t>ciones no gubernamentales y el 80% de los medios de comunic</w:t>
      </w:r>
      <w:r>
        <w:t>a</w:t>
      </w:r>
      <w:r>
        <w:t>ción no pertenecen al sector estatal.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Presidente, Askar Akayev, ha promovido los ideales de “Kirguistán, nuestro hogar común” y “Ki</w:t>
      </w:r>
      <w:r>
        <w:t>r</w:t>
      </w:r>
      <w:r>
        <w:t>guistán, país de derechos humanos” como fuerzas complementarias que sustentan la sociedad multiétnica del país. Se ha creado un Consejo Público de Garantías Democráticas y en septiembre de 2003 se aprobó un nuevo Código democrático que ha consagrado los pri</w:t>
      </w:r>
      <w:r>
        <w:t>n</w:t>
      </w:r>
      <w:r>
        <w:t>cipios generales de los derechos humanos y las libert</w:t>
      </w:r>
      <w:r>
        <w:t>a</w:t>
      </w:r>
      <w:r>
        <w:t>des, así como la igualdad entre los sexos.</w:t>
      </w:r>
    </w:p>
    <w:p w:rsidR="00000000" w:rsidRDefault="00000000">
      <w:pPr>
        <w:pStyle w:val="DualTxt"/>
        <w:numPr>
          <w:ilvl w:val="0"/>
          <w:numId w:val="2"/>
        </w:numPr>
        <w:tabs>
          <w:tab w:val="clear" w:pos="960"/>
          <w:tab w:val="left" w:pos="475"/>
          <w:tab w:val="left" w:pos="965"/>
        </w:tabs>
      </w:pPr>
      <w:r>
        <w:t>Desde la presentación del segundo informe peri</w:t>
      </w:r>
      <w:r>
        <w:t>ó</w:t>
      </w:r>
      <w:r>
        <w:t>dico, el principal logro ha sido la consolidación del fundamento jurídico y el mecanismo para mejorar la situación de la mujer. Kirguistán ha firmado más de 30 convenciones internacionales en materia de der</w:t>
      </w:r>
      <w:r>
        <w:t>e</w:t>
      </w:r>
      <w:r>
        <w:t>chos humanos, en particular el Protocolo Facultativo de la Convención sobre la eliminación de todas las formas de discriminación contra la mujer en 2002. En virtud de un decreto presidencial de fecha 2 de enero de 2002, se aprobó un programa nacional de derechos humanos para el período 2002-2010. Su plan de aplic</w:t>
      </w:r>
      <w:r>
        <w:t>a</w:t>
      </w:r>
      <w:r>
        <w:t>ción prevé la consideración de la responsabilidad penal de los funcionarios que acosan a sus subordinadas, el acceso de la mujer a un recurso jurídico equitativo en relación con la investigación y el enjuiciamiento de los delitos de violencia ejercida contra ella (incluida la violencia doméstica), la recopilación de todas las est</w:t>
      </w:r>
      <w:r>
        <w:t>a</w:t>
      </w:r>
      <w:r>
        <w:t>dística disponibles sobre violencia doméstica, el est</w:t>
      </w:r>
      <w:r>
        <w:t>a</w:t>
      </w:r>
      <w:r>
        <w:t>blecimiento de una cooperación internacional para combatir todas las formas de trata de mujeres y niños (incluida la trata a efectos de explotación sexual, po</w:t>
      </w:r>
      <w:r>
        <w:t>r</w:t>
      </w:r>
      <w:r>
        <w:t>nografía, prostitución y turismo sexual) y la prestación de asistencia l</w:t>
      </w:r>
      <w:r>
        <w:t>e</w:t>
      </w:r>
      <w:r>
        <w:t>trada a las víctimas.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marzo de 2003 se aprobó una Ley nacional relativa a las garantías estatales para asegurar la igua</w:t>
      </w:r>
      <w:r>
        <w:t>l</w:t>
      </w:r>
      <w:r>
        <w:t>dad entre los sexos. Trata de garantizar la igualdad de derechos y oportunidades en los ámbitos social, polít</w:t>
      </w:r>
      <w:r>
        <w:t>i</w:t>
      </w:r>
      <w:r>
        <w:t>co, económico y cultural, entre otros, y proteger tanto al hombre como a la mujer frente a la discriminación sexista. De su aplicación se encarga actualmente el Consejo Nacional sobre asuntos de la mujer, la familia y el desarrollo de la perspectiva de género, que ha el</w:t>
      </w:r>
      <w:r>
        <w:t>a</w:t>
      </w:r>
      <w:r>
        <w:t>borado métodos para realizar un análisis de género de los proyectos de ley y los programas en los planos n</w:t>
      </w:r>
      <w:r>
        <w:t>a</w:t>
      </w:r>
      <w:r>
        <w:t>ci</w:t>
      </w:r>
      <w:r>
        <w:t>o</w:t>
      </w:r>
      <w:r>
        <w:t>nal, regional y local.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ese mismo mes, se aprobó una Ley nacional sobre la protección social y jurídica frente a la viole</w:t>
      </w:r>
      <w:r>
        <w:t>n</w:t>
      </w:r>
      <w:r>
        <w:t>cia en el seno familiar, que ofrece a las víctimas de la violencia doméstica una protección social y jurídica, además de establecer medidas preventivas. Es la prim</w:t>
      </w:r>
      <w:r>
        <w:t>e</w:t>
      </w:r>
      <w:r>
        <w:t>ra ley nacional que se aprueba por iniciativa popular en virtud del artículo 64 de la Constitución de Kirguistán, para lo cual se requieren más de 30.000 firmas. Se está poniendo en práctica mediante la impartición de órd</w:t>
      </w:r>
      <w:r>
        <w:t>e</w:t>
      </w:r>
      <w:r>
        <w:t>nes de protección de carácter transitorio y judicial y la elaboración de métodos para hacerlas cumplir. El M</w:t>
      </w:r>
      <w:r>
        <w:t>i</w:t>
      </w:r>
      <w:r>
        <w:t>nisterio del Interior y el Comité Nacional de Estadíst</w:t>
      </w:r>
      <w:r>
        <w:t>i</w:t>
      </w:r>
      <w:r>
        <w:t>ca están recopilando datos sobre la violencia doméstica desglosados por sexo.</w:t>
      </w:r>
    </w:p>
    <w:p w:rsidR="00000000" w:rsidRDefault="00000000">
      <w:pPr>
        <w:pStyle w:val="DualTxt"/>
        <w:numPr>
          <w:ilvl w:val="0"/>
          <w:numId w:val="2"/>
        </w:numPr>
        <w:tabs>
          <w:tab w:val="clear" w:pos="960"/>
          <w:tab w:val="left" w:pos="475"/>
          <w:tab w:val="left" w:pos="965"/>
        </w:tabs>
      </w:pPr>
      <w:r>
        <w:t>La orientación estratégica de la política en mat</w:t>
      </w:r>
      <w:r>
        <w:t>e</w:t>
      </w:r>
      <w:r>
        <w:t>ria de género fue dictada por el Plan Nacional de A</w:t>
      </w:r>
      <w:r>
        <w:t>c</w:t>
      </w:r>
      <w:r>
        <w:t>ción en pro del logro de la igualdad entre los géneros en el período 2002-2006, elaborado por el Consejo N</w:t>
      </w:r>
      <w:r>
        <w:t>a</w:t>
      </w:r>
      <w:r>
        <w:t>cional sobre asuntos de la mujer, la familia y el des</w:t>
      </w:r>
      <w:r>
        <w:t>a</w:t>
      </w:r>
      <w:r>
        <w:t>rrollo de la perspectiva de género en el marco de la Plataforma de Acción de Beijing. El Plan de Acción Nacional prevé mejores medidas para establecer la igualdad entre los sexos y mantener un equilibrio de género en todos los niveles de la adopción de decisi</w:t>
      </w:r>
      <w:r>
        <w:t>o</w:t>
      </w:r>
      <w:r>
        <w:t>nes, un componente de género en el cálculo del des</w:t>
      </w:r>
      <w:r>
        <w:t>a</w:t>
      </w:r>
      <w:r>
        <w:t>rrollo económico, la consideración de las cuestiones de género en la atención de la salud, la igualdad entre los sexos en la educación y la cultura y la reducción de t</w:t>
      </w:r>
      <w:r>
        <w:t>o</w:t>
      </w:r>
      <w:r>
        <w:t>das las formas de violencia contra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procederá a su aplicación en todos los minist</w:t>
      </w:r>
      <w:r>
        <w:t>e</w:t>
      </w:r>
      <w:r>
        <w:t>rios, departamentos gubernamentales, comités y aut</w:t>
      </w:r>
      <w:r>
        <w:t>o</w:t>
      </w:r>
      <w:r>
        <w:t>ridades regionales y municipales. El Consejo nacional sobre asuntos de la mujer, la familia y el desarrollo de la perspectiva de género está organizando cursos de formación, seminarios, mesas redondas y conferencias con representantes de todos los organismos gubern</w:t>
      </w:r>
      <w:r>
        <w:t>a</w:t>
      </w:r>
      <w:r>
        <w:t>mentales y no gubernamentales con objeto de prom</w:t>
      </w:r>
      <w:r>
        <w:t>o</w:t>
      </w:r>
      <w:r>
        <w:t>ver la sensibilización y sobre el Plan de Acción Naci</w:t>
      </w:r>
      <w:r>
        <w:t>o</w:t>
      </w:r>
      <w:r>
        <w:t>nal y su aplicación.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aumento de la representación de la mujer en las autoridades estatales y los órganos de adopción de decisiones constituye una prioridad. Aunque la mujer representa el 52% del electorado, está escasamente r</w:t>
      </w:r>
      <w:r>
        <w:t>e</w:t>
      </w:r>
      <w:r>
        <w:t>presentada en la vida política, especialmente en el pl</w:t>
      </w:r>
      <w:r>
        <w:t>a</w:t>
      </w:r>
      <w:r>
        <w:t>no nacional. Un decreto presidencial promulgado en agosto de 2002, relativo a la mejora ulterior del marco político para contratar a mujeres directivas en la adm</w:t>
      </w:r>
      <w:r>
        <w:t>i</w:t>
      </w:r>
      <w:r>
        <w:t>nistración estatal, prevé un planteamiento equilibrado para atraer a hombres y mujeres a la función pública. La Ley relativa a las garantías estatales para asegurar la igualdad entre los sexos ha introducido cuotas de género que limitan los nombramientos en el Trib</w:t>
      </w:r>
      <w:r>
        <w:t>u</w:t>
      </w:r>
      <w:r>
        <w:t>nal Constitucional, el Tribunal Supremo, la Comisión Central para celebrar elecciones y referendos y la C</w:t>
      </w:r>
      <w:r>
        <w:t>á</w:t>
      </w:r>
      <w:r>
        <w:t>mara de Contabilidad a un máximo del 70% de cada sexo.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sistema de partidos políticos, aún no pl</w:t>
      </w:r>
      <w:r>
        <w:t>e</w:t>
      </w:r>
      <w:r>
        <w:t>namente desarrollado, las mujeres están insuficient</w:t>
      </w:r>
      <w:r>
        <w:t>e</w:t>
      </w:r>
      <w:r>
        <w:t>mente representadas, liderando 5 de los 43 partidos inscritos. Las mujeres están presentes en los órganos rectores de sólo la mitad, aproximadamente, de dichos partidos. Ninguno de los partidos ve a la mujer como una fuerza política con iniciativa y una capacidad i</w:t>
      </w:r>
      <w:r>
        <w:t>n</w:t>
      </w:r>
      <w:r>
        <w:t>dependiente de actuación. La igualdad de derechos de la mujer en el mercado laboral y el empleo está regul</w:t>
      </w:r>
      <w:r>
        <w:t>a</w:t>
      </w:r>
      <w:r>
        <w:t>da por el Código del Trabajo, la Ley de protección l</w:t>
      </w:r>
      <w:r>
        <w:t>a</w:t>
      </w:r>
      <w:r>
        <w:t>boral y la Ley de promoción del empleo. Las mujeres copan el 43,2% del empleo remunerado, pero perciben el 63,1% del sueldo masculino. Persisten las pautas tradicionales de empleo para el hombre y la mujer y ésta suele ocupar cargos mal remunerados. El trabajo realizado en el hogar es reconocido como empleo s</w:t>
      </w:r>
      <w:r>
        <w:t>o</w:t>
      </w:r>
      <w:r>
        <w:t>cial o industrial, pero las tareas domésticas y las lab</w:t>
      </w:r>
      <w:r>
        <w:t>o</w:t>
      </w:r>
      <w:r>
        <w:t>res agrícolas no remuneradas se excluyen del producto nacional bruto y no ofrecen derechos de pensión ni ventajas en materia de empleo.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Constitución, la legislación nacional y la r</w:t>
      </w:r>
      <w:r>
        <w:t>e</w:t>
      </w:r>
      <w:r>
        <w:t>glamentación que rigen las instituciones educativas establecen la igualdad de derechos en la educación, con independencia del sexo. El nivel de educación de las mujeres es ligeramente superior al de los hombres. En el plan nacional de acción relativo a la “educación para todos”, aprobado el 30 de julio de 2002, el Gobierno garantizó a todos los niños, con independencia de su sexo, pero especialmente a las niñas, los niños vuln</w:t>
      </w:r>
      <w:r>
        <w:t>e</w:t>
      </w:r>
      <w:r>
        <w:t>rables y los niños pertenecientes a minorías étnicas, el acceso a una educación gratuita y obligatoria para 2015. La Constitución y la legislación nacional gara</w:t>
      </w:r>
      <w:r>
        <w:t>n</w:t>
      </w:r>
      <w:r>
        <w:t>tizan a hombres y mujeres la igualdad de derechos en la atención médica. La atención de la salud se financia con fondos procedentes del presupuesto nacional, el seguro médico obligatorio, los pagos personales y otras fuentes. Desde 2001, el Gobierno ha aprobado todos los años un programa de garantías estatales en materia de salud y asistencia médica que prevé una asistencia médica básica universal y gratuita. Lamentablemente, la financiación de ese programa de garantías estatales es esporádica e insuf</w:t>
      </w:r>
      <w:r>
        <w:t>i</w:t>
      </w:r>
      <w:r>
        <w:t>ciente.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programa de garantías estatales prevé que las mujeres han de recibir asistencia de emergencia gr</w:t>
      </w:r>
      <w:r>
        <w:t>a</w:t>
      </w:r>
      <w:r>
        <w:t>tuita y atención pre y posnatal. La atención prenatal i</w:t>
      </w:r>
      <w:r>
        <w:t>n</w:t>
      </w:r>
      <w:r>
        <w:t>cluye al 85% de las mujeres. El programa “Zhan-Enye” para el período 2003-2006 tiene como objetivo prestar asistencia durante el embarazo, el parto y después del parto, generalizar los métodos modernos de planific</w:t>
      </w:r>
      <w:r>
        <w:t>a</w:t>
      </w:r>
      <w:r>
        <w:t>ción familiar y mejorar el fundamento jurídico de la protección de madres y niños. El 26,6% de las mujeres tenía acceso a métodos anticonceptivos en 2002. En este mismo año, el número de abortos fue de 10,8 por cada 1.000 mujeres en edad fértil. Los abortos pueden ser practicados legalmente en instalaciones públicas y privadas autorizadas. La mortalidad de los niños men</w:t>
      </w:r>
      <w:r>
        <w:t>o</w:t>
      </w:r>
      <w:r>
        <w:t>res de 1 año de edad es de 21,2 por 1.000 nacidos vivos y registra una tendencia a la baja. No obstante, el m</w:t>
      </w:r>
      <w:r>
        <w:t>é</w:t>
      </w:r>
      <w:r>
        <w:t>todo de cómputo de los nacidos vivos y, por cons</w:t>
      </w:r>
      <w:r>
        <w:t>i</w:t>
      </w:r>
      <w:r>
        <w:t>guiente, el cálculo de la mortalidad infantil no se ajusta a las normas internacionales, lo que explica el nivel artificialmente bajo de las cifras. En 2004, Kirguistán introducirá los métodos recomendados por la Organ</w:t>
      </w:r>
      <w:r>
        <w:t>i</w:t>
      </w:r>
      <w:r>
        <w:t>zación Mundial de la Salud. La mortalidad materna s</w:t>
      </w:r>
      <w:r>
        <w:t>i</w:t>
      </w:r>
      <w:r>
        <w:t>gue siendo elevada y se cifra en 53,5 por cada 100.000 nacidos vivos.</w:t>
      </w:r>
    </w:p>
    <w:p w:rsidR="00000000" w:rsidRDefault="00000000">
      <w:pPr>
        <w:pStyle w:val="DualTxt"/>
        <w:numPr>
          <w:ilvl w:val="0"/>
          <w:numId w:val="2"/>
        </w:numPr>
        <w:tabs>
          <w:tab w:val="clear" w:pos="960"/>
          <w:tab w:val="left" w:pos="475"/>
          <w:tab w:val="left" w:pos="965"/>
        </w:tabs>
      </w:pPr>
      <w:r>
        <w:t>El número oficial de personas afectadas por el VIH/SIDA en Kirguistán era de 482 al 1° de diciembre de 2003. De esa cifra, 44 eran mujeres, siete de las cuales dieron a luz durante el período sobre el cual se informa. En 2001, el Gobierno aprobó el plan de apl</w:t>
      </w:r>
      <w:r>
        <w:t>i</w:t>
      </w:r>
      <w:r>
        <w:t>cación del programa estatal para la prevención del VIH/SIDA y de las enfermedades de transmisión s</w:t>
      </w:r>
      <w:r>
        <w:t>e</w:t>
      </w:r>
      <w:r>
        <w:t>xual e intravenosa durante el período 2001-2005, f</w:t>
      </w:r>
      <w:r>
        <w:t>i</w:t>
      </w:r>
      <w:r>
        <w:t>nanciado por el Programa Conjunto de las Naciones Unidas sobre el VIH/SIDA (ONUSIDA). El centro n</w:t>
      </w:r>
      <w:r>
        <w:t>a</w:t>
      </w:r>
      <w:r>
        <w:t>cional del SIDA también ha recibido financiación del Fondo Mundial de Lucha contra el SIDA, la Tuberc</w:t>
      </w:r>
      <w:r>
        <w:t>u</w:t>
      </w:r>
      <w:r>
        <w:t>losis y la Malaria.</w:t>
      </w:r>
    </w:p>
    <w:p w:rsidR="00000000" w:rsidRDefault="00000000">
      <w:pPr>
        <w:pStyle w:val="DualTxt"/>
        <w:numPr>
          <w:ilvl w:val="0"/>
          <w:numId w:val="2"/>
        </w:numPr>
        <w:tabs>
          <w:tab w:val="clear" w:pos="960"/>
          <w:tab w:val="left" w:pos="475"/>
          <w:tab w:val="left" w:pos="965"/>
        </w:tabs>
      </w:pPr>
      <w:r>
        <w:t>Los habitantes de las zonas rurales de Kirguistán representan el 65% de la población total, el 63,7% del cual son mujeres. Las tasas de pobreza son del 51% entre la población rural y del 41,2% entre la población urbana; las tasas de pobreza extrema son del 15,6% entre la población rural y del 9,6% entre la población urbana. No hay medidas especiales previstas para m</w:t>
      </w:r>
      <w:r>
        <w:t>e</w:t>
      </w:r>
      <w:r>
        <w:t>jorar la situación de las mujeres que viven en las zonas rurales, aunque el marco integral de desarrollo del país formulado por el Gobierno para el período que se e</w:t>
      </w:r>
      <w:r>
        <w:t>x</w:t>
      </w:r>
      <w:r>
        <w:t>tiende hasta 2010 prevé una serie de medidas para de</w:t>
      </w:r>
      <w:r>
        <w:t>s</w:t>
      </w:r>
      <w:r>
        <w:t>centralizar las funciones gubernamentales y mejorar el desarrollo social de las zonas rurales, así como la i</w:t>
      </w:r>
      <w:r>
        <w:t>n</w:t>
      </w:r>
      <w:r>
        <w:t>fraestructura física y el crecimiento económ</w:t>
      </w:r>
      <w:r>
        <w:t>i</w:t>
      </w:r>
      <w:r>
        <w:t>co.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estereotipos de género están profundamente arraigados y perduran sobre todo en el ámbito familiar. En 2002, se registraron 3.297 delitos contra la mujer, aunque las cifras relativas a la violencia doméstica distan mucho de reflejar la realidad, debido fund</w:t>
      </w:r>
      <w:r>
        <w:t>a</w:t>
      </w:r>
      <w:r>
        <w:t>mentalmente a que numerosas mujeres víctimas de esa violencia no informan a las fuerzas del orden de su s</w:t>
      </w:r>
      <w:r>
        <w:t>i</w:t>
      </w:r>
      <w:r>
        <w:t>tuación. Los centros de crisis declararon tratar entre 5.000 y 6.000 mujeres al año, la mitad de las cuales eran víctimas de la violencia doméstica. Las fuerzas del orden investigan todos los casos de robo de la n</w:t>
      </w:r>
      <w:r>
        <w:t>o</w:t>
      </w:r>
      <w:r>
        <w:t>via y poligamia denunciados. Así, hubo procesos p</w:t>
      </w:r>
      <w:r>
        <w:t>e</w:t>
      </w:r>
      <w:r>
        <w:t>nales por bigamia, por entablar relaciones maritales de hecho con personas que no tenían la edad mínima para contraer matrimonio y por matrimonio forzado. En 2001 y 2002, se llevó a cabo una campaña regional p</w:t>
      </w:r>
      <w:r>
        <w:t>a</w:t>
      </w:r>
      <w:r>
        <w:t>trocinada por el Fondo de Desarrollo de las Naciones Unidas para la Mujer (UNIFEM), cuyo lema era “Una vida sin violencia es nuestro derecho”, y el Consejo Nacional sobre asuntos de la mujer, la familia y el d</w:t>
      </w:r>
      <w:r>
        <w:t>e</w:t>
      </w:r>
      <w:r>
        <w:t>sarrollo de la perspectiva de género organizó un pr</w:t>
      </w:r>
      <w:r>
        <w:t>o</w:t>
      </w:r>
      <w:r>
        <w:t>grama de entrevistas en televisión que coincidió con la campaña mundial “Diez y seis días de activismo contra la violencia doméstica”. En colaboración con el UNIFEM, el Consejo Nacional llevó a cabo un pr</w:t>
      </w:r>
      <w:r>
        <w:t>o</w:t>
      </w:r>
      <w:r>
        <w:t>yecto titulado “En la senda de la no violencia”, en el que participaron representantes de los medios de comunicación.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trata de mujeres y niños constituye una am</w:t>
      </w:r>
      <w:r>
        <w:t>e</w:t>
      </w:r>
      <w:r>
        <w:t>naza cada vez mayor. Un decreto presidencial de 21 de abril de 2002 aprobó un programa de medidas para combatir la exportación ilegal de personas y la trata de éstas. En abril de 2003, se aprobó una ley destinada a ratificar el Protocolo para prevenir, reprimir y sanci</w:t>
      </w:r>
      <w:r>
        <w:t>o</w:t>
      </w:r>
      <w:r>
        <w:t>nar la trata de personas, especialmente mujeres y niños, y el Protocolo contra el tráfico ilícito de migrantes por tierra, mar y aire, así como para firmar la Convención Internacional sobre la Protección de los Derechos de Todos los Trabajadores Migratorios y de sus Fam</w:t>
      </w:r>
      <w:r>
        <w:t>i</w:t>
      </w:r>
      <w:r>
        <w:t>lias.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agosto de 2003, la ley que enmendaba y co</w:t>
      </w:r>
      <w:r>
        <w:t>m</w:t>
      </w:r>
      <w:r>
        <w:t>plementaba ciertos actos legislativos aumentó hasta 20 años de prisión las penas previstas para la trata de personas. Del 2 al 4 de diciembre de 2003, se celebró en Bishkek una conferencia regional sobre la lucha contra esa trata, con la asistencia de la Organización Internacional para las Migraciones (OIM). A ella asi</w:t>
      </w:r>
      <w:r>
        <w:t>s</w:t>
      </w:r>
      <w:r>
        <w:t>tieron representantes de todos los países de Asia ce</w:t>
      </w:r>
      <w:r>
        <w:t>n</w:t>
      </w:r>
      <w:r>
        <w:t>tral, de la Federación de Rusia y de Ucrania. Si bien Kirguistán ha realizado progresos en la aplicación de la Convención, aún le queda mucho por hacer. Entre los obstáculos que impiden la igualdad, cabe citar los cr</w:t>
      </w:r>
      <w:r>
        <w:t>e</w:t>
      </w:r>
      <w:r>
        <w:t>cientes niveles de pobreza y desempleo, el bajo nivel de asistencia social, la escasa participación en la ado</w:t>
      </w:r>
      <w:r>
        <w:t>p</w:t>
      </w:r>
      <w:r>
        <w:t>ción de decisiones, la deficiente situación de la salud de la mujer y el bajo nivel de sensibilización sobre los derechos de la mujer. La legislación también es su</w:t>
      </w:r>
      <w:r>
        <w:t>s</w:t>
      </w:r>
      <w:r>
        <w:t>ceptible de mejora.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Gaspard</w:t>
      </w:r>
      <w:r>
        <w:t xml:space="preserve"> considera positiva la introdu</w:t>
      </w:r>
      <w:r>
        <w:t>c</w:t>
      </w:r>
      <w:r>
        <w:t>ción de una nueva legislación para promover la igua</w:t>
      </w:r>
      <w:r>
        <w:t>l</w:t>
      </w:r>
      <w:r>
        <w:t>dad entre los géneros, aunque hay que examinar las r</w:t>
      </w:r>
      <w:r>
        <w:t>e</w:t>
      </w:r>
      <w:r>
        <w:t>percusiones de todos los actos legislativos. Se pregunta si el público es consciente de la nueva legislación, e</w:t>
      </w:r>
      <w:r>
        <w:t>s</w:t>
      </w:r>
      <w:r>
        <w:t>pecialmente la Ley sobre la protección social y jurídica contra la violencia familiar, propuesta por iniciativa popular. Para ofrecer un panorama más claro de la di</w:t>
      </w:r>
      <w:r>
        <w:t>s</w:t>
      </w:r>
      <w:r>
        <w:t>criminación existente, por ejemplo en el empleo y los sueldos, en el próximo informe periódico se han de f</w:t>
      </w:r>
      <w:r>
        <w:t>a</w:t>
      </w:r>
      <w:r>
        <w:t>cilitar datos desglosados por s</w:t>
      </w:r>
      <w:r>
        <w:t>e</w:t>
      </w:r>
      <w:r>
        <w:t>xo.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Pregunta si son obligatorias las cuotas que limitan a un máximo del 70% de representantes de cada sexo los nombramientos en el Tribunal Constitucional, el Tribunal Supremo, la Comisión Central para celebrar elecciones y referendos y la Cámara de Contabilidad, o si se trata más bien de incentivos. Por último, el pr</w:t>
      </w:r>
      <w:r>
        <w:t>ó</w:t>
      </w:r>
      <w:r>
        <w:t>ximo informe periódico debe indicar el porcentaje de hombres y mujeres en cada uno de los órganos estatales a que se refiere la legislación sobre garantías estatales para asegurar la igualdad entre los sexos.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Shin</w:t>
      </w:r>
      <w:r>
        <w:t xml:space="preserve"> pregunta cuánta publicidad ha dado el Gobierno a su ratificación de unos 30 convenios de derechos humanos, en particular la Convención sobre la eliminación de todas las formas de discriminación contra la mujer y su Protocolo Facultativo, así como las observaciones finales del Comité sobre el informe inicial de Kirguistán. Puesto que la representación de la mujer en la vida política parece insuficiente, se pr</w:t>
      </w:r>
      <w:r>
        <w:t>e</w:t>
      </w:r>
      <w:r>
        <w:t>gunta si el Gobierno contempla el recurso a medidas especiales transitorias en forma de cuotas para los ca</w:t>
      </w:r>
      <w:r>
        <w:t>r</w:t>
      </w:r>
      <w:r>
        <w:t>gos electos, no meramente los nombramientos inclu</w:t>
      </w:r>
      <w:r>
        <w:t>i</w:t>
      </w:r>
      <w:r>
        <w:t>dos en la cuota del 70% a que se refirió la Sra. Ga</w:t>
      </w:r>
      <w:r>
        <w:t>s</w:t>
      </w:r>
      <w:r>
        <w:t>pard. La existencia de una legislación para combatir la violencia doméstica es un hecho positivo, pero desea saber cómo se sanciona a los infractores. De igual m</w:t>
      </w:r>
      <w:r>
        <w:t>o</w:t>
      </w:r>
      <w:r>
        <w:t>do, se pregunta qué condenas resultaron de las invest</w:t>
      </w:r>
      <w:r>
        <w:t>i</w:t>
      </w:r>
      <w:r>
        <w:t>gaciones del robo de la novia, que en cualquier caso es un término inadecuado puesto que entraña de hecho el s</w:t>
      </w:r>
      <w:r>
        <w:t>e</w:t>
      </w:r>
      <w:r>
        <w:t>cuestro y la esclavitud.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Morvai</w:t>
      </w:r>
      <w:r>
        <w:t>, refiriéndose al plan de aplic</w:t>
      </w:r>
      <w:r>
        <w:t>a</w:t>
      </w:r>
      <w:r>
        <w:t>ción del programa nacional “Derechos humanos” para el período 2002-2010, que prevé el establecimiento de una cooperación internacional para combatir la trata de mujeres y niños, dice que el Gobierno de Kirguistán debe ser encomiado por situar ese fenómeno en el contexto más general de la explotación sexual y por r</w:t>
      </w:r>
      <w:r>
        <w:t>e</w:t>
      </w:r>
      <w:r>
        <w:t>conocer el vínculo existente entre trata y pornografía, prostitución y turismo sexual. Debe procurar que la c</w:t>
      </w:r>
      <w:r>
        <w:t>o</w:t>
      </w:r>
      <w:r>
        <w:t>operación regional en ese ámbito se base en los mi</w:t>
      </w:r>
      <w:r>
        <w:t>s</w:t>
      </w:r>
      <w:r>
        <w:t>mos principios, puesto que su planteamiento merece ser emulado por otros países. Por último, debe tratar de hallar donantes que compartan esos valores. Por eje</w:t>
      </w:r>
      <w:r>
        <w:t>m</w:t>
      </w:r>
      <w:r>
        <w:t>plo, puede ponerse en contacto con el Organismo Su</w:t>
      </w:r>
      <w:r>
        <w:t>e</w:t>
      </w:r>
      <w:r>
        <w:t>co de Desarrollo Internacional, dado que el Gobierno de Suecia ha realizado una labor precursora en la lucha contra la trata de personas.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Tavares da Silva</w:t>
      </w:r>
      <w:r>
        <w:t xml:space="preserve"> pregunta si las organ</w:t>
      </w:r>
      <w:r>
        <w:t>i</w:t>
      </w:r>
      <w:r>
        <w:t>zaciones no gubernamentales han participado en la preparación del segundo informe periódico, tal como recomendó el Comité en sus conclusiones finales rel</w:t>
      </w:r>
      <w:r>
        <w:t>a</w:t>
      </w:r>
      <w:r>
        <w:t xml:space="preserve">tivas al informe inicial (CEDAW/C/KGZ/1); si las </w:t>
      </w:r>
      <w:r>
        <w:br/>
        <w:t>recomendaciones y observaciones finales han sido o</w:t>
      </w:r>
      <w:r>
        <w:t>b</w:t>
      </w:r>
      <w:r>
        <w:t>jeto de una amplia difusión; si se ha establecido algún mecanismo de seguimiento; y si el Consejo Nacional sobre asuntos de la mujer, la familia y el desarrollo de la perspectiva de género supervisa la observancia de otros instrumentos internacionales sobre los derechos de la mujer distintos de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Expresa inquietud ante la cita de una Ley sobre la protección de los derechos de los menores en la se</w:t>
      </w:r>
      <w:r>
        <w:t>c</w:t>
      </w:r>
      <w:r>
        <w:t>ción del segundo informe periódico que aborda la def</w:t>
      </w:r>
      <w:r>
        <w:t>i</w:t>
      </w:r>
      <w:r>
        <w:t>nición de discriminación contra la mujer. Como se r</w:t>
      </w:r>
      <w:r>
        <w:t>e</w:t>
      </w:r>
      <w:r>
        <w:t>conoce en el propio informe, la neutralidad de la l</w:t>
      </w:r>
      <w:r>
        <w:t>e</w:t>
      </w:r>
      <w:r>
        <w:t>gislación en materia de género sitúa de hecho a la m</w:t>
      </w:r>
      <w:r>
        <w:t>u</w:t>
      </w:r>
      <w:r>
        <w:t>jer en una posición de desventaja. En ese sentido, será de utilidad saber si se ha llevado a cabo un análisis de género de la legislación vigente en el país y por qué no se ha hecho uso de medidas especiales transitorias que contrarresten esa de</w:t>
      </w:r>
      <w:r>
        <w:t>s</w:t>
      </w:r>
      <w:r>
        <w:t>ventaja.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0"/>
        </w:rPr>
      </w:pPr>
      <w:r>
        <w:rPr>
          <w:w w:val="100"/>
        </w:rPr>
        <w:t>Observando con satisfacción la aprobación, el 12 de marzo de 2003, de la Ley relativa a las bases de las garantías estatales para asegurar la igualdad entre los sexos, pregunta cuál ha sido la reacción a ella y si ha arrojado algún resultado positivo. Algunas fuentes ind</w:t>
      </w:r>
      <w:r>
        <w:rPr>
          <w:w w:val="100"/>
        </w:rPr>
        <w:t>e</w:t>
      </w:r>
      <w:r>
        <w:rPr>
          <w:w w:val="100"/>
        </w:rPr>
        <w:t>pendientes hacen referencia a una reafirmación de las actitudes tradicionales con respecto a la mujer de Ki</w:t>
      </w:r>
      <w:r>
        <w:rPr>
          <w:w w:val="100"/>
        </w:rPr>
        <w:t>r</w:t>
      </w:r>
      <w:r>
        <w:rPr>
          <w:w w:val="100"/>
        </w:rPr>
        <w:t>guistán, como demuestra la incidencia de la poligamia, el robo de la novia y el matrimonio forzado a una edad temprana. Indica que, si bien las medidas legislativas p</w:t>
      </w:r>
      <w:r>
        <w:rPr>
          <w:w w:val="100"/>
        </w:rPr>
        <w:t>a</w:t>
      </w:r>
      <w:r>
        <w:rPr>
          <w:w w:val="100"/>
        </w:rPr>
        <w:t>ra combatir esos fenómenos son positivas, también es necesario cambiar las percepciones públ</w:t>
      </w:r>
      <w:r>
        <w:rPr>
          <w:w w:val="100"/>
        </w:rPr>
        <w:t>i</w:t>
      </w:r>
      <w:r>
        <w:rPr>
          <w:w w:val="100"/>
        </w:rPr>
        <w:t>cas.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Kangeldieva</w:t>
      </w:r>
      <w:r>
        <w:t xml:space="preserve"> (Kirguistán) dice que cierta proporción de la población está muy familiarizada con la legislación relativa a la protección social y jurídica frente a la violencia familiar, dado que fue aprobada sobre la base de una iniciativa popular. Las organiz</w:t>
      </w:r>
      <w:r>
        <w:t>a</w:t>
      </w:r>
      <w:r>
        <w:t>ciones no gubernamentales han contribuido sobreman</w:t>
      </w:r>
      <w:r>
        <w:t>e</w:t>
      </w:r>
      <w:r>
        <w:t>ra a la campaña en favor de la legislación y, a raíz de su aprobación en marzo de 2003, la secretaría del Co</w:t>
      </w:r>
      <w:r>
        <w:t>n</w:t>
      </w:r>
      <w:r>
        <w:t>sejo Nacional sobre asuntos de la mujer, la familia y el desarrollo de la perspectiva de género colaboró con r</w:t>
      </w:r>
      <w:r>
        <w:t>e</w:t>
      </w:r>
      <w:r>
        <w:t>presentantes de todos los niveles de la administración local para sensibilizar al público acerca de sus dispos</w:t>
      </w:r>
      <w:r>
        <w:t>i</w:t>
      </w:r>
      <w:r>
        <w:t>ciones, así como con los organismos encargados de h</w:t>
      </w:r>
      <w:r>
        <w:t>a</w:t>
      </w:r>
      <w:r>
        <w:t>cer cumplir la ley.</w:t>
      </w:r>
    </w:p>
    <w:p w:rsidR="00000000" w:rsidRDefault="00000000">
      <w:pPr>
        <w:pStyle w:val="DualTxt"/>
        <w:numPr>
          <w:ilvl w:val="0"/>
          <w:numId w:val="12"/>
        </w:numPr>
        <w:tabs>
          <w:tab w:val="clear" w:pos="960"/>
          <w:tab w:val="left" w:pos="475"/>
          <w:tab w:val="left" w:pos="965"/>
        </w:tabs>
      </w:pPr>
      <w:r>
        <w:t>La posibilidad de introducir cuotas de género es </w:t>
      </w:r>
      <w:r>
        <w:rPr>
          <w:spacing w:val="2"/>
        </w:rPr>
        <w:t>objeto de un debate en la actualidad. La opinión p</w:t>
      </w:r>
      <w:r>
        <w:rPr>
          <w:spacing w:val="2"/>
        </w:rPr>
        <w:t>ú</w:t>
      </w:r>
      <w:r>
        <w:rPr>
          <w:spacing w:val="2"/>
        </w:rPr>
        <w:t>blica</w:t>
      </w:r>
      <w:r>
        <w:t xml:space="preserve"> está dividida al respecto y algunas mujeres t</w:t>
      </w:r>
      <w:r>
        <w:t>e</w:t>
      </w:r>
      <w:r>
        <w:t>men ser estigmatizadas. Cabe atribuir su oposición a la experiencia adquirida durante los 70 años de gobierno comunista. Bajo el régimen soviético, el 30% de los cargos decisorios, estaba reservado a las mujeres, au</w:t>
      </w:r>
      <w:r>
        <w:t>n</w:t>
      </w:r>
      <w:r>
        <w:t>que éstas consideraban dichas cuotas algo fundame</w:t>
      </w:r>
      <w:r>
        <w:t>n</w:t>
      </w:r>
      <w:r>
        <w:t>talmente simbólico.</w:t>
      </w:r>
    </w:p>
    <w:p w:rsidR="00000000" w:rsidRDefault="00000000">
      <w:pPr>
        <w:pStyle w:val="DualTxt"/>
        <w:numPr>
          <w:ilvl w:val="0"/>
          <w:numId w:val="12"/>
        </w:numPr>
        <w:tabs>
          <w:tab w:val="clear" w:pos="960"/>
          <w:tab w:val="left" w:pos="475"/>
          <w:tab w:val="left" w:pos="965"/>
        </w:tabs>
      </w:pPr>
      <w:r>
        <w:t>Aunque actualmente no hay cuotas de género, la legislación sobre las bases de las garantías estatales p</w:t>
      </w:r>
      <w:r>
        <w:t>a</w:t>
      </w:r>
      <w:r>
        <w:t>ra asegurar la igualdad entre los sexos estipula que el Zhogorku Kenesh puede recomendar un máximo del 70% de personas del mismo sexo para su nombr</w:t>
      </w:r>
      <w:r>
        <w:t>a</w:t>
      </w:r>
      <w:r>
        <w:t>miento como jueces del Tribunal Constitucional y del Tribunal Supremo, como funcionarios de la Comisión Central para celebrar elecciones y referendos y como auditores de la Cámara de Contabilidad. Asimismo, se promulgó un decreto presidencial sobre la mejora ult</w:t>
      </w:r>
      <w:r>
        <w:t>e</w:t>
      </w:r>
      <w:r>
        <w:t>rior del marco político para reclutar a mujeres dirige</w:t>
      </w:r>
      <w:r>
        <w:t>n</w:t>
      </w:r>
      <w:r>
        <w:t>tes en la administración estatal de la República Kirgu</w:t>
      </w:r>
      <w:r>
        <w:t>i</w:t>
      </w:r>
      <w:r>
        <w:t>sa. De conformidad con el decreto, varias mujeres fu</w:t>
      </w:r>
      <w:r>
        <w:t>e</w:t>
      </w:r>
      <w:r>
        <w:t>ron nombradas para ocupar cargos en la administración local. En la actualidad, hay gobernadoras adjuntas en seis de las siete regiones del país y una gobernadora.</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A raíz del examen del informe inicial de Kirgui</w:t>
      </w:r>
      <w:r>
        <w:t>s</w:t>
      </w:r>
      <w:r>
        <w:t>tán, el mecanismo nacional entonces existente para el adelanto de la mujer, el Comité Estatal de la familia, la mujer y la juventud, organizó una serie de mesas r</w:t>
      </w:r>
      <w:r>
        <w:t>e</w:t>
      </w:r>
      <w:r>
        <w:t>dondas y seminarios para aumentar la sensibilización sobre las recomendaciones y observaciones finales del Comité, que se publicaron en los medios de comunic</w:t>
      </w:r>
      <w:r>
        <w:t>a</w:t>
      </w:r>
      <w:r>
        <w:t>ción, mientras que el Presidente del Comité Estatal compareció en la televisión nacional en numerosas ocasiones. Asimismo, se elaboró un plan para aplicar las recomendaciones.</w:t>
      </w:r>
    </w:p>
    <w:p w:rsidR="00000000" w:rsidRDefault="00000000">
      <w:pPr>
        <w:pStyle w:val="DualTxt"/>
        <w:numPr>
          <w:ilvl w:val="0"/>
          <w:numId w:val="12"/>
        </w:numPr>
        <w:tabs>
          <w:tab w:val="clear" w:pos="960"/>
          <w:tab w:val="left" w:pos="475"/>
          <w:tab w:val="left" w:pos="965"/>
        </w:tabs>
      </w:pPr>
      <w:r>
        <w:t>En 1998, se procedió a un análisis de género de las ocho leyes. Sin embargo, sólo se tomó nota de 2 de las 84 recomendaciones formuladas, muy probabl</w:t>
      </w:r>
      <w:r>
        <w:t>e</w:t>
      </w:r>
      <w:r>
        <w:t>mente porque el análisis de género de la legislación no es un requisito jurídico. En consecuencia, el Consejo Nacional recomendó que el Gobierno y el Zhogorku Kenesh modificaran sus reglamentos para hacer obl</w:t>
      </w:r>
      <w:r>
        <w:t>i</w:t>
      </w:r>
      <w:r>
        <w:t>gatorio el análisis de género de los proyectos de ley iniciados por el Ejecutivo y los debatidos en el Parl</w:t>
      </w:r>
      <w:r>
        <w:t>a</w:t>
      </w:r>
      <w:r>
        <w:t>mento. Recomendó asimismo la creación de un mec</w:t>
      </w:r>
      <w:r>
        <w:t>a</w:t>
      </w:r>
      <w:r>
        <w:t>nismo de interacción con el Ombudsman de la Rep</w:t>
      </w:r>
      <w:r>
        <w:t>ú</w:t>
      </w:r>
      <w:r>
        <w:t>blica Kirguisa con miras a la realización de análisis de género de la legislación vigente. En ese sentido, obse</w:t>
      </w:r>
      <w:r>
        <w:t>r</w:t>
      </w:r>
      <w:r>
        <w:t>va que las recomendaciones del Consejo Nacional ti</w:t>
      </w:r>
      <w:r>
        <w:t>e</w:t>
      </w:r>
      <w:r>
        <w:t>nen rango de directrices. La secretaría del Consejo ya ha establecido una comisión de análisis de género, que analiza en la actualidad los proyectos y programas del Gobierno.</w:t>
      </w:r>
    </w:p>
    <w:p w:rsidR="00000000" w:rsidRDefault="00000000">
      <w:pPr>
        <w:pStyle w:val="DualTxt"/>
        <w:numPr>
          <w:ilvl w:val="0"/>
          <w:numId w:val="12"/>
        </w:numPr>
        <w:tabs>
          <w:tab w:val="clear" w:pos="960"/>
          <w:tab w:val="left" w:pos="475"/>
          <w:tab w:val="left" w:pos="965"/>
        </w:tabs>
      </w:pPr>
      <w:r>
        <w:rPr>
          <w:b/>
        </w:rPr>
        <w:t xml:space="preserve">El Sr. Baialinov </w:t>
      </w:r>
      <w:r>
        <w:t>(Kirguistán) dice que las med</w:t>
      </w:r>
      <w:r>
        <w:t>i</w:t>
      </w:r>
      <w:r>
        <w:t>das para combatir la violencia doméstica van desde las órdenes de protección, que constituyen una medida preventiva, hasta el procesamiento penal del respons</w:t>
      </w:r>
      <w:r>
        <w:t>a</w:t>
      </w:r>
      <w:r>
        <w:t>ble, que puede ser enjuiciado por diversos delitos. Los datos relativos a la poligamia y el robo de la novia en el segundo informe periódico hacen referencia a casos que han sido vistos ante un tribunal. Lamentablemente, esos casos no representan sino la punta del iceberg, t</w:t>
      </w:r>
      <w:r>
        <w:t>o</w:t>
      </w:r>
      <w:r>
        <w:t>da vez que las infracciones no se suelen denunciar a las autoridades encargadas del cumplimiento de la ley. Asimismo, la Constitución de Kirguistán no permite ninguna injerencia directa del Estado en la vida privada de los ciudadanos. Esa disposición constituye un ob</w:t>
      </w:r>
      <w:r>
        <w:t>s</w:t>
      </w:r>
      <w:r>
        <w:t>táculo a los intentos de combatir dichos fenómenos.</w:t>
      </w:r>
    </w:p>
    <w:p w:rsidR="00000000" w:rsidRDefault="00000000">
      <w:pPr>
        <w:pStyle w:val="DualTxt"/>
        <w:numPr>
          <w:ilvl w:val="0"/>
          <w:numId w:val="12"/>
        </w:numPr>
        <w:tabs>
          <w:tab w:val="clear" w:pos="960"/>
          <w:tab w:val="left" w:pos="475"/>
          <w:tab w:val="left" w:pos="965"/>
        </w:tabs>
        <w:rPr>
          <w:w w:val="100"/>
        </w:rPr>
      </w:pPr>
      <w:r>
        <w:t>Acoge favorablemente las sugerencias del Com</w:t>
      </w:r>
      <w:r>
        <w:t>i</w:t>
      </w:r>
      <w:r>
        <w:t xml:space="preserve">té relativas a la ampliación de la cooperación regional </w:t>
      </w:r>
      <w:r>
        <w:rPr>
          <w:w w:val="100"/>
        </w:rPr>
        <w:t>para combatir la trata de mujeres y niños. Su Gobierno ya está trabajando en pos de ese objetivo. Por iniciativa suya, en septiembre de 2003 se celebró en Bishkek una reunión del Consejo de Coordinación de las Fiscalías Generales de los Países de la Comunidad de Estados I</w:t>
      </w:r>
      <w:r>
        <w:rPr>
          <w:w w:val="100"/>
        </w:rPr>
        <w:t>n</w:t>
      </w:r>
      <w:r>
        <w:rPr>
          <w:w w:val="100"/>
        </w:rPr>
        <w:t>dependientes. Los participantes acordaron aunar sus e</w:t>
      </w:r>
      <w:r>
        <w:rPr>
          <w:w w:val="100"/>
        </w:rPr>
        <w:t>s</w:t>
      </w:r>
      <w:r>
        <w:rPr>
          <w:w w:val="100"/>
        </w:rPr>
        <w:t>fuerzos para combatir con mayor eficacia la trata de pe</w:t>
      </w:r>
      <w:r>
        <w:rPr>
          <w:w w:val="100"/>
        </w:rPr>
        <w:t>r</w:t>
      </w:r>
      <w:r>
        <w:rPr>
          <w:w w:val="100"/>
        </w:rPr>
        <w:t>sonas y la migración ilegal. En la actualidad, se está pr</w:t>
      </w:r>
      <w:r>
        <w:rPr>
          <w:w w:val="100"/>
        </w:rPr>
        <w:t>e</w:t>
      </w:r>
      <w:r>
        <w:rPr>
          <w:w w:val="100"/>
        </w:rPr>
        <w:t>parando un proyecto de convenio para reprimir la trata de personas con miras a su firma por el Consejo de Jefes de Estado de la Comunidad de Estados Ind</w:t>
      </w:r>
      <w:r>
        <w:rPr>
          <w:w w:val="100"/>
        </w:rPr>
        <w:t>e</w:t>
      </w:r>
      <w:r>
        <w:rPr>
          <w:w w:val="100"/>
        </w:rPr>
        <w:t>pendientes.</w:t>
      </w:r>
    </w:p>
    <w:p w:rsidR="00000000" w:rsidRDefault="00000000">
      <w:pPr>
        <w:pStyle w:val="DualTxt"/>
        <w:numPr>
          <w:ilvl w:val="0"/>
          <w:numId w:val="12"/>
        </w:numPr>
        <w:tabs>
          <w:tab w:val="clear" w:pos="960"/>
          <w:tab w:val="left" w:pos="475"/>
          <w:tab w:val="left" w:pos="965"/>
        </w:tabs>
      </w:pPr>
      <w:r>
        <w:rPr>
          <w:b/>
        </w:rPr>
        <w:t>La Sra. Schöpp-Schilling</w:t>
      </w:r>
      <w:r>
        <w:t xml:space="preserve"> dice que, si bien la prohibición constitucional de que el Estado se inmi</w:t>
      </w:r>
      <w:r>
        <w:t>s</w:t>
      </w:r>
      <w:r>
        <w:t>cuya en las cuestiones privadas y familiares es enc</w:t>
      </w:r>
      <w:r>
        <w:t>o</w:t>
      </w:r>
      <w:r>
        <w:t>miable, no cabe inferir que esta disposición permite la discriminación contra la mujer. El Gobierno debe s</w:t>
      </w:r>
      <w:r>
        <w:t>e</w:t>
      </w:r>
      <w:r>
        <w:t>guir reflexionando al respecto. Expresa su satisfacción por el hecho de que el artículo 6 de la nueva ley sobre las bases de las garantías estatales para asegurar la igualdad entre los sexos prohíbe la discriminación tanto directa como indirecta. Sin embargo, la prohib</w:t>
      </w:r>
      <w:r>
        <w:t>i</w:t>
      </w:r>
      <w:r>
        <w:t>ción no tiene ningún sentido si no incluye una defin</w:t>
      </w:r>
      <w:r>
        <w:t>i</w:t>
      </w:r>
      <w:r>
        <w:t>ción de discriminación indirecta. También le preocupa que, aunque el artículo 6 estipula que las medidas e</w:t>
      </w:r>
      <w:r>
        <w:t>s</w:t>
      </w:r>
      <w:r>
        <w:t>peciales transitorias no son discriminatorias, el G</w:t>
      </w:r>
      <w:r>
        <w:t>o</w:t>
      </w:r>
      <w:r>
        <w:t>bierno no se haya válido de esa disposición para intr</w:t>
      </w:r>
      <w:r>
        <w:t>o</w:t>
      </w:r>
      <w:r>
        <w:t>ducir dichas medidas.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Observa, en ese sentido, que las mujeres se ven afectadas de una manera desproporcionada por el desempleo. Por consiguiente, el Gobierno debe velar por que reciban una mayor parte de los recursos ded</w:t>
      </w:r>
      <w:r>
        <w:t>i</w:t>
      </w:r>
      <w:r>
        <w:t>cados a la reeducación profesional y la creación de empresas. Habida cuenta del gran número de mujeres desempleadas, es sorprendente que sólo 1 de cada 10 reciba prestaciones por ese concepto. Pregunta por qué las mujeres no parecen valerse de las oportunidades que les brinda la ley sobre la base de las garantías e</w:t>
      </w:r>
      <w:r>
        <w:t>s</w:t>
      </w:r>
      <w:r>
        <w:t>tatales para asegurar la igualdad entre los sexos a fin de interponer recursos jurídicos cuando sus derechos sean co</w:t>
      </w:r>
      <w:r>
        <w:t>n</w:t>
      </w:r>
      <w:r>
        <w:t>culcados.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Será conveniente dilucidar si las mujeres son conscientes de la existencia de dichos recursos, si ti</w:t>
      </w:r>
      <w:r>
        <w:t>e</w:t>
      </w:r>
      <w:r>
        <w:t>nen derecho a asistencia letrada y si las organizaciones no gubernamentales pueden presentar querellas en su nombre. Por último, expresa su preocupación por el hecho de que, mientras el artículo 8 de la legislación describe ciertas tradiciones y normas del derecho co</w:t>
      </w:r>
      <w:r>
        <w:t>n</w:t>
      </w:r>
      <w:r>
        <w:t>suetudinario y jurisprudencial como obstáculos al logro de la igualdad de género, no especifica claramente su carácter discriminat</w:t>
      </w:r>
      <w:r>
        <w:t>o</w:t>
      </w:r>
      <w:r>
        <w:t>rio.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Gabr</w:t>
      </w:r>
      <w:r>
        <w:t xml:space="preserve"> dice que, si bien el Estado parte se está dotando de una legislación para proteger los der</w:t>
      </w:r>
      <w:r>
        <w:t>e</w:t>
      </w:r>
      <w:r>
        <w:t>chos de la mujer, no parece que esa legislación se esté utilizando debidamente, quizá debido a que las mujeres no son conscientes de su existencia. Expresa su pre</w:t>
      </w:r>
      <w:r>
        <w:t>o</w:t>
      </w:r>
      <w:r>
        <w:t>cupación por el hecho de que los medios de comunic</w:t>
      </w:r>
      <w:r>
        <w:t>a</w:t>
      </w:r>
      <w:r>
        <w:t>ción, en particular un canal de televisión estatal, estén perpetuando los estereotipos femeninos y pregunta qué medidas pretende adoptar el Gobierno para corregir esa tendencia. Toma nota de la presencia de ideas extr</w:t>
      </w:r>
      <w:r>
        <w:t>e</w:t>
      </w:r>
      <w:r>
        <w:t>mistas en determinados sectores de la sociedad kirguisa e insta al Gobierno a colaborar con los imanes y las universidades islámicas para que la doctrina islámica se interprete de una manera tal que potencie el papel de la mujer y le permita desempeñar el papel que le c</w:t>
      </w:r>
      <w:r>
        <w:t>o</w:t>
      </w:r>
      <w:r>
        <w:t>rresponde en la soci</w:t>
      </w:r>
      <w:r>
        <w:t>e</w:t>
      </w:r>
      <w:r>
        <w:t>dad.</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Khan</w:t>
      </w:r>
      <w:r>
        <w:t xml:space="preserve"> dice que las prácticas tradicionales tales como el robo de la novia y la poligamia no pu</w:t>
      </w:r>
      <w:r>
        <w:t>e</w:t>
      </w:r>
      <w:r>
        <w:t>den considerarse parte de la cultura. Ambas son actos delictivos. El robo de la novia, que se lleva a cabo por medio del secuestro y la violación, constituye una co</w:t>
      </w:r>
      <w:r>
        <w:t>n</w:t>
      </w:r>
      <w:r>
        <w:t>culcación de los derechos de la mujer con arreglo al artículo 6 de la Convención, mientras que la poligamia contraviene la igualdad de derechos de la mujer para contraer matrimonio. El Estado parte debe tratar de abordar esas cuestiones en todos los informes futuros con arreglo a los artículos pertinentes.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Saiga</w:t>
      </w:r>
      <w:r>
        <w:t>, observando que la legislación s</w:t>
      </w:r>
      <w:r>
        <w:t>o</w:t>
      </w:r>
      <w:r>
        <w:t>bre las bases de las garantías estatales para asegurar la igualdad entre los sexos prevé el establecimiento pr</w:t>
      </w:r>
      <w:r>
        <w:t>o</w:t>
      </w:r>
      <w:r>
        <w:t>gresivo de unas relaciones democráticas entre el ho</w:t>
      </w:r>
      <w:r>
        <w:t>m</w:t>
      </w:r>
      <w:r>
        <w:t>bre y la mujer sobre la base de las tradiciones naci</w:t>
      </w:r>
      <w:r>
        <w:t>o</w:t>
      </w:r>
      <w:r>
        <w:t>nales, pregunta cuáles son esas tradiciones. Dado que la legislación incluye una amplia variedad de sectores, en particular las relaciones económicas y sociales, y prevé sanciones contra las empresas, instituciones y organizaciones que la contravengan, no está claro por qué el Gobierno se empeña en que los partidos polít</w:t>
      </w:r>
      <w:r>
        <w:t>i</w:t>
      </w:r>
      <w:r>
        <w:t>cos, como entidades independientes, no puedan estar sujetos a cuotas para aumentar la representación de la m</w:t>
      </w:r>
      <w:r>
        <w:t>u</w:t>
      </w:r>
      <w:r>
        <w:t>jer.</w:t>
      </w:r>
    </w:p>
    <w:p w:rsidR="00000000" w:rsidRDefault="00000000">
      <w:pPr>
        <w:pStyle w:val="DualTxt"/>
        <w:numPr>
          <w:ilvl w:val="0"/>
          <w:numId w:val="12"/>
        </w:numPr>
        <w:tabs>
          <w:tab w:val="clear" w:pos="960"/>
          <w:tab w:val="left" w:pos="475"/>
          <w:tab w:val="left" w:pos="965"/>
        </w:tabs>
      </w:pPr>
      <w:r>
        <w:rPr>
          <w:b/>
        </w:rPr>
        <w:t>La Sra. Kangeldieva</w:t>
      </w:r>
      <w:r>
        <w:t xml:space="preserve"> (Kirguistán) dice que la nueva legislación sobre igualdad entre los sexos incl</w:t>
      </w:r>
      <w:r>
        <w:t>u</w:t>
      </w:r>
      <w:r>
        <w:t>ye la discriminación basada en el género tanto de c</w:t>
      </w:r>
      <w:r>
        <w:t>a</w:t>
      </w:r>
      <w:r>
        <w:t>rácter directo como indirecto, definida como una di</w:t>
      </w:r>
      <w:r>
        <w:t>s</w:t>
      </w:r>
      <w:r>
        <w:t>criminación que no especifica directamente el género. Las organizaciones no gubernamentales están coop</w:t>
      </w:r>
      <w:r>
        <w:t>e</w:t>
      </w:r>
      <w:r>
        <w:t>rando estrechamente con el sistema gubernamental de protección de los derechos de la mujer, entre otras c</w:t>
      </w:r>
      <w:r>
        <w:t>o</w:t>
      </w:r>
      <w:r>
        <w:t>sas mediante análisis de género de la legislación, i</w:t>
      </w:r>
      <w:r>
        <w:t>n</w:t>
      </w:r>
      <w:r>
        <w:t>formes, mesas redondas y seminarios. En numerosos casos, las propias organizaciones no gubernamentales están poniendo en práctica las medidas enunciadas en el plan nacional de acción para el adelanto de la mujer. Llama la atención sobre el informe alternativo al s</w:t>
      </w:r>
      <w:r>
        <w:t>e</w:t>
      </w:r>
      <w:r>
        <w:t>gundo informe periódico de la República Kirguisa, que describe las numerosas maneras en que su Gobierno y las organizaciones no gubernamentales están colab</w:t>
      </w:r>
      <w:r>
        <w:t>o</w:t>
      </w:r>
      <w:r>
        <w:t>rando estrechamente con miras a la igualdad entre los g</w:t>
      </w:r>
      <w:r>
        <w:t>é</w:t>
      </w:r>
      <w:r>
        <w:t>neros.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Kudaiberdieva</w:t>
      </w:r>
      <w:r>
        <w:t xml:space="preserve"> (Kirguistán) dice que se retransmitieron de hecho tres programas de orientación religiosa en la televisión estatal que planteaban la cuestión de la reaparición del patriarcado y el papel auxiliar de la mujer en la familia. Sin embargo, su G</w:t>
      </w:r>
      <w:r>
        <w:t>o</w:t>
      </w:r>
      <w:r>
        <w:t>bierno está cooperando actualmente con los principales dirigentes musulmanes de Kirguistán para llevar a cabo campañas que sensibilicen a la población sobre la salud reproductiva y la planificación familiar. También ha establecido programas de capacitación para los clérigos a fin de divulgar información en sus sermones sobre la salud reproductiva y la planificación familiar de co</w:t>
      </w:r>
      <w:r>
        <w:t>n</w:t>
      </w:r>
      <w:r>
        <w:t>formidad con la doctrina islámica. En ese sentido, destaca un programa emprendido conjuntamente con las autoridades religiosas de Kirguistán para luchar contra el VIH/SIDA.</w:t>
      </w:r>
    </w:p>
    <w:p w:rsidR="00000000" w:rsidRDefault="00000000">
      <w:pPr>
        <w:pStyle w:val="DualTxt"/>
        <w:numPr>
          <w:ilvl w:val="0"/>
          <w:numId w:val="12"/>
        </w:numPr>
        <w:tabs>
          <w:tab w:val="clear" w:pos="960"/>
          <w:tab w:val="left" w:pos="475"/>
          <w:tab w:val="left" w:pos="965"/>
        </w:tabs>
      </w:pPr>
      <w:r>
        <w:rPr>
          <w:b/>
        </w:rPr>
        <w:t>La Sra. Alysheva</w:t>
      </w:r>
      <w:r>
        <w:t xml:space="preserve"> (Kirguistán) dice que el perí</w:t>
      </w:r>
      <w:r>
        <w:t>o</w:t>
      </w:r>
      <w:r>
        <w:t>do comprendido entre 1999 y 2002 fue testigo de una expansión anual de los programas de educación, fo</w:t>
      </w:r>
      <w:r>
        <w:t>r</w:t>
      </w:r>
      <w:r>
        <w:t>mación y desarrollo profesionales patrocinados por el Estado, en que aproximadamente la mitad de los part</w:t>
      </w:r>
      <w:r>
        <w:t>i</w:t>
      </w:r>
      <w:r>
        <w:t>cipantes fueron mujeres. En el marco de su estrategia general para combatir la pobreza, su Gobierno alentó especialmente el crecimiento de las pequeñas empresas independientes mediante la ampliación del microcr</w:t>
      </w:r>
      <w:r>
        <w:t>é</w:t>
      </w:r>
      <w:r>
        <w:t>dito, más de la mitad del cual se destina a las mujeres, que también están aumentando firmemente su propo</w:t>
      </w:r>
      <w:r>
        <w:t>r</w:t>
      </w:r>
      <w:r>
        <w:t>ción de año en año. Junto con numerosas organizaci</w:t>
      </w:r>
      <w:r>
        <w:t>o</w:t>
      </w:r>
      <w:r>
        <w:t>nes internacionales, su Gobierno también organizó una gran variedad de obras públicas para proporcionar tr</w:t>
      </w:r>
      <w:r>
        <w:t>a</w:t>
      </w:r>
      <w:r>
        <w:t>bajo temporal a los desempleados, una tercera parte de cuyos participantes eran mujeres. Por último, la legi</w:t>
      </w:r>
      <w:r>
        <w:t>s</w:t>
      </w:r>
      <w:r>
        <w:t>lación nacional prevé diversos derechos, en particular una prestación mensual global para las familias desf</w:t>
      </w:r>
      <w:r>
        <w:t>a</w:t>
      </w:r>
      <w:r>
        <w:t>vorecidas y una prestación social me</w:t>
      </w:r>
      <w:r>
        <w:t>n</w:t>
      </w:r>
      <w:r>
        <w:t>sual.</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Kourbanova</w:t>
      </w:r>
      <w:r>
        <w:t xml:space="preserve"> (Kirguistán) dice que el Gobierno del país, en particular el Ministerio de Ed</w:t>
      </w:r>
      <w:r>
        <w:t>u</w:t>
      </w:r>
      <w:r>
        <w:t>cación y Cultura, está colaborando con las organiz</w:t>
      </w:r>
      <w:r>
        <w:t>a</w:t>
      </w:r>
      <w:r>
        <w:t>ciones no gubernamentales, en particular la suya: la Asociación del Diamante, en la difícil tarea de superar los estereotipos de género, que requiere esfuerzos so</w:t>
      </w:r>
      <w:r>
        <w:t>s</w:t>
      </w:r>
      <w:r>
        <w:t>tenidos a largo plazo. Destaca un estudio realizado conjuntamente por el Consejo Nacional sobre asuntos de la mujer, la familia y el desarrollo de la perspectiva de género y el Programa de las Naciones Unidas para el Desarrollo (PNUD) sobre las dificultades que el M</w:t>
      </w:r>
      <w:r>
        <w:t>i</w:t>
      </w:r>
      <w:r>
        <w:t>nisterio afronta en la aplicación del Plan de Acción Nacional en pro del logro de la igualdad entre los gén</w:t>
      </w:r>
      <w:r>
        <w:t>e</w:t>
      </w:r>
      <w:r>
        <w:t>ros y para eliminar los estereotipos de género en el sistema de ens</w:t>
      </w:r>
      <w:r>
        <w:t>e</w:t>
      </w:r>
      <w:r>
        <w:t>ñanza.</w:t>
      </w:r>
    </w:p>
    <w:p w:rsidR="00000000" w:rsidRDefault="00000000">
      <w:pPr>
        <w:pStyle w:val="DualTxt"/>
        <w:numPr>
          <w:ilvl w:val="0"/>
          <w:numId w:val="12"/>
        </w:numPr>
        <w:tabs>
          <w:tab w:val="clear" w:pos="960"/>
          <w:tab w:val="left" w:pos="475"/>
          <w:tab w:val="left" w:pos="965"/>
        </w:tabs>
      </w:pPr>
      <w:r>
        <w:t>Las organizaciones no gubernamentales han c</w:t>
      </w:r>
      <w:r>
        <w:t>a</w:t>
      </w:r>
      <w:r>
        <w:t>pacitado a profesores, padres y estudiantes en la cap</w:t>
      </w:r>
      <w:r>
        <w:t>i</w:t>
      </w:r>
      <w:r>
        <w:t>tal, Bishkek, y las regiones circundantes en materia de salud reproductiva y cuestiones de la mujer, haciendo especial hincapié en los negativos efectos de algunas tradiciones y costumbres sobre los derechos de la m</w:t>
      </w:r>
      <w:r>
        <w:t>u</w:t>
      </w:r>
      <w:r>
        <w:t>jer. Con respecto a la legislación relativa a la igualdad entre los géneros y el respeto de las tradiciones naci</w:t>
      </w:r>
      <w:r>
        <w:t>o</w:t>
      </w:r>
      <w:r>
        <w:t>nales, destaca que la Constitución de la República Ki</w:t>
      </w:r>
      <w:r>
        <w:t>r</w:t>
      </w:r>
      <w:r>
        <w:t>guisa garantiza la protección de esas tradiciones en la medida en que no violen los derechos humanos. La l</w:t>
      </w:r>
      <w:r>
        <w:t>e</w:t>
      </w:r>
      <w:r>
        <w:t>gislación también hace alusión a las costumbres que contravienen la igualdad entre los géneros y pueden ser causa de discriminación. Además, la legislación relat</w:t>
      </w:r>
      <w:r>
        <w:t>i</w:t>
      </w:r>
      <w:r>
        <w:t>va a la protección social y jurídica frente a la violencia familiar también ofrece protección contra las tradici</w:t>
      </w:r>
      <w:r>
        <w:t>o</w:t>
      </w:r>
      <w:r>
        <w:t>nes y prácticas culturales que pueden ser perniciosas para las relaci</w:t>
      </w:r>
      <w:r>
        <w:t>o</w:t>
      </w:r>
      <w:r>
        <w:t>nes familiares.</w:t>
      </w:r>
    </w:p>
    <w:p w:rsidR="00000000" w:rsidRDefault="00000000">
      <w:pPr>
        <w:pStyle w:val="DualTxt"/>
        <w:numPr>
          <w:ilvl w:val="0"/>
          <w:numId w:val="12"/>
        </w:numPr>
        <w:tabs>
          <w:tab w:val="clear" w:pos="960"/>
          <w:tab w:val="left" w:pos="475"/>
          <w:tab w:val="left" w:pos="965"/>
        </w:tabs>
      </w:pPr>
      <w:r>
        <w:rPr>
          <w:b/>
        </w:rPr>
        <w:t>El Sr. Baialinov</w:t>
      </w:r>
      <w:r>
        <w:t xml:space="preserve"> (Kirguistán) dice que las organ</w:t>
      </w:r>
      <w:r>
        <w:t>i</w:t>
      </w:r>
      <w:r>
        <w:t>zaciones no gubernamentales tienen efectivamente la oportunidad de interponer querellas por discriminación de género ante los tribunales del país, aunque tales c</w:t>
      </w:r>
      <w:r>
        <w:t>a</w:t>
      </w:r>
      <w:r>
        <w:t xml:space="preserve">sos son aislados. Cita a modo de ejemplo las medidas jurídicas adoptadas por la organización de derechos humanos </w:t>
      </w:r>
      <w:r>
        <w:rPr>
          <w:i/>
        </w:rPr>
        <w:t>Freedom House</w:t>
      </w:r>
      <w:r>
        <w:t xml:space="preserve"> en nombre de las mujeres que fueron supuestamente internadas sin razón en in</w:t>
      </w:r>
      <w:r>
        <w:t>s</w:t>
      </w:r>
      <w:r>
        <w:t>tituciones psiquiátricas. Recordando que Kirguistán es parte en la Convención, dice, con respecto a la polig</w:t>
      </w:r>
      <w:r>
        <w:t>a</w:t>
      </w:r>
      <w:r>
        <w:t>mia que su Gobierno invalidó una decisión adoptada por un comité de redacción del Código Penal, integr</w:t>
      </w:r>
      <w:r>
        <w:t>a</w:t>
      </w:r>
      <w:r>
        <w:t>do por numerosas mujeres, que excluye la poligamia de los delitos punibles conforme al derecho. No obstante, reconoce que, al igual que en numerosos países, en particular los Estados Unidos, la poligamia sigue planteando un problema. Con respecto al controvertido tema del robo de la novia, dice que esa costumbre s</w:t>
      </w:r>
      <w:r>
        <w:t>e</w:t>
      </w:r>
      <w:r>
        <w:t>cular se ha convertido en una mera representación, un ritual que implica el consentimiento mutuo de ambas partes. Es posible que no esté en consonancia con los tiempos modernos, pero no tiene ningún sentido tipif</w:t>
      </w:r>
      <w:r>
        <w:t>i</w:t>
      </w:r>
      <w:r>
        <w:t>car como delito esa práctica.</w:t>
      </w:r>
    </w:p>
    <w:p w:rsidR="00000000" w:rsidRDefault="00000000">
      <w:pPr>
        <w:pStyle w:val="DualTxt"/>
        <w:numPr>
          <w:ilvl w:val="0"/>
          <w:numId w:val="12"/>
        </w:numPr>
        <w:tabs>
          <w:tab w:val="clear" w:pos="960"/>
          <w:tab w:val="left" w:pos="475"/>
          <w:tab w:val="left" w:pos="965"/>
        </w:tabs>
      </w:pPr>
      <w:r>
        <w:rPr>
          <w:b/>
        </w:rPr>
        <w:t xml:space="preserve">La Sra. Popescu Sandru </w:t>
      </w:r>
      <w:r>
        <w:t>dice que, como ciud</w:t>
      </w:r>
      <w:r>
        <w:t>a</w:t>
      </w:r>
      <w:r>
        <w:t>dana de un antiguo país socialista, entiende por qué la gente de esos países, en particular las mujeres, pueden ser renuentes a aceptar cualquier plan que garantice la promoción social únicamente sobre la base de cuotas en lugar del mérito. Sin embargo, alienta a la deleg</w:t>
      </w:r>
      <w:r>
        <w:t>a</w:t>
      </w:r>
      <w:r>
        <w:t>ción de Kirguistán a que siga tratando de aplicar su sistema de cuotas, de conformidad con el artículo 7 de la Convención, con objeto de promover una mayor participación de la mujer en la vida pública. Pregunta si existen seminarios y programas de formación para fomentar la capacidad de las mujeres interesadas en ocupar cargos políticos. Se acogerá favorablemente más información sobre el grado de cooperación entre las organizaciones de mujeres de los partidos políticos y las organizaciones no gubernamentales y las asoci</w:t>
      </w:r>
      <w:r>
        <w:t>a</w:t>
      </w:r>
      <w:r>
        <w:t>ciones de mujeres para crear conciencia y aumentar las posibilidades de las candidatas. Por último, se pregunta hasta qué punto los medios de comunicación se hacen eco de las actividades de las mujeres dirigentes que tienen éxito.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El Sr. Flinterman</w:t>
      </w:r>
      <w:r>
        <w:t xml:space="preserve"> dice que es una lástima que no se haga referencia en la lista de cuestiones y respuestas a las preguntas relativas a la recomendación general No. 23 sobre el papel de las tradiciones culturales y las creencias religiosas, que suelen confinar a las mujeres a los ámbitos privados de actividad y excluir su part</w:t>
      </w:r>
      <w:r>
        <w:t>i</w:t>
      </w:r>
      <w:r>
        <w:t>cipación activa en la vida pública. A juzgar por lo que escuchó durante la reunión, Kirguistán no constituye una excepción a esa regla. Observa que no se ha pr</w:t>
      </w:r>
      <w:r>
        <w:t>e</w:t>
      </w:r>
      <w:r>
        <w:t>visto ninguna disposición en la nueva legislación ele</w:t>
      </w:r>
      <w:r>
        <w:t>c</w:t>
      </w:r>
      <w:r>
        <w:t>toral con objeto de reservar puestos para las mujeres y se pregunta por qué el Gobierno no ha tomado ninguna medida para identificar y aplicar medidas especiales transitorias a fin de asegurar una representación equ</w:t>
      </w:r>
      <w:r>
        <w:t>i</w:t>
      </w:r>
      <w:r>
        <w:t>tativa en el G</w:t>
      </w:r>
      <w:r>
        <w:t>o</w:t>
      </w:r>
      <w:r>
        <w:t>bierno.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Observa una contradicción entre la Constitución de Kirguistán, que prohíbe justificadamente la injere</w:t>
      </w:r>
      <w:r>
        <w:t>n</w:t>
      </w:r>
      <w:r>
        <w:t>cia estatal en las actividades de los partidos políticos, y la observación hecha en el informe principal y la decl</w:t>
      </w:r>
      <w:r>
        <w:t>a</w:t>
      </w:r>
      <w:r>
        <w:t>ración introductoria de la delegación en el sentido de que, en primer lugar, debido a que el sistema de part</w:t>
      </w:r>
      <w:r>
        <w:t>i</w:t>
      </w:r>
      <w:r>
        <w:t>dos se halla en fase de formación, los partidos no pu</w:t>
      </w:r>
      <w:r>
        <w:t>e</w:t>
      </w:r>
      <w:r>
        <w:t>den utilizarse con miras al adelanto de la mujer y, en segundo lugar, las mujeres son aún percibidas como objetos cuyas vidas han de ser mejoradas desde fuera y no mediante sus propias iniciativas civiles. Se pregunta si el Gobierno de Kirguistán estará dispuesto a cumplir con la recomendación general No. 23, que insta a los Estados a aprobar medidas efectivas para superar los obstáculos que impiden la plena participación de la mujer en la vida política. Finalmente, le sorprende de</w:t>
      </w:r>
      <w:r>
        <w:t>s</w:t>
      </w:r>
      <w:r>
        <w:t>cubrir, en el párrafo 20 de las respuestas de la deleg</w:t>
      </w:r>
      <w:r>
        <w:t>a</w:t>
      </w:r>
      <w:r>
        <w:t>ción a la lista de cuestiones y preguntas que, las muj</w:t>
      </w:r>
      <w:r>
        <w:t>e</w:t>
      </w:r>
      <w:r>
        <w:t>res aspirantes a ocupar el cargo de juez están obligadas a aprobar un examen de aptitud en las mismas cond</w:t>
      </w:r>
      <w:r>
        <w:t>i</w:t>
      </w:r>
      <w:r>
        <w:t>ciones que los hombres. Habida cuenta de la crucial función de las mujeres jueces con miras a la igualdad entre los sexos, pide que se aclare en mayor medida la decreciente presencia de la mujer en la judicatura y la razón de que las mujeres salgan peor paradas que los hombres en dichos exámenes.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Šimonović</w:t>
      </w:r>
      <w:r>
        <w:t xml:space="preserve"> encomia al Gobierno de Ki</w:t>
      </w:r>
      <w:r>
        <w:t>r</w:t>
      </w:r>
      <w:r>
        <w:t>guistán por aprobar una nueva ley sobre la igualdad entre los sexos, que espera subsane el bajo nivel de participación de la mujer en la administración estatal y de su representación en cargos diplomáticos. Se agr</w:t>
      </w:r>
      <w:r>
        <w:t>a</w:t>
      </w:r>
      <w:r>
        <w:t>decerá recabar más información sobre las medidas temporales concretas que se hayan adoptado para as</w:t>
      </w:r>
      <w:r>
        <w:t>e</w:t>
      </w:r>
      <w:r>
        <w:t>gurar la igualdad entre los sexos en la vida polít</w:t>
      </w:r>
      <w:r>
        <w:t>i</w:t>
      </w:r>
      <w:r>
        <w:t>ca.</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Kangeldieva</w:t>
      </w:r>
      <w:r>
        <w:t xml:space="preserve"> (Kirguistán) dice que, en relación con el incremento de la participación de la mujer en la vida pública, su Gobierno tomó parte en una conferencia internacional patrocinada por la Org</w:t>
      </w:r>
      <w:r>
        <w:t>a</w:t>
      </w:r>
      <w:r>
        <w:t>nización para la Seguridad y la Coo</w:t>
      </w:r>
      <w:r>
        <w:rPr>
          <w:spacing w:val="5"/>
          <w:w w:val="104"/>
        </w:rPr>
        <w:t>peración en Europa (OSCE) y la Fundación Konrad Adenauer sobre la igualdad en</w:t>
      </w:r>
      <w:r>
        <w:t>tre los sexos en Asia central. Con la asi</w:t>
      </w:r>
      <w:r>
        <w:t>s</w:t>
      </w:r>
      <w:r>
        <w:t>tencia del PNUD y de otras organizaciones internaci</w:t>
      </w:r>
      <w:r>
        <w:t>o</w:t>
      </w:r>
      <w:r>
        <w:t>nales, el Consejo Nacional sobre asuntos de la mujer está organizando seminarios de capacitación y mesas redondas con las autoridades federales y locales con el fin de aumentar la participación en la adopción de d</w:t>
      </w:r>
      <w:r>
        <w:t>e</w:t>
      </w:r>
      <w:r>
        <w:t>cisiones, elaborar indicadores de género, fomentar la creación de capacidad y mejorar tanto la condición de la mujer como la concienciación sobre las cuestiones de la mujer. El Consejo viajó a diversas regiones para crear organizaciones regionales de mujeres e implicar en mayor medida a la mujer en el diálogo y la adopción de decisiones. En 2003 se convocó por primera vez un congreso que reunió a los consejos regionales con el fin de sentar las bases de la labor futura. El Consejo también organizó un foro sobre la promoción de las oportunidades de la mujer en los negocios y la activ</w:t>
      </w:r>
      <w:r>
        <w:t>i</w:t>
      </w:r>
      <w:r>
        <w:t>dad empresarial, patrocinado por el UNIFEM y la OSCE.</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Su Gobierno también colabora activamente con los medios de comunicación para crear conciencia s</w:t>
      </w:r>
      <w:r>
        <w:t>o</w:t>
      </w:r>
      <w:r>
        <w:t>bre el adelanto de la mujer por medio de seminarios y diversos concursos y galardones que premian los mej</w:t>
      </w:r>
      <w:r>
        <w:t>o</w:t>
      </w:r>
      <w:r>
        <w:t>res artículos relativos a los derechos de la mujer y los casos de éxito. Tanto los canales estatales de televisión como los privados emiten programas que abordan co</w:t>
      </w:r>
      <w:r>
        <w:t>n</w:t>
      </w:r>
      <w:r>
        <w:t>cretamente las cuestiones de la mujer. En general, los medios de comunicación han respondido positivamente a la necesidad de mejorar la condición de la mujer e implicarla más activamente en la adopción de decisi</w:t>
      </w:r>
      <w:r>
        <w:t>o</w:t>
      </w:r>
      <w:r>
        <w:t>nes. En relación con la representación de la mujer en el Gobierno y en las misiones diplomáticas, aunque su número es reducido (sólo el 10% de los funcionarios del Ministerio de Relaciones Exteriores son mujeres), dos mujeres ocupan cargos diplomáticos de alto nivel en las embajadas de Suiza y Turquía. Las mujeres ta</w:t>
      </w:r>
      <w:r>
        <w:t>m</w:t>
      </w:r>
      <w:r>
        <w:t>bién son representantes de alto nivel de la República Kirguisa en el seno de las Naciones Unidas. Aunque es mucho lo que queda por hacer para potenciar la fu</w:t>
      </w:r>
      <w:r>
        <w:t>n</w:t>
      </w:r>
      <w:r>
        <w:t>ción de la mujer en la adopción de decisiones, confía en que la política de su Gobierno, de la que forman parte integrante las cuestiones de género, contribuya al logro de la igualdad entre los sexos en ese ámbito.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El Sr. Baialinov </w:t>
      </w:r>
      <w:r>
        <w:t>(Kirguistán) dice que las cue</w:t>
      </w:r>
      <w:r>
        <w:t>s</w:t>
      </w:r>
      <w:r>
        <w:t>tiones del examen de aptitud para ocupar el cargo de juez se publican al menos con un mes de antelación al examen propiamente dicho y no están sesgadas para favorecer a un sexo en detrimento del otro. Exámenes subsiguientes siguen pautas diferentes. Con respecto a si su Gobierno prevé poner en práctica las recomend</w:t>
      </w:r>
      <w:r>
        <w:t>a</w:t>
      </w:r>
      <w:r>
        <w:t>ciones del Comité relativas a las medidas especiales transitorias, considera que ya ha demostrado su volu</w:t>
      </w:r>
      <w:r>
        <w:t>n</w:t>
      </w:r>
      <w:r>
        <w:t>tad de promover la igualdad entre los sexos mediante la incorporación de tales medidas en la legisl</w:t>
      </w:r>
      <w:r>
        <w:t>a</w:t>
      </w:r>
      <w:r>
        <w:t>ción.</w:t>
      </w:r>
    </w:p>
    <w:p w:rsidR="00000000" w:rsidRDefault="00000000">
      <w:pPr>
        <w:pStyle w:val="DualTxt"/>
        <w:numPr>
          <w:ilvl w:val="0"/>
          <w:numId w:val="12"/>
        </w:numPr>
        <w:tabs>
          <w:tab w:val="clear" w:pos="960"/>
          <w:tab w:val="left" w:pos="475"/>
          <w:tab w:val="left" w:pos="965"/>
        </w:tabs>
      </w:pPr>
      <w:r>
        <w:rPr>
          <w:b/>
        </w:rPr>
        <w:t xml:space="preserve">La Sra. Kangeldieva </w:t>
      </w:r>
      <w:r>
        <w:t>(Kirguistán) dice que, pese a las reservas formuladas por algunas personas a las cuotas que mencionó anteriormente, su Gobierno po</w:t>
      </w:r>
      <w:r>
        <w:t>n</w:t>
      </w:r>
      <w:r>
        <w:t>drá activamente en práctica la recomendación del C</w:t>
      </w:r>
      <w:r>
        <w:t>o</w:t>
      </w:r>
      <w:r>
        <w:t>mité de modificar su legislación electoral, en particular la inclusión de cuotas relativas a la participación de la mujer en las elecci</w:t>
      </w:r>
      <w:r>
        <w:t>o</w:t>
      </w:r>
      <w:r>
        <w:t>nes.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El Sr. Belmihoub-Zerdani</w:t>
      </w:r>
      <w:r>
        <w:t>, refiriéndose al párr</w:t>
      </w:r>
      <w:r>
        <w:t>a</w:t>
      </w:r>
      <w:r>
        <w:t>fo 1 del artículo 4 de la Convención, insta encarecid</w:t>
      </w:r>
      <w:r>
        <w:t>a</w:t>
      </w:r>
      <w:r>
        <w:t>mente al Estado parte a que adopte las medidas ad</w:t>
      </w:r>
      <w:r>
        <w:t>e</w:t>
      </w:r>
      <w:r>
        <w:t>cuadas para potenciar la condición de la mujer. La d</w:t>
      </w:r>
      <w:r>
        <w:t>e</w:t>
      </w:r>
      <w:r>
        <w:t>legación debe indicar los progresos que se han realiz</w:t>
      </w:r>
      <w:r>
        <w:t>a</w:t>
      </w:r>
      <w:r>
        <w:t>do con respecto al programa de ajuste estructural y la deuda externa del país, dado que esos factores inciden considerablemente en la situación de la mujer. Se pr</w:t>
      </w:r>
      <w:r>
        <w:t>e</w:t>
      </w:r>
      <w:r>
        <w:t>gunta si los nombramientos por decreto aseguran una representación equitativa de todos los grupos étnicos del país en la administración pública y en otros ámb</w:t>
      </w:r>
      <w:r>
        <w:t>i</w:t>
      </w:r>
      <w:r>
        <w:t>tos; si el Estado concede subvenciones a los part</w:t>
      </w:r>
      <w:r>
        <w:t>i</w:t>
      </w:r>
      <w:r>
        <w:t>dos políticos, especialmente a aquéllos con mayor n</w:t>
      </w:r>
      <w:r>
        <w:t>ú</w:t>
      </w:r>
      <w:r>
        <w:t>mero de mujeres entre sus miembros; y si los cinco partidos políticos liderados por mujeres gozan de un trato esp</w:t>
      </w:r>
      <w:r>
        <w:t>e</w:t>
      </w:r>
      <w:r>
        <w:t>cial.</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La Sra. Kapalata </w:t>
      </w:r>
      <w:r>
        <w:t>acoge con satisfacción la si</w:t>
      </w:r>
      <w:r>
        <w:t>g</w:t>
      </w:r>
      <w:r>
        <w:t>nificativa interacción entre el Gobierno y las organiz</w:t>
      </w:r>
      <w:r>
        <w:t>a</w:t>
      </w:r>
      <w:r>
        <w:t>ciones no gubernamentales, que desempeñan un papel muy importante en el adelanto y la protección de los derechos de la mujer en la República Kirguisa. Es de lamentar, no obstante, que se hayan realizado progresos muy limitados con respecto a la aplicación de los art</w:t>
      </w:r>
      <w:r>
        <w:t>í</w:t>
      </w:r>
      <w:r>
        <w:t>culos 7 y 8 de la Convención. Es inaceptable que Ki</w:t>
      </w:r>
      <w:r>
        <w:t>r</w:t>
      </w:r>
      <w:r>
        <w:t>guistán, que ratificó la Convención, sólo tenga una mujer embajadora y una cónsul general. En ese sentido, solicita información sobre las medidas que está ado</w:t>
      </w:r>
      <w:r>
        <w:t>p</w:t>
      </w:r>
      <w:r>
        <w:t>tando el Gobierno para potenciar la participación de la mujer en el cuerpo diplomático. Espera que, en su próximo informe, la delegación facilite más inform</w:t>
      </w:r>
      <w:r>
        <w:t>a</w:t>
      </w:r>
      <w:r>
        <w:t>ción sobre las medidas concretas que está adoptando el Gobierno para potenciar la participación de la mujer en el cuerpo d</w:t>
      </w:r>
      <w:r>
        <w:t>i</w:t>
      </w:r>
      <w:r>
        <w:t>plomático.</w:t>
      </w:r>
    </w:p>
    <w:p w:rsidR="00000000" w:rsidRDefault="00000000">
      <w:pPr>
        <w:pStyle w:val="DualTxt"/>
        <w:numPr>
          <w:ilvl w:val="0"/>
          <w:numId w:val="12"/>
        </w:numPr>
        <w:tabs>
          <w:tab w:val="clear" w:pos="960"/>
          <w:tab w:val="left" w:pos="475"/>
          <w:tab w:val="left" w:pos="965"/>
        </w:tabs>
      </w:pPr>
      <w:r>
        <w:rPr>
          <w:b/>
        </w:rPr>
        <w:t>La Sra. Patten</w:t>
      </w:r>
      <w:r>
        <w:t xml:space="preserve"> dice estar sumamente preocupada por la decreciente participación de la mujer en la vida política y pública. El decreto presidencial de agosto de 2002, que fue aprobado con el claro propósito de ofr</w:t>
      </w:r>
      <w:r>
        <w:t>e</w:t>
      </w:r>
      <w:r>
        <w:t>cer garantías para la representación de la mujer en los niveles superiores de la adopción de decisiones, deni</w:t>
      </w:r>
      <w:r>
        <w:t>e</w:t>
      </w:r>
      <w:r>
        <w:t>ga flagrantemente a la mujer su acceso a puestos sup</w:t>
      </w:r>
      <w:r>
        <w:t>e</w:t>
      </w:r>
      <w:r>
        <w:t>riores, dado que limita su participación a puestos del</w:t>
      </w:r>
      <w:r>
        <w:t>e</w:t>
      </w:r>
      <w:r>
        <w:t>gados. Esa restricción es discriminatoria y contraviene el artículo 7. La delegación debe aclarar su respuesta a la pregunta 18 de la lista de cuestiones en relación con la introducción de cuotas de género y explicar el sign</w:t>
      </w:r>
      <w:r>
        <w:t>i</w:t>
      </w:r>
      <w:r>
        <w:t>ficado de “círculos científicos”. También debe indicar las medidas que está adoptando el Gobierno con objeto de eliminar los negativos estereotipos de carácter trad</w:t>
      </w:r>
      <w:r>
        <w:t>i</w:t>
      </w:r>
      <w:r>
        <w:t>cional, social y cultural, que impiden la participación de la mujer en la vida social en todas las instancias de la adopción de decisiones, y explicar la estrategia de Kirguistán para crear un entorno favorable.</w:t>
      </w:r>
    </w:p>
    <w:p w:rsidR="00000000" w:rsidRDefault="00000000">
      <w:pPr>
        <w:pStyle w:val="DualTxt"/>
        <w:numPr>
          <w:ilvl w:val="0"/>
          <w:numId w:val="12"/>
        </w:numPr>
        <w:tabs>
          <w:tab w:val="clear" w:pos="960"/>
          <w:tab w:val="left" w:pos="475"/>
          <w:tab w:val="left" w:pos="965"/>
        </w:tabs>
      </w:pPr>
      <w:r>
        <w:rPr>
          <w:b/>
        </w:rPr>
        <w:t>La Sra. Morvai</w:t>
      </w:r>
      <w:r>
        <w:t>, en relación con el artículo 9 de la Convención, se pregunta si las mujeres tienen los mismos derechos que los hombres para transmitir la nacionalidad a sus hijos o cónyuges. Apreciará que se facilite más información sobre la nueva Ley relativa a las garantías estatales</w:t>
      </w:r>
      <w:r>
        <w:rPr>
          <w:b/>
        </w:rPr>
        <w:t xml:space="preserve"> </w:t>
      </w:r>
      <w:r>
        <w:t>para asegurar la igualdad entre los sexos. En ese sentido, se pregunta si se ha hecho r</w:t>
      </w:r>
      <w:r>
        <w:t>e</w:t>
      </w:r>
      <w:r>
        <w:t>ferencia a la Convención en alguna causa judicial y si se está impartiendo algún tipo de formación perm</w:t>
      </w:r>
      <w:r>
        <w:t>a</w:t>
      </w:r>
      <w:r>
        <w:t>nente a los miembros de la judicatura y la comunidad responsable de la aplicación de la Ley sobre la Co</w:t>
      </w:r>
      <w:r>
        <w:t>n</w:t>
      </w:r>
      <w:r>
        <w:t>vención y el Protocolo facultativo.</w:t>
      </w:r>
    </w:p>
    <w:p w:rsidR="00000000" w:rsidRDefault="00000000">
      <w:pPr>
        <w:pStyle w:val="DualTxt"/>
        <w:numPr>
          <w:ilvl w:val="0"/>
          <w:numId w:val="12"/>
        </w:numPr>
        <w:tabs>
          <w:tab w:val="clear" w:pos="960"/>
          <w:tab w:val="left" w:pos="475"/>
          <w:tab w:val="left" w:pos="965"/>
        </w:tabs>
      </w:pPr>
      <w:r>
        <w:rPr>
          <w:b/>
        </w:rPr>
        <w:t>La Sra. Kangeldieva</w:t>
      </w:r>
      <w:r>
        <w:t xml:space="preserve"> (Kirguistán) observa que, debido a la ingente deuda externa, el Gobierno tiene d</w:t>
      </w:r>
      <w:r>
        <w:t>i</w:t>
      </w:r>
      <w:r>
        <w:t>ficultades para asignar créditos presupuestarios a la política de género. De hecho, uno de los principales impedimentos a la igualdad entre los sexos lo constit</w:t>
      </w:r>
      <w:r>
        <w:t>u</w:t>
      </w:r>
      <w:r>
        <w:t>yen las restricciones presupuestarias. En lo referente a las minorías étnicas, todos son iguales con arreglo a la Constitución. Aunque se tiene en cuenta la represent</w:t>
      </w:r>
      <w:r>
        <w:t>a</w:t>
      </w:r>
      <w:r>
        <w:t>ción de los grupos étnicos en las instancias de adopción de decisiones, aún queda mucho por hacer con respecto a la representación de la mujer y los derechos de las mujeres pertenecientes a minorías étnicas. El Gobierno no concede subvenciones o donaciones a los partidos polít</w:t>
      </w:r>
      <w:r>
        <w:t>i</w:t>
      </w:r>
      <w:r>
        <w:t>cos.</w:t>
      </w:r>
    </w:p>
    <w:p w:rsidR="00000000" w:rsidRDefault="00000000">
      <w:pPr>
        <w:pStyle w:val="DualTxt"/>
        <w:numPr>
          <w:ilvl w:val="0"/>
          <w:numId w:val="12"/>
        </w:numPr>
        <w:tabs>
          <w:tab w:val="clear" w:pos="960"/>
          <w:tab w:val="left" w:pos="475"/>
          <w:tab w:val="left" w:pos="965"/>
        </w:tabs>
      </w:pPr>
      <w:r>
        <w:rPr>
          <w:b/>
        </w:rPr>
        <w:t>La Sra. Kudaiberdieva</w:t>
      </w:r>
      <w:r>
        <w:t>, en respuesta a la cue</w:t>
      </w:r>
      <w:r>
        <w:t>s</w:t>
      </w:r>
      <w:r>
        <w:t>tión sobre la colaboración del Gobierno con los medios de comunicación, dice que el Consejo Nacional está trabajando en un proyecto de ley relativo a la violencia contra la mujer, que incluye una disposición sobre la educación pertinente de los medios de comunicación. En junio de 2003, se organizó un seminario de tres días de duración sobre los aspectos de género de las cue</w:t>
      </w:r>
      <w:r>
        <w:t>s</w:t>
      </w:r>
      <w:r>
        <w:t>tiones políticas, que contó con la asistencia de 75 r</w:t>
      </w:r>
      <w:r>
        <w:t>e</w:t>
      </w:r>
      <w:r>
        <w:t>presentantes de los medios de comunicación. El a</w:t>
      </w:r>
      <w:r>
        <w:t>s</w:t>
      </w:r>
      <w:r>
        <w:t>pecto más importante del Plan Nacional de Acción en pro del logro de la igualdad entre los géneros es educar a los medios de comunicación sobre las cuestiones de género, y se ha llevado a cabo una campaña de educ</w:t>
      </w:r>
      <w:r>
        <w:t>a</w:t>
      </w:r>
      <w:r>
        <w:t>ción destinada a los cabezas de familia. Además, se han previsto reuniones con los medios de comunic</w:t>
      </w:r>
      <w:r>
        <w:t>a</w:t>
      </w:r>
      <w:r>
        <w:t>ción para formular una estrat</w:t>
      </w:r>
      <w:r>
        <w:t>e</w:t>
      </w:r>
      <w:r>
        <w:t>gia de género.</w:t>
      </w:r>
    </w:p>
    <w:p w:rsidR="00000000" w:rsidRDefault="00000000">
      <w:pPr>
        <w:pStyle w:val="DualTxt"/>
        <w:numPr>
          <w:ilvl w:val="0"/>
          <w:numId w:val="12"/>
        </w:numPr>
        <w:tabs>
          <w:tab w:val="clear" w:pos="960"/>
          <w:tab w:val="left" w:pos="475"/>
          <w:tab w:val="left" w:pos="965"/>
        </w:tabs>
      </w:pPr>
      <w:r>
        <w:rPr>
          <w:b/>
        </w:rPr>
        <w:t>La Sra. Kangeldieva,</w:t>
      </w:r>
      <w:r>
        <w:t xml:space="preserve"> refiriéndose a la cuestión de la representación de la mujer en el cuerpo diplom</w:t>
      </w:r>
      <w:r>
        <w:t>á</w:t>
      </w:r>
      <w:r>
        <w:t>tico, observa que, a raíz de la independencia, la mayor parte de los diplomáticos procedían de la ex Unión S</w:t>
      </w:r>
      <w:r>
        <w:t>o</w:t>
      </w:r>
      <w:r>
        <w:t>viética; los cargos superiores estaban ocupados may</w:t>
      </w:r>
      <w:r>
        <w:t>o</w:t>
      </w:r>
      <w:r>
        <w:t>ritariamente por hombres. En la actualidad, el Cons</w:t>
      </w:r>
      <w:r>
        <w:t>u</w:t>
      </w:r>
      <w:r>
        <w:t>lado General de Kirguistán en Estambul está encabez</w:t>
      </w:r>
      <w:r>
        <w:t>a</w:t>
      </w:r>
      <w:r>
        <w:t>do por una mujer. Tras la independencia, Kirguistán comenzó a formar a su propio personal diplomático, mujeres incluidas, y ha inaugurado una escuela dipl</w:t>
      </w:r>
      <w:r>
        <w:t>o</w:t>
      </w:r>
      <w:r>
        <w:t>mática que espera sea de utilidad para fomentar la r</w:t>
      </w:r>
      <w:r>
        <w:t>e</w:t>
      </w:r>
      <w:r>
        <w:t>present</w:t>
      </w:r>
      <w:r>
        <w:t>a</w:t>
      </w:r>
      <w:r>
        <w:t>ción de la mujer en el cuerpo diplomático.</w:t>
      </w:r>
    </w:p>
    <w:p w:rsidR="00000000" w:rsidRDefault="00000000">
      <w:pPr>
        <w:pStyle w:val="DualTxt"/>
        <w:numPr>
          <w:ilvl w:val="0"/>
          <w:numId w:val="12"/>
        </w:numPr>
        <w:tabs>
          <w:tab w:val="clear" w:pos="960"/>
          <w:tab w:val="left" w:pos="475"/>
          <w:tab w:val="left" w:pos="965"/>
        </w:tabs>
      </w:pPr>
      <w:r>
        <w:rPr>
          <w:b/>
        </w:rPr>
        <w:t>El Sr. Baialinov</w:t>
      </w:r>
      <w:r>
        <w:t xml:space="preserve"> (Kirguistán), en respuesta a una serie de preguntas sobre la nacionalidad, reconoce que existe un desequilibrio en la ley correspondiente re</w:t>
      </w:r>
      <w:r>
        <w:t>s</w:t>
      </w:r>
      <w:r>
        <w:t>pecto del sexo de los progenitores y su derecho jurídico a transmitir la nacionalidad a sus hijos. En relación con el Código de Trabajo, observa que el derecho intern</w:t>
      </w:r>
      <w:r>
        <w:t>a</w:t>
      </w:r>
      <w:r>
        <w:t>cional, incluida la Convención, forma parte de la l</w:t>
      </w:r>
      <w:r>
        <w:t>e</w:t>
      </w:r>
      <w:r>
        <w:t>gislación nacional de Kirguistán. Cuando el derecho nacional entra en conflicto con el derecho internaci</w:t>
      </w:r>
      <w:r>
        <w:t>o</w:t>
      </w:r>
      <w:r>
        <w:t>nal, éste tiene prioridad. Con respecto al sistema jud</w:t>
      </w:r>
      <w:r>
        <w:t>i</w:t>
      </w:r>
      <w:r>
        <w:t>cial, se está impartiendo capacitación a los jueces y al personal responsable de hacer cumplir la ley con la ayuda de organizaciones internacionales y gobiernos, en particular los Estados Unidos de América. Es con</w:t>
      </w:r>
      <w:r>
        <w:t>s</w:t>
      </w:r>
      <w:r>
        <w:t>ciente de los conflictos entre el derecho interno y la l</w:t>
      </w:r>
      <w:r>
        <w:t>e</w:t>
      </w:r>
      <w:r>
        <w:t>gislación internacional, especialmente en lo que re</w:t>
      </w:r>
      <w:r>
        <w:t>s</w:t>
      </w:r>
      <w:r>
        <w:t>pecta al derecho a la nacionalidad. En ese sentido, la jurisprudencia y la prioridad no están reconocidas en Kirguistán.</w:t>
      </w:r>
    </w:p>
    <w:p w:rsidR="00000000" w:rsidRDefault="00000000">
      <w:pPr>
        <w:pStyle w:val="DualTxt"/>
        <w:numPr>
          <w:ilvl w:val="0"/>
          <w:numId w:val="12"/>
        </w:numPr>
        <w:tabs>
          <w:tab w:val="clear" w:pos="960"/>
          <w:tab w:val="left" w:pos="475"/>
          <w:tab w:val="left" w:pos="965"/>
        </w:tabs>
      </w:pPr>
      <w:r>
        <w:rPr>
          <w:b/>
        </w:rPr>
        <w:t>La Sra. Kudaiberdieva</w:t>
      </w:r>
      <w:r>
        <w:t xml:space="preserve"> (Kirguistán) dice que Kirguistán se adhirió al Protocolo Facultativo de la Convención en 2002 y el Consejo Nacional convocó una mesa redonda para dar publicidad al evento, así como a la Convención. El Gobierno ha de esforzarse más por divulgar esos dos instrumentos jurídicos en el futuro.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El Sr. Baialinov</w:t>
      </w:r>
      <w:r>
        <w:t xml:space="preserve"> (Kirguistán), en respuesta a la cuestión relativa a las medidas gubernamentales para poner fin a las prácticas tradicionales perjudiciales, s</w:t>
      </w:r>
      <w:r>
        <w:t>e</w:t>
      </w:r>
      <w:r>
        <w:t>ñala que, con arreglo a la Constitución, el Estado apoya las prácticas tradicionales que no son perjudiciales. No obstante, si tales prácticas son contrarias a los derechos humanos y las libertades y entran en conflicto con el planteamiento basado en el género, entonces no recib</w:t>
      </w:r>
      <w:r>
        <w:t>i</w:t>
      </w:r>
      <w:r>
        <w:t>rán el apoyo del Estado.</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rPr>
          <w:i/>
        </w:rPr>
      </w:pPr>
      <w:r>
        <w:rPr>
          <w:i/>
        </w:rPr>
        <w:t>Artículos 10 a 14</w:t>
      </w:r>
    </w:p>
    <w:p w:rsidR="00000000" w:rsidRDefault="00000000">
      <w:pPr>
        <w:pStyle w:val="DualTxt"/>
        <w:spacing w:after="0" w:line="120" w:lineRule="exact"/>
        <w:rPr>
          <w:i/>
          <w:sz w:val="10"/>
        </w:rPr>
      </w:pP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Manalo</w:t>
      </w:r>
      <w:r>
        <w:t>, en referencia a la declaración formulada por la delegación en el sentido de que el aborto es legal en determinadas circunstancias, pr</w:t>
      </w:r>
      <w:r>
        <w:t>e</w:t>
      </w:r>
      <w:r>
        <w:t>gunta si se sigue utilizando como medio de planific</w:t>
      </w:r>
      <w:r>
        <w:t>a</w:t>
      </w:r>
      <w:r>
        <w:t>ción familiar y si se han adoptado algunas medidas concretas para desalentar esa práctica entre las muj</w:t>
      </w:r>
      <w:r>
        <w:t>e</w:t>
      </w:r>
      <w:r>
        <w:t>res. En ese sentido, acogerá con agrado estadísticas que muestren ese cambio de tendencia. En relación con el vertido de cianuro que se produjo en una de las regi</w:t>
      </w:r>
      <w:r>
        <w:t>o</w:t>
      </w:r>
      <w:r>
        <w:t>nes de Kirguistán, se pregunta qué medidas definitivas han adoptado las autoridades para prevenir vertidos similares, que afectan adversamente a la salud de la mujer y al medio ambiente. La delegación debe indicar qué medidas concretas se han adoptado para facilitar unas indemnizaciones justas por los perjuicios caus</w:t>
      </w:r>
      <w:r>
        <w:t>a</w:t>
      </w:r>
      <w:r>
        <w:t>dos a la salud de las pe</w:t>
      </w:r>
      <w:r>
        <w:t>r</w:t>
      </w:r>
      <w:r>
        <w:t>sonas y al medio ambiente.</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t>En relación con el empleo, observa dos casos en que las instituciones financieras internacionales han tratado de privatizar el sector de la salud. En lugar de crear nuevas oportunidades de empleo, esas privatiz</w:t>
      </w:r>
      <w:r>
        <w:t>a</w:t>
      </w:r>
      <w:r>
        <w:t>ciones se han traducido en despidos masivos de méd</w:t>
      </w:r>
      <w:r>
        <w:t>i</w:t>
      </w:r>
      <w:r>
        <w:t>cos, en su mayor parte mujeres, y de personal médico técnico. ¿Cómo ha ayudado el Gobierno a esas pers</w:t>
      </w:r>
      <w:r>
        <w:t>o</w:t>
      </w:r>
      <w:r>
        <w:t>nas, especialmente a las mujeres, para hacer frente a los efectos adversos iniciales de la privatización y se ha señalado la situación a la atención de las autorid</w:t>
      </w:r>
      <w:r>
        <w:t>a</w:t>
      </w:r>
      <w:r>
        <w:t>des competentes de las Naciones Unidas, especia</w:t>
      </w:r>
      <w:r>
        <w:t>l</w:t>
      </w:r>
      <w:r>
        <w:t>mente el Relator Especial de las Naciones Unidas sobre el derecho a la salud? La delegación debe explicar qué medidas paliativas han puesto en vigor las autoridades a ese respe</w:t>
      </w:r>
      <w:r>
        <w:t>c</w:t>
      </w:r>
      <w:r>
        <w:t>to.</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t>Destacando la necesidad de que las mujeres rur</w:t>
      </w:r>
      <w:r>
        <w:t>a</w:t>
      </w:r>
      <w:r>
        <w:t>les reciban el mismo trato en la reforma agraria, obse</w:t>
      </w:r>
      <w:r>
        <w:t>r</w:t>
      </w:r>
      <w:r>
        <w:t>va que una nueva ley aprobada en Kirguistán en 2001 permite al propietario de una parcela de tierra venderla únicamente en su integridad con un certificado de pr</w:t>
      </w:r>
      <w:r>
        <w:t>o</w:t>
      </w:r>
      <w:r>
        <w:t>piedad. Dado que sólo los maridos suelen estar en p</w:t>
      </w:r>
      <w:r>
        <w:t>o</w:t>
      </w:r>
      <w:r>
        <w:t>sesión de dichos certificados, una mujer que se haya separado de su marido no puede vender o intercambiar su parcela de terreno o una parte de ella. Eso es discr</w:t>
      </w:r>
      <w:r>
        <w:t>i</w:t>
      </w:r>
      <w:r>
        <w:t>minatorio contra la mujer, así como el hecho de que sólo un heredero pueda heredar la tierra. Además, dada la posibilidad de que una mujer separada de su marido se vea obligada a pagar impuestos por la parte que le corresponde de la parcela, a menudo se convierte en indigente y económicamente dependiente. El Comité quisiera saber cómo va a resolver el Gobierno esta p</w:t>
      </w:r>
      <w:r>
        <w:t>e</w:t>
      </w:r>
      <w:r>
        <w:t>nosa situación de las mujeres de Kirguistán.</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rPr>
          <w:b/>
        </w:rPr>
        <w:t xml:space="preserve">La Sra. Achmad </w:t>
      </w:r>
      <w:r>
        <w:t>expresa una grave preocupación por la persistencia de los estereotipos en la educación y los medios de comunicación. Según el informe, los e</w:t>
      </w:r>
      <w:r>
        <w:t>s</w:t>
      </w:r>
      <w:r>
        <w:t>tereotipos en la educación se traducen asimismo en un trato sexista de la mujer en el ámbito del empleo. En ese sentido, se pregunta en qué medida un estudio e</w:t>
      </w:r>
      <w:r>
        <w:t>m</w:t>
      </w:r>
      <w:r>
        <w:t>prendido por el Programa de las Naciones Unidas para el Desarrollo (PNUD) refleja la función de las instit</w:t>
      </w:r>
      <w:r>
        <w:t>u</w:t>
      </w:r>
      <w:r>
        <w:t>ciones de enseñanza superior para eliminar las actit</w:t>
      </w:r>
      <w:r>
        <w:t>u</w:t>
      </w:r>
      <w:r>
        <w:t>des sexistas. A menos que se lleven a cabo estudios p</w:t>
      </w:r>
      <w:r>
        <w:t>a</w:t>
      </w:r>
      <w:r>
        <w:t>ra identificar claramente la causas de los estereotipos, no será posible formular una estrategia válida para el</w:t>
      </w:r>
      <w:r>
        <w:t>i</w:t>
      </w:r>
      <w:r>
        <w:t>minarlos. ¿Asigna el Gobierno importancia a los est</w:t>
      </w:r>
      <w:r>
        <w:t>u</w:t>
      </w:r>
      <w:r>
        <w:t>dios e investigaciones sobre las causas de las actitudes sexistas? Observando que el 80% de los medios de c</w:t>
      </w:r>
      <w:r>
        <w:t>o</w:t>
      </w:r>
      <w:r>
        <w:t>municación eran propiedad del sector privado, solicita más información sobre cualquier estrategia formulada con objeto de potenciar la función de los medios de comunicación en la supervisión de los progresos logr</w:t>
      </w:r>
      <w:r>
        <w:t>a</w:t>
      </w:r>
      <w:r>
        <w:t>dos, así como los obstáculos encontrados en la elim</w:t>
      </w:r>
      <w:r>
        <w:t>i</w:t>
      </w:r>
      <w:r>
        <w:t>nación de los estereot</w:t>
      </w:r>
      <w:r>
        <w:t>i</w:t>
      </w:r>
      <w:r>
        <w:t>pos.</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rPr>
          <w:b/>
        </w:rPr>
        <w:t>La Sra. Schöpp-Schilling</w:t>
      </w:r>
      <w:r>
        <w:t xml:space="preserve"> desea saber hasta qué punto se tiene en cuenta la dimensión de la salud en los intentos de elaborar indicadores de género con miras a la violencia doméstica. Si bien acoge favorablemente la positiva respuesta del Estado parte a la enmienda del artículo 21, eso no es suficiente. El Gobierno debe rat</w:t>
      </w:r>
      <w:r>
        <w:t>i</w:t>
      </w:r>
      <w:r>
        <w:t>ficar la enmienda, toda vez que su entrada en vigor r</w:t>
      </w:r>
      <w:r>
        <w:t>e</w:t>
      </w:r>
      <w:r>
        <w:t xml:space="preserve">quiere la ratificación de dos tercios de los Estados partes. Además, se muestra profundamente preocupada </w:t>
      </w:r>
      <w:r>
        <w:rPr>
          <w:spacing w:val="2"/>
        </w:rPr>
        <w:t>por la repercusión de la reforma del sector de la salud y se pregunta si el Gobierno del país se percata de que se ha plasmado en una grave discriminación indirecta co</w:t>
      </w:r>
      <w:r>
        <w:rPr>
          <w:spacing w:val="2"/>
        </w:rPr>
        <w:t>n</w:t>
      </w:r>
      <w:r>
        <w:rPr>
          <w:spacing w:val="2"/>
        </w:rPr>
        <w:t>tra la mujer, en calidad tanto de proveedora como de b</w:t>
      </w:r>
      <w:r>
        <w:rPr>
          <w:spacing w:val="2"/>
        </w:rPr>
        <w:t>e</w:t>
      </w:r>
      <w:r>
        <w:rPr>
          <w:spacing w:val="2"/>
        </w:rPr>
        <w:t>neficiaria de la atención de la salud. Efectivamente, el 70% del personal médico del país está integrado</w:t>
      </w:r>
      <w:r>
        <w:t xml:space="preserve"> por mujeres, que han perdido ahora sus puestos de trabajo, y hay casi un 10% más de mujeres que hombres en el país, por lo que la mujer sufre más los efectos adversos de la reforma que el hombre. Desea saber qué medidas está adoptando el Gobierno para la reinserción del pe</w:t>
      </w:r>
      <w:r>
        <w:t>r</w:t>
      </w:r>
      <w:r>
        <w:t>sonal médico despedido. Por último, expresa su co</w:t>
      </w:r>
      <w:r>
        <w:t>n</w:t>
      </w:r>
      <w:r>
        <w:t>moción por el hecho de que haya un mayor número de niñas con peso inferior al normal que de niños, lo que es un nuevo exponente de la inferior condición de la niña.</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rPr>
          <w:b/>
        </w:rPr>
        <w:t>La Sra. Patten</w:t>
      </w:r>
      <w:r>
        <w:t xml:space="preserve"> encomia al Gobierno por recon</w:t>
      </w:r>
      <w:r>
        <w:t>o</w:t>
      </w:r>
      <w:r>
        <w:t>cer que una acertada transición a una economía de mercado depende de las reformas del sector agrícola y por promulgar sin dilación la Ley sobre la ordenación de tierras agrícolas. Una amplia sección de la pobl</w:t>
      </w:r>
      <w:r>
        <w:t>a</w:t>
      </w:r>
      <w:r>
        <w:t>ción, mujeres incluidas, se ha beneficiado efectiv</w:t>
      </w:r>
      <w:r>
        <w:t>a</w:t>
      </w:r>
      <w:r>
        <w:t>mente de la propiedad de la tierra. Sin embargo, desde su promulgación en 2001, se ha hecho rápidamente patente que la Ley no ha tomado claramente en cons</w:t>
      </w:r>
      <w:r>
        <w:t>i</w:t>
      </w:r>
      <w:r>
        <w:t>deración la dimensión de género y las repercusiones de su aplicación. Incluye varias disposiciones que impiden a las mujeres un disfrute equitativo de su derechos s</w:t>
      </w:r>
      <w:r>
        <w:t>o</w:t>
      </w:r>
      <w:r>
        <w:t>bre la tierra. La práctica actual de enajenación de la ti</w:t>
      </w:r>
      <w:r>
        <w:t>e</w:t>
      </w:r>
      <w:r>
        <w:t>rra contribuye a las prácticas tradicionales discrimin</w:t>
      </w:r>
      <w:r>
        <w:t>a</w:t>
      </w:r>
      <w:r>
        <w:t>torias y afecta adversamente a la situación económica de la mujer. Desea que se le informe sobre la estrategia gubernamental al respecto y sobre los planes para rev</w:t>
      </w:r>
      <w:r>
        <w:t>i</w:t>
      </w:r>
      <w:r>
        <w:t>sar y modificar la Ley en un futuro inmediato a fin de eliminar esas disposiciones discrimin</w:t>
      </w:r>
      <w:r>
        <w:t>a</w:t>
      </w:r>
      <w:r>
        <w:t>torias.</w:t>
      </w:r>
    </w:p>
    <w:p w:rsidR="00000000" w:rsidRDefault="00000000">
      <w:pPr>
        <w:pStyle w:val="DualTxt"/>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NO&gt;&gt;N0420582S&lt;&lt;ODS JOB NO&gt;&gt;</w:t>
      </w:r>
    </w:p>
    <w:p w:rsidR="00000000" w:rsidRDefault="00000000">
      <w:pPr>
        <w:pStyle w:val="CommentText"/>
      </w:pPr>
      <w:r>
        <w:t>&lt;&lt;ODS DOC SYMBOL1&gt;&gt;CEDAW/C/SR.632&lt;&lt;ODS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0420582s.doc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0420582s.doc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04-20582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*0420582*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8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67907"/>
    <w:multiLevelType w:val="singleLevel"/>
    <w:tmpl w:val="EAB4BDCC"/>
    <w:lvl w:ilvl="0">
      <w:start w:val="1"/>
      <w:numFmt w:val="decimal"/>
      <w:lvlRestart w:val="0"/>
      <w:lvlText w:val="%1."/>
      <w:lvlJc w:val="left"/>
      <w:pPr>
        <w:tabs>
          <w:tab w:val="num" w:pos="475"/>
        </w:tabs>
        <w:ind w:left="0" w:firstLine="0"/>
      </w:pPr>
      <w:rPr>
        <w:spacing w:val="0"/>
        <w:w w:val="100"/>
      </w:rPr>
    </w:lvl>
  </w:abstractNum>
  <w:abstractNum w:abstractNumId="1">
    <w:nsid w:val="08A30952"/>
    <w:multiLevelType w:val="singleLevel"/>
    <w:tmpl w:val="94261E0C"/>
    <w:lvl w:ilvl="0">
      <w:start w:val="25"/>
      <w:numFmt w:val="decimal"/>
      <w:lvlRestart w:val="0"/>
      <w:lvlText w:val="%1."/>
      <w:lvlJc w:val="left"/>
      <w:pPr>
        <w:tabs>
          <w:tab w:val="num" w:pos="475"/>
        </w:tabs>
        <w:ind w:left="0" w:firstLine="0"/>
      </w:pPr>
      <w:rPr>
        <w:spacing w:val="0"/>
        <w:w w:val="100"/>
      </w:rPr>
    </w:lvl>
  </w:abstractNum>
  <w:abstractNum w:abstractNumId="2">
    <w:nsid w:val="247D1257"/>
    <w:multiLevelType w:val="singleLevel"/>
    <w:tmpl w:val="C0FAB47A"/>
    <w:lvl w:ilvl="0">
      <w:start w:val="40"/>
      <w:numFmt w:val="decimal"/>
      <w:lvlRestart w:val="0"/>
      <w:lvlText w:val="%1."/>
      <w:lvlJc w:val="left"/>
      <w:pPr>
        <w:tabs>
          <w:tab w:val="num" w:pos="1742"/>
        </w:tabs>
        <w:ind w:left="1267" w:firstLine="0"/>
      </w:pPr>
      <w:rPr>
        <w:spacing w:val="0"/>
        <w:w w:val="100"/>
      </w:rPr>
    </w:lvl>
  </w:abstractNum>
  <w:abstractNum w:abstractNumId="3">
    <w:nsid w:val="29F01C52"/>
    <w:multiLevelType w:val="singleLevel"/>
    <w:tmpl w:val="E75A1924"/>
    <w:lvl w:ilvl="0">
      <w:start w:val="1"/>
      <w:numFmt w:val="decimal"/>
      <w:lvlRestart w:val="0"/>
      <w:lvlText w:val="%1."/>
      <w:lvlJc w:val="left"/>
      <w:pPr>
        <w:tabs>
          <w:tab w:val="num" w:pos="475"/>
        </w:tabs>
        <w:ind w:left="0" w:firstLine="0"/>
      </w:pPr>
      <w:rPr>
        <w:spacing w:val="0"/>
        <w:w w:val="100"/>
      </w:rPr>
    </w:lvl>
  </w:abstractNum>
  <w:abstractNum w:abstractNumId="4">
    <w:nsid w:val="2DB82AD3"/>
    <w:multiLevelType w:val="singleLevel"/>
    <w:tmpl w:val="4370A0F4"/>
    <w:lvl w:ilvl="0">
      <w:start w:val="24"/>
      <w:numFmt w:val="decimal"/>
      <w:lvlRestart w:val="0"/>
      <w:lvlText w:val="%1."/>
      <w:lvlJc w:val="left"/>
      <w:pPr>
        <w:tabs>
          <w:tab w:val="num" w:pos="475"/>
        </w:tabs>
        <w:ind w:left="0" w:firstLine="0"/>
      </w:pPr>
      <w:rPr>
        <w:spacing w:val="0"/>
        <w:w w:val="100"/>
      </w:rPr>
    </w:lvl>
  </w:abstractNum>
  <w:abstractNum w:abstractNumId="5">
    <w:nsid w:val="2E1E7201"/>
    <w:multiLevelType w:val="singleLevel"/>
    <w:tmpl w:val="56929B1E"/>
    <w:lvl w:ilvl="0">
      <w:start w:val="11"/>
      <w:numFmt w:val="decimal"/>
      <w:lvlRestart w:val="0"/>
      <w:lvlText w:val="%1."/>
      <w:lvlJc w:val="left"/>
      <w:pPr>
        <w:tabs>
          <w:tab w:val="num" w:pos="1742"/>
        </w:tabs>
        <w:ind w:left="1267" w:firstLine="0"/>
      </w:pPr>
      <w:rPr>
        <w:spacing w:val="0"/>
        <w:w w:val="100"/>
      </w:rPr>
    </w:lvl>
  </w:abstractNum>
  <w:abstractNum w:abstractNumId="6">
    <w:nsid w:val="364D5CF7"/>
    <w:multiLevelType w:val="singleLevel"/>
    <w:tmpl w:val="526EAA44"/>
    <w:lvl w:ilvl="0">
      <w:start w:val="1"/>
      <w:numFmt w:val="decimal"/>
      <w:lvlRestart w:val="0"/>
      <w:lvlText w:val="%1."/>
      <w:lvlJc w:val="left"/>
      <w:pPr>
        <w:tabs>
          <w:tab w:val="num" w:pos="475"/>
        </w:tabs>
        <w:ind w:left="0" w:firstLine="0"/>
      </w:pPr>
      <w:rPr>
        <w:spacing w:val="0"/>
        <w:w w:val="100"/>
      </w:rPr>
    </w:lvl>
  </w:abstractNum>
  <w:abstractNum w:abstractNumId="7">
    <w:nsid w:val="3675601A"/>
    <w:multiLevelType w:val="singleLevel"/>
    <w:tmpl w:val="E050FD64"/>
    <w:lvl w:ilvl="0">
      <w:start w:val="19"/>
      <w:numFmt w:val="decimal"/>
      <w:lvlRestart w:val="0"/>
      <w:lvlText w:val="%1."/>
      <w:lvlJc w:val="left"/>
      <w:pPr>
        <w:tabs>
          <w:tab w:val="num" w:pos="1742"/>
        </w:tabs>
        <w:ind w:left="1267" w:firstLine="0"/>
      </w:pPr>
      <w:rPr>
        <w:spacing w:val="0"/>
        <w:w w:val="100"/>
      </w:rPr>
    </w:lvl>
  </w:abstractNum>
  <w:abstractNum w:abstractNumId="8">
    <w:nsid w:val="4A28367C"/>
    <w:multiLevelType w:val="singleLevel"/>
    <w:tmpl w:val="564AD352"/>
    <w:lvl w:ilvl="0">
      <w:start w:val="1"/>
      <w:numFmt w:val="decimal"/>
      <w:lvlRestart w:val="0"/>
      <w:lvlText w:val="%1."/>
      <w:lvlJc w:val="left"/>
      <w:pPr>
        <w:tabs>
          <w:tab w:val="num" w:pos="475"/>
        </w:tabs>
        <w:ind w:left="0" w:firstLine="0"/>
      </w:pPr>
      <w:rPr>
        <w:spacing w:val="0"/>
        <w:w w:val="100"/>
      </w:rPr>
    </w:lvl>
  </w:abstractNum>
  <w:abstractNum w:abstractNumId="9">
    <w:nsid w:val="637A0F5E"/>
    <w:multiLevelType w:val="singleLevel"/>
    <w:tmpl w:val="1598B08E"/>
    <w:lvl w:ilvl="0">
      <w:start w:val="30"/>
      <w:numFmt w:val="decimal"/>
      <w:lvlRestart w:val="0"/>
      <w:lvlText w:val="%1."/>
      <w:lvlJc w:val="left"/>
      <w:pPr>
        <w:tabs>
          <w:tab w:val="num" w:pos="1742"/>
        </w:tabs>
        <w:ind w:left="1267" w:firstLine="0"/>
      </w:pPr>
      <w:rPr>
        <w:spacing w:val="0"/>
        <w:w w:val="100"/>
      </w:rPr>
    </w:lvl>
  </w:abstractNum>
  <w:abstractNum w:abstractNumId="10">
    <w:nsid w:val="68472D74"/>
    <w:multiLevelType w:val="singleLevel"/>
    <w:tmpl w:val="8534BDC8"/>
    <w:lvl w:ilvl="0">
      <w:start w:val="1"/>
      <w:numFmt w:val="decimal"/>
      <w:lvlRestart w:val="0"/>
      <w:lvlText w:val="%1."/>
      <w:lvlJc w:val="left"/>
      <w:pPr>
        <w:tabs>
          <w:tab w:val="num" w:pos="475"/>
        </w:tabs>
        <w:ind w:left="0" w:firstLine="0"/>
      </w:pPr>
      <w:rPr>
        <w:spacing w:val="0"/>
        <w:w w:val="100"/>
      </w:rPr>
    </w:lvl>
  </w:abstractNum>
  <w:abstractNum w:abstractNumId="11">
    <w:nsid w:val="72823646"/>
    <w:multiLevelType w:val="singleLevel"/>
    <w:tmpl w:val="63EE2AA4"/>
    <w:lvl w:ilvl="0">
      <w:start w:val="49"/>
      <w:numFmt w:val="decimal"/>
      <w:lvlRestart w:val="0"/>
      <w:lvlText w:val="%1."/>
      <w:lvlJc w:val="left"/>
      <w:pPr>
        <w:tabs>
          <w:tab w:val="num" w:pos="1742"/>
        </w:tabs>
        <w:ind w:left="1267" w:firstLine="0"/>
      </w:pPr>
      <w:rPr>
        <w:spacing w:val="0"/>
        <w:w w:val="100"/>
      </w:rPr>
    </w:lvl>
  </w:abstractNum>
  <w:abstractNum w:abstractNumId="12">
    <w:nsid w:val="758D002C"/>
    <w:multiLevelType w:val="singleLevel"/>
    <w:tmpl w:val="32929072"/>
    <w:lvl w:ilvl="0">
      <w:start w:val="45"/>
      <w:numFmt w:val="decimal"/>
      <w:lvlRestart w:val="0"/>
      <w:lvlText w:val="%1."/>
      <w:lvlJc w:val="left"/>
      <w:pPr>
        <w:tabs>
          <w:tab w:val="num" w:pos="1742"/>
        </w:tabs>
        <w:ind w:left="1267" w:firstLine="0"/>
      </w:pPr>
      <w:rPr>
        <w:spacing w:val="0"/>
        <w:w w:val="100"/>
      </w:rPr>
    </w:lvl>
  </w:abstractNum>
  <w:abstractNum w:abstractNumId="13">
    <w:nsid w:val="7B1066C4"/>
    <w:multiLevelType w:val="singleLevel"/>
    <w:tmpl w:val="564AD352"/>
    <w:lvl w:ilvl="0">
      <w:start w:val="1"/>
      <w:numFmt w:val="decimal"/>
      <w:lvlRestart w:val="0"/>
      <w:lvlText w:val="%1."/>
      <w:lvlJc w:val="left"/>
      <w:pPr>
        <w:tabs>
          <w:tab w:val="num" w:pos="475"/>
        </w:tabs>
        <w:ind w:left="0" w:firstLine="0"/>
      </w:pPr>
      <w:rPr>
        <w:spacing w:val="0"/>
        <w:w w:val="100"/>
      </w:rPr>
    </w:lvl>
  </w:abstractNum>
  <w:num w:numId="1">
    <w:abstractNumId w:val="10"/>
  </w:num>
  <w:num w:numId="2">
    <w:abstractNumId w:val="6"/>
  </w:num>
  <w:num w:numId="3">
    <w:abstractNumId w:val="5"/>
  </w:num>
  <w:num w:numId="4">
    <w:abstractNumId w:val="7"/>
  </w:num>
  <w:num w:numId="5">
    <w:abstractNumId w:val="9"/>
  </w:num>
  <w:num w:numId="6">
    <w:abstractNumId w:val="2"/>
  </w:num>
  <w:num w:numId="7">
    <w:abstractNumId w:val="3"/>
  </w:num>
  <w:num w:numId="8">
    <w:abstractNumId w:val="4"/>
  </w:num>
  <w:num w:numId="9">
    <w:abstractNumId w:val="0"/>
  </w:num>
  <w:num w:numId="10">
    <w:abstractNumId w:val="0"/>
    <w:lvlOverride w:ilvl="0">
      <w:lvl w:ilvl="0">
        <w:start w:val="1"/>
        <w:numFmt w:val="decimal"/>
        <w:lvlRestart w:val="0"/>
        <w:lvlText w:val="%1."/>
        <w:lvlJc w:val="left"/>
        <w:pPr>
          <w:tabs>
            <w:tab w:val="num" w:pos="475"/>
          </w:tabs>
          <w:ind w:left="0" w:firstLine="0"/>
        </w:pPr>
        <w:rPr>
          <w:spacing w:val="0"/>
          <w:w w:val="100"/>
        </w:rPr>
      </w:lvl>
    </w:lvlOverride>
  </w:num>
  <w:num w:numId="11">
    <w:abstractNumId w:val="0"/>
    <w:lvlOverride w:ilvl="0">
      <w:lvl w:ilvl="0">
        <w:start w:val="1"/>
        <w:numFmt w:val="decimal"/>
        <w:lvlRestart w:val="0"/>
        <w:lvlText w:val="%1."/>
        <w:lvlJc w:val="left"/>
        <w:pPr>
          <w:tabs>
            <w:tab w:val="num" w:pos="475"/>
          </w:tabs>
          <w:ind w:left="0" w:firstLine="0"/>
        </w:pPr>
        <w:rPr>
          <w:spacing w:val="0"/>
          <w:w w:val="100"/>
        </w:rPr>
      </w:lvl>
    </w:lvlOverride>
  </w:num>
  <w:num w:numId="12">
    <w:abstractNumId w:val="1"/>
  </w:num>
  <w:num w:numId="13">
    <w:abstractNumId w:val="8"/>
  </w:num>
  <w:num w:numId="14">
    <w:abstractNumId w:val="13"/>
  </w:num>
  <w:num w:numId="15">
    <w:abstractNumId w:val="1"/>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8/2005 13:24:30"/>
    <w:docVar w:name="DocCategory" w:val="SROthers"/>
    <w:docVar w:name="DocType" w:val="Final"/>
    <w:docVar w:name="JobNo" w:val="0420582S"/>
    <w:docVar w:name="OandT" w:val="pb"/>
    <w:docVar w:name="Symbol1" w:val="CEDAW/C/SR.63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348</TotalTime>
  <Pages>4</Pages>
  <Words>7856</Words>
  <Characters>44784</Characters>
  <Application>Microsoft Office Word</Application>
  <DocSecurity>4</DocSecurity>
  <Lines>373</Lines>
  <Paragraphs>89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54997</CharactersWithSpaces>
  <SharedDoc>false</SharedDoc>
  <HLinks>
    <vt:vector size="6" baseType="variant">
      <vt:variant>
        <vt:i4>4522087</vt:i4>
      </vt:variant>
      <vt:variant>
        <vt:i4>55983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Barrezueta, Piedad</dc:creator>
  <cp:keywords/>
  <dc:description/>
  <cp:lastModifiedBy>Bermúdez, Beatriz</cp:lastModifiedBy>
  <cp:revision>207</cp:revision>
  <cp:lastPrinted>2005-08-08T09:06:00Z</cp:lastPrinted>
  <dcterms:created xsi:type="dcterms:W3CDTF">2005-08-06T11:24:00Z</dcterms:created>
  <dcterms:modified xsi:type="dcterms:W3CDTF">2005-08-08T09:17:00Z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0420582</vt:lpwstr>
  </property>
  <property fmtid="{D5CDD505-2E9C-101B-9397-08002B2CF9AE}" pid="3" name="Symbol1">
    <vt:lpwstr>CEDAW/C/SR.632</vt:lpwstr>
  </property>
  <property fmtid="{D5CDD505-2E9C-101B-9397-08002B2CF9AE}" pid="4" name="Symbol2">
    <vt:lpwstr/>
  </property>
  <property fmtid="{D5CDD505-2E9C-101B-9397-08002B2CF9AE}" pid="5" name="Translator">
    <vt:lpwstr/>
  </property>
  <property fmtid="{D5CDD505-2E9C-101B-9397-08002B2CF9AE}" pid="6" name="Operator">
    <vt:lpwstr>pb</vt:lpwstr>
  </property>
  <property fmtid="{D5CDD505-2E9C-101B-9397-08002B2CF9AE}" pid="7" name="DraftPages">
    <vt:lpwstr> </vt:lpwstr>
  </property>
  <property fmtid="{D5CDD505-2E9C-101B-9397-08002B2CF9AE}" pid="8" name="Comment">
    <vt:lpwstr/>
  </property>
</Properties>
</file>