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 w:val="0"/>
                <w:i w:val="0"/>
                <w:sz w:val="72"/>
              </w:rPr>
            </w:pPr>
            <w:r>
              <w:rPr>
                <w:b w:val="0"/>
                <w:i w:val="0"/>
                <w:sz w:val="72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43472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b/>
                <w:bCs/>
                <w:i/>
                <w:sz w:val="30"/>
                <w:lang w:val="ru-RU"/>
              </w:rPr>
            </w:pPr>
            <w:r>
              <w:rPr>
                <w:b/>
                <w:bCs/>
                <w:i/>
                <w:sz w:val="30"/>
                <w:lang w:val="ru-RU"/>
              </w:rPr>
              <w:t xml:space="preserve">МЕЖДУНАРОДНАЯ </w:t>
            </w:r>
            <w:r>
              <w:rPr>
                <w:b/>
                <w:bCs/>
                <w:i/>
                <w:sz w:val="30"/>
                <w:lang w:val="ru-RU"/>
              </w:rPr>
              <w:br/>
              <w:t xml:space="preserve">КОНВЕНЦИЯ </w:t>
            </w:r>
            <w:r>
              <w:rPr>
                <w:b/>
                <w:bCs/>
                <w:i/>
                <w:sz w:val="30"/>
                <w:lang w:val="ru-RU"/>
              </w:rPr>
              <w:br/>
              <w:t xml:space="preserve">О ЛИКВИДАЦИИ </w:t>
            </w:r>
            <w:r>
              <w:rPr>
                <w:b/>
                <w:bCs/>
                <w:i/>
                <w:sz w:val="30"/>
                <w:lang w:val="ru-RU"/>
              </w:rPr>
              <w:br/>
              <w:t xml:space="preserve">ВСЕХ ФОРМ </w:t>
            </w:r>
            <w:r>
              <w:rPr>
                <w:b/>
                <w:bCs/>
                <w:i/>
                <w:sz w:val="30"/>
                <w:lang w:val="ru-RU"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  <w:lang w:val="ru-RU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>
            <w:pPr>
              <w:rPr>
                <w:lang w:val="ru-RU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szCs w:val="22"/>
                <w:lang w:val="de-CH"/>
              </w:rPr>
            </w:pPr>
            <w:r>
              <w:rPr>
                <w:sz w:val="22"/>
                <w:szCs w:val="22"/>
                <w:lang w:val="de-CH"/>
              </w:rPr>
              <w:t>CERD/C/SR.1770</w:t>
            </w:r>
          </w:p>
          <w:p w:rsidR="00000000" w:rsidRDefault="00000000">
            <w:pPr>
              <w:spacing w:line="216" w:lineRule="auto"/>
              <w:rPr>
                <w:sz w:val="22"/>
                <w:lang w:val="en-GB"/>
              </w:rPr>
            </w:pPr>
            <w:r>
              <w:rPr>
                <w:sz w:val="22"/>
                <w:lang w:val="en-US"/>
              </w:rPr>
              <w:t>24 July 2009</w:t>
            </w:r>
          </w:p>
          <w:p w:rsidR="00000000" w:rsidRDefault="00000000">
            <w:pPr>
              <w:spacing w:line="216" w:lineRule="auto"/>
              <w:rPr>
                <w:sz w:val="22"/>
                <w:lang w:val="en-GB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Original:  FRENCH</w:t>
            </w:r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GB"/>
              </w:rPr>
            </w:pPr>
          </w:p>
        </w:tc>
      </w:tr>
    </w:tbl>
    <w:p w:rsidR="00000000" w:rsidRDefault="00000000">
      <w:pPr>
        <w:spacing w:after="180"/>
        <w:jc w:val="center"/>
        <w:rPr>
          <w:lang w:val="en-GB"/>
        </w:rPr>
      </w:pPr>
    </w:p>
    <w:p w:rsidR="00000000" w:rsidRDefault="00000000">
      <w:pPr>
        <w:spacing w:after="180"/>
        <w:jc w:val="center"/>
        <w:rPr>
          <w:lang w:val="ru-RU"/>
        </w:rPr>
      </w:pPr>
      <w:r>
        <w:rPr>
          <w:lang w:val="ru-RU"/>
        </w:rPr>
        <w:t>КОМИТЕТ ПО ЛИКВИДАЦИИ РАСОВОЙ ДИСКРИМИНАЦИИ</w:t>
      </w:r>
    </w:p>
    <w:p w:rsidR="00000000" w:rsidRDefault="00000000">
      <w:pPr>
        <w:spacing w:after="240"/>
        <w:jc w:val="center"/>
        <w:rPr>
          <w:lang w:val="ru-RU"/>
        </w:rPr>
      </w:pPr>
      <w:r>
        <w:rPr>
          <w:lang w:val="ru-RU"/>
        </w:rPr>
        <w:t>Шестьдесят девятая сессия</w:t>
      </w:r>
    </w:p>
    <w:p w:rsidR="00000000" w:rsidRDefault="00000000">
      <w:pPr>
        <w:spacing w:after="240"/>
        <w:jc w:val="center"/>
        <w:rPr>
          <w:lang w:val="ru-RU"/>
        </w:rPr>
      </w:pPr>
      <w:r>
        <w:rPr>
          <w:lang w:val="ru-RU"/>
        </w:rPr>
        <w:t>КРАТКИЙ ОТЧЕТ О 1770-м ЗАСЕДАНИИ,</w:t>
      </w:r>
    </w:p>
    <w:p w:rsidR="00000000" w:rsidRDefault="00000000">
      <w:pPr>
        <w:jc w:val="center"/>
        <w:rPr>
          <w:lang w:val="ru-RU"/>
        </w:rPr>
      </w:pPr>
      <w:r>
        <w:rPr>
          <w:lang w:val="ru-RU"/>
        </w:rPr>
        <w:t>состоявшемся во Дворце Наций в Женеве во вторник,</w:t>
      </w:r>
    </w:p>
    <w:p w:rsidR="00000000" w:rsidRDefault="00000000">
      <w:pPr>
        <w:spacing w:after="240"/>
        <w:jc w:val="center"/>
        <w:rPr>
          <w:lang w:val="ru-RU"/>
        </w:rPr>
      </w:pPr>
      <w:r>
        <w:rPr>
          <w:lang w:val="ru-RU"/>
        </w:rPr>
        <w:t>8 августа 2006</w:t>
      </w:r>
      <w:r>
        <w:t> </w:t>
      </w:r>
      <w:r>
        <w:rPr>
          <w:lang w:val="ru-RU"/>
        </w:rPr>
        <w:t>года, в 15 час. 00 мин.</w:t>
      </w:r>
    </w:p>
    <w:p w:rsidR="00000000" w:rsidRDefault="00000000">
      <w:pPr>
        <w:spacing w:after="240"/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>:  г-н де ГУТТ</w:t>
      </w:r>
    </w:p>
    <w:p w:rsidR="00000000" w:rsidRDefault="00000000">
      <w:pPr>
        <w:jc w:val="center"/>
        <w:rPr>
          <w:lang w:val="ru-RU"/>
        </w:rPr>
      </w:pPr>
      <w:r>
        <w:rPr>
          <w:lang w:val="ru-RU"/>
        </w:rPr>
        <w:t>СОДЕРЖАНИЕ</w:t>
      </w:r>
    </w:p>
    <w:p w:rsidR="00000000" w:rsidRDefault="00000000">
      <w:pPr>
        <w:jc w:val="center"/>
        <w:rPr>
          <w:lang w:val="ru-RU"/>
        </w:rPr>
      </w:pPr>
    </w:p>
    <w:p w:rsidR="00000000" w:rsidRDefault="00000000">
      <w:pPr>
        <w:rPr>
          <w:lang w:val="ru-RU"/>
        </w:rPr>
      </w:pPr>
      <w:r>
        <w:rPr>
          <w:lang w:val="ru-RU"/>
        </w:rPr>
        <w:t>РАССМОТРЕНИЕ ДОКЛАДОВ, ЗАМЕЧАНИЙ И ИНФОРМАЦИИ, ПРЕДСТАВЛЕННЫХ ГОСУДАРСТВАМИ-УЧАСТНИКАМИ В СООТВЕТСТВИИ</w:t>
      </w:r>
      <w:r>
        <w:rPr>
          <w:lang w:val="ru-RU"/>
        </w:rPr>
        <w:br/>
        <w:t>СО СТАТЬЕЙ</w:t>
      </w:r>
      <w:r>
        <w:t> </w:t>
      </w:r>
      <w:r>
        <w:rPr>
          <w:lang w:val="ru-RU"/>
        </w:rPr>
        <w:t>9 КОНВЕНЦИИ (</w:t>
      </w:r>
      <w:r>
        <w:rPr>
          <w:i/>
          <w:lang w:val="ru-RU"/>
        </w:rPr>
        <w:t>продолжение</w:t>
      </w:r>
      <w:r>
        <w:rPr>
          <w:lang w:val="ru-RU"/>
        </w:rPr>
        <w:t>)</w:t>
      </w:r>
    </w:p>
    <w:p w:rsidR="00000000" w:rsidRDefault="00000000">
      <w:pPr>
        <w:jc w:val="center"/>
        <w:rPr>
          <w:lang w:val="ru-RU"/>
        </w:rPr>
      </w:pPr>
    </w:p>
    <w:p w:rsidR="00000000" w:rsidRDefault="00000000">
      <w:pPr>
        <w:rPr>
          <w:u w:val="single"/>
          <w:lang w:val="ru-RU"/>
        </w:rPr>
      </w:pPr>
      <w:r>
        <w:rPr>
          <w:lang w:val="ru-RU"/>
        </w:rPr>
        <w:tab/>
      </w:r>
      <w:r>
        <w:rPr>
          <w:u w:val="single"/>
          <w:lang w:val="ru-RU"/>
        </w:rPr>
        <w:t>Шестнадцатый-восемнадцатый периодические доклады Монголии</w:t>
      </w:r>
    </w:p>
    <w:p w:rsidR="00000000" w:rsidRDefault="00000000">
      <w:pPr>
        <w:rPr>
          <w:u w:val="single"/>
          <w:lang w:val="ru-RU"/>
        </w:rPr>
      </w:pPr>
    </w:p>
    <w:p w:rsidR="00000000" w:rsidRDefault="00000000">
      <w:pPr>
        <w:pStyle w:val="BodyText2"/>
        <w:tabs>
          <w:tab w:val="left" w:pos="570"/>
          <w:tab w:val="left" w:pos="1140"/>
        </w:tabs>
        <w:spacing w:line="240" w:lineRule="auto"/>
        <w:rPr>
          <w:sz w:val="16"/>
          <w:lang w:val="ru-RU"/>
        </w:rPr>
      </w:pPr>
      <w:r>
        <w:rPr>
          <w:sz w:val="16"/>
          <w:lang w:val="ru-RU"/>
        </w:rPr>
        <w:t>_______________________</w:t>
      </w:r>
    </w:p>
    <w:p w:rsidR="00000000" w:rsidRDefault="00000000">
      <w:pPr>
        <w:pStyle w:val="BodyText2"/>
        <w:tabs>
          <w:tab w:val="left" w:pos="570"/>
          <w:tab w:val="left" w:pos="1140"/>
        </w:tabs>
        <w:spacing w:after="0" w:line="240" w:lineRule="auto"/>
        <w:rPr>
          <w:lang w:val="ru-RU"/>
        </w:rPr>
      </w:pPr>
      <w:r>
        <w:rPr>
          <w:lang w:val="ru-RU"/>
        </w:rPr>
        <w:tab/>
      </w:r>
    </w:p>
    <w:p w:rsidR="00000000" w:rsidRDefault="00000000">
      <w:pPr>
        <w:pStyle w:val="BodyText2"/>
        <w:tabs>
          <w:tab w:val="left" w:pos="570"/>
          <w:tab w:val="left" w:pos="1140"/>
        </w:tabs>
        <w:spacing w:after="0" w:line="240" w:lineRule="auto"/>
        <w:rPr>
          <w:lang w:val="ru-RU"/>
        </w:rPr>
      </w:pPr>
      <w:r>
        <w:rPr>
          <w:lang w:val="ru-RU"/>
        </w:rPr>
        <w:tab/>
        <w:t>В настоящий отчет могут вноситься поправки.</w:t>
      </w:r>
    </w:p>
    <w:p w:rsidR="00000000" w:rsidRDefault="00000000">
      <w:pPr>
        <w:pStyle w:val="BodyText2"/>
        <w:tabs>
          <w:tab w:val="left" w:pos="570"/>
          <w:tab w:val="left" w:pos="1140"/>
        </w:tabs>
        <w:spacing w:after="0" w:line="240" w:lineRule="auto"/>
        <w:rPr>
          <w:lang w:val="ru-RU"/>
        </w:rPr>
      </w:pPr>
    </w:p>
    <w:p w:rsidR="00000000" w:rsidRDefault="00000000">
      <w:pPr>
        <w:tabs>
          <w:tab w:val="left" w:pos="570"/>
          <w:tab w:val="left" w:pos="1140"/>
        </w:tabs>
        <w:rPr>
          <w:lang w:val="ru-RU"/>
        </w:rPr>
      </w:pPr>
      <w:r>
        <w:rPr>
          <w:lang w:val="ru-RU"/>
        </w:rPr>
        <w:tab/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  </w:r>
      <w:r>
        <w:rPr>
          <w:u w:val="single"/>
          <w:lang w:val="ru-RU"/>
        </w:rPr>
        <w:t>в течение одной недели с момента выпуска настоящего документа</w:t>
      </w:r>
      <w:r>
        <w:rPr>
          <w:lang w:val="ru-RU"/>
        </w:rPr>
        <w:t xml:space="preserve"> в Секцию редактирования официальных отчетов, комната</w:t>
      </w:r>
      <w:r>
        <w:t> E</w:t>
      </w:r>
      <w:r>
        <w:rPr>
          <w:lang w:val="ru-RU"/>
        </w:rPr>
        <w:t>.4108, Дворец Наций, Женева.</w:t>
      </w:r>
    </w:p>
    <w:p w:rsidR="00000000" w:rsidRDefault="00000000">
      <w:pPr>
        <w:tabs>
          <w:tab w:val="left" w:pos="570"/>
          <w:tab w:val="left" w:pos="1140"/>
        </w:tabs>
        <w:rPr>
          <w:lang w:val="ru-RU"/>
        </w:rPr>
      </w:pPr>
    </w:p>
    <w:p w:rsidR="00000000" w:rsidRDefault="00000000">
      <w:pPr>
        <w:tabs>
          <w:tab w:val="left" w:pos="570"/>
          <w:tab w:val="left" w:pos="1140"/>
        </w:tabs>
        <w:rPr>
          <w:lang w:val="ru-RU"/>
        </w:rPr>
      </w:pPr>
      <w:r>
        <w:rPr>
          <w:lang w:val="ru-RU"/>
        </w:rP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000000" w:rsidRDefault="00000000">
      <w:pPr>
        <w:tabs>
          <w:tab w:val="center" w:pos="4677"/>
          <w:tab w:val="left" w:pos="7215"/>
        </w:tabs>
        <w:rPr>
          <w:lang w:val="ru-RU"/>
        </w:rPr>
      </w:pPr>
    </w:p>
    <w:p w:rsidR="00000000" w:rsidRDefault="00000000">
      <w:pPr>
        <w:tabs>
          <w:tab w:val="center" w:pos="4677"/>
          <w:tab w:val="left" w:pos="7215"/>
        </w:tabs>
        <w:spacing w:after="240"/>
        <w:rPr>
          <w:lang w:val="ru-RU"/>
        </w:rPr>
      </w:pPr>
      <w:r>
        <w:rPr>
          <w:lang w:val="fr-FR"/>
        </w:rPr>
        <w:t>GE</w:t>
      </w:r>
      <w:r>
        <w:rPr>
          <w:lang w:val="ru-RU"/>
        </w:rPr>
        <w:t>.06-43673</w:t>
      </w:r>
      <w:r>
        <w:rPr>
          <w:lang w:val="en-US"/>
        </w:rPr>
        <w:fldChar w:fldCharType="begin"/>
      </w:r>
      <w:r>
        <w:rPr>
          <w:lang w:val="ru-RU"/>
        </w:rPr>
        <w:instrText xml:space="preserve"> </w:instrText>
      </w:r>
      <w:r>
        <w:rPr>
          <w:lang w:val="fr-FR"/>
        </w:rPr>
        <w:instrText>FILLIN</w:instrText>
      </w:r>
      <w:r>
        <w:rPr>
          <w:lang w:val="ru-RU"/>
        </w:rPr>
        <w:instrText xml:space="preserve"> "Введите номер документа" \* </w:instrText>
      </w:r>
      <w:r>
        <w:rPr>
          <w:lang w:val="fr-FR"/>
        </w:rPr>
        <w:instrText>MERGEFORMAT</w:instrText>
      </w:r>
      <w:r>
        <w:rPr>
          <w:lang w:val="ru-RU"/>
        </w:rPr>
        <w:instrText xml:space="preserve"> </w:instrText>
      </w:r>
      <w:r>
        <w:rPr>
          <w:lang w:val="en-US"/>
        </w:rPr>
        <w:fldChar w:fldCharType="separate"/>
      </w:r>
      <w:r>
        <w:rPr>
          <w:lang w:val="en-US"/>
        </w:rPr>
        <w:fldChar w:fldCharType="end"/>
      </w:r>
      <w:r>
        <w:rPr>
          <w:lang w:val="ru-RU"/>
        </w:rPr>
        <w:t xml:space="preserve">   (</w:t>
      </w:r>
      <w:r>
        <w:t>EXT</w:t>
      </w:r>
      <w:r>
        <w:rPr>
          <w:lang w:val="ru-RU"/>
        </w:rPr>
        <w:t xml:space="preserve">) </w:t>
      </w:r>
      <w:r>
        <w:rPr>
          <w:lang w:val="ru-RU"/>
        </w:rPr>
        <w:br w:type="page"/>
      </w:r>
      <w:r>
        <w:rPr>
          <w:lang w:val="ru-RU"/>
        </w:rPr>
        <w:tab/>
      </w:r>
      <w:r>
        <w:rPr>
          <w:i/>
          <w:lang w:val="ru-RU"/>
        </w:rPr>
        <w:t>Заседание открывается в 15 час. 15 мин</w:t>
      </w:r>
      <w:r>
        <w:rPr>
          <w:lang w:val="ru-RU"/>
        </w:rPr>
        <w:t>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РАССМОТРЕНИЕ ДОКЛАДОВ, ЗАМЕЧАНИЙ И ИНФОРМАЦИИ, ПРЕДСТАВЛЕННЫХ ГОСУДАРСТВАМИ-УЧАСТНИКАМИ В СООТВЕТСТВИИ</w:t>
      </w:r>
      <w:r>
        <w:rPr>
          <w:lang w:val="ru-RU"/>
        </w:rPr>
        <w:br/>
        <w:t>СО СТАТЬЕЙ</w:t>
      </w:r>
      <w:r>
        <w:t> </w:t>
      </w:r>
      <w:r>
        <w:rPr>
          <w:lang w:val="ru-RU"/>
        </w:rPr>
        <w:t>9 КОНВЕНЦИИ (пункт 4 повестки дня) (</w:t>
      </w:r>
      <w:r>
        <w:rPr>
          <w:i/>
          <w:lang w:val="ru-RU"/>
        </w:rPr>
        <w:t>продолжение</w:t>
      </w:r>
      <w:r>
        <w:rPr>
          <w:lang w:val="ru-RU"/>
        </w:rPr>
        <w:t>)</w:t>
      </w:r>
    </w:p>
    <w:p w:rsidR="00000000" w:rsidRDefault="00000000">
      <w:pPr>
        <w:spacing w:after="240"/>
        <w:rPr>
          <w:lang w:val="ru-RU"/>
        </w:rPr>
      </w:pPr>
      <w:r>
        <w:rPr>
          <w:u w:val="single"/>
          <w:lang w:val="ru-RU"/>
        </w:rPr>
        <w:t>Шестнадцатый-восемнадцатый периодические доклады Монголии</w:t>
      </w:r>
      <w:r>
        <w:rPr>
          <w:lang w:val="ru-RU"/>
        </w:rPr>
        <w:t xml:space="preserve"> (</w:t>
      </w:r>
      <w:r>
        <w:t>CERD</w:t>
      </w:r>
      <w:r>
        <w:rPr>
          <w:lang w:val="ru-RU"/>
        </w:rPr>
        <w:t>/</w:t>
      </w:r>
      <w:r>
        <w:t>C</w:t>
      </w:r>
      <w:r>
        <w:rPr>
          <w:lang w:val="ru-RU"/>
        </w:rPr>
        <w:t>/476/</w:t>
      </w:r>
      <w:r>
        <w:t>Add</w:t>
      </w:r>
      <w:r>
        <w:rPr>
          <w:lang w:val="ru-RU"/>
        </w:rPr>
        <w:t xml:space="preserve">.6; </w:t>
      </w:r>
      <w:r>
        <w:t>HRI</w:t>
      </w:r>
      <w:r>
        <w:rPr>
          <w:lang w:val="ru-RU"/>
        </w:rPr>
        <w:t>/</w:t>
      </w:r>
      <w:r>
        <w:t>CORE</w:t>
      </w:r>
      <w:r>
        <w:rPr>
          <w:lang w:val="ru-RU"/>
        </w:rPr>
        <w:t>/</w:t>
      </w:r>
      <w:r>
        <w:t>MNG</w:t>
      </w:r>
      <w:r>
        <w:rPr>
          <w:lang w:val="ru-RU"/>
        </w:rPr>
        <w:t>/2005; список вопросов, документ без условного обозначения, распространявшийся в зале заседания только на английском языке)</w:t>
      </w:r>
    </w:p>
    <w:p w:rsidR="00000000" w:rsidRDefault="00000000">
      <w:pPr>
        <w:spacing w:after="240"/>
        <w:rPr>
          <w:i/>
          <w:iCs/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</w:r>
      <w:r>
        <w:rPr>
          <w:i/>
          <w:lang w:val="ru-RU"/>
        </w:rPr>
        <w:t>По приглашению Председателя члены делегации Монголии занимают места за столом Комитета</w:t>
      </w:r>
      <w:r>
        <w:rPr>
          <w:i/>
          <w:iCs/>
          <w:lang w:val="ru-RU"/>
        </w:rPr>
        <w:t>.</w:t>
      </w:r>
    </w:p>
    <w:p w:rsidR="00000000" w:rsidRDefault="00000000">
      <w:pPr>
        <w:spacing w:after="240"/>
        <w:rPr>
          <w:lang w:val="ru-RU"/>
        </w:rPr>
      </w:pPr>
      <w:r>
        <w:rPr>
          <w:iCs/>
          <w:lang w:val="ru-RU"/>
        </w:rPr>
        <w:t>2.</w:t>
      </w:r>
      <w:r>
        <w:rPr>
          <w:iCs/>
          <w:lang w:val="ru-RU"/>
        </w:rPr>
        <w:tab/>
      </w:r>
      <w:r>
        <w:rPr>
          <w:u w:val="single"/>
          <w:lang w:val="ru-RU"/>
        </w:rPr>
        <w:t>Г-н ОДБАЯР</w:t>
      </w:r>
      <w:r>
        <w:rPr>
          <w:lang w:val="ru-RU"/>
        </w:rPr>
        <w:t xml:space="preserve"> (Монголия) Монголия всегда точно соблюдала обязательства, взятые на себя в соответствии с Конвенцией с момента подписания этого документа в 1969 году. За пятнадцать лет Монголия приняла важные меры по соблюдению международных норм по правам человека. Так, в 1992 году она приняла новую демократическую Конституцию</w:t>
      </w:r>
      <w:r>
        <w:rPr>
          <w:lang w:val="fr-FR"/>
        </w:rPr>
        <w:t xml:space="preserve">, </w:t>
      </w:r>
      <w:r>
        <w:rPr>
          <w:lang w:val="ru-RU"/>
        </w:rPr>
        <w:t>которая</w:t>
      </w:r>
      <w:r>
        <w:rPr>
          <w:lang w:val="fr-FR"/>
        </w:rPr>
        <w:t xml:space="preserve"> </w:t>
      </w:r>
      <w:r>
        <w:rPr>
          <w:lang w:val="ru-RU"/>
        </w:rPr>
        <w:t>закрепляет</w:t>
      </w:r>
      <w:r>
        <w:rPr>
          <w:lang w:val="fr-FR"/>
        </w:rPr>
        <w:t xml:space="preserve"> </w:t>
      </w:r>
      <w:r>
        <w:rPr>
          <w:lang w:val="ru-RU"/>
        </w:rPr>
        <w:t>права</w:t>
      </w:r>
      <w:r>
        <w:rPr>
          <w:lang w:val="fr-FR"/>
        </w:rPr>
        <w:t xml:space="preserve"> </w:t>
      </w:r>
      <w:r>
        <w:rPr>
          <w:lang w:val="ru-RU"/>
        </w:rPr>
        <w:t>человека</w:t>
      </w:r>
      <w:r>
        <w:rPr>
          <w:lang w:val="fr-FR"/>
        </w:rPr>
        <w:t xml:space="preserve"> </w:t>
      </w:r>
      <w:r>
        <w:rPr>
          <w:lang w:val="ru-RU"/>
        </w:rPr>
        <w:t>и</w:t>
      </w:r>
      <w:r>
        <w:rPr>
          <w:lang w:val="fr-FR"/>
        </w:rPr>
        <w:t xml:space="preserve"> </w:t>
      </w:r>
      <w:r>
        <w:rPr>
          <w:lang w:val="ru-RU"/>
        </w:rPr>
        <w:t>верховенство</w:t>
      </w:r>
      <w:r>
        <w:rPr>
          <w:lang w:val="fr-FR"/>
        </w:rPr>
        <w:t xml:space="preserve"> </w:t>
      </w:r>
      <w:r>
        <w:rPr>
          <w:lang w:val="ru-RU"/>
        </w:rPr>
        <w:t>права</w:t>
      </w:r>
      <w:r>
        <w:rPr>
          <w:lang w:val="fr-FR"/>
        </w:rPr>
        <w:t xml:space="preserve">. </w:t>
      </w:r>
      <w:r>
        <w:rPr>
          <w:lang w:val="ru-RU"/>
        </w:rPr>
        <w:t>Статья</w:t>
      </w:r>
      <w:r>
        <w:t> </w:t>
      </w:r>
      <w:r>
        <w:rPr>
          <w:lang w:val="ru-RU"/>
        </w:rPr>
        <w:t>14 Конституции Монголии провозглашает, что все лица, проживающие в Монголии на законных основаниях, равны перед законом и судом независимо от их гражданства, языка, расы, пола, этнического и социального происхождения, имущественного положения, рода занятий и должности, религии, убеждений или образования (пункт</w:t>
      </w:r>
      <w:r>
        <w:t> </w:t>
      </w:r>
      <w:r>
        <w:rPr>
          <w:lang w:val="ru-RU"/>
        </w:rPr>
        <w:t xml:space="preserve">24).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  <w:t>Кроме того, в соответствии с рекомендациями, сформулированными в Программе действий Всемирной конференции по правам человека, состоявшейся в Вене в1993 году, монгольское правительство в 2003 году приняло Национальную программу действий в области прав человека на основе международных документов по правам человека, которая, в частности, предусматривает, что меры по ее осуществлению подлежат пересмотру каждые четыре года. Монголия, которая приняла активное участие в Саммите тысячелетия Организации Объединенных Наций в 2000 году, определила свои собственные цели тысячелетия и предпринимает все усилия по обеспечению социально-экономического процветания и благополучия своих граждан, и эта деятельность несомненно будет способствовать дальнейшему улучшению прав человека в стране.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  <w:t>Г-н Одбаяр подчеркивает, что для обеспечения соответствия международным нормам по правам человека Монголия в 2001 году создала независимый орган  –Национальную комиссию по правам человека – который регулярно представляет свои рекомендации и замечания по вопросам, имеющим отношение к правам человека, в парламент, совет министров и другие государственные органы. В заключение, г-н Одбаяр отмечает, что в стране не было отмечено ни одного случая расовой дискриминации.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</w:r>
      <w:r>
        <w:rPr>
          <w:u w:val="single"/>
          <w:lang w:val="ru-RU"/>
        </w:rPr>
        <w:t>Г-н ГАНБАТ</w:t>
      </w:r>
      <w:r>
        <w:rPr>
          <w:lang w:val="ru-RU"/>
        </w:rPr>
        <w:t xml:space="preserve"> (Монголия), отвечая на первый вопрос из списка вопросов, отмечает, что международные инструменты, стороной которых является Монголия, применяются в стране наравне с национальными законами, за исключением тех, которые противоречат Конституции Монголии. Законом предусмотрено, что в случае несоответствия положений международных договоров национальному законодательству, превалируют эти положения. </w:t>
      </w:r>
    </w:p>
    <w:p w:rsidR="00000000" w:rsidRDefault="00000000">
      <w:pPr>
        <w:autoSpaceDE w:val="0"/>
        <w:autoSpaceDN w:val="0"/>
        <w:adjustRightInd w:val="0"/>
        <w:spacing w:after="240"/>
        <w:rPr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  <w:t xml:space="preserve">По вопросу участия организаций гражданского общества в осуществлении Конвенции, г-н Ганбат говорит, что статья 16 Конституции признает за всеми гражданами право создавать партии и другие общественные организации, </w:t>
      </w:r>
      <w:r>
        <w:rPr>
          <w:bCs/>
          <w:szCs w:val="24"/>
          <w:lang w:val="ru-RU"/>
        </w:rPr>
        <w:t xml:space="preserve">исходя из общественных и собственных интересов и взглядов, а также право на свободу на объединения этих организаций. </w:t>
      </w:r>
      <w:r>
        <w:rPr>
          <w:lang w:val="ru-RU"/>
        </w:rPr>
        <w:t>Эта же статья также признает право каждого на свободу мысли, свободу убеждений и на свободное их выражение, право на свободу слова, печати и мирных собраний. Закон 1997 года, регулирующий вопросы неправительственных организаций (НПО), предусматривает, что все граждане, а также все юридические лица имеют право, индивидуально или коллективно, создавать неправительственные организации, и что иностранные граждане и апатриды, на законных основаниях проживающие в стране, также имеют право создавать такие организации и вступать в них. В настоящее время в министерстве юстиции и внутренних дел зарегистрировано 8</w:t>
      </w:r>
      <w:r>
        <w:t> </w:t>
      </w:r>
      <w:r>
        <w:rPr>
          <w:lang w:val="ru-RU"/>
        </w:rPr>
        <w:t>000 НПО. Они активно вносят вклад в осуществление Конвенции и принимают широкое участие в деле соблюдения международного права и национального законодательства в области защиты и поощрения прав человека.</w:t>
      </w:r>
    </w:p>
    <w:p w:rsidR="00000000" w:rsidRDefault="00000000">
      <w:pPr>
        <w:pStyle w:val="ListBullet"/>
        <w:spacing w:after="240" w:line="240" w:lineRule="auto"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  <w:t>Говоря о составе населения, г-н Ганбат указывает, что переписи населения проводятся каждые десять лет. Согласно данным, полученным в ходе последней переписи, проводившейся в 2000 году, в Монголии существуют две основные национальные группы -  халха-монголы и казахи, и 15 национальных меньшинств, которые говорят на монгольском языке и на разных региональных диалектах. К другим этническим группам, представляющим 4,5 % населения, относятся, в частности, элджигены, цаатаны, хамниганы, хошуунды, сартуулы, тувинцы, шантуу и халимаги. Кроме того, в Монголии проживает 26</w:t>
      </w:r>
      <w:r>
        <w:t> </w:t>
      </w:r>
      <w:r>
        <w:rPr>
          <w:lang w:val="ru-RU"/>
        </w:rPr>
        <w:t xml:space="preserve">282 иностранных граждан и апатридов, а их юридический статус регулируется Законом о юридическом статусе иностранных граждан 1993 года (пункт 33). С другой стороны, учитывая, что Монголия еще не ратифицировала принятую в 1951 году Конвенцию о статусе беженцев, монгольское законодательство не содержит определения термина беженцы. </w:t>
      </w:r>
    </w:p>
    <w:p w:rsidR="00000000" w:rsidRDefault="00000000">
      <w:pPr>
        <w:pStyle w:val="ListBullet"/>
        <w:spacing w:after="240" w:line="240" w:lineRule="auto"/>
        <w:rPr>
          <w:lang w:val="ru-RU"/>
        </w:rPr>
      </w:pPr>
      <w:r>
        <w:rPr>
          <w:lang w:val="ru-RU"/>
        </w:rPr>
        <w:t>8.</w:t>
      </w:r>
      <w:r>
        <w:rPr>
          <w:lang w:val="ru-RU"/>
        </w:rPr>
        <w:tab/>
        <w:t xml:space="preserve">Отвечая на вопрос 4 о наличии определения расовой дискриминации во внутреннем законодательстве, г-н Ганбат объясняет, что, поскольку Конвенция применяется в Монголии наравне с национальным законодательством, определение, содержащееся в статье 1 этого международного документа, применимо во внутреннем праве. Кроме того, в упоминавшейся выше статье 14 Конституции перечисляются мотивы, по которым запрещается всякая дискриминация, включая этническое происхождение, язык, расу, социальное происхождение, занимаемое положение и вероисповедание.  </w:t>
      </w:r>
    </w:p>
    <w:p w:rsidR="00000000" w:rsidRDefault="00000000">
      <w:pPr>
        <w:pStyle w:val="ListBullet"/>
        <w:spacing w:after="240" w:line="240" w:lineRule="auto"/>
        <w:rPr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  <w:t xml:space="preserve">Помимо этого, г-н Ганбат поясняет, что Монголия ведет обстоятельную подготовительную работу по предстоящей ратификации Конвенции 1951 года о статусе беженцев и что имеется широкий консенсус по вопросу о присоединении к этому документу как среди общественности, так и среди государственных органов власти. Монголия поддерживает тесное сотрудничество с Управлением Верховного комиссара Организации Объединенных Наций по делам беженцев (УВКБ), представители которого в 2000 году впервые посетили Монголию, что позволило подписать Меморандум о договоренности между Управлением Верховного комиссара и правительством в отношении разработки плана действий, направленного на содействие процессу принятия закона о беженцах и на расширение национальных возможностей по приему беженцев.  </w:t>
      </w:r>
    </w:p>
    <w:p w:rsidR="00000000" w:rsidRDefault="00000000">
      <w:pPr>
        <w:pStyle w:val="ListBullet"/>
        <w:spacing w:after="240" w:line="240" w:lineRule="auto"/>
        <w:rPr>
          <w:lang w:val="ru-RU"/>
        </w:rPr>
      </w:pPr>
      <w:r>
        <w:rPr>
          <w:lang w:val="ru-RU"/>
        </w:rPr>
        <w:t>10.</w:t>
      </w:r>
      <w:r>
        <w:rPr>
          <w:lang w:val="ru-RU"/>
        </w:rPr>
        <w:tab/>
        <w:t xml:space="preserve">Г-н Ганбат отмечает, что Монголия пока еще не приняла решения о ратификации Конвенции 1954 года о статусе апатридов и Конвенции 1961 года о сокращении безгражданства. Информация по этому вопросу будет представлена в следующем периодическом докладе. 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11.</w:t>
      </w:r>
      <w:r>
        <w:rPr>
          <w:lang w:val="ru-RU"/>
        </w:rPr>
        <w:tab/>
        <w:t xml:space="preserve">Отвечая на вопрос, предполагает ли Монголия принять отдельное уголовное законодательство, призванное объявить противозаконными и запретить все организации, которые поощряют расовую дискриминацию и подстрекательство к ней, в соответствии со статьей 4 </w:t>
      </w:r>
      <w:r>
        <w:t>b</w:t>
      </w:r>
      <w:r>
        <w:rPr>
          <w:lang w:val="ru-RU"/>
        </w:rPr>
        <w:t xml:space="preserve">) Конвенции, г-н Ганбат подчеркивает, что в соответствии с Конституцией и Конвенцией, которая полноправно применяется в стране, любой акт, в основе которого лежит расовая дискриминация, является незаконным. Кроме того, в соответствии со статей 20 1) нового Уголовного кодекса, принятого в 2002 году, в случае такого правонарушения наступает уголовная ответственность физических лиц, предусматривающая уголовное наказание. Если данное правонарушение связано с действиями юридических лиц, то в этом случае наступает их административная ответственность, и подобные организации могут подлежать роспуску.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  <w:t xml:space="preserve">Отвечая на вопрос 8 из списка вопросов в отношении осуществления прав, провозглашенных в статье 16 Конституции, негражданами, г-н Ганбат подчеркивает, что монгольское законодательство совместимо с общей рекомендацией </w:t>
      </w:r>
      <w:r>
        <w:t>XXX</w:t>
      </w:r>
      <w:r>
        <w:rPr>
          <w:lang w:val="ru-RU"/>
        </w:rPr>
        <w:t xml:space="preserve"> Комитета, и никакое положение внутреннего права не ограничивает неотъемлемых прав лиц, что также распространяется на неграждан и апатридов. Статус иностранцев определяется Законом 1993 года о юридическом статусе иностранных граждан, в частности статьями 8-11. Кроме того, в соответствии с новым Гражданским кодексом от 2002 года, монгольские граждане, иностранцы и апатриды уравниваются в этих правах. 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  <w:t xml:space="preserve">В ответ на вопрос 9 из списка вопросов в отношении мер, принятых государством-участником по результатам доклада Комиссии по правам человека о положении меньшинства цаатан, г-н Гамбат указывает, что вскоре после публикации этого доклада министерство образования, культуры и науки  совместно с Комиссией по правам человека организовало национальную конференцию по положению этого меньшинства. По итогам этой конференции в декабре 2005 года был принят указ, предусматривающий реализацию программы обучения тувинскому языку вместе с целым рядом мер, направленных на развитие культуры меньшинства цаатан.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14.</w:t>
      </w:r>
      <w:r>
        <w:rPr>
          <w:lang w:val="ru-RU"/>
        </w:rPr>
        <w:tab/>
        <w:t>Обращаясь к вопросу 10, где Докладчик по стране просит представить статистические данные о наличии представителей национальных меньшинств в парламенте, администрации (в центральных учреждениях и на местах), в судебных органах и полиции, г-н Ганбат подчеркивает, что все монгольские граждане, обладающие соответствующей квалификацией, имеют доступ без какой-либо дискриминации к государственным должностям. Таким образом, с момента парламентских выборов 2004 года 76 мест в парламенте распределяются среди представителей девяти этнических групп, а именно: халха-монголы (89,5</w:t>
      </w:r>
      <w:r>
        <w:t> </w:t>
      </w:r>
      <w:r>
        <w:rPr>
          <w:lang w:val="ru-RU"/>
        </w:rPr>
        <w:t>%), казахи, дербеты и баяты (3,9</w:t>
      </w:r>
      <w:r>
        <w:t> </w:t>
      </w:r>
      <w:r>
        <w:rPr>
          <w:lang w:val="ru-RU"/>
        </w:rPr>
        <w:t>% каждая группа), буряты (2,6 % ) и четыре других меньшинства (1,3</w:t>
      </w:r>
      <w:r>
        <w:t> </w:t>
      </w:r>
      <w:r>
        <w:rPr>
          <w:lang w:val="ru-RU"/>
        </w:rPr>
        <w:t>% каждая группа). В совет министров входит 17</w:t>
      </w:r>
      <w:r>
        <w:t> </w:t>
      </w:r>
      <w:r>
        <w:rPr>
          <w:lang w:val="ru-RU"/>
        </w:rPr>
        <w:t>членов, являющихся представителями четырех этнических групп, а именно: халха-монголы (76,47</w:t>
      </w:r>
      <w:r>
        <w:t> </w:t>
      </w:r>
      <w:r>
        <w:rPr>
          <w:lang w:val="ru-RU"/>
        </w:rPr>
        <w:t>%), дербеты (11,76</w:t>
      </w:r>
      <w:r>
        <w:t> </w:t>
      </w:r>
      <w:r>
        <w:rPr>
          <w:lang w:val="ru-RU"/>
        </w:rPr>
        <w:t>%), баяты (5,88</w:t>
      </w:r>
      <w:r>
        <w:t> </w:t>
      </w:r>
      <w:r>
        <w:rPr>
          <w:lang w:val="ru-RU"/>
        </w:rPr>
        <w:t>%) и дархаты (5,88</w:t>
      </w:r>
      <w:r>
        <w:t> </w:t>
      </w:r>
      <w:r>
        <w:rPr>
          <w:lang w:val="ru-RU"/>
        </w:rPr>
        <w:t xml:space="preserve">%).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  <w:t>В местных администрациях 44 высокопоставленных чиновника в аймаках и в столице представляют шесть этнических групп: халха-монголы (84</w:t>
      </w:r>
      <w:r>
        <w:t> </w:t>
      </w:r>
      <w:r>
        <w:rPr>
          <w:lang w:val="ru-RU"/>
        </w:rPr>
        <w:t>%), казахи и дариганга (4,5%</w:t>
      </w:r>
      <w:r>
        <w:t> </w:t>
      </w:r>
      <w:r>
        <w:rPr>
          <w:lang w:val="ru-RU"/>
        </w:rPr>
        <w:t>каждая), дербеты, буряты и баяты (2,3</w:t>
      </w:r>
      <w:r>
        <w:t> </w:t>
      </w:r>
      <w:r>
        <w:rPr>
          <w:lang w:val="ru-RU"/>
        </w:rPr>
        <w:t>% каждая). В Монголии работает 409</w:t>
      </w:r>
      <w:r>
        <w:t> </w:t>
      </w:r>
      <w:r>
        <w:rPr>
          <w:lang w:val="ru-RU"/>
        </w:rPr>
        <w:t>судей, и они являются представителями 11 меньшинств: халха-монголы (84,8</w:t>
      </w:r>
      <w:r>
        <w:t> </w:t>
      </w:r>
      <w:r>
        <w:rPr>
          <w:lang w:val="ru-RU"/>
        </w:rPr>
        <w:t>%) и десять других этнических групп (15,2</w:t>
      </w:r>
      <w:r>
        <w:t> </w:t>
      </w:r>
      <w:r>
        <w:rPr>
          <w:lang w:val="ru-RU"/>
        </w:rPr>
        <w:t>%). И, наконец, 12 этнических групп представлено в полиции, причем доля сотрудников, не являющихся халха-монголами составляет 5,1</w:t>
      </w:r>
      <w:r>
        <w:t> </w:t>
      </w:r>
      <w:r>
        <w:rPr>
          <w:lang w:val="ru-RU"/>
        </w:rPr>
        <w:t>%. Однако процентное отношение зависит от конкретного аймака: например, в аймаке Баян-Улгий, где преобладает казахское население, 93,3</w:t>
      </w:r>
      <w:r>
        <w:t> </w:t>
      </w:r>
      <w:r>
        <w:rPr>
          <w:lang w:val="ru-RU"/>
        </w:rPr>
        <w:t xml:space="preserve">% государственных служащих являются казахами. 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  <w:t xml:space="preserve">Отвечая на вопрос 11 из списка вопросов, в котором запрашивались разъяснения по некоторым положениям Закона 1993 года о юридическом статусе иностранных граждан, особенно по тем положениям, согласно которым устанавливается количественный порог и запрещается заниматься политической деятельностью и исповедовать религию, не соответствующую монгольским обычаям и законам, г-н Ганбат поясняет, что, поскольку в Монголии проживает только 2,5 млн. граждан, и она по-прежнему является развивающейся страной, государство сочло целесообразным установить количественный порог, чтобы обеспечить национальную независимость и безопасность, а также сохранить национальную культуру. В свою очередь, запрет для иностранцев, затрагивающий политическую деятельность и свободу вероисповедания, имеет целью дать возможность монгольским гражданам осуществлять свои политические права.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  <w:t>По вопросу 12, касающемуся правил и процедур, применяемых к просителям убежища, г-н Ганбат поясняет, что, поскольку Монголия пока еще не присоединилась к Конвенции 1951 года о статусе беженцев, у нее нет ни юридического определения статуса беженца, ни подробных правил в этой области. Тем не менее, правительство рассматривает заявления о предоставлении убежища в тесном сотрудничестве с Управлением Верховного комиссара Организации Объединенных Наций по делам беженцев (УВКБ), чтобы избежать нарушений прав человека. Подробные статистические данные по заявлениям о предоставлении убежища должны быть включены в девятнадцатый периодический доклад.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  <w:t xml:space="preserve">Отвечая на вопрос 13 по проблеме торговли людьми, в данном случае торговли женщинами и детьми, г-н Ганбат говорит, что, если судить по статистическим данным, жертвы, похоже, не принадлежат к какой-то конкретной этнической группе. Хотя уголовным правом предусмотрены положения, запрещающие торговлю людьми, и первое дело такого рода рассматривалось судом в 2006 году, следует признать необходимость принятия срочных мер, учитывая, что государству не хватает опыта, средств и финансовых ресурсов для борьбы с этим явлением. Поэтому правительство приняло план действий для усиления национальных средств борьбы против транснациональной организованной преступности, рассчитанный до 2008 года. Недавно министерством юстиции и внутренних дел и Комиссией по правам человека были организованы учебные практикумы по этому вопросу. 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19.</w:t>
      </w:r>
      <w:r>
        <w:rPr>
          <w:lang w:val="ru-RU"/>
        </w:rPr>
        <w:tab/>
        <w:t>Касаясь вопроса 14 о мерах, принятых для борьбы с бедностью, затрагивающей этнические меньшинства, проживающие в сельских и отдаленных районах, г-н Ганбат говорит, что монгольское правительство разделяет цели Тысячелетия и уже приняло меры по развитию соответствующих зон и регионов. Кроме того, в 2003 году был принят Закон об управлении региональным развитием и его финансировании, на основе которого парламент принял концептуальный документ по вопросу регионального развития. В соответствии с этим документом, правительство взяло на себя задачу по сокращению различий между регионами и для этого создало центры содействия развитию в шести регионах страны.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20.</w:t>
      </w:r>
      <w:r>
        <w:rPr>
          <w:lang w:val="ru-RU"/>
        </w:rPr>
        <w:tab/>
        <w:t>Отвечая на вопрос 15, относящийся к положениям статьи 11.3 Закона о юридическом статусе иностранных граждан, упомянутой в докладе (пункт</w:t>
      </w:r>
      <w:r>
        <w:t> </w:t>
      </w:r>
      <w:r>
        <w:rPr>
          <w:lang w:val="ru-RU"/>
        </w:rPr>
        <w:t xml:space="preserve">55), г-н Ганбат уточняет, что эта статья не имеет целью ограничить права иностранцев, а лишь запрещает иностранцам менять работодателя без уведомления об этом центральных государственных органов, занимающихся вопросами занятости.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  <w:t>Обращаясь к вопросу 16 о статусе языков этнических меньшинств в монгольском законодательстве, г-н Ганбат отмечает, что Конституция запрещает дискриминацию по признаку языка и признает культуру этнических меньшинств, проживающих в Монголии.  Согласно Закону 2003 года о государственном языке (пункт</w:t>
      </w:r>
      <w:r>
        <w:t> </w:t>
      </w:r>
      <w:r>
        <w:rPr>
          <w:lang w:val="ru-RU"/>
        </w:rPr>
        <w:t>68 доклада), национальные меньшинства могут получать образование на своем языке. Так, казахи, 90</w:t>
      </w:r>
      <w:r>
        <w:t> </w:t>
      </w:r>
      <w:r>
        <w:rPr>
          <w:lang w:val="ru-RU"/>
        </w:rPr>
        <w:t>% которых живет в аймаке Баян-Улгий, имеют возможность получать образование на своем родном языке; школьные учебники были переведены на казахский язык, а также были подготовлены преподаватели казахского языка. Учитывая, что казахи составляют 97</w:t>
      </w:r>
      <w:r>
        <w:t> </w:t>
      </w:r>
      <w:r>
        <w:rPr>
          <w:lang w:val="ru-RU"/>
        </w:rPr>
        <w:t xml:space="preserve">% населения этого аймака, они могут пользоваться своим языком при обращении в административные органы и суды.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  <w:t xml:space="preserve">Что касается вопроса 17 о правах меньшинств, который касается создания и использования ими своих средств массовой информации, а также количества таких средств, передающих информацию на языках меньшинств, г-н Ганбат отмечает, что закон признает за каждым гражданином право открывать свои частные радиостанции или телеканалы. На казахском языке выходят две газеты, созданные в 1941 и 2003 гг., и имеется также одна радиостанция, ведущая передачи на монгольском и казахском языке в аймаках, где живут казахи. 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  <w:t>В отношении вопросов 18 и 19, связанных с выполнением статьи 6 Конвенции и касающихся, соответственно, отсутствия, согласно докладу (пункт</w:t>
      </w:r>
      <w:r>
        <w:t> </w:t>
      </w:r>
      <w:r>
        <w:rPr>
          <w:lang w:val="ru-RU"/>
        </w:rPr>
        <w:t>20), случаев дискриминации в Монголии и наличия средств правовой защиты для жертв расовой дискриминации, г-н Ганбат говорит о том факте, что Монголия является развивающейся страной, где бюрократия и неэффективность административной системы привели к тому, что не было зарегистрировано ни одного случая расовой дискриминации. Тем не менее, принимаются меры к повышению эффективности работы административных органов и расширению возможностей полиции, прокуроров, судей и других сотрудников государственных учреждений.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  <w:t xml:space="preserve">Что касается средств правовой защиты, имеющихся в распоряжении жертв расовой дискриминации, то экономические проблемы, с которыми сталкивается правительство, с трудом позволяют ему оказывать поддержку жертвам расовой дискриминации. Однако Монголия предполагает создать национальные механизмы помощи жертвам. Тем временем, жертвы дискриминации могут обращаться в неправительственные организации по защите прав человека, которые существуют в Монголии.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  <w:t>В отношении группы вопросов о применении статьи</w:t>
      </w:r>
      <w:r>
        <w:t> </w:t>
      </w:r>
      <w:r>
        <w:rPr>
          <w:lang w:val="ru-RU"/>
        </w:rPr>
        <w:t xml:space="preserve">7 Конвенции, г-н Гамбат, отвечая на вопрос 20 о включении программ по повышению осведомленности в вопросах дискриминации и межэтнической терпимости в курс школьного обучения, говорит, что в учебных программах конкретно не затрагивается вопрос о расовой дискриминации, но, тем не менее, на всех этапах обучения ученикам объясняется важность мирного сосуществования различных этнических групп и взаимного уважения между людьми без какой-либо дискриминации. Кроме того, в ходе изучения истории, географии и культуры Монголии ученики получают информацию об истории, культуре и образе жизни различных этнических групп страны.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  <w:t xml:space="preserve">Отвечая на вопрос 21 о преподавании положений Конвенции сотрудникам органов юстиции и правопорядка, учителям, социальным работникам и другим государственным служащим, г-н Гамбат говорит, что в трех государственных университетах и в 18 частных университетах и колледжах, существующих в Монголии, вопрос о дискриминации затрагивается в рамках обучения обязательным предметам, таким как конституционное право, политическая история и мировое право, права человека и уголовное право, международное публичное право и административное право. Кроме того, Национальный центр правовой подготовки прилагает все усилия, чтобы довести до сведения адвокатов и студентов-юристов информацию и знания в области международного публичного права. 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  <w:t>По вопросу</w:t>
      </w:r>
      <w:r>
        <w:t> </w:t>
      </w:r>
      <w:r>
        <w:rPr>
          <w:lang w:val="ru-RU"/>
        </w:rPr>
        <w:t>22, касающемуся мер, принимаемых государством-участником по распространению Конвенции и по повышению осведомленности населения в вопросе о расовой дискриминации, г-н Ганбат  отмечает, что с 2004 года министерство иностранных дел публикует в специальном выпуске Официального бюллетеня все международные соглашения, стороной которых является Монголия, в том числе и Конвенцию. Национальный центр правовой подготовки публикует различные периодические издания и информационные бюллетени по правам человека. И, наконец, по случаю Дня прав человека, отмечаемого ежегодно 10</w:t>
      </w:r>
      <w:r>
        <w:t> </w:t>
      </w:r>
      <w:r>
        <w:rPr>
          <w:lang w:val="ru-RU"/>
        </w:rPr>
        <w:t xml:space="preserve">декабря, различными государственными учреждениями, ассоциациями гражданского общества, учебными заведениями и частными организациями устраиваются всевозможные мероприятия по улучшению осведомленности в вопросах прав человека.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  <w:t>Отвечая на вопрос</w:t>
      </w:r>
      <w:r>
        <w:t> </w:t>
      </w:r>
      <w:r>
        <w:rPr>
          <w:lang w:val="ru-RU"/>
        </w:rPr>
        <w:t>23, г-н Ганбат говорит, что Монголия ратифицировала Конвенцию в 1969 году и предполагает в надлежащий момент признать компетенцию Комитета по приему сообщений от отдельных лиц, как это предусмотрено статьей</w:t>
      </w:r>
      <w:r>
        <w:rPr>
          <w:lang w:val="fr-FR"/>
        </w:rPr>
        <w:t> </w:t>
      </w:r>
      <w:r>
        <w:rPr>
          <w:lang w:val="ru-RU"/>
        </w:rPr>
        <w:t>14 Конвенции.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29.</w:t>
      </w:r>
      <w:r>
        <w:rPr>
          <w:lang w:val="ru-RU"/>
        </w:rPr>
        <w:tab/>
      </w:r>
      <w:r>
        <w:rPr>
          <w:u w:val="single"/>
          <w:lang w:val="ru-RU"/>
        </w:rPr>
        <w:t>Г-н ТАН Чэньюань</w:t>
      </w:r>
      <w:r>
        <w:rPr>
          <w:lang w:val="ru-RU"/>
        </w:rPr>
        <w:t xml:space="preserve"> (Докладчик по стране) убежден, что диалог с высокопоставленной монгольской делегацией, которая ответила на все заданные в письменном виде вопросы, является плодотворным. Он напоминает, что в своих заключительных замечаниях по предыдущему докладу (</w:t>
      </w:r>
      <w:r>
        <w:rPr>
          <w:lang w:val="fr-FR"/>
        </w:rPr>
        <w:t>CERD</w:t>
      </w:r>
      <w:r>
        <w:rPr>
          <w:lang w:val="ru-RU"/>
        </w:rPr>
        <w:t>/</w:t>
      </w:r>
      <w:r>
        <w:rPr>
          <w:lang w:val="fr-FR"/>
        </w:rPr>
        <w:t>C</w:t>
      </w:r>
      <w:r>
        <w:rPr>
          <w:lang w:val="ru-RU"/>
        </w:rPr>
        <w:t>/304/</w:t>
      </w:r>
      <w:r>
        <w:rPr>
          <w:lang w:val="fr-FR"/>
        </w:rPr>
        <w:t>Add</w:t>
      </w:r>
      <w:r>
        <w:rPr>
          <w:lang w:val="ru-RU"/>
        </w:rPr>
        <w:t>.73) Комитет настоятельно рекомендовал Монголии принять всеобъемлющее законодательство об этнических меньшинствах и борьбе с дискриминацией по признаку расы, цвета кожи, родового, национального или этнического происхождения; продолжить организацию учебных программ для сотрудников правоохранительных органов; продолжить изучение способов обеспечения особой защиты для всех этнических групп, проживающих на территории страны; включить в свой следующий доклад статистические данные о социально-экономическом положении различных этнических меньшинств; принять необходимые меры для полного осуществления положений статьи 4 Конвенции; включить в следующий доклад текст соответствующих статей Уголовного кодекса; пересмотреть свое гражданское и уголовное законодательство в целях приведения его в полное соответствие с принципами и положениями Конвенции, прежде всего со статьями 5</w:t>
      </w:r>
      <w:r>
        <w:rPr>
          <w:lang w:val="fr-FR"/>
        </w:rPr>
        <w:t> </w:t>
      </w:r>
      <w:r>
        <w:rPr>
          <w:lang w:val="ru-RU"/>
        </w:rPr>
        <w:t>и</w:t>
      </w:r>
      <w:r>
        <w:rPr>
          <w:lang w:val="fr-FR"/>
        </w:rPr>
        <w:t> </w:t>
      </w:r>
      <w:r>
        <w:rPr>
          <w:lang w:val="ru-RU"/>
        </w:rPr>
        <w:t xml:space="preserve">6.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30.</w:t>
      </w:r>
      <w:r>
        <w:rPr>
          <w:lang w:val="ru-RU"/>
        </w:rPr>
        <w:tab/>
        <w:t>Г-н Тан Чэньюань широко цитирует выдержки из рассматриваемого доклада, содержащего важные информативные элементы для лучшего понимания положения в Монголии, с учетом применения Конвенции в этой стране. Среди прочего, эти элементы включают в себя информацию о населении, о равенстве в правах и о вопросах соответствия внутреннего права международным нормам (</w:t>
      </w:r>
      <w:r>
        <w:rPr>
          <w:lang w:val="fr-FR"/>
        </w:rPr>
        <w:t>CERD</w:t>
      </w:r>
      <w:r>
        <w:rPr>
          <w:lang w:val="ru-RU"/>
        </w:rPr>
        <w:t>/</w:t>
      </w:r>
      <w:r>
        <w:rPr>
          <w:lang w:val="fr-FR"/>
        </w:rPr>
        <w:t>C</w:t>
      </w:r>
      <w:r>
        <w:rPr>
          <w:lang w:val="ru-RU"/>
        </w:rPr>
        <w:t>/476/</w:t>
      </w:r>
      <w:r>
        <w:rPr>
          <w:lang w:val="fr-FR"/>
        </w:rPr>
        <w:t>Add</w:t>
      </w:r>
      <w:r>
        <w:rPr>
          <w:lang w:val="ru-RU"/>
        </w:rPr>
        <w:t xml:space="preserve">.6, пункты 6, 8 и 9).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  <w:t>Г-н Тан Чэньюань, широко ссылаясь на базовый доклад Монголии (</w:t>
      </w:r>
      <w:r>
        <w:rPr>
          <w:lang w:val="fr-FR"/>
        </w:rPr>
        <w:t>HRI</w:t>
      </w:r>
      <w:r>
        <w:rPr>
          <w:lang w:val="ru-RU"/>
        </w:rPr>
        <w:t>/</w:t>
      </w:r>
      <w:r>
        <w:rPr>
          <w:lang w:val="fr-FR"/>
        </w:rPr>
        <w:t>CORE</w:t>
      </w:r>
      <w:r>
        <w:rPr>
          <w:lang w:val="ru-RU"/>
        </w:rPr>
        <w:t>/</w:t>
      </w:r>
      <w:r>
        <w:rPr>
          <w:lang w:val="fr-FR"/>
        </w:rPr>
        <w:t>MNG</w:t>
      </w:r>
      <w:r>
        <w:rPr>
          <w:lang w:val="ru-RU"/>
        </w:rPr>
        <w:t>/2005, пункт 59), также напоминает, что государство-участник ратифицировало целый ряд международных документов по правам человека, которые, хотя и не применяются напрямую во внутреннем праве, тем не менее, превалируют над внутренними законами.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32.</w:t>
      </w:r>
      <w:r>
        <w:rPr>
          <w:lang w:val="ru-RU"/>
        </w:rPr>
        <w:tab/>
        <w:t>Помимо этого, Докладчик по стране приводит различные законодательные положения, цитируемые в докладе, которые позволяют Монголии применять статью</w:t>
      </w:r>
      <w:r>
        <w:t> </w:t>
      </w:r>
      <w:r>
        <w:rPr>
          <w:lang w:val="ru-RU"/>
        </w:rPr>
        <w:t>4 Конвенции, запрещающую всякую расистскую пропаганду (</w:t>
      </w:r>
      <w:r>
        <w:t>CERD</w:t>
      </w:r>
      <w:r>
        <w:rPr>
          <w:lang w:val="ru-RU"/>
        </w:rPr>
        <w:t>/</w:t>
      </w:r>
      <w:r>
        <w:t>C</w:t>
      </w:r>
      <w:r>
        <w:rPr>
          <w:lang w:val="ru-RU"/>
        </w:rPr>
        <w:t>/476.</w:t>
      </w:r>
      <w:r>
        <w:t>Add</w:t>
      </w:r>
      <w:r>
        <w:rPr>
          <w:lang w:val="ru-RU"/>
        </w:rPr>
        <w:t>.6, пункты</w:t>
      </w:r>
      <w:r>
        <w:t> </w:t>
      </w:r>
      <w:r>
        <w:rPr>
          <w:lang w:val="ru-RU"/>
        </w:rPr>
        <w:t>12 и 18); эти положения очень интересны. Но даже если делегация указала, что ответственность в Монголии лежит на отдельных лицах, расистские организации, как таковые, не несут ответственности. Таким образом, возникает вопрос, что будет делать государство, если какая-либо организация будет заниматься расовой дискриминацией.</w:t>
      </w:r>
    </w:p>
    <w:p w:rsidR="00000000" w:rsidRDefault="00000000">
      <w:pPr>
        <w:spacing w:after="240"/>
        <w:rPr>
          <w:lang w:val="fr-FR"/>
        </w:rPr>
      </w:pPr>
      <w:r>
        <w:rPr>
          <w:lang w:val="ru-RU"/>
        </w:rPr>
        <w:t>33.</w:t>
      </w:r>
      <w:r>
        <w:rPr>
          <w:lang w:val="ru-RU"/>
        </w:rPr>
        <w:tab/>
        <w:t xml:space="preserve">Докладчик по стране считает, что статья 16 Конституции посвящена тем же вопросам, что и статья 5 Конвенции, а Закон 2001 года о занятости, Закон 2002 года об образовании и Закон о государственном языке осуществляют их на практике. Кроме того, положения Гражданского кодекса 2002 года, предоставляющие равное положение всем гражданам, пересмотренные процедуры подачи заявлений на получение гражданства  и Закон об административных процедурах, предоставляющий гражданам и юридическим лицам возможность подать жалобу на действия администрации, если они считают, что какой-либо административный акт нарушает их права, также позволяют Монголии полностью осуществить статью </w:t>
      </w:r>
      <w:r>
        <w:rPr>
          <w:lang w:val="fr-FR"/>
        </w:rPr>
        <w:t xml:space="preserve">5 </w:t>
      </w:r>
      <w:r>
        <w:rPr>
          <w:lang w:val="ru-RU"/>
        </w:rPr>
        <w:t>Конвенции</w:t>
      </w:r>
      <w:r>
        <w:rPr>
          <w:lang w:val="fr-FR"/>
        </w:rPr>
        <w:t xml:space="preserve">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  <w:t>Помня том, что с момента своего создания в 1992 году Конституционный суд получил более 700 жалоб от монгольских граждан, из которых 300 касались нарушений прав, а также принял решение по 10 жалобам о нарушении прав человека, закрепленных в Конституции, Докладчик по стране хотел бы, в том числе, знать, были ли среди этих дел случаи расовой дискриминации, и предоставлялись ли заявителям услуги адвоката.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35.</w:t>
      </w:r>
      <w:r>
        <w:rPr>
          <w:lang w:val="ru-RU"/>
        </w:rPr>
        <w:tab/>
        <w:t>Также зная о том, что в 2002 году Монголия учредила Национальный центр правовых и судебных исследований, подготовки и информации и каждый год отмечает День защиты прав человека, Докладчик по стране хотел бы, чтобы делегация уточнила, если этот Центр или любой другой орган занимается подготовкой и повышением осведомленности представителей судебной власти и сотрудников правоохранительных органов в вопросах международных договоров.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36.</w:t>
      </w:r>
      <w:r>
        <w:rPr>
          <w:lang w:val="ru-RU"/>
        </w:rPr>
        <w:tab/>
        <w:t>Г-н Тан Чэньюань считает, что действующее законодательство в целом соответствует Конвенции, и что информация, поступающая из внешних источников, свидетельствует о значительном прогрессе, что является обнадеживающим фактором.  Однако Комитет пока еще располагает слишком небольшим объемом конкретных данных, чтобы составить точное мнение о ситуации. Желательно, чтобы будущие доклады содержали бы более конкретную информацию, например, по меньшинствам. Кроме того, государству-участнику вряд ли стоит ограничиваться заявлениями о том, что расовой дискриминации не существует на его территории, зная, что такие факты имели место, не считая случаев дискриминации на религиозной почве, особенно в отношении христиан, о чем сообщалось в докладе шестьдесят первой сессии Комиссии по правам человека, и не считая случаев дискриминации в отношении женщин, о которых говорилось в документах Комитета по правам человека и Комитета по ликвидации дискриминации в отношении женщин.  Помимо этого, одна из неправительственных организаций обратила внимание Комитета на тот факт, что некоторые учителя сохраняют дискриминационное отношение к ученикам-казахам из сельских районов. И, наконец, г-н Тан Чэньюань считает, что трудно поверить в то, что некоторые меньшинства, проживающие в отдаленных районах в чрезвычайно трудных экономических условиях, пользуются равным статусом, поскольку на практике расовая дискриминации может принимать самые различные формы, прямые или косвенные.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37.</w:t>
      </w:r>
      <w:r>
        <w:rPr>
          <w:lang w:val="ru-RU"/>
        </w:rPr>
        <w:tab/>
        <w:t>Докладчик по стране говорит, что применение законов подразумевает создание соответствующих органов, обладающих соответствующими полномочиями и адекватными ресурсами, как финансовыми, так и людскими. Именно государство должно следить за тем, чтобы чиновники знали законы, и бороться с коррупцией. Зная об экономических трудностях, с которыми сталкивается Монголия, Докладчик по стране все же считает, что подготовка государственных служащих имеет первостепенное значение и что государство-участник должно продолжить свои усилия в этой области. Было бы полезным включить в следующий доклад более точную информацию по этому вопросу.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38.</w:t>
      </w:r>
      <w:r>
        <w:rPr>
          <w:lang w:val="ru-RU"/>
        </w:rPr>
        <w:tab/>
      </w:r>
      <w:r>
        <w:rPr>
          <w:u w:val="single"/>
          <w:lang w:val="ru-RU"/>
        </w:rPr>
        <w:t>Г-н ВАЛЕНСИЯ РОДРИГЕС</w:t>
      </w:r>
      <w:r>
        <w:rPr>
          <w:lang w:val="ru-RU"/>
        </w:rPr>
        <w:t xml:space="preserve"> подчеркивает, что применение Конвенции имеет еще более важное значение в Монголии, поскольку она является многоэтнической страной, где проживает две основные национальные группы и 15</w:t>
      </w:r>
      <w:r>
        <w:rPr>
          <w:lang w:val="fr-FR"/>
        </w:rPr>
        <w:t> </w:t>
      </w:r>
      <w:r>
        <w:rPr>
          <w:lang w:val="ru-RU"/>
        </w:rPr>
        <w:t>национальных меньшинств самого различного размера, включая две группы русского и китайского происхождения, численность которых постоянно сокращается. Он с интересом отмечает информацию, согласно которой иностранцы и апатриды пользуются теми же правами и свободами, что и монгольские граждане. Однако, учитывая, что в пункте 11 доклада указывается, что права и свободы иностранных граждан и лиц без гражданства могут быть ограничены в тех случаях, когда это необходимо для защиты прав и основных свобод граждан Монголии, г-н Валенсия Родригес хотел бы, чтобы делегация пояснила характер этих ограничений, обстоятельства, которые их обосновывают, правила их применения, а также привела примеры случаев, когда эти ограничения применялись.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39.</w:t>
      </w:r>
      <w:r>
        <w:rPr>
          <w:lang w:val="ru-RU"/>
        </w:rPr>
        <w:tab/>
        <w:t>Г-н Валенсия Родригес отмечает, что в 2002 году парламент принял новый Уголовный кодекс, предусматривающий наказание за расовую дискриминацию и геноцид, но не дающий такого полного описания расовой дискриминации, как статьи 1 и 4 Конвенции. К тому же, статья</w:t>
      </w:r>
      <w:r>
        <w:rPr>
          <w:lang w:val="fr-FR"/>
        </w:rPr>
        <w:t> </w:t>
      </w:r>
      <w:r>
        <w:rPr>
          <w:lang w:val="ru-RU"/>
        </w:rPr>
        <w:t>86.1 Уголовного кодекса и пункт</w:t>
      </w:r>
      <w:r>
        <w:rPr>
          <w:lang w:val="fr-FR"/>
        </w:rPr>
        <w:t> </w:t>
      </w:r>
      <w:r>
        <w:rPr>
          <w:lang w:val="ru-RU"/>
        </w:rPr>
        <w:t xml:space="preserve">5 статьи 7 Закона о рекламе соответствуют пункту </w:t>
      </w:r>
      <w:r>
        <w:rPr>
          <w:iCs/>
          <w:lang w:val="fr-FR"/>
        </w:rPr>
        <w:t>a</w:t>
      </w:r>
      <w:r>
        <w:rPr>
          <w:iCs/>
          <w:lang w:val="ru-RU"/>
        </w:rPr>
        <w:t xml:space="preserve">) статьи </w:t>
      </w:r>
      <w:r>
        <w:rPr>
          <w:lang w:val="ru-RU"/>
        </w:rPr>
        <w:t>4 Конвенции, но не ее пункту</w:t>
      </w:r>
      <w:r>
        <w:rPr>
          <w:lang w:val="fr-FR"/>
        </w:rPr>
        <w:t> </w:t>
      </w:r>
      <w:r>
        <w:rPr>
          <w:iCs/>
          <w:lang w:val="fr-FR"/>
        </w:rPr>
        <w:t>b</w:t>
      </w:r>
      <w:r>
        <w:rPr>
          <w:iCs/>
          <w:lang w:val="ru-RU"/>
        </w:rPr>
        <w:t xml:space="preserve">), что свидетельствует о необходимости соблюдения бдительности властями по отношению к положению групп этнических меньшинств, иностранцев и апатридов. Г-н </w:t>
      </w:r>
      <w:r>
        <w:rPr>
          <w:lang w:val="ru-RU"/>
        </w:rPr>
        <w:t xml:space="preserve">Валенсия Родригес принимает во внимание интересные сведения о праве каждого гражданина на участие в управлении государственными делами напрямую или через представительные органы, но ему хотелось бы получить более подробные данные об уровне представительства групп этнического меньшинства в государственных органах, особенно в Великом государственном хурале, а также узнать, регулируется ли это представительство законом или другим нормативным актом.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40.</w:t>
      </w:r>
      <w:r>
        <w:rPr>
          <w:lang w:val="ru-RU"/>
        </w:rPr>
        <w:tab/>
        <w:t xml:space="preserve">Что касается права на получение гражданства, то г-н Валенсия Родригес спрашивает, получают ли дети, родившиеся на территории Монголии, право на монгольское гражданство, если их родителями являются иностранные граждане, проживающие постоянно или временно на территории страны, или апатриды; он также хочет знать, если иностранец или иностранка вступает в брак с лицом, имеющим монгольское гражданство, то приобретается ли монгольское гражданство автоматически в результате заключения брака; на тех же самых условиях.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41.</w:t>
      </w:r>
      <w:r>
        <w:rPr>
          <w:lang w:val="ru-RU"/>
        </w:rPr>
        <w:tab/>
        <w:t>Г-н Валенсия Родригес говорит, что информация, содержащаяся в пункте</w:t>
      </w:r>
      <w:r>
        <w:rPr>
          <w:lang w:val="fr-FR"/>
        </w:rPr>
        <w:t> </w:t>
      </w:r>
      <w:r>
        <w:rPr>
          <w:lang w:val="ru-RU"/>
        </w:rPr>
        <w:t xml:space="preserve">55 доклада в отношении занятости, а также коммерческой и предпринимательской деятельности иностранных граждан и апатридов, очень важна. Требование проживать в течение «длительного срока» для того, чтобы заниматься определенными видами деятельности, является весьма субъективным, поэтому возникает вопрос, каков же достаточный срок проживания, и в течение какого срока иностранцам запрещается менять профессиональную деятельность.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42.</w:t>
      </w:r>
      <w:r>
        <w:rPr>
          <w:lang w:val="ru-RU"/>
        </w:rPr>
        <w:tab/>
        <w:t xml:space="preserve">Касаясь права на жилище, г-н Валенсия Родригес говорит, что было бы полезным получить дополнительную информацию о доступе иностранцев, постоянно и временно проживающих в стране, а также апатридов и лиц, принадлежащих к группам этнических меньшинств, к жилью, медицинской помощи, образованию и профессиональной подготовке. </w:t>
      </w:r>
    </w:p>
    <w:p w:rsidR="00000000" w:rsidRDefault="00000000">
      <w:pPr>
        <w:spacing w:after="240"/>
        <w:rPr>
          <w:lang w:val="fr-FR"/>
        </w:rPr>
      </w:pPr>
      <w:r>
        <w:rPr>
          <w:lang w:val="ru-RU"/>
        </w:rPr>
        <w:t>43.</w:t>
      </w:r>
      <w:r>
        <w:rPr>
          <w:lang w:val="ru-RU"/>
        </w:rPr>
        <w:tab/>
        <w:t xml:space="preserve">Г-н Валенсия Родригес хотел бы знать, если иностранцы, группы меньшинств и апатриды могут пользоваться многочисленными положениями, касающимися медико-санитарных услуг. Кроме того, могут ли они получать бесплатное для всех начальное образование без какой-либо дискриминации? И, наконец, в какой мере различные этнические группы, несомненно имеющие свои собственные культурные особенности, принимают участие в общей культурной, артистической и научной деятельности. 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44.</w:t>
      </w:r>
      <w:r>
        <w:rPr>
          <w:lang w:val="ru-RU"/>
        </w:rPr>
        <w:tab/>
        <w:t xml:space="preserve">Г-н Валенсия Родригес рекомендует государству-участнику обеспечить как можно более широкое распространение Конвенции, особенно на основных языках групп этнических меньшинств, и опубликовать рассматриваемый доклад вместе с заключительными замечаниями Комитета.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45.</w:t>
      </w:r>
      <w:r>
        <w:rPr>
          <w:lang w:val="ru-RU"/>
        </w:rPr>
        <w:tab/>
      </w:r>
      <w:r>
        <w:rPr>
          <w:u w:val="single"/>
          <w:lang w:val="ru-RU"/>
        </w:rPr>
        <w:t>Г-н АВТОНОМОВ</w:t>
      </w:r>
      <w:r>
        <w:rPr>
          <w:lang w:val="ru-RU"/>
        </w:rPr>
        <w:t xml:space="preserve"> говорит, что Монголия приняла многочисленные позитивные меры в области прав человека, среди которых наиболее важной является создание Национальной комиссии по правам человека. Он приветствует тесное сотрудничество между Монголией и Российской Федерацией по вопросам меньшинств и выражает пожелание получить более подробную информацию по этому вопросу. Отмечая, что в пункте 11 доклада говорится о запрете для иностранных граждан на осуществление действий, направленных против национального единства Монголии, на поощрение насилия, порнографии и незаконного оборота наркотиков, г-н Автономов спрашивает, распространяется ли этот запрет только на иностранцев. 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46.</w:t>
      </w:r>
      <w:r>
        <w:rPr>
          <w:lang w:val="ru-RU"/>
        </w:rPr>
        <w:tab/>
        <w:t>Г-н Автономов хотел бы знать, если НПО принимали участие в подготовке доклада, и, если да, то каким образом. Из пункта 68 видно, что Монголия следит за тем, чтобы обучение велось на языке меньшинства, которое преобладает среди населения в данном конкретном месте, и г-н Автономов спрашивает, означает ли это, что численность меньшинства должна составлять более 50</w:t>
      </w:r>
      <w:r>
        <w:t> </w:t>
      </w:r>
      <w:r>
        <w:rPr>
          <w:lang w:val="ru-RU"/>
        </w:rPr>
        <w:t xml:space="preserve">% местного населения, чтобы иметь возможность получать образование на своем языке. И, наконец, он отмечает, что отсутствие жалоб на дискриминацию вовсе не означает, что в государстве-участнике отсутствует дискриминация, а скорее свидетельствует о том, что граждане не информированы о имеющихся у них возможностях подачи жалоб или боятся возмездия.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47.</w:t>
      </w:r>
      <w:r>
        <w:rPr>
          <w:lang w:val="ru-RU"/>
        </w:rPr>
        <w:tab/>
      </w:r>
      <w:r>
        <w:rPr>
          <w:u w:val="single"/>
          <w:lang w:val="ru-RU"/>
        </w:rPr>
        <w:t>Г-н КЬЕРУМ</w:t>
      </w:r>
      <w:r>
        <w:rPr>
          <w:lang w:val="ru-RU"/>
        </w:rPr>
        <w:t xml:space="preserve"> приветствует создание Национальной комиссии по правам человека, которая отныне осуществляет огромную работу с точки зрения поощрения и защиты прав человека, и интересуется, запрашивалось ли мнение этой Комиссии при подготовке рассматриваемого доклада. Он считает, что некоторые положения, упомянутые в пункте</w:t>
      </w:r>
      <w:r>
        <w:t> </w:t>
      </w:r>
      <w:r>
        <w:rPr>
          <w:lang w:val="ru-RU"/>
        </w:rPr>
        <w:t>11 доклада, не соответствуют международным нормам по правам человека. Он спрашивает, например, почему иностранные граждане не могут работать на полной ставке в государственных учреждениях, почему они не могут вступать в политические партии и почему проводится различие между иностранцами и гражданами, когда речь идет о запрете на поощрение насилия, порнографии и незаконного оборота наркотиков.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48.</w:t>
      </w:r>
      <w:r>
        <w:rPr>
          <w:lang w:val="ru-RU"/>
        </w:rPr>
        <w:tab/>
      </w:r>
      <w:r>
        <w:rPr>
          <w:u w:val="single"/>
          <w:lang w:val="ru-RU"/>
        </w:rPr>
        <w:t>Г-н ПИЛЛАИ</w:t>
      </w:r>
      <w:r>
        <w:rPr>
          <w:lang w:val="ru-RU"/>
        </w:rPr>
        <w:t xml:space="preserve"> приветствует исключительно важную роль, которую играет Национальная комиссия по правам человека в Азиатско-Тихоокеанском регионе. Он хотел бы знать, каким образом Монголия рассчитывает использовать вклад Национальной комиссии по правам человека, чтобы лучше выполнять свои обязанности в отношении международных договоров по правам человека. Он также хотел бы получить конкретные сведения о том, как различные этнические группы могут осуществлять свои права на образование и здравоохранение, и он также ссылается на информацию о том, что различные небольшие группы меньшинств, проживающие в отдаленных районах страны, например, хотоны, испытывают трудности в плане школьного обучения своих детей и в доступе к санитарным удобствам.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49.</w:t>
      </w:r>
      <w:r>
        <w:rPr>
          <w:lang w:val="ru-RU"/>
        </w:rPr>
        <w:tab/>
      </w:r>
      <w:r>
        <w:rPr>
          <w:u w:val="single"/>
          <w:lang w:val="ru-RU"/>
        </w:rPr>
        <w:t>Г-жа ДАХ</w:t>
      </w:r>
      <w:r>
        <w:rPr>
          <w:lang w:val="ru-RU"/>
        </w:rPr>
        <w:t xml:space="preserve"> отмечает, что в Монголии имеется 201</w:t>
      </w:r>
      <w:r>
        <w:t> </w:t>
      </w:r>
      <w:r>
        <w:rPr>
          <w:lang w:val="ru-RU"/>
        </w:rPr>
        <w:t>телеканал и радиостанция, а также издается 1</w:t>
      </w:r>
      <w:r>
        <w:t> </w:t>
      </w:r>
      <w:r>
        <w:rPr>
          <w:lang w:val="ru-RU"/>
        </w:rPr>
        <w:t>493</w:t>
      </w:r>
      <w:r>
        <w:t> </w:t>
      </w:r>
      <w:r>
        <w:rPr>
          <w:lang w:val="ru-RU"/>
        </w:rPr>
        <w:t>газеты (пункт</w:t>
      </w:r>
      <w:r>
        <w:t> </w:t>
      </w:r>
      <w:r>
        <w:rPr>
          <w:lang w:val="ru-RU"/>
        </w:rPr>
        <w:t>82 доклада), что представляет собой внушительную цифру с учетом того, что население Монголии насчитывает всего лишь 2,5</w:t>
      </w:r>
      <w:r>
        <w:t> </w:t>
      </w:r>
      <w:r>
        <w:rPr>
          <w:lang w:val="ru-RU"/>
        </w:rPr>
        <w:t>млн. жителей. Она хотела бы знать, имеются ли среди этих телеканалов и газет органы политических партий. Отмечая, что приведенный в докладе уровень грамотности взрослого населения составляет 95</w:t>
      </w:r>
      <w:r>
        <w:t> </w:t>
      </w:r>
      <w:r>
        <w:rPr>
          <w:lang w:val="ru-RU"/>
        </w:rPr>
        <w:t xml:space="preserve">%, г-жа Дах хотела бы знать, каким образом система образования достигла таких хороших результатов. Она также хотела бы знать юридическое определение «коренного гражданина» - выражения, используемого в пунктах 26 - 29 доклада. И, наконец, она хотела бы знать установленный законом минимальный брачный возраст, а также является ли он одинаковым для юношей и девушек. 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50.</w:t>
      </w:r>
      <w:r>
        <w:rPr>
          <w:lang w:val="ru-RU"/>
        </w:rPr>
        <w:tab/>
      </w:r>
      <w:r>
        <w:rPr>
          <w:u w:val="single"/>
          <w:lang w:val="ru-RU"/>
        </w:rPr>
        <w:t>Г-н ЮТСИС</w:t>
      </w:r>
      <w:r>
        <w:rPr>
          <w:lang w:val="ru-RU"/>
        </w:rPr>
        <w:t xml:space="preserve"> разделяет взгляды членов Комитета, которых беспокоят некоторые положения, упомянутые в пункте 11 доклада в отношении иностранных граждан. Тот факт, что иностранцы не могут участвовать в политической деятельности, по его мнению, является дискриминацией. Кроме того, он задается вопросом, почему только на иностранцев распространяется запрет на поощрение насилия, порнографии и незаконного оборота наркотиков. Помимо этого, он хотел бы знать, что означает выражение «религия, не совместимая с традиционными обычаями и законами»  (пункт 11). Отмечая, что Монголия признает за членами национальных меньшинств право вести собственную просветительную работу (пункт 15 доклада), г-н Ютсис хотел бы знать, может ли представитель меньшинства преподавать не только в школах, предназначенных для меньшинств.   </w:t>
      </w:r>
    </w:p>
    <w:p w:rsidR="00000000" w:rsidRDefault="00000000">
      <w:pPr>
        <w:spacing w:after="240"/>
        <w:jc w:val="center"/>
        <w:rPr>
          <w:i/>
          <w:iCs/>
          <w:lang w:val="ru-RU"/>
        </w:rPr>
      </w:pPr>
      <w:r>
        <w:rPr>
          <w:i/>
          <w:iCs/>
          <w:lang w:val="ru-RU"/>
        </w:rPr>
        <w:t>Заседание закрывается в 18 час. 05 мин.</w:t>
      </w:r>
    </w:p>
    <w:p w:rsidR="00000000" w:rsidRDefault="00000000">
      <w:pPr>
        <w:spacing w:after="240"/>
        <w:jc w:val="center"/>
        <w:rPr>
          <w:lang w:val="ru-RU"/>
        </w:rPr>
      </w:pPr>
      <w:r>
        <w:rPr>
          <w:lang w:val="ru-RU"/>
        </w:rPr>
        <w:t>-----</w:t>
      </w:r>
    </w:p>
    <w:p w:rsidR="00000000" w:rsidRDefault="00000000">
      <w:pPr>
        <w:spacing w:after="240"/>
        <w:rPr>
          <w:lang w:val="ru-RU"/>
        </w:rPr>
      </w:pPr>
    </w:p>
    <w:sectPr w:rsidR="00000000">
      <w:headerReference w:type="even" r:id="rId9"/>
      <w:headerReference w:type="default" r:id="rId10"/>
      <w:endnotePr>
        <w:numFmt w:val="decimal"/>
      </w:endnotePr>
      <w:pgSz w:w="11905" w:h="16837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de-CH"/>
      </w:rPr>
    </w:pPr>
    <w:r>
      <w:rPr>
        <w:lang w:val="de-CH"/>
      </w:rPr>
      <w:t>CERD/C/SR.1770</w:t>
    </w:r>
  </w:p>
  <w:p w:rsidR="00000000" w:rsidRDefault="00000000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536"/>
        <w:tab w:val="clear" w:pos="9072"/>
        <w:tab w:val="left" w:pos="7560"/>
      </w:tabs>
      <w:rPr>
        <w:i/>
        <w:lang w:val="de-CH"/>
      </w:rPr>
    </w:pPr>
    <w:r>
      <w:tab/>
    </w:r>
    <w:r>
      <w:rPr>
        <w:lang w:val="de-CH"/>
      </w:rPr>
      <w:t>CERD/C/SR.1770</w:t>
    </w:r>
  </w:p>
  <w:p w:rsidR="00000000" w:rsidRDefault="00000000">
    <w:pPr>
      <w:pStyle w:val="Header"/>
      <w:tabs>
        <w:tab w:val="clear" w:pos="4536"/>
        <w:tab w:val="clear" w:pos="9072"/>
        <w:tab w:val="left" w:pos="7560"/>
      </w:tabs>
    </w:pPr>
    <w:r>
      <w:rPr>
        <w:lang w:val="de-CH"/>
      </w:rPr>
      <w:tab/>
    </w: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11</w:t>
    </w:r>
    <w:r>
      <w:fldChar w:fldCharType="end"/>
    </w:r>
  </w:p>
  <w:p w:rsidR="00000000" w:rsidRDefault="00000000">
    <w:pPr>
      <w:pStyle w:val="Header"/>
      <w:tabs>
        <w:tab w:val="clear" w:pos="4536"/>
        <w:tab w:val="clear" w:pos="9072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B77491F2"/>
    <w:lvl w:ilvl="0">
      <w:start w:val="1"/>
      <w:numFmt w:val="lowerRoman"/>
      <w:pStyle w:val="Rom2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41B05A72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8B8A3E2"/>
    <w:lvl w:ilvl="0">
      <w:start w:val="1"/>
      <w:numFmt w:val="lowerRoman"/>
      <w:pStyle w:val="Rom1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bordersDoNotSurroundHeader/>
  <w:bordersDoNotSurroundFooter/>
  <w:attachedTemplate r:id="rId1"/>
  <w:doNotTrackMoves/>
  <w:defaultTabStop w:val="567"/>
  <w:hyphenationZone w:val="425"/>
  <w:doNotHyphenateCaps/>
  <w:evenAndOddHeaders/>
  <w:drawingGridHorizontalSpacing w:val="120"/>
  <w:drawingGridVerticalSpacing w:val="163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tabs>
        <w:tab w:val="right" w:pos="2629"/>
      </w:tabs>
      <w:spacing w:after="58"/>
      <w:ind w:firstLine="1263"/>
      <w:outlineLvl w:val="0"/>
    </w:pPr>
    <w:rPr>
      <w:rFonts w:ascii="Times New Roman Gras" w:hAnsi="Times New Roman Gras"/>
      <w:b/>
      <w:sz w:val="72"/>
      <w:lang w:val="fr-FR"/>
    </w:rPr>
  </w:style>
  <w:style w:type="paragraph" w:styleId="Heading2">
    <w:name w:val="heading 2"/>
    <w:basedOn w:val="Normal"/>
    <w:next w:val="Normal"/>
    <w:qFormat/>
    <w:pPr>
      <w:keepNext/>
      <w:ind w:hanging="382"/>
      <w:outlineLvl w:val="1"/>
    </w:pPr>
    <w:rPr>
      <w:rFonts w:ascii="Times New Roman Gras" w:hAnsi="Times New Roman Gras"/>
      <w:b/>
      <w:sz w:val="32"/>
      <w:lang w:val="fr-FR"/>
    </w:rPr>
  </w:style>
  <w:style w:type="paragraph" w:styleId="Heading3">
    <w:name w:val="heading 3"/>
    <w:basedOn w:val="Normal"/>
    <w:next w:val="Normal"/>
    <w:qFormat/>
    <w:pPr>
      <w:keepNext/>
      <w:tabs>
        <w:tab w:val="left" w:pos="0"/>
      </w:tabs>
      <w:ind w:hanging="1"/>
      <w:outlineLvl w:val="2"/>
    </w:pPr>
    <w:rPr>
      <w:b/>
      <w:lang w:val="fr-FR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styleId="EndnoteText">
    <w:name w:val="endnote text"/>
    <w:basedOn w:val="Normal"/>
    <w:semiHidden/>
  </w:style>
  <w:style w:type="paragraph" w:customStyle="1" w:styleId="ParaNo">
    <w:name w:val="ParaNo."/>
    <w:basedOn w:val="Normal"/>
    <w:pPr>
      <w:numPr>
        <w:numId w:val="1"/>
      </w:numPr>
      <w:tabs>
        <w:tab w:val="clear" w:pos="360"/>
      </w:tabs>
    </w:pPr>
  </w:style>
  <w:style w:type="paragraph" w:customStyle="1" w:styleId="Rom1">
    <w:name w:val="Rom1"/>
    <w:basedOn w:val="Normal"/>
    <w:pPr>
      <w:numPr>
        <w:numId w:val="2"/>
      </w:numPr>
      <w:tabs>
        <w:tab w:val="clear" w:pos="504"/>
      </w:tabs>
      <w:ind w:left="1145" w:hanging="465"/>
    </w:pPr>
  </w:style>
  <w:style w:type="paragraph" w:customStyle="1" w:styleId="Rom2">
    <w:name w:val="Rom2"/>
    <w:basedOn w:val="Normal"/>
    <w:pPr>
      <w:numPr>
        <w:numId w:val="3"/>
      </w:numPr>
      <w:tabs>
        <w:tab w:val="clear" w:pos="927"/>
      </w:tabs>
      <w:ind w:left="1712" w:hanging="465"/>
    </w:pPr>
  </w:style>
  <w:style w:type="paragraph" w:styleId="Header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  <w:style w:type="paragraph" w:styleId="BodyTextIndent">
    <w:name w:val="Body Text Indent"/>
    <w:basedOn w:val="Normal"/>
    <w:semiHidden/>
    <w:pPr>
      <w:spacing w:line="720" w:lineRule="auto"/>
      <w:ind w:firstLine="720"/>
    </w:pPr>
  </w:style>
  <w:style w:type="paragraph" w:styleId="ListBullet">
    <w:name w:val="List Bullet"/>
    <w:basedOn w:val="Normal"/>
    <w:autoRedefine/>
    <w:semiHidden/>
    <w:pPr>
      <w:spacing w:line="720" w:lineRule="auto"/>
    </w:pPr>
    <w:rPr>
      <w:szCs w:val="24"/>
      <w:lang w:eastAsia="en-US"/>
    </w:rPr>
  </w:style>
  <w:style w:type="paragraph" w:customStyle="1" w:styleId="a">
    <w:name w:val="название"/>
    <w:basedOn w:val="Normal"/>
    <w:pPr>
      <w:widowControl w:val="0"/>
    </w:pPr>
    <w:rPr>
      <w:rFonts w:ascii="Courier" w:hAnsi="Courier"/>
      <w:snapToGrid w:val="0"/>
      <w:lang w:val="ru-RU" w:eastAsia="ru-RU"/>
    </w:rPr>
  </w:style>
  <w:style w:type="paragraph" w:styleId="BodyText2">
    <w:name w:val="Body Text 2"/>
    <w:basedOn w:val="Normal"/>
    <w:semiHidden/>
    <w:pPr>
      <w:spacing w:after="120" w:line="480" w:lineRule="auto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Q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Q9</Template>
  <TotalTime>0</TotalTime>
  <Pages>1</Pages>
  <Words>4965</Words>
  <Characters>28302</Characters>
  <Application>Microsoft Office Word</Application>
  <DocSecurity>4</DocSecurity>
  <Lines>235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CERD/C/SR.1768</vt:lpstr>
    </vt:vector>
  </TitlesOfParts>
  <Company>ONU</Company>
  <LinksUpToDate>false</LinksUpToDate>
  <CharactersWithSpaces>34756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CERD/C/SR.1768</dc:title>
  <dc:subject/>
  <dc:creator>Chautagnat</dc:creator>
  <cp:keywords/>
  <cp:lastModifiedBy>csd</cp:lastModifiedBy>
  <cp:revision>2</cp:revision>
  <cp:lastPrinted>2009-07-24T10:35:00Z</cp:lastPrinted>
  <dcterms:created xsi:type="dcterms:W3CDTF">2009-07-30T09:53:00Z</dcterms:created>
  <dcterms:modified xsi:type="dcterms:W3CDTF">2009-07-30T09:53:00Z</dcterms:modified>
</cp:coreProperties>
</file>