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475868" w14:paraId="49742360" w14:textId="77777777" w:rsidTr="004C4D99">
        <w:trPr>
          <w:trHeight w:hRule="exact" w:val="851"/>
        </w:trPr>
        <w:tc>
          <w:tcPr>
            <w:tcW w:w="1276" w:type="dxa"/>
            <w:tcBorders>
              <w:bottom w:val="single" w:sz="4" w:space="0" w:color="auto"/>
            </w:tcBorders>
          </w:tcPr>
          <w:p w14:paraId="6CC383FA" w14:textId="77777777" w:rsidR="00392B1D" w:rsidRPr="00475868" w:rsidRDefault="00392B1D" w:rsidP="00C0030C"/>
        </w:tc>
        <w:tc>
          <w:tcPr>
            <w:tcW w:w="2268" w:type="dxa"/>
            <w:tcBorders>
              <w:bottom w:val="single" w:sz="4" w:space="0" w:color="auto"/>
            </w:tcBorders>
            <w:vAlign w:val="bottom"/>
          </w:tcPr>
          <w:p w14:paraId="23AAEE8E" w14:textId="77777777" w:rsidR="00392B1D" w:rsidRPr="00475868" w:rsidRDefault="00392B1D" w:rsidP="004C4D99">
            <w:pPr>
              <w:spacing w:after="80" w:line="300" w:lineRule="exact"/>
              <w:rPr>
                <w:sz w:val="28"/>
              </w:rPr>
            </w:pPr>
            <w:r w:rsidRPr="00475868">
              <w:rPr>
                <w:sz w:val="28"/>
              </w:rPr>
              <w:t>Nations Unies</w:t>
            </w:r>
          </w:p>
        </w:tc>
        <w:tc>
          <w:tcPr>
            <w:tcW w:w="6095" w:type="dxa"/>
            <w:gridSpan w:val="2"/>
            <w:tcBorders>
              <w:bottom w:val="single" w:sz="4" w:space="0" w:color="auto"/>
            </w:tcBorders>
            <w:vAlign w:val="bottom"/>
          </w:tcPr>
          <w:p w14:paraId="6F8E843E" w14:textId="6C276C1A" w:rsidR="00392B1D" w:rsidRPr="00475868" w:rsidRDefault="00C0030C" w:rsidP="00C0030C">
            <w:pPr>
              <w:jc w:val="right"/>
            </w:pPr>
            <w:r w:rsidRPr="00475868">
              <w:rPr>
                <w:sz w:val="40"/>
              </w:rPr>
              <w:t>CED</w:t>
            </w:r>
            <w:r w:rsidRPr="00475868">
              <w:t>/C/PER/FCO/1</w:t>
            </w:r>
          </w:p>
        </w:tc>
      </w:tr>
      <w:tr w:rsidR="00392B1D" w:rsidRPr="00475868" w14:paraId="14FDE946" w14:textId="77777777" w:rsidTr="004C4D99">
        <w:trPr>
          <w:trHeight w:hRule="exact" w:val="2835"/>
        </w:trPr>
        <w:tc>
          <w:tcPr>
            <w:tcW w:w="1276" w:type="dxa"/>
            <w:tcBorders>
              <w:top w:val="single" w:sz="4" w:space="0" w:color="auto"/>
              <w:bottom w:val="single" w:sz="12" w:space="0" w:color="auto"/>
            </w:tcBorders>
          </w:tcPr>
          <w:p w14:paraId="077E069A" w14:textId="77777777" w:rsidR="00392B1D" w:rsidRPr="00475868" w:rsidRDefault="00392B1D" w:rsidP="004C4D99">
            <w:pPr>
              <w:spacing w:before="120"/>
              <w:jc w:val="center"/>
            </w:pPr>
            <w:r w:rsidRPr="00475868">
              <w:rPr>
                <w:noProof/>
                <w:lang w:eastAsia="fr-CH"/>
              </w:rPr>
              <w:drawing>
                <wp:inline distT="0" distB="0" distL="0" distR="0" wp14:anchorId="57A4AC30" wp14:editId="636E9C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CFE491" w14:textId="77777777" w:rsidR="00392B1D" w:rsidRPr="00475868" w:rsidRDefault="00392B1D" w:rsidP="004C4D99">
            <w:pPr>
              <w:spacing w:before="120" w:line="380" w:lineRule="exact"/>
              <w:rPr>
                <w:b/>
                <w:sz w:val="40"/>
                <w:szCs w:val="40"/>
              </w:rPr>
            </w:pPr>
            <w:r w:rsidRPr="00475868">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14:paraId="183E5221" w14:textId="77777777" w:rsidR="00392B1D" w:rsidRPr="00475868" w:rsidRDefault="00C0030C" w:rsidP="004C4D99">
            <w:pPr>
              <w:spacing w:before="240"/>
            </w:pPr>
            <w:proofErr w:type="spellStart"/>
            <w:r w:rsidRPr="00475868">
              <w:t>Distr</w:t>
            </w:r>
            <w:proofErr w:type="spellEnd"/>
            <w:r w:rsidRPr="00475868">
              <w:t>. générale</w:t>
            </w:r>
          </w:p>
          <w:p w14:paraId="587A1D1A" w14:textId="77777777" w:rsidR="00C0030C" w:rsidRPr="00475868" w:rsidRDefault="00C0030C" w:rsidP="00C0030C">
            <w:pPr>
              <w:spacing w:line="240" w:lineRule="exact"/>
            </w:pPr>
            <w:r w:rsidRPr="00475868">
              <w:t>15 novembre 2021</w:t>
            </w:r>
          </w:p>
          <w:p w14:paraId="3B6DB20C" w14:textId="77777777" w:rsidR="00C0030C" w:rsidRPr="00475868" w:rsidRDefault="00C0030C" w:rsidP="00C0030C">
            <w:pPr>
              <w:spacing w:line="240" w:lineRule="exact"/>
            </w:pPr>
            <w:r w:rsidRPr="00475868">
              <w:t>Français</w:t>
            </w:r>
          </w:p>
          <w:p w14:paraId="5515B3B4" w14:textId="77777777" w:rsidR="00C0030C" w:rsidRPr="00475868" w:rsidRDefault="00C0030C" w:rsidP="00C0030C">
            <w:pPr>
              <w:spacing w:line="240" w:lineRule="exact"/>
            </w:pPr>
            <w:r w:rsidRPr="00475868">
              <w:t>Original : espagnol</w:t>
            </w:r>
          </w:p>
          <w:p w14:paraId="2A803F02" w14:textId="7157CA65" w:rsidR="00C0030C" w:rsidRPr="00475868" w:rsidRDefault="00C0030C" w:rsidP="00C0030C">
            <w:pPr>
              <w:spacing w:line="240" w:lineRule="exact"/>
            </w:pPr>
            <w:r w:rsidRPr="00475868">
              <w:t>Anglais, espagnol et français seulement</w:t>
            </w:r>
          </w:p>
        </w:tc>
      </w:tr>
    </w:tbl>
    <w:p w14:paraId="6BEAE916" w14:textId="77777777" w:rsidR="00392B1D" w:rsidRPr="00475868" w:rsidRDefault="00392B1D" w:rsidP="00392B1D">
      <w:pPr>
        <w:spacing w:before="120"/>
        <w:rPr>
          <w:b/>
          <w:sz w:val="24"/>
          <w:szCs w:val="24"/>
        </w:rPr>
      </w:pPr>
      <w:r w:rsidRPr="00475868">
        <w:rPr>
          <w:b/>
          <w:sz w:val="24"/>
          <w:szCs w:val="24"/>
        </w:rPr>
        <w:t>Comité des disparitions forcées</w:t>
      </w:r>
    </w:p>
    <w:p w14:paraId="53AF2195" w14:textId="0B870281" w:rsidR="00C0030C" w:rsidRPr="00475868" w:rsidRDefault="00C0030C" w:rsidP="00617581">
      <w:pPr>
        <w:pStyle w:val="HMG"/>
      </w:pPr>
      <w:r w:rsidRPr="00475868">
        <w:tab/>
      </w:r>
      <w:r w:rsidRPr="00475868">
        <w:tab/>
        <w:t xml:space="preserve">Renseignements reçus du Pérou au sujet </w:t>
      </w:r>
      <w:r w:rsidRPr="00475868">
        <w:br/>
        <w:t xml:space="preserve">de la suite donnée aux observations finales concernant le rapport soumis en application </w:t>
      </w:r>
      <w:r w:rsidRPr="00475868">
        <w:br/>
        <w:t>de l’article 29 (par. 1) de la Convention</w:t>
      </w:r>
      <w:r w:rsidRPr="00475868">
        <w:rPr>
          <w:rStyle w:val="Appelnotedebasdep"/>
          <w:b w:val="0"/>
          <w:bCs/>
          <w:sz w:val="20"/>
          <w:vertAlign w:val="baseline"/>
        </w:rPr>
        <w:footnoteReference w:customMarkFollows="1" w:id="2"/>
        <w:t>*</w:t>
      </w:r>
    </w:p>
    <w:p w14:paraId="00A83C21" w14:textId="77777777" w:rsidR="00C0030C" w:rsidRPr="00475868" w:rsidRDefault="00C0030C" w:rsidP="00C0030C">
      <w:pPr>
        <w:pStyle w:val="SingleTxtG"/>
        <w:jc w:val="right"/>
      </w:pPr>
      <w:r w:rsidRPr="00475868">
        <w:t>[Date de réception : 14 octobre 2021]</w:t>
      </w:r>
    </w:p>
    <w:p w14:paraId="0D9C1A8F" w14:textId="77777777" w:rsidR="00C0030C" w:rsidRPr="00475868" w:rsidRDefault="00C0030C" w:rsidP="00C0030C">
      <w:pPr>
        <w:spacing w:line="240" w:lineRule="auto"/>
      </w:pPr>
      <w:r w:rsidRPr="00475868">
        <w:br w:type="page"/>
      </w:r>
    </w:p>
    <w:p w14:paraId="7EB5FEE4" w14:textId="77777777" w:rsidR="00C0030C" w:rsidRPr="00475868" w:rsidRDefault="00C0030C" w:rsidP="00C0030C">
      <w:pPr>
        <w:spacing w:after="120"/>
        <w:rPr>
          <w:sz w:val="28"/>
        </w:rPr>
      </w:pPr>
      <w:r w:rsidRPr="00475868">
        <w:rPr>
          <w:sz w:val="28"/>
        </w:rPr>
        <w:lastRenderedPageBreak/>
        <w:t>Table des matières</w:t>
      </w:r>
    </w:p>
    <w:p w14:paraId="3625B94D" w14:textId="744D4B3F" w:rsidR="00C0030C" w:rsidRPr="00475868" w:rsidRDefault="00C0030C" w:rsidP="00C0030C">
      <w:pPr>
        <w:tabs>
          <w:tab w:val="right" w:pos="9638"/>
        </w:tabs>
        <w:spacing w:after="120"/>
        <w:ind w:left="283"/>
        <w:rPr>
          <w:i/>
          <w:sz w:val="18"/>
        </w:rPr>
      </w:pPr>
      <w:r w:rsidRPr="00475868">
        <w:rPr>
          <w:i/>
          <w:sz w:val="18"/>
        </w:rPr>
        <w:tab/>
        <w:t>Page</w:t>
      </w:r>
    </w:p>
    <w:p w14:paraId="7EBA058F" w14:textId="6B134859" w:rsidR="00C0030C" w:rsidRPr="00475868" w:rsidRDefault="00C0030C" w:rsidP="00C0030C">
      <w:pPr>
        <w:tabs>
          <w:tab w:val="right" w:pos="850"/>
          <w:tab w:val="right" w:leader="dot" w:pos="8787"/>
          <w:tab w:val="right" w:pos="9638"/>
        </w:tabs>
        <w:spacing w:after="120"/>
        <w:ind w:left="1134" w:hanging="1134"/>
        <w:rPr>
          <w:iCs/>
        </w:rPr>
      </w:pPr>
      <w:r w:rsidRPr="00475868">
        <w:rPr>
          <w:iCs/>
        </w:rPr>
        <w:tab/>
        <w:t>I.</w:t>
      </w:r>
      <w:r w:rsidRPr="00475868">
        <w:rPr>
          <w:iCs/>
        </w:rPr>
        <w:tab/>
      </w:r>
      <w:r w:rsidR="00617581" w:rsidRPr="00475868">
        <w:rPr>
          <w:iCs/>
        </w:rPr>
        <w:t>Introduction</w:t>
      </w:r>
      <w:r w:rsidRPr="00475868">
        <w:rPr>
          <w:iCs/>
        </w:rPr>
        <w:tab/>
      </w:r>
      <w:r w:rsidR="007C4EB6" w:rsidRPr="00475868">
        <w:rPr>
          <w:iCs/>
        </w:rPr>
        <w:tab/>
      </w:r>
      <w:r w:rsidR="00617581" w:rsidRPr="00475868">
        <w:rPr>
          <w:iCs/>
        </w:rPr>
        <w:t>3</w:t>
      </w:r>
    </w:p>
    <w:p w14:paraId="004FAE7E" w14:textId="4AB47D6B" w:rsidR="007C4EB6" w:rsidRPr="00475868" w:rsidRDefault="007C4EB6" w:rsidP="00C0030C">
      <w:pPr>
        <w:tabs>
          <w:tab w:val="right" w:pos="850"/>
          <w:tab w:val="right" w:leader="dot" w:pos="8787"/>
          <w:tab w:val="right" w:pos="9638"/>
        </w:tabs>
        <w:spacing w:after="120"/>
        <w:ind w:left="1134" w:hanging="1134"/>
        <w:rPr>
          <w:iCs/>
        </w:rPr>
      </w:pPr>
      <w:r w:rsidRPr="00475868">
        <w:rPr>
          <w:iCs/>
        </w:rPr>
        <w:tab/>
        <w:t>II.</w:t>
      </w:r>
      <w:r w:rsidRPr="00475868">
        <w:rPr>
          <w:iCs/>
        </w:rPr>
        <w:tab/>
      </w:r>
      <w:r w:rsidR="00617581" w:rsidRPr="00475868">
        <w:t xml:space="preserve">Renseignements au sujet de la suite donnée aux paragraphes 15, 29 et 33 des observations </w:t>
      </w:r>
      <w:r w:rsidR="00617581" w:rsidRPr="00475868">
        <w:br/>
        <w:t>finales du Comité des disparitions forcées</w:t>
      </w:r>
      <w:r w:rsidRPr="00475868">
        <w:rPr>
          <w:iCs/>
        </w:rPr>
        <w:tab/>
      </w:r>
      <w:r w:rsidRPr="00475868">
        <w:rPr>
          <w:iCs/>
        </w:rPr>
        <w:tab/>
      </w:r>
      <w:r w:rsidR="00617581" w:rsidRPr="00475868">
        <w:rPr>
          <w:iCs/>
        </w:rPr>
        <w:t>3</w:t>
      </w:r>
    </w:p>
    <w:p w14:paraId="487BBD15" w14:textId="0C93CF0C" w:rsidR="00C0030C" w:rsidRPr="00475868" w:rsidRDefault="00C0030C" w:rsidP="00C0030C">
      <w:pPr>
        <w:tabs>
          <w:tab w:val="right" w:leader="dot" w:pos="8787"/>
          <w:tab w:val="right" w:pos="9638"/>
        </w:tabs>
        <w:spacing w:after="120"/>
        <w:ind w:left="1559" w:hanging="425"/>
      </w:pPr>
      <w:r w:rsidRPr="00475868">
        <w:t>A.</w:t>
      </w:r>
      <w:r w:rsidRPr="00475868">
        <w:tab/>
      </w:r>
      <w:r w:rsidR="00617581" w:rsidRPr="00475868">
        <w:t>Renseignements sur la suite donnée au paragraphe 15</w:t>
      </w:r>
      <w:r w:rsidRPr="00475868">
        <w:tab/>
      </w:r>
      <w:r w:rsidR="007C4EB6" w:rsidRPr="00475868">
        <w:tab/>
      </w:r>
      <w:r w:rsidR="00617581" w:rsidRPr="00475868">
        <w:t>3</w:t>
      </w:r>
    </w:p>
    <w:p w14:paraId="2CE34DA7" w14:textId="19CA36C1" w:rsidR="007C4EB6" w:rsidRPr="00475868" w:rsidRDefault="007C4EB6" w:rsidP="007C4EB6">
      <w:pPr>
        <w:tabs>
          <w:tab w:val="right" w:leader="dot" w:pos="8787"/>
          <w:tab w:val="right" w:pos="9638"/>
        </w:tabs>
        <w:spacing w:after="120"/>
        <w:ind w:left="1559" w:hanging="425"/>
      </w:pPr>
      <w:r w:rsidRPr="00475868">
        <w:t>B.</w:t>
      </w:r>
      <w:r w:rsidRPr="00475868">
        <w:tab/>
      </w:r>
      <w:r w:rsidR="00617581" w:rsidRPr="00475868">
        <w:rPr>
          <w:bCs/>
        </w:rPr>
        <w:t>Renseignements sur la suite donnée au paragraphe 29</w:t>
      </w:r>
      <w:r w:rsidRPr="00475868">
        <w:tab/>
      </w:r>
      <w:r w:rsidRPr="00475868">
        <w:tab/>
      </w:r>
      <w:r w:rsidR="001C7243" w:rsidRPr="00475868">
        <w:t>5</w:t>
      </w:r>
    </w:p>
    <w:p w14:paraId="2726D503" w14:textId="2DA5E5F5" w:rsidR="007C4EB6" w:rsidRPr="00475868" w:rsidRDefault="007C4EB6" w:rsidP="007C4EB6">
      <w:pPr>
        <w:tabs>
          <w:tab w:val="right" w:leader="dot" w:pos="8787"/>
          <w:tab w:val="right" w:pos="9638"/>
        </w:tabs>
        <w:spacing w:after="120"/>
        <w:ind w:left="1559" w:hanging="425"/>
      </w:pPr>
      <w:r w:rsidRPr="00475868">
        <w:t>C.</w:t>
      </w:r>
      <w:r w:rsidRPr="00475868">
        <w:tab/>
      </w:r>
      <w:r w:rsidR="00617581" w:rsidRPr="00475868">
        <w:t>Renseignements sur la suite donnée au paragraphe 33</w:t>
      </w:r>
      <w:r w:rsidRPr="00475868">
        <w:tab/>
      </w:r>
      <w:r w:rsidRPr="00475868">
        <w:tab/>
      </w:r>
      <w:r w:rsidR="00617581" w:rsidRPr="00475868">
        <w:t>10</w:t>
      </w:r>
    </w:p>
    <w:p w14:paraId="7B6B634F" w14:textId="2079AB69" w:rsidR="007C4EB6" w:rsidRPr="00475868" w:rsidRDefault="007C4EB6" w:rsidP="007C4EB6">
      <w:pPr>
        <w:tabs>
          <w:tab w:val="right" w:pos="850"/>
          <w:tab w:val="right" w:leader="dot" w:pos="8787"/>
          <w:tab w:val="right" w:pos="9638"/>
        </w:tabs>
        <w:spacing w:after="120"/>
        <w:ind w:left="1134" w:hanging="1134"/>
        <w:rPr>
          <w:iCs/>
        </w:rPr>
      </w:pPr>
      <w:r w:rsidRPr="00475868">
        <w:rPr>
          <w:iCs/>
        </w:rPr>
        <w:tab/>
        <w:t>III.</w:t>
      </w:r>
      <w:r w:rsidRPr="00475868">
        <w:rPr>
          <w:iCs/>
        </w:rPr>
        <w:tab/>
      </w:r>
      <w:r w:rsidR="00617581" w:rsidRPr="00475868">
        <w:rPr>
          <w:bCs/>
        </w:rPr>
        <w:t>Conclusion</w:t>
      </w:r>
      <w:r w:rsidRPr="00475868">
        <w:rPr>
          <w:iCs/>
        </w:rPr>
        <w:tab/>
      </w:r>
      <w:r w:rsidRPr="00475868">
        <w:rPr>
          <w:iCs/>
        </w:rPr>
        <w:tab/>
      </w:r>
      <w:r w:rsidR="00617581" w:rsidRPr="00475868">
        <w:rPr>
          <w:iCs/>
        </w:rPr>
        <w:t>15</w:t>
      </w:r>
    </w:p>
    <w:p w14:paraId="6D762D5F" w14:textId="69B78BBF" w:rsidR="00C0030C" w:rsidRPr="00475868" w:rsidRDefault="00C0030C" w:rsidP="00C0030C">
      <w:pPr>
        <w:tabs>
          <w:tab w:val="right" w:pos="850"/>
        </w:tabs>
        <w:spacing w:after="120"/>
      </w:pPr>
      <w:r w:rsidRPr="00475868">
        <w:tab/>
        <w:t>Annexes</w:t>
      </w:r>
    </w:p>
    <w:p w14:paraId="54F1159F" w14:textId="77777777" w:rsidR="00C0030C" w:rsidRPr="00475868" w:rsidRDefault="00C0030C" w:rsidP="00C0030C">
      <w:pPr>
        <w:tabs>
          <w:tab w:val="right" w:pos="850"/>
          <w:tab w:val="left" w:pos="1134"/>
          <w:tab w:val="left" w:pos="1559"/>
          <w:tab w:val="left" w:pos="1984"/>
          <w:tab w:val="left" w:leader="dot" w:pos="8929"/>
          <w:tab w:val="right" w:pos="9638"/>
        </w:tabs>
        <w:spacing w:after="120"/>
      </w:pPr>
      <w:r w:rsidRPr="00475868">
        <w:tab/>
      </w:r>
      <w:r w:rsidRPr="00475868">
        <w:tab/>
        <w:t>Sigles et abréviations</w:t>
      </w:r>
      <w:r w:rsidRPr="00475868">
        <w:tab/>
      </w:r>
      <w:r w:rsidRPr="00475868">
        <w:tab/>
        <w:t>16</w:t>
      </w:r>
    </w:p>
    <w:p w14:paraId="437EC9A4" w14:textId="77777777" w:rsidR="00C0030C" w:rsidRPr="00475868" w:rsidRDefault="00C0030C" w:rsidP="00C0030C">
      <w:pPr>
        <w:spacing w:line="240" w:lineRule="auto"/>
      </w:pPr>
      <w:r w:rsidRPr="00475868">
        <w:br w:type="page"/>
      </w:r>
    </w:p>
    <w:p w14:paraId="720A7496" w14:textId="159C0B8C" w:rsidR="00C0030C" w:rsidRPr="00475868" w:rsidRDefault="007C4EB6" w:rsidP="007C4EB6">
      <w:pPr>
        <w:pStyle w:val="HChG"/>
      </w:pPr>
      <w:r w:rsidRPr="00475868">
        <w:tab/>
      </w:r>
      <w:r w:rsidR="00C0030C" w:rsidRPr="00475868">
        <w:t>I.</w:t>
      </w:r>
      <w:r w:rsidR="00C0030C" w:rsidRPr="00475868">
        <w:tab/>
        <w:t>Introduction</w:t>
      </w:r>
    </w:p>
    <w:p w14:paraId="1627A0CC" w14:textId="5571BD90" w:rsidR="00C0030C" w:rsidRPr="00475868" w:rsidRDefault="00C0030C" w:rsidP="007C4EB6">
      <w:pPr>
        <w:pStyle w:val="SingleTxtG"/>
      </w:pPr>
      <w:r w:rsidRPr="00475868">
        <w:t>1.</w:t>
      </w:r>
      <w:r w:rsidRPr="00475868">
        <w:tab/>
        <w:t>Conformément aux dispositions du paragraphe 3 de l’article 29 de la Convention internationale pour la protection de toutes les personnes contre les disparitions forcées (la</w:t>
      </w:r>
      <w:r w:rsidR="007C4EB6" w:rsidRPr="00475868">
        <w:t> </w:t>
      </w:r>
      <w:r w:rsidRPr="00475868">
        <w:t>Convention), l’État péruvien présente ci-après des renseignements au sujet de la suite donnée aux paragraphes 15, 29 et 33 des observations finales</w:t>
      </w:r>
      <w:r w:rsidRPr="00475868">
        <w:rPr>
          <w:rStyle w:val="Appelnotedebasdep"/>
        </w:rPr>
        <w:footnoteReference w:id="3"/>
      </w:r>
      <w:r w:rsidRPr="00475868">
        <w:t xml:space="preserve"> concernant le rapport soumis en avril 2019 au Comité des disparitions forcées.</w:t>
      </w:r>
    </w:p>
    <w:p w14:paraId="095060CB" w14:textId="77F88BCB" w:rsidR="00C0030C" w:rsidRPr="00475868" w:rsidRDefault="00C0030C" w:rsidP="00C0030C">
      <w:pPr>
        <w:pStyle w:val="SingleTxtG"/>
      </w:pPr>
      <w:r w:rsidRPr="00475868">
        <w:t>2.</w:t>
      </w:r>
      <w:r w:rsidRPr="00475868">
        <w:tab/>
        <w:t>Dans le cadre de l’établissement du présent rapport, des renseignements ont été reçus de divers interlocuteurs, dont le pouvoir judiciaire, le ministère public</w:t>
      </w:r>
      <w:r w:rsidR="00F56840" w:rsidRPr="00475868">
        <w:t xml:space="preserve"> (MP-FN)</w:t>
      </w:r>
      <w:r w:rsidRPr="00475868">
        <w:t>, le Bureau du Défenseur du peuple et les départements ci-après du Ministère de la justice et des droits humains (MINUSJDH) : la Direction générale de la recherche des personnes disparues (DGBPD), le secrétariat exécutif de la Commission multisectorielle de haut niveau (CMAN) et le Conseil des réparations (CR).</w:t>
      </w:r>
    </w:p>
    <w:p w14:paraId="6B9E0570" w14:textId="21B76097" w:rsidR="00C0030C" w:rsidRPr="00475868" w:rsidRDefault="00C0030C" w:rsidP="00C0030C">
      <w:pPr>
        <w:pStyle w:val="SingleTxtG"/>
        <w:rPr>
          <w:spacing w:val="-2"/>
        </w:rPr>
      </w:pPr>
      <w:r w:rsidRPr="00475868">
        <w:rPr>
          <w:spacing w:val="-2"/>
        </w:rPr>
        <w:t>3.</w:t>
      </w:r>
      <w:r w:rsidRPr="00475868">
        <w:rPr>
          <w:spacing w:val="-2"/>
        </w:rPr>
        <w:tab/>
        <w:t xml:space="preserve">De même, dans les consultations, il a été tenu compte des approches et des principes qui guident l’application du décret suprême </w:t>
      </w:r>
      <w:r w:rsidR="00A25D71" w:rsidRPr="00475868">
        <w:rPr>
          <w:rFonts w:eastAsia="MS Mincho"/>
          <w:spacing w:val="-2"/>
          <w:szCs w:val="22"/>
        </w:rPr>
        <w:t>n</w:t>
      </w:r>
      <w:r w:rsidR="00A25D71" w:rsidRPr="00475868">
        <w:rPr>
          <w:rFonts w:eastAsia="MS Mincho"/>
          <w:spacing w:val="-2"/>
          <w:szCs w:val="22"/>
          <w:vertAlign w:val="superscript"/>
        </w:rPr>
        <w:t>o</w:t>
      </w:r>
      <w:r w:rsidR="00A25D71" w:rsidRPr="00475868">
        <w:rPr>
          <w:spacing w:val="-2"/>
        </w:rPr>
        <w:t> </w:t>
      </w:r>
      <w:r w:rsidRPr="00475868">
        <w:rPr>
          <w:spacing w:val="-2"/>
        </w:rPr>
        <w:t>010-2020-JUS</w:t>
      </w:r>
      <w:r w:rsidRPr="00475868">
        <w:rPr>
          <w:rStyle w:val="Appelnotedebasdep"/>
          <w:spacing w:val="-2"/>
        </w:rPr>
        <w:footnoteReference w:id="4"/>
      </w:r>
      <w:r w:rsidRPr="00475868">
        <w:rPr>
          <w:spacing w:val="-2"/>
        </w:rPr>
        <w:t xml:space="preserve"> portant approbation du Protocole intersectoriel de participation de l’État péruvien aux systèmes internationaux de protection des droits de l’homme et définissant les fonctions du mécanisme national chargé d’élaborer et de soumettre des rapports aux systèmes internationaux de protection des droits de l’homme</w:t>
      </w:r>
      <w:r w:rsidRPr="00475868">
        <w:rPr>
          <w:rStyle w:val="Appelnotedebasdep"/>
          <w:spacing w:val="-2"/>
        </w:rPr>
        <w:footnoteReference w:id="5"/>
      </w:r>
      <w:r w:rsidRPr="00475868">
        <w:rPr>
          <w:spacing w:val="-2"/>
        </w:rPr>
        <w:t>, et d’en assurer le suivi, sous la direction du Ministère de la justice et des droits humains.</w:t>
      </w:r>
    </w:p>
    <w:p w14:paraId="284394A6" w14:textId="6663722B" w:rsidR="00C0030C" w:rsidRPr="00475868" w:rsidRDefault="007C4EB6" w:rsidP="007C4EB6">
      <w:pPr>
        <w:pStyle w:val="HChG"/>
      </w:pPr>
      <w:bookmarkStart w:id="0" w:name="_Toc81387481"/>
      <w:r w:rsidRPr="00475868">
        <w:tab/>
      </w:r>
      <w:r w:rsidR="00C0030C" w:rsidRPr="00475868">
        <w:t>II.</w:t>
      </w:r>
      <w:r w:rsidR="00C0030C" w:rsidRPr="00475868">
        <w:tab/>
        <w:t xml:space="preserve">Renseignements au sujet de la suite donnée aux </w:t>
      </w:r>
      <w:r w:rsidRPr="00475868">
        <w:br/>
      </w:r>
      <w:r w:rsidR="00C0030C" w:rsidRPr="00475868">
        <w:t xml:space="preserve">paragraphes 15, 29 et 33 des observations finales </w:t>
      </w:r>
      <w:r w:rsidRPr="00475868">
        <w:br/>
      </w:r>
      <w:r w:rsidR="00C0030C" w:rsidRPr="00475868">
        <w:t>du Comité des disparitions forcées (</w:t>
      </w:r>
      <w:hyperlink r:id="rId8" w:history="1">
        <w:r w:rsidR="00C0030C" w:rsidRPr="00475868">
          <w:rPr>
            <w:rStyle w:val="Lienhypertexte"/>
          </w:rPr>
          <w:t>CED/C/PER/CO/1</w:t>
        </w:r>
      </w:hyperlink>
      <w:r w:rsidR="00C0030C" w:rsidRPr="00475868">
        <w:t>)</w:t>
      </w:r>
      <w:bookmarkEnd w:id="0"/>
    </w:p>
    <w:p w14:paraId="43AA5AA1" w14:textId="1C50492C" w:rsidR="00C0030C" w:rsidRPr="00475868" w:rsidRDefault="007C4EB6" w:rsidP="007C4EB6">
      <w:pPr>
        <w:pStyle w:val="H1G"/>
      </w:pPr>
      <w:bookmarkStart w:id="1" w:name="_Toc81387482"/>
      <w:r w:rsidRPr="00475868">
        <w:tab/>
      </w:r>
      <w:r w:rsidR="00C0030C" w:rsidRPr="00475868">
        <w:t>A.</w:t>
      </w:r>
      <w:r w:rsidR="00C0030C" w:rsidRPr="00475868">
        <w:tab/>
        <w:t>Renseignements sur la suite donnée au paragraphe 15</w:t>
      </w:r>
      <w:bookmarkEnd w:id="1"/>
    </w:p>
    <w:p w14:paraId="7963A069" w14:textId="500DE37B" w:rsidR="00C0030C" w:rsidRPr="00475868" w:rsidRDefault="00C0030C" w:rsidP="00C0030C">
      <w:pPr>
        <w:pStyle w:val="SingleTxtG"/>
      </w:pPr>
      <w:r w:rsidRPr="00475868">
        <w:t>4.</w:t>
      </w:r>
      <w:r w:rsidRPr="00475868">
        <w:tab/>
        <w:t xml:space="preserve">Le crime de disparition forcée a été incorporé à l’article 320 du Code pénal péruvien par la loi </w:t>
      </w:r>
      <w:r w:rsidR="007C4EB6" w:rsidRPr="00475868">
        <w:rPr>
          <w:rFonts w:eastAsia="MS Mincho"/>
          <w:szCs w:val="22"/>
        </w:rPr>
        <w:t>n</w:t>
      </w:r>
      <w:r w:rsidR="007C4EB6" w:rsidRPr="00475868">
        <w:rPr>
          <w:rFonts w:eastAsia="MS Mincho"/>
          <w:szCs w:val="22"/>
          <w:vertAlign w:val="superscript"/>
        </w:rPr>
        <w:t>o</w:t>
      </w:r>
      <w:r w:rsidR="007C4EB6" w:rsidRPr="00475868">
        <w:t> </w:t>
      </w:r>
      <w:r w:rsidRPr="00475868">
        <w:t>26926</w:t>
      </w:r>
      <w:r w:rsidRPr="00475868">
        <w:rPr>
          <w:rStyle w:val="Appelnotedebasdep"/>
        </w:rPr>
        <w:footnoteReference w:id="6"/>
      </w:r>
      <w:r w:rsidRPr="00475868">
        <w:t xml:space="preserve"> portant modification de divers articles du Code et incorporation du titre XIV-A sur les crimes contre l’humanité.</w:t>
      </w:r>
    </w:p>
    <w:p w14:paraId="7E0DD8BF" w14:textId="50EBF521" w:rsidR="00C0030C" w:rsidRPr="00475868" w:rsidRDefault="00C0030C" w:rsidP="00C0030C">
      <w:pPr>
        <w:pStyle w:val="SingleTxtG"/>
      </w:pPr>
      <w:r w:rsidRPr="00475868">
        <w:t>5.</w:t>
      </w:r>
      <w:r w:rsidRPr="00475868">
        <w:tab/>
        <w:t xml:space="preserve">En janvier 2017, l’article 320 précité a été modifié par le décret-loi </w:t>
      </w:r>
      <w:r w:rsidR="007C4EB6" w:rsidRPr="00475868">
        <w:rPr>
          <w:rFonts w:eastAsia="MS Mincho"/>
          <w:szCs w:val="22"/>
        </w:rPr>
        <w:t>n</w:t>
      </w:r>
      <w:r w:rsidR="007C4EB6" w:rsidRPr="00475868">
        <w:rPr>
          <w:rFonts w:eastAsia="MS Mincho"/>
          <w:szCs w:val="22"/>
          <w:vertAlign w:val="superscript"/>
        </w:rPr>
        <w:t>o</w:t>
      </w:r>
      <w:r w:rsidR="007C4EB6" w:rsidRPr="00475868">
        <w:t> </w:t>
      </w:r>
      <w:r w:rsidRPr="00475868">
        <w:t>1351</w:t>
      </w:r>
      <w:r w:rsidRPr="00475868">
        <w:rPr>
          <w:rStyle w:val="Appelnotedebasdep"/>
        </w:rPr>
        <w:footnoteReference w:id="7"/>
      </w:r>
      <w:r w:rsidRPr="00475868">
        <w:t>, la disparition forcée y étant définie comme suit :</w:t>
      </w:r>
    </w:p>
    <w:p w14:paraId="74411A49" w14:textId="5167A612" w:rsidR="00C0030C" w:rsidRPr="00475868" w:rsidRDefault="00C0030C" w:rsidP="007C4EB6">
      <w:pPr>
        <w:pStyle w:val="SingleTxtG"/>
        <w:ind w:firstLine="567"/>
        <w:rPr>
          <w:shd w:val="clear" w:color="auto" w:fill="FFFFFF"/>
        </w:rPr>
      </w:pPr>
      <w:r w:rsidRPr="00475868">
        <w:t>« Tout fonctionnaire ou agent de l’État, ou toute personne qui, avec son consentement exprès ou tacite, prive autrui de sa liberté de quelque manière que ce soit et refuse de reconnaître ladite privation de liberté ou de donner des renseignements fiables sur ce qu’il est advenu de la victime ou sur le lieu où elle se trouve, est passible d’une peine de quinze à trente</w:t>
      </w:r>
      <w:r w:rsidR="00A25D71" w:rsidRPr="00475868">
        <w:t> </w:t>
      </w:r>
      <w:r w:rsidRPr="00475868">
        <w:t>ans de privation de liberté et d’interdiction, aux termes des alinéas 1) et 2) de l’article</w:t>
      </w:r>
      <w:r w:rsidR="007C4EB6" w:rsidRPr="00475868">
        <w:t> </w:t>
      </w:r>
      <w:r w:rsidRPr="00475868">
        <w:t>36.</w:t>
      </w:r>
    </w:p>
    <w:p w14:paraId="009A48F3" w14:textId="400DAD1B" w:rsidR="00C0030C" w:rsidRPr="00475868" w:rsidRDefault="00C0030C" w:rsidP="007C4EB6">
      <w:pPr>
        <w:pStyle w:val="SingleTxtG"/>
        <w:ind w:firstLine="567"/>
        <w:rPr>
          <w:shd w:val="clear" w:color="auto" w:fill="FFFFFF"/>
        </w:rPr>
      </w:pPr>
      <w:r w:rsidRPr="00475868">
        <w:t>La peine de privation de liberté n’est pas inférieure à trente</w:t>
      </w:r>
      <w:r w:rsidR="00A25D71" w:rsidRPr="00475868">
        <w:t> </w:t>
      </w:r>
      <w:r w:rsidRPr="00475868">
        <w:t>ans et n’excède pas trente</w:t>
      </w:r>
      <w:r w:rsidR="007C4EB6" w:rsidRPr="00475868">
        <w:noBreakHyphen/>
      </w:r>
      <w:r w:rsidRPr="00475868">
        <w:t>cinq</w:t>
      </w:r>
      <w:r w:rsidR="00A25D71" w:rsidRPr="00475868">
        <w:t> </w:t>
      </w:r>
      <w:r w:rsidRPr="00475868">
        <w:t>ans, et l’interdiction est appliquée conformément aux alinéas 1) et 2) de l’article</w:t>
      </w:r>
      <w:r w:rsidR="007C4EB6" w:rsidRPr="00475868">
        <w:t> </w:t>
      </w:r>
      <w:r w:rsidRPr="00475868">
        <w:t>36, si la victime :</w:t>
      </w:r>
    </w:p>
    <w:p w14:paraId="39ED5171" w14:textId="716AC80C" w:rsidR="00C0030C" w:rsidRPr="00475868" w:rsidRDefault="00C0030C" w:rsidP="007C4EB6">
      <w:pPr>
        <w:pStyle w:val="SingleTxtG"/>
        <w:ind w:firstLine="567"/>
      </w:pPr>
      <w:r w:rsidRPr="00475868">
        <w:t>a)</w:t>
      </w:r>
      <w:r w:rsidRPr="00475868">
        <w:tab/>
        <w:t xml:space="preserve">Est âgée de moins de </w:t>
      </w:r>
      <w:r w:rsidR="007C4EB6" w:rsidRPr="00475868">
        <w:t>18 </w:t>
      </w:r>
      <w:r w:rsidRPr="00475868">
        <w:t xml:space="preserve">ans ou de plus de </w:t>
      </w:r>
      <w:r w:rsidR="007C4EB6" w:rsidRPr="00475868">
        <w:t>60 </w:t>
      </w:r>
      <w:r w:rsidRPr="00475868">
        <w:t>ans ;</w:t>
      </w:r>
    </w:p>
    <w:p w14:paraId="605A3A9C" w14:textId="77777777" w:rsidR="00C0030C" w:rsidRPr="00475868" w:rsidRDefault="00C0030C" w:rsidP="007C4EB6">
      <w:pPr>
        <w:pStyle w:val="SingleTxtG"/>
        <w:ind w:firstLine="567"/>
      </w:pPr>
      <w:r w:rsidRPr="00475868">
        <w:t>b)</w:t>
      </w:r>
      <w:r w:rsidRPr="00475868">
        <w:tab/>
        <w:t>Présente un handicap quelconque ;</w:t>
      </w:r>
    </w:p>
    <w:p w14:paraId="008760D2" w14:textId="4E5F7FD5" w:rsidR="00C0030C" w:rsidRPr="00475868" w:rsidRDefault="00C0030C" w:rsidP="007C4EB6">
      <w:pPr>
        <w:pStyle w:val="SingleTxtG"/>
        <w:ind w:firstLine="567"/>
        <w:rPr>
          <w:shd w:val="clear" w:color="auto" w:fill="FFFFFF"/>
        </w:rPr>
      </w:pPr>
      <w:r w:rsidRPr="00475868">
        <w:t>c)</w:t>
      </w:r>
      <w:r w:rsidRPr="00475868">
        <w:tab/>
        <w:t>Est enceinte. »</w:t>
      </w:r>
      <w:r w:rsidR="007C4EB6" w:rsidRPr="00475868">
        <w:t>.</w:t>
      </w:r>
    </w:p>
    <w:p w14:paraId="649A0C36" w14:textId="6E0952EB" w:rsidR="00C0030C" w:rsidRPr="00475868" w:rsidRDefault="00C0030C" w:rsidP="00C0030C">
      <w:pPr>
        <w:pStyle w:val="SingleTxtG"/>
      </w:pPr>
      <w:r w:rsidRPr="00475868">
        <w:t>6.</w:t>
      </w:r>
      <w:r w:rsidRPr="00475868">
        <w:tab/>
        <w:t>Cette modification rend l’incrimination de disparition forcée conforme à l’article 2 de la Convention</w:t>
      </w:r>
      <w:r w:rsidRPr="00475868">
        <w:rPr>
          <w:rStyle w:val="Appelnotedebasdep"/>
        </w:rPr>
        <w:footnoteReference w:id="8"/>
      </w:r>
      <w:r w:rsidRPr="00475868">
        <w:t>, supprime la condition de la preuve de la disparition et ajoute l’élément du déni de la reconnaissance de la privation de liberté ou du refus de donner des renseignements sur le lieu où se trouve la personne disparue. De même, conformément à la définition de l’infraction pénale, l’acte est incriminé indépendamment du contexte dans lequel il se produit et les circonstances aggravantes sont notamment celles déjà citées sur la condition de la victime, conformément à l’alinéa b) du paragraphe 2 de l’article 7 de la Convention.</w:t>
      </w:r>
    </w:p>
    <w:p w14:paraId="04D36F1B" w14:textId="1F2F74B7" w:rsidR="00C0030C" w:rsidRPr="00475868" w:rsidRDefault="00C0030C" w:rsidP="00C0030C">
      <w:pPr>
        <w:pStyle w:val="SingleTxtG"/>
      </w:pPr>
      <w:r w:rsidRPr="00475868">
        <w:t>7.</w:t>
      </w:r>
      <w:r w:rsidRPr="00475868">
        <w:tab/>
        <w:t>De même, l’article 46-A du Code pénal établit comme circonstance aggravante</w:t>
      </w:r>
      <w:r w:rsidRPr="00475868">
        <w:rPr>
          <w:rStyle w:val="Appelnotedebasdep"/>
        </w:rPr>
        <w:footnoteReference w:id="9"/>
      </w:r>
      <w:r w:rsidRPr="00475868">
        <w:t xml:space="preserve"> le fait que l’auteur profite de sa qualité de membre des </w:t>
      </w:r>
      <w:r w:rsidR="00475868">
        <w:t>F</w:t>
      </w:r>
      <w:r w:rsidRPr="00475868">
        <w:t xml:space="preserve">orces armées ou de la </w:t>
      </w:r>
      <w:r w:rsidR="00A25D71" w:rsidRPr="00475868">
        <w:t>P</w:t>
      </w:r>
      <w:r w:rsidRPr="00475868">
        <w:t>olice nationale péruvienne, de détenteur d’une autorité, de fonctionnaire ou d’agent public pour commettre un acte punissable, ou qu’il utilise des armes fournies par l’État ou dont l’usage est autorisé par sa qualité d’agent public. En pareil cas, le juge augmente la peine de privation de liberté d’au plus la moitié du maximum légal fixé pour l’infraction commise, la peine ne pouvant en aucun cas dépasser trente-cinq</w:t>
      </w:r>
      <w:r w:rsidR="00A25D71" w:rsidRPr="00475868">
        <w:t> </w:t>
      </w:r>
      <w:r w:rsidRPr="00475868">
        <w:t>ans d’emprisonnement.</w:t>
      </w:r>
    </w:p>
    <w:p w14:paraId="3E5A0493" w14:textId="0BCE04A1" w:rsidR="00C0030C" w:rsidRPr="00475868" w:rsidRDefault="00C0030C" w:rsidP="00C0030C">
      <w:pPr>
        <w:pStyle w:val="SingleTxtG"/>
      </w:pPr>
      <w:r w:rsidRPr="00475868">
        <w:t>8.</w:t>
      </w:r>
      <w:r w:rsidRPr="00475868">
        <w:tab/>
        <w:t xml:space="preserve">Le crime de disparition forcée est aussi couvert par l’article 3 de la loi </w:t>
      </w:r>
      <w:r w:rsidR="007C4EB6" w:rsidRPr="00475868">
        <w:rPr>
          <w:rFonts w:eastAsia="MS Mincho"/>
          <w:szCs w:val="22"/>
        </w:rPr>
        <w:t>n</w:t>
      </w:r>
      <w:r w:rsidR="007C4EB6" w:rsidRPr="00475868">
        <w:rPr>
          <w:rFonts w:eastAsia="MS Mincho"/>
          <w:szCs w:val="22"/>
          <w:vertAlign w:val="superscript"/>
        </w:rPr>
        <w:t>o</w:t>
      </w:r>
      <w:r w:rsidR="007C4EB6" w:rsidRPr="00475868">
        <w:t> </w:t>
      </w:r>
      <w:r w:rsidRPr="00475868">
        <w:t>30077</w:t>
      </w:r>
      <w:r w:rsidRPr="00475868">
        <w:rPr>
          <w:rStyle w:val="Appelnotedebasdep"/>
        </w:rPr>
        <w:footnoteReference w:id="10"/>
      </w:r>
      <w:r w:rsidRPr="00475868">
        <w:t>, dite loi sur le crime organisé, l’article 22 de la même loi précisant que dans le cas où pareille infraction est commise par un fonctionnaire ou un agent public, et que celui-ci a abusé de sa position ou s’en est servie pour commettre, faciliter ou dissimuler l’infraction, le juge augmente la peine d’au plus un tiers du maximum légal établi pour l’infraction commise, la peine ne pouvant en aucun cas dépasser trente-cinq</w:t>
      </w:r>
      <w:r w:rsidR="00A25D71" w:rsidRPr="00475868">
        <w:t> </w:t>
      </w:r>
      <w:r w:rsidRPr="00475868">
        <w:t>ans d’emprisonnement</w:t>
      </w:r>
      <w:r w:rsidRPr="00475868">
        <w:rPr>
          <w:rStyle w:val="Appelnotedebasdep"/>
        </w:rPr>
        <w:footnoteReference w:id="11"/>
      </w:r>
      <w:r w:rsidRPr="00475868">
        <w:t>.</w:t>
      </w:r>
    </w:p>
    <w:p w14:paraId="1E6E43DC" w14:textId="677FE481" w:rsidR="00C0030C" w:rsidRPr="00475868" w:rsidRDefault="00C0030C" w:rsidP="00C0030C">
      <w:pPr>
        <w:pStyle w:val="SingleTxtG"/>
        <w:rPr>
          <w:spacing w:val="-2"/>
        </w:rPr>
      </w:pPr>
      <w:r w:rsidRPr="00475868">
        <w:rPr>
          <w:spacing w:val="-2"/>
        </w:rPr>
        <w:t>9.</w:t>
      </w:r>
      <w:r w:rsidRPr="00475868">
        <w:rPr>
          <w:spacing w:val="-2"/>
        </w:rPr>
        <w:tab/>
        <w:t xml:space="preserve">À cet égard, il est important de noter que le nouveau Code de procédure pénale, approuvé par le décret-loi </w:t>
      </w:r>
      <w:r w:rsidR="007C4EB6" w:rsidRPr="00475868">
        <w:rPr>
          <w:rFonts w:eastAsia="MS Mincho"/>
          <w:spacing w:val="-2"/>
          <w:szCs w:val="22"/>
        </w:rPr>
        <w:t>n</w:t>
      </w:r>
      <w:r w:rsidR="007C4EB6" w:rsidRPr="00475868">
        <w:rPr>
          <w:rFonts w:eastAsia="MS Mincho"/>
          <w:spacing w:val="-2"/>
          <w:szCs w:val="22"/>
          <w:vertAlign w:val="superscript"/>
        </w:rPr>
        <w:t>o</w:t>
      </w:r>
      <w:r w:rsidR="007C4EB6" w:rsidRPr="00475868">
        <w:rPr>
          <w:spacing w:val="-2"/>
        </w:rPr>
        <w:t> </w:t>
      </w:r>
      <w:r w:rsidRPr="00475868">
        <w:rPr>
          <w:spacing w:val="-2"/>
        </w:rPr>
        <w:t>957</w:t>
      </w:r>
      <w:r w:rsidRPr="00475868">
        <w:rPr>
          <w:rStyle w:val="Appelnotedebasdep"/>
          <w:spacing w:val="-2"/>
        </w:rPr>
        <w:footnoteReference w:id="12"/>
      </w:r>
      <w:r w:rsidRPr="00475868">
        <w:rPr>
          <w:spacing w:val="-2"/>
        </w:rPr>
        <w:t>, est entré en vigueur dans le district judiciaire de Lima centre le 15</w:t>
      </w:r>
      <w:r w:rsidR="007C4EB6" w:rsidRPr="00475868">
        <w:rPr>
          <w:spacing w:val="-2"/>
        </w:rPr>
        <w:t> </w:t>
      </w:r>
      <w:r w:rsidRPr="00475868">
        <w:rPr>
          <w:spacing w:val="-2"/>
        </w:rPr>
        <w:t xml:space="preserve">juin 2021, conformément au décret suprême </w:t>
      </w:r>
      <w:r w:rsidR="007C4EB6" w:rsidRPr="00475868">
        <w:rPr>
          <w:rFonts w:eastAsia="MS Mincho"/>
          <w:spacing w:val="-2"/>
          <w:szCs w:val="22"/>
        </w:rPr>
        <w:t>n</w:t>
      </w:r>
      <w:r w:rsidR="007C4EB6" w:rsidRPr="00475868">
        <w:rPr>
          <w:rFonts w:eastAsia="MS Mincho"/>
          <w:spacing w:val="-2"/>
          <w:szCs w:val="22"/>
          <w:vertAlign w:val="superscript"/>
        </w:rPr>
        <w:t>o</w:t>
      </w:r>
      <w:r w:rsidR="007C4EB6" w:rsidRPr="00475868">
        <w:rPr>
          <w:spacing w:val="-2"/>
        </w:rPr>
        <w:t> </w:t>
      </w:r>
      <w:r w:rsidRPr="00475868">
        <w:rPr>
          <w:spacing w:val="-2"/>
        </w:rPr>
        <w:t>005-2021-JUS</w:t>
      </w:r>
      <w:r w:rsidRPr="00475868">
        <w:rPr>
          <w:rStyle w:val="Appelnotedebasdep"/>
          <w:spacing w:val="-2"/>
        </w:rPr>
        <w:footnoteReference w:id="13"/>
      </w:r>
      <w:r w:rsidRPr="00475868">
        <w:rPr>
          <w:spacing w:val="-2"/>
        </w:rPr>
        <w:t xml:space="preserve">. La mise en œuvre de cet outil procédural, qui a débuté il y a </w:t>
      </w:r>
      <w:r w:rsidR="00D22A00" w:rsidRPr="00475868">
        <w:rPr>
          <w:spacing w:val="-2"/>
        </w:rPr>
        <w:t>quinze</w:t>
      </w:r>
      <w:r w:rsidR="00A25D71" w:rsidRPr="00475868">
        <w:rPr>
          <w:spacing w:val="-2"/>
        </w:rPr>
        <w:t> </w:t>
      </w:r>
      <w:r w:rsidRPr="00475868">
        <w:rPr>
          <w:spacing w:val="-2"/>
        </w:rPr>
        <w:t>ans et a été progressivement étendue à l’ensemble des différents districts judiciaires du pays, a ainsi été conclue. Cette étape représente une avancée majeure qui consolide et renforce le système de justice pénale péruvien</w:t>
      </w:r>
      <w:r w:rsidRPr="00475868">
        <w:rPr>
          <w:rStyle w:val="Appelnotedebasdep"/>
          <w:spacing w:val="-2"/>
        </w:rPr>
        <w:footnoteReference w:id="14"/>
      </w:r>
      <w:r w:rsidRPr="00475868">
        <w:rPr>
          <w:spacing w:val="-2"/>
        </w:rPr>
        <w:t>.</w:t>
      </w:r>
    </w:p>
    <w:p w14:paraId="072E1B34" w14:textId="77B0530B" w:rsidR="00C0030C" w:rsidRPr="00475868" w:rsidRDefault="00C0030C" w:rsidP="00C0030C">
      <w:pPr>
        <w:pStyle w:val="SingleTxtG"/>
      </w:pPr>
      <w:r w:rsidRPr="00475868">
        <w:t>10.</w:t>
      </w:r>
      <w:r w:rsidRPr="00475868">
        <w:tab/>
        <w:t xml:space="preserve">En complément, le paragraphe b de l’article 2 de la loi </w:t>
      </w:r>
      <w:r w:rsidR="00D22A00" w:rsidRPr="00475868">
        <w:rPr>
          <w:rFonts w:eastAsia="MS Mincho"/>
          <w:szCs w:val="22"/>
        </w:rPr>
        <w:t>n</w:t>
      </w:r>
      <w:r w:rsidR="00D22A00" w:rsidRPr="00475868">
        <w:rPr>
          <w:rFonts w:eastAsia="MS Mincho"/>
          <w:szCs w:val="22"/>
          <w:vertAlign w:val="superscript"/>
        </w:rPr>
        <w:t>o</w:t>
      </w:r>
      <w:r w:rsidR="00D22A00" w:rsidRPr="00475868">
        <w:t> </w:t>
      </w:r>
      <w:r w:rsidRPr="00475868">
        <w:t>30470</w:t>
      </w:r>
      <w:r w:rsidRPr="00475868">
        <w:rPr>
          <w:rStyle w:val="Appelnotedebasdep"/>
        </w:rPr>
        <w:footnoteReference w:id="15"/>
      </w:r>
      <w:r w:rsidRPr="00475868">
        <w:t xml:space="preserve">, dite loi sur la recherche des personnes disparues pendant la période de violence 1980-2000, prévoit que, par </w:t>
      </w:r>
      <w:r w:rsidR="00D22A00" w:rsidRPr="00475868">
        <w:t>« </w:t>
      </w:r>
      <w:r w:rsidRPr="00475868">
        <w:t>personne disparue</w:t>
      </w:r>
      <w:r w:rsidR="00D22A00" w:rsidRPr="00475868">
        <w:t> »</w:t>
      </w:r>
      <w:r w:rsidRPr="00475868">
        <w:t xml:space="preserve">, on entend </w:t>
      </w:r>
      <w:r w:rsidR="00D22A00" w:rsidRPr="00475868">
        <w:t>« </w:t>
      </w:r>
      <w:r w:rsidRPr="00475868">
        <w:t>toute personne dont les proches ignorent où elle se trouve ou dont la localisation n’est pas juridiquement certaine, comme conséquence de la période de violence 1980-2000</w:t>
      </w:r>
      <w:r w:rsidR="00D22A00" w:rsidRPr="00475868">
        <w:t> </w:t>
      </w:r>
      <w:r w:rsidRPr="00475868">
        <w:t>» ; cette définition est également conforme à la définition énoncée dans l’article 2 de la Convention</w:t>
      </w:r>
      <w:r w:rsidRPr="00475868">
        <w:rPr>
          <w:rStyle w:val="Appelnotedebasdep"/>
        </w:rPr>
        <w:footnoteReference w:id="16"/>
      </w:r>
      <w:r w:rsidRPr="00475868">
        <w:t>.</w:t>
      </w:r>
    </w:p>
    <w:p w14:paraId="0ED649EC" w14:textId="39D65B29" w:rsidR="00C0030C" w:rsidRPr="00475868" w:rsidRDefault="00C0030C" w:rsidP="00C0030C">
      <w:pPr>
        <w:pStyle w:val="SingleTxtG"/>
      </w:pPr>
      <w:r w:rsidRPr="00475868">
        <w:t>11.</w:t>
      </w:r>
      <w:r w:rsidRPr="00475868">
        <w:tab/>
        <w:t>De même, dans le règlement relatif à l’inscription au Registre unique des victimes de la violence (le Registre unique des victimes ou RUV)</w:t>
      </w:r>
      <w:r w:rsidRPr="00475868">
        <w:rPr>
          <w:rStyle w:val="Appelnotedebasdep"/>
        </w:rPr>
        <w:footnoteReference w:id="17"/>
      </w:r>
      <w:r w:rsidRPr="00475868">
        <w:t xml:space="preserve">, on entend par </w:t>
      </w:r>
      <w:r w:rsidR="00D22A00" w:rsidRPr="00475868">
        <w:t>« </w:t>
      </w:r>
      <w:r w:rsidRPr="00475868">
        <w:t>disparition forcée</w:t>
      </w:r>
      <w:r w:rsidR="00D22A00" w:rsidRPr="00475868">
        <w:t> »</w:t>
      </w:r>
      <w:r w:rsidRPr="00475868">
        <w:t xml:space="preserve"> la privation de liberté d’une personne, sous quelque forme que ce soit, pouvant être attribuée à des membres d’organisations subversives ou à des agents de l’État, suivie de l’absence d’information, du déni de la reconnaissance de la privation de liberté ou du refus de signalement du lieu où se trouve la personne, de sorte que cette absence d’information ou ce</w:t>
      </w:r>
      <w:r w:rsidR="00EC4B09" w:rsidRPr="00475868">
        <w:t> </w:t>
      </w:r>
      <w:r w:rsidRPr="00475868">
        <w:t>refus rend impossible l’exercice du recours légal ou des mécanismes procéduraux pertinents, tant que la situation de disparition persiste. Les disparitions forcées pour lesquelles, d’une manière ou d’une autre, la mort de la victime est certaine, même si les restes n’ont pas été retrouvés ou identifiés, sont également couvertes par cette définition</w:t>
      </w:r>
      <w:r w:rsidRPr="00475868">
        <w:rPr>
          <w:rStyle w:val="Appelnotedebasdep"/>
        </w:rPr>
        <w:footnoteReference w:id="18"/>
      </w:r>
      <w:r w:rsidRPr="00475868">
        <w:t>.</w:t>
      </w:r>
    </w:p>
    <w:p w14:paraId="4DDEA6C5" w14:textId="58F0B42A" w:rsidR="00C0030C" w:rsidRPr="00475868" w:rsidRDefault="00C0030C" w:rsidP="00C0030C">
      <w:pPr>
        <w:pStyle w:val="SingleTxtG"/>
      </w:pPr>
      <w:r w:rsidRPr="00475868">
        <w:t>12.</w:t>
      </w:r>
      <w:r w:rsidRPr="00475868">
        <w:tab/>
        <w:t>La définition a été complétée comme suit</w:t>
      </w:r>
      <w:r w:rsidRPr="00475868">
        <w:rPr>
          <w:rStyle w:val="Appelnotedebasdep"/>
        </w:rPr>
        <w:footnoteReference w:id="19"/>
      </w:r>
      <w:r w:rsidRPr="00475868">
        <w:t xml:space="preserve"> : « La situation de disparition forcée implique la privation de liberté suivie de l’absence de renseignements sur le sort de la personne, raison pour laquelle, quel que soit l’auteur des faits, il est important qu’à la date de l’évaluation et de la qualification de ces faits, toutes les sources de renseignement établies dans les règles et procédures régissant l’inscription des victimes de violence aient été consultées et qu’aucun nouveau renseignement modifiant le statut de la victime en tant que personne disparue n’ait été produit</w:t>
      </w:r>
      <w:r w:rsidRPr="00475868">
        <w:rPr>
          <w:rStyle w:val="Appelnotedebasdep"/>
        </w:rPr>
        <w:footnoteReference w:id="20"/>
      </w:r>
      <w:r w:rsidRPr="00475868">
        <w:t> ».</w:t>
      </w:r>
    </w:p>
    <w:p w14:paraId="71B0AAB5" w14:textId="278119F7" w:rsidR="00C0030C" w:rsidRPr="00475868" w:rsidRDefault="00C0030C" w:rsidP="00C0030C">
      <w:pPr>
        <w:pStyle w:val="SingleTxtG"/>
      </w:pPr>
      <w:r w:rsidRPr="00475868">
        <w:t>13.</w:t>
      </w:r>
      <w:r w:rsidRPr="00475868">
        <w:tab/>
        <w:t>La Cour suprême de justice de la République du Pérou (la Cour suprême) a indiqué que la ratification par l’État péruvien de la Convention américaine relative aux droits de l’homme oblige les juges du pays à veiller au respect de ses normes internationales. Pour cette raison, dans l’hypothèse d’une mesure de grâce appliquée à une infraction qualifiée de crime contre l’humanité par la Cour interaméricaine des droits de l’homme, où pareille mesure pourrait être contraire au droit d’accès des victimes à la justice, les juges de l’étape de l’exécution de la peine sont tenus de procéder au contrôle du respect des conventions</w:t>
      </w:r>
      <w:r w:rsidRPr="00475868">
        <w:rPr>
          <w:rStyle w:val="Appelnotedebasdep"/>
        </w:rPr>
        <w:footnoteReference w:id="21"/>
      </w:r>
      <w:r w:rsidRPr="00475868">
        <w:t>.</w:t>
      </w:r>
    </w:p>
    <w:p w14:paraId="2191C51C" w14:textId="1ECDD965" w:rsidR="00C0030C" w:rsidRPr="00475868" w:rsidRDefault="00C0030C" w:rsidP="00C0030C">
      <w:pPr>
        <w:pStyle w:val="SingleTxtG"/>
      </w:pPr>
      <w:r w:rsidRPr="00475868">
        <w:t>14.</w:t>
      </w:r>
      <w:r w:rsidRPr="00475868">
        <w:tab/>
        <w:t>La Cour suprême a d’ailleurs indiqué que le droit à la justice pour les victimes constitue une base supplémentaire essentielle légitimant le contrôle de conventionnalité comme élément autonome en cas de condamnation pour crime contre l’humanité</w:t>
      </w:r>
      <w:r w:rsidRPr="00475868">
        <w:rPr>
          <w:rStyle w:val="Appelnotedebasdep"/>
        </w:rPr>
        <w:footnoteReference w:id="22"/>
      </w:r>
      <w:r w:rsidRPr="00475868">
        <w:t>. Elle ajoute que le signe le plus clair de la non-tolérance des violations des droits de l’homme est donné lorsque des poursuites sont menées à terme et atteignent leur objectif, car elles contribuent ainsi à la réparation, pour les victimes, et montrent à la société que justice a été rendue. En outre, l’imposition d’une peine appropriée, fondée sur la gravité des faits et dûment motivée par l’autorité compétente, permet de vérifier que la décision de justice n’est pas arbitraire et, donc, de constater qu’elle n’aboutit pas à une forme d’impunité de fait</w:t>
      </w:r>
      <w:r w:rsidRPr="00475868">
        <w:rPr>
          <w:rStyle w:val="Appelnotedebasdep"/>
        </w:rPr>
        <w:footnoteReference w:id="23"/>
      </w:r>
      <w:r w:rsidRPr="00475868">
        <w:t>.</w:t>
      </w:r>
    </w:p>
    <w:p w14:paraId="7043979D" w14:textId="3DA003CE" w:rsidR="00C0030C" w:rsidRPr="00475868" w:rsidRDefault="00C0030C" w:rsidP="00C0030C">
      <w:pPr>
        <w:pStyle w:val="SingleTxtG"/>
      </w:pPr>
      <w:r w:rsidRPr="00475868">
        <w:t>15.</w:t>
      </w:r>
      <w:r w:rsidRPr="00475868">
        <w:tab/>
        <w:t>La Cour suprême a donc conclu que toute décision de grâce humanitaire accordée dans le cas de crimes ayant fait l’objet de jugements et de condamnations en tant que crimes contre l’humanité est passible de révision</w:t>
      </w:r>
      <w:r w:rsidRPr="00475868">
        <w:rPr>
          <w:rStyle w:val="Appelnotedebasdep"/>
        </w:rPr>
        <w:footnoteReference w:id="24"/>
      </w:r>
      <w:r w:rsidRPr="00475868">
        <w:t>.</w:t>
      </w:r>
    </w:p>
    <w:p w14:paraId="6C1C5712" w14:textId="667A9753" w:rsidR="00C0030C" w:rsidRPr="00475868" w:rsidRDefault="00C0030C" w:rsidP="00C0030C">
      <w:pPr>
        <w:pStyle w:val="SingleTxtG"/>
      </w:pPr>
      <w:r w:rsidRPr="00475868">
        <w:t>16.</w:t>
      </w:r>
      <w:r w:rsidRPr="00475868">
        <w:tab/>
        <w:t xml:space="preserve">Enfin, il convient de mentionner que dans le décret suprême </w:t>
      </w:r>
      <w:r w:rsidR="00D22A00" w:rsidRPr="00475868">
        <w:rPr>
          <w:rFonts w:eastAsia="MS Mincho"/>
          <w:szCs w:val="22"/>
        </w:rPr>
        <w:t>n</w:t>
      </w:r>
      <w:r w:rsidR="00D22A00" w:rsidRPr="00475868">
        <w:rPr>
          <w:rFonts w:eastAsia="MS Mincho"/>
          <w:szCs w:val="22"/>
          <w:vertAlign w:val="superscript"/>
        </w:rPr>
        <w:t>o</w:t>
      </w:r>
      <w:r w:rsidR="00D22A00" w:rsidRPr="00475868">
        <w:t> </w:t>
      </w:r>
      <w:r w:rsidRPr="00475868">
        <w:t>004-2020-JUS</w:t>
      </w:r>
      <w:r w:rsidRPr="00475868">
        <w:rPr>
          <w:rStyle w:val="Appelnotedebasdep"/>
        </w:rPr>
        <w:footnoteReference w:id="25"/>
      </w:r>
      <w:r w:rsidRPr="00475868">
        <w:t xml:space="preserve">, qui établit les cas spéciaux donnant lieu à une évaluation et à une proposition de recommandation concernant les grâces présidentielles et en détermine la procédure, dans le cadre de l’urgence sanitaire COVID-19, il a été établi que </w:t>
      </w:r>
      <w:r w:rsidR="00D22A00" w:rsidRPr="00475868">
        <w:t>« </w:t>
      </w:r>
      <w:r w:rsidRPr="00475868">
        <w:t>dans les cas prévus aux alinéas d) et e) du paragraphe</w:t>
      </w:r>
      <w:r w:rsidR="00D22A00" w:rsidRPr="00475868">
        <w:t> </w:t>
      </w:r>
      <w:r w:rsidRPr="00475868">
        <w:t>3.1 [d) où une peine effective de quatre</w:t>
      </w:r>
      <w:r w:rsidR="00977D83" w:rsidRPr="00475868">
        <w:t> </w:t>
      </w:r>
      <w:r w:rsidRPr="00475868">
        <w:t xml:space="preserve">ans maximum a été imposée ; e) où le condamné a plus de </w:t>
      </w:r>
      <w:r w:rsidR="00977D83" w:rsidRPr="00475868">
        <w:t>60 </w:t>
      </w:r>
      <w:r w:rsidRPr="00475868">
        <w:t>ans], la recommandation de la grâce présidentielle n’est pas applicable aux détenus qui ont été condamnés pour l’un des crimes suivants, définis dans le Livre deuxième, partie spéciale du Code Pénal et les lois spéciales, le cas échéant : (...) g) Titre XIV-A, Crimes contre l’humanité, articles 319, 320 et 321</w:t>
      </w:r>
      <w:r w:rsidR="00D22A00" w:rsidRPr="00475868">
        <w:t> »</w:t>
      </w:r>
      <w:r w:rsidRPr="00475868">
        <w:t>.</w:t>
      </w:r>
    </w:p>
    <w:p w14:paraId="16454341" w14:textId="406164F9" w:rsidR="00C0030C" w:rsidRPr="00475868" w:rsidRDefault="00D22A00" w:rsidP="00C0030C">
      <w:pPr>
        <w:pStyle w:val="H1G"/>
      </w:pPr>
      <w:bookmarkStart w:id="2" w:name="_Toc81387483"/>
      <w:r w:rsidRPr="00475868">
        <w:tab/>
      </w:r>
      <w:r w:rsidR="00C0030C" w:rsidRPr="00475868">
        <w:t>B.</w:t>
      </w:r>
      <w:r w:rsidR="00C0030C" w:rsidRPr="00475868">
        <w:tab/>
      </w:r>
      <w:r w:rsidR="00C0030C" w:rsidRPr="00475868">
        <w:rPr>
          <w:bCs/>
        </w:rPr>
        <w:t>Renseignements sur la suite donnée au paragraphe 29</w:t>
      </w:r>
      <w:bookmarkEnd w:id="2"/>
    </w:p>
    <w:p w14:paraId="7A31D5DF" w14:textId="3E681DB1" w:rsidR="00C0030C" w:rsidRPr="00475868" w:rsidRDefault="00C0030C" w:rsidP="00C0030C">
      <w:pPr>
        <w:pStyle w:val="SingleTxtG"/>
      </w:pPr>
      <w:r w:rsidRPr="00475868">
        <w:t>17.</w:t>
      </w:r>
      <w:r w:rsidRPr="00475868">
        <w:tab/>
        <w:t xml:space="preserve">Aux termes de l’article 3 de la loi </w:t>
      </w:r>
      <w:r w:rsidR="00D22A00" w:rsidRPr="00475868">
        <w:rPr>
          <w:rFonts w:eastAsia="MS Mincho"/>
          <w:szCs w:val="22"/>
        </w:rPr>
        <w:t>n</w:t>
      </w:r>
      <w:r w:rsidR="00D22A00" w:rsidRPr="00475868">
        <w:rPr>
          <w:rFonts w:eastAsia="MS Mincho"/>
          <w:szCs w:val="22"/>
          <w:vertAlign w:val="superscript"/>
        </w:rPr>
        <w:t>o</w:t>
      </w:r>
      <w:r w:rsidR="00D22A00" w:rsidRPr="00475868">
        <w:rPr>
          <w:szCs w:val="18"/>
        </w:rPr>
        <w:t> </w:t>
      </w:r>
      <w:r w:rsidRPr="00475868">
        <w:t>28592</w:t>
      </w:r>
      <w:r w:rsidRPr="00475868">
        <w:rPr>
          <w:rStyle w:val="Appelnotedebasdep"/>
        </w:rPr>
        <w:footnoteReference w:id="26"/>
      </w:r>
      <w:r w:rsidRPr="00475868">
        <w:t xml:space="preserve"> portant création du Conseil des réparations, sont considérés comme victimes les personnes ou groupes de personnes qui ont subi des actes ou omissions violant les normes relatives aux droits de l’homme, tels que la disparition forcée, l’enlèvement, l’exécution extrajudiciaire, le meurtre, le déplacement forcé, la détention arbitraire, le recrutement forcé, la torture, la violence sexuelle sous ses différentes formes ou la mort, ainsi que les familles des personnes décédées ou disparues pendant la période allant de mai 1980 à novembre 2000</w:t>
      </w:r>
      <w:r w:rsidRPr="00475868">
        <w:rPr>
          <w:rStyle w:val="Appelnotedebasdep"/>
        </w:rPr>
        <w:footnoteReference w:id="27"/>
      </w:r>
      <w:r w:rsidR="009C4174" w:rsidRPr="00475868">
        <w:t> :</w:t>
      </w:r>
    </w:p>
    <w:p w14:paraId="64E6D43B" w14:textId="24BC4C83" w:rsidR="00C0030C" w:rsidRPr="00475868" w:rsidRDefault="00C0030C" w:rsidP="00C0030C">
      <w:pPr>
        <w:pStyle w:val="SingleTxtG"/>
        <w:ind w:left="1701"/>
      </w:pPr>
      <w:r w:rsidRPr="00475868">
        <w:t>i)</w:t>
      </w:r>
      <w:r w:rsidRPr="00475868">
        <w:tab/>
        <w:t>En juillet 2021, le Conseil des réparations a enregistré 230</w:t>
      </w:r>
      <w:r w:rsidR="00D22A00" w:rsidRPr="00475868">
        <w:t> </w:t>
      </w:r>
      <w:r w:rsidRPr="00475868">
        <w:t>383 personnes en tant que victimes individuelles dans le Registre unique des victimes ;</w:t>
      </w:r>
    </w:p>
    <w:p w14:paraId="0668BDF8" w14:textId="1DFC8730" w:rsidR="00C0030C" w:rsidRPr="00475868" w:rsidRDefault="00C0030C" w:rsidP="00C0030C">
      <w:pPr>
        <w:pStyle w:val="SingleTxtG"/>
        <w:ind w:left="1701"/>
      </w:pPr>
      <w:r w:rsidRPr="00475868">
        <w:t>ii)</w:t>
      </w:r>
      <w:r w:rsidRPr="00475868">
        <w:tab/>
        <w:t>Parmi celles-ci, 86 675 ont été enregistrées en tant que membres de la famille de victimes décédées (décès ou disparition forcée) ou en tant qu’enfants nés d’un viol</w:t>
      </w:r>
      <w:r w:rsidRPr="00475868">
        <w:rPr>
          <w:rStyle w:val="Appelnotedebasdep"/>
        </w:rPr>
        <w:footnoteReference w:id="28"/>
      </w:r>
      <w:r w:rsidRPr="00475868">
        <w:t> ;</w:t>
      </w:r>
    </w:p>
    <w:p w14:paraId="7B4C8119" w14:textId="77777777" w:rsidR="00C0030C" w:rsidRPr="00475868" w:rsidRDefault="00C0030C" w:rsidP="00C0030C">
      <w:pPr>
        <w:pStyle w:val="SingleTxtG"/>
        <w:ind w:left="1701"/>
      </w:pPr>
      <w:r w:rsidRPr="00475868">
        <w:t>iii)</w:t>
      </w:r>
      <w:r w:rsidRPr="00475868">
        <w:tab/>
        <w:t>Le Registre unique des victimes compte 9 286 victimes de disparition forcée (7 813 hommes et 1 473 femmes)</w:t>
      </w:r>
      <w:r w:rsidRPr="00475868">
        <w:rPr>
          <w:rStyle w:val="Appelnotedebasdep"/>
        </w:rPr>
        <w:footnoteReference w:id="29"/>
      </w:r>
      <w:r w:rsidRPr="00475868">
        <w:t xml:space="preserve"> ;</w:t>
      </w:r>
    </w:p>
    <w:p w14:paraId="41018A27" w14:textId="719B0815" w:rsidR="00C0030C" w:rsidRPr="00475868" w:rsidRDefault="00C0030C" w:rsidP="00C0030C">
      <w:pPr>
        <w:pStyle w:val="SingleTxtG"/>
        <w:ind w:left="1701"/>
      </w:pPr>
      <w:r w:rsidRPr="00475868">
        <w:t>iv)</w:t>
      </w:r>
      <w:r w:rsidRPr="00475868">
        <w:tab/>
        <w:t>À celles-ci s’ajoutent 22 213 bénéficiaires et membres de la famille de victimes de disparition forcée, aussi enregistrés dans le Registre unique des victimes (8</w:t>
      </w:r>
      <w:r w:rsidR="009C4174" w:rsidRPr="00475868">
        <w:t> </w:t>
      </w:r>
      <w:r w:rsidRPr="00475868">
        <w:t>988</w:t>
      </w:r>
      <w:r w:rsidR="009C4174" w:rsidRPr="00475868">
        <w:t> </w:t>
      </w:r>
      <w:r w:rsidRPr="00475868">
        <w:t>hommes et 13 225 femmes)</w:t>
      </w:r>
      <w:r w:rsidRPr="00475868">
        <w:rPr>
          <w:rStyle w:val="Appelnotedebasdep"/>
        </w:rPr>
        <w:footnoteReference w:id="30"/>
      </w:r>
      <w:r w:rsidRPr="00475868">
        <w:t>.</w:t>
      </w:r>
    </w:p>
    <w:p w14:paraId="731DCD8F" w14:textId="398CA72A" w:rsidR="00C0030C" w:rsidRPr="00475868" w:rsidRDefault="00C0030C" w:rsidP="00C0030C">
      <w:pPr>
        <w:pStyle w:val="SingleTxtG"/>
      </w:pPr>
      <w:r w:rsidRPr="00475868">
        <w:t>18.</w:t>
      </w:r>
      <w:r w:rsidRPr="00475868">
        <w:tab/>
        <w:t xml:space="preserve">Créée en application de la loi </w:t>
      </w:r>
      <w:r w:rsidR="00D22A00" w:rsidRPr="00475868">
        <w:rPr>
          <w:rFonts w:eastAsia="MS Mincho"/>
          <w:szCs w:val="22"/>
        </w:rPr>
        <w:t>n</w:t>
      </w:r>
      <w:r w:rsidR="00D22A00" w:rsidRPr="00475868">
        <w:rPr>
          <w:rFonts w:eastAsia="MS Mincho"/>
          <w:szCs w:val="22"/>
          <w:vertAlign w:val="superscript"/>
        </w:rPr>
        <w:t>o</w:t>
      </w:r>
      <w:r w:rsidR="00D22A00" w:rsidRPr="00475868">
        <w:rPr>
          <w:szCs w:val="18"/>
        </w:rPr>
        <w:t> </w:t>
      </w:r>
      <w:r w:rsidRPr="00475868">
        <w:t>28592 dans le cadre de la mise en œuvre du Plan global des réparations en faveur des victimes de la violence survenue pendant la période de mai 1980 à novembre 2000, la Commission multisectorielle de haut niveau est composée de représentants du Ministère de la justice et des droits humains, de 11 autres organismes de l’État</w:t>
      </w:r>
      <w:r w:rsidRPr="00475868">
        <w:rPr>
          <w:rStyle w:val="Appelnotedebasdep"/>
        </w:rPr>
        <w:footnoteReference w:id="31"/>
      </w:r>
      <w:r w:rsidRPr="00475868">
        <w:t xml:space="preserve"> et de quatre organisations de la société civile</w:t>
      </w:r>
      <w:r w:rsidRPr="00475868">
        <w:rPr>
          <w:rStyle w:val="Appelnotedebasdep"/>
        </w:rPr>
        <w:footnoteReference w:id="32"/>
      </w:r>
      <w:r w:rsidRPr="00475868">
        <w:t>. Elle est dotée d’instances institutionnalisées qui garantissent l’élaboration de processus participatifs, telles que</w:t>
      </w:r>
      <w:r w:rsidRPr="00475868">
        <w:rPr>
          <w:rStyle w:val="Appelnotedebasdep"/>
        </w:rPr>
        <w:footnoteReference w:id="33"/>
      </w:r>
      <w:r w:rsidRPr="00475868">
        <w:t> :</w:t>
      </w:r>
    </w:p>
    <w:p w14:paraId="5963ED85" w14:textId="4F04A063" w:rsidR="00C0030C" w:rsidRPr="00475868" w:rsidRDefault="00C0030C" w:rsidP="00D22A00">
      <w:pPr>
        <w:pStyle w:val="Bullet1G"/>
      </w:pPr>
      <w:r w:rsidRPr="00475868">
        <w:t xml:space="preserve">Le groupe de travail chargé de contribuer à l’amélioration de la mise en œuvre du Plan global des réparations, créé par la résolution ministérielle </w:t>
      </w:r>
      <w:r w:rsidR="007F69AF" w:rsidRPr="00475868">
        <w:rPr>
          <w:rFonts w:eastAsia="MS Mincho"/>
          <w:szCs w:val="22"/>
        </w:rPr>
        <w:t>n</w:t>
      </w:r>
      <w:r w:rsidR="007F69AF" w:rsidRPr="00475868">
        <w:rPr>
          <w:rFonts w:eastAsia="MS Mincho"/>
          <w:szCs w:val="22"/>
          <w:vertAlign w:val="superscript"/>
        </w:rPr>
        <w:t>o</w:t>
      </w:r>
      <w:r w:rsidR="007F69AF" w:rsidRPr="00475868">
        <w:t> </w:t>
      </w:r>
      <w:r w:rsidRPr="00475868">
        <w:t>0219-2017-JUS</w:t>
      </w:r>
      <w:r w:rsidRPr="00475868">
        <w:rPr>
          <w:rStyle w:val="Appelnotedebasdep"/>
        </w:rPr>
        <w:footnoteReference w:id="34"/>
      </w:r>
      <w:r w:rsidRPr="00475868">
        <w:t>, et composé de 12 représentants nationaux d’organisations de victimes civiles, policières et militaires de la période de violence 1980-2000. Il s’agit d’un mécanisme visant l’articulation et la coordination qui, en interaction avec les organisations de victimes de divers types, contribue à recenser les problèmes qui pèsent sur la mise en œuvre adéquate du Plan global des réparations et qui accomplit un travail participatif pour améliorer l’accès aux programmes de réparation</w:t>
      </w:r>
      <w:r w:rsidRPr="00475868">
        <w:rPr>
          <w:rStyle w:val="Appelnotedebasdep"/>
        </w:rPr>
        <w:footnoteReference w:id="35"/>
      </w:r>
      <w:r w:rsidR="00D22A00" w:rsidRPr="00475868">
        <w:t> ;</w:t>
      </w:r>
    </w:p>
    <w:p w14:paraId="699BE9D8" w14:textId="750DDDAE" w:rsidR="00C0030C" w:rsidRPr="00475868" w:rsidRDefault="00C0030C" w:rsidP="00C0030C">
      <w:pPr>
        <w:pStyle w:val="Bullet1G"/>
        <w:numPr>
          <w:ilvl w:val="0"/>
          <w:numId w:val="1"/>
        </w:numPr>
      </w:pPr>
      <w:r w:rsidRPr="00475868">
        <w:t xml:space="preserve">La table ronde thématique des victimes de la période de violence 1980-2000, créée dans le cadre du Plan national relatif aux droits de l’homme 2018-2021 et composée de représentants de l’État, d’organisations de victimes et de la société civile. Cette instance présente les progrès accomplis dans la réalisation des objectifs du Plan national concernant la mise en œuvre de réparations collectives dans les domaines de la santé, de l’éducation, du logement et de la restitution des droits des citoyens, ainsi que de l’application de la loi </w:t>
      </w:r>
      <w:r w:rsidR="00930733" w:rsidRPr="00475868">
        <w:rPr>
          <w:rFonts w:eastAsia="MS Mincho"/>
          <w:szCs w:val="22"/>
        </w:rPr>
        <w:t>n</w:t>
      </w:r>
      <w:r w:rsidR="00930733" w:rsidRPr="00475868">
        <w:rPr>
          <w:rFonts w:eastAsia="MS Mincho"/>
          <w:szCs w:val="22"/>
          <w:vertAlign w:val="superscript"/>
        </w:rPr>
        <w:t>o</w:t>
      </w:r>
      <w:r w:rsidR="00930733" w:rsidRPr="00475868">
        <w:rPr>
          <w:szCs w:val="18"/>
        </w:rPr>
        <w:t> </w:t>
      </w:r>
      <w:r w:rsidRPr="00475868">
        <w:t>30470, selon une approche humanitaire</w:t>
      </w:r>
      <w:r w:rsidRPr="00475868">
        <w:rPr>
          <w:rStyle w:val="Appelnotedebasdep"/>
        </w:rPr>
        <w:footnoteReference w:id="36"/>
      </w:r>
      <w:r w:rsidR="00930733" w:rsidRPr="00475868">
        <w:t> ;</w:t>
      </w:r>
    </w:p>
    <w:p w14:paraId="1D66FE34" w14:textId="58C5F61E" w:rsidR="00C0030C" w:rsidRPr="00475868" w:rsidRDefault="00C0030C" w:rsidP="00C0030C">
      <w:pPr>
        <w:pStyle w:val="Bullet1G"/>
        <w:numPr>
          <w:ilvl w:val="0"/>
          <w:numId w:val="1"/>
        </w:numPr>
      </w:pPr>
      <w:r w:rsidRPr="00475868">
        <w:t xml:space="preserve">La Commission multisectorielle à caractère temporaire d’assistance aux victimes de la période de violence 1980-2000 dans le domaine du logement, créée par la Résolution suprême </w:t>
      </w:r>
      <w:r w:rsidR="00930733" w:rsidRPr="00475868">
        <w:rPr>
          <w:rFonts w:eastAsia="MS Mincho"/>
          <w:szCs w:val="22"/>
        </w:rPr>
        <w:t>n</w:t>
      </w:r>
      <w:r w:rsidR="00930733" w:rsidRPr="00475868">
        <w:rPr>
          <w:rFonts w:eastAsia="MS Mincho"/>
          <w:szCs w:val="22"/>
          <w:vertAlign w:val="superscript"/>
        </w:rPr>
        <w:t>o</w:t>
      </w:r>
      <w:r w:rsidR="00930733" w:rsidRPr="00475868">
        <w:rPr>
          <w:szCs w:val="18"/>
        </w:rPr>
        <w:t> </w:t>
      </w:r>
      <w:r w:rsidRPr="00475868">
        <w:t>113-2018-PCM</w:t>
      </w:r>
      <w:r w:rsidRPr="00475868">
        <w:rPr>
          <w:rStyle w:val="Appelnotedebasdep"/>
        </w:rPr>
        <w:footnoteReference w:id="37"/>
      </w:r>
      <w:r w:rsidRPr="00475868">
        <w:t xml:space="preserve"> et chargée de contribuer à la mise en œuvre et à l’amélioration planifiée du Programme de promotion et de facilitation de l’accès au logement (PRAH), ainsi que d’élaborer le Plan pluriannuel de prise en charge des bénéficiaires du PRAH jusqu’en 2021 (approuvé en décembre 2019)</w:t>
      </w:r>
      <w:r w:rsidRPr="00475868">
        <w:rPr>
          <w:rStyle w:val="Appelnotedebasdep"/>
        </w:rPr>
        <w:footnoteReference w:id="38"/>
      </w:r>
      <w:r w:rsidR="00930733" w:rsidRPr="00475868">
        <w:t> ;</w:t>
      </w:r>
    </w:p>
    <w:p w14:paraId="1332D89A" w14:textId="7C1B39DC" w:rsidR="00C0030C" w:rsidRPr="00475868" w:rsidRDefault="00C0030C" w:rsidP="00C0030C">
      <w:pPr>
        <w:pStyle w:val="Bullet1G"/>
        <w:numPr>
          <w:ilvl w:val="0"/>
          <w:numId w:val="1"/>
        </w:numPr>
      </w:pPr>
      <w:r w:rsidRPr="00475868">
        <w:t xml:space="preserve">Le groupe de travail formé par l’Association nationale des familles de personnes disparues, de victimes d’exécution extrajudiciaire ou de personnes torturées, </w:t>
      </w:r>
      <w:proofErr w:type="spellStart"/>
      <w:r w:rsidRPr="00475868">
        <w:rPr>
          <w:i/>
          <w:iCs/>
        </w:rPr>
        <w:t>Asociación</w:t>
      </w:r>
      <w:proofErr w:type="spellEnd"/>
      <w:r w:rsidRPr="00475868">
        <w:rPr>
          <w:i/>
          <w:iCs/>
        </w:rPr>
        <w:t xml:space="preserve"> de </w:t>
      </w:r>
      <w:proofErr w:type="spellStart"/>
      <w:r w:rsidRPr="00475868">
        <w:rPr>
          <w:i/>
          <w:iCs/>
        </w:rPr>
        <w:t>Vivienda</w:t>
      </w:r>
      <w:proofErr w:type="spellEnd"/>
      <w:r w:rsidRPr="00475868">
        <w:rPr>
          <w:i/>
          <w:iCs/>
        </w:rPr>
        <w:t xml:space="preserve"> </w:t>
      </w:r>
      <w:proofErr w:type="spellStart"/>
      <w:r w:rsidRPr="00475868">
        <w:rPr>
          <w:i/>
          <w:iCs/>
        </w:rPr>
        <w:t>Nuevo</w:t>
      </w:r>
      <w:proofErr w:type="spellEnd"/>
      <w:r w:rsidRPr="00475868">
        <w:rPr>
          <w:i/>
          <w:iCs/>
        </w:rPr>
        <w:t xml:space="preserve"> </w:t>
      </w:r>
      <w:proofErr w:type="spellStart"/>
      <w:r w:rsidRPr="00475868">
        <w:rPr>
          <w:i/>
          <w:iCs/>
        </w:rPr>
        <w:t>Amanecer</w:t>
      </w:r>
      <w:proofErr w:type="spellEnd"/>
      <w:r w:rsidRPr="00475868">
        <w:t xml:space="preserve"> (Association du logement </w:t>
      </w:r>
      <w:r w:rsidR="00870947" w:rsidRPr="00475868">
        <w:t>A</w:t>
      </w:r>
      <w:r w:rsidRPr="00475868">
        <w:t>ube nouvelle) et les représentants légaux des affaires citées dans le communiqué de presse conjoint du 22</w:t>
      </w:r>
      <w:r w:rsidR="00930733" w:rsidRPr="00475868">
        <w:t> </w:t>
      </w:r>
      <w:r w:rsidRPr="00475868">
        <w:t xml:space="preserve">février 2001 signé par l’État péruvien et la Commission interaméricaine des droits de l’homme, pour le suivi des mesures de réparation non monétaires établies dans le décret suprême </w:t>
      </w:r>
      <w:r w:rsidR="00930733" w:rsidRPr="00475868">
        <w:rPr>
          <w:rFonts w:eastAsia="MS Mincho"/>
          <w:szCs w:val="22"/>
        </w:rPr>
        <w:t>n</w:t>
      </w:r>
      <w:r w:rsidR="00930733" w:rsidRPr="00475868">
        <w:rPr>
          <w:rFonts w:eastAsia="MS Mincho"/>
          <w:szCs w:val="22"/>
          <w:vertAlign w:val="superscript"/>
        </w:rPr>
        <w:t>o</w:t>
      </w:r>
      <w:r w:rsidR="00930733" w:rsidRPr="00475868">
        <w:rPr>
          <w:szCs w:val="18"/>
        </w:rPr>
        <w:t> </w:t>
      </w:r>
      <w:r w:rsidRPr="00475868">
        <w:t>005-2002-JUS</w:t>
      </w:r>
      <w:r w:rsidRPr="00475868">
        <w:rPr>
          <w:rStyle w:val="Appelnotedebasdep"/>
        </w:rPr>
        <w:footnoteReference w:id="39"/>
      </w:r>
      <w:r w:rsidRPr="00475868">
        <w:t>.</w:t>
      </w:r>
    </w:p>
    <w:p w14:paraId="20AC38E8" w14:textId="7703AB98" w:rsidR="00C0030C" w:rsidRPr="00475868" w:rsidRDefault="00C0030C" w:rsidP="00C0030C">
      <w:pPr>
        <w:pStyle w:val="SingleTxtG"/>
      </w:pPr>
      <w:r w:rsidRPr="00475868">
        <w:t>19.</w:t>
      </w:r>
      <w:r w:rsidRPr="00475868">
        <w:tab/>
        <w:t>Ces dernières années, la Commission multisectorielle de haut niveau a appliqué des mécanismes d’assistance différenciée, dans le but de renforcer les relations de confiance, de transparence et de dialogue avec les victimes ; grâce à la création d’espaces nationaux, régionaux et locaux de participation à l’amélioration du processus de réparation, elle a obtenu</w:t>
      </w:r>
      <w:r w:rsidRPr="00475868">
        <w:rPr>
          <w:rStyle w:val="Appelnotedebasdep"/>
        </w:rPr>
        <w:footnoteReference w:id="40"/>
      </w:r>
      <w:r w:rsidRPr="00475868">
        <w:t> :</w:t>
      </w:r>
    </w:p>
    <w:p w14:paraId="0A0FCF29" w14:textId="184FF0B3" w:rsidR="00C0030C" w:rsidRPr="00475868" w:rsidRDefault="00C0030C" w:rsidP="00C0030C">
      <w:pPr>
        <w:pStyle w:val="Bullet1G"/>
        <w:numPr>
          <w:ilvl w:val="0"/>
          <w:numId w:val="1"/>
        </w:numPr>
      </w:pPr>
      <w:r w:rsidRPr="00475868">
        <w:t>Un total de 230</w:t>
      </w:r>
      <w:r w:rsidR="00586BF4" w:rsidRPr="00475868">
        <w:t> </w:t>
      </w:r>
      <w:r w:rsidRPr="00475868">
        <w:t>100 personnes, 5</w:t>
      </w:r>
      <w:r w:rsidR="00586BF4" w:rsidRPr="00475868">
        <w:t> </w:t>
      </w:r>
      <w:r w:rsidRPr="00475868">
        <w:t>712 communautés et 159 organisations de déplacés qui ne se sont plus rentrés chez eux ont été inscrits dans le Registre unique des victimes</w:t>
      </w:r>
      <w:r w:rsidRPr="00475868">
        <w:rPr>
          <w:rStyle w:val="Appelnotedebasdep"/>
        </w:rPr>
        <w:footnoteReference w:id="41"/>
      </w:r>
      <w:r w:rsidR="00930733" w:rsidRPr="00475868">
        <w:t> ;</w:t>
      </w:r>
    </w:p>
    <w:p w14:paraId="1B8B1830" w14:textId="64797002" w:rsidR="00C0030C" w:rsidRPr="00475868" w:rsidRDefault="00C0030C" w:rsidP="00C0030C">
      <w:pPr>
        <w:pStyle w:val="Bullet1G"/>
        <w:numPr>
          <w:ilvl w:val="0"/>
          <w:numId w:val="1"/>
        </w:numPr>
      </w:pPr>
      <w:r w:rsidRPr="00475868">
        <w:t>En ce qui concerne les réparations collectives, 3 681 communautés et organisations de déplacés qui ne sont plus rentrés chez eux ont bénéficié de projets de production ou d’infrastructures, qu’elles ont choisis démocratiquement</w:t>
      </w:r>
      <w:r w:rsidRPr="00475868">
        <w:rPr>
          <w:rStyle w:val="Appelnotedebasdep"/>
        </w:rPr>
        <w:footnoteReference w:id="42"/>
      </w:r>
      <w:r w:rsidR="00930733" w:rsidRPr="00475868">
        <w:t> ;</w:t>
      </w:r>
    </w:p>
    <w:p w14:paraId="422B9712" w14:textId="2C62C46E" w:rsidR="00C0030C" w:rsidRPr="00475868" w:rsidRDefault="00C0030C" w:rsidP="00C0030C">
      <w:pPr>
        <w:pStyle w:val="Bullet1G"/>
        <w:numPr>
          <w:ilvl w:val="0"/>
          <w:numId w:val="1"/>
        </w:numPr>
      </w:pPr>
      <w:r w:rsidRPr="00475868">
        <w:t>Pour ce qui est des réparations économiques, 86 721 victimes ont reçu une assistance, dont 20 070 membres de la famille de disparus, qui ont vu les multiples préjudices qu’ils avaient subis reconnus</w:t>
      </w:r>
      <w:r w:rsidRPr="00475868">
        <w:rPr>
          <w:rStyle w:val="Appelnotedebasdep"/>
        </w:rPr>
        <w:footnoteReference w:id="43"/>
      </w:r>
      <w:r w:rsidR="00930733" w:rsidRPr="00475868">
        <w:t> ;</w:t>
      </w:r>
    </w:p>
    <w:p w14:paraId="1D4F58C5" w14:textId="3B76EBA6" w:rsidR="00C0030C" w:rsidRPr="00475868" w:rsidRDefault="00C0030C" w:rsidP="00C0030C">
      <w:pPr>
        <w:pStyle w:val="Bullet1G"/>
        <w:numPr>
          <w:ilvl w:val="0"/>
          <w:numId w:val="1"/>
        </w:numPr>
      </w:pPr>
      <w:r w:rsidRPr="00475868">
        <w:t xml:space="preserve">En juin 2021, la trente et unième liste des bénéficiaires civils, militaires et policiers du Programme des réparations économiques a été acceptée (résolution ministérielle </w:t>
      </w:r>
      <w:r w:rsidR="00930733" w:rsidRPr="00475868">
        <w:rPr>
          <w:rFonts w:eastAsia="MS Mincho"/>
          <w:szCs w:val="22"/>
        </w:rPr>
        <w:t>n</w:t>
      </w:r>
      <w:r w:rsidR="00930733" w:rsidRPr="00475868">
        <w:rPr>
          <w:rFonts w:eastAsia="MS Mincho"/>
          <w:szCs w:val="22"/>
          <w:vertAlign w:val="superscript"/>
        </w:rPr>
        <w:t>o</w:t>
      </w:r>
      <w:r w:rsidR="00930733" w:rsidRPr="00475868">
        <w:rPr>
          <w:szCs w:val="18"/>
        </w:rPr>
        <w:t> </w:t>
      </w:r>
      <w:r w:rsidRPr="00475868">
        <w:t>0107-2021-JUS)</w:t>
      </w:r>
      <w:r w:rsidR="00586BF4" w:rsidRPr="00475868">
        <w:rPr>
          <w:rStyle w:val="Appelnotedebasdep"/>
        </w:rPr>
        <w:footnoteReference w:id="44"/>
      </w:r>
      <w:r w:rsidRPr="00475868">
        <w:t xml:space="preserve">, de sorte que le secrétariat exécutif de la Commission multisectorielle de haut niveau a pu procéder au décaissement budgétaire d’un montant de 1 014 775,14 S/ (un million quatorze mille sept cent soixante-quinze et 14/100 </w:t>
      </w:r>
      <w:r w:rsidR="00586BF4" w:rsidRPr="00475868">
        <w:t>s</w:t>
      </w:r>
      <w:r w:rsidRPr="00475868">
        <w:t>oles), et verser, au titre de réparation économique, une somme unique à 191</w:t>
      </w:r>
      <w:r w:rsidR="00930733" w:rsidRPr="00475868">
        <w:t> </w:t>
      </w:r>
      <w:r w:rsidRPr="00475868">
        <w:t xml:space="preserve">bénéficiaires nominaux sur leur compte d’épargne du Banco de la </w:t>
      </w:r>
      <w:proofErr w:type="spellStart"/>
      <w:r w:rsidRPr="00475868">
        <w:t>Nación</w:t>
      </w:r>
      <w:proofErr w:type="spellEnd"/>
      <w:r w:rsidRPr="00475868">
        <w:t>, pour un total de 197 préjudices subis</w:t>
      </w:r>
      <w:r w:rsidR="00930733" w:rsidRPr="00475868">
        <w:t> ;</w:t>
      </w:r>
    </w:p>
    <w:p w14:paraId="080D3F22" w14:textId="7BE7252B" w:rsidR="00C0030C" w:rsidRPr="00475868" w:rsidRDefault="00C0030C" w:rsidP="00C0030C">
      <w:pPr>
        <w:pStyle w:val="Bullet1G"/>
        <w:numPr>
          <w:ilvl w:val="0"/>
          <w:numId w:val="1"/>
        </w:numPr>
      </w:pPr>
      <w:r w:rsidRPr="00475868">
        <w:t>Concernant les réparations dans le domaine de la santé, 131</w:t>
      </w:r>
      <w:r w:rsidR="00930733" w:rsidRPr="00475868">
        <w:t> </w:t>
      </w:r>
      <w:r w:rsidRPr="00475868">
        <w:t>189 victimes, dont 11</w:t>
      </w:r>
      <w:r w:rsidR="00930733" w:rsidRPr="00475868">
        <w:t> </w:t>
      </w:r>
      <w:r w:rsidRPr="00475868">
        <w:t>361</w:t>
      </w:r>
      <w:r w:rsidR="00930733" w:rsidRPr="00475868">
        <w:t> </w:t>
      </w:r>
      <w:r w:rsidRPr="00475868">
        <w:t xml:space="preserve">proches de disparus, ont été </w:t>
      </w:r>
      <w:proofErr w:type="spellStart"/>
      <w:r w:rsidRPr="00475868">
        <w:t>complètement</w:t>
      </w:r>
      <w:proofErr w:type="spellEnd"/>
      <w:r w:rsidRPr="00475868">
        <w:t xml:space="preserve"> prises en charge par l’assurance maladie et les centres locaux de santé mentale</w:t>
      </w:r>
      <w:r w:rsidR="00930733" w:rsidRPr="00475868">
        <w:t> ;</w:t>
      </w:r>
    </w:p>
    <w:p w14:paraId="7F3BAC5A" w14:textId="000E0F47" w:rsidR="00C0030C" w:rsidRPr="00475868" w:rsidRDefault="00C0030C" w:rsidP="00C0030C">
      <w:pPr>
        <w:pStyle w:val="Bullet1G"/>
        <w:numPr>
          <w:ilvl w:val="0"/>
          <w:numId w:val="1"/>
        </w:numPr>
      </w:pPr>
      <w:r w:rsidRPr="00475868">
        <w:t>Dans le domaine de l’éducation, ce sont 13 857</w:t>
      </w:r>
      <w:r w:rsidRPr="00475868">
        <w:rPr>
          <w:rStyle w:val="Appelnotedebasdep"/>
        </w:rPr>
        <w:footnoteReference w:id="45"/>
      </w:r>
      <w:r w:rsidRPr="00475868">
        <w:t xml:space="preserve"> victimes, dont 488 proches de disparus, qui ont été prises en charge par le biais de bourses, de réservations de places vacantes et d’autres mécanismes d’accès aux études</w:t>
      </w:r>
      <w:r w:rsidRPr="00475868">
        <w:rPr>
          <w:rStyle w:val="Appelnotedebasdep"/>
        </w:rPr>
        <w:footnoteReference w:id="46"/>
      </w:r>
      <w:r w:rsidR="00930733" w:rsidRPr="00475868">
        <w:t> ;</w:t>
      </w:r>
    </w:p>
    <w:p w14:paraId="2F4FF0F5" w14:textId="289F7680" w:rsidR="00C0030C" w:rsidRPr="00475868" w:rsidRDefault="00C0030C" w:rsidP="00C0030C">
      <w:pPr>
        <w:pStyle w:val="Bullet1G"/>
        <w:numPr>
          <w:ilvl w:val="0"/>
          <w:numId w:val="1"/>
        </w:numPr>
      </w:pPr>
      <w:r w:rsidRPr="00475868">
        <w:t>Pour ce qui est des réparations dans le domaine du logement, des bons de logement ont été fournis à 4</w:t>
      </w:r>
      <w:r w:rsidR="00586BF4" w:rsidRPr="00475868">
        <w:t> </w:t>
      </w:r>
      <w:r w:rsidRPr="00475868">
        <w:t>855 victimes, dont 197 proches de disparus, qui avaient été déplacées de force ou qui avaient perdu leur logement au cours de la période 1980</w:t>
      </w:r>
      <w:r w:rsidR="00930733" w:rsidRPr="00475868">
        <w:noBreakHyphen/>
      </w:r>
      <w:r w:rsidRPr="00475868">
        <w:t>2000</w:t>
      </w:r>
      <w:r w:rsidRPr="00475868">
        <w:rPr>
          <w:rStyle w:val="Appelnotedebasdep"/>
        </w:rPr>
        <w:footnoteReference w:id="47"/>
      </w:r>
      <w:r w:rsidR="00930733" w:rsidRPr="00475868">
        <w:t> ;</w:t>
      </w:r>
    </w:p>
    <w:p w14:paraId="28DBAF03" w14:textId="5B60853E" w:rsidR="00C0030C" w:rsidRPr="00475868" w:rsidRDefault="00C0030C" w:rsidP="00C0030C">
      <w:pPr>
        <w:pStyle w:val="Bullet1G"/>
        <w:numPr>
          <w:ilvl w:val="0"/>
          <w:numId w:val="1"/>
        </w:numPr>
      </w:pPr>
      <w:r w:rsidRPr="00475868">
        <w:t xml:space="preserve">De même, la directive relative au Programme de promotion et de facilitation de l’accès au logement (résolution directoriale </w:t>
      </w:r>
      <w:r w:rsidR="00930733" w:rsidRPr="00475868">
        <w:rPr>
          <w:rFonts w:eastAsia="MS Mincho"/>
          <w:szCs w:val="22"/>
        </w:rPr>
        <w:t>n</w:t>
      </w:r>
      <w:r w:rsidR="00930733" w:rsidRPr="00475868">
        <w:rPr>
          <w:rFonts w:eastAsia="MS Mincho"/>
          <w:szCs w:val="22"/>
          <w:vertAlign w:val="superscript"/>
        </w:rPr>
        <w:t>o</w:t>
      </w:r>
      <w:r w:rsidR="00930733" w:rsidRPr="00475868">
        <w:rPr>
          <w:szCs w:val="18"/>
        </w:rPr>
        <w:t> </w:t>
      </w:r>
      <w:r w:rsidRPr="00475868">
        <w:t>001-VIVIENDA/VMVU-DGPPVU</w:t>
      </w:r>
      <w:r w:rsidRPr="00475868">
        <w:rPr>
          <w:rStyle w:val="Appelnotedebasdep"/>
        </w:rPr>
        <w:footnoteReference w:id="48"/>
      </w:r>
      <w:r w:rsidRPr="00475868">
        <w:t>) vise à garantir une assistance appropriée dans le cadre du Programme, dont l’objectif est d’accorder des facilités d’accès au logement aux victimes ou à leurs proches qui ont perdu leur logement ou ont été déplacés du lieu où ils vivaient en raison de la violence qui a frappé le pays entre 1980 et 2000, ou qui font face à des problèmes de logement comme conséquence directe de cette violence</w:t>
      </w:r>
      <w:r w:rsidR="00930733" w:rsidRPr="00475868">
        <w:t> ;</w:t>
      </w:r>
    </w:p>
    <w:p w14:paraId="0ED5CEEC" w14:textId="77777777" w:rsidR="00C0030C" w:rsidRPr="00475868" w:rsidRDefault="00C0030C" w:rsidP="00C0030C">
      <w:pPr>
        <w:pStyle w:val="Bullet1G"/>
        <w:numPr>
          <w:ilvl w:val="0"/>
          <w:numId w:val="1"/>
        </w:numPr>
      </w:pPr>
      <w:r w:rsidRPr="00475868">
        <w:t>En ce qui concerne les réparations symboliques, 68 manifestations publiques de reconnaissance ont été organisées pour 126 victimes ou groupes de victimes de la période de violence, dont 79 victimes de disparition forcée. Lors de ces événements, des excuses publiques ont été présentées pour les préjudices subis</w:t>
      </w:r>
      <w:r w:rsidRPr="00475868">
        <w:rPr>
          <w:rStyle w:val="Appelnotedebasdep"/>
        </w:rPr>
        <w:footnoteReference w:id="49"/>
      </w:r>
      <w:r w:rsidRPr="00475868">
        <w:t>.</w:t>
      </w:r>
    </w:p>
    <w:p w14:paraId="3B6FFC7E" w14:textId="07CC1004" w:rsidR="00C0030C" w:rsidRPr="00475868" w:rsidRDefault="00C0030C" w:rsidP="00C0030C">
      <w:pPr>
        <w:pStyle w:val="SingleTxtG"/>
      </w:pPr>
      <w:r w:rsidRPr="00475868">
        <w:t>20.</w:t>
      </w:r>
      <w:r w:rsidRPr="00475868">
        <w:tab/>
        <w:t>En outre, 13 espaces de mémoire ont été mis en place dans des communautés fortement touchées et sept concours de bande dessinée sur les droits humains et la culture de la paix ont été organisés comme mécanisme d’information, de réflexion et de sensibilisation des élèves dans sept régions du pays</w:t>
      </w:r>
      <w:r w:rsidRPr="00475868">
        <w:rPr>
          <w:rStyle w:val="Appelnotedebasdep"/>
        </w:rPr>
        <w:footnoteReference w:id="50"/>
      </w:r>
      <w:r w:rsidRPr="00475868">
        <w:t> :</w:t>
      </w:r>
    </w:p>
    <w:p w14:paraId="52362F8F" w14:textId="20E49416" w:rsidR="00C0030C" w:rsidRPr="00475868" w:rsidRDefault="00C0030C" w:rsidP="00C0030C">
      <w:pPr>
        <w:pStyle w:val="SingleTxtG"/>
        <w:ind w:left="1701"/>
      </w:pPr>
      <w:r w:rsidRPr="00475868">
        <w:t>i)</w:t>
      </w:r>
      <w:r w:rsidRPr="00475868">
        <w:tab/>
        <w:t xml:space="preserve">Des ressources ont été transférées au gouvernement régional d’Ayacucho ; un accompagnement et une assistance ont aussi été fournis pour la préparation du dossier technique du sanctuaire de la mémoire de La </w:t>
      </w:r>
      <w:proofErr w:type="spellStart"/>
      <w:r w:rsidRPr="00475868">
        <w:t>Hoyada</w:t>
      </w:r>
      <w:proofErr w:type="spellEnd"/>
      <w:r w:rsidRPr="00475868">
        <w:t>. Dans ce contexte, un Comité d’experts composé de 13 professionnels nationaux et internationaux a été formé et chargé de contribuer à l’élaboration du dossier technique. À ce jour, la soumission de ce dossier est attendue ;</w:t>
      </w:r>
    </w:p>
    <w:p w14:paraId="03CB6D39" w14:textId="5202F311" w:rsidR="00C0030C" w:rsidRPr="00475868" w:rsidRDefault="00C0030C" w:rsidP="00C0030C">
      <w:pPr>
        <w:pStyle w:val="SingleTxtG"/>
        <w:ind w:left="1701"/>
      </w:pPr>
      <w:r w:rsidRPr="00475868">
        <w:t>ii)</w:t>
      </w:r>
      <w:r w:rsidRPr="00475868">
        <w:tab/>
        <w:t>Les orientations pour l’élaboration du Plan national pour la mémoire, la paix et la réconciliation ont été approuvées en mars 2019 à la 136</w:t>
      </w:r>
      <w:r w:rsidRPr="00475868">
        <w:rPr>
          <w:vertAlign w:val="superscript"/>
        </w:rPr>
        <w:t>e</w:t>
      </w:r>
      <w:r w:rsidR="00930733" w:rsidRPr="00475868">
        <w:t> </w:t>
      </w:r>
      <w:r w:rsidRPr="00475868">
        <w:t>session ordinaire de la Commission multisectorielle de haut niveau</w:t>
      </w:r>
      <w:r w:rsidRPr="00475868">
        <w:rPr>
          <w:rStyle w:val="Appelnotedebasdep"/>
        </w:rPr>
        <w:footnoteReference w:id="51"/>
      </w:r>
      <w:r w:rsidRPr="00475868">
        <w:t> ;</w:t>
      </w:r>
    </w:p>
    <w:p w14:paraId="2E29E93E" w14:textId="0CD1F2A7" w:rsidR="00C0030C" w:rsidRPr="00475868" w:rsidRDefault="00C0030C" w:rsidP="00C0030C">
      <w:pPr>
        <w:pStyle w:val="SingleTxtG"/>
        <w:ind w:left="1701"/>
      </w:pPr>
      <w:r w:rsidRPr="00475868">
        <w:t>iii)</w:t>
      </w:r>
      <w:r w:rsidRPr="00475868">
        <w:tab/>
        <w:t>Résultat du processus participatif développé avec 110 acteurs cl</w:t>
      </w:r>
      <w:r w:rsidR="000416FB" w:rsidRPr="00475868">
        <w:t>ef</w:t>
      </w:r>
      <w:r w:rsidRPr="00475868">
        <w:t xml:space="preserve">s, la proposition de Plan national pour la mémoire a été élaborée avec l’appui de </w:t>
      </w:r>
      <w:bookmarkStart w:id="4" w:name="_Hlk89959448"/>
      <w:r w:rsidRPr="00475868">
        <w:t xml:space="preserve">l’Institut pour la démocratie et les droits humains </w:t>
      </w:r>
      <w:bookmarkEnd w:id="4"/>
      <w:r w:rsidRPr="00475868">
        <w:t>et l’</w:t>
      </w:r>
      <w:r w:rsidR="000416FB" w:rsidRPr="00475868">
        <w:t>a</w:t>
      </w:r>
      <w:r w:rsidRPr="00475868">
        <w:t>mbassade d’Allemagne</w:t>
      </w:r>
      <w:r w:rsidRPr="00475868">
        <w:rPr>
          <w:rStyle w:val="Appelnotedebasdep"/>
        </w:rPr>
        <w:footnoteReference w:id="52"/>
      </w:r>
      <w:r w:rsidRPr="00475868">
        <w:t> ;</w:t>
      </w:r>
    </w:p>
    <w:p w14:paraId="18E5B895" w14:textId="0C36C439" w:rsidR="00C0030C" w:rsidRPr="00475868" w:rsidRDefault="00C0030C" w:rsidP="00C0030C">
      <w:pPr>
        <w:pStyle w:val="SingleTxtG"/>
        <w:ind w:left="1701"/>
      </w:pPr>
      <w:r w:rsidRPr="00475868">
        <w:t>iv)</w:t>
      </w:r>
      <w:r w:rsidRPr="00475868">
        <w:tab/>
        <w:t>Les lignes directrices pour l’adoption d’actions différenciées dans la mise en œuvre du Plan global des réparations pour les femmes et la population LGTBI ont été approuvées</w:t>
      </w:r>
      <w:r w:rsidRPr="00475868">
        <w:rPr>
          <w:rStyle w:val="Appelnotedebasdep"/>
        </w:rPr>
        <w:footnoteReference w:id="53"/>
      </w:r>
      <w:r w:rsidRPr="00475868">
        <w:t>.</w:t>
      </w:r>
    </w:p>
    <w:p w14:paraId="3FE6E36D" w14:textId="78ECBEDE" w:rsidR="00C0030C" w:rsidRPr="00475868" w:rsidRDefault="00C0030C" w:rsidP="00C0030C">
      <w:pPr>
        <w:pStyle w:val="SingleTxtG"/>
      </w:pPr>
      <w:r w:rsidRPr="00475868">
        <w:t>21.</w:t>
      </w:r>
      <w:r w:rsidRPr="00475868">
        <w:tab/>
        <w:t>Il convient de noter que diverses entités sont concernées par les mesures mises en place par la Commission multisectorielle de haut niveau (notamment le Ministère de la culture, le Ministère du développement et de l’inclusion sociale, et le Ministère de la femme et des populations vulnérables), pour que les procédures, les espaces de travail, ainsi que les instruments de réglementation et de gestion soient conçus dans une perspective interculturelle afin de répondre de façon pertinente aux demandes différenciées de reconnaissance et d’assistance, ainsi que dans une perspective de genre, pour apporter les réponses voulues aux répercussions différenciées de la violence</w:t>
      </w:r>
      <w:r w:rsidRPr="00475868">
        <w:rPr>
          <w:rStyle w:val="Appelnotedebasdep"/>
        </w:rPr>
        <w:footnoteReference w:id="54"/>
      </w:r>
      <w:r w:rsidRPr="00475868">
        <w:t>.</w:t>
      </w:r>
    </w:p>
    <w:p w14:paraId="17AFA863" w14:textId="2C07A8B1" w:rsidR="00C0030C" w:rsidRPr="00475868" w:rsidRDefault="00C0030C" w:rsidP="00C0030C">
      <w:pPr>
        <w:pStyle w:val="SingleTxtG"/>
      </w:pPr>
      <w:r w:rsidRPr="00475868">
        <w:t>22.</w:t>
      </w:r>
      <w:r w:rsidRPr="00475868">
        <w:tab/>
        <w:t>Dans le cadre de la pandémie provoquée par la COVID-19, il n’y a pas eu d’interruption des services du Registre unique des victimes ou de la Commission multisectorielle de haut niveau :</w:t>
      </w:r>
    </w:p>
    <w:p w14:paraId="48DBA4FF" w14:textId="2D6350FF" w:rsidR="00C0030C" w:rsidRPr="00475868" w:rsidRDefault="00C0030C" w:rsidP="00C0030C">
      <w:pPr>
        <w:pStyle w:val="SingleTxtG"/>
        <w:ind w:left="1701"/>
      </w:pPr>
      <w:r w:rsidRPr="00475868">
        <w:t>i)</w:t>
      </w:r>
      <w:r w:rsidRPr="00475868">
        <w:tab/>
        <w:t>En ce qui concerne le Registre unique des victimes, les canaux d’assistance aux citoyens passent désormais par Internet, ce qui permet de recevoir les nouvelles demandes d’enregistrement ou la documentation et les informations pertinentes sur les anciennes demandes, ou encore de résoudre les questions des citoyens</w:t>
      </w:r>
      <w:r w:rsidRPr="00475868">
        <w:rPr>
          <w:rStyle w:val="Appelnotedebasdep"/>
        </w:rPr>
        <w:footnoteReference w:id="55"/>
      </w:r>
      <w:r w:rsidRPr="00475868">
        <w:t> ;</w:t>
      </w:r>
    </w:p>
    <w:p w14:paraId="2D55ABF8" w14:textId="56271456" w:rsidR="00C0030C" w:rsidRPr="00475868" w:rsidRDefault="00C0030C" w:rsidP="00C0030C">
      <w:pPr>
        <w:pStyle w:val="SingleTxtG"/>
        <w:ind w:left="1701"/>
      </w:pPr>
      <w:r w:rsidRPr="00475868">
        <w:t>ii)</w:t>
      </w:r>
      <w:r w:rsidRPr="00475868">
        <w:tab/>
        <w:t>La Commission multisectorielle de haut niveau</w:t>
      </w:r>
      <w:r w:rsidRPr="00475868">
        <w:rPr>
          <w:rStyle w:val="Appelnotedebasdep"/>
        </w:rPr>
        <w:footnoteReference w:id="56"/>
      </w:r>
      <w:r w:rsidRPr="00475868">
        <w:t xml:space="preserve"> a renforcé son action par les mesures ci-après :</w:t>
      </w:r>
    </w:p>
    <w:p w14:paraId="4AB3210F" w14:textId="48FA061B" w:rsidR="00C0030C" w:rsidRPr="00475868" w:rsidRDefault="00C0030C" w:rsidP="00C0030C">
      <w:pPr>
        <w:pStyle w:val="Bullet2G"/>
        <w:numPr>
          <w:ilvl w:val="0"/>
          <w:numId w:val="18"/>
        </w:numPr>
        <w:suppressAutoHyphens w:val="0"/>
        <w:kinsoku/>
        <w:overflowPunct/>
        <w:autoSpaceDE/>
        <w:autoSpaceDN/>
        <w:adjustRightInd/>
        <w:snapToGrid/>
      </w:pPr>
      <w:r w:rsidRPr="00475868">
        <w:t>L’ouverture de lignes téléphoniques de conseils, en espagnol et en quechua, sur l’accès aux programmes du Plan global des réparations pour les victimes</w:t>
      </w:r>
      <w:r w:rsidR="00930733" w:rsidRPr="00475868">
        <w:t> </w:t>
      </w:r>
      <w:r w:rsidRPr="00475868">
        <w:t>; 45 529 services ont ainsi été fournis de mars 2020 à ce jour, au moyen des 13</w:t>
      </w:r>
      <w:r w:rsidR="00930733" w:rsidRPr="00475868">
        <w:t> </w:t>
      </w:r>
      <w:r w:rsidRPr="00475868">
        <w:t xml:space="preserve">lignes téléphoniques mises en place dans les régions de Huánuco, Ayacucho, Junín, Lima, Pasco, Huancavelica, Cusco, Apurímac, San Martín, Puno, Ica, Ucayali, Ancash, Arequipa, La Libertad, Madre de </w:t>
      </w:r>
      <w:proofErr w:type="spellStart"/>
      <w:r w:rsidRPr="00475868">
        <w:t>Dios</w:t>
      </w:r>
      <w:proofErr w:type="spellEnd"/>
      <w:r w:rsidRPr="00475868">
        <w:t xml:space="preserve">, Lambayeque, Tacna, Tumbes, </w:t>
      </w:r>
      <w:proofErr w:type="spellStart"/>
      <w:r w:rsidRPr="00475868">
        <w:t>Juliaca</w:t>
      </w:r>
      <w:proofErr w:type="spellEnd"/>
      <w:r w:rsidRPr="00475868">
        <w:t>, Piura, Cajamarca, Moquegua et Loreto</w:t>
      </w:r>
      <w:r w:rsidR="00930733" w:rsidRPr="00475868">
        <w:t> </w:t>
      </w:r>
      <w:r w:rsidRPr="00475868">
        <w:t>; le service téléphonique a aussi permis d’informer les intéressés sur les mesures prises par l’État dans le cadre de l’urgence sanitaire</w:t>
      </w:r>
      <w:r w:rsidR="00930733" w:rsidRPr="00475868">
        <w:t> ;</w:t>
      </w:r>
    </w:p>
    <w:p w14:paraId="55081FBA" w14:textId="5036BDBD" w:rsidR="00C0030C" w:rsidRPr="00475868" w:rsidRDefault="00C0030C" w:rsidP="00C0030C">
      <w:pPr>
        <w:pStyle w:val="Bullet2G"/>
        <w:numPr>
          <w:ilvl w:val="0"/>
          <w:numId w:val="18"/>
        </w:numPr>
        <w:suppressAutoHyphens w:val="0"/>
        <w:kinsoku/>
        <w:overflowPunct/>
        <w:autoSpaceDE/>
        <w:autoSpaceDN/>
        <w:adjustRightInd/>
        <w:snapToGrid/>
      </w:pPr>
      <w:r w:rsidRPr="00475868">
        <w:t>La coordination de l’action menée avec 47 gouvernements locaux d’Ayacucho, Cusco, Puno, Huancavelica, Ica, Lima, Huánuco, San Martín et Pasco, pour canaliser l’assistance fournie à 358 victimes vulnérables sous forme de colis alimentaires distribués par les municipalités concernées</w:t>
      </w:r>
      <w:r w:rsidR="00930733" w:rsidRPr="00475868">
        <w:t> ;</w:t>
      </w:r>
    </w:p>
    <w:p w14:paraId="33B61643" w14:textId="7F2D64FE" w:rsidR="00C0030C" w:rsidRPr="00475868" w:rsidRDefault="00C0030C" w:rsidP="00C0030C">
      <w:pPr>
        <w:pStyle w:val="Bullet2G"/>
        <w:numPr>
          <w:ilvl w:val="0"/>
          <w:numId w:val="18"/>
        </w:numPr>
        <w:suppressAutoHyphens w:val="0"/>
        <w:kinsoku/>
        <w:overflowPunct/>
        <w:autoSpaceDE/>
        <w:autoSpaceDN/>
        <w:adjustRightInd/>
        <w:snapToGrid/>
      </w:pPr>
      <w:r w:rsidRPr="00475868">
        <w:t>La coordination, avec les organisations nationales et locales de victimes, de la livraison de colis alimentaires non périssables pour 676 victimes civiles, policières et militaires dans la métropole de Lima, selon les informations soumises par les organisations nationales qui composent le groupe de travail sur les réparations et les organisations de déplacés inscrits dans le Registre unique des victimes</w:t>
      </w:r>
      <w:r w:rsidR="00930733" w:rsidRPr="00475868">
        <w:t> ;</w:t>
      </w:r>
    </w:p>
    <w:p w14:paraId="6B80CD32" w14:textId="48DC68AE" w:rsidR="00C0030C" w:rsidRPr="00475868" w:rsidRDefault="00C0030C" w:rsidP="00C0030C">
      <w:pPr>
        <w:pStyle w:val="Bullet2G"/>
        <w:numPr>
          <w:ilvl w:val="0"/>
          <w:numId w:val="18"/>
        </w:numPr>
        <w:suppressAutoHyphens w:val="0"/>
        <w:kinsoku/>
        <w:overflowPunct/>
        <w:autoSpaceDE/>
        <w:autoSpaceDN/>
        <w:adjustRightInd/>
        <w:snapToGrid/>
      </w:pPr>
      <w:r w:rsidRPr="00475868">
        <w:t>L’envoi au Ministère du développement et de l’inclusion sociale de demandes d’évaluation concernant les 177</w:t>
      </w:r>
      <w:r w:rsidR="00930733" w:rsidRPr="00475868">
        <w:t> </w:t>
      </w:r>
      <w:r w:rsidRPr="00475868">
        <w:t>072 personnes vivantes inscrites dans le Registre unique des victimes, aux fins de la détermination de l’attribution du bon familial universel, afin que les victimes touchées par les répercussions de la COVID-19 qui n’avaient pas été prises en compte lors de l’attribution de bons précédents puissent voir leur dossier évalué et recevoir l’assistance voulue. Le Ministère a répondu que 122</w:t>
      </w:r>
      <w:r w:rsidR="00930733" w:rsidRPr="00475868">
        <w:t> </w:t>
      </w:r>
      <w:r w:rsidRPr="00475868">
        <w:t xml:space="preserve">161 personnes inscrites au Registre avaient reçu un bon familial de l’État, soit directement, soit par l’intermédiaire d’un membre de leur ménage. Les familles qui n’étaient pas prises en compte au départ pouvaient s’inscrire sur la </w:t>
      </w:r>
      <w:proofErr w:type="spellStart"/>
      <w:r w:rsidRPr="00475868">
        <w:t>plateforme</w:t>
      </w:r>
      <w:proofErr w:type="spellEnd"/>
      <w:r w:rsidRPr="00475868">
        <w:t xml:space="preserve"> du Registre national de l’identification et de l’état civil et y donner les informations pertinentes aux fins de la délivrance du bon, dont le fait de ne pas avoir bénéficié d’autres bons de l’État et de ne pas avoir de membres du ménage inscrits sur un registre de salaires public ou privé. Ces informations ont été communiquées au groupe de travail sur les réparations</w:t>
      </w:r>
      <w:r w:rsidR="00930733" w:rsidRPr="00475868">
        <w:t> ;</w:t>
      </w:r>
    </w:p>
    <w:p w14:paraId="474CF498" w14:textId="3C5E04CE" w:rsidR="00C0030C" w:rsidRPr="00475868" w:rsidRDefault="00C0030C" w:rsidP="00C0030C">
      <w:pPr>
        <w:pStyle w:val="Bullet2G"/>
        <w:numPr>
          <w:ilvl w:val="0"/>
          <w:numId w:val="18"/>
        </w:numPr>
        <w:suppressAutoHyphens w:val="0"/>
        <w:kinsoku/>
        <w:overflowPunct/>
        <w:autoSpaceDE/>
        <w:autoSpaceDN/>
        <w:adjustRightInd/>
        <w:snapToGrid/>
      </w:pPr>
      <w:r w:rsidRPr="00475868">
        <w:t>Le suivi des 450 bénéficiaires de bourses REPARED, des 15 bénéficiaires de l’accès aux écoles secondaires supérieures à haute performance COAR, ainsi que le suivi de l’appel à réservation de 306 places vacantes dans 19 universités publiques et de 58</w:t>
      </w:r>
      <w:r w:rsidR="00817A4B" w:rsidRPr="00475868">
        <w:t>6</w:t>
      </w:r>
      <w:r w:rsidRPr="00475868">
        <w:t xml:space="preserve"> places vacantes dans 90 établissements publics, conformément au plan REPAEDUCA 2016-2021</w:t>
      </w:r>
      <w:r w:rsidR="00930733" w:rsidRPr="00475868">
        <w:t> ;</w:t>
      </w:r>
    </w:p>
    <w:p w14:paraId="6E5047C1" w14:textId="2BFEB87E" w:rsidR="00C0030C" w:rsidRPr="00475868" w:rsidRDefault="00C0030C" w:rsidP="00C0030C">
      <w:pPr>
        <w:pStyle w:val="Bullet2G"/>
        <w:numPr>
          <w:ilvl w:val="0"/>
          <w:numId w:val="18"/>
        </w:numPr>
        <w:suppressAutoHyphens w:val="0"/>
        <w:kinsoku/>
        <w:overflowPunct/>
        <w:autoSpaceDE/>
        <w:autoSpaceDN/>
        <w:adjustRightInd/>
        <w:snapToGrid/>
      </w:pPr>
      <w:r w:rsidRPr="00475868">
        <w:t xml:space="preserve">L’inscription des victimes dans les listes de demandes de bons de logement a été faite par l’intermédiaire de centres autorisés du programme </w:t>
      </w:r>
      <w:proofErr w:type="spellStart"/>
      <w:r w:rsidRPr="00475868">
        <w:t>Techo</w:t>
      </w:r>
      <w:proofErr w:type="spellEnd"/>
      <w:r w:rsidRPr="00475868">
        <w:t xml:space="preserve"> </w:t>
      </w:r>
      <w:proofErr w:type="spellStart"/>
      <w:r w:rsidRPr="00475868">
        <w:t>Propio</w:t>
      </w:r>
      <w:proofErr w:type="spellEnd"/>
      <w:r w:rsidRPr="00475868">
        <w:t xml:space="preserve"> (Ton propre toit) dans les bureaux du secrétariat exécutif de la Commission multisectorielle de haut niveau</w:t>
      </w:r>
      <w:r w:rsidR="00930733" w:rsidRPr="00475868">
        <w:t> ;</w:t>
      </w:r>
    </w:p>
    <w:p w14:paraId="18DD9D78" w14:textId="22C5F005" w:rsidR="00C0030C" w:rsidRPr="00475868" w:rsidRDefault="00C0030C" w:rsidP="00C0030C">
      <w:pPr>
        <w:pStyle w:val="Bullet2G"/>
        <w:numPr>
          <w:ilvl w:val="0"/>
          <w:numId w:val="18"/>
        </w:numPr>
        <w:suppressAutoHyphens w:val="0"/>
        <w:kinsoku/>
        <w:overflowPunct/>
        <w:autoSpaceDE/>
        <w:autoSpaceDN/>
        <w:adjustRightInd/>
        <w:snapToGrid/>
      </w:pPr>
      <w:r w:rsidRPr="00475868">
        <w:t>L’inclusion des victimes de la période de violence 1980-2000 dans les listes des populations prioritaires pour l’attribution de bons de logement</w:t>
      </w:r>
      <w:r w:rsidR="00930733" w:rsidRPr="00475868">
        <w:t> ;</w:t>
      </w:r>
    </w:p>
    <w:p w14:paraId="08EEBCDE" w14:textId="0A825B09" w:rsidR="00C0030C" w:rsidRPr="00475868" w:rsidRDefault="00C0030C" w:rsidP="00C0030C">
      <w:pPr>
        <w:pStyle w:val="Bullet2G"/>
        <w:numPr>
          <w:ilvl w:val="0"/>
          <w:numId w:val="18"/>
        </w:numPr>
        <w:suppressAutoHyphens w:val="0"/>
        <w:kinsoku/>
        <w:overflowPunct/>
        <w:autoSpaceDE/>
        <w:autoSpaceDN/>
        <w:adjustRightInd/>
        <w:snapToGrid/>
      </w:pPr>
      <w:r w:rsidRPr="00475868">
        <w:t xml:space="preserve">L’assistance juridique aux victimes de la période de violence enregistrées dans le Registre unique des victimes, portant notamment sur les questions ci-après : la succession </w:t>
      </w:r>
      <w:r w:rsidRPr="00475868">
        <w:rPr>
          <w:i/>
          <w:iCs/>
        </w:rPr>
        <w:t>ab intestat</w:t>
      </w:r>
      <w:r w:rsidRPr="00475868">
        <w:t xml:space="preserve">, l’exemption de paiements aux municipalités, la régularisation des terrains, en coordination avec la Direction générale de la défense publique et de l’accès à la justice du Ministère de la justice et des droits humains, qui a assumé le parrainage juridique de certains de ces cas, conformément aux pouvoirs qui lui sont conférés (décret suprême </w:t>
      </w:r>
      <w:r w:rsidR="00930733" w:rsidRPr="00475868">
        <w:rPr>
          <w:rFonts w:eastAsia="MS Mincho"/>
          <w:szCs w:val="22"/>
        </w:rPr>
        <w:t>n</w:t>
      </w:r>
      <w:r w:rsidR="00930733" w:rsidRPr="00475868">
        <w:rPr>
          <w:rFonts w:eastAsia="MS Mincho"/>
          <w:szCs w:val="22"/>
          <w:vertAlign w:val="superscript"/>
        </w:rPr>
        <w:t>o</w:t>
      </w:r>
      <w:r w:rsidR="00930733" w:rsidRPr="00475868">
        <w:t> </w:t>
      </w:r>
      <w:r w:rsidRPr="00475868">
        <w:t>009</w:t>
      </w:r>
      <w:r w:rsidR="00930733" w:rsidRPr="00475868">
        <w:noBreakHyphen/>
      </w:r>
      <w:r w:rsidRPr="00475868">
        <w:t>2019-JUS).</w:t>
      </w:r>
    </w:p>
    <w:p w14:paraId="49D053EF" w14:textId="69EA2528" w:rsidR="00C0030C" w:rsidRPr="00475868" w:rsidRDefault="00C0030C" w:rsidP="00C0030C">
      <w:pPr>
        <w:pStyle w:val="Bullet2G"/>
        <w:numPr>
          <w:ilvl w:val="0"/>
          <w:numId w:val="18"/>
        </w:numPr>
        <w:suppressAutoHyphens w:val="0"/>
        <w:kinsoku/>
        <w:overflowPunct/>
        <w:autoSpaceDE/>
        <w:autoSpaceDN/>
        <w:adjustRightInd/>
        <w:snapToGrid/>
      </w:pPr>
      <w:r w:rsidRPr="00475868">
        <w:t>Le plan de travail correspondant au Programme de réparations dans le domaine de la santé a été revu ; on y a incorporé des actions adaptées au contexte de la COVID-19, telles que le mécanisme national de signalement des cas de violation présumée des droits à réparation dans le domaine de la santé, trois mécanismes régionaux (Ayacucho, Huánuco-San Martín-Ucayali et Apurímac) de signalement des cas de violation présumée des droits à réparation dans le domaine de la santé qui sont en cours de validation, et le renforcement de la coordination régionale de la programmation et l’assistance en matière de santé physique mentale des victimes dans le cadre de la COVID</w:t>
      </w:r>
      <w:r w:rsidR="00930733" w:rsidRPr="00475868">
        <w:noBreakHyphen/>
      </w:r>
      <w:r w:rsidRPr="00475868">
        <w:t>19 dans les provinces d’</w:t>
      </w:r>
      <w:proofErr w:type="spellStart"/>
      <w:r w:rsidRPr="00475868">
        <w:t>Angaraes</w:t>
      </w:r>
      <w:proofErr w:type="spellEnd"/>
      <w:r w:rsidRPr="00475868">
        <w:t xml:space="preserve"> (Huancavelica), </w:t>
      </w:r>
      <w:proofErr w:type="spellStart"/>
      <w:r w:rsidRPr="00475868">
        <w:t>Satipo</w:t>
      </w:r>
      <w:proofErr w:type="spellEnd"/>
      <w:r w:rsidRPr="00475868">
        <w:t xml:space="preserve"> (Junín) et Huancayo (Junín).</w:t>
      </w:r>
    </w:p>
    <w:p w14:paraId="5830D602" w14:textId="56A06218" w:rsidR="00C0030C" w:rsidRPr="00475868" w:rsidRDefault="00C0030C" w:rsidP="00C0030C">
      <w:pPr>
        <w:pStyle w:val="SingleTxtG"/>
      </w:pPr>
      <w:r w:rsidRPr="00475868">
        <w:t>23.</w:t>
      </w:r>
      <w:r w:rsidRPr="00475868">
        <w:tab/>
        <w:t>Enfin, même si les progrès décrits ci-dessus constituent un effort considérable, l’État péruvien doit continuer de promouvoir davantage d’actions pour garantir une réparation complète aux victimes de la période de violence 1980-2000. Le Bureau du Défenseur du peuple a recommandé un certain nombre de mesures à mettre en œuvre à cet effet</w:t>
      </w:r>
      <w:r w:rsidRPr="00475868">
        <w:rPr>
          <w:rStyle w:val="Appelnotedebasdep"/>
        </w:rPr>
        <w:footnoteReference w:id="57"/>
      </w:r>
      <w:r w:rsidRPr="00475868">
        <w:t>.</w:t>
      </w:r>
    </w:p>
    <w:p w14:paraId="648EF0ED" w14:textId="61E02881" w:rsidR="00C0030C" w:rsidRPr="00475868" w:rsidRDefault="00930733" w:rsidP="00930733">
      <w:pPr>
        <w:pStyle w:val="H1G"/>
      </w:pPr>
      <w:bookmarkStart w:id="6" w:name="_Toc81387484"/>
      <w:r w:rsidRPr="00475868">
        <w:tab/>
      </w:r>
      <w:r w:rsidR="00C0030C" w:rsidRPr="00475868">
        <w:t>C.</w:t>
      </w:r>
      <w:r w:rsidR="00C0030C" w:rsidRPr="00475868">
        <w:tab/>
        <w:t>Renseignements sur la suite donnée au paragraphe 33</w:t>
      </w:r>
      <w:bookmarkEnd w:id="6"/>
    </w:p>
    <w:p w14:paraId="5ABDAB02" w14:textId="748E417F" w:rsidR="00C0030C" w:rsidRPr="00475868" w:rsidRDefault="00930733" w:rsidP="00930733">
      <w:pPr>
        <w:pStyle w:val="H23G"/>
      </w:pPr>
      <w:r w:rsidRPr="00475868">
        <w:tab/>
      </w:r>
      <w:r w:rsidR="00C0030C" w:rsidRPr="00475868">
        <w:t>1.</w:t>
      </w:r>
      <w:r w:rsidR="00C0030C" w:rsidRPr="00475868">
        <w:tab/>
        <w:t xml:space="preserve">Mesures prises en application de la loi </w:t>
      </w:r>
      <w:r w:rsidRPr="00475868">
        <w:rPr>
          <w:rFonts w:eastAsia="MS Mincho"/>
          <w:szCs w:val="22"/>
        </w:rPr>
        <w:t>n</w:t>
      </w:r>
      <w:r w:rsidRPr="00475868">
        <w:rPr>
          <w:rFonts w:eastAsia="MS Mincho"/>
          <w:szCs w:val="22"/>
          <w:vertAlign w:val="superscript"/>
        </w:rPr>
        <w:t>o</w:t>
      </w:r>
      <w:r w:rsidRPr="00475868">
        <w:t> </w:t>
      </w:r>
      <w:r w:rsidR="00C0030C" w:rsidRPr="00475868">
        <w:t>30470 sur la recherche des personnes disparues pendant la période de violence 1980-2000</w:t>
      </w:r>
    </w:p>
    <w:p w14:paraId="39564FAE" w14:textId="4AD580AD" w:rsidR="00C0030C" w:rsidRPr="00475868" w:rsidRDefault="00C0030C" w:rsidP="00C0030C">
      <w:pPr>
        <w:pStyle w:val="SingleTxtG"/>
      </w:pPr>
      <w:r w:rsidRPr="00475868">
        <w:t>24.</w:t>
      </w:r>
      <w:r w:rsidRPr="00475868">
        <w:tab/>
        <w:t xml:space="preserve">La loi </w:t>
      </w:r>
      <w:r w:rsidR="00EB4673" w:rsidRPr="00475868">
        <w:rPr>
          <w:rFonts w:eastAsia="MS Mincho"/>
          <w:szCs w:val="22"/>
        </w:rPr>
        <w:t>n</w:t>
      </w:r>
      <w:r w:rsidR="00EB4673" w:rsidRPr="00475868">
        <w:rPr>
          <w:rFonts w:eastAsia="MS Mincho"/>
          <w:szCs w:val="22"/>
          <w:vertAlign w:val="superscript"/>
        </w:rPr>
        <w:t>o</w:t>
      </w:r>
      <w:r w:rsidR="00EB4673" w:rsidRPr="00475868">
        <w:t> </w:t>
      </w:r>
      <w:r w:rsidRPr="00475868">
        <w:t>30470 établit que la recherche à composante humanitaire a un effet réparateur parce qu’elle vise l’atténuation de la souffrance, de l’incertitude et du besoin de réponse</w:t>
      </w:r>
      <w:r w:rsidR="00617FAC" w:rsidRPr="00475868">
        <w:t>s</w:t>
      </w:r>
      <w:r w:rsidRPr="00475868">
        <w:t xml:space="preserve"> des proches des disparus. Privilégier l’approche humanitaire signifie orienter la recherche vers la récupération, l’identification, la restitution et la sépulture des restes des disparus dans le respect de la dignité, sans préjudice de la détermination des responsabilités pénales</w:t>
      </w:r>
      <w:r w:rsidRPr="00475868">
        <w:rPr>
          <w:rStyle w:val="Appelnotedebasdep"/>
        </w:rPr>
        <w:footnoteReference w:id="58"/>
      </w:r>
      <w:r w:rsidRPr="00475868">
        <w:t>.</w:t>
      </w:r>
    </w:p>
    <w:p w14:paraId="3F3BABE4" w14:textId="5E2D4052" w:rsidR="00C0030C" w:rsidRPr="00475868" w:rsidRDefault="00C0030C" w:rsidP="00C0030C">
      <w:pPr>
        <w:pStyle w:val="SingleTxtG"/>
      </w:pPr>
      <w:r w:rsidRPr="00475868">
        <w:t>25.</w:t>
      </w:r>
      <w:r w:rsidR="00EB4673" w:rsidRPr="00475868">
        <w:tab/>
      </w:r>
      <w:r w:rsidRPr="00475868">
        <w:t xml:space="preserve">Approuvé par le Ministère de la justice et des droits humains dans la résolution ministérielle </w:t>
      </w:r>
      <w:r w:rsidR="00EB4673" w:rsidRPr="00475868">
        <w:rPr>
          <w:rFonts w:eastAsia="MS Mincho"/>
          <w:szCs w:val="22"/>
        </w:rPr>
        <w:t>n</w:t>
      </w:r>
      <w:r w:rsidR="00EB4673" w:rsidRPr="00475868">
        <w:rPr>
          <w:rFonts w:eastAsia="MS Mincho"/>
          <w:szCs w:val="22"/>
          <w:vertAlign w:val="superscript"/>
        </w:rPr>
        <w:t>o</w:t>
      </w:r>
      <w:r w:rsidR="00EB4673" w:rsidRPr="00475868">
        <w:t> </w:t>
      </w:r>
      <w:r w:rsidRPr="00475868">
        <w:t>363-2016-JUS</w:t>
      </w:r>
      <w:r w:rsidRPr="00475868">
        <w:rPr>
          <w:rStyle w:val="Appelnotedebasdep"/>
        </w:rPr>
        <w:footnoteReference w:id="59"/>
      </w:r>
      <w:r w:rsidRPr="00475868">
        <w:t xml:space="preserve">, le Plan national de recherche des personnes disparues (PNBPD) correspond aux trois objectifs suivants : i) découvrir le sort des personnes disparues, en épuisant tous les efforts de recherche. Le cas échéant, récupérer, identifier et restituer les restes humains retrouvés aux familles ; ii) traiter les répercussions </w:t>
      </w:r>
      <w:proofErr w:type="spellStart"/>
      <w:r w:rsidRPr="00475868">
        <w:t>psychosociales</w:t>
      </w:r>
      <w:proofErr w:type="spellEnd"/>
      <w:r w:rsidRPr="00475868">
        <w:t xml:space="preserve"> de la disparition et de la recherche ; iii) promouvoir la participation de la famille à la recherche en fonction des décisions qu’elle a prises, fondées sur des informations claires, opportunes et suffisantes. L’approche humanitaire, l’approche différentiée et l’approche </w:t>
      </w:r>
      <w:r w:rsidR="00EB4673" w:rsidRPr="00475868">
        <w:t>« </w:t>
      </w:r>
      <w:r w:rsidRPr="00475868">
        <w:t>ne</w:t>
      </w:r>
      <w:r w:rsidR="00617FAC" w:rsidRPr="00475868">
        <w:t> </w:t>
      </w:r>
      <w:r w:rsidRPr="00475868">
        <w:t>pas nuire</w:t>
      </w:r>
      <w:r w:rsidR="00EB4673" w:rsidRPr="00475868">
        <w:t> »</w:t>
      </w:r>
      <w:r w:rsidRPr="00475868">
        <w:t xml:space="preserve"> ont été prises en compte dans la mise en œuvre du Plan.</w:t>
      </w:r>
    </w:p>
    <w:p w14:paraId="6F3E0FF5" w14:textId="5DE0D2B0" w:rsidR="00C0030C" w:rsidRPr="00475868" w:rsidRDefault="00C0030C" w:rsidP="00C0030C">
      <w:pPr>
        <w:pStyle w:val="SingleTxtG"/>
      </w:pPr>
      <w:r w:rsidRPr="00475868">
        <w:t>26.</w:t>
      </w:r>
      <w:r w:rsidRPr="00475868">
        <w:tab/>
        <w:t xml:space="preserve">En 2020, élaboré avec la participation d’entités de l’État, de proches de disparus et d’organisations de défense des droits de l’homme, le bilan du Plan national de recherche des personnes disparues indique dans ses conclusions qu’il faut actualiser le </w:t>
      </w:r>
      <w:r w:rsidR="000D2FF7" w:rsidRPr="00475868">
        <w:t>p</w:t>
      </w:r>
      <w:r w:rsidRPr="00475868">
        <w:t>lan.</w:t>
      </w:r>
    </w:p>
    <w:p w14:paraId="3AF72ACE" w14:textId="58CD9AF6" w:rsidR="00C0030C" w:rsidRPr="00475868" w:rsidRDefault="00C0030C" w:rsidP="00C0030C">
      <w:pPr>
        <w:pStyle w:val="SingleTxtG"/>
      </w:pPr>
      <w:r w:rsidRPr="00475868">
        <w:t>27.</w:t>
      </w:r>
      <w:r w:rsidRPr="00475868">
        <w:tab/>
        <w:t xml:space="preserve">Cet objectif a été atteint avec la publication du décret suprême </w:t>
      </w:r>
      <w:r w:rsidR="00EB4673" w:rsidRPr="00475868">
        <w:rPr>
          <w:rFonts w:eastAsia="MS Mincho"/>
          <w:szCs w:val="22"/>
        </w:rPr>
        <w:t>n</w:t>
      </w:r>
      <w:r w:rsidR="00EB4673" w:rsidRPr="00475868">
        <w:rPr>
          <w:rFonts w:eastAsia="MS Mincho"/>
          <w:szCs w:val="22"/>
          <w:vertAlign w:val="superscript"/>
        </w:rPr>
        <w:t>o</w:t>
      </w:r>
      <w:r w:rsidR="00EB4673" w:rsidRPr="00475868">
        <w:t> </w:t>
      </w:r>
      <w:r w:rsidRPr="00475868">
        <w:t>011-2021-JUS</w:t>
      </w:r>
      <w:r w:rsidRPr="00475868">
        <w:rPr>
          <w:rStyle w:val="Appelnotedebasdep"/>
        </w:rPr>
        <w:footnoteReference w:id="60"/>
      </w:r>
      <w:r w:rsidRPr="00475868">
        <w:t>, portant approbation du Plan national de recherche des personnes disparues à l’horizon 2030 (PNBPD à</w:t>
      </w:r>
      <w:r w:rsidR="00EB4673" w:rsidRPr="00475868">
        <w:t xml:space="preserve"> </w:t>
      </w:r>
      <w:r w:rsidRPr="00475868">
        <w:t>l’horizon 2030) qui, au paragraphe 26, modifie le Plan comme suit :</w:t>
      </w:r>
    </w:p>
    <w:p w14:paraId="373203F8" w14:textId="2A9C7C94" w:rsidR="00C0030C" w:rsidRPr="00475868" w:rsidRDefault="00C0030C" w:rsidP="00C0030C">
      <w:pPr>
        <w:pStyle w:val="SingleTxtG"/>
        <w:ind w:left="1701"/>
      </w:pPr>
      <w:r w:rsidRPr="00475868">
        <w:t>i)</w:t>
      </w:r>
      <w:r w:rsidRPr="00475868">
        <w:tab/>
        <w:t>Le nouveau Plan repose sur deux piliers fondamentaux : i) la détermination des particularités et des caractéristiques de l’univers des plus de 20 000 personnes qui ont disparu pendant la période de violence 1980-2000 ; ii) l’incorporation d’indicateurs permettant de mesurer les progrès de la politique publique, et la mise en place d’un système de suivi et de contrôle associant toutes les autorités concernées par la recherche, dans une perspective humanitaire</w:t>
      </w:r>
      <w:r w:rsidRPr="00475868">
        <w:rPr>
          <w:rStyle w:val="Appelnotedebasdep"/>
        </w:rPr>
        <w:footnoteReference w:id="61"/>
      </w:r>
      <w:r w:rsidRPr="00475868">
        <w:t> ;</w:t>
      </w:r>
    </w:p>
    <w:p w14:paraId="14CF007C" w14:textId="15DCAB69" w:rsidR="00C0030C" w:rsidRPr="00475868" w:rsidRDefault="00C0030C" w:rsidP="00C0030C">
      <w:pPr>
        <w:pStyle w:val="SingleTxtG"/>
        <w:ind w:left="1701"/>
      </w:pPr>
      <w:r w:rsidRPr="00475868">
        <w:t>ii)</w:t>
      </w:r>
      <w:r w:rsidRPr="00475868">
        <w:tab/>
        <w:t>Le PNBPD à l’horizon 2030 est conforme aux Principes directeurs concernant la recherche de personnes disparues</w:t>
      </w:r>
      <w:r w:rsidRPr="00475868">
        <w:rPr>
          <w:rStyle w:val="Appelnotedebasdep"/>
        </w:rPr>
        <w:footnoteReference w:id="62"/>
      </w:r>
      <w:r w:rsidRPr="00475868">
        <w:t>, adoptés par le Comité des disparitions forcées, selon lesquels : la recherche doit s’appuyer sur une présomption de vie, sauf preuve du contraire, le respect de la dignité humaine, l’application d’une politique publique, une approche différentiée et le respect du droit à la participation ; elle doit être engagée sans délai</w:t>
      </w:r>
      <w:r w:rsidR="000D2FF7" w:rsidRPr="00475868">
        <w:t xml:space="preserve"> </w:t>
      </w:r>
      <w:r w:rsidRPr="00475868">
        <w:t>; elle doit s’inscrire dans une stratégie globale et efficacement organisée et les renseignements doivent être utilisés de manière appropriée et coordonnée ; elle doit être étroitement liée à l’enquête pénale et conduite dans des conditions sûres, d’indépendance et d’impartialité ; enfin, la recherche doit faire l’objet de protocoles publics</w:t>
      </w:r>
      <w:r w:rsidR="00EB4673" w:rsidRPr="00475868">
        <w:t> </w:t>
      </w:r>
      <w:r w:rsidRPr="00475868">
        <w:t>;</w:t>
      </w:r>
    </w:p>
    <w:p w14:paraId="64526225" w14:textId="6197D544" w:rsidR="00C0030C" w:rsidRPr="00475868" w:rsidRDefault="00C0030C" w:rsidP="00C0030C">
      <w:pPr>
        <w:pStyle w:val="SingleTxtG"/>
        <w:ind w:left="1701"/>
      </w:pPr>
      <w:r w:rsidRPr="00475868">
        <w:t>iii)</w:t>
      </w:r>
      <w:r w:rsidRPr="00475868">
        <w:tab/>
        <w:t>Le PNBPD à l’horizon 2030 comporte cinq objectifs prioritaires : i) accroître l’efficacité des enquêtes humanitaires pour déterminer le sort des personnes qui ont disparu pendant la période de violence 1980-2000, ou le lieu où elles se trouvent ; ii)</w:t>
      </w:r>
      <w:r w:rsidR="00EB4673" w:rsidRPr="00475868">
        <w:t> </w:t>
      </w:r>
      <w:r w:rsidRPr="00475868">
        <w:t xml:space="preserve">renforcer l’application d’une approche humanitaire dans toutes les institutions concernées par la recherche des disparus pendant ladite période ; iii) obtenir davantage de résultats de la comparaison du profil génétique des restes humains retrouvés et de celui des membres des familles, aux fins de l’identification des personnes disparues pendant ladite période ; iv) réduire les effets </w:t>
      </w:r>
      <w:proofErr w:type="spellStart"/>
      <w:r w:rsidRPr="00475868">
        <w:t>psychosociaux</w:t>
      </w:r>
      <w:proofErr w:type="spellEnd"/>
      <w:r w:rsidRPr="00475868">
        <w:t xml:space="preserve"> négatifs produits par la disparition et la recherche sur les proches des personnes disparues pendant ladite période</w:t>
      </w:r>
      <w:r w:rsidR="00EB4673" w:rsidRPr="00475868">
        <w:t xml:space="preserve"> </w:t>
      </w:r>
      <w:r w:rsidRPr="00475868">
        <w:t>; v) accroître la participation interculturelle et genrée des proches de disparus au processus de recherche.</w:t>
      </w:r>
    </w:p>
    <w:p w14:paraId="478C221F" w14:textId="155103B6" w:rsidR="00C0030C" w:rsidRPr="00475868" w:rsidRDefault="00C0030C" w:rsidP="00C0030C">
      <w:pPr>
        <w:pStyle w:val="SingleTxtG"/>
      </w:pPr>
      <w:r w:rsidRPr="00475868">
        <w:t>28.</w:t>
      </w:r>
      <w:r w:rsidRPr="00475868">
        <w:tab/>
        <w:t xml:space="preserve">En complément, l’une des premières tâches accomplies par la DGBPD, dans le cadre de la loi </w:t>
      </w:r>
      <w:r w:rsidR="00EB4673" w:rsidRPr="00475868">
        <w:rPr>
          <w:rFonts w:eastAsia="MS Mincho"/>
          <w:szCs w:val="22"/>
        </w:rPr>
        <w:t>n</w:t>
      </w:r>
      <w:r w:rsidR="00EB4673" w:rsidRPr="00475868">
        <w:rPr>
          <w:rFonts w:eastAsia="MS Mincho"/>
          <w:szCs w:val="22"/>
          <w:vertAlign w:val="superscript"/>
        </w:rPr>
        <w:t>o</w:t>
      </w:r>
      <w:r w:rsidR="00EB4673" w:rsidRPr="00475868">
        <w:t> </w:t>
      </w:r>
      <w:r w:rsidRPr="00475868">
        <w:t>30470, a été l’élaboration du Registre national des personnes disparues et des lieux de sépulture (RENADE), base de données autonome qui centralise, systématise et nettoie les renseignements fournis par les entités liées au processus de recherche des disparus</w:t>
      </w:r>
      <w:r w:rsidRPr="00475868">
        <w:rPr>
          <w:rStyle w:val="Appelnotedebasdep"/>
        </w:rPr>
        <w:footnoteReference w:id="63"/>
      </w:r>
      <w:r w:rsidRPr="00475868">
        <w:t>.</w:t>
      </w:r>
    </w:p>
    <w:p w14:paraId="6605E2B1" w14:textId="395D0F0A" w:rsidR="00C0030C" w:rsidRPr="00475868" w:rsidRDefault="00C0030C" w:rsidP="00C0030C">
      <w:pPr>
        <w:pStyle w:val="SingleTxtG"/>
      </w:pPr>
      <w:bookmarkStart w:id="8" w:name="_Hlk89958919"/>
      <w:bookmarkStart w:id="9" w:name="_Hlk90022372"/>
      <w:r w:rsidRPr="00475868">
        <w:t>29.</w:t>
      </w:r>
      <w:r w:rsidRPr="00475868">
        <w:tab/>
        <w:t>Le RENADE dispose d’informations provenant de différentes sources : i) les bases de données du Registre unique des victimes ; ii) le Registre spécial des absences par disparition forcée</w:t>
      </w:r>
      <w:r w:rsidR="00F033B1" w:rsidRPr="00475868">
        <w:t xml:space="preserve"> (Bureau du Défenseur du peuple)</w:t>
      </w:r>
      <w:r w:rsidRPr="00475868">
        <w:t> </w:t>
      </w:r>
      <w:bookmarkEnd w:id="8"/>
      <w:r w:rsidRPr="00475868">
        <w:t>; iii) les données des plaintes pour disparition forcée déposées auprès des anciens parquets des droits humains, du ministère public, du pouvoir judiciaire, de la Commission et de la Cour interaméricaine des droits de l’homme ; iv)</w:t>
      </w:r>
      <w:r w:rsidR="00EB4673" w:rsidRPr="00475868">
        <w:t> </w:t>
      </w:r>
      <w:r w:rsidRPr="00475868">
        <w:t>les</w:t>
      </w:r>
      <w:r w:rsidR="00EB4673" w:rsidRPr="00475868">
        <w:t> </w:t>
      </w:r>
      <w:r w:rsidRPr="00475868">
        <w:t>renseignements provenant de différentes organisations de la société civile (Équipe péruvienne d’anthropologie médico</w:t>
      </w:r>
      <w:r w:rsidR="00C31288" w:rsidRPr="00475868">
        <w:noBreakHyphen/>
      </w:r>
      <w:r w:rsidRPr="00475868">
        <w:t>légale, Commission des droits de l’homme, Association nationale des familles de personnes enlevées, détenues et disparues du Pérou) ; v)</w:t>
      </w:r>
      <w:r w:rsidR="00EB4673" w:rsidRPr="00475868">
        <w:t> </w:t>
      </w:r>
      <w:r w:rsidRPr="00475868">
        <w:t>les</w:t>
      </w:r>
      <w:r w:rsidR="00EB4673" w:rsidRPr="00475868">
        <w:t> </w:t>
      </w:r>
      <w:r w:rsidRPr="00475868">
        <w:t>renseignements donnés directement par les proches ou produits par la DGBPD dans le cadre des enquêtes humanitaires réalisées</w:t>
      </w:r>
      <w:bookmarkEnd w:id="9"/>
      <w:r w:rsidRPr="00475868">
        <w:rPr>
          <w:rStyle w:val="Appelnotedebasdep"/>
        </w:rPr>
        <w:footnoteReference w:id="64"/>
      </w:r>
      <w:r w:rsidRPr="00475868">
        <w:t>.</w:t>
      </w:r>
    </w:p>
    <w:p w14:paraId="0AD67B91" w14:textId="302B1769" w:rsidR="00C0030C" w:rsidRPr="00475868" w:rsidRDefault="00C0030C" w:rsidP="00C0030C">
      <w:pPr>
        <w:pStyle w:val="SingleTxtG"/>
      </w:pPr>
      <w:r w:rsidRPr="00475868">
        <w:t>30.</w:t>
      </w:r>
      <w:r w:rsidR="00EB4673" w:rsidRPr="00475868">
        <w:tab/>
      </w:r>
      <w:r w:rsidRPr="00475868">
        <w:t>Au 31</w:t>
      </w:r>
      <w:r w:rsidR="00EB4673" w:rsidRPr="00475868">
        <w:t> </w:t>
      </w:r>
      <w:r w:rsidRPr="00475868">
        <w:t>juillet 2021, le RENADE compte 21</w:t>
      </w:r>
      <w:r w:rsidR="00396923" w:rsidRPr="00475868">
        <w:t> </w:t>
      </w:r>
      <w:r w:rsidRPr="00475868">
        <w:t>918 dossiers de personnes qui ont disparu pendant la période de violence 1980-2000. Il compte aussi 4</w:t>
      </w:r>
      <w:r w:rsidR="00396923" w:rsidRPr="00475868">
        <w:t> </w:t>
      </w:r>
      <w:r w:rsidRPr="00475868">
        <w:t>961 fiches de lieux de sépulture. Enfin, d’avril 2019 à ce jour, 13 personnes disparues ont été retrouvées vivantes à l’issue d’enquêtes humanitaires</w:t>
      </w:r>
      <w:r w:rsidRPr="00475868">
        <w:rPr>
          <w:rStyle w:val="Appelnotedebasdep"/>
        </w:rPr>
        <w:footnoteReference w:id="65"/>
      </w:r>
      <w:r w:rsidRPr="00475868">
        <w:t>.</w:t>
      </w:r>
    </w:p>
    <w:p w14:paraId="614F264B" w14:textId="7977F3C6" w:rsidR="00C0030C" w:rsidRPr="00475868" w:rsidRDefault="00C0030C" w:rsidP="00C0030C">
      <w:pPr>
        <w:pStyle w:val="SingleTxtG"/>
      </w:pPr>
      <w:r w:rsidRPr="00475868">
        <w:t>31.</w:t>
      </w:r>
      <w:r w:rsidRPr="00475868">
        <w:tab/>
        <w:t xml:space="preserve">Toutefois, il convient de mentionner qu’en août 2021, une nouvelle directive visant à réglementer la recherche de personnes disparues dans une optique humanitaire a été adoptée par résolution vice-ministérielle </w:t>
      </w:r>
      <w:r w:rsidR="00EB4673" w:rsidRPr="00475868">
        <w:rPr>
          <w:rFonts w:eastAsia="MS Mincho"/>
          <w:szCs w:val="22"/>
        </w:rPr>
        <w:t>n</w:t>
      </w:r>
      <w:r w:rsidR="00EB4673" w:rsidRPr="00475868">
        <w:rPr>
          <w:rFonts w:eastAsia="MS Mincho"/>
          <w:szCs w:val="22"/>
          <w:vertAlign w:val="superscript"/>
        </w:rPr>
        <w:t>o</w:t>
      </w:r>
      <w:r w:rsidR="00EB4673" w:rsidRPr="00475868">
        <w:t> </w:t>
      </w:r>
      <w:r w:rsidRPr="00475868">
        <w:t>009-2021-JUS</w:t>
      </w:r>
      <w:r w:rsidRPr="00475868">
        <w:rPr>
          <w:rStyle w:val="Appelnotedebasdep"/>
        </w:rPr>
        <w:footnoteReference w:id="66"/>
      </w:r>
      <w:r w:rsidRPr="00475868">
        <w:t> ; la DGBPD existait depuis quatre</w:t>
      </w:r>
      <w:r w:rsidR="00396923" w:rsidRPr="00475868">
        <w:t> </w:t>
      </w:r>
      <w:r w:rsidRPr="00475868">
        <w:t>ans et il était devenu nécessaire de réorienter son action à la lumière de l’expérience et de réagir face à de nouvelles situations telles que la découverte de personnes disparues retrouvées vivantes</w:t>
      </w:r>
      <w:r w:rsidRPr="00475868">
        <w:rPr>
          <w:rStyle w:val="Appelnotedebasdep"/>
        </w:rPr>
        <w:footnoteReference w:id="67"/>
      </w:r>
      <w:r w:rsidRPr="00475868">
        <w:t>.</w:t>
      </w:r>
    </w:p>
    <w:p w14:paraId="347CE310" w14:textId="09CFE619" w:rsidR="00C0030C" w:rsidRPr="00475868" w:rsidRDefault="00C0030C" w:rsidP="00C0030C">
      <w:pPr>
        <w:pStyle w:val="SingleTxtG"/>
      </w:pPr>
      <w:r w:rsidRPr="00475868">
        <w:t>32.</w:t>
      </w:r>
      <w:r w:rsidRPr="00475868">
        <w:tab/>
        <w:t>À la fin du mois d’août 2021, la DGBPD avait procédé à l’analyse de 2</w:t>
      </w:r>
      <w:r w:rsidR="00396923" w:rsidRPr="00475868">
        <w:t> </w:t>
      </w:r>
      <w:r w:rsidRPr="00475868">
        <w:t>361 dossiers enregistrés ayant fait l’objet d’une communication du groupe de travail sur les disparitions forcées ou involontaires, qu’elle avait comparés aux renseignements disponibles dans le RENADE, le Registre unique des victimes et les plaintes pour disparition forcée déposées auprès des anciens Parquets des droits de l’homme</w:t>
      </w:r>
      <w:r w:rsidRPr="00475868">
        <w:rPr>
          <w:rStyle w:val="Appelnotedebasdep"/>
        </w:rPr>
        <w:footnoteReference w:id="68"/>
      </w:r>
      <w:r w:rsidRPr="00475868">
        <w:t>. Les données provenant de ces sources ont permis de conclure que :</w:t>
      </w:r>
    </w:p>
    <w:p w14:paraId="361FB228" w14:textId="0A71A5BF" w:rsidR="00C0030C" w:rsidRPr="00475868" w:rsidRDefault="00C0030C" w:rsidP="00C0030C">
      <w:pPr>
        <w:pStyle w:val="Bullet1G"/>
        <w:numPr>
          <w:ilvl w:val="0"/>
          <w:numId w:val="1"/>
        </w:numPr>
      </w:pPr>
      <w:r w:rsidRPr="00475868">
        <w:t>Un total de 131 personnes ne sont pas des personnes disparues, mais sont inscrites dans le Registre unique des victimes pour d’autres raisons, telles que la détention arbitraire, la torture ou le déplacement</w:t>
      </w:r>
      <w:r w:rsidR="00EB4673" w:rsidRPr="00475868">
        <w:t> ;</w:t>
      </w:r>
    </w:p>
    <w:p w14:paraId="79027E19" w14:textId="2F475AA3" w:rsidR="00C0030C" w:rsidRPr="00475868" w:rsidRDefault="00C0030C" w:rsidP="00C0030C">
      <w:pPr>
        <w:pStyle w:val="Bullet1G"/>
        <w:numPr>
          <w:ilvl w:val="0"/>
          <w:numId w:val="1"/>
        </w:numPr>
      </w:pPr>
      <w:r w:rsidRPr="00475868">
        <w:t>Un total de 1</w:t>
      </w:r>
      <w:r w:rsidR="00396923" w:rsidRPr="00475868">
        <w:t> </w:t>
      </w:r>
      <w:r w:rsidRPr="00475868">
        <w:t>383 personnes (62</w:t>
      </w:r>
      <w:r w:rsidR="00EB4673" w:rsidRPr="00475868">
        <w:t> </w:t>
      </w:r>
      <w:r w:rsidRPr="00475868">
        <w:t>%) figurent dans le RENADE. Les 847 personnes restantes sont décrites dans d’autres sources, raison pour laquelle la DGBPD évalue l’opportunité de leur insertion dans ce registre. Les personnes qui y sont enregistrées sont classées comme suit :</w:t>
      </w:r>
    </w:p>
    <w:p w14:paraId="454078C5" w14:textId="52C0140D" w:rsidR="00C0030C" w:rsidRPr="00475868" w:rsidRDefault="00C0030C" w:rsidP="00EB4673">
      <w:pPr>
        <w:pStyle w:val="SingleTxtG"/>
        <w:jc w:val="left"/>
        <w:rPr>
          <w:b/>
          <w:bCs/>
        </w:rPr>
      </w:pPr>
      <w:r w:rsidRPr="00475868">
        <w:t>Tableau 1</w:t>
      </w:r>
      <w:r w:rsidR="00EB4673" w:rsidRPr="00475868">
        <w:br/>
      </w:r>
      <w:r w:rsidRPr="00475868">
        <w:rPr>
          <w:b/>
          <w:bCs/>
        </w:rPr>
        <w:t>Situation des affaires de disparition forcée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2"/>
        <w:gridCol w:w="3910"/>
        <w:gridCol w:w="728"/>
        <w:gridCol w:w="1071"/>
        <w:gridCol w:w="849"/>
      </w:tblGrid>
      <w:tr w:rsidR="00C0030C" w:rsidRPr="00475868" w14:paraId="5171C2C1" w14:textId="77777777" w:rsidTr="00EB4673">
        <w:trPr>
          <w:tblHeader/>
        </w:trPr>
        <w:tc>
          <w:tcPr>
            <w:tcW w:w="812" w:type="dxa"/>
            <w:tcBorders>
              <w:top w:val="single" w:sz="4" w:space="0" w:color="auto"/>
              <w:bottom w:val="single" w:sz="12" w:space="0" w:color="auto"/>
            </w:tcBorders>
            <w:shd w:val="clear" w:color="auto" w:fill="auto"/>
            <w:vAlign w:val="bottom"/>
          </w:tcPr>
          <w:p w14:paraId="556603D8" w14:textId="77777777" w:rsidR="00C0030C" w:rsidRPr="00475868" w:rsidRDefault="00C0030C" w:rsidP="00EB4673">
            <w:pPr>
              <w:suppressAutoHyphens w:val="0"/>
              <w:spacing w:before="80" w:after="80" w:line="200" w:lineRule="exact"/>
              <w:rPr>
                <w:i/>
                <w:sz w:val="16"/>
              </w:rPr>
            </w:pPr>
            <w:r w:rsidRPr="00475868">
              <w:rPr>
                <w:i/>
                <w:sz w:val="16"/>
              </w:rPr>
              <w:t>Catégorie</w:t>
            </w:r>
          </w:p>
        </w:tc>
        <w:tc>
          <w:tcPr>
            <w:tcW w:w="3910" w:type="dxa"/>
            <w:tcBorders>
              <w:top w:val="single" w:sz="4" w:space="0" w:color="auto"/>
              <w:bottom w:val="single" w:sz="12" w:space="0" w:color="auto"/>
            </w:tcBorders>
            <w:shd w:val="clear" w:color="auto" w:fill="auto"/>
            <w:vAlign w:val="bottom"/>
          </w:tcPr>
          <w:p w14:paraId="45AE4CFC" w14:textId="77777777" w:rsidR="00C0030C" w:rsidRPr="00475868" w:rsidRDefault="00C0030C" w:rsidP="00EB4673">
            <w:pPr>
              <w:suppressAutoHyphens w:val="0"/>
              <w:spacing w:before="80" w:after="80" w:line="200" w:lineRule="exact"/>
              <w:rPr>
                <w:i/>
                <w:sz w:val="16"/>
              </w:rPr>
            </w:pPr>
            <w:r w:rsidRPr="00475868">
              <w:rPr>
                <w:i/>
                <w:sz w:val="16"/>
              </w:rPr>
              <w:t>Description</w:t>
            </w:r>
          </w:p>
        </w:tc>
        <w:tc>
          <w:tcPr>
            <w:tcW w:w="728" w:type="dxa"/>
            <w:tcBorders>
              <w:top w:val="single" w:sz="4" w:space="0" w:color="auto"/>
              <w:bottom w:val="single" w:sz="12" w:space="0" w:color="auto"/>
            </w:tcBorders>
            <w:shd w:val="clear" w:color="auto" w:fill="auto"/>
            <w:vAlign w:val="bottom"/>
          </w:tcPr>
          <w:p w14:paraId="4ACC3F61" w14:textId="77777777" w:rsidR="00C0030C" w:rsidRPr="00475868" w:rsidRDefault="00C0030C" w:rsidP="00EB4673">
            <w:pPr>
              <w:suppressAutoHyphens w:val="0"/>
              <w:spacing w:before="80" w:after="80" w:line="200" w:lineRule="exact"/>
              <w:jc w:val="right"/>
              <w:rPr>
                <w:i/>
                <w:sz w:val="16"/>
              </w:rPr>
            </w:pPr>
            <w:r w:rsidRPr="00475868">
              <w:rPr>
                <w:i/>
                <w:sz w:val="16"/>
              </w:rPr>
              <w:t>RENADE</w:t>
            </w:r>
          </w:p>
        </w:tc>
        <w:tc>
          <w:tcPr>
            <w:tcW w:w="1071" w:type="dxa"/>
            <w:tcBorders>
              <w:top w:val="single" w:sz="4" w:space="0" w:color="auto"/>
              <w:bottom w:val="single" w:sz="12" w:space="0" w:color="auto"/>
            </w:tcBorders>
            <w:shd w:val="clear" w:color="auto" w:fill="auto"/>
            <w:vAlign w:val="bottom"/>
          </w:tcPr>
          <w:p w14:paraId="18A8524B" w14:textId="77777777" w:rsidR="00C0030C" w:rsidRPr="00475868" w:rsidRDefault="00C0030C" w:rsidP="00EB4673">
            <w:pPr>
              <w:suppressAutoHyphens w:val="0"/>
              <w:spacing w:before="80" w:after="80" w:line="200" w:lineRule="exact"/>
              <w:jc w:val="right"/>
              <w:rPr>
                <w:i/>
                <w:sz w:val="16"/>
              </w:rPr>
            </w:pPr>
            <w:r w:rsidRPr="00475868">
              <w:rPr>
                <w:i/>
                <w:sz w:val="16"/>
              </w:rPr>
              <w:t>Autres sources</w:t>
            </w:r>
          </w:p>
        </w:tc>
        <w:tc>
          <w:tcPr>
            <w:tcW w:w="849" w:type="dxa"/>
            <w:tcBorders>
              <w:top w:val="single" w:sz="4" w:space="0" w:color="auto"/>
              <w:bottom w:val="single" w:sz="12" w:space="0" w:color="auto"/>
            </w:tcBorders>
            <w:shd w:val="clear" w:color="auto" w:fill="auto"/>
            <w:vAlign w:val="bottom"/>
          </w:tcPr>
          <w:p w14:paraId="0C69C9DC" w14:textId="77777777" w:rsidR="00C0030C" w:rsidRPr="00475868" w:rsidRDefault="00C0030C" w:rsidP="00EB4673">
            <w:pPr>
              <w:suppressAutoHyphens w:val="0"/>
              <w:spacing w:before="80" w:after="80" w:line="200" w:lineRule="exact"/>
              <w:jc w:val="right"/>
              <w:rPr>
                <w:i/>
                <w:sz w:val="16"/>
              </w:rPr>
            </w:pPr>
            <w:r w:rsidRPr="00475868">
              <w:rPr>
                <w:i/>
                <w:sz w:val="16"/>
              </w:rPr>
              <w:t>Total partiel</w:t>
            </w:r>
          </w:p>
        </w:tc>
      </w:tr>
      <w:tr w:rsidR="00C0030C" w:rsidRPr="00475868" w14:paraId="371A080D" w14:textId="77777777" w:rsidTr="00EB4673">
        <w:tc>
          <w:tcPr>
            <w:tcW w:w="812" w:type="dxa"/>
            <w:tcBorders>
              <w:top w:val="single" w:sz="12" w:space="0" w:color="auto"/>
            </w:tcBorders>
            <w:shd w:val="clear" w:color="auto" w:fill="auto"/>
          </w:tcPr>
          <w:p w14:paraId="14494B0B" w14:textId="77777777" w:rsidR="00C0030C" w:rsidRPr="00475868" w:rsidRDefault="00C0030C" w:rsidP="00EB4673">
            <w:pPr>
              <w:suppressAutoHyphens w:val="0"/>
              <w:spacing w:before="40" w:after="40" w:line="220" w:lineRule="exact"/>
              <w:rPr>
                <w:sz w:val="18"/>
              </w:rPr>
            </w:pPr>
            <w:r w:rsidRPr="00475868">
              <w:rPr>
                <w:sz w:val="18"/>
              </w:rPr>
              <w:t>D0</w:t>
            </w:r>
          </w:p>
        </w:tc>
        <w:tc>
          <w:tcPr>
            <w:tcW w:w="3910" w:type="dxa"/>
            <w:tcBorders>
              <w:top w:val="single" w:sz="12" w:space="0" w:color="auto"/>
            </w:tcBorders>
            <w:shd w:val="clear" w:color="auto" w:fill="auto"/>
            <w:vAlign w:val="bottom"/>
          </w:tcPr>
          <w:p w14:paraId="5AD0B22C" w14:textId="5F6CDCE1" w:rsidR="00C0030C" w:rsidRPr="00475868" w:rsidRDefault="00C0030C" w:rsidP="00EB4673">
            <w:pPr>
              <w:suppressAutoHyphens w:val="0"/>
              <w:spacing w:before="40" w:after="40" w:line="220" w:lineRule="exact"/>
              <w:rPr>
                <w:sz w:val="18"/>
              </w:rPr>
            </w:pPr>
            <w:r w:rsidRPr="00475868">
              <w:rPr>
                <w:sz w:val="18"/>
              </w:rPr>
              <w:t>Personnes dont la recherche a pris fin pour les raisons suivantes : i) restes retrouvés et rendus aux familles</w:t>
            </w:r>
            <w:r w:rsidR="00EB4673" w:rsidRPr="00475868">
              <w:rPr>
                <w:sz w:val="18"/>
              </w:rPr>
              <w:t> ;</w:t>
            </w:r>
            <w:r w:rsidRPr="00475868">
              <w:rPr>
                <w:sz w:val="18"/>
              </w:rPr>
              <w:t xml:space="preserve"> ii)</w:t>
            </w:r>
            <w:r w:rsidR="00EB4673" w:rsidRPr="00475868">
              <w:rPr>
                <w:sz w:val="18"/>
              </w:rPr>
              <w:t> </w:t>
            </w:r>
            <w:r w:rsidRPr="00475868">
              <w:rPr>
                <w:sz w:val="18"/>
              </w:rPr>
              <w:t>personnes retrouvées vivantes</w:t>
            </w:r>
            <w:r w:rsidR="00EB4673" w:rsidRPr="00475868">
              <w:rPr>
                <w:sz w:val="18"/>
              </w:rPr>
              <w:t> ;</w:t>
            </w:r>
            <w:r w:rsidRPr="00475868">
              <w:rPr>
                <w:sz w:val="18"/>
              </w:rPr>
              <w:t xml:space="preserve"> iii) fin symbolique de l’action après épuisement de tous les moyens de recherche disponibles</w:t>
            </w:r>
          </w:p>
        </w:tc>
        <w:tc>
          <w:tcPr>
            <w:tcW w:w="728" w:type="dxa"/>
            <w:tcBorders>
              <w:top w:val="single" w:sz="12" w:space="0" w:color="auto"/>
            </w:tcBorders>
            <w:shd w:val="clear" w:color="auto" w:fill="auto"/>
            <w:vAlign w:val="bottom"/>
          </w:tcPr>
          <w:p w14:paraId="13501F46" w14:textId="77777777" w:rsidR="00C0030C" w:rsidRPr="00475868" w:rsidRDefault="00C0030C" w:rsidP="00EB4673">
            <w:pPr>
              <w:suppressAutoHyphens w:val="0"/>
              <w:spacing w:before="40" w:after="40" w:line="220" w:lineRule="exact"/>
              <w:jc w:val="right"/>
              <w:rPr>
                <w:sz w:val="18"/>
              </w:rPr>
            </w:pPr>
            <w:r w:rsidRPr="00475868">
              <w:rPr>
                <w:sz w:val="18"/>
              </w:rPr>
              <w:t>79</w:t>
            </w:r>
          </w:p>
        </w:tc>
        <w:tc>
          <w:tcPr>
            <w:tcW w:w="1071" w:type="dxa"/>
            <w:tcBorders>
              <w:top w:val="single" w:sz="12" w:space="0" w:color="auto"/>
            </w:tcBorders>
            <w:shd w:val="clear" w:color="auto" w:fill="auto"/>
            <w:vAlign w:val="bottom"/>
          </w:tcPr>
          <w:p w14:paraId="03CC7961" w14:textId="77777777" w:rsidR="00C0030C" w:rsidRPr="00475868" w:rsidRDefault="00C0030C" w:rsidP="00EB4673">
            <w:pPr>
              <w:suppressAutoHyphens w:val="0"/>
              <w:spacing w:before="40" w:after="40" w:line="220" w:lineRule="exact"/>
              <w:jc w:val="right"/>
              <w:rPr>
                <w:sz w:val="18"/>
              </w:rPr>
            </w:pPr>
            <w:r w:rsidRPr="00475868">
              <w:rPr>
                <w:sz w:val="18"/>
              </w:rPr>
              <w:t>35</w:t>
            </w:r>
          </w:p>
        </w:tc>
        <w:tc>
          <w:tcPr>
            <w:tcW w:w="849" w:type="dxa"/>
            <w:tcBorders>
              <w:top w:val="single" w:sz="12" w:space="0" w:color="auto"/>
            </w:tcBorders>
            <w:shd w:val="clear" w:color="auto" w:fill="auto"/>
            <w:vAlign w:val="bottom"/>
          </w:tcPr>
          <w:p w14:paraId="56593383" w14:textId="77777777" w:rsidR="00C0030C" w:rsidRPr="00475868" w:rsidRDefault="00C0030C" w:rsidP="00EB4673">
            <w:pPr>
              <w:suppressAutoHyphens w:val="0"/>
              <w:spacing w:before="40" w:after="40" w:line="220" w:lineRule="exact"/>
              <w:jc w:val="right"/>
              <w:rPr>
                <w:sz w:val="18"/>
              </w:rPr>
            </w:pPr>
            <w:r w:rsidRPr="00475868">
              <w:rPr>
                <w:sz w:val="18"/>
              </w:rPr>
              <w:t>114</w:t>
            </w:r>
          </w:p>
        </w:tc>
      </w:tr>
      <w:tr w:rsidR="00C0030C" w:rsidRPr="00475868" w14:paraId="2990F093" w14:textId="77777777" w:rsidTr="00EB4673">
        <w:tc>
          <w:tcPr>
            <w:tcW w:w="812" w:type="dxa"/>
            <w:shd w:val="clear" w:color="auto" w:fill="auto"/>
          </w:tcPr>
          <w:p w14:paraId="7CB39DEE" w14:textId="77777777" w:rsidR="00C0030C" w:rsidRPr="00475868" w:rsidRDefault="00C0030C" w:rsidP="00EB4673">
            <w:pPr>
              <w:suppressAutoHyphens w:val="0"/>
              <w:spacing w:before="40" w:after="40" w:line="220" w:lineRule="exact"/>
              <w:rPr>
                <w:sz w:val="18"/>
              </w:rPr>
            </w:pPr>
            <w:r w:rsidRPr="00475868">
              <w:rPr>
                <w:sz w:val="18"/>
              </w:rPr>
              <w:t>D1</w:t>
            </w:r>
          </w:p>
        </w:tc>
        <w:tc>
          <w:tcPr>
            <w:tcW w:w="3910" w:type="dxa"/>
            <w:shd w:val="clear" w:color="auto" w:fill="auto"/>
            <w:vAlign w:val="bottom"/>
          </w:tcPr>
          <w:p w14:paraId="11BEB10B" w14:textId="6E629062" w:rsidR="00C0030C" w:rsidRPr="00475868" w:rsidRDefault="00C0030C" w:rsidP="00EB4673">
            <w:pPr>
              <w:suppressAutoHyphens w:val="0"/>
              <w:spacing w:before="40" w:after="40" w:line="220" w:lineRule="exact"/>
              <w:rPr>
                <w:sz w:val="18"/>
              </w:rPr>
            </w:pPr>
            <w:r w:rsidRPr="00475868">
              <w:rPr>
                <w:sz w:val="18"/>
              </w:rPr>
              <w:t>Personnes dont l’identité et le sort sont connus, et pour lesquelles il existe une présomption quant à leur localisation finale. Comprend les personnes décédées, mais dont la localisation n’est pas juridiquement certaine, ou les personnes enterrées dans des fosses dont la localisation est connue approximativement</w:t>
            </w:r>
          </w:p>
        </w:tc>
        <w:tc>
          <w:tcPr>
            <w:tcW w:w="728" w:type="dxa"/>
            <w:shd w:val="clear" w:color="auto" w:fill="auto"/>
            <w:vAlign w:val="bottom"/>
          </w:tcPr>
          <w:p w14:paraId="5B9AB6F4" w14:textId="77777777" w:rsidR="00C0030C" w:rsidRPr="00475868" w:rsidRDefault="00C0030C" w:rsidP="00EB4673">
            <w:pPr>
              <w:suppressAutoHyphens w:val="0"/>
              <w:spacing w:before="40" w:after="40" w:line="220" w:lineRule="exact"/>
              <w:jc w:val="right"/>
              <w:rPr>
                <w:sz w:val="18"/>
              </w:rPr>
            </w:pPr>
            <w:r w:rsidRPr="00475868">
              <w:rPr>
                <w:sz w:val="18"/>
              </w:rPr>
              <w:t>222</w:t>
            </w:r>
          </w:p>
        </w:tc>
        <w:tc>
          <w:tcPr>
            <w:tcW w:w="1071" w:type="dxa"/>
            <w:shd w:val="clear" w:color="auto" w:fill="auto"/>
            <w:vAlign w:val="bottom"/>
          </w:tcPr>
          <w:p w14:paraId="5969A52D" w14:textId="77777777" w:rsidR="00C0030C" w:rsidRPr="00475868" w:rsidRDefault="00C0030C" w:rsidP="00EB4673">
            <w:pPr>
              <w:suppressAutoHyphens w:val="0"/>
              <w:spacing w:before="40" w:after="40" w:line="220" w:lineRule="exact"/>
              <w:jc w:val="right"/>
              <w:rPr>
                <w:sz w:val="18"/>
              </w:rPr>
            </w:pPr>
            <w:r w:rsidRPr="00475868">
              <w:rPr>
                <w:sz w:val="18"/>
              </w:rPr>
              <w:t>26</w:t>
            </w:r>
          </w:p>
        </w:tc>
        <w:tc>
          <w:tcPr>
            <w:tcW w:w="849" w:type="dxa"/>
            <w:shd w:val="clear" w:color="auto" w:fill="auto"/>
            <w:vAlign w:val="bottom"/>
          </w:tcPr>
          <w:p w14:paraId="44F296D3" w14:textId="77777777" w:rsidR="00C0030C" w:rsidRPr="00475868" w:rsidRDefault="00C0030C" w:rsidP="00EB4673">
            <w:pPr>
              <w:suppressAutoHyphens w:val="0"/>
              <w:spacing w:before="40" w:after="40" w:line="220" w:lineRule="exact"/>
              <w:jc w:val="right"/>
              <w:rPr>
                <w:sz w:val="18"/>
              </w:rPr>
            </w:pPr>
            <w:r w:rsidRPr="00475868">
              <w:rPr>
                <w:sz w:val="18"/>
              </w:rPr>
              <w:t>248</w:t>
            </w:r>
          </w:p>
        </w:tc>
      </w:tr>
      <w:tr w:rsidR="00C0030C" w:rsidRPr="00475868" w14:paraId="7F502E58" w14:textId="77777777" w:rsidTr="00EB4673">
        <w:tc>
          <w:tcPr>
            <w:tcW w:w="812" w:type="dxa"/>
            <w:shd w:val="clear" w:color="auto" w:fill="auto"/>
          </w:tcPr>
          <w:p w14:paraId="3869FBAA" w14:textId="77777777" w:rsidR="00C0030C" w:rsidRPr="00475868" w:rsidRDefault="00C0030C" w:rsidP="00EB4673">
            <w:pPr>
              <w:suppressAutoHyphens w:val="0"/>
              <w:spacing w:before="40" w:after="40" w:line="220" w:lineRule="exact"/>
              <w:rPr>
                <w:sz w:val="18"/>
              </w:rPr>
            </w:pPr>
            <w:r w:rsidRPr="00475868">
              <w:rPr>
                <w:sz w:val="18"/>
              </w:rPr>
              <w:t>D2</w:t>
            </w:r>
          </w:p>
        </w:tc>
        <w:tc>
          <w:tcPr>
            <w:tcW w:w="3910" w:type="dxa"/>
            <w:shd w:val="clear" w:color="auto" w:fill="auto"/>
            <w:vAlign w:val="bottom"/>
          </w:tcPr>
          <w:p w14:paraId="54E86E71" w14:textId="5649E7FA" w:rsidR="00C0030C" w:rsidRPr="00475868" w:rsidRDefault="00C0030C" w:rsidP="00EB4673">
            <w:pPr>
              <w:suppressAutoHyphens w:val="0"/>
              <w:spacing w:before="40" w:after="40" w:line="220" w:lineRule="exact"/>
              <w:rPr>
                <w:sz w:val="18"/>
              </w:rPr>
            </w:pPr>
            <w:r w:rsidRPr="00475868">
              <w:rPr>
                <w:sz w:val="18"/>
              </w:rPr>
              <w:t>Personnes dont on sait qu’elles sont décédées et dont on ignore où se trouve la dépouille (par exemple, corps abandonnés dans la montagne ou jetés dans une rivière)</w:t>
            </w:r>
          </w:p>
        </w:tc>
        <w:tc>
          <w:tcPr>
            <w:tcW w:w="728" w:type="dxa"/>
            <w:shd w:val="clear" w:color="auto" w:fill="auto"/>
            <w:vAlign w:val="bottom"/>
          </w:tcPr>
          <w:p w14:paraId="73E1BC0A" w14:textId="77777777" w:rsidR="00C0030C" w:rsidRPr="00475868" w:rsidRDefault="00C0030C" w:rsidP="00EB4673">
            <w:pPr>
              <w:suppressAutoHyphens w:val="0"/>
              <w:spacing w:before="40" w:after="40" w:line="220" w:lineRule="exact"/>
              <w:jc w:val="right"/>
              <w:rPr>
                <w:sz w:val="18"/>
              </w:rPr>
            </w:pPr>
            <w:r w:rsidRPr="00475868">
              <w:rPr>
                <w:sz w:val="18"/>
              </w:rPr>
              <w:t>31</w:t>
            </w:r>
          </w:p>
        </w:tc>
        <w:tc>
          <w:tcPr>
            <w:tcW w:w="1071" w:type="dxa"/>
            <w:shd w:val="clear" w:color="auto" w:fill="auto"/>
            <w:vAlign w:val="bottom"/>
          </w:tcPr>
          <w:p w14:paraId="35F7C76A" w14:textId="77777777" w:rsidR="00C0030C" w:rsidRPr="00475868" w:rsidRDefault="00C0030C" w:rsidP="00EB4673">
            <w:pPr>
              <w:suppressAutoHyphens w:val="0"/>
              <w:spacing w:before="40" w:after="40" w:line="220" w:lineRule="exact"/>
              <w:jc w:val="right"/>
              <w:rPr>
                <w:sz w:val="18"/>
              </w:rPr>
            </w:pPr>
            <w:r w:rsidRPr="00475868">
              <w:rPr>
                <w:sz w:val="18"/>
              </w:rPr>
              <w:t>2</w:t>
            </w:r>
          </w:p>
        </w:tc>
        <w:tc>
          <w:tcPr>
            <w:tcW w:w="849" w:type="dxa"/>
            <w:shd w:val="clear" w:color="auto" w:fill="auto"/>
            <w:vAlign w:val="bottom"/>
          </w:tcPr>
          <w:p w14:paraId="7DAA0A0A" w14:textId="77777777" w:rsidR="00C0030C" w:rsidRPr="00475868" w:rsidRDefault="00C0030C" w:rsidP="00EB4673">
            <w:pPr>
              <w:suppressAutoHyphens w:val="0"/>
              <w:spacing w:before="40" w:after="40" w:line="220" w:lineRule="exact"/>
              <w:jc w:val="right"/>
              <w:rPr>
                <w:sz w:val="18"/>
              </w:rPr>
            </w:pPr>
            <w:r w:rsidRPr="00475868">
              <w:rPr>
                <w:sz w:val="18"/>
              </w:rPr>
              <w:t>33</w:t>
            </w:r>
          </w:p>
        </w:tc>
      </w:tr>
      <w:tr w:rsidR="00C0030C" w:rsidRPr="00475868" w14:paraId="3448ED1F" w14:textId="77777777" w:rsidTr="00EB4673">
        <w:tc>
          <w:tcPr>
            <w:tcW w:w="812" w:type="dxa"/>
            <w:shd w:val="clear" w:color="auto" w:fill="auto"/>
          </w:tcPr>
          <w:p w14:paraId="420EEAF7" w14:textId="77777777" w:rsidR="00C0030C" w:rsidRPr="00475868" w:rsidRDefault="00C0030C" w:rsidP="00EB4673">
            <w:pPr>
              <w:suppressAutoHyphens w:val="0"/>
              <w:spacing w:before="40" w:after="40" w:line="220" w:lineRule="exact"/>
              <w:rPr>
                <w:sz w:val="18"/>
              </w:rPr>
            </w:pPr>
            <w:r w:rsidRPr="00475868">
              <w:rPr>
                <w:sz w:val="18"/>
              </w:rPr>
              <w:t>D3</w:t>
            </w:r>
          </w:p>
        </w:tc>
        <w:tc>
          <w:tcPr>
            <w:tcW w:w="3910" w:type="dxa"/>
            <w:shd w:val="clear" w:color="auto" w:fill="auto"/>
            <w:vAlign w:val="bottom"/>
          </w:tcPr>
          <w:p w14:paraId="5158EF74" w14:textId="6C553CB5" w:rsidR="00C0030C" w:rsidRPr="00475868" w:rsidRDefault="00C0030C" w:rsidP="00EB4673">
            <w:pPr>
              <w:suppressAutoHyphens w:val="0"/>
              <w:spacing w:before="40" w:after="40" w:line="220" w:lineRule="exact"/>
              <w:rPr>
                <w:sz w:val="18"/>
              </w:rPr>
            </w:pPr>
            <w:r w:rsidRPr="00475868">
              <w:rPr>
                <w:sz w:val="18"/>
              </w:rPr>
              <w:t>Personnes dont le sort ou la localisation est inconnu (par exemple, personnes en détention ou recrutées de</w:t>
            </w:r>
            <w:r w:rsidR="00EB4673" w:rsidRPr="00475868">
              <w:rPr>
                <w:sz w:val="18"/>
              </w:rPr>
              <w:t> </w:t>
            </w:r>
            <w:r w:rsidRPr="00475868">
              <w:rPr>
                <w:sz w:val="18"/>
              </w:rPr>
              <w:t>force)</w:t>
            </w:r>
          </w:p>
        </w:tc>
        <w:tc>
          <w:tcPr>
            <w:tcW w:w="728" w:type="dxa"/>
            <w:shd w:val="clear" w:color="auto" w:fill="auto"/>
            <w:vAlign w:val="bottom"/>
          </w:tcPr>
          <w:p w14:paraId="5BE71A4B" w14:textId="77777777" w:rsidR="00C0030C" w:rsidRPr="00475868" w:rsidRDefault="00C0030C" w:rsidP="00EB4673">
            <w:pPr>
              <w:suppressAutoHyphens w:val="0"/>
              <w:spacing w:before="40" w:after="40" w:line="220" w:lineRule="exact"/>
              <w:jc w:val="right"/>
              <w:rPr>
                <w:sz w:val="18"/>
              </w:rPr>
            </w:pPr>
            <w:r w:rsidRPr="00475868">
              <w:rPr>
                <w:sz w:val="18"/>
              </w:rPr>
              <w:t>1 051</w:t>
            </w:r>
          </w:p>
        </w:tc>
        <w:tc>
          <w:tcPr>
            <w:tcW w:w="1071" w:type="dxa"/>
            <w:shd w:val="clear" w:color="auto" w:fill="auto"/>
            <w:vAlign w:val="bottom"/>
          </w:tcPr>
          <w:p w14:paraId="4BE89154" w14:textId="77777777" w:rsidR="00C0030C" w:rsidRPr="00475868" w:rsidRDefault="00C0030C" w:rsidP="00EB4673">
            <w:pPr>
              <w:suppressAutoHyphens w:val="0"/>
              <w:spacing w:before="40" w:after="40" w:line="220" w:lineRule="exact"/>
              <w:jc w:val="right"/>
              <w:rPr>
                <w:sz w:val="18"/>
              </w:rPr>
            </w:pPr>
            <w:r w:rsidRPr="00475868">
              <w:rPr>
                <w:sz w:val="18"/>
              </w:rPr>
              <w:t>457</w:t>
            </w:r>
          </w:p>
        </w:tc>
        <w:tc>
          <w:tcPr>
            <w:tcW w:w="849" w:type="dxa"/>
            <w:shd w:val="clear" w:color="auto" w:fill="auto"/>
            <w:vAlign w:val="bottom"/>
          </w:tcPr>
          <w:p w14:paraId="341C1470" w14:textId="77777777" w:rsidR="00C0030C" w:rsidRPr="00475868" w:rsidRDefault="00C0030C" w:rsidP="00EB4673">
            <w:pPr>
              <w:suppressAutoHyphens w:val="0"/>
              <w:spacing w:before="40" w:after="40" w:line="220" w:lineRule="exact"/>
              <w:jc w:val="right"/>
              <w:rPr>
                <w:sz w:val="18"/>
              </w:rPr>
            </w:pPr>
            <w:r w:rsidRPr="00475868">
              <w:rPr>
                <w:sz w:val="18"/>
              </w:rPr>
              <w:t>1 508</w:t>
            </w:r>
          </w:p>
        </w:tc>
      </w:tr>
      <w:tr w:rsidR="00C0030C" w:rsidRPr="00475868" w14:paraId="2CD0993A" w14:textId="77777777" w:rsidTr="00EB4673">
        <w:tc>
          <w:tcPr>
            <w:tcW w:w="812" w:type="dxa"/>
            <w:tcBorders>
              <w:bottom w:val="single" w:sz="4" w:space="0" w:color="auto"/>
            </w:tcBorders>
            <w:shd w:val="clear" w:color="auto" w:fill="auto"/>
          </w:tcPr>
          <w:p w14:paraId="6CBD8F55" w14:textId="77777777" w:rsidR="00C0030C" w:rsidRPr="00475868" w:rsidRDefault="00C0030C" w:rsidP="00EB4673">
            <w:pPr>
              <w:suppressAutoHyphens w:val="0"/>
              <w:spacing w:before="40" w:after="40" w:line="220" w:lineRule="exact"/>
              <w:rPr>
                <w:sz w:val="18"/>
              </w:rPr>
            </w:pPr>
            <w:bookmarkStart w:id="10" w:name="_Hlk89959051"/>
            <w:r w:rsidRPr="00475868">
              <w:rPr>
                <w:sz w:val="18"/>
              </w:rPr>
              <w:t>D9</w:t>
            </w:r>
          </w:p>
        </w:tc>
        <w:tc>
          <w:tcPr>
            <w:tcW w:w="3910" w:type="dxa"/>
            <w:tcBorders>
              <w:bottom w:val="single" w:sz="4" w:space="0" w:color="auto"/>
            </w:tcBorders>
            <w:shd w:val="clear" w:color="auto" w:fill="auto"/>
            <w:vAlign w:val="bottom"/>
          </w:tcPr>
          <w:p w14:paraId="3F309E40" w14:textId="1D06D242" w:rsidR="00C0030C" w:rsidRPr="00475868" w:rsidRDefault="00C0030C" w:rsidP="00EB4673">
            <w:pPr>
              <w:suppressAutoHyphens w:val="0"/>
              <w:spacing w:before="40" w:after="40" w:line="220" w:lineRule="exact"/>
              <w:rPr>
                <w:sz w:val="18"/>
              </w:rPr>
            </w:pPr>
            <w:r w:rsidRPr="00475868">
              <w:rPr>
                <w:sz w:val="18"/>
              </w:rPr>
              <w:t>Personnes inclassables faute d’informations</w:t>
            </w:r>
          </w:p>
        </w:tc>
        <w:tc>
          <w:tcPr>
            <w:tcW w:w="728" w:type="dxa"/>
            <w:tcBorders>
              <w:bottom w:val="single" w:sz="4" w:space="0" w:color="auto"/>
            </w:tcBorders>
            <w:shd w:val="clear" w:color="auto" w:fill="auto"/>
            <w:vAlign w:val="bottom"/>
          </w:tcPr>
          <w:p w14:paraId="4733C628" w14:textId="77777777" w:rsidR="00C0030C" w:rsidRPr="00475868" w:rsidRDefault="00C0030C" w:rsidP="00EB4673">
            <w:pPr>
              <w:suppressAutoHyphens w:val="0"/>
              <w:spacing w:before="40" w:after="40" w:line="220" w:lineRule="exact"/>
              <w:jc w:val="right"/>
              <w:rPr>
                <w:sz w:val="18"/>
              </w:rPr>
            </w:pPr>
            <w:r w:rsidRPr="00475868">
              <w:rPr>
                <w:sz w:val="18"/>
              </w:rPr>
              <w:t>-</w:t>
            </w:r>
          </w:p>
        </w:tc>
        <w:tc>
          <w:tcPr>
            <w:tcW w:w="1071" w:type="dxa"/>
            <w:tcBorders>
              <w:bottom w:val="single" w:sz="4" w:space="0" w:color="auto"/>
            </w:tcBorders>
            <w:shd w:val="clear" w:color="auto" w:fill="auto"/>
            <w:vAlign w:val="bottom"/>
          </w:tcPr>
          <w:p w14:paraId="2845BC42" w14:textId="77777777" w:rsidR="00C0030C" w:rsidRPr="00475868" w:rsidRDefault="00C0030C" w:rsidP="00EB4673">
            <w:pPr>
              <w:suppressAutoHyphens w:val="0"/>
              <w:spacing w:before="40" w:after="40" w:line="220" w:lineRule="exact"/>
              <w:jc w:val="right"/>
              <w:rPr>
                <w:sz w:val="18"/>
              </w:rPr>
            </w:pPr>
            <w:r w:rsidRPr="00475868">
              <w:rPr>
                <w:sz w:val="18"/>
              </w:rPr>
              <w:t>327</w:t>
            </w:r>
          </w:p>
        </w:tc>
        <w:tc>
          <w:tcPr>
            <w:tcW w:w="849" w:type="dxa"/>
            <w:tcBorders>
              <w:bottom w:val="single" w:sz="4" w:space="0" w:color="auto"/>
            </w:tcBorders>
            <w:shd w:val="clear" w:color="auto" w:fill="auto"/>
            <w:vAlign w:val="bottom"/>
          </w:tcPr>
          <w:p w14:paraId="1653EDA5" w14:textId="77777777" w:rsidR="00C0030C" w:rsidRPr="00475868" w:rsidRDefault="00C0030C" w:rsidP="00EB4673">
            <w:pPr>
              <w:suppressAutoHyphens w:val="0"/>
              <w:spacing w:before="40" w:after="40" w:line="220" w:lineRule="exact"/>
              <w:jc w:val="right"/>
              <w:rPr>
                <w:sz w:val="18"/>
              </w:rPr>
            </w:pPr>
            <w:r w:rsidRPr="00475868">
              <w:rPr>
                <w:sz w:val="18"/>
              </w:rPr>
              <w:t>327</w:t>
            </w:r>
          </w:p>
        </w:tc>
      </w:tr>
      <w:bookmarkEnd w:id="10"/>
      <w:tr w:rsidR="00C0030C" w:rsidRPr="00475868" w14:paraId="011F7374" w14:textId="77777777" w:rsidTr="00EB4673">
        <w:tc>
          <w:tcPr>
            <w:tcW w:w="4722" w:type="dxa"/>
            <w:gridSpan w:val="2"/>
            <w:tcBorders>
              <w:top w:val="single" w:sz="4" w:space="0" w:color="auto"/>
              <w:bottom w:val="single" w:sz="12" w:space="0" w:color="auto"/>
            </w:tcBorders>
            <w:shd w:val="clear" w:color="auto" w:fill="auto"/>
          </w:tcPr>
          <w:p w14:paraId="59930815" w14:textId="77777777" w:rsidR="00C0030C" w:rsidRPr="00475868" w:rsidRDefault="00C0030C" w:rsidP="00EB4673">
            <w:pPr>
              <w:suppressAutoHyphens w:val="0"/>
              <w:spacing w:before="80" w:after="80" w:line="220" w:lineRule="exact"/>
              <w:ind w:left="283"/>
              <w:rPr>
                <w:b/>
                <w:bCs/>
                <w:sz w:val="18"/>
              </w:rPr>
            </w:pPr>
            <w:r w:rsidRPr="00475868">
              <w:rPr>
                <w:b/>
                <w:bCs/>
                <w:sz w:val="18"/>
              </w:rPr>
              <w:t>Total</w:t>
            </w:r>
          </w:p>
        </w:tc>
        <w:tc>
          <w:tcPr>
            <w:tcW w:w="728" w:type="dxa"/>
            <w:tcBorders>
              <w:top w:val="single" w:sz="4" w:space="0" w:color="auto"/>
              <w:bottom w:val="single" w:sz="12" w:space="0" w:color="auto"/>
            </w:tcBorders>
            <w:shd w:val="clear" w:color="auto" w:fill="auto"/>
            <w:vAlign w:val="bottom"/>
          </w:tcPr>
          <w:p w14:paraId="78A9E870" w14:textId="77777777" w:rsidR="00C0030C" w:rsidRPr="00475868" w:rsidRDefault="00C0030C" w:rsidP="00EB4673">
            <w:pPr>
              <w:suppressAutoHyphens w:val="0"/>
              <w:spacing w:before="80" w:after="80" w:line="220" w:lineRule="exact"/>
              <w:jc w:val="right"/>
              <w:rPr>
                <w:b/>
                <w:bCs/>
                <w:sz w:val="18"/>
              </w:rPr>
            </w:pPr>
            <w:r w:rsidRPr="00475868">
              <w:rPr>
                <w:b/>
                <w:bCs/>
                <w:sz w:val="18"/>
              </w:rPr>
              <w:t>1 383</w:t>
            </w:r>
          </w:p>
        </w:tc>
        <w:tc>
          <w:tcPr>
            <w:tcW w:w="1071" w:type="dxa"/>
            <w:tcBorders>
              <w:top w:val="single" w:sz="4" w:space="0" w:color="auto"/>
              <w:bottom w:val="single" w:sz="12" w:space="0" w:color="auto"/>
            </w:tcBorders>
            <w:shd w:val="clear" w:color="auto" w:fill="auto"/>
            <w:vAlign w:val="bottom"/>
          </w:tcPr>
          <w:p w14:paraId="29471696" w14:textId="77777777" w:rsidR="00C0030C" w:rsidRPr="00475868" w:rsidRDefault="00C0030C" w:rsidP="00EB4673">
            <w:pPr>
              <w:suppressAutoHyphens w:val="0"/>
              <w:spacing w:before="80" w:after="80" w:line="220" w:lineRule="exact"/>
              <w:jc w:val="right"/>
              <w:rPr>
                <w:b/>
                <w:bCs/>
                <w:sz w:val="18"/>
              </w:rPr>
            </w:pPr>
            <w:r w:rsidRPr="00475868">
              <w:rPr>
                <w:b/>
                <w:bCs/>
                <w:sz w:val="18"/>
              </w:rPr>
              <w:t>847</w:t>
            </w:r>
          </w:p>
        </w:tc>
        <w:tc>
          <w:tcPr>
            <w:tcW w:w="849" w:type="dxa"/>
            <w:tcBorders>
              <w:top w:val="single" w:sz="4" w:space="0" w:color="auto"/>
              <w:bottom w:val="single" w:sz="12" w:space="0" w:color="auto"/>
            </w:tcBorders>
            <w:shd w:val="clear" w:color="auto" w:fill="auto"/>
            <w:vAlign w:val="bottom"/>
          </w:tcPr>
          <w:p w14:paraId="273A42BF" w14:textId="77777777" w:rsidR="00C0030C" w:rsidRPr="00475868" w:rsidRDefault="00C0030C" w:rsidP="00EB4673">
            <w:pPr>
              <w:suppressAutoHyphens w:val="0"/>
              <w:spacing w:before="80" w:after="80" w:line="220" w:lineRule="exact"/>
              <w:jc w:val="right"/>
              <w:rPr>
                <w:b/>
                <w:bCs/>
                <w:sz w:val="18"/>
              </w:rPr>
            </w:pPr>
            <w:r w:rsidRPr="00475868">
              <w:rPr>
                <w:b/>
                <w:bCs/>
                <w:sz w:val="18"/>
              </w:rPr>
              <w:t>2 230</w:t>
            </w:r>
          </w:p>
        </w:tc>
      </w:tr>
    </w:tbl>
    <w:p w14:paraId="2E9CE95B" w14:textId="203BB7F7" w:rsidR="00C0030C" w:rsidRPr="00475868" w:rsidRDefault="00C0030C" w:rsidP="00617581">
      <w:pPr>
        <w:pStyle w:val="SingleTxtG"/>
        <w:spacing w:before="120" w:after="240"/>
        <w:ind w:firstLine="170"/>
        <w:jc w:val="left"/>
        <w:rPr>
          <w:sz w:val="18"/>
          <w:szCs w:val="18"/>
        </w:rPr>
      </w:pPr>
      <w:r w:rsidRPr="00475868">
        <w:rPr>
          <w:i/>
          <w:iCs/>
          <w:sz w:val="18"/>
          <w:szCs w:val="18"/>
        </w:rPr>
        <w:t>Source</w:t>
      </w:r>
      <w:r w:rsidRPr="00475868">
        <w:rPr>
          <w:sz w:val="18"/>
          <w:szCs w:val="18"/>
        </w:rPr>
        <w:t xml:space="preserve"> : DGBPD (Rapport </w:t>
      </w:r>
      <w:r w:rsidR="00396923" w:rsidRPr="00475868">
        <w:rPr>
          <w:rFonts w:eastAsia="MS Mincho"/>
          <w:sz w:val="18"/>
          <w:szCs w:val="22"/>
        </w:rPr>
        <w:t>n</w:t>
      </w:r>
      <w:r w:rsidR="00396923" w:rsidRPr="00475868">
        <w:rPr>
          <w:rFonts w:eastAsia="MS Mincho"/>
          <w:sz w:val="18"/>
          <w:szCs w:val="22"/>
          <w:vertAlign w:val="superscript"/>
        </w:rPr>
        <w:t>o</w:t>
      </w:r>
      <w:r w:rsidR="00396923" w:rsidRPr="00475868">
        <w:rPr>
          <w:sz w:val="18"/>
          <w:szCs w:val="18"/>
        </w:rPr>
        <w:t> </w:t>
      </w:r>
      <w:r w:rsidRPr="00475868">
        <w:rPr>
          <w:sz w:val="18"/>
          <w:szCs w:val="18"/>
        </w:rPr>
        <w:t>077-2021/DRIF en date du 27</w:t>
      </w:r>
      <w:r w:rsidR="00396923" w:rsidRPr="00475868">
        <w:rPr>
          <w:sz w:val="18"/>
          <w:szCs w:val="18"/>
        </w:rPr>
        <w:t> </w:t>
      </w:r>
      <w:r w:rsidRPr="00475868">
        <w:rPr>
          <w:sz w:val="18"/>
          <w:szCs w:val="18"/>
        </w:rPr>
        <w:t>août 2021).</w:t>
      </w:r>
    </w:p>
    <w:p w14:paraId="54B11516" w14:textId="67BFBDBB" w:rsidR="00C0030C" w:rsidRPr="00475868" w:rsidRDefault="00C0030C" w:rsidP="00C0030C">
      <w:pPr>
        <w:pStyle w:val="SingleTxtG"/>
      </w:pPr>
      <w:r w:rsidRPr="00475868">
        <w:t>33.</w:t>
      </w:r>
      <w:r w:rsidRPr="00475868">
        <w:tab/>
        <w:t xml:space="preserve">Le ministère public et la DGBPD sont les institutions responsables des recherches. L’intervention de l’un et de l’autre s’inscrit dans leur cadre réglementaire respectif ; néanmoins, depuis l’entrée en vigueur de la loi </w:t>
      </w:r>
      <w:r w:rsidR="00617581" w:rsidRPr="00475868">
        <w:rPr>
          <w:rFonts w:eastAsia="MS Mincho"/>
          <w:szCs w:val="22"/>
        </w:rPr>
        <w:t>n</w:t>
      </w:r>
      <w:r w:rsidR="00617581" w:rsidRPr="00475868">
        <w:rPr>
          <w:rFonts w:eastAsia="MS Mincho"/>
          <w:szCs w:val="22"/>
          <w:vertAlign w:val="superscript"/>
        </w:rPr>
        <w:t>o</w:t>
      </w:r>
      <w:r w:rsidR="00617581" w:rsidRPr="00475868">
        <w:t> </w:t>
      </w:r>
      <w:r w:rsidRPr="00475868">
        <w:t>30470, des mécanismes ont été mis en place pour que ces deux institutions procèdent à un travail coordonné et complémentaire</w:t>
      </w:r>
      <w:r w:rsidRPr="00475868">
        <w:rPr>
          <w:rStyle w:val="Appelnotedebasdep"/>
        </w:rPr>
        <w:footnoteReference w:id="69"/>
      </w:r>
      <w:r w:rsidRPr="00475868">
        <w:t>.</w:t>
      </w:r>
    </w:p>
    <w:p w14:paraId="2882C7D8" w14:textId="36F198A1" w:rsidR="00C0030C" w:rsidRPr="00475868" w:rsidRDefault="00C0030C" w:rsidP="00C0030C">
      <w:pPr>
        <w:pStyle w:val="SingleTxtG"/>
      </w:pPr>
      <w:r w:rsidRPr="00475868">
        <w:t>34.</w:t>
      </w:r>
      <w:r w:rsidRPr="00475868">
        <w:tab/>
        <w:t>À cette fin, en février 2020, le ministère public et le Ministère de la justice et des droits humains</w:t>
      </w:r>
      <w:r w:rsidRPr="00475868">
        <w:rPr>
          <w:rStyle w:val="Appelnotedebasdep"/>
        </w:rPr>
        <w:footnoteReference w:id="70"/>
      </w:r>
      <w:r w:rsidRPr="00475868">
        <w:t xml:space="preserve"> ont signé un accord de coopération interinstitutionnelle</w:t>
      </w:r>
      <w:r w:rsidRPr="00475868">
        <w:rPr>
          <w:rStyle w:val="Appelnotedebasdep"/>
        </w:rPr>
        <w:footnoteReference w:id="71"/>
      </w:r>
      <w:r w:rsidRPr="00475868">
        <w:t xml:space="preserve"> visant la coordination de l’échange d’informations, conformément à la loi </w:t>
      </w:r>
      <w:r w:rsidR="00396923" w:rsidRPr="00475868">
        <w:rPr>
          <w:rFonts w:eastAsia="MS Mincho"/>
          <w:szCs w:val="22"/>
        </w:rPr>
        <w:t>n</w:t>
      </w:r>
      <w:r w:rsidR="00396923" w:rsidRPr="00475868">
        <w:rPr>
          <w:rFonts w:eastAsia="MS Mincho"/>
          <w:szCs w:val="22"/>
          <w:vertAlign w:val="superscript"/>
        </w:rPr>
        <w:t>o</w:t>
      </w:r>
      <w:r w:rsidR="00396923" w:rsidRPr="00475868">
        <w:t> </w:t>
      </w:r>
      <w:r w:rsidRPr="00475868">
        <w:t>30470. Les deux entités ont ainsi pris différents engagements</w:t>
      </w:r>
      <w:r w:rsidRPr="00475868">
        <w:rPr>
          <w:rStyle w:val="Appelnotedebasdep"/>
        </w:rPr>
        <w:footnoteReference w:id="72"/>
      </w:r>
      <w:r w:rsidRPr="00475868">
        <w:t>. Dans ce cadre, la DGBPD a géré les ressources disponibles pour identifier une centaine d’ossements humains conservés à l’Institut de médecine légale. En janvier 2021, on a créé une commission chargée de concevoir une stratégie d’identification de quelque 1 100 restes de squelettes, aux travaux de laquelle participe le Comité international de la Croix-Rouge (CICR)</w:t>
      </w:r>
      <w:r w:rsidRPr="00475868">
        <w:rPr>
          <w:rStyle w:val="Appelnotedebasdep"/>
        </w:rPr>
        <w:footnoteReference w:id="73"/>
      </w:r>
      <w:r w:rsidRPr="00475868">
        <w:t>.</w:t>
      </w:r>
    </w:p>
    <w:p w14:paraId="3C397958" w14:textId="41DE9B35" w:rsidR="00C0030C" w:rsidRPr="00475868" w:rsidRDefault="00C0030C" w:rsidP="00C0030C">
      <w:pPr>
        <w:pStyle w:val="SingleTxtG"/>
      </w:pPr>
      <w:r w:rsidRPr="00475868">
        <w:t>35.</w:t>
      </w:r>
      <w:r w:rsidRPr="00475868">
        <w:tab/>
        <w:t>Selon la réglementation en vigueur, il incombe à la DGBPD d’associer les proches à la recherche, dans une optique humanitaire. Afin de respecter cet engagement, les actions suivantes sont mises en œuvre</w:t>
      </w:r>
      <w:r w:rsidRPr="00475868">
        <w:rPr>
          <w:rStyle w:val="Appelnotedebasdep"/>
        </w:rPr>
        <w:footnoteReference w:id="74"/>
      </w:r>
      <w:r w:rsidRPr="00475868">
        <w:t> :</w:t>
      </w:r>
    </w:p>
    <w:p w14:paraId="03F0F093" w14:textId="2169A722" w:rsidR="00C0030C" w:rsidRPr="00475868" w:rsidRDefault="00C0030C" w:rsidP="00C0030C">
      <w:pPr>
        <w:pStyle w:val="Bullet1G"/>
        <w:numPr>
          <w:ilvl w:val="0"/>
          <w:numId w:val="1"/>
        </w:numPr>
      </w:pPr>
      <w:r w:rsidRPr="00475868">
        <w:t xml:space="preserve">L’équipe professionnelle de la DGBPD apporte un accompagnement </w:t>
      </w:r>
      <w:proofErr w:type="spellStart"/>
      <w:r w:rsidRPr="00475868">
        <w:t>psychosocial</w:t>
      </w:r>
      <w:proofErr w:type="spellEnd"/>
      <w:r w:rsidRPr="00475868">
        <w:t xml:space="preserve"> aux proches des disparus qui le souhaitent, au moyen de séances régulières au cours desquelles ils travaillent sur les attentes et les sentiments qui surgissent pendant le processus. Lorsqu’elle s’avise qu’une personne a besoin des soins thérapeutiques, elle transmet son cas à un spécialiste du réseau du Ministère de la santé. La DGBPD s’emploie à renforcer les capacités des personnels de santé, afin qu’ils participent de manière opportune à cet accompagnement</w:t>
      </w:r>
      <w:r w:rsidRPr="00475868">
        <w:rPr>
          <w:rStyle w:val="Appelnotedebasdep"/>
        </w:rPr>
        <w:footnoteReference w:id="75"/>
      </w:r>
      <w:r w:rsidR="00617581" w:rsidRPr="00475868">
        <w:t> ;</w:t>
      </w:r>
    </w:p>
    <w:p w14:paraId="4D49F571" w14:textId="1CAE896F" w:rsidR="00C0030C" w:rsidRPr="00475868" w:rsidRDefault="00C0030C" w:rsidP="00C0030C">
      <w:pPr>
        <w:pStyle w:val="Bullet1G"/>
        <w:numPr>
          <w:ilvl w:val="0"/>
          <w:numId w:val="1"/>
        </w:numPr>
      </w:pPr>
      <w:r w:rsidRPr="00475868">
        <w:t>La DGBPD apporte un appui matériel et logistique aux proches pour qu’ils participent à l’enquête (vérification des lieux de sépulture, exhumations, exposition des vêtements), ainsi qu’aux cérémonies de restitution des restes. L’appui comprend des cérémonies de funérailles dans le respect de la dignité, des croyances et des coutumes des familles</w:t>
      </w:r>
      <w:r w:rsidRPr="00475868">
        <w:rPr>
          <w:rStyle w:val="Appelnotedebasdep"/>
        </w:rPr>
        <w:footnoteReference w:id="76"/>
      </w:r>
      <w:r w:rsidR="00617581" w:rsidRPr="00475868">
        <w:t> ;</w:t>
      </w:r>
    </w:p>
    <w:p w14:paraId="2959D92D" w14:textId="442538FC" w:rsidR="00C0030C" w:rsidRPr="00475868" w:rsidRDefault="00C0030C" w:rsidP="00C0030C">
      <w:pPr>
        <w:pStyle w:val="Bullet1G"/>
        <w:numPr>
          <w:ilvl w:val="0"/>
          <w:numId w:val="1"/>
        </w:numPr>
      </w:pPr>
      <w:r w:rsidRPr="00475868">
        <w:t>Tout au long du processus, des réunions d’information sont organisées avec les proches, au cours desquelles l’avancement de l’enquête est présenté, les doutes et les préoccupations qu’expriment les intéressés sont pris en compte et des informations sont fournies sur les démarches suivantes à entreprendre</w:t>
      </w:r>
      <w:r w:rsidRPr="00475868">
        <w:rPr>
          <w:rStyle w:val="Appelnotedebasdep"/>
        </w:rPr>
        <w:footnoteReference w:id="77"/>
      </w:r>
      <w:r w:rsidR="00617581" w:rsidRPr="00475868">
        <w:t> ;</w:t>
      </w:r>
    </w:p>
    <w:p w14:paraId="76ED671D" w14:textId="6B0A6258" w:rsidR="00C0030C" w:rsidRPr="00475868" w:rsidRDefault="00C0030C" w:rsidP="00C0030C">
      <w:pPr>
        <w:pStyle w:val="Bullet1G"/>
        <w:numPr>
          <w:ilvl w:val="0"/>
          <w:numId w:val="1"/>
        </w:numPr>
      </w:pPr>
      <w:r w:rsidRPr="00475868">
        <w:t xml:space="preserve">Le Ministère de la justice et des droits humains alloue des ressources budgétaires annuelles à la DGBPD. Ce budget est utilisé pour mener des enquêtes humanitaires et apporter un appui </w:t>
      </w:r>
      <w:proofErr w:type="spellStart"/>
      <w:r w:rsidRPr="00475868">
        <w:t>psychosocial</w:t>
      </w:r>
      <w:proofErr w:type="spellEnd"/>
      <w:r w:rsidRPr="00475868">
        <w:t>, matériel et logistique aux familles, selon le programme de travail annuel</w:t>
      </w:r>
      <w:r w:rsidRPr="00475868">
        <w:rPr>
          <w:rStyle w:val="Appelnotedebasdep"/>
        </w:rPr>
        <w:footnoteReference w:id="78"/>
      </w:r>
      <w:r w:rsidR="00617581" w:rsidRPr="00475868">
        <w:t> ;</w:t>
      </w:r>
    </w:p>
    <w:p w14:paraId="0C99C697" w14:textId="7846B276" w:rsidR="00C0030C" w:rsidRPr="00475868" w:rsidRDefault="00C0030C" w:rsidP="00C0030C">
      <w:pPr>
        <w:pStyle w:val="Bullet1G"/>
        <w:numPr>
          <w:ilvl w:val="0"/>
          <w:numId w:val="1"/>
        </w:numPr>
      </w:pPr>
      <w:r w:rsidRPr="00475868">
        <w:t>En 2017, 394 275,00 soles avaient été affectés comme budget à la DGBPD ; en 2021, ce budget a atteint 2 640 512,00 soles</w:t>
      </w:r>
      <w:r w:rsidRPr="00475868">
        <w:rPr>
          <w:rStyle w:val="Appelnotedebasdep"/>
        </w:rPr>
        <w:footnoteReference w:id="79"/>
      </w:r>
      <w:r w:rsidRPr="00475868">
        <w:t>, soit une augmentation d’environ 600</w:t>
      </w:r>
      <w:r w:rsidR="00617581" w:rsidRPr="00475868">
        <w:t> </w:t>
      </w:r>
      <w:r w:rsidRPr="00475868">
        <w:t>% en cinq</w:t>
      </w:r>
      <w:r w:rsidR="00E42FE1" w:rsidRPr="00475868">
        <w:t> </w:t>
      </w:r>
      <w:r w:rsidRPr="00475868">
        <w:t>ans.</w:t>
      </w:r>
    </w:p>
    <w:p w14:paraId="0264367F" w14:textId="292C266C" w:rsidR="00C0030C" w:rsidRPr="00475868" w:rsidRDefault="00C0030C" w:rsidP="00C0030C">
      <w:pPr>
        <w:pStyle w:val="SingleTxtG"/>
      </w:pPr>
      <w:r w:rsidRPr="00475868">
        <w:t>36.</w:t>
      </w:r>
      <w:r w:rsidRPr="00475868">
        <w:tab/>
        <w:t>D’autre part, même si, en raison de la pandémie, les recherches que mène la DGBPD ont été entravées (notamment le travail sur le terrain ou la participation des familles aux recherches), les services n’ont pas été interrompus</w:t>
      </w:r>
      <w:r w:rsidRPr="00475868">
        <w:rPr>
          <w:rStyle w:val="Appelnotedebasdep"/>
        </w:rPr>
        <w:footnoteReference w:id="80"/>
      </w:r>
      <w:r w:rsidRPr="00475868">
        <w:t> :</w:t>
      </w:r>
    </w:p>
    <w:p w14:paraId="598B5CFC" w14:textId="40494478" w:rsidR="00C0030C" w:rsidRPr="00475868" w:rsidRDefault="00C0030C" w:rsidP="00C0030C">
      <w:pPr>
        <w:pStyle w:val="Bullet1G"/>
        <w:numPr>
          <w:ilvl w:val="0"/>
          <w:numId w:val="1"/>
        </w:numPr>
      </w:pPr>
      <w:r w:rsidRPr="00475868">
        <w:t>Du 16</w:t>
      </w:r>
      <w:r w:rsidR="008B5F43" w:rsidRPr="00475868">
        <w:t> </w:t>
      </w:r>
      <w:r w:rsidRPr="00475868">
        <w:t>mars 2020 au 30</w:t>
      </w:r>
      <w:r w:rsidR="008B5F43" w:rsidRPr="00475868">
        <w:t> </w:t>
      </w:r>
      <w:r w:rsidRPr="00475868">
        <w:t xml:space="preserve">août 2021, 1 414 proches de disparus ont été assistés, soit un total de 5 810 séances d’accompagnement </w:t>
      </w:r>
      <w:proofErr w:type="spellStart"/>
      <w:r w:rsidRPr="00475868">
        <w:t>psychosocial</w:t>
      </w:r>
      <w:proofErr w:type="spellEnd"/>
      <w:r w:rsidRPr="00475868">
        <w:t xml:space="preserve"> à distance via des </w:t>
      </w:r>
      <w:proofErr w:type="spellStart"/>
      <w:r w:rsidRPr="00475868">
        <w:t>plateformes</w:t>
      </w:r>
      <w:proofErr w:type="spellEnd"/>
      <w:r w:rsidRPr="00475868">
        <w:t xml:space="preserve"> virtuelles ou une assistance téléphonique, au début, puis en présentiel, dans le respect des protocoles de sécurité. Dans ce cadre, un appui matériel et logistique a été apporté à un total de 136 proches de 68 disparus</w:t>
      </w:r>
      <w:r w:rsidRPr="00475868">
        <w:rPr>
          <w:rStyle w:val="Appelnotedebasdep"/>
        </w:rPr>
        <w:footnoteReference w:id="81"/>
      </w:r>
      <w:r w:rsidRPr="00475868">
        <w:t> ;</w:t>
      </w:r>
    </w:p>
    <w:p w14:paraId="527B07E4" w14:textId="2FB615F8" w:rsidR="00C0030C" w:rsidRPr="00475868" w:rsidRDefault="00C0030C" w:rsidP="00C0030C">
      <w:pPr>
        <w:pStyle w:val="Bullet1G"/>
        <w:numPr>
          <w:ilvl w:val="0"/>
          <w:numId w:val="1"/>
        </w:numPr>
      </w:pPr>
      <w:r w:rsidRPr="00475868">
        <w:t>78 ateliers de diffusion en ligne ont été organisés en espagnol et en quechua ;</w:t>
      </w:r>
      <w:r w:rsidR="008B5F43" w:rsidRPr="00475868">
        <w:t xml:space="preserve"> </w:t>
      </w:r>
      <w:r w:rsidRPr="00475868">
        <w:t>1</w:t>
      </w:r>
      <w:r w:rsidR="008B5F43" w:rsidRPr="00475868">
        <w:t> </w:t>
      </w:r>
      <w:r w:rsidRPr="00475868">
        <w:t>483</w:t>
      </w:r>
      <w:r w:rsidR="008B5F43" w:rsidRPr="00475868">
        <w:t> </w:t>
      </w:r>
      <w:r w:rsidRPr="00475868">
        <w:t>personnes y ont participé</w:t>
      </w:r>
      <w:r w:rsidRPr="00475868">
        <w:rPr>
          <w:rStyle w:val="Appelnotedebasdep"/>
        </w:rPr>
        <w:footnoteReference w:id="82"/>
      </w:r>
      <w:r w:rsidRPr="00475868">
        <w:t> ;</w:t>
      </w:r>
    </w:p>
    <w:p w14:paraId="54EA863A" w14:textId="77777777" w:rsidR="00C0030C" w:rsidRPr="00475868" w:rsidRDefault="00C0030C" w:rsidP="00C0030C">
      <w:pPr>
        <w:pStyle w:val="Bullet1G"/>
        <w:numPr>
          <w:ilvl w:val="0"/>
          <w:numId w:val="1"/>
        </w:numPr>
      </w:pPr>
      <w:r w:rsidRPr="00475868">
        <w:t xml:space="preserve">Deux groupes de travail sur la recherche humanitaire de disparus ont été mis en place à </w:t>
      </w:r>
      <w:proofErr w:type="spellStart"/>
      <w:r w:rsidRPr="00475868">
        <w:t>Mazamari</w:t>
      </w:r>
      <w:proofErr w:type="spellEnd"/>
      <w:r w:rsidRPr="00475868">
        <w:t xml:space="preserve"> (Junín) et </w:t>
      </w:r>
      <w:proofErr w:type="spellStart"/>
      <w:r w:rsidRPr="00475868">
        <w:t>Tambo</w:t>
      </w:r>
      <w:proofErr w:type="spellEnd"/>
      <w:r w:rsidRPr="00475868">
        <w:t xml:space="preserve"> (Ayacucho) ; au cours de cette période, 13 groupes de travail ont été renforcés dans les différentes régions, et 62 séances ont eu lieu</w:t>
      </w:r>
      <w:r w:rsidRPr="00475868">
        <w:rPr>
          <w:rStyle w:val="Appelnotedebasdep"/>
        </w:rPr>
        <w:footnoteReference w:id="83"/>
      </w:r>
      <w:r w:rsidRPr="00475868">
        <w:t> ;</w:t>
      </w:r>
    </w:p>
    <w:p w14:paraId="442C3517" w14:textId="0E32997F" w:rsidR="00C0030C" w:rsidRPr="00475868" w:rsidRDefault="00C0030C" w:rsidP="00C0030C">
      <w:pPr>
        <w:pStyle w:val="Bullet1G"/>
        <w:numPr>
          <w:ilvl w:val="0"/>
          <w:numId w:val="1"/>
        </w:numPr>
      </w:pPr>
      <w:r w:rsidRPr="00475868">
        <w:t xml:space="preserve">Le renforcement des capacités sur l’accompagnement </w:t>
      </w:r>
      <w:proofErr w:type="spellStart"/>
      <w:r w:rsidRPr="00475868">
        <w:t>psychosocial</w:t>
      </w:r>
      <w:proofErr w:type="spellEnd"/>
      <w:r w:rsidRPr="00475868">
        <w:t xml:space="preserve"> des proches de disparus a été lancé pour le personnel de santé (13 séances par groupe) dans les régions d’Ayacucho, Huánuco, Junín, Lima, Huancavelica et Apurímac. À ce jour, quelque 41 personnes ont reçu un certificat et 120 autres sont en cours de formation. Le premier atelier de formation des agents d’accompagnement a été organisé pour l’Association nationale des familles de personnes assassinées, enlevées et disparues et 13 personnes ont reçu un certificat</w:t>
      </w:r>
      <w:r w:rsidRPr="00475868">
        <w:rPr>
          <w:rStyle w:val="Appelnotedebasdep"/>
        </w:rPr>
        <w:footnoteReference w:id="84"/>
      </w:r>
      <w:r w:rsidR="00617581" w:rsidRPr="00475868">
        <w:t> ;</w:t>
      </w:r>
    </w:p>
    <w:p w14:paraId="6EFD7AE9" w14:textId="763FA243" w:rsidR="00C0030C" w:rsidRPr="00475868" w:rsidRDefault="00C0030C" w:rsidP="00C0030C">
      <w:pPr>
        <w:pStyle w:val="Bullet1G"/>
        <w:numPr>
          <w:ilvl w:val="0"/>
          <w:numId w:val="1"/>
        </w:numPr>
      </w:pPr>
      <w:r w:rsidRPr="00475868">
        <w:t>En outre, du 16</w:t>
      </w:r>
      <w:r w:rsidR="008B5F43" w:rsidRPr="00475868">
        <w:t> </w:t>
      </w:r>
      <w:r w:rsidRPr="00475868">
        <w:t>mars 2020 à ce jour, 29 rapports d’enquête humanitaire concernant le sort de 68 personnes disparues ont été soumis</w:t>
      </w:r>
      <w:r w:rsidR="00617581" w:rsidRPr="00475868">
        <w:t> ;</w:t>
      </w:r>
    </w:p>
    <w:p w14:paraId="0D612865" w14:textId="45568A7C" w:rsidR="00C0030C" w:rsidRPr="00475868" w:rsidRDefault="00C0030C" w:rsidP="00C0030C">
      <w:pPr>
        <w:pStyle w:val="Bullet1G"/>
        <w:numPr>
          <w:ilvl w:val="0"/>
          <w:numId w:val="1"/>
        </w:numPr>
      </w:pPr>
      <w:r w:rsidRPr="00475868">
        <w:t>Un total de 36 procédures d’intervention conjointes ont été menées, au cours desquelles les ossements de 56 disparus ont été retrouvés. En outre, 290 profils génétiques de membres des familles et d’ossements récupérés ont été saisis dans la banque de données génétiques. On a continué de prélever des échantillons biologiques sur les proches disparus, en leur rendant visite à leur domicile, dans le respect des mesures de biosécurité voulues. Dans plusieurs réunions d’information organisées avec des familles, il a été rendu compte de l’avancement partiel de certains des dossiers faisant l’objet d’une enquête</w:t>
      </w:r>
      <w:r w:rsidRPr="00475868">
        <w:rPr>
          <w:rStyle w:val="Appelnotedebasdep"/>
        </w:rPr>
        <w:footnoteReference w:id="85"/>
      </w:r>
      <w:r w:rsidRPr="00475868">
        <w:t>.</w:t>
      </w:r>
    </w:p>
    <w:p w14:paraId="635765F5" w14:textId="7A284063" w:rsidR="00C0030C" w:rsidRPr="00475868" w:rsidRDefault="00617581" w:rsidP="00C0030C">
      <w:pPr>
        <w:pStyle w:val="H23G"/>
      </w:pPr>
      <w:r w:rsidRPr="00475868">
        <w:tab/>
      </w:r>
      <w:r w:rsidR="00C0030C" w:rsidRPr="00475868">
        <w:t>2.</w:t>
      </w:r>
      <w:r w:rsidR="00C0030C" w:rsidRPr="00475868">
        <w:tab/>
      </w:r>
      <w:r w:rsidR="00C0030C" w:rsidRPr="00475868">
        <w:rPr>
          <w:bCs/>
        </w:rPr>
        <w:t>Autres mesures normatives mises en œuvre</w:t>
      </w:r>
    </w:p>
    <w:p w14:paraId="2AEF5BD8" w14:textId="0419477F" w:rsidR="00C0030C" w:rsidRPr="00475868" w:rsidRDefault="00C0030C" w:rsidP="00C0030C">
      <w:pPr>
        <w:pStyle w:val="SingleTxtG"/>
      </w:pPr>
      <w:r w:rsidRPr="00475868">
        <w:t>37.</w:t>
      </w:r>
      <w:r w:rsidRPr="00475868">
        <w:tab/>
        <w:t xml:space="preserve">En 2018, le décret-loi </w:t>
      </w:r>
      <w:r w:rsidR="00617581" w:rsidRPr="00475868">
        <w:rPr>
          <w:rFonts w:eastAsia="MS Mincho"/>
          <w:szCs w:val="22"/>
        </w:rPr>
        <w:t>n</w:t>
      </w:r>
      <w:r w:rsidR="00617581" w:rsidRPr="00475868">
        <w:rPr>
          <w:rFonts w:eastAsia="MS Mincho"/>
          <w:szCs w:val="22"/>
          <w:vertAlign w:val="superscript"/>
        </w:rPr>
        <w:t>o</w:t>
      </w:r>
      <w:r w:rsidR="00617581" w:rsidRPr="00475868">
        <w:t> </w:t>
      </w:r>
      <w:r w:rsidRPr="00475868">
        <w:t>1428</w:t>
      </w:r>
      <w:r w:rsidRPr="00475868">
        <w:rPr>
          <w:rStyle w:val="Appelnotedebasdep"/>
        </w:rPr>
        <w:footnoteReference w:id="86"/>
      </w:r>
      <w:r w:rsidRPr="00475868">
        <w:t xml:space="preserve"> portant établissement de mesures concernant le traitement des affaires de disparition de personnes vulnérables a été adopté. Ces mesures sont immédiates pour ce qui concerne le suivi des plaintes, la diffusion, l’enquête, la recherche, la localisation et l’utilisation de mécanismes technologiques pour l’organisation et la diffusion de renseignements sur les cas de disparition de personnes. Ces mécanismes technologiques comprennent le système d’alerte informatisé, la page </w:t>
      </w:r>
      <w:r w:rsidR="0038590F" w:rsidRPr="00475868">
        <w:t>W</w:t>
      </w:r>
      <w:r w:rsidRPr="00475868">
        <w:t xml:space="preserve">eb des personnes disparues, le 114 </w:t>
      </w:r>
      <w:r w:rsidR="00617581" w:rsidRPr="00475868">
        <w:t>−</w:t>
      </w:r>
      <w:r w:rsidRPr="00475868">
        <w:t xml:space="preserve"> numéro d’appel unique de signalement de cas de disparition, et le système de messagerie d’alerte précoce d’urgence (SISMATE)</w:t>
      </w:r>
      <w:r w:rsidRPr="00475868">
        <w:rPr>
          <w:rStyle w:val="Appelnotedebasdep"/>
        </w:rPr>
        <w:footnoteReference w:id="87"/>
      </w:r>
      <w:r w:rsidRPr="00475868">
        <w:t>.</w:t>
      </w:r>
    </w:p>
    <w:p w14:paraId="3BA34044" w14:textId="7606461E" w:rsidR="00C0030C" w:rsidRPr="00475868" w:rsidRDefault="00C0030C" w:rsidP="00C0030C">
      <w:pPr>
        <w:pStyle w:val="SingleTxtG"/>
      </w:pPr>
      <w:r w:rsidRPr="00475868">
        <w:t>38.</w:t>
      </w:r>
      <w:r w:rsidRPr="00475868">
        <w:tab/>
        <w:t xml:space="preserve">À cet égard, par décret suprême (D.S. </w:t>
      </w:r>
      <w:r w:rsidR="00617581" w:rsidRPr="00475868">
        <w:rPr>
          <w:rFonts w:eastAsia="MS Mincho"/>
          <w:szCs w:val="22"/>
        </w:rPr>
        <w:t>n</w:t>
      </w:r>
      <w:r w:rsidR="00617581" w:rsidRPr="00475868">
        <w:rPr>
          <w:rFonts w:eastAsia="MS Mincho"/>
          <w:szCs w:val="22"/>
          <w:vertAlign w:val="superscript"/>
        </w:rPr>
        <w:t>o</w:t>
      </w:r>
      <w:r w:rsidR="00617581" w:rsidRPr="00475868">
        <w:t> </w:t>
      </w:r>
      <w:r w:rsidRPr="00475868">
        <w:t xml:space="preserve">003-2019-IN), le règlement du décret-loi </w:t>
      </w:r>
      <w:r w:rsidR="00617581" w:rsidRPr="00475868">
        <w:rPr>
          <w:rFonts w:eastAsia="MS Mincho"/>
          <w:szCs w:val="22"/>
        </w:rPr>
        <w:t>n</w:t>
      </w:r>
      <w:r w:rsidR="00617581" w:rsidRPr="00475868">
        <w:rPr>
          <w:rFonts w:eastAsia="MS Mincho"/>
          <w:szCs w:val="22"/>
          <w:vertAlign w:val="superscript"/>
        </w:rPr>
        <w:t>o</w:t>
      </w:r>
      <w:r w:rsidR="00617581" w:rsidRPr="00475868">
        <w:t> </w:t>
      </w:r>
      <w:r w:rsidRPr="00475868">
        <w:t>1428 portant mise en place de mesures relatives aux affaires de disparition de personnes vulnérables a été adopté</w:t>
      </w:r>
      <w:bookmarkStart w:id="11" w:name="_Hlk89848019"/>
      <w:r w:rsidRPr="00475868">
        <w:rPr>
          <w:rStyle w:val="Appelnotedebasdep"/>
        </w:rPr>
        <w:footnoteReference w:id="88"/>
      </w:r>
      <w:bookmarkEnd w:id="11"/>
      <w:r w:rsidRPr="00475868">
        <w:t>. Il a pour finalité</w:t>
      </w:r>
      <w:r w:rsidR="00857161" w:rsidRPr="00475868">
        <w:t> </w:t>
      </w:r>
      <w:r w:rsidRPr="00475868">
        <w:t xml:space="preserve">: </w:t>
      </w:r>
      <w:r w:rsidR="00617581" w:rsidRPr="00475868">
        <w:t>i</w:t>
      </w:r>
      <w:r w:rsidRPr="00475868">
        <w:t>) d’optimiser la procédure de traitement des signalements de disparition de personnes vulnérables et d’autres cas de disparition ; ii)</w:t>
      </w:r>
      <w:r w:rsidR="00857161" w:rsidRPr="00475868">
        <w:t> </w:t>
      </w:r>
      <w:r w:rsidRPr="00475868">
        <w:t>de</w:t>
      </w:r>
      <w:r w:rsidR="00857161" w:rsidRPr="00475868">
        <w:t> </w:t>
      </w:r>
      <w:r w:rsidRPr="00475868">
        <w:t>garantir l’immédiateté, l’impartialité et l’efficacité du traitement des plaintes et des actions de diffusion, d’enquête, de recherche et de localisation des disparus, dans le strict respect des droits humains des intéressés et des familles ; iii) de garantir une communication efficace entre le fonctionnaire ou l’agent public et la population intéressée lors du traitement des plaintes et des actions de diffusion, d’enquête, de recherche et de localisation des disparus</w:t>
      </w:r>
      <w:r w:rsidR="00857161" w:rsidRPr="00475868">
        <w:t> </w:t>
      </w:r>
      <w:r w:rsidRPr="00475868">
        <w:t>; iv) de promouvoir la coopération entre les différentes entités publiques et privées pour contribuer à la diffusion, à l’enquête, à la recherche et à la localisation des personnes vulnérables et autres cas de disparition.</w:t>
      </w:r>
    </w:p>
    <w:p w14:paraId="00E53F88" w14:textId="0F3457F4" w:rsidR="00C0030C" w:rsidRPr="00475868" w:rsidRDefault="00C0030C" w:rsidP="00C0030C">
      <w:pPr>
        <w:pStyle w:val="SingleTxtG"/>
      </w:pPr>
      <w:r w:rsidRPr="00475868">
        <w:t>39.</w:t>
      </w:r>
      <w:r w:rsidRPr="00475868">
        <w:tab/>
        <w:t xml:space="preserve">Par la suite, par le décret suprême </w:t>
      </w:r>
      <w:r w:rsidR="00617581" w:rsidRPr="00475868">
        <w:rPr>
          <w:rFonts w:eastAsia="MS Mincho"/>
          <w:szCs w:val="22"/>
        </w:rPr>
        <w:t>n</w:t>
      </w:r>
      <w:r w:rsidR="00617581" w:rsidRPr="00475868">
        <w:rPr>
          <w:rFonts w:eastAsia="MS Mincho"/>
          <w:szCs w:val="22"/>
          <w:vertAlign w:val="superscript"/>
        </w:rPr>
        <w:t>o</w:t>
      </w:r>
      <w:r w:rsidR="00617581" w:rsidRPr="00475868">
        <w:t> </w:t>
      </w:r>
      <w:r w:rsidRPr="00475868">
        <w:t>002-2020-IN</w:t>
      </w:r>
      <w:r w:rsidRPr="00475868">
        <w:rPr>
          <w:rStyle w:val="Appelnotedebasdep"/>
        </w:rPr>
        <w:footnoteReference w:id="89"/>
      </w:r>
      <w:r w:rsidRPr="00475868">
        <w:t xml:space="preserve">, le </w:t>
      </w:r>
      <w:r w:rsidR="00857161" w:rsidRPr="00475868">
        <w:t>P</w:t>
      </w:r>
      <w:r w:rsidRPr="00475868">
        <w:t>rotocole interinstitutionnel pour le traitement des cas de personnes disparues en situation de vulnérabilité et autres cas de disparition, a été adopté, l’objectif étant : i) de garantir l’immédiateté, l’objectivité et l’efficacité du traitement des plaintes et des mesures de diffusion, d’enquête, de recherche et de localisation des personnes disparues en situation de vulnérabilité et autres cas de disparition ; ii) de promouvoir la coopération entre les différentes entités publiques et privées contribuant à l’action concernant la disparition de personnes vulnérables et autres cas de disparition</w:t>
      </w:r>
      <w:r w:rsidR="00617581" w:rsidRPr="00475868">
        <w:t> ;</w:t>
      </w:r>
      <w:r w:rsidRPr="00475868">
        <w:t xml:space="preserve"> iii) de garantir l’efficacité, la continuité et la participation des secteurs public et privé dans l’activation de l’alerte d’urgence en cas de disparition d’enfants, d’adolescents et de femmes victimes de violence dans les situations de risque élevé ; iv) de faciliter le signalement des crimes liés à la disparition de personnes vulnérables et d’autres cas de disparition, afin de contribuer à la sécurité des citoyens.</w:t>
      </w:r>
    </w:p>
    <w:p w14:paraId="75C2FB2D" w14:textId="1FD1E319" w:rsidR="00C0030C" w:rsidRPr="00475868" w:rsidRDefault="00C0030C" w:rsidP="00C0030C">
      <w:pPr>
        <w:pStyle w:val="SingleTxtG"/>
      </w:pPr>
      <w:r w:rsidRPr="00475868">
        <w:t>40.</w:t>
      </w:r>
      <w:r w:rsidRPr="00475868">
        <w:tab/>
        <w:t>Le 15</w:t>
      </w:r>
      <w:r w:rsidR="00795CA7" w:rsidRPr="00475868">
        <w:t> </w:t>
      </w:r>
      <w:r w:rsidRPr="00475868">
        <w:t xml:space="preserve">octobre 2020, le système national de recherche des personnes disparues a été lancé (décret-loi </w:t>
      </w:r>
      <w:r w:rsidR="00795CA7" w:rsidRPr="00475868">
        <w:rPr>
          <w:rFonts w:eastAsia="MS Mincho"/>
          <w:szCs w:val="22"/>
        </w:rPr>
        <w:t>n</w:t>
      </w:r>
      <w:r w:rsidR="00795CA7" w:rsidRPr="00475868">
        <w:rPr>
          <w:rFonts w:eastAsia="MS Mincho"/>
          <w:szCs w:val="22"/>
          <w:vertAlign w:val="superscript"/>
        </w:rPr>
        <w:t>o</w:t>
      </w:r>
      <w:r w:rsidR="00795CA7" w:rsidRPr="00475868">
        <w:t> </w:t>
      </w:r>
      <w:r w:rsidRPr="00475868">
        <w:t>1428) et, depuis lors, il a été possible de résoudre près de 70</w:t>
      </w:r>
      <w:r w:rsidR="00795CA7" w:rsidRPr="00475868">
        <w:t> </w:t>
      </w:r>
      <w:r w:rsidRPr="00475868">
        <w:t xml:space="preserve">% des affaires de disparition de mineurs dans tout le pays, grâce à la technologie utilisée par la </w:t>
      </w:r>
      <w:r w:rsidR="00795CA7" w:rsidRPr="00475868">
        <w:t>P</w:t>
      </w:r>
      <w:r w:rsidRPr="00475868">
        <w:t>olice nationale du Pérou</w:t>
      </w:r>
      <w:r w:rsidRPr="00475868">
        <w:rPr>
          <w:rStyle w:val="Appelnotedebasdep"/>
        </w:rPr>
        <w:footnoteReference w:id="90"/>
      </w:r>
      <w:r w:rsidRPr="00475868">
        <w:t>.</w:t>
      </w:r>
    </w:p>
    <w:p w14:paraId="542AE515" w14:textId="3ADB5E1F" w:rsidR="00C0030C" w:rsidRPr="00475868" w:rsidRDefault="00617581" w:rsidP="00C0030C">
      <w:pPr>
        <w:pStyle w:val="HChG"/>
      </w:pPr>
      <w:bookmarkStart w:id="12" w:name="_Toc81387485"/>
      <w:r w:rsidRPr="00475868">
        <w:tab/>
      </w:r>
      <w:r w:rsidR="00C0030C" w:rsidRPr="00475868">
        <w:t>III.</w:t>
      </w:r>
      <w:r w:rsidR="00C0030C" w:rsidRPr="00475868">
        <w:tab/>
      </w:r>
      <w:r w:rsidR="00C0030C" w:rsidRPr="00475868">
        <w:rPr>
          <w:bCs/>
        </w:rPr>
        <w:t>Conclusion</w:t>
      </w:r>
      <w:bookmarkEnd w:id="12"/>
    </w:p>
    <w:p w14:paraId="0CA3460D" w14:textId="7D5AD84E" w:rsidR="00795CA7" w:rsidRPr="00475868" w:rsidRDefault="00C0030C" w:rsidP="00C0030C">
      <w:pPr>
        <w:pStyle w:val="SingleTxtG"/>
      </w:pPr>
      <w:r w:rsidRPr="00475868">
        <w:t>41.</w:t>
      </w:r>
      <w:r w:rsidRPr="00475868">
        <w:tab/>
        <w:t>L’État péruvien rend compte des mesures prises pour se conformer aux dispositions de la Convention et réaffirme son engagement à favoriser un environnement dans lequel des réponses sont apportées aux familles des personnes disparues pendant la période de violence 1980-2000. Cet engagement est attesté par le PNBPD à l’horizon 2030, dont la mise en œuvre est multisectorielle.</w:t>
      </w:r>
    </w:p>
    <w:p w14:paraId="212931AF" w14:textId="77777777" w:rsidR="00795CA7" w:rsidRPr="00475868" w:rsidRDefault="00795CA7">
      <w:pPr>
        <w:suppressAutoHyphens w:val="0"/>
        <w:kinsoku/>
        <w:overflowPunct/>
        <w:autoSpaceDE/>
        <w:autoSpaceDN/>
        <w:adjustRightInd/>
        <w:snapToGrid/>
        <w:spacing w:after="200" w:line="276" w:lineRule="auto"/>
      </w:pPr>
      <w:r w:rsidRPr="00475868">
        <w:br w:type="page"/>
      </w:r>
    </w:p>
    <w:p w14:paraId="4D7D539A" w14:textId="77777777" w:rsidR="00C0030C" w:rsidRPr="00475868" w:rsidRDefault="00C0030C" w:rsidP="00C0030C">
      <w:pPr>
        <w:pStyle w:val="HChG"/>
      </w:pPr>
      <w:r w:rsidRPr="00475868">
        <w:rPr>
          <w:bCs/>
        </w:rPr>
        <w:t>Annexe</w:t>
      </w:r>
    </w:p>
    <w:p w14:paraId="5BFD286A" w14:textId="77777777" w:rsidR="00C0030C" w:rsidRPr="00475868" w:rsidRDefault="00C0030C" w:rsidP="00C0030C">
      <w:pPr>
        <w:pStyle w:val="HChG"/>
      </w:pPr>
      <w:r w:rsidRPr="00475868">
        <w:tab/>
      </w:r>
      <w:r w:rsidRPr="00475868">
        <w:tab/>
      </w:r>
      <w:r w:rsidRPr="00475868">
        <w:rPr>
          <w:bCs/>
        </w:rPr>
        <w:t>Sigles et abréviations</w:t>
      </w:r>
    </w:p>
    <w:tbl>
      <w:tblPr>
        <w:tblW w:w="7370" w:type="dxa"/>
        <w:tblInd w:w="1134" w:type="dxa"/>
        <w:tblLayout w:type="fixed"/>
        <w:tblCellMar>
          <w:left w:w="0" w:type="dxa"/>
          <w:right w:w="0" w:type="dxa"/>
        </w:tblCellMar>
        <w:tblLook w:val="0400" w:firstRow="0" w:lastRow="0" w:firstColumn="0" w:lastColumn="0" w:noHBand="0" w:noVBand="1"/>
      </w:tblPr>
      <w:tblGrid>
        <w:gridCol w:w="1792"/>
        <w:gridCol w:w="5578"/>
      </w:tblGrid>
      <w:tr w:rsidR="00C0030C" w:rsidRPr="00475868" w14:paraId="4820C0A7" w14:textId="77777777" w:rsidTr="00AF2FCE">
        <w:tc>
          <w:tcPr>
            <w:tcW w:w="1792" w:type="dxa"/>
            <w:shd w:val="clear" w:color="auto" w:fill="auto"/>
          </w:tcPr>
          <w:p w14:paraId="1A0452D0" w14:textId="77777777" w:rsidR="00C0030C" w:rsidRPr="00475868" w:rsidRDefault="00C0030C" w:rsidP="00C0030C">
            <w:pPr>
              <w:spacing w:before="40" w:after="120"/>
              <w:ind w:right="113"/>
            </w:pPr>
            <w:bookmarkStart w:id="13" w:name="_Hlk89958031"/>
            <w:r w:rsidRPr="00475868">
              <w:t>CED</w:t>
            </w:r>
          </w:p>
        </w:tc>
        <w:tc>
          <w:tcPr>
            <w:tcW w:w="5578" w:type="dxa"/>
            <w:shd w:val="clear" w:color="auto" w:fill="auto"/>
          </w:tcPr>
          <w:p w14:paraId="32E9A30C" w14:textId="77777777" w:rsidR="00C0030C" w:rsidRPr="00475868" w:rsidRDefault="00C0030C" w:rsidP="00AF2FCE">
            <w:pPr>
              <w:spacing w:before="40" w:after="120"/>
            </w:pPr>
            <w:r w:rsidRPr="00475868">
              <w:t>Comité des disparitions forcées</w:t>
            </w:r>
          </w:p>
        </w:tc>
      </w:tr>
      <w:tr w:rsidR="00C0030C" w:rsidRPr="00475868" w14:paraId="38170858" w14:textId="77777777" w:rsidTr="00AF2FCE">
        <w:tc>
          <w:tcPr>
            <w:tcW w:w="1792" w:type="dxa"/>
            <w:shd w:val="clear" w:color="auto" w:fill="auto"/>
          </w:tcPr>
          <w:p w14:paraId="2B8B9079" w14:textId="77777777" w:rsidR="00C0030C" w:rsidRPr="00475868" w:rsidRDefault="00C0030C" w:rsidP="00C0030C">
            <w:pPr>
              <w:spacing w:before="40" w:after="120"/>
              <w:ind w:right="113"/>
            </w:pPr>
            <w:r w:rsidRPr="00475868">
              <w:t>CMAN</w:t>
            </w:r>
          </w:p>
        </w:tc>
        <w:tc>
          <w:tcPr>
            <w:tcW w:w="5578" w:type="dxa"/>
            <w:shd w:val="clear" w:color="auto" w:fill="auto"/>
          </w:tcPr>
          <w:p w14:paraId="24324893" w14:textId="77777777" w:rsidR="00C0030C" w:rsidRPr="00475868" w:rsidRDefault="00C0030C" w:rsidP="00AF2FCE">
            <w:pPr>
              <w:spacing w:before="40" w:after="120"/>
            </w:pPr>
            <w:r w:rsidRPr="00475868">
              <w:t>Commission multisectorielle de haut niveau</w:t>
            </w:r>
          </w:p>
        </w:tc>
      </w:tr>
      <w:tr w:rsidR="00C0030C" w:rsidRPr="00475868" w14:paraId="4C5F1761" w14:textId="77777777" w:rsidTr="00AF2FCE">
        <w:tc>
          <w:tcPr>
            <w:tcW w:w="1792" w:type="dxa"/>
            <w:shd w:val="clear" w:color="auto" w:fill="auto"/>
          </w:tcPr>
          <w:p w14:paraId="66A7E2BF" w14:textId="77777777" w:rsidR="00C0030C" w:rsidRPr="00475868" w:rsidRDefault="00C0030C" w:rsidP="00C0030C">
            <w:pPr>
              <w:spacing w:before="40" w:after="120"/>
              <w:ind w:right="113"/>
            </w:pPr>
            <w:r w:rsidRPr="00475868">
              <w:t>Congrès</w:t>
            </w:r>
          </w:p>
        </w:tc>
        <w:tc>
          <w:tcPr>
            <w:tcW w:w="5578" w:type="dxa"/>
            <w:shd w:val="clear" w:color="auto" w:fill="auto"/>
          </w:tcPr>
          <w:p w14:paraId="51B29DDD" w14:textId="77777777" w:rsidR="00C0030C" w:rsidRPr="00475868" w:rsidRDefault="00C0030C" w:rsidP="00AF2FCE">
            <w:pPr>
              <w:spacing w:before="40" w:after="120"/>
            </w:pPr>
            <w:r w:rsidRPr="00475868">
              <w:t>Congrès de la République</w:t>
            </w:r>
          </w:p>
        </w:tc>
      </w:tr>
      <w:tr w:rsidR="00C0030C" w:rsidRPr="00475868" w14:paraId="4DD24D99" w14:textId="77777777" w:rsidTr="00AF2FCE">
        <w:tc>
          <w:tcPr>
            <w:tcW w:w="1792" w:type="dxa"/>
            <w:shd w:val="clear" w:color="auto" w:fill="auto"/>
          </w:tcPr>
          <w:p w14:paraId="7710B3E2" w14:textId="77777777" w:rsidR="00C0030C" w:rsidRPr="00475868" w:rsidRDefault="00C0030C" w:rsidP="00C0030C">
            <w:pPr>
              <w:spacing w:before="40" w:after="120"/>
              <w:ind w:right="113"/>
            </w:pPr>
            <w:r w:rsidRPr="00475868">
              <w:t>CR</w:t>
            </w:r>
          </w:p>
        </w:tc>
        <w:tc>
          <w:tcPr>
            <w:tcW w:w="5578" w:type="dxa"/>
            <w:shd w:val="clear" w:color="auto" w:fill="auto"/>
          </w:tcPr>
          <w:p w14:paraId="56D1E886" w14:textId="77777777" w:rsidR="00C0030C" w:rsidRPr="00475868" w:rsidRDefault="00C0030C" w:rsidP="00AF2FCE">
            <w:pPr>
              <w:spacing w:before="40" w:after="120"/>
            </w:pPr>
            <w:r w:rsidRPr="00475868">
              <w:t>Conseil des réparations</w:t>
            </w:r>
          </w:p>
        </w:tc>
      </w:tr>
      <w:tr w:rsidR="00C0030C" w:rsidRPr="00475868" w14:paraId="394FB2A7" w14:textId="77777777" w:rsidTr="00AF2FCE">
        <w:tc>
          <w:tcPr>
            <w:tcW w:w="1792" w:type="dxa"/>
            <w:shd w:val="clear" w:color="auto" w:fill="auto"/>
          </w:tcPr>
          <w:p w14:paraId="17F7B629" w14:textId="77777777" w:rsidR="00C0030C" w:rsidRPr="00475868" w:rsidRDefault="00C0030C" w:rsidP="00C0030C">
            <w:pPr>
              <w:spacing w:before="40" w:after="120"/>
              <w:ind w:right="113"/>
            </w:pPr>
            <w:r w:rsidRPr="00475868">
              <w:t>DGBPD.</w:t>
            </w:r>
          </w:p>
        </w:tc>
        <w:tc>
          <w:tcPr>
            <w:tcW w:w="5578" w:type="dxa"/>
            <w:shd w:val="clear" w:color="auto" w:fill="auto"/>
          </w:tcPr>
          <w:p w14:paraId="1513F2A0" w14:textId="77777777" w:rsidR="00C0030C" w:rsidRPr="00475868" w:rsidRDefault="00C0030C" w:rsidP="00AF2FCE">
            <w:pPr>
              <w:spacing w:before="40" w:after="120"/>
            </w:pPr>
            <w:r w:rsidRPr="00475868">
              <w:t>Direction générale de la recherche des personnes disparues</w:t>
            </w:r>
          </w:p>
        </w:tc>
      </w:tr>
      <w:tr w:rsidR="00C0030C" w:rsidRPr="00475868" w14:paraId="75B69ACE" w14:textId="77777777" w:rsidTr="00AF2FCE">
        <w:tc>
          <w:tcPr>
            <w:tcW w:w="1792" w:type="dxa"/>
            <w:shd w:val="clear" w:color="auto" w:fill="auto"/>
          </w:tcPr>
          <w:p w14:paraId="418571EE" w14:textId="77777777" w:rsidR="00C0030C" w:rsidRPr="00475868" w:rsidRDefault="00C0030C" w:rsidP="00C0030C">
            <w:pPr>
              <w:spacing w:before="40" w:after="120"/>
              <w:ind w:right="113"/>
            </w:pPr>
            <w:r w:rsidRPr="00475868">
              <w:t>DP</w:t>
            </w:r>
          </w:p>
        </w:tc>
        <w:tc>
          <w:tcPr>
            <w:tcW w:w="5578" w:type="dxa"/>
            <w:shd w:val="clear" w:color="auto" w:fill="auto"/>
          </w:tcPr>
          <w:p w14:paraId="37709951" w14:textId="77777777" w:rsidR="00C0030C" w:rsidRPr="00475868" w:rsidRDefault="00C0030C" w:rsidP="00AF2FCE">
            <w:pPr>
              <w:spacing w:before="40" w:after="120"/>
            </w:pPr>
            <w:r w:rsidRPr="00475868">
              <w:t>Bureau du Défenseur du peuple</w:t>
            </w:r>
          </w:p>
        </w:tc>
      </w:tr>
      <w:tr w:rsidR="00C0030C" w:rsidRPr="00475868" w14:paraId="7B0AEE1E" w14:textId="77777777" w:rsidTr="00AF2FCE">
        <w:tc>
          <w:tcPr>
            <w:tcW w:w="1792" w:type="dxa"/>
            <w:shd w:val="clear" w:color="auto" w:fill="auto"/>
          </w:tcPr>
          <w:p w14:paraId="795DBDA1" w14:textId="77777777" w:rsidR="00C0030C" w:rsidRPr="00475868" w:rsidRDefault="00C0030C" w:rsidP="00C0030C">
            <w:pPr>
              <w:spacing w:before="40" w:after="120"/>
              <w:ind w:right="113"/>
            </w:pPr>
            <w:r w:rsidRPr="00475868">
              <w:t>DRIF</w:t>
            </w:r>
          </w:p>
        </w:tc>
        <w:tc>
          <w:tcPr>
            <w:tcW w:w="5578" w:type="dxa"/>
            <w:shd w:val="clear" w:color="auto" w:fill="auto"/>
          </w:tcPr>
          <w:p w14:paraId="1C40BFCD" w14:textId="77777777" w:rsidR="00C0030C" w:rsidRPr="00475868" w:rsidRDefault="00C0030C" w:rsidP="00AF2FCE">
            <w:pPr>
              <w:spacing w:before="40" w:after="120"/>
            </w:pPr>
            <w:r w:rsidRPr="00475868">
              <w:t>Direction du registre et des enquêtes médico-légales</w:t>
            </w:r>
          </w:p>
        </w:tc>
      </w:tr>
      <w:tr w:rsidR="00C0030C" w:rsidRPr="00475868" w14:paraId="01623284" w14:textId="77777777" w:rsidTr="00AF2FCE">
        <w:tc>
          <w:tcPr>
            <w:tcW w:w="1792" w:type="dxa"/>
            <w:shd w:val="clear" w:color="auto" w:fill="auto"/>
          </w:tcPr>
          <w:p w14:paraId="6D5DDC26" w14:textId="77777777" w:rsidR="00C0030C" w:rsidRPr="00475868" w:rsidRDefault="00C0030C" w:rsidP="00C0030C">
            <w:pPr>
              <w:spacing w:before="40" w:after="120"/>
              <w:ind w:right="113"/>
            </w:pPr>
            <w:r w:rsidRPr="00475868">
              <w:t>D.S.</w:t>
            </w:r>
          </w:p>
        </w:tc>
        <w:tc>
          <w:tcPr>
            <w:tcW w:w="5578" w:type="dxa"/>
            <w:shd w:val="clear" w:color="auto" w:fill="auto"/>
          </w:tcPr>
          <w:p w14:paraId="44D38355" w14:textId="77777777" w:rsidR="00C0030C" w:rsidRPr="00475868" w:rsidRDefault="00C0030C" w:rsidP="00AF2FCE">
            <w:pPr>
              <w:spacing w:before="40" w:after="120"/>
            </w:pPr>
            <w:r w:rsidRPr="00475868">
              <w:t>Décret suprême</w:t>
            </w:r>
          </w:p>
        </w:tc>
      </w:tr>
      <w:tr w:rsidR="00C0030C" w:rsidRPr="00475868" w14:paraId="328BF8AC" w14:textId="77777777" w:rsidTr="00AF2FCE">
        <w:tc>
          <w:tcPr>
            <w:tcW w:w="1792" w:type="dxa"/>
            <w:shd w:val="clear" w:color="auto" w:fill="auto"/>
          </w:tcPr>
          <w:p w14:paraId="2F38B53D" w14:textId="77777777" w:rsidR="00C0030C" w:rsidRPr="00475868" w:rsidRDefault="00C0030C" w:rsidP="00C0030C">
            <w:pPr>
              <w:spacing w:before="40" w:after="120"/>
              <w:ind w:right="113"/>
            </w:pPr>
            <w:r w:rsidRPr="00475868">
              <w:t>FFAA</w:t>
            </w:r>
          </w:p>
        </w:tc>
        <w:tc>
          <w:tcPr>
            <w:tcW w:w="5578" w:type="dxa"/>
            <w:shd w:val="clear" w:color="auto" w:fill="auto"/>
          </w:tcPr>
          <w:p w14:paraId="2D8DC359" w14:textId="77777777" w:rsidR="00C0030C" w:rsidRPr="00475868" w:rsidRDefault="00C0030C" w:rsidP="00AF2FCE">
            <w:pPr>
              <w:spacing w:before="40" w:after="120"/>
            </w:pPr>
            <w:r w:rsidRPr="00475868">
              <w:t>Forces armées</w:t>
            </w:r>
          </w:p>
        </w:tc>
      </w:tr>
      <w:tr w:rsidR="00C0030C" w:rsidRPr="00475868" w14:paraId="7399202F" w14:textId="77777777" w:rsidTr="00AF2FCE">
        <w:tc>
          <w:tcPr>
            <w:tcW w:w="1792" w:type="dxa"/>
            <w:shd w:val="clear" w:color="auto" w:fill="auto"/>
          </w:tcPr>
          <w:p w14:paraId="3ECFBDAE" w14:textId="77777777" w:rsidR="00C0030C" w:rsidRPr="00475868" w:rsidRDefault="00C0030C" w:rsidP="00C0030C">
            <w:pPr>
              <w:spacing w:before="40" w:after="120"/>
              <w:ind w:right="113"/>
            </w:pPr>
            <w:r w:rsidRPr="00475868">
              <w:t>MEF</w:t>
            </w:r>
          </w:p>
        </w:tc>
        <w:tc>
          <w:tcPr>
            <w:tcW w:w="5578" w:type="dxa"/>
            <w:shd w:val="clear" w:color="auto" w:fill="auto"/>
          </w:tcPr>
          <w:p w14:paraId="42ACA094" w14:textId="3EF2CD2F" w:rsidR="00C0030C" w:rsidRPr="00475868" w:rsidRDefault="00C0030C" w:rsidP="00AF2FCE">
            <w:pPr>
              <w:spacing w:before="40" w:after="120"/>
            </w:pPr>
            <w:r w:rsidRPr="00475868">
              <w:t>Ministère de l’économie et des finances</w:t>
            </w:r>
          </w:p>
        </w:tc>
      </w:tr>
      <w:tr w:rsidR="00C0030C" w:rsidRPr="00475868" w14:paraId="615CF56C" w14:textId="77777777" w:rsidTr="00AF2FCE">
        <w:tc>
          <w:tcPr>
            <w:tcW w:w="1792" w:type="dxa"/>
            <w:shd w:val="clear" w:color="auto" w:fill="auto"/>
          </w:tcPr>
          <w:p w14:paraId="5474A3C8" w14:textId="77777777" w:rsidR="00C0030C" w:rsidRPr="00475868" w:rsidRDefault="00C0030C" w:rsidP="00C0030C">
            <w:pPr>
              <w:spacing w:before="40" w:after="120"/>
              <w:ind w:right="113"/>
            </w:pPr>
            <w:r w:rsidRPr="00475868">
              <w:t>MIDAGRI</w:t>
            </w:r>
          </w:p>
        </w:tc>
        <w:tc>
          <w:tcPr>
            <w:tcW w:w="5578" w:type="dxa"/>
            <w:shd w:val="clear" w:color="auto" w:fill="auto"/>
          </w:tcPr>
          <w:p w14:paraId="19BC217A" w14:textId="02CE1342" w:rsidR="00C0030C" w:rsidRPr="00475868" w:rsidRDefault="00C0030C" w:rsidP="00AF2FCE">
            <w:pPr>
              <w:spacing w:before="40" w:after="120"/>
            </w:pPr>
            <w:r w:rsidRPr="00475868">
              <w:t>Ministère du développement agricole et de l’irrigation</w:t>
            </w:r>
          </w:p>
        </w:tc>
      </w:tr>
      <w:tr w:rsidR="00C0030C" w:rsidRPr="00475868" w14:paraId="6B175E75" w14:textId="77777777" w:rsidTr="00AF2FCE">
        <w:tc>
          <w:tcPr>
            <w:tcW w:w="1792" w:type="dxa"/>
            <w:shd w:val="clear" w:color="auto" w:fill="auto"/>
          </w:tcPr>
          <w:p w14:paraId="4640219A" w14:textId="77777777" w:rsidR="00C0030C" w:rsidRPr="00475868" w:rsidRDefault="00C0030C" w:rsidP="00C0030C">
            <w:pPr>
              <w:spacing w:before="40" w:after="120"/>
              <w:ind w:right="113"/>
            </w:pPr>
            <w:r w:rsidRPr="00475868">
              <w:t>MIDIS</w:t>
            </w:r>
          </w:p>
        </w:tc>
        <w:tc>
          <w:tcPr>
            <w:tcW w:w="5578" w:type="dxa"/>
            <w:shd w:val="clear" w:color="auto" w:fill="auto"/>
          </w:tcPr>
          <w:p w14:paraId="2555E3F8" w14:textId="50C20320" w:rsidR="00C0030C" w:rsidRPr="00475868" w:rsidRDefault="00C0030C" w:rsidP="00AF2FCE">
            <w:pPr>
              <w:spacing w:before="40" w:after="120"/>
            </w:pPr>
            <w:r w:rsidRPr="00475868">
              <w:t>Ministère du développement et de l’inclusion sociale</w:t>
            </w:r>
          </w:p>
        </w:tc>
      </w:tr>
      <w:tr w:rsidR="00C0030C" w:rsidRPr="00475868" w14:paraId="67690D08" w14:textId="77777777" w:rsidTr="00AF2FCE">
        <w:tc>
          <w:tcPr>
            <w:tcW w:w="1792" w:type="dxa"/>
            <w:shd w:val="clear" w:color="auto" w:fill="auto"/>
          </w:tcPr>
          <w:p w14:paraId="7A8FA5A3" w14:textId="77777777" w:rsidR="00C0030C" w:rsidRPr="00475868" w:rsidRDefault="00C0030C" w:rsidP="00C0030C">
            <w:pPr>
              <w:spacing w:before="40" w:after="120"/>
              <w:ind w:right="113"/>
            </w:pPr>
            <w:r w:rsidRPr="00475868">
              <w:t>MIMP</w:t>
            </w:r>
          </w:p>
        </w:tc>
        <w:tc>
          <w:tcPr>
            <w:tcW w:w="5578" w:type="dxa"/>
            <w:shd w:val="clear" w:color="auto" w:fill="auto"/>
          </w:tcPr>
          <w:p w14:paraId="73D25739" w14:textId="77777777" w:rsidR="00C0030C" w:rsidRPr="00475868" w:rsidRDefault="00C0030C" w:rsidP="00AF2FCE">
            <w:pPr>
              <w:spacing w:before="40" w:after="120"/>
            </w:pPr>
            <w:r w:rsidRPr="00475868">
              <w:t>Ministère de la femme et des populations vulnérables</w:t>
            </w:r>
          </w:p>
        </w:tc>
      </w:tr>
      <w:tr w:rsidR="00C0030C" w:rsidRPr="00475868" w14:paraId="533267B9" w14:textId="77777777" w:rsidTr="00AF2FCE">
        <w:tc>
          <w:tcPr>
            <w:tcW w:w="1792" w:type="dxa"/>
            <w:shd w:val="clear" w:color="auto" w:fill="auto"/>
          </w:tcPr>
          <w:p w14:paraId="4425D854" w14:textId="77777777" w:rsidR="00C0030C" w:rsidRPr="00475868" w:rsidRDefault="00C0030C" w:rsidP="00C0030C">
            <w:pPr>
              <w:spacing w:before="40" w:after="120"/>
              <w:ind w:right="113"/>
            </w:pPr>
            <w:r w:rsidRPr="00475868">
              <w:t>MINCUL</w:t>
            </w:r>
          </w:p>
        </w:tc>
        <w:tc>
          <w:tcPr>
            <w:tcW w:w="5578" w:type="dxa"/>
            <w:shd w:val="clear" w:color="auto" w:fill="auto"/>
          </w:tcPr>
          <w:p w14:paraId="7AE8E1FC" w14:textId="77777777" w:rsidR="00C0030C" w:rsidRPr="00475868" w:rsidRDefault="00C0030C" w:rsidP="00AF2FCE">
            <w:pPr>
              <w:spacing w:before="40" w:after="120"/>
            </w:pPr>
            <w:r w:rsidRPr="00475868">
              <w:t>Ministère de la culture</w:t>
            </w:r>
          </w:p>
        </w:tc>
      </w:tr>
      <w:tr w:rsidR="00C0030C" w:rsidRPr="00475868" w14:paraId="29B58585" w14:textId="77777777" w:rsidTr="00AF2FCE">
        <w:tc>
          <w:tcPr>
            <w:tcW w:w="1792" w:type="dxa"/>
            <w:shd w:val="clear" w:color="auto" w:fill="auto"/>
          </w:tcPr>
          <w:p w14:paraId="4FC202B1" w14:textId="77777777" w:rsidR="00C0030C" w:rsidRPr="00475868" w:rsidRDefault="00C0030C" w:rsidP="00C0030C">
            <w:pPr>
              <w:spacing w:before="40" w:after="120"/>
              <w:ind w:right="113"/>
            </w:pPr>
            <w:r w:rsidRPr="00475868">
              <w:t>MINDEF</w:t>
            </w:r>
          </w:p>
        </w:tc>
        <w:tc>
          <w:tcPr>
            <w:tcW w:w="5578" w:type="dxa"/>
            <w:shd w:val="clear" w:color="auto" w:fill="auto"/>
          </w:tcPr>
          <w:p w14:paraId="60EE1C03" w14:textId="77777777" w:rsidR="00C0030C" w:rsidRPr="00475868" w:rsidRDefault="00C0030C" w:rsidP="00AF2FCE">
            <w:pPr>
              <w:spacing w:before="40" w:after="120"/>
            </w:pPr>
            <w:r w:rsidRPr="00475868">
              <w:t>Ministère de la défense</w:t>
            </w:r>
          </w:p>
        </w:tc>
      </w:tr>
      <w:tr w:rsidR="00C0030C" w:rsidRPr="00475868" w14:paraId="6B712A50" w14:textId="77777777" w:rsidTr="00AF2FCE">
        <w:tc>
          <w:tcPr>
            <w:tcW w:w="1792" w:type="dxa"/>
            <w:shd w:val="clear" w:color="auto" w:fill="auto"/>
          </w:tcPr>
          <w:p w14:paraId="33CFFE68" w14:textId="77777777" w:rsidR="00C0030C" w:rsidRPr="00475868" w:rsidRDefault="00C0030C" w:rsidP="00C0030C">
            <w:pPr>
              <w:spacing w:before="40" w:after="120"/>
              <w:ind w:right="113"/>
            </w:pPr>
            <w:r w:rsidRPr="00475868">
              <w:t>MININTER</w:t>
            </w:r>
          </w:p>
        </w:tc>
        <w:tc>
          <w:tcPr>
            <w:tcW w:w="5578" w:type="dxa"/>
            <w:shd w:val="clear" w:color="auto" w:fill="auto"/>
          </w:tcPr>
          <w:p w14:paraId="4D5FB35F" w14:textId="726B3D90" w:rsidR="00C0030C" w:rsidRPr="00475868" w:rsidRDefault="00C0030C" w:rsidP="00AF2FCE">
            <w:pPr>
              <w:spacing w:before="40" w:after="120"/>
            </w:pPr>
            <w:r w:rsidRPr="00475868">
              <w:t>Ministère de l’intérieur</w:t>
            </w:r>
          </w:p>
        </w:tc>
      </w:tr>
      <w:tr w:rsidR="00C0030C" w:rsidRPr="00475868" w14:paraId="72143161" w14:textId="77777777" w:rsidTr="00AF2FCE">
        <w:tc>
          <w:tcPr>
            <w:tcW w:w="1792" w:type="dxa"/>
            <w:shd w:val="clear" w:color="auto" w:fill="auto"/>
          </w:tcPr>
          <w:p w14:paraId="6F7120FE" w14:textId="77777777" w:rsidR="00C0030C" w:rsidRPr="00475868" w:rsidRDefault="00C0030C" w:rsidP="00C0030C">
            <w:pPr>
              <w:spacing w:before="40" w:after="120"/>
              <w:ind w:right="113"/>
            </w:pPr>
            <w:r w:rsidRPr="00475868">
              <w:t>MINJUSDH</w:t>
            </w:r>
          </w:p>
        </w:tc>
        <w:tc>
          <w:tcPr>
            <w:tcW w:w="5578" w:type="dxa"/>
            <w:shd w:val="clear" w:color="auto" w:fill="auto"/>
          </w:tcPr>
          <w:p w14:paraId="620B99B2" w14:textId="77777777" w:rsidR="00C0030C" w:rsidRPr="00475868" w:rsidRDefault="00C0030C" w:rsidP="00AF2FCE">
            <w:pPr>
              <w:spacing w:before="40" w:after="120"/>
            </w:pPr>
            <w:r w:rsidRPr="00475868">
              <w:t>Ministère de la justice et des droits humains</w:t>
            </w:r>
          </w:p>
        </w:tc>
      </w:tr>
      <w:tr w:rsidR="00C0030C" w:rsidRPr="00475868" w14:paraId="4072C812" w14:textId="77777777" w:rsidTr="00AF2FCE">
        <w:tc>
          <w:tcPr>
            <w:tcW w:w="1792" w:type="dxa"/>
            <w:shd w:val="clear" w:color="auto" w:fill="auto"/>
          </w:tcPr>
          <w:p w14:paraId="0BB74FC7" w14:textId="77777777" w:rsidR="00C0030C" w:rsidRPr="00475868" w:rsidRDefault="00C0030C" w:rsidP="00C0030C">
            <w:pPr>
              <w:spacing w:before="40" w:after="120"/>
              <w:ind w:right="113"/>
            </w:pPr>
            <w:r w:rsidRPr="00475868">
              <w:t>MTPE</w:t>
            </w:r>
          </w:p>
        </w:tc>
        <w:tc>
          <w:tcPr>
            <w:tcW w:w="5578" w:type="dxa"/>
            <w:shd w:val="clear" w:color="auto" w:fill="auto"/>
          </w:tcPr>
          <w:p w14:paraId="127C2A63" w14:textId="19A89389" w:rsidR="00C0030C" w:rsidRPr="00475868" w:rsidRDefault="00C0030C" w:rsidP="00AF2FCE">
            <w:pPr>
              <w:spacing w:before="40" w:after="120"/>
            </w:pPr>
            <w:r w:rsidRPr="00475868">
              <w:t>Ministère du travail et de la promotion de l’emploi</w:t>
            </w:r>
          </w:p>
        </w:tc>
      </w:tr>
      <w:tr w:rsidR="00C0030C" w:rsidRPr="00475868" w14:paraId="2D1463AF" w14:textId="77777777" w:rsidTr="00AF2FCE">
        <w:tc>
          <w:tcPr>
            <w:tcW w:w="1792" w:type="dxa"/>
            <w:shd w:val="clear" w:color="auto" w:fill="auto"/>
          </w:tcPr>
          <w:p w14:paraId="0E72258C" w14:textId="77777777" w:rsidR="00C0030C" w:rsidRPr="00475868" w:rsidRDefault="00C0030C" w:rsidP="00C0030C">
            <w:pPr>
              <w:spacing w:before="40" w:after="120"/>
              <w:ind w:right="113"/>
            </w:pPr>
            <w:r w:rsidRPr="00475868">
              <w:t>MNPT</w:t>
            </w:r>
          </w:p>
        </w:tc>
        <w:tc>
          <w:tcPr>
            <w:tcW w:w="5578" w:type="dxa"/>
            <w:shd w:val="clear" w:color="auto" w:fill="auto"/>
          </w:tcPr>
          <w:p w14:paraId="4C171884" w14:textId="77777777" w:rsidR="00C0030C" w:rsidRPr="00475868" w:rsidRDefault="00C0030C" w:rsidP="00AF2FCE">
            <w:pPr>
              <w:spacing w:before="40" w:after="120"/>
            </w:pPr>
            <w:r w:rsidRPr="00475868">
              <w:t>Mécanisme national de prévention de la torture</w:t>
            </w:r>
          </w:p>
        </w:tc>
      </w:tr>
      <w:tr w:rsidR="00C0030C" w:rsidRPr="00475868" w14:paraId="5763EF55" w14:textId="77777777" w:rsidTr="00AF2FCE">
        <w:tc>
          <w:tcPr>
            <w:tcW w:w="1792" w:type="dxa"/>
            <w:shd w:val="clear" w:color="auto" w:fill="auto"/>
          </w:tcPr>
          <w:p w14:paraId="0241015A" w14:textId="77777777" w:rsidR="00C0030C" w:rsidRPr="00475868" w:rsidRDefault="00C0030C" w:rsidP="00C0030C">
            <w:pPr>
              <w:spacing w:before="40" w:after="120"/>
              <w:ind w:right="113"/>
            </w:pPr>
            <w:r w:rsidRPr="00475868">
              <w:t>MP-FN</w:t>
            </w:r>
          </w:p>
        </w:tc>
        <w:tc>
          <w:tcPr>
            <w:tcW w:w="5578" w:type="dxa"/>
            <w:shd w:val="clear" w:color="auto" w:fill="auto"/>
          </w:tcPr>
          <w:p w14:paraId="12DD85D5" w14:textId="77777777" w:rsidR="00C0030C" w:rsidRPr="00475868" w:rsidRDefault="00C0030C" w:rsidP="00AF2FCE">
            <w:pPr>
              <w:spacing w:before="40" w:after="120"/>
            </w:pPr>
            <w:r w:rsidRPr="00475868">
              <w:t>Ministère public</w:t>
            </w:r>
          </w:p>
        </w:tc>
      </w:tr>
      <w:tr w:rsidR="00C0030C" w:rsidRPr="00475868" w14:paraId="3B5FCDE4" w14:textId="77777777" w:rsidTr="00AF2FCE">
        <w:tc>
          <w:tcPr>
            <w:tcW w:w="1792" w:type="dxa"/>
            <w:shd w:val="clear" w:color="auto" w:fill="auto"/>
          </w:tcPr>
          <w:p w14:paraId="2FE16E24" w14:textId="77777777" w:rsidR="00C0030C" w:rsidRPr="00475868" w:rsidRDefault="00C0030C" w:rsidP="00C0030C">
            <w:pPr>
              <w:spacing w:before="40" w:after="120"/>
              <w:ind w:right="113"/>
            </w:pPr>
            <w:r w:rsidRPr="00475868">
              <w:t>PCM</w:t>
            </w:r>
          </w:p>
        </w:tc>
        <w:tc>
          <w:tcPr>
            <w:tcW w:w="5578" w:type="dxa"/>
            <w:shd w:val="clear" w:color="auto" w:fill="auto"/>
          </w:tcPr>
          <w:p w14:paraId="764B21E2" w14:textId="2360F72E" w:rsidR="00C0030C" w:rsidRPr="00475868" w:rsidRDefault="00C0030C" w:rsidP="00AF2FCE">
            <w:pPr>
              <w:spacing w:before="40" w:after="120"/>
            </w:pPr>
            <w:r w:rsidRPr="00475868">
              <w:t xml:space="preserve">Présidence du </w:t>
            </w:r>
            <w:r w:rsidR="009E5FD0" w:rsidRPr="00475868">
              <w:t>C</w:t>
            </w:r>
            <w:r w:rsidRPr="00475868">
              <w:t>onseil des ministres</w:t>
            </w:r>
          </w:p>
        </w:tc>
      </w:tr>
      <w:tr w:rsidR="00C0030C" w:rsidRPr="00475868" w14:paraId="7D4F5FD3" w14:textId="77777777" w:rsidTr="00AF2FCE">
        <w:tc>
          <w:tcPr>
            <w:tcW w:w="1792" w:type="dxa"/>
            <w:shd w:val="clear" w:color="auto" w:fill="auto"/>
          </w:tcPr>
          <w:p w14:paraId="656A8828" w14:textId="77777777" w:rsidR="00C0030C" w:rsidRPr="00475868" w:rsidRDefault="00C0030C" w:rsidP="00C0030C">
            <w:pPr>
              <w:spacing w:before="40" w:after="120"/>
              <w:ind w:right="113"/>
            </w:pPr>
            <w:r w:rsidRPr="00475868">
              <w:t>PNBPD</w:t>
            </w:r>
          </w:p>
        </w:tc>
        <w:tc>
          <w:tcPr>
            <w:tcW w:w="5578" w:type="dxa"/>
            <w:shd w:val="clear" w:color="auto" w:fill="auto"/>
          </w:tcPr>
          <w:p w14:paraId="42F648B0" w14:textId="77777777" w:rsidR="00C0030C" w:rsidRPr="00475868" w:rsidRDefault="00C0030C" w:rsidP="00AF2FCE">
            <w:pPr>
              <w:spacing w:before="40" w:after="120"/>
            </w:pPr>
            <w:r w:rsidRPr="00475868">
              <w:t>Plan national de recherche des personnes disparues</w:t>
            </w:r>
          </w:p>
        </w:tc>
      </w:tr>
      <w:tr w:rsidR="00C0030C" w:rsidRPr="00475868" w14:paraId="62627737" w14:textId="77777777" w:rsidTr="00AF2FCE">
        <w:tc>
          <w:tcPr>
            <w:tcW w:w="1792" w:type="dxa"/>
            <w:shd w:val="clear" w:color="auto" w:fill="auto"/>
          </w:tcPr>
          <w:p w14:paraId="691C2453" w14:textId="6970F968" w:rsidR="00C0030C" w:rsidRPr="00475868" w:rsidRDefault="00C0030C" w:rsidP="00C0030C">
            <w:pPr>
              <w:spacing w:before="40" w:after="120"/>
              <w:ind w:right="113"/>
            </w:pPr>
            <w:r w:rsidRPr="00475868">
              <w:t xml:space="preserve">PNBPD </w:t>
            </w:r>
            <w:r w:rsidR="00AE3797" w:rsidRPr="00475868">
              <w:br/>
            </w:r>
            <w:r w:rsidRPr="00475868">
              <w:t>à l’horizon 2030</w:t>
            </w:r>
          </w:p>
        </w:tc>
        <w:tc>
          <w:tcPr>
            <w:tcW w:w="5578" w:type="dxa"/>
            <w:shd w:val="clear" w:color="auto" w:fill="auto"/>
          </w:tcPr>
          <w:p w14:paraId="77AA7BF6" w14:textId="44DD5F17" w:rsidR="00C0030C" w:rsidRPr="00475868" w:rsidRDefault="00C0030C" w:rsidP="00AF2FCE">
            <w:pPr>
              <w:spacing w:before="40" w:after="120"/>
            </w:pPr>
            <w:r w:rsidRPr="00475868">
              <w:t>Plan national de recherche des personnes disparues à l’horizon 2030</w:t>
            </w:r>
          </w:p>
        </w:tc>
      </w:tr>
      <w:tr w:rsidR="00C0030C" w:rsidRPr="00475868" w14:paraId="24D99499" w14:textId="77777777" w:rsidTr="00AF2FCE">
        <w:tc>
          <w:tcPr>
            <w:tcW w:w="1792" w:type="dxa"/>
            <w:shd w:val="clear" w:color="auto" w:fill="auto"/>
          </w:tcPr>
          <w:p w14:paraId="768453B7" w14:textId="77777777" w:rsidR="00C0030C" w:rsidRPr="00475868" w:rsidRDefault="00C0030C" w:rsidP="00C0030C">
            <w:pPr>
              <w:spacing w:before="40" w:after="120"/>
              <w:ind w:right="113"/>
            </w:pPr>
            <w:r w:rsidRPr="00475868">
              <w:t>PRAH</w:t>
            </w:r>
          </w:p>
        </w:tc>
        <w:tc>
          <w:tcPr>
            <w:tcW w:w="5578" w:type="dxa"/>
            <w:shd w:val="clear" w:color="auto" w:fill="auto"/>
          </w:tcPr>
          <w:p w14:paraId="4D8C9269" w14:textId="3AE49DBD" w:rsidR="00C0030C" w:rsidRPr="00475868" w:rsidRDefault="00C0030C" w:rsidP="00AF2FCE">
            <w:pPr>
              <w:spacing w:before="40" w:after="120"/>
            </w:pPr>
            <w:r w:rsidRPr="00475868">
              <w:t>Programme de promotion et de facilitation de l’accès au logement</w:t>
            </w:r>
          </w:p>
        </w:tc>
      </w:tr>
      <w:tr w:rsidR="00C0030C" w:rsidRPr="00475868" w14:paraId="4ACE9CB4" w14:textId="77777777" w:rsidTr="00AF2FCE">
        <w:tc>
          <w:tcPr>
            <w:tcW w:w="1792" w:type="dxa"/>
            <w:shd w:val="clear" w:color="auto" w:fill="auto"/>
          </w:tcPr>
          <w:p w14:paraId="4A266BE0" w14:textId="77777777" w:rsidR="00C0030C" w:rsidRPr="00475868" w:rsidRDefault="00C0030C" w:rsidP="00C0030C">
            <w:pPr>
              <w:spacing w:before="40" w:after="120"/>
              <w:ind w:right="113"/>
            </w:pPr>
            <w:r w:rsidRPr="00475868">
              <w:t>PRE</w:t>
            </w:r>
          </w:p>
        </w:tc>
        <w:tc>
          <w:tcPr>
            <w:tcW w:w="5578" w:type="dxa"/>
            <w:shd w:val="clear" w:color="auto" w:fill="auto"/>
          </w:tcPr>
          <w:p w14:paraId="3F05565A" w14:textId="77777777" w:rsidR="00C0030C" w:rsidRPr="00475868" w:rsidRDefault="00C0030C" w:rsidP="00AF2FCE">
            <w:pPr>
              <w:spacing w:before="40" w:after="120"/>
            </w:pPr>
            <w:r w:rsidRPr="00475868">
              <w:t>Programme de réparations économiques</w:t>
            </w:r>
          </w:p>
        </w:tc>
      </w:tr>
      <w:tr w:rsidR="00C0030C" w:rsidRPr="00475868" w14:paraId="70AA5086" w14:textId="77777777" w:rsidTr="00AF2FCE">
        <w:tc>
          <w:tcPr>
            <w:tcW w:w="1792" w:type="dxa"/>
            <w:shd w:val="clear" w:color="auto" w:fill="auto"/>
          </w:tcPr>
          <w:p w14:paraId="735E6F58" w14:textId="77777777" w:rsidR="00C0030C" w:rsidRPr="00475868" w:rsidRDefault="00C0030C" w:rsidP="00C0030C">
            <w:pPr>
              <w:spacing w:before="40" w:after="120"/>
              <w:ind w:right="113"/>
            </w:pPr>
            <w:r w:rsidRPr="00475868">
              <w:t>RENADE</w:t>
            </w:r>
          </w:p>
        </w:tc>
        <w:tc>
          <w:tcPr>
            <w:tcW w:w="5578" w:type="dxa"/>
            <w:shd w:val="clear" w:color="auto" w:fill="auto"/>
          </w:tcPr>
          <w:p w14:paraId="08E26787" w14:textId="77777777" w:rsidR="00C0030C" w:rsidRPr="00475868" w:rsidRDefault="00C0030C" w:rsidP="00AF2FCE">
            <w:pPr>
              <w:spacing w:before="40" w:after="120"/>
            </w:pPr>
            <w:r w:rsidRPr="00475868">
              <w:t>Registre national des personnes disparues et des lieux de sépulture</w:t>
            </w:r>
          </w:p>
        </w:tc>
      </w:tr>
      <w:tr w:rsidR="00C0030C" w:rsidRPr="00475868" w14:paraId="18500A9C" w14:textId="77777777" w:rsidTr="00AF2FCE">
        <w:tc>
          <w:tcPr>
            <w:tcW w:w="1792" w:type="dxa"/>
            <w:shd w:val="clear" w:color="auto" w:fill="auto"/>
          </w:tcPr>
          <w:p w14:paraId="50E02482" w14:textId="77777777" w:rsidR="00C0030C" w:rsidRPr="00475868" w:rsidRDefault="00C0030C" w:rsidP="00C0030C">
            <w:pPr>
              <w:spacing w:before="40" w:after="120"/>
              <w:ind w:right="113"/>
            </w:pPr>
            <w:r w:rsidRPr="00475868">
              <w:t>RUV</w:t>
            </w:r>
          </w:p>
        </w:tc>
        <w:tc>
          <w:tcPr>
            <w:tcW w:w="5578" w:type="dxa"/>
            <w:shd w:val="clear" w:color="auto" w:fill="auto"/>
          </w:tcPr>
          <w:p w14:paraId="41E56492" w14:textId="77777777" w:rsidR="00C0030C" w:rsidRPr="00475868" w:rsidRDefault="00C0030C" w:rsidP="00AF2FCE">
            <w:pPr>
              <w:spacing w:before="40" w:after="120"/>
            </w:pPr>
            <w:r w:rsidRPr="00475868">
              <w:t>Registre unique des victimes</w:t>
            </w:r>
          </w:p>
        </w:tc>
      </w:tr>
    </w:tbl>
    <w:bookmarkEnd w:id="13"/>
    <w:p w14:paraId="0A2AF1D7" w14:textId="3A33ED25" w:rsidR="00446FE5" w:rsidRPr="00475868" w:rsidRDefault="00C0030C" w:rsidP="00C0030C">
      <w:pPr>
        <w:pStyle w:val="SingleTxtG"/>
        <w:spacing w:before="240" w:after="0"/>
        <w:jc w:val="center"/>
        <w:rPr>
          <w:u w:val="single"/>
        </w:rPr>
      </w:pPr>
      <w:r w:rsidRPr="00475868">
        <w:rPr>
          <w:u w:val="single"/>
        </w:rPr>
        <w:tab/>
      </w:r>
      <w:r w:rsidRPr="00475868">
        <w:rPr>
          <w:u w:val="single"/>
        </w:rPr>
        <w:tab/>
      </w:r>
      <w:r w:rsidRPr="00475868">
        <w:rPr>
          <w:u w:val="single"/>
        </w:rPr>
        <w:tab/>
      </w:r>
    </w:p>
    <w:sectPr w:rsidR="00446FE5" w:rsidRPr="00475868" w:rsidSect="00C0030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1F5C5D" w14:textId="77777777" w:rsidR="00EB4673" w:rsidRDefault="00EB4673" w:rsidP="00F95C08">
      <w:pPr>
        <w:spacing w:line="240" w:lineRule="auto"/>
      </w:pPr>
    </w:p>
  </w:endnote>
  <w:endnote w:type="continuationSeparator" w:id="0">
    <w:p w14:paraId="6B8609B1" w14:textId="77777777" w:rsidR="00EB4673" w:rsidRPr="00AC3823" w:rsidRDefault="00EB4673" w:rsidP="00AC3823">
      <w:pPr>
        <w:pStyle w:val="Pieddepage"/>
      </w:pPr>
    </w:p>
  </w:endnote>
  <w:endnote w:type="continuationNotice" w:id="1">
    <w:p w14:paraId="6ADDCCAA" w14:textId="77777777" w:rsidR="00EB4673" w:rsidRDefault="00EB46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DE215E" w14:textId="3E9D50D2" w:rsidR="00EB4673" w:rsidRPr="00C0030C" w:rsidRDefault="00EB4673" w:rsidP="00C0030C">
    <w:pPr>
      <w:pStyle w:val="Pieddepage"/>
      <w:tabs>
        <w:tab w:val="right" w:pos="9638"/>
      </w:tabs>
    </w:pPr>
    <w:r w:rsidRPr="00C0030C">
      <w:rPr>
        <w:b/>
        <w:sz w:val="18"/>
      </w:rPr>
      <w:fldChar w:fldCharType="begin"/>
    </w:r>
    <w:r w:rsidRPr="00C0030C">
      <w:rPr>
        <w:b/>
        <w:sz w:val="18"/>
      </w:rPr>
      <w:instrText xml:space="preserve"> PAGE  \* MERGEFORMAT </w:instrText>
    </w:r>
    <w:r w:rsidRPr="00C0030C">
      <w:rPr>
        <w:b/>
        <w:sz w:val="18"/>
      </w:rPr>
      <w:fldChar w:fldCharType="separate"/>
    </w:r>
    <w:r w:rsidRPr="00C0030C">
      <w:rPr>
        <w:b/>
        <w:noProof/>
        <w:sz w:val="18"/>
      </w:rPr>
      <w:t>2</w:t>
    </w:r>
    <w:r w:rsidRPr="00C0030C">
      <w:rPr>
        <w:b/>
        <w:sz w:val="18"/>
      </w:rPr>
      <w:fldChar w:fldCharType="end"/>
    </w:r>
    <w:r>
      <w:rPr>
        <w:b/>
        <w:sz w:val="18"/>
      </w:rPr>
      <w:tab/>
    </w:r>
    <w:r>
      <w:t>GE.21-16720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72880" w14:textId="4FAA2490" w:rsidR="00EB4673" w:rsidRPr="00C0030C" w:rsidRDefault="00EB4673" w:rsidP="00C0030C">
    <w:pPr>
      <w:pStyle w:val="Pieddepage"/>
      <w:tabs>
        <w:tab w:val="right" w:pos="9638"/>
      </w:tabs>
      <w:rPr>
        <w:b/>
        <w:sz w:val="18"/>
      </w:rPr>
    </w:pPr>
    <w:r>
      <w:t>GE.21-16720</w:t>
    </w:r>
    <w:r>
      <w:tab/>
    </w:r>
    <w:r w:rsidRPr="00C0030C">
      <w:rPr>
        <w:b/>
        <w:sz w:val="18"/>
      </w:rPr>
      <w:fldChar w:fldCharType="begin"/>
    </w:r>
    <w:r w:rsidRPr="00C0030C">
      <w:rPr>
        <w:b/>
        <w:sz w:val="18"/>
      </w:rPr>
      <w:instrText xml:space="preserve"> PAGE  \* MERGEFORMAT </w:instrText>
    </w:r>
    <w:r w:rsidRPr="00C0030C">
      <w:rPr>
        <w:b/>
        <w:sz w:val="18"/>
      </w:rPr>
      <w:fldChar w:fldCharType="separate"/>
    </w:r>
    <w:r w:rsidRPr="00C0030C">
      <w:rPr>
        <w:b/>
        <w:noProof/>
        <w:sz w:val="18"/>
      </w:rPr>
      <w:t>3</w:t>
    </w:r>
    <w:r w:rsidRPr="00C003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6C9C7" w14:textId="30811AFB" w:rsidR="00EB4673" w:rsidRPr="00C0030C" w:rsidRDefault="00EB4673" w:rsidP="00C0030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1AE4C1A" wp14:editId="65F2A98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21-16720  (F)</w:t>
    </w:r>
    <w:r>
      <w:rPr>
        <w:noProof/>
        <w:sz w:val="20"/>
      </w:rPr>
      <w:drawing>
        <wp:anchor distT="0" distB="0" distL="114300" distR="114300" simplePos="0" relativeHeight="251660288" behindDoc="0" locked="0" layoutInCell="1" allowOverlap="1" wp14:anchorId="7C3CD905" wp14:editId="732ACDC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091221    </w:t>
    </w:r>
    <w:r w:rsidR="00C31288">
      <w:rPr>
        <w:sz w:val="20"/>
      </w:rPr>
      <w:t>101221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817B5A" w14:textId="77777777" w:rsidR="00EB4673" w:rsidRPr="00AC3823" w:rsidRDefault="00EB4673" w:rsidP="00AC3823">
      <w:pPr>
        <w:pStyle w:val="Pieddepage"/>
        <w:tabs>
          <w:tab w:val="right" w:pos="2155"/>
        </w:tabs>
        <w:spacing w:after="80" w:line="240" w:lineRule="atLeast"/>
        <w:ind w:left="680"/>
        <w:rPr>
          <w:u w:val="single"/>
        </w:rPr>
      </w:pPr>
      <w:r>
        <w:rPr>
          <w:u w:val="single"/>
        </w:rPr>
        <w:tab/>
      </w:r>
    </w:p>
  </w:footnote>
  <w:footnote w:type="continuationSeparator" w:id="0">
    <w:p w14:paraId="2718422F" w14:textId="77777777" w:rsidR="00EB4673" w:rsidRPr="00AC3823" w:rsidRDefault="00EB4673" w:rsidP="00AC3823">
      <w:pPr>
        <w:pStyle w:val="Pieddepage"/>
        <w:tabs>
          <w:tab w:val="right" w:pos="2155"/>
        </w:tabs>
        <w:spacing w:after="80" w:line="240" w:lineRule="atLeast"/>
        <w:ind w:left="680"/>
        <w:rPr>
          <w:u w:val="single"/>
        </w:rPr>
      </w:pPr>
      <w:r>
        <w:rPr>
          <w:u w:val="single"/>
        </w:rPr>
        <w:tab/>
      </w:r>
    </w:p>
  </w:footnote>
  <w:footnote w:type="continuationNotice" w:id="1">
    <w:p w14:paraId="39F137C1" w14:textId="77777777" w:rsidR="00EB4673" w:rsidRPr="00AC3823" w:rsidRDefault="00EB4673">
      <w:pPr>
        <w:spacing w:line="240" w:lineRule="auto"/>
        <w:rPr>
          <w:sz w:val="2"/>
          <w:szCs w:val="2"/>
        </w:rPr>
      </w:pPr>
    </w:p>
  </w:footnote>
  <w:footnote w:id="2">
    <w:p w14:paraId="51B3C6C8" w14:textId="7053050D" w:rsidR="00EB4673" w:rsidRPr="000430CC" w:rsidRDefault="00EB4673" w:rsidP="00D22A00">
      <w:pPr>
        <w:pStyle w:val="Notedebasdepage"/>
        <w:rPr>
          <w:lang w:val="fr-FR"/>
        </w:rPr>
      </w:pPr>
      <w:r w:rsidRPr="000430CC">
        <w:rPr>
          <w:lang w:val="fr-FR"/>
        </w:rPr>
        <w:tab/>
        <w:t>*</w:t>
      </w:r>
      <w:r w:rsidRPr="000430CC">
        <w:rPr>
          <w:lang w:val="fr-FR"/>
        </w:rPr>
        <w:tab/>
        <w:t>La version originale du présent document n</w:t>
      </w:r>
      <w:r>
        <w:rPr>
          <w:lang w:val="fr-FR"/>
        </w:rPr>
        <w:t>’</w:t>
      </w:r>
      <w:r w:rsidRPr="000430CC">
        <w:rPr>
          <w:lang w:val="fr-FR"/>
        </w:rPr>
        <w:t>a pas été revue par les services d</w:t>
      </w:r>
      <w:r>
        <w:rPr>
          <w:lang w:val="fr-FR"/>
        </w:rPr>
        <w:t>’</w:t>
      </w:r>
      <w:r w:rsidRPr="000430CC">
        <w:rPr>
          <w:lang w:val="fr-FR"/>
        </w:rPr>
        <w:t>édition.</w:t>
      </w:r>
    </w:p>
  </w:footnote>
  <w:footnote w:id="3">
    <w:p w14:paraId="78DDC4C3" w14:textId="69ABD870"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Comité des disparitions forcées. </w:t>
      </w:r>
      <w:hyperlink r:id="rId1" w:history="1">
        <w:r w:rsidRPr="007C4EB6">
          <w:rPr>
            <w:rStyle w:val="Lienhypertexte"/>
            <w:szCs w:val="18"/>
            <w:lang w:val="fr-FR"/>
          </w:rPr>
          <w:t>CED/C/PER/CO/1</w:t>
        </w:r>
      </w:hyperlink>
      <w:r w:rsidRPr="000430CC">
        <w:rPr>
          <w:lang w:val="fr-FR"/>
        </w:rPr>
        <w:t xml:space="preserve"> en date du 8</w:t>
      </w:r>
      <w:r>
        <w:rPr>
          <w:lang w:val="fr-FR"/>
        </w:rPr>
        <w:t> </w:t>
      </w:r>
      <w:r w:rsidRPr="000430CC">
        <w:rPr>
          <w:lang w:val="fr-FR"/>
        </w:rPr>
        <w:t>mai 2019</w:t>
      </w:r>
      <w:r>
        <w:rPr>
          <w:lang w:val="fr-FR"/>
        </w:rPr>
        <w:t>.</w:t>
      </w:r>
    </w:p>
  </w:footnote>
  <w:footnote w:id="4">
    <w:p w14:paraId="6ED2726F" w14:textId="68FEB3BD" w:rsidR="00EB4673" w:rsidRPr="000430CC" w:rsidRDefault="00EB4673" w:rsidP="00D22A00">
      <w:pPr>
        <w:pStyle w:val="Notedebasdepage"/>
        <w:rPr>
          <w:lang w:val="fr-FR"/>
        </w:rPr>
      </w:pPr>
      <w:r w:rsidRPr="000430CC">
        <w:rPr>
          <w:lang w:val="fr-FR"/>
        </w:rPr>
        <w:tab/>
      </w:r>
      <w:r w:rsidRPr="00D22A00">
        <w:rPr>
          <w:rStyle w:val="Appelnotedebasdep"/>
        </w:rPr>
        <w:footnoteRef/>
      </w:r>
      <w:r w:rsidRPr="00C31288">
        <w:rPr>
          <w:lang w:val="es-ES"/>
        </w:rPr>
        <w:tab/>
        <w:t xml:space="preserve">MINJUSDH. D.S. </w:t>
      </w:r>
      <w:r w:rsidRPr="00C31288">
        <w:rPr>
          <w:rFonts w:eastAsia="MS Mincho"/>
          <w:szCs w:val="22"/>
          <w:lang w:val="es-ES"/>
        </w:rPr>
        <w:t>n</w:t>
      </w:r>
      <w:r w:rsidRPr="00C31288">
        <w:rPr>
          <w:rFonts w:eastAsia="MS Mincho"/>
          <w:szCs w:val="22"/>
          <w:vertAlign w:val="superscript"/>
          <w:lang w:val="es-ES"/>
        </w:rPr>
        <w:t>o</w:t>
      </w:r>
      <w:r w:rsidRPr="00C31288">
        <w:rPr>
          <w:lang w:val="es-ES"/>
        </w:rPr>
        <w:t xml:space="preserve"> 010-2020-JUS.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21</w:t>
      </w:r>
      <w:r>
        <w:rPr>
          <w:lang w:val="fr-FR"/>
        </w:rPr>
        <w:t> </w:t>
      </w:r>
      <w:r w:rsidRPr="000430CC">
        <w:rPr>
          <w:lang w:val="fr-FR"/>
        </w:rPr>
        <w:t>août 2020.</w:t>
      </w:r>
    </w:p>
  </w:footnote>
  <w:footnote w:id="5">
    <w:p w14:paraId="1A7D076F" w14:textId="5000E88D"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MINJUSDH. Plan national relatif aux droits de l</w:t>
      </w:r>
      <w:r>
        <w:rPr>
          <w:lang w:val="fr-FR"/>
        </w:rPr>
        <w:t>’</w:t>
      </w:r>
      <w:r w:rsidRPr="000430CC">
        <w:rPr>
          <w:lang w:val="fr-FR"/>
        </w:rPr>
        <w:t xml:space="preserve">homme 2018-2021. D.S.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 xml:space="preserve">002-2018-JUS. 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1</w:t>
      </w:r>
      <w:r w:rsidRPr="000430CC">
        <w:rPr>
          <w:vertAlign w:val="superscript"/>
          <w:lang w:val="fr-FR"/>
        </w:rPr>
        <w:t>er</w:t>
      </w:r>
      <w:r>
        <w:rPr>
          <w:lang w:val="fr-FR"/>
        </w:rPr>
        <w:t> </w:t>
      </w:r>
      <w:r w:rsidRPr="000430CC">
        <w:rPr>
          <w:lang w:val="fr-FR"/>
        </w:rPr>
        <w:t>février 2018.</w:t>
      </w:r>
    </w:p>
    <w:p w14:paraId="4992F195" w14:textId="7FAB6E4A" w:rsidR="00EB4673" w:rsidRPr="000430CC" w:rsidRDefault="00EB4673" w:rsidP="00D22A00">
      <w:pPr>
        <w:pStyle w:val="Notedebasdepage"/>
        <w:rPr>
          <w:lang w:val="fr-FR"/>
        </w:rPr>
      </w:pPr>
      <w:r w:rsidRPr="000430CC">
        <w:rPr>
          <w:lang w:val="fr-FR"/>
        </w:rPr>
        <w:tab/>
      </w:r>
      <w:r w:rsidRPr="000430CC">
        <w:rPr>
          <w:lang w:val="fr-FR"/>
        </w:rPr>
        <w:tab/>
        <w:t>L</w:t>
      </w:r>
      <w:r>
        <w:rPr>
          <w:lang w:val="fr-FR"/>
        </w:rPr>
        <w:t>’</w:t>
      </w:r>
      <w:r w:rsidRPr="000430CC">
        <w:rPr>
          <w:lang w:val="fr-FR"/>
        </w:rPr>
        <w:t xml:space="preserve">orientation stratégique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4 du Plan national relatif aux droits de l</w:t>
      </w:r>
      <w:r>
        <w:rPr>
          <w:lang w:val="fr-FR"/>
        </w:rPr>
        <w:t>’</w:t>
      </w:r>
      <w:r w:rsidRPr="000430CC">
        <w:rPr>
          <w:lang w:val="fr-FR"/>
        </w:rPr>
        <w:t>homme prévoit le renforcement du système juridique national par la mise en œuvre d</w:t>
      </w:r>
      <w:r>
        <w:rPr>
          <w:lang w:val="fr-FR"/>
        </w:rPr>
        <w:t>’</w:t>
      </w:r>
      <w:r w:rsidRPr="000430CC">
        <w:rPr>
          <w:lang w:val="fr-FR"/>
        </w:rPr>
        <w:t>instruments internationaux et une planification établissant les axes stratégiques de l</w:t>
      </w:r>
      <w:r>
        <w:rPr>
          <w:lang w:val="fr-FR"/>
        </w:rPr>
        <w:t>’</w:t>
      </w:r>
      <w:r w:rsidRPr="000430CC">
        <w:rPr>
          <w:lang w:val="fr-FR"/>
        </w:rPr>
        <w:t>État péruvien et les directives interinstitutionnelles, en tant que cadre normatif et d</w:t>
      </w:r>
      <w:r>
        <w:rPr>
          <w:lang w:val="fr-FR"/>
        </w:rPr>
        <w:t>’</w:t>
      </w:r>
      <w:r w:rsidRPr="000430CC">
        <w:rPr>
          <w:lang w:val="fr-FR"/>
        </w:rPr>
        <w:t>orientation pour la promotion et la protection des droits humains, et l</w:t>
      </w:r>
      <w:r>
        <w:rPr>
          <w:lang w:val="fr-FR"/>
        </w:rPr>
        <w:t>’</w:t>
      </w:r>
      <w:r w:rsidRPr="000430CC">
        <w:rPr>
          <w:lang w:val="fr-FR"/>
        </w:rPr>
        <w:t>adoption d</w:t>
      </w:r>
      <w:r>
        <w:rPr>
          <w:lang w:val="fr-FR"/>
        </w:rPr>
        <w:t>’</w:t>
      </w:r>
      <w:r w:rsidRPr="000430CC">
        <w:rPr>
          <w:lang w:val="fr-FR"/>
        </w:rPr>
        <w:t>un mécanisme national chargé d</w:t>
      </w:r>
      <w:r>
        <w:rPr>
          <w:lang w:val="fr-FR"/>
        </w:rPr>
        <w:t>’</w:t>
      </w:r>
      <w:r w:rsidRPr="000430CC">
        <w:rPr>
          <w:lang w:val="fr-FR"/>
        </w:rPr>
        <w:t>élaborer et de soumettre des rapports aux systèmes internationaux de protection des droits humains, et d</w:t>
      </w:r>
      <w:r>
        <w:rPr>
          <w:lang w:val="fr-FR"/>
        </w:rPr>
        <w:t>’</w:t>
      </w:r>
      <w:r w:rsidRPr="000430CC">
        <w:rPr>
          <w:lang w:val="fr-FR"/>
        </w:rPr>
        <w:t>en assurer le suivi.</w:t>
      </w:r>
    </w:p>
  </w:footnote>
  <w:footnote w:id="6">
    <w:p w14:paraId="254ACD2D" w14:textId="304E7966"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Congrès. Loi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 xml:space="preserve">26926. Publiée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21</w:t>
      </w:r>
      <w:r>
        <w:rPr>
          <w:lang w:val="fr-FR"/>
        </w:rPr>
        <w:t> </w:t>
      </w:r>
      <w:r w:rsidRPr="000430CC">
        <w:rPr>
          <w:lang w:val="fr-FR"/>
        </w:rPr>
        <w:t>février 1998.</w:t>
      </w:r>
    </w:p>
  </w:footnote>
  <w:footnote w:id="7">
    <w:p w14:paraId="41AE0E57" w14:textId="594364FA"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PE. D.L.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 xml:space="preserve">1351. 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7</w:t>
      </w:r>
      <w:r>
        <w:rPr>
          <w:lang w:val="fr-FR"/>
        </w:rPr>
        <w:t> </w:t>
      </w:r>
      <w:r w:rsidRPr="000430CC">
        <w:rPr>
          <w:lang w:val="fr-FR"/>
        </w:rPr>
        <w:t>janvier 2017.</w:t>
      </w:r>
    </w:p>
  </w:footnote>
  <w:footnote w:id="8">
    <w:p w14:paraId="4D68F506" w14:textId="09C50A42"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État péruvien. Réponses du Pérou à la liste de points </w:t>
      </w:r>
      <w:hyperlink r:id="rId2" w:history="1">
        <w:r w:rsidRPr="00D22A00">
          <w:rPr>
            <w:rStyle w:val="Lienhypertexte"/>
            <w:szCs w:val="18"/>
            <w:lang w:val="fr-FR"/>
          </w:rPr>
          <w:t>CED/C/PER/Q/1/Add.1</w:t>
        </w:r>
      </w:hyperlink>
      <w:r w:rsidRPr="000430CC">
        <w:rPr>
          <w:rStyle w:val="Lienhypertexte"/>
          <w:szCs w:val="18"/>
          <w:lang w:val="fr-FR"/>
        </w:rPr>
        <w:t xml:space="preserve">, </w:t>
      </w:r>
      <w:r w:rsidRPr="000430CC">
        <w:rPr>
          <w:lang w:val="fr-FR"/>
        </w:rPr>
        <w:t>par. 11 et 14.</w:t>
      </w:r>
    </w:p>
  </w:footnote>
  <w:footnote w:id="9">
    <w:p w14:paraId="4E8CC3B7" w14:textId="4D8C1207"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Congrès. Loi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 xml:space="preserve">30054. Publiée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30</w:t>
      </w:r>
      <w:r>
        <w:rPr>
          <w:lang w:val="fr-FR"/>
        </w:rPr>
        <w:t> </w:t>
      </w:r>
      <w:r w:rsidRPr="000430CC">
        <w:rPr>
          <w:lang w:val="fr-FR"/>
        </w:rPr>
        <w:t>juin 2013, art. 2.</w:t>
      </w:r>
    </w:p>
  </w:footnote>
  <w:footnote w:id="10">
    <w:p w14:paraId="093D29D6" w14:textId="1F996E16"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Congrès. Loi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 xml:space="preserve">30077. Publiée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20</w:t>
      </w:r>
      <w:r>
        <w:rPr>
          <w:lang w:val="fr-FR"/>
        </w:rPr>
        <w:t> </w:t>
      </w:r>
      <w:r w:rsidRPr="000430CC">
        <w:rPr>
          <w:lang w:val="fr-FR"/>
        </w:rPr>
        <w:t>août 2013.</w:t>
      </w:r>
    </w:p>
  </w:footnote>
  <w:footnote w:id="11">
    <w:p w14:paraId="0A7AAEDE" w14:textId="02F5F085" w:rsidR="00EB4673" w:rsidRPr="000430CC" w:rsidRDefault="00EB4673" w:rsidP="00D22A00">
      <w:pPr>
        <w:pStyle w:val="Notedebasdepage"/>
        <w:rPr>
          <w:lang w:val="it-IT"/>
        </w:rPr>
      </w:pPr>
      <w:r w:rsidRPr="000430CC">
        <w:rPr>
          <w:lang w:val="fr-FR"/>
        </w:rPr>
        <w:tab/>
      </w:r>
      <w:r w:rsidRPr="00D22A00">
        <w:rPr>
          <w:rStyle w:val="Appelnotedebasdep"/>
        </w:rPr>
        <w:footnoteRef/>
      </w:r>
      <w:r w:rsidRPr="000430CC">
        <w:rPr>
          <w:lang w:val="it-IT"/>
        </w:rPr>
        <w:tab/>
      </w:r>
      <w:r w:rsidRPr="000430CC">
        <w:rPr>
          <w:lang w:val="it-IT"/>
        </w:rPr>
        <w:t xml:space="preserve">Loi </w:t>
      </w:r>
      <w:r w:rsidRPr="00D22A00">
        <w:rPr>
          <w:rFonts w:eastAsia="MS Mincho"/>
          <w:szCs w:val="22"/>
          <w:lang w:val="es-ES"/>
        </w:rPr>
        <w:t>n</w:t>
      </w:r>
      <w:r w:rsidRPr="00D22A00">
        <w:rPr>
          <w:rFonts w:eastAsia="MS Mincho"/>
          <w:szCs w:val="22"/>
          <w:vertAlign w:val="superscript"/>
          <w:lang w:val="es-ES"/>
        </w:rPr>
        <w:t>o</w:t>
      </w:r>
      <w:r w:rsidRPr="00D22A00">
        <w:rPr>
          <w:lang w:val="es-ES"/>
        </w:rPr>
        <w:t> </w:t>
      </w:r>
      <w:r w:rsidRPr="000430CC">
        <w:rPr>
          <w:lang w:val="it-IT"/>
        </w:rPr>
        <w:t>30077, art. 22, al. 1. c).</w:t>
      </w:r>
    </w:p>
  </w:footnote>
  <w:footnote w:id="12">
    <w:p w14:paraId="1F933000" w14:textId="12D49F65" w:rsidR="00EB4673" w:rsidRPr="000430CC" w:rsidRDefault="00EB4673" w:rsidP="00D22A00">
      <w:pPr>
        <w:pStyle w:val="Notedebasdepage"/>
        <w:rPr>
          <w:lang w:val="fr-FR"/>
        </w:rPr>
      </w:pPr>
      <w:r w:rsidRPr="000430CC">
        <w:rPr>
          <w:lang w:val="it-IT"/>
        </w:rPr>
        <w:tab/>
      </w:r>
      <w:r w:rsidRPr="00D22A00">
        <w:rPr>
          <w:rStyle w:val="Appelnotedebasdep"/>
        </w:rPr>
        <w:footnoteRef/>
      </w:r>
      <w:r w:rsidRPr="000430CC">
        <w:rPr>
          <w:lang w:val="it-IT"/>
        </w:rPr>
        <w:tab/>
        <w:t xml:space="preserve">PE. </w:t>
      </w:r>
      <w:r w:rsidRPr="000430CC">
        <w:rPr>
          <w:lang w:val="it-IT"/>
        </w:rPr>
        <w:t xml:space="preserve">D.L. </w:t>
      </w:r>
      <w:r w:rsidRPr="00D22A00">
        <w:rPr>
          <w:rFonts w:eastAsia="MS Mincho"/>
          <w:szCs w:val="22"/>
          <w:lang w:val="es-ES"/>
        </w:rPr>
        <w:t>n</w:t>
      </w:r>
      <w:r w:rsidRPr="00D22A00">
        <w:rPr>
          <w:rFonts w:eastAsia="MS Mincho"/>
          <w:szCs w:val="22"/>
          <w:vertAlign w:val="superscript"/>
          <w:lang w:val="es-ES"/>
        </w:rPr>
        <w:t>o</w:t>
      </w:r>
      <w:r w:rsidRPr="00D22A00">
        <w:rPr>
          <w:lang w:val="es-ES"/>
        </w:rPr>
        <w:t> </w:t>
      </w:r>
      <w:r w:rsidRPr="000430CC">
        <w:rPr>
          <w:lang w:val="it-IT"/>
        </w:rPr>
        <w:t xml:space="preserve">957.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29</w:t>
      </w:r>
      <w:r>
        <w:rPr>
          <w:lang w:val="fr-FR"/>
        </w:rPr>
        <w:t> </w:t>
      </w:r>
      <w:r w:rsidRPr="000430CC">
        <w:rPr>
          <w:lang w:val="fr-FR"/>
        </w:rPr>
        <w:t>juillet 2004.</w:t>
      </w:r>
    </w:p>
  </w:footnote>
  <w:footnote w:id="13">
    <w:p w14:paraId="6CA53010" w14:textId="35555C49" w:rsidR="00EB4673" w:rsidRPr="000430CC" w:rsidRDefault="00EB4673" w:rsidP="00D22A00">
      <w:pPr>
        <w:pStyle w:val="Notedebasdepage"/>
        <w:rPr>
          <w:lang w:val="fr-FR"/>
        </w:rPr>
      </w:pPr>
      <w:r w:rsidRPr="000430CC">
        <w:rPr>
          <w:lang w:val="fr-FR"/>
        </w:rPr>
        <w:tab/>
      </w:r>
      <w:r w:rsidRPr="00D22A00">
        <w:rPr>
          <w:rStyle w:val="Appelnotedebasdep"/>
        </w:rPr>
        <w:footnoteRef/>
      </w:r>
      <w:r w:rsidRPr="00C31288">
        <w:rPr>
          <w:lang w:val="es-ES"/>
        </w:rPr>
        <w:tab/>
        <w:t xml:space="preserve">MINJUSDH. D.S. </w:t>
      </w:r>
      <w:r w:rsidRPr="00C31288">
        <w:rPr>
          <w:rFonts w:eastAsia="MS Mincho"/>
          <w:szCs w:val="22"/>
          <w:lang w:val="es-ES"/>
        </w:rPr>
        <w:t>n</w:t>
      </w:r>
      <w:r w:rsidRPr="00C31288">
        <w:rPr>
          <w:rFonts w:eastAsia="MS Mincho"/>
          <w:szCs w:val="22"/>
          <w:vertAlign w:val="superscript"/>
          <w:lang w:val="es-ES"/>
        </w:rPr>
        <w:t>o</w:t>
      </w:r>
      <w:r w:rsidRPr="00C31288">
        <w:rPr>
          <w:lang w:val="es-ES"/>
        </w:rPr>
        <w:t xml:space="preserve"> 005-2021-JUS.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29</w:t>
      </w:r>
      <w:r>
        <w:rPr>
          <w:lang w:val="fr-FR"/>
        </w:rPr>
        <w:t> </w:t>
      </w:r>
      <w:r w:rsidRPr="000430CC">
        <w:rPr>
          <w:lang w:val="fr-FR"/>
        </w:rPr>
        <w:t>avril 2021.</w:t>
      </w:r>
    </w:p>
  </w:footnote>
  <w:footnote w:id="14">
    <w:p w14:paraId="1831BB45" w14:textId="058080C6"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MP-FN. Le Code de procédure pénale est entré en vigueur dans 16 districts de Lima centre. Consulté le 1</w:t>
      </w:r>
      <w:r w:rsidRPr="000430CC">
        <w:rPr>
          <w:vertAlign w:val="superscript"/>
          <w:lang w:val="fr-FR"/>
        </w:rPr>
        <w:t>er</w:t>
      </w:r>
      <w:r>
        <w:rPr>
          <w:lang w:val="fr-FR"/>
        </w:rPr>
        <w:t> </w:t>
      </w:r>
      <w:r w:rsidRPr="000430CC">
        <w:rPr>
          <w:lang w:val="fr-FR"/>
        </w:rPr>
        <w:t>septembre 2021. Disponible à l</w:t>
      </w:r>
      <w:r>
        <w:rPr>
          <w:lang w:val="fr-FR"/>
        </w:rPr>
        <w:t>’</w:t>
      </w:r>
      <w:r w:rsidRPr="000430CC">
        <w:rPr>
          <w:lang w:val="fr-FR"/>
        </w:rPr>
        <w:t xml:space="preserve">adresse suivante : </w:t>
      </w:r>
      <w:hyperlink r:id="rId3" w:history="1">
        <w:r w:rsidRPr="000430CC">
          <w:rPr>
            <w:rStyle w:val="Lienhypertexte"/>
            <w:szCs w:val="18"/>
            <w:lang w:val="fr-FR"/>
          </w:rPr>
          <w:t>https://www.gob.pe/institucion/mpfn/noticias/</w:t>
        </w:r>
        <w:r>
          <w:rPr>
            <w:rStyle w:val="Lienhypertexte"/>
            <w:szCs w:val="18"/>
            <w:lang w:val="fr-FR"/>
          </w:rPr>
          <w:t xml:space="preserve"> </w:t>
        </w:r>
        <w:r w:rsidRPr="000430CC">
          <w:rPr>
            <w:rStyle w:val="Lienhypertexte"/>
            <w:szCs w:val="18"/>
            <w:lang w:val="fr-FR"/>
          </w:rPr>
          <w:t>500585-codigo-procesal-penal-entro-en-vigencia-en-16-distritos-de-lima-centro</w:t>
        </w:r>
      </w:hyperlink>
      <w:r w:rsidRPr="000430CC">
        <w:rPr>
          <w:lang w:val="fr-FR"/>
        </w:rPr>
        <w:t>.</w:t>
      </w:r>
    </w:p>
  </w:footnote>
  <w:footnote w:id="15">
    <w:p w14:paraId="46E9F772" w14:textId="580BDEE9"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Congrès. Loi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 xml:space="preserve">30470. Publiée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22</w:t>
      </w:r>
      <w:r>
        <w:rPr>
          <w:lang w:val="fr-FR"/>
        </w:rPr>
        <w:t> </w:t>
      </w:r>
      <w:r w:rsidRPr="000430CC">
        <w:rPr>
          <w:lang w:val="fr-FR"/>
        </w:rPr>
        <w:t>juin 2016.</w:t>
      </w:r>
    </w:p>
  </w:footnote>
  <w:footnote w:id="16">
    <w:p w14:paraId="18C69ECB" w14:textId="62ADD3A8"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MINJUSDH. Direction générale de la recherche des personnes disparues (</w:t>
      </w:r>
      <w:r w:rsidRPr="00F20E07">
        <w:rPr>
          <w:lang w:val="fr-FR"/>
        </w:rPr>
        <w:t>DGBPD</w:t>
      </w:r>
      <w:r w:rsidRPr="000430CC">
        <w:rPr>
          <w:lang w:val="fr-FR"/>
        </w:rPr>
        <w:t>)</w:t>
      </w:r>
      <w:r>
        <w:rPr>
          <w:lang w:val="fr-FR"/>
        </w:rPr>
        <w:t xml:space="preserve"> −</w:t>
      </w:r>
      <w:r w:rsidRPr="000430CC">
        <w:rPr>
          <w:lang w:val="fr-FR"/>
        </w:rPr>
        <w:t xml:space="preserve"> Direction du</w:t>
      </w:r>
      <w:r>
        <w:rPr>
          <w:lang w:val="fr-FR"/>
        </w:rPr>
        <w:t> </w:t>
      </w:r>
      <w:r w:rsidRPr="000430CC">
        <w:rPr>
          <w:lang w:val="fr-FR"/>
        </w:rPr>
        <w:t xml:space="preserve">registre et des enquêtes médico-légales (DRIF). Rapport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003-2021/DRIF en date du 19</w:t>
      </w:r>
      <w:r>
        <w:rPr>
          <w:lang w:val="fr-FR"/>
        </w:rPr>
        <w:t> </w:t>
      </w:r>
      <w:r w:rsidRPr="000430CC">
        <w:rPr>
          <w:lang w:val="fr-FR"/>
        </w:rPr>
        <w:t>janvier</w:t>
      </w:r>
      <w:r>
        <w:rPr>
          <w:lang w:val="fr-FR"/>
        </w:rPr>
        <w:t> </w:t>
      </w:r>
      <w:r w:rsidRPr="000430CC">
        <w:rPr>
          <w:lang w:val="fr-FR"/>
        </w:rPr>
        <w:t>2021</w:t>
      </w:r>
      <w:r>
        <w:rPr>
          <w:lang w:val="fr-FR"/>
        </w:rPr>
        <w:t>.</w:t>
      </w:r>
    </w:p>
  </w:footnote>
  <w:footnote w:id="17">
    <w:p w14:paraId="16C68513" w14:textId="548C5AB8"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CR. Approuvé par accord du Conseil des réparations </w:t>
      </w:r>
      <w:r w:rsidRPr="007C4EB6">
        <w:rPr>
          <w:rFonts w:eastAsia="MS Mincho"/>
          <w:szCs w:val="22"/>
          <w:lang w:val="fr-FR"/>
        </w:rPr>
        <w:t>n</w:t>
      </w:r>
      <w:r w:rsidRPr="007C4EB6">
        <w:rPr>
          <w:rFonts w:eastAsia="MS Mincho"/>
          <w:szCs w:val="22"/>
          <w:vertAlign w:val="superscript"/>
          <w:lang w:val="fr-FR"/>
        </w:rPr>
        <w:t>o</w:t>
      </w:r>
      <w:r>
        <w:rPr>
          <w:lang w:val="fr-FR"/>
        </w:rPr>
        <w:t> </w:t>
      </w:r>
      <w:r w:rsidRPr="000430CC">
        <w:rPr>
          <w:lang w:val="fr-FR"/>
        </w:rPr>
        <w:t>9-08-04 en date du 27</w:t>
      </w:r>
      <w:r>
        <w:rPr>
          <w:lang w:val="fr-FR"/>
        </w:rPr>
        <w:t> </w:t>
      </w:r>
      <w:r w:rsidRPr="000430CC">
        <w:rPr>
          <w:lang w:val="fr-FR"/>
        </w:rPr>
        <w:t>février 2008.</w:t>
      </w:r>
    </w:p>
  </w:footnote>
  <w:footnote w:id="18">
    <w:p w14:paraId="58EBEDA3" w14:textId="6BC3EA18" w:rsidR="00EB4673" w:rsidRPr="00977D83" w:rsidRDefault="00EB4673" w:rsidP="00D22A00">
      <w:pPr>
        <w:pStyle w:val="Notedebasdepage"/>
        <w:rPr>
          <w:spacing w:val="-2"/>
          <w:lang w:val="fr-FR"/>
        </w:rPr>
      </w:pPr>
      <w:r w:rsidRPr="000430CC">
        <w:rPr>
          <w:lang w:val="fr-FR"/>
        </w:rPr>
        <w:tab/>
      </w:r>
      <w:r w:rsidRPr="00D22A00">
        <w:rPr>
          <w:rStyle w:val="Appelnotedebasdep"/>
        </w:rPr>
        <w:footnoteRef/>
      </w:r>
      <w:r w:rsidRPr="000430CC">
        <w:rPr>
          <w:lang w:val="fr-FR"/>
        </w:rPr>
        <w:tab/>
      </w:r>
      <w:r w:rsidRPr="00977D83">
        <w:rPr>
          <w:spacing w:val="-2"/>
          <w:lang w:val="fr-FR"/>
        </w:rPr>
        <w:t xml:space="preserve">MINJUSDH. Conseil des réparations. Rapport </w:t>
      </w:r>
      <w:r w:rsidRPr="00977D83">
        <w:rPr>
          <w:rFonts w:eastAsia="MS Mincho"/>
          <w:spacing w:val="-2"/>
          <w:szCs w:val="22"/>
          <w:lang w:val="fr-FR"/>
        </w:rPr>
        <w:t>n</w:t>
      </w:r>
      <w:r w:rsidRPr="00977D83">
        <w:rPr>
          <w:rFonts w:eastAsia="MS Mincho"/>
          <w:spacing w:val="-2"/>
          <w:szCs w:val="22"/>
          <w:vertAlign w:val="superscript"/>
          <w:lang w:val="fr-FR"/>
        </w:rPr>
        <w:t>o</w:t>
      </w:r>
      <w:r w:rsidRPr="00977D83">
        <w:rPr>
          <w:spacing w:val="-2"/>
          <w:lang w:val="fr-FR"/>
        </w:rPr>
        <w:t> 33-2021-MINJUS-CR/REC en date du 15 juillet 2021.</w:t>
      </w:r>
    </w:p>
  </w:footnote>
  <w:footnote w:id="19">
    <w:p w14:paraId="6E0867D8" w14:textId="3B2872BE"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CR. Séance du 26</w:t>
      </w:r>
      <w:r>
        <w:rPr>
          <w:lang w:val="fr-FR"/>
        </w:rPr>
        <w:t> </w:t>
      </w:r>
      <w:r w:rsidRPr="000430CC">
        <w:rPr>
          <w:lang w:val="fr-FR"/>
        </w:rPr>
        <w:t>décembre 2008. Depuis cette date, dans la pratique, le Conseil des réparations a</w:t>
      </w:r>
      <w:r>
        <w:rPr>
          <w:lang w:val="fr-FR"/>
        </w:rPr>
        <w:t> </w:t>
      </w:r>
      <w:r w:rsidRPr="000430CC">
        <w:rPr>
          <w:lang w:val="fr-FR"/>
        </w:rPr>
        <w:t>utilisé une définition large, conforme à celle de l</w:t>
      </w:r>
      <w:r>
        <w:rPr>
          <w:lang w:val="fr-FR"/>
        </w:rPr>
        <w:t>’</w:t>
      </w:r>
      <w:r w:rsidRPr="000430CC">
        <w:rPr>
          <w:lang w:val="fr-FR"/>
        </w:rPr>
        <w:t>article 2 de la Convention.</w:t>
      </w:r>
    </w:p>
  </w:footnote>
  <w:footnote w:id="20">
    <w:p w14:paraId="5384BD4F" w14:textId="76039614"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MINJUSDH. Conseil des réparations</w:t>
      </w:r>
      <w:r w:rsidRPr="000430CC">
        <w:rPr>
          <w:i/>
          <w:iCs/>
          <w:lang w:val="fr-FR"/>
        </w:rPr>
        <w:t xml:space="preserve">. </w:t>
      </w:r>
      <w:r w:rsidRPr="00D22A00">
        <w:rPr>
          <w:lang w:val="fr-FR"/>
        </w:rPr>
        <w:t xml:space="preserve">Op. </w:t>
      </w:r>
      <w:proofErr w:type="spellStart"/>
      <w:r>
        <w:rPr>
          <w:lang w:val="fr-FR"/>
        </w:rPr>
        <w:t>c</w:t>
      </w:r>
      <w:r w:rsidRPr="00D22A00">
        <w:rPr>
          <w:lang w:val="fr-FR"/>
        </w:rPr>
        <w:t>it</w:t>
      </w:r>
      <w:proofErr w:type="spellEnd"/>
      <w:r w:rsidRPr="00D22A00">
        <w:rPr>
          <w:lang w:val="fr-FR"/>
        </w:rPr>
        <w:t>.</w:t>
      </w:r>
      <w:r w:rsidRPr="000430CC">
        <w:rPr>
          <w:lang w:val="fr-FR"/>
        </w:rPr>
        <w:t xml:space="preserve"> p. 4 et 5.</w:t>
      </w:r>
    </w:p>
  </w:footnote>
  <w:footnote w:id="21">
    <w:p w14:paraId="265F52A6" w14:textId="0825F679"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CSJR. Cour pénale spéciale. Dossier </w:t>
      </w:r>
      <w:r w:rsidRPr="00D22A00">
        <w:rPr>
          <w:rFonts w:eastAsia="MS Mincho"/>
          <w:szCs w:val="22"/>
          <w:lang w:val="fr-FR"/>
        </w:rPr>
        <w:t>n</w:t>
      </w:r>
      <w:r w:rsidRPr="00D22A00">
        <w:rPr>
          <w:rFonts w:eastAsia="MS Mincho"/>
          <w:szCs w:val="22"/>
          <w:vertAlign w:val="superscript"/>
          <w:lang w:val="fr-FR"/>
        </w:rPr>
        <w:t>o</w:t>
      </w:r>
      <w:r>
        <w:rPr>
          <w:lang w:val="fr-FR"/>
        </w:rPr>
        <w:t> </w:t>
      </w:r>
      <w:r w:rsidRPr="000430CC">
        <w:rPr>
          <w:lang w:val="fr-FR"/>
        </w:rPr>
        <w:t xml:space="preserve">00006-2001-4-50001-SU-PE-01. Contrôle de la conventionalité Alberto Fujimori </w:t>
      </w:r>
      <w:proofErr w:type="spellStart"/>
      <w:r w:rsidRPr="000430CC">
        <w:rPr>
          <w:lang w:val="fr-FR"/>
        </w:rPr>
        <w:t>Fujimori</w:t>
      </w:r>
      <w:proofErr w:type="spellEnd"/>
      <w:r w:rsidRPr="000430CC">
        <w:rPr>
          <w:lang w:val="fr-FR"/>
        </w:rPr>
        <w:t xml:space="preserve"> ou Kenya Fujimori, par. 2.9, p. 34.</w:t>
      </w:r>
    </w:p>
  </w:footnote>
  <w:footnote w:id="22">
    <w:p w14:paraId="31F260B4" w14:textId="77777777" w:rsidR="00EB4673" w:rsidRPr="00D22A00"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r>
      <w:r w:rsidRPr="00D22A00">
        <w:rPr>
          <w:lang w:val="fr-FR"/>
        </w:rPr>
        <w:t>Ibid.</w:t>
      </w:r>
    </w:p>
  </w:footnote>
  <w:footnote w:id="23">
    <w:p w14:paraId="3A74AE49" w14:textId="77777777" w:rsidR="00EB4673" w:rsidRPr="00D22A00" w:rsidRDefault="00EB4673" w:rsidP="00D22A00">
      <w:pPr>
        <w:pStyle w:val="Notedebasdepage"/>
        <w:rPr>
          <w:lang w:val="fr-FR"/>
        </w:rPr>
      </w:pPr>
      <w:r w:rsidRPr="00D22A00">
        <w:rPr>
          <w:lang w:val="fr-FR"/>
        </w:rPr>
        <w:tab/>
      </w:r>
      <w:r w:rsidRPr="00D22A00">
        <w:rPr>
          <w:rStyle w:val="Appelnotedebasdep"/>
        </w:rPr>
        <w:footnoteRef/>
      </w:r>
      <w:r w:rsidRPr="00D22A00">
        <w:rPr>
          <w:lang w:val="fr-FR"/>
        </w:rPr>
        <w:tab/>
        <w:t>Ibid.</w:t>
      </w:r>
    </w:p>
  </w:footnote>
  <w:footnote w:id="24">
    <w:p w14:paraId="294EF8A5" w14:textId="77777777" w:rsidR="00EB4673" w:rsidRPr="00D22A00" w:rsidRDefault="00EB4673" w:rsidP="00D22A00">
      <w:pPr>
        <w:pStyle w:val="Notedebasdepage"/>
        <w:rPr>
          <w:lang w:val="fr-FR"/>
        </w:rPr>
      </w:pPr>
      <w:r w:rsidRPr="00D22A00">
        <w:rPr>
          <w:lang w:val="fr-FR"/>
        </w:rPr>
        <w:tab/>
      </w:r>
      <w:r w:rsidRPr="00D22A00">
        <w:rPr>
          <w:rStyle w:val="Appelnotedebasdep"/>
        </w:rPr>
        <w:footnoteRef/>
      </w:r>
      <w:r w:rsidRPr="00D22A00">
        <w:rPr>
          <w:lang w:val="fr-FR"/>
        </w:rPr>
        <w:tab/>
        <w:t>Ibid.</w:t>
      </w:r>
    </w:p>
  </w:footnote>
  <w:footnote w:id="25">
    <w:p w14:paraId="55A5886A" w14:textId="5219BC80"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MINJUSDH. D.S. </w:t>
      </w:r>
      <w:r w:rsidRPr="00D22A00">
        <w:rPr>
          <w:rFonts w:eastAsia="MS Mincho"/>
          <w:szCs w:val="22"/>
          <w:lang w:val="fr-FR"/>
        </w:rPr>
        <w:t>n</w:t>
      </w:r>
      <w:r w:rsidRPr="00D22A00">
        <w:rPr>
          <w:rFonts w:eastAsia="MS Mincho"/>
          <w:szCs w:val="22"/>
          <w:vertAlign w:val="superscript"/>
          <w:lang w:val="fr-FR"/>
        </w:rPr>
        <w:t>o</w:t>
      </w:r>
      <w:r>
        <w:rPr>
          <w:lang w:val="fr-FR"/>
        </w:rPr>
        <w:t> </w:t>
      </w:r>
      <w:r w:rsidRPr="000430CC">
        <w:rPr>
          <w:lang w:val="fr-FR"/>
        </w:rPr>
        <w:t xml:space="preserve">004-2020-JUS. 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23</w:t>
      </w:r>
      <w:r>
        <w:rPr>
          <w:lang w:val="fr-FR"/>
        </w:rPr>
        <w:t> </w:t>
      </w:r>
      <w:r w:rsidRPr="000430CC">
        <w:rPr>
          <w:lang w:val="fr-FR"/>
        </w:rPr>
        <w:t>avril 2020.</w:t>
      </w:r>
    </w:p>
  </w:footnote>
  <w:footnote w:id="26">
    <w:p w14:paraId="4A6F265F" w14:textId="5084B1CF"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Congrès. Loi </w:t>
      </w:r>
      <w:r w:rsidRPr="00D22A00">
        <w:rPr>
          <w:rFonts w:eastAsia="MS Mincho"/>
          <w:szCs w:val="22"/>
          <w:lang w:val="fr-FR"/>
        </w:rPr>
        <w:t>n</w:t>
      </w:r>
      <w:r w:rsidRPr="00D22A00">
        <w:rPr>
          <w:rFonts w:eastAsia="MS Mincho"/>
          <w:szCs w:val="22"/>
          <w:vertAlign w:val="superscript"/>
          <w:lang w:val="fr-FR"/>
        </w:rPr>
        <w:t>o</w:t>
      </w:r>
      <w:r>
        <w:rPr>
          <w:szCs w:val="18"/>
          <w:lang w:val="fr-FR"/>
        </w:rPr>
        <w:t> </w:t>
      </w:r>
      <w:r w:rsidRPr="000430CC">
        <w:rPr>
          <w:lang w:val="fr-FR"/>
        </w:rPr>
        <w:t xml:space="preserve">28592. Publiée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29</w:t>
      </w:r>
      <w:r>
        <w:rPr>
          <w:lang w:val="fr-FR"/>
        </w:rPr>
        <w:t> </w:t>
      </w:r>
      <w:r w:rsidRPr="000430CC">
        <w:rPr>
          <w:lang w:val="fr-FR"/>
        </w:rPr>
        <w:t>juillet 2005.</w:t>
      </w:r>
    </w:p>
  </w:footnote>
  <w:footnote w:id="27">
    <w:p w14:paraId="251FD884" w14:textId="77777777" w:rsidR="00EB4673" w:rsidRPr="00D22A00" w:rsidRDefault="00EB4673" w:rsidP="00D22A00">
      <w:pPr>
        <w:pStyle w:val="Notedebasdepage"/>
        <w:rPr>
          <w:lang w:val="en-US"/>
        </w:rPr>
      </w:pPr>
      <w:r w:rsidRPr="000430CC">
        <w:rPr>
          <w:lang w:val="fr-FR"/>
        </w:rPr>
        <w:tab/>
      </w:r>
      <w:r w:rsidRPr="00D22A00">
        <w:rPr>
          <w:rStyle w:val="Appelnotedebasdep"/>
        </w:rPr>
        <w:footnoteRef/>
      </w:r>
      <w:r w:rsidRPr="000430CC">
        <w:rPr>
          <w:lang w:val="en-US"/>
        </w:rPr>
        <w:tab/>
        <w:t xml:space="preserve">MINJUSDH. CR. </w:t>
      </w:r>
      <w:r w:rsidRPr="00D22A00">
        <w:rPr>
          <w:lang w:val="en-US"/>
        </w:rPr>
        <w:t>Op. cit. p. 5.</w:t>
      </w:r>
    </w:p>
  </w:footnote>
  <w:footnote w:id="28">
    <w:p w14:paraId="51C1F6CD" w14:textId="77777777" w:rsidR="00EB4673" w:rsidRPr="00D22A00" w:rsidRDefault="00EB4673" w:rsidP="00D22A00">
      <w:pPr>
        <w:pStyle w:val="Notedebasdepage"/>
        <w:rPr>
          <w:lang w:val="en-US"/>
        </w:rPr>
      </w:pPr>
      <w:r w:rsidRPr="00D22A00">
        <w:rPr>
          <w:lang w:val="en-US"/>
        </w:rPr>
        <w:tab/>
      </w:r>
      <w:r w:rsidRPr="00D22A00">
        <w:rPr>
          <w:rStyle w:val="Appelnotedebasdep"/>
        </w:rPr>
        <w:footnoteRef/>
      </w:r>
      <w:r w:rsidRPr="00D22A00">
        <w:rPr>
          <w:lang w:val="en-US"/>
        </w:rPr>
        <w:tab/>
        <w:t>MINJUSDH. CR. Op. cit. p. 5.</w:t>
      </w:r>
    </w:p>
  </w:footnote>
  <w:footnote w:id="29">
    <w:p w14:paraId="1925EED1" w14:textId="77777777" w:rsidR="00EB4673" w:rsidRPr="00D22A00" w:rsidRDefault="00EB4673" w:rsidP="00D22A00">
      <w:pPr>
        <w:pStyle w:val="Notedebasdepage"/>
        <w:rPr>
          <w:lang w:val="en-US"/>
        </w:rPr>
      </w:pPr>
      <w:r w:rsidRPr="00D22A00">
        <w:rPr>
          <w:lang w:val="en-US"/>
        </w:rPr>
        <w:tab/>
      </w:r>
      <w:r w:rsidRPr="00D22A00">
        <w:rPr>
          <w:rStyle w:val="Appelnotedebasdep"/>
        </w:rPr>
        <w:footnoteRef/>
      </w:r>
      <w:r w:rsidRPr="00D22A00">
        <w:rPr>
          <w:lang w:val="en-US"/>
        </w:rPr>
        <w:tab/>
        <w:t>MINJUSDH. CR. Op. cit. p. 6.</w:t>
      </w:r>
    </w:p>
  </w:footnote>
  <w:footnote w:id="30">
    <w:p w14:paraId="5F478152" w14:textId="77777777" w:rsidR="00EB4673" w:rsidRPr="00D22A00" w:rsidRDefault="00EB4673" w:rsidP="00D22A00">
      <w:pPr>
        <w:pStyle w:val="Notedebasdepage"/>
        <w:rPr>
          <w:lang w:val="en-US"/>
        </w:rPr>
      </w:pPr>
      <w:r w:rsidRPr="00D22A00">
        <w:rPr>
          <w:lang w:val="en-US"/>
        </w:rPr>
        <w:tab/>
      </w:r>
      <w:r w:rsidRPr="00D22A00">
        <w:rPr>
          <w:rStyle w:val="Appelnotedebasdep"/>
        </w:rPr>
        <w:footnoteRef/>
      </w:r>
      <w:r w:rsidRPr="00D22A00">
        <w:rPr>
          <w:lang w:val="en-US"/>
        </w:rPr>
        <w:tab/>
        <w:t>MINJUSDH. CR. Op. cit. p. 6.</w:t>
      </w:r>
    </w:p>
  </w:footnote>
  <w:footnote w:id="31">
    <w:p w14:paraId="553905DF" w14:textId="2DDC6647" w:rsidR="00EB4673" w:rsidRPr="000430CC" w:rsidRDefault="00EB4673" w:rsidP="00D22A00">
      <w:pPr>
        <w:pStyle w:val="Notedebasdepage"/>
        <w:rPr>
          <w:lang w:val="fr-FR"/>
        </w:rPr>
      </w:pPr>
      <w:r w:rsidRPr="000430CC">
        <w:rPr>
          <w:lang w:val="en-US"/>
        </w:rPr>
        <w:tab/>
      </w:r>
      <w:r w:rsidRPr="00D22A00">
        <w:rPr>
          <w:rStyle w:val="Appelnotedebasdep"/>
        </w:rPr>
        <w:footnoteRef/>
      </w:r>
      <w:r w:rsidRPr="000430CC">
        <w:rPr>
          <w:lang w:val="fr-FR"/>
        </w:rPr>
        <w:tab/>
        <w:t xml:space="preserve">Le </w:t>
      </w:r>
      <w:r w:rsidRPr="00F20E07">
        <w:rPr>
          <w:lang w:val="fr-FR"/>
        </w:rPr>
        <w:t>MINJUSDH</w:t>
      </w:r>
      <w:r w:rsidRPr="000430CC">
        <w:rPr>
          <w:lang w:val="fr-FR"/>
        </w:rPr>
        <w:t>, le Ministère de l</w:t>
      </w:r>
      <w:r>
        <w:rPr>
          <w:lang w:val="fr-FR"/>
        </w:rPr>
        <w:t>’</w:t>
      </w:r>
      <w:r w:rsidRPr="000430CC">
        <w:rPr>
          <w:lang w:val="fr-FR"/>
        </w:rPr>
        <w:t>intérieur (MININTER), le Ministère de l</w:t>
      </w:r>
      <w:r>
        <w:rPr>
          <w:lang w:val="fr-FR"/>
        </w:rPr>
        <w:t>’</w:t>
      </w:r>
      <w:r w:rsidRPr="000430CC">
        <w:rPr>
          <w:lang w:val="fr-FR"/>
        </w:rPr>
        <w:t>économie et des finances (MEF), le Ministère de la femme et des populations vulnérables (MIMP), le Ministère de la défense (MINDEF), le Ministère de l</w:t>
      </w:r>
      <w:r>
        <w:rPr>
          <w:lang w:val="fr-FR"/>
        </w:rPr>
        <w:t>’</w:t>
      </w:r>
      <w:r w:rsidRPr="000430CC">
        <w:rPr>
          <w:lang w:val="fr-FR"/>
        </w:rPr>
        <w:t>éducation (MINEDU), le Ministère de la santé (MINSA), le Ministère du travail et de la promotion de l</w:t>
      </w:r>
      <w:r>
        <w:rPr>
          <w:lang w:val="fr-FR"/>
        </w:rPr>
        <w:t>’</w:t>
      </w:r>
      <w:r w:rsidRPr="000430CC">
        <w:rPr>
          <w:lang w:val="fr-FR"/>
        </w:rPr>
        <w:t>emploi (MTPE), le Ministère du développement et de l</w:t>
      </w:r>
      <w:r>
        <w:rPr>
          <w:lang w:val="fr-FR"/>
        </w:rPr>
        <w:t>’</w:t>
      </w:r>
      <w:r w:rsidRPr="000430CC">
        <w:rPr>
          <w:lang w:val="fr-FR"/>
        </w:rPr>
        <w:t>inclusion sociale (MIDIS), le Ministère du logement, de la construction et de l</w:t>
      </w:r>
      <w:r>
        <w:rPr>
          <w:lang w:val="fr-FR"/>
        </w:rPr>
        <w:t>’</w:t>
      </w:r>
      <w:r w:rsidRPr="000430CC">
        <w:rPr>
          <w:lang w:val="fr-FR"/>
        </w:rPr>
        <w:t>assainissement (MVCS), le Ministère du développement agraire et de l</w:t>
      </w:r>
      <w:r>
        <w:rPr>
          <w:lang w:val="fr-FR"/>
        </w:rPr>
        <w:t>’</w:t>
      </w:r>
      <w:r w:rsidRPr="000430CC">
        <w:rPr>
          <w:lang w:val="fr-FR"/>
        </w:rPr>
        <w:t>irrigation (MIDAGRI), et le Ministère de la culture (MINCUL).</w:t>
      </w:r>
    </w:p>
  </w:footnote>
  <w:footnote w:id="32">
    <w:p w14:paraId="07A3291C" w14:textId="4251261F" w:rsidR="00EB4673" w:rsidRPr="000430CC" w:rsidRDefault="00EB4673" w:rsidP="00D22A00">
      <w:pPr>
        <w:pStyle w:val="Notedebasdepage"/>
        <w:rPr>
          <w:lang w:val="fr-FR"/>
        </w:rPr>
      </w:pPr>
      <w:r w:rsidRPr="000430CC">
        <w:rPr>
          <w:lang w:val="fr-FR"/>
        </w:rPr>
        <w:tab/>
      </w:r>
      <w:r w:rsidRPr="00D22A00">
        <w:rPr>
          <w:rStyle w:val="Appelnotedebasdep"/>
        </w:rPr>
        <w:footnoteRef/>
      </w:r>
      <w:r w:rsidRPr="00D22A00">
        <w:rPr>
          <w:lang w:val="es-ES"/>
        </w:rPr>
        <w:tab/>
        <w:t xml:space="preserve">PCM. D.S. </w:t>
      </w:r>
      <w:r w:rsidRPr="00D22A00">
        <w:rPr>
          <w:rFonts w:eastAsia="MS Mincho"/>
          <w:szCs w:val="22"/>
          <w:lang w:val="es-ES"/>
        </w:rPr>
        <w:t>n</w:t>
      </w:r>
      <w:r w:rsidRPr="00D22A00">
        <w:rPr>
          <w:rFonts w:eastAsia="MS Mincho"/>
          <w:szCs w:val="22"/>
          <w:vertAlign w:val="superscript"/>
          <w:lang w:val="es-ES"/>
        </w:rPr>
        <w:t>o</w:t>
      </w:r>
      <w:r w:rsidRPr="00D22A00">
        <w:rPr>
          <w:szCs w:val="18"/>
          <w:lang w:val="es-ES"/>
        </w:rPr>
        <w:t> </w:t>
      </w:r>
      <w:r w:rsidRPr="00D22A00">
        <w:rPr>
          <w:lang w:val="es-ES"/>
        </w:rPr>
        <w:t xml:space="preserve">004-2020-JUS.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6</w:t>
      </w:r>
      <w:r>
        <w:rPr>
          <w:lang w:val="fr-FR"/>
        </w:rPr>
        <w:t> </w:t>
      </w:r>
      <w:r w:rsidRPr="000430CC">
        <w:rPr>
          <w:lang w:val="fr-FR"/>
        </w:rPr>
        <w:t>février 2004.</w:t>
      </w:r>
    </w:p>
  </w:footnote>
  <w:footnote w:id="33">
    <w:p w14:paraId="196CDCA2" w14:textId="5CF091F9"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MINJUSDH. Commission multisectorielle de haut niveau (CMAN). Communication </w:t>
      </w:r>
      <w:r w:rsidRPr="00D22A00">
        <w:rPr>
          <w:rFonts w:eastAsia="MS Mincho"/>
          <w:szCs w:val="22"/>
          <w:lang w:val="fr-FR"/>
        </w:rPr>
        <w:t>n</w:t>
      </w:r>
      <w:r w:rsidRPr="00D22A00">
        <w:rPr>
          <w:rFonts w:eastAsia="MS Mincho"/>
          <w:szCs w:val="22"/>
          <w:vertAlign w:val="superscript"/>
          <w:lang w:val="fr-FR"/>
        </w:rPr>
        <w:t>o</w:t>
      </w:r>
      <w:r>
        <w:rPr>
          <w:szCs w:val="18"/>
          <w:lang w:val="fr-FR"/>
        </w:rPr>
        <w:t> </w:t>
      </w:r>
      <w:r w:rsidRPr="000430CC">
        <w:rPr>
          <w:lang w:val="fr-FR"/>
        </w:rPr>
        <w:t>1293-2021-JUS/CMAN-SE en date du 13</w:t>
      </w:r>
      <w:r>
        <w:rPr>
          <w:lang w:val="fr-FR"/>
        </w:rPr>
        <w:t> </w:t>
      </w:r>
      <w:r w:rsidRPr="000430CC">
        <w:rPr>
          <w:lang w:val="fr-FR"/>
        </w:rPr>
        <w:t>juillet 2021, p. 1.</w:t>
      </w:r>
    </w:p>
  </w:footnote>
  <w:footnote w:id="34">
    <w:p w14:paraId="0058F4F1" w14:textId="33F4B3D5" w:rsidR="00EB4673" w:rsidRPr="000430CC" w:rsidRDefault="00EB4673" w:rsidP="00D22A00">
      <w:pPr>
        <w:pStyle w:val="Notedebasdepage"/>
        <w:rPr>
          <w:lang w:val="fr-FR"/>
        </w:rPr>
      </w:pPr>
      <w:r w:rsidRPr="000430CC">
        <w:rPr>
          <w:lang w:val="fr-FR"/>
        </w:rPr>
        <w:tab/>
      </w:r>
      <w:r w:rsidRPr="00D22A00">
        <w:rPr>
          <w:rStyle w:val="Appelnotedebasdep"/>
        </w:rPr>
        <w:footnoteRef/>
      </w:r>
      <w:r w:rsidRPr="00C31288">
        <w:rPr>
          <w:lang w:val="es-ES"/>
        </w:rPr>
        <w:tab/>
        <w:t xml:space="preserve">MINJUSDH. R.M. </w:t>
      </w:r>
      <w:r w:rsidRPr="00C31288">
        <w:rPr>
          <w:rFonts w:eastAsia="MS Mincho"/>
          <w:szCs w:val="22"/>
          <w:lang w:val="es-ES"/>
        </w:rPr>
        <w:t>n</w:t>
      </w:r>
      <w:r w:rsidRPr="00C31288">
        <w:rPr>
          <w:rFonts w:eastAsia="MS Mincho"/>
          <w:szCs w:val="22"/>
          <w:vertAlign w:val="superscript"/>
          <w:lang w:val="es-ES"/>
        </w:rPr>
        <w:t>o</w:t>
      </w:r>
      <w:r w:rsidRPr="00C31288">
        <w:rPr>
          <w:szCs w:val="18"/>
          <w:lang w:val="es-ES"/>
        </w:rPr>
        <w:t> </w:t>
      </w:r>
      <w:r w:rsidRPr="00C31288">
        <w:rPr>
          <w:lang w:val="es-ES"/>
        </w:rPr>
        <w:t xml:space="preserve">0219-2017-JUS.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8</w:t>
      </w:r>
      <w:r>
        <w:rPr>
          <w:lang w:val="fr-FR"/>
        </w:rPr>
        <w:t> </w:t>
      </w:r>
      <w:r w:rsidRPr="000430CC">
        <w:rPr>
          <w:lang w:val="fr-FR"/>
        </w:rPr>
        <w:t>janvier 2017.</w:t>
      </w:r>
    </w:p>
  </w:footnote>
  <w:footnote w:id="35">
    <w:p w14:paraId="6FB97CF7" w14:textId="77777777" w:rsidR="00EB4673" w:rsidRPr="002F0D63" w:rsidRDefault="00EB4673" w:rsidP="00D22A00">
      <w:pPr>
        <w:pStyle w:val="Notedebasdepage"/>
        <w:rPr>
          <w:lang w:val="en-US"/>
        </w:rPr>
      </w:pPr>
      <w:r w:rsidRPr="000430CC">
        <w:rPr>
          <w:lang w:val="fr-FR"/>
        </w:rPr>
        <w:tab/>
      </w:r>
      <w:r w:rsidRPr="00D22A00">
        <w:rPr>
          <w:rStyle w:val="Appelnotedebasdep"/>
        </w:rPr>
        <w:footnoteRef/>
      </w:r>
      <w:r w:rsidRPr="002F0D63">
        <w:rPr>
          <w:lang w:val="en-US"/>
        </w:rPr>
        <w:tab/>
        <w:t xml:space="preserve">MINJUSDH. CMAN. </w:t>
      </w:r>
      <w:r w:rsidRPr="00D22A00">
        <w:rPr>
          <w:lang w:val="en-US"/>
        </w:rPr>
        <w:t>Op. cit.</w:t>
      </w:r>
      <w:r w:rsidRPr="002F0D63">
        <w:rPr>
          <w:lang w:val="en-US"/>
        </w:rPr>
        <w:t xml:space="preserve"> p. 2.</w:t>
      </w:r>
    </w:p>
  </w:footnote>
  <w:footnote w:id="36">
    <w:p w14:paraId="39FC1182" w14:textId="77777777" w:rsidR="00EB4673" w:rsidRPr="00930733" w:rsidRDefault="00EB4673" w:rsidP="00D22A00">
      <w:pPr>
        <w:pStyle w:val="Notedebasdepage"/>
        <w:rPr>
          <w:lang w:val="en-US"/>
        </w:rPr>
      </w:pPr>
      <w:r w:rsidRPr="000430CC">
        <w:rPr>
          <w:lang w:val="en-US"/>
        </w:rPr>
        <w:tab/>
      </w:r>
      <w:r w:rsidRPr="00D22A00">
        <w:rPr>
          <w:rStyle w:val="Appelnotedebasdep"/>
        </w:rPr>
        <w:footnoteRef/>
      </w:r>
      <w:r w:rsidRPr="000430CC">
        <w:rPr>
          <w:lang w:val="en-US"/>
        </w:rPr>
        <w:tab/>
        <w:t xml:space="preserve">MINJUSDH. CMAN. </w:t>
      </w:r>
      <w:r w:rsidRPr="00930733">
        <w:rPr>
          <w:lang w:val="en-US"/>
        </w:rPr>
        <w:t>Op. cit. p. 2.</w:t>
      </w:r>
    </w:p>
  </w:footnote>
  <w:footnote w:id="37">
    <w:p w14:paraId="1638812B" w14:textId="792C9932" w:rsidR="00EB4673" w:rsidRPr="000430CC" w:rsidRDefault="00EB4673" w:rsidP="00D22A00">
      <w:pPr>
        <w:pStyle w:val="Notedebasdepage"/>
        <w:rPr>
          <w:lang w:val="fr-FR"/>
        </w:rPr>
      </w:pPr>
      <w:r w:rsidRPr="000430CC">
        <w:rPr>
          <w:lang w:val="en-US"/>
        </w:rPr>
        <w:tab/>
      </w:r>
      <w:r w:rsidRPr="00D22A00">
        <w:rPr>
          <w:rStyle w:val="Appelnotedebasdep"/>
        </w:rPr>
        <w:footnoteRef/>
      </w:r>
      <w:r w:rsidRPr="00930733">
        <w:rPr>
          <w:lang w:val="es-ES"/>
        </w:rPr>
        <w:tab/>
        <w:t xml:space="preserve">PCM. R.S. </w:t>
      </w:r>
      <w:r w:rsidRPr="00930733">
        <w:rPr>
          <w:rFonts w:eastAsia="MS Mincho"/>
          <w:szCs w:val="22"/>
          <w:lang w:val="es-ES"/>
        </w:rPr>
        <w:t>n</w:t>
      </w:r>
      <w:r w:rsidRPr="00930733">
        <w:rPr>
          <w:rFonts w:eastAsia="MS Mincho"/>
          <w:szCs w:val="22"/>
          <w:vertAlign w:val="superscript"/>
          <w:lang w:val="es-ES"/>
        </w:rPr>
        <w:t>o</w:t>
      </w:r>
      <w:r w:rsidRPr="00930733">
        <w:rPr>
          <w:szCs w:val="18"/>
          <w:lang w:val="es-ES"/>
        </w:rPr>
        <w:t> </w:t>
      </w:r>
      <w:r w:rsidRPr="00930733">
        <w:rPr>
          <w:lang w:val="es-ES"/>
        </w:rPr>
        <w:t xml:space="preserve">113-2018-PCM.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9</w:t>
      </w:r>
      <w:r>
        <w:rPr>
          <w:lang w:val="fr-FR"/>
        </w:rPr>
        <w:t> </w:t>
      </w:r>
      <w:r w:rsidRPr="000430CC">
        <w:rPr>
          <w:lang w:val="fr-FR"/>
        </w:rPr>
        <w:t>mai 2018.</w:t>
      </w:r>
    </w:p>
  </w:footnote>
  <w:footnote w:id="38">
    <w:p w14:paraId="10C01967" w14:textId="638B033D"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MINJUSDH. CMAN. Annexe à la communication </w:t>
      </w:r>
      <w:r w:rsidRPr="00D22A00">
        <w:rPr>
          <w:rFonts w:eastAsia="MS Mincho"/>
          <w:szCs w:val="22"/>
          <w:lang w:val="fr-FR"/>
        </w:rPr>
        <w:t>n</w:t>
      </w:r>
      <w:r w:rsidRPr="00D22A00">
        <w:rPr>
          <w:rFonts w:eastAsia="MS Mincho"/>
          <w:szCs w:val="22"/>
          <w:vertAlign w:val="superscript"/>
          <w:lang w:val="fr-FR"/>
        </w:rPr>
        <w:t>o</w:t>
      </w:r>
      <w:r>
        <w:rPr>
          <w:szCs w:val="18"/>
          <w:lang w:val="fr-FR"/>
        </w:rPr>
        <w:t> </w:t>
      </w:r>
      <w:r w:rsidRPr="000430CC">
        <w:rPr>
          <w:lang w:val="fr-FR"/>
        </w:rPr>
        <w:t>1694-2021-JUS/SE. Informations actualisées en</w:t>
      </w:r>
      <w:r w:rsidR="00586BF4">
        <w:rPr>
          <w:lang w:val="fr-FR"/>
        </w:rPr>
        <w:t> </w:t>
      </w:r>
      <w:r w:rsidRPr="000430CC">
        <w:rPr>
          <w:lang w:val="fr-FR"/>
        </w:rPr>
        <w:t>date du 28</w:t>
      </w:r>
      <w:r>
        <w:rPr>
          <w:lang w:val="fr-FR"/>
        </w:rPr>
        <w:t> </w:t>
      </w:r>
      <w:r w:rsidRPr="000430CC">
        <w:rPr>
          <w:lang w:val="fr-FR"/>
        </w:rPr>
        <w:t>septembre 2021</w:t>
      </w:r>
    </w:p>
  </w:footnote>
  <w:footnote w:id="39">
    <w:p w14:paraId="349B4289" w14:textId="3FC0A8A4"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MINJUSDH. CMAN. Annexe à la communication </w:t>
      </w:r>
      <w:r w:rsidRPr="00D22A00">
        <w:rPr>
          <w:rFonts w:eastAsia="MS Mincho"/>
          <w:szCs w:val="22"/>
          <w:lang w:val="fr-FR"/>
        </w:rPr>
        <w:t>n</w:t>
      </w:r>
      <w:r w:rsidRPr="00D22A00">
        <w:rPr>
          <w:rFonts w:eastAsia="MS Mincho"/>
          <w:szCs w:val="22"/>
          <w:vertAlign w:val="superscript"/>
          <w:lang w:val="fr-FR"/>
        </w:rPr>
        <w:t>o</w:t>
      </w:r>
      <w:r>
        <w:rPr>
          <w:szCs w:val="18"/>
          <w:lang w:val="fr-FR"/>
        </w:rPr>
        <w:t> </w:t>
      </w:r>
      <w:r w:rsidRPr="000430CC">
        <w:rPr>
          <w:lang w:val="fr-FR"/>
        </w:rPr>
        <w:t>1694-2021-JUS/SE. Informations actualisées en</w:t>
      </w:r>
      <w:r w:rsidR="00586BF4">
        <w:rPr>
          <w:lang w:val="fr-FR"/>
        </w:rPr>
        <w:t> </w:t>
      </w:r>
      <w:r w:rsidRPr="000430CC">
        <w:rPr>
          <w:lang w:val="fr-FR"/>
        </w:rPr>
        <w:t>date du 28</w:t>
      </w:r>
      <w:r>
        <w:rPr>
          <w:lang w:val="fr-FR"/>
        </w:rPr>
        <w:t> </w:t>
      </w:r>
      <w:r w:rsidRPr="000430CC">
        <w:rPr>
          <w:lang w:val="fr-FR"/>
        </w:rPr>
        <w:t>septembre 2021</w:t>
      </w:r>
      <w:bookmarkStart w:id="3" w:name="_Hlk83978060"/>
      <w:bookmarkEnd w:id="3"/>
      <w:r w:rsidRPr="000430CC">
        <w:rPr>
          <w:lang w:val="fr-FR"/>
        </w:rPr>
        <w:t>.</w:t>
      </w:r>
    </w:p>
  </w:footnote>
  <w:footnote w:id="40">
    <w:p w14:paraId="43544B80" w14:textId="77777777" w:rsidR="00EB4673" w:rsidRPr="00930733" w:rsidRDefault="00EB4673" w:rsidP="00D22A00">
      <w:pPr>
        <w:pStyle w:val="Notedebasdepage"/>
      </w:pPr>
      <w:r w:rsidRPr="000430CC">
        <w:rPr>
          <w:lang w:val="fr-FR"/>
        </w:rPr>
        <w:tab/>
      </w:r>
      <w:r w:rsidRPr="00D22A00">
        <w:rPr>
          <w:rStyle w:val="Appelnotedebasdep"/>
        </w:rPr>
        <w:footnoteRef/>
      </w:r>
      <w:r w:rsidRPr="00C0030C">
        <w:tab/>
        <w:t xml:space="preserve">MINJUSDH. CMAN. </w:t>
      </w:r>
      <w:r w:rsidRPr="00930733">
        <w:t xml:space="preserve">Op. </w:t>
      </w:r>
      <w:proofErr w:type="spellStart"/>
      <w:r w:rsidRPr="00930733">
        <w:t>cit</w:t>
      </w:r>
      <w:proofErr w:type="spellEnd"/>
      <w:r w:rsidRPr="00930733">
        <w:t>. p. 2.</w:t>
      </w:r>
    </w:p>
  </w:footnote>
  <w:footnote w:id="41">
    <w:p w14:paraId="13E13D27" w14:textId="77777777" w:rsidR="00EB4673" w:rsidRPr="00930733" w:rsidRDefault="00EB4673" w:rsidP="00D22A00">
      <w:pPr>
        <w:pStyle w:val="Notedebasdepage"/>
        <w:rPr>
          <w:lang w:val="en-US"/>
        </w:rPr>
      </w:pPr>
      <w:r w:rsidRPr="00930733">
        <w:tab/>
      </w:r>
      <w:r w:rsidRPr="00930733">
        <w:rPr>
          <w:rStyle w:val="Appelnotedebasdep"/>
        </w:rPr>
        <w:footnoteRef/>
      </w:r>
      <w:r w:rsidRPr="00930733">
        <w:rPr>
          <w:lang w:val="en-US"/>
        </w:rPr>
        <w:tab/>
        <w:t>MINJUSDH. CMAN. Op. cit. p. 2.</w:t>
      </w:r>
    </w:p>
  </w:footnote>
  <w:footnote w:id="42">
    <w:p w14:paraId="42F3B7DE" w14:textId="77777777" w:rsidR="00EB4673" w:rsidRPr="00930733" w:rsidRDefault="00EB4673" w:rsidP="00D22A00">
      <w:pPr>
        <w:pStyle w:val="Notedebasdepage"/>
        <w:rPr>
          <w:lang w:val="en-US"/>
        </w:rPr>
      </w:pPr>
      <w:r w:rsidRPr="00930733">
        <w:rPr>
          <w:lang w:val="en-US"/>
        </w:rPr>
        <w:tab/>
      </w:r>
      <w:r w:rsidRPr="00930733">
        <w:rPr>
          <w:rStyle w:val="Appelnotedebasdep"/>
        </w:rPr>
        <w:footnoteRef/>
      </w:r>
      <w:r w:rsidRPr="00930733">
        <w:rPr>
          <w:lang w:val="en-US"/>
        </w:rPr>
        <w:tab/>
        <w:t>MINJUSDH. CMAN. Op. cit. p. 2.</w:t>
      </w:r>
    </w:p>
  </w:footnote>
  <w:footnote w:id="43">
    <w:p w14:paraId="1AE18A0E" w14:textId="51D65585" w:rsidR="00EB4673" w:rsidRPr="000430CC" w:rsidRDefault="00EB4673" w:rsidP="00D22A00">
      <w:pPr>
        <w:pStyle w:val="Notedebasdepage"/>
        <w:rPr>
          <w:lang w:val="en-US"/>
        </w:rPr>
      </w:pPr>
      <w:r w:rsidRPr="00930733">
        <w:rPr>
          <w:lang w:val="en-US"/>
        </w:rPr>
        <w:tab/>
      </w:r>
      <w:r w:rsidRPr="00930733">
        <w:rPr>
          <w:rStyle w:val="Appelnotedebasdep"/>
        </w:rPr>
        <w:footnoteRef/>
      </w:r>
      <w:r w:rsidRPr="00930733">
        <w:rPr>
          <w:lang w:val="en-US"/>
        </w:rPr>
        <w:tab/>
        <w:t>MINJUSDH. CMAN. Op. cit. p</w:t>
      </w:r>
      <w:r w:rsidRPr="000430CC">
        <w:rPr>
          <w:lang w:val="en-US"/>
        </w:rPr>
        <w:t>. 2.</w:t>
      </w:r>
    </w:p>
  </w:footnote>
  <w:footnote w:id="44">
    <w:p w14:paraId="728FEE26" w14:textId="77777777" w:rsidR="00586BF4" w:rsidRPr="000430CC" w:rsidRDefault="00586BF4" w:rsidP="00586BF4">
      <w:pPr>
        <w:pStyle w:val="Notedebasdepage"/>
        <w:rPr>
          <w:lang w:val="fr-FR"/>
        </w:rPr>
      </w:pPr>
      <w:r w:rsidRPr="000430CC">
        <w:rPr>
          <w:lang w:val="en-US"/>
        </w:rPr>
        <w:tab/>
      </w:r>
      <w:r w:rsidRPr="00D22A00">
        <w:rPr>
          <w:rStyle w:val="Appelnotedebasdep"/>
        </w:rPr>
        <w:footnoteRef/>
      </w:r>
      <w:r w:rsidRPr="00C31288">
        <w:rPr>
          <w:lang w:val="es-ES"/>
        </w:rPr>
        <w:tab/>
        <w:t xml:space="preserve">MINJUSDH. R.M. </w:t>
      </w:r>
      <w:r w:rsidRPr="00C31288">
        <w:rPr>
          <w:rFonts w:eastAsia="MS Mincho"/>
          <w:szCs w:val="22"/>
          <w:lang w:val="es-ES"/>
        </w:rPr>
        <w:t>n</w:t>
      </w:r>
      <w:r w:rsidRPr="00C31288">
        <w:rPr>
          <w:rFonts w:eastAsia="MS Mincho"/>
          <w:szCs w:val="22"/>
          <w:vertAlign w:val="superscript"/>
          <w:lang w:val="es-ES"/>
        </w:rPr>
        <w:t>o</w:t>
      </w:r>
      <w:r w:rsidRPr="00C31288">
        <w:rPr>
          <w:szCs w:val="18"/>
          <w:lang w:val="es-ES"/>
        </w:rPr>
        <w:t> </w:t>
      </w:r>
      <w:r w:rsidRPr="00C31288">
        <w:rPr>
          <w:lang w:val="es-ES"/>
        </w:rPr>
        <w:t xml:space="preserve">0107-2021-JUS.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11</w:t>
      </w:r>
      <w:r>
        <w:rPr>
          <w:lang w:val="fr-FR"/>
        </w:rPr>
        <w:t> </w:t>
      </w:r>
      <w:r w:rsidRPr="000430CC">
        <w:rPr>
          <w:lang w:val="fr-FR"/>
        </w:rPr>
        <w:t>juin 2021.</w:t>
      </w:r>
    </w:p>
  </w:footnote>
  <w:footnote w:id="45">
    <w:p w14:paraId="37E1238B" w14:textId="3E4257EE"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MINJUSDH. CMAN. Annexe à la communication </w:t>
      </w:r>
      <w:r w:rsidRPr="00D22A00">
        <w:rPr>
          <w:rFonts w:eastAsia="MS Mincho"/>
          <w:szCs w:val="22"/>
          <w:lang w:val="fr-FR"/>
        </w:rPr>
        <w:t>n</w:t>
      </w:r>
      <w:r w:rsidRPr="00D22A00">
        <w:rPr>
          <w:rFonts w:eastAsia="MS Mincho"/>
          <w:szCs w:val="22"/>
          <w:vertAlign w:val="superscript"/>
          <w:lang w:val="fr-FR"/>
        </w:rPr>
        <w:t>o</w:t>
      </w:r>
      <w:r>
        <w:rPr>
          <w:szCs w:val="18"/>
          <w:lang w:val="fr-FR"/>
        </w:rPr>
        <w:t> </w:t>
      </w:r>
      <w:r w:rsidRPr="000430CC">
        <w:rPr>
          <w:lang w:val="fr-FR"/>
        </w:rPr>
        <w:t>1694-2021-JUS/SE. Informations actualisées en date du 28</w:t>
      </w:r>
      <w:r>
        <w:rPr>
          <w:lang w:val="fr-FR"/>
        </w:rPr>
        <w:t> </w:t>
      </w:r>
      <w:r w:rsidRPr="000430CC">
        <w:rPr>
          <w:lang w:val="fr-FR"/>
        </w:rPr>
        <w:t>septembre 2021.</w:t>
      </w:r>
    </w:p>
  </w:footnote>
  <w:footnote w:id="46">
    <w:p w14:paraId="531D5945" w14:textId="77777777" w:rsidR="00EB4673" w:rsidRPr="00930733" w:rsidRDefault="00EB4673" w:rsidP="00D22A00">
      <w:pPr>
        <w:pStyle w:val="Notedebasdepage"/>
      </w:pPr>
      <w:r w:rsidRPr="000430CC">
        <w:rPr>
          <w:lang w:val="fr-FR"/>
        </w:rPr>
        <w:tab/>
      </w:r>
      <w:r w:rsidRPr="00D22A00">
        <w:rPr>
          <w:rStyle w:val="Appelnotedebasdep"/>
        </w:rPr>
        <w:footnoteRef/>
      </w:r>
      <w:r w:rsidRPr="00C0030C">
        <w:tab/>
        <w:t xml:space="preserve">MINJUSDH. CMAN. </w:t>
      </w:r>
      <w:r w:rsidRPr="00930733">
        <w:t xml:space="preserve">Op. </w:t>
      </w:r>
      <w:proofErr w:type="spellStart"/>
      <w:r w:rsidRPr="00930733">
        <w:t>cit</w:t>
      </w:r>
      <w:proofErr w:type="spellEnd"/>
      <w:r w:rsidRPr="00930733">
        <w:t>. p. 3.</w:t>
      </w:r>
    </w:p>
  </w:footnote>
  <w:footnote w:id="47">
    <w:p w14:paraId="27F69ABD" w14:textId="77777777" w:rsidR="00EB4673" w:rsidRPr="002F0D63" w:rsidRDefault="00EB4673" w:rsidP="00D22A00">
      <w:pPr>
        <w:pStyle w:val="Notedebasdepage"/>
        <w:rPr>
          <w:lang w:val="en-US"/>
        </w:rPr>
      </w:pPr>
      <w:r w:rsidRPr="00930733">
        <w:tab/>
      </w:r>
      <w:r w:rsidRPr="00930733">
        <w:rPr>
          <w:rStyle w:val="Appelnotedebasdep"/>
        </w:rPr>
        <w:footnoteRef/>
      </w:r>
      <w:r w:rsidRPr="00930733">
        <w:rPr>
          <w:lang w:val="en-US"/>
        </w:rPr>
        <w:tab/>
        <w:t>MINJUSDH. CMAN. Op. cit. p. 3</w:t>
      </w:r>
      <w:r w:rsidRPr="002F0D63">
        <w:rPr>
          <w:lang w:val="en-US"/>
        </w:rPr>
        <w:t>.</w:t>
      </w:r>
    </w:p>
  </w:footnote>
  <w:footnote w:id="48">
    <w:p w14:paraId="3A9B0300" w14:textId="2A87F079" w:rsidR="00EB4673" w:rsidRPr="000430CC" w:rsidRDefault="00EB4673" w:rsidP="00D22A00">
      <w:pPr>
        <w:pStyle w:val="Notedebasdepage"/>
        <w:rPr>
          <w:lang w:val="fr-FR"/>
        </w:rPr>
      </w:pPr>
      <w:r w:rsidRPr="002F0D63">
        <w:rPr>
          <w:lang w:val="en-US"/>
        </w:rPr>
        <w:tab/>
      </w:r>
      <w:r w:rsidRPr="00D22A00">
        <w:rPr>
          <w:rStyle w:val="Appelnotedebasdep"/>
        </w:rPr>
        <w:footnoteRef/>
      </w:r>
      <w:r w:rsidRPr="00C0030C">
        <w:rPr>
          <w:lang w:val="es-ES"/>
        </w:rPr>
        <w:tab/>
        <w:t xml:space="preserve">MVCS. D.R. </w:t>
      </w:r>
      <w:r w:rsidRPr="00930733">
        <w:rPr>
          <w:rFonts w:eastAsia="MS Mincho"/>
          <w:szCs w:val="22"/>
          <w:lang w:val="es-ES"/>
        </w:rPr>
        <w:t>n</w:t>
      </w:r>
      <w:r w:rsidRPr="00930733">
        <w:rPr>
          <w:rFonts w:eastAsia="MS Mincho"/>
          <w:szCs w:val="22"/>
          <w:vertAlign w:val="superscript"/>
          <w:lang w:val="es-ES"/>
        </w:rPr>
        <w:t>o</w:t>
      </w:r>
      <w:r w:rsidRPr="00930733">
        <w:rPr>
          <w:szCs w:val="18"/>
          <w:lang w:val="es-ES"/>
        </w:rPr>
        <w:t> </w:t>
      </w:r>
      <w:r w:rsidRPr="00C0030C">
        <w:rPr>
          <w:lang w:val="es-ES"/>
        </w:rPr>
        <w:t xml:space="preserve">001-2021-VIVIENDA-VMVU-DGPPVU. </w:t>
      </w:r>
      <w:r w:rsidRPr="000430CC">
        <w:rPr>
          <w:lang w:val="fr-FR"/>
        </w:rPr>
        <w:t>Publié sur le site officiel du Gouvernement péruvien en date du 20</w:t>
      </w:r>
      <w:r>
        <w:rPr>
          <w:lang w:val="fr-FR"/>
        </w:rPr>
        <w:t> </w:t>
      </w:r>
      <w:r w:rsidRPr="000430CC">
        <w:rPr>
          <w:lang w:val="fr-FR"/>
        </w:rPr>
        <w:t>avril 2021. Consulté le 24</w:t>
      </w:r>
      <w:r>
        <w:rPr>
          <w:lang w:val="fr-FR"/>
        </w:rPr>
        <w:t> </w:t>
      </w:r>
      <w:r w:rsidRPr="000430CC">
        <w:rPr>
          <w:lang w:val="fr-FR"/>
        </w:rPr>
        <w:t>août 2021. Disponible à l</w:t>
      </w:r>
      <w:r>
        <w:rPr>
          <w:lang w:val="fr-FR"/>
        </w:rPr>
        <w:t>’</w:t>
      </w:r>
      <w:r w:rsidRPr="000430CC">
        <w:rPr>
          <w:lang w:val="fr-FR"/>
        </w:rPr>
        <w:t xml:space="preserve">adresse suivante : </w:t>
      </w:r>
      <w:hyperlink r:id="rId4" w:history="1">
        <w:r w:rsidRPr="000430CC">
          <w:rPr>
            <w:rStyle w:val="Lienhypertexte"/>
            <w:szCs w:val="18"/>
            <w:lang w:val="fr-FR"/>
          </w:rPr>
          <w:t>https://www.gob.pe/institucion/vivienda/normas-legales/1847948-001-2021-vivienda-vmvu-dgppvu</w:t>
        </w:r>
      </w:hyperlink>
      <w:r w:rsidRPr="000430CC">
        <w:rPr>
          <w:lang w:val="fr-FR"/>
        </w:rPr>
        <w:t>.</w:t>
      </w:r>
    </w:p>
  </w:footnote>
  <w:footnote w:id="49">
    <w:p w14:paraId="67CEF5A2" w14:textId="77777777" w:rsidR="00EB4673" w:rsidRPr="00930733" w:rsidRDefault="00EB4673" w:rsidP="00D22A00">
      <w:pPr>
        <w:pStyle w:val="Notedebasdepage"/>
        <w:rPr>
          <w:lang w:val="en-US"/>
        </w:rPr>
      </w:pPr>
      <w:r w:rsidRPr="000430CC">
        <w:rPr>
          <w:lang w:val="fr-FR"/>
        </w:rPr>
        <w:tab/>
      </w:r>
      <w:r w:rsidRPr="00D22A00">
        <w:rPr>
          <w:rStyle w:val="Appelnotedebasdep"/>
        </w:rPr>
        <w:footnoteRef/>
      </w:r>
      <w:r w:rsidRPr="000430CC">
        <w:rPr>
          <w:lang w:val="en-US"/>
        </w:rPr>
        <w:tab/>
        <w:t xml:space="preserve">MINJUSDH. CMAN. </w:t>
      </w:r>
      <w:r w:rsidRPr="00930733">
        <w:rPr>
          <w:lang w:val="en-US"/>
        </w:rPr>
        <w:t>Op. cit. p. 3.</w:t>
      </w:r>
    </w:p>
  </w:footnote>
  <w:footnote w:id="50">
    <w:p w14:paraId="09B23181" w14:textId="77777777" w:rsidR="00EB4673" w:rsidRPr="000430CC" w:rsidRDefault="00EB4673" w:rsidP="00D22A00">
      <w:pPr>
        <w:pStyle w:val="Notedebasdepage"/>
        <w:rPr>
          <w:lang w:val="en-US"/>
        </w:rPr>
      </w:pPr>
      <w:r w:rsidRPr="00930733">
        <w:rPr>
          <w:lang w:val="en-US"/>
        </w:rPr>
        <w:tab/>
      </w:r>
      <w:r w:rsidRPr="00930733">
        <w:rPr>
          <w:rStyle w:val="Appelnotedebasdep"/>
        </w:rPr>
        <w:footnoteRef/>
      </w:r>
      <w:r w:rsidRPr="00930733">
        <w:rPr>
          <w:lang w:val="en-US"/>
        </w:rPr>
        <w:tab/>
        <w:t>MINJUSDH. CMAN. Op. cit. p</w:t>
      </w:r>
      <w:r w:rsidRPr="000430CC">
        <w:rPr>
          <w:lang w:val="en-US"/>
        </w:rPr>
        <w:t>. 3.</w:t>
      </w:r>
    </w:p>
  </w:footnote>
  <w:footnote w:id="51">
    <w:p w14:paraId="1421D9B0" w14:textId="6A696BA4" w:rsidR="00EB4673" w:rsidRPr="000430CC" w:rsidRDefault="00EB4673" w:rsidP="00D22A00">
      <w:pPr>
        <w:pStyle w:val="Notedebasdepage"/>
        <w:rPr>
          <w:lang w:val="fr-FR"/>
        </w:rPr>
      </w:pPr>
      <w:r w:rsidRPr="000430CC">
        <w:rPr>
          <w:lang w:val="en-US"/>
        </w:rPr>
        <w:tab/>
      </w:r>
      <w:r w:rsidRPr="00D22A00">
        <w:rPr>
          <w:rStyle w:val="Appelnotedebasdep"/>
        </w:rPr>
        <w:footnoteRef/>
      </w:r>
      <w:r w:rsidRPr="000430CC">
        <w:rPr>
          <w:lang w:val="fr-FR"/>
        </w:rPr>
        <w:tab/>
        <w:t xml:space="preserve">MINJUSDH. CMAN. Annexe à la communication </w:t>
      </w:r>
      <w:r w:rsidRPr="00D22A00">
        <w:rPr>
          <w:rFonts w:eastAsia="MS Mincho"/>
          <w:szCs w:val="22"/>
          <w:lang w:val="fr-FR"/>
        </w:rPr>
        <w:t>n</w:t>
      </w:r>
      <w:r w:rsidRPr="00D22A00">
        <w:rPr>
          <w:rFonts w:eastAsia="MS Mincho"/>
          <w:szCs w:val="22"/>
          <w:vertAlign w:val="superscript"/>
          <w:lang w:val="fr-FR"/>
        </w:rPr>
        <w:t>o</w:t>
      </w:r>
      <w:r>
        <w:rPr>
          <w:szCs w:val="18"/>
          <w:lang w:val="fr-FR"/>
        </w:rPr>
        <w:t> </w:t>
      </w:r>
      <w:r w:rsidRPr="000430CC">
        <w:rPr>
          <w:lang w:val="fr-FR"/>
        </w:rPr>
        <w:t>1694-2021-JUS/SE. Informations actualisées en</w:t>
      </w:r>
      <w:r w:rsidR="00817A4B">
        <w:rPr>
          <w:lang w:val="fr-FR"/>
        </w:rPr>
        <w:t> </w:t>
      </w:r>
      <w:r w:rsidRPr="000430CC">
        <w:rPr>
          <w:lang w:val="fr-FR"/>
        </w:rPr>
        <w:t>date du 28</w:t>
      </w:r>
      <w:r>
        <w:rPr>
          <w:lang w:val="fr-FR"/>
        </w:rPr>
        <w:t> </w:t>
      </w:r>
      <w:r w:rsidRPr="000430CC">
        <w:rPr>
          <w:lang w:val="fr-FR"/>
        </w:rPr>
        <w:t>septembre 2021.</w:t>
      </w:r>
    </w:p>
  </w:footnote>
  <w:footnote w:id="52">
    <w:p w14:paraId="71A8F4C6" w14:textId="77777777" w:rsidR="00EB4673" w:rsidRPr="00C0030C" w:rsidRDefault="00EB4673" w:rsidP="00D22A00">
      <w:pPr>
        <w:pStyle w:val="Notedebasdepage"/>
      </w:pPr>
      <w:r w:rsidRPr="000430CC">
        <w:rPr>
          <w:lang w:val="fr-FR"/>
        </w:rPr>
        <w:tab/>
      </w:r>
      <w:r w:rsidRPr="00D22A00">
        <w:rPr>
          <w:rStyle w:val="Appelnotedebasdep"/>
        </w:rPr>
        <w:footnoteRef/>
      </w:r>
      <w:r w:rsidRPr="00C0030C">
        <w:tab/>
        <w:t xml:space="preserve">MINJUSDH. CMAN. </w:t>
      </w:r>
      <w:r w:rsidRPr="00930733">
        <w:t xml:space="preserve">Op. </w:t>
      </w:r>
      <w:proofErr w:type="spellStart"/>
      <w:r w:rsidRPr="00930733">
        <w:t>cit</w:t>
      </w:r>
      <w:proofErr w:type="spellEnd"/>
      <w:r w:rsidRPr="00930733">
        <w:t>.</w:t>
      </w:r>
      <w:r w:rsidRPr="00C0030C">
        <w:t xml:space="preserve"> p. 3.</w:t>
      </w:r>
    </w:p>
  </w:footnote>
  <w:footnote w:id="53">
    <w:p w14:paraId="79C346D6" w14:textId="3F5EEBBD" w:rsidR="00EB4673" w:rsidRPr="00930733" w:rsidRDefault="00EB4673" w:rsidP="00D22A00">
      <w:pPr>
        <w:pStyle w:val="Notedebasdepage"/>
        <w:rPr>
          <w:lang w:val="fr-FR"/>
        </w:rPr>
      </w:pPr>
      <w:r w:rsidRPr="00C0030C">
        <w:tab/>
      </w:r>
      <w:r w:rsidRPr="00D22A00">
        <w:rPr>
          <w:rStyle w:val="Appelnotedebasdep"/>
        </w:rPr>
        <w:footnoteRef/>
      </w:r>
      <w:r w:rsidRPr="000430CC">
        <w:rPr>
          <w:lang w:val="fr-FR"/>
        </w:rPr>
        <w:tab/>
        <w:t xml:space="preserve">MINJUSDH. Publiées sur la page </w:t>
      </w:r>
      <w:r w:rsidR="00817A4B">
        <w:rPr>
          <w:lang w:val="fr-FR"/>
        </w:rPr>
        <w:t>W</w:t>
      </w:r>
      <w:r w:rsidRPr="000430CC">
        <w:rPr>
          <w:lang w:val="fr-FR"/>
        </w:rPr>
        <w:t>eb officielle du Gouvernement péruvien. Consultées le 21</w:t>
      </w:r>
      <w:r>
        <w:rPr>
          <w:lang w:val="fr-FR"/>
        </w:rPr>
        <w:t> </w:t>
      </w:r>
      <w:r w:rsidRPr="000430CC">
        <w:rPr>
          <w:lang w:val="fr-FR"/>
        </w:rPr>
        <w:t>août 2021. Disponibles à l</w:t>
      </w:r>
      <w:r>
        <w:rPr>
          <w:lang w:val="fr-FR"/>
        </w:rPr>
        <w:t>’</w:t>
      </w:r>
      <w:r w:rsidRPr="000430CC">
        <w:rPr>
          <w:lang w:val="fr-FR"/>
        </w:rPr>
        <w:t xml:space="preserve">adresse suivante : </w:t>
      </w:r>
      <w:hyperlink r:id="rId5" w:history="1">
        <w:r w:rsidRPr="000430CC">
          <w:rPr>
            <w:rStyle w:val="Lienhypertexte"/>
            <w:szCs w:val="18"/>
            <w:lang w:val="fr-FR"/>
          </w:rPr>
          <w:t>https://www.gob.pe/institucion/minjus/informes-publicaciones/1642884-lineamientos-para-la-adopcion-de-acciones-diferenciadas-en-la-implementacion-del-plan-integral-de-reparaciones-a-mujeres-y-poblacion-lgtbi</w:t>
        </w:r>
      </w:hyperlink>
      <w:r w:rsidRPr="000430CC">
        <w:rPr>
          <w:lang w:val="fr-FR"/>
        </w:rPr>
        <w:t>.</w:t>
      </w:r>
    </w:p>
  </w:footnote>
  <w:footnote w:id="54">
    <w:p w14:paraId="53818A22" w14:textId="77777777" w:rsidR="00EB4673" w:rsidRPr="00930733" w:rsidRDefault="00EB4673" w:rsidP="00D22A00">
      <w:pPr>
        <w:pStyle w:val="Notedebasdepage"/>
        <w:rPr>
          <w:lang w:val="en-US"/>
        </w:rPr>
      </w:pPr>
      <w:r w:rsidRPr="000430CC">
        <w:rPr>
          <w:lang w:val="fr-FR"/>
        </w:rPr>
        <w:tab/>
      </w:r>
      <w:r w:rsidRPr="00D22A00">
        <w:rPr>
          <w:rStyle w:val="Appelnotedebasdep"/>
        </w:rPr>
        <w:footnoteRef/>
      </w:r>
      <w:r w:rsidRPr="000430CC">
        <w:rPr>
          <w:lang w:val="en-US"/>
        </w:rPr>
        <w:tab/>
        <w:t xml:space="preserve">MINJUSDH. CMAN. </w:t>
      </w:r>
      <w:r w:rsidRPr="00930733">
        <w:rPr>
          <w:lang w:val="en-US"/>
        </w:rPr>
        <w:t>Op. cit. p. 3.</w:t>
      </w:r>
    </w:p>
  </w:footnote>
  <w:footnote w:id="55">
    <w:p w14:paraId="2B9D2713" w14:textId="77777777" w:rsidR="00EB4673" w:rsidRPr="000430CC" w:rsidRDefault="00EB4673" w:rsidP="00D22A00">
      <w:pPr>
        <w:pStyle w:val="Notedebasdepage"/>
        <w:rPr>
          <w:lang w:val="en-US"/>
        </w:rPr>
      </w:pPr>
      <w:r w:rsidRPr="00930733">
        <w:rPr>
          <w:lang w:val="en-US"/>
        </w:rPr>
        <w:tab/>
      </w:r>
      <w:r w:rsidRPr="00930733">
        <w:rPr>
          <w:rStyle w:val="Appelnotedebasdep"/>
        </w:rPr>
        <w:footnoteRef/>
      </w:r>
      <w:r w:rsidRPr="00930733">
        <w:rPr>
          <w:lang w:val="en-US"/>
        </w:rPr>
        <w:tab/>
        <w:t>MINJUSDH. CR. Op. cit.</w:t>
      </w:r>
      <w:r w:rsidRPr="000430CC">
        <w:rPr>
          <w:lang w:val="en-US"/>
        </w:rPr>
        <w:t xml:space="preserve"> p. 7.</w:t>
      </w:r>
    </w:p>
  </w:footnote>
  <w:footnote w:id="56">
    <w:p w14:paraId="46F0CCE2" w14:textId="438ACA18" w:rsidR="00EB4673" w:rsidRPr="000430CC" w:rsidRDefault="00EB4673" w:rsidP="00D22A00">
      <w:pPr>
        <w:pStyle w:val="Notedebasdepage"/>
        <w:rPr>
          <w:lang w:val="fr-FR"/>
        </w:rPr>
      </w:pPr>
      <w:r w:rsidRPr="000430CC">
        <w:rPr>
          <w:lang w:val="en-US"/>
        </w:rPr>
        <w:tab/>
      </w:r>
      <w:r w:rsidRPr="00D22A00">
        <w:rPr>
          <w:rStyle w:val="Appelnotedebasdep"/>
        </w:rPr>
        <w:footnoteRef/>
      </w:r>
      <w:r w:rsidRPr="000430CC">
        <w:rPr>
          <w:lang w:val="fr-FR"/>
        </w:rPr>
        <w:tab/>
        <w:t xml:space="preserve">MINJUSDH. CMAN. Annexe à la communication </w:t>
      </w:r>
      <w:r w:rsidRPr="00D22A00">
        <w:rPr>
          <w:rFonts w:eastAsia="MS Mincho"/>
          <w:szCs w:val="22"/>
          <w:lang w:val="fr-FR"/>
        </w:rPr>
        <w:t>n</w:t>
      </w:r>
      <w:r w:rsidRPr="00D22A00">
        <w:rPr>
          <w:rFonts w:eastAsia="MS Mincho"/>
          <w:szCs w:val="22"/>
          <w:vertAlign w:val="superscript"/>
          <w:lang w:val="fr-FR"/>
        </w:rPr>
        <w:t>o</w:t>
      </w:r>
      <w:r>
        <w:rPr>
          <w:szCs w:val="18"/>
          <w:lang w:val="fr-FR"/>
        </w:rPr>
        <w:t> </w:t>
      </w:r>
      <w:r w:rsidRPr="000430CC">
        <w:rPr>
          <w:lang w:val="fr-FR"/>
        </w:rPr>
        <w:t>1694-2021-JUS/SE. Informations actualisées en</w:t>
      </w:r>
      <w:r w:rsidR="00817A4B">
        <w:rPr>
          <w:lang w:val="fr-FR"/>
        </w:rPr>
        <w:t> </w:t>
      </w:r>
      <w:r w:rsidRPr="000430CC">
        <w:rPr>
          <w:lang w:val="fr-FR"/>
        </w:rPr>
        <w:t>date du 28</w:t>
      </w:r>
      <w:r>
        <w:rPr>
          <w:lang w:val="fr-FR"/>
        </w:rPr>
        <w:t> </w:t>
      </w:r>
      <w:r w:rsidRPr="000430CC">
        <w:rPr>
          <w:lang w:val="fr-FR"/>
        </w:rPr>
        <w:t>septembre 2021</w:t>
      </w:r>
    </w:p>
  </w:footnote>
  <w:footnote w:id="57">
    <w:p w14:paraId="1EF0D0CC" w14:textId="6B04D468" w:rsidR="00EB4673" w:rsidRPr="000430CC" w:rsidRDefault="00EB4673" w:rsidP="00D22A00">
      <w:pPr>
        <w:pStyle w:val="Notedebasdepage"/>
        <w:rPr>
          <w:lang w:val="fr-FR"/>
        </w:rPr>
      </w:pPr>
      <w:r w:rsidRPr="000430CC">
        <w:rPr>
          <w:lang w:val="fr-FR"/>
        </w:rPr>
        <w:tab/>
      </w:r>
      <w:bookmarkStart w:id="5" w:name="_Hlk89959617"/>
      <w:r w:rsidRPr="00D22A00">
        <w:rPr>
          <w:rStyle w:val="Appelnotedebasdep"/>
        </w:rPr>
        <w:footnoteRef/>
      </w:r>
      <w:r w:rsidRPr="000430CC">
        <w:rPr>
          <w:lang w:val="fr-FR"/>
        </w:rPr>
        <w:tab/>
        <w:t xml:space="preserve">DP. Annexe à la communication </w:t>
      </w:r>
      <w:bookmarkEnd w:id="5"/>
      <w:r w:rsidR="00C31288" w:rsidRPr="00C31288">
        <w:rPr>
          <w:rFonts w:eastAsia="MS Mincho"/>
          <w:szCs w:val="22"/>
          <w:lang w:val="fr-FR"/>
        </w:rPr>
        <w:t>n</w:t>
      </w:r>
      <w:r w:rsidR="00C31288" w:rsidRPr="00C31288">
        <w:rPr>
          <w:rFonts w:eastAsia="MS Mincho"/>
          <w:szCs w:val="22"/>
          <w:vertAlign w:val="superscript"/>
          <w:lang w:val="fr-FR"/>
        </w:rPr>
        <w:t>o</w:t>
      </w:r>
      <w:r w:rsidR="00C31288">
        <w:rPr>
          <w:lang w:val="fr-FR"/>
        </w:rPr>
        <w:t> </w:t>
      </w:r>
      <w:r w:rsidR="00C31288" w:rsidRPr="00C31288">
        <w:t>119-2021-DP/ADHPD</w:t>
      </w:r>
      <w:r w:rsidR="00C31288" w:rsidRPr="000430CC">
        <w:rPr>
          <w:lang w:val="fr-FR"/>
        </w:rPr>
        <w:t xml:space="preserve"> </w:t>
      </w:r>
      <w:r w:rsidRPr="000430CC">
        <w:rPr>
          <w:lang w:val="fr-FR"/>
        </w:rPr>
        <w:t>en date du 27</w:t>
      </w:r>
      <w:r>
        <w:rPr>
          <w:lang w:val="fr-FR"/>
        </w:rPr>
        <w:t> </w:t>
      </w:r>
      <w:r w:rsidRPr="000430CC">
        <w:rPr>
          <w:lang w:val="fr-FR"/>
        </w:rPr>
        <w:t>septembre 2021.</w:t>
      </w:r>
    </w:p>
  </w:footnote>
  <w:footnote w:id="58">
    <w:p w14:paraId="1786DBA8" w14:textId="77777777" w:rsidR="00EB4673" w:rsidRPr="000430CC" w:rsidRDefault="00EB4673" w:rsidP="00D22A00">
      <w:pPr>
        <w:pStyle w:val="Notedebasdepage"/>
        <w:rPr>
          <w:lang w:val="en-US"/>
        </w:rPr>
      </w:pPr>
      <w:r w:rsidRPr="000430CC">
        <w:rPr>
          <w:lang w:val="fr-FR"/>
        </w:rPr>
        <w:tab/>
      </w:r>
      <w:r w:rsidRPr="00D22A00">
        <w:rPr>
          <w:rStyle w:val="Appelnotedebasdep"/>
        </w:rPr>
        <w:footnoteRef/>
      </w:r>
      <w:r w:rsidRPr="000430CC">
        <w:rPr>
          <w:lang w:val="en-US"/>
        </w:rPr>
        <w:tab/>
        <w:t xml:space="preserve">MINJUSDH. DGBPD-DRIF. </w:t>
      </w:r>
      <w:r w:rsidRPr="00EB4673">
        <w:rPr>
          <w:lang w:val="en-US"/>
        </w:rPr>
        <w:t>Op.</w:t>
      </w:r>
      <w:r w:rsidRPr="000430CC">
        <w:rPr>
          <w:lang w:val="en-US"/>
        </w:rPr>
        <w:t xml:space="preserve"> cit. p. 2.</w:t>
      </w:r>
    </w:p>
  </w:footnote>
  <w:footnote w:id="59">
    <w:p w14:paraId="2BA582B1" w14:textId="4FD1AD1D" w:rsidR="00EB4673" w:rsidRPr="000430CC" w:rsidRDefault="00EB4673" w:rsidP="00D22A00">
      <w:pPr>
        <w:pStyle w:val="Notedebasdepage"/>
        <w:rPr>
          <w:lang w:val="fr-FR"/>
        </w:rPr>
      </w:pPr>
      <w:r w:rsidRPr="000430CC">
        <w:rPr>
          <w:lang w:val="en-US"/>
        </w:rPr>
        <w:tab/>
      </w:r>
      <w:r w:rsidRPr="00D22A00">
        <w:rPr>
          <w:rStyle w:val="Appelnotedebasdep"/>
        </w:rPr>
        <w:footnoteRef/>
      </w:r>
      <w:r w:rsidRPr="00C31288">
        <w:rPr>
          <w:lang w:val="es-ES"/>
        </w:rPr>
        <w:tab/>
      </w:r>
      <w:bookmarkStart w:id="7" w:name="_Hlk89959670"/>
      <w:r w:rsidRPr="00C31288">
        <w:rPr>
          <w:lang w:val="es-ES"/>
        </w:rPr>
        <w:t xml:space="preserve">MINJUSDH. R.M. </w:t>
      </w:r>
      <w:r w:rsidR="00C31288" w:rsidRPr="00C31288">
        <w:rPr>
          <w:rFonts w:eastAsia="MS Mincho"/>
          <w:szCs w:val="22"/>
          <w:lang w:val="fr-FR"/>
        </w:rPr>
        <w:t>n</w:t>
      </w:r>
      <w:r w:rsidR="00C31288" w:rsidRPr="00C31288">
        <w:rPr>
          <w:rFonts w:eastAsia="MS Mincho"/>
          <w:szCs w:val="22"/>
          <w:vertAlign w:val="superscript"/>
          <w:lang w:val="fr-FR"/>
        </w:rPr>
        <w:t>o</w:t>
      </w:r>
      <w:r w:rsidR="00C31288">
        <w:rPr>
          <w:lang w:val="fr-FR"/>
        </w:rPr>
        <w:t> </w:t>
      </w:r>
      <w:r w:rsidR="00C31288">
        <w:t>363-2016-JUS</w:t>
      </w:r>
      <w:r w:rsidRPr="00C31288">
        <w:rPr>
          <w:lang w:val="es-ES"/>
        </w:rPr>
        <w:t xml:space="preserve">. </w:t>
      </w:r>
      <w:bookmarkEnd w:id="7"/>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25</w:t>
      </w:r>
      <w:r>
        <w:rPr>
          <w:lang w:val="fr-FR"/>
        </w:rPr>
        <w:t> </w:t>
      </w:r>
      <w:r w:rsidRPr="000430CC">
        <w:rPr>
          <w:lang w:val="fr-FR"/>
        </w:rPr>
        <w:t>décembre 2016.</w:t>
      </w:r>
    </w:p>
  </w:footnote>
  <w:footnote w:id="60">
    <w:p w14:paraId="07937ECB" w14:textId="44AF78CB" w:rsidR="00EB4673" w:rsidRPr="000430CC" w:rsidRDefault="00EB4673" w:rsidP="00D22A00">
      <w:pPr>
        <w:pStyle w:val="Notedebasdepage"/>
        <w:rPr>
          <w:lang w:val="fr-FR"/>
        </w:rPr>
      </w:pPr>
      <w:r w:rsidRPr="000430CC">
        <w:rPr>
          <w:lang w:val="fr-FR"/>
        </w:rPr>
        <w:tab/>
      </w:r>
      <w:r w:rsidRPr="00D22A00">
        <w:rPr>
          <w:rStyle w:val="Appelnotedebasdep"/>
        </w:rPr>
        <w:footnoteRef/>
      </w:r>
      <w:r w:rsidRPr="00C31288">
        <w:rPr>
          <w:lang w:val="es-ES"/>
        </w:rPr>
        <w:tab/>
        <w:t xml:space="preserve">MINJUSDH. D.S. </w:t>
      </w:r>
      <w:r w:rsidRPr="00C31288">
        <w:rPr>
          <w:rFonts w:eastAsia="MS Mincho"/>
          <w:szCs w:val="22"/>
          <w:lang w:val="es-ES"/>
        </w:rPr>
        <w:t>n</w:t>
      </w:r>
      <w:r w:rsidRPr="00C31288">
        <w:rPr>
          <w:rFonts w:eastAsia="MS Mincho"/>
          <w:szCs w:val="22"/>
          <w:vertAlign w:val="superscript"/>
          <w:lang w:val="es-ES"/>
        </w:rPr>
        <w:t>o</w:t>
      </w:r>
      <w:r w:rsidRPr="00C31288">
        <w:rPr>
          <w:lang w:val="es-ES"/>
        </w:rPr>
        <w:t xml:space="preserve"> 011-2021-JUS. </w:t>
      </w:r>
      <w:r w:rsidRPr="000430CC">
        <w:rPr>
          <w:lang w:val="fr-FR"/>
        </w:rPr>
        <w:t xml:space="preserve">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13</w:t>
      </w:r>
      <w:r>
        <w:rPr>
          <w:lang w:val="fr-FR"/>
        </w:rPr>
        <w:t> </w:t>
      </w:r>
      <w:r w:rsidRPr="000430CC">
        <w:rPr>
          <w:lang w:val="fr-FR"/>
        </w:rPr>
        <w:t>juillet 2021.</w:t>
      </w:r>
    </w:p>
  </w:footnote>
  <w:footnote w:id="61">
    <w:p w14:paraId="4073F7F4" w14:textId="5A02E3F4"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r>
      <w:r w:rsidRPr="00EB4673">
        <w:rPr>
          <w:spacing w:val="-2"/>
          <w:lang w:val="fr-FR"/>
        </w:rPr>
        <w:t>PNBPD à l’horizon 2030, p. 3. Consulté le 24</w:t>
      </w:r>
      <w:r>
        <w:rPr>
          <w:spacing w:val="-2"/>
          <w:lang w:val="fr-FR"/>
        </w:rPr>
        <w:t> </w:t>
      </w:r>
      <w:r w:rsidRPr="00EB4673">
        <w:rPr>
          <w:spacing w:val="-2"/>
          <w:lang w:val="fr-FR"/>
        </w:rPr>
        <w:t xml:space="preserve">août 2021. Disponible à l’adresse </w:t>
      </w:r>
      <w:hyperlink r:id="rId6" w:history="1">
        <w:r w:rsidRPr="00EB4673">
          <w:rPr>
            <w:rStyle w:val="Lienhypertexte"/>
            <w:spacing w:val="-2"/>
            <w:szCs w:val="18"/>
            <w:lang w:val="fr-FR"/>
          </w:rPr>
          <w:t>https://cdn.www.gob.pe/ uploads/document/file/2012167/PNBPD%20al%202030_julio%202021%20VF.pdf.pdf</w:t>
        </w:r>
      </w:hyperlink>
      <w:r w:rsidRPr="000430CC">
        <w:rPr>
          <w:lang w:val="fr-FR"/>
        </w:rPr>
        <w:t>.</w:t>
      </w:r>
    </w:p>
  </w:footnote>
  <w:footnote w:id="62">
    <w:p w14:paraId="3BFC2D0C" w14:textId="557515F6"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Comité des disparitions forcées. Principes directeurs concernant la recherche de personnes disparues. Consultés le 24</w:t>
      </w:r>
      <w:r w:rsidR="00396923">
        <w:rPr>
          <w:lang w:val="fr-FR"/>
        </w:rPr>
        <w:t> </w:t>
      </w:r>
      <w:r w:rsidRPr="000430CC">
        <w:rPr>
          <w:lang w:val="fr-FR"/>
        </w:rPr>
        <w:t>août 2021. Disponible à l</w:t>
      </w:r>
      <w:r>
        <w:rPr>
          <w:lang w:val="fr-FR"/>
        </w:rPr>
        <w:t>’</w:t>
      </w:r>
      <w:r w:rsidRPr="000430CC">
        <w:rPr>
          <w:lang w:val="fr-FR"/>
        </w:rPr>
        <w:t xml:space="preserve">adresse : </w:t>
      </w:r>
      <w:hyperlink r:id="rId7" w:history="1">
        <w:r w:rsidRPr="000430CC">
          <w:rPr>
            <w:rStyle w:val="Lienhypertexte"/>
            <w:szCs w:val="18"/>
            <w:lang w:val="fr-FR"/>
          </w:rPr>
          <w:t>https://undocs.org/fr/CED/C/7</w:t>
        </w:r>
      </w:hyperlink>
      <w:r w:rsidRPr="000430CC">
        <w:rPr>
          <w:lang w:val="fr-FR"/>
        </w:rPr>
        <w:t>.</w:t>
      </w:r>
    </w:p>
  </w:footnote>
  <w:footnote w:id="63">
    <w:p w14:paraId="5459044B" w14:textId="6716377D" w:rsidR="00EB4673" w:rsidRPr="000430CC" w:rsidRDefault="00EB4673" w:rsidP="00D22A00">
      <w:pPr>
        <w:pStyle w:val="Notedebasdepage"/>
        <w:rPr>
          <w:lang w:val="en-US"/>
        </w:rPr>
      </w:pPr>
      <w:r w:rsidRPr="000430CC">
        <w:rPr>
          <w:lang w:val="fr-FR"/>
        </w:rPr>
        <w:tab/>
      </w:r>
      <w:r w:rsidRPr="00D22A00">
        <w:rPr>
          <w:rStyle w:val="Appelnotedebasdep"/>
        </w:rPr>
        <w:footnoteRef/>
      </w:r>
      <w:r w:rsidRPr="00C31288">
        <w:rPr>
          <w:lang w:val="en-US"/>
        </w:rPr>
        <w:tab/>
        <w:t xml:space="preserve">MINJUSDH. </w:t>
      </w:r>
      <w:r w:rsidRPr="000430CC">
        <w:rPr>
          <w:lang w:val="en-US"/>
        </w:rPr>
        <w:t xml:space="preserve">DGBPD-DRIF. </w:t>
      </w:r>
      <w:r w:rsidRPr="00EB4673">
        <w:rPr>
          <w:lang w:val="en-US"/>
        </w:rPr>
        <w:t>Op. cit.,</w:t>
      </w:r>
      <w:r w:rsidRPr="000430CC">
        <w:rPr>
          <w:lang w:val="en-US"/>
        </w:rPr>
        <w:t xml:space="preserve"> p. 3.</w:t>
      </w:r>
    </w:p>
  </w:footnote>
  <w:footnote w:id="64">
    <w:p w14:paraId="76069067" w14:textId="7634276E" w:rsidR="00EB4673" w:rsidRPr="000430CC" w:rsidRDefault="00EB4673" w:rsidP="00D22A00">
      <w:pPr>
        <w:pStyle w:val="Notedebasdepage"/>
        <w:rPr>
          <w:lang w:val="fr-FR"/>
        </w:rPr>
      </w:pPr>
      <w:r w:rsidRPr="000430CC">
        <w:rPr>
          <w:lang w:val="en-US"/>
        </w:rPr>
        <w:tab/>
      </w:r>
      <w:r w:rsidRPr="00D22A00">
        <w:rPr>
          <w:rStyle w:val="Appelnotedebasdep"/>
        </w:rPr>
        <w:footnoteRef/>
      </w:r>
      <w:r w:rsidRPr="002F0D63">
        <w:rPr>
          <w:lang w:val="fr-FR"/>
        </w:rPr>
        <w:tab/>
      </w:r>
      <w:r w:rsidRPr="000430CC">
        <w:rPr>
          <w:lang w:val="fr-FR"/>
        </w:rPr>
        <w:t>MINJUSDH</w:t>
      </w:r>
      <w:r>
        <w:rPr>
          <w:lang w:val="fr-FR"/>
        </w:rPr>
        <w:t>.</w:t>
      </w:r>
      <w:r w:rsidRPr="000430CC">
        <w:rPr>
          <w:lang w:val="fr-FR"/>
        </w:rPr>
        <w:t xml:space="preserve"> DGBPD-DRIF. </w:t>
      </w:r>
      <w:r w:rsidRPr="00EB4673">
        <w:rPr>
          <w:lang w:val="fr-FR"/>
        </w:rPr>
        <w:t xml:space="preserve">Op. </w:t>
      </w:r>
      <w:proofErr w:type="spellStart"/>
      <w:r w:rsidRPr="00EB4673">
        <w:rPr>
          <w:lang w:val="fr-FR"/>
        </w:rPr>
        <w:t>cit</w:t>
      </w:r>
      <w:proofErr w:type="spellEnd"/>
      <w:r w:rsidRPr="00EB4673">
        <w:rPr>
          <w:lang w:val="fr-FR"/>
        </w:rPr>
        <w:t>., p</w:t>
      </w:r>
      <w:r w:rsidRPr="000430CC">
        <w:rPr>
          <w:lang w:val="fr-FR"/>
        </w:rPr>
        <w:t>. 3 et 4.</w:t>
      </w:r>
    </w:p>
  </w:footnote>
  <w:footnote w:id="65">
    <w:p w14:paraId="74DEB37B" w14:textId="57630EF2"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 xml:space="preserve">MINJUSDH. DGBPD. Rapport utilisateur </w:t>
      </w:r>
      <w:r w:rsidRPr="00EB4673">
        <w:rPr>
          <w:rFonts w:eastAsia="MS Mincho"/>
          <w:szCs w:val="22"/>
          <w:lang w:val="fr-FR"/>
        </w:rPr>
        <w:t>n</w:t>
      </w:r>
      <w:r w:rsidRPr="00EB4673">
        <w:rPr>
          <w:rFonts w:eastAsia="MS Mincho"/>
          <w:szCs w:val="22"/>
          <w:vertAlign w:val="superscript"/>
          <w:lang w:val="fr-FR"/>
        </w:rPr>
        <w:t>o</w:t>
      </w:r>
      <w:r>
        <w:rPr>
          <w:lang w:val="fr-FR"/>
        </w:rPr>
        <w:t> </w:t>
      </w:r>
      <w:r w:rsidRPr="000430CC">
        <w:rPr>
          <w:lang w:val="fr-FR"/>
        </w:rPr>
        <w:t>272-2021/DGBPD en date du 27</w:t>
      </w:r>
      <w:r>
        <w:rPr>
          <w:lang w:val="fr-FR"/>
        </w:rPr>
        <w:t> </w:t>
      </w:r>
      <w:r w:rsidRPr="000430CC">
        <w:rPr>
          <w:lang w:val="fr-FR"/>
        </w:rPr>
        <w:t>septembre 2021.</w:t>
      </w:r>
    </w:p>
  </w:footnote>
  <w:footnote w:id="66">
    <w:p w14:paraId="1E985D76" w14:textId="3286BB01" w:rsidR="00EB4673" w:rsidRPr="000430CC" w:rsidRDefault="00EB4673" w:rsidP="00D22A00">
      <w:pPr>
        <w:pStyle w:val="Notedebasdepage"/>
        <w:rPr>
          <w:lang w:val="fr-FR"/>
        </w:rPr>
      </w:pPr>
      <w:r w:rsidRPr="000430CC">
        <w:rPr>
          <w:lang w:val="fr-FR"/>
        </w:rPr>
        <w:tab/>
      </w:r>
      <w:r w:rsidRPr="00D22A00">
        <w:rPr>
          <w:rStyle w:val="Appelnotedebasdep"/>
        </w:rPr>
        <w:footnoteRef/>
      </w:r>
      <w:r w:rsidRPr="00C0030C">
        <w:rPr>
          <w:lang w:val="es-ES"/>
        </w:rPr>
        <w:tab/>
        <w:t xml:space="preserve">MINJUSDH. R.V.M. </w:t>
      </w:r>
      <w:r w:rsidRPr="00EB4673">
        <w:rPr>
          <w:rFonts w:eastAsia="MS Mincho"/>
          <w:szCs w:val="22"/>
          <w:lang w:val="es-ES"/>
        </w:rPr>
        <w:t>n</w:t>
      </w:r>
      <w:r w:rsidRPr="00EB4673">
        <w:rPr>
          <w:rFonts w:eastAsia="MS Mincho"/>
          <w:szCs w:val="22"/>
          <w:vertAlign w:val="superscript"/>
          <w:lang w:val="es-ES"/>
        </w:rPr>
        <w:t>o</w:t>
      </w:r>
      <w:r w:rsidRPr="00EB4673">
        <w:rPr>
          <w:lang w:val="es-ES"/>
        </w:rPr>
        <w:t> </w:t>
      </w:r>
      <w:r w:rsidRPr="00C0030C">
        <w:rPr>
          <w:lang w:val="es-ES"/>
        </w:rPr>
        <w:t xml:space="preserve">009-2021-JUS-VMDHAJ. </w:t>
      </w:r>
      <w:r w:rsidRPr="000430CC">
        <w:rPr>
          <w:lang w:val="fr-FR"/>
        </w:rPr>
        <w:t xml:space="preserve">Publié sur le site </w:t>
      </w:r>
      <w:r w:rsidR="00396923">
        <w:rPr>
          <w:lang w:val="fr-FR"/>
        </w:rPr>
        <w:t xml:space="preserve">Web </w:t>
      </w:r>
      <w:r w:rsidRPr="000430CC">
        <w:rPr>
          <w:lang w:val="fr-FR"/>
        </w:rPr>
        <w:t>officiel du Gouvernement péruvien en date du 17</w:t>
      </w:r>
      <w:r>
        <w:rPr>
          <w:lang w:val="fr-FR"/>
        </w:rPr>
        <w:t> </w:t>
      </w:r>
      <w:r w:rsidRPr="000430CC">
        <w:rPr>
          <w:lang w:val="fr-FR"/>
        </w:rPr>
        <w:t>août 2021.</w:t>
      </w:r>
    </w:p>
  </w:footnote>
  <w:footnote w:id="67">
    <w:p w14:paraId="5646415F" w14:textId="77777777" w:rsidR="00EB4673" w:rsidRPr="000430CC" w:rsidRDefault="00EB4673" w:rsidP="00D22A00">
      <w:pPr>
        <w:pStyle w:val="Notedebasdepage"/>
        <w:rPr>
          <w:lang w:val="en-US"/>
        </w:rPr>
      </w:pPr>
      <w:r w:rsidRPr="000430CC">
        <w:rPr>
          <w:lang w:val="fr-FR"/>
        </w:rPr>
        <w:tab/>
      </w:r>
      <w:r w:rsidRPr="00D22A00">
        <w:rPr>
          <w:rStyle w:val="Appelnotedebasdep"/>
        </w:rPr>
        <w:footnoteRef/>
      </w:r>
      <w:r w:rsidRPr="000430CC">
        <w:rPr>
          <w:lang w:val="en-US"/>
        </w:rPr>
        <w:tab/>
        <w:t xml:space="preserve">MINJUSDH. DGBPD. </w:t>
      </w:r>
      <w:r w:rsidRPr="00EB4673">
        <w:rPr>
          <w:lang w:val="en-US"/>
        </w:rPr>
        <w:t>Op. cit.,</w:t>
      </w:r>
      <w:r w:rsidRPr="000430CC">
        <w:rPr>
          <w:lang w:val="en-US"/>
        </w:rPr>
        <w:t xml:space="preserve"> p. 3.</w:t>
      </w:r>
    </w:p>
  </w:footnote>
  <w:footnote w:id="68">
    <w:p w14:paraId="6046BA9E" w14:textId="3986631D" w:rsidR="00EB4673" w:rsidRPr="00C31288" w:rsidRDefault="00EB4673" w:rsidP="00D22A00">
      <w:pPr>
        <w:pStyle w:val="Notedebasdepage"/>
        <w:rPr>
          <w:lang w:val="en-US"/>
        </w:rPr>
      </w:pPr>
      <w:r w:rsidRPr="000430CC">
        <w:rPr>
          <w:lang w:val="en-US"/>
        </w:rPr>
        <w:tab/>
      </w:r>
      <w:r w:rsidRPr="00D22A00">
        <w:rPr>
          <w:rStyle w:val="Appelnotedebasdep"/>
        </w:rPr>
        <w:footnoteRef/>
      </w:r>
      <w:r w:rsidRPr="00C31288">
        <w:rPr>
          <w:lang w:val="en-US"/>
        </w:rPr>
        <w:tab/>
        <w:t xml:space="preserve">MINJUSDH. DGBPD-DRIF. Rapport </w:t>
      </w:r>
      <w:r w:rsidRPr="00C31288">
        <w:rPr>
          <w:rFonts w:eastAsia="MS Mincho"/>
          <w:szCs w:val="22"/>
          <w:lang w:val="en-US"/>
        </w:rPr>
        <w:t>n</w:t>
      </w:r>
      <w:r w:rsidRPr="00C31288">
        <w:rPr>
          <w:rFonts w:eastAsia="MS Mincho"/>
          <w:szCs w:val="22"/>
          <w:vertAlign w:val="superscript"/>
          <w:lang w:val="en-US"/>
        </w:rPr>
        <w:t>o</w:t>
      </w:r>
      <w:r w:rsidRPr="00C31288">
        <w:rPr>
          <w:lang w:val="en-US"/>
        </w:rPr>
        <w:t xml:space="preserve"> 077-2021/DRIF </w:t>
      </w:r>
      <w:proofErr w:type="spellStart"/>
      <w:r w:rsidRPr="00C31288">
        <w:rPr>
          <w:lang w:val="en-US"/>
        </w:rPr>
        <w:t>en</w:t>
      </w:r>
      <w:proofErr w:type="spellEnd"/>
      <w:r w:rsidRPr="00C31288">
        <w:rPr>
          <w:lang w:val="en-US"/>
        </w:rPr>
        <w:t xml:space="preserve"> date du 27 </w:t>
      </w:r>
      <w:proofErr w:type="spellStart"/>
      <w:r w:rsidRPr="00C31288">
        <w:rPr>
          <w:lang w:val="en-US"/>
        </w:rPr>
        <w:t>août</w:t>
      </w:r>
      <w:proofErr w:type="spellEnd"/>
      <w:r w:rsidRPr="00C31288">
        <w:rPr>
          <w:lang w:val="en-US"/>
        </w:rPr>
        <w:t xml:space="preserve"> 2021.</w:t>
      </w:r>
    </w:p>
  </w:footnote>
  <w:footnote w:id="69">
    <w:p w14:paraId="147228D3" w14:textId="5C7A237B" w:rsidR="00EB4673" w:rsidRPr="00617581" w:rsidRDefault="00EB4673" w:rsidP="00D22A00">
      <w:pPr>
        <w:pStyle w:val="Notedebasdepage"/>
        <w:rPr>
          <w:lang w:val="en-US"/>
        </w:rPr>
      </w:pPr>
      <w:r w:rsidRPr="00C31288">
        <w:rPr>
          <w:lang w:val="en-US"/>
        </w:rPr>
        <w:tab/>
      </w:r>
      <w:r w:rsidRPr="00D22A00">
        <w:rPr>
          <w:rStyle w:val="Appelnotedebasdep"/>
        </w:rPr>
        <w:footnoteRef/>
      </w:r>
      <w:r w:rsidRPr="002F0D63">
        <w:rPr>
          <w:lang w:val="en-US"/>
        </w:rPr>
        <w:tab/>
      </w:r>
      <w:r w:rsidRPr="000430CC">
        <w:rPr>
          <w:lang w:val="en-US"/>
        </w:rPr>
        <w:t>MINJUSDH</w:t>
      </w:r>
      <w:r w:rsidR="00617581">
        <w:rPr>
          <w:lang w:val="en-US"/>
        </w:rPr>
        <w:t>.</w:t>
      </w:r>
      <w:r w:rsidRPr="000430CC">
        <w:rPr>
          <w:lang w:val="en-US"/>
        </w:rPr>
        <w:t xml:space="preserve"> DGBPD-DRIF. </w:t>
      </w:r>
      <w:r w:rsidRPr="00617581">
        <w:rPr>
          <w:lang w:val="en-US"/>
        </w:rPr>
        <w:t xml:space="preserve">Op. </w:t>
      </w:r>
      <w:r w:rsidR="00617581">
        <w:rPr>
          <w:lang w:val="en-US"/>
        </w:rPr>
        <w:t>c</w:t>
      </w:r>
      <w:r w:rsidRPr="00617581">
        <w:rPr>
          <w:lang w:val="en-US"/>
        </w:rPr>
        <w:t>it. p. 5.</w:t>
      </w:r>
    </w:p>
  </w:footnote>
  <w:footnote w:id="70">
    <w:p w14:paraId="7A94EFEE" w14:textId="0E80AB38" w:rsidR="00EB4673" w:rsidRPr="000430CC" w:rsidRDefault="00EB4673" w:rsidP="00D22A00">
      <w:pPr>
        <w:pStyle w:val="Notedebasdepage"/>
        <w:rPr>
          <w:lang w:val="fr-FR"/>
        </w:rPr>
      </w:pPr>
      <w:r w:rsidRPr="00617581">
        <w:rPr>
          <w:lang w:val="en-US"/>
        </w:rPr>
        <w:tab/>
      </w:r>
      <w:r w:rsidRPr="00617581">
        <w:rPr>
          <w:rStyle w:val="Appelnotedebasdep"/>
        </w:rPr>
        <w:footnoteRef/>
      </w:r>
      <w:r w:rsidRPr="00C31288">
        <w:rPr>
          <w:lang w:val="en-US"/>
        </w:rPr>
        <w:tab/>
        <w:t>MINJUSDH</w:t>
      </w:r>
      <w:r w:rsidR="00617581" w:rsidRPr="00C31288">
        <w:rPr>
          <w:lang w:val="en-US"/>
        </w:rPr>
        <w:t>.</w:t>
      </w:r>
      <w:r w:rsidRPr="00C31288">
        <w:rPr>
          <w:lang w:val="en-US"/>
        </w:rPr>
        <w:t xml:space="preserve"> DGBPD-DRIF. </w:t>
      </w:r>
      <w:r w:rsidRPr="00617581">
        <w:rPr>
          <w:lang w:val="fr-FR"/>
        </w:rPr>
        <w:t xml:space="preserve">Op. </w:t>
      </w:r>
      <w:proofErr w:type="spellStart"/>
      <w:r w:rsidR="00617581">
        <w:rPr>
          <w:lang w:val="fr-FR"/>
        </w:rPr>
        <w:t>c</w:t>
      </w:r>
      <w:r w:rsidRPr="00617581">
        <w:rPr>
          <w:lang w:val="fr-FR"/>
        </w:rPr>
        <w:t>it</w:t>
      </w:r>
      <w:proofErr w:type="spellEnd"/>
      <w:r w:rsidRPr="000430CC">
        <w:rPr>
          <w:lang w:val="fr-FR"/>
        </w:rPr>
        <w:t>. p. 5 et 6.</w:t>
      </w:r>
    </w:p>
  </w:footnote>
  <w:footnote w:id="71">
    <w:p w14:paraId="3EC57007" w14:textId="58747A49" w:rsidR="00EB4673" w:rsidRPr="000430CC" w:rsidRDefault="00EB4673" w:rsidP="00D22A00">
      <w:pPr>
        <w:pStyle w:val="Notedebasdepage"/>
        <w:rPr>
          <w:lang w:val="fr-FR"/>
        </w:rPr>
      </w:pPr>
      <w:r w:rsidRPr="000430CC">
        <w:rPr>
          <w:lang w:val="fr-FR"/>
        </w:rPr>
        <w:tab/>
      </w:r>
      <w:r w:rsidRPr="00D22A00">
        <w:rPr>
          <w:rStyle w:val="Appelnotedebasdep"/>
        </w:rPr>
        <w:footnoteRef/>
      </w:r>
      <w:r w:rsidRPr="000430CC">
        <w:rPr>
          <w:lang w:val="fr-FR"/>
        </w:rPr>
        <w:tab/>
        <w:t>MINJUSDH. Accord</w:t>
      </w:r>
      <w:r w:rsidR="008B5F43">
        <w:rPr>
          <w:lang w:val="fr-FR"/>
        </w:rPr>
        <w:t xml:space="preserve"> </w:t>
      </w:r>
      <w:r w:rsidRPr="000430CC">
        <w:rPr>
          <w:lang w:val="fr-FR"/>
        </w:rPr>
        <w:t>de coopération interinstitutionnelle entre le Ministère de la justice et des droits humains et le ministère public. Consulté le 12</w:t>
      </w:r>
      <w:r w:rsidR="00617581">
        <w:rPr>
          <w:lang w:val="fr-FR"/>
        </w:rPr>
        <w:t> </w:t>
      </w:r>
      <w:r w:rsidRPr="000430CC">
        <w:rPr>
          <w:lang w:val="fr-FR"/>
        </w:rPr>
        <w:t>octobre 2021. Disponible à l</w:t>
      </w:r>
      <w:r>
        <w:rPr>
          <w:lang w:val="fr-FR"/>
        </w:rPr>
        <w:t>’</w:t>
      </w:r>
      <w:r w:rsidRPr="000430CC">
        <w:rPr>
          <w:lang w:val="fr-FR"/>
        </w:rPr>
        <w:t xml:space="preserve">adresse suivante : </w:t>
      </w:r>
      <w:hyperlink r:id="rId8" w:history="1">
        <w:r w:rsidRPr="000430CC">
          <w:rPr>
            <w:rStyle w:val="Lienhypertexte"/>
            <w:szCs w:val="18"/>
            <w:lang w:val="fr-FR"/>
          </w:rPr>
          <w:t>https://www.gob.pe/institucion/minjus/informes-publicaciones/1682793-convenio-de-cooperacion-interinstitucional-en-el-ministerio-de-justicia-y-derechos-humanos-y-el-ministerio-publico-fiscalia-de-la-nacion</w:t>
        </w:r>
      </w:hyperlink>
      <w:r w:rsidRPr="000430CC">
        <w:rPr>
          <w:lang w:val="fr-FR"/>
        </w:rPr>
        <w:t>.</w:t>
      </w:r>
    </w:p>
  </w:footnote>
  <w:footnote w:id="72">
    <w:p w14:paraId="37678C0B" w14:textId="317CE76C" w:rsidR="00EB4673" w:rsidRPr="00FA3772" w:rsidRDefault="00EB4673" w:rsidP="00D22A00">
      <w:pPr>
        <w:pStyle w:val="Notedebasdepage"/>
        <w:rPr>
          <w:sz w:val="16"/>
          <w:szCs w:val="16"/>
          <w:lang w:val="fr-FR"/>
        </w:rPr>
      </w:pPr>
      <w:r w:rsidRPr="000430CC">
        <w:rPr>
          <w:lang w:val="fr-FR"/>
        </w:rPr>
        <w:tab/>
      </w:r>
      <w:r w:rsidRPr="00D22A00">
        <w:rPr>
          <w:rStyle w:val="Appelnotedebasdep"/>
        </w:rPr>
        <w:footnoteRef/>
      </w:r>
      <w:r w:rsidRPr="000430CC">
        <w:rPr>
          <w:lang w:val="fr-FR"/>
        </w:rPr>
        <w:tab/>
      </w:r>
      <w:r w:rsidRPr="00FA3772">
        <w:rPr>
          <w:lang w:val="fr-FR"/>
        </w:rPr>
        <w:t xml:space="preserve">Engagements du MINJUSDH : i) contribuer à la systématisation des informations sur les personnes disparues ; ii) fournir </w:t>
      </w:r>
      <w:r w:rsidRPr="00C828D7">
        <w:rPr>
          <w:lang w:val="fr-FR"/>
        </w:rPr>
        <w:t xml:space="preserve">au </w:t>
      </w:r>
      <w:r>
        <w:rPr>
          <w:lang w:val="fr-FR"/>
        </w:rPr>
        <w:t>ministère public</w:t>
      </w:r>
      <w:r w:rsidRPr="00FA3772">
        <w:rPr>
          <w:lang w:val="fr-FR"/>
        </w:rPr>
        <w:t xml:space="preserve"> l</w:t>
      </w:r>
      <w:r>
        <w:rPr>
          <w:lang w:val="fr-FR"/>
        </w:rPr>
        <w:t>’</w:t>
      </w:r>
      <w:r w:rsidRPr="00FA3772">
        <w:rPr>
          <w:lang w:val="fr-FR"/>
        </w:rPr>
        <w:t>appui de professionnels (archéologues, anthropologues, sociologues, etc.), afin de promouvoir et accélérer l</w:t>
      </w:r>
      <w:r>
        <w:rPr>
          <w:lang w:val="fr-FR"/>
        </w:rPr>
        <w:t>es</w:t>
      </w:r>
      <w:r w:rsidRPr="00FA3772">
        <w:rPr>
          <w:lang w:val="fr-FR"/>
        </w:rPr>
        <w:t xml:space="preserve"> recherche</w:t>
      </w:r>
      <w:r>
        <w:rPr>
          <w:lang w:val="fr-FR"/>
        </w:rPr>
        <w:t>s</w:t>
      </w:r>
      <w:r w:rsidRPr="00FA3772">
        <w:rPr>
          <w:lang w:val="fr-FR"/>
        </w:rPr>
        <w:t xml:space="preserve"> ; </w:t>
      </w:r>
      <w:r w:rsidRPr="00B40405">
        <w:rPr>
          <w:lang w:val="fr-FR"/>
        </w:rPr>
        <w:t xml:space="preserve">iii) </w:t>
      </w:r>
      <w:r w:rsidRPr="00242F78">
        <w:rPr>
          <w:lang w:val="fr-FR"/>
        </w:rPr>
        <w:t>assurer les services de professionnels (biologistes-généticiens) qui utilisent des réactifs et autres éléments nécessaires à</w:t>
      </w:r>
      <w:r w:rsidR="00617581">
        <w:rPr>
          <w:lang w:val="fr-FR"/>
        </w:rPr>
        <w:t> </w:t>
      </w:r>
      <w:r w:rsidRPr="00242F78">
        <w:rPr>
          <w:lang w:val="fr-FR"/>
        </w:rPr>
        <w:t>l</w:t>
      </w:r>
      <w:r>
        <w:rPr>
          <w:lang w:val="fr-FR"/>
        </w:rPr>
        <w:t>’</w:t>
      </w:r>
      <w:r w:rsidRPr="00242F78">
        <w:rPr>
          <w:lang w:val="fr-FR"/>
        </w:rPr>
        <w:t>analyse des restes humains en attente d</w:t>
      </w:r>
      <w:r>
        <w:rPr>
          <w:lang w:val="fr-FR"/>
        </w:rPr>
        <w:t>’</w:t>
      </w:r>
      <w:r w:rsidRPr="00242F78">
        <w:rPr>
          <w:lang w:val="fr-FR"/>
        </w:rPr>
        <w:t>identification ; iv) mettre</w:t>
      </w:r>
      <w:r w:rsidRPr="00FA3772">
        <w:rPr>
          <w:lang w:val="fr-FR"/>
        </w:rPr>
        <w:t xml:space="preserve"> en commun des renseignements stockés dans le RENADE et la banque de données génétiques.</w:t>
      </w:r>
    </w:p>
    <w:p w14:paraId="1A74511F" w14:textId="3D610D8A" w:rsidR="00EB4673" w:rsidRPr="000430CC" w:rsidRDefault="00EB4673" w:rsidP="00D22A00">
      <w:pPr>
        <w:pStyle w:val="Notedebasdepage"/>
        <w:rPr>
          <w:lang w:val="fr-FR"/>
        </w:rPr>
      </w:pPr>
      <w:r w:rsidRPr="00FA3772">
        <w:rPr>
          <w:lang w:val="fr-FR"/>
        </w:rPr>
        <w:tab/>
      </w:r>
      <w:r w:rsidRPr="00FA3772">
        <w:rPr>
          <w:lang w:val="fr-FR"/>
        </w:rPr>
        <w:tab/>
        <w:t xml:space="preserve">Engagements du </w:t>
      </w:r>
      <w:r>
        <w:rPr>
          <w:lang w:val="fr-FR"/>
        </w:rPr>
        <w:t>ministère public</w:t>
      </w:r>
      <w:r w:rsidRPr="00C828D7">
        <w:rPr>
          <w:lang w:val="fr-FR"/>
        </w:rPr>
        <w:t xml:space="preserve"> : i</w:t>
      </w:r>
      <w:r w:rsidRPr="00FA3772">
        <w:rPr>
          <w:lang w:val="fr-FR"/>
        </w:rPr>
        <w:t>) partager les informations avec le MINJUSDH pour mettre à jour le RENADE, ainsi que la banque de données génétiques ; ii) promouvoir la participation de la MINJUSDH au processus de récupération, analyse, identification et restitution des restes humains pendant la phase d</w:t>
      </w:r>
      <w:r>
        <w:rPr>
          <w:lang w:val="fr-FR"/>
        </w:rPr>
        <w:t>’</w:t>
      </w:r>
      <w:r w:rsidRPr="00FA3772">
        <w:rPr>
          <w:lang w:val="fr-FR"/>
        </w:rPr>
        <w:t xml:space="preserve">intervention conjointe ; iii) fournir des installations aux professionnels (biologistes-généticiens) du MINJUSDH, pour la réalisation conjointe, avec </w:t>
      </w:r>
      <w:r>
        <w:rPr>
          <w:lang w:val="fr-FR"/>
        </w:rPr>
        <w:t>les</w:t>
      </w:r>
      <w:r w:rsidRPr="00FA3772">
        <w:rPr>
          <w:lang w:val="fr-FR"/>
        </w:rPr>
        <w:t xml:space="preserve"> </w:t>
      </w:r>
      <w:r w:rsidRPr="00C828D7">
        <w:rPr>
          <w:lang w:val="fr-FR"/>
        </w:rPr>
        <w:t>experts</w:t>
      </w:r>
      <w:r>
        <w:rPr>
          <w:lang w:val="fr-FR"/>
        </w:rPr>
        <w:t xml:space="preserve"> du </w:t>
      </w:r>
      <w:r w:rsidRPr="00A23B74">
        <w:rPr>
          <w:lang w:val="fr-FR"/>
        </w:rPr>
        <w:t>MP</w:t>
      </w:r>
      <w:r w:rsidR="00F56840">
        <w:rPr>
          <w:lang w:val="fr-FR"/>
        </w:rPr>
        <w:t>-FN</w:t>
      </w:r>
      <w:r w:rsidRPr="00A23B74">
        <w:rPr>
          <w:lang w:val="fr-FR"/>
        </w:rPr>
        <w:t>,</w:t>
      </w:r>
      <w:r w:rsidRPr="00C828D7">
        <w:rPr>
          <w:lang w:val="fr-FR"/>
        </w:rPr>
        <w:t xml:space="preserve"> de</w:t>
      </w:r>
      <w:r w:rsidR="00617581">
        <w:rPr>
          <w:lang w:val="fr-FR"/>
        </w:rPr>
        <w:t> </w:t>
      </w:r>
      <w:r w:rsidRPr="00FA3772">
        <w:rPr>
          <w:lang w:val="fr-FR"/>
        </w:rPr>
        <w:t>l</w:t>
      </w:r>
      <w:r>
        <w:rPr>
          <w:lang w:val="fr-FR"/>
        </w:rPr>
        <w:t>’</w:t>
      </w:r>
      <w:r w:rsidRPr="00FA3772">
        <w:rPr>
          <w:lang w:val="fr-FR"/>
        </w:rPr>
        <w:t>analyse ADN des restes humains en attente d</w:t>
      </w:r>
      <w:r>
        <w:rPr>
          <w:lang w:val="fr-FR"/>
        </w:rPr>
        <w:t>’</w:t>
      </w:r>
      <w:r w:rsidRPr="00FA3772">
        <w:rPr>
          <w:lang w:val="fr-FR"/>
        </w:rPr>
        <w:t>identification.</w:t>
      </w:r>
    </w:p>
  </w:footnote>
  <w:footnote w:id="73">
    <w:p w14:paraId="7B58E4E8" w14:textId="1364EF62" w:rsidR="00EB4673" w:rsidRPr="00617581" w:rsidRDefault="00EB4673" w:rsidP="00D22A00">
      <w:pPr>
        <w:pStyle w:val="Notedebasdepage"/>
        <w:rPr>
          <w:lang w:val="en-US"/>
        </w:rPr>
      </w:pPr>
      <w:r w:rsidRPr="000430CC">
        <w:rPr>
          <w:lang w:val="fr-CA"/>
        </w:rPr>
        <w:tab/>
      </w:r>
      <w:r w:rsidRPr="00D22A00">
        <w:rPr>
          <w:rStyle w:val="Appelnotedebasdep"/>
        </w:rPr>
        <w:footnoteRef/>
      </w:r>
      <w:r w:rsidRPr="000430CC">
        <w:rPr>
          <w:lang w:val="en-US"/>
        </w:rPr>
        <w:tab/>
        <w:t>MINJUSDH</w:t>
      </w:r>
      <w:r w:rsidR="00617581">
        <w:rPr>
          <w:lang w:val="en-US"/>
        </w:rPr>
        <w:t>.</w:t>
      </w:r>
      <w:r w:rsidRPr="000430CC">
        <w:rPr>
          <w:lang w:val="en-US"/>
        </w:rPr>
        <w:t xml:space="preserve"> DGBPD-DRIF. </w:t>
      </w:r>
      <w:r w:rsidRPr="00617581">
        <w:rPr>
          <w:lang w:val="en-US"/>
        </w:rPr>
        <w:t>Op. cit., p. 6.</w:t>
      </w:r>
    </w:p>
  </w:footnote>
  <w:footnote w:id="74">
    <w:p w14:paraId="1C527F89" w14:textId="470DF2BE"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w:t>
      </w:r>
      <w:r w:rsidR="00617581" w:rsidRPr="00617581">
        <w:rPr>
          <w:lang w:val="en-US"/>
        </w:rPr>
        <w:t>.</w:t>
      </w:r>
      <w:r w:rsidRPr="00617581">
        <w:rPr>
          <w:lang w:val="en-US"/>
        </w:rPr>
        <w:t xml:space="preserve"> DGBPD-DRIF. Op. cit., p. 6. </w:t>
      </w:r>
    </w:p>
  </w:footnote>
  <w:footnote w:id="75">
    <w:p w14:paraId="23F369F0" w14:textId="3731AF33" w:rsidR="00EB4673" w:rsidRPr="000430CC"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 xml:space="preserve"> MINJUSDH</w:t>
      </w:r>
      <w:r w:rsidR="00617581" w:rsidRPr="00617581">
        <w:rPr>
          <w:lang w:val="en-US"/>
        </w:rPr>
        <w:t>.</w:t>
      </w:r>
      <w:r w:rsidRPr="00617581">
        <w:rPr>
          <w:lang w:val="en-US"/>
        </w:rPr>
        <w:t xml:space="preserve"> DGBPD-DRIF. Op. cit., p</w:t>
      </w:r>
      <w:r w:rsidRPr="000430CC">
        <w:rPr>
          <w:lang w:val="en-US"/>
        </w:rPr>
        <w:t>. 6.</w:t>
      </w:r>
    </w:p>
  </w:footnote>
  <w:footnote w:id="76">
    <w:p w14:paraId="4C33D462" w14:textId="1D5E049E" w:rsidR="00EB4673" w:rsidRPr="00617581" w:rsidRDefault="00EB4673" w:rsidP="00D22A00">
      <w:pPr>
        <w:pStyle w:val="Notedebasdepage"/>
        <w:rPr>
          <w:lang w:val="en-US"/>
        </w:rPr>
      </w:pPr>
      <w:r w:rsidRPr="000430CC">
        <w:rPr>
          <w:lang w:val="en-US"/>
        </w:rPr>
        <w:tab/>
      </w:r>
      <w:r w:rsidRPr="00D22A00">
        <w:rPr>
          <w:rStyle w:val="Appelnotedebasdep"/>
        </w:rPr>
        <w:footnoteRef/>
      </w:r>
      <w:r w:rsidRPr="000430CC">
        <w:rPr>
          <w:lang w:val="en-US"/>
        </w:rPr>
        <w:tab/>
        <w:t>MINJUSDH</w:t>
      </w:r>
      <w:r w:rsidR="00617581">
        <w:rPr>
          <w:lang w:val="en-US"/>
        </w:rPr>
        <w:t>.</w:t>
      </w:r>
      <w:r w:rsidRPr="000430CC">
        <w:rPr>
          <w:lang w:val="en-US"/>
        </w:rPr>
        <w:t xml:space="preserve"> DGBPD-DRIF. </w:t>
      </w:r>
      <w:r w:rsidRPr="00617581">
        <w:rPr>
          <w:lang w:val="en-US"/>
        </w:rPr>
        <w:t>Op. cit., p. 6.</w:t>
      </w:r>
    </w:p>
  </w:footnote>
  <w:footnote w:id="77">
    <w:p w14:paraId="7B679647" w14:textId="34A3450E"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w:t>
      </w:r>
      <w:r w:rsidR="00617581">
        <w:rPr>
          <w:lang w:val="en-US"/>
        </w:rPr>
        <w:t>.</w:t>
      </w:r>
      <w:r w:rsidRPr="00617581">
        <w:rPr>
          <w:lang w:val="en-US"/>
        </w:rPr>
        <w:t xml:space="preserve"> DGBPD-DRIF. Op. cit., p. 6.</w:t>
      </w:r>
    </w:p>
  </w:footnote>
  <w:footnote w:id="78">
    <w:p w14:paraId="4FFD2A76" w14:textId="38BBF38B"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w:t>
      </w:r>
      <w:r w:rsidR="00617581">
        <w:rPr>
          <w:lang w:val="en-US"/>
        </w:rPr>
        <w:t>.</w:t>
      </w:r>
      <w:r w:rsidRPr="00617581">
        <w:rPr>
          <w:lang w:val="en-US"/>
        </w:rPr>
        <w:t xml:space="preserve"> DGBPD-DRIF. Op. cit., p. 7.</w:t>
      </w:r>
    </w:p>
  </w:footnote>
  <w:footnote w:id="79">
    <w:p w14:paraId="3E52D6B2" w14:textId="77777777"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 DGBPD-DRIF. Op. cit., p. 7.</w:t>
      </w:r>
    </w:p>
  </w:footnote>
  <w:footnote w:id="80">
    <w:p w14:paraId="0B033EBD" w14:textId="77777777" w:rsidR="00EB4673" w:rsidRPr="00617581" w:rsidRDefault="00EB4673" w:rsidP="00D22A00">
      <w:pPr>
        <w:pStyle w:val="Notedebasdepage"/>
        <w:rPr>
          <w:lang w:val="fr-CA"/>
        </w:rPr>
      </w:pPr>
      <w:r w:rsidRPr="00617581">
        <w:rPr>
          <w:lang w:val="en-US"/>
        </w:rPr>
        <w:tab/>
      </w:r>
      <w:r w:rsidRPr="00617581">
        <w:rPr>
          <w:rStyle w:val="Appelnotedebasdep"/>
        </w:rPr>
        <w:footnoteRef/>
      </w:r>
      <w:r w:rsidRPr="00617581">
        <w:tab/>
        <w:t xml:space="preserve">MINJUSDH. </w:t>
      </w:r>
      <w:r w:rsidRPr="00617581">
        <w:rPr>
          <w:lang w:val="fr-CA"/>
        </w:rPr>
        <w:t xml:space="preserve">DGBPD. Op. </w:t>
      </w:r>
      <w:proofErr w:type="spellStart"/>
      <w:r w:rsidRPr="00617581">
        <w:rPr>
          <w:lang w:val="fr-CA"/>
        </w:rPr>
        <w:t>cit</w:t>
      </w:r>
      <w:proofErr w:type="spellEnd"/>
      <w:r w:rsidRPr="00617581">
        <w:rPr>
          <w:lang w:val="fr-CA"/>
        </w:rPr>
        <w:t>., p. 1 et 2.</w:t>
      </w:r>
    </w:p>
  </w:footnote>
  <w:footnote w:id="81">
    <w:p w14:paraId="168A847F" w14:textId="77777777" w:rsidR="00EB4673" w:rsidRPr="00617581" w:rsidRDefault="00EB4673" w:rsidP="00D22A00">
      <w:pPr>
        <w:pStyle w:val="Notedebasdepage"/>
        <w:rPr>
          <w:lang w:val="en-US"/>
        </w:rPr>
      </w:pPr>
      <w:r w:rsidRPr="00617581">
        <w:rPr>
          <w:lang w:val="fr-CA"/>
        </w:rPr>
        <w:tab/>
      </w:r>
      <w:r w:rsidRPr="00617581">
        <w:rPr>
          <w:rStyle w:val="Appelnotedebasdep"/>
        </w:rPr>
        <w:footnoteRef/>
      </w:r>
      <w:r w:rsidRPr="00617581">
        <w:rPr>
          <w:lang w:val="en-US"/>
        </w:rPr>
        <w:tab/>
        <w:t>MINJUSDH. DGBPD. Op. cit., p. 2.</w:t>
      </w:r>
    </w:p>
  </w:footnote>
  <w:footnote w:id="82">
    <w:p w14:paraId="5B09B994" w14:textId="77777777"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 DGBPD. Op. cit., p. 2.</w:t>
      </w:r>
    </w:p>
  </w:footnote>
  <w:footnote w:id="83">
    <w:p w14:paraId="1F213A82" w14:textId="77777777"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 DGBPD. Op. cit., p. 2.</w:t>
      </w:r>
    </w:p>
  </w:footnote>
  <w:footnote w:id="84">
    <w:p w14:paraId="58CE5B9A" w14:textId="77777777"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 DGBPD. Op. cit., p. 2.</w:t>
      </w:r>
    </w:p>
  </w:footnote>
  <w:footnote w:id="85">
    <w:p w14:paraId="7F9CFCA2" w14:textId="77777777" w:rsidR="00EB4673" w:rsidRPr="00617581" w:rsidRDefault="00EB4673" w:rsidP="00D22A00">
      <w:pPr>
        <w:pStyle w:val="Notedebasdepage"/>
        <w:rPr>
          <w:lang w:val="en-US"/>
        </w:rPr>
      </w:pPr>
      <w:r w:rsidRPr="00617581">
        <w:rPr>
          <w:lang w:val="en-US"/>
        </w:rPr>
        <w:tab/>
      </w:r>
      <w:r w:rsidRPr="00617581">
        <w:rPr>
          <w:rStyle w:val="Appelnotedebasdep"/>
        </w:rPr>
        <w:footnoteRef/>
      </w:r>
      <w:r w:rsidRPr="00617581">
        <w:rPr>
          <w:lang w:val="en-US"/>
        </w:rPr>
        <w:tab/>
        <w:t>MINJUSDH. DGBPD. Op. cit. p. 2.</w:t>
      </w:r>
    </w:p>
  </w:footnote>
  <w:footnote w:id="86">
    <w:p w14:paraId="4494BCF3" w14:textId="57783624" w:rsidR="00EB4673" w:rsidRPr="000430CC" w:rsidRDefault="00EB4673" w:rsidP="00D22A00">
      <w:pPr>
        <w:pStyle w:val="Notedebasdepage"/>
        <w:rPr>
          <w:lang w:val="fr-FR"/>
        </w:rPr>
      </w:pPr>
      <w:r w:rsidRPr="00C0030C">
        <w:rPr>
          <w:lang w:val="en-US"/>
        </w:rPr>
        <w:tab/>
      </w:r>
      <w:r w:rsidRPr="00D22A00">
        <w:rPr>
          <w:rStyle w:val="Appelnotedebasdep"/>
        </w:rPr>
        <w:footnoteRef/>
      </w:r>
      <w:r w:rsidRPr="000430CC">
        <w:rPr>
          <w:lang w:val="fr-FR"/>
        </w:rPr>
        <w:tab/>
        <w:t xml:space="preserve">PE D.L. 1428. Publié au Journal officiel </w:t>
      </w:r>
      <w:r w:rsidRPr="000430CC">
        <w:rPr>
          <w:i/>
          <w:iCs/>
          <w:lang w:val="fr-FR"/>
        </w:rPr>
        <w:t xml:space="preserve">El </w:t>
      </w:r>
      <w:proofErr w:type="spellStart"/>
      <w:r w:rsidRPr="000430CC">
        <w:rPr>
          <w:i/>
          <w:iCs/>
          <w:lang w:val="fr-FR"/>
        </w:rPr>
        <w:t>Peruano</w:t>
      </w:r>
      <w:proofErr w:type="spellEnd"/>
      <w:r w:rsidRPr="000430CC">
        <w:rPr>
          <w:lang w:val="fr-FR"/>
        </w:rPr>
        <w:t xml:space="preserve"> en date du 16</w:t>
      </w:r>
      <w:r w:rsidR="00617581">
        <w:rPr>
          <w:lang w:val="fr-FR"/>
        </w:rPr>
        <w:t> </w:t>
      </w:r>
      <w:r w:rsidRPr="000430CC">
        <w:rPr>
          <w:lang w:val="fr-FR"/>
        </w:rPr>
        <w:t>septembre 2018.</w:t>
      </w:r>
    </w:p>
  </w:footnote>
  <w:footnote w:id="87">
    <w:p w14:paraId="192197E9" w14:textId="22949D42" w:rsidR="00EB4673" w:rsidRPr="00617581" w:rsidRDefault="00EB4673" w:rsidP="00D22A00">
      <w:pPr>
        <w:pStyle w:val="Notedebasdepage"/>
        <w:rPr>
          <w:lang w:val="es-ES"/>
        </w:rPr>
      </w:pPr>
      <w:r w:rsidRPr="000430CC">
        <w:rPr>
          <w:lang w:val="fr-FR"/>
        </w:rPr>
        <w:tab/>
      </w:r>
      <w:r w:rsidRPr="00D22A00">
        <w:rPr>
          <w:rStyle w:val="Appelnotedebasdep"/>
        </w:rPr>
        <w:footnoteRef/>
      </w:r>
      <w:r w:rsidRPr="000430CC">
        <w:rPr>
          <w:lang w:val="fr-FR"/>
        </w:rPr>
        <w:tab/>
        <w:t xml:space="preserve">MININTER. Communiqué de presse : Le système de recherche des personnes disparues est renforcé. </w:t>
      </w:r>
      <w:r w:rsidRPr="00C31288">
        <w:rPr>
          <w:lang w:val="es-ES"/>
        </w:rPr>
        <w:t>Consulté le 24</w:t>
      </w:r>
      <w:r w:rsidR="00617581" w:rsidRPr="00C31288">
        <w:rPr>
          <w:lang w:val="es-ES"/>
        </w:rPr>
        <w:t> </w:t>
      </w:r>
      <w:proofErr w:type="spellStart"/>
      <w:r w:rsidRPr="00C31288">
        <w:rPr>
          <w:lang w:val="es-ES"/>
        </w:rPr>
        <w:t>août</w:t>
      </w:r>
      <w:proofErr w:type="spellEnd"/>
      <w:r w:rsidRPr="00C31288">
        <w:rPr>
          <w:lang w:val="es-ES"/>
        </w:rPr>
        <w:t xml:space="preserve"> 2021. </w:t>
      </w:r>
      <w:r w:rsidRPr="00617581">
        <w:rPr>
          <w:lang w:val="es-ES"/>
        </w:rPr>
        <w:t xml:space="preserve">Disponible à </w:t>
      </w:r>
      <w:proofErr w:type="spellStart"/>
      <w:r w:rsidRPr="00617581">
        <w:rPr>
          <w:lang w:val="es-ES"/>
        </w:rPr>
        <w:t>l’adresse</w:t>
      </w:r>
      <w:proofErr w:type="spellEnd"/>
      <w:r w:rsidRPr="00617581">
        <w:rPr>
          <w:lang w:val="es-ES"/>
        </w:rPr>
        <w:t xml:space="preserve"> </w:t>
      </w:r>
      <w:proofErr w:type="spellStart"/>
      <w:r w:rsidRPr="00617581">
        <w:rPr>
          <w:lang w:val="es-ES"/>
        </w:rPr>
        <w:t>suivante</w:t>
      </w:r>
      <w:proofErr w:type="spellEnd"/>
      <w:r w:rsidRPr="00617581">
        <w:rPr>
          <w:lang w:val="es-ES"/>
        </w:rPr>
        <w:t xml:space="preserve"> : </w:t>
      </w:r>
      <w:hyperlink r:id="rId9" w:history="1">
        <w:r w:rsidRPr="00617581">
          <w:rPr>
            <w:rStyle w:val="Lienhypertexte"/>
            <w:szCs w:val="18"/>
            <w:lang w:val="es-ES"/>
          </w:rPr>
          <w:t>https://www.gob.pe/institucion/mininter/</w:t>
        </w:r>
        <w:r w:rsidR="00617581">
          <w:rPr>
            <w:rStyle w:val="Lienhypertexte"/>
            <w:szCs w:val="18"/>
            <w:lang w:val="es-ES"/>
          </w:rPr>
          <w:t xml:space="preserve"> </w:t>
        </w:r>
        <w:r w:rsidRPr="00617581">
          <w:rPr>
            <w:rStyle w:val="Lienhypertexte"/>
            <w:szCs w:val="18"/>
            <w:lang w:val="es-ES"/>
          </w:rPr>
          <w:t>noticias/19034-fortalecen-sistema-de-busqueda-de-personas-desaparecidas</w:t>
        </w:r>
      </w:hyperlink>
      <w:r w:rsidRPr="00617581">
        <w:rPr>
          <w:lang w:val="es-ES"/>
        </w:rPr>
        <w:t>.</w:t>
      </w:r>
    </w:p>
  </w:footnote>
  <w:footnote w:id="88">
    <w:p w14:paraId="38CD931F" w14:textId="256662D0" w:rsidR="00EB4673" w:rsidRPr="000430CC" w:rsidRDefault="00EB4673" w:rsidP="00D22A00">
      <w:pPr>
        <w:pStyle w:val="Notedebasdepage"/>
        <w:rPr>
          <w:lang w:val="fr-FR"/>
        </w:rPr>
      </w:pPr>
      <w:r w:rsidRPr="00617581">
        <w:rPr>
          <w:lang w:val="es-ES"/>
        </w:rPr>
        <w:tab/>
      </w:r>
      <w:r w:rsidRPr="00D22A00">
        <w:rPr>
          <w:rStyle w:val="Appelnotedebasdep"/>
        </w:rPr>
        <w:footnoteRef/>
      </w:r>
      <w:r w:rsidRPr="00C0030C">
        <w:rPr>
          <w:lang w:val="en-US"/>
        </w:rPr>
        <w:tab/>
        <w:t xml:space="preserve">MININTER. </w:t>
      </w:r>
      <w:r w:rsidRPr="00C31288">
        <w:rPr>
          <w:lang w:val="en-US"/>
        </w:rPr>
        <w:t xml:space="preserve">D.S. </w:t>
      </w:r>
      <w:r w:rsidR="00617581" w:rsidRPr="00C31288">
        <w:rPr>
          <w:rFonts w:eastAsia="MS Mincho"/>
          <w:szCs w:val="22"/>
          <w:lang w:val="en-US"/>
        </w:rPr>
        <w:t>n</w:t>
      </w:r>
      <w:r w:rsidR="00617581" w:rsidRPr="00C31288">
        <w:rPr>
          <w:rFonts w:eastAsia="MS Mincho"/>
          <w:szCs w:val="22"/>
          <w:vertAlign w:val="superscript"/>
          <w:lang w:val="en-US"/>
        </w:rPr>
        <w:t>o</w:t>
      </w:r>
      <w:r w:rsidR="00617581" w:rsidRPr="00C31288">
        <w:rPr>
          <w:lang w:val="en-US"/>
        </w:rPr>
        <w:t> </w:t>
      </w:r>
      <w:r w:rsidRPr="000430CC">
        <w:rPr>
          <w:lang w:val="de-CH"/>
        </w:rPr>
        <w:t>003-2019-IN.</w:t>
      </w:r>
      <w:r w:rsidRPr="00C31288">
        <w:rPr>
          <w:lang w:val="en-US"/>
        </w:rPr>
        <w:t xml:space="preserve"> </w:t>
      </w:r>
      <w:proofErr w:type="spellStart"/>
      <w:r w:rsidRPr="000430CC">
        <w:rPr>
          <w:lang w:val="de-CH"/>
        </w:rPr>
        <w:t>Publié</w:t>
      </w:r>
      <w:proofErr w:type="spellEnd"/>
      <w:r w:rsidRPr="000430CC">
        <w:rPr>
          <w:lang w:val="de-CH"/>
        </w:rPr>
        <w:t xml:space="preserve"> au Journal </w:t>
      </w:r>
      <w:proofErr w:type="spellStart"/>
      <w:r w:rsidRPr="000430CC">
        <w:rPr>
          <w:lang w:val="de-CH"/>
        </w:rPr>
        <w:t>officiel</w:t>
      </w:r>
      <w:proofErr w:type="spellEnd"/>
      <w:r w:rsidRPr="000430CC">
        <w:rPr>
          <w:lang w:val="de-CH"/>
        </w:rPr>
        <w:t xml:space="preserve"> </w:t>
      </w:r>
      <w:r w:rsidRPr="000430CC">
        <w:rPr>
          <w:i/>
          <w:iCs/>
          <w:lang w:val="de-CH"/>
        </w:rPr>
        <w:t xml:space="preserve">El </w:t>
      </w:r>
      <w:proofErr w:type="spellStart"/>
      <w:r w:rsidRPr="000430CC">
        <w:rPr>
          <w:i/>
          <w:iCs/>
          <w:lang w:val="de-CH"/>
        </w:rPr>
        <w:t>Peruano</w:t>
      </w:r>
      <w:proofErr w:type="spellEnd"/>
      <w:r w:rsidRPr="000430CC">
        <w:rPr>
          <w:lang w:val="de-CH"/>
        </w:rPr>
        <w:t xml:space="preserve"> en date du 23</w:t>
      </w:r>
      <w:r w:rsidR="00617581">
        <w:rPr>
          <w:lang w:val="de-CH"/>
        </w:rPr>
        <w:t> </w:t>
      </w:r>
      <w:proofErr w:type="spellStart"/>
      <w:r w:rsidRPr="000430CC">
        <w:rPr>
          <w:lang w:val="de-CH"/>
        </w:rPr>
        <w:t>mars</w:t>
      </w:r>
      <w:proofErr w:type="spellEnd"/>
      <w:r w:rsidRPr="000430CC">
        <w:rPr>
          <w:lang w:val="de-CH"/>
        </w:rPr>
        <w:t xml:space="preserve"> 2019</w:t>
      </w:r>
      <w:r w:rsidRPr="000430CC">
        <w:rPr>
          <w:lang w:val="fr-FR"/>
        </w:rPr>
        <w:t>.</w:t>
      </w:r>
    </w:p>
  </w:footnote>
  <w:footnote w:id="89">
    <w:p w14:paraId="4191DF0F" w14:textId="12B4F9B1" w:rsidR="00EB4673" w:rsidRPr="000430CC" w:rsidRDefault="00EB4673" w:rsidP="00D22A00">
      <w:pPr>
        <w:pStyle w:val="Notedebasdepage"/>
        <w:rPr>
          <w:lang w:val="fr-CA"/>
        </w:rPr>
      </w:pPr>
      <w:r w:rsidRPr="000430CC">
        <w:rPr>
          <w:lang w:val="fr-FR"/>
        </w:rPr>
        <w:tab/>
      </w:r>
      <w:r w:rsidRPr="00D22A00">
        <w:rPr>
          <w:rStyle w:val="Appelnotedebasdep"/>
        </w:rPr>
        <w:footnoteRef/>
      </w:r>
      <w:r w:rsidRPr="00C0030C">
        <w:rPr>
          <w:lang w:val="en-US"/>
        </w:rPr>
        <w:tab/>
        <w:t xml:space="preserve">MININTER. </w:t>
      </w:r>
      <w:r w:rsidRPr="00C31288">
        <w:rPr>
          <w:lang w:val="en-US"/>
        </w:rPr>
        <w:t xml:space="preserve">D.S. </w:t>
      </w:r>
      <w:r w:rsidR="00617581" w:rsidRPr="00C31288">
        <w:rPr>
          <w:rFonts w:eastAsia="MS Mincho"/>
          <w:szCs w:val="22"/>
          <w:lang w:val="en-US"/>
        </w:rPr>
        <w:t>n</w:t>
      </w:r>
      <w:r w:rsidR="00617581" w:rsidRPr="00C31288">
        <w:rPr>
          <w:rFonts w:eastAsia="MS Mincho"/>
          <w:szCs w:val="22"/>
          <w:vertAlign w:val="superscript"/>
          <w:lang w:val="en-US"/>
        </w:rPr>
        <w:t>o</w:t>
      </w:r>
      <w:r w:rsidR="00617581" w:rsidRPr="00C31288">
        <w:rPr>
          <w:lang w:val="en-US"/>
        </w:rPr>
        <w:t> </w:t>
      </w:r>
      <w:r w:rsidRPr="000430CC">
        <w:rPr>
          <w:lang w:val="de-CH"/>
        </w:rPr>
        <w:t xml:space="preserve">002-2020-IN. </w:t>
      </w:r>
      <w:proofErr w:type="spellStart"/>
      <w:r w:rsidRPr="000430CC">
        <w:rPr>
          <w:lang w:val="de-CH"/>
        </w:rPr>
        <w:t>Publié</w:t>
      </w:r>
      <w:proofErr w:type="spellEnd"/>
      <w:r w:rsidRPr="000430CC">
        <w:rPr>
          <w:lang w:val="de-CH"/>
        </w:rPr>
        <w:t xml:space="preserve"> au Journal </w:t>
      </w:r>
      <w:proofErr w:type="spellStart"/>
      <w:r w:rsidRPr="000430CC">
        <w:rPr>
          <w:lang w:val="de-CH"/>
        </w:rPr>
        <w:t>officiel</w:t>
      </w:r>
      <w:proofErr w:type="spellEnd"/>
      <w:r w:rsidRPr="000430CC">
        <w:rPr>
          <w:lang w:val="de-CH"/>
        </w:rPr>
        <w:t xml:space="preserve"> </w:t>
      </w:r>
      <w:r w:rsidRPr="000430CC">
        <w:rPr>
          <w:i/>
          <w:iCs/>
          <w:lang w:val="fr-CA"/>
        </w:rPr>
        <w:t xml:space="preserve">El </w:t>
      </w:r>
      <w:proofErr w:type="spellStart"/>
      <w:r w:rsidRPr="000430CC">
        <w:rPr>
          <w:i/>
          <w:iCs/>
          <w:lang w:val="fr-CA"/>
        </w:rPr>
        <w:t>Peruano</w:t>
      </w:r>
      <w:proofErr w:type="spellEnd"/>
      <w:r w:rsidRPr="000430CC">
        <w:rPr>
          <w:lang w:val="fr-CA"/>
        </w:rPr>
        <w:t xml:space="preserve"> en date du 28</w:t>
      </w:r>
      <w:r w:rsidR="00617581">
        <w:rPr>
          <w:lang w:val="fr-CA"/>
        </w:rPr>
        <w:t> </w:t>
      </w:r>
      <w:r w:rsidRPr="000430CC">
        <w:rPr>
          <w:lang w:val="fr-CA"/>
        </w:rPr>
        <w:t xml:space="preserve">février 2020. </w:t>
      </w:r>
    </w:p>
  </w:footnote>
  <w:footnote w:id="90">
    <w:p w14:paraId="14271147" w14:textId="26A5642B" w:rsidR="00EB4673" w:rsidRPr="000430CC" w:rsidRDefault="00EB4673" w:rsidP="00D22A00">
      <w:pPr>
        <w:pStyle w:val="Notedebasdepage"/>
        <w:rPr>
          <w:lang w:val="fr-FR"/>
        </w:rPr>
      </w:pPr>
      <w:r w:rsidRPr="000430CC">
        <w:rPr>
          <w:lang w:val="fr-CA"/>
        </w:rPr>
        <w:tab/>
      </w:r>
      <w:r w:rsidRPr="00D22A00">
        <w:rPr>
          <w:rStyle w:val="Appelnotedebasdep"/>
        </w:rPr>
        <w:footnoteRef/>
      </w:r>
      <w:r w:rsidRPr="000430CC">
        <w:rPr>
          <w:lang w:val="fr-FR"/>
        </w:rPr>
        <w:tab/>
      </w:r>
      <w:r w:rsidRPr="000430CC">
        <w:rPr>
          <w:lang w:val="de-CH"/>
        </w:rPr>
        <w:t xml:space="preserve">Journal </w:t>
      </w:r>
      <w:proofErr w:type="spellStart"/>
      <w:r w:rsidRPr="000430CC">
        <w:rPr>
          <w:lang w:val="de-CH"/>
        </w:rPr>
        <w:t>officiel</w:t>
      </w:r>
      <w:proofErr w:type="spellEnd"/>
      <w:r w:rsidRPr="000430CC">
        <w:rPr>
          <w:lang w:val="de-CH"/>
        </w:rPr>
        <w:t xml:space="preserve"> </w:t>
      </w:r>
      <w:r w:rsidRPr="000430CC">
        <w:rPr>
          <w:i/>
          <w:iCs/>
          <w:lang w:val="de-CH"/>
        </w:rPr>
        <w:t xml:space="preserve">El </w:t>
      </w:r>
      <w:proofErr w:type="spellStart"/>
      <w:r w:rsidRPr="000430CC">
        <w:rPr>
          <w:i/>
          <w:iCs/>
          <w:lang w:val="de-CH"/>
        </w:rPr>
        <w:t>Peruano</w:t>
      </w:r>
      <w:proofErr w:type="spellEnd"/>
      <w:r w:rsidRPr="000430CC">
        <w:rPr>
          <w:lang w:val="fr-FR"/>
        </w:rPr>
        <w:t xml:space="preserve">. </w:t>
      </w:r>
      <w:r w:rsidRPr="000430CC">
        <w:rPr>
          <w:lang w:val="de-CH"/>
        </w:rPr>
        <w:t xml:space="preserve">Le </w:t>
      </w:r>
      <w:proofErr w:type="spellStart"/>
      <w:r w:rsidRPr="000430CC">
        <w:rPr>
          <w:lang w:val="de-CH"/>
        </w:rPr>
        <w:t>système</w:t>
      </w:r>
      <w:proofErr w:type="spellEnd"/>
      <w:r w:rsidRPr="000430CC">
        <w:rPr>
          <w:lang w:val="de-CH"/>
        </w:rPr>
        <w:t xml:space="preserve"> de la </w:t>
      </w:r>
      <w:proofErr w:type="spellStart"/>
      <w:r w:rsidRPr="000430CC">
        <w:rPr>
          <w:lang w:val="de-CH"/>
        </w:rPr>
        <w:t>police</w:t>
      </w:r>
      <w:proofErr w:type="spellEnd"/>
      <w:r w:rsidRPr="000430CC">
        <w:rPr>
          <w:lang w:val="de-CH"/>
        </w:rPr>
        <w:t xml:space="preserve"> </w:t>
      </w:r>
      <w:proofErr w:type="spellStart"/>
      <w:r w:rsidRPr="000430CC">
        <w:rPr>
          <w:lang w:val="de-CH"/>
        </w:rPr>
        <w:t>facilite</w:t>
      </w:r>
      <w:proofErr w:type="spellEnd"/>
      <w:r w:rsidRPr="000430CC">
        <w:rPr>
          <w:lang w:val="de-CH"/>
        </w:rPr>
        <w:t xml:space="preserve"> la </w:t>
      </w:r>
      <w:proofErr w:type="spellStart"/>
      <w:r w:rsidRPr="000430CC">
        <w:rPr>
          <w:lang w:val="de-CH"/>
        </w:rPr>
        <w:t>recherche</w:t>
      </w:r>
      <w:proofErr w:type="spellEnd"/>
      <w:r w:rsidRPr="000430CC">
        <w:rPr>
          <w:lang w:val="de-CH"/>
        </w:rPr>
        <w:t xml:space="preserve"> des </w:t>
      </w:r>
      <w:proofErr w:type="spellStart"/>
      <w:r w:rsidRPr="000430CC">
        <w:rPr>
          <w:lang w:val="de-CH"/>
        </w:rPr>
        <w:t>personnes</w:t>
      </w:r>
      <w:proofErr w:type="spellEnd"/>
      <w:r w:rsidRPr="000430CC">
        <w:rPr>
          <w:lang w:val="de-CH"/>
        </w:rPr>
        <w:t xml:space="preserve"> </w:t>
      </w:r>
      <w:proofErr w:type="spellStart"/>
      <w:r w:rsidRPr="000430CC">
        <w:rPr>
          <w:lang w:val="de-CH"/>
        </w:rPr>
        <w:t>disparues</w:t>
      </w:r>
      <w:proofErr w:type="spellEnd"/>
      <w:r w:rsidRPr="000430CC">
        <w:rPr>
          <w:lang w:val="de-CH"/>
        </w:rPr>
        <w:t xml:space="preserve">. </w:t>
      </w:r>
      <w:proofErr w:type="spellStart"/>
      <w:r w:rsidRPr="000430CC">
        <w:rPr>
          <w:lang w:val="de-CH"/>
        </w:rPr>
        <w:t>Consulté</w:t>
      </w:r>
      <w:proofErr w:type="spellEnd"/>
      <w:r w:rsidRPr="000430CC">
        <w:rPr>
          <w:lang w:val="de-CH"/>
        </w:rPr>
        <w:t xml:space="preserve"> le 24</w:t>
      </w:r>
      <w:r w:rsidR="00617581">
        <w:rPr>
          <w:lang w:val="de-CH"/>
        </w:rPr>
        <w:t> </w:t>
      </w:r>
      <w:proofErr w:type="spellStart"/>
      <w:r w:rsidRPr="000430CC">
        <w:rPr>
          <w:lang w:val="de-CH"/>
        </w:rPr>
        <w:t>août</w:t>
      </w:r>
      <w:proofErr w:type="spellEnd"/>
      <w:r w:rsidRPr="000430CC">
        <w:rPr>
          <w:lang w:val="de-CH"/>
        </w:rPr>
        <w:t xml:space="preserve"> 2021. Disponible à </w:t>
      </w:r>
      <w:proofErr w:type="spellStart"/>
      <w:r w:rsidRPr="000430CC">
        <w:rPr>
          <w:lang w:val="de-CH"/>
        </w:rPr>
        <w:t>l</w:t>
      </w:r>
      <w:r>
        <w:rPr>
          <w:lang w:val="de-CH"/>
        </w:rPr>
        <w:t>’</w:t>
      </w:r>
      <w:r w:rsidRPr="000430CC">
        <w:rPr>
          <w:lang w:val="de-CH"/>
        </w:rPr>
        <w:t>adresse</w:t>
      </w:r>
      <w:proofErr w:type="spellEnd"/>
      <w:r w:rsidRPr="000430CC">
        <w:rPr>
          <w:lang w:val="de-CH"/>
        </w:rPr>
        <w:t xml:space="preserve"> </w:t>
      </w:r>
      <w:proofErr w:type="spellStart"/>
      <w:r w:rsidRPr="000430CC">
        <w:rPr>
          <w:lang w:val="de-CH"/>
        </w:rPr>
        <w:t>suivante</w:t>
      </w:r>
      <w:proofErr w:type="spellEnd"/>
      <w:r w:rsidRPr="000430CC">
        <w:rPr>
          <w:lang w:val="fr-FR"/>
        </w:rPr>
        <w:t xml:space="preserve"> : </w:t>
      </w:r>
      <w:hyperlink r:id="rId10" w:history="1">
        <w:r w:rsidRPr="000430CC">
          <w:rPr>
            <w:rStyle w:val="Lienhypertexte"/>
            <w:szCs w:val="18"/>
            <w:lang w:val="fr-FR"/>
          </w:rPr>
          <w:t>https://elperuano.pe/noticia/115767-sistema-policial-facilita-el-hallazgo-de-las-personas-desaparecidas</w:t>
        </w:r>
      </w:hyperlink>
      <w:r w:rsidR="00617581">
        <w:rPr>
          <w:rStyle w:val="Lienhypertexte"/>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6FCC4" w14:textId="2D84B7DE" w:rsidR="00EB4673" w:rsidRPr="00C0030C" w:rsidRDefault="009A66D3">
    <w:pPr>
      <w:pStyle w:val="En-tte"/>
    </w:pPr>
    <w:r>
      <w:fldChar w:fldCharType="begin"/>
    </w:r>
    <w:r>
      <w:instrText xml:space="preserve"> TITLE  \* MERGEFORMAT </w:instrText>
    </w:r>
    <w:r>
      <w:fldChar w:fldCharType="separate"/>
    </w:r>
    <w:r w:rsidR="00EB4673">
      <w:t>CED/C/PER/FCO/1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50E9D" w14:textId="471B346F" w:rsidR="00EB4673" w:rsidRPr="00C0030C" w:rsidRDefault="009A66D3" w:rsidP="00C0030C">
    <w:pPr>
      <w:pStyle w:val="En-tte"/>
      <w:jc w:val="right"/>
    </w:pPr>
    <w:r>
      <w:fldChar w:fldCharType="begin"/>
    </w:r>
    <w:r>
      <w:instrText xml:space="preserve"> TITLE  \* MERGEFORMAT </w:instrText>
    </w:r>
    <w:r>
      <w:fldChar w:fldCharType="separate"/>
    </w:r>
    <w:r w:rsidR="00EB4673">
      <w:t>CED/C/PER/FCO/1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B5AACD2">
      <w:start w:val="1"/>
      <w:numFmt w:val="bullet"/>
      <w:lvlText w:val="•"/>
      <w:lvlJc w:val="left"/>
      <w:pPr>
        <w:tabs>
          <w:tab w:val="num" w:pos="2268"/>
        </w:tabs>
        <w:ind w:left="2268" w:hanging="170"/>
      </w:pPr>
      <w:rPr>
        <w:rFonts w:ascii="Times New Roman" w:hAnsi="Times New Roman" w:cs="Times New Roman" w:hint="default"/>
      </w:rPr>
    </w:lvl>
    <w:lvl w:ilvl="1" w:tplc="87E84E7C" w:tentative="1">
      <w:start w:val="1"/>
      <w:numFmt w:val="bullet"/>
      <w:lvlText w:val="o"/>
      <w:lvlJc w:val="left"/>
      <w:pPr>
        <w:tabs>
          <w:tab w:val="num" w:pos="1440"/>
        </w:tabs>
        <w:ind w:left="1440" w:hanging="360"/>
      </w:pPr>
      <w:rPr>
        <w:rFonts w:ascii="Courier New" w:hAnsi="Courier New" w:hint="default"/>
      </w:rPr>
    </w:lvl>
    <w:lvl w:ilvl="2" w:tplc="6872697E" w:tentative="1">
      <w:start w:val="1"/>
      <w:numFmt w:val="bullet"/>
      <w:lvlText w:val=""/>
      <w:lvlJc w:val="left"/>
      <w:pPr>
        <w:tabs>
          <w:tab w:val="num" w:pos="2160"/>
        </w:tabs>
        <w:ind w:left="2160" w:hanging="360"/>
      </w:pPr>
      <w:rPr>
        <w:rFonts w:ascii="Wingdings" w:hAnsi="Wingdings" w:hint="default"/>
      </w:rPr>
    </w:lvl>
    <w:lvl w:ilvl="3" w:tplc="92D45990" w:tentative="1">
      <w:start w:val="1"/>
      <w:numFmt w:val="bullet"/>
      <w:lvlText w:val=""/>
      <w:lvlJc w:val="left"/>
      <w:pPr>
        <w:tabs>
          <w:tab w:val="num" w:pos="2880"/>
        </w:tabs>
        <w:ind w:left="2880" w:hanging="360"/>
      </w:pPr>
      <w:rPr>
        <w:rFonts w:ascii="Symbol" w:hAnsi="Symbol" w:hint="default"/>
      </w:rPr>
    </w:lvl>
    <w:lvl w:ilvl="4" w:tplc="675A412C" w:tentative="1">
      <w:start w:val="1"/>
      <w:numFmt w:val="bullet"/>
      <w:lvlText w:val="o"/>
      <w:lvlJc w:val="left"/>
      <w:pPr>
        <w:tabs>
          <w:tab w:val="num" w:pos="3600"/>
        </w:tabs>
        <w:ind w:left="3600" w:hanging="360"/>
      </w:pPr>
      <w:rPr>
        <w:rFonts w:ascii="Courier New" w:hAnsi="Courier New" w:hint="default"/>
      </w:rPr>
    </w:lvl>
    <w:lvl w:ilvl="5" w:tplc="C93820FA" w:tentative="1">
      <w:start w:val="1"/>
      <w:numFmt w:val="bullet"/>
      <w:lvlText w:val=""/>
      <w:lvlJc w:val="left"/>
      <w:pPr>
        <w:tabs>
          <w:tab w:val="num" w:pos="4320"/>
        </w:tabs>
        <w:ind w:left="4320" w:hanging="360"/>
      </w:pPr>
      <w:rPr>
        <w:rFonts w:ascii="Wingdings" w:hAnsi="Wingdings" w:hint="default"/>
      </w:rPr>
    </w:lvl>
    <w:lvl w:ilvl="6" w:tplc="646C1F82" w:tentative="1">
      <w:start w:val="1"/>
      <w:numFmt w:val="bullet"/>
      <w:lvlText w:val=""/>
      <w:lvlJc w:val="left"/>
      <w:pPr>
        <w:tabs>
          <w:tab w:val="num" w:pos="5040"/>
        </w:tabs>
        <w:ind w:left="5040" w:hanging="360"/>
      </w:pPr>
      <w:rPr>
        <w:rFonts w:ascii="Symbol" w:hAnsi="Symbol" w:hint="default"/>
      </w:rPr>
    </w:lvl>
    <w:lvl w:ilvl="7" w:tplc="12ACA278" w:tentative="1">
      <w:start w:val="1"/>
      <w:numFmt w:val="bullet"/>
      <w:lvlText w:val="o"/>
      <w:lvlJc w:val="left"/>
      <w:pPr>
        <w:tabs>
          <w:tab w:val="num" w:pos="5760"/>
        </w:tabs>
        <w:ind w:left="5760" w:hanging="360"/>
      </w:pPr>
      <w:rPr>
        <w:rFonts w:ascii="Courier New" w:hAnsi="Courier New" w:hint="default"/>
      </w:rPr>
    </w:lvl>
    <w:lvl w:ilvl="8" w:tplc="4C80401A"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051E8ABE">
      <w:start w:val="1"/>
      <w:numFmt w:val="bullet"/>
      <w:lvlText w:val="•"/>
      <w:lvlJc w:val="left"/>
      <w:pPr>
        <w:tabs>
          <w:tab w:val="num" w:pos="1701"/>
        </w:tabs>
        <w:ind w:left="1701" w:hanging="170"/>
      </w:pPr>
      <w:rPr>
        <w:rFonts w:ascii="Times New Roman" w:hAnsi="Times New Roman" w:cs="Times New Roman" w:hint="default"/>
      </w:rPr>
    </w:lvl>
    <w:lvl w:ilvl="1" w:tplc="26367386" w:tentative="1">
      <w:start w:val="1"/>
      <w:numFmt w:val="bullet"/>
      <w:lvlText w:val="o"/>
      <w:lvlJc w:val="left"/>
      <w:pPr>
        <w:tabs>
          <w:tab w:val="num" w:pos="1440"/>
        </w:tabs>
        <w:ind w:left="1440" w:hanging="360"/>
      </w:pPr>
      <w:rPr>
        <w:rFonts w:ascii="Courier New" w:hAnsi="Courier New" w:hint="default"/>
      </w:rPr>
    </w:lvl>
    <w:lvl w:ilvl="2" w:tplc="6AF6C6F8" w:tentative="1">
      <w:start w:val="1"/>
      <w:numFmt w:val="bullet"/>
      <w:lvlText w:val=""/>
      <w:lvlJc w:val="left"/>
      <w:pPr>
        <w:tabs>
          <w:tab w:val="num" w:pos="2160"/>
        </w:tabs>
        <w:ind w:left="2160" w:hanging="360"/>
      </w:pPr>
      <w:rPr>
        <w:rFonts w:ascii="Wingdings" w:hAnsi="Wingdings" w:hint="default"/>
      </w:rPr>
    </w:lvl>
    <w:lvl w:ilvl="3" w:tplc="B8A66636" w:tentative="1">
      <w:start w:val="1"/>
      <w:numFmt w:val="bullet"/>
      <w:lvlText w:val=""/>
      <w:lvlJc w:val="left"/>
      <w:pPr>
        <w:tabs>
          <w:tab w:val="num" w:pos="2880"/>
        </w:tabs>
        <w:ind w:left="2880" w:hanging="360"/>
      </w:pPr>
      <w:rPr>
        <w:rFonts w:ascii="Symbol" w:hAnsi="Symbol" w:hint="default"/>
      </w:rPr>
    </w:lvl>
    <w:lvl w:ilvl="4" w:tplc="C5A01504" w:tentative="1">
      <w:start w:val="1"/>
      <w:numFmt w:val="bullet"/>
      <w:lvlText w:val="o"/>
      <w:lvlJc w:val="left"/>
      <w:pPr>
        <w:tabs>
          <w:tab w:val="num" w:pos="3600"/>
        </w:tabs>
        <w:ind w:left="3600" w:hanging="360"/>
      </w:pPr>
      <w:rPr>
        <w:rFonts w:ascii="Courier New" w:hAnsi="Courier New" w:hint="default"/>
      </w:rPr>
    </w:lvl>
    <w:lvl w:ilvl="5" w:tplc="AAE45C86" w:tentative="1">
      <w:start w:val="1"/>
      <w:numFmt w:val="bullet"/>
      <w:lvlText w:val=""/>
      <w:lvlJc w:val="left"/>
      <w:pPr>
        <w:tabs>
          <w:tab w:val="num" w:pos="4320"/>
        </w:tabs>
        <w:ind w:left="4320" w:hanging="360"/>
      </w:pPr>
      <w:rPr>
        <w:rFonts w:ascii="Wingdings" w:hAnsi="Wingdings" w:hint="default"/>
      </w:rPr>
    </w:lvl>
    <w:lvl w:ilvl="6" w:tplc="EB560992" w:tentative="1">
      <w:start w:val="1"/>
      <w:numFmt w:val="bullet"/>
      <w:lvlText w:val=""/>
      <w:lvlJc w:val="left"/>
      <w:pPr>
        <w:tabs>
          <w:tab w:val="num" w:pos="5040"/>
        </w:tabs>
        <w:ind w:left="5040" w:hanging="360"/>
      </w:pPr>
      <w:rPr>
        <w:rFonts w:ascii="Symbol" w:hAnsi="Symbol" w:hint="default"/>
      </w:rPr>
    </w:lvl>
    <w:lvl w:ilvl="7" w:tplc="91DE7E40" w:tentative="1">
      <w:start w:val="1"/>
      <w:numFmt w:val="bullet"/>
      <w:lvlText w:val="o"/>
      <w:lvlJc w:val="left"/>
      <w:pPr>
        <w:tabs>
          <w:tab w:val="num" w:pos="5760"/>
        </w:tabs>
        <w:ind w:left="5760" w:hanging="360"/>
      </w:pPr>
      <w:rPr>
        <w:rFonts w:ascii="Courier New" w:hAnsi="Courier New" w:hint="default"/>
      </w:rPr>
    </w:lvl>
    <w:lvl w:ilvl="8" w:tplc="CCAA3D4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pStyle w:val="Titre1"/>
      <w:lvlText w:val="%1."/>
      <w:lvlJc w:val="left"/>
      <w:pPr>
        <w:tabs>
          <w:tab w:val="num" w:pos="360"/>
        </w:tabs>
        <w:ind w:left="360" w:hanging="360"/>
      </w:pPr>
    </w:lvl>
    <w:lvl w:ilvl="1">
      <w:start w:val="1"/>
      <w:numFmt w:val="decimal"/>
      <w:pStyle w:val="Titre2"/>
      <w:lvlText w:val="%1.%2."/>
      <w:lvlJc w:val="left"/>
      <w:pPr>
        <w:tabs>
          <w:tab w:val="num" w:pos="792"/>
        </w:tabs>
        <w:ind w:left="792" w:hanging="432"/>
      </w:pPr>
    </w:lvl>
    <w:lvl w:ilvl="2">
      <w:start w:val="1"/>
      <w:numFmt w:val="decimal"/>
      <w:pStyle w:val="Titre3"/>
      <w:lvlText w:val="%1.%2.%3."/>
      <w:lvlJc w:val="left"/>
      <w:pPr>
        <w:tabs>
          <w:tab w:val="num" w:pos="1224"/>
        </w:tabs>
        <w:ind w:left="1224" w:hanging="504"/>
      </w:pPr>
    </w:lvl>
    <w:lvl w:ilvl="3">
      <w:start w:val="1"/>
      <w:numFmt w:val="decimal"/>
      <w:pStyle w:val="Titre4"/>
      <w:lvlText w:val="%1.%2.%3.%4."/>
      <w:lvlJc w:val="left"/>
      <w:pPr>
        <w:tabs>
          <w:tab w:val="num" w:pos="1728"/>
        </w:tabs>
        <w:ind w:left="1728" w:hanging="648"/>
      </w:pPr>
    </w:lvl>
    <w:lvl w:ilvl="4">
      <w:start w:val="1"/>
      <w:numFmt w:val="decimal"/>
      <w:pStyle w:val="Titre5"/>
      <w:lvlText w:val="%1.%2.%3.%4.%5."/>
      <w:lvlJc w:val="left"/>
      <w:pPr>
        <w:tabs>
          <w:tab w:val="num" w:pos="2232"/>
        </w:tabs>
        <w:ind w:left="2232" w:hanging="792"/>
      </w:pPr>
    </w:lvl>
    <w:lvl w:ilvl="5">
      <w:start w:val="1"/>
      <w:numFmt w:val="decimal"/>
      <w:pStyle w:val="Titre6"/>
      <w:lvlText w:val="%1.%2.%3.%4.%5.%6."/>
      <w:lvlJc w:val="left"/>
      <w:pPr>
        <w:tabs>
          <w:tab w:val="num" w:pos="2736"/>
        </w:tabs>
        <w:ind w:left="2736" w:hanging="936"/>
      </w:pPr>
    </w:lvl>
    <w:lvl w:ilvl="6">
      <w:start w:val="1"/>
      <w:numFmt w:val="decimal"/>
      <w:pStyle w:val="Titre7"/>
      <w:lvlText w:val="%1.%2.%3.%4.%5.%6.%7."/>
      <w:lvlJc w:val="left"/>
      <w:pPr>
        <w:tabs>
          <w:tab w:val="num" w:pos="3240"/>
        </w:tabs>
        <w:ind w:left="3240" w:hanging="1080"/>
      </w:pPr>
    </w:lvl>
    <w:lvl w:ilvl="7">
      <w:start w:val="1"/>
      <w:numFmt w:val="decimal"/>
      <w:pStyle w:val="Titre8"/>
      <w:lvlText w:val="%1.%2.%3.%4.%5.%6.%7.%8."/>
      <w:lvlJc w:val="left"/>
      <w:pPr>
        <w:tabs>
          <w:tab w:val="num" w:pos="3744"/>
        </w:tabs>
        <w:ind w:left="3744" w:hanging="1224"/>
      </w:pPr>
    </w:lvl>
    <w:lvl w:ilvl="8">
      <w:start w:val="1"/>
      <w:numFmt w:val="decimal"/>
      <w:pStyle w:val="Titre9"/>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5"/>
  </w:num>
  <w:num w:numId="18">
    <w:abstractNumId w:val="11"/>
  </w:num>
  <w:num w:numId="19">
    <w:abstractNumId w:val="17"/>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793"/>
    <w:rsid w:val="00017F94"/>
    <w:rsid w:val="00022D2E"/>
    <w:rsid w:val="00023842"/>
    <w:rsid w:val="000334F9"/>
    <w:rsid w:val="000416FB"/>
    <w:rsid w:val="0007796D"/>
    <w:rsid w:val="000B7790"/>
    <w:rsid w:val="000D2FF7"/>
    <w:rsid w:val="00111F2F"/>
    <w:rsid w:val="00133EDE"/>
    <w:rsid w:val="0014365E"/>
    <w:rsid w:val="00176178"/>
    <w:rsid w:val="001C7243"/>
    <w:rsid w:val="001F525A"/>
    <w:rsid w:val="00223272"/>
    <w:rsid w:val="0024779E"/>
    <w:rsid w:val="0038590F"/>
    <w:rsid w:val="00392B1D"/>
    <w:rsid w:val="00396923"/>
    <w:rsid w:val="00446FE5"/>
    <w:rsid w:val="00452396"/>
    <w:rsid w:val="00475868"/>
    <w:rsid w:val="004C4D99"/>
    <w:rsid w:val="005505B7"/>
    <w:rsid w:val="00573BE5"/>
    <w:rsid w:val="00586BF4"/>
    <w:rsid w:val="00586ED3"/>
    <w:rsid w:val="00596AA9"/>
    <w:rsid w:val="00617581"/>
    <w:rsid w:val="00617FAC"/>
    <w:rsid w:val="00674E82"/>
    <w:rsid w:val="0071601D"/>
    <w:rsid w:val="007524EE"/>
    <w:rsid w:val="0077586E"/>
    <w:rsid w:val="00795CA7"/>
    <w:rsid w:val="007A62E6"/>
    <w:rsid w:val="007C4EB6"/>
    <w:rsid w:val="007E042C"/>
    <w:rsid w:val="007F69AF"/>
    <w:rsid w:val="0080684C"/>
    <w:rsid w:val="00817A4B"/>
    <w:rsid w:val="00857161"/>
    <w:rsid w:val="00870947"/>
    <w:rsid w:val="00871C75"/>
    <w:rsid w:val="008776DC"/>
    <w:rsid w:val="008B5F43"/>
    <w:rsid w:val="00930733"/>
    <w:rsid w:val="009507F3"/>
    <w:rsid w:val="009705C8"/>
    <w:rsid w:val="00977D83"/>
    <w:rsid w:val="009C4174"/>
    <w:rsid w:val="009E5FD0"/>
    <w:rsid w:val="00A23B74"/>
    <w:rsid w:val="00A25D71"/>
    <w:rsid w:val="00A30353"/>
    <w:rsid w:val="00AC3823"/>
    <w:rsid w:val="00AE323C"/>
    <w:rsid w:val="00AE3797"/>
    <w:rsid w:val="00AF2FCE"/>
    <w:rsid w:val="00B00181"/>
    <w:rsid w:val="00B765F7"/>
    <w:rsid w:val="00B9212A"/>
    <w:rsid w:val="00BA0CA9"/>
    <w:rsid w:val="00C0030C"/>
    <w:rsid w:val="00C02897"/>
    <w:rsid w:val="00C31288"/>
    <w:rsid w:val="00C61F77"/>
    <w:rsid w:val="00CA0793"/>
    <w:rsid w:val="00CE2527"/>
    <w:rsid w:val="00CF2BDE"/>
    <w:rsid w:val="00D22A00"/>
    <w:rsid w:val="00D3439C"/>
    <w:rsid w:val="00DB1831"/>
    <w:rsid w:val="00DD3BFD"/>
    <w:rsid w:val="00DF6678"/>
    <w:rsid w:val="00E42FE1"/>
    <w:rsid w:val="00EB4673"/>
    <w:rsid w:val="00EC4B09"/>
    <w:rsid w:val="00F033B1"/>
    <w:rsid w:val="00F20E07"/>
    <w:rsid w:val="00F56840"/>
    <w:rsid w:val="00F645C0"/>
    <w:rsid w:val="00F660DF"/>
    <w:rsid w:val="00F95C08"/>
    <w:rsid w:val="00FB0EB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28F90A"/>
  <w15:docId w15:val="{82274E28-A4D4-46AA-A1D9-19C53EE40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022D2E"/>
    <w:pPr>
      <w:keepNext/>
      <w:keepLines/>
      <w:numPr>
        <w:numId w:val="19"/>
      </w:numPr>
      <w:spacing w:after="0" w:line="240" w:lineRule="auto"/>
      <w:ind w:right="0"/>
      <w:jc w:val="left"/>
      <w:outlineLvl w:val="0"/>
    </w:pPr>
  </w:style>
  <w:style w:type="paragraph" w:styleId="Titre2">
    <w:name w:val="heading 2"/>
    <w:basedOn w:val="Normal"/>
    <w:next w:val="Normal"/>
    <w:link w:val="Titre2Car"/>
    <w:semiHidden/>
    <w:qFormat/>
    <w:rsid w:val="00023842"/>
    <w:pPr>
      <w:numPr>
        <w:ilvl w:val="1"/>
        <w:numId w:val="19"/>
      </w:numPr>
      <w:outlineLvl w:val="1"/>
    </w:pPr>
  </w:style>
  <w:style w:type="paragraph" w:styleId="Titre3">
    <w:name w:val="heading 3"/>
    <w:basedOn w:val="Normal"/>
    <w:next w:val="Normal"/>
    <w:link w:val="Titre3Car"/>
    <w:semiHidden/>
    <w:qFormat/>
    <w:rsid w:val="00023842"/>
    <w:pPr>
      <w:numPr>
        <w:ilvl w:val="2"/>
        <w:numId w:val="19"/>
      </w:numPr>
      <w:outlineLvl w:val="2"/>
    </w:pPr>
  </w:style>
  <w:style w:type="paragraph" w:styleId="Titre4">
    <w:name w:val="heading 4"/>
    <w:basedOn w:val="Normal"/>
    <w:next w:val="Normal"/>
    <w:link w:val="Titre4Car"/>
    <w:semiHidden/>
    <w:qFormat/>
    <w:rsid w:val="00023842"/>
    <w:pPr>
      <w:numPr>
        <w:ilvl w:val="3"/>
        <w:numId w:val="19"/>
      </w:numPr>
      <w:outlineLvl w:val="3"/>
    </w:pPr>
  </w:style>
  <w:style w:type="paragraph" w:styleId="Titre5">
    <w:name w:val="heading 5"/>
    <w:basedOn w:val="Normal"/>
    <w:next w:val="Normal"/>
    <w:link w:val="Titre5Car"/>
    <w:semiHidden/>
    <w:qFormat/>
    <w:rsid w:val="00023842"/>
    <w:pPr>
      <w:numPr>
        <w:ilvl w:val="4"/>
        <w:numId w:val="19"/>
      </w:numPr>
      <w:outlineLvl w:val="4"/>
    </w:pPr>
  </w:style>
  <w:style w:type="paragraph" w:styleId="Titre6">
    <w:name w:val="heading 6"/>
    <w:basedOn w:val="Normal"/>
    <w:next w:val="Normal"/>
    <w:link w:val="Titre6Car"/>
    <w:semiHidden/>
    <w:qFormat/>
    <w:rsid w:val="00023842"/>
    <w:pPr>
      <w:numPr>
        <w:ilvl w:val="5"/>
        <w:numId w:val="19"/>
      </w:numPr>
      <w:outlineLvl w:val="5"/>
    </w:pPr>
  </w:style>
  <w:style w:type="paragraph" w:styleId="Titre7">
    <w:name w:val="heading 7"/>
    <w:basedOn w:val="Normal"/>
    <w:next w:val="Normal"/>
    <w:link w:val="Titre7Car"/>
    <w:semiHidden/>
    <w:qFormat/>
    <w:rsid w:val="00023842"/>
    <w:pPr>
      <w:numPr>
        <w:ilvl w:val="6"/>
        <w:numId w:val="19"/>
      </w:numPr>
      <w:outlineLvl w:val="6"/>
    </w:pPr>
  </w:style>
  <w:style w:type="paragraph" w:styleId="Titre8">
    <w:name w:val="heading 8"/>
    <w:basedOn w:val="Normal"/>
    <w:next w:val="Normal"/>
    <w:link w:val="Titre8Car"/>
    <w:semiHidden/>
    <w:qFormat/>
    <w:rsid w:val="00023842"/>
    <w:pPr>
      <w:numPr>
        <w:ilvl w:val="7"/>
        <w:numId w:val="19"/>
      </w:numPr>
      <w:outlineLvl w:val="7"/>
    </w:pPr>
  </w:style>
  <w:style w:type="paragraph" w:styleId="Titre9">
    <w:name w:val="heading 9"/>
    <w:basedOn w:val="Normal"/>
    <w:next w:val="Normal"/>
    <w:link w:val="Titre9Car"/>
    <w:semiHidden/>
    <w:qFormat/>
    <w:rsid w:val="00023842"/>
    <w:pPr>
      <w:numPr>
        <w:ilvl w:val="8"/>
        <w:numId w:val="19"/>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uiPriority w:val="39"/>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uiPriority w:val="99"/>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Cuadro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C0030C"/>
    <w:rPr>
      <w:rFonts w:ascii="Times New Roman" w:eastAsiaTheme="minorHAnsi" w:hAnsi="Times New Roman" w:cs="Times New Roman"/>
      <w:b/>
      <w:sz w:val="34"/>
      <w:szCs w:val="20"/>
      <w:lang w:eastAsia="en-US"/>
    </w:rPr>
  </w:style>
  <w:style w:type="numbering" w:styleId="111111">
    <w:name w:val="Outline List 2"/>
    <w:basedOn w:val="Aucuneliste"/>
    <w:semiHidden/>
    <w:rsid w:val="00C0030C"/>
    <w:pPr>
      <w:numPr>
        <w:numId w:val="19"/>
      </w:numPr>
    </w:pPr>
  </w:style>
  <w:style w:type="numbering" w:styleId="1ai">
    <w:name w:val="Outline List 1"/>
    <w:basedOn w:val="Aucuneliste"/>
    <w:semiHidden/>
    <w:rsid w:val="00C0030C"/>
    <w:pPr>
      <w:numPr>
        <w:numId w:val="20"/>
      </w:numPr>
    </w:pPr>
  </w:style>
  <w:style w:type="character" w:styleId="AcronymeHTML">
    <w:name w:val="HTML Acronym"/>
    <w:basedOn w:val="Policepardfaut"/>
    <w:semiHidden/>
    <w:rsid w:val="00C0030C"/>
  </w:style>
  <w:style w:type="numbering" w:styleId="ArticleSection">
    <w:name w:val="Outline List 3"/>
    <w:basedOn w:val="Aucuneliste"/>
    <w:semiHidden/>
    <w:rsid w:val="00C0030C"/>
    <w:pPr>
      <w:numPr>
        <w:numId w:val="21"/>
      </w:numPr>
    </w:pPr>
  </w:style>
  <w:style w:type="paragraph" w:styleId="Formuledepolitesse">
    <w:name w:val="Closing"/>
    <w:basedOn w:val="Normal"/>
    <w:link w:val="FormuledepolitesseCar"/>
    <w:semiHidden/>
    <w:rsid w:val="00C0030C"/>
    <w:pPr>
      <w:suppressAutoHyphens w:val="0"/>
      <w:kinsoku/>
      <w:overflowPunct/>
      <w:autoSpaceDE/>
      <w:autoSpaceDN/>
      <w:adjustRightInd/>
      <w:snapToGrid/>
      <w:ind w:left="4252"/>
    </w:pPr>
    <w:rPr>
      <w:rFonts w:eastAsiaTheme="minorEastAsia"/>
      <w:lang w:val="es-ES" w:eastAsia="es-ES"/>
    </w:rPr>
  </w:style>
  <w:style w:type="character" w:customStyle="1" w:styleId="FormuledepolitesseCar">
    <w:name w:val="Formule de politesse Car"/>
    <w:basedOn w:val="Policepardfaut"/>
    <w:link w:val="Formuledepolitesse"/>
    <w:semiHidden/>
    <w:rsid w:val="00C0030C"/>
    <w:rPr>
      <w:rFonts w:ascii="Times New Roman" w:eastAsiaTheme="minorEastAsia" w:hAnsi="Times New Roman" w:cs="Times New Roman"/>
      <w:sz w:val="20"/>
      <w:szCs w:val="20"/>
      <w:lang w:val="es-ES" w:eastAsia="es-ES"/>
    </w:rPr>
  </w:style>
  <w:style w:type="character" w:styleId="CitationHTML">
    <w:name w:val="HTML Cite"/>
    <w:semiHidden/>
    <w:rsid w:val="00C0030C"/>
    <w:rPr>
      <w:i/>
      <w:iCs/>
    </w:rPr>
  </w:style>
  <w:style w:type="character" w:styleId="CodeHTML">
    <w:name w:val="HTML Code"/>
    <w:semiHidden/>
    <w:rsid w:val="00C0030C"/>
    <w:rPr>
      <w:rFonts w:ascii="Courier New" w:hAnsi="Courier New" w:cs="Courier New"/>
      <w:sz w:val="20"/>
      <w:szCs w:val="20"/>
    </w:rPr>
  </w:style>
  <w:style w:type="paragraph" w:styleId="Listecontinue">
    <w:name w:val="List Continue"/>
    <w:basedOn w:val="Normal"/>
    <w:semiHidden/>
    <w:rsid w:val="00C0030C"/>
    <w:pPr>
      <w:suppressAutoHyphens w:val="0"/>
      <w:kinsoku/>
      <w:overflowPunct/>
      <w:autoSpaceDE/>
      <w:autoSpaceDN/>
      <w:adjustRightInd/>
      <w:snapToGrid/>
      <w:spacing w:after="120"/>
      <w:ind w:left="283"/>
    </w:pPr>
    <w:rPr>
      <w:rFonts w:eastAsiaTheme="minorEastAsia"/>
      <w:lang w:val="es-ES" w:eastAsia="es-ES"/>
    </w:rPr>
  </w:style>
  <w:style w:type="paragraph" w:styleId="Listecontinue2">
    <w:name w:val="List Continue 2"/>
    <w:basedOn w:val="Normal"/>
    <w:semiHidden/>
    <w:rsid w:val="00C0030C"/>
    <w:pPr>
      <w:suppressAutoHyphens w:val="0"/>
      <w:kinsoku/>
      <w:overflowPunct/>
      <w:autoSpaceDE/>
      <w:autoSpaceDN/>
      <w:adjustRightInd/>
      <w:snapToGrid/>
      <w:spacing w:after="120"/>
      <w:ind w:left="566"/>
    </w:pPr>
    <w:rPr>
      <w:rFonts w:eastAsiaTheme="minorEastAsia"/>
      <w:lang w:val="es-ES" w:eastAsia="es-ES"/>
    </w:rPr>
  </w:style>
  <w:style w:type="paragraph" w:styleId="Listecontinue3">
    <w:name w:val="List Continue 3"/>
    <w:basedOn w:val="Normal"/>
    <w:semiHidden/>
    <w:rsid w:val="00C0030C"/>
    <w:pPr>
      <w:suppressAutoHyphens w:val="0"/>
      <w:kinsoku/>
      <w:overflowPunct/>
      <w:autoSpaceDE/>
      <w:autoSpaceDN/>
      <w:adjustRightInd/>
      <w:snapToGrid/>
      <w:spacing w:after="120"/>
      <w:ind w:left="849"/>
    </w:pPr>
    <w:rPr>
      <w:rFonts w:eastAsiaTheme="minorEastAsia"/>
      <w:lang w:val="es-ES" w:eastAsia="es-ES"/>
    </w:rPr>
  </w:style>
  <w:style w:type="paragraph" w:styleId="Listecontinue4">
    <w:name w:val="List Continue 4"/>
    <w:basedOn w:val="Normal"/>
    <w:semiHidden/>
    <w:rsid w:val="00C0030C"/>
    <w:pPr>
      <w:suppressAutoHyphens w:val="0"/>
      <w:kinsoku/>
      <w:overflowPunct/>
      <w:autoSpaceDE/>
      <w:autoSpaceDN/>
      <w:adjustRightInd/>
      <w:snapToGrid/>
      <w:spacing w:after="120"/>
      <w:ind w:left="1132"/>
    </w:pPr>
    <w:rPr>
      <w:rFonts w:eastAsiaTheme="minorEastAsia"/>
      <w:lang w:val="es-ES" w:eastAsia="es-ES"/>
    </w:rPr>
  </w:style>
  <w:style w:type="paragraph" w:styleId="Listecontinue5">
    <w:name w:val="List Continue 5"/>
    <w:basedOn w:val="Normal"/>
    <w:semiHidden/>
    <w:rsid w:val="00C0030C"/>
    <w:pPr>
      <w:suppressAutoHyphens w:val="0"/>
      <w:kinsoku/>
      <w:overflowPunct/>
      <w:autoSpaceDE/>
      <w:autoSpaceDN/>
      <w:adjustRightInd/>
      <w:snapToGrid/>
      <w:spacing w:after="120"/>
      <w:ind w:left="1415"/>
    </w:pPr>
    <w:rPr>
      <w:rFonts w:eastAsiaTheme="minorEastAsia"/>
      <w:lang w:val="es-ES" w:eastAsia="es-ES"/>
    </w:rPr>
  </w:style>
  <w:style w:type="character" w:styleId="DfinitionHTML">
    <w:name w:val="HTML Definition"/>
    <w:semiHidden/>
    <w:rsid w:val="00C0030C"/>
    <w:rPr>
      <w:i/>
      <w:iCs/>
    </w:rPr>
  </w:style>
  <w:style w:type="paragraph" w:styleId="AdresseHTML">
    <w:name w:val="HTML Address"/>
    <w:basedOn w:val="Normal"/>
    <w:link w:val="AdresseHTMLCar"/>
    <w:semiHidden/>
    <w:rsid w:val="00C0030C"/>
    <w:pPr>
      <w:suppressAutoHyphens w:val="0"/>
      <w:kinsoku/>
      <w:overflowPunct/>
      <w:autoSpaceDE/>
      <w:autoSpaceDN/>
      <w:adjustRightInd/>
      <w:snapToGrid/>
    </w:pPr>
    <w:rPr>
      <w:rFonts w:eastAsiaTheme="minorEastAsia"/>
      <w:i/>
      <w:iCs/>
      <w:lang w:val="es-ES" w:eastAsia="es-ES"/>
    </w:rPr>
  </w:style>
  <w:style w:type="character" w:customStyle="1" w:styleId="AdresseHTMLCar">
    <w:name w:val="Adresse HTML Car"/>
    <w:basedOn w:val="Policepardfaut"/>
    <w:link w:val="AdresseHTML"/>
    <w:semiHidden/>
    <w:rsid w:val="00C0030C"/>
    <w:rPr>
      <w:rFonts w:ascii="Times New Roman" w:eastAsiaTheme="minorEastAsia" w:hAnsi="Times New Roman" w:cs="Times New Roman"/>
      <w:i/>
      <w:iCs/>
      <w:sz w:val="20"/>
      <w:szCs w:val="20"/>
      <w:lang w:val="es-ES" w:eastAsia="es-ES"/>
    </w:rPr>
  </w:style>
  <w:style w:type="paragraph" w:styleId="Adressedestinataire">
    <w:name w:val="envelope address"/>
    <w:basedOn w:val="Normal"/>
    <w:semiHidden/>
    <w:rsid w:val="00C0030C"/>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es-ES" w:eastAsia="es-ES"/>
    </w:rPr>
  </w:style>
  <w:style w:type="character" w:styleId="ExempleHTML">
    <w:name w:val="HTML Sample"/>
    <w:semiHidden/>
    <w:rsid w:val="00C0030C"/>
    <w:rPr>
      <w:rFonts w:ascii="Courier New" w:hAnsi="Courier New" w:cs="Courier New"/>
    </w:rPr>
  </w:style>
  <w:style w:type="paragraph" w:styleId="En-ttedemessage">
    <w:name w:val="Message Header"/>
    <w:basedOn w:val="Normal"/>
    <w:link w:val="En-ttedemessageCar"/>
    <w:semiHidden/>
    <w:rsid w:val="00C0030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es-ES" w:eastAsia="es-ES"/>
    </w:rPr>
  </w:style>
  <w:style w:type="character" w:customStyle="1" w:styleId="En-ttedemessageCar">
    <w:name w:val="En-tête de message Car"/>
    <w:basedOn w:val="Policepardfaut"/>
    <w:link w:val="En-ttedemessage"/>
    <w:semiHidden/>
    <w:rsid w:val="00C0030C"/>
    <w:rPr>
      <w:rFonts w:ascii="Arial" w:eastAsiaTheme="minorEastAsia" w:hAnsi="Arial" w:cs="Arial"/>
      <w:sz w:val="24"/>
      <w:szCs w:val="24"/>
      <w:shd w:val="pct20" w:color="auto" w:fill="auto"/>
      <w:lang w:val="es-ES" w:eastAsia="es-ES"/>
    </w:rPr>
  </w:style>
  <w:style w:type="paragraph" w:styleId="Titredenote">
    <w:name w:val="Note Heading"/>
    <w:basedOn w:val="Normal"/>
    <w:next w:val="Normal"/>
    <w:link w:val="TitredenoteCar"/>
    <w:semiHidden/>
    <w:rsid w:val="00C0030C"/>
    <w:pPr>
      <w:suppressAutoHyphens w:val="0"/>
      <w:kinsoku/>
      <w:overflowPunct/>
      <w:autoSpaceDE/>
      <w:autoSpaceDN/>
      <w:adjustRightInd/>
      <w:snapToGrid/>
    </w:pPr>
    <w:rPr>
      <w:rFonts w:eastAsiaTheme="minorEastAsia"/>
      <w:lang w:val="es-ES" w:eastAsia="es-ES"/>
    </w:rPr>
  </w:style>
  <w:style w:type="character" w:customStyle="1" w:styleId="TitredenoteCar">
    <w:name w:val="Titre de note Car"/>
    <w:basedOn w:val="Policepardfaut"/>
    <w:link w:val="Titredenote"/>
    <w:semiHidden/>
    <w:rsid w:val="00C0030C"/>
    <w:rPr>
      <w:rFonts w:ascii="Times New Roman" w:eastAsiaTheme="minorEastAsia" w:hAnsi="Times New Roman" w:cs="Times New Roman"/>
      <w:sz w:val="20"/>
      <w:szCs w:val="20"/>
      <w:lang w:val="es-ES" w:eastAsia="es-ES"/>
    </w:rPr>
  </w:style>
  <w:style w:type="character" w:styleId="Accentuation">
    <w:name w:val="Emphasis"/>
    <w:semiHidden/>
    <w:rsid w:val="00C0030C"/>
    <w:rPr>
      <w:i/>
      <w:iCs/>
    </w:rPr>
  </w:style>
  <w:style w:type="paragraph" w:styleId="Date">
    <w:name w:val="Date"/>
    <w:basedOn w:val="Normal"/>
    <w:next w:val="Normal"/>
    <w:link w:val="DateCar"/>
    <w:semiHidden/>
    <w:rsid w:val="00C0030C"/>
    <w:pPr>
      <w:suppressAutoHyphens w:val="0"/>
      <w:kinsoku/>
      <w:overflowPunct/>
      <w:autoSpaceDE/>
      <w:autoSpaceDN/>
      <w:adjustRightInd/>
      <w:snapToGrid/>
    </w:pPr>
    <w:rPr>
      <w:rFonts w:eastAsiaTheme="minorEastAsia"/>
      <w:lang w:val="es-ES" w:eastAsia="es-ES"/>
    </w:rPr>
  </w:style>
  <w:style w:type="character" w:customStyle="1" w:styleId="DateCar">
    <w:name w:val="Date Car"/>
    <w:basedOn w:val="Policepardfaut"/>
    <w:link w:val="Date"/>
    <w:semiHidden/>
    <w:rsid w:val="00C0030C"/>
    <w:rPr>
      <w:rFonts w:ascii="Times New Roman" w:eastAsiaTheme="minorEastAsia" w:hAnsi="Times New Roman" w:cs="Times New Roman"/>
      <w:sz w:val="20"/>
      <w:szCs w:val="20"/>
      <w:lang w:val="es-ES" w:eastAsia="es-ES"/>
    </w:rPr>
  </w:style>
  <w:style w:type="paragraph" w:styleId="Signature">
    <w:name w:val="Signature"/>
    <w:basedOn w:val="Normal"/>
    <w:link w:val="SignatureCar"/>
    <w:semiHidden/>
    <w:rsid w:val="00C0030C"/>
    <w:pPr>
      <w:suppressAutoHyphens w:val="0"/>
      <w:kinsoku/>
      <w:overflowPunct/>
      <w:autoSpaceDE/>
      <w:autoSpaceDN/>
      <w:adjustRightInd/>
      <w:snapToGrid/>
      <w:ind w:left="4252"/>
    </w:pPr>
    <w:rPr>
      <w:rFonts w:eastAsiaTheme="minorEastAsia"/>
      <w:lang w:val="es-ES" w:eastAsia="es-ES"/>
    </w:rPr>
  </w:style>
  <w:style w:type="character" w:customStyle="1" w:styleId="SignatureCar">
    <w:name w:val="Signature Car"/>
    <w:basedOn w:val="Policepardfaut"/>
    <w:link w:val="Signature"/>
    <w:semiHidden/>
    <w:rsid w:val="00C0030C"/>
    <w:rPr>
      <w:rFonts w:ascii="Times New Roman" w:eastAsiaTheme="minorEastAsia" w:hAnsi="Times New Roman" w:cs="Times New Roman"/>
      <w:sz w:val="20"/>
      <w:szCs w:val="20"/>
      <w:lang w:val="es-ES" w:eastAsia="es-ES"/>
    </w:rPr>
  </w:style>
  <w:style w:type="paragraph" w:styleId="Signaturelectronique">
    <w:name w:val="E-mail Signature"/>
    <w:basedOn w:val="Normal"/>
    <w:link w:val="SignaturelectroniqueCar"/>
    <w:semiHidden/>
    <w:rsid w:val="00C0030C"/>
    <w:pPr>
      <w:suppressAutoHyphens w:val="0"/>
      <w:kinsoku/>
      <w:overflowPunct/>
      <w:autoSpaceDE/>
      <w:autoSpaceDN/>
      <w:adjustRightInd/>
      <w:snapToGrid/>
    </w:pPr>
    <w:rPr>
      <w:rFonts w:eastAsiaTheme="minorEastAsia"/>
      <w:lang w:val="es-ES" w:eastAsia="es-ES"/>
    </w:rPr>
  </w:style>
  <w:style w:type="character" w:customStyle="1" w:styleId="SignaturelectroniqueCar">
    <w:name w:val="Signature électronique Car"/>
    <w:basedOn w:val="Policepardfaut"/>
    <w:link w:val="Signaturelectronique"/>
    <w:semiHidden/>
    <w:rsid w:val="00C0030C"/>
    <w:rPr>
      <w:rFonts w:ascii="Times New Roman" w:eastAsiaTheme="minorEastAsia" w:hAnsi="Times New Roman" w:cs="Times New Roman"/>
      <w:sz w:val="20"/>
      <w:szCs w:val="20"/>
      <w:lang w:val="es-ES" w:eastAsia="es-ES"/>
    </w:rPr>
  </w:style>
  <w:style w:type="paragraph" w:styleId="PrformatHTML">
    <w:name w:val="HTML Preformatted"/>
    <w:basedOn w:val="Normal"/>
    <w:link w:val="PrformatHTMLCar"/>
    <w:semiHidden/>
    <w:rsid w:val="00C0030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PrformatHTMLCar">
    <w:name w:val="Préformaté HTML Car"/>
    <w:basedOn w:val="Policepardfaut"/>
    <w:link w:val="PrformatHTML"/>
    <w:semiHidden/>
    <w:rsid w:val="00C0030C"/>
    <w:rPr>
      <w:rFonts w:ascii="Courier New" w:eastAsiaTheme="minorEastAsia" w:hAnsi="Courier New" w:cs="Courier New"/>
      <w:sz w:val="20"/>
      <w:szCs w:val="20"/>
      <w:lang w:val="es-ES" w:eastAsia="es-ES"/>
    </w:rPr>
  </w:style>
  <w:style w:type="paragraph" w:styleId="Liste">
    <w:name w:val="List"/>
    <w:basedOn w:val="Normal"/>
    <w:semiHidden/>
    <w:rsid w:val="00C0030C"/>
    <w:pPr>
      <w:suppressAutoHyphens w:val="0"/>
      <w:kinsoku/>
      <w:overflowPunct/>
      <w:autoSpaceDE/>
      <w:autoSpaceDN/>
      <w:adjustRightInd/>
      <w:snapToGrid/>
      <w:ind w:left="283" w:hanging="283"/>
    </w:pPr>
    <w:rPr>
      <w:rFonts w:eastAsiaTheme="minorEastAsia"/>
      <w:lang w:val="es-ES" w:eastAsia="es-ES"/>
    </w:rPr>
  </w:style>
  <w:style w:type="paragraph" w:styleId="Liste2">
    <w:name w:val="List 2"/>
    <w:basedOn w:val="Normal"/>
    <w:semiHidden/>
    <w:rsid w:val="00C0030C"/>
    <w:pPr>
      <w:suppressAutoHyphens w:val="0"/>
      <w:kinsoku/>
      <w:overflowPunct/>
      <w:autoSpaceDE/>
      <w:autoSpaceDN/>
      <w:adjustRightInd/>
      <w:snapToGrid/>
      <w:ind w:left="566" w:hanging="283"/>
    </w:pPr>
    <w:rPr>
      <w:rFonts w:eastAsiaTheme="minorEastAsia"/>
      <w:lang w:val="es-ES" w:eastAsia="es-ES"/>
    </w:rPr>
  </w:style>
  <w:style w:type="paragraph" w:styleId="Liste3">
    <w:name w:val="List 3"/>
    <w:basedOn w:val="Normal"/>
    <w:semiHidden/>
    <w:rsid w:val="00C0030C"/>
    <w:pPr>
      <w:suppressAutoHyphens w:val="0"/>
      <w:kinsoku/>
      <w:overflowPunct/>
      <w:autoSpaceDE/>
      <w:autoSpaceDN/>
      <w:adjustRightInd/>
      <w:snapToGrid/>
      <w:ind w:left="849" w:hanging="283"/>
    </w:pPr>
    <w:rPr>
      <w:rFonts w:eastAsiaTheme="minorEastAsia"/>
      <w:lang w:val="es-ES" w:eastAsia="es-ES"/>
    </w:rPr>
  </w:style>
  <w:style w:type="paragraph" w:styleId="Liste4">
    <w:name w:val="List 4"/>
    <w:basedOn w:val="Normal"/>
    <w:semiHidden/>
    <w:rsid w:val="00C0030C"/>
    <w:pPr>
      <w:suppressAutoHyphens w:val="0"/>
      <w:kinsoku/>
      <w:overflowPunct/>
      <w:autoSpaceDE/>
      <w:autoSpaceDN/>
      <w:adjustRightInd/>
      <w:snapToGrid/>
      <w:ind w:left="1132" w:hanging="283"/>
    </w:pPr>
    <w:rPr>
      <w:rFonts w:eastAsiaTheme="minorEastAsia"/>
      <w:lang w:val="es-ES" w:eastAsia="es-ES"/>
    </w:rPr>
  </w:style>
  <w:style w:type="paragraph" w:styleId="Liste5">
    <w:name w:val="List 5"/>
    <w:basedOn w:val="Normal"/>
    <w:semiHidden/>
    <w:rsid w:val="00C0030C"/>
    <w:pPr>
      <w:suppressAutoHyphens w:val="0"/>
      <w:kinsoku/>
      <w:overflowPunct/>
      <w:autoSpaceDE/>
      <w:autoSpaceDN/>
      <w:adjustRightInd/>
      <w:snapToGrid/>
      <w:ind w:left="1415" w:hanging="283"/>
    </w:pPr>
    <w:rPr>
      <w:rFonts w:eastAsiaTheme="minorEastAsia"/>
      <w:lang w:val="es-ES" w:eastAsia="es-ES"/>
    </w:rPr>
  </w:style>
  <w:style w:type="paragraph" w:styleId="Listenumros">
    <w:name w:val="List Number"/>
    <w:basedOn w:val="Normal"/>
    <w:semiHidden/>
    <w:rsid w:val="00C0030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numros2">
    <w:name w:val="List Number 2"/>
    <w:basedOn w:val="Normal"/>
    <w:semiHidden/>
    <w:rsid w:val="00C0030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numros3">
    <w:name w:val="List Number 3"/>
    <w:basedOn w:val="Normal"/>
    <w:semiHidden/>
    <w:rsid w:val="00C0030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numros4">
    <w:name w:val="List Number 4"/>
    <w:basedOn w:val="Normal"/>
    <w:semiHidden/>
    <w:rsid w:val="00C0030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numros5">
    <w:name w:val="List Number 5"/>
    <w:basedOn w:val="Normal"/>
    <w:semiHidden/>
    <w:rsid w:val="00C0030C"/>
    <w:pPr>
      <w:tabs>
        <w:tab w:val="num" w:pos="1492"/>
      </w:tabs>
      <w:suppressAutoHyphens w:val="0"/>
      <w:kinsoku/>
      <w:overflowPunct/>
      <w:autoSpaceDE/>
      <w:autoSpaceDN/>
      <w:adjustRightInd/>
      <w:snapToGrid/>
      <w:ind w:left="1492" w:hanging="360"/>
    </w:pPr>
    <w:rPr>
      <w:rFonts w:eastAsiaTheme="minorEastAsia"/>
      <w:lang w:val="es-ES" w:eastAsia="es-ES"/>
    </w:rPr>
  </w:style>
  <w:style w:type="paragraph" w:styleId="Listepuces">
    <w:name w:val="List Bullet"/>
    <w:basedOn w:val="Normal"/>
    <w:semiHidden/>
    <w:rsid w:val="00C0030C"/>
    <w:pPr>
      <w:tabs>
        <w:tab w:val="num" w:pos="360"/>
      </w:tabs>
      <w:suppressAutoHyphens w:val="0"/>
      <w:kinsoku/>
      <w:overflowPunct/>
      <w:autoSpaceDE/>
      <w:autoSpaceDN/>
      <w:adjustRightInd/>
      <w:snapToGrid/>
      <w:ind w:left="360" w:hanging="360"/>
    </w:pPr>
    <w:rPr>
      <w:rFonts w:eastAsiaTheme="minorEastAsia"/>
      <w:lang w:val="es-ES" w:eastAsia="es-ES"/>
    </w:rPr>
  </w:style>
  <w:style w:type="paragraph" w:styleId="Listepuces2">
    <w:name w:val="List Bullet 2"/>
    <w:basedOn w:val="Normal"/>
    <w:semiHidden/>
    <w:rsid w:val="00C0030C"/>
    <w:pPr>
      <w:tabs>
        <w:tab w:val="num" w:pos="643"/>
      </w:tabs>
      <w:suppressAutoHyphens w:val="0"/>
      <w:kinsoku/>
      <w:overflowPunct/>
      <w:autoSpaceDE/>
      <w:autoSpaceDN/>
      <w:adjustRightInd/>
      <w:snapToGrid/>
      <w:ind w:left="643" w:hanging="360"/>
    </w:pPr>
    <w:rPr>
      <w:rFonts w:eastAsiaTheme="minorEastAsia"/>
      <w:lang w:val="es-ES" w:eastAsia="es-ES"/>
    </w:rPr>
  </w:style>
  <w:style w:type="paragraph" w:styleId="Listepuces3">
    <w:name w:val="List Bullet 3"/>
    <w:basedOn w:val="Normal"/>
    <w:semiHidden/>
    <w:rsid w:val="00C0030C"/>
    <w:pPr>
      <w:tabs>
        <w:tab w:val="num" w:pos="926"/>
      </w:tabs>
      <w:suppressAutoHyphens w:val="0"/>
      <w:kinsoku/>
      <w:overflowPunct/>
      <w:autoSpaceDE/>
      <w:autoSpaceDN/>
      <w:adjustRightInd/>
      <w:snapToGrid/>
      <w:ind w:left="926" w:hanging="360"/>
    </w:pPr>
    <w:rPr>
      <w:rFonts w:eastAsiaTheme="minorEastAsia"/>
      <w:lang w:val="es-ES" w:eastAsia="es-ES"/>
    </w:rPr>
  </w:style>
  <w:style w:type="paragraph" w:styleId="Listepuces4">
    <w:name w:val="List Bullet 4"/>
    <w:basedOn w:val="Normal"/>
    <w:semiHidden/>
    <w:rsid w:val="00C0030C"/>
    <w:pPr>
      <w:tabs>
        <w:tab w:val="num" w:pos="1209"/>
      </w:tabs>
      <w:suppressAutoHyphens w:val="0"/>
      <w:kinsoku/>
      <w:overflowPunct/>
      <w:autoSpaceDE/>
      <w:autoSpaceDN/>
      <w:adjustRightInd/>
      <w:snapToGrid/>
      <w:ind w:left="1209" w:hanging="360"/>
    </w:pPr>
    <w:rPr>
      <w:rFonts w:eastAsiaTheme="minorEastAsia"/>
      <w:lang w:val="es-ES" w:eastAsia="es-ES"/>
    </w:rPr>
  </w:style>
  <w:style w:type="paragraph" w:styleId="Listepuces5">
    <w:name w:val="List Bullet 5"/>
    <w:basedOn w:val="Normal"/>
    <w:semiHidden/>
    <w:rsid w:val="00C0030C"/>
    <w:pPr>
      <w:tabs>
        <w:tab w:val="num" w:pos="1492"/>
      </w:tabs>
      <w:suppressAutoHyphens w:val="0"/>
      <w:kinsoku/>
      <w:overflowPunct/>
      <w:autoSpaceDE/>
      <w:autoSpaceDN/>
      <w:adjustRightInd/>
      <w:snapToGrid/>
      <w:ind w:left="1492" w:hanging="360"/>
    </w:pPr>
    <w:rPr>
      <w:rFonts w:eastAsiaTheme="minorEastAsia"/>
      <w:lang w:val="es-ES" w:eastAsia="es-ES"/>
    </w:rPr>
  </w:style>
  <w:style w:type="character" w:styleId="MachinecrireHTML">
    <w:name w:val="HTML Typewriter"/>
    <w:semiHidden/>
    <w:rsid w:val="00C0030C"/>
    <w:rPr>
      <w:rFonts w:ascii="Courier New" w:hAnsi="Courier New" w:cs="Courier New"/>
      <w:sz w:val="20"/>
      <w:szCs w:val="20"/>
    </w:rPr>
  </w:style>
  <w:style w:type="paragraph" w:styleId="NormalWeb">
    <w:name w:val="Normal (Web)"/>
    <w:basedOn w:val="Normal"/>
    <w:semiHidden/>
    <w:rsid w:val="00C0030C"/>
    <w:pPr>
      <w:suppressAutoHyphens w:val="0"/>
      <w:kinsoku/>
      <w:overflowPunct/>
      <w:autoSpaceDE/>
      <w:autoSpaceDN/>
      <w:adjustRightInd/>
      <w:snapToGrid/>
    </w:pPr>
    <w:rPr>
      <w:rFonts w:eastAsiaTheme="minorEastAsia"/>
      <w:sz w:val="24"/>
      <w:szCs w:val="24"/>
      <w:lang w:val="es-ES" w:eastAsia="es-ES"/>
    </w:rPr>
  </w:style>
  <w:style w:type="character" w:styleId="Numrodeligne">
    <w:name w:val="line number"/>
    <w:basedOn w:val="Policepardfaut"/>
    <w:semiHidden/>
    <w:rsid w:val="00C0030C"/>
  </w:style>
  <w:style w:type="paragraph" w:styleId="Adresseexpditeur">
    <w:name w:val="envelope return"/>
    <w:basedOn w:val="Normal"/>
    <w:semiHidden/>
    <w:rsid w:val="00C0030C"/>
    <w:pPr>
      <w:suppressAutoHyphens w:val="0"/>
      <w:kinsoku/>
      <w:overflowPunct/>
      <w:autoSpaceDE/>
      <w:autoSpaceDN/>
      <w:adjustRightInd/>
      <w:snapToGrid/>
    </w:pPr>
    <w:rPr>
      <w:rFonts w:ascii="Arial" w:eastAsiaTheme="minorEastAsia" w:hAnsi="Arial" w:cs="Arial"/>
      <w:lang w:val="es-ES" w:eastAsia="es-ES"/>
    </w:rPr>
  </w:style>
  <w:style w:type="paragraph" w:styleId="Salutations">
    <w:name w:val="Salutation"/>
    <w:basedOn w:val="Normal"/>
    <w:next w:val="Normal"/>
    <w:link w:val="SalutationsCar"/>
    <w:semiHidden/>
    <w:rsid w:val="00C0030C"/>
    <w:pPr>
      <w:suppressAutoHyphens w:val="0"/>
      <w:kinsoku/>
      <w:overflowPunct/>
      <w:autoSpaceDE/>
      <w:autoSpaceDN/>
      <w:adjustRightInd/>
      <w:snapToGrid/>
    </w:pPr>
    <w:rPr>
      <w:rFonts w:eastAsiaTheme="minorEastAsia"/>
      <w:lang w:val="es-ES" w:eastAsia="es-ES"/>
    </w:rPr>
  </w:style>
  <w:style w:type="character" w:customStyle="1" w:styleId="SalutationsCar">
    <w:name w:val="Salutations Car"/>
    <w:basedOn w:val="Policepardfaut"/>
    <w:link w:val="Salutations"/>
    <w:semiHidden/>
    <w:rsid w:val="00C0030C"/>
    <w:rPr>
      <w:rFonts w:ascii="Times New Roman" w:eastAsiaTheme="minorEastAsia" w:hAnsi="Times New Roman" w:cs="Times New Roman"/>
      <w:sz w:val="20"/>
      <w:szCs w:val="20"/>
      <w:lang w:val="es-ES" w:eastAsia="es-ES"/>
    </w:rPr>
  </w:style>
  <w:style w:type="paragraph" w:styleId="Retraitcorpsdetexte2">
    <w:name w:val="Body Text Indent 2"/>
    <w:basedOn w:val="Normal"/>
    <w:link w:val="Retraitcorpsdetexte2Car"/>
    <w:semiHidden/>
    <w:rsid w:val="00C0030C"/>
    <w:pPr>
      <w:suppressAutoHyphens w:val="0"/>
      <w:kinsoku/>
      <w:overflowPunct/>
      <w:autoSpaceDE/>
      <w:autoSpaceDN/>
      <w:adjustRightInd/>
      <w:snapToGrid/>
      <w:spacing w:after="120" w:line="480" w:lineRule="auto"/>
      <w:ind w:left="283"/>
    </w:pPr>
    <w:rPr>
      <w:rFonts w:eastAsiaTheme="minorEastAsia"/>
      <w:lang w:val="es-ES" w:eastAsia="es-ES"/>
    </w:rPr>
  </w:style>
  <w:style w:type="character" w:customStyle="1" w:styleId="Retraitcorpsdetexte2Car">
    <w:name w:val="Retrait corps de texte 2 Car"/>
    <w:basedOn w:val="Policepardfaut"/>
    <w:link w:val="Retraitcorpsdetexte2"/>
    <w:semiHidden/>
    <w:rsid w:val="00C0030C"/>
    <w:rPr>
      <w:rFonts w:ascii="Times New Roman" w:eastAsiaTheme="minorEastAsia" w:hAnsi="Times New Roman" w:cs="Times New Roman"/>
      <w:sz w:val="20"/>
      <w:szCs w:val="20"/>
      <w:lang w:val="es-ES" w:eastAsia="es-ES"/>
    </w:rPr>
  </w:style>
  <w:style w:type="paragraph" w:styleId="Retraitcorpsdetexte3">
    <w:name w:val="Body Text Indent 3"/>
    <w:basedOn w:val="Normal"/>
    <w:link w:val="Retraitcorpsdetexte3Car"/>
    <w:semiHidden/>
    <w:rsid w:val="00C0030C"/>
    <w:pPr>
      <w:suppressAutoHyphens w:val="0"/>
      <w:kinsoku/>
      <w:overflowPunct/>
      <w:autoSpaceDE/>
      <w:autoSpaceDN/>
      <w:adjustRightInd/>
      <w:snapToGrid/>
      <w:spacing w:after="120"/>
      <w:ind w:left="283"/>
    </w:pPr>
    <w:rPr>
      <w:rFonts w:eastAsiaTheme="minorEastAsia"/>
      <w:sz w:val="16"/>
      <w:szCs w:val="16"/>
      <w:lang w:val="es-ES" w:eastAsia="es-ES"/>
    </w:rPr>
  </w:style>
  <w:style w:type="character" w:customStyle="1" w:styleId="Retraitcorpsdetexte3Car">
    <w:name w:val="Retrait corps de texte 3 Car"/>
    <w:basedOn w:val="Policepardfaut"/>
    <w:link w:val="Retraitcorpsdetexte3"/>
    <w:semiHidden/>
    <w:rsid w:val="00C0030C"/>
    <w:rPr>
      <w:rFonts w:ascii="Times New Roman" w:eastAsiaTheme="minorEastAsia" w:hAnsi="Times New Roman" w:cs="Times New Roman"/>
      <w:sz w:val="16"/>
      <w:szCs w:val="16"/>
      <w:lang w:val="es-ES" w:eastAsia="es-ES"/>
    </w:rPr>
  </w:style>
  <w:style w:type="paragraph" w:styleId="Retraitcorpsdetexte">
    <w:name w:val="Body Text Indent"/>
    <w:basedOn w:val="Normal"/>
    <w:link w:val="RetraitcorpsdetexteCar"/>
    <w:semiHidden/>
    <w:rsid w:val="00C0030C"/>
    <w:pPr>
      <w:suppressAutoHyphens w:val="0"/>
      <w:kinsoku/>
      <w:overflowPunct/>
      <w:autoSpaceDE/>
      <w:autoSpaceDN/>
      <w:adjustRightInd/>
      <w:snapToGrid/>
      <w:spacing w:after="120"/>
      <w:ind w:left="283"/>
    </w:pPr>
    <w:rPr>
      <w:rFonts w:eastAsiaTheme="minorEastAsia"/>
      <w:lang w:val="es-ES" w:eastAsia="es-ES"/>
    </w:rPr>
  </w:style>
  <w:style w:type="character" w:customStyle="1" w:styleId="RetraitcorpsdetexteCar">
    <w:name w:val="Retrait corps de texte Car"/>
    <w:basedOn w:val="Policepardfaut"/>
    <w:link w:val="Retraitcorpsdetexte"/>
    <w:semiHidden/>
    <w:rsid w:val="00C0030C"/>
    <w:rPr>
      <w:rFonts w:ascii="Times New Roman" w:eastAsiaTheme="minorEastAsia" w:hAnsi="Times New Roman" w:cs="Times New Roman"/>
      <w:sz w:val="20"/>
      <w:szCs w:val="20"/>
      <w:lang w:val="es-ES" w:eastAsia="es-ES"/>
    </w:rPr>
  </w:style>
  <w:style w:type="paragraph" w:styleId="Retraitnormal">
    <w:name w:val="Normal Indent"/>
    <w:basedOn w:val="Normal"/>
    <w:semiHidden/>
    <w:rsid w:val="00C0030C"/>
    <w:pPr>
      <w:suppressAutoHyphens w:val="0"/>
      <w:kinsoku/>
      <w:overflowPunct/>
      <w:autoSpaceDE/>
      <w:autoSpaceDN/>
      <w:adjustRightInd/>
      <w:snapToGrid/>
      <w:ind w:left="567"/>
    </w:pPr>
    <w:rPr>
      <w:rFonts w:eastAsiaTheme="minorEastAsia"/>
      <w:lang w:val="es-ES" w:eastAsia="es-ES"/>
    </w:rPr>
  </w:style>
  <w:style w:type="paragraph" w:styleId="Sous-titre">
    <w:name w:val="Subtitle"/>
    <w:basedOn w:val="Normal"/>
    <w:link w:val="Sous-titreCar"/>
    <w:semiHidden/>
    <w:rsid w:val="00C0030C"/>
    <w:pPr>
      <w:suppressAutoHyphens w:val="0"/>
      <w:kinsoku/>
      <w:overflowPunct/>
      <w:autoSpaceDE/>
      <w:autoSpaceDN/>
      <w:adjustRightInd/>
      <w:snapToGrid/>
      <w:spacing w:after="60"/>
      <w:jc w:val="center"/>
      <w:outlineLvl w:val="1"/>
    </w:pPr>
    <w:rPr>
      <w:rFonts w:ascii="Arial" w:eastAsiaTheme="minorEastAsia" w:hAnsi="Arial" w:cs="Arial"/>
      <w:sz w:val="24"/>
      <w:szCs w:val="24"/>
      <w:lang w:val="es-ES" w:eastAsia="es-ES"/>
    </w:rPr>
  </w:style>
  <w:style w:type="character" w:customStyle="1" w:styleId="Sous-titreCar">
    <w:name w:val="Sous-titre Car"/>
    <w:basedOn w:val="Policepardfaut"/>
    <w:link w:val="Sous-titre"/>
    <w:semiHidden/>
    <w:rsid w:val="00C0030C"/>
    <w:rPr>
      <w:rFonts w:ascii="Arial" w:eastAsiaTheme="minorEastAsia" w:hAnsi="Arial" w:cs="Arial"/>
      <w:sz w:val="24"/>
      <w:szCs w:val="24"/>
      <w:lang w:val="es-ES" w:eastAsia="es-ES"/>
    </w:rPr>
  </w:style>
  <w:style w:type="table" w:styleId="Tableausimple1">
    <w:name w:val="Table Simple 1"/>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C0030C"/>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C0030C"/>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C0030C"/>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C0030C"/>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C0030C"/>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C0030C"/>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C0030C"/>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C0030C"/>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C0030C"/>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C0030C"/>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C0030C"/>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C0030C"/>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C0030C"/>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C0030C"/>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C0030C"/>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C0030C"/>
    <w:rPr>
      <w:rFonts w:ascii="Courier New" w:hAnsi="Courier New" w:cs="Courier New"/>
      <w:sz w:val="20"/>
      <w:szCs w:val="20"/>
    </w:rPr>
  </w:style>
  <w:style w:type="paragraph" w:styleId="Normalcentr">
    <w:name w:val="Block Text"/>
    <w:basedOn w:val="Normal"/>
    <w:semiHidden/>
    <w:rsid w:val="00C0030C"/>
    <w:pPr>
      <w:suppressAutoHyphens w:val="0"/>
      <w:kinsoku/>
      <w:overflowPunct/>
      <w:autoSpaceDE/>
      <w:autoSpaceDN/>
      <w:adjustRightInd/>
      <w:snapToGrid/>
      <w:spacing w:after="120"/>
      <w:ind w:left="1440" w:right="1440"/>
    </w:pPr>
    <w:rPr>
      <w:rFonts w:eastAsiaTheme="minorEastAsia"/>
      <w:lang w:val="es-ES" w:eastAsia="es-ES"/>
    </w:rPr>
  </w:style>
  <w:style w:type="character" w:styleId="lev">
    <w:name w:val="Strong"/>
    <w:semiHidden/>
    <w:rsid w:val="00C0030C"/>
    <w:rPr>
      <w:b/>
      <w:bCs/>
    </w:rPr>
  </w:style>
  <w:style w:type="paragraph" w:styleId="Corpsdetexte">
    <w:name w:val="Body Text"/>
    <w:basedOn w:val="Normal"/>
    <w:link w:val="CorpsdetexteCar"/>
    <w:semiHidden/>
    <w:rsid w:val="00C0030C"/>
    <w:pPr>
      <w:suppressAutoHyphens w:val="0"/>
      <w:kinsoku/>
      <w:overflowPunct/>
      <w:autoSpaceDE/>
      <w:autoSpaceDN/>
      <w:adjustRightInd/>
      <w:snapToGrid/>
      <w:spacing w:after="120"/>
    </w:pPr>
    <w:rPr>
      <w:rFonts w:eastAsiaTheme="minorEastAsia"/>
      <w:lang w:val="es-ES" w:eastAsia="es-ES"/>
    </w:rPr>
  </w:style>
  <w:style w:type="character" w:customStyle="1" w:styleId="CorpsdetexteCar">
    <w:name w:val="Corps de texte Car"/>
    <w:basedOn w:val="Policepardfaut"/>
    <w:link w:val="Corpsdetexte"/>
    <w:semiHidden/>
    <w:rsid w:val="00C0030C"/>
    <w:rPr>
      <w:rFonts w:ascii="Times New Roman" w:eastAsiaTheme="minorEastAsia" w:hAnsi="Times New Roman" w:cs="Times New Roman"/>
      <w:sz w:val="20"/>
      <w:szCs w:val="20"/>
      <w:lang w:val="es-ES" w:eastAsia="es-ES"/>
    </w:rPr>
  </w:style>
  <w:style w:type="paragraph" w:styleId="Corpsdetexte2">
    <w:name w:val="Body Text 2"/>
    <w:basedOn w:val="Normal"/>
    <w:link w:val="Corpsdetexte2Car"/>
    <w:semiHidden/>
    <w:rsid w:val="00C0030C"/>
    <w:pPr>
      <w:suppressAutoHyphens w:val="0"/>
      <w:kinsoku/>
      <w:overflowPunct/>
      <w:autoSpaceDE/>
      <w:autoSpaceDN/>
      <w:adjustRightInd/>
      <w:snapToGrid/>
      <w:spacing w:after="120" w:line="480" w:lineRule="auto"/>
    </w:pPr>
    <w:rPr>
      <w:rFonts w:eastAsiaTheme="minorEastAsia"/>
      <w:lang w:val="es-ES" w:eastAsia="es-ES"/>
    </w:rPr>
  </w:style>
  <w:style w:type="character" w:customStyle="1" w:styleId="Corpsdetexte2Car">
    <w:name w:val="Corps de texte 2 Car"/>
    <w:basedOn w:val="Policepardfaut"/>
    <w:link w:val="Corpsdetexte2"/>
    <w:semiHidden/>
    <w:rsid w:val="00C0030C"/>
    <w:rPr>
      <w:rFonts w:ascii="Times New Roman" w:eastAsiaTheme="minorEastAsia" w:hAnsi="Times New Roman" w:cs="Times New Roman"/>
      <w:sz w:val="20"/>
      <w:szCs w:val="20"/>
      <w:lang w:val="es-ES" w:eastAsia="es-ES"/>
    </w:rPr>
  </w:style>
  <w:style w:type="paragraph" w:styleId="Corpsdetexte3">
    <w:name w:val="Body Text 3"/>
    <w:basedOn w:val="Normal"/>
    <w:link w:val="Corpsdetexte3Car"/>
    <w:semiHidden/>
    <w:rsid w:val="00C0030C"/>
    <w:pPr>
      <w:suppressAutoHyphens w:val="0"/>
      <w:kinsoku/>
      <w:overflowPunct/>
      <w:autoSpaceDE/>
      <w:autoSpaceDN/>
      <w:adjustRightInd/>
      <w:snapToGrid/>
      <w:spacing w:after="120"/>
    </w:pPr>
    <w:rPr>
      <w:rFonts w:eastAsiaTheme="minorEastAsia"/>
      <w:sz w:val="16"/>
      <w:szCs w:val="16"/>
      <w:lang w:val="es-ES" w:eastAsia="es-ES"/>
    </w:rPr>
  </w:style>
  <w:style w:type="character" w:customStyle="1" w:styleId="Corpsdetexte3Car">
    <w:name w:val="Corps de texte 3 Car"/>
    <w:basedOn w:val="Policepardfaut"/>
    <w:link w:val="Corpsdetexte3"/>
    <w:semiHidden/>
    <w:rsid w:val="00C0030C"/>
    <w:rPr>
      <w:rFonts w:ascii="Times New Roman" w:eastAsiaTheme="minorEastAsia" w:hAnsi="Times New Roman" w:cs="Times New Roman"/>
      <w:sz w:val="16"/>
      <w:szCs w:val="16"/>
      <w:lang w:val="es-ES" w:eastAsia="es-ES"/>
    </w:rPr>
  </w:style>
  <w:style w:type="paragraph" w:styleId="Retrait1religne">
    <w:name w:val="Body Text First Indent"/>
    <w:basedOn w:val="Corpsdetexte"/>
    <w:link w:val="Retrait1religneCar"/>
    <w:semiHidden/>
    <w:rsid w:val="00C0030C"/>
    <w:pPr>
      <w:ind w:firstLine="210"/>
    </w:pPr>
  </w:style>
  <w:style w:type="character" w:customStyle="1" w:styleId="Retrait1religneCar">
    <w:name w:val="Retrait 1re ligne Car"/>
    <w:basedOn w:val="CorpsdetexteCar"/>
    <w:link w:val="Retrait1religne"/>
    <w:semiHidden/>
    <w:rsid w:val="00C0030C"/>
    <w:rPr>
      <w:rFonts w:ascii="Times New Roman" w:eastAsiaTheme="minorEastAsia"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C0030C"/>
    <w:pPr>
      <w:ind w:firstLine="210"/>
    </w:pPr>
  </w:style>
  <w:style w:type="character" w:customStyle="1" w:styleId="Retraitcorpset1religCar">
    <w:name w:val="Retrait corps et 1re lig. Car"/>
    <w:basedOn w:val="RetraitcorpsdetexteCar"/>
    <w:link w:val="Retraitcorpset1relig"/>
    <w:semiHidden/>
    <w:rsid w:val="00C0030C"/>
    <w:rPr>
      <w:rFonts w:ascii="Times New Roman" w:eastAsiaTheme="minorEastAsia" w:hAnsi="Times New Roman" w:cs="Times New Roman"/>
      <w:sz w:val="20"/>
      <w:szCs w:val="20"/>
      <w:lang w:val="es-ES" w:eastAsia="es-ES"/>
    </w:rPr>
  </w:style>
  <w:style w:type="paragraph" w:styleId="Textebrut">
    <w:name w:val="Plain Text"/>
    <w:basedOn w:val="Normal"/>
    <w:link w:val="TextebrutCar"/>
    <w:semiHidden/>
    <w:rsid w:val="00C0030C"/>
    <w:pPr>
      <w:suppressAutoHyphens w:val="0"/>
      <w:kinsoku/>
      <w:overflowPunct/>
      <w:autoSpaceDE/>
      <w:autoSpaceDN/>
      <w:adjustRightInd/>
      <w:snapToGrid/>
    </w:pPr>
    <w:rPr>
      <w:rFonts w:ascii="Courier New" w:eastAsiaTheme="minorEastAsia" w:hAnsi="Courier New" w:cs="Courier New"/>
      <w:lang w:val="es-ES" w:eastAsia="es-ES"/>
    </w:rPr>
  </w:style>
  <w:style w:type="character" w:customStyle="1" w:styleId="TextebrutCar">
    <w:name w:val="Texte brut Car"/>
    <w:basedOn w:val="Policepardfaut"/>
    <w:link w:val="Textebrut"/>
    <w:semiHidden/>
    <w:rsid w:val="00C0030C"/>
    <w:rPr>
      <w:rFonts w:ascii="Courier New" w:eastAsiaTheme="minorEastAsia" w:hAnsi="Courier New" w:cs="Courier New"/>
      <w:sz w:val="20"/>
      <w:szCs w:val="20"/>
      <w:lang w:val="es-ES" w:eastAsia="es-ES"/>
    </w:rPr>
  </w:style>
  <w:style w:type="paragraph" w:styleId="Titre">
    <w:name w:val="Title"/>
    <w:basedOn w:val="Normal"/>
    <w:link w:val="TitreCar"/>
    <w:semiHidden/>
    <w:rsid w:val="00C0030C"/>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es-ES" w:eastAsia="es-ES"/>
    </w:rPr>
  </w:style>
  <w:style w:type="character" w:customStyle="1" w:styleId="TitreCar">
    <w:name w:val="Titre Car"/>
    <w:basedOn w:val="Policepardfaut"/>
    <w:link w:val="Titre"/>
    <w:semiHidden/>
    <w:rsid w:val="00C0030C"/>
    <w:rPr>
      <w:rFonts w:ascii="Arial" w:eastAsiaTheme="minorEastAsia" w:hAnsi="Arial" w:cs="Arial"/>
      <w:b/>
      <w:bCs/>
      <w:kern w:val="28"/>
      <w:sz w:val="32"/>
      <w:szCs w:val="32"/>
      <w:lang w:val="es-ES" w:eastAsia="es-ES"/>
    </w:rPr>
  </w:style>
  <w:style w:type="character" w:styleId="VariableHTML">
    <w:name w:val="HTML Variable"/>
    <w:semiHidden/>
    <w:rsid w:val="00C0030C"/>
    <w:rPr>
      <w:i/>
      <w:iCs/>
    </w:rPr>
  </w:style>
  <w:style w:type="paragraph" w:styleId="Citationintense">
    <w:name w:val="Intense Quote"/>
    <w:basedOn w:val="Normal"/>
    <w:next w:val="Normal"/>
    <w:link w:val="CitationintenseCar"/>
    <w:uiPriority w:val="30"/>
    <w:semiHidden/>
    <w:rsid w:val="00C0030C"/>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es-ES" w:eastAsia="es-ES"/>
    </w:rPr>
  </w:style>
  <w:style w:type="character" w:customStyle="1" w:styleId="CitationintenseCar">
    <w:name w:val="Citation intense Car"/>
    <w:basedOn w:val="Policepardfaut"/>
    <w:link w:val="Citationintense"/>
    <w:uiPriority w:val="30"/>
    <w:semiHidden/>
    <w:rsid w:val="00C0030C"/>
    <w:rPr>
      <w:rFonts w:ascii="Times New Roman" w:eastAsiaTheme="minorEastAsia" w:hAnsi="Times New Roman" w:cs="Times New Roman"/>
      <w:b/>
      <w:bCs/>
      <w:i/>
      <w:iCs/>
      <w:color w:val="4F81BD"/>
      <w:sz w:val="20"/>
      <w:szCs w:val="20"/>
      <w:lang w:val="es-ES" w:eastAsia="es-ES"/>
    </w:rPr>
  </w:style>
  <w:style w:type="character" w:styleId="Accentuationintense">
    <w:name w:val="Intense Emphasis"/>
    <w:uiPriority w:val="21"/>
    <w:semiHidden/>
    <w:rsid w:val="00C0030C"/>
    <w:rPr>
      <w:b/>
      <w:bCs/>
      <w:i/>
      <w:iCs/>
      <w:color w:val="4F81BD"/>
    </w:rPr>
  </w:style>
  <w:style w:type="table" w:customStyle="1" w:styleId="Tablaconcuadrcula1">
    <w:name w:val="Tabla con cuadrícula1"/>
    <w:basedOn w:val="TableauNormal"/>
    <w:rsid w:val="00C0030C"/>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Footnote,List Paragraph1"/>
    <w:basedOn w:val="Normal"/>
    <w:uiPriority w:val="34"/>
    <w:qFormat/>
    <w:rsid w:val="00C0030C"/>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es-PE"/>
    </w:rPr>
  </w:style>
  <w:style w:type="character" w:styleId="Marquedecommentaire">
    <w:name w:val="annotation reference"/>
    <w:basedOn w:val="Policepardfaut"/>
    <w:semiHidden/>
    <w:unhideWhenUsed/>
    <w:rsid w:val="00C0030C"/>
    <w:rPr>
      <w:sz w:val="16"/>
      <w:szCs w:val="16"/>
    </w:rPr>
  </w:style>
  <w:style w:type="paragraph" w:styleId="Commentaire">
    <w:name w:val="annotation text"/>
    <w:basedOn w:val="Normal"/>
    <w:link w:val="CommentaireCar"/>
    <w:unhideWhenUsed/>
    <w:rsid w:val="00C0030C"/>
    <w:pPr>
      <w:suppressAutoHyphens w:val="0"/>
      <w:kinsoku/>
      <w:overflowPunct/>
      <w:autoSpaceDE/>
      <w:autoSpaceDN/>
      <w:adjustRightInd/>
      <w:snapToGrid/>
      <w:spacing w:line="240" w:lineRule="auto"/>
    </w:pPr>
    <w:rPr>
      <w:rFonts w:eastAsiaTheme="minorEastAsia"/>
      <w:lang w:val="es-ES" w:eastAsia="es-ES"/>
    </w:rPr>
  </w:style>
  <w:style w:type="character" w:customStyle="1" w:styleId="CommentaireCar">
    <w:name w:val="Commentaire Car"/>
    <w:basedOn w:val="Policepardfaut"/>
    <w:link w:val="Commentaire"/>
    <w:rsid w:val="00C0030C"/>
    <w:rPr>
      <w:rFonts w:ascii="Times New Roman" w:eastAsiaTheme="minorEastAsia"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C0030C"/>
    <w:rPr>
      <w:b/>
      <w:bCs/>
    </w:rPr>
  </w:style>
  <w:style w:type="character" w:customStyle="1" w:styleId="ObjetducommentaireCar">
    <w:name w:val="Objet du commentaire Car"/>
    <w:basedOn w:val="CommentaireCar"/>
    <w:link w:val="Objetducommentaire"/>
    <w:semiHidden/>
    <w:rsid w:val="00C0030C"/>
    <w:rPr>
      <w:rFonts w:ascii="Times New Roman" w:eastAsiaTheme="minorEastAsia" w:hAnsi="Times New Roman" w:cs="Times New Roman"/>
      <w:b/>
      <w:bCs/>
      <w:sz w:val="20"/>
      <w:szCs w:val="20"/>
      <w:lang w:val="es-ES" w:eastAsia="es-ES"/>
    </w:rPr>
  </w:style>
  <w:style w:type="character" w:customStyle="1" w:styleId="UnresolvedMention1">
    <w:name w:val="Unresolved Mention1"/>
    <w:basedOn w:val="Policepardfaut"/>
    <w:uiPriority w:val="99"/>
    <w:semiHidden/>
    <w:unhideWhenUsed/>
    <w:rsid w:val="00C0030C"/>
    <w:rPr>
      <w:color w:val="605E5C"/>
      <w:shd w:val="clear" w:color="auto" w:fill="E1DFDD"/>
    </w:rPr>
  </w:style>
  <w:style w:type="paragraph" w:styleId="Rvision">
    <w:name w:val="Revision"/>
    <w:hidden/>
    <w:uiPriority w:val="99"/>
    <w:semiHidden/>
    <w:rsid w:val="00C0030C"/>
    <w:pPr>
      <w:spacing w:after="0" w:line="240" w:lineRule="auto"/>
    </w:pPr>
    <w:rPr>
      <w:rFonts w:ascii="Times New Roman" w:eastAsiaTheme="minorEastAsia" w:hAnsi="Times New Roman" w:cs="Times New Roman"/>
      <w:sz w:val="20"/>
      <w:szCs w:val="20"/>
      <w:lang w:val="es-ES" w:eastAsia="es-ES"/>
    </w:rPr>
  </w:style>
  <w:style w:type="character" w:styleId="Mentionnonrsolue">
    <w:name w:val="Unresolved Mention"/>
    <w:basedOn w:val="Policepardfaut"/>
    <w:uiPriority w:val="99"/>
    <w:semiHidden/>
    <w:unhideWhenUsed/>
    <w:rsid w:val="00C003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ED/C/PER/CO/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b.pe/institucion/minjus/informes-publicaciones/1682793-convenio-de-cooperacion-interinstitucional-en-el-ministerio-de-justicia-y-derechos-humanos-y-el-ministerio-publico-fiscalia-de-la-nacion" TargetMode="External"/><Relationship Id="rId3" Type="http://schemas.openxmlformats.org/officeDocument/2006/relationships/hyperlink" Target="https://www.gob.pe/institucion/mpfn/noticias/500585-codigo-procesal-penal-entro-en-vigencia-en-16-distritos-de-lima-centro" TargetMode="External"/><Relationship Id="rId7" Type="http://schemas.openxmlformats.org/officeDocument/2006/relationships/hyperlink" Target="https://undocs.org/fr/CED/C/7" TargetMode="External"/><Relationship Id="rId2" Type="http://schemas.openxmlformats.org/officeDocument/2006/relationships/hyperlink" Target="https://undocs.org/fr/CED/C/PER/Q/1/Add.1" TargetMode="External"/><Relationship Id="rId1" Type="http://schemas.openxmlformats.org/officeDocument/2006/relationships/hyperlink" Target="https://undocs.org/fr/CED/C/PER/CO/1" TargetMode="External"/><Relationship Id="rId6" Type="http://schemas.openxmlformats.org/officeDocument/2006/relationships/hyperlink" Target="https://cdn.www.gob.pe/uploads/document/file/2012167/PNBPD%20al%202030_julio%202021%20VF.pdf.pdf" TargetMode="External"/><Relationship Id="rId5" Type="http://schemas.openxmlformats.org/officeDocument/2006/relationships/hyperlink" Target="https://www.gob.pe/institucion/minjus/informes-publicaciones/1642884-lineamientos-para-la-adopcion-de-acciones-diferenciadas-en-la-implementacion-del-plan-integral-de-reparaciones-a-mujeres-y-poblacion-lgtbi" TargetMode="External"/><Relationship Id="rId10" Type="http://schemas.openxmlformats.org/officeDocument/2006/relationships/hyperlink" Target="https://elperuano.pe/noticia/115767-sistema-policial-facilita-el-hallazgo-de-las-personas-desaparecidas" TargetMode="External"/><Relationship Id="rId4" Type="http://schemas.openxmlformats.org/officeDocument/2006/relationships/hyperlink" Target="https://www.gob.pe/institucion/vivienda/normas-legales/1847948-001-2021-vivienda-vmvu-dgppvu" TargetMode="External"/><Relationship Id="rId9" Type="http://schemas.openxmlformats.org/officeDocument/2006/relationships/hyperlink" Target="https://www.gob.pe/institucion/mininter/noticias/19034-fortalecen-sistema-de-busqueda-de-personas-desaparecid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6338</Words>
  <Characters>37146</Characters>
  <Application>Microsoft Office Word</Application>
  <DocSecurity>0</DocSecurity>
  <Lines>3376</Lines>
  <Paragraphs>1449</Paragraphs>
  <ScaleCrop>false</ScaleCrop>
  <HeadingPairs>
    <vt:vector size="4" baseType="variant">
      <vt:variant>
        <vt:lpstr>Titre</vt:lpstr>
      </vt:variant>
      <vt:variant>
        <vt:i4>1</vt:i4>
      </vt:variant>
      <vt:variant>
        <vt:lpstr>Titres</vt:lpstr>
      </vt:variant>
      <vt:variant>
        <vt:i4>9</vt:i4>
      </vt:variant>
    </vt:vector>
  </HeadingPairs>
  <TitlesOfParts>
    <vt:vector size="10" baseType="lpstr">
      <vt:lpstr>CED/C/PER/FCO/1</vt:lpstr>
      <vt:lpstr>Renseignements reçus du Pérou au sujet  de la suite donnée aux observations fi</vt:lpstr>
      <vt:lpstr>    I.	Introduction</vt:lpstr>
      <vt:lpstr>    II.	Renseignements au sujet de la suite donnée aux  paragraphes 15, 29 et 33 de</vt:lpstr>
      <vt:lpstr>        A.	Renseignements sur la suite donnée au paragraphe 15</vt:lpstr>
      <vt:lpstr>        B.	Renseignements sur la suite donnée au paragraphe 29</vt:lpstr>
      <vt:lpstr>        C.	Renseignements sur la suite donnée au paragraphe 33</vt:lpstr>
      <vt:lpstr>    III.	Conclusion</vt:lpstr>
      <vt:lpstr>    Annexe</vt:lpstr>
      <vt:lpstr>    Sigles et abréviations</vt:lpstr>
    </vt:vector>
  </TitlesOfParts>
  <Company>DCM</Company>
  <LinksUpToDate>false</LinksUpToDate>
  <CharactersWithSpaces>42035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CED/C/PER/FCO/1</dc:title>
  <dc:subject/>
  <dc:creator>Corinne ROBERT</dc:creator>
  <cp:keywords/>
  <cp:lastModifiedBy>Corinne ROBERT</cp:lastModifiedBy>
  <cp:revision>2</cp:revision>
  <cp:lastPrinted>2014-05-14T10:59:00Z</cp:lastPrinted>
  <dcterms:created xsi:type="dcterms:W3CDTF">2021-12-10T10:53:00Z</dcterms:created>
  <dcterms:modified xsi:type="dcterms:W3CDTF">2021-12-10T10:53:00Z</dcterms:modified>
</cp:coreProperties>
</file>