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C07B77" w:rsidP="00C07B77">
            <w:pPr>
              <w:jc w:val="right"/>
            </w:pPr>
            <w:r w:rsidRPr="00C07B77">
              <w:rPr>
                <w:sz w:val="40"/>
              </w:rPr>
              <w:t>CAT</w:t>
            </w:r>
            <w:r>
              <w:t>/C/CUB/Q/2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07B77" w:rsidRDefault="00C07B77" w:rsidP="00A56EA8">
            <w:pPr>
              <w:spacing w:before="240"/>
            </w:pPr>
            <w:r>
              <w:t>Distr. générale</w:t>
            </w:r>
          </w:p>
          <w:p w:rsidR="00C07B77" w:rsidRDefault="00C07B77" w:rsidP="00C07B77">
            <w:pPr>
              <w:spacing w:line="240" w:lineRule="exact"/>
            </w:pPr>
            <w:r>
              <w:t>19 décembre 2011</w:t>
            </w:r>
          </w:p>
          <w:p w:rsidR="00C07B77" w:rsidRDefault="00C07B77" w:rsidP="00C07B77">
            <w:pPr>
              <w:spacing w:line="240" w:lineRule="exact"/>
            </w:pPr>
            <w:r>
              <w:t>Français</w:t>
            </w:r>
          </w:p>
          <w:p w:rsidR="00297B00" w:rsidRPr="00DB58B5" w:rsidRDefault="00C07B77" w:rsidP="00C07B77">
            <w:pPr>
              <w:spacing w:line="240" w:lineRule="exact"/>
            </w:pPr>
            <w:r>
              <w:t>Original: espagnol</w:t>
            </w:r>
          </w:p>
        </w:tc>
      </w:tr>
    </w:tbl>
    <w:p w:rsidR="00C07B77" w:rsidRPr="005F6B10" w:rsidRDefault="00C07B77" w:rsidP="00C07B77">
      <w:pPr>
        <w:suppressAutoHyphens w:val="0"/>
        <w:spacing w:before="120" w:line="240" w:lineRule="exact"/>
        <w:rPr>
          <w:b/>
          <w:sz w:val="24"/>
          <w:szCs w:val="24"/>
        </w:rPr>
      </w:pPr>
      <w:r w:rsidRPr="005F6B10">
        <w:rPr>
          <w:b/>
          <w:sz w:val="24"/>
          <w:szCs w:val="24"/>
        </w:rPr>
        <w:t>Comité contre la torture</w:t>
      </w:r>
    </w:p>
    <w:p w:rsidR="00C07B77" w:rsidRDefault="00C07B77" w:rsidP="00C07B77">
      <w:pPr>
        <w:suppressAutoHyphens w:val="0"/>
        <w:spacing w:line="240" w:lineRule="exact"/>
        <w:rPr>
          <w:b/>
        </w:rPr>
      </w:pPr>
      <w:r>
        <w:rPr>
          <w:b/>
        </w:rPr>
        <w:t>Quarante-septième session</w:t>
      </w:r>
    </w:p>
    <w:p w:rsidR="00C07B77" w:rsidRPr="00457F73" w:rsidRDefault="00C07B77" w:rsidP="00C07B77">
      <w:pPr>
        <w:suppressAutoHyphens w:val="0"/>
        <w:spacing w:line="240" w:lineRule="exact"/>
      </w:pPr>
      <w:r w:rsidRPr="00457F73">
        <w:t>31 octobre-25 novembre 2011</w:t>
      </w:r>
    </w:p>
    <w:p w:rsidR="00C07B77" w:rsidRDefault="00C07B77" w:rsidP="00C07B77">
      <w:pPr>
        <w:pStyle w:val="HChG"/>
        <w:tabs>
          <w:tab w:val="clear" w:pos="851"/>
        </w:tabs>
      </w:pPr>
      <w:r>
        <w:tab/>
        <w:t>Liste de points à traiter à l</w:t>
      </w:r>
      <w:r w:rsidR="00235888">
        <w:t>’</w:t>
      </w:r>
      <w:r>
        <w:t>occasion de l</w:t>
      </w:r>
      <w:r w:rsidR="00235888">
        <w:t>’</w:t>
      </w:r>
      <w:r w:rsidR="00231304">
        <w:t>examen</w:t>
      </w:r>
      <w:r w:rsidR="006C7018">
        <w:br/>
      </w:r>
      <w:r w:rsidR="00231304">
        <w:t xml:space="preserve">du </w:t>
      </w:r>
      <w:r>
        <w:t>deuxième rapport périodique de Cuba (CAT/C/CUB/2)</w:t>
      </w:r>
      <w:r w:rsidRPr="00E12458">
        <w:rPr>
          <w:rStyle w:val="FootnoteReference"/>
          <w:b w:val="0"/>
          <w:sz w:val="20"/>
          <w:vertAlign w:val="baseline"/>
        </w:rPr>
        <w:footnoteReference w:customMarkFollows="1" w:id="2"/>
        <w:t>*</w:t>
      </w:r>
    </w:p>
    <w:p w:rsidR="00C07B77" w:rsidRDefault="00C07B77" w:rsidP="00C07B77">
      <w:pPr>
        <w:pStyle w:val="H1G"/>
      </w:pPr>
      <w:r>
        <w:tab/>
      </w:r>
      <w:r>
        <w:tab/>
        <w:t>Articles 1</w:t>
      </w:r>
      <w:r>
        <w:rPr>
          <w:vertAlign w:val="superscript"/>
        </w:rPr>
        <w:t xml:space="preserve">er </w:t>
      </w:r>
      <w:r w:rsidRPr="00457F73">
        <w:t>et 4</w:t>
      </w:r>
    </w:p>
    <w:p w:rsidR="00C07B77" w:rsidRDefault="00231304" w:rsidP="00C07B77">
      <w:pPr>
        <w:pStyle w:val="SingleTxtG"/>
      </w:pPr>
      <w:r>
        <w:t>1.</w:t>
      </w:r>
      <w:r>
        <w:tab/>
        <w:t xml:space="preserve">À propos du paragraphe </w:t>
      </w:r>
      <w:r w:rsidR="00C07B77">
        <w:t>54 du rapport périodique de l</w:t>
      </w:r>
      <w:r w:rsidR="00235888">
        <w:t>’</w:t>
      </w:r>
      <w:r w:rsidR="00C07B77">
        <w:t>État partie, donner des renseignements à jour sur les mesures législatives adoptées pour introduire dans le Code pénal, dans le cadre de la réforme prévue, une définition de la torture qui reprenne tous les éléments figurant à l</w:t>
      </w:r>
      <w:r w:rsidR="00235888">
        <w:t>’</w:t>
      </w:r>
      <w:r w:rsidR="00C07B77">
        <w:t>article premier de la Convention</w:t>
      </w:r>
      <w:r w:rsidR="00C07B77">
        <w:rPr>
          <w:rStyle w:val="FootnoteReference"/>
        </w:rPr>
        <w:footnoteReference w:id="3"/>
      </w:r>
      <w:r w:rsidR="00C07B77">
        <w:t>. Indiquer les mesures prises pour veiller à ce que ces infractions soient passibles de peines appropriées qui prennent en considération leur gravité, conformément aux dispositions du paragraphe 2 de l</w:t>
      </w:r>
      <w:r w:rsidR="00235888">
        <w:t>’</w:t>
      </w:r>
      <w:r w:rsidR="00C07B77">
        <w:t>article 4 de la Convention. Préciser si les dispositions de l</w:t>
      </w:r>
      <w:r w:rsidR="00235888">
        <w:t>’</w:t>
      </w:r>
      <w:r w:rsidR="00C07B77">
        <w:t>article 64 du Code pénal signifient que les infractions constituées par des actes de torture sont prescriptibles</w:t>
      </w:r>
      <w:r w:rsidR="00C07B77">
        <w:rPr>
          <w:rStyle w:val="FootnoteReference"/>
        </w:rPr>
        <w:footnoteReference w:id="4"/>
      </w:r>
      <w:r w:rsidR="00C07B77">
        <w:t>.</w:t>
      </w:r>
    </w:p>
    <w:p w:rsidR="00C07B77" w:rsidRDefault="00231304" w:rsidP="00C07B77">
      <w:pPr>
        <w:pStyle w:val="H1G"/>
      </w:pPr>
      <w:r>
        <w:tab/>
      </w:r>
      <w:r>
        <w:tab/>
        <w:t xml:space="preserve">Article </w:t>
      </w:r>
      <w:r w:rsidR="00C07B77">
        <w:t>2</w:t>
      </w:r>
      <w:r w:rsidR="00C07B77" w:rsidRPr="000B3ADC">
        <w:rPr>
          <w:rStyle w:val="FootnoteReference"/>
          <w:b w:val="0"/>
        </w:rPr>
        <w:footnoteReference w:id="5"/>
      </w:r>
    </w:p>
    <w:p w:rsidR="00C07B77" w:rsidRDefault="00231304" w:rsidP="00C07B77">
      <w:pPr>
        <w:pStyle w:val="SingleTxtG"/>
      </w:pPr>
      <w:r>
        <w:t>2.</w:t>
      </w:r>
      <w:r>
        <w:tab/>
        <w:t xml:space="preserve">À propos des paragraphes </w:t>
      </w:r>
      <w:r w:rsidR="00C07B77">
        <w:t>59 à 76 et 273 à 278 du rapport</w:t>
      </w:r>
      <w:r w:rsidR="00C07B77">
        <w:rPr>
          <w:rStyle w:val="FootnoteReference"/>
        </w:rPr>
        <w:footnoteReference w:id="6"/>
      </w:r>
      <w:r w:rsidR="00C07B77">
        <w:t>, donner des précisions sur les mesures adoptées et les procédures en place pour garantir que:</w:t>
      </w:r>
    </w:p>
    <w:p w:rsidR="00C07B77" w:rsidRDefault="00C07B77" w:rsidP="00C07B77">
      <w:pPr>
        <w:pStyle w:val="SingleTxtG"/>
        <w:ind w:firstLine="567"/>
      </w:pPr>
      <w:r>
        <w:t>a)</w:t>
      </w:r>
      <w:r>
        <w:tab/>
        <w:t>Toutes les personnes privées de liberté reçoivent rapidement l</w:t>
      </w:r>
      <w:r w:rsidR="00235888">
        <w:t>’</w:t>
      </w:r>
      <w:r>
        <w:t>assistance d</w:t>
      </w:r>
      <w:r w:rsidR="00235888">
        <w:t>’</w:t>
      </w:r>
      <w:r>
        <w:t>un conseil et puissent aviser leurs proches ou toute autre personne de leur choix</w:t>
      </w:r>
      <w:r>
        <w:rPr>
          <w:rStyle w:val="FootnoteReference"/>
        </w:rPr>
        <w:footnoteReference w:id="7"/>
      </w:r>
      <w:r>
        <w:t>. Indiquer dans quel délai les détenus sont autorisés à s</w:t>
      </w:r>
      <w:r w:rsidR="00235888">
        <w:t>’</w:t>
      </w:r>
      <w:r>
        <w:t>entretenir avec leur avocat, et qui prend la décision</w:t>
      </w:r>
      <w:r w:rsidR="00130A5B">
        <w:t xml:space="preserve">. Y a-t-il eu </w:t>
      </w:r>
      <w:r>
        <w:t xml:space="preserve">des cas </w:t>
      </w:r>
      <w:r w:rsidR="00130A5B">
        <w:t xml:space="preserve">où </w:t>
      </w:r>
      <w:r>
        <w:t>l</w:t>
      </w:r>
      <w:r w:rsidR="00235888">
        <w:t>’</w:t>
      </w:r>
      <w:r>
        <w:t>assistance d</w:t>
      </w:r>
      <w:r w:rsidR="00235888">
        <w:t>’</w:t>
      </w:r>
      <w:r>
        <w:t xml:space="preserve">un avocat avait été refusée </w:t>
      </w:r>
      <w:r w:rsidR="00130A5B">
        <w:t xml:space="preserve">pendant </w:t>
      </w:r>
      <w:r>
        <w:t>la période couverte par le rapport? Apporter des éclaircissements s</w:t>
      </w:r>
      <w:r w:rsidR="00231304">
        <w:t xml:space="preserve">ur ce qui est dit au paragraphe </w:t>
      </w:r>
      <w:r>
        <w:t>74 du rapport et en particulier sur l</w:t>
      </w:r>
      <w:r w:rsidR="00235888">
        <w:t>’</w:t>
      </w:r>
      <w:r>
        <w:t>Organisation nationale de cabinets collectifs d</w:t>
      </w:r>
      <w:r w:rsidR="00235888">
        <w:t>’</w:t>
      </w:r>
      <w:r>
        <w:t>avocats, qui semble être un organisme gouvernemental rattaché au Ministère de la justice. L</w:t>
      </w:r>
      <w:r w:rsidR="00235888">
        <w:t>’</w:t>
      </w:r>
      <w:r>
        <w:t>exercice indépendant de la profession d</w:t>
      </w:r>
      <w:r w:rsidR="00235888">
        <w:t>’</w:t>
      </w:r>
      <w:r>
        <w:t>avocat est-il autorisé</w:t>
      </w:r>
      <w:r>
        <w:rPr>
          <w:rStyle w:val="FootnoteReference"/>
        </w:rPr>
        <w:footnoteReference w:id="8"/>
      </w:r>
      <w:r>
        <w:t>?</w:t>
      </w:r>
    </w:p>
    <w:p w:rsidR="00130A5B" w:rsidRDefault="00130A5B" w:rsidP="00C07B77">
      <w:pPr>
        <w:pStyle w:val="SingleTxtG"/>
        <w:ind w:firstLine="567"/>
      </w:pPr>
      <w:r>
        <w:t>b)</w:t>
      </w:r>
      <w:r>
        <w:tab/>
        <w:t>Toutes les personnes placées en détention soient informées de leurs droits, au moment de l</w:t>
      </w:r>
      <w:r w:rsidR="00235888">
        <w:t>’</w:t>
      </w:r>
      <w:r>
        <w:t>arrestation, et des charges qui pèsent contre elles, et soient mises sans délai à la disposition d</w:t>
      </w:r>
      <w:r w:rsidR="00235888">
        <w:t>’</w:t>
      </w:r>
      <w:r>
        <w:t>un juge;</w:t>
      </w:r>
    </w:p>
    <w:p w:rsidR="00C07B77" w:rsidRDefault="00130A5B" w:rsidP="00C07B77">
      <w:pPr>
        <w:pStyle w:val="SingleTxtG"/>
        <w:ind w:firstLine="567"/>
      </w:pPr>
      <w:r>
        <w:t>c</w:t>
      </w:r>
      <w:r w:rsidR="00C07B77">
        <w:t>)</w:t>
      </w:r>
      <w:r w:rsidR="00C07B77">
        <w:tab/>
        <w:t xml:space="preserve">Toutes les personnes placées en détention soient soumises à un examen médical et que les dossiers médicaux faisant état de </w:t>
      </w:r>
      <w:r>
        <w:t>lésions</w:t>
      </w:r>
      <w:r w:rsidR="00C07B77">
        <w:t xml:space="preserve"> corr</w:t>
      </w:r>
      <w:r>
        <w:t>esp</w:t>
      </w:r>
      <w:r w:rsidR="00C07B77">
        <w:t>o</w:t>
      </w:r>
      <w:r>
        <w:t>nd</w:t>
      </w:r>
      <w:r w:rsidR="00C07B77">
        <w:t xml:space="preserve">ant </w:t>
      </w:r>
      <w:r>
        <w:t>aux</w:t>
      </w:r>
      <w:r w:rsidR="00C07B77">
        <w:t xml:space="preserve"> allégations de torture et de mauvais traitements soient systématiquement portés à la connaissance du procureur chargé de l</w:t>
      </w:r>
      <w:r w:rsidR="00235888">
        <w:t>’</w:t>
      </w:r>
      <w:r w:rsidR="00C07B77">
        <w:t>affaire. Comment les détenus sont-ils informés de leur droit de demander un examen indépendant</w:t>
      </w:r>
      <w:r>
        <w:t>,</w:t>
      </w:r>
      <w:r w:rsidR="00C07B77">
        <w:t xml:space="preserve"> effectué par un médecin</w:t>
      </w:r>
      <w:r>
        <w:t>,</w:t>
      </w:r>
      <w:r w:rsidR="00C07B77">
        <w:t xml:space="preserve"> et de s</w:t>
      </w:r>
      <w:r w:rsidR="00235888">
        <w:t>’</w:t>
      </w:r>
      <w:r w:rsidR="00C07B77">
        <w:t>assurer de l</w:t>
      </w:r>
      <w:r w:rsidR="00235888">
        <w:t>’</w:t>
      </w:r>
      <w:r w:rsidR="00C07B77">
        <w:t xml:space="preserve">exactitude des rapports médicaux, ainsi que de leur droit de consulter </w:t>
      </w:r>
      <w:r>
        <w:t>c</w:t>
      </w:r>
      <w:r w:rsidR="00C07B77">
        <w:t>es rapports</w:t>
      </w:r>
      <w:r w:rsidR="00C07B77">
        <w:rPr>
          <w:rStyle w:val="FootnoteReference"/>
        </w:rPr>
        <w:footnoteReference w:id="9"/>
      </w:r>
      <w:r w:rsidR="00C07B77">
        <w:t>?</w:t>
      </w:r>
    </w:p>
    <w:p w:rsidR="00C07B77" w:rsidRDefault="00130A5B" w:rsidP="00C07B77">
      <w:pPr>
        <w:pStyle w:val="SingleTxtG"/>
        <w:ind w:firstLine="567"/>
      </w:pPr>
      <w:r>
        <w:t>d</w:t>
      </w:r>
      <w:r w:rsidR="00C07B77">
        <w:t>)</w:t>
      </w:r>
      <w:r w:rsidR="00C07B77">
        <w:tab/>
        <w:t>Toutes les personnes privées de liberté qui ne comprennent pas l</w:t>
      </w:r>
      <w:r w:rsidR="00235888">
        <w:t>’</w:t>
      </w:r>
      <w:r w:rsidR="00C07B77">
        <w:t>espagnol bénéficient des services d</w:t>
      </w:r>
      <w:r w:rsidR="00235888">
        <w:t>’</w:t>
      </w:r>
      <w:r w:rsidR="00C07B77">
        <w:t>un interprète.</w:t>
      </w:r>
    </w:p>
    <w:p w:rsidR="00C07B77" w:rsidRDefault="00C07B77" w:rsidP="00C07B77">
      <w:pPr>
        <w:pStyle w:val="SingleTxtG"/>
      </w:pPr>
      <w:r>
        <w:t>3.</w:t>
      </w:r>
      <w:r>
        <w:tab/>
        <w:t>Selon le rapport de l</w:t>
      </w:r>
      <w:r w:rsidR="00235888">
        <w:t>’</w:t>
      </w:r>
      <w:r w:rsidR="00231304">
        <w:t xml:space="preserve">État partie (par. </w:t>
      </w:r>
      <w:r>
        <w:t>77 et suiv.), «les ordres d</w:t>
      </w:r>
      <w:r w:rsidR="00235888">
        <w:t>’</w:t>
      </w:r>
      <w:r>
        <w:t>un supérieur ou d</w:t>
      </w:r>
      <w:r w:rsidR="00235888">
        <w:t>’</w:t>
      </w:r>
      <w:r>
        <w:t>une autorité publique ne peuvent en aucune circonstance, si exceptionnelle soit-elle, être invoqués pour justifier des actes de torture ou d</w:t>
      </w:r>
      <w:r w:rsidR="00235888">
        <w:t>’</w:t>
      </w:r>
      <w:r>
        <w:t xml:space="preserve">autres peines ou traitements cruels, inhumains ou dégradants». Donner des exemples et, </w:t>
      </w:r>
      <w:r w:rsidR="00130A5B">
        <w:t>s</w:t>
      </w:r>
      <w:r w:rsidR="00235888">
        <w:t>’</w:t>
      </w:r>
      <w:r w:rsidR="00130A5B">
        <w:t>il en existe</w:t>
      </w:r>
      <w:r>
        <w:t>, des statistiques concernant des cas où ce principe a été appliqué par les tribunaux.</w:t>
      </w:r>
    </w:p>
    <w:p w:rsidR="00C07B77" w:rsidRDefault="00C07B77" w:rsidP="00C07B77">
      <w:pPr>
        <w:pStyle w:val="SingleTxtG"/>
      </w:pPr>
      <w:r>
        <w:t>4.</w:t>
      </w:r>
      <w:r>
        <w:tab/>
        <w:t>Donner plus de précisions sur les mesures prises pour garantir l</w:t>
      </w:r>
      <w:r w:rsidR="00235888">
        <w:t>’</w:t>
      </w:r>
      <w:r>
        <w:t>indépendance et l</w:t>
      </w:r>
      <w:r w:rsidR="00235888">
        <w:t>’</w:t>
      </w:r>
      <w:r>
        <w:t xml:space="preserve">impartialité </w:t>
      </w:r>
      <w:r w:rsidR="00130A5B">
        <w:t xml:space="preserve">sans réserve </w:t>
      </w:r>
      <w:r>
        <w:t>des juges et des procureurs,</w:t>
      </w:r>
      <w:r w:rsidR="00231304">
        <w:t xml:space="preserve"> notamment en veillant à ce que </w:t>
      </w:r>
      <w:r>
        <w:t>leur nomination repose s</w:t>
      </w:r>
      <w:r w:rsidR="00231304">
        <w:t xml:space="preserve">ur des critères objectifs (par. </w:t>
      </w:r>
      <w:r>
        <w:t>283 et 284)</w:t>
      </w:r>
      <w:r>
        <w:rPr>
          <w:rStyle w:val="FootnoteReference"/>
        </w:rPr>
        <w:footnoteReference w:id="10"/>
      </w:r>
      <w:r>
        <w:t xml:space="preserve">. Donner des renseignements détaillés sur la procédure de nomination des juges, professionnels ou non professionnels, </w:t>
      </w:r>
      <w:r w:rsidR="00130A5B">
        <w:t>sur l</w:t>
      </w:r>
      <w:r>
        <w:t xml:space="preserve">es règles </w:t>
      </w:r>
      <w:r w:rsidR="00130A5B">
        <w:t xml:space="preserve">relatives à </w:t>
      </w:r>
      <w:r>
        <w:t>leur inamovibilité et la manière dont ils peuvent être dé</w:t>
      </w:r>
      <w:r w:rsidR="00130A5B">
        <w:t>mis</w:t>
      </w:r>
      <w:r>
        <w:t xml:space="preserve"> </w:t>
      </w:r>
      <w:r w:rsidR="00130A5B">
        <w:t xml:space="preserve">de leurs fonctions </w:t>
      </w:r>
      <w:r w:rsidR="00231304">
        <w:t xml:space="preserve">(par. </w:t>
      </w:r>
      <w:r>
        <w:t xml:space="preserve">130 à 134). </w:t>
      </w:r>
      <w:r w:rsidR="00130A5B">
        <w:t>L</w:t>
      </w:r>
      <w:r w:rsidR="00235888">
        <w:t>’</w:t>
      </w:r>
      <w:r w:rsidR="00130A5B">
        <w:t>État partie a-t-il modifié l</w:t>
      </w:r>
      <w:r>
        <w:t xml:space="preserve">es règles </w:t>
      </w:r>
      <w:r w:rsidR="00130A5B">
        <w:t xml:space="preserve">de </w:t>
      </w:r>
      <w:r>
        <w:t xml:space="preserve">procédure des tribunaux </w:t>
      </w:r>
      <w:r w:rsidR="00130A5B">
        <w:t>de façon à</w:t>
      </w:r>
      <w:r>
        <w:t xml:space="preserve"> garantir pleinement l</w:t>
      </w:r>
      <w:r w:rsidR="00235888">
        <w:t>’</w:t>
      </w:r>
      <w:r>
        <w:t>indépendance des juges dans l</w:t>
      </w:r>
      <w:r w:rsidR="00235888">
        <w:t>’</w:t>
      </w:r>
      <w:r>
        <w:t>exercice de leur charge conformément aux normes internationales, et plus précisément aux Principes fondamentaux relatifs à l</w:t>
      </w:r>
      <w:r w:rsidR="00235888">
        <w:t>’</w:t>
      </w:r>
      <w:r>
        <w:t xml:space="preserve">indépendance de la magistrature, comme le Comité </w:t>
      </w:r>
      <w:r w:rsidR="00130A5B">
        <w:t xml:space="preserve">le lui avait </w:t>
      </w:r>
      <w:r>
        <w:t>recommandé précédemment</w:t>
      </w:r>
      <w:r>
        <w:rPr>
          <w:rStyle w:val="FootnoteReference"/>
        </w:rPr>
        <w:footnoteReference w:id="11"/>
      </w:r>
      <w:r>
        <w:t>?</w:t>
      </w:r>
    </w:p>
    <w:p w:rsidR="00C07B77" w:rsidRDefault="00C07B77" w:rsidP="00C07B77">
      <w:pPr>
        <w:pStyle w:val="SingleTxtG"/>
      </w:pPr>
      <w:r>
        <w:t>5.</w:t>
      </w:r>
      <w:r>
        <w:tab/>
        <w:t xml:space="preserve">Décrire les compétences des tribunaux militaires. Siègent-ils en temps de paix? </w:t>
      </w:r>
      <w:r w:rsidR="002A7489">
        <w:t>Les juridictions militaires p</w:t>
      </w:r>
      <w:r>
        <w:t>euvent-</w:t>
      </w:r>
      <w:r w:rsidR="002A7489">
        <w:t>el</w:t>
      </w:r>
      <w:r>
        <w:t>l</w:t>
      </w:r>
      <w:r w:rsidR="002A7489">
        <w:t>e</w:t>
      </w:r>
      <w:r>
        <w:t>s juger les civils? Ont-</w:t>
      </w:r>
      <w:r w:rsidR="002A7489">
        <w:t>el</w:t>
      </w:r>
      <w:r>
        <w:t>l</w:t>
      </w:r>
      <w:r w:rsidR="002A7489">
        <w:t>e</w:t>
      </w:r>
      <w:r>
        <w:t xml:space="preserve">s compétence pour connaître des </w:t>
      </w:r>
      <w:r w:rsidR="002A7489">
        <w:t>infractions</w:t>
      </w:r>
      <w:r>
        <w:t xml:space="preserve"> de droit commun commis</w:t>
      </w:r>
      <w:r w:rsidR="002A7489">
        <w:t>es</w:t>
      </w:r>
      <w:r>
        <w:t xml:space="preserve"> par des militaires</w:t>
      </w:r>
      <w:r>
        <w:rPr>
          <w:rStyle w:val="FootnoteReference"/>
        </w:rPr>
        <w:footnoteReference w:id="12"/>
      </w:r>
      <w:r>
        <w:t>?</w:t>
      </w:r>
    </w:p>
    <w:p w:rsidR="00C07B77" w:rsidRDefault="00C07B77" w:rsidP="00C07B77">
      <w:pPr>
        <w:pStyle w:val="SingleTxtG"/>
        <w:rPr>
          <w:rFonts w:eastAsia="MS Mincho"/>
        </w:rPr>
      </w:pPr>
      <w:r>
        <w:t>6.</w:t>
      </w:r>
      <w:r>
        <w:tab/>
        <w:t>Des mesures ont-elles été prises pour mettre en place une institution nationale des droits de l</w:t>
      </w:r>
      <w:r w:rsidR="00235888">
        <w:t>’</w:t>
      </w:r>
      <w:r>
        <w:t xml:space="preserve">homme </w:t>
      </w:r>
      <w:r>
        <w:rPr>
          <w:rFonts w:eastAsia="MS Mincho"/>
        </w:rPr>
        <w:t>indépendante, conformément aux Principes concernant le statut des institutions nationales pour la promotion et la protection des droits de l</w:t>
      </w:r>
      <w:r w:rsidR="00235888">
        <w:rPr>
          <w:rFonts w:eastAsia="MS Mincho"/>
        </w:rPr>
        <w:t>’</w:t>
      </w:r>
      <w:r>
        <w:rPr>
          <w:rFonts w:eastAsia="MS Mincho"/>
        </w:rPr>
        <w:t xml:space="preserve">homme (Principes de Paris, </w:t>
      </w:r>
      <w:r w:rsidR="002A7489">
        <w:rPr>
          <w:rFonts w:eastAsia="MS Mincho"/>
        </w:rPr>
        <w:t xml:space="preserve">résolution 48/134 de </w:t>
      </w:r>
      <w:r w:rsidRPr="0096271E">
        <w:rPr>
          <w:rFonts w:eastAsia="MS Mincho"/>
        </w:rPr>
        <w:t>l</w:t>
      </w:r>
      <w:r w:rsidR="00235888">
        <w:rPr>
          <w:rFonts w:eastAsia="MS Mincho"/>
        </w:rPr>
        <w:t>’</w:t>
      </w:r>
      <w:r w:rsidRPr="0096271E">
        <w:rPr>
          <w:rFonts w:eastAsia="MS Mincho"/>
        </w:rPr>
        <w:t>Assemblée générale</w:t>
      </w:r>
      <w:r w:rsidR="002A7489">
        <w:rPr>
          <w:rFonts w:eastAsia="MS Mincho"/>
        </w:rPr>
        <w:t>, en date</w:t>
      </w:r>
      <w:r>
        <w:rPr>
          <w:rFonts w:eastAsia="MS Mincho"/>
        </w:rPr>
        <w:t xml:space="preserve"> du 20 décembre 1993, annexe)</w:t>
      </w:r>
      <w:r>
        <w:rPr>
          <w:rStyle w:val="FootnoteReference"/>
          <w:rFonts w:eastAsia="MS Mincho"/>
        </w:rPr>
        <w:footnoteReference w:id="13"/>
      </w:r>
      <w:r>
        <w:rPr>
          <w:rFonts w:eastAsia="MS Mincho"/>
        </w:rPr>
        <w:t>? Si aucune mesure n</w:t>
      </w:r>
      <w:r w:rsidR="00235888">
        <w:rPr>
          <w:rFonts w:eastAsia="MS Mincho"/>
        </w:rPr>
        <w:t>’</w:t>
      </w:r>
      <w:r>
        <w:rPr>
          <w:rFonts w:eastAsia="MS Mincho"/>
        </w:rPr>
        <w:t xml:space="preserve">a été prise, </w:t>
      </w:r>
      <w:r w:rsidR="002A7489">
        <w:rPr>
          <w:rFonts w:eastAsia="MS Mincho"/>
        </w:rPr>
        <w:t>expl</w:t>
      </w:r>
      <w:r>
        <w:rPr>
          <w:rFonts w:eastAsia="MS Mincho"/>
        </w:rPr>
        <w:t>iquer les raisons.</w:t>
      </w:r>
    </w:p>
    <w:p w:rsidR="00C07B77" w:rsidRDefault="00C07B77" w:rsidP="00C07B77">
      <w:pPr>
        <w:pStyle w:val="SingleTxtG"/>
        <w:rPr>
          <w:rFonts w:eastAsia="MS Mincho"/>
        </w:rPr>
      </w:pPr>
      <w:r>
        <w:rPr>
          <w:rFonts w:eastAsia="MS Mincho"/>
        </w:rPr>
        <w:t>7.</w:t>
      </w:r>
      <w:r>
        <w:rPr>
          <w:rFonts w:eastAsia="MS Mincho"/>
        </w:rPr>
        <w:tab/>
        <w:t xml:space="preserve">Donner des renseignements à jour, ventilés par âge et </w:t>
      </w:r>
      <w:r w:rsidR="002A7489">
        <w:rPr>
          <w:rFonts w:eastAsia="MS Mincho"/>
        </w:rPr>
        <w:t>origine</w:t>
      </w:r>
      <w:r>
        <w:rPr>
          <w:rFonts w:eastAsia="MS Mincho"/>
        </w:rPr>
        <w:t xml:space="preserve"> ethnique de la victime, sur le nombre de plaintes, d</w:t>
      </w:r>
      <w:r w:rsidR="00235888">
        <w:rPr>
          <w:rFonts w:eastAsia="MS Mincho"/>
        </w:rPr>
        <w:t>’</w:t>
      </w:r>
      <w:r>
        <w:rPr>
          <w:rFonts w:eastAsia="MS Mincho"/>
        </w:rPr>
        <w:t>enquêtes, de poursuites et de condamnations</w:t>
      </w:r>
      <w:r w:rsidR="002A7489">
        <w:rPr>
          <w:rFonts w:eastAsia="MS Mincho"/>
        </w:rPr>
        <w:t xml:space="preserve"> et</w:t>
      </w:r>
      <w:r>
        <w:rPr>
          <w:rFonts w:eastAsia="MS Mincho"/>
        </w:rPr>
        <w:t xml:space="preserve"> </w:t>
      </w:r>
      <w:r w:rsidR="002A7489">
        <w:rPr>
          <w:rFonts w:eastAsia="MS Mincho"/>
        </w:rPr>
        <w:t>sur</w:t>
      </w:r>
      <w:r>
        <w:rPr>
          <w:rFonts w:eastAsia="MS Mincho"/>
        </w:rPr>
        <w:t xml:space="preserve"> les peines prononcées, depuis l</w:t>
      </w:r>
      <w:r w:rsidR="00235888">
        <w:rPr>
          <w:rFonts w:eastAsia="MS Mincho"/>
        </w:rPr>
        <w:t>’</w:t>
      </w:r>
      <w:r>
        <w:rPr>
          <w:rFonts w:eastAsia="MS Mincho"/>
        </w:rPr>
        <w:t>examen du rapport initial, qui se rapportent à des affaires de violence contre les femmes</w:t>
      </w:r>
      <w:r>
        <w:rPr>
          <w:rStyle w:val="FootnoteReference"/>
          <w:rFonts w:eastAsia="MS Mincho"/>
        </w:rPr>
        <w:footnoteReference w:id="14"/>
      </w:r>
      <w:r>
        <w:rPr>
          <w:rFonts w:eastAsia="MS Mincho"/>
        </w:rPr>
        <w:t>. Donner également des renseignements détaillés sur la législation en vigueur concernant la violence contre les femmes.</w:t>
      </w:r>
    </w:p>
    <w:p w:rsidR="00C07B77" w:rsidRDefault="00C07B77" w:rsidP="00C07B77">
      <w:pPr>
        <w:pStyle w:val="SingleTxtG"/>
        <w:rPr>
          <w:rFonts w:eastAsia="MS Mincho"/>
        </w:rPr>
      </w:pPr>
      <w:r>
        <w:rPr>
          <w:rFonts w:eastAsia="MS Mincho"/>
        </w:rPr>
        <w:t>8.</w:t>
      </w:r>
      <w:r>
        <w:rPr>
          <w:rFonts w:eastAsia="MS Mincho"/>
        </w:rPr>
        <w:tab/>
        <w:t>Donner des renseignements à jour, ventilés par sexe, âge et origine ethnique de la victime</w:t>
      </w:r>
      <w:r w:rsidR="00AC75CC">
        <w:rPr>
          <w:rFonts w:eastAsia="MS Mincho"/>
        </w:rPr>
        <w:t>,</w:t>
      </w:r>
      <w:r>
        <w:rPr>
          <w:rFonts w:eastAsia="MS Mincho"/>
        </w:rPr>
        <w:t xml:space="preserve"> sur le nombre de plaintes, d</w:t>
      </w:r>
      <w:r w:rsidR="00235888">
        <w:rPr>
          <w:rFonts w:eastAsia="MS Mincho"/>
        </w:rPr>
        <w:t>’</w:t>
      </w:r>
      <w:r>
        <w:rPr>
          <w:rFonts w:eastAsia="MS Mincho"/>
        </w:rPr>
        <w:t xml:space="preserve">enquêtes, de poursuites et de condamnations et </w:t>
      </w:r>
      <w:r w:rsidR="002A7489">
        <w:rPr>
          <w:rFonts w:eastAsia="MS Mincho"/>
        </w:rPr>
        <w:t xml:space="preserve">sur </w:t>
      </w:r>
      <w:r>
        <w:rPr>
          <w:rFonts w:eastAsia="MS Mincho"/>
        </w:rPr>
        <w:t>les peines p</w:t>
      </w:r>
      <w:r w:rsidR="002A7489">
        <w:rPr>
          <w:rFonts w:eastAsia="MS Mincho"/>
        </w:rPr>
        <w:t>r</w:t>
      </w:r>
      <w:r>
        <w:rPr>
          <w:rFonts w:eastAsia="MS Mincho"/>
        </w:rPr>
        <w:t>o</w:t>
      </w:r>
      <w:r w:rsidR="002A7489">
        <w:rPr>
          <w:rFonts w:eastAsia="MS Mincho"/>
        </w:rPr>
        <w:t>po</w:t>
      </w:r>
      <w:r>
        <w:rPr>
          <w:rFonts w:eastAsia="MS Mincho"/>
        </w:rPr>
        <w:t>sées dans des affaires de traite recensées depuis l</w:t>
      </w:r>
      <w:r w:rsidR="00235888">
        <w:rPr>
          <w:rFonts w:eastAsia="MS Mincho"/>
        </w:rPr>
        <w:t>’</w:t>
      </w:r>
      <w:r>
        <w:rPr>
          <w:rFonts w:eastAsia="MS Mincho"/>
        </w:rPr>
        <w:t xml:space="preserve">examen du rapport initial. </w:t>
      </w:r>
      <w:r w:rsidR="002A7489">
        <w:rPr>
          <w:rFonts w:eastAsia="MS Mincho"/>
        </w:rPr>
        <w:t>Apporter</w:t>
      </w:r>
      <w:r>
        <w:rPr>
          <w:rFonts w:eastAsia="MS Mincho"/>
        </w:rPr>
        <w:t xml:space="preserve"> également des précisions sur:</w:t>
      </w:r>
    </w:p>
    <w:p w:rsidR="00C07B77" w:rsidRDefault="00C07B77" w:rsidP="00C07B77">
      <w:pPr>
        <w:pStyle w:val="SingleTxtG"/>
        <w:ind w:firstLine="567"/>
        <w:rPr>
          <w:rFonts w:eastAsia="MS Mincho"/>
        </w:rPr>
      </w:pPr>
      <w:r>
        <w:rPr>
          <w:rFonts w:eastAsia="MS Mincho"/>
        </w:rPr>
        <w:t>a)</w:t>
      </w:r>
      <w:r>
        <w:rPr>
          <w:rFonts w:eastAsia="MS Mincho"/>
        </w:rPr>
        <w:tab/>
        <w:t>Toute nouvelle loi ou mesure visant à prévenir et à combattre la traite qui a pu être adoptée;</w:t>
      </w:r>
    </w:p>
    <w:p w:rsidR="00C07B77" w:rsidRDefault="00C07B77" w:rsidP="00C07B77">
      <w:pPr>
        <w:pStyle w:val="SingleTxtG"/>
        <w:ind w:firstLine="567"/>
        <w:rPr>
          <w:rFonts w:eastAsia="MS Mincho"/>
        </w:rPr>
      </w:pPr>
      <w:r>
        <w:rPr>
          <w:rFonts w:eastAsia="MS Mincho"/>
        </w:rPr>
        <w:t>b)</w:t>
      </w:r>
      <w:r>
        <w:rPr>
          <w:rFonts w:eastAsia="MS Mincho"/>
        </w:rPr>
        <w:tab/>
        <w:t>Les mesures prises afin de garantir l</w:t>
      </w:r>
      <w:r w:rsidR="00235888">
        <w:rPr>
          <w:rFonts w:eastAsia="MS Mincho"/>
        </w:rPr>
        <w:t>’</w:t>
      </w:r>
      <w:r>
        <w:rPr>
          <w:rFonts w:eastAsia="MS Mincho"/>
        </w:rPr>
        <w:t xml:space="preserve">accès des victimes de la traite à des recours </w:t>
      </w:r>
      <w:r w:rsidR="002A7489">
        <w:rPr>
          <w:rFonts w:eastAsia="MS Mincho"/>
        </w:rPr>
        <w:t>et</w:t>
      </w:r>
      <w:r>
        <w:rPr>
          <w:rFonts w:eastAsia="MS Mincho"/>
        </w:rPr>
        <w:t xml:space="preserve"> des </w:t>
      </w:r>
      <w:r w:rsidR="002A7489">
        <w:rPr>
          <w:rFonts w:eastAsia="MS Mincho"/>
        </w:rPr>
        <w:t>moyens de réparation effectifs</w:t>
      </w:r>
      <w:r>
        <w:rPr>
          <w:rFonts w:eastAsia="MS Mincho"/>
        </w:rPr>
        <w:t>;</w:t>
      </w:r>
    </w:p>
    <w:p w:rsidR="00C07B77" w:rsidRDefault="00C07B77" w:rsidP="00C07B77">
      <w:pPr>
        <w:pStyle w:val="SingleTxtG"/>
        <w:ind w:firstLine="567"/>
        <w:rPr>
          <w:rFonts w:eastAsia="MS Mincho"/>
        </w:rPr>
      </w:pPr>
      <w:r>
        <w:rPr>
          <w:rFonts w:eastAsia="MS Mincho"/>
        </w:rPr>
        <w:t>c)</w:t>
      </w:r>
      <w:r>
        <w:rPr>
          <w:rFonts w:eastAsia="MS Mincho"/>
        </w:rPr>
        <w:tab/>
        <w:t>La signature d</w:t>
      </w:r>
      <w:r w:rsidR="00235888">
        <w:rPr>
          <w:rFonts w:eastAsia="MS Mincho"/>
        </w:rPr>
        <w:t>’</w:t>
      </w:r>
      <w:r>
        <w:rPr>
          <w:rFonts w:eastAsia="MS Mincho"/>
        </w:rPr>
        <w:t xml:space="preserve">accords bilatéraux et sous-régionaux avec les pays concernés, </w:t>
      </w:r>
      <w:r w:rsidR="002A7489">
        <w:rPr>
          <w:rFonts w:eastAsia="MS Mincho"/>
        </w:rPr>
        <w:t xml:space="preserve">en particulier </w:t>
      </w:r>
      <w:r>
        <w:rPr>
          <w:rFonts w:eastAsia="MS Mincho"/>
        </w:rPr>
        <w:t>les pays limitrophes, visant à prévenir et à combattre la traite.</w:t>
      </w:r>
    </w:p>
    <w:p w:rsidR="00C07B77" w:rsidRDefault="00C07B77" w:rsidP="00AC75CC">
      <w:pPr>
        <w:pStyle w:val="H1G"/>
        <w:rPr>
          <w:rFonts w:eastAsia="MS Mincho"/>
        </w:rPr>
      </w:pPr>
      <w:r>
        <w:rPr>
          <w:rFonts w:eastAsia="MS Mincho"/>
        </w:rPr>
        <w:tab/>
      </w:r>
      <w:r>
        <w:rPr>
          <w:rFonts w:eastAsia="MS Mincho"/>
        </w:rPr>
        <w:tab/>
        <w:t>Article 3</w:t>
      </w:r>
    </w:p>
    <w:p w:rsidR="00C07B77" w:rsidRDefault="00C07B77" w:rsidP="00C07B77">
      <w:pPr>
        <w:pStyle w:val="SingleTxtG"/>
        <w:rPr>
          <w:rFonts w:eastAsia="MS Mincho"/>
        </w:rPr>
      </w:pPr>
      <w:r>
        <w:rPr>
          <w:rFonts w:eastAsia="MS Mincho"/>
        </w:rPr>
        <w:t>9.</w:t>
      </w:r>
      <w:r>
        <w:rPr>
          <w:rFonts w:eastAsia="MS Mincho"/>
        </w:rPr>
        <w:tab/>
        <w:t xml:space="preserve">Donner des </w:t>
      </w:r>
      <w:r w:rsidR="002A7489">
        <w:rPr>
          <w:rFonts w:eastAsia="MS Mincho"/>
        </w:rPr>
        <w:t xml:space="preserve">détails </w:t>
      </w:r>
      <w:r>
        <w:rPr>
          <w:rFonts w:eastAsia="MS Mincho"/>
        </w:rPr>
        <w:t>sur la législation en vigueur en matière d</w:t>
      </w:r>
      <w:r w:rsidR="00235888">
        <w:rPr>
          <w:rFonts w:eastAsia="MS Mincho"/>
        </w:rPr>
        <w:t>’</w:t>
      </w:r>
      <w:r>
        <w:rPr>
          <w:rFonts w:eastAsia="MS Mincho"/>
        </w:rPr>
        <w:t xml:space="preserve">asile, ainsi que sur les </w:t>
      </w:r>
      <w:r w:rsidR="002A7489">
        <w:rPr>
          <w:rFonts w:eastAsia="MS Mincho"/>
        </w:rPr>
        <w:t>initiatives pris</w:t>
      </w:r>
      <w:r>
        <w:rPr>
          <w:rFonts w:eastAsia="MS Mincho"/>
        </w:rPr>
        <w:t>es pour modifier l</w:t>
      </w:r>
      <w:r w:rsidR="002A7489">
        <w:rPr>
          <w:rFonts w:eastAsia="MS Mincho"/>
        </w:rPr>
        <w:t>a</w:t>
      </w:r>
      <w:r>
        <w:rPr>
          <w:rFonts w:eastAsia="MS Mincho"/>
        </w:rPr>
        <w:t xml:space="preserve"> loi </w:t>
      </w:r>
      <w:r w:rsidRPr="00DA618C">
        <w:rPr>
          <w:rFonts w:eastAsia="MS Mincho"/>
        </w:rPr>
        <w:t>n</w:t>
      </w:r>
      <w:r w:rsidRPr="00DA618C">
        <w:rPr>
          <w:rFonts w:eastAsia="MS Mincho"/>
          <w:vertAlign w:val="superscript"/>
        </w:rPr>
        <w:t>o</w:t>
      </w:r>
      <w:r>
        <w:rPr>
          <w:rFonts w:eastAsia="MS Mincho"/>
        </w:rPr>
        <w:t> 1312</w:t>
      </w:r>
      <w:r w:rsidR="002A7489">
        <w:rPr>
          <w:rFonts w:eastAsia="MS Mincho"/>
        </w:rPr>
        <w:t xml:space="preserve">, </w:t>
      </w:r>
      <w:r>
        <w:rPr>
          <w:rFonts w:eastAsia="MS Mincho"/>
        </w:rPr>
        <w:t>sur les migr</w:t>
      </w:r>
      <w:r w:rsidR="002A7489">
        <w:rPr>
          <w:rFonts w:eastAsia="MS Mincho"/>
        </w:rPr>
        <w:t>ation</w:t>
      </w:r>
      <w:r>
        <w:rPr>
          <w:rFonts w:eastAsia="MS Mincho"/>
        </w:rPr>
        <w:t xml:space="preserve">s et </w:t>
      </w:r>
      <w:r w:rsidR="002A7489">
        <w:rPr>
          <w:rFonts w:eastAsia="MS Mincho"/>
        </w:rPr>
        <w:t xml:space="preserve">la loi </w:t>
      </w:r>
      <w:r w:rsidR="002A7489" w:rsidRPr="002A7489">
        <w:rPr>
          <w:rFonts w:eastAsia="MS Mincho"/>
        </w:rPr>
        <w:t>n</w:t>
      </w:r>
      <w:r w:rsidR="002A7489" w:rsidRPr="002A7489">
        <w:rPr>
          <w:rFonts w:eastAsia="MS Mincho"/>
          <w:vertAlign w:val="superscript"/>
        </w:rPr>
        <w:t>o</w:t>
      </w:r>
      <w:r w:rsidR="002A7489">
        <w:rPr>
          <w:rFonts w:eastAsia="MS Mincho"/>
        </w:rPr>
        <w:t xml:space="preserve"> 1313 sur </w:t>
      </w:r>
      <w:r>
        <w:rPr>
          <w:rFonts w:eastAsia="MS Mincho"/>
        </w:rPr>
        <w:t>les étrangers</w:t>
      </w:r>
      <w:r w:rsidR="002A7489">
        <w:rPr>
          <w:rFonts w:eastAsia="MS Mincho"/>
        </w:rPr>
        <w:t>,</w:t>
      </w:r>
      <w:r>
        <w:rPr>
          <w:rFonts w:eastAsia="MS Mincho"/>
        </w:rPr>
        <w:t xml:space="preserve"> de 1976</w:t>
      </w:r>
      <w:r>
        <w:rPr>
          <w:rStyle w:val="FootnoteReference"/>
          <w:rFonts w:eastAsia="MS Mincho"/>
        </w:rPr>
        <w:footnoteReference w:id="15"/>
      </w:r>
      <w:r>
        <w:rPr>
          <w:rFonts w:eastAsia="MS Mincho"/>
        </w:rPr>
        <w:t>. Indiquer le nombre de réfugiés, de demandeurs d</w:t>
      </w:r>
      <w:r w:rsidR="00235888">
        <w:rPr>
          <w:rFonts w:eastAsia="MS Mincho"/>
        </w:rPr>
        <w:t>’</w:t>
      </w:r>
      <w:r w:rsidR="004568F1">
        <w:rPr>
          <w:rFonts w:eastAsia="MS Mincho"/>
        </w:rPr>
        <w:t>asile et autres non</w:t>
      </w:r>
      <w:r w:rsidR="004568F1">
        <w:rPr>
          <w:rFonts w:eastAsia="MS Mincho"/>
        </w:rPr>
        <w:noBreakHyphen/>
      </w:r>
      <w:r>
        <w:rPr>
          <w:rFonts w:eastAsia="MS Mincho"/>
        </w:rPr>
        <w:t>ressortissants qui se trouvent sur le territoire cubain en tant qu</w:t>
      </w:r>
      <w:r w:rsidR="00235888">
        <w:rPr>
          <w:rFonts w:eastAsia="MS Mincho"/>
        </w:rPr>
        <w:t>’</w:t>
      </w:r>
      <w:r>
        <w:rPr>
          <w:rFonts w:eastAsia="MS Mincho"/>
        </w:rPr>
        <w:t>immigrés ou apatrides.</w:t>
      </w:r>
    </w:p>
    <w:p w:rsidR="00C07B77" w:rsidRDefault="00C07B77" w:rsidP="00C07B77">
      <w:pPr>
        <w:pStyle w:val="SingleTxtG"/>
        <w:rPr>
          <w:rFonts w:eastAsia="MS Mincho"/>
        </w:rPr>
      </w:pPr>
      <w:r>
        <w:rPr>
          <w:rFonts w:eastAsia="MS Mincho"/>
        </w:rPr>
        <w:t>10.</w:t>
      </w:r>
      <w:r>
        <w:rPr>
          <w:rFonts w:eastAsia="MS Mincho"/>
        </w:rPr>
        <w:tab/>
        <w:t>Fournir des données, ventilées par pays d</w:t>
      </w:r>
      <w:r w:rsidR="00235888">
        <w:rPr>
          <w:rFonts w:eastAsia="MS Mincho"/>
        </w:rPr>
        <w:t>’</w:t>
      </w:r>
      <w:r>
        <w:rPr>
          <w:rFonts w:eastAsia="MS Mincho"/>
        </w:rPr>
        <w:t>origine, sur le nombre de personnes qui ont obtenu l</w:t>
      </w:r>
      <w:r w:rsidR="00235888">
        <w:rPr>
          <w:rFonts w:eastAsia="MS Mincho"/>
        </w:rPr>
        <w:t>’</w:t>
      </w:r>
      <w:r>
        <w:rPr>
          <w:rFonts w:eastAsia="MS Mincho"/>
        </w:rPr>
        <w:t>asile ou la protection humanitaire et le nombre de personnes refoulées, extradées et expulsées depuis l</w:t>
      </w:r>
      <w:r w:rsidR="00235888">
        <w:rPr>
          <w:rFonts w:eastAsia="MS Mincho"/>
        </w:rPr>
        <w:t>’</w:t>
      </w:r>
      <w:r>
        <w:rPr>
          <w:rFonts w:eastAsia="MS Mincho"/>
        </w:rPr>
        <w:t xml:space="preserve">examen du rapport initial. </w:t>
      </w:r>
      <w:r w:rsidRPr="00210AEB">
        <w:rPr>
          <w:rFonts w:eastAsia="MS Mincho"/>
        </w:rPr>
        <w:t xml:space="preserve">Décrire en détail les motifs qui ont </w:t>
      </w:r>
      <w:r>
        <w:rPr>
          <w:rFonts w:eastAsia="MS Mincho"/>
        </w:rPr>
        <w:t xml:space="preserve">servi de fondement aux décisions de refoulement et fournir la liste des pays de </w:t>
      </w:r>
      <w:r w:rsidR="002A7489">
        <w:rPr>
          <w:rFonts w:eastAsia="MS Mincho"/>
        </w:rPr>
        <w:t>renvoi</w:t>
      </w:r>
      <w:r>
        <w:rPr>
          <w:rFonts w:eastAsia="MS Mincho"/>
        </w:rPr>
        <w:t xml:space="preserve">. Donner des renseignements détaillés sur les mécanismes de recours </w:t>
      </w:r>
      <w:r w:rsidR="002A7489">
        <w:rPr>
          <w:rFonts w:eastAsia="MS Mincho"/>
        </w:rPr>
        <w:t xml:space="preserve">qui sont </w:t>
      </w:r>
      <w:r>
        <w:rPr>
          <w:rFonts w:eastAsia="MS Mincho"/>
        </w:rPr>
        <w:t>en place et indiquer si des recours ont été formés et que</w:t>
      </w:r>
      <w:r w:rsidR="002A7489">
        <w:rPr>
          <w:rFonts w:eastAsia="MS Mincho"/>
        </w:rPr>
        <w:t>l</w:t>
      </w:r>
      <w:r>
        <w:rPr>
          <w:rFonts w:eastAsia="MS Mincho"/>
        </w:rPr>
        <w:t>l</w:t>
      </w:r>
      <w:r w:rsidR="002A7489">
        <w:rPr>
          <w:rFonts w:eastAsia="MS Mincho"/>
        </w:rPr>
        <w:t>e</w:t>
      </w:r>
      <w:r>
        <w:rPr>
          <w:rFonts w:eastAsia="MS Mincho"/>
        </w:rPr>
        <w:t xml:space="preserve"> en a été l</w:t>
      </w:r>
      <w:r w:rsidR="00235888">
        <w:rPr>
          <w:rFonts w:eastAsia="MS Mincho"/>
        </w:rPr>
        <w:t>’</w:t>
      </w:r>
      <w:r w:rsidR="00216DBE">
        <w:rPr>
          <w:rFonts w:eastAsia="MS Mincho"/>
        </w:rPr>
        <w:t>issue</w:t>
      </w:r>
      <w:r>
        <w:rPr>
          <w:rFonts w:eastAsia="MS Mincho"/>
        </w:rPr>
        <w:t>, le cas échéant.</w:t>
      </w:r>
    </w:p>
    <w:p w:rsidR="00C07B77" w:rsidRDefault="00C07B77" w:rsidP="00C07B77">
      <w:pPr>
        <w:pStyle w:val="SingleTxtG"/>
        <w:rPr>
          <w:rFonts w:eastAsia="MS Mincho"/>
        </w:rPr>
      </w:pPr>
      <w:r>
        <w:rPr>
          <w:rFonts w:eastAsia="MS Mincho"/>
        </w:rPr>
        <w:t>11.</w:t>
      </w:r>
      <w:r>
        <w:rPr>
          <w:rFonts w:eastAsia="MS Mincho"/>
        </w:rPr>
        <w:tab/>
        <w:t xml:space="preserve">Indiquer le nombre de </w:t>
      </w:r>
      <w:r w:rsidR="00216DBE">
        <w:rPr>
          <w:rFonts w:eastAsia="MS Mincho"/>
        </w:rPr>
        <w:t xml:space="preserve">personnes </w:t>
      </w:r>
      <w:r>
        <w:rPr>
          <w:rFonts w:eastAsia="MS Mincho"/>
        </w:rPr>
        <w:t>re</w:t>
      </w:r>
      <w:r w:rsidR="00216DBE">
        <w:rPr>
          <w:rFonts w:eastAsia="MS Mincho"/>
        </w:rPr>
        <w:t>nvoyée</w:t>
      </w:r>
      <w:r>
        <w:rPr>
          <w:rFonts w:eastAsia="MS Mincho"/>
        </w:rPr>
        <w:t>s, extrad</w:t>
      </w:r>
      <w:r w:rsidR="00216DBE">
        <w:rPr>
          <w:rFonts w:eastAsia="MS Mincho"/>
        </w:rPr>
        <w:t>ée</w:t>
      </w:r>
      <w:r>
        <w:rPr>
          <w:rFonts w:eastAsia="MS Mincho"/>
        </w:rPr>
        <w:t xml:space="preserve">s et </w:t>
      </w:r>
      <w:r w:rsidR="00216DBE">
        <w:rPr>
          <w:rFonts w:eastAsia="MS Mincho"/>
        </w:rPr>
        <w:t>e</w:t>
      </w:r>
      <w:r>
        <w:rPr>
          <w:rFonts w:eastAsia="MS Mincho"/>
        </w:rPr>
        <w:t>xpuls</w:t>
      </w:r>
      <w:r w:rsidR="00216DBE">
        <w:rPr>
          <w:rFonts w:eastAsia="MS Mincho"/>
        </w:rPr>
        <w:t>ée</w:t>
      </w:r>
      <w:r>
        <w:rPr>
          <w:rFonts w:eastAsia="MS Mincho"/>
        </w:rPr>
        <w:t>s pendant la période couverte par le rapport sous réserve d</w:t>
      </w:r>
      <w:r w:rsidR="00235888">
        <w:rPr>
          <w:rFonts w:eastAsia="MS Mincho"/>
        </w:rPr>
        <w:t>’</w:t>
      </w:r>
      <w:r>
        <w:rPr>
          <w:rFonts w:eastAsia="MS Mincho"/>
        </w:rPr>
        <w:t>assurances diplomatiques ou leur équivalent, ainsi que les cas dans lesquels l</w:t>
      </w:r>
      <w:r w:rsidR="00235888">
        <w:rPr>
          <w:rFonts w:eastAsia="MS Mincho"/>
        </w:rPr>
        <w:t>’</w:t>
      </w:r>
      <w:r w:rsidRPr="00210AEB">
        <w:rPr>
          <w:rFonts w:eastAsia="MS Mincho"/>
        </w:rPr>
        <w:t>État partie</w:t>
      </w:r>
      <w:r>
        <w:rPr>
          <w:rFonts w:eastAsia="MS Mincho"/>
        </w:rPr>
        <w:t xml:space="preserve"> a lui-même offert de telles assurances ou garanties diplomatiques. Quel est le minimum exigé pour ces assurances et garanties et quelles ont été les mesures de suivi prises en pareil cas?</w:t>
      </w:r>
    </w:p>
    <w:p w:rsidR="00C07B77" w:rsidRDefault="00C07B77" w:rsidP="00C07B77">
      <w:pPr>
        <w:pStyle w:val="SingleTxtG"/>
        <w:rPr>
          <w:rFonts w:eastAsia="MS Mincho"/>
        </w:rPr>
      </w:pPr>
      <w:r>
        <w:rPr>
          <w:rFonts w:eastAsia="MS Mincho"/>
        </w:rPr>
        <w:t>12.</w:t>
      </w:r>
      <w:r>
        <w:rPr>
          <w:rFonts w:eastAsia="MS Mincho"/>
        </w:rPr>
        <w:tab/>
        <w:t xml:space="preserve">Décrire les mesures prises afin de mettre </w:t>
      </w:r>
      <w:r w:rsidR="00216DBE">
        <w:rPr>
          <w:rFonts w:eastAsia="MS Mincho"/>
        </w:rPr>
        <w:t xml:space="preserve">en place </w:t>
      </w:r>
      <w:r>
        <w:rPr>
          <w:rFonts w:eastAsia="MS Mincho"/>
        </w:rPr>
        <w:t>un mécanisme efficace permettant de repérer les personnes qui ont besoin d</w:t>
      </w:r>
      <w:r w:rsidR="00235888">
        <w:rPr>
          <w:rFonts w:eastAsia="MS Mincho"/>
        </w:rPr>
        <w:t>’</w:t>
      </w:r>
      <w:r>
        <w:rPr>
          <w:rFonts w:eastAsia="MS Mincho"/>
        </w:rPr>
        <w:t xml:space="preserve">une protection </w:t>
      </w:r>
      <w:r w:rsidRPr="00633303">
        <w:rPr>
          <w:rFonts w:eastAsia="MS Mincho"/>
        </w:rPr>
        <w:t>international</w:t>
      </w:r>
      <w:r>
        <w:rPr>
          <w:rFonts w:eastAsia="MS Mincho"/>
        </w:rPr>
        <w:t>e parmi les victimes de la traite découvertes sur le territoire de l</w:t>
      </w:r>
      <w:r w:rsidR="00235888">
        <w:rPr>
          <w:rFonts w:eastAsia="MS Mincho"/>
        </w:rPr>
        <w:t>’</w:t>
      </w:r>
      <w:r w:rsidRPr="00210AEB">
        <w:rPr>
          <w:rFonts w:eastAsia="MS Mincho"/>
        </w:rPr>
        <w:t>État partie</w:t>
      </w:r>
      <w:r>
        <w:rPr>
          <w:rFonts w:eastAsia="MS Mincho"/>
        </w:rPr>
        <w:t xml:space="preserve">. </w:t>
      </w:r>
    </w:p>
    <w:p w:rsidR="00C07B77" w:rsidRDefault="00C07B77" w:rsidP="00C07B77">
      <w:pPr>
        <w:pStyle w:val="SingleTxtG"/>
        <w:rPr>
          <w:rFonts w:eastAsia="MS Mincho"/>
        </w:rPr>
      </w:pPr>
      <w:r>
        <w:rPr>
          <w:rFonts w:eastAsia="MS Mincho"/>
        </w:rPr>
        <w:t>13.</w:t>
      </w:r>
      <w:r>
        <w:rPr>
          <w:rFonts w:eastAsia="MS Mincho"/>
        </w:rPr>
        <w:tab/>
        <w:t>Donner des renseignements sur le nombre de cas de mauvais traitements ou d</w:t>
      </w:r>
      <w:r w:rsidR="00235888">
        <w:rPr>
          <w:rFonts w:eastAsia="MS Mincho"/>
        </w:rPr>
        <w:t>’</w:t>
      </w:r>
      <w:r>
        <w:rPr>
          <w:rFonts w:eastAsia="MS Mincho"/>
        </w:rPr>
        <w:t xml:space="preserve">actes de violence </w:t>
      </w:r>
      <w:r w:rsidR="00216DBE">
        <w:rPr>
          <w:rFonts w:eastAsia="MS Mincho"/>
        </w:rPr>
        <w:t xml:space="preserve">imputés à des </w:t>
      </w:r>
      <w:r>
        <w:rPr>
          <w:rFonts w:eastAsia="MS Mincho"/>
        </w:rPr>
        <w:t>agents de la force publique dont des demandeurs d</w:t>
      </w:r>
      <w:r w:rsidR="00235888">
        <w:rPr>
          <w:rFonts w:eastAsia="MS Mincho"/>
        </w:rPr>
        <w:t>’</w:t>
      </w:r>
      <w:r>
        <w:rPr>
          <w:rFonts w:eastAsia="MS Mincho"/>
        </w:rPr>
        <w:t>asile ont fait l</w:t>
      </w:r>
      <w:r w:rsidR="00235888">
        <w:rPr>
          <w:rFonts w:eastAsia="MS Mincho"/>
        </w:rPr>
        <w:t>’</w:t>
      </w:r>
      <w:r>
        <w:rPr>
          <w:rFonts w:eastAsia="MS Mincho"/>
        </w:rPr>
        <w:t>objet depuis l</w:t>
      </w:r>
      <w:r w:rsidR="00235888">
        <w:rPr>
          <w:rFonts w:eastAsia="MS Mincho"/>
        </w:rPr>
        <w:t>’</w:t>
      </w:r>
      <w:r>
        <w:rPr>
          <w:rFonts w:eastAsia="MS Mincho"/>
        </w:rPr>
        <w:t>examen du rapport initial de l</w:t>
      </w:r>
      <w:r w:rsidR="00235888">
        <w:rPr>
          <w:rFonts w:eastAsia="MS Mincho"/>
        </w:rPr>
        <w:t>’</w:t>
      </w:r>
      <w:r>
        <w:rPr>
          <w:rFonts w:eastAsia="MS Mincho"/>
        </w:rPr>
        <w:t xml:space="preserve">État partie, et </w:t>
      </w:r>
      <w:r w:rsidR="00216DBE">
        <w:rPr>
          <w:rFonts w:eastAsia="MS Mincho"/>
        </w:rPr>
        <w:t>précis</w:t>
      </w:r>
      <w:r>
        <w:rPr>
          <w:rFonts w:eastAsia="MS Mincho"/>
        </w:rPr>
        <w:t>er les peines qui ont été prononcées contre les auteurs de tels actes.</w:t>
      </w:r>
    </w:p>
    <w:p w:rsidR="00C07B77" w:rsidRDefault="00C07B77" w:rsidP="00216DBE">
      <w:pPr>
        <w:pStyle w:val="H1G"/>
        <w:rPr>
          <w:rFonts w:eastAsia="MS Mincho"/>
        </w:rPr>
      </w:pPr>
      <w:r>
        <w:rPr>
          <w:rFonts w:eastAsia="MS Mincho"/>
        </w:rPr>
        <w:tab/>
      </w:r>
      <w:r>
        <w:rPr>
          <w:rFonts w:eastAsia="MS Mincho"/>
        </w:rPr>
        <w:tab/>
        <w:t>Articles 5, 7 et 8</w:t>
      </w:r>
    </w:p>
    <w:p w:rsidR="00C07B77" w:rsidRDefault="00C07B77" w:rsidP="00C07B77">
      <w:pPr>
        <w:pStyle w:val="SingleTxtG"/>
        <w:rPr>
          <w:rFonts w:eastAsia="MS Mincho"/>
        </w:rPr>
      </w:pPr>
      <w:r w:rsidRPr="00BA1CE7">
        <w:rPr>
          <w:rFonts w:eastAsia="MS Mincho"/>
        </w:rPr>
        <w:t>14.</w:t>
      </w:r>
      <w:r w:rsidRPr="00BA1CE7">
        <w:rPr>
          <w:rFonts w:eastAsia="MS Mincho"/>
        </w:rPr>
        <w:tab/>
        <w:t xml:space="preserve">À propos du paragraphe 152 du rapport indiquer si, </w:t>
      </w:r>
      <w:r>
        <w:rPr>
          <w:rFonts w:eastAsia="MS Mincho"/>
        </w:rPr>
        <w:t>depuis l</w:t>
      </w:r>
      <w:r w:rsidR="00235888">
        <w:rPr>
          <w:rFonts w:eastAsia="MS Mincho"/>
        </w:rPr>
        <w:t>’</w:t>
      </w:r>
      <w:r>
        <w:rPr>
          <w:rFonts w:eastAsia="MS Mincho"/>
        </w:rPr>
        <w:t>exame</w:t>
      </w:r>
      <w:r w:rsidR="00216DBE">
        <w:rPr>
          <w:rFonts w:eastAsia="MS Mincho"/>
        </w:rPr>
        <w:t>n du rapport initial</w:t>
      </w:r>
      <w:r>
        <w:rPr>
          <w:rFonts w:eastAsia="MS Mincho"/>
        </w:rPr>
        <w:t xml:space="preserve"> en 1997, l</w:t>
      </w:r>
      <w:r w:rsidR="00235888">
        <w:rPr>
          <w:rFonts w:eastAsia="MS Mincho"/>
        </w:rPr>
        <w:t>’</w:t>
      </w:r>
      <w:r>
        <w:rPr>
          <w:rFonts w:eastAsia="MS Mincho"/>
        </w:rPr>
        <w:t>État partie a rejeté pour quelque motif que ce soit une demande d</w:t>
      </w:r>
      <w:r w:rsidR="00235888">
        <w:rPr>
          <w:rFonts w:eastAsia="MS Mincho"/>
        </w:rPr>
        <w:t>’</w:t>
      </w:r>
      <w:r>
        <w:rPr>
          <w:rFonts w:eastAsia="MS Mincho"/>
        </w:rPr>
        <w:t>extradition adressée par un État tiers réclama</w:t>
      </w:r>
      <w:r w:rsidR="00216DBE">
        <w:rPr>
          <w:rFonts w:eastAsia="MS Mincho"/>
        </w:rPr>
        <w:t>n</w:t>
      </w:r>
      <w:r>
        <w:rPr>
          <w:rFonts w:eastAsia="MS Mincho"/>
        </w:rPr>
        <w:t>t un individu soupçonné d</w:t>
      </w:r>
      <w:r w:rsidR="00235888">
        <w:rPr>
          <w:rFonts w:eastAsia="MS Mincho"/>
        </w:rPr>
        <w:t>’</w:t>
      </w:r>
      <w:r>
        <w:rPr>
          <w:rFonts w:eastAsia="MS Mincho"/>
        </w:rPr>
        <w:t>avoir commis des actes de torture et s</w:t>
      </w:r>
      <w:r w:rsidR="00235888">
        <w:rPr>
          <w:rFonts w:eastAsia="MS Mincho"/>
        </w:rPr>
        <w:t>’</w:t>
      </w:r>
      <w:r>
        <w:rPr>
          <w:rFonts w:eastAsia="MS Mincho"/>
        </w:rPr>
        <w:t>il a, en conséquence, fait le nécessaire pour exercer lui-même l</w:t>
      </w:r>
      <w:r w:rsidR="00235888">
        <w:rPr>
          <w:rFonts w:eastAsia="MS Mincho"/>
        </w:rPr>
        <w:t>’</w:t>
      </w:r>
      <w:r>
        <w:rPr>
          <w:rFonts w:eastAsia="MS Mincho"/>
        </w:rPr>
        <w:t>action pénale. Dans l</w:t>
      </w:r>
      <w:r w:rsidR="00235888">
        <w:rPr>
          <w:rFonts w:eastAsia="MS Mincho"/>
        </w:rPr>
        <w:t>’</w:t>
      </w:r>
      <w:r>
        <w:rPr>
          <w:rFonts w:eastAsia="MS Mincho"/>
        </w:rPr>
        <w:t xml:space="preserve">affirmative, donner des </w:t>
      </w:r>
      <w:r w:rsidR="00216DBE">
        <w:rPr>
          <w:rFonts w:eastAsia="MS Mincho"/>
        </w:rPr>
        <w:t>renseignements</w:t>
      </w:r>
      <w:r>
        <w:rPr>
          <w:rFonts w:eastAsia="MS Mincho"/>
        </w:rPr>
        <w:t xml:space="preserve"> sur le dé</w:t>
      </w:r>
      <w:r w:rsidR="00216DBE">
        <w:rPr>
          <w:rFonts w:eastAsia="MS Mincho"/>
        </w:rPr>
        <w:t>roul</w:t>
      </w:r>
      <w:r>
        <w:rPr>
          <w:rFonts w:eastAsia="MS Mincho"/>
        </w:rPr>
        <w:t>ement et l</w:t>
      </w:r>
      <w:r w:rsidR="00235888">
        <w:rPr>
          <w:rFonts w:eastAsia="MS Mincho"/>
        </w:rPr>
        <w:t>’</w:t>
      </w:r>
      <w:r>
        <w:rPr>
          <w:rFonts w:eastAsia="MS Mincho"/>
        </w:rPr>
        <w:t>issue de la procédure</w:t>
      </w:r>
      <w:r>
        <w:rPr>
          <w:rStyle w:val="FootnoteReference"/>
          <w:rFonts w:eastAsia="MS Mincho"/>
        </w:rPr>
        <w:footnoteReference w:id="16"/>
      </w:r>
      <w:r>
        <w:rPr>
          <w:rFonts w:eastAsia="MS Mincho"/>
        </w:rPr>
        <w:t>.</w:t>
      </w:r>
    </w:p>
    <w:p w:rsidR="00C07B77" w:rsidRDefault="00C07B77" w:rsidP="00216DBE">
      <w:pPr>
        <w:pStyle w:val="H1G"/>
        <w:rPr>
          <w:rFonts w:eastAsia="MS Mincho"/>
        </w:rPr>
      </w:pPr>
      <w:r>
        <w:rPr>
          <w:rFonts w:eastAsia="MS Mincho"/>
        </w:rPr>
        <w:tab/>
      </w:r>
      <w:r>
        <w:rPr>
          <w:rFonts w:eastAsia="MS Mincho"/>
        </w:rPr>
        <w:tab/>
        <w:t>Article 10</w:t>
      </w:r>
    </w:p>
    <w:p w:rsidR="00C07B77" w:rsidRDefault="00C07B77" w:rsidP="00C07B77">
      <w:pPr>
        <w:pStyle w:val="SingleTxtG"/>
        <w:rPr>
          <w:rFonts w:eastAsia="MS Mincho"/>
        </w:rPr>
      </w:pPr>
      <w:r>
        <w:rPr>
          <w:rFonts w:eastAsia="MS Mincho"/>
        </w:rPr>
        <w:t>15.</w:t>
      </w:r>
      <w:r>
        <w:rPr>
          <w:rFonts w:eastAsia="MS Mincho"/>
        </w:rPr>
        <w:tab/>
        <w:t>Pour ce qui est des renseignements contenus dans le rapport au sujet de l</w:t>
      </w:r>
      <w:r w:rsidR="00235888">
        <w:rPr>
          <w:rFonts w:eastAsia="MS Mincho"/>
        </w:rPr>
        <w:t>’</w:t>
      </w:r>
      <w:r>
        <w:rPr>
          <w:rFonts w:eastAsia="MS Mincho"/>
        </w:rPr>
        <w:t>ar</w:t>
      </w:r>
      <w:r w:rsidR="00231304">
        <w:rPr>
          <w:rFonts w:eastAsia="MS Mincho"/>
        </w:rPr>
        <w:t xml:space="preserve">ticle 10 de la Convention (par. </w:t>
      </w:r>
      <w:r>
        <w:rPr>
          <w:rFonts w:eastAsia="MS Mincho"/>
        </w:rPr>
        <w:t xml:space="preserve">158 à 176), indiquer si les programmes de formation professionnelle des </w:t>
      </w:r>
      <w:r w:rsidR="00216DBE">
        <w:rPr>
          <w:rFonts w:eastAsia="MS Mincho"/>
        </w:rPr>
        <w:t>fonctionnaire</w:t>
      </w:r>
      <w:r>
        <w:rPr>
          <w:rFonts w:eastAsia="MS Mincho"/>
        </w:rPr>
        <w:t>s de police et autres agents des forces de l</w:t>
      </w:r>
      <w:r w:rsidR="00235888">
        <w:rPr>
          <w:rFonts w:eastAsia="MS Mincho"/>
        </w:rPr>
        <w:t>’</w:t>
      </w:r>
      <w:r>
        <w:rPr>
          <w:rFonts w:eastAsia="MS Mincho"/>
        </w:rPr>
        <w:t>ordre comprennent une formation spécifique sur les dispositions de la Convention</w:t>
      </w:r>
      <w:r>
        <w:rPr>
          <w:rStyle w:val="FootnoteReference"/>
          <w:rFonts w:eastAsia="MS Mincho"/>
        </w:rPr>
        <w:footnoteReference w:id="17"/>
      </w:r>
      <w:r>
        <w:rPr>
          <w:rFonts w:eastAsia="MS Mincho"/>
        </w:rPr>
        <w:t>. Indiquer également si l</w:t>
      </w:r>
      <w:r w:rsidR="00235888">
        <w:rPr>
          <w:rFonts w:eastAsia="MS Mincho"/>
        </w:rPr>
        <w:t>’</w:t>
      </w:r>
      <w:r>
        <w:rPr>
          <w:rFonts w:eastAsia="MS Mincho"/>
        </w:rPr>
        <w:t>État partie a élaboré une méthode permettant d</w:t>
      </w:r>
      <w:r w:rsidR="00235888">
        <w:rPr>
          <w:rFonts w:eastAsia="MS Mincho"/>
        </w:rPr>
        <w:t>’</w:t>
      </w:r>
      <w:r>
        <w:rPr>
          <w:rFonts w:eastAsia="MS Mincho"/>
        </w:rPr>
        <w:t>évaluer l</w:t>
      </w:r>
      <w:r w:rsidR="00235888">
        <w:rPr>
          <w:rFonts w:eastAsia="MS Mincho"/>
        </w:rPr>
        <w:t>’</w:t>
      </w:r>
      <w:r>
        <w:rPr>
          <w:rFonts w:eastAsia="MS Mincho"/>
        </w:rPr>
        <w:t>efficacité et l</w:t>
      </w:r>
      <w:r w:rsidR="00235888">
        <w:rPr>
          <w:rFonts w:eastAsia="MS Mincho"/>
        </w:rPr>
        <w:t>’</w:t>
      </w:r>
      <w:r>
        <w:rPr>
          <w:rFonts w:eastAsia="MS Mincho"/>
        </w:rPr>
        <w:t>incidence de ces programmes et, dans l</w:t>
      </w:r>
      <w:r w:rsidR="00235888">
        <w:rPr>
          <w:rFonts w:eastAsia="MS Mincho"/>
        </w:rPr>
        <w:t>’</w:t>
      </w:r>
      <w:r>
        <w:rPr>
          <w:rFonts w:eastAsia="MS Mincho"/>
        </w:rPr>
        <w:t>affirmative, donner des renseignements sur le contenu et la mise en pratique de cette méthode.</w:t>
      </w:r>
    </w:p>
    <w:p w:rsidR="00C07B77" w:rsidRDefault="00C07B77" w:rsidP="00C07B77">
      <w:pPr>
        <w:pStyle w:val="SingleTxtG"/>
        <w:rPr>
          <w:rFonts w:eastAsia="MS Mincho"/>
        </w:rPr>
      </w:pPr>
      <w:r>
        <w:rPr>
          <w:rFonts w:eastAsia="MS Mincho"/>
        </w:rPr>
        <w:t>16.</w:t>
      </w:r>
      <w:r>
        <w:rPr>
          <w:rFonts w:eastAsia="MS Mincho"/>
        </w:rPr>
        <w:tab/>
      </w:r>
      <w:r w:rsidR="00216DBE">
        <w:rPr>
          <w:rFonts w:eastAsia="MS Mincho"/>
        </w:rPr>
        <w:t xml:space="preserve">Donner </w:t>
      </w:r>
      <w:r>
        <w:rPr>
          <w:rFonts w:eastAsia="MS Mincho"/>
        </w:rPr>
        <w:t>des renseignements plus détaillés sur les programmes visant à former les juges, les procureurs, les médecins légistes et les personnels médicaux qui s</w:t>
      </w:r>
      <w:r w:rsidR="00235888">
        <w:rPr>
          <w:rFonts w:eastAsia="MS Mincho"/>
        </w:rPr>
        <w:t>’</w:t>
      </w:r>
      <w:r>
        <w:rPr>
          <w:rFonts w:eastAsia="MS Mincho"/>
        </w:rPr>
        <w:t>occupent des détenus pour détecter les séquelles physiques et psychologiques de la torture et établir la réalité des faits. Ces programmes prévoient-ils une formation spécifique concernant le Manuel pour enquêter efficacement sur la torture et autres peines ou traitements cruels, inhumains ou dégradants (le Protocole d</w:t>
      </w:r>
      <w:r w:rsidR="00235888">
        <w:rPr>
          <w:rFonts w:eastAsia="MS Mincho"/>
        </w:rPr>
        <w:t>’</w:t>
      </w:r>
      <w:r>
        <w:rPr>
          <w:rFonts w:eastAsia="MS Mincho"/>
        </w:rPr>
        <w:t>Istanbul)</w:t>
      </w:r>
      <w:r>
        <w:rPr>
          <w:rStyle w:val="FootnoteReference"/>
          <w:rFonts w:eastAsia="MS Mincho"/>
        </w:rPr>
        <w:footnoteReference w:id="18"/>
      </w:r>
      <w:r>
        <w:rPr>
          <w:rFonts w:eastAsia="MS Mincho"/>
        </w:rPr>
        <w:t>?</w:t>
      </w:r>
    </w:p>
    <w:p w:rsidR="00C07B77" w:rsidRDefault="00C07B77" w:rsidP="00216DBE">
      <w:pPr>
        <w:pStyle w:val="H1G"/>
        <w:rPr>
          <w:rFonts w:eastAsia="MS Mincho"/>
        </w:rPr>
      </w:pPr>
      <w:r>
        <w:rPr>
          <w:rFonts w:eastAsia="MS Mincho"/>
        </w:rPr>
        <w:tab/>
      </w:r>
      <w:r>
        <w:rPr>
          <w:rFonts w:eastAsia="MS Mincho"/>
        </w:rPr>
        <w:tab/>
        <w:t>Article 11</w:t>
      </w:r>
    </w:p>
    <w:p w:rsidR="00C07B77" w:rsidRDefault="00C07B77" w:rsidP="00C07B77">
      <w:pPr>
        <w:pStyle w:val="SingleTxtG"/>
      </w:pPr>
      <w:r>
        <w:t>17.</w:t>
      </w:r>
      <w:r>
        <w:tab/>
        <w:t>En ce qui concerne la réponse de l</w:t>
      </w:r>
      <w:r w:rsidR="00235888">
        <w:t>’</w:t>
      </w:r>
      <w:r>
        <w:t xml:space="preserve">État partie au sujet de la recommandation </w:t>
      </w:r>
      <w:r w:rsidR="00216DBE">
        <w:t>figurant</w:t>
      </w:r>
      <w:r>
        <w:t xml:space="preserve"> dans les précédentes </w:t>
      </w:r>
      <w:r w:rsidR="00216DBE">
        <w:t xml:space="preserve">observations finales </w:t>
      </w:r>
      <w:r>
        <w:t>du Comité, l</w:t>
      </w:r>
      <w:r w:rsidR="00235888">
        <w:t>’</w:t>
      </w:r>
      <w:r>
        <w:t>invitant à mettre en place un système de surveillance régulière des prisons, ainsi que l</w:t>
      </w:r>
      <w:r w:rsidR="00235888">
        <w:t>’</w:t>
      </w:r>
      <w:r>
        <w:t>exige l</w:t>
      </w:r>
      <w:r w:rsidR="00235888">
        <w:t>’</w:t>
      </w:r>
      <w:r>
        <w:t>article 11 de la Convention</w:t>
      </w:r>
      <w:r w:rsidR="00216DBE">
        <w:t xml:space="preserve"> (par. 279 à 282)</w:t>
      </w:r>
      <w:r>
        <w:t xml:space="preserve">, </w:t>
      </w:r>
      <w:r w:rsidR="00216DBE">
        <w:t>expos</w:t>
      </w:r>
      <w:r>
        <w:t xml:space="preserve">er </w:t>
      </w:r>
      <w:r w:rsidR="00216DBE">
        <w:t xml:space="preserve">en détail </w:t>
      </w:r>
      <w:r>
        <w:t>ce qui a été fait pour garantir une surveillance effective et indépendante des lieux de détention</w:t>
      </w:r>
      <w:r>
        <w:rPr>
          <w:rStyle w:val="FootnoteReference"/>
        </w:rPr>
        <w:footnoteReference w:id="19"/>
      </w:r>
      <w:r>
        <w:t>. Les représentants d</w:t>
      </w:r>
      <w:r w:rsidR="00235888">
        <w:t>’</w:t>
      </w:r>
      <w:r>
        <w:t xml:space="preserve">organisations non gouvernementales, dont le Comité international de la Croix-Rouge, sont-ils autorisés à effectuer </w:t>
      </w:r>
      <w:r w:rsidR="00216DBE">
        <w:t xml:space="preserve">régulièrement </w:t>
      </w:r>
      <w:r>
        <w:t>des visites inopinées dans tous les lieux de détention</w:t>
      </w:r>
      <w:r>
        <w:rPr>
          <w:rStyle w:val="FootnoteReference"/>
        </w:rPr>
        <w:footnoteReference w:id="20"/>
      </w:r>
      <w:r>
        <w:t>?</w:t>
      </w:r>
    </w:p>
    <w:p w:rsidR="00C07B77" w:rsidRDefault="00C07B77" w:rsidP="00C07B77">
      <w:pPr>
        <w:pStyle w:val="SingleTxtG"/>
      </w:pPr>
      <w:r>
        <w:t>18.</w:t>
      </w:r>
      <w:r>
        <w:tab/>
        <w:t xml:space="preserve">Donner des renseignements à jour, y compris des statistiques ventilées par sexe, âge et origine ethnique, </w:t>
      </w:r>
      <w:r w:rsidR="00216DBE">
        <w:t>montrant</w:t>
      </w:r>
      <w:r>
        <w:t xml:space="preserve"> le nombre de personnes en détention pr</w:t>
      </w:r>
      <w:r w:rsidR="00216DBE">
        <w:t>ovisoir</w:t>
      </w:r>
      <w:r>
        <w:t>e</w:t>
      </w:r>
      <w:r>
        <w:rPr>
          <w:rStyle w:val="FootnoteReference"/>
        </w:rPr>
        <w:footnoteReference w:id="21"/>
      </w:r>
      <w:r>
        <w:t xml:space="preserve"> et </w:t>
      </w:r>
      <w:r w:rsidR="00216DBE">
        <w:t xml:space="preserve">de personnes </w:t>
      </w:r>
      <w:r>
        <w:t>condamnées et le taux d</w:t>
      </w:r>
      <w:r w:rsidR="00235888">
        <w:t>’</w:t>
      </w:r>
      <w:r>
        <w:t>occupation de tous les lieux de détention.</w:t>
      </w:r>
      <w:r w:rsidR="00216DBE">
        <w:t xml:space="preserve"> Donner la liste complète des centres de travail et d</w:t>
      </w:r>
      <w:r w:rsidR="00235888">
        <w:t>’</w:t>
      </w:r>
      <w:r w:rsidR="00216DBE">
        <w:t>enseignement spécialisés existant dans le pays, ainsi que des statistiques ventilées par sexe, âge et origine ethnique sur les personnes placées dans ces centres.</w:t>
      </w:r>
    </w:p>
    <w:p w:rsidR="00C07B77" w:rsidRDefault="00C07B77" w:rsidP="00C07B77">
      <w:pPr>
        <w:pStyle w:val="SingleTxtG"/>
      </w:pPr>
      <w:r>
        <w:t>19.</w:t>
      </w:r>
      <w:r>
        <w:tab/>
        <w:t>Donner des précisions sur les divers degrés ou stades du régime pénitentiaire, ainsi que sur les procédures et les critères de classement</w:t>
      </w:r>
      <w:r>
        <w:rPr>
          <w:rStyle w:val="FootnoteReference"/>
        </w:rPr>
        <w:footnoteReference w:id="22"/>
      </w:r>
      <w:r>
        <w:t xml:space="preserve">. Commenter les informations selon lesquelles </w:t>
      </w:r>
      <w:r w:rsidR="00266C1F">
        <w:t xml:space="preserve">la </w:t>
      </w:r>
      <w:r>
        <w:t xml:space="preserve">surpopulation, </w:t>
      </w:r>
      <w:r w:rsidR="00266C1F">
        <w:t xml:space="preserve">la </w:t>
      </w:r>
      <w:r>
        <w:t xml:space="preserve">malnutrition, </w:t>
      </w:r>
      <w:r w:rsidR="00266C1F">
        <w:t xml:space="preserve">le </w:t>
      </w:r>
      <w:r>
        <w:t>manque d</w:t>
      </w:r>
      <w:r w:rsidR="00235888">
        <w:t>’</w:t>
      </w:r>
      <w:r>
        <w:t xml:space="preserve">hygiène et </w:t>
      </w:r>
      <w:r w:rsidR="00266C1F">
        <w:t>l</w:t>
      </w:r>
      <w:r w:rsidR="00235888">
        <w:t>’</w:t>
      </w:r>
      <w:r>
        <w:t xml:space="preserve">insalubrité et </w:t>
      </w:r>
      <w:r w:rsidR="00266C1F">
        <w:t>l</w:t>
      </w:r>
      <w:r w:rsidR="00235888">
        <w:t>’</w:t>
      </w:r>
      <w:r>
        <w:t>absen</w:t>
      </w:r>
      <w:r w:rsidR="000D7F87">
        <w:t>ce de soins médicaux appropriés</w:t>
      </w:r>
      <w:r>
        <w:t xml:space="preserve"> sont les conditions qui prévalent dans les établissements pénitentiaires. D</w:t>
      </w:r>
      <w:r w:rsidR="00235888">
        <w:t>’</w:t>
      </w:r>
      <w:r>
        <w:t>après les renseignements dont le Comité</w:t>
      </w:r>
      <w:r w:rsidR="00266C1F">
        <w:t xml:space="preserve"> dispose</w:t>
      </w:r>
      <w:r>
        <w:t xml:space="preserve">, les personnes emprisonnées pour des motifs politiques seraient </w:t>
      </w:r>
      <w:r w:rsidR="00266C1F">
        <w:t xml:space="preserve">systématiquement </w:t>
      </w:r>
      <w:r>
        <w:t xml:space="preserve">soumises </w:t>
      </w:r>
      <w:r w:rsidR="00266C1F">
        <w:t>à un</w:t>
      </w:r>
      <w:r>
        <w:t xml:space="preserve"> régime </w:t>
      </w:r>
      <w:r w:rsidR="00266C1F">
        <w:t xml:space="preserve">de </w:t>
      </w:r>
      <w:r>
        <w:t>mise à l</w:t>
      </w:r>
      <w:r w:rsidR="00235888">
        <w:t>’</w:t>
      </w:r>
      <w:r>
        <w:t xml:space="preserve">isolement, </w:t>
      </w:r>
      <w:r w:rsidR="00266C1F">
        <w:t xml:space="preserve">de </w:t>
      </w:r>
      <w:r>
        <w:t xml:space="preserve">passage à tabac, </w:t>
      </w:r>
      <w:r w:rsidR="00266C1F">
        <w:t xml:space="preserve">de </w:t>
      </w:r>
      <w:r>
        <w:t xml:space="preserve">programmes de rééducation à orientation politique, </w:t>
      </w:r>
      <w:r w:rsidR="00266C1F">
        <w:t xml:space="preserve">de </w:t>
      </w:r>
      <w:r>
        <w:t xml:space="preserve">restriction des visites et </w:t>
      </w:r>
      <w:r w:rsidR="00266C1F">
        <w:t xml:space="preserve">de privation </w:t>
      </w:r>
      <w:r>
        <w:t>de soins médicaux</w:t>
      </w:r>
      <w:r>
        <w:rPr>
          <w:rStyle w:val="FootnoteReference"/>
        </w:rPr>
        <w:footnoteReference w:id="23"/>
      </w:r>
      <w:r>
        <w:t>. Donner des renseignements sur les enquêtes réalisées en vue de faire la lumière sur ce</w:t>
      </w:r>
      <w:r w:rsidR="00266C1F">
        <w:t xml:space="preserve"> régime de brimades</w:t>
      </w:r>
      <w:r>
        <w:t>.</w:t>
      </w:r>
    </w:p>
    <w:p w:rsidR="00C07B77" w:rsidRDefault="00C07B77" w:rsidP="00C07B77">
      <w:pPr>
        <w:pStyle w:val="SingleTxtG"/>
      </w:pPr>
      <w:r>
        <w:t>20.</w:t>
      </w:r>
      <w:r>
        <w:tab/>
      </w:r>
      <w:r w:rsidR="00266C1F">
        <w:t xml:space="preserve">Indiquer </w:t>
      </w:r>
      <w:r>
        <w:t>le nombre de prisonniers condamnés à mort en attente d</w:t>
      </w:r>
      <w:r w:rsidR="00235888">
        <w:t>’</w:t>
      </w:r>
      <w:r>
        <w:t>exécution et le nombre de condamnés exécutés depuis l</w:t>
      </w:r>
      <w:r w:rsidR="00235888">
        <w:t>’</w:t>
      </w:r>
      <w:r>
        <w:t xml:space="preserve">examen du rapport </w:t>
      </w:r>
      <w:r w:rsidR="00266C1F">
        <w:t>initial</w:t>
      </w:r>
      <w:r>
        <w:t>. Quelles sont les méthodes d</w:t>
      </w:r>
      <w:r w:rsidR="00235888">
        <w:t>’</w:t>
      </w:r>
      <w:r>
        <w:t>exécution utilisées? Quelles sont les conditions de détention des prisonniers en attente d</w:t>
      </w:r>
      <w:r w:rsidR="00235888">
        <w:t>’</w:t>
      </w:r>
      <w:r>
        <w:t>exécution? L</w:t>
      </w:r>
      <w:r w:rsidR="00235888">
        <w:t>’</w:t>
      </w:r>
      <w:r>
        <w:t>État partie a-t-il envisagé d</w:t>
      </w:r>
      <w:r w:rsidR="00235888">
        <w:t>’</w:t>
      </w:r>
      <w:r>
        <w:t>abolir la peine de mort ou, à défaut, de consacrer officiellement le moratoire de facto en vigueur</w:t>
      </w:r>
      <w:r>
        <w:rPr>
          <w:rStyle w:val="FootnoteReference"/>
        </w:rPr>
        <w:footnoteReference w:id="24"/>
      </w:r>
      <w:r>
        <w:t>?</w:t>
      </w:r>
    </w:p>
    <w:p w:rsidR="00235888" w:rsidRDefault="00C07B77" w:rsidP="00C07B77">
      <w:pPr>
        <w:pStyle w:val="SingleTxtG"/>
      </w:pPr>
      <w:r>
        <w:t>21.</w:t>
      </w:r>
      <w:r>
        <w:tab/>
      </w:r>
      <w:r w:rsidR="00266C1F">
        <w:t xml:space="preserve">Donner </w:t>
      </w:r>
      <w:r>
        <w:t>des renseignements à jour, ventilés par sexe, âge et origine ethnique, sur le nombre de personnes privées de liberté au titre des mesures de sécurité prédélictuelles visées aux articles 78 à 84 du Code pénal.</w:t>
      </w:r>
    </w:p>
    <w:p w:rsidR="00910713" w:rsidRDefault="00910713" w:rsidP="00910713">
      <w:pPr>
        <w:pStyle w:val="SingleTxtG"/>
      </w:pPr>
      <w:r>
        <w:t>22.</w:t>
      </w:r>
      <w:r>
        <w:tab/>
        <w:t>Fournir des statistiques sur le nombre de décès en détention pendant la période couverte par le rapport, ventilées par lieu de détention, sexe, âge et origine ethnique de la victime, et cause de la mort</w:t>
      </w:r>
      <w:r>
        <w:rPr>
          <w:rStyle w:val="FootnoteReference"/>
        </w:rPr>
        <w:footnoteReference w:id="25"/>
      </w:r>
      <w:r>
        <w:t>. Donner des renseignements détaillés sur le résultat des enquêtes menées sur ces décès ainsi que sur les mesures appliquées pour prévenir les suicides et les morts subites dans les centres de détention. Préciser en outre les protocoles institués pour le traitement des détenus qui font la grève de la faim, ainsi que les mesures prises suite à la grève de la faim observée par les personnes ci-après: M</w:t>
      </w:r>
      <w:r w:rsidRPr="00BF7C0C">
        <w:t>. Orlando Zapata Tamayo</w:t>
      </w:r>
      <w:r>
        <w:t xml:space="preserve"> (décédé le 23 février 2010)</w:t>
      </w:r>
      <w:r w:rsidRPr="00BF7C0C">
        <w:t xml:space="preserve">, </w:t>
      </w:r>
      <w:r>
        <w:t>M. Guillermo Fariñas, M. Darsi Ferrer Ramirez, M. Franklin Peregrino, M. José Ubaldo Izquierdo Fernández, M. Juan Bermudez Toranzo, M</w:t>
      </w:r>
      <w:r w:rsidRPr="00D91DA2">
        <w:rPr>
          <w:vertAlign w:val="superscript"/>
        </w:rPr>
        <w:t>me</w:t>
      </w:r>
      <w:r>
        <w:t> Iris Támara Aguilera, M. Jorge Luis García Pérez «Antúnez», M. Diosiris Santana Pérez et M. Segundo Rey Cabrera González. D’après les renseignements portés à la connaissance du Comité, M. Yordani Martínez et M. David Piloto auraient été menottés et roués de coups par l’un des gardiens de la prison de Valle Grande à titre de représailles parce qu’ils avaient commencé une grève de la faim en mai 2011. Commenter ces renseignements.</w:t>
      </w:r>
    </w:p>
    <w:p w:rsidR="00910713" w:rsidRDefault="00910713" w:rsidP="00910713">
      <w:pPr>
        <w:pStyle w:val="SingleTxtG"/>
      </w:pPr>
      <w:r>
        <w:t>23.</w:t>
      </w:r>
      <w:r>
        <w:tab/>
        <w:t>Donner des renseignements sur la fréquence des actes de violence entre détenus, et en particulier sur les cas imputables à une négligence du personnel de surveillance, ainsi que sur le nombre de plaintes déposées pour dénoncer de tels faits. Quelles mesures de prévention ont été adoptées?</w:t>
      </w:r>
    </w:p>
    <w:p w:rsidR="00910713" w:rsidRDefault="00910713" w:rsidP="00910713">
      <w:pPr>
        <w:pStyle w:val="SingleTxtG"/>
      </w:pPr>
      <w:r>
        <w:t>24.</w:t>
      </w:r>
      <w:r>
        <w:tab/>
        <w:t>Donner des renseignements montrant le nombre de personnes privées de liberté dans les hôpitaux psychiatriques et autres établissements pour handicapés mentaux ou physiques. Quelle est la situation en ce qui concerne les autres formes de traitement, telles que les services de réadaptation hors institution et autres programmes de traitement ambulatoire? Donner des précisions sur les enquêtes et les procédures disciplinaires ou pénales connexes ouvertes, le cas échéant, à la suite de la mort de 26 patients à l’hôpital psychiatrique de La Havane en janvier 2010.</w:t>
      </w:r>
    </w:p>
    <w:p w:rsidR="00910713" w:rsidRDefault="00910713" w:rsidP="00910713">
      <w:pPr>
        <w:pStyle w:val="H1G"/>
      </w:pPr>
      <w:r>
        <w:tab/>
      </w:r>
      <w:r>
        <w:tab/>
        <w:t>Articles 12 et 13</w:t>
      </w:r>
    </w:p>
    <w:p w:rsidR="00910713" w:rsidRDefault="00910713" w:rsidP="00910713">
      <w:pPr>
        <w:pStyle w:val="SingleTxtG"/>
      </w:pPr>
      <w:r>
        <w:t>25.</w:t>
      </w:r>
      <w:r>
        <w:tab/>
        <w:t>Eu égard à la réponse de l’État partie au sujet de la recommandation figurant dans les précédentes observations finales du Comité en ce qui concerne la mise en place d’une procédure permanente et transparente permettant de recevoir les plaintes portant sur des actes de torture et de mauvais traitements (par. 266 à 272), indiquer les mesures prises pour veiller à ce que toutes les plaintes pour torture et mauvais traitement</w:t>
      </w:r>
      <w:r w:rsidR="00934B8A">
        <w:t>s</w:t>
      </w:r>
      <w:r>
        <w:t xml:space="preserve"> fassent l’objet sans délai d’enquêtes effectives et impartiales conduites par un organe indépendant</w:t>
      </w:r>
      <w:r>
        <w:rPr>
          <w:rStyle w:val="FootnoteReference"/>
        </w:rPr>
        <w:footnoteReference w:id="26"/>
      </w:r>
      <w:r>
        <w:t>.</w:t>
      </w:r>
    </w:p>
    <w:p w:rsidR="00910713" w:rsidRDefault="00910713" w:rsidP="00910713">
      <w:pPr>
        <w:pStyle w:val="SingleTxtG"/>
      </w:pPr>
      <w:r>
        <w:t>26.</w:t>
      </w:r>
      <w:r>
        <w:tab/>
        <w:t>Fournir des données statistiques détaillées, ventilées par sexe, âge, origine ethnique, régime pénitentiaire et lieu de détention, sur les plaintes dénonçant des actes de torture et des mauvais traitements enregistrées pendant la période couverte par le rapport. Apporter des renseignements sur les enquêtes et les actions disciplinaires et pénales auxquelles ces plaintes ont donné lieu et sur les condamnations pénales ou les sanctions disciplinaires prononcées. En particulier, expliquer quel a été le résultat des enquêtes et quelles actions disciplinaires ou pénales ont été engagées en ce qui concerne:</w:t>
      </w:r>
    </w:p>
    <w:p w:rsidR="00910713" w:rsidRDefault="00910713" w:rsidP="00910713">
      <w:pPr>
        <w:pStyle w:val="SingleTxtG"/>
        <w:ind w:firstLine="567"/>
      </w:pPr>
      <w:r>
        <w:t>a)</w:t>
      </w:r>
      <w:r>
        <w:tab/>
        <w:t>La mort de M. Juan Wilfredo Soto García à l’hôpital provincial de Santa Clara le 8 mai 2011, trois jours après qu’il eut dénoncé les actes des policiers qui avaient procédé à son arrestation et l’avaient frappé;</w:t>
      </w:r>
    </w:p>
    <w:p w:rsidR="00910713" w:rsidRDefault="00910713" w:rsidP="00910713">
      <w:pPr>
        <w:pStyle w:val="SingleTxtG"/>
        <w:ind w:firstLine="567"/>
      </w:pPr>
      <w:r>
        <w:t>b)</w:t>
      </w:r>
      <w:r>
        <w:tab/>
        <w:t>Les brutalités auxquelles huit agents de sécurité de l’État auraient soumis le défenseur des droits de l’homme M. Darsi Ferrer, lors de son arrestation le 9 juillet 2009.</w:t>
      </w:r>
    </w:p>
    <w:p w:rsidR="00910713" w:rsidRDefault="00910713" w:rsidP="00910713">
      <w:pPr>
        <w:pStyle w:val="SingleTxtG"/>
      </w:pPr>
      <w:r>
        <w:t>27.</w:t>
      </w:r>
      <w:r>
        <w:tab/>
        <w:t>Indiquer s’il existe un système interne de plainte à la disposition des personnes privées de liberté</w:t>
      </w:r>
      <w:r>
        <w:rPr>
          <w:rStyle w:val="FootnoteReference"/>
        </w:rPr>
        <w:footnoteReference w:id="27"/>
      </w:r>
      <w:r>
        <w:t>. Dans l’affirmative, donner des renseignements sur les mesures prises pour garantir l’indépendance de ce mécanisme.</w:t>
      </w:r>
    </w:p>
    <w:p w:rsidR="00910713" w:rsidRPr="00F03FE5" w:rsidRDefault="00910713" w:rsidP="00910713">
      <w:pPr>
        <w:pStyle w:val="H1G"/>
      </w:pPr>
      <w:r>
        <w:tab/>
      </w:r>
      <w:r>
        <w:tab/>
        <w:t>Article 14</w:t>
      </w:r>
    </w:p>
    <w:p w:rsidR="00910713" w:rsidRDefault="00910713" w:rsidP="00910713">
      <w:pPr>
        <w:pStyle w:val="SingleTxtG"/>
      </w:pPr>
      <w:r>
        <w:t>28.</w:t>
      </w:r>
      <w:r>
        <w:tab/>
        <w:t>À propos des paragraphes 236 à 246 et 286 à 288 du rapport périodique de l’État partie, donner des renseignements sur les mesures de réparation et d’indemnisation, y compris les moyens de réadaptation, ordonnées par les tribunaux et dont les victimes d’actes de torture ou leurs proches ont effectivement bénéficié depuis l’examen du rapport initial</w:t>
      </w:r>
      <w:r>
        <w:rPr>
          <w:rStyle w:val="FootnoteReference"/>
        </w:rPr>
        <w:footnoteReference w:id="28"/>
      </w:r>
      <w:r>
        <w:t>. Indiquer notamment le nombre de demandes de réparation qui ont été déposées, le nombre de celles auxquelles il a été fait droit, le montant de l’indemnité ordonnée et les sommes effectivement versées dans chaque cas.</w:t>
      </w:r>
    </w:p>
    <w:p w:rsidR="00910713" w:rsidRPr="00BA42DB" w:rsidRDefault="00910713" w:rsidP="00910713">
      <w:pPr>
        <w:pStyle w:val="SingleTxtG"/>
      </w:pPr>
      <w:r>
        <w:t>29.</w:t>
      </w:r>
      <w:r>
        <w:tab/>
        <w:t>Préciser si le droit à une indemnisation est subordonné à l’existence d’un jugement prononcé à l’issue d’une procédure pénale par lequel le juge ordonne l’indemnisation de la victime. Indiquer combien de victimes de torture ont obtenu une indemnisation alors que le responsable n’avait pas été identifié. En pareil cas, l’enquête est-elle poursuivie jusqu’à ce que l’auteur ou les auteurs soient identifiés et traduits en justice? Les victimes d’actes de torture ou de traitements cruels, inhumains ou dégradants peuvent-elles obtenir une indemnisation lorsque l’auteur de ces actes a fait l’objet de sanctions disciplinaires mais n’a pas été condamné au pénal?</w:t>
      </w:r>
    </w:p>
    <w:p w:rsidR="00910713" w:rsidRDefault="00910713" w:rsidP="00910713">
      <w:pPr>
        <w:pStyle w:val="SingleTxtG"/>
      </w:pPr>
      <w:r>
        <w:t>30.</w:t>
      </w:r>
      <w:r>
        <w:tab/>
        <w:t>Donner des renseignements sur les programmes de réparation, dont le traitement des traumatismes et d’autres formes de réadaptation des victimes d’actes de torture et de mauvais traitements, et indiquer si les ressources allouées à ces programmes sont suffisantes pour en assurer le bon fonctionnement.</w:t>
      </w:r>
    </w:p>
    <w:p w:rsidR="00910713" w:rsidRDefault="00910713" w:rsidP="00910713">
      <w:pPr>
        <w:pStyle w:val="H1G"/>
      </w:pPr>
      <w:r>
        <w:tab/>
      </w:r>
      <w:r>
        <w:tab/>
        <w:t>Article 15</w:t>
      </w:r>
    </w:p>
    <w:p w:rsidR="00910713" w:rsidRDefault="00910713" w:rsidP="00910713">
      <w:pPr>
        <w:pStyle w:val="SingleTxtG"/>
      </w:pPr>
      <w:r>
        <w:t>31.</w:t>
      </w:r>
      <w:r>
        <w:tab/>
        <w:t>À propos des paragraphes 247 à 255 du rapport périodique, indiquer les mesures concrètes qui ont été prises pour garantir dans la pratique le respect du principe de l’irrecevabilité des éléments de preuve obtenus sous la torture</w:t>
      </w:r>
      <w:r>
        <w:rPr>
          <w:rStyle w:val="FootnoteReference"/>
        </w:rPr>
        <w:footnoteReference w:id="29"/>
      </w:r>
      <w:r>
        <w:t xml:space="preserve">. Citer des exemples d’affaires que les tribunaux ont refusé d’examiner au motif que les éléments de preuve ou les témoignages produits dans le cadre de la procédure avaient été obtenus par la torture ou au moyen de mauvais traitements. </w:t>
      </w:r>
    </w:p>
    <w:p w:rsidR="00910713" w:rsidRDefault="00910713" w:rsidP="00910713">
      <w:pPr>
        <w:pStyle w:val="H1G"/>
      </w:pPr>
      <w:r>
        <w:tab/>
      </w:r>
      <w:r>
        <w:tab/>
        <w:t>Article 16</w:t>
      </w:r>
    </w:p>
    <w:p w:rsidR="00910713" w:rsidRDefault="00910713" w:rsidP="00910713">
      <w:pPr>
        <w:pStyle w:val="SingleTxtG"/>
      </w:pPr>
      <w:r>
        <w:t>32.</w:t>
      </w:r>
      <w:r>
        <w:tab/>
        <w:t>Présenter des commentaires sur les informations selon lesquelles les défenseurs des droits de l’homme, les écrivains, les enseignants, les journalistes et les bloggeurs indépendants, les chefs de mouvements politiques d’opposition, les dirigeants de mouvements sociaux ou les dirigeants syndicaux dissidents et leurs proches continueraient d’être la cible d’actes d’intimidation et de harcèlement, qui sont notamment des assignations à domicile et des détentions arbitraires, des actes d’ostracisme, des opérations de surveillance intrusive, des restrictions à la liberté de circulation et la perte de l’emploi</w:t>
      </w:r>
      <w:r>
        <w:rPr>
          <w:rStyle w:val="FootnoteReference"/>
        </w:rPr>
        <w:footnoteReference w:id="30"/>
      </w:r>
      <w:r>
        <w:t>. Donner des renseignements détaillés sur les agressions physiques et les menaces de mort dont des défenseurs des droits de l’homme ont été l’objet, le résultat des enquêtes et des poursuites pénales engagées, y compris les peines qui ont été prononcées. Donner en particulier des renseignements sur le résultat des enquêtes et des poursuites, disciplinaires ou pénales, concernant:</w:t>
      </w:r>
    </w:p>
    <w:p w:rsidR="00910713" w:rsidRDefault="00910713" w:rsidP="00910713">
      <w:pPr>
        <w:pStyle w:val="SingleTxtG"/>
        <w:ind w:firstLine="567"/>
      </w:pPr>
      <w:r>
        <w:t>a)</w:t>
      </w:r>
      <w:r>
        <w:tab/>
        <w:t>Les agressions physiques dont M</w:t>
      </w:r>
      <w:r w:rsidRPr="00D91DA2">
        <w:rPr>
          <w:vertAlign w:val="superscript"/>
        </w:rPr>
        <w:t>me</w:t>
      </w:r>
      <w:r>
        <w:t>  Reina Luisa Tamayo Danger a été victime après la mort de son fils Orlando Zapata Tamayo en février 2010;</w:t>
      </w:r>
    </w:p>
    <w:p w:rsidR="00910713" w:rsidRDefault="00910713" w:rsidP="00910713">
      <w:pPr>
        <w:pStyle w:val="SingleTxtG"/>
        <w:ind w:firstLine="567"/>
      </w:pPr>
      <w:r>
        <w:t>b)</w:t>
      </w:r>
      <w:r>
        <w:tab/>
        <w:t>Les actes de harcèlement, d’intimidation et d’agression physique que les membres du collectif Damas de Blanco («Femmes en blanc») auraient continué de subir pendant la période couverte par le rapport;</w:t>
      </w:r>
    </w:p>
    <w:p w:rsidR="00910713" w:rsidRDefault="00910713" w:rsidP="00910713">
      <w:pPr>
        <w:pStyle w:val="SingleTxtG"/>
        <w:ind w:firstLine="567"/>
      </w:pPr>
      <w:r>
        <w:t>c)</w:t>
      </w:r>
      <w:r>
        <w:tab/>
        <w:t>Les actes d’intimidation et d’agression physique qui auraient été commis par des agents de sécurité de l’État contre des blogueurs, M</w:t>
      </w:r>
      <w:r w:rsidRPr="00D91DA2">
        <w:rPr>
          <w:vertAlign w:val="superscript"/>
        </w:rPr>
        <w:t>me</w:t>
      </w:r>
      <w:r>
        <w:t> Yoani Sánchez et M. Orlando Luis Pardo, en novembre 2010;</w:t>
      </w:r>
    </w:p>
    <w:p w:rsidR="00910713" w:rsidRDefault="00910713" w:rsidP="00910713">
      <w:pPr>
        <w:pStyle w:val="SingleTxtG"/>
        <w:ind w:firstLine="567"/>
      </w:pPr>
      <w:r>
        <w:t>d)</w:t>
      </w:r>
      <w:r>
        <w:tab/>
        <w:t>Des agressions qui auraient été perpétrées par des policiers pendant une manifestation pacifique à Sancti Spíritus le 24 février 2008;</w:t>
      </w:r>
    </w:p>
    <w:p w:rsidR="00910713" w:rsidRDefault="00910713" w:rsidP="00910713">
      <w:pPr>
        <w:pStyle w:val="SingleTxtG"/>
        <w:ind w:firstLine="567"/>
      </w:pPr>
      <w:r>
        <w:t>e)</w:t>
      </w:r>
      <w:r>
        <w:tab/>
        <w:t>L’agression contre M. Alexandre Santos Hernández, qui aurait été attaqué sur la voie publique à Holguín par huit membres d’une «brigade de réaction rapide» en juin 2006;</w:t>
      </w:r>
    </w:p>
    <w:p w:rsidR="00910713" w:rsidRPr="004342E2" w:rsidRDefault="00910713" w:rsidP="00910713">
      <w:pPr>
        <w:pStyle w:val="SingleTxtG"/>
        <w:ind w:firstLine="567"/>
      </w:pPr>
      <w:r>
        <w:t>f)</w:t>
      </w:r>
      <w:r>
        <w:tab/>
        <w:t>L’agression présumée par plusieurs membres d’une «brigade de réponse rapide» dont les proches du journaliste Raymundo Perdigón Brito ont été victimes à Sancti Spíritus, à la sortie de l’audience au cours de laquelle l’intéressé a été condamné pour «dangerosité», en décembre 2006.</w:t>
      </w:r>
    </w:p>
    <w:p w:rsidR="00910713" w:rsidRDefault="00910713" w:rsidP="00910713">
      <w:pPr>
        <w:pStyle w:val="SingleTxtG"/>
      </w:pPr>
      <w:r>
        <w:t>33.</w:t>
      </w:r>
      <w:r>
        <w:tab/>
        <w:t>Indiquer les mesures prises pour faire en sorte que les châtiments corporels contre les enfants soient interdits dans toutes les situations. Donner des renseignements sur les sanctions pénales prévues pour les châtiments corporels.</w:t>
      </w:r>
    </w:p>
    <w:p w:rsidR="00910713" w:rsidRDefault="00910713" w:rsidP="00910713">
      <w:pPr>
        <w:pStyle w:val="SingleTxtG"/>
      </w:pPr>
      <w:r>
        <w:t>34.</w:t>
      </w:r>
      <w:r>
        <w:tab/>
        <w:t xml:space="preserve">Indiquer s’il existe un registre des personnes placées dans des institutions spécialisées pour personnes handicapées et si les mesures de restriction appliquées sont dûment consignées. Dans l’affirmative, indiquer le nombre de personnes qui ont été soumises à de telles mesures, ventilé par lieu, âge, sexe et motif de la restriction. Préciser s’il existe un mécanisme chargé de surveiller l’application de mesures de restriction aux personnes handicapées placées dans ce type d’institution. </w:t>
      </w:r>
    </w:p>
    <w:p w:rsidR="00910713" w:rsidRPr="007F166F" w:rsidRDefault="00910713" w:rsidP="00910713">
      <w:pPr>
        <w:pStyle w:val="H1G"/>
      </w:pPr>
      <w:r>
        <w:tab/>
      </w:r>
      <w:r>
        <w:tab/>
      </w:r>
      <w:r w:rsidRPr="007F166F">
        <w:t>Autres questions</w:t>
      </w:r>
    </w:p>
    <w:p w:rsidR="00910713" w:rsidRDefault="00910713" w:rsidP="00910713">
      <w:pPr>
        <w:pStyle w:val="SingleTxtG"/>
      </w:pPr>
      <w:r>
        <w:t>35.</w:t>
      </w:r>
      <w:r>
        <w:tab/>
        <w:t xml:space="preserve">Donner des renseignements à jour sur les mesures que l’État partie a prises pour répondre à la menace d’actes terroristes et indiquer si elles ont porté atteinte, en droit et en pratique, aux garanties protégeant les droits de l’homme, et de quelle manière. Indiquer également comment l’État partie assure la compatibilité de ces mesures avec toutes ses obligations en droit </w:t>
      </w:r>
      <w:r>
        <w:rPr>
          <w:rFonts w:eastAsia="MS Mincho"/>
        </w:rPr>
        <w:t>international</w:t>
      </w:r>
      <w:r>
        <w:t>, en particulier en vertu de la Convention</w:t>
      </w:r>
      <w:r>
        <w:rPr>
          <w:rStyle w:val="FootnoteReference"/>
        </w:rPr>
        <w:footnoteReference w:id="31"/>
      </w:r>
      <w:r>
        <w:t xml:space="preserve">. Décrire la formation dispensée aux agents de la force publique dans ce domaine et indiquer le nombre et la catégorie de condamnations prononcées en application de la législation antiterroriste, et les garanties juridiques et les voies de recours ouvertes aux personnes visées par des mesures antiterroristes, et préciser si des plaintes pour non-respect des règles </w:t>
      </w:r>
      <w:r>
        <w:rPr>
          <w:rFonts w:eastAsia="MS Mincho"/>
        </w:rPr>
        <w:t>international</w:t>
      </w:r>
      <w:r>
        <w:t>es ont été déposées et quelle en a été l’issue.</w:t>
      </w:r>
    </w:p>
    <w:p w:rsidR="00910713" w:rsidRDefault="00910713" w:rsidP="00910713">
      <w:pPr>
        <w:pStyle w:val="SingleTxtG"/>
      </w:pPr>
      <w:r>
        <w:t>36.</w:t>
      </w:r>
      <w:r>
        <w:tab/>
        <w:t>L’État partie prévoit-il de ratifier le Protocole facultatif se rapportant à la Convention</w:t>
      </w:r>
      <w:r>
        <w:rPr>
          <w:rStyle w:val="FootnoteReference"/>
        </w:rPr>
        <w:footnoteReference w:id="32"/>
      </w:r>
      <w:r>
        <w:t>? Dans l’affirmative, prévoit-il de mettre en place ou de désigner un mécanisme national qui serait chargé d’effectuer des visites périodiques des lieux placés sous sa juridiction ou sous son contrôle où se trouvent ou pourraient se trouver des personnes privées de liberté, afin de prévenir les actes de torture et autres peines ou traitements cruels, inhumains ou dégradants.</w:t>
      </w:r>
    </w:p>
    <w:p w:rsidR="00910713" w:rsidRDefault="00910713" w:rsidP="00910713">
      <w:pPr>
        <w:pStyle w:val="SingleTxtG"/>
      </w:pPr>
      <w:r>
        <w:t>37.</w:t>
      </w:r>
      <w:r>
        <w:tab/>
        <w:t>L’État partie envisage-t-il la possibilité de faire la déclaration prévue à l’article 22 de la Convention</w:t>
      </w:r>
      <w:r>
        <w:rPr>
          <w:rStyle w:val="FootnoteReference"/>
        </w:rPr>
        <w:footnoteReference w:id="33"/>
      </w:r>
      <w:r>
        <w:t xml:space="preserve">? </w:t>
      </w:r>
    </w:p>
    <w:p w:rsidR="00910713" w:rsidRDefault="00910713" w:rsidP="00910713">
      <w:pPr>
        <w:pStyle w:val="SingleTxtG"/>
      </w:pPr>
      <w:r>
        <w:t>38.</w:t>
      </w:r>
      <w:r>
        <w:tab/>
        <w:t xml:space="preserve">L’État partie prévoit-il de ratifier le Statut de Rome de la Cour pénale </w:t>
      </w:r>
      <w:r>
        <w:rPr>
          <w:rFonts w:eastAsia="MS Mincho"/>
        </w:rPr>
        <w:t>international</w:t>
      </w:r>
      <w:r>
        <w:t>e</w:t>
      </w:r>
      <w:r>
        <w:rPr>
          <w:rStyle w:val="FootnoteReference"/>
        </w:rPr>
        <w:footnoteReference w:id="34"/>
      </w:r>
      <w:r>
        <w:t>?</w:t>
      </w:r>
    </w:p>
    <w:p w:rsidR="00910713" w:rsidRPr="006B4B7A" w:rsidRDefault="00910713" w:rsidP="00910713">
      <w:pPr>
        <w:pStyle w:val="SingleTxtG"/>
        <w:spacing w:before="240" w:after="0"/>
        <w:jc w:val="center"/>
        <w:rPr>
          <w:u w:val="single"/>
        </w:rPr>
      </w:pPr>
      <w:r>
        <w:rPr>
          <w:u w:val="single"/>
        </w:rPr>
        <w:tab/>
      </w:r>
      <w:r>
        <w:rPr>
          <w:u w:val="single"/>
        </w:rPr>
        <w:tab/>
      </w:r>
      <w:r>
        <w:rPr>
          <w:u w:val="single"/>
        </w:rPr>
        <w:tab/>
      </w:r>
    </w:p>
    <w:p w:rsidR="00C07B77" w:rsidRDefault="00C07B77" w:rsidP="00235888">
      <w:pPr>
        <w:pStyle w:val="SingleTxtG"/>
      </w:pPr>
    </w:p>
    <w:sectPr w:rsidR="00C07B77" w:rsidSect="00C07B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71E" w:rsidRDefault="007A371E"/>
  </w:endnote>
  <w:endnote w:type="continuationSeparator" w:id="0">
    <w:p w:rsidR="007A371E" w:rsidRDefault="007A371E"/>
  </w:endnote>
  <w:endnote w:type="continuationNotice" w:id="1">
    <w:p w:rsidR="007A371E" w:rsidRDefault="007A37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1E" w:rsidRPr="00C07B77" w:rsidRDefault="007A371E" w:rsidP="00C07B77">
    <w:pPr>
      <w:pStyle w:val="Footer"/>
      <w:tabs>
        <w:tab w:val="right" w:pos="9638"/>
      </w:tabs>
    </w:pPr>
    <w:r w:rsidRPr="00C07B77">
      <w:rPr>
        <w:b/>
        <w:sz w:val="18"/>
      </w:rPr>
      <w:fldChar w:fldCharType="begin"/>
    </w:r>
    <w:r w:rsidRPr="00C07B77">
      <w:rPr>
        <w:b/>
        <w:sz w:val="18"/>
      </w:rPr>
      <w:instrText xml:space="preserve"> PAGE  \* MERGEFORMAT </w:instrText>
    </w:r>
    <w:r w:rsidRPr="00C07B77">
      <w:rPr>
        <w:b/>
        <w:sz w:val="18"/>
      </w:rPr>
      <w:fldChar w:fldCharType="separate"/>
    </w:r>
    <w:r>
      <w:rPr>
        <w:b/>
        <w:noProof/>
        <w:sz w:val="18"/>
      </w:rPr>
      <w:t>8</w:t>
    </w:r>
    <w:r w:rsidRPr="00C07B77">
      <w:rPr>
        <w:b/>
        <w:sz w:val="18"/>
      </w:rPr>
      <w:fldChar w:fldCharType="end"/>
    </w:r>
    <w:r>
      <w:rPr>
        <w:b/>
        <w:sz w:val="18"/>
      </w:rPr>
      <w:tab/>
    </w:r>
    <w:r>
      <w:t>GE.11-47808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1E" w:rsidRPr="00C07B77" w:rsidRDefault="007A371E" w:rsidP="00C07B77">
    <w:pPr>
      <w:pStyle w:val="Footer"/>
      <w:tabs>
        <w:tab w:val="right" w:pos="9638"/>
      </w:tabs>
      <w:rPr>
        <w:b/>
        <w:sz w:val="18"/>
      </w:rPr>
    </w:pPr>
    <w:r>
      <w:t>GE.11-47808</w:t>
    </w:r>
    <w:r>
      <w:tab/>
    </w:r>
    <w:r w:rsidRPr="00C07B77">
      <w:rPr>
        <w:b/>
        <w:sz w:val="18"/>
      </w:rPr>
      <w:fldChar w:fldCharType="begin"/>
    </w:r>
    <w:r w:rsidRPr="00C07B77">
      <w:rPr>
        <w:b/>
        <w:sz w:val="18"/>
      </w:rPr>
      <w:instrText xml:space="preserve"> PAGE  \* MERGEFORMAT </w:instrText>
    </w:r>
    <w:r w:rsidRPr="00C07B77">
      <w:rPr>
        <w:b/>
        <w:sz w:val="18"/>
      </w:rPr>
      <w:fldChar w:fldCharType="separate"/>
    </w:r>
    <w:r>
      <w:rPr>
        <w:b/>
        <w:noProof/>
        <w:sz w:val="18"/>
      </w:rPr>
      <w:t>7</w:t>
    </w:r>
    <w:r w:rsidRPr="00C07B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1E" w:rsidRPr="00C07B77" w:rsidRDefault="007A371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11-47808  (F)    130212    160212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71E" w:rsidRPr="00D27D5E" w:rsidRDefault="007A371E" w:rsidP="00D27D5E">
      <w:pPr>
        <w:tabs>
          <w:tab w:val="right" w:pos="2155"/>
        </w:tabs>
        <w:spacing w:after="80"/>
        <w:ind w:left="680"/>
        <w:rPr>
          <w:u w:val="single"/>
        </w:rPr>
      </w:pPr>
      <w:r>
        <w:rPr>
          <w:u w:val="single"/>
        </w:rPr>
        <w:tab/>
      </w:r>
    </w:p>
  </w:footnote>
  <w:footnote w:type="continuationSeparator" w:id="0">
    <w:p w:rsidR="007A371E" w:rsidRPr="00A103C4" w:rsidRDefault="007A371E" w:rsidP="00A103C4">
      <w:pPr>
        <w:tabs>
          <w:tab w:val="right" w:pos="2155"/>
        </w:tabs>
        <w:spacing w:after="80"/>
        <w:ind w:left="680"/>
        <w:rPr>
          <w:u w:val="single"/>
        </w:rPr>
      </w:pPr>
      <w:r w:rsidRPr="00A103C4">
        <w:rPr>
          <w:u w:val="single"/>
        </w:rPr>
        <w:tab/>
      </w:r>
    </w:p>
  </w:footnote>
  <w:footnote w:type="continuationNotice" w:id="1">
    <w:p w:rsidR="007A371E" w:rsidRDefault="007A371E"/>
  </w:footnote>
  <w:footnote w:id="2">
    <w:p w:rsidR="007A371E" w:rsidRPr="00E12458" w:rsidRDefault="007A371E" w:rsidP="00C07B77">
      <w:pPr>
        <w:pStyle w:val="FootnoteText"/>
      </w:pPr>
      <w:r>
        <w:tab/>
      </w:r>
      <w:r w:rsidRPr="00E12458">
        <w:rPr>
          <w:rStyle w:val="FootnoteReference"/>
          <w:sz w:val="20"/>
          <w:vertAlign w:val="baseline"/>
        </w:rPr>
        <w:t>*</w:t>
      </w:r>
      <w:r>
        <w:rPr>
          <w:sz w:val="20"/>
        </w:rPr>
        <w:tab/>
      </w:r>
      <w:r w:rsidRPr="001E48E9">
        <w:rPr>
          <w:szCs w:val="18"/>
        </w:rPr>
        <w:t>Soumission tardive.</w:t>
      </w:r>
    </w:p>
  </w:footnote>
  <w:footnote w:id="3">
    <w:p w:rsidR="007A371E" w:rsidRDefault="007A371E" w:rsidP="00C07B77">
      <w:pPr>
        <w:pStyle w:val="FootnoteText"/>
      </w:pPr>
      <w:r>
        <w:tab/>
      </w:r>
      <w:r>
        <w:rPr>
          <w:rStyle w:val="FootnoteReference"/>
        </w:rPr>
        <w:footnoteRef/>
      </w:r>
      <w:r>
        <w:tab/>
        <w:t>CAT/C/CUB/2, par. 50 à 58, 90 à 110 et 265. Voir également CAT/C/SR.309, par. 12, 14, 22, 31 et 59; CAT/C/SR.100/Add.1, par. 8 et 32; A/HRC/WG.6/4/CUB/1, par. 94; et A/HRC/WG.6/4/CUB/2, par. 14.</w:t>
      </w:r>
    </w:p>
  </w:footnote>
  <w:footnote w:id="4">
    <w:p w:rsidR="007A371E" w:rsidRDefault="007A371E" w:rsidP="00C07B77">
      <w:pPr>
        <w:pStyle w:val="FootnoteText"/>
      </w:pPr>
      <w:r>
        <w:tab/>
      </w:r>
      <w:r>
        <w:rPr>
          <w:rStyle w:val="FootnoteReference"/>
        </w:rPr>
        <w:footnoteRef/>
      </w:r>
      <w:r>
        <w:tab/>
        <w:t>CAT/C/CUB/2, par. 110.</w:t>
      </w:r>
    </w:p>
  </w:footnote>
  <w:footnote w:id="5">
    <w:p w:rsidR="007A371E" w:rsidRDefault="007A371E" w:rsidP="00C07B77">
      <w:pPr>
        <w:pStyle w:val="FootnoteText"/>
      </w:pPr>
      <w:r>
        <w:tab/>
      </w:r>
      <w:r>
        <w:rPr>
          <w:rStyle w:val="FootnoteReference"/>
        </w:rPr>
        <w:footnoteRef/>
      </w:r>
      <w:r>
        <w:tab/>
        <w:t xml:space="preserve">Les questions soulevées au titre de l’article 2 peuvent également l’être au titre d’autres articles de la Convention, comme l’article 16. Comme il est indiqué au paragraphe 3 de l’Observation générale </w:t>
      </w:r>
      <w:r w:rsidRPr="00C14D2A">
        <w:t>n</w:t>
      </w:r>
      <w:r w:rsidRPr="00C14D2A">
        <w:rPr>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l’Observation générale </w:t>
      </w:r>
      <w:r w:rsidRPr="00C14D2A">
        <w:t>n</w:t>
      </w:r>
      <w:r w:rsidRPr="00C14D2A">
        <w:rPr>
          <w:vertAlign w:val="superscript"/>
        </w:rPr>
        <w:t>o</w:t>
      </w:r>
      <w:r>
        <w:t xml:space="preserve"> 2.</w:t>
      </w:r>
    </w:p>
  </w:footnote>
  <w:footnote w:id="6">
    <w:p w:rsidR="007A371E" w:rsidRDefault="007A371E" w:rsidP="00C07B77">
      <w:pPr>
        <w:pStyle w:val="FootnoteText"/>
      </w:pPr>
      <w:r>
        <w:tab/>
      </w:r>
      <w:r>
        <w:rPr>
          <w:rStyle w:val="FootnoteReference"/>
        </w:rPr>
        <w:footnoteRef/>
      </w:r>
      <w:r>
        <w:tab/>
        <w:t>Voir également CAT/C/SR.309, par. 7, 15 et 17.</w:t>
      </w:r>
    </w:p>
  </w:footnote>
  <w:footnote w:id="7">
    <w:p w:rsidR="007A371E" w:rsidRDefault="007A371E" w:rsidP="00C07B77">
      <w:pPr>
        <w:pStyle w:val="FootnoteText"/>
      </w:pPr>
      <w:r>
        <w:tab/>
      </w:r>
      <w:r>
        <w:rPr>
          <w:rStyle w:val="FootnoteReference"/>
        </w:rPr>
        <w:footnoteRef/>
      </w:r>
      <w:r>
        <w:tab/>
        <w:t>CAT/C/CUB/2, par. 60, 66, 69 et 70.</w:t>
      </w:r>
    </w:p>
  </w:footnote>
  <w:footnote w:id="8">
    <w:p w:rsidR="007A371E" w:rsidRDefault="007A371E" w:rsidP="00C07B77">
      <w:pPr>
        <w:pStyle w:val="FootnoteText"/>
      </w:pPr>
      <w:r>
        <w:tab/>
      </w:r>
      <w:r>
        <w:rPr>
          <w:rStyle w:val="FootnoteReference"/>
        </w:rPr>
        <w:footnoteRef/>
      </w:r>
      <w:r>
        <w:tab/>
        <w:t>A/HRC/WG.6/4/CUB/3, par. 19.</w:t>
      </w:r>
    </w:p>
  </w:footnote>
  <w:footnote w:id="9">
    <w:p w:rsidR="007A371E" w:rsidRDefault="007A371E" w:rsidP="00C07B77">
      <w:pPr>
        <w:pStyle w:val="FootnoteText"/>
      </w:pPr>
      <w:r>
        <w:tab/>
      </w:r>
      <w:r>
        <w:rPr>
          <w:rStyle w:val="FootnoteReference"/>
        </w:rPr>
        <w:footnoteRef/>
      </w:r>
      <w:r>
        <w:tab/>
        <w:t>CAT/C/CUB/2, par. 60, 61, 65, 67 à 70 et 74; CAT/C/SR.309, par. 47.</w:t>
      </w:r>
    </w:p>
  </w:footnote>
  <w:footnote w:id="10">
    <w:p w:rsidR="007A371E" w:rsidRDefault="007A371E" w:rsidP="00C07B77">
      <w:pPr>
        <w:pStyle w:val="FootnoteText"/>
      </w:pPr>
      <w:r>
        <w:tab/>
      </w:r>
      <w:r>
        <w:rPr>
          <w:rStyle w:val="FootnoteReference"/>
        </w:rPr>
        <w:footnoteRef/>
      </w:r>
      <w:r>
        <w:tab/>
        <w:t>Voir CAT/C/SR.309, par. 9 à 11 et 63; CAT/C/SR.310/Add.1, par. 5, 10 et 11; A/HRC/WG.6/4/ CUB/2, par. 20; A/HRC/WG.6/4/CUB/3, par. 18; A/HRC/11/22, par. 53, 85, 96, 127 et 131 16).</w:t>
      </w:r>
    </w:p>
  </w:footnote>
  <w:footnote w:id="11">
    <w:p w:rsidR="007A371E" w:rsidRDefault="007A371E" w:rsidP="00C07B77">
      <w:pPr>
        <w:pStyle w:val="FootnoteText"/>
      </w:pPr>
      <w:r>
        <w:tab/>
      </w:r>
      <w:r>
        <w:rPr>
          <w:rStyle w:val="FootnoteReference"/>
        </w:rPr>
        <w:footnoteRef/>
      </w:r>
      <w:r>
        <w:tab/>
        <w:t xml:space="preserve">A/53/44, par. 118 e). </w:t>
      </w:r>
    </w:p>
  </w:footnote>
  <w:footnote w:id="12">
    <w:p w:rsidR="007A371E" w:rsidRDefault="007A371E" w:rsidP="00C07B77">
      <w:pPr>
        <w:pStyle w:val="FootnoteText"/>
      </w:pPr>
      <w:r>
        <w:tab/>
      </w:r>
      <w:r>
        <w:rPr>
          <w:rStyle w:val="FootnoteReference"/>
        </w:rPr>
        <w:footnoteRef/>
      </w:r>
      <w:r>
        <w:tab/>
        <w:t>CAT/C/CUB/2, par. 45, 53 g), 104 à 110, 117 et 118, 130, 181, 211, 214, 248, 250, 251, 253 à 255, 271 et 281; CAT/C/SR.309, par. 67; A/HRC/WG.6/4/CUB/2, par. 21; A/HRC/WG.6/4/CUB/3, par. 18.</w:t>
      </w:r>
    </w:p>
  </w:footnote>
  <w:footnote w:id="13">
    <w:p w:rsidR="007A371E" w:rsidRDefault="007A371E" w:rsidP="00C07B77">
      <w:pPr>
        <w:pStyle w:val="FootnoteText"/>
      </w:pPr>
      <w:r>
        <w:tab/>
      </w:r>
      <w:r>
        <w:rPr>
          <w:rStyle w:val="FootnoteReference"/>
        </w:rPr>
        <w:footnoteRef/>
      </w:r>
      <w:r>
        <w:tab/>
        <w:t>A/HRC/11/22, par. 95 et 131 6).</w:t>
      </w:r>
    </w:p>
  </w:footnote>
  <w:footnote w:id="14">
    <w:p w:rsidR="007A371E" w:rsidRDefault="007A371E" w:rsidP="00C07B77">
      <w:pPr>
        <w:pStyle w:val="FootnoteText"/>
      </w:pPr>
      <w:r>
        <w:tab/>
      </w:r>
      <w:r>
        <w:rPr>
          <w:rStyle w:val="FootnoteReference"/>
        </w:rPr>
        <w:footnoteRef/>
      </w:r>
      <w:r>
        <w:tab/>
        <w:t>A/HRC/WG.6/4/CUB/2, par 17 à 19; A/HRC/11/22, par. 82, 96, 129, 131 12) et 15); CEDAW/C/CUB/CO/6, par. 6, 18 et 20; E/CN.4/2000/68/Add.2, par. 17 et 103; E/CN.4/2000/131.</w:t>
      </w:r>
    </w:p>
  </w:footnote>
  <w:footnote w:id="15">
    <w:p w:rsidR="007A371E" w:rsidRDefault="007A371E" w:rsidP="00C07B77">
      <w:pPr>
        <w:pStyle w:val="FootnoteText"/>
      </w:pPr>
      <w:r>
        <w:tab/>
      </w:r>
      <w:r>
        <w:rPr>
          <w:rStyle w:val="FootnoteReference"/>
        </w:rPr>
        <w:footnoteRef/>
      </w:r>
      <w:r>
        <w:tab/>
        <w:t>CAT/C/CUB/2, par. 83 à 89; CAT/C/SR.309, par. 26 et 46; CAT/C/SR.310/Add.1, par. 6 et 7; CERD/C/CUB/CO/14-18, par. 18.</w:t>
      </w:r>
    </w:p>
  </w:footnote>
  <w:footnote w:id="16">
    <w:p w:rsidR="007A371E" w:rsidRDefault="007A371E" w:rsidP="00C07B77">
      <w:pPr>
        <w:pStyle w:val="FootnoteText"/>
      </w:pPr>
      <w:r>
        <w:tab/>
      </w:r>
      <w:r>
        <w:rPr>
          <w:rStyle w:val="FootnoteReference"/>
        </w:rPr>
        <w:footnoteRef/>
      </w:r>
      <w:r>
        <w:tab/>
        <w:t>Voir CAT/C/CUB/2, par. 111 à 157; CAT/C/SR.309, par. 26 à 30 et 57.</w:t>
      </w:r>
    </w:p>
  </w:footnote>
  <w:footnote w:id="17">
    <w:p w:rsidR="007A371E" w:rsidRDefault="007A371E" w:rsidP="00C07B77">
      <w:pPr>
        <w:pStyle w:val="FootnoteText"/>
      </w:pPr>
      <w:r>
        <w:tab/>
      </w:r>
      <w:r>
        <w:rPr>
          <w:rStyle w:val="FootnoteReference"/>
        </w:rPr>
        <w:footnoteRef/>
      </w:r>
      <w:r>
        <w:tab/>
        <w:t>CAT/C/CUB/2, par. 158 à 165 et 285.</w:t>
      </w:r>
    </w:p>
  </w:footnote>
  <w:footnote w:id="18">
    <w:p w:rsidR="007A371E" w:rsidRDefault="007A371E" w:rsidP="00C07B77">
      <w:pPr>
        <w:pStyle w:val="FootnoteText"/>
      </w:pPr>
      <w:r>
        <w:tab/>
      </w:r>
      <w:r>
        <w:rPr>
          <w:rStyle w:val="FootnoteReference"/>
        </w:rPr>
        <w:footnoteRef/>
      </w:r>
      <w:r>
        <w:tab/>
        <w:t>Ibid., par. 166 à 176; CAT/C/SR.309, par. 47.</w:t>
      </w:r>
    </w:p>
  </w:footnote>
  <w:footnote w:id="19">
    <w:p w:rsidR="007A371E" w:rsidRDefault="007A371E" w:rsidP="00C07B77">
      <w:pPr>
        <w:pStyle w:val="FootnoteText"/>
      </w:pPr>
      <w:r>
        <w:tab/>
      </w:r>
      <w:r>
        <w:rPr>
          <w:rStyle w:val="FootnoteReference"/>
        </w:rPr>
        <w:footnoteRef/>
      </w:r>
      <w:r>
        <w:tab/>
        <w:t>A/53/44, par. 118 f); A/HRC/WG.6/4/CUB/2, par. 15; A/HRC/11/22, par. 64, 65, 124 et 131 14).</w:t>
      </w:r>
    </w:p>
  </w:footnote>
  <w:footnote w:id="20">
    <w:p w:rsidR="007A371E" w:rsidRDefault="007A371E" w:rsidP="00C07B77">
      <w:pPr>
        <w:pStyle w:val="FootnoteText"/>
      </w:pPr>
      <w:r>
        <w:tab/>
      </w:r>
      <w:r>
        <w:rPr>
          <w:rStyle w:val="FootnoteReference"/>
        </w:rPr>
        <w:footnoteRef/>
      </w:r>
      <w:r>
        <w:tab/>
        <w:t>A/HRC/WG.6/4/CUB/2/, par. 31; A/HRC/WG.6/4/CUB/3, par. 7; A/HRC/11/22, par. 79, 82, 131 10) et 11); CAT/C/CUB/2, par. 293.</w:t>
      </w:r>
    </w:p>
  </w:footnote>
  <w:footnote w:id="21">
    <w:p w:rsidR="007A371E" w:rsidRDefault="007A371E" w:rsidP="00C07B77">
      <w:pPr>
        <w:pStyle w:val="FootnoteText"/>
      </w:pPr>
      <w:r>
        <w:tab/>
      </w:r>
      <w:r>
        <w:rPr>
          <w:rStyle w:val="FootnoteReference"/>
        </w:rPr>
        <w:footnoteRef/>
      </w:r>
      <w:r>
        <w:tab/>
        <w:t>CAT/C/SR.309, par. 37 et 60; CAT/C/SR.310, par. 30 et 31.</w:t>
      </w:r>
    </w:p>
  </w:footnote>
  <w:footnote w:id="22">
    <w:p w:rsidR="007A371E" w:rsidRDefault="007A371E" w:rsidP="00C07B77">
      <w:pPr>
        <w:pStyle w:val="FootnoteText"/>
      </w:pPr>
      <w:r>
        <w:tab/>
      </w:r>
      <w:r>
        <w:rPr>
          <w:rStyle w:val="FootnoteReference"/>
        </w:rPr>
        <w:footnoteRef/>
      </w:r>
      <w:r>
        <w:tab/>
        <w:t>A/HRC/WG.6/4/CUB/1, par. 90 b) et c) et 93.</w:t>
      </w:r>
    </w:p>
  </w:footnote>
  <w:footnote w:id="23">
    <w:p w:rsidR="007A371E" w:rsidRDefault="007A371E" w:rsidP="00C07B77">
      <w:pPr>
        <w:pStyle w:val="FootnoteText"/>
      </w:pPr>
      <w:r>
        <w:tab/>
      </w:r>
      <w:r>
        <w:rPr>
          <w:rStyle w:val="FootnoteReference"/>
        </w:rPr>
        <w:footnoteRef/>
      </w:r>
      <w:r>
        <w:tab/>
      </w:r>
      <w:r w:rsidRPr="00BF7C0C">
        <w:t xml:space="preserve">A/HRC/WG.6/4/CUB/1, </w:t>
      </w:r>
      <w:r>
        <w:t>par. 88 à 104</w:t>
      </w:r>
      <w:r w:rsidRPr="00BF7C0C">
        <w:t xml:space="preserve">; A/HRC/WG.6/4/CUB/2, </w:t>
      </w:r>
      <w:r>
        <w:t>par</w:t>
      </w:r>
      <w:r w:rsidRPr="00BF7C0C">
        <w:t>. 15</w:t>
      </w:r>
      <w:r>
        <w:t xml:space="preserve"> et </w:t>
      </w:r>
      <w:r w:rsidRPr="00BF7C0C">
        <w:t>16; A/HRC/WG.6/4/</w:t>
      </w:r>
      <w:r>
        <w:t xml:space="preserve"> </w:t>
      </w:r>
      <w:r w:rsidRPr="00BF7C0C">
        <w:t xml:space="preserve">CUB/3, </w:t>
      </w:r>
      <w:r>
        <w:t xml:space="preserve">par. 14 et </w:t>
      </w:r>
      <w:r w:rsidRPr="00BF7C0C">
        <w:t xml:space="preserve">15; A/HRC/11/22, </w:t>
      </w:r>
      <w:r>
        <w:t>par</w:t>
      </w:r>
      <w:r w:rsidRPr="00BF7C0C">
        <w:t>.</w:t>
      </w:r>
      <w:r>
        <w:t xml:space="preserve"> 42, 110, 123;</w:t>
      </w:r>
      <w:r w:rsidRPr="00BF7C0C">
        <w:t xml:space="preserve"> A/HRC/WG.6/4/CUB/1, </w:t>
      </w:r>
      <w:r>
        <w:t>par</w:t>
      </w:r>
      <w:r w:rsidRPr="00BF7C0C">
        <w:t>. 90 h), 99</w:t>
      </w:r>
      <w:r>
        <w:t xml:space="preserve"> à </w:t>
      </w:r>
      <w:r w:rsidRPr="00BF7C0C">
        <w:t xml:space="preserve">101; A/HRC/WG.6/4/CUB/2, </w:t>
      </w:r>
      <w:r>
        <w:t>par</w:t>
      </w:r>
      <w:r w:rsidRPr="00BF7C0C">
        <w:t xml:space="preserve">. 16; A/HRC/11/22, </w:t>
      </w:r>
      <w:r>
        <w:t>par</w:t>
      </w:r>
      <w:r w:rsidRPr="00BF7C0C">
        <w:t xml:space="preserve">. 117; A/HRC/WG.6/4/CUB/1, </w:t>
      </w:r>
      <w:r>
        <w:t>par. 102 à 1</w:t>
      </w:r>
      <w:r w:rsidRPr="00BF7C0C">
        <w:t>04.</w:t>
      </w:r>
    </w:p>
  </w:footnote>
  <w:footnote w:id="24">
    <w:p w:rsidR="007A371E" w:rsidRDefault="007A371E" w:rsidP="00C07B77">
      <w:pPr>
        <w:pStyle w:val="FootnoteText"/>
      </w:pPr>
      <w:r>
        <w:tab/>
      </w:r>
      <w:r>
        <w:rPr>
          <w:rStyle w:val="FootnoteReference"/>
        </w:rPr>
        <w:footnoteRef/>
      </w:r>
      <w:r>
        <w:tab/>
      </w:r>
      <w:r w:rsidRPr="00BF7C0C">
        <w:t>CERD/C/CUB/CO/14-18, p</w:t>
      </w:r>
      <w:r>
        <w:t>a</w:t>
      </w:r>
      <w:r w:rsidRPr="00BF7C0C">
        <w:t xml:space="preserve">r. 12; A/HRC/WG.6/4/CUB/1, </w:t>
      </w:r>
      <w:r>
        <w:t>par</w:t>
      </w:r>
      <w:r w:rsidRPr="00BF7C0C">
        <w:t xml:space="preserve">. 39; A/HRC/WG.6/4/CUB/2, </w:t>
      </w:r>
      <w:r>
        <w:t>par</w:t>
      </w:r>
      <w:r w:rsidRPr="00BF7C0C">
        <w:t xml:space="preserve">. 13; A/HRC/WG.6/4/CUB/3, </w:t>
      </w:r>
      <w:r>
        <w:t>par</w:t>
      </w:r>
      <w:r w:rsidRPr="00BF7C0C">
        <w:t>. 11</w:t>
      </w:r>
      <w:r>
        <w:t xml:space="preserve"> et </w:t>
      </w:r>
      <w:r w:rsidRPr="00BF7C0C">
        <w:t xml:space="preserve">12; A/HRC/11/22, </w:t>
      </w:r>
      <w:r>
        <w:t>par</w:t>
      </w:r>
      <w:r w:rsidRPr="00BF7C0C">
        <w:t xml:space="preserve">.74, 79, 86, </w:t>
      </w:r>
      <w:r>
        <w:t>105, 106, 126, 131 13)</w:t>
      </w:r>
      <w:r w:rsidRPr="00BF7C0C">
        <w:t>.</w:t>
      </w:r>
    </w:p>
  </w:footnote>
  <w:footnote w:id="25">
    <w:p w:rsidR="007A371E" w:rsidRDefault="007A371E" w:rsidP="00910713">
      <w:pPr>
        <w:pStyle w:val="FootnoteText"/>
      </w:pPr>
      <w:r>
        <w:tab/>
      </w:r>
      <w:r>
        <w:rPr>
          <w:rStyle w:val="FootnoteReference"/>
        </w:rPr>
        <w:footnoteRef/>
      </w:r>
      <w:r>
        <w:tab/>
        <w:t>A</w:t>
      </w:r>
      <w:r w:rsidRPr="00BF7C0C">
        <w:t>/HRC/WG.6/4/CUB/3, p</w:t>
      </w:r>
      <w:r>
        <w:t>a</w:t>
      </w:r>
      <w:r w:rsidRPr="00BF7C0C">
        <w:t>r. 17; CAT/C/SR.309, p</w:t>
      </w:r>
      <w:r>
        <w:t>a</w:t>
      </w:r>
      <w:r w:rsidRPr="00BF7C0C">
        <w:t>r. 24.</w:t>
      </w:r>
    </w:p>
  </w:footnote>
  <w:footnote w:id="26">
    <w:p w:rsidR="007A371E" w:rsidRDefault="007A371E" w:rsidP="00910713">
      <w:pPr>
        <w:pStyle w:val="FootnoteText"/>
      </w:pPr>
      <w:r>
        <w:tab/>
      </w:r>
      <w:r>
        <w:rPr>
          <w:rStyle w:val="FootnoteReference"/>
        </w:rPr>
        <w:footnoteRef/>
      </w:r>
      <w:r>
        <w:tab/>
        <w:t>A/53/44, par. 118 b); CAT/C/CUB/2, par. 211 à 235 et 283 et 284; CAT/C/SR.309, par. 38 et 39; A/HRC/WG.6/4/CUB/3, par. 13; A/HRC/4/12; A/HRC/WG.6/4/CUB/2, par. 3, 14 et 23; A/HRC/WG.6/4/CUB/1, par. 80 à 87; A/HRC/11/22, par. 40 et 124.</w:t>
      </w:r>
    </w:p>
  </w:footnote>
  <w:footnote w:id="27">
    <w:p w:rsidR="007A371E" w:rsidRDefault="007A371E" w:rsidP="00910713">
      <w:pPr>
        <w:pStyle w:val="FootnoteText"/>
      </w:pPr>
      <w:r>
        <w:tab/>
      </w:r>
      <w:r>
        <w:rPr>
          <w:rStyle w:val="FootnoteReference"/>
        </w:rPr>
        <w:footnoteRef/>
      </w:r>
      <w:r>
        <w:tab/>
        <w:t>A/HRC/11/22, par. 19 et 124; A/HRC/WG.6/4/CUB/2, par. 15.</w:t>
      </w:r>
    </w:p>
  </w:footnote>
  <w:footnote w:id="28">
    <w:p w:rsidR="007A371E" w:rsidRDefault="007A371E" w:rsidP="00910713">
      <w:pPr>
        <w:pStyle w:val="FootnoteText"/>
      </w:pPr>
      <w:r>
        <w:tab/>
      </w:r>
      <w:r>
        <w:rPr>
          <w:rStyle w:val="FootnoteReference"/>
        </w:rPr>
        <w:footnoteRef/>
      </w:r>
      <w:r>
        <w:tab/>
        <w:t>Voir aussi CAT/C/SR.309, par. 42 et 49; CAT/C/SR.310/Add.1, par. 14 et 33; A/HRC/WG.6/4/CUB/2, par. 14.</w:t>
      </w:r>
    </w:p>
  </w:footnote>
  <w:footnote w:id="29">
    <w:p w:rsidR="007A371E" w:rsidRDefault="007A371E" w:rsidP="00910713">
      <w:pPr>
        <w:pStyle w:val="FootnoteText"/>
      </w:pPr>
      <w:r>
        <w:tab/>
      </w:r>
      <w:r>
        <w:rPr>
          <w:rStyle w:val="FootnoteReference"/>
        </w:rPr>
        <w:footnoteRef/>
      </w:r>
      <w:r>
        <w:tab/>
        <w:t>CAT/C/SR.309, par. 16, 21 et 45; CAT/C/SR.310/Add.1, par. 29.</w:t>
      </w:r>
    </w:p>
  </w:footnote>
  <w:footnote w:id="30">
    <w:p w:rsidR="007A371E" w:rsidRDefault="007A371E" w:rsidP="00910713">
      <w:pPr>
        <w:pStyle w:val="FootnoteText"/>
      </w:pPr>
      <w:r>
        <w:tab/>
      </w:r>
      <w:r>
        <w:rPr>
          <w:rStyle w:val="FootnoteReference"/>
        </w:rPr>
        <w:footnoteRef/>
      </w:r>
      <w:r>
        <w:tab/>
        <w:t>A/HRC/WG.6/4/CUB/2, par. 29, 30 et 36; A/HRC/WG.6/4/CUB/3, par. 16, 17, 21, 22, 25 et 29; A/HRC/11/22, par. 64, 79, 82, 83, 96, 110, 114, 115 et 131 17); A/HRC/WG.6/4/CUB/2, par. 26.</w:t>
      </w:r>
    </w:p>
  </w:footnote>
  <w:footnote w:id="31">
    <w:p w:rsidR="007A371E" w:rsidRDefault="007A371E" w:rsidP="00910713">
      <w:pPr>
        <w:pStyle w:val="FootnoteText"/>
      </w:pPr>
      <w:r>
        <w:tab/>
      </w:r>
      <w:r>
        <w:rPr>
          <w:rStyle w:val="FootnoteReference"/>
        </w:rPr>
        <w:footnoteRef/>
      </w:r>
      <w:r>
        <w:tab/>
        <w:t>A/HRC/WG.6/4/CUB/3, par. 25; A/HRC/WG.6/4/CUB/3, par. 64; A/HRC/11/22, par. 96.</w:t>
      </w:r>
    </w:p>
  </w:footnote>
  <w:footnote w:id="32">
    <w:p w:rsidR="007A371E" w:rsidRDefault="007A371E" w:rsidP="00910713">
      <w:pPr>
        <w:pStyle w:val="FootnoteText"/>
      </w:pPr>
      <w:r>
        <w:tab/>
      </w:r>
      <w:r>
        <w:rPr>
          <w:rStyle w:val="FootnoteReference"/>
        </w:rPr>
        <w:footnoteRef/>
      </w:r>
      <w:r>
        <w:tab/>
        <w:t>A/HRC/11/22, par. 64.</w:t>
      </w:r>
    </w:p>
  </w:footnote>
  <w:footnote w:id="33">
    <w:p w:rsidR="007A371E" w:rsidRDefault="007A371E" w:rsidP="00910713">
      <w:pPr>
        <w:pStyle w:val="FootnoteText"/>
      </w:pPr>
      <w:r>
        <w:tab/>
      </w:r>
      <w:r>
        <w:rPr>
          <w:rStyle w:val="FootnoteReference"/>
        </w:rPr>
        <w:footnoteRef/>
      </w:r>
      <w:r>
        <w:tab/>
        <w:t>Ibid., par. 86 et 131 2).</w:t>
      </w:r>
    </w:p>
  </w:footnote>
  <w:footnote w:id="34">
    <w:p w:rsidR="007A371E" w:rsidRDefault="007A371E" w:rsidP="00910713">
      <w:pPr>
        <w:pStyle w:val="FootnoteText"/>
      </w:pPr>
      <w:r>
        <w:tab/>
      </w:r>
      <w:r>
        <w:rPr>
          <w:rStyle w:val="FootnoteReference"/>
        </w:rPr>
        <w:footnoteRef/>
      </w:r>
      <w:r>
        <w:tab/>
        <w:t>Ibid., par. 131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1E" w:rsidRPr="00C07B77" w:rsidRDefault="007A371E">
    <w:pPr>
      <w:pStyle w:val="Header"/>
    </w:pPr>
    <w:r>
      <w:t>CAT/C/CUB/Q/2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1E" w:rsidRPr="00C07B77" w:rsidRDefault="007A371E" w:rsidP="00C07B77">
    <w:pPr>
      <w:pStyle w:val="Header"/>
      <w:jc w:val="right"/>
    </w:pPr>
    <w:r>
      <w:t>CAT/C/CUB/Q/2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012"/>
    <w:rsid w:val="00016AC5"/>
    <w:rsid w:val="000B4A03"/>
    <w:rsid w:val="000D7F87"/>
    <w:rsid w:val="000F41F2"/>
    <w:rsid w:val="00106822"/>
    <w:rsid w:val="00130A5B"/>
    <w:rsid w:val="00160540"/>
    <w:rsid w:val="00192EEB"/>
    <w:rsid w:val="001A20FB"/>
    <w:rsid w:val="001D7F8A"/>
    <w:rsid w:val="001E3FEB"/>
    <w:rsid w:val="001E4A02"/>
    <w:rsid w:val="00216DBE"/>
    <w:rsid w:val="00225A8C"/>
    <w:rsid w:val="00231304"/>
    <w:rsid w:val="00235888"/>
    <w:rsid w:val="002659F1"/>
    <w:rsid w:val="00266C1F"/>
    <w:rsid w:val="00287E79"/>
    <w:rsid w:val="002928F9"/>
    <w:rsid w:val="00297B00"/>
    <w:rsid w:val="002A5D07"/>
    <w:rsid w:val="002A7489"/>
    <w:rsid w:val="002E0C1D"/>
    <w:rsid w:val="003016B7"/>
    <w:rsid w:val="00311ADA"/>
    <w:rsid w:val="003515AA"/>
    <w:rsid w:val="003536BF"/>
    <w:rsid w:val="00374106"/>
    <w:rsid w:val="003976D5"/>
    <w:rsid w:val="003A7ABD"/>
    <w:rsid w:val="003D4E3D"/>
    <w:rsid w:val="003D6C68"/>
    <w:rsid w:val="004159D0"/>
    <w:rsid w:val="00427DB7"/>
    <w:rsid w:val="00455D94"/>
    <w:rsid w:val="004568F1"/>
    <w:rsid w:val="00464418"/>
    <w:rsid w:val="004A3423"/>
    <w:rsid w:val="004F4B54"/>
    <w:rsid w:val="00525DBB"/>
    <w:rsid w:val="00543D5E"/>
    <w:rsid w:val="005610B3"/>
    <w:rsid w:val="00571F41"/>
    <w:rsid w:val="005C503E"/>
    <w:rsid w:val="005D0661"/>
    <w:rsid w:val="005E0932"/>
    <w:rsid w:val="005E5D1F"/>
    <w:rsid w:val="00611D43"/>
    <w:rsid w:val="00612D48"/>
    <w:rsid w:val="00616B45"/>
    <w:rsid w:val="00630D9B"/>
    <w:rsid w:val="00631953"/>
    <w:rsid w:val="006439EC"/>
    <w:rsid w:val="006647E0"/>
    <w:rsid w:val="006B132B"/>
    <w:rsid w:val="006B4590"/>
    <w:rsid w:val="006C340C"/>
    <w:rsid w:val="006C7018"/>
    <w:rsid w:val="006F41FE"/>
    <w:rsid w:val="0070347C"/>
    <w:rsid w:val="007176C1"/>
    <w:rsid w:val="00730A1D"/>
    <w:rsid w:val="0073122C"/>
    <w:rsid w:val="00743A69"/>
    <w:rsid w:val="007A371E"/>
    <w:rsid w:val="007B0499"/>
    <w:rsid w:val="007F3FA0"/>
    <w:rsid w:val="007F55CB"/>
    <w:rsid w:val="00844750"/>
    <w:rsid w:val="008464C8"/>
    <w:rsid w:val="00866F4C"/>
    <w:rsid w:val="008B44C4"/>
    <w:rsid w:val="008C0AF2"/>
    <w:rsid w:val="008E675E"/>
    <w:rsid w:val="008E7FAE"/>
    <w:rsid w:val="00910713"/>
    <w:rsid w:val="00911BF7"/>
    <w:rsid w:val="00934B8A"/>
    <w:rsid w:val="00964012"/>
    <w:rsid w:val="00966022"/>
    <w:rsid w:val="00977EC8"/>
    <w:rsid w:val="009D3A8C"/>
    <w:rsid w:val="009D501E"/>
    <w:rsid w:val="009E7956"/>
    <w:rsid w:val="00A103C4"/>
    <w:rsid w:val="00A207DE"/>
    <w:rsid w:val="00A2492E"/>
    <w:rsid w:val="00A50390"/>
    <w:rsid w:val="00A56EA8"/>
    <w:rsid w:val="00A665CA"/>
    <w:rsid w:val="00A925F9"/>
    <w:rsid w:val="00AB2B9C"/>
    <w:rsid w:val="00AC67A1"/>
    <w:rsid w:val="00AC75CC"/>
    <w:rsid w:val="00AC7977"/>
    <w:rsid w:val="00AE352C"/>
    <w:rsid w:val="00AF5A9D"/>
    <w:rsid w:val="00B32E2D"/>
    <w:rsid w:val="00B61990"/>
    <w:rsid w:val="00B63A55"/>
    <w:rsid w:val="00B77C99"/>
    <w:rsid w:val="00BA31B5"/>
    <w:rsid w:val="00BC554A"/>
    <w:rsid w:val="00BD0192"/>
    <w:rsid w:val="00BF0556"/>
    <w:rsid w:val="00C005F9"/>
    <w:rsid w:val="00C07B77"/>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17BD0"/>
    <w:rsid w:val="00E34E81"/>
    <w:rsid w:val="00E81E94"/>
    <w:rsid w:val="00E82607"/>
    <w:rsid w:val="00EA5C41"/>
    <w:rsid w:val="00EE1A0D"/>
    <w:rsid w:val="00F95645"/>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C07B77"/>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3393</Words>
  <Characters>18664</Characters>
  <Application>Microsoft Office Word</Application>
  <DocSecurity>4</DocSecurity>
  <Lines>155</Lines>
  <Paragraphs>44</Paragraphs>
  <ScaleCrop>false</ScaleCrop>
  <HeadingPairs>
    <vt:vector size="2" baseType="variant">
      <vt:variant>
        <vt:lpstr>Titre</vt:lpstr>
      </vt:variant>
      <vt:variant>
        <vt:i4>1</vt:i4>
      </vt:variant>
    </vt:vector>
  </HeadingPairs>
  <TitlesOfParts>
    <vt:vector size="1" baseType="lpstr">
      <vt:lpstr>CAT/C/CUB/Q/2</vt:lpstr>
    </vt:vector>
  </TitlesOfParts>
  <Company>CSD</Company>
  <LinksUpToDate>false</LinksUpToDate>
  <CharactersWithSpaces>22013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CAT/C/CUB/Q/2</dc:title>
  <dc:subject>Final</dc:subject>
  <dc:creator>Crelier</dc:creator>
  <cp:keywords/>
  <dc:description/>
  <cp:lastModifiedBy>Pool</cp:lastModifiedBy>
  <cp:revision>2</cp:revision>
  <cp:lastPrinted>2012-02-14T10:24:00Z</cp:lastPrinted>
  <dcterms:created xsi:type="dcterms:W3CDTF">2012-02-16T11:04:00Z</dcterms:created>
  <dcterms:modified xsi:type="dcterms:W3CDTF">2012-02-16T11:04:00Z</dcterms:modified>
</cp:coreProperties>
</file>