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C71C1" w14:textId="77777777" w:rsidR="008E6C99" w:rsidRDefault="008E6C99" w:rsidP="008E6C99">
      <w:pPr>
        <w:spacing w:line="240" w:lineRule="auto"/>
        <w:rPr>
          <w:sz w:val="2"/>
        </w:rPr>
        <w:sectPr w:rsidR="008E6C99" w:rsidSect="005606B7">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168A4FEB" w14:textId="77777777" w:rsidR="005606B7" w:rsidRPr="005606B7" w:rsidRDefault="005606B7" w:rsidP="005606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5606B7">
        <w:rPr>
          <w:lang w:val="fr-FR"/>
        </w:rPr>
        <w:t xml:space="preserve">Comité pour l’élimination de la discrimination à l’égard des femmes </w:t>
      </w:r>
    </w:p>
    <w:p w14:paraId="5328A8B6" w14:textId="77777777" w:rsidR="005606B7" w:rsidRPr="005606B7" w:rsidRDefault="005606B7" w:rsidP="00560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606B7">
        <w:rPr>
          <w:lang w:val="fr-FR"/>
        </w:rPr>
        <w:t>Groupe de travail d’avant-session</w:t>
      </w:r>
    </w:p>
    <w:p w14:paraId="59DD2CC0" w14:textId="77777777" w:rsidR="005606B7" w:rsidRPr="005606B7" w:rsidRDefault="005606B7" w:rsidP="005606B7">
      <w:pPr>
        <w:pStyle w:val="Session"/>
      </w:pPr>
      <w:r w:rsidRPr="005606B7">
        <w:t>Soixante-douzième session</w:t>
      </w:r>
    </w:p>
    <w:p w14:paraId="150AAB67" w14:textId="77777777" w:rsidR="005606B7" w:rsidRPr="005606B7" w:rsidRDefault="005606B7" w:rsidP="005606B7">
      <w:pPr>
        <w:rPr>
          <w:lang w:val="fr-FR"/>
        </w:rPr>
      </w:pPr>
      <w:r w:rsidRPr="006213CC">
        <w:rPr>
          <w:lang w:val="fr-FR"/>
        </w:rPr>
        <w:t>23</w:t>
      </w:r>
      <w:r w:rsidRPr="005606B7">
        <w:rPr>
          <w:lang w:val="fr-FR"/>
        </w:rPr>
        <w:t>-</w:t>
      </w:r>
      <w:r w:rsidRPr="006213CC">
        <w:rPr>
          <w:lang w:val="fr-FR"/>
        </w:rPr>
        <w:t>27</w:t>
      </w:r>
      <w:r w:rsidRPr="005606B7">
        <w:rPr>
          <w:lang w:val="fr-FR"/>
        </w:rPr>
        <w:t xml:space="preserve"> juillet </w:t>
      </w:r>
      <w:r w:rsidRPr="006213CC">
        <w:rPr>
          <w:lang w:val="fr-FR"/>
        </w:rPr>
        <w:t>2018</w:t>
      </w:r>
    </w:p>
    <w:p w14:paraId="26337A5E" w14:textId="6AE824AF" w:rsidR="005606B7" w:rsidRPr="005606B7" w:rsidRDefault="005606B7" w:rsidP="005606B7">
      <w:pPr>
        <w:pStyle w:val="SingleTxt"/>
        <w:spacing w:after="0" w:line="120" w:lineRule="exact"/>
        <w:rPr>
          <w:sz w:val="10"/>
          <w:lang w:val="fr-FR"/>
        </w:rPr>
      </w:pPr>
    </w:p>
    <w:p w14:paraId="66D436FF" w14:textId="72161E98" w:rsidR="005606B7" w:rsidRPr="005606B7" w:rsidRDefault="005606B7" w:rsidP="005606B7">
      <w:pPr>
        <w:pStyle w:val="SingleTxt"/>
        <w:spacing w:after="0" w:line="120" w:lineRule="exact"/>
        <w:rPr>
          <w:sz w:val="10"/>
          <w:lang w:val="fr-FR"/>
        </w:rPr>
      </w:pPr>
    </w:p>
    <w:p w14:paraId="55A0B01E" w14:textId="10915554" w:rsidR="005606B7" w:rsidRPr="005606B7" w:rsidRDefault="005606B7" w:rsidP="005606B7">
      <w:pPr>
        <w:pStyle w:val="SingleTxt"/>
        <w:spacing w:after="0" w:line="120" w:lineRule="exact"/>
        <w:rPr>
          <w:sz w:val="10"/>
          <w:lang w:val="fr-FR"/>
        </w:rPr>
      </w:pPr>
    </w:p>
    <w:p w14:paraId="555E463D" w14:textId="150E6CD6" w:rsidR="005606B7" w:rsidRPr="005606B7" w:rsidRDefault="005606B7" w:rsidP="005606B7">
      <w:pPr>
        <w:pStyle w:val="TitleHCH"/>
        <w:ind w:right="1260"/>
        <w:rPr>
          <w:lang w:val="fr-FR"/>
        </w:rPr>
      </w:pPr>
      <w:r w:rsidRPr="005606B7">
        <w:rPr>
          <w:lang w:val="fr-FR"/>
        </w:rPr>
        <w:tab/>
      </w:r>
      <w:r w:rsidRPr="005606B7">
        <w:rPr>
          <w:lang w:val="fr-FR"/>
        </w:rPr>
        <w:tab/>
        <w:t>Examen des rapports soumis par les États parties</w:t>
      </w:r>
      <w:r w:rsidR="00946441">
        <w:rPr>
          <w:lang w:val="fr-FR"/>
        </w:rPr>
        <w:t xml:space="preserve"> en </w:t>
      </w:r>
      <w:r w:rsidRPr="005606B7">
        <w:rPr>
          <w:lang w:val="fr-FR"/>
        </w:rPr>
        <w:t xml:space="preserve">application de l’article </w:t>
      </w:r>
      <w:r w:rsidRPr="006213CC">
        <w:rPr>
          <w:lang w:val="fr-FR"/>
        </w:rPr>
        <w:t>18</w:t>
      </w:r>
      <w:r w:rsidRPr="005606B7">
        <w:rPr>
          <w:lang w:val="fr-FR"/>
        </w:rPr>
        <w:t xml:space="preserve"> de la Convention </w:t>
      </w:r>
      <w:r w:rsidR="00946441">
        <w:rPr>
          <w:lang w:val="fr-FR"/>
        </w:rPr>
        <w:t>sur </w:t>
      </w:r>
      <w:r w:rsidRPr="005606B7">
        <w:rPr>
          <w:lang w:val="fr-FR"/>
        </w:rPr>
        <w:t>l’élimination de tout</w:t>
      </w:r>
      <w:r w:rsidR="00946441">
        <w:rPr>
          <w:lang w:val="fr-FR"/>
        </w:rPr>
        <w:t>es les formes de discrimination à </w:t>
      </w:r>
      <w:r w:rsidRPr="005606B7">
        <w:rPr>
          <w:lang w:val="fr-FR"/>
        </w:rPr>
        <w:t>l’égard des femmes</w:t>
      </w:r>
    </w:p>
    <w:p w14:paraId="7FFFC9F4" w14:textId="02266972" w:rsidR="005606B7" w:rsidRPr="005606B7" w:rsidRDefault="005606B7" w:rsidP="005606B7">
      <w:pPr>
        <w:pStyle w:val="SingleTxt"/>
        <w:spacing w:after="0" w:line="120" w:lineRule="exact"/>
        <w:rPr>
          <w:sz w:val="10"/>
          <w:lang w:val="fr-FR"/>
        </w:rPr>
      </w:pPr>
    </w:p>
    <w:p w14:paraId="16A7DE88" w14:textId="6F441AB9" w:rsidR="005606B7" w:rsidRPr="005606B7" w:rsidRDefault="005606B7" w:rsidP="005606B7">
      <w:pPr>
        <w:pStyle w:val="SingleTxt"/>
        <w:spacing w:after="0" w:line="120" w:lineRule="exact"/>
        <w:rPr>
          <w:sz w:val="10"/>
          <w:lang w:val="fr-FR"/>
        </w:rPr>
      </w:pPr>
    </w:p>
    <w:p w14:paraId="1CB9785D" w14:textId="26CF7672" w:rsidR="005606B7" w:rsidRPr="005606B7" w:rsidRDefault="005606B7" w:rsidP="00B0008D">
      <w:pPr>
        <w:pStyle w:val="TitleH1"/>
        <w:ind w:right="1260"/>
        <w:rPr>
          <w:lang w:val="fr-FR"/>
        </w:rPr>
      </w:pPr>
      <w:r w:rsidRPr="005606B7">
        <w:rPr>
          <w:lang w:val="fr-FR"/>
        </w:rPr>
        <w:tab/>
      </w:r>
      <w:r w:rsidRPr="005606B7">
        <w:rPr>
          <w:lang w:val="fr-FR"/>
        </w:rPr>
        <w:tab/>
        <w:t>Rapport du groupe de travail d’avant-session</w:t>
      </w:r>
    </w:p>
    <w:p w14:paraId="6CD3A0EC" w14:textId="0DD177DF" w:rsidR="005606B7" w:rsidRPr="005606B7" w:rsidRDefault="005606B7" w:rsidP="005606B7">
      <w:pPr>
        <w:pStyle w:val="SingleTxt"/>
        <w:spacing w:after="0" w:line="120" w:lineRule="exact"/>
        <w:rPr>
          <w:sz w:val="10"/>
          <w:lang w:val="fr-FR"/>
        </w:rPr>
      </w:pPr>
    </w:p>
    <w:p w14:paraId="37F05C7C" w14:textId="3A5A6449" w:rsidR="005606B7" w:rsidRPr="005606B7" w:rsidRDefault="005606B7" w:rsidP="005606B7">
      <w:pPr>
        <w:pStyle w:val="SingleTxt"/>
        <w:spacing w:after="0" w:line="120" w:lineRule="exact"/>
        <w:rPr>
          <w:sz w:val="10"/>
          <w:lang w:val="fr-FR"/>
        </w:rPr>
      </w:pPr>
    </w:p>
    <w:p w14:paraId="124B5856" w14:textId="2B2B6C5A" w:rsidR="005606B7" w:rsidRPr="005606B7" w:rsidRDefault="005606B7" w:rsidP="005606B7">
      <w:pPr>
        <w:pStyle w:val="SingleTxt"/>
        <w:numPr>
          <w:ilvl w:val="0"/>
          <w:numId w:val="5"/>
        </w:numPr>
        <w:spacing w:line="240" w:lineRule="exact"/>
        <w:ind w:left="1267"/>
        <w:rPr>
          <w:lang w:val="fr-FR"/>
        </w:rPr>
      </w:pPr>
      <w:r w:rsidRPr="005606B7">
        <w:rPr>
          <w:lang w:val="fr-FR"/>
        </w:rPr>
        <w:t>Le Comité pour l’élimination de la discrimination à l’égard des femmes a pour usage de réunir pour cinq jours un groupe de travail d’avant-session chargé d’établir des listes de points et de questions concernant les rapports initiaux et périodiques qu’il examinera à l’une de ses sessions futures.</w:t>
      </w:r>
    </w:p>
    <w:p w14:paraId="6F8898D5" w14:textId="7D90844F" w:rsidR="005606B7" w:rsidRPr="005606B7" w:rsidRDefault="005606B7" w:rsidP="005606B7">
      <w:pPr>
        <w:pStyle w:val="SingleTxt"/>
        <w:numPr>
          <w:ilvl w:val="0"/>
          <w:numId w:val="5"/>
        </w:numPr>
        <w:spacing w:line="240" w:lineRule="exact"/>
        <w:ind w:left="1267"/>
        <w:rPr>
          <w:lang w:val="fr-FR"/>
        </w:rPr>
      </w:pPr>
      <w:r w:rsidRPr="005606B7">
        <w:rPr>
          <w:lang w:val="fr-FR"/>
        </w:rPr>
        <w:t>Le Comité a décidé que, pour sa soixante-douzième session, le groupe de travail d’avant-s</w:t>
      </w:r>
      <w:r>
        <w:rPr>
          <w:lang w:val="fr-FR"/>
        </w:rPr>
        <w:t xml:space="preserve">ession se réunirait du </w:t>
      </w:r>
      <w:r w:rsidRPr="006213CC">
        <w:rPr>
          <w:lang w:val="fr-FR"/>
        </w:rPr>
        <w:t>23</w:t>
      </w:r>
      <w:r>
        <w:rPr>
          <w:lang w:val="fr-FR"/>
        </w:rPr>
        <w:t xml:space="preserve"> au </w:t>
      </w:r>
      <w:r w:rsidRPr="006213CC">
        <w:rPr>
          <w:lang w:val="fr-FR"/>
        </w:rPr>
        <w:t>27</w:t>
      </w:r>
      <w:r>
        <w:rPr>
          <w:lang w:val="fr-FR"/>
        </w:rPr>
        <w:t> </w:t>
      </w:r>
      <w:r w:rsidRPr="005606B7">
        <w:rPr>
          <w:lang w:val="fr-FR"/>
        </w:rPr>
        <w:t xml:space="preserve">juillet </w:t>
      </w:r>
      <w:r w:rsidRPr="006213CC">
        <w:rPr>
          <w:lang w:val="fr-FR"/>
        </w:rPr>
        <w:t>2018</w:t>
      </w:r>
      <w:r w:rsidRPr="005606B7">
        <w:rPr>
          <w:lang w:val="fr-FR"/>
        </w:rPr>
        <w:t>, immédiatement après sa soixante-dixième session, afin que les États parties disposent de suffisamment de temps pour soumettre par écrit leurs réponses aux listes de points et de questions et que ces réponses puissent être traduites en temps utile.</w:t>
      </w:r>
    </w:p>
    <w:p w14:paraId="665C090E" w14:textId="7571A8AD" w:rsidR="005606B7" w:rsidRPr="005606B7" w:rsidRDefault="005606B7" w:rsidP="005606B7">
      <w:pPr>
        <w:pStyle w:val="SingleTxt"/>
        <w:numPr>
          <w:ilvl w:val="0"/>
          <w:numId w:val="5"/>
        </w:numPr>
        <w:spacing w:line="240" w:lineRule="exact"/>
        <w:ind w:left="1267"/>
        <w:rPr>
          <w:lang w:val="fr-FR"/>
        </w:rPr>
      </w:pPr>
      <w:r w:rsidRPr="005606B7">
        <w:rPr>
          <w:lang w:val="fr-FR"/>
        </w:rPr>
        <w:t>Les experts ci-après ont été nommés m</w:t>
      </w:r>
      <w:bookmarkStart w:id="1" w:name="_GoBack"/>
      <w:bookmarkEnd w:id="1"/>
      <w:r w:rsidRPr="005606B7">
        <w:rPr>
          <w:lang w:val="fr-FR"/>
        </w:rPr>
        <w:t>embres du groupe de travail d’avant-session et ont participé au débat :</w:t>
      </w:r>
    </w:p>
    <w:p w14:paraId="73D44AA7" w14:textId="77777777" w:rsidR="005606B7" w:rsidRPr="005606B7" w:rsidRDefault="005606B7" w:rsidP="005606B7">
      <w:pPr>
        <w:pStyle w:val="SingleTxt"/>
        <w:spacing w:after="0"/>
        <w:rPr>
          <w:lang w:val="fr-FR"/>
        </w:rPr>
      </w:pPr>
      <w:r w:rsidRPr="005606B7">
        <w:rPr>
          <w:lang w:val="fr-FR"/>
        </w:rPr>
        <w:tab/>
        <w:t xml:space="preserve">Magalys Arocha </w:t>
      </w:r>
      <w:r w:rsidRPr="005606B7">
        <w:t>Domínguez</w:t>
      </w:r>
    </w:p>
    <w:p w14:paraId="3240F070" w14:textId="77777777" w:rsidR="005606B7" w:rsidRPr="005606B7" w:rsidRDefault="005606B7" w:rsidP="005606B7">
      <w:pPr>
        <w:pStyle w:val="SingleTxt"/>
        <w:spacing w:after="0"/>
        <w:rPr>
          <w:lang w:val="fr-FR"/>
        </w:rPr>
      </w:pPr>
      <w:r w:rsidRPr="005606B7">
        <w:rPr>
          <w:lang w:val="fr-FR"/>
        </w:rPr>
        <w:tab/>
        <w:t>Lilian Hofmeister</w:t>
      </w:r>
    </w:p>
    <w:p w14:paraId="0054D7A0" w14:textId="77777777" w:rsidR="005606B7" w:rsidRPr="005606B7" w:rsidRDefault="005606B7" w:rsidP="005606B7">
      <w:pPr>
        <w:pStyle w:val="SingleTxt"/>
        <w:spacing w:after="0"/>
        <w:rPr>
          <w:lang w:val="fr-FR"/>
        </w:rPr>
      </w:pPr>
      <w:r w:rsidRPr="005606B7">
        <w:rPr>
          <w:lang w:val="fr-FR"/>
        </w:rPr>
        <w:tab/>
        <w:t>Lia Nadaraia</w:t>
      </w:r>
    </w:p>
    <w:p w14:paraId="51E0CDEB" w14:textId="77777777" w:rsidR="005606B7" w:rsidRPr="005606B7" w:rsidRDefault="005606B7" w:rsidP="005606B7">
      <w:pPr>
        <w:pStyle w:val="SingleTxt"/>
        <w:spacing w:after="0"/>
        <w:rPr>
          <w:lang w:val="fr-FR"/>
        </w:rPr>
      </w:pPr>
      <w:r w:rsidRPr="005606B7">
        <w:rPr>
          <w:lang w:val="fr-FR"/>
        </w:rPr>
        <w:tab/>
        <w:t>Wenyan Song</w:t>
      </w:r>
    </w:p>
    <w:p w14:paraId="3848A470" w14:textId="77777777" w:rsidR="005606B7" w:rsidRPr="005606B7" w:rsidRDefault="005606B7" w:rsidP="005606B7">
      <w:pPr>
        <w:pStyle w:val="SingleTxt"/>
        <w:rPr>
          <w:lang w:val="fr-FR"/>
        </w:rPr>
      </w:pPr>
      <w:r w:rsidRPr="005606B7">
        <w:rPr>
          <w:lang w:val="fr-FR"/>
        </w:rPr>
        <w:tab/>
        <w:t>Aicha Vall Verges</w:t>
      </w:r>
    </w:p>
    <w:p w14:paraId="55D92C69" w14:textId="5202EF0C" w:rsidR="005606B7" w:rsidRPr="005606B7" w:rsidRDefault="005606B7" w:rsidP="005606B7">
      <w:pPr>
        <w:pStyle w:val="SingleTxt"/>
        <w:numPr>
          <w:ilvl w:val="0"/>
          <w:numId w:val="5"/>
        </w:numPr>
        <w:spacing w:line="240" w:lineRule="exact"/>
        <w:ind w:left="1267"/>
        <w:rPr>
          <w:lang w:val="fr-FR"/>
        </w:rPr>
      </w:pPr>
      <w:r w:rsidRPr="005606B7">
        <w:rPr>
          <w:lang w:val="fr-FR"/>
        </w:rPr>
        <w:t>Le groupe de travail d’avant session a élu M</w:t>
      </w:r>
      <w:r w:rsidRPr="005606B7">
        <w:rPr>
          <w:vertAlign w:val="superscript"/>
          <w:lang w:val="fr-FR"/>
        </w:rPr>
        <w:t>me</w:t>
      </w:r>
      <w:r w:rsidRPr="005606B7">
        <w:rPr>
          <w:lang w:val="fr-FR"/>
        </w:rPr>
        <w:t xml:space="preserve"> Nadaraia Présidente.</w:t>
      </w:r>
    </w:p>
    <w:p w14:paraId="07899C2D" w14:textId="5599899B" w:rsidR="005606B7" w:rsidRPr="005606B7" w:rsidRDefault="005606B7" w:rsidP="005606B7">
      <w:pPr>
        <w:pStyle w:val="SingleTxt"/>
        <w:numPr>
          <w:ilvl w:val="0"/>
          <w:numId w:val="5"/>
        </w:numPr>
        <w:spacing w:line="240" w:lineRule="exact"/>
        <w:ind w:left="1267"/>
        <w:rPr>
          <w:lang w:val="fr-FR"/>
        </w:rPr>
      </w:pPr>
      <w:r w:rsidRPr="005606B7">
        <w:rPr>
          <w:lang w:val="fr-FR"/>
        </w:rPr>
        <w:t xml:space="preserve">Le groupe de travail d’avant-session a établi des listes de points et de questions concernant les rapports de l’Angola, de Antigua-et-Barbuda, du Botswana, de la Colombie, de l’Éthiopie, du Royaume-Uni de Grande-Bretagne et d’Irlande du Nord et de la Serbie. Pour ce faire, il s’est appuyé sur la décision </w:t>
      </w:r>
      <w:r w:rsidRPr="006213CC">
        <w:rPr>
          <w:lang w:val="fr-FR"/>
        </w:rPr>
        <w:t>49</w:t>
      </w:r>
      <w:r w:rsidRPr="005606B7">
        <w:rPr>
          <w:lang w:val="fr-FR"/>
        </w:rPr>
        <w:t xml:space="preserve">/IX du Comité de limiter ces listes à </w:t>
      </w:r>
      <w:r w:rsidRPr="006213CC">
        <w:rPr>
          <w:lang w:val="fr-FR"/>
        </w:rPr>
        <w:t>20</w:t>
      </w:r>
      <w:r w:rsidRPr="005606B7">
        <w:rPr>
          <w:lang w:val="fr-FR"/>
        </w:rPr>
        <w:t xml:space="preserve"> questions. En pratique, certaines listes contiennent exceptionnellement jusqu’à </w:t>
      </w:r>
      <w:r w:rsidRPr="006213CC">
        <w:rPr>
          <w:lang w:val="fr-FR"/>
        </w:rPr>
        <w:t>23</w:t>
      </w:r>
      <w:r w:rsidRPr="005606B7">
        <w:rPr>
          <w:lang w:val="fr-FR"/>
        </w:rPr>
        <w:t> paragraphes.</w:t>
      </w:r>
    </w:p>
    <w:p w14:paraId="453930A1" w14:textId="727C17EA" w:rsidR="005606B7" w:rsidRPr="005606B7" w:rsidRDefault="005606B7" w:rsidP="005606B7">
      <w:pPr>
        <w:pStyle w:val="SingleTxt"/>
        <w:numPr>
          <w:ilvl w:val="0"/>
          <w:numId w:val="5"/>
        </w:numPr>
        <w:spacing w:line="240" w:lineRule="exact"/>
        <w:ind w:left="1267"/>
        <w:rPr>
          <w:lang w:val="fr-FR"/>
        </w:rPr>
      </w:pPr>
      <w:r w:rsidRPr="005606B7">
        <w:rPr>
          <w:lang w:val="fr-FR"/>
        </w:rPr>
        <w:lastRenderedPageBreak/>
        <w:t>Pour établir ces listes de points et de questions, le groupe de travail d’avant-session disposait des versions électroniques des rapports des États parties énumérés ci-dessus ainsi que de leurs documents de base, à l’exception de ceux d’Antigua-et-Barbuda et du Botswana ; des recommandations générales adoptées par le Comité ; des projets de listes de points et de questions établis par le secrétariat ; et d’autres informations, y compris les observations finales du Comité et d’autres organes conventionnels, le cas échéant. Il a par ailleurs prêté une attention particulière à la suite donnée par les États parties aux observations finales formulées par le Comité au sujet de leurs rapports précédents.</w:t>
      </w:r>
    </w:p>
    <w:p w14:paraId="3E0B78DD" w14:textId="1DAE54FC" w:rsidR="005606B7" w:rsidRPr="005606B7" w:rsidRDefault="005606B7" w:rsidP="005606B7">
      <w:pPr>
        <w:pStyle w:val="SingleTxt"/>
        <w:numPr>
          <w:ilvl w:val="0"/>
          <w:numId w:val="5"/>
        </w:numPr>
        <w:spacing w:line="240" w:lineRule="exact"/>
        <w:ind w:left="1267"/>
        <w:rPr>
          <w:lang w:val="fr-FR"/>
        </w:rPr>
      </w:pPr>
      <w:r w:rsidRPr="005606B7">
        <w:rPr>
          <w:lang w:val="fr-FR"/>
        </w:rPr>
        <w:t>Pour les États parties énumérés ci-dessus, le groupe de travail d’avant-session s’est appuyé sur des informations communiquées par écrit et oralement par des entités des Nations Unies et par des organisations non gouvernementales, ainsi que par des institutions nationales de défense des droits de l’homme.</w:t>
      </w:r>
    </w:p>
    <w:p w14:paraId="59289119" w14:textId="43FF0D74" w:rsidR="005606B7" w:rsidRPr="005606B7" w:rsidRDefault="005606B7" w:rsidP="005606B7">
      <w:pPr>
        <w:pStyle w:val="SingleTxt"/>
        <w:numPr>
          <w:ilvl w:val="0"/>
          <w:numId w:val="5"/>
        </w:numPr>
        <w:spacing w:line="240" w:lineRule="exact"/>
        <w:ind w:left="1267"/>
        <w:rPr>
          <w:lang w:val="fr-FR"/>
        </w:rPr>
      </w:pPr>
      <w:r w:rsidRPr="005606B7">
        <w:rPr>
          <w:lang w:val="fr-FR"/>
        </w:rPr>
        <w:t>Les listes de points et de questions adoptées par le groupe de travail d’avant-session ont été transmises aux États parties concernés et figurent dans les documents suivants :</w:t>
      </w:r>
    </w:p>
    <w:p w14:paraId="04534B9F" w14:textId="1E0E44E7" w:rsidR="005606B7" w:rsidRPr="005606B7" w:rsidRDefault="005606B7" w:rsidP="005606B7">
      <w:pPr>
        <w:pStyle w:val="SingleTxt"/>
        <w:rPr>
          <w:lang w:val="fr-FR"/>
        </w:rPr>
      </w:pPr>
      <w:r>
        <w:rPr>
          <w:lang w:val="fr-FR"/>
        </w:rPr>
        <w:tab/>
      </w:r>
      <w:r w:rsidRPr="005606B7">
        <w:rPr>
          <w:lang w:val="fr-FR"/>
        </w:rPr>
        <w:t>a)</w:t>
      </w:r>
      <w:r w:rsidRPr="005606B7">
        <w:rPr>
          <w:lang w:val="fr-FR"/>
        </w:rPr>
        <w:tab/>
        <w:t>Liste de points et de questions concernant le septième rapport périodique de l’Angola (</w:t>
      </w:r>
      <w:hyperlink r:id="rId16" w:history="1">
        <w:r w:rsidRPr="006213CC">
          <w:rPr>
            <w:rStyle w:val="Hyperlink"/>
            <w:color w:val="0000FF"/>
            <w:lang w:val="fr-FR"/>
          </w:rPr>
          <w:t>CEDAW/C/AGO/Q/7</w:t>
        </w:r>
      </w:hyperlink>
      <w:r w:rsidRPr="005606B7">
        <w:rPr>
          <w:lang w:val="fr-FR"/>
        </w:rPr>
        <w:t>) ;</w:t>
      </w:r>
    </w:p>
    <w:p w14:paraId="0A88B695" w14:textId="24760459" w:rsidR="005606B7" w:rsidRPr="005606B7" w:rsidRDefault="005606B7" w:rsidP="005606B7">
      <w:pPr>
        <w:pStyle w:val="SingleTxt"/>
        <w:rPr>
          <w:lang w:val="fr-FR"/>
        </w:rPr>
      </w:pPr>
      <w:r w:rsidRPr="005606B7">
        <w:rPr>
          <w:lang w:val="fr-FR"/>
        </w:rPr>
        <w:tab/>
        <w:t>b)</w:t>
      </w:r>
      <w:r w:rsidRPr="005606B7">
        <w:rPr>
          <w:lang w:val="fr-FR"/>
        </w:rPr>
        <w:tab/>
        <w:t>Liste de points et de questions concernant les quatrième à septième rapports périodiques (présentés en un seul document) d’Antigua-et-Barbuda (</w:t>
      </w:r>
      <w:hyperlink r:id="rId17" w:history="1">
        <w:r w:rsidRPr="006213CC">
          <w:rPr>
            <w:rStyle w:val="Hyperlink"/>
            <w:color w:val="0000FF"/>
            <w:lang w:val="fr-FR"/>
          </w:rPr>
          <w:t>CEDAW/C/ATG/Q/4-7/Add.1</w:t>
        </w:r>
      </w:hyperlink>
      <w:r w:rsidRPr="005606B7">
        <w:rPr>
          <w:lang w:val="fr-FR"/>
        </w:rPr>
        <w:t>) ;</w:t>
      </w:r>
    </w:p>
    <w:p w14:paraId="39D11EDD" w14:textId="5E91872C" w:rsidR="005606B7" w:rsidRPr="005606B7" w:rsidRDefault="005606B7" w:rsidP="005606B7">
      <w:pPr>
        <w:pStyle w:val="SingleTxt"/>
        <w:rPr>
          <w:lang w:val="fr-FR"/>
        </w:rPr>
      </w:pPr>
      <w:r w:rsidRPr="005606B7">
        <w:rPr>
          <w:lang w:val="fr-FR"/>
        </w:rPr>
        <w:tab/>
        <w:t>c)</w:t>
      </w:r>
      <w:r w:rsidRPr="005606B7">
        <w:rPr>
          <w:lang w:val="fr-FR"/>
        </w:rPr>
        <w:tab/>
        <w:t>Liste de points et de questions concernant le quatrième rapport périodique du Botswana (</w:t>
      </w:r>
      <w:hyperlink r:id="rId18" w:history="1">
        <w:r w:rsidRPr="006213CC">
          <w:rPr>
            <w:rStyle w:val="Hyperlink"/>
            <w:color w:val="0000FF"/>
            <w:lang w:val="fr-FR"/>
          </w:rPr>
          <w:t>CEDAW/C/BWA/Q/4</w:t>
        </w:r>
      </w:hyperlink>
      <w:r w:rsidRPr="005606B7">
        <w:rPr>
          <w:lang w:val="fr-FR"/>
        </w:rPr>
        <w:t>) ;</w:t>
      </w:r>
    </w:p>
    <w:p w14:paraId="2699C89F" w14:textId="0FFB8FB5" w:rsidR="005606B7" w:rsidRPr="005606B7" w:rsidRDefault="005606B7" w:rsidP="005606B7">
      <w:pPr>
        <w:pStyle w:val="SingleTxt"/>
        <w:rPr>
          <w:lang w:val="fr-FR"/>
        </w:rPr>
      </w:pPr>
      <w:r w:rsidRPr="005606B7">
        <w:rPr>
          <w:lang w:val="fr-FR"/>
        </w:rPr>
        <w:tab/>
        <w:t>d)</w:t>
      </w:r>
      <w:r w:rsidRPr="005606B7">
        <w:rPr>
          <w:lang w:val="fr-FR"/>
        </w:rPr>
        <w:tab/>
        <w:t>Liste de points et de questions concernant le neuvième rapport périodique de la Colombie (</w:t>
      </w:r>
      <w:hyperlink r:id="rId19" w:history="1">
        <w:r w:rsidRPr="006213CC">
          <w:rPr>
            <w:rStyle w:val="Hyperlink"/>
            <w:color w:val="0000FF"/>
            <w:lang w:val="fr-FR"/>
          </w:rPr>
          <w:t>CEDAW/C/COL/Q/9</w:t>
        </w:r>
      </w:hyperlink>
      <w:r w:rsidRPr="005606B7">
        <w:rPr>
          <w:lang w:val="fr-FR"/>
        </w:rPr>
        <w:t>) ;</w:t>
      </w:r>
    </w:p>
    <w:p w14:paraId="74B24869" w14:textId="40C4DBBC" w:rsidR="005606B7" w:rsidRPr="005606B7" w:rsidRDefault="005606B7" w:rsidP="005606B7">
      <w:pPr>
        <w:pStyle w:val="SingleTxt"/>
        <w:rPr>
          <w:lang w:val="fr-FR"/>
        </w:rPr>
      </w:pPr>
      <w:r w:rsidRPr="005606B7">
        <w:rPr>
          <w:lang w:val="fr-FR"/>
        </w:rPr>
        <w:tab/>
        <w:t>e)</w:t>
      </w:r>
      <w:r w:rsidRPr="005606B7">
        <w:rPr>
          <w:lang w:val="fr-FR"/>
        </w:rPr>
        <w:tab/>
        <w:t>Liste de points et de questions concernant le huitième rapport périodique de l’Éthiopie (</w:t>
      </w:r>
      <w:hyperlink r:id="rId20" w:history="1">
        <w:r w:rsidRPr="006213CC">
          <w:rPr>
            <w:rStyle w:val="Hyperlink"/>
            <w:color w:val="0000FF"/>
            <w:lang w:val="fr-FR"/>
          </w:rPr>
          <w:t>CEDAW/C/ETH/Q/8</w:t>
        </w:r>
      </w:hyperlink>
      <w:r w:rsidRPr="005606B7">
        <w:rPr>
          <w:lang w:val="fr-FR"/>
        </w:rPr>
        <w:t>) ;</w:t>
      </w:r>
    </w:p>
    <w:p w14:paraId="7690DD60" w14:textId="5B2E91FD" w:rsidR="005606B7" w:rsidRPr="005606B7" w:rsidRDefault="005606B7" w:rsidP="005606B7">
      <w:pPr>
        <w:pStyle w:val="SingleTxt"/>
        <w:rPr>
          <w:lang w:val="fr-FR"/>
        </w:rPr>
      </w:pPr>
      <w:r w:rsidRPr="005606B7">
        <w:rPr>
          <w:lang w:val="fr-FR"/>
        </w:rPr>
        <w:tab/>
        <w:t>f)</w:t>
      </w:r>
      <w:r w:rsidRPr="005606B7">
        <w:rPr>
          <w:lang w:val="fr-FR"/>
        </w:rPr>
        <w:tab/>
        <w:t>Liste de points et de questions concernant le quatrième rapport périodique de la Serbie (</w:t>
      </w:r>
      <w:hyperlink r:id="rId21" w:history="1">
        <w:r w:rsidRPr="006213CC">
          <w:rPr>
            <w:rStyle w:val="Hyperlink"/>
            <w:color w:val="0000FF"/>
            <w:lang w:val="fr-FR"/>
          </w:rPr>
          <w:t>CEDAW/C/SRB/Q/4</w:t>
        </w:r>
      </w:hyperlink>
      <w:r w:rsidRPr="005606B7">
        <w:rPr>
          <w:lang w:val="fr-FR"/>
        </w:rPr>
        <w:t>) ;</w:t>
      </w:r>
    </w:p>
    <w:p w14:paraId="0D8DC12E" w14:textId="24A376D2" w:rsidR="005606B7" w:rsidRDefault="005606B7" w:rsidP="005606B7">
      <w:pPr>
        <w:pStyle w:val="SingleTxt"/>
      </w:pPr>
      <w:r w:rsidRPr="005606B7">
        <w:rPr>
          <w:lang w:val="fr-FR"/>
        </w:rPr>
        <w:tab/>
        <w:t>g)</w:t>
      </w:r>
      <w:r w:rsidRPr="005606B7">
        <w:rPr>
          <w:lang w:val="fr-FR"/>
        </w:rPr>
        <w:tab/>
        <w:t>Liste de points et de questions concernant le huitième rapport périodique du Royaume-Uni de Grande-Bretagne et d’Irlande du Nord (</w:t>
      </w:r>
      <w:hyperlink r:id="rId22" w:history="1">
        <w:r w:rsidRPr="006213CC">
          <w:rPr>
            <w:rStyle w:val="Hyperlink"/>
            <w:color w:val="0000FF"/>
            <w:lang w:val="fr-FR"/>
          </w:rPr>
          <w:t>CEDAW/C/GBR/Q/8</w:t>
        </w:r>
      </w:hyperlink>
      <w:r w:rsidRPr="005606B7">
        <w:rPr>
          <w:lang w:val="fr-FR"/>
        </w:rPr>
        <w:t>).</w:t>
      </w:r>
    </w:p>
    <w:p w14:paraId="415B8F54" w14:textId="5B01FEC0" w:rsidR="005606B7" w:rsidRDefault="005606B7" w:rsidP="005606B7">
      <w:pPr>
        <w:pStyle w:val="SingleTxt"/>
        <w:numPr>
          <w:ilvl w:val="0"/>
          <w:numId w:val="5"/>
        </w:numPr>
        <w:spacing w:line="240" w:lineRule="exact"/>
        <w:ind w:left="1267"/>
        <w:rPr>
          <w:lang w:val="fr-FR"/>
        </w:rPr>
      </w:pPr>
      <w:r w:rsidRPr="005606B7">
        <w:rPr>
          <w:lang w:val="fr-FR"/>
        </w:rPr>
        <w:t xml:space="preserve">Conformément aux décisions </w:t>
      </w:r>
      <w:r w:rsidRPr="006213CC">
        <w:rPr>
          <w:lang w:val="fr-FR"/>
        </w:rPr>
        <w:t>22</w:t>
      </w:r>
      <w:r w:rsidRPr="005606B7">
        <w:rPr>
          <w:lang w:val="fr-FR"/>
        </w:rPr>
        <w:t xml:space="preserve">/IV, </w:t>
      </w:r>
      <w:r w:rsidRPr="006213CC">
        <w:rPr>
          <w:lang w:val="fr-FR"/>
        </w:rPr>
        <w:t>25</w:t>
      </w:r>
      <w:r w:rsidRPr="005606B7">
        <w:rPr>
          <w:lang w:val="fr-FR"/>
        </w:rPr>
        <w:t xml:space="preserve">/II et </w:t>
      </w:r>
      <w:r w:rsidRPr="006213CC">
        <w:rPr>
          <w:lang w:val="fr-FR"/>
        </w:rPr>
        <w:t>31</w:t>
      </w:r>
      <w:r w:rsidRPr="005606B7">
        <w:rPr>
          <w:lang w:val="fr-FR"/>
        </w:rPr>
        <w:t xml:space="preserve">/III du Comité, les listes de points et de questions ont porté sur des thèmes traités dans la Convention, ainsi que sur les liens entre ces thèmes et la cible </w:t>
      </w:r>
      <w:r w:rsidRPr="006213CC">
        <w:rPr>
          <w:lang w:val="fr-FR"/>
        </w:rPr>
        <w:t>5</w:t>
      </w:r>
      <w:r w:rsidRPr="005606B7">
        <w:rPr>
          <w:lang w:val="fr-FR"/>
        </w:rPr>
        <w:t>.</w:t>
      </w:r>
      <w:r w:rsidRPr="006213CC">
        <w:rPr>
          <w:lang w:val="fr-FR"/>
        </w:rPr>
        <w:t>1</w:t>
      </w:r>
      <w:r w:rsidRPr="005606B7">
        <w:rPr>
          <w:lang w:val="fr-FR"/>
        </w:rPr>
        <w:t xml:space="preserve"> des objectifs de développement durable, à savoir : le cadre constitutionnel et législatif ; l’accès à la justice ; les femmes, la paix et la sécurité, le cas échéant ; le mécanisme national de promotion de la femme ; les mesures temporaires spéciales pour la promotion de la femme ; les stéréotypes et pratiques traditionnelles néfastes ; la violence sexiste à l’égard des femmes et des filles, y compris la violence familiale ; la traite des femmes et l’exploitation de la prostitution ; la participation des femmes à la vie politique et publique ; la nationalité ; l’éducation ; l’emploi ; la santé ; la vie économique et sociale ; la réduction des risques de catastrophe et les changements climatiques ; les femmes rurales ; la situation des groupes de femmes défavorisées, notamment les femmes âgées, les femmes handicapées, les détenues, les femmes autochtones, les femmes appartenant à des minorités ethniques, les réfugiées et les migrantes, les lesbiennes, les bisexuelles, les transgenres et les personnes intersexes ; l’égalité devant la loi ; et le mariage et les rapports familiaux.</w:t>
      </w:r>
    </w:p>
    <w:p w14:paraId="62A8ABA6" w14:textId="43CC9A98" w:rsidR="005606B7" w:rsidRPr="005606B7" w:rsidRDefault="005606B7" w:rsidP="005606B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1B538A38" wp14:editId="39B6E00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E57F6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606B7" w:rsidRPr="005606B7" w:rsidSect="005606B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8T16:56:00Z" w:initials="Start">
    <w:p w14:paraId="51E69226" w14:textId="77777777" w:rsidR="008E6C99" w:rsidRPr="005606B7" w:rsidRDefault="008E6C99">
      <w:pPr>
        <w:pStyle w:val="CommentText"/>
        <w:rPr>
          <w:lang w:val="en-US"/>
        </w:rPr>
      </w:pPr>
      <w:r>
        <w:fldChar w:fldCharType="begin"/>
      </w:r>
      <w:r w:rsidRPr="005606B7">
        <w:rPr>
          <w:rStyle w:val="CommentReference"/>
          <w:lang w:val="en-US"/>
        </w:rPr>
        <w:instrText xml:space="preserve"> </w:instrText>
      </w:r>
      <w:r w:rsidRPr="005606B7">
        <w:rPr>
          <w:lang w:val="en-US"/>
        </w:rPr>
        <w:instrText>PAGE \# "'Page: '#'</w:instrText>
      </w:r>
      <w:r w:rsidRPr="005606B7">
        <w:rPr>
          <w:lang w:val="en-US"/>
        </w:rPr>
        <w:br/>
        <w:instrText>'"</w:instrText>
      </w:r>
      <w:r w:rsidRPr="005606B7">
        <w:rPr>
          <w:rStyle w:val="CommentReference"/>
          <w:lang w:val="en-US"/>
        </w:rPr>
        <w:instrText xml:space="preserve"> </w:instrText>
      </w:r>
      <w:r>
        <w:fldChar w:fldCharType="end"/>
      </w:r>
      <w:r>
        <w:rPr>
          <w:rStyle w:val="CommentReference"/>
        </w:rPr>
        <w:annotationRef/>
      </w:r>
      <w:r w:rsidRPr="005606B7">
        <w:rPr>
          <w:lang w:val="en-US"/>
        </w:rPr>
        <w:t>&lt;&lt;ODS JOB NO&gt;&gt;N1824953F&lt;&lt;ODS JOB NO&gt;&gt;</w:t>
      </w:r>
    </w:p>
    <w:p w14:paraId="1581957F" w14:textId="77777777" w:rsidR="008E6C99" w:rsidRDefault="008E6C99">
      <w:pPr>
        <w:pStyle w:val="CommentText"/>
      </w:pPr>
      <w:r>
        <w:t>&lt;&lt;ODS DOC SYMBOL1&gt;&gt;CEDAW/C/PSWG/72/1&lt;&lt;ODS DOC SYMBOL1&gt;&gt;</w:t>
      </w:r>
    </w:p>
    <w:p w14:paraId="2750ECE0" w14:textId="77777777" w:rsidR="008E6C99" w:rsidRDefault="008E6C9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50ECE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0052B" w14:textId="77777777" w:rsidR="00EC3E61" w:rsidRDefault="00EC3E61" w:rsidP="00101B18">
      <w:pPr>
        <w:spacing w:line="240" w:lineRule="auto"/>
      </w:pPr>
      <w:r>
        <w:separator/>
      </w:r>
    </w:p>
  </w:endnote>
  <w:endnote w:type="continuationSeparator" w:id="0">
    <w:p w14:paraId="2CA42F2F" w14:textId="77777777" w:rsidR="00EC3E61" w:rsidRDefault="00EC3E6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6C99" w14:paraId="3D31DC64" w14:textId="77777777" w:rsidTr="008E6C99">
      <w:tc>
        <w:tcPr>
          <w:tcW w:w="4920" w:type="dxa"/>
          <w:shd w:val="clear" w:color="auto" w:fill="auto"/>
        </w:tcPr>
        <w:p w14:paraId="40422AEA" w14:textId="2C04FFEC" w:rsidR="008E6C99" w:rsidRPr="008E6C99" w:rsidRDefault="008E6C99" w:rsidP="008E6C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4D70">
            <w:rPr>
              <w:b w:val="0"/>
              <w:w w:val="103"/>
              <w:sz w:val="14"/>
            </w:rPr>
            <w:t>18-12827</w:t>
          </w:r>
          <w:r>
            <w:rPr>
              <w:b w:val="0"/>
              <w:w w:val="103"/>
              <w:sz w:val="14"/>
            </w:rPr>
            <w:fldChar w:fldCharType="end"/>
          </w:r>
        </w:p>
      </w:tc>
      <w:tc>
        <w:tcPr>
          <w:tcW w:w="4920" w:type="dxa"/>
          <w:shd w:val="clear" w:color="auto" w:fill="auto"/>
        </w:tcPr>
        <w:p w14:paraId="457539A9" w14:textId="2A6B5A73" w:rsidR="008E6C99" w:rsidRPr="008E6C99" w:rsidRDefault="008E6C99" w:rsidP="008E6C99">
          <w:pPr>
            <w:pStyle w:val="Footer"/>
            <w:rPr>
              <w:w w:val="103"/>
            </w:rPr>
          </w:pPr>
          <w:r>
            <w:rPr>
              <w:w w:val="103"/>
            </w:rPr>
            <w:fldChar w:fldCharType="begin"/>
          </w:r>
          <w:r>
            <w:rPr>
              <w:w w:val="103"/>
            </w:rPr>
            <w:instrText xml:space="preserve"> PAGE  \* Arabic  \* MERGEFORMAT </w:instrText>
          </w:r>
          <w:r>
            <w:rPr>
              <w:w w:val="103"/>
            </w:rPr>
            <w:fldChar w:fldCharType="separate"/>
          </w:r>
          <w:r w:rsidR="00F54D70">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54D70">
            <w:rPr>
              <w:noProof/>
              <w:w w:val="103"/>
            </w:rPr>
            <w:t>2</w:t>
          </w:r>
          <w:r>
            <w:rPr>
              <w:w w:val="103"/>
            </w:rPr>
            <w:fldChar w:fldCharType="end"/>
          </w:r>
        </w:p>
      </w:tc>
    </w:tr>
  </w:tbl>
  <w:p w14:paraId="3CE0B38F" w14:textId="77777777" w:rsidR="008E6C99" w:rsidRPr="008E6C99" w:rsidRDefault="008E6C99" w:rsidP="008E6C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6C99" w14:paraId="184E13DA" w14:textId="77777777" w:rsidTr="008E6C99">
      <w:tc>
        <w:tcPr>
          <w:tcW w:w="4920" w:type="dxa"/>
          <w:shd w:val="clear" w:color="auto" w:fill="auto"/>
        </w:tcPr>
        <w:p w14:paraId="471916F5" w14:textId="602D5CEE" w:rsidR="008E6C99" w:rsidRPr="008E6C99" w:rsidRDefault="008E6C99" w:rsidP="008E6C9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54D70">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54D70">
            <w:rPr>
              <w:noProof/>
              <w:w w:val="103"/>
            </w:rPr>
            <w:t>2</w:t>
          </w:r>
          <w:r>
            <w:rPr>
              <w:w w:val="103"/>
            </w:rPr>
            <w:fldChar w:fldCharType="end"/>
          </w:r>
        </w:p>
      </w:tc>
      <w:tc>
        <w:tcPr>
          <w:tcW w:w="4920" w:type="dxa"/>
          <w:shd w:val="clear" w:color="auto" w:fill="auto"/>
        </w:tcPr>
        <w:p w14:paraId="289286E7" w14:textId="57B65F28" w:rsidR="008E6C99" w:rsidRPr="008E6C99" w:rsidRDefault="008E6C99" w:rsidP="008E6C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4D70">
            <w:rPr>
              <w:b w:val="0"/>
              <w:w w:val="103"/>
              <w:sz w:val="14"/>
            </w:rPr>
            <w:t>18-12827</w:t>
          </w:r>
          <w:r>
            <w:rPr>
              <w:b w:val="0"/>
              <w:w w:val="103"/>
              <w:sz w:val="14"/>
            </w:rPr>
            <w:fldChar w:fldCharType="end"/>
          </w:r>
        </w:p>
      </w:tc>
    </w:tr>
  </w:tbl>
  <w:p w14:paraId="065C5410" w14:textId="77777777" w:rsidR="008E6C99" w:rsidRPr="008E6C99" w:rsidRDefault="008E6C99" w:rsidP="008E6C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9AE13" w14:textId="77777777" w:rsidR="008E6C99" w:rsidRDefault="008E6C99">
    <w:pPr>
      <w:pStyle w:val="Footer"/>
    </w:pPr>
    <w:r>
      <w:rPr>
        <w:noProof/>
      </w:rPr>
      <w:drawing>
        <wp:anchor distT="0" distB="0" distL="114300" distR="114300" simplePos="0" relativeHeight="251658240" behindDoc="0" locked="0" layoutInCell="1" allowOverlap="1" wp14:anchorId="01DE81EA" wp14:editId="502A963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SWG/72/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2/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8E6C99" w14:paraId="0BDE002A" w14:textId="77777777" w:rsidTr="008E6C99">
      <w:tc>
        <w:tcPr>
          <w:tcW w:w="3758" w:type="dxa"/>
        </w:tcPr>
        <w:p w14:paraId="4277D45C" w14:textId="208ADADC" w:rsidR="008E6C99" w:rsidRDefault="008E6C99" w:rsidP="008E6C9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54D70">
            <w:rPr>
              <w:b w:val="0"/>
              <w:sz w:val="20"/>
            </w:rPr>
            <w:t>18-12827 (F)</w:t>
          </w:r>
          <w:r>
            <w:rPr>
              <w:b w:val="0"/>
              <w:sz w:val="20"/>
            </w:rPr>
            <w:fldChar w:fldCharType="end"/>
          </w:r>
          <w:r w:rsidR="005606B7">
            <w:rPr>
              <w:b w:val="0"/>
              <w:sz w:val="20"/>
            </w:rPr>
            <w:t xml:space="preserve">    070818    13</w:t>
          </w:r>
          <w:r>
            <w:rPr>
              <w:b w:val="0"/>
              <w:sz w:val="20"/>
            </w:rPr>
            <w:t>0818</w:t>
          </w:r>
        </w:p>
        <w:p w14:paraId="0A1AB5E0" w14:textId="785CE01A" w:rsidR="008E6C99" w:rsidRPr="008E6C99" w:rsidRDefault="008E6C99" w:rsidP="008E6C9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54D70">
            <w:rPr>
              <w:rFonts w:ascii="Barcode 3 of 9 by request" w:hAnsi="Barcode 3 of 9 by request"/>
              <w:b w:val="0"/>
              <w:spacing w:val="0"/>
              <w:w w:val="100"/>
              <w:sz w:val="24"/>
            </w:rPr>
            <w:t>*1812827*</w:t>
          </w:r>
          <w:r>
            <w:rPr>
              <w:rFonts w:ascii="Barcode 3 of 9 by request" w:hAnsi="Barcode 3 of 9 by request"/>
              <w:b w:val="0"/>
              <w:spacing w:val="0"/>
              <w:w w:val="100"/>
              <w:sz w:val="24"/>
            </w:rPr>
            <w:fldChar w:fldCharType="end"/>
          </w:r>
        </w:p>
      </w:tc>
      <w:tc>
        <w:tcPr>
          <w:tcW w:w="4920" w:type="dxa"/>
        </w:tcPr>
        <w:p w14:paraId="3DC00DCB" w14:textId="77777777" w:rsidR="008E6C99" w:rsidRDefault="008E6C99" w:rsidP="008E6C99">
          <w:pPr>
            <w:pStyle w:val="Footer"/>
            <w:spacing w:line="240" w:lineRule="atLeast"/>
            <w:jc w:val="right"/>
            <w:rPr>
              <w:b w:val="0"/>
              <w:sz w:val="20"/>
            </w:rPr>
          </w:pPr>
          <w:r>
            <w:rPr>
              <w:b w:val="0"/>
              <w:noProof/>
              <w:sz w:val="20"/>
            </w:rPr>
            <w:drawing>
              <wp:inline distT="0" distB="0" distL="0" distR="0" wp14:anchorId="0CD2B720" wp14:editId="0AC7EEA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EB8EF72" w14:textId="77777777" w:rsidR="008E6C99" w:rsidRPr="008E6C99" w:rsidRDefault="008E6C99" w:rsidP="008E6C9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46F6C" w14:textId="77777777" w:rsidR="00EC3E61" w:rsidRDefault="00EC3E61" w:rsidP="00101B18">
      <w:pPr>
        <w:spacing w:line="240" w:lineRule="auto"/>
      </w:pPr>
      <w:r>
        <w:separator/>
      </w:r>
    </w:p>
  </w:footnote>
  <w:footnote w:type="continuationSeparator" w:id="0">
    <w:p w14:paraId="7A9224F1" w14:textId="77777777" w:rsidR="00EC3E61" w:rsidRDefault="00EC3E61"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E6C99" w14:paraId="50B54A02" w14:textId="77777777" w:rsidTr="008E6C99">
      <w:trPr>
        <w:trHeight w:hRule="exact" w:val="864"/>
      </w:trPr>
      <w:tc>
        <w:tcPr>
          <w:tcW w:w="4920" w:type="dxa"/>
          <w:shd w:val="clear" w:color="auto" w:fill="auto"/>
          <w:vAlign w:val="bottom"/>
        </w:tcPr>
        <w:p w14:paraId="379617EF" w14:textId="4DCCBBF0" w:rsidR="008E6C99" w:rsidRPr="008E6C99" w:rsidRDefault="008E6C99" w:rsidP="008E6C9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4D70">
            <w:rPr>
              <w:b/>
              <w:color w:val="000000"/>
            </w:rPr>
            <w:t>CEDAW/C/PSWG/72/1</w:t>
          </w:r>
          <w:r>
            <w:rPr>
              <w:b/>
              <w:color w:val="000000"/>
            </w:rPr>
            <w:fldChar w:fldCharType="end"/>
          </w:r>
        </w:p>
      </w:tc>
      <w:tc>
        <w:tcPr>
          <w:tcW w:w="4920" w:type="dxa"/>
          <w:shd w:val="clear" w:color="auto" w:fill="auto"/>
          <w:vAlign w:val="bottom"/>
        </w:tcPr>
        <w:p w14:paraId="1420FDCC" w14:textId="77777777" w:rsidR="008E6C99" w:rsidRDefault="008E6C99" w:rsidP="008E6C99">
          <w:pPr>
            <w:pStyle w:val="Header"/>
          </w:pPr>
        </w:p>
      </w:tc>
    </w:tr>
  </w:tbl>
  <w:p w14:paraId="55E512D4" w14:textId="77777777" w:rsidR="008E6C99" w:rsidRPr="008E6C99" w:rsidRDefault="008E6C99" w:rsidP="008E6C9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E6C99" w14:paraId="6575E5A1" w14:textId="77777777" w:rsidTr="008E6C99">
      <w:trPr>
        <w:trHeight w:hRule="exact" w:val="864"/>
      </w:trPr>
      <w:tc>
        <w:tcPr>
          <w:tcW w:w="4920" w:type="dxa"/>
          <w:shd w:val="clear" w:color="auto" w:fill="auto"/>
          <w:vAlign w:val="bottom"/>
        </w:tcPr>
        <w:p w14:paraId="1AD8FEBF" w14:textId="77777777" w:rsidR="008E6C99" w:rsidRDefault="008E6C99" w:rsidP="008E6C99">
          <w:pPr>
            <w:pStyle w:val="Header"/>
          </w:pPr>
        </w:p>
      </w:tc>
      <w:tc>
        <w:tcPr>
          <w:tcW w:w="4920" w:type="dxa"/>
          <w:shd w:val="clear" w:color="auto" w:fill="auto"/>
          <w:vAlign w:val="bottom"/>
        </w:tcPr>
        <w:p w14:paraId="11B19A37" w14:textId="7D2D2C3C" w:rsidR="008E6C99" w:rsidRPr="008E6C99" w:rsidRDefault="008E6C99" w:rsidP="008E6C9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4D70">
            <w:rPr>
              <w:b/>
              <w:color w:val="000000"/>
            </w:rPr>
            <w:t>CEDAW/C/PSWG/72/1</w:t>
          </w:r>
          <w:r>
            <w:rPr>
              <w:b/>
              <w:color w:val="000000"/>
            </w:rPr>
            <w:fldChar w:fldCharType="end"/>
          </w:r>
        </w:p>
      </w:tc>
    </w:tr>
  </w:tbl>
  <w:p w14:paraId="76F72D6C" w14:textId="77777777" w:rsidR="008E6C99" w:rsidRPr="008E6C99" w:rsidRDefault="008E6C99" w:rsidP="008E6C9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E6C99" w14:paraId="555DCAB3" w14:textId="77777777" w:rsidTr="008E6C99">
      <w:trPr>
        <w:trHeight w:hRule="exact" w:val="864"/>
      </w:trPr>
      <w:tc>
        <w:tcPr>
          <w:tcW w:w="1267" w:type="dxa"/>
          <w:tcBorders>
            <w:bottom w:val="single" w:sz="4" w:space="0" w:color="auto"/>
          </w:tcBorders>
          <w:shd w:val="clear" w:color="auto" w:fill="auto"/>
          <w:vAlign w:val="bottom"/>
        </w:tcPr>
        <w:p w14:paraId="7FDAA7ED" w14:textId="77777777" w:rsidR="008E6C99" w:rsidRDefault="008E6C99" w:rsidP="008E6C99">
          <w:pPr>
            <w:pStyle w:val="Header"/>
            <w:spacing w:after="120"/>
          </w:pPr>
        </w:p>
      </w:tc>
      <w:tc>
        <w:tcPr>
          <w:tcW w:w="2059" w:type="dxa"/>
          <w:tcBorders>
            <w:bottom w:val="single" w:sz="4" w:space="0" w:color="auto"/>
          </w:tcBorders>
          <w:shd w:val="clear" w:color="auto" w:fill="auto"/>
          <w:vAlign w:val="bottom"/>
        </w:tcPr>
        <w:p w14:paraId="02691EE5" w14:textId="77777777" w:rsidR="008E6C99" w:rsidRPr="008E6C99" w:rsidRDefault="008E6C99" w:rsidP="008E6C9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5D2EAF8" w14:textId="77777777" w:rsidR="008E6C99" w:rsidRDefault="008E6C99" w:rsidP="008E6C99">
          <w:pPr>
            <w:pStyle w:val="Header"/>
            <w:spacing w:after="120"/>
          </w:pPr>
        </w:p>
      </w:tc>
      <w:tc>
        <w:tcPr>
          <w:tcW w:w="6466" w:type="dxa"/>
          <w:gridSpan w:val="3"/>
          <w:tcBorders>
            <w:bottom w:val="single" w:sz="4" w:space="0" w:color="auto"/>
          </w:tcBorders>
          <w:shd w:val="clear" w:color="auto" w:fill="auto"/>
          <w:vAlign w:val="bottom"/>
        </w:tcPr>
        <w:p w14:paraId="578CF347" w14:textId="77777777" w:rsidR="008E6C99" w:rsidRPr="008E6C99" w:rsidRDefault="008E6C99" w:rsidP="008E6C99">
          <w:pPr>
            <w:spacing w:after="80" w:line="240" w:lineRule="auto"/>
            <w:jc w:val="right"/>
            <w:rPr>
              <w:position w:val="-4"/>
            </w:rPr>
          </w:pPr>
          <w:r>
            <w:rPr>
              <w:position w:val="-4"/>
              <w:sz w:val="40"/>
            </w:rPr>
            <w:t>CEDAW</w:t>
          </w:r>
          <w:r>
            <w:rPr>
              <w:position w:val="-4"/>
            </w:rPr>
            <w:t>/C/PSWG/72/1</w:t>
          </w:r>
        </w:p>
      </w:tc>
    </w:tr>
    <w:tr w:rsidR="008E6C99" w:rsidRPr="008E6C99" w14:paraId="6BA893AC" w14:textId="77777777" w:rsidTr="008E6C99">
      <w:trPr>
        <w:trHeight w:hRule="exact" w:val="2880"/>
      </w:trPr>
      <w:tc>
        <w:tcPr>
          <w:tcW w:w="1267" w:type="dxa"/>
          <w:tcBorders>
            <w:top w:val="single" w:sz="4" w:space="0" w:color="auto"/>
            <w:bottom w:val="single" w:sz="12" w:space="0" w:color="auto"/>
          </w:tcBorders>
          <w:shd w:val="clear" w:color="auto" w:fill="auto"/>
        </w:tcPr>
        <w:p w14:paraId="0A36220D" w14:textId="77777777" w:rsidR="008E6C99" w:rsidRPr="008E6C99" w:rsidRDefault="008E6C99" w:rsidP="008E6C99">
          <w:pPr>
            <w:pStyle w:val="Header"/>
            <w:spacing w:before="120" w:line="240" w:lineRule="auto"/>
            <w:ind w:left="-72"/>
            <w:jc w:val="center"/>
          </w:pPr>
          <w:r>
            <w:t xml:space="preserve">  </w:t>
          </w:r>
          <w:r>
            <w:rPr>
              <w:noProof/>
            </w:rPr>
            <w:drawing>
              <wp:inline distT="0" distB="0" distL="0" distR="0" wp14:anchorId="5A74E090" wp14:editId="50D7CCF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C50B36" w14:textId="77777777" w:rsidR="008E6C99" w:rsidRPr="008E6C99" w:rsidRDefault="008E6C99" w:rsidP="008E6C9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74C032F" w14:textId="77777777" w:rsidR="008E6C99" w:rsidRPr="005606B7" w:rsidRDefault="008E6C99" w:rsidP="008E6C99">
          <w:pPr>
            <w:pStyle w:val="Header"/>
            <w:spacing w:before="109"/>
            <w:rPr>
              <w:lang w:val="fr-CA"/>
            </w:rPr>
          </w:pPr>
        </w:p>
      </w:tc>
      <w:tc>
        <w:tcPr>
          <w:tcW w:w="3110" w:type="dxa"/>
          <w:tcBorders>
            <w:top w:val="single" w:sz="4" w:space="0" w:color="auto"/>
            <w:bottom w:val="single" w:sz="12" w:space="0" w:color="auto"/>
          </w:tcBorders>
          <w:shd w:val="clear" w:color="auto" w:fill="auto"/>
        </w:tcPr>
        <w:p w14:paraId="3A2329D8" w14:textId="77777777" w:rsidR="008E6C99" w:rsidRPr="005606B7" w:rsidRDefault="008E6C99" w:rsidP="008E6C99">
          <w:pPr>
            <w:pStyle w:val="Distribution"/>
            <w:rPr>
              <w:color w:val="000000"/>
              <w:lang w:val="fr-CA"/>
            </w:rPr>
          </w:pPr>
          <w:r w:rsidRPr="005606B7">
            <w:rPr>
              <w:color w:val="000000"/>
              <w:lang w:val="fr-CA"/>
            </w:rPr>
            <w:t>Distr. générale</w:t>
          </w:r>
        </w:p>
        <w:p w14:paraId="72092266" w14:textId="77777777" w:rsidR="008E6C99" w:rsidRPr="005606B7" w:rsidRDefault="008E6C99" w:rsidP="008E6C99">
          <w:pPr>
            <w:pStyle w:val="Publication"/>
            <w:rPr>
              <w:color w:val="000000"/>
              <w:lang w:val="fr-CA"/>
            </w:rPr>
          </w:pPr>
          <w:r w:rsidRPr="005606B7">
            <w:rPr>
              <w:color w:val="000000"/>
              <w:lang w:val="fr-CA"/>
            </w:rPr>
            <w:t>3 août 2018</w:t>
          </w:r>
        </w:p>
        <w:p w14:paraId="6379A893" w14:textId="77777777" w:rsidR="008E6C99" w:rsidRPr="005606B7" w:rsidRDefault="008E6C99" w:rsidP="008E6C99">
          <w:r w:rsidRPr="005606B7">
            <w:t>Français</w:t>
          </w:r>
        </w:p>
        <w:p w14:paraId="4B1B5196" w14:textId="77777777" w:rsidR="008E6C99" w:rsidRDefault="005606B7" w:rsidP="008E6C99">
          <w:pPr>
            <w:pStyle w:val="Original"/>
            <w:rPr>
              <w:color w:val="000000"/>
              <w:lang w:val="fr-CA"/>
            </w:rPr>
          </w:pPr>
          <w:r>
            <w:rPr>
              <w:color w:val="000000"/>
              <w:lang w:val="fr-CA"/>
            </w:rPr>
            <w:t>Original </w:t>
          </w:r>
          <w:r w:rsidR="008E6C99" w:rsidRPr="005606B7">
            <w:rPr>
              <w:color w:val="000000"/>
              <w:lang w:val="fr-CA"/>
            </w:rPr>
            <w:t>: anglais</w:t>
          </w:r>
        </w:p>
        <w:p w14:paraId="4D45039E" w14:textId="7215C47A" w:rsidR="005606B7" w:rsidRPr="005606B7" w:rsidRDefault="005606B7" w:rsidP="007737BA">
          <w:pPr>
            <w:spacing w:before="120"/>
          </w:pPr>
          <w:r>
            <w:rPr>
              <w:lang w:val="fr-FR"/>
            </w:rPr>
            <w:t>Anglais, espagnol et français seulement</w:t>
          </w:r>
        </w:p>
      </w:tc>
    </w:tr>
  </w:tbl>
  <w:p w14:paraId="3D360E11" w14:textId="77777777" w:rsidR="008E6C99" w:rsidRPr="005606B7" w:rsidRDefault="008E6C99" w:rsidP="008E6C99">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B40314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9E9A1E7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D0B6572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E86294"/>
    <w:multiLevelType w:val="hybridMultilevel"/>
    <w:tmpl w:val="6AEC3766"/>
    <w:lvl w:ilvl="0" w:tplc="3490095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3DA227D4"/>
    <w:multiLevelType w:val="singleLevel"/>
    <w:tmpl w:val="3E9A0B9E"/>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347CE688"/>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4"/>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27*"/>
    <w:docVar w:name="CreationDt" w:val="08/08/2018 16:56:00"/>
    <w:docVar w:name="DocCategory" w:val="Doc"/>
    <w:docVar w:name="DocType" w:val="Final"/>
    <w:docVar w:name="DutyStation" w:val="New York"/>
    <w:docVar w:name="FooterJN" w:val="18-12827"/>
    <w:docVar w:name="jobn" w:val="18-12827 (F)"/>
    <w:docVar w:name="jobnDT" w:val="18-12827 (F)   080818"/>
    <w:docVar w:name="jobnDTDT" w:val="18-12827 (F)   080818   080818"/>
    <w:docVar w:name="JobNo" w:val="1812827F"/>
    <w:docVar w:name="JobNo2" w:val="1824953F"/>
    <w:docVar w:name="LocalDrive" w:val="0"/>
    <w:docVar w:name="OandT" w:val="CMA"/>
    <w:docVar w:name="sss1" w:val="CEDAW/C/PSWG/72/1"/>
    <w:docVar w:name="sss2" w:val="-"/>
    <w:docVar w:name="Symbol1" w:val="CEDAW/C/PSWG/72/1"/>
    <w:docVar w:name="Symbol2" w:val="-"/>
  </w:docVars>
  <w:rsids>
    <w:rsidRoot w:val="00EC3E61"/>
    <w:rsid w:val="00002584"/>
    <w:rsid w:val="00011533"/>
    <w:rsid w:val="000255EF"/>
    <w:rsid w:val="00043D49"/>
    <w:rsid w:val="00046E4F"/>
    <w:rsid w:val="00050AEE"/>
    <w:rsid w:val="00062792"/>
    <w:rsid w:val="000635BA"/>
    <w:rsid w:val="00067B01"/>
    <w:rsid w:val="000706A3"/>
    <w:rsid w:val="00071D43"/>
    <w:rsid w:val="000736A6"/>
    <w:rsid w:val="00073815"/>
    <w:rsid w:val="00087672"/>
    <w:rsid w:val="000A0EEB"/>
    <w:rsid w:val="000A75C9"/>
    <w:rsid w:val="000C1032"/>
    <w:rsid w:val="000C28BD"/>
    <w:rsid w:val="000C71EA"/>
    <w:rsid w:val="000D4D2C"/>
    <w:rsid w:val="001014AD"/>
    <w:rsid w:val="00101B18"/>
    <w:rsid w:val="001105E1"/>
    <w:rsid w:val="00117092"/>
    <w:rsid w:val="00120DA8"/>
    <w:rsid w:val="0012134C"/>
    <w:rsid w:val="00121527"/>
    <w:rsid w:val="0012248C"/>
    <w:rsid w:val="00122A56"/>
    <w:rsid w:val="00127BFF"/>
    <w:rsid w:val="00130294"/>
    <w:rsid w:val="00131B48"/>
    <w:rsid w:val="00132449"/>
    <w:rsid w:val="001333ED"/>
    <w:rsid w:val="00133A28"/>
    <w:rsid w:val="00134FEE"/>
    <w:rsid w:val="00146C6A"/>
    <w:rsid w:val="00150079"/>
    <w:rsid w:val="00153B70"/>
    <w:rsid w:val="00154FF3"/>
    <w:rsid w:val="001554DE"/>
    <w:rsid w:val="00156E84"/>
    <w:rsid w:val="00166A0D"/>
    <w:rsid w:val="001708CA"/>
    <w:rsid w:val="00180DEB"/>
    <w:rsid w:val="0018157B"/>
    <w:rsid w:val="001B41BB"/>
    <w:rsid w:val="001B7E9A"/>
    <w:rsid w:val="001C2C51"/>
    <w:rsid w:val="001C6E57"/>
    <w:rsid w:val="001D0634"/>
    <w:rsid w:val="001D41B5"/>
    <w:rsid w:val="001E041E"/>
    <w:rsid w:val="001E0AFA"/>
    <w:rsid w:val="001E23C4"/>
    <w:rsid w:val="001E4B50"/>
    <w:rsid w:val="001F57B8"/>
    <w:rsid w:val="002264B3"/>
    <w:rsid w:val="002478A0"/>
    <w:rsid w:val="00252D07"/>
    <w:rsid w:val="002535D4"/>
    <w:rsid w:val="00260CBE"/>
    <w:rsid w:val="0027118B"/>
    <w:rsid w:val="00272BEC"/>
    <w:rsid w:val="0027529E"/>
    <w:rsid w:val="00276E8B"/>
    <w:rsid w:val="00283964"/>
    <w:rsid w:val="002868D8"/>
    <w:rsid w:val="002870BA"/>
    <w:rsid w:val="002917EA"/>
    <w:rsid w:val="002978C8"/>
    <w:rsid w:val="002A5E20"/>
    <w:rsid w:val="002C6414"/>
    <w:rsid w:val="002D1CD1"/>
    <w:rsid w:val="002E066B"/>
    <w:rsid w:val="002E0C9D"/>
    <w:rsid w:val="002F4446"/>
    <w:rsid w:val="002F632E"/>
    <w:rsid w:val="0030067C"/>
    <w:rsid w:val="00310F61"/>
    <w:rsid w:val="00330EC5"/>
    <w:rsid w:val="00332909"/>
    <w:rsid w:val="0033437B"/>
    <w:rsid w:val="0034447B"/>
    <w:rsid w:val="00351E9F"/>
    <w:rsid w:val="0035370E"/>
    <w:rsid w:val="003667C4"/>
    <w:rsid w:val="00366D21"/>
    <w:rsid w:val="003850F8"/>
    <w:rsid w:val="00393FA0"/>
    <w:rsid w:val="00395016"/>
    <w:rsid w:val="00396360"/>
    <w:rsid w:val="00397565"/>
    <w:rsid w:val="003A4E18"/>
    <w:rsid w:val="003A6C96"/>
    <w:rsid w:val="003B4718"/>
    <w:rsid w:val="003B6BBE"/>
    <w:rsid w:val="003B6E37"/>
    <w:rsid w:val="003B7B41"/>
    <w:rsid w:val="003D6C62"/>
    <w:rsid w:val="003F3767"/>
    <w:rsid w:val="003F61E1"/>
    <w:rsid w:val="003F6886"/>
    <w:rsid w:val="00400DC6"/>
    <w:rsid w:val="00400F59"/>
    <w:rsid w:val="00402542"/>
    <w:rsid w:val="004050D0"/>
    <w:rsid w:val="0041204E"/>
    <w:rsid w:val="00412104"/>
    <w:rsid w:val="00417D4F"/>
    <w:rsid w:val="00440C93"/>
    <w:rsid w:val="00442720"/>
    <w:rsid w:val="00451457"/>
    <w:rsid w:val="0045161B"/>
    <w:rsid w:val="00453AEC"/>
    <w:rsid w:val="00454275"/>
    <w:rsid w:val="00457DB1"/>
    <w:rsid w:val="004629D7"/>
    <w:rsid w:val="004652F3"/>
    <w:rsid w:val="00465382"/>
    <w:rsid w:val="00472529"/>
    <w:rsid w:val="00480B84"/>
    <w:rsid w:val="00491B82"/>
    <w:rsid w:val="004A0ADC"/>
    <w:rsid w:val="004A0B51"/>
    <w:rsid w:val="004A1C1F"/>
    <w:rsid w:val="004A6B7A"/>
    <w:rsid w:val="004A6F1D"/>
    <w:rsid w:val="004B5438"/>
    <w:rsid w:val="004C1A25"/>
    <w:rsid w:val="004C2F58"/>
    <w:rsid w:val="004F0E61"/>
    <w:rsid w:val="004F6C34"/>
    <w:rsid w:val="00513ACC"/>
    <w:rsid w:val="00515991"/>
    <w:rsid w:val="005225EC"/>
    <w:rsid w:val="00525A09"/>
    <w:rsid w:val="005261B7"/>
    <w:rsid w:val="00527347"/>
    <w:rsid w:val="00530E1B"/>
    <w:rsid w:val="00535677"/>
    <w:rsid w:val="00542840"/>
    <w:rsid w:val="00547B26"/>
    <w:rsid w:val="005606B7"/>
    <w:rsid w:val="005620CF"/>
    <w:rsid w:val="00562B56"/>
    <w:rsid w:val="00576254"/>
    <w:rsid w:val="005815B8"/>
    <w:rsid w:val="00591273"/>
    <w:rsid w:val="00591762"/>
    <w:rsid w:val="00593507"/>
    <w:rsid w:val="005A34F1"/>
    <w:rsid w:val="005B40E3"/>
    <w:rsid w:val="005E3740"/>
    <w:rsid w:val="005F1F5F"/>
    <w:rsid w:val="005F26BA"/>
    <w:rsid w:val="005F2E64"/>
    <w:rsid w:val="0060635B"/>
    <w:rsid w:val="006140B4"/>
    <w:rsid w:val="00614B7F"/>
    <w:rsid w:val="006213CC"/>
    <w:rsid w:val="00623163"/>
    <w:rsid w:val="0062762A"/>
    <w:rsid w:val="00634CB7"/>
    <w:rsid w:val="0064470C"/>
    <w:rsid w:val="00652F70"/>
    <w:rsid w:val="006576D7"/>
    <w:rsid w:val="00662FCA"/>
    <w:rsid w:val="006653D5"/>
    <w:rsid w:val="00667766"/>
    <w:rsid w:val="00681467"/>
    <w:rsid w:val="00682142"/>
    <w:rsid w:val="0068325E"/>
    <w:rsid w:val="0069003E"/>
    <w:rsid w:val="006A4E96"/>
    <w:rsid w:val="006A663F"/>
    <w:rsid w:val="006A6D2B"/>
    <w:rsid w:val="006B75CE"/>
    <w:rsid w:val="006F3C5D"/>
    <w:rsid w:val="007014C6"/>
    <w:rsid w:val="00704884"/>
    <w:rsid w:val="00711CDA"/>
    <w:rsid w:val="00711DA0"/>
    <w:rsid w:val="00720FE4"/>
    <w:rsid w:val="00721B72"/>
    <w:rsid w:val="007235D4"/>
    <w:rsid w:val="00735AF3"/>
    <w:rsid w:val="007459AE"/>
    <w:rsid w:val="00745D90"/>
    <w:rsid w:val="007511E6"/>
    <w:rsid w:val="007531A5"/>
    <w:rsid w:val="00762231"/>
    <w:rsid w:val="00765F62"/>
    <w:rsid w:val="00771C9E"/>
    <w:rsid w:val="00772FA8"/>
    <w:rsid w:val="007737BA"/>
    <w:rsid w:val="00782999"/>
    <w:rsid w:val="00794F0F"/>
    <w:rsid w:val="007A3C9C"/>
    <w:rsid w:val="007A6D61"/>
    <w:rsid w:val="007B5855"/>
    <w:rsid w:val="007C5F28"/>
    <w:rsid w:val="007C6CD6"/>
    <w:rsid w:val="007D0A36"/>
    <w:rsid w:val="00801862"/>
    <w:rsid w:val="008020B6"/>
    <w:rsid w:val="0082045E"/>
    <w:rsid w:val="008222A3"/>
    <w:rsid w:val="00822B95"/>
    <w:rsid w:val="008237B6"/>
    <w:rsid w:val="00827A18"/>
    <w:rsid w:val="00836C01"/>
    <w:rsid w:val="008378C7"/>
    <w:rsid w:val="00846B10"/>
    <w:rsid w:val="008546E9"/>
    <w:rsid w:val="008725DD"/>
    <w:rsid w:val="00873A19"/>
    <w:rsid w:val="00890126"/>
    <w:rsid w:val="008A117D"/>
    <w:rsid w:val="008A4A8C"/>
    <w:rsid w:val="008B3EE0"/>
    <w:rsid w:val="008B4554"/>
    <w:rsid w:val="008C2A97"/>
    <w:rsid w:val="008C3706"/>
    <w:rsid w:val="008D11A5"/>
    <w:rsid w:val="008E6C99"/>
    <w:rsid w:val="008F495E"/>
    <w:rsid w:val="0090362A"/>
    <w:rsid w:val="00904AE9"/>
    <w:rsid w:val="00910825"/>
    <w:rsid w:val="00912D10"/>
    <w:rsid w:val="009171C3"/>
    <w:rsid w:val="00925D90"/>
    <w:rsid w:val="009272D8"/>
    <w:rsid w:val="00930DB5"/>
    <w:rsid w:val="00931465"/>
    <w:rsid w:val="00931AA0"/>
    <w:rsid w:val="00935932"/>
    <w:rsid w:val="009415FB"/>
    <w:rsid w:val="00941F99"/>
    <w:rsid w:val="009446F8"/>
    <w:rsid w:val="00946441"/>
    <w:rsid w:val="00955F90"/>
    <w:rsid w:val="00977FBC"/>
    <w:rsid w:val="00993CB7"/>
    <w:rsid w:val="009A51A6"/>
    <w:rsid w:val="009A6E60"/>
    <w:rsid w:val="009C0815"/>
    <w:rsid w:val="009F6402"/>
    <w:rsid w:val="00A01E73"/>
    <w:rsid w:val="00A02741"/>
    <w:rsid w:val="00A04500"/>
    <w:rsid w:val="00A05DE3"/>
    <w:rsid w:val="00A2494D"/>
    <w:rsid w:val="00A3156C"/>
    <w:rsid w:val="00A3409B"/>
    <w:rsid w:val="00A35665"/>
    <w:rsid w:val="00A41D1C"/>
    <w:rsid w:val="00A462DD"/>
    <w:rsid w:val="00A70A3C"/>
    <w:rsid w:val="00A70F13"/>
    <w:rsid w:val="00A74FED"/>
    <w:rsid w:val="00A860F7"/>
    <w:rsid w:val="00A94399"/>
    <w:rsid w:val="00A94F00"/>
    <w:rsid w:val="00AA2906"/>
    <w:rsid w:val="00AA373E"/>
    <w:rsid w:val="00AB0B7D"/>
    <w:rsid w:val="00AB39B8"/>
    <w:rsid w:val="00AB452E"/>
    <w:rsid w:val="00AC24E4"/>
    <w:rsid w:val="00AD1C3D"/>
    <w:rsid w:val="00AD351B"/>
    <w:rsid w:val="00AD3D8B"/>
    <w:rsid w:val="00AD5F2F"/>
    <w:rsid w:val="00AD613A"/>
    <w:rsid w:val="00AE1371"/>
    <w:rsid w:val="00AE53BE"/>
    <w:rsid w:val="00B0008D"/>
    <w:rsid w:val="00B1027C"/>
    <w:rsid w:val="00B121A2"/>
    <w:rsid w:val="00B1425A"/>
    <w:rsid w:val="00B347B6"/>
    <w:rsid w:val="00B40F56"/>
    <w:rsid w:val="00B4150D"/>
    <w:rsid w:val="00B44B3B"/>
    <w:rsid w:val="00B62FCD"/>
    <w:rsid w:val="00B63F1F"/>
    <w:rsid w:val="00B8398C"/>
    <w:rsid w:val="00B858D5"/>
    <w:rsid w:val="00BA5C87"/>
    <w:rsid w:val="00BA6038"/>
    <w:rsid w:val="00BB20A9"/>
    <w:rsid w:val="00BB3494"/>
    <w:rsid w:val="00BB46DA"/>
    <w:rsid w:val="00BB7847"/>
    <w:rsid w:val="00BB7CFD"/>
    <w:rsid w:val="00BC3807"/>
    <w:rsid w:val="00BC4BDA"/>
    <w:rsid w:val="00BD4096"/>
    <w:rsid w:val="00BF1A5F"/>
    <w:rsid w:val="00BF2ACB"/>
    <w:rsid w:val="00C00924"/>
    <w:rsid w:val="00C23638"/>
    <w:rsid w:val="00C353F3"/>
    <w:rsid w:val="00C37168"/>
    <w:rsid w:val="00C4508D"/>
    <w:rsid w:val="00C77017"/>
    <w:rsid w:val="00C776D2"/>
    <w:rsid w:val="00C80013"/>
    <w:rsid w:val="00C82555"/>
    <w:rsid w:val="00C94ADC"/>
    <w:rsid w:val="00C9553B"/>
    <w:rsid w:val="00C96DC0"/>
    <w:rsid w:val="00CA2929"/>
    <w:rsid w:val="00CA37FE"/>
    <w:rsid w:val="00CA5848"/>
    <w:rsid w:val="00CB06FB"/>
    <w:rsid w:val="00CB63C5"/>
    <w:rsid w:val="00CC17CD"/>
    <w:rsid w:val="00CC3710"/>
    <w:rsid w:val="00CC3EE1"/>
    <w:rsid w:val="00CE785D"/>
    <w:rsid w:val="00D02773"/>
    <w:rsid w:val="00D13FC8"/>
    <w:rsid w:val="00D1705A"/>
    <w:rsid w:val="00D30EED"/>
    <w:rsid w:val="00D32C57"/>
    <w:rsid w:val="00D355D1"/>
    <w:rsid w:val="00D409F4"/>
    <w:rsid w:val="00D422A1"/>
    <w:rsid w:val="00D61A34"/>
    <w:rsid w:val="00D62EE3"/>
    <w:rsid w:val="00D678E9"/>
    <w:rsid w:val="00D72635"/>
    <w:rsid w:val="00D84E48"/>
    <w:rsid w:val="00D94536"/>
    <w:rsid w:val="00DC04B7"/>
    <w:rsid w:val="00DC578A"/>
    <w:rsid w:val="00DC6B15"/>
    <w:rsid w:val="00DC6EA3"/>
    <w:rsid w:val="00DE18D3"/>
    <w:rsid w:val="00DE4C64"/>
    <w:rsid w:val="00DF2CC6"/>
    <w:rsid w:val="00DF4162"/>
    <w:rsid w:val="00DF5B5A"/>
    <w:rsid w:val="00DF7108"/>
    <w:rsid w:val="00E10DFA"/>
    <w:rsid w:val="00E24BA6"/>
    <w:rsid w:val="00E25D7F"/>
    <w:rsid w:val="00E27635"/>
    <w:rsid w:val="00E33943"/>
    <w:rsid w:val="00E343A6"/>
    <w:rsid w:val="00E4315C"/>
    <w:rsid w:val="00E43EBF"/>
    <w:rsid w:val="00E443E2"/>
    <w:rsid w:val="00E450BC"/>
    <w:rsid w:val="00E468C5"/>
    <w:rsid w:val="00E46D99"/>
    <w:rsid w:val="00E55513"/>
    <w:rsid w:val="00E656C6"/>
    <w:rsid w:val="00E7105F"/>
    <w:rsid w:val="00E71110"/>
    <w:rsid w:val="00E72C94"/>
    <w:rsid w:val="00E76093"/>
    <w:rsid w:val="00E80CC7"/>
    <w:rsid w:val="00E814E0"/>
    <w:rsid w:val="00E81FF0"/>
    <w:rsid w:val="00E962A8"/>
    <w:rsid w:val="00E97453"/>
    <w:rsid w:val="00EB4D54"/>
    <w:rsid w:val="00EB70FC"/>
    <w:rsid w:val="00EC3E0D"/>
    <w:rsid w:val="00EC3E61"/>
    <w:rsid w:val="00ED121B"/>
    <w:rsid w:val="00ED196A"/>
    <w:rsid w:val="00ED7EE7"/>
    <w:rsid w:val="00EE37EC"/>
    <w:rsid w:val="00EE3AAD"/>
    <w:rsid w:val="00EF2DFA"/>
    <w:rsid w:val="00EF4C48"/>
    <w:rsid w:val="00F00526"/>
    <w:rsid w:val="00F0554A"/>
    <w:rsid w:val="00F07C60"/>
    <w:rsid w:val="00F24B92"/>
    <w:rsid w:val="00F31A18"/>
    <w:rsid w:val="00F33E35"/>
    <w:rsid w:val="00F35DA3"/>
    <w:rsid w:val="00F36EC9"/>
    <w:rsid w:val="00F4193D"/>
    <w:rsid w:val="00F5012D"/>
    <w:rsid w:val="00F54D70"/>
    <w:rsid w:val="00F630F4"/>
    <w:rsid w:val="00F67BC9"/>
    <w:rsid w:val="00F73093"/>
    <w:rsid w:val="00F7353D"/>
    <w:rsid w:val="00F747D7"/>
    <w:rsid w:val="00F801ED"/>
    <w:rsid w:val="00F81EC5"/>
    <w:rsid w:val="00F82A37"/>
    <w:rsid w:val="00F86CC2"/>
    <w:rsid w:val="00F964BE"/>
    <w:rsid w:val="00FA3986"/>
    <w:rsid w:val="00FA3D05"/>
    <w:rsid w:val="00FA57E2"/>
    <w:rsid w:val="00FA5CC9"/>
    <w:rsid w:val="00FA7AB4"/>
    <w:rsid w:val="00FB0A2C"/>
    <w:rsid w:val="00FB43C5"/>
    <w:rsid w:val="00FC1C7E"/>
    <w:rsid w:val="00FC59F1"/>
    <w:rsid w:val="00FC5A74"/>
    <w:rsid w:val="00FC6584"/>
    <w:rsid w:val="00FD2570"/>
    <w:rsid w:val="00FD5E95"/>
    <w:rsid w:val="00FF119B"/>
    <w:rsid w:val="00FF2A9E"/>
    <w:rsid w:val="00FF71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1ABCE8"/>
  <w15:chartTrackingRefBased/>
  <w15:docId w15:val="{333A0BA7-2AB0-4F57-AB0D-C24D0675F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4FF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54FF3"/>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54FF3"/>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54FF3"/>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54FF3"/>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54FF3"/>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54FF3"/>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54FF3"/>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54FF3"/>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54FF3"/>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54FF3"/>
    <w:pPr>
      <w:keepNext/>
      <w:keepLines/>
      <w:suppressAutoHyphens/>
      <w:spacing w:line="270" w:lineRule="exact"/>
      <w:outlineLvl w:val="0"/>
    </w:pPr>
    <w:rPr>
      <w:b/>
      <w:sz w:val="24"/>
    </w:rPr>
  </w:style>
  <w:style w:type="paragraph" w:customStyle="1" w:styleId="HCH">
    <w:name w:val="_ H _CH"/>
    <w:basedOn w:val="H1"/>
    <w:next w:val="Normal"/>
    <w:qFormat/>
    <w:rsid w:val="00154FF3"/>
    <w:pPr>
      <w:spacing w:line="300" w:lineRule="exact"/>
    </w:pPr>
    <w:rPr>
      <w:spacing w:val="-2"/>
      <w:sz w:val="28"/>
    </w:rPr>
  </w:style>
  <w:style w:type="paragraph" w:customStyle="1" w:styleId="HM">
    <w:name w:val="_ H __M"/>
    <w:basedOn w:val="HCH"/>
    <w:next w:val="Normal"/>
    <w:qFormat/>
    <w:rsid w:val="00154FF3"/>
    <w:pPr>
      <w:spacing w:line="360" w:lineRule="exact"/>
    </w:pPr>
    <w:rPr>
      <w:spacing w:val="-3"/>
      <w:w w:val="99"/>
      <w:sz w:val="34"/>
    </w:rPr>
  </w:style>
  <w:style w:type="paragraph" w:customStyle="1" w:styleId="H23">
    <w:name w:val="_ H_2/3"/>
    <w:basedOn w:val="H1"/>
    <w:next w:val="SingleTxt"/>
    <w:qFormat/>
    <w:rsid w:val="00154FF3"/>
    <w:pPr>
      <w:spacing w:line="240" w:lineRule="exact"/>
      <w:outlineLvl w:val="1"/>
    </w:pPr>
    <w:rPr>
      <w:spacing w:val="2"/>
      <w:sz w:val="20"/>
    </w:rPr>
  </w:style>
  <w:style w:type="paragraph" w:customStyle="1" w:styleId="H4">
    <w:name w:val="_ H_4"/>
    <w:basedOn w:val="Normal"/>
    <w:next w:val="Normal"/>
    <w:qFormat/>
    <w:rsid w:val="00154FF3"/>
    <w:pPr>
      <w:keepNext/>
      <w:keepLines/>
      <w:tabs>
        <w:tab w:val="right" w:pos="360"/>
      </w:tabs>
      <w:suppressAutoHyphens/>
      <w:outlineLvl w:val="3"/>
    </w:pPr>
    <w:rPr>
      <w:i/>
      <w:spacing w:val="3"/>
    </w:rPr>
  </w:style>
  <w:style w:type="paragraph" w:customStyle="1" w:styleId="H56">
    <w:name w:val="_ H_5/6"/>
    <w:basedOn w:val="Normal"/>
    <w:next w:val="Normal"/>
    <w:qFormat/>
    <w:rsid w:val="00154FF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54FF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54FF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54FF3"/>
    <w:pPr>
      <w:spacing w:line="540" w:lineRule="exact"/>
    </w:pPr>
    <w:rPr>
      <w:spacing w:val="-8"/>
      <w:w w:val="96"/>
      <w:sz w:val="57"/>
    </w:rPr>
  </w:style>
  <w:style w:type="paragraph" w:customStyle="1" w:styleId="SS">
    <w:name w:val="__S_S"/>
    <w:basedOn w:val="HCH"/>
    <w:next w:val="Normal"/>
    <w:qFormat/>
    <w:rsid w:val="00154FF3"/>
    <w:pPr>
      <w:ind w:left="1267" w:right="1267"/>
    </w:pPr>
  </w:style>
  <w:style w:type="paragraph" w:customStyle="1" w:styleId="SingleTxt">
    <w:name w:val="__Single Txt"/>
    <w:basedOn w:val="Normal"/>
    <w:qFormat/>
    <w:rsid w:val="00154FF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54FF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54F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54FF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54FF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54FF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54FF3"/>
    <w:pPr>
      <w:numPr>
        <w:numId w:val="1"/>
      </w:numPr>
      <w:spacing w:after="120"/>
      <w:ind w:right="1267"/>
      <w:jc w:val="both"/>
    </w:pPr>
  </w:style>
  <w:style w:type="paragraph" w:customStyle="1" w:styleId="Bullet2">
    <w:name w:val="Bullet 2"/>
    <w:basedOn w:val="Normal"/>
    <w:qFormat/>
    <w:rsid w:val="00154FF3"/>
    <w:pPr>
      <w:numPr>
        <w:numId w:val="2"/>
      </w:numPr>
      <w:spacing w:after="120"/>
      <w:ind w:right="1264"/>
      <w:jc w:val="both"/>
    </w:pPr>
  </w:style>
  <w:style w:type="paragraph" w:customStyle="1" w:styleId="Bullet3">
    <w:name w:val="Bullet 3"/>
    <w:basedOn w:val="SingleTxt"/>
    <w:qFormat/>
    <w:rsid w:val="00154FF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54FF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54FF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54FF3"/>
    <w:pPr>
      <w:spacing w:line="210" w:lineRule="exact"/>
    </w:pPr>
    <w:rPr>
      <w:sz w:val="17"/>
      <w:szCs w:val="20"/>
    </w:rPr>
  </w:style>
  <w:style w:type="character" w:customStyle="1" w:styleId="EndnoteTextChar">
    <w:name w:val="Endnote Text Char"/>
    <w:link w:val="EndnoteText"/>
    <w:uiPriority w:val="99"/>
    <w:semiHidden/>
    <w:rsid w:val="00154FF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54FF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54FF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54FF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54FF3"/>
    <w:pPr>
      <w:spacing w:line="210" w:lineRule="exact"/>
    </w:pPr>
    <w:rPr>
      <w:sz w:val="17"/>
      <w:szCs w:val="20"/>
    </w:rPr>
  </w:style>
  <w:style w:type="character" w:customStyle="1" w:styleId="FootnoteTextChar">
    <w:name w:val="Footnote Text Char"/>
    <w:link w:val="FootnoteText"/>
    <w:uiPriority w:val="99"/>
    <w:rsid w:val="00154FF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54FF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54FF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54FF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54FF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54FF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54FF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54FF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54FF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54FF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54FF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54FF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54FF3"/>
    <w:rPr>
      <w:sz w:val="14"/>
    </w:rPr>
  </w:style>
  <w:style w:type="paragraph" w:styleId="ListParagraph">
    <w:name w:val="List Paragraph"/>
    <w:basedOn w:val="Normal"/>
    <w:uiPriority w:val="34"/>
    <w:rsid w:val="00154FF3"/>
    <w:pPr>
      <w:ind w:left="720"/>
      <w:contextualSpacing/>
    </w:pPr>
  </w:style>
  <w:style w:type="paragraph" w:styleId="NoSpacing">
    <w:name w:val="No Spacing"/>
    <w:uiPriority w:val="1"/>
    <w:rsid w:val="00154FF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54FF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54FF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54FF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54FF3"/>
    <w:pPr>
      <w:tabs>
        <w:tab w:val="right" w:pos="9965"/>
      </w:tabs>
      <w:spacing w:line="210" w:lineRule="exact"/>
    </w:pPr>
    <w:rPr>
      <w:spacing w:val="5"/>
      <w:w w:val="104"/>
      <w:sz w:val="17"/>
    </w:rPr>
  </w:style>
  <w:style w:type="paragraph" w:customStyle="1" w:styleId="SmallX">
    <w:name w:val="SmallX"/>
    <w:basedOn w:val="Small"/>
    <w:next w:val="Normal"/>
    <w:qFormat/>
    <w:rsid w:val="00154FF3"/>
    <w:pPr>
      <w:spacing w:line="180" w:lineRule="exact"/>
      <w:jc w:val="right"/>
    </w:pPr>
    <w:rPr>
      <w:spacing w:val="6"/>
      <w:w w:val="106"/>
      <w:sz w:val="14"/>
    </w:rPr>
  </w:style>
  <w:style w:type="character" w:styleId="Strong">
    <w:name w:val="Strong"/>
    <w:uiPriority w:val="22"/>
    <w:rsid w:val="00154FF3"/>
    <w:rPr>
      <w:b/>
      <w:bCs/>
    </w:rPr>
  </w:style>
  <w:style w:type="paragraph" w:customStyle="1" w:styleId="Style1">
    <w:name w:val="Style1"/>
    <w:basedOn w:val="Normal"/>
    <w:qFormat/>
    <w:rsid w:val="00154FF3"/>
  </w:style>
  <w:style w:type="paragraph" w:customStyle="1" w:styleId="Style2">
    <w:name w:val="Style2"/>
    <w:basedOn w:val="Normal"/>
    <w:autoRedefine/>
    <w:qFormat/>
    <w:rsid w:val="00154FF3"/>
  </w:style>
  <w:style w:type="paragraph" w:customStyle="1" w:styleId="TitleHCH">
    <w:name w:val="Title_H_CH"/>
    <w:basedOn w:val="H1"/>
    <w:next w:val="Normal"/>
    <w:qFormat/>
    <w:rsid w:val="00154FF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54FF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54FF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8E6C99"/>
    <w:rPr>
      <w:sz w:val="16"/>
      <w:szCs w:val="16"/>
    </w:rPr>
  </w:style>
  <w:style w:type="paragraph" w:styleId="CommentText">
    <w:name w:val="annotation text"/>
    <w:basedOn w:val="Normal"/>
    <w:link w:val="CommentTextChar"/>
    <w:uiPriority w:val="99"/>
    <w:semiHidden/>
    <w:unhideWhenUsed/>
    <w:rsid w:val="008E6C99"/>
    <w:pPr>
      <w:spacing w:line="240" w:lineRule="auto"/>
    </w:pPr>
    <w:rPr>
      <w:szCs w:val="20"/>
    </w:rPr>
  </w:style>
  <w:style w:type="character" w:customStyle="1" w:styleId="CommentTextChar">
    <w:name w:val="Comment Text Char"/>
    <w:basedOn w:val="DefaultParagraphFont"/>
    <w:link w:val="CommentText"/>
    <w:uiPriority w:val="99"/>
    <w:semiHidden/>
    <w:rsid w:val="008E6C9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E6C99"/>
    <w:rPr>
      <w:b/>
      <w:bCs/>
    </w:rPr>
  </w:style>
  <w:style w:type="character" w:customStyle="1" w:styleId="CommentSubjectChar">
    <w:name w:val="Comment Subject Char"/>
    <w:basedOn w:val="CommentTextChar"/>
    <w:link w:val="CommentSubject"/>
    <w:uiPriority w:val="99"/>
    <w:semiHidden/>
    <w:rsid w:val="008E6C9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0008D"/>
    <w:rPr>
      <w:color w:val="0000FF" w:themeColor="hyperlink"/>
      <w:u w:val="none"/>
    </w:rPr>
  </w:style>
  <w:style w:type="character" w:styleId="FollowedHyperlink">
    <w:name w:val="FollowedHyperlink"/>
    <w:basedOn w:val="DefaultParagraphFont"/>
    <w:uiPriority w:val="99"/>
    <w:semiHidden/>
    <w:unhideWhenUsed/>
    <w:rsid w:val="00B0008D"/>
    <w:rPr>
      <w:color w:val="0000FF"/>
      <w:u w:val="none"/>
    </w:rPr>
  </w:style>
  <w:style w:type="character" w:styleId="UnresolvedMention">
    <w:name w:val="Unresolved Mention"/>
    <w:basedOn w:val="DefaultParagraphFont"/>
    <w:uiPriority w:val="99"/>
    <w:semiHidden/>
    <w:unhideWhenUsed/>
    <w:rsid w:val="00B0008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BWA/Q/4" TargetMode="External"/><Relationship Id="rId3" Type="http://schemas.openxmlformats.org/officeDocument/2006/relationships/styles" Target="styles.xml"/><Relationship Id="rId21" Type="http://schemas.openxmlformats.org/officeDocument/2006/relationships/hyperlink" Target="https://undocs.org/fr/CEDAW/C/SRB/Q/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ATG/Q/4-7/Add.1" TargetMode="External"/><Relationship Id="rId2" Type="http://schemas.openxmlformats.org/officeDocument/2006/relationships/numbering" Target="numbering.xml"/><Relationship Id="rId16" Type="http://schemas.openxmlformats.org/officeDocument/2006/relationships/hyperlink" Target="https://undocs.org/fr/CEDAW/C/AGO/Q/7" TargetMode="External"/><Relationship Id="rId20" Type="http://schemas.openxmlformats.org/officeDocument/2006/relationships/hyperlink" Target="https://undocs.org/fr/CEDAW/C/ETH/Q/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CEDAW/C/COL/Q/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GBR/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CF6D3-8684-4A17-ACF9-70F472BD5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French Text Processing</cp:lastModifiedBy>
  <cp:revision>3</cp:revision>
  <cp:lastPrinted>2018-08-13T14:48:00Z</cp:lastPrinted>
  <dcterms:created xsi:type="dcterms:W3CDTF">2018-08-13T14:48:00Z</dcterms:created>
  <dcterms:modified xsi:type="dcterms:W3CDTF">2018-08-13T14:48:00Z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1812827F</vt:lpwstr>
  </property>
  <property fmtid="{D5CDD505-2E9C-101B-9397-08002B2CF9AE}" pid="3" name="ODSRefJobNo">
    <vt:lpwstr>1824953F</vt:lpwstr>
  </property>
  <property fmtid="{D5CDD505-2E9C-101B-9397-08002B2CF9AE}" pid="4" name="Symbol1">
    <vt:lpwstr>CEDAW/C/PSWG/72/1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2</vt:lpwstr>
  </property>
  <property fmtid="{D5CDD505-2E9C-101B-9397-08002B2CF9AE}" pid="11" name="Operator">
    <vt:lpwstr>CMA</vt:lpwstr>
  </property>
  <property fmtid="{D5CDD505-2E9C-101B-9397-08002B2CF9AE}" pid="12" name="Release Date">
    <vt:lpwstr/>
  </property>
  <property fmtid="{D5CDD505-2E9C-101B-9397-08002B2CF9AE}" pid="13" name="Session">
    <vt:lpwstr>Soixante-douzième session_x000d_</vt:lpwstr>
  </property>
  <property fmtid="{D5CDD505-2E9C-101B-9397-08002B2CF9AE}" pid="14" name="Title1">
    <vt:lpwstr>		Examen des rapports soumis par les États parties en application de l’article 18 de la Convention sur l’élimination de toutes les formes de discrimination à l’égard des femmes_x000d_</vt:lpwstr>
  </property>
  <property fmtid="{D5CDD505-2E9C-101B-9397-08002B2CF9AE}" pid="15" name="Title2">
    <vt:lpwstr>		Rapport du groupe de travail d’avant-session_x000d_</vt:lpwstr>
  </property>
</Properties>
</file>