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62F36" w14:textId="77777777" w:rsidR="00034227" w:rsidRPr="00197DF6" w:rsidRDefault="00034227" w:rsidP="00034227">
      <w:pPr>
        <w:spacing w:line="240" w:lineRule="auto"/>
        <w:rPr>
          <w:sz w:val="2"/>
          <w:lang w:val="es-ES_tradnl"/>
        </w:rPr>
        <w:sectPr w:rsidR="00034227" w:rsidRPr="00197DF6" w:rsidSect="0015476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197DF6">
        <w:rPr>
          <w:rStyle w:val="CommentReference"/>
          <w:szCs w:val="20"/>
          <w:lang w:val="es-ES_tradnl"/>
        </w:rPr>
        <w:commentReference w:id="0"/>
      </w:r>
    </w:p>
    <w:p w14:paraId="76F53E33" w14:textId="77777777" w:rsidR="00E77F78" w:rsidRPr="00197DF6" w:rsidRDefault="00E77F78" w:rsidP="00E77F78">
      <w:pPr>
        <w:pStyle w:val="H1"/>
        <w:ind w:right="4080"/>
        <w:rPr>
          <w:lang w:val="es-ES_tradnl"/>
        </w:rPr>
      </w:pPr>
      <w:r w:rsidRPr="00197DF6">
        <w:rPr>
          <w:bCs/>
          <w:lang w:val="es-ES_tradnl"/>
        </w:rPr>
        <w:t>Comité para la Eliminación de la Discriminación contra la Mujer</w:t>
      </w:r>
    </w:p>
    <w:p w14:paraId="39603346" w14:textId="77777777" w:rsidR="00E77F78" w:rsidRPr="00197DF6" w:rsidRDefault="00E77F78" w:rsidP="00E77F78">
      <w:pPr>
        <w:pStyle w:val="SingleTxt"/>
        <w:spacing w:after="0" w:line="120" w:lineRule="exact"/>
        <w:rPr>
          <w:sz w:val="10"/>
          <w:lang w:val="es-ES_tradnl"/>
        </w:rPr>
      </w:pPr>
    </w:p>
    <w:p w14:paraId="3A9BCAF0" w14:textId="77777777" w:rsidR="00E77F78" w:rsidRPr="00197DF6" w:rsidRDefault="00E77F78" w:rsidP="00E77F78">
      <w:pPr>
        <w:pStyle w:val="SingleTxt"/>
        <w:spacing w:after="0" w:line="120" w:lineRule="exact"/>
        <w:rPr>
          <w:sz w:val="10"/>
          <w:lang w:val="es-ES_tradnl"/>
        </w:rPr>
      </w:pPr>
    </w:p>
    <w:p w14:paraId="05C5301C" w14:textId="77777777" w:rsidR="00E77F78" w:rsidRPr="00197DF6" w:rsidRDefault="00E77F78" w:rsidP="00E77F78">
      <w:pPr>
        <w:pStyle w:val="SingleTxt"/>
        <w:spacing w:after="0" w:line="120" w:lineRule="exact"/>
        <w:rPr>
          <w:sz w:val="10"/>
          <w:lang w:val="es-ES_tradnl"/>
        </w:rPr>
      </w:pPr>
    </w:p>
    <w:p w14:paraId="5ED85642" w14:textId="5473963D" w:rsidR="003917D2" w:rsidRPr="00197DF6" w:rsidRDefault="003917D2" w:rsidP="00E242D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lang w:val="es-ES_tradnl"/>
        </w:rPr>
      </w:pPr>
      <w:r w:rsidRPr="00197DF6">
        <w:rPr>
          <w:noProof/>
          <w:w w:val="100"/>
          <w:lang w:val="es-ES_tradnl"/>
        </w:rPr>
        <mc:AlternateContent>
          <mc:Choice Requires="wps">
            <w:drawing>
              <wp:anchor distT="0" distB="0" distL="114300" distR="114300" simplePos="0" relativeHeight="251659264" behindDoc="0" locked="0" layoutInCell="1" allowOverlap="1" wp14:anchorId="37209924" wp14:editId="27410828">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7A47CF"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197DF6">
        <w:rPr>
          <w:spacing w:val="5"/>
          <w:w w:val="104"/>
          <w:kern w:val="14"/>
          <w:sz w:val="17"/>
          <w:szCs w:val="20"/>
          <w:lang w:val="es-ES_tradnl"/>
        </w:rPr>
        <w:tab/>
        <w:t>*</w:t>
      </w:r>
      <w:r w:rsidRPr="00197DF6">
        <w:rPr>
          <w:spacing w:val="5"/>
          <w:w w:val="104"/>
          <w:kern w:val="14"/>
          <w:sz w:val="17"/>
          <w:szCs w:val="20"/>
          <w:lang w:val="es-ES_tradnl"/>
        </w:rPr>
        <w:tab/>
        <w:t>La versión original del presente documento no fue objeto de revisión editorial oficial.</w:t>
      </w:r>
    </w:p>
    <w:p w14:paraId="55148BE6" w14:textId="30A2D350" w:rsidR="003917D2" w:rsidRPr="00197DF6" w:rsidRDefault="003917D2" w:rsidP="00A0316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480" w:line="240" w:lineRule="auto"/>
        <w:ind w:left="1267" w:right="1260" w:hanging="576"/>
        <w:rPr>
          <w:spacing w:val="5"/>
          <w:w w:val="104"/>
          <w:kern w:val="14"/>
          <w:sz w:val="17"/>
          <w:szCs w:val="20"/>
          <w:lang w:val="es-ES_tradnl"/>
        </w:rPr>
      </w:pPr>
      <w:r w:rsidRPr="00197DF6">
        <w:rPr>
          <w:spacing w:val="5"/>
          <w:w w:val="104"/>
          <w:kern w:val="14"/>
          <w:sz w:val="17"/>
          <w:szCs w:val="20"/>
          <w:lang w:val="es-ES_tradnl"/>
        </w:rPr>
        <w:tab/>
        <w:t>**</w:t>
      </w:r>
      <w:r w:rsidRPr="00197DF6">
        <w:rPr>
          <w:spacing w:val="5"/>
          <w:w w:val="104"/>
          <w:kern w:val="14"/>
          <w:sz w:val="17"/>
          <w:szCs w:val="20"/>
          <w:lang w:val="es-ES_tradnl"/>
        </w:rPr>
        <w:tab/>
        <w:t>El anexo del presente documento puede consultarse en la página web del Comité.</w:t>
      </w:r>
    </w:p>
    <w:p w14:paraId="37BFB8C4" w14:textId="064AEEEE" w:rsidR="00E77F78" w:rsidRPr="00197DF6" w:rsidRDefault="00E77F78" w:rsidP="00F23EFC">
      <w:pPr>
        <w:pStyle w:val="TitleH1"/>
        <w:ind w:right="1560"/>
        <w:rPr>
          <w:b w:val="0"/>
          <w:bCs/>
          <w:sz w:val="20"/>
          <w:lang w:val="es-ES_tradnl"/>
        </w:rPr>
      </w:pPr>
      <w:r w:rsidRPr="00197DF6">
        <w:rPr>
          <w:lang w:val="es-ES_tradnl"/>
        </w:rPr>
        <w:tab/>
      </w:r>
      <w:r w:rsidRPr="00197DF6">
        <w:rPr>
          <w:lang w:val="es-ES_tradnl"/>
        </w:rPr>
        <w:tab/>
      </w:r>
      <w:r w:rsidRPr="00197DF6">
        <w:rPr>
          <w:bCs/>
          <w:lang w:val="es-ES_tradnl"/>
        </w:rPr>
        <w:t xml:space="preserve">Décimo informe periódico que </w:t>
      </w:r>
      <w:proofErr w:type="spellStart"/>
      <w:r w:rsidRPr="00197DF6">
        <w:rPr>
          <w:bCs/>
          <w:lang w:val="es-ES_tradnl"/>
        </w:rPr>
        <w:t>Bhután</w:t>
      </w:r>
      <w:proofErr w:type="spellEnd"/>
      <w:r w:rsidRPr="00197DF6">
        <w:rPr>
          <w:bCs/>
          <w:lang w:val="es-ES_tradnl"/>
        </w:rPr>
        <w:t xml:space="preserve"> debía presentar en 2020 en virtud del artículo 18 de la Convención</w:t>
      </w:r>
      <w:r w:rsidRPr="00197DF6">
        <w:rPr>
          <w:b w:val="0"/>
          <w:sz w:val="20"/>
          <w:szCs w:val="20"/>
          <w:lang w:val="es-ES_tradnl"/>
        </w:rPr>
        <w:t>*</w:t>
      </w:r>
      <w:r w:rsidRPr="00197DF6">
        <w:rPr>
          <w:b w:val="0"/>
          <w:vertAlign w:val="superscript"/>
          <w:lang w:val="es-ES_tradnl"/>
        </w:rPr>
        <w:t>,</w:t>
      </w:r>
      <w:r w:rsidR="00E242D0" w:rsidRPr="00197DF6">
        <w:rPr>
          <w:b w:val="0"/>
          <w:sz w:val="20"/>
          <w:szCs w:val="20"/>
          <w:lang w:val="es-ES_tradnl"/>
        </w:rPr>
        <w:t xml:space="preserve"> </w:t>
      </w:r>
      <w:r w:rsidRPr="00197DF6">
        <w:rPr>
          <w:b w:val="0"/>
          <w:sz w:val="20"/>
          <w:szCs w:val="20"/>
          <w:lang w:val="es-ES_tradnl"/>
        </w:rPr>
        <w:t>**</w:t>
      </w:r>
    </w:p>
    <w:p w14:paraId="511FF8EA" w14:textId="77777777" w:rsidR="00E77F78" w:rsidRPr="00197DF6" w:rsidRDefault="00E77F78" w:rsidP="00E77F78">
      <w:pPr>
        <w:pStyle w:val="SingleTxt"/>
        <w:spacing w:after="0" w:line="120" w:lineRule="exact"/>
        <w:rPr>
          <w:b/>
          <w:sz w:val="10"/>
          <w:lang w:val="es-ES_tradnl"/>
        </w:rPr>
      </w:pPr>
    </w:p>
    <w:p w14:paraId="529D0E4F" w14:textId="77777777" w:rsidR="00E77F78" w:rsidRPr="00197DF6" w:rsidRDefault="00E77F78" w:rsidP="00E77F78">
      <w:pPr>
        <w:pStyle w:val="SingleTxt"/>
        <w:spacing w:after="0" w:line="120" w:lineRule="exact"/>
        <w:rPr>
          <w:sz w:val="10"/>
          <w:lang w:val="es-ES_tradnl"/>
        </w:rPr>
      </w:pPr>
    </w:p>
    <w:p w14:paraId="6E3ADCB7" w14:textId="6CCA6164" w:rsidR="00E77F78" w:rsidRPr="00197DF6" w:rsidRDefault="00E77F78" w:rsidP="00E77F78">
      <w:pPr>
        <w:pStyle w:val="SingleTxt"/>
        <w:jc w:val="right"/>
        <w:rPr>
          <w:lang w:val="es-ES_tradnl"/>
        </w:rPr>
      </w:pPr>
      <w:r w:rsidRPr="00197DF6">
        <w:rPr>
          <w:lang w:val="es-ES_tradnl"/>
        </w:rPr>
        <w:t>[Fecha de recepción: 6 de julio de 2022]</w:t>
      </w:r>
    </w:p>
    <w:p w14:paraId="2B071ABD" w14:textId="21329C98" w:rsidR="003917D2" w:rsidRPr="00197DF6" w:rsidRDefault="003917D2" w:rsidP="003917D2">
      <w:pPr>
        <w:pStyle w:val="SingleTxt"/>
        <w:rPr>
          <w:lang w:val="es-ES_tradnl"/>
        </w:rPr>
      </w:pPr>
    </w:p>
    <w:p w14:paraId="63324786" w14:textId="77777777" w:rsidR="00E77F78" w:rsidRPr="00197DF6" w:rsidRDefault="00E77F78" w:rsidP="00E77F78">
      <w:pPr>
        <w:suppressAutoHyphens w:val="0"/>
        <w:spacing w:after="200" w:line="276" w:lineRule="auto"/>
        <w:rPr>
          <w:lang w:val="es-ES_tradnl"/>
        </w:rPr>
      </w:pPr>
      <w:r w:rsidRPr="00197DF6">
        <w:rPr>
          <w:lang w:val="es-ES_tradnl"/>
        </w:rPr>
        <w:br w:type="page"/>
      </w:r>
    </w:p>
    <w:p w14:paraId="0A266E3C" w14:textId="77777777" w:rsidR="0042084F" w:rsidRPr="00197DF6" w:rsidRDefault="0042084F" w:rsidP="0042084F">
      <w:pPr>
        <w:pStyle w:val="HCh0"/>
        <w:spacing w:after="120"/>
        <w:rPr>
          <w:b w:val="0"/>
          <w:lang w:val="es-ES_tradnl"/>
        </w:rPr>
      </w:pPr>
      <w:r w:rsidRPr="00197DF6">
        <w:rPr>
          <w:b w:val="0"/>
          <w:lang w:val="es-ES_tradnl"/>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4D34B9" w:rsidRPr="00197DF6" w14:paraId="3D3BE301" w14:textId="77777777" w:rsidTr="00A9353F">
        <w:tc>
          <w:tcPr>
            <w:tcW w:w="1060" w:type="dxa"/>
            <w:shd w:val="clear" w:color="auto" w:fill="auto"/>
          </w:tcPr>
          <w:p w14:paraId="603C2904" w14:textId="77777777" w:rsidR="004D34B9" w:rsidRPr="00197DF6" w:rsidRDefault="004D34B9" w:rsidP="00A9353F">
            <w:pPr>
              <w:spacing w:after="120" w:line="240" w:lineRule="auto"/>
              <w:jc w:val="right"/>
              <w:rPr>
                <w:i/>
                <w:sz w:val="14"/>
                <w:lang w:val="es-ES_tradnl"/>
              </w:rPr>
            </w:pPr>
          </w:p>
        </w:tc>
        <w:tc>
          <w:tcPr>
            <w:tcW w:w="7056" w:type="dxa"/>
            <w:shd w:val="clear" w:color="auto" w:fill="auto"/>
          </w:tcPr>
          <w:p w14:paraId="7EFE6C38" w14:textId="77777777" w:rsidR="004D34B9" w:rsidRPr="00197DF6" w:rsidRDefault="004D34B9" w:rsidP="00A9353F">
            <w:pPr>
              <w:spacing w:after="120" w:line="240" w:lineRule="auto"/>
              <w:rPr>
                <w:i/>
                <w:sz w:val="14"/>
                <w:lang w:val="es-ES_tradnl"/>
              </w:rPr>
            </w:pPr>
          </w:p>
        </w:tc>
        <w:tc>
          <w:tcPr>
            <w:tcW w:w="994" w:type="dxa"/>
            <w:shd w:val="clear" w:color="auto" w:fill="auto"/>
          </w:tcPr>
          <w:p w14:paraId="018AA485" w14:textId="77777777" w:rsidR="004D34B9" w:rsidRPr="00197DF6" w:rsidRDefault="004D34B9" w:rsidP="00A9353F">
            <w:pPr>
              <w:tabs>
                <w:tab w:val="center" w:pos="497"/>
                <w:tab w:val="right" w:pos="994"/>
              </w:tabs>
              <w:spacing w:after="120" w:line="240" w:lineRule="auto"/>
              <w:rPr>
                <w:i/>
                <w:sz w:val="14"/>
                <w:lang w:val="es-ES_tradnl"/>
              </w:rPr>
            </w:pPr>
          </w:p>
        </w:tc>
        <w:tc>
          <w:tcPr>
            <w:tcW w:w="792" w:type="dxa"/>
            <w:shd w:val="clear" w:color="auto" w:fill="auto"/>
          </w:tcPr>
          <w:p w14:paraId="3ED645AD" w14:textId="77777777" w:rsidR="004D34B9" w:rsidRPr="00197DF6" w:rsidRDefault="004D34B9" w:rsidP="00A9353F">
            <w:pPr>
              <w:spacing w:after="120" w:line="240" w:lineRule="auto"/>
              <w:jc w:val="right"/>
              <w:rPr>
                <w:i/>
                <w:sz w:val="14"/>
                <w:lang w:val="es-ES_tradnl"/>
              </w:rPr>
            </w:pPr>
            <w:r w:rsidRPr="00197DF6">
              <w:rPr>
                <w:i/>
                <w:sz w:val="14"/>
                <w:lang w:val="es-ES_tradnl"/>
              </w:rPr>
              <w:t>Página</w:t>
            </w:r>
          </w:p>
        </w:tc>
      </w:tr>
      <w:tr w:rsidR="004D34B9" w:rsidRPr="00197DF6" w14:paraId="290289EE" w14:textId="77777777" w:rsidTr="00A9353F">
        <w:tc>
          <w:tcPr>
            <w:tcW w:w="9110" w:type="dxa"/>
            <w:gridSpan w:val="3"/>
            <w:shd w:val="clear" w:color="auto" w:fill="auto"/>
          </w:tcPr>
          <w:p w14:paraId="3D80648C" w14:textId="77777777" w:rsidR="004D34B9" w:rsidRPr="00113353" w:rsidRDefault="004D34B9" w:rsidP="00A9353F">
            <w:pPr>
              <w:pStyle w:val="ListParagraph"/>
              <w:tabs>
                <w:tab w:val="right" w:pos="1080"/>
                <w:tab w:val="left" w:pos="1300"/>
                <w:tab w:val="left" w:pos="1740"/>
                <w:tab w:val="left" w:pos="2180"/>
                <w:tab w:val="left" w:pos="2620"/>
                <w:tab w:val="left" w:pos="3060"/>
                <w:tab w:val="right" w:leader="dot" w:pos="9245"/>
              </w:tabs>
              <w:spacing w:after="120"/>
              <w:ind w:left="0" w:firstLine="1296"/>
              <w:rPr>
                <w:spacing w:val="60"/>
                <w:sz w:val="17"/>
                <w:lang w:val="es-ES_tradnl"/>
              </w:rPr>
            </w:pPr>
            <w:r w:rsidRPr="00197DF6">
              <w:rPr>
                <w:lang w:val="es-ES_tradnl"/>
              </w:rPr>
              <w:t>Lista de abreviaciones</w:t>
            </w:r>
            <w:r>
              <w:rPr>
                <w:spacing w:val="60"/>
                <w:sz w:val="17"/>
                <w:lang w:val="es-ES_tradnl"/>
              </w:rPr>
              <w:tab/>
            </w:r>
          </w:p>
        </w:tc>
        <w:tc>
          <w:tcPr>
            <w:tcW w:w="792" w:type="dxa"/>
            <w:shd w:val="clear" w:color="auto" w:fill="auto"/>
            <w:vAlign w:val="bottom"/>
          </w:tcPr>
          <w:p w14:paraId="019E17C5" w14:textId="77777777" w:rsidR="004D34B9" w:rsidRPr="00197DF6" w:rsidRDefault="004D34B9" w:rsidP="00A9353F">
            <w:pPr>
              <w:spacing w:after="120"/>
              <w:jc w:val="right"/>
              <w:rPr>
                <w:lang w:val="es-ES_tradnl"/>
              </w:rPr>
            </w:pPr>
            <w:r>
              <w:rPr>
                <w:lang w:val="es-ES_tradnl"/>
              </w:rPr>
              <w:t>3</w:t>
            </w:r>
          </w:p>
        </w:tc>
      </w:tr>
      <w:tr w:rsidR="004D34B9" w:rsidRPr="00197DF6" w14:paraId="746EA88D" w14:textId="77777777" w:rsidTr="00A9353F">
        <w:tc>
          <w:tcPr>
            <w:tcW w:w="9110" w:type="dxa"/>
            <w:gridSpan w:val="3"/>
            <w:shd w:val="clear" w:color="auto" w:fill="auto"/>
          </w:tcPr>
          <w:p w14:paraId="61722D20" w14:textId="77777777" w:rsidR="004D34B9" w:rsidRPr="00113353" w:rsidRDefault="004D34B9" w:rsidP="00A9353F">
            <w:pPr>
              <w:pStyle w:val="ListParagraph"/>
              <w:tabs>
                <w:tab w:val="right" w:pos="1080"/>
                <w:tab w:val="left" w:pos="1300"/>
                <w:tab w:val="left" w:pos="1740"/>
                <w:tab w:val="left" w:pos="2180"/>
                <w:tab w:val="right" w:leader="dot" w:pos="9245"/>
              </w:tabs>
              <w:spacing w:after="120"/>
              <w:ind w:left="0" w:firstLine="1296"/>
              <w:rPr>
                <w:spacing w:val="60"/>
                <w:sz w:val="17"/>
                <w:lang w:val="es-ES_tradnl"/>
              </w:rPr>
            </w:pPr>
            <w:r w:rsidRPr="00197DF6">
              <w:rPr>
                <w:lang w:val="es-ES_tradnl"/>
              </w:rPr>
              <w:t>Introducción</w:t>
            </w:r>
            <w:r>
              <w:rPr>
                <w:spacing w:val="60"/>
                <w:sz w:val="17"/>
                <w:lang w:val="es-ES_tradnl"/>
              </w:rPr>
              <w:tab/>
            </w:r>
          </w:p>
        </w:tc>
        <w:tc>
          <w:tcPr>
            <w:tcW w:w="792" w:type="dxa"/>
            <w:shd w:val="clear" w:color="auto" w:fill="auto"/>
            <w:vAlign w:val="bottom"/>
          </w:tcPr>
          <w:p w14:paraId="743A1CC5" w14:textId="77777777" w:rsidR="004D34B9" w:rsidRPr="00197DF6" w:rsidRDefault="004D34B9" w:rsidP="00A9353F">
            <w:pPr>
              <w:spacing w:after="120"/>
              <w:jc w:val="right"/>
              <w:rPr>
                <w:lang w:val="es-ES_tradnl"/>
              </w:rPr>
            </w:pPr>
            <w:r>
              <w:rPr>
                <w:lang w:val="es-ES_tradnl"/>
              </w:rPr>
              <w:t>4</w:t>
            </w:r>
          </w:p>
        </w:tc>
      </w:tr>
      <w:tr w:rsidR="004D34B9" w:rsidRPr="00197DF6" w14:paraId="42EFF361" w14:textId="77777777" w:rsidTr="00A9353F">
        <w:tc>
          <w:tcPr>
            <w:tcW w:w="9110" w:type="dxa"/>
            <w:gridSpan w:val="3"/>
            <w:shd w:val="clear" w:color="auto" w:fill="auto"/>
          </w:tcPr>
          <w:p w14:paraId="54451425" w14:textId="77777777" w:rsidR="004D34B9" w:rsidRPr="00113353" w:rsidRDefault="004D34B9" w:rsidP="00A9353F">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0" w:firstLine="1296"/>
              <w:rPr>
                <w:spacing w:val="60"/>
                <w:sz w:val="17"/>
                <w:lang w:val="es-ES_tradnl"/>
              </w:rPr>
            </w:pPr>
            <w:r w:rsidRPr="00197DF6">
              <w:rPr>
                <w:lang w:val="es-ES_tradnl"/>
              </w:rPr>
              <w:t>Metodología y proceso de consulta</w:t>
            </w:r>
            <w:r>
              <w:rPr>
                <w:spacing w:val="60"/>
                <w:sz w:val="17"/>
                <w:lang w:val="es-ES_tradnl"/>
              </w:rPr>
              <w:tab/>
            </w:r>
          </w:p>
        </w:tc>
        <w:tc>
          <w:tcPr>
            <w:tcW w:w="792" w:type="dxa"/>
            <w:shd w:val="clear" w:color="auto" w:fill="auto"/>
            <w:vAlign w:val="bottom"/>
          </w:tcPr>
          <w:p w14:paraId="7922B112" w14:textId="77777777" w:rsidR="004D34B9" w:rsidRPr="00197DF6" w:rsidRDefault="004D34B9" w:rsidP="00A9353F">
            <w:pPr>
              <w:spacing w:after="120"/>
              <w:jc w:val="right"/>
              <w:rPr>
                <w:lang w:val="es-ES_tradnl"/>
              </w:rPr>
            </w:pPr>
            <w:r>
              <w:rPr>
                <w:lang w:val="es-ES_tradnl"/>
              </w:rPr>
              <w:t>4</w:t>
            </w:r>
          </w:p>
        </w:tc>
      </w:tr>
      <w:tr w:rsidR="004D34B9" w:rsidRPr="00197DF6" w14:paraId="12A0CCA4" w14:textId="77777777" w:rsidTr="00A9353F">
        <w:tc>
          <w:tcPr>
            <w:tcW w:w="9110" w:type="dxa"/>
            <w:gridSpan w:val="3"/>
            <w:shd w:val="clear" w:color="auto" w:fill="auto"/>
          </w:tcPr>
          <w:p w14:paraId="0A58A330" w14:textId="77777777" w:rsidR="004D34B9" w:rsidRPr="00113353" w:rsidRDefault="004D34B9" w:rsidP="00A9353F">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rPr>
                <w:spacing w:val="60"/>
                <w:sz w:val="17"/>
                <w:lang w:val="es-ES_tradnl"/>
              </w:rPr>
            </w:pPr>
            <w:r w:rsidRPr="00197DF6">
              <w:rPr>
                <w:lang w:val="es-ES_tradnl"/>
              </w:rPr>
              <w:t>Derechos de las mujeres e igualdad de género en relación con la pandemia y las actividades de recuperación (respuestas al párrafo 3)</w:t>
            </w:r>
            <w:r>
              <w:rPr>
                <w:spacing w:val="60"/>
                <w:sz w:val="17"/>
                <w:lang w:val="es-ES_tradnl"/>
              </w:rPr>
              <w:tab/>
            </w:r>
          </w:p>
        </w:tc>
        <w:tc>
          <w:tcPr>
            <w:tcW w:w="792" w:type="dxa"/>
            <w:shd w:val="clear" w:color="auto" w:fill="auto"/>
            <w:vAlign w:val="bottom"/>
          </w:tcPr>
          <w:p w14:paraId="05791ED7" w14:textId="77777777" w:rsidR="004D34B9" w:rsidRPr="00197DF6" w:rsidRDefault="004D34B9" w:rsidP="00A9353F">
            <w:pPr>
              <w:spacing w:after="120"/>
              <w:jc w:val="right"/>
              <w:rPr>
                <w:lang w:val="es-ES_tradnl"/>
              </w:rPr>
            </w:pPr>
            <w:r>
              <w:rPr>
                <w:lang w:val="es-ES_tradnl"/>
              </w:rPr>
              <w:t>6</w:t>
            </w:r>
          </w:p>
        </w:tc>
      </w:tr>
      <w:tr w:rsidR="004D34B9" w:rsidRPr="00197DF6" w14:paraId="37300E21" w14:textId="77777777" w:rsidTr="00A9353F">
        <w:tc>
          <w:tcPr>
            <w:tcW w:w="9110" w:type="dxa"/>
            <w:gridSpan w:val="3"/>
            <w:shd w:val="clear" w:color="auto" w:fill="auto"/>
          </w:tcPr>
          <w:p w14:paraId="3DD75B56" w14:textId="77777777" w:rsidR="004D34B9" w:rsidRPr="00113353" w:rsidRDefault="004D34B9" w:rsidP="00A9353F">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ind w:left="0" w:firstLine="1296"/>
              <w:rPr>
                <w:spacing w:val="60"/>
                <w:sz w:val="17"/>
                <w:lang w:val="es-ES_tradnl"/>
              </w:rPr>
            </w:pPr>
            <w:r w:rsidRPr="00197DF6">
              <w:rPr>
                <w:lang w:val="es-ES_tradnl"/>
              </w:rPr>
              <w:t>Acceso a la justicia y mecanismos jurídicos de denuncia (respuesta al párrafo 4)</w:t>
            </w:r>
            <w:r>
              <w:rPr>
                <w:spacing w:val="60"/>
                <w:sz w:val="17"/>
                <w:lang w:val="es-ES_tradnl"/>
              </w:rPr>
              <w:tab/>
            </w:r>
          </w:p>
        </w:tc>
        <w:tc>
          <w:tcPr>
            <w:tcW w:w="792" w:type="dxa"/>
            <w:shd w:val="clear" w:color="auto" w:fill="auto"/>
            <w:vAlign w:val="bottom"/>
          </w:tcPr>
          <w:p w14:paraId="09D7CF15" w14:textId="77777777" w:rsidR="004D34B9" w:rsidRPr="00197DF6" w:rsidRDefault="004D34B9" w:rsidP="00A9353F">
            <w:pPr>
              <w:spacing w:after="120"/>
              <w:jc w:val="right"/>
              <w:rPr>
                <w:lang w:val="es-ES_tradnl"/>
              </w:rPr>
            </w:pPr>
            <w:r>
              <w:rPr>
                <w:lang w:val="es-ES_tradnl"/>
              </w:rPr>
              <w:t>9</w:t>
            </w:r>
          </w:p>
        </w:tc>
      </w:tr>
      <w:tr w:rsidR="004D34B9" w:rsidRPr="00197DF6" w14:paraId="0AE0059B" w14:textId="77777777" w:rsidTr="00A9353F">
        <w:tc>
          <w:tcPr>
            <w:tcW w:w="9110" w:type="dxa"/>
            <w:gridSpan w:val="3"/>
            <w:shd w:val="clear" w:color="auto" w:fill="auto"/>
          </w:tcPr>
          <w:p w14:paraId="499AD5FD" w14:textId="77777777" w:rsidR="004D34B9" w:rsidRPr="00113353" w:rsidRDefault="004D34B9" w:rsidP="00A9353F">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ind w:left="0" w:firstLine="1296"/>
              <w:rPr>
                <w:spacing w:val="60"/>
                <w:sz w:val="17"/>
                <w:lang w:val="es-ES_tradnl"/>
              </w:rPr>
            </w:pPr>
            <w:r w:rsidRPr="00197DF6">
              <w:rPr>
                <w:lang w:val="es-ES_tradnl"/>
              </w:rPr>
              <w:t>Mecanismos nacionales para el adelanto de la mujer (respuestas al párrafo 5)</w:t>
            </w:r>
            <w:r>
              <w:rPr>
                <w:spacing w:val="60"/>
                <w:sz w:val="17"/>
                <w:lang w:val="es-ES_tradnl"/>
              </w:rPr>
              <w:tab/>
            </w:r>
          </w:p>
        </w:tc>
        <w:tc>
          <w:tcPr>
            <w:tcW w:w="792" w:type="dxa"/>
            <w:shd w:val="clear" w:color="auto" w:fill="auto"/>
            <w:vAlign w:val="bottom"/>
          </w:tcPr>
          <w:p w14:paraId="5410281F" w14:textId="77777777" w:rsidR="004D34B9" w:rsidRPr="00197DF6" w:rsidRDefault="004D34B9" w:rsidP="00A9353F">
            <w:pPr>
              <w:spacing w:after="120"/>
              <w:jc w:val="right"/>
              <w:rPr>
                <w:lang w:val="es-ES_tradnl"/>
              </w:rPr>
            </w:pPr>
            <w:r>
              <w:rPr>
                <w:lang w:val="es-ES_tradnl"/>
              </w:rPr>
              <w:t>12</w:t>
            </w:r>
          </w:p>
        </w:tc>
      </w:tr>
      <w:tr w:rsidR="004D34B9" w:rsidRPr="00197DF6" w14:paraId="62916B0D" w14:textId="77777777" w:rsidTr="00A9353F">
        <w:tc>
          <w:tcPr>
            <w:tcW w:w="9110" w:type="dxa"/>
            <w:gridSpan w:val="3"/>
            <w:shd w:val="clear" w:color="auto" w:fill="auto"/>
          </w:tcPr>
          <w:p w14:paraId="4F43C4B4" w14:textId="77777777" w:rsidR="004D34B9" w:rsidRPr="00113353" w:rsidRDefault="004D34B9" w:rsidP="00A9353F">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0" w:firstLine="1296"/>
              <w:rPr>
                <w:spacing w:val="60"/>
                <w:sz w:val="17"/>
                <w:lang w:val="es-ES_tradnl"/>
              </w:rPr>
            </w:pPr>
            <w:r w:rsidRPr="00197DF6">
              <w:rPr>
                <w:lang w:val="es-ES_tradnl"/>
              </w:rPr>
              <w:t>Medidas especiales de carácter temporal (respuesta al párrafo 6)</w:t>
            </w:r>
            <w:r>
              <w:rPr>
                <w:spacing w:val="60"/>
                <w:sz w:val="17"/>
                <w:lang w:val="es-ES_tradnl"/>
              </w:rPr>
              <w:tab/>
            </w:r>
          </w:p>
        </w:tc>
        <w:tc>
          <w:tcPr>
            <w:tcW w:w="792" w:type="dxa"/>
            <w:shd w:val="clear" w:color="auto" w:fill="auto"/>
            <w:vAlign w:val="bottom"/>
          </w:tcPr>
          <w:p w14:paraId="75DE0C79" w14:textId="77777777" w:rsidR="004D34B9" w:rsidRPr="00197DF6" w:rsidRDefault="004D34B9" w:rsidP="00A9353F">
            <w:pPr>
              <w:spacing w:after="120"/>
              <w:jc w:val="right"/>
              <w:rPr>
                <w:lang w:val="es-ES_tradnl"/>
              </w:rPr>
            </w:pPr>
            <w:r>
              <w:rPr>
                <w:lang w:val="es-ES_tradnl"/>
              </w:rPr>
              <w:t>17</w:t>
            </w:r>
          </w:p>
        </w:tc>
      </w:tr>
      <w:tr w:rsidR="004D34B9" w:rsidRPr="00197DF6" w14:paraId="0C5BD6D9" w14:textId="77777777" w:rsidTr="00A9353F">
        <w:tc>
          <w:tcPr>
            <w:tcW w:w="9110" w:type="dxa"/>
            <w:gridSpan w:val="3"/>
            <w:shd w:val="clear" w:color="auto" w:fill="auto"/>
          </w:tcPr>
          <w:p w14:paraId="7FC4BD8A" w14:textId="77777777" w:rsidR="004D34B9" w:rsidRPr="00113353" w:rsidRDefault="004D34B9" w:rsidP="00A9353F">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0" w:firstLine="1296"/>
              <w:rPr>
                <w:spacing w:val="60"/>
                <w:sz w:val="17"/>
                <w:lang w:val="es-ES_tradnl"/>
              </w:rPr>
            </w:pPr>
            <w:r w:rsidRPr="00197DF6">
              <w:rPr>
                <w:lang w:val="es-ES_tradnl"/>
              </w:rPr>
              <w:t>Estereotipos y prácticas nocivas (respuesta al párrafo 7)</w:t>
            </w:r>
            <w:r>
              <w:rPr>
                <w:spacing w:val="60"/>
                <w:sz w:val="17"/>
                <w:lang w:val="es-ES_tradnl"/>
              </w:rPr>
              <w:tab/>
            </w:r>
          </w:p>
        </w:tc>
        <w:tc>
          <w:tcPr>
            <w:tcW w:w="792" w:type="dxa"/>
            <w:shd w:val="clear" w:color="auto" w:fill="auto"/>
            <w:vAlign w:val="bottom"/>
          </w:tcPr>
          <w:p w14:paraId="39A865F2" w14:textId="77777777" w:rsidR="004D34B9" w:rsidRPr="00197DF6" w:rsidRDefault="004D34B9" w:rsidP="00A9353F">
            <w:pPr>
              <w:spacing w:after="120"/>
              <w:jc w:val="right"/>
              <w:rPr>
                <w:lang w:val="es-ES_tradnl"/>
              </w:rPr>
            </w:pPr>
            <w:r>
              <w:rPr>
                <w:lang w:val="es-ES_tradnl"/>
              </w:rPr>
              <w:t>19</w:t>
            </w:r>
          </w:p>
        </w:tc>
      </w:tr>
      <w:tr w:rsidR="004D34B9" w:rsidRPr="00197DF6" w14:paraId="26C3E345" w14:textId="77777777" w:rsidTr="00A9353F">
        <w:tc>
          <w:tcPr>
            <w:tcW w:w="9110" w:type="dxa"/>
            <w:gridSpan w:val="3"/>
            <w:shd w:val="clear" w:color="auto" w:fill="auto"/>
          </w:tcPr>
          <w:p w14:paraId="3A4E05D2" w14:textId="77777777" w:rsidR="004D34B9" w:rsidRPr="00113353" w:rsidRDefault="004D34B9" w:rsidP="00A9353F">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0" w:firstLine="1296"/>
              <w:rPr>
                <w:spacing w:val="60"/>
                <w:sz w:val="17"/>
                <w:lang w:val="es-ES_tradnl"/>
              </w:rPr>
            </w:pPr>
            <w:r w:rsidRPr="00197DF6">
              <w:rPr>
                <w:lang w:val="es-ES_tradnl"/>
              </w:rPr>
              <w:t>Violencia de género contra la mujer (respuestas a los párrafos 8, 9 y 10)</w:t>
            </w:r>
            <w:r>
              <w:rPr>
                <w:spacing w:val="60"/>
                <w:sz w:val="17"/>
                <w:lang w:val="es-ES_tradnl"/>
              </w:rPr>
              <w:tab/>
            </w:r>
          </w:p>
        </w:tc>
        <w:tc>
          <w:tcPr>
            <w:tcW w:w="792" w:type="dxa"/>
            <w:shd w:val="clear" w:color="auto" w:fill="auto"/>
            <w:vAlign w:val="bottom"/>
          </w:tcPr>
          <w:p w14:paraId="5E420B99" w14:textId="77777777" w:rsidR="004D34B9" w:rsidRPr="00197DF6" w:rsidRDefault="004D34B9" w:rsidP="00A9353F">
            <w:pPr>
              <w:spacing w:after="120"/>
              <w:jc w:val="right"/>
              <w:rPr>
                <w:lang w:val="es-ES_tradnl"/>
              </w:rPr>
            </w:pPr>
            <w:r>
              <w:rPr>
                <w:lang w:val="es-ES_tradnl"/>
              </w:rPr>
              <w:t>21</w:t>
            </w:r>
          </w:p>
        </w:tc>
      </w:tr>
      <w:tr w:rsidR="004D34B9" w:rsidRPr="00197DF6" w14:paraId="1BCD19C7" w14:textId="77777777" w:rsidTr="00A9353F">
        <w:tc>
          <w:tcPr>
            <w:tcW w:w="9110" w:type="dxa"/>
            <w:gridSpan w:val="3"/>
            <w:shd w:val="clear" w:color="auto" w:fill="auto"/>
          </w:tcPr>
          <w:p w14:paraId="43F29D1E" w14:textId="77777777" w:rsidR="004D34B9" w:rsidRPr="00113353" w:rsidRDefault="004D34B9" w:rsidP="00A9353F">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0" w:firstLine="1296"/>
              <w:rPr>
                <w:spacing w:val="60"/>
                <w:sz w:val="17"/>
                <w:lang w:val="es-ES_tradnl"/>
              </w:rPr>
            </w:pPr>
            <w:r w:rsidRPr="00197DF6">
              <w:rPr>
                <w:lang w:val="es-ES_tradnl"/>
              </w:rPr>
              <w:t>Trata y explotación de la prostitución (respuesta a los párrafos 11 y 12)</w:t>
            </w:r>
            <w:r>
              <w:rPr>
                <w:spacing w:val="60"/>
                <w:sz w:val="17"/>
                <w:lang w:val="es-ES_tradnl"/>
              </w:rPr>
              <w:tab/>
            </w:r>
          </w:p>
        </w:tc>
        <w:tc>
          <w:tcPr>
            <w:tcW w:w="792" w:type="dxa"/>
            <w:shd w:val="clear" w:color="auto" w:fill="auto"/>
            <w:vAlign w:val="bottom"/>
          </w:tcPr>
          <w:p w14:paraId="4D825393" w14:textId="77777777" w:rsidR="004D34B9" w:rsidRPr="00197DF6" w:rsidRDefault="004D34B9" w:rsidP="00A9353F">
            <w:pPr>
              <w:spacing w:after="120"/>
              <w:jc w:val="right"/>
              <w:rPr>
                <w:lang w:val="es-ES_tradnl"/>
              </w:rPr>
            </w:pPr>
            <w:r>
              <w:rPr>
                <w:lang w:val="es-ES_tradnl"/>
              </w:rPr>
              <w:t>24</w:t>
            </w:r>
          </w:p>
        </w:tc>
      </w:tr>
      <w:tr w:rsidR="004D34B9" w:rsidRPr="00197DF6" w14:paraId="467A2442" w14:textId="77777777" w:rsidTr="00A9353F">
        <w:tc>
          <w:tcPr>
            <w:tcW w:w="9110" w:type="dxa"/>
            <w:gridSpan w:val="3"/>
            <w:shd w:val="clear" w:color="auto" w:fill="auto"/>
          </w:tcPr>
          <w:p w14:paraId="2662A5EF" w14:textId="77777777" w:rsidR="004D34B9" w:rsidRPr="00113353" w:rsidRDefault="004D34B9" w:rsidP="00A9353F">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0" w:firstLine="1296"/>
              <w:rPr>
                <w:spacing w:val="60"/>
                <w:sz w:val="17"/>
                <w:lang w:val="es-ES_tradnl"/>
              </w:rPr>
            </w:pPr>
            <w:r w:rsidRPr="00197DF6">
              <w:rPr>
                <w:lang w:val="es-ES_tradnl"/>
              </w:rPr>
              <w:t>Participación en la vida política y pública (respuestas al párrafo 13)</w:t>
            </w:r>
            <w:r>
              <w:rPr>
                <w:spacing w:val="60"/>
                <w:sz w:val="17"/>
                <w:lang w:val="es-ES_tradnl"/>
              </w:rPr>
              <w:tab/>
            </w:r>
          </w:p>
        </w:tc>
        <w:tc>
          <w:tcPr>
            <w:tcW w:w="792" w:type="dxa"/>
            <w:shd w:val="clear" w:color="auto" w:fill="auto"/>
            <w:vAlign w:val="bottom"/>
          </w:tcPr>
          <w:p w14:paraId="318495F8" w14:textId="77777777" w:rsidR="004D34B9" w:rsidRPr="00197DF6" w:rsidRDefault="004D34B9" w:rsidP="00A9353F">
            <w:pPr>
              <w:spacing w:after="120"/>
              <w:jc w:val="right"/>
              <w:rPr>
                <w:lang w:val="es-ES_tradnl"/>
              </w:rPr>
            </w:pPr>
            <w:r>
              <w:rPr>
                <w:lang w:val="es-ES_tradnl"/>
              </w:rPr>
              <w:t>26</w:t>
            </w:r>
          </w:p>
        </w:tc>
      </w:tr>
      <w:tr w:rsidR="004D34B9" w:rsidRPr="00197DF6" w14:paraId="2AB8DA72" w14:textId="77777777" w:rsidTr="00A9353F">
        <w:tc>
          <w:tcPr>
            <w:tcW w:w="9110" w:type="dxa"/>
            <w:gridSpan w:val="3"/>
            <w:shd w:val="clear" w:color="auto" w:fill="auto"/>
          </w:tcPr>
          <w:p w14:paraId="56CDD7A9" w14:textId="77777777" w:rsidR="004D34B9" w:rsidRPr="00113353" w:rsidRDefault="004D34B9" w:rsidP="00A9353F">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0" w:firstLine="1296"/>
              <w:rPr>
                <w:spacing w:val="60"/>
                <w:sz w:val="17"/>
                <w:lang w:val="es-ES_tradnl"/>
              </w:rPr>
            </w:pPr>
            <w:r w:rsidRPr="00197DF6">
              <w:rPr>
                <w:lang w:val="es-ES_tradnl"/>
              </w:rPr>
              <w:t>Educación (respuesta a los párrafos 14 y 15)</w:t>
            </w:r>
            <w:r>
              <w:rPr>
                <w:spacing w:val="60"/>
                <w:sz w:val="17"/>
                <w:lang w:val="es-ES_tradnl"/>
              </w:rPr>
              <w:tab/>
            </w:r>
          </w:p>
        </w:tc>
        <w:tc>
          <w:tcPr>
            <w:tcW w:w="792" w:type="dxa"/>
            <w:shd w:val="clear" w:color="auto" w:fill="auto"/>
            <w:vAlign w:val="bottom"/>
          </w:tcPr>
          <w:p w14:paraId="31D74683" w14:textId="77777777" w:rsidR="004D34B9" w:rsidRPr="00197DF6" w:rsidRDefault="004D34B9" w:rsidP="00A9353F">
            <w:pPr>
              <w:spacing w:after="120"/>
              <w:jc w:val="right"/>
              <w:rPr>
                <w:lang w:val="es-ES_tradnl"/>
              </w:rPr>
            </w:pPr>
            <w:r>
              <w:rPr>
                <w:lang w:val="es-ES_tradnl"/>
              </w:rPr>
              <w:t>28</w:t>
            </w:r>
          </w:p>
        </w:tc>
      </w:tr>
      <w:tr w:rsidR="004D34B9" w:rsidRPr="00197DF6" w14:paraId="1C331233" w14:textId="77777777" w:rsidTr="00A9353F">
        <w:tc>
          <w:tcPr>
            <w:tcW w:w="9110" w:type="dxa"/>
            <w:gridSpan w:val="3"/>
            <w:shd w:val="clear" w:color="auto" w:fill="auto"/>
          </w:tcPr>
          <w:p w14:paraId="10A10C80" w14:textId="77777777" w:rsidR="004D34B9" w:rsidRPr="00113353" w:rsidRDefault="004D34B9" w:rsidP="00A9353F">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0" w:firstLine="1296"/>
              <w:rPr>
                <w:spacing w:val="60"/>
                <w:sz w:val="17"/>
                <w:lang w:val="es-ES_tradnl"/>
              </w:rPr>
            </w:pPr>
            <w:r w:rsidRPr="00197DF6">
              <w:rPr>
                <w:lang w:val="es-ES_tradnl"/>
              </w:rPr>
              <w:t>Empleo (respuestas al párrafo 16)</w:t>
            </w:r>
            <w:r>
              <w:rPr>
                <w:spacing w:val="60"/>
                <w:sz w:val="17"/>
                <w:lang w:val="es-ES_tradnl"/>
              </w:rPr>
              <w:tab/>
            </w:r>
          </w:p>
        </w:tc>
        <w:tc>
          <w:tcPr>
            <w:tcW w:w="792" w:type="dxa"/>
            <w:shd w:val="clear" w:color="auto" w:fill="auto"/>
            <w:vAlign w:val="bottom"/>
          </w:tcPr>
          <w:p w14:paraId="0D69501D" w14:textId="77777777" w:rsidR="004D34B9" w:rsidRPr="00197DF6" w:rsidRDefault="004D34B9" w:rsidP="00A9353F">
            <w:pPr>
              <w:spacing w:after="120"/>
              <w:jc w:val="right"/>
              <w:rPr>
                <w:lang w:val="es-ES_tradnl"/>
              </w:rPr>
            </w:pPr>
            <w:r>
              <w:rPr>
                <w:lang w:val="es-ES_tradnl"/>
              </w:rPr>
              <w:t>31</w:t>
            </w:r>
          </w:p>
        </w:tc>
      </w:tr>
      <w:tr w:rsidR="004D34B9" w:rsidRPr="00197DF6" w14:paraId="5B7B153F" w14:textId="77777777" w:rsidTr="00A9353F">
        <w:tc>
          <w:tcPr>
            <w:tcW w:w="9110" w:type="dxa"/>
            <w:gridSpan w:val="3"/>
            <w:shd w:val="clear" w:color="auto" w:fill="auto"/>
          </w:tcPr>
          <w:p w14:paraId="6E4DE1B3" w14:textId="77777777" w:rsidR="004D34B9" w:rsidRPr="00113353" w:rsidRDefault="004D34B9" w:rsidP="00A9353F">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0" w:firstLine="1296"/>
              <w:rPr>
                <w:spacing w:val="60"/>
                <w:sz w:val="17"/>
                <w:lang w:val="es-ES_tradnl"/>
              </w:rPr>
            </w:pPr>
            <w:r w:rsidRPr="00197DF6">
              <w:rPr>
                <w:lang w:val="es-ES_tradnl"/>
              </w:rPr>
              <w:t>Salud (respuestas a los párrafos 17, 18 y 19)</w:t>
            </w:r>
            <w:r>
              <w:rPr>
                <w:spacing w:val="60"/>
                <w:sz w:val="17"/>
                <w:lang w:val="es-ES_tradnl"/>
              </w:rPr>
              <w:tab/>
            </w:r>
          </w:p>
        </w:tc>
        <w:tc>
          <w:tcPr>
            <w:tcW w:w="792" w:type="dxa"/>
            <w:shd w:val="clear" w:color="auto" w:fill="auto"/>
            <w:vAlign w:val="bottom"/>
          </w:tcPr>
          <w:p w14:paraId="3CD8928E" w14:textId="77777777" w:rsidR="004D34B9" w:rsidRPr="00197DF6" w:rsidRDefault="004D34B9" w:rsidP="00A9353F">
            <w:pPr>
              <w:spacing w:after="120"/>
              <w:jc w:val="right"/>
              <w:rPr>
                <w:lang w:val="es-ES_tradnl"/>
              </w:rPr>
            </w:pPr>
            <w:r>
              <w:rPr>
                <w:lang w:val="es-ES_tradnl"/>
              </w:rPr>
              <w:t>34</w:t>
            </w:r>
          </w:p>
        </w:tc>
      </w:tr>
      <w:tr w:rsidR="004D34B9" w:rsidRPr="00197DF6" w14:paraId="701C80B5" w14:textId="77777777" w:rsidTr="00A9353F">
        <w:tc>
          <w:tcPr>
            <w:tcW w:w="9110" w:type="dxa"/>
            <w:gridSpan w:val="3"/>
            <w:shd w:val="clear" w:color="auto" w:fill="auto"/>
          </w:tcPr>
          <w:p w14:paraId="1BEAEC8D" w14:textId="77777777" w:rsidR="004D34B9" w:rsidRPr="00113353" w:rsidRDefault="004D34B9" w:rsidP="00A9353F">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0" w:firstLine="1296"/>
              <w:rPr>
                <w:spacing w:val="60"/>
                <w:sz w:val="17"/>
                <w:lang w:val="es-ES_tradnl"/>
              </w:rPr>
            </w:pPr>
            <w:r w:rsidRPr="00197DF6">
              <w:rPr>
                <w:lang w:val="es-ES_tradnl"/>
              </w:rPr>
              <w:t>Mujeres rurales (respuestas al párrafo 20)</w:t>
            </w:r>
            <w:r>
              <w:rPr>
                <w:spacing w:val="60"/>
                <w:sz w:val="17"/>
                <w:lang w:val="es-ES_tradnl"/>
              </w:rPr>
              <w:tab/>
            </w:r>
          </w:p>
        </w:tc>
        <w:tc>
          <w:tcPr>
            <w:tcW w:w="792" w:type="dxa"/>
            <w:shd w:val="clear" w:color="auto" w:fill="auto"/>
            <w:vAlign w:val="bottom"/>
          </w:tcPr>
          <w:p w14:paraId="1E81AED2" w14:textId="77777777" w:rsidR="004D34B9" w:rsidRPr="00197DF6" w:rsidRDefault="004D34B9" w:rsidP="00A9353F">
            <w:pPr>
              <w:spacing w:after="120"/>
              <w:jc w:val="right"/>
              <w:rPr>
                <w:lang w:val="es-ES_tradnl"/>
              </w:rPr>
            </w:pPr>
            <w:r>
              <w:rPr>
                <w:lang w:val="es-ES_tradnl"/>
              </w:rPr>
              <w:t>38</w:t>
            </w:r>
          </w:p>
        </w:tc>
      </w:tr>
      <w:tr w:rsidR="004D34B9" w:rsidRPr="00197DF6" w14:paraId="49C8880B" w14:textId="77777777" w:rsidTr="00A9353F">
        <w:tc>
          <w:tcPr>
            <w:tcW w:w="9110" w:type="dxa"/>
            <w:gridSpan w:val="3"/>
            <w:shd w:val="clear" w:color="auto" w:fill="auto"/>
          </w:tcPr>
          <w:p w14:paraId="10829877" w14:textId="77777777" w:rsidR="004D34B9" w:rsidRPr="00113353" w:rsidRDefault="004D34B9" w:rsidP="00A9353F">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ind w:left="0" w:firstLine="1296"/>
              <w:rPr>
                <w:spacing w:val="60"/>
                <w:sz w:val="17"/>
                <w:lang w:val="es-ES_tradnl"/>
              </w:rPr>
            </w:pPr>
            <w:r w:rsidRPr="00197DF6">
              <w:rPr>
                <w:lang w:val="es-ES_tradnl"/>
              </w:rPr>
              <w:t>Reducción del riesgo de desastres y cambio climático (respuestas al párrafo 21)</w:t>
            </w:r>
            <w:r>
              <w:rPr>
                <w:spacing w:val="60"/>
                <w:sz w:val="17"/>
                <w:lang w:val="es-ES_tradnl"/>
              </w:rPr>
              <w:tab/>
            </w:r>
          </w:p>
        </w:tc>
        <w:tc>
          <w:tcPr>
            <w:tcW w:w="792" w:type="dxa"/>
            <w:shd w:val="clear" w:color="auto" w:fill="auto"/>
            <w:vAlign w:val="bottom"/>
          </w:tcPr>
          <w:p w14:paraId="7D1FD8AE" w14:textId="77777777" w:rsidR="004D34B9" w:rsidRPr="00197DF6" w:rsidRDefault="004D34B9" w:rsidP="00A9353F">
            <w:pPr>
              <w:spacing w:after="120"/>
              <w:jc w:val="right"/>
              <w:rPr>
                <w:lang w:val="es-ES_tradnl"/>
              </w:rPr>
            </w:pPr>
            <w:r>
              <w:rPr>
                <w:lang w:val="es-ES_tradnl"/>
              </w:rPr>
              <w:t>41</w:t>
            </w:r>
          </w:p>
        </w:tc>
      </w:tr>
      <w:tr w:rsidR="004D34B9" w:rsidRPr="00197DF6" w14:paraId="1C837F54" w14:textId="77777777" w:rsidTr="00A9353F">
        <w:tc>
          <w:tcPr>
            <w:tcW w:w="9110" w:type="dxa"/>
            <w:gridSpan w:val="3"/>
            <w:shd w:val="clear" w:color="auto" w:fill="auto"/>
          </w:tcPr>
          <w:p w14:paraId="2D17D927" w14:textId="77777777" w:rsidR="004D34B9" w:rsidRPr="00113353" w:rsidRDefault="004D34B9" w:rsidP="00A9353F">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0" w:firstLine="1296"/>
              <w:rPr>
                <w:spacing w:val="60"/>
                <w:sz w:val="17"/>
                <w:lang w:val="es-ES_tradnl"/>
              </w:rPr>
            </w:pPr>
            <w:r w:rsidRPr="00197DF6">
              <w:rPr>
                <w:lang w:val="es-ES_tradnl"/>
              </w:rPr>
              <w:t>Grupos desfavorecidos de mujeres (respuestas al párrafo 22)</w:t>
            </w:r>
            <w:r>
              <w:rPr>
                <w:spacing w:val="60"/>
                <w:sz w:val="17"/>
                <w:lang w:val="es-ES_tradnl"/>
              </w:rPr>
              <w:tab/>
            </w:r>
          </w:p>
        </w:tc>
        <w:tc>
          <w:tcPr>
            <w:tcW w:w="792" w:type="dxa"/>
            <w:shd w:val="clear" w:color="auto" w:fill="auto"/>
            <w:vAlign w:val="bottom"/>
          </w:tcPr>
          <w:p w14:paraId="06F267C4" w14:textId="77777777" w:rsidR="004D34B9" w:rsidRPr="00197DF6" w:rsidRDefault="004D34B9" w:rsidP="00A9353F">
            <w:pPr>
              <w:spacing w:after="120"/>
              <w:jc w:val="right"/>
              <w:rPr>
                <w:lang w:val="es-ES_tradnl"/>
              </w:rPr>
            </w:pPr>
            <w:r>
              <w:rPr>
                <w:lang w:val="es-ES_tradnl"/>
              </w:rPr>
              <w:t>43</w:t>
            </w:r>
          </w:p>
        </w:tc>
      </w:tr>
      <w:tr w:rsidR="004D34B9" w:rsidRPr="00197DF6" w14:paraId="25E78489" w14:textId="77777777" w:rsidTr="00A9353F">
        <w:tc>
          <w:tcPr>
            <w:tcW w:w="9110" w:type="dxa"/>
            <w:gridSpan w:val="3"/>
            <w:shd w:val="clear" w:color="auto" w:fill="auto"/>
          </w:tcPr>
          <w:p w14:paraId="7BB88B09" w14:textId="77777777" w:rsidR="004D34B9" w:rsidRPr="00113353" w:rsidRDefault="004D34B9" w:rsidP="00A9353F">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0" w:firstLine="1296"/>
              <w:rPr>
                <w:spacing w:val="60"/>
                <w:sz w:val="17"/>
                <w:lang w:val="es-ES_tradnl"/>
              </w:rPr>
            </w:pPr>
            <w:r w:rsidRPr="00197DF6">
              <w:rPr>
                <w:lang w:val="es-ES_tradnl"/>
              </w:rPr>
              <w:t>Matrimonio y relaciones familiares (respuestas a los párrafos 23 y 24)</w:t>
            </w:r>
            <w:r>
              <w:rPr>
                <w:spacing w:val="60"/>
                <w:sz w:val="17"/>
                <w:lang w:val="es-ES_tradnl"/>
              </w:rPr>
              <w:tab/>
            </w:r>
          </w:p>
        </w:tc>
        <w:tc>
          <w:tcPr>
            <w:tcW w:w="792" w:type="dxa"/>
            <w:shd w:val="clear" w:color="auto" w:fill="auto"/>
            <w:vAlign w:val="bottom"/>
          </w:tcPr>
          <w:p w14:paraId="71BACA15" w14:textId="77777777" w:rsidR="004D34B9" w:rsidRPr="00197DF6" w:rsidRDefault="004D34B9" w:rsidP="00A9353F">
            <w:pPr>
              <w:spacing w:after="120"/>
              <w:jc w:val="right"/>
              <w:rPr>
                <w:lang w:val="es-ES_tradnl"/>
              </w:rPr>
            </w:pPr>
            <w:r>
              <w:rPr>
                <w:lang w:val="es-ES_tradnl"/>
              </w:rPr>
              <w:t>45</w:t>
            </w:r>
          </w:p>
        </w:tc>
      </w:tr>
    </w:tbl>
    <w:p w14:paraId="08530C19" w14:textId="78B31B2C" w:rsidR="0042084F" w:rsidRPr="00197DF6" w:rsidRDefault="0042084F" w:rsidP="0042084F">
      <w:pPr>
        <w:rPr>
          <w:lang w:val="es-ES_tradnl"/>
        </w:rPr>
      </w:pPr>
    </w:p>
    <w:p w14:paraId="2E06D666" w14:textId="77777777" w:rsidR="0042084F" w:rsidRPr="00197DF6" w:rsidRDefault="0042084F" w:rsidP="0042084F">
      <w:pPr>
        <w:rPr>
          <w:lang w:val="es-ES_tradnl"/>
        </w:rPr>
      </w:pPr>
    </w:p>
    <w:p w14:paraId="0EBB8578" w14:textId="77777777" w:rsidR="00E77F78" w:rsidRPr="00197DF6" w:rsidRDefault="00E77F78" w:rsidP="00E77F78">
      <w:pPr>
        <w:rPr>
          <w:lang w:val="es-ES_tradnl"/>
        </w:rPr>
      </w:pPr>
    </w:p>
    <w:p w14:paraId="4AFC0E58" w14:textId="77777777" w:rsidR="00E77F78" w:rsidRPr="00197DF6" w:rsidRDefault="00E77F78" w:rsidP="00E77F78">
      <w:pPr>
        <w:suppressAutoHyphens w:val="0"/>
        <w:spacing w:after="200" w:line="276" w:lineRule="auto"/>
        <w:rPr>
          <w:lang w:val="es-ES_tradnl"/>
        </w:rPr>
      </w:pPr>
      <w:r w:rsidRPr="00197DF6">
        <w:rPr>
          <w:lang w:val="es-ES_tradnl"/>
        </w:rPr>
        <w:br w:type="page"/>
      </w:r>
    </w:p>
    <w:p w14:paraId="42BF1B93" w14:textId="77777777" w:rsidR="00E77F78" w:rsidRPr="00197DF6" w:rsidRDefault="00E77F78" w:rsidP="0042084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t>Lista de abreviaciones</w:t>
      </w:r>
    </w:p>
    <w:p w14:paraId="3891B137" w14:textId="77777777" w:rsidR="00E77F78" w:rsidRPr="00197DF6" w:rsidRDefault="00E77F78" w:rsidP="00E77F78">
      <w:pPr>
        <w:pStyle w:val="SingleTxt"/>
        <w:spacing w:after="0" w:line="120" w:lineRule="exact"/>
        <w:rPr>
          <w:sz w:val="10"/>
          <w:lang w:val="es-ES_tradnl"/>
        </w:rPr>
      </w:pPr>
    </w:p>
    <w:p w14:paraId="48486A84" w14:textId="77777777" w:rsidR="00E77F78" w:rsidRPr="00197DF6" w:rsidRDefault="00E77F78" w:rsidP="00E77F78">
      <w:pPr>
        <w:pStyle w:val="SingleTxt"/>
        <w:spacing w:after="0" w:line="120" w:lineRule="exact"/>
        <w:rPr>
          <w:sz w:val="10"/>
          <w:lang w:val="es-ES_tradnl"/>
        </w:rPr>
      </w:pP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7"/>
        <w:gridCol w:w="6765"/>
      </w:tblGrid>
      <w:tr w:rsidR="00E77F78" w:rsidRPr="009867A7" w14:paraId="3A19131D" w14:textId="77777777" w:rsidTr="00A9353F">
        <w:tc>
          <w:tcPr>
            <w:tcW w:w="1847" w:type="dxa"/>
            <w:shd w:val="clear" w:color="auto" w:fill="auto"/>
          </w:tcPr>
          <w:p w14:paraId="1D2B1422" w14:textId="77777777" w:rsidR="00E77F78" w:rsidRPr="00197DF6" w:rsidRDefault="00E77F78" w:rsidP="00A93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197DF6">
              <w:rPr>
                <w:lang w:val="es-ES_tradnl"/>
              </w:rPr>
              <w:t>BNEW</w:t>
            </w:r>
          </w:p>
        </w:tc>
        <w:tc>
          <w:tcPr>
            <w:tcW w:w="6765" w:type="dxa"/>
            <w:shd w:val="clear" w:color="auto" w:fill="auto"/>
          </w:tcPr>
          <w:p w14:paraId="18B02F73" w14:textId="77777777" w:rsidR="00E77F78" w:rsidRPr="009867A7" w:rsidRDefault="00E77F78" w:rsidP="00A93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US"/>
              </w:rPr>
            </w:pPr>
            <w:r w:rsidRPr="009867A7">
              <w:rPr>
                <w:lang w:val="en-US"/>
              </w:rPr>
              <w:t>Bhutan Network for Empowering Women</w:t>
            </w:r>
          </w:p>
        </w:tc>
      </w:tr>
      <w:tr w:rsidR="00E77F78" w:rsidRPr="00197DF6" w14:paraId="50128CA4" w14:textId="77777777" w:rsidTr="00A9353F">
        <w:tc>
          <w:tcPr>
            <w:tcW w:w="1847" w:type="dxa"/>
            <w:shd w:val="clear" w:color="auto" w:fill="auto"/>
          </w:tcPr>
          <w:p w14:paraId="6EFF0C2F" w14:textId="77777777" w:rsidR="00E77F78" w:rsidRPr="00197DF6" w:rsidRDefault="00E77F78" w:rsidP="00A93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197DF6">
              <w:rPr>
                <w:lang w:val="es-ES_tradnl"/>
              </w:rPr>
              <w:t>BNF</w:t>
            </w:r>
          </w:p>
        </w:tc>
        <w:tc>
          <w:tcPr>
            <w:tcW w:w="6765" w:type="dxa"/>
            <w:shd w:val="clear" w:color="auto" w:fill="auto"/>
          </w:tcPr>
          <w:p w14:paraId="4983604F" w14:textId="77777777" w:rsidR="00E77F78" w:rsidRPr="00197DF6" w:rsidRDefault="00E77F78" w:rsidP="00A93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proofErr w:type="spellStart"/>
            <w:r w:rsidRPr="00197DF6">
              <w:rPr>
                <w:lang w:val="es-ES_tradnl"/>
              </w:rPr>
              <w:t>Bhutan</w:t>
            </w:r>
            <w:proofErr w:type="spellEnd"/>
            <w:r w:rsidRPr="00197DF6">
              <w:rPr>
                <w:lang w:val="es-ES_tradnl"/>
              </w:rPr>
              <w:t xml:space="preserve"> </w:t>
            </w:r>
            <w:proofErr w:type="spellStart"/>
            <w:r w:rsidRPr="00197DF6">
              <w:rPr>
                <w:lang w:val="es-ES_tradnl"/>
              </w:rPr>
              <w:t>Nuns</w:t>
            </w:r>
            <w:proofErr w:type="spellEnd"/>
            <w:r w:rsidRPr="00197DF6">
              <w:rPr>
                <w:lang w:val="es-ES_tradnl"/>
              </w:rPr>
              <w:t xml:space="preserve"> </w:t>
            </w:r>
            <w:proofErr w:type="spellStart"/>
            <w:r w:rsidRPr="00197DF6">
              <w:rPr>
                <w:lang w:val="es-ES_tradnl"/>
              </w:rPr>
              <w:t>Foundation</w:t>
            </w:r>
            <w:proofErr w:type="spellEnd"/>
          </w:p>
        </w:tc>
      </w:tr>
      <w:tr w:rsidR="00E77F78" w:rsidRPr="00197DF6" w14:paraId="55B393D3" w14:textId="77777777" w:rsidTr="00A9353F">
        <w:tc>
          <w:tcPr>
            <w:tcW w:w="1847" w:type="dxa"/>
            <w:shd w:val="clear" w:color="auto" w:fill="auto"/>
          </w:tcPr>
          <w:p w14:paraId="72AA5687" w14:textId="77777777" w:rsidR="00E77F78" w:rsidRPr="00197DF6" w:rsidRDefault="00E77F78" w:rsidP="00A93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197DF6">
              <w:rPr>
                <w:lang w:val="es-ES_tradnl"/>
              </w:rPr>
              <w:t>CEDAW</w:t>
            </w:r>
          </w:p>
        </w:tc>
        <w:tc>
          <w:tcPr>
            <w:tcW w:w="6765" w:type="dxa"/>
            <w:shd w:val="clear" w:color="auto" w:fill="auto"/>
          </w:tcPr>
          <w:p w14:paraId="0BC668EA" w14:textId="77777777" w:rsidR="00E77F78" w:rsidRPr="00197DF6" w:rsidRDefault="00E77F78" w:rsidP="00A93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97DF6">
              <w:rPr>
                <w:lang w:val="es-ES_tradnl"/>
              </w:rPr>
              <w:t xml:space="preserve">Convención sobre la Eliminación de Todas las Formas de Discriminación contra la Mujer </w:t>
            </w:r>
          </w:p>
        </w:tc>
      </w:tr>
      <w:tr w:rsidR="00E77F78" w:rsidRPr="00197DF6" w14:paraId="25DA8DE5" w14:textId="77777777" w:rsidTr="00A9353F">
        <w:tc>
          <w:tcPr>
            <w:tcW w:w="1847" w:type="dxa"/>
            <w:shd w:val="clear" w:color="auto" w:fill="auto"/>
          </w:tcPr>
          <w:p w14:paraId="653AF60B" w14:textId="77777777" w:rsidR="00E77F78" w:rsidRPr="00197DF6" w:rsidRDefault="00E77F78" w:rsidP="00A93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197DF6">
              <w:rPr>
                <w:lang w:val="es-ES_tradnl"/>
              </w:rPr>
              <w:t>DGRK</w:t>
            </w:r>
          </w:p>
        </w:tc>
        <w:tc>
          <w:tcPr>
            <w:tcW w:w="6765" w:type="dxa"/>
            <w:shd w:val="clear" w:color="auto" w:fill="auto"/>
          </w:tcPr>
          <w:p w14:paraId="21FDEF85" w14:textId="77777777" w:rsidR="00E77F78" w:rsidRPr="00197DF6" w:rsidRDefault="00E77F78" w:rsidP="00A93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proofErr w:type="spellStart"/>
            <w:r w:rsidRPr="00197DF6">
              <w:rPr>
                <w:lang w:val="es-ES_tradnl"/>
              </w:rPr>
              <w:t>Druk</w:t>
            </w:r>
            <w:proofErr w:type="spellEnd"/>
            <w:r w:rsidRPr="00197DF6">
              <w:rPr>
                <w:lang w:val="es-ES_tradnl"/>
              </w:rPr>
              <w:t xml:space="preserve"> </w:t>
            </w:r>
            <w:proofErr w:type="spellStart"/>
            <w:r w:rsidRPr="00197DF6">
              <w:rPr>
                <w:lang w:val="es-ES_tradnl"/>
              </w:rPr>
              <w:t>Gyalpo</w:t>
            </w:r>
            <w:proofErr w:type="spellEnd"/>
            <w:r w:rsidRPr="00197DF6">
              <w:rPr>
                <w:lang w:val="es-ES_tradnl"/>
              </w:rPr>
              <w:t xml:space="preserve"> </w:t>
            </w:r>
            <w:proofErr w:type="spellStart"/>
            <w:r w:rsidRPr="00197DF6">
              <w:rPr>
                <w:lang w:val="es-ES_tradnl"/>
              </w:rPr>
              <w:t>Kidu</w:t>
            </w:r>
            <w:proofErr w:type="spellEnd"/>
            <w:r w:rsidRPr="00197DF6">
              <w:rPr>
                <w:lang w:val="es-ES_tradnl"/>
              </w:rPr>
              <w:t xml:space="preserve"> de Socorro </w:t>
            </w:r>
          </w:p>
        </w:tc>
      </w:tr>
      <w:tr w:rsidR="00E77F78" w:rsidRPr="00197DF6" w14:paraId="56DE0F7E" w14:textId="77777777" w:rsidTr="00A9353F">
        <w:tc>
          <w:tcPr>
            <w:tcW w:w="1847" w:type="dxa"/>
            <w:shd w:val="clear" w:color="auto" w:fill="auto"/>
          </w:tcPr>
          <w:p w14:paraId="4C825618" w14:textId="77777777" w:rsidR="00E77F78" w:rsidRPr="00197DF6" w:rsidRDefault="00E77F78" w:rsidP="00A93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197DF6">
              <w:rPr>
                <w:lang w:val="es-ES_tradnl"/>
              </w:rPr>
              <w:t>ENF</w:t>
            </w:r>
          </w:p>
        </w:tc>
        <w:tc>
          <w:tcPr>
            <w:tcW w:w="6765" w:type="dxa"/>
            <w:shd w:val="clear" w:color="auto" w:fill="auto"/>
          </w:tcPr>
          <w:p w14:paraId="3F2DB0A2" w14:textId="77777777" w:rsidR="00E77F78" w:rsidRPr="00197DF6" w:rsidRDefault="00E77F78" w:rsidP="00A93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97DF6">
              <w:rPr>
                <w:lang w:val="es-ES_tradnl"/>
              </w:rPr>
              <w:t xml:space="preserve">Educación no formal </w:t>
            </w:r>
          </w:p>
        </w:tc>
      </w:tr>
      <w:tr w:rsidR="00E77F78" w:rsidRPr="00197DF6" w14:paraId="5EABD3D0" w14:textId="77777777" w:rsidTr="00A9353F">
        <w:tc>
          <w:tcPr>
            <w:tcW w:w="1847" w:type="dxa"/>
            <w:shd w:val="clear" w:color="auto" w:fill="auto"/>
          </w:tcPr>
          <w:p w14:paraId="20052A0B" w14:textId="77777777" w:rsidR="00E77F78" w:rsidRPr="00197DF6" w:rsidRDefault="00E77F78" w:rsidP="00A93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197DF6">
              <w:rPr>
                <w:lang w:val="es-ES_tradnl"/>
              </w:rPr>
              <w:t>ESI</w:t>
            </w:r>
          </w:p>
        </w:tc>
        <w:tc>
          <w:tcPr>
            <w:tcW w:w="6765" w:type="dxa"/>
            <w:shd w:val="clear" w:color="auto" w:fill="auto"/>
          </w:tcPr>
          <w:p w14:paraId="012AB69A" w14:textId="77777777" w:rsidR="00E77F78" w:rsidRPr="00197DF6" w:rsidRDefault="00E77F78" w:rsidP="00A93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97DF6">
              <w:rPr>
                <w:lang w:val="es-ES_tradnl"/>
              </w:rPr>
              <w:t>Educación sexual integral</w:t>
            </w:r>
          </w:p>
        </w:tc>
      </w:tr>
      <w:tr w:rsidR="00E77F78" w:rsidRPr="009867A7" w14:paraId="1D734347" w14:textId="77777777" w:rsidTr="00A9353F">
        <w:tc>
          <w:tcPr>
            <w:tcW w:w="1847" w:type="dxa"/>
            <w:shd w:val="clear" w:color="auto" w:fill="auto"/>
          </w:tcPr>
          <w:p w14:paraId="00E9B04E" w14:textId="77777777" w:rsidR="00E77F78" w:rsidRPr="00197DF6" w:rsidRDefault="00E77F78" w:rsidP="00A93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197DF6">
              <w:rPr>
                <w:lang w:val="es-ES_tradnl"/>
              </w:rPr>
              <w:t xml:space="preserve">JSW </w:t>
            </w:r>
            <w:proofErr w:type="spellStart"/>
            <w:r w:rsidRPr="00197DF6">
              <w:rPr>
                <w:lang w:val="es-ES_tradnl"/>
              </w:rPr>
              <w:t>Law</w:t>
            </w:r>
            <w:proofErr w:type="spellEnd"/>
          </w:p>
        </w:tc>
        <w:tc>
          <w:tcPr>
            <w:tcW w:w="6765" w:type="dxa"/>
            <w:shd w:val="clear" w:color="auto" w:fill="auto"/>
          </w:tcPr>
          <w:p w14:paraId="201D41D5" w14:textId="77777777" w:rsidR="00E77F78" w:rsidRPr="009867A7" w:rsidRDefault="00E77F78" w:rsidP="00A93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US"/>
              </w:rPr>
            </w:pPr>
            <w:r w:rsidRPr="009867A7">
              <w:rPr>
                <w:lang w:val="en-US"/>
              </w:rPr>
              <w:t>Jigme Singye Wangchuck School of Law</w:t>
            </w:r>
          </w:p>
        </w:tc>
      </w:tr>
      <w:tr w:rsidR="00E77F78" w:rsidRPr="00197DF6" w14:paraId="6F6D0121" w14:textId="77777777" w:rsidTr="00A9353F">
        <w:tc>
          <w:tcPr>
            <w:tcW w:w="1847" w:type="dxa"/>
            <w:shd w:val="clear" w:color="auto" w:fill="auto"/>
          </w:tcPr>
          <w:p w14:paraId="69E8B0ED" w14:textId="77777777" w:rsidR="00E77F78" w:rsidRPr="00197DF6" w:rsidRDefault="00E77F78" w:rsidP="00A93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197DF6">
              <w:rPr>
                <w:lang w:val="es-ES_tradnl"/>
              </w:rPr>
              <w:t>LGBT+</w:t>
            </w:r>
          </w:p>
        </w:tc>
        <w:tc>
          <w:tcPr>
            <w:tcW w:w="6765" w:type="dxa"/>
            <w:shd w:val="clear" w:color="auto" w:fill="auto"/>
          </w:tcPr>
          <w:p w14:paraId="1ED86A26" w14:textId="77777777" w:rsidR="00E77F78" w:rsidRPr="00197DF6" w:rsidRDefault="00E77F78" w:rsidP="00A93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97DF6">
              <w:rPr>
                <w:lang w:val="es-ES_tradnl"/>
              </w:rPr>
              <w:t xml:space="preserve">Personas lesbianas, gais, bisexuales, transgénero, intersexuales, </w:t>
            </w:r>
            <w:r w:rsidRPr="00197DF6">
              <w:rPr>
                <w:i/>
                <w:iCs/>
                <w:lang w:val="es-ES_tradnl"/>
              </w:rPr>
              <w:t xml:space="preserve">queer </w:t>
            </w:r>
            <w:r w:rsidRPr="00197DF6">
              <w:rPr>
                <w:lang w:val="es-ES_tradnl"/>
              </w:rPr>
              <w:t>y asexuales</w:t>
            </w:r>
          </w:p>
        </w:tc>
      </w:tr>
      <w:tr w:rsidR="00E77F78" w:rsidRPr="00197DF6" w14:paraId="0A30F5D6" w14:textId="77777777" w:rsidTr="00A9353F">
        <w:tc>
          <w:tcPr>
            <w:tcW w:w="1847" w:type="dxa"/>
            <w:shd w:val="clear" w:color="auto" w:fill="auto"/>
          </w:tcPr>
          <w:p w14:paraId="43D13A36" w14:textId="77777777" w:rsidR="00E77F78" w:rsidRPr="00197DF6" w:rsidRDefault="00E77F78" w:rsidP="00A93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197DF6">
              <w:rPr>
                <w:lang w:val="es-ES_tradnl"/>
              </w:rPr>
              <w:t>ODS</w:t>
            </w:r>
          </w:p>
        </w:tc>
        <w:tc>
          <w:tcPr>
            <w:tcW w:w="6765" w:type="dxa"/>
            <w:shd w:val="clear" w:color="auto" w:fill="auto"/>
          </w:tcPr>
          <w:p w14:paraId="4CB300C2" w14:textId="77777777" w:rsidR="00E77F78" w:rsidRPr="00197DF6" w:rsidRDefault="00E77F78" w:rsidP="00A93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97DF6">
              <w:rPr>
                <w:lang w:val="es-ES_tradnl"/>
              </w:rPr>
              <w:t xml:space="preserve">Objetivos de Desarrollo Sostenible </w:t>
            </w:r>
          </w:p>
        </w:tc>
      </w:tr>
      <w:tr w:rsidR="00E77F78" w:rsidRPr="00197DF6" w14:paraId="775FEAEE" w14:textId="77777777" w:rsidTr="00A9353F">
        <w:tc>
          <w:tcPr>
            <w:tcW w:w="1847" w:type="dxa"/>
            <w:shd w:val="clear" w:color="auto" w:fill="auto"/>
          </w:tcPr>
          <w:p w14:paraId="1353C0AD" w14:textId="77777777" w:rsidR="00E77F78" w:rsidRPr="00197DF6" w:rsidRDefault="00E77F78" w:rsidP="00A93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197DF6">
              <w:rPr>
                <w:lang w:val="es-ES_tradnl"/>
              </w:rPr>
              <w:t>PNUD</w:t>
            </w:r>
          </w:p>
        </w:tc>
        <w:tc>
          <w:tcPr>
            <w:tcW w:w="6765" w:type="dxa"/>
            <w:shd w:val="clear" w:color="auto" w:fill="auto"/>
          </w:tcPr>
          <w:p w14:paraId="0F136D97" w14:textId="77777777" w:rsidR="00E77F78" w:rsidRPr="00197DF6" w:rsidRDefault="00E77F78" w:rsidP="00A93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97DF6">
              <w:rPr>
                <w:lang w:val="es-ES_tradnl"/>
              </w:rPr>
              <w:t>Programa de las Naciones Unidas para el Desarrollo</w:t>
            </w:r>
          </w:p>
        </w:tc>
      </w:tr>
      <w:tr w:rsidR="00E77F78" w:rsidRPr="00197DF6" w14:paraId="4C01FF83" w14:textId="77777777" w:rsidTr="00A9353F">
        <w:tc>
          <w:tcPr>
            <w:tcW w:w="1847" w:type="dxa"/>
            <w:shd w:val="clear" w:color="auto" w:fill="auto"/>
          </w:tcPr>
          <w:p w14:paraId="35C4ABB1" w14:textId="77777777" w:rsidR="00E77F78" w:rsidRPr="00197DF6" w:rsidRDefault="00E77F78" w:rsidP="00A93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197DF6">
              <w:rPr>
                <w:lang w:val="es-ES_tradnl"/>
              </w:rPr>
              <w:t>POE</w:t>
            </w:r>
          </w:p>
        </w:tc>
        <w:tc>
          <w:tcPr>
            <w:tcW w:w="6765" w:type="dxa"/>
            <w:shd w:val="clear" w:color="auto" w:fill="auto"/>
          </w:tcPr>
          <w:p w14:paraId="54FB6943" w14:textId="77777777" w:rsidR="00E77F78" w:rsidRPr="00197DF6" w:rsidRDefault="00E77F78" w:rsidP="00A93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97DF6">
              <w:rPr>
                <w:lang w:val="es-ES_tradnl"/>
              </w:rPr>
              <w:t>Procedimiento operativo estándar</w:t>
            </w:r>
          </w:p>
        </w:tc>
      </w:tr>
      <w:tr w:rsidR="00E77F78" w:rsidRPr="009867A7" w14:paraId="78D8EF57" w14:textId="77777777" w:rsidTr="00A9353F">
        <w:tc>
          <w:tcPr>
            <w:tcW w:w="1847" w:type="dxa"/>
            <w:shd w:val="clear" w:color="auto" w:fill="auto"/>
          </w:tcPr>
          <w:p w14:paraId="03B42C12" w14:textId="77777777" w:rsidR="00E77F78" w:rsidRPr="00197DF6" w:rsidRDefault="00E77F78" w:rsidP="00A93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197DF6">
              <w:rPr>
                <w:lang w:val="es-ES_tradnl"/>
              </w:rPr>
              <w:t>RENEW</w:t>
            </w:r>
          </w:p>
        </w:tc>
        <w:tc>
          <w:tcPr>
            <w:tcW w:w="6765" w:type="dxa"/>
            <w:shd w:val="clear" w:color="auto" w:fill="auto"/>
          </w:tcPr>
          <w:p w14:paraId="320B5C19" w14:textId="77777777" w:rsidR="00E77F78" w:rsidRPr="009867A7" w:rsidRDefault="00E77F78" w:rsidP="00A93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US"/>
              </w:rPr>
            </w:pPr>
            <w:r w:rsidRPr="009867A7">
              <w:rPr>
                <w:lang w:val="en-US"/>
              </w:rPr>
              <w:t>Respect, Educate, Nurture and Empower Women</w:t>
            </w:r>
          </w:p>
        </w:tc>
      </w:tr>
      <w:tr w:rsidR="00E77F78" w:rsidRPr="00197DF6" w14:paraId="26F2398E" w14:textId="77777777" w:rsidTr="00A9353F">
        <w:tc>
          <w:tcPr>
            <w:tcW w:w="1847" w:type="dxa"/>
            <w:shd w:val="clear" w:color="auto" w:fill="auto"/>
          </w:tcPr>
          <w:p w14:paraId="3562C8A7" w14:textId="77777777" w:rsidR="00E77F78" w:rsidRPr="00197DF6" w:rsidRDefault="00E77F78" w:rsidP="00A93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197DF6">
              <w:rPr>
                <w:lang w:val="es-ES_tradnl"/>
              </w:rPr>
              <w:t>SAARC</w:t>
            </w:r>
          </w:p>
        </w:tc>
        <w:tc>
          <w:tcPr>
            <w:tcW w:w="6765" w:type="dxa"/>
            <w:shd w:val="clear" w:color="auto" w:fill="auto"/>
          </w:tcPr>
          <w:p w14:paraId="29B885D0" w14:textId="77777777" w:rsidR="00E77F78" w:rsidRPr="00197DF6" w:rsidRDefault="00E77F78" w:rsidP="00A93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97DF6">
              <w:rPr>
                <w:lang w:val="es-ES_tradnl"/>
              </w:rPr>
              <w:t>Asociación de Asia Meridional para la Cooperación Regional</w:t>
            </w:r>
          </w:p>
        </w:tc>
      </w:tr>
      <w:tr w:rsidR="00E77F78" w:rsidRPr="00197DF6" w14:paraId="0189C58D" w14:textId="77777777" w:rsidTr="00A9353F">
        <w:tc>
          <w:tcPr>
            <w:tcW w:w="1847" w:type="dxa"/>
            <w:shd w:val="clear" w:color="auto" w:fill="auto"/>
          </w:tcPr>
          <w:p w14:paraId="3596D0E2" w14:textId="77777777" w:rsidR="00E77F78" w:rsidRPr="00197DF6" w:rsidRDefault="00E77F78" w:rsidP="00A93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197DF6">
              <w:rPr>
                <w:lang w:val="es-ES_tradnl"/>
              </w:rPr>
              <w:t>UNFPA</w:t>
            </w:r>
          </w:p>
        </w:tc>
        <w:tc>
          <w:tcPr>
            <w:tcW w:w="6765" w:type="dxa"/>
            <w:shd w:val="clear" w:color="auto" w:fill="auto"/>
          </w:tcPr>
          <w:p w14:paraId="75D82ED6" w14:textId="77777777" w:rsidR="00E77F78" w:rsidRPr="00197DF6" w:rsidRDefault="00E77F78" w:rsidP="00A93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97DF6">
              <w:rPr>
                <w:lang w:val="es-ES_tradnl"/>
              </w:rPr>
              <w:t xml:space="preserve">Fondo de Población de las Naciones Unidas </w:t>
            </w:r>
          </w:p>
        </w:tc>
      </w:tr>
      <w:tr w:rsidR="00E77F78" w:rsidRPr="00197DF6" w14:paraId="2B45A23B" w14:textId="77777777" w:rsidTr="00A9353F">
        <w:tc>
          <w:tcPr>
            <w:tcW w:w="1847" w:type="dxa"/>
            <w:shd w:val="clear" w:color="auto" w:fill="auto"/>
          </w:tcPr>
          <w:p w14:paraId="1D6C64CD" w14:textId="77777777" w:rsidR="00E77F78" w:rsidRPr="00197DF6" w:rsidRDefault="00E77F78" w:rsidP="00A93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197DF6">
              <w:rPr>
                <w:lang w:val="es-ES_tradnl"/>
              </w:rPr>
              <w:t>UNICEF</w:t>
            </w:r>
          </w:p>
        </w:tc>
        <w:tc>
          <w:tcPr>
            <w:tcW w:w="6765" w:type="dxa"/>
            <w:shd w:val="clear" w:color="auto" w:fill="auto"/>
          </w:tcPr>
          <w:p w14:paraId="6263D740" w14:textId="77777777" w:rsidR="00E77F78" w:rsidRPr="00197DF6" w:rsidRDefault="00E77F78" w:rsidP="00A93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97DF6">
              <w:rPr>
                <w:lang w:val="es-ES_tradnl"/>
              </w:rPr>
              <w:t>Fondo de las Naciones Unidas para la Infancia</w:t>
            </w:r>
          </w:p>
        </w:tc>
      </w:tr>
    </w:tbl>
    <w:p w14:paraId="296D89DA" w14:textId="77777777" w:rsidR="00E77F78" w:rsidRPr="00197DF6" w:rsidRDefault="00E77F78" w:rsidP="00E77F78">
      <w:pPr>
        <w:pStyle w:val="SingleTxt"/>
        <w:ind w:left="0"/>
        <w:rPr>
          <w:lang w:val="es-ES_tradnl"/>
        </w:rPr>
      </w:pPr>
    </w:p>
    <w:p w14:paraId="6A4E308E" w14:textId="77777777" w:rsidR="00E77F78" w:rsidRPr="00197DF6" w:rsidRDefault="00E77F78" w:rsidP="00E77F78">
      <w:pPr>
        <w:suppressAutoHyphens w:val="0"/>
        <w:spacing w:after="200" w:line="276" w:lineRule="auto"/>
        <w:rPr>
          <w:lang w:val="es-ES_tradnl"/>
        </w:rPr>
      </w:pPr>
      <w:r w:rsidRPr="00197DF6">
        <w:rPr>
          <w:lang w:val="es-ES_tradnl"/>
        </w:rPr>
        <w:br w:type="page"/>
      </w:r>
    </w:p>
    <w:p w14:paraId="54A9B8E9" w14:textId="77777777" w:rsidR="00E77F78" w:rsidRPr="00197DF6" w:rsidRDefault="00E77F78" w:rsidP="0042084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 w:name="_Toc107670418"/>
      <w:r w:rsidRPr="00197DF6">
        <w:rPr>
          <w:lang w:val="es-ES_tradnl"/>
        </w:rPr>
        <w:tab/>
      </w:r>
      <w:r w:rsidRPr="00197DF6">
        <w:rPr>
          <w:lang w:val="es-ES_tradnl"/>
        </w:rPr>
        <w:tab/>
        <w:t>Introducción</w:t>
      </w:r>
      <w:bookmarkEnd w:id="1"/>
    </w:p>
    <w:p w14:paraId="0E27B01E" w14:textId="77777777" w:rsidR="00E77F78" w:rsidRPr="00197DF6" w:rsidRDefault="00E77F78" w:rsidP="00E77F78">
      <w:pPr>
        <w:pStyle w:val="SingleTxt"/>
        <w:spacing w:after="0" w:line="120" w:lineRule="exact"/>
        <w:rPr>
          <w:sz w:val="10"/>
          <w:lang w:val="es-ES_tradnl"/>
        </w:rPr>
      </w:pPr>
    </w:p>
    <w:p w14:paraId="239C30D6" w14:textId="77777777" w:rsidR="00E77F78" w:rsidRPr="00197DF6" w:rsidRDefault="00E77F78" w:rsidP="00E77F78">
      <w:pPr>
        <w:pStyle w:val="SingleTxt"/>
        <w:spacing w:after="0" w:line="120" w:lineRule="exact"/>
        <w:rPr>
          <w:sz w:val="10"/>
          <w:lang w:val="es-ES_tradnl"/>
        </w:rPr>
      </w:pPr>
    </w:p>
    <w:p w14:paraId="3A0A5596" w14:textId="48402C7E" w:rsidR="00E77F78" w:rsidRPr="00197DF6" w:rsidRDefault="00E77F78" w:rsidP="001B36AA">
      <w:pPr>
        <w:pStyle w:val="SingleTxt"/>
        <w:numPr>
          <w:ilvl w:val="0"/>
          <w:numId w:val="7"/>
        </w:numPr>
        <w:ind w:left="1267"/>
        <w:rPr>
          <w:lang w:val="es-ES_tradnl"/>
        </w:rPr>
      </w:pPr>
      <w:r w:rsidRPr="00197DF6">
        <w:rPr>
          <w:lang w:val="es-ES_tradnl"/>
        </w:rPr>
        <w:t xml:space="preserve">Este informe es una respuesta a la lista de cuestiones previa a la presentación de informes del Comité para la Eliminación de la Discriminación contra la Mujer para </w:t>
      </w:r>
      <w:proofErr w:type="spellStart"/>
      <w:r w:rsidRPr="00197DF6">
        <w:rPr>
          <w:lang w:val="es-ES_tradnl"/>
        </w:rPr>
        <w:t>Bhután</w:t>
      </w:r>
      <w:proofErr w:type="spellEnd"/>
      <w:r w:rsidRPr="00197DF6">
        <w:rPr>
          <w:lang w:val="es-ES_tradnl"/>
        </w:rPr>
        <w:t xml:space="preserve">. En él se destacan los principales logros y esfuerzos realizados por </w:t>
      </w:r>
      <w:proofErr w:type="spellStart"/>
      <w:r w:rsidRPr="00197DF6">
        <w:rPr>
          <w:lang w:val="es-ES_tradnl"/>
        </w:rPr>
        <w:t>Bhután</w:t>
      </w:r>
      <w:proofErr w:type="spellEnd"/>
      <w:r w:rsidRPr="00197DF6">
        <w:rPr>
          <w:lang w:val="es-ES_tradnl"/>
        </w:rPr>
        <w:t xml:space="preserve"> para lograr la igualdad de género en todos los sectores y ámbitos. Las estadísticas pertinentes se presentan como anexos al informe.</w:t>
      </w:r>
    </w:p>
    <w:p w14:paraId="39823F26" w14:textId="4C527CD2" w:rsidR="00E77F78" w:rsidRPr="00197DF6" w:rsidRDefault="00E77F78" w:rsidP="001B36AA">
      <w:pPr>
        <w:pStyle w:val="SingleTxt"/>
        <w:numPr>
          <w:ilvl w:val="0"/>
          <w:numId w:val="7"/>
        </w:numPr>
        <w:ind w:left="1267"/>
        <w:rPr>
          <w:spacing w:val="2"/>
          <w:lang w:val="es-ES_tradnl"/>
        </w:rPr>
      </w:pPr>
      <w:r w:rsidRPr="00197DF6">
        <w:rPr>
          <w:spacing w:val="2"/>
          <w:lang w:val="es-ES_tradnl"/>
        </w:rPr>
        <w:t xml:space="preserve">Desde el último ciclo de presentación de informes de 2016 se han producido varias novedades importantes. </w:t>
      </w:r>
      <w:proofErr w:type="spellStart"/>
      <w:r w:rsidRPr="00197DF6">
        <w:rPr>
          <w:spacing w:val="2"/>
          <w:lang w:val="es-ES_tradnl"/>
        </w:rPr>
        <w:t>Bhután</w:t>
      </w:r>
      <w:proofErr w:type="spellEnd"/>
      <w:r w:rsidRPr="00197DF6">
        <w:rPr>
          <w:spacing w:val="2"/>
          <w:lang w:val="es-ES_tradnl"/>
        </w:rPr>
        <w:t xml:space="preserve"> ha celebrado con éxito sus terceras elecciones parlamentarias, en las que el </w:t>
      </w:r>
      <w:proofErr w:type="spellStart"/>
      <w:r w:rsidRPr="00197DF6">
        <w:rPr>
          <w:i/>
          <w:iCs/>
          <w:spacing w:val="2"/>
          <w:lang w:val="es-ES_tradnl"/>
        </w:rPr>
        <w:t>Druk</w:t>
      </w:r>
      <w:proofErr w:type="spellEnd"/>
      <w:r w:rsidRPr="00197DF6">
        <w:rPr>
          <w:i/>
          <w:iCs/>
          <w:spacing w:val="2"/>
          <w:lang w:val="es-ES_tradnl"/>
        </w:rPr>
        <w:t xml:space="preserve"> </w:t>
      </w:r>
      <w:proofErr w:type="spellStart"/>
      <w:r w:rsidRPr="00197DF6">
        <w:rPr>
          <w:i/>
          <w:iCs/>
          <w:spacing w:val="2"/>
          <w:lang w:val="es-ES_tradnl"/>
        </w:rPr>
        <w:t>Nyamrup</w:t>
      </w:r>
      <w:proofErr w:type="spellEnd"/>
      <w:r w:rsidRPr="00197DF6">
        <w:rPr>
          <w:i/>
          <w:iCs/>
          <w:spacing w:val="2"/>
          <w:lang w:val="es-ES_tradnl"/>
        </w:rPr>
        <w:t xml:space="preserve"> </w:t>
      </w:r>
      <w:proofErr w:type="spellStart"/>
      <w:r w:rsidRPr="00197DF6">
        <w:rPr>
          <w:i/>
          <w:iCs/>
          <w:spacing w:val="2"/>
          <w:lang w:val="es-ES_tradnl"/>
        </w:rPr>
        <w:t>Tshogpa</w:t>
      </w:r>
      <w:proofErr w:type="spellEnd"/>
      <w:r w:rsidRPr="00197DF6">
        <w:rPr>
          <w:iCs/>
          <w:spacing w:val="2"/>
          <w:vertAlign w:val="superscript"/>
          <w:lang w:val="es-ES_tradnl"/>
        </w:rPr>
        <w:footnoteReference w:id="1"/>
      </w:r>
      <w:r w:rsidR="00987EB2" w:rsidRPr="00197DF6">
        <w:rPr>
          <w:spacing w:val="2"/>
          <w:lang w:val="es-ES_tradnl"/>
        </w:rPr>
        <w:t xml:space="preserve"> </w:t>
      </w:r>
      <w:r w:rsidRPr="00197DF6">
        <w:rPr>
          <w:spacing w:val="2"/>
          <w:lang w:val="es-ES_tradnl"/>
        </w:rPr>
        <w:t xml:space="preserve">formó el tercer Gobierno elegido democráticamente en 2018. Asimismo, en 2021 se desarrollaron con normalidad las terceras elecciones municipales. En ambos procesos electorales aumentó la representación de las mujeres del 8,3 % en 2013 al 15,3 % en 2018, y del 11,6 % en 2011 al 12,6 % en 2021, respectivamente. Además, un total de siete mujeres </w:t>
      </w:r>
      <w:proofErr w:type="spellStart"/>
      <w:r w:rsidRPr="00197DF6">
        <w:rPr>
          <w:i/>
          <w:iCs/>
          <w:spacing w:val="2"/>
          <w:lang w:val="es-ES_tradnl"/>
        </w:rPr>
        <w:t>gups</w:t>
      </w:r>
      <w:proofErr w:type="spellEnd"/>
      <w:r w:rsidRPr="00197DF6">
        <w:rPr>
          <w:i/>
          <w:iCs/>
          <w:spacing w:val="2"/>
          <w:lang w:val="es-ES_tradnl"/>
        </w:rPr>
        <w:t xml:space="preserve"> </w:t>
      </w:r>
      <w:r w:rsidRPr="00197DF6">
        <w:rPr>
          <w:spacing w:val="2"/>
          <w:lang w:val="es-ES_tradnl"/>
        </w:rPr>
        <w:t xml:space="preserve">resultaron elegidas en 2021, frente a las dos de las elecciones municipales de 2016. </w:t>
      </w:r>
    </w:p>
    <w:p w14:paraId="54BD5E9C" w14:textId="634C6FA6" w:rsidR="00E77F78" w:rsidRPr="00197DF6" w:rsidRDefault="00E77F78" w:rsidP="001B36AA">
      <w:pPr>
        <w:pStyle w:val="SingleTxt"/>
        <w:numPr>
          <w:ilvl w:val="0"/>
          <w:numId w:val="7"/>
        </w:numPr>
        <w:ind w:left="1267"/>
        <w:rPr>
          <w:lang w:val="es-ES_tradnl"/>
        </w:rPr>
      </w:pPr>
      <w:r w:rsidRPr="00197DF6">
        <w:rPr>
          <w:lang w:val="es-ES_tradnl"/>
        </w:rPr>
        <w:t xml:space="preserve">En 2018 entró en vigor el 12º plan quinquenal del país con el objetivo general de crear una “sociedad justa, armoniosa y sostenible mediante una mayor descentralización”. El plan está alineado con la Agenda 2030 para el Desarrollo Sostenible y representa el compromiso de </w:t>
      </w:r>
      <w:proofErr w:type="spellStart"/>
      <w:r w:rsidRPr="00197DF6">
        <w:rPr>
          <w:lang w:val="es-ES_tradnl"/>
        </w:rPr>
        <w:t>Bhután</w:t>
      </w:r>
      <w:proofErr w:type="spellEnd"/>
      <w:r w:rsidRPr="00197DF6">
        <w:rPr>
          <w:lang w:val="es-ES_tradnl"/>
        </w:rPr>
        <w:t xml:space="preserve"> con la implementación de los Objetivos de Desarrollo Sostenible (ODS). Además, la igualdad de género figura como una esfera nacional de resultados clave para alcanzar el ODS 5 y sus compromisos internacionales sobre igualdad de género y empoderamiento de las mujeres. </w:t>
      </w:r>
    </w:p>
    <w:p w14:paraId="7FE35D49" w14:textId="77777777" w:rsidR="00E77F78" w:rsidRPr="00197DF6" w:rsidRDefault="00E77F78" w:rsidP="00E77F78">
      <w:pPr>
        <w:pStyle w:val="SingleTxt"/>
        <w:spacing w:after="0" w:line="120" w:lineRule="exact"/>
        <w:rPr>
          <w:sz w:val="10"/>
          <w:lang w:val="es-ES_tradnl"/>
        </w:rPr>
      </w:pPr>
      <w:bookmarkStart w:id="2" w:name="_Toc107670419"/>
    </w:p>
    <w:p w14:paraId="507EB8D2" w14:textId="77777777" w:rsidR="00E77F78" w:rsidRPr="00197DF6" w:rsidRDefault="00E77F78" w:rsidP="00E77F78">
      <w:pPr>
        <w:pStyle w:val="SingleTxt"/>
        <w:spacing w:after="0" w:line="120" w:lineRule="exact"/>
        <w:rPr>
          <w:sz w:val="10"/>
          <w:lang w:val="es-ES_tradnl"/>
        </w:rPr>
      </w:pPr>
    </w:p>
    <w:p w14:paraId="28854182" w14:textId="77777777" w:rsidR="00E77F78" w:rsidRPr="00197DF6" w:rsidRDefault="00E77F78" w:rsidP="00987EB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t>Metodología y proceso de consulta</w:t>
      </w:r>
      <w:bookmarkEnd w:id="2"/>
    </w:p>
    <w:p w14:paraId="1B2EDD50" w14:textId="77777777" w:rsidR="00E77F78" w:rsidRPr="00197DF6" w:rsidRDefault="00E77F78" w:rsidP="00E77F78">
      <w:pPr>
        <w:pStyle w:val="SingleTxt"/>
        <w:spacing w:after="0" w:line="120" w:lineRule="exact"/>
        <w:rPr>
          <w:sz w:val="10"/>
          <w:lang w:val="es-ES_tradnl"/>
        </w:rPr>
      </w:pPr>
    </w:p>
    <w:p w14:paraId="6FED0BAB" w14:textId="77777777" w:rsidR="00E77F78" w:rsidRPr="00197DF6" w:rsidRDefault="00E77F78" w:rsidP="00E77F78">
      <w:pPr>
        <w:pStyle w:val="SingleTxt"/>
        <w:spacing w:after="0" w:line="120" w:lineRule="exact"/>
        <w:rPr>
          <w:sz w:val="10"/>
          <w:lang w:val="es-ES_tradnl"/>
        </w:rPr>
      </w:pPr>
    </w:p>
    <w:p w14:paraId="73E59581" w14:textId="2D41806A" w:rsidR="00E77F78" w:rsidRPr="00197DF6" w:rsidRDefault="00E77F78" w:rsidP="001B36AA">
      <w:pPr>
        <w:pStyle w:val="SingleTxt"/>
        <w:numPr>
          <w:ilvl w:val="0"/>
          <w:numId w:val="7"/>
        </w:numPr>
        <w:ind w:left="1267"/>
        <w:rPr>
          <w:lang w:val="es-ES_tradnl"/>
        </w:rPr>
      </w:pPr>
      <w:r w:rsidRPr="00197DF6">
        <w:rPr>
          <w:lang w:val="es-ES_tradnl"/>
        </w:rPr>
        <w:t xml:space="preserve">La preparación de las respuestas es un proceso liderado por la Comisión Nacional de la Mujer y el Niño en consulta con diversas partes interesadas, como las organizaciones de la sociedad civil, el sector privado, los medios de comunicación y el mundo académico. </w:t>
      </w:r>
    </w:p>
    <w:p w14:paraId="49A575C4" w14:textId="77777777" w:rsidR="00E77F78" w:rsidRPr="00197DF6" w:rsidRDefault="00E77F78" w:rsidP="00E77F78">
      <w:pPr>
        <w:pStyle w:val="SingleTxt"/>
        <w:spacing w:after="0" w:line="120" w:lineRule="exact"/>
        <w:rPr>
          <w:sz w:val="10"/>
          <w:lang w:val="es-ES_tradnl"/>
        </w:rPr>
      </w:pPr>
    </w:p>
    <w:p w14:paraId="6BA3BC70" w14:textId="77777777" w:rsidR="00E77F78" w:rsidRPr="00197DF6" w:rsidRDefault="00E77F78" w:rsidP="00E77F78">
      <w:pPr>
        <w:pStyle w:val="SingleTxt"/>
        <w:spacing w:after="0" w:line="120" w:lineRule="exact"/>
        <w:rPr>
          <w:sz w:val="10"/>
          <w:lang w:val="es-ES_tradnl"/>
        </w:rPr>
      </w:pPr>
    </w:p>
    <w:p w14:paraId="03810589" w14:textId="77777777" w:rsidR="00E77F78" w:rsidRPr="00197DF6" w:rsidRDefault="00E77F78" w:rsidP="00987E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97DF6">
        <w:rPr>
          <w:lang w:val="es-ES_tradnl"/>
        </w:rPr>
        <w:tab/>
      </w:r>
      <w:r w:rsidRPr="00197DF6">
        <w:rPr>
          <w:lang w:val="es-ES_tradnl"/>
        </w:rPr>
        <w:tab/>
        <w:t>Marco legislativo e institucional (respuestas al párrafo 2)</w:t>
      </w:r>
    </w:p>
    <w:p w14:paraId="07BDFB2A" w14:textId="77777777" w:rsidR="00E77F78" w:rsidRPr="00197DF6" w:rsidRDefault="00E77F78" w:rsidP="00E77F78">
      <w:pPr>
        <w:pStyle w:val="SingleTxt"/>
        <w:spacing w:after="0" w:line="120" w:lineRule="exact"/>
        <w:rPr>
          <w:sz w:val="10"/>
          <w:lang w:val="es-ES_tradnl"/>
        </w:rPr>
      </w:pPr>
    </w:p>
    <w:p w14:paraId="1E593C0C" w14:textId="77777777" w:rsidR="00E77F78" w:rsidRPr="00197DF6" w:rsidRDefault="00E77F78" w:rsidP="00E77F78">
      <w:pPr>
        <w:pStyle w:val="SingleTxt"/>
        <w:spacing w:after="0" w:line="120" w:lineRule="exact"/>
        <w:rPr>
          <w:sz w:val="10"/>
          <w:lang w:val="es-ES_tradnl"/>
        </w:rPr>
      </w:pPr>
    </w:p>
    <w:p w14:paraId="60615E44" w14:textId="77777777" w:rsidR="00E77F78" w:rsidRPr="00197DF6" w:rsidRDefault="00E77F78" w:rsidP="00987E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t xml:space="preserve">Armonización de las leyes </w:t>
      </w:r>
    </w:p>
    <w:p w14:paraId="126A429A" w14:textId="77777777" w:rsidR="00E77F78" w:rsidRPr="00197DF6" w:rsidRDefault="00E77F78" w:rsidP="00E77F78">
      <w:pPr>
        <w:pStyle w:val="SingleTxt"/>
        <w:spacing w:after="0" w:line="120" w:lineRule="exact"/>
        <w:rPr>
          <w:sz w:val="10"/>
          <w:lang w:val="es-ES_tradnl"/>
        </w:rPr>
      </w:pPr>
    </w:p>
    <w:p w14:paraId="1189D701" w14:textId="007FBCB0" w:rsidR="00E77F78" w:rsidRPr="00197DF6" w:rsidRDefault="00E77F78" w:rsidP="001B36AA">
      <w:pPr>
        <w:pStyle w:val="SingleTxt"/>
        <w:numPr>
          <w:ilvl w:val="0"/>
          <w:numId w:val="7"/>
        </w:numPr>
        <w:ind w:left="1267"/>
        <w:rPr>
          <w:i/>
          <w:lang w:val="es-ES_tradnl"/>
        </w:rPr>
      </w:pPr>
      <w:r w:rsidRPr="00197DF6">
        <w:rPr>
          <w:lang w:val="es-ES_tradnl"/>
        </w:rPr>
        <w:t>El Grupo de Tareas de Revisión de la Legislación Nacional</w:t>
      </w:r>
      <w:r w:rsidRPr="00197DF6">
        <w:rPr>
          <w:vertAlign w:val="superscript"/>
          <w:lang w:val="es-ES_tradnl"/>
        </w:rPr>
        <w:footnoteReference w:id="2"/>
      </w:r>
      <w:r w:rsidRPr="00197DF6">
        <w:rPr>
          <w:lang w:val="es-ES_tradnl"/>
        </w:rPr>
        <w:t xml:space="preserve"> completó en 2018 el examen sobre la armonización de las incoherencias existentes en las leyes nacionales. Las recomendaciones específicas relativas a las mujeres y los niños presentadas al Parlamento se referían principalmente a la modificación de los artículos 203 y 204, relacionados con el abuso sexual de menores y la clasificación de la gravedad de los delitos. En consecuencia, el artículo 203 del Código Penal de </w:t>
      </w:r>
      <w:proofErr w:type="spellStart"/>
      <w:r w:rsidRPr="00197DF6">
        <w:rPr>
          <w:lang w:val="es-ES_tradnl"/>
        </w:rPr>
        <w:t>Bhután</w:t>
      </w:r>
      <w:proofErr w:type="spellEnd"/>
      <w:r w:rsidRPr="00197DF6">
        <w:rPr>
          <w:lang w:val="es-ES_tradnl"/>
        </w:rPr>
        <w:t xml:space="preserve"> se modificó en 2021 para incluir los actos constitutivos de abuso</w:t>
      </w:r>
      <w:r w:rsidRPr="00197DF6">
        <w:rPr>
          <w:vertAlign w:val="superscript"/>
          <w:lang w:val="es-ES_tradnl"/>
        </w:rPr>
        <w:footnoteReference w:id="3"/>
      </w:r>
      <w:r w:rsidRPr="00197DF6">
        <w:rPr>
          <w:lang w:val="es-ES_tradnl"/>
        </w:rPr>
        <w:t xml:space="preserve">. Este hecho se clasificó como un delito grave de cuarto grado que se acompañará de una indemnización por daños y perjuicios que habrá de determinar el tribunal. </w:t>
      </w:r>
    </w:p>
    <w:p w14:paraId="7009F8A8" w14:textId="3B322B92" w:rsidR="00E77F78" w:rsidRPr="00197DF6" w:rsidRDefault="00E77F78" w:rsidP="001B36AA">
      <w:pPr>
        <w:pStyle w:val="SingleTxt"/>
        <w:numPr>
          <w:ilvl w:val="0"/>
          <w:numId w:val="8"/>
        </w:numPr>
        <w:tabs>
          <w:tab w:val="clear" w:pos="475"/>
          <w:tab w:val="right" w:pos="1022"/>
        </w:tabs>
        <w:ind w:left="1267" w:right="1260"/>
        <w:rPr>
          <w:lang w:val="es-ES_tradnl"/>
        </w:rPr>
      </w:pPr>
      <w:r w:rsidRPr="00197DF6">
        <w:rPr>
          <w:lang w:val="es-ES_tradnl"/>
        </w:rPr>
        <w:t>Basándose en la recomendación, se modificó el artículo 154 relativo a la trata de personas para armonizarlo con el Protocolo para Prevenir, Reprimir y Sancionar la Trata de Personas de las Naciones Unidas:</w:t>
      </w:r>
    </w:p>
    <w:p w14:paraId="4995472E" w14:textId="77777777" w:rsidR="00E77F78" w:rsidRPr="00197DF6" w:rsidRDefault="00E77F78" w:rsidP="00E77F78">
      <w:pPr>
        <w:pStyle w:val="SingleTxt"/>
        <w:tabs>
          <w:tab w:val="right" w:pos="1685"/>
        </w:tabs>
        <w:ind w:left="1742" w:hanging="475"/>
        <w:rPr>
          <w:lang w:val="es-ES_tradnl"/>
        </w:rPr>
      </w:pPr>
      <w:r w:rsidRPr="00197DF6">
        <w:rPr>
          <w:lang w:val="es-ES_tradnl"/>
        </w:rPr>
        <w:tab/>
        <w:t>•</w:t>
      </w:r>
      <w:r w:rsidRPr="00197DF6">
        <w:rPr>
          <w:lang w:val="es-ES_tradnl"/>
        </w:rPr>
        <w:tab/>
        <w:t>Un acusado será culpable de un delito de trata de personas en caso de que capte, transporte, traslade, acoja o reciba a una persona recurriendo a la amenaza o al uso de la fuerza o cualquier otra forma de coacción, al rapto, al fraude, al engaño, al abuso de poder o de una situación de vulnerabilidad o a la concesión o recepción de pagos u otros beneficios para obtener el consentimiento de una persona que tenga autoridad sobre otra, con fines de explotación. A efectos del presente Código, el término “explotación” incluye, entre otros, la explotación sexual, la esclavitud doméstica involuntaria, el trabajo forzoso, el trabajo infantil y el tráfico de órganos humanos.</w:t>
      </w:r>
    </w:p>
    <w:p w14:paraId="7ED89D2D" w14:textId="77777777" w:rsidR="00E77F78" w:rsidRPr="00197DF6" w:rsidRDefault="00E77F78" w:rsidP="00E77F78">
      <w:pPr>
        <w:pStyle w:val="SingleTxt"/>
        <w:spacing w:after="0" w:line="120" w:lineRule="exact"/>
        <w:rPr>
          <w:sz w:val="10"/>
          <w:lang w:val="es-ES_tradnl"/>
        </w:rPr>
      </w:pPr>
    </w:p>
    <w:p w14:paraId="5712D603"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 xml:space="preserve">Capacidad del Instituto Jurídico Nacional de </w:t>
      </w:r>
      <w:proofErr w:type="spellStart"/>
      <w:r w:rsidRPr="00197DF6">
        <w:rPr>
          <w:bCs/>
          <w:lang w:val="es-ES_tradnl"/>
        </w:rPr>
        <w:t>Bhután</w:t>
      </w:r>
      <w:proofErr w:type="spellEnd"/>
    </w:p>
    <w:p w14:paraId="08A904F0" w14:textId="77777777" w:rsidR="00E77F78" w:rsidRPr="00197DF6" w:rsidRDefault="00E77F78" w:rsidP="00E77F78">
      <w:pPr>
        <w:pStyle w:val="SingleTxt"/>
        <w:spacing w:after="0" w:line="120" w:lineRule="exact"/>
        <w:rPr>
          <w:sz w:val="10"/>
          <w:lang w:val="es-ES_tradnl"/>
        </w:rPr>
      </w:pPr>
    </w:p>
    <w:p w14:paraId="572F287A" w14:textId="715A3ACE" w:rsidR="00E77F78" w:rsidRPr="00197DF6" w:rsidRDefault="00E77F78" w:rsidP="001B36AA">
      <w:pPr>
        <w:pStyle w:val="SingleTxt"/>
        <w:numPr>
          <w:ilvl w:val="0"/>
          <w:numId w:val="8"/>
        </w:numPr>
        <w:ind w:left="1267"/>
        <w:rPr>
          <w:lang w:val="es-ES_tradnl"/>
        </w:rPr>
      </w:pPr>
      <w:r w:rsidRPr="00197DF6">
        <w:rPr>
          <w:lang w:val="es-ES_tradnl"/>
        </w:rPr>
        <w:t xml:space="preserve">Se mejoraron las capacidades técnicas de los funcionarios del Instituto Jurídico Nacional de </w:t>
      </w:r>
      <w:proofErr w:type="spellStart"/>
      <w:r w:rsidRPr="00197DF6">
        <w:rPr>
          <w:lang w:val="es-ES_tradnl"/>
        </w:rPr>
        <w:t>Bhután</w:t>
      </w:r>
      <w:proofErr w:type="spellEnd"/>
      <w:r w:rsidRPr="00197DF6">
        <w:rPr>
          <w:lang w:val="es-ES_tradnl"/>
        </w:rPr>
        <w:t xml:space="preserve"> con dos oficiales jurídicos que completaron una formación de larga duración sobre derechos humanos y justicia de menores. Además, los funcionarios del Instituto asistieron a varios cursos de capacitación dentro y fuera del país sobre derechos humanos, justicia de menores y procedimientos judiciales adaptados a las mujeres y los niños. Gracias a ello, consiguieron mejorar su competencia para seguir desarrollando las capacidades del poder judicial en relación con la Ley de Prevención de la Violencia Doméstica de 2013 y otras legislaciones y procedimientos relacionados, como aquellos adaptados a las mujeres y los niños. </w:t>
      </w:r>
    </w:p>
    <w:p w14:paraId="4730C07D" w14:textId="2D8ED491" w:rsidR="00E77F78" w:rsidRPr="00197DF6" w:rsidRDefault="00E77F78" w:rsidP="001B36AA">
      <w:pPr>
        <w:pStyle w:val="SingleTxt"/>
        <w:numPr>
          <w:ilvl w:val="0"/>
          <w:numId w:val="8"/>
        </w:numPr>
        <w:ind w:left="1267"/>
        <w:rPr>
          <w:lang w:val="es-ES_tradnl"/>
        </w:rPr>
      </w:pPr>
      <w:r w:rsidRPr="00197DF6">
        <w:rPr>
          <w:lang w:val="es-ES_tradnl"/>
        </w:rPr>
        <w:t xml:space="preserve">El Plan Estratégico 2022-2026 proporciona un marco estratégico para que el Instituto Jurídico Nacional de </w:t>
      </w:r>
      <w:proofErr w:type="spellStart"/>
      <w:r w:rsidRPr="00197DF6">
        <w:rPr>
          <w:lang w:val="es-ES_tradnl"/>
        </w:rPr>
        <w:t>Bhután</w:t>
      </w:r>
      <w:proofErr w:type="spellEnd"/>
      <w:r w:rsidRPr="00197DF6">
        <w:rPr>
          <w:lang w:val="es-ES_tradnl"/>
        </w:rPr>
        <w:t xml:space="preserve"> atienda las necesidades cambiantes de la judicatura, la fraternidad jurídica, la juventud, los responsables de las decisiones y el público en general. El Plan se basa en las lecciones clave extraídas de la aplicación del primer Plan Estratégico 2016-2020, y expone a grandes rasgos las prioridades del Instituto para los próximos cinco años. </w:t>
      </w:r>
    </w:p>
    <w:p w14:paraId="34555207" w14:textId="77777777" w:rsidR="00E77F78" w:rsidRPr="00197DF6" w:rsidRDefault="00E77F78" w:rsidP="00E77F78">
      <w:pPr>
        <w:pStyle w:val="SingleTxt"/>
        <w:spacing w:after="0" w:line="120" w:lineRule="exact"/>
        <w:rPr>
          <w:sz w:val="10"/>
          <w:lang w:val="es-ES_tradnl"/>
        </w:rPr>
      </w:pPr>
    </w:p>
    <w:p w14:paraId="4838AF7C"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Ley para la Igualdad de Género</w:t>
      </w:r>
    </w:p>
    <w:p w14:paraId="41B0F2D3" w14:textId="77777777" w:rsidR="00E77F78" w:rsidRPr="00197DF6" w:rsidRDefault="00E77F78" w:rsidP="00E77F78">
      <w:pPr>
        <w:pStyle w:val="SingleTxt"/>
        <w:spacing w:after="0" w:line="120" w:lineRule="exact"/>
        <w:rPr>
          <w:sz w:val="10"/>
          <w:lang w:val="es-ES_tradnl"/>
        </w:rPr>
      </w:pPr>
    </w:p>
    <w:p w14:paraId="3C606D22" w14:textId="0B4A1403" w:rsidR="00E77F78" w:rsidRPr="00197DF6" w:rsidRDefault="00E77F78" w:rsidP="001B36AA">
      <w:pPr>
        <w:pStyle w:val="SingleTxt"/>
        <w:numPr>
          <w:ilvl w:val="0"/>
          <w:numId w:val="8"/>
        </w:numPr>
        <w:ind w:left="1267"/>
        <w:rPr>
          <w:b/>
          <w:lang w:val="es-ES_tradnl"/>
        </w:rPr>
      </w:pPr>
      <w:r w:rsidRPr="00197DF6">
        <w:rPr>
          <w:lang w:val="es-ES_tradnl"/>
        </w:rPr>
        <w:t>La Política Nacional de Igualdad de Género</w:t>
      </w:r>
      <w:r w:rsidRPr="00197DF6">
        <w:rPr>
          <w:vertAlign w:val="superscript"/>
          <w:lang w:val="es-ES_tradnl"/>
        </w:rPr>
        <w:footnoteReference w:id="4"/>
      </w:r>
      <w:r w:rsidRPr="00197DF6">
        <w:rPr>
          <w:lang w:val="es-ES_tradnl"/>
        </w:rPr>
        <w:t xml:space="preserve"> fue aprobada por el Gabinete para su aplicación en 2020. En esta política se proporcionan directrices claras para las intervenciones en materia de igualdad de género y empoderamiento de las mujeres. Su objetivo es reforzar los mecanismos institucionales, la coordinación y la colaboración, así como la apropiación de las intervenciones en materia de igualdad de género con vistas a reforzar la rendición de cuentas. La política se basa en la premisa de que todos los individuos, las familias, las comunidades y la sociedad resultarán beneficiados si las mujeres y los hombres pueden desarrollar sus capacidades y hacer realidad todo su potencial sin las limitaciones de los estereotipos de género y la discriminación. Además, explora la igualdad de género a través del prisma de tres ámbitos: político, social y económico. Simultáneamente, se aprobó un plan de aplicación de la política en el que se esbozan las actividades e iniciativas encaminadas a lograr la igualdad de género cuyo objetivo es velar por su implantación efectiva. </w:t>
      </w:r>
    </w:p>
    <w:p w14:paraId="5A477B14" w14:textId="33EE5B48" w:rsidR="00E77F78" w:rsidRPr="00197DF6" w:rsidRDefault="00E77F78" w:rsidP="001B36AA">
      <w:pPr>
        <w:pStyle w:val="SingleTxt"/>
        <w:numPr>
          <w:ilvl w:val="0"/>
          <w:numId w:val="8"/>
        </w:numPr>
        <w:ind w:left="1267"/>
        <w:rPr>
          <w:b/>
          <w:lang w:val="es-ES_tradnl"/>
        </w:rPr>
      </w:pPr>
      <w:r w:rsidRPr="00197DF6">
        <w:rPr>
          <w:lang w:val="es-ES_tradnl"/>
        </w:rPr>
        <w:t xml:space="preserve">El Plan Nacional de Acción para la Igualdad de Género se desarrolló para la aplicación efectiva de la Política por parte de la Comisión Nacional de la Mujer y el Niño en 2020. El plan esboza intervenciones en las diez esferas críticas de la buena gobernanza; la salud; el envejecimiento, la salud mental y las discapacidades; la violencia contra las mujeres y las niñas; los estereotipos de género y los prejuicios; el desarrollo económico; la educación y la formación; la pobreza; los deportes y los medios de comunicación; y el medio ambiente y el cambio climático. En función del estado de aplicación de la Política Nacional de Igualdad de Género y de los desafíos que se encuentren, </w:t>
      </w:r>
      <w:proofErr w:type="spellStart"/>
      <w:r w:rsidRPr="00197DF6">
        <w:rPr>
          <w:lang w:val="es-ES_tradnl"/>
        </w:rPr>
        <w:t>Bhután</w:t>
      </w:r>
      <w:proofErr w:type="spellEnd"/>
      <w:r w:rsidRPr="00197DF6">
        <w:rPr>
          <w:lang w:val="es-ES_tradnl"/>
        </w:rPr>
        <w:t xml:space="preserve"> llevará a cabo una evaluación exhaustiva de las necesidades para la Ley de Igualdad de Género. </w:t>
      </w:r>
    </w:p>
    <w:p w14:paraId="0349A448" w14:textId="77777777" w:rsidR="00E77F78" w:rsidRPr="00197DF6" w:rsidRDefault="00E77F78" w:rsidP="00E77F78">
      <w:pPr>
        <w:pStyle w:val="SingleTxt"/>
        <w:spacing w:after="0" w:line="120" w:lineRule="exact"/>
        <w:rPr>
          <w:sz w:val="10"/>
          <w:lang w:val="es-ES_tradnl"/>
        </w:rPr>
      </w:pPr>
      <w:bookmarkStart w:id="3" w:name="_Toc107670420"/>
    </w:p>
    <w:p w14:paraId="3B3014DB" w14:textId="77777777" w:rsidR="00E77F78" w:rsidRPr="00197DF6" w:rsidRDefault="00E77F78" w:rsidP="00E77F78">
      <w:pPr>
        <w:pStyle w:val="SingleTxt"/>
        <w:spacing w:after="0" w:line="120" w:lineRule="exact"/>
        <w:rPr>
          <w:sz w:val="10"/>
          <w:lang w:val="es-ES_tradnl"/>
        </w:rPr>
      </w:pPr>
    </w:p>
    <w:p w14:paraId="3E9CDFF7" w14:textId="77777777" w:rsidR="00E77F78" w:rsidRPr="00197DF6" w:rsidRDefault="00E77F78" w:rsidP="00297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28" w:hanging="1267"/>
        <w:rPr>
          <w:lang w:val="es-ES_tradnl"/>
        </w:rPr>
      </w:pPr>
      <w:r w:rsidRPr="00197DF6">
        <w:rPr>
          <w:lang w:val="es-ES_tradnl"/>
        </w:rPr>
        <w:tab/>
      </w:r>
      <w:r w:rsidRPr="00197DF6">
        <w:rPr>
          <w:lang w:val="es-ES_tradnl"/>
        </w:rPr>
        <w:tab/>
        <w:t>Derechos de las mujeres e igualdad de género en relación con la pandemia y las actividades de recuperación (respuestas al párrafo 3)</w:t>
      </w:r>
      <w:bookmarkEnd w:id="3"/>
    </w:p>
    <w:p w14:paraId="2348DF5F" w14:textId="77777777" w:rsidR="00E77F78" w:rsidRPr="00197DF6" w:rsidRDefault="00E77F78" w:rsidP="00E77F78">
      <w:pPr>
        <w:pStyle w:val="SingleTxt"/>
        <w:keepNext/>
        <w:keepLines/>
        <w:spacing w:after="0" w:line="120" w:lineRule="exact"/>
        <w:rPr>
          <w:sz w:val="10"/>
          <w:lang w:val="es-ES_tradnl"/>
        </w:rPr>
      </w:pPr>
    </w:p>
    <w:p w14:paraId="3DAE14C8" w14:textId="77777777" w:rsidR="00E77F78" w:rsidRPr="00197DF6" w:rsidRDefault="00E77F78" w:rsidP="00E77F78">
      <w:pPr>
        <w:pStyle w:val="SingleTxt"/>
        <w:keepNext/>
        <w:keepLines/>
        <w:spacing w:after="0" w:line="120" w:lineRule="exact"/>
        <w:rPr>
          <w:sz w:val="10"/>
          <w:lang w:val="es-ES_tradnl"/>
        </w:rPr>
      </w:pPr>
    </w:p>
    <w:p w14:paraId="5A600B41" w14:textId="50003717" w:rsidR="00E77F78" w:rsidRPr="00197DF6" w:rsidRDefault="00E77F78" w:rsidP="00297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sidRPr="00197DF6">
        <w:rPr>
          <w:lang w:val="es-ES_tradnl"/>
        </w:rPr>
        <w:tab/>
      </w:r>
      <w:r w:rsidRPr="00197DF6">
        <w:rPr>
          <w:lang w:val="es-ES_tradnl"/>
        </w:rPr>
        <w:tab/>
        <w:t>Intervenciones para abordar las cuestiones de género durante la pandemia de COVID-19</w:t>
      </w:r>
    </w:p>
    <w:p w14:paraId="319CAB35" w14:textId="77777777" w:rsidR="00E77F78" w:rsidRPr="00197DF6" w:rsidRDefault="00E77F78" w:rsidP="00E77F78">
      <w:pPr>
        <w:pStyle w:val="SingleTxt"/>
        <w:keepNext/>
        <w:keepLines/>
        <w:spacing w:after="0" w:line="120" w:lineRule="exact"/>
        <w:rPr>
          <w:sz w:val="10"/>
          <w:lang w:val="es-ES_tradnl"/>
        </w:rPr>
      </w:pPr>
    </w:p>
    <w:p w14:paraId="6260EDFD" w14:textId="346B0EC6" w:rsidR="00E77F78" w:rsidRPr="00197DF6" w:rsidRDefault="00E77F78" w:rsidP="001B36AA">
      <w:pPr>
        <w:pStyle w:val="SingleTxt"/>
        <w:numPr>
          <w:ilvl w:val="0"/>
          <w:numId w:val="9"/>
        </w:numPr>
        <w:tabs>
          <w:tab w:val="clear" w:pos="475"/>
          <w:tab w:val="right" w:pos="1022"/>
        </w:tabs>
        <w:ind w:left="1267" w:right="1260"/>
        <w:rPr>
          <w:b/>
          <w:lang w:val="es-ES_tradnl"/>
        </w:rPr>
      </w:pPr>
      <w:r w:rsidRPr="00197DF6">
        <w:rPr>
          <w:lang w:val="es-ES_tradnl"/>
        </w:rPr>
        <w:t xml:space="preserve">El Gobierno, liderado por la Comisión Nacional de la Mujer y el Niño y apoyado por los asociados para el desarrollo, elaboró e implementó el “Plan de Preparación y Respuesta ante Emergencias de Género y Protección Infantil” como medida inmediata para mitigar el aumento de la vulnerabilidad de las mujeres y los niños. Otro de sus objetivos era prevenir la violencia de género y la violencia contra los niños y brindar una respuesta oportuna a los supervivientes de tales actos. El plan abarca todos los aspectos de las intervenciones en las esferas clave de la violencia de género; el aumento de la carga sobre las mujeres y las niñas; el empleo y los medios de subsistencia; la salud sexual y reproductiva; la salud mental y el apoyo psicosocial; el acceso a la justicia; y otros servicios esenciales y protección de la infancia. El Plan se formuló mediante un proceso consultivo y consiste en intervenciones multisectoriales que deben ejecutar todos los organismos gubernamentales y organizaciones de la sociedad civil pertinentes. </w:t>
      </w:r>
    </w:p>
    <w:p w14:paraId="3B96E5AB" w14:textId="0A229A46" w:rsidR="00E77F78" w:rsidRPr="00197DF6" w:rsidRDefault="00E77F78" w:rsidP="001B36AA">
      <w:pPr>
        <w:pStyle w:val="SingleTxt"/>
        <w:numPr>
          <w:ilvl w:val="0"/>
          <w:numId w:val="9"/>
        </w:numPr>
        <w:ind w:left="1267"/>
        <w:rPr>
          <w:lang w:val="es-ES_tradnl"/>
        </w:rPr>
      </w:pPr>
      <w:r w:rsidRPr="00197DF6">
        <w:rPr>
          <w:lang w:val="es-ES_tradnl"/>
        </w:rPr>
        <w:t>La prevención y respuesta efectivas a la violencia de género figuran como esferas críticas para la adopción de medidas en el Plan, y la Comisión Nacional de la Mujer y el Niño y sus asociados llevaron a cabo las siguientes intervenciones desde abril de 2020:</w:t>
      </w:r>
    </w:p>
    <w:p w14:paraId="26F59409" w14:textId="75B5111E" w:rsidR="00E77F78" w:rsidRPr="00197DF6" w:rsidRDefault="00297068" w:rsidP="00E77F78">
      <w:pPr>
        <w:pStyle w:val="SingleTxt"/>
        <w:rPr>
          <w:b/>
          <w:lang w:val="es-ES_tradnl"/>
        </w:rPr>
      </w:pPr>
      <w:r w:rsidRPr="00197DF6">
        <w:rPr>
          <w:lang w:val="es-ES_tradnl"/>
        </w:rPr>
        <w:tab/>
      </w:r>
      <w:r w:rsidR="00E77F78" w:rsidRPr="00197DF6">
        <w:rPr>
          <w:lang w:val="es-ES_tradnl"/>
        </w:rPr>
        <w:t>a)</w:t>
      </w:r>
      <w:r w:rsidR="00E77F78" w:rsidRPr="00197DF6">
        <w:rPr>
          <w:lang w:val="es-ES_tradnl"/>
        </w:rPr>
        <w:tab/>
        <w:t>La Comisión Nacional de la Mujer y el Niño puso en marcha una campaña mediática titulada #LoveBeginsAtHome tanto en los medios de comunicación convencionales como en las redes sociales. La campaña abogaba por la importancia de unas familias sanas y libres de violencia, y buscaba prevenir la violencia de género y la violencia contra los niños durante la pandemia de COVID-19. Además, para difundir mensajes precisos y uniformes sobre la violencia de género y los servicios disponibles, un equipo dirigido por el Gobierno, formado por organizaciones de la sociedad civil y asociados para el desarrollo, elaboró material de promoción sobre la violencia de género y sus efectos, los riesgos de la violencia y la importancia de un entorno familiar sano y pacífico. Los materiales también incluían vías de remisión y detalles sobre los servicios de asistencia y los proveedores de servicios, así como el papel de los cuidadores, los líderes comunitarios y los organismos pertinentes en la prevención de la violencia de género;</w:t>
      </w:r>
    </w:p>
    <w:p w14:paraId="363CD89D" w14:textId="3E5E9B2B" w:rsidR="00E77F78" w:rsidRPr="00197DF6" w:rsidRDefault="00297068" w:rsidP="00E77F78">
      <w:pPr>
        <w:pStyle w:val="SingleTxt"/>
        <w:rPr>
          <w:spacing w:val="2"/>
          <w:lang w:val="es-ES_tradnl"/>
        </w:rPr>
      </w:pPr>
      <w:r w:rsidRPr="00197DF6">
        <w:rPr>
          <w:spacing w:val="2"/>
          <w:lang w:val="es-ES_tradnl"/>
        </w:rPr>
        <w:tab/>
      </w:r>
      <w:r w:rsidR="00E77F78" w:rsidRPr="00197DF6">
        <w:rPr>
          <w:spacing w:val="2"/>
          <w:lang w:val="es-ES_tradnl"/>
        </w:rPr>
        <w:t>b)</w:t>
      </w:r>
      <w:r w:rsidR="00E77F78" w:rsidRPr="00197DF6">
        <w:rPr>
          <w:spacing w:val="2"/>
          <w:lang w:val="es-ES_tradnl"/>
        </w:rPr>
        <w:tab/>
        <w:t>Los voluntarios del Sistema de Apoyo Basado en la Comunidad llevaron a cabo programas de concienciación sobre la violencia de género, los procedimientos de denuncia y los servicios disponibles para las supervivientes en 17 distritos y 2 municipios, dirigidos a unos 3.000 líderes comunitarios y al público en general en 2020;</w:t>
      </w:r>
    </w:p>
    <w:p w14:paraId="574ED37A" w14:textId="4E73906B" w:rsidR="00E77F78" w:rsidRPr="00197DF6" w:rsidRDefault="00297068" w:rsidP="00E77F78">
      <w:pPr>
        <w:pStyle w:val="SingleTxt"/>
        <w:rPr>
          <w:b/>
          <w:lang w:val="es-ES_tradnl"/>
        </w:rPr>
      </w:pPr>
      <w:r w:rsidRPr="00197DF6">
        <w:rPr>
          <w:lang w:val="es-ES_tradnl"/>
        </w:rPr>
        <w:tab/>
      </w:r>
      <w:r w:rsidR="00E77F78" w:rsidRPr="00197DF6">
        <w:rPr>
          <w:lang w:val="es-ES_tradnl"/>
        </w:rPr>
        <w:t>c)</w:t>
      </w:r>
      <w:r w:rsidR="00E77F78" w:rsidRPr="00197DF6">
        <w:rPr>
          <w:lang w:val="es-ES_tradnl"/>
        </w:rPr>
        <w:tab/>
        <w:t xml:space="preserve">Se integraron los procedimientos básicos para dar respuesta a la violencia de género en el plan de estudios del programa de capacitación </w:t>
      </w:r>
      <w:proofErr w:type="spellStart"/>
      <w:r w:rsidR="00E77F78" w:rsidRPr="00197DF6">
        <w:rPr>
          <w:i/>
          <w:iCs/>
          <w:lang w:val="es-ES_tradnl"/>
        </w:rPr>
        <w:t>De-suung</w:t>
      </w:r>
      <w:proofErr w:type="spellEnd"/>
      <w:r w:rsidR="00E77F78" w:rsidRPr="00197DF6">
        <w:rPr>
          <w:iCs/>
          <w:vertAlign w:val="superscript"/>
          <w:lang w:val="es-ES_tradnl"/>
        </w:rPr>
        <w:footnoteReference w:id="5"/>
      </w:r>
      <w:r w:rsidR="00E77F78" w:rsidRPr="00197DF6">
        <w:rPr>
          <w:lang w:val="es-ES_tradnl"/>
        </w:rPr>
        <w:t xml:space="preserve">. Se brindó capacitación a 3.000 </w:t>
      </w:r>
      <w:proofErr w:type="spellStart"/>
      <w:r w:rsidR="00E77F78" w:rsidRPr="00197DF6">
        <w:rPr>
          <w:i/>
          <w:iCs/>
          <w:lang w:val="es-ES_tradnl"/>
        </w:rPr>
        <w:t>De-suups</w:t>
      </w:r>
      <w:proofErr w:type="spellEnd"/>
      <w:r w:rsidR="00E77F78" w:rsidRPr="00197DF6">
        <w:rPr>
          <w:lang w:val="es-ES_tradnl"/>
        </w:rPr>
        <w:t xml:space="preserve"> (2350 hombres y 650 mujeres). También se formó a 3.800 trabajadores de primera línea, entre ellos personal sanitario, personal encargado del cumplimiento de la ley, dirigentes de la administración local y miembros de organizaciones de la sociedad civil, como la Asociación de Taxis, en la respuesta a la violencia de género;</w:t>
      </w:r>
    </w:p>
    <w:p w14:paraId="0613E45D" w14:textId="427843DE" w:rsidR="00E77F78" w:rsidRPr="00197DF6" w:rsidRDefault="00297068" w:rsidP="00E77F78">
      <w:pPr>
        <w:pStyle w:val="SingleTxt"/>
        <w:rPr>
          <w:b/>
          <w:lang w:val="es-ES_tradnl"/>
        </w:rPr>
      </w:pPr>
      <w:r w:rsidRPr="00197DF6">
        <w:rPr>
          <w:lang w:val="es-ES_tradnl"/>
        </w:rPr>
        <w:tab/>
      </w:r>
      <w:r w:rsidR="00E77F78" w:rsidRPr="00197DF6">
        <w:rPr>
          <w:lang w:val="es-ES_tradnl"/>
        </w:rPr>
        <w:t>d)</w:t>
      </w:r>
      <w:r w:rsidR="00E77F78" w:rsidRPr="00197DF6">
        <w:rPr>
          <w:lang w:val="es-ES_tradnl"/>
        </w:rPr>
        <w:tab/>
        <w:t>Para prestar servicios oportunos y sin interrupciones a las supervivientes de la violencia de género, la Comisión Nacional de la Mujer y el Niño y otros asociados gubernamentales y no gubernamentales proporcionaron durante la pandemia servicios de gestión de casos, asesoramiento y emergencia en línea. En noviembre de 2020 se elaboró una directriz para responder a la violencia de género en situaciones de emergencia, teniendo en cuenta las lecciones aprendidas del primer confinamiento nacional de agosto de 2020. Recibieron estos servicios 507 supervivientes adultos, de los cuales 475 eran mujeres y personas en riesgo de sufrir violencia, entre el 20 de marzo de 2020 y el 30 de abril de 2021;</w:t>
      </w:r>
    </w:p>
    <w:p w14:paraId="442C6C9F" w14:textId="1AD0842D" w:rsidR="00E77F78" w:rsidRPr="00197DF6" w:rsidRDefault="00297068" w:rsidP="00E77F78">
      <w:pPr>
        <w:pStyle w:val="SingleTxt"/>
        <w:rPr>
          <w:lang w:val="es-ES_tradnl"/>
        </w:rPr>
      </w:pPr>
      <w:r w:rsidRPr="00197DF6">
        <w:rPr>
          <w:lang w:val="es-ES_tradnl"/>
        </w:rPr>
        <w:tab/>
      </w:r>
      <w:r w:rsidR="00E77F78" w:rsidRPr="00197DF6">
        <w:rPr>
          <w:lang w:val="es-ES_tradnl"/>
        </w:rPr>
        <w:t>e)</w:t>
      </w:r>
      <w:r w:rsidR="00E77F78" w:rsidRPr="00197DF6">
        <w:rPr>
          <w:lang w:val="es-ES_tradnl"/>
        </w:rPr>
        <w:tab/>
        <w:t xml:space="preserve">Durante el segundo y el tercer confinamiento nacional se dispuso un teléfono de asistencia para casos de crisis con un equipo de primera respuesta y alojamientos de emergencia en 20 distritos bajo el mando de Su Majestad </w:t>
      </w:r>
      <w:proofErr w:type="spellStart"/>
      <w:r w:rsidR="00E77F78" w:rsidRPr="00197DF6">
        <w:rPr>
          <w:lang w:val="es-ES_tradnl"/>
        </w:rPr>
        <w:t>Gyaltsuen</w:t>
      </w:r>
      <w:proofErr w:type="spellEnd"/>
      <w:r w:rsidR="00E77F78" w:rsidRPr="00197DF6">
        <w:rPr>
          <w:iCs/>
          <w:vertAlign w:val="superscript"/>
          <w:lang w:val="es-ES_tradnl"/>
        </w:rPr>
        <w:footnoteReference w:id="6"/>
      </w:r>
      <w:r w:rsidR="00E77F78" w:rsidRPr="00197DF6">
        <w:rPr>
          <w:lang w:val="es-ES_tradnl"/>
        </w:rPr>
        <w:t>. La Comisión Nacional de la Mujer y el Niño y la organización RENEW también prestaron servicios de asesoramiento y gestión de casos a distancia</w:t>
      </w:r>
      <w:r w:rsidR="00E77F78" w:rsidRPr="00197DF6">
        <w:rPr>
          <w:vertAlign w:val="superscript"/>
          <w:lang w:val="es-ES_tradnl"/>
        </w:rPr>
        <w:footnoteReference w:id="7"/>
      </w:r>
      <w:r w:rsidR="00E77F78" w:rsidRPr="00197DF6">
        <w:rPr>
          <w:lang w:val="es-ES_tradnl"/>
        </w:rPr>
        <w:t xml:space="preserve">. </w:t>
      </w:r>
    </w:p>
    <w:p w14:paraId="774FE95F" w14:textId="77777777" w:rsidR="00E77F78" w:rsidRPr="00197DF6" w:rsidRDefault="00E77F78" w:rsidP="00E77F78">
      <w:pPr>
        <w:pStyle w:val="SingleTxt"/>
        <w:spacing w:after="0" w:line="120" w:lineRule="exact"/>
        <w:rPr>
          <w:sz w:val="10"/>
          <w:lang w:val="es-ES_tradnl"/>
        </w:rPr>
      </w:pPr>
    </w:p>
    <w:p w14:paraId="4FB8EB01" w14:textId="77777777" w:rsidR="00E77F78" w:rsidRPr="00197DF6" w:rsidRDefault="00E77F78" w:rsidP="00297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42" w:hanging="1267"/>
        <w:rPr>
          <w:lang w:val="es-ES_tradnl"/>
        </w:rPr>
      </w:pPr>
      <w:r w:rsidRPr="00197DF6">
        <w:rPr>
          <w:lang w:val="es-ES_tradnl"/>
        </w:rPr>
        <w:tab/>
      </w:r>
      <w:r w:rsidRPr="00197DF6">
        <w:rPr>
          <w:lang w:val="es-ES_tradnl"/>
        </w:rPr>
        <w:tab/>
      </w:r>
      <w:r w:rsidRPr="00197DF6">
        <w:rPr>
          <w:bCs/>
          <w:lang w:val="es-ES_tradnl"/>
        </w:rPr>
        <w:t>Medidas para garantizar la igualdad de participación y beneficios de las intervenciones de estímulo a raíz de la COVID-19</w:t>
      </w:r>
      <w:r w:rsidRPr="00197DF6">
        <w:rPr>
          <w:lang w:val="es-ES_tradnl"/>
        </w:rPr>
        <w:t xml:space="preserve"> </w:t>
      </w:r>
    </w:p>
    <w:p w14:paraId="041C6B32" w14:textId="77777777" w:rsidR="00E77F78" w:rsidRPr="00197DF6" w:rsidRDefault="00E77F78" w:rsidP="00E77F78">
      <w:pPr>
        <w:pStyle w:val="SingleTxt"/>
        <w:spacing w:after="0" w:line="120" w:lineRule="exact"/>
        <w:rPr>
          <w:sz w:val="10"/>
          <w:lang w:val="es-ES_tradnl"/>
        </w:rPr>
      </w:pPr>
    </w:p>
    <w:p w14:paraId="51490ADF" w14:textId="34190661" w:rsidR="00E77F78" w:rsidRPr="00197DF6" w:rsidRDefault="00E77F78" w:rsidP="001B36AA">
      <w:pPr>
        <w:pStyle w:val="SingleTxt"/>
        <w:numPr>
          <w:ilvl w:val="0"/>
          <w:numId w:val="10"/>
        </w:numPr>
        <w:tabs>
          <w:tab w:val="clear" w:pos="475"/>
          <w:tab w:val="right" w:pos="1022"/>
        </w:tabs>
        <w:ind w:left="1267" w:right="1260"/>
        <w:rPr>
          <w:lang w:val="es-ES_tradnl"/>
        </w:rPr>
      </w:pPr>
      <w:proofErr w:type="spellStart"/>
      <w:r w:rsidRPr="00197DF6">
        <w:rPr>
          <w:lang w:val="es-ES_tradnl"/>
        </w:rPr>
        <w:t>Bhután</w:t>
      </w:r>
      <w:proofErr w:type="spellEnd"/>
      <w:r w:rsidRPr="00197DF6">
        <w:rPr>
          <w:lang w:val="es-ES_tradnl"/>
        </w:rPr>
        <w:t xml:space="preserve">, a través de sus políticas no discriminatorias y en consonancia con el artículo 7 de la Constitución del Reino de </w:t>
      </w:r>
      <w:proofErr w:type="spellStart"/>
      <w:r w:rsidRPr="00197DF6">
        <w:rPr>
          <w:lang w:val="es-ES_tradnl"/>
        </w:rPr>
        <w:t>Bhután</w:t>
      </w:r>
      <w:proofErr w:type="spellEnd"/>
      <w:r w:rsidRPr="00197DF6">
        <w:rPr>
          <w:lang w:val="es-ES_tradnl"/>
        </w:rPr>
        <w:t xml:space="preserve">, sigue garantizando a las mujeres y las niñas la igualdad de participación tanto en la vida política como en la pública, también durante la pandemia de COVID-19 y después de ella. Un número considerable de mujeres recibieron capacitación y trabajaron en primera línea prestando servicios esenciales durante la pandemia. En las fases iniciales, el programa </w:t>
      </w:r>
      <w:proofErr w:type="spellStart"/>
      <w:r w:rsidRPr="00197DF6">
        <w:rPr>
          <w:i/>
          <w:iCs/>
          <w:lang w:val="es-ES_tradnl"/>
        </w:rPr>
        <w:t>Kidu</w:t>
      </w:r>
      <w:proofErr w:type="spellEnd"/>
      <w:r w:rsidRPr="00197DF6">
        <w:rPr>
          <w:i/>
          <w:iCs/>
          <w:lang w:val="es-ES_tradnl"/>
        </w:rPr>
        <w:t xml:space="preserve"> </w:t>
      </w:r>
      <w:r w:rsidRPr="00197DF6">
        <w:rPr>
          <w:lang w:val="es-ES_tradnl"/>
        </w:rPr>
        <w:t xml:space="preserve">estaba gestionado por un equipo de 244 funcionarios, de los cuales 90 eran mujeres. Además, las iniciativas de prevención y mitigación de la COVID-19 fueron dirigidas por la única mujer ministra, que ejerce como </w:t>
      </w:r>
      <w:proofErr w:type="gramStart"/>
      <w:r w:rsidRPr="00197DF6">
        <w:rPr>
          <w:lang w:val="es-ES_tradnl"/>
        </w:rPr>
        <w:t>Ministra</w:t>
      </w:r>
      <w:proofErr w:type="gramEnd"/>
      <w:r w:rsidRPr="00197DF6">
        <w:rPr>
          <w:lang w:val="es-ES_tradnl"/>
        </w:rPr>
        <w:t xml:space="preserve"> de Sanidad y Vicepresidenta de la Comisión Nacional de la Mujer y el Niño. </w:t>
      </w:r>
    </w:p>
    <w:p w14:paraId="7A32DF34" w14:textId="3F167ECC" w:rsidR="00E77F78" w:rsidRPr="00197DF6" w:rsidRDefault="00E77F78" w:rsidP="001B36AA">
      <w:pPr>
        <w:pStyle w:val="SingleTxt"/>
        <w:numPr>
          <w:ilvl w:val="0"/>
          <w:numId w:val="10"/>
        </w:numPr>
        <w:ind w:left="1267"/>
        <w:rPr>
          <w:lang w:val="es-ES_tradnl"/>
        </w:rPr>
      </w:pPr>
      <w:r w:rsidRPr="00197DF6">
        <w:rPr>
          <w:lang w:val="es-ES_tradnl"/>
        </w:rPr>
        <w:t xml:space="preserve">En 2020 se llevó a cabo una evaluación rápida de las repercusiones socioeconómicas de la COVID-19 para evaluar el impacto de la pandemia en las personas, los hogares y las empresas del sector turístico. Reveló un impacto profundo, generalizado y transversal en las personas que trabajan en el sector. La Comisión Nacional de la Mujer y el Niño también emprendió en 2021 un estudio a escala nacional para evaluar el impacto del COVID-19 en las mujeres y los niños. Este estudio evidenció un aumento de las responsabilidades domésticas y de cuidados no remuneradas de mujeres y niñas y experiencias de violencia de género, entre otras. También proporcionó información con base empírica para desarrollar intervenciones adecuadas, como la ampliación de los programas de desarrollo de capacidades, y para prepararse mejor para situaciones similares en el futuro. </w:t>
      </w:r>
    </w:p>
    <w:p w14:paraId="0CA9D810" w14:textId="5D0B1D7E" w:rsidR="00E77F78" w:rsidRPr="00197DF6" w:rsidRDefault="00E77F78" w:rsidP="001B36AA">
      <w:pPr>
        <w:pStyle w:val="SingleTxt"/>
        <w:numPr>
          <w:ilvl w:val="0"/>
          <w:numId w:val="10"/>
        </w:numPr>
        <w:ind w:left="1267"/>
        <w:rPr>
          <w:lang w:val="es-ES_tradnl"/>
        </w:rPr>
      </w:pPr>
      <w:r w:rsidRPr="00197DF6">
        <w:rPr>
          <w:lang w:val="es-ES_tradnl"/>
        </w:rPr>
        <w:t xml:space="preserve">El Fondo Nacional de Resiliencia creado en abril de 2020 bajo el mando de Su Majestad el Rey proporcionó ayuda económica a las personas cuyos medios de vida se vieron afectados por la COVID-19 a través del </w:t>
      </w:r>
      <w:proofErr w:type="spellStart"/>
      <w:r w:rsidRPr="00197DF6">
        <w:rPr>
          <w:i/>
          <w:iCs/>
          <w:lang w:val="es-ES_tradnl"/>
        </w:rPr>
        <w:t>Druk</w:t>
      </w:r>
      <w:proofErr w:type="spellEnd"/>
      <w:r w:rsidRPr="00197DF6">
        <w:rPr>
          <w:i/>
          <w:iCs/>
          <w:lang w:val="es-ES_tradnl"/>
        </w:rPr>
        <w:t xml:space="preserve"> </w:t>
      </w:r>
      <w:proofErr w:type="spellStart"/>
      <w:r w:rsidRPr="00197DF6">
        <w:rPr>
          <w:i/>
          <w:iCs/>
          <w:lang w:val="es-ES_tradnl"/>
        </w:rPr>
        <w:t>Gyalpo's</w:t>
      </w:r>
      <w:proofErr w:type="spellEnd"/>
      <w:r w:rsidRPr="00197DF6">
        <w:rPr>
          <w:i/>
          <w:iCs/>
          <w:lang w:val="es-ES_tradnl"/>
        </w:rPr>
        <w:t xml:space="preserve"> </w:t>
      </w:r>
      <w:proofErr w:type="spellStart"/>
      <w:r w:rsidRPr="00197DF6">
        <w:rPr>
          <w:i/>
          <w:iCs/>
          <w:lang w:val="es-ES_tradnl"/>
        </w:rPr>
        <w:t>Relief</w:t>
      </w:r>
      <w:proofErr w:type="spellEnd"/>
      <w:r w:rsidRPr="00197DF6">
        <w:rPr>
          <w:i/>
          <w:iCs/>
          <w:lang w:val="es-ES_tradnl"/>
        </w:rPr>
        <w:t xml:space="preserve"> </w:t>
      </w:r>
      <w:proofErr w:type="spellStart"/>
      <w:r w:rsidRPr="00197DF6">
        <w:rPr>
          <w:i/>
          <w:iCs/>
          <w:lang w:val="es-ES_tradnl"/>
        </w:rPr>
        <w:t>Kidu</w:t>
      </w:r>
      <w:proofErr w:type="spellEnd"/>
      <w:r w:rsidRPr="00197DF6">
        <w:rPr>
          <w:iCs/>
          <w:vertAlign w:val="superscript"/>
          <w:lang w:val="es-ES_tradnl"/>
        </w:rPr>
        <w:footnoteReference w:id="8"/>
      </w:r>
      <w:r w:rsidRPr="00197DF6">
        <w:rPr>
          <w:lang w:val="es-ES_tradnl"/>
        </w:rPr>
        <w:t xml:space="preserve"> (DGRK). El </w:t>
      </w:r>
      <w:proofErr w:type="spellStart"/>
      <w:r w:rsidRPr="00197DF6">
        <w:rPr>
          <w:i/>
          <w:iCs/>
          <w:lang w:val="es-ES_tradnl"/>
        </w:rPr>
        <w:t>kidu</w:t>
      </w:r>
      <w:proofErr w:type="spellEnd"/>
      <w:r w:rsidRPr="00197DF6">
        <w:rPr>
          <w:i/>
          <w:iCs/>
          <w:lang w:val="es-ES_tradnl"/>
        </w:rPr>
        <w:t xml:space="preserve"> </w:t>
      </w:r>
      <w:r w:rsidRPr="00197DF6">
        <w:rPr>
          <w:lang w:val="es-ES_tradnl"/>
        </w:rPr>
        <w:t xml:space="preserve">proporcionaba ayuda monetaria mensual a personas vulnerables, como mujeres y progenitores únicos, entre otras. También se prestó apoyo a los niños de entornos socioeconómicos más bajos para satisfacer sus necesidades básicas y continuar su educación. Fueron 30.486 hombres y 27.475 mujeres los que recibieron el </w:t>
      </w:r>
      <w:proofErr w:type="spellStart"/>
      <w:r w:rsidRPr="00197DF6">
        <w:rPr>
          <w:i/>
          <w:iCs/>
          <w:lang w:val="es-ES_tradnl"/>
        </w:rPr>
        <w:t>kidu</w:t>
      </w:r>
      <w:proofErr w:type="spellEnd"/>
      <w:r w:rsidRPr="00197DF6">
        <w:rPr>
          <w:lang w:val="es-ES_tradnl"/>
        </w:rPr>
        <w:t xml:space="preserve">, al menos una vez, entre abril de 2020 y marzo de 2022. Además, el fondo de ayuda también distribuyó 130.736.900 </w:t>
      </w:r>
      <w:proofErr w:type="spellStart"/>
      <w:r w:rsidRPr="00197DF6">
        <w:rPr>
          <w:lang w:val="es-ES_tradnl"/>
        </w:rPr>
        <w:t>Nu</w:t>
      </w:r>
      <w:proofErr w:type="spellEnd"/>
      <w:r w:rsidRPr="00197DF6">
        <w:rPr>
          <w:lang w:val="es-ES_tradnl"/>
        </w:rPr>
        <w:t xml:space="preserve"> en concepto de pensión por alimentos mensual para 16.073 niños</w:t>
      </w:r>
      <w:r w:rsidRPr="00197DF6">
        <w:rPr>
          <w:vertAlign w:val="superscript"/>
          <w:lang w:val="es-ES_tradnl"/>
        </w:rPr>
        <w:footnoteReference w:id="9"/>
      </w:r>
      <w:r w:rsidRPr="00197DF6">
        <w:rPr>
          <w:lang w:val="es-ES_tradnl"/>
        </w:rPr>
        <w:t xml:space="preserve">. </w:t>
      </w:r>
    </w:p>
    <w:p w14:paraId="6AD28F30" w14:textId="7AC2BFDA" w:rsidR="00E77F78" w:rsidRPr="00197DF6" w:rsidRDefault="00E77F78" w:rsidP="001B36AA">
      <w:pPr>
        <w:pStyle w:val="SingleTxt"/>
        <w:numPr>
          <w:ilvl w:val="0"/>
          <w:numId w:val="10"/>
        </w:numPr>
        <w:ind w:left="1267"/>
        <w:rPr>
          <w:lang w:val="es-ES_tradnl"/>
        </w:rPr>
      </w:pPr>
      <w:r w:rsidRPr="00197DF6">
        <w:rPr>
          <w:lang w:val="es-ES_tradnl"/>
        </w:rPr>
        <w:t xml:space="preserve">Para determinar el número de grupos vulnerables afectados por la COVID-19, el Ministerio de Sanidad y sus asociados localizaron en 2020 a los grupos vulnerables, como las mujeres que trabajan en el sector del ocio, las supervivientes de la violencia de género y las madres solteras. A partir de entonces, se creó un servicio de asistencia en todos los distritos para ayudarles a solicitar </w:t>
      </w:r>
      <w:proofErr w:type="spellStart"/>
      <w:r w:rsidRPr="00197DF6">
        <w:rPr>
          <w:i/>
          <w:iCs/>
          <w:lang w:val="es-ES_tradnl"/>
        </w:rPr>
        <w:t>kidu</w:t>
      </w:r>
      <w:proofErr w:type="spellEnd"/>
      <w:r w:rsidRPr="00197DF6">
        <w:rPr>
          <w:i/>
          <w:iCs/>
          <w:lang w:val="es-ES_tradnl"/>
        </w:rPr>
        <w:t xml:space="preserve"> </w:t>
      </w:r>
      <w:r w:rsidRPr="00197DF6">
        <w:rPr>
          <w:lang w:val="es-ES_tradnl"/>
        </w:rPr>
        <w:t>y otras oportunidades de subsistencia. También se puso en marcha, en colaboración con las organizaciones de la sociedad civil, un programa específico de medios de subsistencia para mujeres y niñas afectadas por la COVID-19. El programa prestó ayuda a 181 mujeres y adolescentes, entre ellas supervivientes de la violencia de género y trabajadoras del sector del ocio (</w:t>
      </w:r>
      <w:proofErr w:type="spellStart"/>
      <w:r w:rsidRPr="00197DF6">
        <w:rPr>
          <w:i/>
          <w:iCs/>
          <w:lang w:val="es-ES_tradnl"/>
        </w:rPr>
        <w:t>Drayangs</w:t>
      </w:r>
      <w:proofErr w:type="spellEnd"/>
      <w:r w:rsidRPr="00197DF6">
        <w:rPr>
          <w:iCs/>
          <w:vertAlign w:val="superscript"/>
          <w:lang w:val="es-ES_tradnl"/>
        </w:rPr>
        <w:footnoteReference w:id="10"/>
      </w:r>
      <w:r w:rsidRPr="00197DF6">
        <w:rPr>
          <w:lang w:val="es-ES_tradnl"/>
        </w:rPr>
        <w:t xml:space="preserve">). Estas oportunidades de formación también se ampliaron a otros grupos vulnerables, como la comunidad LGBT+, las mujeres que viven con VIH/sida y las víctimas de la trata de personas. </w:t>
      </w:r>
    </w:p>
    <w:p w14:paraId="2ACC192D" w14:textId="1C46FEBD" w:rsidR="00E77F78" w:rsidRPr="00197DF6" w:rsidRDefault="00E77F78" w:rsidP="001B36AA">
      <w:pPr>
        <w:pStyle w:val="SingleTxt"/>
        <w:numPr>
          <w:ilvl w:val="0"/>
          <w:numId w:val="10"/>
        </w:numPr>
        <w:ind w:left="1267"/>
        <w:rPr>
          <w:lang w:val="es-ES_tradnl"/>
        </w:rPr>
      </w:pPr>
      <w:r w:rsidRPr="00197DF6">
        <w:rPr>
          <w:lang w:val="es-ES_tradnl"/>
        </w:rPr>
        <w:t xml:space="preserve">Se facilitaron oportunidades de desarrollo de habilidades y medios de vida a 188 trabajadores a domicilio de siete </w:t>
      </w:r>
      <w:proofErr w:type="spellStart"/>
      <w:r w:rsidRPr="00197DF6">
        <w:rPr>
          <w:i/>
          <w:iCs/>
          <w:lang w:val="es-ES_tradnl"/>
        </w:rPr>
        <w:t>dzongkhags</w:t>
      </w:r>
      <w:proofErr w:type="spellEnd"/>
      <w:r w:rsidRPr="00197DF6">
        <w:rPr>
          <w:iCs/>
          <w:vertAlign w:val="superscript"/>
          <w:lang w:val="es-ES_tradnl"/>
        </w:rPr>
        <w:footnoteReference w:id="11"/>
      </w:r>
      <w:r w:rsidRPr="00197DF6">
        <w:rPr>
          <w:i/>
          <w:iCs/>
          <w:lang w:val="es-ES_tradnl"/>
        </w:rPr>
        <w:t xml:space="preserve"> </w:t>
      </w:r>
      <w:r w:rsidRPr="00197DF6">
        <w:rPr>
          <w:lang w:val="es-ES_tradnl"/>
        </w:rPr>
        <w:t xml:space="preserve">gracias al Proyecto de Desarrollo de Capacidad y Empoderamiento Económico de los Trabajadores a Domicilio, ejecutado en colaboración con la Asociación de Trabajadores a Domicilio de la Asociación de Asia Meridional para la Cooperación Regional de </w:t>
      </w:r>
      <w:proofErr w:type="spellStart"/>
      <w:r w:rsidRPr="00197DF6">
        <w:rPr>
          <w:lang w:val="es-ES_tradnl"/>
        </w:rPr>
        <w:t>Bhután</w:t>
      </w:r>
      <w:proofErr w:type="spellEnd"/>
      <w:r w:rsidRPr="00197DF6">
        <w:rPr>
          <w:vertAlign w:val="superscript"/>
          <w:lang w:val="es-ES_tradnl"/>
        </w:rPr>
        <w:footnoteReference w:id="12"/>
      </w:r>
      <w:r w:rsidRPr="00197DF6">
        <w:rPr>
          <w:lang w:val="es-ES_tradnl"/>
        </w:rPr>
        <w:t xml:space="preserve">. El objetivo del proyecto era mejorar la resiliencia de los trabajadores a domicilio ante el impacto de la pandemia. Recibieron formación en técnicas de tejido, procesamiento de alimentos y sastrería. </w:t>
      </w:r>
    </w:p>
    <w:p w14:paraId="72EEAD2F" w14:textId="11A71C3B" w:rsidR="00E77F78" w:rsidRPr="00197DF6" w:rsidRDefault="00E77F78" w:rsidP="001B36AA">
      <w:pPr>
        <w:pStyle w:val="SingleTxt"/>
        <w:numPr>
          <w:ilvl w:val="0"/>
          <w:numId w:val="10"/>
        </w:numPr>
        <w:ind w:left="1267"/>
        <w:rPr>
          <w:lang w:val="es-ES_tradnl"/>
        </w:rPr>
      </w:pPr>
      <w:r w:rsidRPr="00197DF6">
        <w:rPr>
          <w:lang w:val="es-ES_tradnl"/>
        </w:rPr>
        <w:t xml:space="preserve">El Gobierno puso en marcha el Sistema Nacional de Garantía de Crédito en octubre de 2020 para ampliar el acceso a la financiación para crear o ampliar empresas. El fondo se puso en marcha para estimular la economía, crear empleo y aumentar la productividad mediante préstamos sin necesidad de garantías. Desde su creación, se han distribuido préstamos por un total de 704,21 millones de </w:t>
      </w:r>
      <w:proofErr w:type="spellStart"/>
      <w:r w:rsidRPr="00197DF6">
        <w:rPr>
          <w:lang w:val="es-ES_tradnl"/>
        </w:rPr>
        <w:t>Nu</w:t>
      </w:r>
      <w:proofErr w:type="spellEnd"/>
      <w:r w:rsidRPr="00197DF6">
        <w:rPr>
          <w:lang w:val="es-ES_tradnl"/>
        </w:rPr>
        <w:t xml:space="preserve"> para 188 proyectos en 14 distritos. Se beneficiaron de esta ayuda 35 proyectos propiedad de mujeres, de los cuales 10 han comenzado a funcionar comercialmente. Los funcionarios del Sistema Nacional de Garantía de Crédito se encargan de la supervisión y el apoyo regular para garantizar la aplicación efectiva de la ayuda. Además, 3.140 mujeres empresarias obtuvieron préstamos con un tipo de interés mínimo del Banco Nacional de Desarrollo de la Pequeña Industria. </w:t>
      </w:r>
    </w:p>
    <w:p w14:paraId="4976DC1C" w14:textId="77777777" w:rsidR="00E77F78" w:rsidRPr="00197DF6" w:rsidRDefault="00E77F78" w:rsidP="00E77F78">
      <w:pPr>
        <w:pStyle w:val="SingleTxt"/>
        <w:spacing w:after="0" w:line="120" w:lineRule="exact"/>
        <w:rPr>
          <w:sz w:val="10"/>
          <w:lang w:val="es-ES_tradnl"/>
        </w:rPr>
      </w:pPr>
    </w:p>
    <w:p w14:paraId="6FE6F7B5"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Servicios de salud sexual y reproductiva para mujeres y niñas</w:t>
      </w:r>
      <w:r w:rsidRPr="00197DF6">
        <w:rPr>
          <w:lang w:val="es-ES_tradnl"/>
        </w:rPr>
        <w:t xml:space="preserve"> </w:t>
      </w:r>
    </w:p>
    <w:p w14:paraId="0AB9DD48" w14:textId="77777777" w:rsidR="00E77F78" w:rsidRPr="00197DF6" w:rsidRDefault="00E77F78" w:rsidP="00E77F78">
      <w:pPr>
        <w:pStyle w:val="SingleTxt"/>
        <w:spacing w:after="0" w:line="120" w:lineRule="exact"/>
        <w:rPr>
          <w:sz w:val="10"/>
          <w:lang w:val="es-ES_tradnl"/>
        </w:rPr>
      </w:pPr>
    </w:p>
    <w:p w14:paraId="176AD6D2" w14:textId="16BD3B60" w:rsidR="00E77F78" w:rsidRPr="00197DF6" w:rsidRDefault="00E77F78" w:rsidP="001B36AA">
      <w:pPr>
        <w:pStyle w:val="SingleTxt"/>
        <w:numPr>
          <w:ilvl w:val="0"/>
          <w:numId w:val="10"/>
        </w:numPr>
        <w:ind w:left="1267"/>
        <w:rPr>
          <w:lang w:val="es-ES_tradnl"/>
        </w:rPr>
      </w:pPr>
      <w:r w:rsidRPr="00197DF6">
        <w:rPr>
          <w:lang w:val="es-ES_tradnl"/>
        </w:rPr>
        <w:t xml:space="preserve">Además de los servicios continuos e ininterrumpidos de salud sexual y reproductiva prestados a través de los hospitales, las Unidades Sanitarias Básicas y los servicios periféricos, también se adoptaron medidas para garantizar el acceso a estos servicios a las mujeres y niñas en los centros de cuarentena, las escuelas y los hogares de acogida. Por ejemplo, en 2020 se suministraron 5.660 compresas higiénicas con información sobre la gestión de la higiene menstrual y mensajes de prevención de la COVID-19 en 66 centros de cuarentena. También se proporcionaron compresas a 12.151 niñas de 450 escuelas de todo el país. Asimismo, se prestaron los mismos servicios a 3.500 mujeres y niñas que vivían en refugios temporales en las ciudades fronterizas de alto riesgo. También se proporcionaron kits con compresas a los trabajadores de primera línea de las zonas limítrofes. </w:t>
      </w:r>
    </w:p>
    <w:p w14:paraId="78BFEA96" w14:textId="6326DE0D" w:rsidR="00E77F78" w:rsidRPr="00197DF6" w:rsidRDefault="00E77F78" w:rsidP="001B36AA">
      <w:pPr>
        <w:pStyle w:val="SingleTxt"/>
        <w:numPr>
          <w:ilvl w:val="0"/>
          <w:numId w:val="10"/>
        </w:numPr>
        <w:ind w:left="1267"/>
        <w:rPr>
          <w:lang w:val="es-ES_tradnl"/>
        </w:rPr>
      </w:pPr>
      <w:r w:rsidRPr="00197DF6">
        <w:rPr>
          <w:lang w:val="es-ES_tradnl"/>
        </w:rPr>
        <w:t xml:space="preserve">Para orientar al personal sanitario y a otros trabajadores de primera línea sobre la prestación de servicios oportunos y adecuados, especialmente durante la pandemia, se elaboró una directriz operativa provisional para los servicios de salud sexual y reproductiva y planificación familiar. El Ministerio de Sanidad también ha puesto en marcha un servicio de atención telefónica a través del cual las mujeres embarazadas pueden acceder a servicios de reproducción y maternidad, como ambulancias para partos en instituciones sanitarias durante los confinamientos. </w:t>
      </w:r>
    </w:p>
    <w:p w14:paraId="75977473" w14:textId="65218BA9" w:rsidR="00E77F78" w:rsidRPr="00197DF6" w:rsidRDefault="00E77F78" w:rsidP="001B36AA">
      <w:pPr>
        <w:pStyle w:val="SingleTxt"/>
        <w:numPr>
          <w:ilvl w:val="0"/>
          <w:numId w:val="10"/>
        </w:numPr>
        <w:ind w:left="1267"/>
        <w:rPr>
          <w:lang w:val="es-ES_tradnl"/>
        </w:rPr>
      </w:pPr>
      <w:r w:rsidRPr="00197DF6">
        <w:rPr>
          <w:lang w:val="es-ES_tradnl"/>
        </w:rPr>
        <w:t xml:space="preserve">Para educar a las monjas en la gestión de la higiene menstrual y la violencia de género, la </w:t>
      </w:r>
      <w:proofErr w:type="spellStart"/>
      <w:r w:rsidRPr="00197DF6">
        <w:rPr>
          <w:lang w:val="es-ES_tradnl"/>
        </w:rPr>
        <w:t>Bhutan</w:t>
      </w:r>
      <w:proofErr w:type="spellEnd"/>
      <w:r w:rsidRPr="00197DF6">
        <w:rPr>
          <w:lang w:val="es-ES_tradnl"/>
        </w:rPr>
        <w:t xml:space="preserve"> </w:t>
      </w:r>
      <w:proofErr w:type="spellStart"/>
      <w:r w:rsidRPr="00197DF6">
        <w:rPr>
          <w:lang w:val="es-ES_tradnl"/>
        </w:rPr>
        <w:t>Nuns</w:t>
      </w:r>
      <w:proofErr w:type="spellEnd"/>
      <w:r w:rsidRPr="00197DF6">
        <w:rPr>
          <w:lang w:val="es-ES_tradnl"/>
        </w:rPr>
        <w:t xml:space="preserve"> </w:t>
      </w:r>
      <w:proofErr w:type="spellStart"/>
      <w:r w:rsidRPr="00197DF6">
        <w:rPr>
          <w:lang w:val="es-ES_tradnl"/>
        </w:rPr>
        <w:t>Foundation</w:t>
      </w:r>
      <w:proofErr w:type="spellEnd"/>
      <w:r w:rsidRPr="00197DF6">
        <w:rPr>
          <w:lang w:val="es-ES_tradnl"/>
        </w:rPr>
        <w:t xml:space="preserve"> (BNF)</w:t>
      </w:r>
      <w:r w:rsidRPr="00197DF6">
        <w:rPr>
          <w:vertAlign w:val="superscript"/>
          <w:lang w:val="es-ES_tradnl"/>
        </w:rPr>
        <w:footnoteReference w:id="13"/>
      </w:r>
      <w:r w:rsidRPr="00197DF6">
        <w:rPr>
          <w:lang w:val="es-ES_tradnl"/>
        </w:rPr>
        <w:t xml:space="preserve"> llevó a cabo un programa de concienciación que llegó a 1.500 monjas de 32 conventos. Se distribuyeron 15.344 compresas entre todos los conventos para garantizar un acceso ininterrumpido a la higiene menstrual. </w:t>
      </w:r>
    </w:p>
    <w:p w14:paraId="4E5B58A3" w14:textId="06406150" w:rsidR="00E77F78" w:rsidRPr="00197DF6" w:rsidRDefault="00E77F78" w:rsidP="001B36AA">
      <w:pPr>
        <w:pStyle w:val="SingleTxt"/>
        <w:numPr>
          <w:ilvl w:val="0"/>
          <w:numId w:val="10"/>
        </w:numPr>
        <w:ind w:left="1267"/>
        <w:rPr>
          <w:bCs/>
          <w:spacing w:val="2"/>
          <w:lang w:val="es-ES_tradnl"/>
        </w:rPr>
      </w:pPr>
      <w:r w:rsidRPr="00197DF6">
        <w:rPr>
          <w:spacing w:val="2"/>
          <w:lang w:val="es-ES_tradnl"/>
        </w:rPr>
        <w:t xml:space="preserve">Con el fin de intensificar los esfuerzos encaminados a prevenir la violencia de género y darle respuesta, así como a mejorar el acceso a los servicios de salud sexual y reproductiva durante la pandemia, Su Majestad </w:t>
      </w:r>
      <w:proofErr w:type="spellStart"/>
      <w:r w:rsidRPr="00197DF6">
        <w:rPr>
          <w:spacing w:val="2"/>
          <w:lang w:val="es-ES_tradnl"/>
        </w:rPr>
        <w:t>Gyalyum</w:t>
      </w:r>
      <w:proofErr w:type="spellEnd"/>
      <w:r w:rsidRPr="00197DF6">
        <w:rPr>
          <w:spacing w:val="2"/>
          <w:lang w:val="es-ES_tradnl"/>
        </w:rPr>
        <w:t xml:space="preserve"> Sangay </w:t>
      </w:r>
      <w:proofErr w:type="spellStart"/>
      <w:r w:rsidRPr="00197DF6">
        <w:rPr>
          <w:spacing w:val="2"/>
          <w:lang w:val="es-ES_tradnl"/>
        </w:rPr>
        <w:t>Choden</w:t>
      </w:r>
      <w:proofErr w:type="spellEnd"/>
      <w:r w:rsidRPr="00197DF6">
        <w:rPr>
          <w:spacing w:val="2"/>
          <w:lang w:val="es-ES_tradnl"/>
        </w:rPr>
        <w:t xml:space="preserve"> Wangchuck, Embajadora de Buena Voluntad del Fondo de Población de las Naciones Unidas (UNFPA), dirigió un programa de sensibilización a través de los medios de comunicación. El programa puso de relieve el aumento de la incidencia de la violencia de género durante la pandemia, los servicios disponibles para las supervivientes de la violencia de género y la salud sexual y reproductiva, y el papel de las personas, las familias y las comunidades en la prevención de dicha violencia de género. También destacó la importancia de integrar la violencia de género y la salud sexual y reproductiva en los mecanismos nacionales de prevención y respuesta a la COVID-19.</w:t>
      </w:r>
    </w:p>
    <w:p w14:paraId="21643E9B" w14:textId="77777777" w:rsidR="00E77F78" w:rsidRPr="00197DF6" w:rsidRDefault="00E77F78" w:rsidP="00E77F78">
      <w:pPr>
        <w:pStyle w:val="SingleTxt"/>
        <w:spacing w:after="0" w:line="120" w:lineRule="exact"/>
        <w:rPr>
          <w:sz w:val="10"/>
          <w:lang w:val="es-ES_tradnl"/>
        </w:rPr>
      </w:pPr>
    </w:p>
    <w:p w14:paraId="1DC28E89" w14:textId="77777777" w:rsidR="00E77F78" w:rsidRPr="00197DF6" w:rsidRDefault="00E77F78" w:rsidP="00E77F78">
      <w:pPr>
        <w:pStyle w:val="SingleTxt"/>
        <w:spacing w:after="0" w:line="120" w:lineRule="exact"/>
        <w:rPr>
          <w:sz w:val="10"/>
          <w:lang w:val="es-ES_tradnl"/>
        </w:rPr>
      </w:pPr>
    </w:p>
    <w:p w14:paraId="4BE2E986" w14:textId="77777777" w:rsidR="00E77F78" w:rsidRPr="00197DF6" w:rsidRDefault="00E77F78" w:rsidP="006459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33" w:hanging="1267"/>
        <w:rPr>
          <w:lang w:val="es-ES_tradnl"/>
        </w:rPr>
      </w:pPr>
      <w:r w:rsidRPr="00197DF6">
        <w:rPr>
          <w:lang w:val="es-ES_tradnl"/>
        </w:rPr>
        <w:tab/>
      </w:r>
      <w:r w:rsidRPr="00197DF6">
        <w:rPr>
          <w:lang w:val="es-ES_tradnl"/>
        </w:rPr>
        <w:tab/>
        <w:t>Acceso a la justicia y mecanismos jurídicos de denuncia (respuesta al párrafo 4)</w:t>
      </w:r>
      <w:bookmarkStart w:id="4" w:name="_Hlk108523124"/>
      <w:bookmarkEnd w:id="4"/>
    </w:p>
    <w:p w14:paraId="5B2585A8" w14:textId="77777777" w:rsidR="00E77F78" w:rsidRPr="00197DF6" w:rsidRDefault="00E77F78" w:rsidP="00E77F78">
      <w:pPr>
        <w:pStyle w:val="SingleTxt"/>
        <w:keepNext/>
        <w:keepLines/>
        <w:spacing w:after="0" w:line="120" w:lineRule="exact"/>
        <w:rPr>
          <w:sz w:val="10"/>
          <w:lang w:val="es-ES_tradnl"/>
        </w:rPr>
      </w:pPr>
    </w:p>
    <w:p w14:paraId="49855EEA" w14:textId="77777777" w:rsidR="00E77F78" w:rsidRPr="00197DF6" w:rsidRDefault="00E77F78" w:rsidP="00E77F78">
      <w:pPr>
        <w:pStyle w:val="SingleTxt"/>
        <w:keepNext/>
        <w:keepLines/>
        <w:spacing w:after="0" w:line="120" w:lineRule="exact"/>
        <w:rPr>
          <w:sz w:val="10"/>
          <w:lang w:val="es-ES_tradnl"/>
        </w:rPr>
      </w:pPr>
    </w:p>
    <w:p w14:paraId="1C970B88"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Iniciativas para mejorar el acceso de mujeres y niñas a la justicia</w:t>
      </w:r>
      <w:r w:rsidRPr="00197DF6">
        <w:rPr>
          <w:lang w:val="es-ES_tradnl"/>
        </w:rPr>
        <w:t xml:space="preserve"> </w:t>
      </w:r>
    </w:p>
    <w:p w14:paraId="69A20FAF" w14:textId="77777777" w:rsidR="00E77F78" w:rsidRPr="00197DF6" w:rsidRDefault="00E77F78" w:rsidP="00E77F78">
      <w:pPr>
        <w:pStyle w:val="SingleTxt"/>
        <w:keepNext/>
        <w:keepLines/>
        <w:spacing w:after="0" w:line="120" w:lineRule="exact"/>
        <w:rPr>
          <w:sz w:val="10"/>
          <w:lang w:val="es-ES_tradnl"/>
        </w:rPr>
      </w:pPr>
    </w:p>
    <w:p w14:paraId="09409E05" w14:textId="55466845" w:rsidR="00E77F78" w:rsidRPr="00197DF6" w:rsidRDefault="00E77F78" w:rsidP="001B36AA">
      <w:pPr>
        <w:pStyle w:val="SingleTxt"/>
        <w:numPr>
          <w:ilvl w:val="0"/>
          <w:numId w:val="10"/>
        </w:numPr>
        <w:ind w:left="1267"/>
        <w:rPr>
          <w:lang w:val="es-ES_tradnl"/>
        </w:rPr>
      </w:pPr>
      <w:r w:rsidRPr="00197DF6">
        <w:rPr>
          <w:lang w:val="es-ES_tradnl"/>
        </w:rPr>
        <w:t xml:space="preserve">Con el fin de proporcionar servicios judiciales mejores y especializados a mujeres y niños, en 2016 se creó en el Tribunal de Distrito de Timbu una sección independiente para familia e infancia destinada a instruir los casos de niños que están en conflicto con la ley y de niños víctimas de abusos. La sección está presidida por un juez experto en procedimientos judiciales adaptados a las mujeres y los niños y en legislación conexa. El Tribunal Real de Justicia también ha creado salas de vistas adaptadas a las mujeres y los niños en lugares que carecen de espacios específicos para mejorar el acceso a los servicios judiciales. </w:t>
      </w:r>
    </w:p>
    <w:p w14:paraId="0EFAD972" w14:textId="091B0C77" w:rsidR="00E77F78" w:rsidRPr="00197DF6" w:rsidRDefault="00E77F78" w:rsidP="001B36AA">
      <w:pPr>
        <w:pStyle w:val="SingleTxt"/>
        <w:numPr>
          <w:ilvl w:val="0"/>
          <w:numId w:val="10"/>
        </w:numPr>
        <w:ind w:left="1267"/>
        <w:rPr>
          <w:lang w:val="es-ES_tradnl"/>
        </w:rPr>
      </w:pPr>
      <w:r w:rsidRPr="00197DF6">
        <w:rPr>
          <w:lang w:val="es-ES_tradnl"/>
        </w:rPr>
        <w:t xml:space="preserve">Se ha puesto en marcha la plataforma piloto </w:t>
      </w:r>
      <w:proofErr w:type="spellStart"/>
      <w:r w:rsidRPr="00197DF6">
        <w:rPr>
          <w:lang w:val="es-ES_tradnl"/>
        </w:rPr>
        <w:t>eLitigation</w:t>
      </w:r>
      <w:proofErr w:type="spellEnd"/>
      <w:r w:rsidRPr="00197DF6">
        <w:rPr>
          <w:lang w:val="es-ES_tradnl"/>
        </w:rPr>
        <w:t xml:space="preserve"> en tribunales de 26 sedes judiciales de todo el país. La plataforma permite el registro electrónico de casos, la presentación de documentos, la realización de pagos y la celebración de audiencias a distancia, entre otras cosas. Se espera que facilite el acceso a los servicios de justicia de las comunidades rurales y las poblaciones desfavorecidas, en particular las mujeres y los niños. También se llevaron a cabo actividades de fomento de la capacidad para usuarios de tribunales y litigantes, centros comunitarios y gobiernos locales en los </w:t>
      </w:r>
      <w:proofErr w:type="spellStart"/>
      <w:r w:rsidRPr="00197DF6">
        <w:rPr>
          <w:i/>
          <w:iCs/>
          <w:lang w:val="es-ES_tradnl"/>
        </w:rPr>
        <w:t>Dzongkhags</w:t>
      </w:r>
      <w:proofErr w:type="spellEnd"/>
      <w:r w:rsidRPr="00197DF6">
        <w:rPr>
          <w:i/>
          <w:iCs/>
          <w:lang w:val="es-ES_tradnl"/>
        </w:rPr>
        <w:t xml:space="preserve"> </w:t>
      </w:r>
      <w:r w:rsidRPr="00197DF6">
        <w:rPr>
          <w:lang w:val="es-ES_tradnl"/>
        </w:rPr>
        <w:t xml:space="preserve">piloto. Recurrieron a estos servicios 308 personas, y el Tribunal Real de Justicia celebró el 13,5 % del total de vistas judiciales virtualmente en 2021. Basándose en las pruebas, el Tribunal Real de Justicia planea ampliar la plataforma a todos los tribunales del país. </w:t>
      </w:r>
    </w:p>
    <w:p w14:paraId="4874A3A9" w14:textId="609491F1" w:rsidR="00E77F78" w:rsidRPr="00197DF6" w:rsidRDefault="00E77F78" w:rsidP="001B36AA">
      <w:pPr>
        <w:pStyle w:val="SingleTxt"/>
        <w:numPr>
          <w:ilvl w:val="0"/>
          <w:numId w:val="10"/>
        </w:numPr>
        <w:ind w:left="1267"/>
        <w:rPr>
          <w:lang w:val="es-ES_tradnl"/>
        </w:rPr>
      </w:pPr>
      <w:r w:rsidRPr="00197DF6">
        <w:rPr>
          <w:lang w:val="es-ES_tradnl"/>
        </w:rPr>
        <w:t xml:space="preserve">La Comisión Nacional de la Mujer y el Niño elaboró un procedimiento mínimo sobre </w:t>
      </w:r>
      <w:proofErr w:type="spellStart"/>
      <w:r w:rsidRPr="00197DF6">
        <w:rPr>
          <w:lang w:val="es-ES_tradnl"/>
        </w:rPr>
        <w:t>eLitigation</w:t>
      </w:r>
      <w:proofErr w:type="spellEnd"/>
      <w:r w:rsidRPr="00197DF6">
        <w:rPr>
          <w:lang w:val="es-ES_tradnl"/>
        </w:rPr>
        <w:t xml:space="preserve"> para mujeres y niños, en colaboración con el Gobierno y organizaciones de la sociedad civil. El procedimiento describe a grandes rasgos los procedimientos, los principios rectores y las funciones de los distintos proveedores de servicios en el apoyo del acceso de las mujeres y los niños a los servicios electrónicos de litigio. </w:t>
      </w:r>
    </w:p>
    <w:p w14:paraId="3DB75B8B" w14:textId="3EAFB3C0" w:rsidR="00E77F78" w:rsidRPr="00197DF6" w:rsidRDefault="00E77F78" w:rsidP="001B36AA">
      <w:pPr>
        <w:pStyle w:val="SingleTxt"/>
        <w:numPr>
          <w:ilvl w:val="0"/>
          <w:numId w:val="10"/>
        </w:numPr>
        <w:ind w:left="1267"/>
        <w:rPr>
          <w:lang w:val="es-ES_tradnl"/>
        </w:rPr>
      </w:pPr>
      <w:r w:rsidRPr="00197DF6">
        <w:rPr>
          <w:lang w:val="es-ES_tradnl"/>
        </w:rPr>
        <w:t xml:space="preserve">Para apoyar el acceso de las supervivientes de la violencia de género a los servicios de justicia y responder eficazmente a sus necesidades, RENEW inició en 2017 un programa de creación de consenso con la Comisión Nacional de la Mujer y el Niño, la Policía Real de </w:t>
      </w:r>
      <w:proofErr w:type="spellStart"/>
      <w:r w:rsidRPr="00197DF6">
        <w:rPr>
          <w:lang w:val="es-ES_tradnl"/>
        </w:rPr>
        <w:t>Bhután</w:t>
      </w:r>
      <w:proofErr w:type="spellEnd"/>
      <w:r w:rsidRPr="00197DF6">
        <w:rPr>
          <w:lang w:val="es-ES_tradnl"/>
        </w:rPr>
        <w:t xml:space="preserve"> y la Jigme </w:t>
      </w:r>
      <w:proofErr w:type="spellStart"/>
      <w:r w:rsidRPr="00197DF6">
        <w:rPr>
          <w:lang w:val="es-ES_tradnl"/>
        </w:rPr>
        <w:t>Singye</w:t>
      </w:r>
      <w:proofErr w:type="spellEnd"/>
      <w:r w:rsidRPr="00197DF6">
        <w:rPr>
          <w:lang w:val="es-ES_tradnl"/>
        </w:rPr>
        <w:t xml:space="preserve"> Wangchuck </w:t>
      </w:r>
      <w:proofErr w:type="spellStart"/>
      <w:r w:rsidRPr="00197DF6">
        <w:rPr>
          <w:lang w:val="es-ES_tradnl"/>
        </w:rPr>
        <w:t>School</w:t>
      </w:r>
      <w:proofErr w:type="spellEnd"/>
      <w:r w:rsidRPr="00197DF6">
        <w:rPr>
          <w:lang w:val="es-ES_tradnl"/>
        </w:rPr>
        <w:t xml:space="preserve"> </w:t>
      </w:r>
      <w:proofErr w:type="spellStart"/>
      <w:r w:rsidRPr="00197DF6">
        <w:rPr>
          <w:lang w:val="es-ES_tradnl"/>
        </w:rPr>
        <w:t>of</w:t>
      </w:r>
      <w:proofErr w:type="spellEnd"/>
      <w:r w:rsidRPr="00197DF6">
        <w:rPr>
          <w:lang w:val="es-ES_tradnl"/>
        </w:rPr>
        <w:t xml:space="preserve"> </w:t>
      </w:r>
      <w:proofErr w:type="spellStart"/>
      <w:r w:rsidRPr="00197DF6">
        <w:rPr>
          <w:lang w:val="es-ES_tradnl"/>
        </w:rPr>
        <w:t>Law</w:t>
      </w:r>
      <w:proofErr w:type="spellEnd"/>
      <w:r w:rsidRPr="00197DF6">
        <w:rPr>
          <w:lang w:val="es-ES_tradnl"/>
        </w:rPr>
        <w:t xml:space="preserve"> (JSW </w:t>
      </w:r>
      <w:proofErr w:type="spellStart"/>
      <w:r w:rsidRPr="00197DF6">
        <w:rPr>
          <w:lang w:val="es-ES_tradnl"/>
        </w:rPr>
        <w:t>Law</w:t>
      </w:r>
      <w:proofErr w:type="spellEnd"/>
      <w:r w:rsidRPr="00197DF6">
        <w:rPr>
          <w:lang w:val="es-ES_tradnl"/>
        </w:rPr>
        <w:t xml:space="preserve">). El programa ofrece alternativas para que las supervivientes de la violencia de género y las mujeres en circunstancias difíciles puedan recurrir a los servicios de voluntarios capacitados del Sistema de Apoyo Basado en la Comunidad. </w:t>
      </w:r>
    </w:p>
    <w:p w14:paraId="3E3FB279" w14:textId="758FA77C" w:rsidR="00E77F78" w:rsidRPr="00197DF6" w:rsidRDefault="00E77F78" w:rsidP="001B36AA">
      <w:pPr>
        <w:pStyle w:val="SingleTxt"/>
        <w:numPr>
          <w:ilvl w:val="0"/>
          <w:numId w:val="10"/>
        </w:numPr>
        <w:ind w:left="1267"/>
        <w:rPr>
          <w:lang w:val="es-ES_tradnl"/>
        </w:rPr>
      </w:pPr>
      <w:r w:rsidRPr="00197DF6">
        <w:rPr>
          <w:lang w:val="es-ES_tradnl"/>
        </w:rPr>
        <w:t xml:space="preserve">La solución de controversias por vías alternativas sigue siendo una importante vía de acceso a la justicia y a los recursos jurídicos en casos menores y de carácter civil. Los servicios de solución de controversias por vías alternativas son prestados gratuitamente por líderes locales electos capacitados (excepto los </w:t>
      </w:r>
      <w:proofErr w:type="spellStart"/>
      <w:r w:rsidRPr="00197DF6">
        <w:rPr>
          <w:i/>
          <w:iCs/>
          <w:lang w:val="es-ES_tradnl"/>
        </w:rPr>
        <w:t>gup</w:t>
      </w:r>
      <w:proofErr w:type="spellEnd"/>
      <w:r w:rsidRPr="00197DF6">
        <w:rPr>
          <w:iCs/>
          <w:vertAlign w:val="superscript"/>
          <w:lang w:val="es-ES_tradnl"/>
        </w:rPr>
        <w:footnoteReference w:id="14"/>
      </w:r>
      <w:r w:rsidRPr="00197DF6">
        <w:rPr>
          <w:lang w:val="es-ES_tradnl"/>
        </w:rPr>
        <w:t xml:space="preserve">), que también recibieron orientación sobre las legislaciones y procedimientos relacionados con las mujeres y los niños. Además, se lleva a cabo una evaluación anual para valorar el efecto de la solución de controversias por vías alternativas. </w:t>
      </w:r>
    </w:p>
    <w:p w14:paraId="2CAE90AB" w14:textId="23193EFA" w:rsidR="00E77F78" w:rsidRPr="00197DF6" w:rsidRDefault="00E77F78" w:rsidP="001B36AA">
      <w:pPr>
        <w:pStyle w:val="SingleTxt"/>
        <w:numPr>
          <w:ilvl w:val="0"/>
          <w:numId w:val="10"/>
        </w:numPr>
        <w:ind w:left="1267"/>
        <w:rPr>
          <w:lang w:val="es-ES_tradnl"/>
        </w:rPr>
      </w:pPr>
      <w:r w:rsidRPr="00197DF6">
        <w:rPr>
          <w:lang w:val="es-ES_tradnl"/>
        </w:rPr>
        <w:t xml:space="preserve">En 2019 se instituyó la mediación anexa al Juzgado, que ofrece a los litigantes la oportunidad de optar por una solución negociada con la asistencia de mediadores judiciales internos en cualquier momento del proceso contencioso. Además, se están realizando esfuerzos para aumentar el acceso a los servicios notariales poniéndolos al alcance de los ciudadanos de todo el país. </w:t>
      </w:r>
    </w:p>
    <w:p w14:paraId="3FF0B940" w14:textId="1A91CB46" w:rsidR="00E77F78" w:rsidRPr="00197DF6" w:rsidRDefault="00E77F78" w:rsidP="001B36AA">
      <w:pPr>
        <w:pStyle w:val="SingleTxt"/>
        <w:numPr>
          <w:ilvl w:val="0"/>
          <w:numId w:val="10"/>
        </w:numPr>
        <w:ind w:left="1267"/>
        <w:rPr>
          <w:lang w:val="es-ES_tradnl"/>
        </w:rPr>
      </w:pPr>
      <w:r w:rsidRPr="00197DF6">
        <w:rPr>
          <w:lang w:val="es-ES_tradnl"/>
        </w:rPr>
        <w:t xml:space="preserve">Actualmente se está ejecutando un proyecto de integración de datos del sector de la justicia. Se espera que el proyecto refuerce la recopilación, la gestión y el intercambio de información entre los organismos, lo que redundará en un mejor seguimiento y medición de los resultados, sobre todo en lo que respecta a los grupos vulnerables. Se espera que el proyecto concluya a finales de junio de 2023 a más tardar. </w:t>
      </w:r>
    </w:p>
    <w:p w14:paraId="10FFB0E2" w14:textId="77777777" w:rsidR="00E77F78" w:rsidRPr="00197DF6" w:rsidRDefault="00E77F78" w:rsidP="00E77F78">
      <w:pPr>
        <w:pStyle w:val="SingleTxt"/>
        <w:spacing w:after="0" w:line="120" w:lineRule="exact"/>
        <w:rPr>
          <w:sz w:val="10"/>
          <w:lang w:val="es-ES_tradnl"/>
        </w:rPr>
      </w:pPr>
    </w:p>
    <w:p w14:paraId="3C317F68"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Asistencia jurídica a mujeres y niños</w:t>
      </w:r>
      <w:r w:rsidRPr="00197DF6">
        <w:rPr>
          <w:lang w:val="es-ES_tradnl"/>
        </w:rPr>
        <w:t xml:space="preserve"> </w:t>
      </w:r>
    </w:p>
    <w:p w14:paraId="51F18030" w14:textId="77777777" w:rsidR="00E77F78" w:rsidRPr="00197DF6" w:rsidRDefault="00E77F78" w:rsidP="00E77F78">
      <w:pPr>
        <w:pStyle w:val="SingleTxt"/>
        <w:keepNext/>
        <w:keepLines/>
        <w:spacing w:after="0" w:line="120" w:lineRule="exact"/>
        <w:rPr>
          <w:sz w:val="10"/>
          <w:lang w:val="es-ES_tradnl"/>
        </w:rPr>
      </w:pPr>
    </w:p>
    <w:p w14:paraId="38CF8F40" w14:textId="616CD667" w:rsidR="00E77F78" w:rsidRPr="00197DF6" w:rsidRDefault="00E77F78" w:rsidP="001B36AA">
      <w:pPr>
        <w:pStyle w:val="SingleTxt"/>
        <w:numPr>
          <w:ilvl w:val="0"/>
          <w:numId w:val="10"/>
        </w:numPr>
        <w:ind w:left="1267"/>
        <w:rPr>
          <w:lang w:val="es-ES_tradnl"/>
        </w:rPr>
      </w:pPr>
      <w:r w:rsidRPr="00197DF6">
        <w:rPr>
          <w:lang w:val="es-ES_tradnl"/>
        </w:rPr>
        <w:t xml:space="preserve">La Constitución del Reino de </w:t>
      </w:r>
      <w:proofErr w:type="spellStart"/>
      <w:r w:rsidRPr="00197DF6">
        <w:rPr>
          <w:lang w:val="es-ES_tradnl"/>
        </w:rPr>
        <w:t>Bhután</w:t>
      </w:r>
      <w:proofErr w:type="spellEnd"/>
      <w:r w:rsidRPr="00197DF6">
        <w:rPr>
          <w:lang w:val="es-ES_tradnl"/>
        </w:rPr>
        <w:t xml:space="preserve"> garantiza la protección de los derechos humanos de todos sus nacionales y proporciona recursos efectivos cuando se violan esos derechos. El artículo 9 aboga por la creación de una sociedad civil; la impartición de justicia mediante un proceso justo, transparente y rápido; y la prestación de asistencia jurídica para garantizar la justicia. El Código de Procedimiento Civil y Penal de </w:t>
      </w:r>
      <w:proofErr w:type="spellStart"/>
      <w:r w:rsidRPr="00197DF6">
        <w:rPr>
          <w:lang w:val="es-ES_tradnl"/>
        </w:rPr>
        <w:t>Bhután</w:t>
      </w:r>
      <w:proofErr w:type="spellEnd"/>
      <w:r w:rsidRPr="00197DF6">
        <w:rPr>
          <w:lang w:val="es-ES_tradnl"/>
        </w:rPr>
        <w:t xml:space="preserve"> (CCPC) de 2001 establece que “un acusado indigente contará con asistencia jurídica para su defensa cuando el interés de la justicia así lo requiera”, y la Ley</w:t>
      </w:r>
      <w:r w:rsidRPr="00197DF6">
        <w:rPr>
          <w:i/>
          <w:iCs/>
          <w:lang w:val="es-ES_tradnl"/>
        </w:rPr>
        <w:t xml:space="preserve"> </w:t>
      </w:r>
      <w:proofErr w:type="spellStart"/>
      <w:r w:rsidRPr="00197DF6">
        <w:rPr>
          <w:i/>
          <w:iCs/>
          <w:lang w:val="es-ES_tradnl"/>
        </w:rPr>
        <w:t>Jabmi</w:t>
      </w:r>
      <w:proofErr w:type="spellEnd"/>
      <w:r w:rsidRPr="00197DF6">
        <w:rPr>
          <w:vertAlign w:val="superscript"/>
          <w:lang w:val="es-ES_tradnl"/>
        </w:rPr>
        <w:footnoteReference w:id="15"/>
      </w:r>
      <w:r w:rsidRPr="00197DF6">
        <w:rPr>
          <w:lang w:val="es-ES_tradnl"/>
        </w:rPr>
        <w:t xml:space="preserve"> (Enmienda) de </w:t>
      </w:r>
      <w:proofErr w:type="spellStart"/>
      <w:r w:rsidRPr="00197DF6">
        <w:rPr>
          <w:lang w:val="es-ES_tradnl"/>
        </w:rPr>
        <w:t>Bhután</w:t>
      </w:r>
      <w:proofErr w:type="spellEnd"/>
      <w:r w:rsidRPr="00197DF6">
        <w:rPr>
          <w:lang w:val="es-ES_tradnl"/>
        </w:rPr>
        <w:t xml:space="preserve"> de 2016 ordena al Consejo de la Abogacía </w:t>
      </w:r>
      <w:r w:rsidRPr="00197DF6">
        <w:rPr>
          <w:i/>
          <w:iCs/>
          <w:lang w:val="es-ES_tradnl"/>
        </w:rPr>
        <w:t>(</w:t>
      </w:r>
      <w:proofErr w:type="spellStart"/>
      <w:r w:rsidRPr="00197DF6">
        <w:rPr>
          <w:i/>
          <w:iCs/>
          <w:lang w:val="es-ES_tradnl"/>
        </w:rPr>
        <w:t>Jabmi</w:t>
      </w:r>
      <w:proofErr w:type="spellEnd"/>
      <w:r w:rsidRPr="00197DF6">
        <w:rPr>
          <w:i/>
          <w:iCs/>
          <w:lang w:val="es-ES_tradnl"/>
        </w:rPr>
        <w:t xml:space="preserve"> </w:t>
      </w:r>
      <w:proofErr w:type="spellStart"/>
      <w:r w:rsidRPr="00197DF6">
        <w:rPr>
          <w:i/>
          <w:iCs/>
          <w:lang w:val="es-ES_tradnl"/>
        </w:rPr>
        <w:t>Tshogde</w:t>
      </w:r>
      <w:r w:rsidRPr="00197DF6">
        <w:rPr>
          <w:lang w:val="es-ES_tradnl"/>
        </w:rPr>
        <w:t>y</w:t>
      </w:r>
      <w:proofErr w:type="spellEnd"/>
      <w:r w:rsidRPr="00197DF6">
        <w:rPr>
          <w:iCs/>
          <w:vertAlign w:val="superscript"/>
          <w:lang w:val="es-ES_tradnl"/>
        </w:rPr>
        <w:footnoteReference w:id="16"/>
      </w:r>
      <w:r w:rsidRPr="00197DF6">
        <w:rPr>
          <w:lang w:val="es-ES_tradnl"/>
        </w:rPr>
        <w:t xml:space="preserve">) “proporcionar asistencia jurídica a título gratuito a una persona indigente, además del apoyo financiero del Estado”. </w:t>
      </w:r>
    </w:p>
    <w:p w14:paraId="0DB74D9D" w14:textId="276A2395" w:rsidR="00E77F78" w:rsidRPr="00197DF6" w:rsidRDefault="00E77F78" w:rsidP="001B36AA">
      <w:pPr>
        <w:pStyle w:val="SingleTxt"/>
        <w:numPr>
          <w:ilvl w:val="0"/>
          <w:numId w:val="10"/>
        </w:numPr>
        <w:ind w:left="1267"/>
        <w:rPr>
          <w:lang w:val="es-ES_tradnl"/>
        </w:rPr>
      </w:pPr>
      <w:r w:rsidRPr="00197DF6">
        <w:rPr>
          <w:lang w:val="es-ES_tradnl"/>
        </w:rPr>
        <w:t xml:space="preserve">El Consejo de la Abogacía de </w:t>
      </w:r>
      <w:proofErr w:type="spellStart"/>
      <w:r w:rsidRPr="00197DF6">
        <w:rPr>
          <w:lang w:val="es-ES_tradnl"/>
        </w:rPr>
        <w:t>Bhután</w:t>
      </w:r>
      <w:proofErr w:type="spellEnd"/>
      <w:r w:rsidRPr="00197DF6">
        <w:rPr>
          <w:lang w:val="es-ES_tradnl"/>
        </w:rPr>
        <w:t xml:space="preserve"> se creó en 2017 para facilitar el acceso a los servicios de</w:t>
      </w:r>
      <w:r w:rsidRPr="00197DF6">
        <w:rPr>
          <w:i/>
          <w:iCs/>
          <w:lang w:val="es-ES_tradnl"/>
        </w:rPr>
        <w:t xml:space="preserve"> </w:t>
      </w:r>
      <w:proofErr w:type="spellStart"/>
      <w:r w:rsidRPr="00197DF6">
        <w:rPr>
          <w:i/>
          <w:iCs/>
          <w:lang w:val="es-ES_tradnl"/>
        </w:rPr>
        <w:t>jabmi</w:t>
      </w:r>
      <w:proofErr w:type="spellEnd"/>
      <w:r w:rsidRPr="00197DF6">
        <w:rPr>
          <w:lang w:val="es-ES_tradnl"/>
        </w:rPr>
        <w:t xml:space="preserve"> y garantizar una administración de justicia justa, imparcial y rápida. El Consejo también se encarga de prestar asistencia jurídica gratuita a personas indigentes. Posteriormente, para guiar al Consejo en el desempeño eficaz de sus funciones, se elaboró un Plan Estratégico para el Consejo de la Abogacía de </w:t>
      </w:r>
      <w:proofErr w:type="spellStart"/>
      <w:r w:rsidRPr="00197DF6">
        <w:rPr>
          <w:lang w:val="es-ES_tradnl"/>
        </w:rPr>
        <w:t>Bhután</w:t>
      </w:r>
      <w:proofErr w:type="spellEnd"/>
      <w:r w:rsidRPr="00197DF6">
        <w:rPr>
          <w:lang w:val="es-ES_tradnl"/>
        </w:rPr>
        <w:t xml:space="preserve"> 2019-2023, que actualmente se está aplicando. Se espera que el Plan permita al Consejo de la Abogacía adoptar las medidas adecuadas para prestar servicios jurídicos a las personas que los necesiten, incluidos los servicios a título gratuito, entre otros. </w:t>
      </w:r>
    </w:p>
    <w:p w14:paraId="4C293ED3" w14:textId="4295E6D5" w:rsidR="00E77F78" w:rsidRPr="00197DF6" w:rsidRDefault="00E77F78" w:rsidP="001B36AA">
      <w:pPr>
        <w:pStyle w:val="SingleTxt"/>
        <w:numPr>
          <w:ilvl w:val="0"/>
          <w:numId w:val="10"/>
        </w:numPr>
        <w:ind w:left="1267"/>
        <w:rPr>
          <w:lang w:val="es-ES_tradnl"/>
        </w:rPr>
      </w:pPr>
      <w:r w:rsidRPr="00197DF6">
        <w:rPr>
          <w:lang w:val="es-ES_tradnl"/>
        </w:rPr>
        <w:t xml:space="preserve">El Plan Estratégico del Sector de la Justicia 2018-2023 pretende mejorar el acceso a los servicios de justicia de los grupos vulnerables, incluidas las mujeres, las personas con discapacidad y los niños, mediante la mejora de las infraestructuras y las instalaciones, el aumento de las capacidades de las instituciones del sector de la justicia y los servicios inclusivos. Además, el Plan señala la puesta en marcha de la asistencia jurídica como una de las prioridades estratégicas clave del 12º plan quinquenal. El Plan reúne a todos los organismos del sector de la justicia, entre los que figura por primera vez la Comisión Nacional de la Mujer y el Niño. </w:t>
      </w:r>
    </w:p>
    <w:p w14:paraId="655C06BB" w14:textId="0BC545BC" w:rsidR="00E77F78" w:rsidRPr="00197DF6" w:rsidRDefault="00E77F78" w:rsidP="001B36AA">
      <w:pPr>
        <w:pStyle w:val="SingleTxt"/>
        <w:numPr>
          <w:ilvl w:val="0"/>
          <w:numId w:val="10"/>
        </w:numPr>
        <w:ind w:left="1267"/>
        <w:rPr>
          <w:b/>
          <w:lang w:val="es-ES_tradnl"/>
        </w:rPr>
      </w:pPr>
      <w:r w:rsidRPr="00197DF6">
        <w:rPr>
          <w:lang w:val="es-ES_tradnl"/>
        </w:rPr>
        <w:t xml:space="preserve">La Comisión Nacional de la Mujer y el Niño elaboró en 2021, en colaboración con los principales organismos del sector de la justicia, unas directrices de asistencia jurídica para mujeres y niños vulnerables. Las directrices aportan claridad y normas mínimas a los organismos y personas responsables de prestar asistencia jurídica. Posteriormente, la Comisión y RENEW han puesto a prueba un programa de asistencia jurídica mediante la contratación de un bufete jurídico privado. Se han tramitado diez casos para intervención judicial en el marco del programa piloto desde octubre de 2021 hasta enero de 2022. El proyecto piloto complementa los servicios jurídicos regulares prestados por la Comisión y sus organismos asociados, y se ampliará en función de su evaluación. </w:t>
      </w:r>
    </w:p>
    <w:p w14:paraId="167B2B39" w14:textId="2A10F44C" w:rsidR="00E77F78" w:rsidRPr="00197DF6" w:rsidRDefault="00E77F78" w:rsidP="001B36AA">
      <w:pPr>
        <w:pStyle w:val="SingleTxt"/>
        <w:numPr>
          <w:ilvl w:val="0"/>
          <w:numId w:val="10"/>
        </w:numPr>
        <w:ind w:left="1267"/>
        <w:rPr>
          <w:b/>
          <w:lang w:val="es-ES_tradnl"/>
        </w:rPr>
      </w:pPr>
      <w:r w:rsidRPr="00197DF6">
        <w:rPr>
          <w:lang w:val="es-ES_tradnl"/>
        </w:rPr>
        <w:t xml:space="preserve">La Clínica de la Dignidad Humana, puesta en marcha en 2017 por JSW </w:t>
      </w:r>
      <w:proofErr w:type="spellStart"/>
      <w:r w:rsidRPr="00197DF6">
        <w:rPr>
          <w:lang w:val="es-ES_tradnl"/>
        </w:rPr>
        <w:t>Law</w:t>
      </w:r>
      <w:proofErr w:type="spellEnd"/>
      <w:r w:rsidRPr="00197DF6">
        <w:rPr>
          <w:lang w:val="es-ES_tradnl"/>
        </w:rPr>
        <w:t xml:space="preserve">, tiene como objetivo mejorar el bienestar de las mujeres, los niños, los ancianos y las personas con discapacidad a través de la prestación de representación jurídica gratuita y de alta calidad. La iniciativa también pretende recabar datos sobre los retos a los que se enfrentan los grupos vulnerables en colaboración con los organismos públicos y las organizaciones de la sociedad civil pertinentes. </w:t>
      </w:r>
    </w:p>
    <w:p w14:paraId="0E35E3C8" w14:textId="77777777" w:rsidR="00E77F78" w:rsidRPr="00197DF6" w:rsidRDefault="00E77F78" w:rsidP="00E77F78">
      <w:pPr>
        <w:pStyle w:val="SingleTxt"/>
        <w:spacing w:after="0" w:line="120" w:lineRule="exact"/>
        <w:rPr>
          <w:sz w:val="10"/>
          <w:lang w:val="es-ES_tradnl"/>
        </w:rPr>
      </w:pPr>
    </w:p>
    <w:p w14:paraId="44701A5E"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Sensibilización y promoción sobre recursos jurídicos y mecanismos de denuncia</w:t>
      </w:r>
      <w:r w:rsidRPr="00197DF6">
        <w:rPr>
          <w:lang w:val="es-ES_tradnl"/>
        </w:rPr>
        <w:t xml:space="preserve"> </w:t>
      </w:r>
    </w:p>
    <w:p w14:paraId="1BB05028" w14:textId="77777777" w:rsidR="00E77F78" w:rsidRPr="00197DF6" w:rsidRDefault="00E77F78" w:rsidP="00E77F78">
      <w:pPr>
        <w:pStyle w:val="SingleTxt"/>
        <w:spacing w:after="0" w:line="120" w:lineRule="exact"/>
        <w:rPr>
          <w:sz w:val="10"/>
          <w:lang w:val="es-ES_tradnl"/>
        </w:rPr>
      </w:pPr>
    </w:p>
    <w:p w14:paraId="55FFD75C" w14:textId="4C79A0DD" w:rsidR="00E77F78" w:rsidRPr="00197DF6" w:rsidRDefault="00E77F78" w:rsidP="001B36AA">
      <w:pPr>
        <w:pStyle w:val="SingleTxt"/>
        <w:numPr>
          <w:ilvl w:val="0"/>
          <w:numId w:val="11"/>
        </w:numPr>
        <w:tabs>
          <w:tab w:val="clear" w:pos="475"/>
          <w:tab w:val="right" w:pos="1022"/>
        </w:tabs>
        <w:ind w:left="1267" w:right="1260"/>
        <w:rPr>
          <w:lang w:val="es-ES_tradnl"/>
        </w:rPr>
      </w:pPr>
      <w:r w:rsidRPr="00197DF6">
        <w:rPr>
          <w:lang w:val="es-ES_tradnl"/>
        </w:rPr>
        <w:t>Para aumentar la concienciación de las mujeres y las niñas sobre los recursos y el apoyo jurídicos, RENEW, en colaboración con las partes interesadas, desarrolló una serie de documentales, “</w:t>
      </w:r>
      <w:proofErr w:type="spellStart"/>
      <w:r w:rsidRPr="00197DF6">
        <w:rPr>
          <w:lang w:val="es-ES_tradnl"/>
        </w:rPr>
        <w:t>Yeshey</w:t>
      </w:r>
      <w:proofErr w:type="spellEnd"/>
      <w:r w:rsidRPr="00197DF6">
        <w:rPr>
          <w:lang w:val="es-ES_tradnl"/>
        </w:rPr>
        <w:t xml:space="preserve"> </w:t>
      </w:r>
      <w:proofErr w:type="spellStart"/>
      <w:r w:rsidRPr="00197DF6">
        <w:rPr>
          <w:lang w:val="es-ES_tradnl"/>
        </w:rPr>
        <w:t>Dawa</w:t>
      </w:r>
      <w:proofErr w:type="spellEnd"/>
      <w:r w:rsidRPr="00197DF6">
        <w:rPr>
          <w:lang w:val="es-ES_tradnl"/>
        </w:rPr>
        <w:t xml:space="preserve">”, en torno a los derechos y recursos jurídicos de las mujeres. La serie documental se difundió a través de los medios de comunicación. </w:t>
      </w:r>
    </w:p>
    <w:p w14:paraId="52F5D38A" w14:textId="711D1294" w:rsidR="00E77F78" w:rsidRPr="00197DF6" w:rsidRDefault="00E77F78" w:rsidP="001B36AA">
      <w:pPr>
        <w:pStyle w:val="SingleTxt"/>
        <w:numPr>
          <w:ilvl w:val="0"/>
          <w:numId w:val="11"/>
        </w:numPr>
        <w:ind w:left="1267"/>
        <w:rPr>
          <w:lang w:val="es-ES_tradnl"/>
        </w:rPr>
      </w:pPr>
      <w:r w:rsidRPr="00197DF6">
        <w:rPr>
          <w:lang w:val="es-ES_tradnl"/>
        </w:rPr>
        <w:t xml:space="preserve">El Instituto Jurídico Nacional de </w:t>
      </w:r>
      <w:proofErr w:type="spellStart"/>
      <w:r w:rsidRPr="00197DF6">
        <w:rPr>
          <w:lang w:val="es-ES_tradnl"/>
        </w:rPr>
        <w:t>Bhután</w:t>
      </w:r>
      <w:proofErr w:type="spellEnd"/>
      <w:r w:rsidRPr="00197DF6">
        <w:rPr>
          <w:lang w:val="es-ES_tradnl"/>
        </w:rPr>
        <w:t xml:space="preserve"> ha llevado a cabo varios programas de divulgación jurídica sobre las disposiciones jurídicas, los derechos y los recursos pertinentes. Además de mesas redondas, talleres de difusión, clubes de derecho escolar, distribución de folletos y leyes, también se llevan a cabo programas de entrevistas semanales en la televisión y la radio nacionales en colaboración con el </w:t>
      </w:r>
      <w:proofErr w:type="spellStart"/>
      <w:r w:rsidRPr="00197DF6">
        <w:rPr>
          <w:lang w:val="es-ES_tradnl"/>
        </w:rPr>
        <w:t>Bhutan</w:t>
      </w:r>
      <w:proofErr w:type="spellEnd"/>
      <w:r w:rsidRPr="00197DF6">
        <w:rPr>
          <w:lang w:val="es-ES_tradnl"/>
        </w:rPr>
        <w:t xml:space="preserve"> </w:t>
      </w:r>
      <w:proofErr w:type="spellStart"/>
      <w:r w:rsidRPr="00197DF6">
        <w:rPr>
          <w:lang w:val="es-ES_tradnl"/>
        </w:rPr>
        <w:t>Broadcasting</w:t>
      </w:r>
      <w:proofErr w:type="spellEnd"/>
      <w:r w:rsidRPr="00197DF6">
        <w:rPr>
          <w:lang w:val="es-ES_tradnl"/>
        </w:rPr>
        <w:t xml:space="preserve"> </w:t>
      </w:r>
      <w:proofErr w:type="spellStart"/>
      <w:r w:rsidRPr="00197DF6">
        <w:rPr>
          <w:lang w:val="es-ES_tradnl"/>
        </w:rPr>
        <w:t>Service</w:t>
      </w:r>
      <w:proofErr w:type="spellEnd"/>
      <w:r w:rsidRPr="00197DF6">
        <w:rPr>
          <w:vertAlign w:val="superscript"/>
          <w:lang w:val="es-ES_tradnl"/>
        </w:rPr>
        <w:footnoteReference w:id="17"/>
      </w:r>
      <w:r w:rsidRPr="00197DF6">
        <w:rPr>
          <w:lang w:val="es-ES_tradnl"/>
        </w:rPr>
        <w:t>.</w:t>
      </w:r>
      <w:r w:rsidRPr="00197DF6">
        <w:rPr>
          <w:vertAlign w:val="superscript"/>
          <w:lang w:val="es-ES_tradnl"/>
        </w:rPr>
        <w:t>.</w:t>
      </w:r>
    </w:p>
    <w:p w14:paraId="3BC13D49" w14:textId="035E9EDF" w:rsidR="00E77F78" w:rsidRPr="00197DF6" w:rsidRDefault="00E77F78" w:rsidP="001B36AA">
      <w:pPr>
        <w:pStyle w:val="SingleTxt"/>
        <w:numPr>
          <w:ilvl w:val="0"/>
          <w:numId w:val="11"/>
        </w:numPr>
        <w:ind w:left="1267"/>
        <w:rPr>
          <w:lang w:val="es-ES_tradnl"/>
        </w:rPr>
      </w:pPr>
      <w:r w:rsidRPr="00197DF6">
        <w:rPr>
          <w:lang w:val="es-ES_tradnl"/>
        </w:rPr>
        <w:t xml:space="preserve">La Cámara de Comercio e Industria de </w:t>
      </w:r>
      <w:proofErr w:type="spellStart"/>
      <w:r w:rsidRPr="00197DF6">
        <w:rPr>
          <w:lang w:val="es-ES_tradnl"/>
        </w:rPr>
        <w:t>Bhután</w:t>
      </w:r>
      <w:proofErr w:type="spellEnd"/>
      <w:r w:rsidRPr="00197DF6">
        <w:rPr>
          <w:lang w:val="es-ES_tradnl"/>
        </w:rPr>
        <w:t xml:space="preserve">, en colaboración con la Comisión Nacional de la Mujer y el Niño, llevó a cabo un programa de capacitación para 86 empleadas y 54 empleados del sector privado, incluidos ejecutivos y directores de recursos humanos, sobre discriminación por razón de género, acoso sexual, disposiciones legales y recursos. Asimismo, la Comisión orientó a más de 600 empleados de corporaciones y empresas estatales sobre el acoso sexual, en colaboración con el sector privado. El objetivo del programa era animar a las empresas y al sector privado a instituir mecanismos para abordar la discriminación por razón de género y el acoso sexual en el lugar de trabajo. </w:t>
      </w:r>
    </w:p>
    <w:p w14:paraId="7F58DF6D" w14:textId="71374273" w:rsidR="00E77F78" w:rsidRPr="00197DF6" w:rsidRDefault="00E77F78" w:rsidP="001B36AA">
      <w:pPr>
        <w:pStyle w:val="SingleTxt"/>
        <w:numPr>
          <w:ilvl w:val="0"/>
          <w:numId w:val="11"/>
        </w:numPr>
        <w:ind w:left="1267"/>
        <w:rPr>
          <w:lang w:val="es-ES_tradnl"/>
        </w:rPr>
      </w:pPr>
      <w:r w:rsidRPr="00197DF6">
        <w:rPr>
          <w:lang w:val="es-ES_tradnl"/>
        </w:rPr>
        <w:t xml:space="preserve">La Comisión Nacional de la Mujer y el Niño, el Instituto Jurídico Nacional de </w:t>
      </w:r>
      <w:proofErr w:type="spellStart"/>
      <w:r w:rsidRPr="00197DF6">
        <w:rPr>
          <w:lang w:val="es-ES_tradnl"/>
        </w:rPr>
        <w:t>Bhután</w:t>
      </w:r>
      <w:proofErr w:type="spellEnd"/>
      <w:r w:rsidRPr="00197DF6">
        <w:rPr>
          <w:lang w:val="es-ES_tradnl"/>
        </w:rPr>
        <w:t xml:space="preserve">, la Policía Real de </w:t>
      </w:r>
      <w:proofErr w:type="spellStart"/>
      <w:r w:rsidRPr="00197DF6">
        <w:rPr>
          <w:lang w:val="es-ES_tradnl"/>
        </w:rPr>
        <w:t>Bhután</w:t>
      </w:r>
      <w:proofErr w:type="spellEnd"/>
      <w:r w:rsidRPr="00197DF6">
        <w:rPr>
          <w:lang w:val="es-ES_tradnl"/>
        </w:rPr>
        <w:t xml:space="preserve"> y los organismos pertinentes llevan a cabo periódicamente programas de sensibilización y promoción sobre la Ley de Prevención de la Violencia Doméstica y la legislación conexa, la violencia de género y otras cuestiones emergentes dirigidos al público en general a través de diversos medios. </w:t>
      </w:r>
    </w:p>
    <w:p w14:paraId="0F80447F" w14:textId="6FFD1D1A" w:rsidR="00E77F78" w:rsidRPr="00197DF6" w:rsidRDefault="00E77F78" w:rsidP="001B36AA">
      <w:pPr>
        <w:pStyle w:val="SingleTxt"/>
        <w:numPr>
          <w:ilvl w:val="0"/>
          <w:numId w:val="11"/>
        </w:numPr>
        <w:ind w:left="1267"/>
        <w:rPr>
          <w:lang w:val="es-ES_tradnl"/>
        </w:rPr>
      </w:pPr>
      <w:r w:rsidRPr="00197DF6">
        <w:rPr>
          <w:lang w:val="es-ES_tradnl"/>
        </w:rPr>
        <w:t xml:space="preserve">La Comisión Nacional de la Mujer y el Niño, el Consejo de la Abogacía y RENEW proporcionan asesoramiento jurídico e información a mujeres en circunstancias difíciles y a supervivientes de la violencia de género sobre los derechos que les asisten en virtud de las leyes pertinentes, los recursos legales y el apoyo de que disponen. Desde 2018, 486 mujeres y niñas han recibido información y asesoramiento jurídico de la Comisión y RENEW. </w:t>
      </w:r>
    </w:p>
    <w:p w14:paraId="46D08531" w14:textId="5C525ADD" w:rsidR="00E77F78" w:rsidRPr="00197DF6" w:rsidRDefault="00E77F78" w:rsidP="001B36AA">
      <w:pPr>
        <w:pStyle w:val="SingleTxt"/>
        <w:numPr>
          <w:ilvl w:val="0"/>
          <w:numId w:val="11"/>
        </w:numPr>
        <w:ind w:left="1267"/>
        <w:rPr>
          <w:lang w:val="es-ES_tradnl"/>
        </w:rPr>
      </w:pPr>
      <w:r w:rsidRPr="00197DF6">
        <w:rPr>
          <w:lang w:val="es-ES_tradnl"/>
        </w:rPr>
        <w:t xml:space="preserve">Actualmente se encuentra en las fases iniciales de aplicación una encuesta sobre las necesidades jurídicas a escala nacional para comprender los diferentes requerimientos al respecto. Se espera que la encuesta proporcione información sobre los problemas jurídicos a los que se enfrenta el público, las experiencias diferenciadas por género en el acceso a los servicios de justicia, las capacidades jurídicas diferenciadas y la percepción de los individuos sobre el proceso y el resultado de los problemas en esta esfera. </w:t>
      </w:r>
    </w:p>
    <w:p w14:paraId="48928676" w14:textId="77777777" w:rsidR="00E77F78" w:rsidRPr="00197DF6" w:rsidRDefault="00E77F78" w:rsidP="00E77F78">
      <w:pPr>
        <w:pStyle w:val="SingleTxt"/>
        <w:spacing w:after="0" w:line="120" w:lineRule="exact"/>
        <w:rPr>
          <w:sz w:val="10"/>
          <w:lang w:val="es-ES_tradnl"/>
        </w:rPr>
      </w:pPr>
      <w:bookmarkStart w:id="5" w:name="_Toc107670421"/>
    </w:p>
    <w:p w14:paraId="383D38A8" w14:textId="77777777" w:rsidR="00E77F78" w:rsidRPr="00197DF6" w:rsidRDefault="00E77F78" w:rsidP="00E77F78">
      <w:pPr>
        <w:pStyle w:val="SingleTxt"/>
        <w:spacing w:after="0" w:line="120" w:lineRule="exact"/>
        <w:rPr>
          <w:sz w:val="10"/>
          <w:lang w:val="es-ES_tradnl"/>
        </w:rPr>
      </w:pPr>
    </w:p>
    <w:p w14:paraId="1FB34C11" w14:textId="77777777" w:rsidR="00E77F78" w:rsidRPr="00197DF6" w:rsidRDefault="00E77F78" w:rsidP="006459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es-ES_tradnl"/>
        </w:rPr>
      </w:pPr>
      <w:r w:rsidRPr="00197DF6">
        <w:rPr>
          <w:lang w:val="es-ES_tradnl"/>
        </w:rPr>
        <w:tab/>
      </w:r>
      <w:r w:rsidRPr="00197DF6">
        <w:rPr>
          <w:lang w:val="es-ES_tradnl"/>
        </w:rPr>
        <w:tab/>
        <w:t>Mecanismos nacionales para el adelanto de la mujer (respuestas al párrafo 5)</w:t>
      </w:r>
      <w:bookmarkEnd w:id="5"/>
    </w:p>
    <w:p w14:paraId="3C79E325" w14:textId="77777777" w:rsidR="00E77F78" w:rsidRPr="00197DF6" w:rsidRDefault="00E77F78" w:rsidP="00E77F78">
      <w:pPr>
        <w:pStyle w:val="SingleTxt"/>
        <w:spacing w:after="0" w:line="120" w:lineRule="exact"/>
        <w:rPr>
          <w:sz w:val="10"/>
          <w:lang w:val="es-ES_tradnl"/>
        </w:rPr>
      </w:pPr>
    </w:p>
    <w:p w14:paraId="2B0BDA69" w14:textId="77777777" w:rsidR="00E77F78" w:rsidRPr="00197DF6" w:rsidRDefault="00E77F78" w:rsidP="00E77F78">
      <w:pPr>
        <w:pStyle w:val="SingleTxt"/>
        <w:spacing w:after="0" w:line="120" w:lineRule="exact"/>
        <w:rPr>
          <w:sz w:val="10"/>
          <w:lang w:val="es-ES_tradnl"/>
        </w:rPr>
      </w:pPr>
    </w:p>
    <w:p w14:paraId="00C6AB11"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Mecanismo de coordinación y seguimiento sobre género</w:t>
      </w:r>
    </w:p>
    <w:p w14:paraId="609D5223" w14:textId="77777777" w:rsidR="00E77F78" w:rsidRPr="00197DF6" w:rsidRDefault="00E77F78" w:rsidP="00E77F78">
      <w:pPr>
        <w:pStyle w:val="SingleTxt"/>
        <w:spacing w:after="0" w:line="120" w:lineRule="exact"/>
        <w:rPr>
          <w:sz w:val="10"/>
          <w:lang w:val="es-ES_tradnl"/>
        </w:rPr>
      </w:pPr>
    </w:p>
    <w:p w14:paraId="0E64F3F1" w14:textId="1ED1686B" w:rsidR="00E77F78" w:rsidRPr="00197DF6" w:rsidRDefault="00E77F78" w:rsidP="001B36AA">
      <w:pPr>
        <w:pStyle w:val="SingleTxt"/>
        <w:numPr>
          <w:ilvl w:val="0"/>
          <w:numId w:val="11"/>
        </w:numPr>
        <w:ind w:left="1267"/>
        <w:rPr>
          <w:lang w:val="es-ES_tradnl"/>
        </w:rPr>
      </w:pPr>
      <w:r w:rsidRPr="00197DF6">
        <w:rPr>
          <w:lang w:val="es-ES_tradnl"/>
        </w:rPr>
        <w:t xml:space="preserve">La capacidad técnica y financiera de la maquinaria nacional ha experimentado una mejora razonable, con la contratación de funcionarios adicionales en las dos divisiones del programa. Además, en 2018 se creó un servicio de protección independiente, gestionado por asesores experimentados, para responder a las cuestiones relacionadas con las mujeres y los niños. </w:t>
      </w:r>
    </w:p>
    <w:p w14:paraId="51EF20B8" w14:textId="629F98BA" w:rsidR="00E77F78" w:rsidRPr="00197DF6" w:rsidRDefault="00E77F78" w:rsidP="001B36AA">
      <w:pPr>
        <w:pStyle w:val="SingleTxt"/>
        <w:numPr>
          <w:ilvl w:val="0"/>
          <w:numId w:val="11"/>
        </w:numPr>
        <w:ind w:left="1267"/>
        <w:rPr>
          <w:lang w:val="es-ES_tradnl"/>
        </w:rPr>
      </w:pPr>
      <w:r w:rsidRPr="00197DF6">
        <w:rPr>
          <w:lang w:val="es-ES_tradnl"/>
        </w:rPr>
        <w:t xml:space="preserve">Las reuniones anuales de los coordinadores de cuestiones de género, organizadas por la Comisión Nacional de la Mujer y el Niño, sirven de plataforma principal para debatir los problemas que han de afrontar tanto unos como otros, incluidas las cuestiones de coordinación. También se crearon mecanismos en línea, como foros de grupo entre la Comisión y los coordinadores, para compartir información de forma transparente. También facilita el debate sobre los problemas y retos a los que se enfrentan los coordinadores y sus respectivas instituciones en materia de género. </w:t>
      </w:r>
    </w:p>
    <w:p w14:paraId="5DC70736" w14:textId="1FB2F8D4" w:rsidR="00E77F78" w:rsidRPr="00197DF6" w:rsidRDefault="00E77F78" w:rsidP="001B36AA">
      <w:pPr>
        <w:pStyle w:val="SingleTxt"/>
        <w:numPr>
          <w:ilvl w:val="0"/>
          <w:numId w:val="11"/>
        </w:numPr>
        <w:ind w:left="1267"/>
        <w:rPr>
          <w:lang w:val="es-ES_tradnl"/>
        </w:rPr>
      </w:pPr>
      <w:r w:rsidRPr="00197DF6">
        <w:rPr>
          <w:lang w:val="es-ES_tradnl"/>
        </w:rPr>
        <w:t xml:space="preserve">Los procedimientos operativos estándar (POE), las directrices y los protocolos describen mecanismos claros entre los coordinadores de cuestiones de género y la Comisión Nacional de la Mujer y el Niño en lo que respecta a la coordinación sobre cuestiones específicas, como la violencia de género y la protección de la infancia. Las cuestiones de coordinación se debaten periódicamente a través de las plataformas existentes, como el Comité de Recursos Humanos y las reuniones de la Comisión. Además, actualmente se está revisando el protocolo interno de gestión de casos de mujeres y niños en circunstancias difíciles para reforzar la colaboración y la coordinación entre la Comisión y los coordinadores de cuestiones de género. El examen se centrará en el flujo de comunicación entre la Comisión, los coordinadores a nivel local y los oficiales de protección de la Comisión con respecto a la respuesta a la violencia de género y otros casos de mujeres en circunstancias difíciles. </w:t>
      </w:r>
    </w:p>
    <w:p w14:paraId="376C90B0" w14:textId="3000AE04" w:rsidR="00E77F78" w:rsidRPr="00197DF6" w:rsidRDefault="00E77F78" w:rsidP="001B36AA">
      <w:pPr>
        <w:pStyle w:val="SingleTxt"/>
        <w:numPr>
          <w:ilvl w:val="0"/>
          <w:numId w:val="11"/>
        </w:numPr>
        <w:ind w:left="1267"/>
        <w:rPr>
          <w:lang w:val="es-ES_tradnl"/>
        </w:rPr>
      </w:pPr>
      <w:r w:rsidRPr="00197DF6">
        <w:rPr>
          <w:lang w:val="es-ES_tradnl"/>
        </w:rPr>
        <w:t xml:space="preserve">La Comisión Nacional de la Mujer y el Niño finalizó el Sistema de Seguimiento de la Igualdad de Género en 2016 para garantizar una ejecución sólida de las actividades relacionadas con el género por parte de los coordinadores. Los coordinadores informan anualmente sobre los progresos realizados en relación con los indicadores y objetivos asignados a sus respectivos sectores. Los informes se generan y presentan durante las reuniones anuales de los coordinadores, en las que la Comisión y otros organismos pertinentes también formulan recomendaciones para acelerar los avances. Este sistema de seguimiento ha permitido a la Comisión recoger puntualmente los progresos de las intervenciones en materia de género y reforzar la rendición de cuentas de los coordinadores. </w:t>
      </w:r>
    </w:p>
    <w:p w14:paraId="5AF78342" w14:textId="2520907E" w:rsidR="00E77F78" w:rsidRPr="00197DF6" w:rsidRDefault="00E77F78" w:rsidP="001B36AA">
      <w:pPr>
        <w:pStyle w:val="SingleTxt"/>
        <w:numPr>
          <w:ilvl w:val="0"/>
          <w:numId w:val="11"/>
        </w:numPr>
        <w:ind w:left="1267"/>
        <w:rPr>
          <w:lang w:val="es-ES_tradnl"/>
        </w:rPr>
      </w:pPr>
      <w:r w:rsidRPr="00197DF6">
        <w:rPr>
          <w:lang w:val="es-ES_tradnl"/>
        </w:rPr>
        <w:t xml:space="preserve">En los ejercicios 2016-17 y 2017-18, los indicadores sobre la “creación de guarderías en el lugar de trabajo” y el “desarrollo de un marco interno para abordar las cuestiones de género en el lugar de trabajo” se integraron en el Acuerdo Anual de Rendimiento como objetivos obligatorios para todos los organismos públicos. En consecuencia, se han creado 25 guarderías en el lugar de trabajo y 29 ministerios, organismos y administraciones locales han desarrollado sus marcos internos. La Oficina del </w:t>
      </w:r>
      <w:proofErr w:type="gramStart"/>
      <w:r w:rsidRPr="00197DF6">
        <w:rPr>
          <w:lang w:val="es-ES_tradnl"/>
        </w:rPr>
        <w:t>Primer Ministro</w:t>
      </w:r>
      <w:proofErr w:type="gramEnd"/>
      <w:r w:rsidRPr="00197DF6">
        <w:rPr>
          <w:lang w:val="es-ES_tradnl"/>
        </w:rPr>
        <w:t xml:space="preserve"> supervisa trimestralmente los avances en relación con estos indicadores. La Comisión también supervisa anualmente el desarrollo de los marcos internos y su aplicación. </w:t>
      </w:r>
    </w:p>
    <w:p w14:paraId="64735437" w14:textId="6D53FEB9" w:rsidR="00E77F78" w:rsidRPr="00197DF6" w:rsidRDefault="00E77F78" w:rsidP="001B36AA">
      <w:pPr>
        <w:pStyle w:val="SingleTxt"/>
        <w:numPr>
          <w:ilvl w:val="0"/>
          <w:numId w:val="11"/>
        </w:numPr>
        <w:ind w:left="1267"/>
        <w:rPr>
          <w:lang w:val="es-ES_tradnl"/>
        </w:rPr>
      </w:pPr>
      <w:r w:rsidRPr="00197DF6">
        <w:rPr>
          <w:lang w:val="es-ES_tradnl"/>
        </w:rPr>
        <w:t xml:space="preserve">El proceso preparatorio del Informe sobre el Estado de la Nación anual constituye una importante plataforma para que la Comisión haga balance de las intervenciones de integración de la perspectiva de género llevadas a cabo por la Comisión Nacional de la Mujer y el Niño y los organismos gubernamentales y no gubernamentales pertinentes. </w:t>
      </w:r>
    </w:p>
    <w:p w14:paraId="3772A8A2" w14:textId="4A5FEDF3" w:rsidR="00E77F78" w:rsidRPr="00197DF6" w:rsidRDefault="00E77F78" w:rsidP="001B36AA">
      <w:pPr>
        <w:pStyle w:val="SingleTxt"/>
        <w:numPr>
          <w:ilvl w:val="0"/>
          <w:numId w:val="11"/>
        </w:numPr>
        <w:ind w:left="1267"/>
        <w:rPr>
          <w:lang w:val="es-ES_tradnl"/>
        </w:rPr>
      </w:pPr>
      <w:proofErr w:type="spellStart"/>
      <w:r w:rsidRPr="00197DF6">
        <w:rPr>
          <w:lang w:val="es-ES_tradnl"/>
        </w:rPr>
        <w:t>Dewa</w:t>
      </w:r>
      <w:proofErr w:type="spellEnd"/>
      <w:r w:rsidRPr="00197DF6">
        <w:rPr>
          <w:vertAlign w:val="superscript"/>
          <w:lang w:val="es-ES_tradnl"/>
        </w:rPr>
        <w:footnoteReference w:id="18"/>
      </w:r>
      <w:r w:rsidRPr="00197DF6">
        <w:rPr>
          <w:lang w:val="es-ES_tradnl"/>
        </w:rPr>
        <w:t xml:space="preserve">, un panel integrado para supervisar el indicador de felicidad nacional bruta, los ODS y los planes de desarrollo implantados por la Comisión de la Felicidad Nacional Bruta, es una importante herramienta de control para seguir los avances en las metas de igualdad de género de los ODS y el 12º plan quinquenal. La Comisión de la Felicidad Nacional Bruta, con el apoyo de la Comisión Nacional de la Mujer y el Niño y los organismos pertinentes, actualiza periódicamente el progreso respecto a los indicadores sobre violencia contra las mujeres y las niñas y el marco jurídico y político para prevenir las prácticas discriminatorias de género. </w:t>
      </w:r>
    </w:p>
    <w:p w14:paraId="44BC22D9" w14:textId="5D386F19" w:rsidR="00E77F78" w:rsidRPr="00197DF6" w:rsidRDefault="00E77F78" w:rsidP="001B36AA">
      <w:pPr>
        <w:pStyle w:val="SingleTxt"/>
        <w:numPr>
          <w:ilvl w:val="0"/>
          <w:numId w:val="11"/>
        </w:numPr>
        <w:ind w:left="1267"/>
        <w:rPr>
          <w:lang w:val="es-ES_tradnl"/>
        </w:rPr>
      </w:pPr>
      <w:r w:rsidRPr="00197DF6">
        <w:rPr>
          <w:lang w:val="es-ES_tradnl"/>
        </w:rPr>
        <w:t xml:space="preserve">Para hacer balance de los avances en la aplicación del Marco Estratégico de Planificación y Presupuestación con Perspectiva de Género, en 2016 se llevó a cabo un análisis presupuestario de género de los tres sectores piloto: educación, sanidad y agricultura. El análisis dio lugar a la puesta en marcha de programas de fomento de la capacidad para los responsables de planificación y presupuestación de estos tres sectores. Además, actualmente está en marcha una iniciativa para reforzar la documentación y clasificación del presupuesto nacional con especial atención al género. Su objetivo es mejorar el rendimiento y la información del presupuesto nacional, en particular la presupuestación con perspectiva de género. </w:t>
      </w:r>
    </w:p>
    <w:p w14:paraId="0091AA10" w14:textId="590AFA88" w:rsidR="00E77F78" w:rsidRPr="00197DF6" w:rsidRDefault="00E77F78" w:rsidP="001B36AA">
      <w:pPr>
        <w:pStyle w:val="SingleTxt"/>
        <w:numPr>
          <w:ilvl w:val="0"/>
          <w:numId w:val="11"/>
        </w:numPr>
        <w:ind w:left="1267"/>
        <w:rPr>
          <w:lang w:val="es-ES_tradnl"/>
        </w:rPr>
      </w:pPr>
      <w:r w:rsidRPr="00197DF6">
        <w:rPr>
          <w:lang w:val="es-ES_tradnl"/>
        </w:rPr>
        <w:t xml:space="preserve">El capítulo de gastos del informe de presupuestos nacionales incluye un subcapítulo sobre presupuestos con perspectiva de género. Consolida el gasto realizado en programas específicos de género, como los servicios sanitarios para mujeres, el gasto en organizaciones de mujeres y el presupuesto para la maquinaria nacional. Para el ejercicio fiscal 2021-2022, se hizo una inversión total de 599,896 millones de </w:t>
      </w:r>
      <w:proofErr w:type="spellStart"/>
      <w:r w:rsidRPr="00197DF6">
        <w:rPr>
          <w:lang w:val="es-ES_tradnl"/>
        </w:rPr>
        <w:t>Nu</w:t>
      </w:r>
      <w:proofErr w:type="spellEnd"/>
      <w:r w:rsidRPr="00197DF6">
        <w:rPr>
          <w:vertAlign w:val="superscript"/>
          <w:lang w:val="es-ES_tradnl"/>
        </w:rPr>
        <w:footnoteReference w:id="19"/>
      </w:r>
      <w:r w:rsidRPr="00197DF6">
        <w:rPr>
          <w:lang w:val="es-ES_tradnl"/>
        </w:rPr>
        <w:t xml:space="preserve">, lo que supone un aumento de 105,781 millones respecto al año fiscal 2020-2021 (494,115 millones de </w:t>
      </w:r>
      <w:proofErr w:type="spellStart"/>
      <w:r w:rsidRPr="00197DF6">
        <w:rPr>
          <w:lang w:val="es-ES_tradnl"/>
        </w:rPr>
        <w:t>Nu</w:t>
      </w:r>
      <w:proofErr w:type="spellEnd"/>
      <w:r w:rsidRPr="00197DF6">
        <w:rPr>
          <w:lang w:val="es-ES_tradnl"/>
        </w:rPr>
        <w:t>)</w:t>
      </w:r>
      <w:r w:rsidRPr="00197DF6">
        <w:rPr>
          <w:vertAlign w:val="superscript"/>
          <w:lang w:val="es-ES_tradnl"/>
        </w:rPr>
        <w:footnoteReference w:id="20"/>
      </w:r>
      <w:r w:rsidRPr="00197DF6">
        <w:rPr>
          <w:lang w:val="es-ES_tradnl"/>
        </w:rPr>
        <w:t xml:space="preserve">. </w:t>
      </w:r>
    </w:p>
    <w:p w14:paraId="6F35E95F" w14:textId="77777777" w:rsidR="00E77F78" w:rsidRPr="00197DF6" w:rsidRDefault="00E77F78" w:rsidP="00E77F78">
      <w:pPr>
        <w:pStyle w:val="SingleTxt"/>
        <w:spacing w:after="0" w:line="120" w:lineRule="exact"/>
        <w:rPr>
          <w:sz w:val="10"/>
          <w:lang w:val="es-ES_tradnl"/>
        </w:rPr>
      </w:pPr>
    </w:p>
    <w:p w14:paraId="0246DF3F" w14:textId="77777777" w:rsidR="00E77F78" w:rsidRPr="00197DF6" w:rsidRDefault="00E77F78" w:rsidP="006459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es-ES_tradnl"/>
        </w:rPr>
      </w:pPr>
      <w:r w:rsidRPr="00197DF6">
        <w:rPr>
          <w:lang w:val="es-ES_tradnl"/>
        </w:rPr>
        <w:tab/>
      </w:r>
      <w:r w:rsidRPr="00197DF6">
        <w:rPr>
          <w:lang w:val="es-ES_tradnl"/>
        </w:rPr>
        <w:tab/>
      </w:r>
      <w:r w:rsidRPr="00197DF6">
        <w:rPr>
          <w:bCs/>
          <w:lang w:val="es-ES_tradnl"/>
        </w:rPr>
        <w:t>Intervenciones para garantizar la aplicación de las acciones de género en el ámbito de la administración local</w:t>
      </w:r>
      <w:r w:rsidRPr="00197DF6">
        <w:rPr>
          <w:lang w:val="es-ES_tradnl"/>
        </w:rPr>
        <w:t xml:space="preserve"> </w:t>
      </w:r>
    </w:p>
    <w:p w14:paraId="73EF2AF5" w14:textId="77777777" w:rsidR="00E77F78" w:rsidRPr="00197DF6" w:rsidRDefault="00E77F78" w:rsidP="00E77F78">
      <w:pPr>
        <w:pStyle w:val="SingleTxt"/>
        <w:spacing w:after="0" w:line="120" w:lineRule="exact"/>
        <w:rPr>
          <w:sz w:val="10"/>
          <w:lang w:val="es-ES_tradnl"/>
        </w:rPr>
      </w:pPr>
    </w:p>
    <w:p w14:paraId="394FE641" w14:textId="216252F6" w:rsidR="00E77F78" w:rsidRPr="00197DF6" w:rsidRDefault="00E77F78" w:rsidP="001B36AA">
      <w:pPr>
        <w:pStyle w:val="SingleTxt"/>
        <w:numPr>
          <w:ilvl w:val="0"/>
          <w:numId w:val="11"/>
        </w:numPr>
        <w:ind w:left="1267"/>
        <w:rPr>
          <w:lang w:val="es-ES_tradnl"/>
        </w:rPr>
      </w:pPr>
      <w:r w:rsidRPr="00197DF6">
        <w:rPr>
          <w:lang w:val="es-ES_tradnl"/>
        </w:rPr>
        <w:t xml:space="preserve">Se ha incluido una esfera nacional de resultados clave específica, “promoción de la igualdad de género, empoderamiento de mujeres y niñas”, para los gobiernos locales en el 12º plan quinquenal. Ofrece a las administraciones locales la oportunidad de integrar la perspectiva de género en sus respectivos planes de desarrollo. La esfera de resultados clave se integra en sus planes de trabajo anuales para garantizar la asignación de los recursos adecuados a la ejecución de las intervenciones en materia de género. La mayoría de los gobiernos locales incluyeron la concienciación y el desarrollo de capacidades en materia de género en sus planes anuales, entre otras cosas. </w:t>
      </w:r>
    </w:p>
    <w:p w14:paraId="49410FB9" w14:textId="54157A63" w:rsidR="00E77F78" w:rsidRPr="00197DF6" w:rsidRDefault="00E77F78" w:rsidP="001B36AA">
      <w:pPr>
        <w:pStyle w:val="SingleTxt"/>
        <w:numPr>
          <w:ilvl w:val="0"/>
          <w:numId w:val="11"/>
        </w:numPr>
        <w:ind w:left="1267"/>
        <w:rPr>
          <w:lang w:val="es-ES_tradnl"/>
        </w:rPr>
      </w:pPr>
      <w:r w:rsidRPr="00197DF6">
        <w:rPr>
          <w:lang w:val="es-ES_tradnl"/>
        </w:rPr>
        <w:t xml:space="preserve">En 2021 y 2022, la Comisión Nacional de la Mujer y el Niño impartió formación sobre la integración de la perspectiva de género para el Grupo de Referencia para la Integración de 15 distritos, con el fin de mejorar sus conocimientos y aptitudes al respecto. Este Grupo de Referencia es responsable de la integración de las cuestiones transversales en sus planes, políticas y programas sectoriales o de la administración local, y está formado por responsables de planificación y presupuesto, coordinadores de cuestiones de género, ingenieros y jefes sectoriales de agricultura, educación y sanidad. El Grupo de Referencia a nivel central está formado por representantes de organismos que trabajan en cuestiones transversales, como la Comisión Nacional de la Mujer y el Niño, la Comisión de la Felicidad Nacional Bruta y el Departamento de Gobernanza Local. La Comisión Nacional de la Mujer y el Niño también lleva a cabo programas regulares de formación para los coordinadores con el fin de mejorar su capacidad en materia de género e integración de la perspectiva de género. </w:t>
      </w:r>
    </w:p>
    <w:p w14:paraId="60050A51" w14:textId="57050BB1" w:rsidR="00E77F78" w:rsidRPr="00197DF6" w:rsidRDefault="00E77F78" w:rsidP="001B36AA">
      <w:pPr>
        <w:pStyle w:val="SingleTxt"/>
        <w:numPr>
          <w:ilvl w:val="0"/>
          <w:numId w:val="11"/>
        </w:numPr>
        <w:ind w:left="1267"/>
        <w:rPr>
          <w:lang w:val="es-ES_tradnl"/>
        </w:rPr>
      </w:pPr>
      <w:r w:rsidRPr="00197DF6">
        <w:rPr>
          <w:lang w:val="es-ES_tradnl"/>
        </w:rPr>
        <w:t xml:space="preserve">A fin de proporcionar orientación para que los sectores incorporen la perspectiva de género en sus planes, políticas y actividades sectoriales, en 2021 se elaboró un conjunto de herramientas y directrices para la incorporación de la perspectiva de género para sectores seleccionados. El conjunto de herramientas complementará el marco de género, medio ambiente, cambio climático, desastres y pobreza elaborado por el Grupo de Referencia para la Integración. </w:t>
      </w:r>
    </w:p>
    <w:p w14:paraId="3C69A4A9" w14:textId="779E7C6F" w:rsidR="00E77F78" w:rsidRPr="00197DF6" w:rsidRDefault="00E77F78" w:rsidP="001B36AA">
      <w:pPr>
        <w:pStyle w:val="SingleTxt"/>
        <w:numPr>
          <w:ilvl w:val="0"/>
          <w:numId w:val="11"/>
        </w:numPr>
        <w:ind w:left="1267"/>
        <w:rPr>
          <w:lang w:val="es-ES_tradnl"/>
        </w:rPr>
      </w:pPr>
      <w:r w:rsidRPr="00197DF6">
        <w:rPr>
          <w:lang w:val="es-ES_tradnl"/>
        </w:rPr>
        <w:t xml:space="preserve">El Manual de Planificación del Desarrollo Local de 2014 se revisó teniendo en cuenta la dinámica cambiante de la planificación y la presupuestación, así como las cuestiones emergentes en el ámbito de los gobiernos locales. El plan revisado exige a los gobiernos locales que integren la perspectiva de género en el proceso de planificación, lo que incluye garantizar la participación igualitaria de las mujeres. Se espera que la aplicación del plan refuerce la rendición de cuentas y la implicación de los gobiernos locales para dar respuesta a las cuestiones de género. </w:t>
      </w:r>
    </w:p>
    <w:p w14:paraId="3BDEBC10" w14:textId="1618A730" w:rsidR="00E77F78" w:rsidRPr="00197DF6" w:rsidRDefault="00E77F78" w:rsidP="001B36AA">
      <w:pPr>
        <w:pStyle w:val="SingleTxt"/>
        <w:numPr>
          <w:ilvl w:val="0"/>
          <w:numId w:val="11"/>
        </w:numPr>
        <w:ind w:left="1267"/>
        <w:rPr>
          <w:lang w:val="es-ES_tradnl"/>
        </w:rPr>
      </w:pPr>
      <w:r w:rsidRPr="00197DF6">
        <w:rPr>
          <w:lang w:val="es-ES_tradnl"/>
        </w:rPr>
        <w:t xml:space="preserve">La Comisión Nacional de la Mujer y el Niño, con el apoyo del Grupo de Expertos en Cuestiones de Género, ha elaborado un manual de capacitación en cuestiones de género para abordar de forma sostenible las carencias de capacidad de los coordinadores de cuestiones de género y otros funcionarios pertinentes. Es el primero de este tipo en el país y su objetivo es institucionalizar los programas de desarrollo de capacidades en materia de género e integración de la perspectiva de género. También permitirá a los coordinadores de cuestiones de género y a otros organismos pertinentes fomentar la capacidad con, por ejemplo, programas de concienciación y sensibilización, en sus respectivos sectores/áreas de jurisdicción. </w:t>
      </w:r>
    </w:p>
    <w:p w14:paraId="6AE19564" w14:textId="77777777" w:rsidR="00E77F78" w:rsidRPr="00197DF6" w:rsidRDefault="00E77F78" w:rsidP="00E77F78">
      <w:pPr>
        <w:pStyle w:val="SingleTxt"/>
        <w:spacing w:after="0" w:line="120" w:lineRule="exact"/>
        <w:rPr>
          <w:sz w:val="10"/>
          <w:lang w:val="es-ES_tradnl"/>
        </w:rPr>
      </w:pPr>
    </w:p>
    <w:p w14:paraId="6B2D0686"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Estereotipos de género y prácticas nocivas</w:t>
      </w:r>
      <w:r w:rsidRPr="00197DF6">
        <w:rPr>
          <w:lang w:val="es-ES_tradnl"/>
        </w:rPr>
        <w:t xml:space="preserve"> </w:t>
      </w:r>
    </w:p>
    <w:p w14:paraId="396043C8" w14:textId="77777777" w:rsidR="00E77F78" w:rsidRPr="00197DF6" w:rsidRDefault="00E77F78" w:rsidP="00E77F78">
      <w:pPr>
        <w:pStyle w:val="SingleTxt"/>
        <w:spacing w:after="0" w:line="120" w:lineRule="exact"/>
        <w:rPr>
          <w:sz w:val="10"/>
          <w:lang w:val="es-ES_tradnl"/>
        </w:rPr>
      </w:pPr>
    </w:p>
    <w:p w14:paraId="3D15284C" w14:textId="7BB3C8C3" w:rsidR="00E77F78" w:rsidRPr="00197DF6" w:rsidRDefault="00E77F78" w:rsidP="001B36AA">
      <w:pPr>
        <w:pStyle w:val="SingleTxt"/>
        <w:numPr>
          <w:ilvl w:val="0"/>
          <w:numId w:val="11"/>
        </w:numPr>
        <w:ind w:left="1267"/>
        <w:rPr>
          <w:b/>
          <w:lang w:val="es-ES_tradnl"/>
        </w:rPr>
      </w:pPr>
      <w:proofErr w:type="spellStart"/>
      <w:r w:rsidRPr="00197DF6">
        <w:rPr>
          <w:lang w:val="es-ES_tradnl"/>
        </w:rPr>
        <w:t>Bhután</w:t>
      </w:r>
      <w:proofErr w:type="spellEnd"/>
      <w:r w:rsidRPr="00197DF6">
        <w:rPr>
          <w:lang w:val="es-ES_tradnl"/>
        </w:rPr>
        <w:t xml:space="preserve"> reconoce que los estereotipos de género y las prácticas sociales y culturales nocivas son un impedimento para la consecución de los objetivos de igualdad de género, por lo que concede una gran prioridad a la búsqueda de soluciones para estas cuestiones. La Política Nacional de Igualdad de Género pretende abordar los estereotipos de género y las prácticas nocivas en todos los ámbitos y prevé un enfoque multisectorial para hacerles frente. Además, el Plan de Acción Nacional para la Igualdad de Género adopta un doble enfoque para abordar los estereotipos de género: a través de una esfera crítica específica y su integración en las otras nueve áreas. </w:t>
      </w:r>
    </w:p>
    <w:p w14:paraId="6FB7C0E0" w14:textId="3B29E4CA" w:rsidR="00E77F78" w:rsidRPr="00197DF6" w:rsidRDefault="00E77F78" w:rsidP="001B36AA">
      <w:pPr>
        <w:pStyle w:val="SingleTxt"/>
        <w:numPr>
          <w:ilvl w:val="0"/>
          <w:numId w:val="11"/>
        </w:numPr>
        <w:ind w:left="1267"/>
        <w:rPr>
          <w:b/>
          <w:lang w:val="es-ES_tradnl"/>
        </w:rPr>
      </w:pPr>
      <w:r w:rsidRPr="00197DF6">
        <w:rPr>
          <w:lang w:val="es-ES_tradnl"/>
        </w:rPr>
        <w:t xml:space="preserve">Para promover una imagen positiva de la mujer en los medios de comunicación y garantizar la aplicación de las directrices para informar sobre las mujeres y los niños, la Comisión Nacional de la Mujer y el Niño sigue reforzando la capacidad de los profesionales de los medios de comunicación. Por ejemplo, en abril de 2021 se organizó un taller de capacitación sobre información sensible al género para 20 profesionales de los medios de comunicación y periodistas, incluidos blogueros individuales. Además, el </w:t>
      </w:r>
      <w:proofErr w:type="gramStart"/>
      <w:r w:rsidRPr="00197DF6">
        <w:rPr>
          <w:lang w:val="es-ES_tradnl"/>
        </w:rPr>
        <w:t>Presidente</w:t>
      </w:r>
      <w:proofErr w:type="gramEnd"/>
      <w:r w:rsidRPr="00197DF6">
        <w:rPr>
          <w:vertAlign w:val="superscript"/>
          <w:lang w:val="es-ES_tradnl"/>
        </w:rPr>
        <w:footnoteReference w:id="21"/>
      </w:r>
      <w:r w:rsidRPr="00197DF6">
        <w:rPr>
          <w:lang w:val="es-ES_tradnl"/>
        </w:rPr>
        <w:t xml:space="preserve"> de la Comisión dirigió una consulta con los medios para debatir sobre la imagen que se da de las mujeres y los niños. Como resultado se adoptaron una serie de recomendaciones para su aplicación.</w:t>
      </w:r>
    </w:p>
    <w:p w14:paraId="776F4656" w14:textId="513AEE47" w:rsidR="00E77F78" w:rsidRPr="00197DF6" w:rsidRDefault="00E77F78" w:rsidP="001B36AA">
      <w:pPr>
        <w:pStyle w:val="SingleTxt"/>
        <w:numPr>
          <w:ilvl w:val="0"/>
          <w:numId w:val="11"/>
        </w:numPr>
        <w:ind w:left="1267"/>
        <w:rPr>
          <w:b/>
          <w:lang w:val="es-ES_tradnl"/>
        </w:rPr>
      </w:pPr>
      <w:r w:rsidRPr="00197DF6">
        <w:rPr>
          <w:lang w:val="es-ES_tradnl"/>
        </w:rPr>
        <w:t xml:space="preserve">La Comisión Nacional de la Mujer y el Niño supervisa regularmente las informaciones sobre la violación de los derechos de las mujeres y los niños y las cuestiones relacionadas con el género por parte de los medios de comunicación, a fin de que estas se presenten de acuerdo con las normas. Las cuestiones relativas a la violación de las directrices se plantean al Consejo de Medios de Comunicación de </w:t>
      </w:r>
      <w:proofErr w:type="spellStart"/>
      <w:r w:rsidRPr="00197DF6">
        <w:rPr>
          <w:lang w:val="es-ES_tradnl"/>
        </w:rPr>
        <w:t>Bhután</w:t>
      </w:r>
      <w:proofErr w:type="spellEnd"/>
      <w:r w:rsidRPr="00197DF6">
        <w:rPr>
          <w:lang w:val="es-ES_tradnl"/>
        </w:rPr>
        <w:t xml:space="preserve">, que establece las normas para las instituciones mediáticas de </w:t>
      </w:r>
      <w:proofErr w:type="spellStart"/>
      <w:r w:rsidRPr="00197DF6">
        <w:rPr>
          <w:lang w:val="es-ES_tradnl"/>
        </w:rPr>
        <w:t>Bhután</w:t>
      </w:r>
      <w:proofErr w:type="spellEnd"/>
      <w:r w:rsidRPr="00197DF6">
        <w:rPr>
          <w:lang w:val="es-ES_tradnl"/>
        </w:rPr>
        <w:t xml:space="preserve">. </w:t>
      </w:r>
    </w:p>
    <w:p w14:paraId="02EA3FEA" w14:textId="5CD3EBEA" w:rsidR="00E77F78" w:rsidRPr="00197DF6" w:rsidRDefault="00E77F78" w:rsidP="001B36AA">
      <w:pPr>
        <w:pStyle w:val="SingleTxt"/>
        <w:numPr>
          <w:ilvl w:val="0"/>
          <w:numId w:val="11"/>
        </w:numPr>
        <w:ind w:left="1267"/>
        <w:rPr>
          <w:b/>
          <w:lang w:val="es-ES_tradnl"/>
        </w:rPr>
      </w:pPr>
      <w:r w:rsidRPr="00197DF6">
        <w:rPr>
          <w:lang w:val="es-ES_tradnl"/>
        </w:rPr>
        <w:t xml:space="preserve">En 2019 se llevó a cabo un estudio sobre la valoración del trabajo de cuidados no remunerado de las mujeres para documentar las dimensiones de género en este ámbito, destacar su importancia cuantitativa entre las mujeres y ofrecer recomendaciones para reducir la carga de este tipo de trabajo entre la población femenina. Se organizaron dos talleres regionales y nacionales para difundir las conclusiones del estudio. Las principales recomendaciones del estudio se incluyeron en la Política Nacional de Igualdad de Género y el Plan de Acción Nacional para la Igualdad de Género para su aplicación. También se están estudiando las posibilidades de integrar estas recomendaciones en la encuesta sobre la felicidad nacional bruta y la población activa para garantizar una recogida de datos regular y sostenible. </w:t>
      </w:r>
    </w:p>
    <w:p w14:paraId="6FA2B26C" w14:textId="490E4CD8" w:rsidR="00E77F78" w:rsidRPr="00197DF6" w:rsidRDefault="00E77F78" w:rsidP="001B36AA">
      <w:pPr>
        <w:pStyle w:val="SingleTxt"/>
        <w:numPr>
          <w:ilvl w:val="0"/>
          <w:numId w:val="11"/>
        </w:numPr>
        <w:ind w:left="1267"/>
        <w:rPr>
          <w:lang w:val="es-ES_tradnl"/>
        </w:rPr>
      </w:pPr>
      <w:r w:rsidRPr="00197DF6">
        <w:rPr>
          <w:lang w:val="es-ES_tradnl"/>
        </w:rPr>
        <w:t xml:space="preserve">Para hacer frente a los estereotipos y prejuicios en torno a la división de roles por género y animar a hombres y niños a compartir las responsabilidades domésticas y de cuidados no remunerados, la Comisión Nacional de la Mujer y el Niño lanzó en 2020 la campaña mediática #BetterTogether. La campaña contó con hombres de todas las profesiones y condiciones sociales que compartían sus experiencias sobre el reparto de las tareas domésticas y la importancia de las responsabilidades compartidas en el hogar. </w:t>
      </w:r>
    </w:p>
    <w:p w14:paraId="4FA3BED7" w14:textId="44A6D655" w:rsidR="00E77F78" w:rsidRPr="00197DF6" w:rsidRDefault="00E77F78" w:rsidP="001B36AA">
      <w:pPr>
        <w:pStyle w:val="SingleTxt"/>
        <w:numPr>
          <w:ilvl w:val="0"/>
          <w:numId w:val="11"/>
        </w:numPr>
        <w:ind w:left="1267"/>
        <w:rPr>
          <w:lang w:val="es-ES_tradnl"/>
        </w:rPr>
      </w:pPr>
      <w:r w:rsidRPr="00197DF6">
        <w:rPr>
          <w:lang w:val="es-ES_tradnl"/>
        </w:rPr>
        <w:t xml:space="preserve">El 25 de noviembre de 2018 se puso en marcha un proyecto piloto de prevención primaria de la violencia de género, </w:t>
      </w:r>
      <w:proofErr w:type="spellStart"/>
      <w:r w:rsidRPr="00197DF6">
        <w:rPr>
          <w:i/>
          <w:iCs/>
          <w:lang w:val="es-ES_tradnl"/>
        </w:rPr>
        <w:t>Gakey</w:t>
      </w:r>
      <w:proofErr w:type="spellEnd"/>
      <w:r w:rsidRPr="00197DF6">
        <w:rPr>
          <w:i/>
          <w:iCs/>
          <w:lang w:val="es-ES_tradnl"/>
        </w:rPr>
        <w:t xml:space="preserve"> </w:t>
      </w:r>
      <w:proofErr w:type="spellStart"/>
      <w:r w:rsidRPr="00197DF6">
        <w:rPr>
          <w:i/>
          <w:iCs/>
          <w:lang w:val="es-ES_tradnl"/>
        </w:rPr>
        <w:t>Lamtoen</w:t>
      </w:r>
      <w:proofErr w:type="spellEnd"/>
      <w:r w:rsidRPr="00197DF6">
        <w:rPr>
          <w:lang w:val="es-ES_tradnl"/>
        </w:rPr>
        <w:t xml:space="preserve">. El proyecto, a través de su compromiso con los cuidadores y los adolescentes, pretende abordar las normas y prácticas sociales y culturales nocivas, que son causas profundas de la violencia de género contra mujeres y niñas. Basándose en el efecto positivo y el potencial prometedor para influir en el cambio social transformador, la Comisión Nacional de la Mujer y el Niño, en colaboración con el Ministerio de Educación, está llevando a cabo un proyecto piloto a mayor escala en tres escuelas y comunidades en 2022. Se espera que este lanzamiento reúna más pruebas para institucionalizar la prevención primaria en todo el país. </w:t>
      </w:r>
    </w:p>
    <w:p w14:paraId="57DD1459" w14:textId="4F7948E1" w:rsidR="00E77F78" w:rsidRPr="00197DF6" w:rsidRDefault="00E77F78" w:rsidP="001B36AA">
      <w:pPr>
        <w:pStyle w:val="SingleTxt"/>
        <w:numPr>
          <w:ilvl w:val="0"/>
          <w:numId w:val="11"/>
        </w:numPr>
        <w:ind w:left="1267"/>
        <w:rPr>
          <w:lang w:val="es-ES_tradnl"/>
        </w:rPr>
      </w:pPr>
      <w:r w:rsidRPr="00197DF6">
        <w:rPr>
          <w:lang w:val="es-ES_tradnl"/>
        </w:rPr>
        <w:t xml:space="preserve">Para comprender el alcance de las prácticas tradicionales nocivas como el matrimonio infantil, en 2018 se llevó a cabo un análisis secundario sobre el matrimonio infantil utilizando los datos de la Encuesta de Nivel de Vida de </w:t>
      </w:r>
      <w:proofErr w:type="spellStart"/>
      <w:r w:rsidRPr="00197DF6">
        <w:rPr>
          <w:lang w:val="es-ES_tradnl"/>
        </w:rPr>
        <w:t>Bhután</w:t>
      </w:r>
      <w:proofErr w:type="spellEnd"/>
      <w:r w:rsidRPr="00197DF6">
        <w:rPr>
          <w:lang w:val="es-ES_tradnl"/>
        </w:rPr>
        <w:t xml:space="preserve"> (2012 y 2017). Los resultados revelaron que las incidencias del matrimonio infantil han disminuido del 8,7 % en 2012 al 5,5 % en 2017. De manera similar, en 2019 se llevó a cabo un estudio sobre las prácticas de matrimonio y cohabitación en </w:t>
      </w:r>
      <w:proofErr w:type="spellStart"/>
      <w:r w:rsidRPr="00197DF6">
        <w:rPr>
          <w:lang w:val="es-ES_tradnl"/>
        </w:rPr>
        <w:t>Bhután</w:t>
      </w:r>
      <w:proofErr w:type="spellEnd"/>
      <w:r w:rsidRPr="00197DF6">
        <w:rPr>
          <w:lang w:val="es-ES_tradnl"/>
        </w:rPr>
        <w:t xml:space="preserve"> para comprender las tendencias cambiantes, las actitudes hacia el matrimonio y la cohabitación, y las consecuencias de los diferentes tipos de matrimonio y prácticas de cohabitación. Las conclusiones contribuyeron al desarrollo de las intervenciones de la Comisión Nacional de la Mujer y el Niño y los asociados pertinentes para buscar soluciones para el matrimonio infantil. </w:t>
      </w:r>
    </w:p>
    <w:p w14:paraId="576276CB" w14:textId="7AEDBCF2" w:rsidR="00E77F78" w:rsidRPr="00197DF6" w:rsidRDefault="00E77F78" w:rsidP="001B36AA">
      <w:pPr>
        <w:pStyle w:val="SingleTxt"/>
        <w:numPr>
          <w:ilvl w:val="0"/>
          <w:numId w:val="11"/>
        </w:numPr>
        <w:ind w:left="1267"/>
        <w:rPr>
          <w:b/>
          <w:lang w:val="es-ES_tradnl"/>
        </w:rPr>
      </w:pPr>
      <w:r w:rsidRPr="00197DF6">
        <w:rPr>
          <w:lang w:val="es-ES_tradnl"/>
        </w:rPr>
        <w:t xml:space="preserve">La Comisión Nacional de la Mujer y el Niño y sus asociados siguen centrándose en educar al público en general y a los jóvenes sobre los efectos nocivos de los matrimonios infantiles y forzados, incluidas las disposiciones penales que prohíben estas prácticas. En 2019 se elaboró una estrategia de comunicación para el desarrollo para la protección y el bienestar de la infancia con el fin de ayudar a concienciar sobre las prácticas sociales y culturales nocivas que aumentan la vulnerabilidad de los niños a la violencia, la explotación y el abandono. La estrategia pretende abordar estas normas y salvar las lagunas de conocimiento sobre la parentalidad positiva. Posteriormente, se ha puesto en marcha una campaña nacional para acabar con la violencia contra los niños con el fin de prevenir nuevos problemas de protección infantil. </w:t>
      </w:r>
    </w:p>
    <w:p w14:paraId="77742920" w14:textId="77777777" w:rsidR="00E77F78" w:rsidRPr="00197DF6" w:rsidRDefault="00E77F78" w:rsidP="00E77F78">
      <w:pPr>
        <w:pStyle w:val="SingleTxt"/>
        <w:spacing w:after="0" w:line="120" w:lineRule="exact"/>
        <w:rPr>
          <w:sz w:val="10"/>
          <w:lang w:val="es-ES_tradnl"/>
        </w:rPr>
      </w:pPr>
    </w:p>
    <w:p w14:paraId="3E5AB998"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Examen de políticas</w:t>
      </w:r>
    </w:p>
    <w:p w14:paraId="398ED78F" w14:textId="77777777" w:rsidR="00E77F78" w:rsidRPr="00197DF6" w:rsidRDefault="00E77F78" w:rsidP="00E77F78">
      <w:pPr>
        <w:pStyle w:val="SingleTxt"/>
        <w:spacing w:after="0" w:line="120" w:lineRule="exact"/>
        <w:rPr>
          <w:sz w:val="10"/>
          <w:lang w:val="es-ES_tradnl"/>
        </w:rPr>
      </w:pPr>
    </w:p>
    <w:p w14:paraId="37F04C89" w14:textId="4F89BE8D" w:rsidR="00E77F78" w:rsidRPr="00197DF6" w:rsidRDefault="00E77F78" w:rsidP="001B36AA">
      <w:pPr>
        <w:pStyle w:val="SingleTxt"/>
        <w:numPr>
          <w:ilvl w:val="0"/>
          <w:numId w:val="12"/>
        </w:numPr>
        <w:tabs>
          <w:tab w:val="clear" w:pos="475"/>
          <w:tab w:val="right" w:pos="1022"/>
        </w:tabs>
        <w:ind w:left="1267" w:right="1260"/>
        <w:rPr>
          <w:b/>
          <w:lang w:val="es-ES_tradnl"/>
        </w:rPr>
      </w:pPr>
      <w:r w:rsidRPr="00197DF6">
        <w:rPr>
          <w:lang w:val="es-ES_tradnl"/>
        </w:rPr>
        <w:t>Todas las políticas públicas siguen examinándose mediante la herramienta de examen de políticas de felicidad nacional bruta. La “igualdad de género” es uno de los criterios de selección. La Comisión Nacional de la Mujer y el Niño está incluida en el comité de selección de todas las políticas pertinentes para garantizar que las políticas responden a las cuestiones de género. Además, el protocolo de formulación de políticas del Gobierno exige a todos los organismos que proponen políticas que incorporen en estas las cuestiones transversales y que involucren a los coordinadores de cuestiones de género de los respectivos sectores para garantizar la correcta integración de la perspectiva de género.</w:t>
      </w:r>
    </w:p>
    <w:p w14:paraId="18B4F778" w14:textId="77777777" w:rsidR="00E77F78" w:rsidRPr="00197DF6" w:rsidRDefault="00E77F78" w:rsidP="00E77F78">
      <w:pPr>
        <w:pStyle w:val="SingleTxt"/>
        <w:spacing w:after="0" w:line="120" w:lineRule="exact"/>
        <w:rPr>
          <w:sz w:val="10"/>
          <w:lang w:val="es-ES_tradnl"/>
        </w:rPr>
      </w:pPr>
    </w:p>
    <w:p w14:paraId="718665F2" w14:textId="18E37483" w:rsidR="00E77F78" w:rsidRPr="00197DF6" w:rsidRDefault="00E77F78" w:rsidP="006459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86" w:hanging="1267"/>
        <w:rPr>
          <w:lang w:val="es-ES_tradnl"/>
        </w:rPr>
      </w:pPr>
      <w:r w:rsidRPr="00197DF6">
        <w:rPr>
          <w:lang w:val="es-ES_tradnl"/>
        </w:rPr>
        <w:tab/>
      </w:r>
      <w:r w:rsidRPr="00197DF6">
        <w:rPr>
          <w:lang w:val="es-ES_tradnl"/>
        </w:rPr>
        <w:tab/>
      </w:r>
      <w:r w:rsidRPr="00197DF6">
        <w:rPr>
          <w:bCs/>
          <w:lang w:val="es-ES_tradnl"/>
        </w:rPr>
        <w:t>Mecanismo para garantizar la aplicación de la Política Nacional de Igualdad de Género</w:t>
      </w:r>
    </w:p>
    <w:p w14:paraId="4C01ED53" w14:textId="77777777" w:rsidR="00E77F78" w:rsidRPr="00197DF6" w:rsidRDefault="00E77F78" w:rsidP="00E77F78">
      <w:pPr>
        <w:pStyle w:val="SingleTxt"/>
        <w:keepNext/>
        <w:keepLines/>
        <w:spacing w:after="0" w:line="120" w:lineRule="exact"/>
        <w:rPr>
          <w:sz w:val="10"/>
          <w:lang w:val="es-ES_tradnl"/>
        </w:rPr>
      </w:pPr>
    </w:p>
    <w:p w14:paraId="00FA5F19" w14:textId="62D9E388" w:rsidR="00E77F78" w:rsidRPr="00197DF6" w:rsidRDefault="00E77F78" w:rsidP="001B36AA">
      <w:pPr>
        <w:pStyle w:val="SingleTxt"/>
        <w:numPr>
          <w:ilvl w:val="0"/>
          <w:numId w:val="13"/>
        </w:numPr>
        <w:tabs>
          <w:tab w:val="clear" w:pos="475"/>
          <w:tab w:val="right" w:pos="1022"/>
        </w:tabs>
        <w:ind w:left="1267" w:right="1260"/>
        <w:rPr>
          <w:b/>
          <w:lang w:val="es-ES_tradnl"/>
        </w:rPr>
      </w:pPr>
      <w:r w:rsidRPr="00197DF6">
        <w:rPr>
          <w:lang w:val="es-ES_tradnl"/>
        </w:rPr>
        <w:t xml:space="preserve">Como se indica en respuesta a la lista de cuestiones del apartado 2, se elaboró el Plan de Acción Nacional para la Igualdad de Género mediante un proceso consultivo para garantizar la aplicación efectiva de la Política Nacional de Igualdad de Género. Está en consonancia con los principios de la Constitución del Reino de </w:t>
      </w:r>
      <w:proofErr w:type="spellStart"/>
      <w:r w:rsidRPr="00197DF6">
        <w:rPr>
          <w:lang w:val="es-ES_tradnl"/>
        </w:rPr>
        <w:t>Bhután</w:t>
      </w:r>
      <w:proofErr w:type="spellEnd"/>
      <w:r w:rsidRPr="00197DF6">
        <w:rPr>
          <w:lang w:val="es-ES_tradnl"/>
        </w:rPr>
        <w:t>, las observaciones finales de los informes de la CEDAW, los ODS y otros instrumentos nacionales, internacionales y regionales pertinentes. La Política se acompaña también de un plan de aplicación con medidas, indicadores y objetivos específicos para cada declaración política.</w:t>
      </w:r>
    </w:p>
    <w:p w14:paraId="201F02AC" w14:textId="5BFACC78" w:rsidR="00E77F78" w:rsidRPr="00197DF6" w:rsidRDefault="00E77F78" w:rsidP="001B36AA">
      <w:pPr>
        <w:pStyle w:val="SingleTxt"/>
        <w:numPr>
          <w:ilvl w:val="0"/>
          <w:numId w:val="13"/>
        </w:numPr>
        <w:ind w:left="1267"/>
        <w:rPr>
          <w:lang w:val="es-ES_tradnl"/>
        </w:rPr>
      </w:pPr>
      <w:r w:rsidRPr="00197DF6">
        <w:rPr>
          <w:lang w:val="es-ES_tradnl"/>
        </w:rPr>
        <w:t xml:space="preserve">El Sistema de Gestión del Desempeño del Gobierno y el informe anual sobre la situación de las mujeres y los niños sirven como importantes mecanismos de supervisión de la aplicación de la Política Nacional de Igualdad de Género. </w:t>
      </w:r>
    </w:p>
    <w:p w14:paraId="60B649FD" w14:textId="77777777" w:rsidR="00E77F78" w:rsidRPr="00197DF6" w:rsidRDefault="00E77F78" w:rsidP="00E77F78">
      <w:pPr>
        <w:pStyle w:val="SingleTxt"/>
        <w:spacing w:after="0" w:line="120" w:lineRule="exact"/>
        <w:rPr>
          <w:sz w:val="10"/>
          <w:lang w:val="es-ES_tradnl"/>
        </w:rPr>
      </w:pPr>
      <w:bookmarkStart w:id="6" w:name="_Toc107670422"/>
    </w:p>
    <w:p w14:paraId="4C415B85" w14:textId="77777777" w:rsidR="00E77F78" w:rsidRPr="00197DF6" w:rsidRDefault="00E77F78" w:rsidP="00E77F78">
      <w:pPr>
        <w:pStyle w:val="SingleTxt"/>
        <w:spacing w:after="0" w:line="120" w:lineRule="exact"/>
        <w:rPr>
          <w:sz w:val="10"/>
          <w:lang w:val="es-ES_tradnl"/>
        </w:rPr>
      </w:pPr>
    </w:p>
    <w:p w14:paraId="0260CEFE" w14:textId="77777777" w:rsidR="00E77F78" w:rsidRPr="00197DF6" w:rsidRDefault="00E77F78" w:rsidP="008B3A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20" w:hanging="1267"/>
        <w:rPr>
          <w:lang w:val="es-ES_tradnl"/>
        </w:rPr>
      </w:pPr>
      <w:r w:rsidRPr="00197DF6">
        <w:rPr>
          <w:lang w:val="es-ES_tradnl"/>
        </w:rPr>
        <w:tab/>
      </w:r>
      <w:r w:rsidRPr="00197DF6">
        <w:rPr>
          <w:lang w:val="es-ES_tradnl"/>
        </w:rPr>
        <w:tab/>
        <w:t>Medidas especiales de carácter temporal (respuesta al párrafo 6)</w:t>
      </w:r>
      <w:bookmarkEnd w:id="6"/>
    </w:p>
    <w:p w14:paraId="56F1994C" w14:textId="77777777" w:rsidR="00E77F78" w:rsidRPr="00197DF6" w:rsidRDefault="00E77F78" w:rsidP="00E77F78">
      <w:pPr>
        <w:pStyle w:val="SingleTxt"/>
        <w:spacing w:after="0" w:line="120" w:lineRule="exact"/>
        <w:rPr>
          <w:sz w:val="10"/>
          <w:lang w:val="es-ES_tradnl"/>
        </w:rPr>
      </w:pPr>
    </w:p>
    <w:p w14:paraId="0D92ED34" w14:textId="77777777" w:rsidR="00E77F78" w:rsidRPr="00197DF6" w:rsidRDefault="00E77F78" w:rsidP="00E77F78">
      <w:pPr>
        <w:pStyle w:val="SingleTxt"/>
        <w:spacing w:after="0" w:line="120" w:lineRule="exact"/>
        <w:rPr>
          <w:sz w:val="10"/>
          <w:lang w:val="es-ES_tradnl"/>
        </w:rPr>
      </w:pPr>
    </w:p>
    <w:p w14:paraId="58A2A048" w14:textId="77777777" w:rsidR="00E77F78" w:rsidRPr="00197DF6" w:rsidRDefault="00E77F78" w:rsidP="008B3A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rPr>
          <w:lang w:val="es-ES_tradnl"/>
        </w:rPr>
      </w:pPr>
      <w:r w:rsidRPr="00197DF6">
        <w:rPr>
          <w:lang w:val="es-ES_tradnl"/>
        </w:rPr>
        <w:tab/>
      </w:r>
      <w:r w:rsidRPr="00197DF6">
        <w:rPr>
          <w:lang w:val="es-ES_tradnl"/>
        </w:rPr>
        <w:tab/>
      </w:r>
      <w:r w:rsidRPr="00197DF6">
        <w:rPr>
          <w:bCs/>
          <w:lang w:val="es-ES_tradnl"/>
        </w:rPr>
        <w:t>Medidas especiales para aumentar la participación de las mujeres en la toma de decisiones</w:t>
      </w:r>
    </w:p>
    <w:p w14:paraId="71EBD36E" w14:textId="77777777" w:rsidR="00E77F78" w:rsidRPr="00197DF6" w:rsidRDefault="00E77F78" w:rsidP="00E77F78">
      <w:pPr>
        <w:pStyle w:val="SingleTxt"/>
        <w:spacing w:after="0" w:line="120" w:lineRule="exact"/>
        <w:rPr>
          <w:sz w:val="10"/>
          <w:lang w:val="es-ES_tradnl"/>
        </w:rPr>
      </w:pPr>
    </w:p>
    <w:p w14:paraId="7F1B04AA" w14:textId="3E8B579F" w:rsidR="00E77F78" w:rsidRPr="00197DF6" w:rsidRDefault="00E77F78" w:rsidP="001B36AA">
      <w:pPr>
        <w:pStyle w:val="SingleTxt"/>
        <w:numPr>
          <w:ilvl w:val="0"/>
          <w:numId w:val="14"/>
        </w:numPr>
        <w:tabs>
          <w:tab w:val="clear" w:pos="475"/>
          <w:tab w:val="right" w:pos="1022"/>
        </w:tabs>
        <w:ind w:left="1267" w:right="1260"/>
        <w:rPr>
          <w:b/>
          <w:lang w:val="es-ES_tradnl"/>
        </w:rPr>
      </w:pPr>
      <w:r w:rsidRPr="00197DF6">
        <w:rPr>
          <w:lang w:val="es-ES_tradnl"/>
        </w:rPr>
        <w:t xml:space="preserve">En 2016 se desarrolló el Plan Nacional de Acción para Promover la Igualdad de Género en los Cargos Electos. Se revisó en 2019 basándose en las recomendaciones de la segunda y tercera conferencias nacionales sobre “Mujeres y Política” organizadas por la Comisión Nacional de la Mujer y el Niño, en colaboración con </w:t>
      </w:r>
      <w:proofErr w:type="spellStart"/>
      <w:r w:rsidRPr="00197DF6">
        <w:rPr>
          <w:lang w:val="es-ES_tradnl"/>
        </w:rPr>
        <w:t>Bhutan</w:t>
      </w:r>
      <w:proofErr w:type="spellEnd"/>
      <w:r w:rsidRPr="00197DF6">
        <w:rPr>
          <w:lang w:val="es-ES_tradnl"/>
        </w:rPr>
        <w:t xml:space="preserve"> Network </w:t>
      </w:r>
      <w:proofErr w:type="spellStart"/>
      <w:r w:rsidRPr="00197DF6">
        <w:rPr>
          <w:lang w:val="es-ES_tradnl"/>
        </w:rPr>
        <w:t>for</w:t>
      </w:r>
      <w:proofErr w:type="spellEnd"/>
      <w:r w:rsidRPr="00197DF6">
        <w:rPr>
          <w:lang w:val="es-ES_tradnl"/>
        </w:rPr>
        <w:t xml:space="preserve"> </w:t>
      </w:r>
      <w:proofErr w:type="spellStart"/>
      <w:r w:rsidRPr="00197DF6">
        <w:rPr>
          <w:lang w:val="es-ES_tradnl"/>
        </w:rPr>
        <w:t>Empowering</w:t>
      </w:r>
      <w:proofErr w:type="spellEnd"/>
      <w:r w:rsidRPr="00197DF6">
        <w:rPr>
          <w:lang w:val="es-ES_tradnl"/>
        </w:rPr>
        <w:t xml:space="preserve"> </w:t>
      </w:r>
      <w:proofErr w:type="spellStart"/>
      <w:r w:rsidRPr="00197DF6">
        <w:rPr>
          <w:lang w:val="es-ES_tradnl"/>
        </w:rPr>
        <w:t>Women</w:t>
      </w:r>
      <w:proofErr w:type="spellEnd"/>
      <w:r w:rsidRPr="00197DF6">
        <w:rPr>
          <w:lang w:val="es-ES_tradnl"/>
        </w:rPr>
        <w:t xml:space="preserve"> (BNEW), con el fin de adoptar un enfoque integral para abordar los retos a los que se enfrentan las mujeres</w:t>
      </w:r>
      <w:r w:rsidRPr="00197DF6">
        <w:rPr>
          <w:vertAlign w:val="superscript"/>
          <w:lang w:val="es-ES_tradnl"/>
        </w:rPr>
        <w:footnoteReference w:id="22"/>
      </w:r>
      <w:r w:rsidRPr="00197DF6">
        <w:rPr>
          <w:lang w:val="es-ES_tradnl"/>
        </w:rPr>
        <w:t>. El plan revisado adopta un enfoque integrador para promover la participación política de las mujeres, basándose en el marco mundialmente reconocido “</w:t>
      </w:r>
      <w:proofErr w:type="spellStart"/>
      <w:r w:rsidRPr="00197DF6">
        <w:rPr>
          <w:lang w:val="es-ES_tradnl"/>
        </w:rPr>
        <w:t>Gender</w:t>
      </w:r>
      <w:proofErr w:type="spellEnd"/>
      <w:r w:rsidRPr="00197DF6">
        <w:rPr>
          <w:lang w:val="es-ES_tradnl"/>
        </w:rPr>
        <w:t xml:space="preserve"> at </w:t>
      </w:r>
      <w:proofErr w:type="spellStart"/>
      <w:r w:rsidRPr="00197DF6">
        <w:rPr>
          <w:lang w:val="es-ES_tradnl"/>
        </w:rPr>
        <w:t>Work</w:t>
      </w:r>
      <w:proofErr w:type="spellEnd"/>
      <w:r w:rsidRPr="00197DF6">
        <w:rPr>
          <w:lang w:val="es-ES_tradnl"/>
        </w:rPr>
        <w:t>”.</w:t>
      </w:r>
    </w:p>
    <w:p w14:paraId="4A8EE891" w14:textId="02AD45AF" w:rsidR="00E77F78" w:rsidRPr="00197DF6" w:rsidRDefault="00E77F78" w:rsidP="001B36AA">
      <w:pPr>
        <w:pStyle w:val="SingleTxt"/>
        <w:numPr>
          <w:ilvl w:val="0"/>
          <w:numId w:val="14"/>
        </w:numPr>
        <w:ind w:left="1267"/>
        <w:rPr>
          <w:lang w:val="es-ES_tradnl"/>
        </w:rPr>
      </w:pPr>
      <w:r w:rsidRPr="00197DF6">
        <w:rPr>
          <w:lang w:val="es-ES_tradnl"/>
        </w:rPr>
        <w:t xml:space="preserve">El Gobierno y sus asociados de las organizaciones de la sociedad civil siguen poniendo en marcha iniciativas para preparar a las aspirantes a líderes para la Prueba de Alfabetización Funcional, uno de los factores que limitan su participación en las elecciones a los gobiernos locales. Además, la Comisión Electoral de </w:t>
      </w:r>
      <w:proofErr w:type="spellStart"/>
      <w:r w:rsidRPr="00197DF6">
        <w:rPr>
          <w:lang w:val="es-ES_tradnl"/>
        </w:rPr>
        <w:t>Bhután</w:t>
      </w:r>
      <w:proofErr w:type="spellEnd"/>
      <w:r w:rsidRPr="00197DF6">
        <w:rPr>
          <w:lang w:val="es-ES_tradnl"/>
        </w:rPr>
        <w:t xml:space="preserve"> amplió una semana el plazo de inscripción para la mencionada prueba a fin de que las aspirantes a mujeres líderes pudieran participar en las elecciones, de lo que se beneficiaron 104 mujeres más. También se crearon centros de pruebas adicionales a nivel de región y subregión para alentar la participación de los aspirantes a líderes, especialmente mujeres. </w:t>
      </w:r>
    </w:p>
    <w:p w14:paraId="677CD16C" w14:textId="4C56F2A9" w:rsidR="00E77F78" w:rsidRPr="00197DF6" w:rsidRDefault="00E77F78" w:rsidP="001B36AA">
      <w:pPr>
        <w:pStyle w:val="SingleTxt"/>
        <w:numPr>
          <w:ilvl w:val="0"/>
          <w:numId w:val="14"/>
        </w:numPr>
        <w:ind w:left="1267"/>
        <w:rPr>
          <w:lang w:val="es-ES_tradnl"/>
        </w:rPr>
      </w:pPr>
      <w:r w:rsidRPr="00197DF6">
        <w:rPr>
          <w:lang w:val="es-ES_tradnl"/>
        </w:rPr>
        <w:t xml:space="preserve">En 2021, la Comisión Electoral de </w:t>
      </w:r>
      <w:proofErr w:type="spellStart"/>
      <w:r w:rsidRPr="00197DF6">
        <w:rPr>
          <w:lang w:val="es-ES_tradnl"/>
        </w:rPr>
        <w:t>Bhután</w:t>
      </w:r>
      <w:proofErr w:type="spellEnd"/>
      <w:r w:rsidRPr="00197DF6">
        <w:rPr>
          <w:lang w:val="es-ES_tradnl"/>
        </w:rPr>
        <w:t xml:space="preserve"> permitió el uso de la tarjeta de identidad ciudadana como documento de identificación para votar, con el fin de resolver las dificultades a las que se enfrentaba la población en general, especialmente las mujeres, las poblaciones desfavorecidas y los habitantes de zonas remotas, para acceder a la tarjeta de identidad con fotografía para votar. Del mismo modo, en las terceras elecciones municipales se puso en marcha un sistema de papeletas de voto y cabinas de votación móviles para ayudar a los votantes a participar en las elecciones desde su lugar de residencia. </w:t>
      </w:r>
    </w:p>
    <w:p w14:paraId="3A7B18C4" w14:textId="3EA81E0E" w:rsidR="00E77F78" w:rsidRPr="00197DF6" w:rsidRDefault="00E77F78" w:rsidP="001B36AA">
      <w:pPr>
        <w:pStyle w:val="SingleTxt"/>
        <w:numPr>
          <w:ilvl w:val="0"/>
          <w:numId w:val="14"/>
        </w:numPr>
        <w:ind w:left="1267"/>
        <w:rPr>
          <w:lang w:val="es-ES_tradnl"/>
        </w:rPr>
      </w:pPr>
      <w:r w:rsidRPr="00197DF6">
        <w:rPr>
          <w:lang w:val="es-ES_tradnl"/>
        </w:rPr>
        <w:t xml:space="preserve">Como medida especial para aumentar la participación de las mujeres en la toma de decisiones en el sector empresarial, las “Directrices de Gobierno Corporativo para Empresas Estatales 2019” prevén la inclusión del “género” como uno de los criterios para la selección del Consejo de Administración de las empresas estatales. Del mismo modo, el Código de Gobierno Corporativo de </w:t>
      </w:r>
      <w:proofErr w:type="spellStart"/>
      <w:r w:rsidRPr="00197DF6">
        <w:rPr>
          <w:lang w:val="es-ES_tradnl"/>
        </w:rPr>
        <w:t>Druk</w:t>
      </w:r>
      <w:proofErr w:type="spellEnd"/>
      <w:r w:rsidRPr="00197DF6">
        <w:rPr>
          <w:lang w:val="es-ES_tradnl"/>
        </w:rPr>
        <w:t xml:space="preserve"> Holding and </w:t>
      </w:r>
      <w:proofErr w:type="spellStart"/>
      <w:r w:rsidRPr="00197DF6">
        <w:rPr>
          <w:lang w:val="es-ES_tradnl"/>
        </w:rPr>
        <w:t>Investment</w:t>
      </w:r>
      <w:proofErr w:type="spellEnd"/>
      <w:r w:rsidRPr="00197DF6">
        <w:rPr>
          <w:lang w:val="es-ES_tradnl"/>
        </w:rPr>
        <w:t xml:space="preserve"> (DHI) considera el género como uno de los factores determinantes para la selección de su </w:t>
      </w:r>
      <w:proofErr w:type="gramStart"/>
      <w:r w:rsidRPr="00197DF6">
        <w:rPr>
          <w:lang w:val="es-ES_tradnl"/>
        </w:rPr>
        <w:t>Directorio Ejecutivo</w:t>
      </w:r>
      <w:proofErr w:type="gramEnd"/>
      <w:r w:rsidRPr="00197DF6">
        <w:rPr>
          <w:lang w:val="es-ES_tradnl"/>
        </w:rPr>
        <w:t>. Las mujeres constituyen alrededor del 25 % del total del Consejo de Administración de las empresas de DHI</w:t>
      </w:r>
      <w:r w:rsidRPr="00197DF6">
        <w:rPr>
          <w:vertAlign w:val="superscript"/>
          <w:lang w:val="es-ES_tradnl"/>
        </w:rPr>
        <w:footnoteReference w:id="23"/>
      </w:r>
      <w:r w:rsidRPr="00197DF6">
        <w:rPr>
          <w:lang w:val="es-ES_tradnl"/>
        </w:rPr>
        <w:t xml:space="preserve">. </w:t>
      </w:r>
    </w:p>
    <w:p w14:paraId="1F71ECB3" w14:textId="5295D5B4" w:rsidR="00E77F78" w:rsidRPr="00197DF6" w:rsidRDefault="00E77F78" w:rsidP="001B36AA">
      <w:pPr>
        <w:pStyle w:val="SingleTxt"/>
        <w:numPr>
          <w:ilvl w:val="0"/>
          <w:numId w:val="14"/>
        </w:numPr>
        <w:ind w:left="1267"/>
        <w:rPr>
          <w:spacing w:val="0"/>
          <w:lang w:val="es-ES_tradnl"/>
        </w:rPr>
      </w:pPr>
      <w:r w:rsidRPr="00197DF6">
        <w:rPr>
          <w:spacing w:val="0"/>
          <w:lang w:val="es-ES_tradnl"/>
        </w:rPr>
        <w:t xml:space="preserve">El DHI desarrolló un marco político sobre igualdad de género en 2021 para proporcionar un entorno de trabajo igualitario en el que todos los empleados puedan desarrollar todo su potencial y contribuir al éxito de la organización. La política exige que el DHI y sus empresas desarrollen mecanismos internos para promover la igualdad de género en el lugar de trabajo. Posteriormente, las respectivas empresas sensibilizaron a sus empleados sobre la igualdad de género, el acoso sexual y la discriminación por razón de género. Las empresas también están desarrollando mecanismos internos para abordar las cuestiones de género, en particular el acoso sexual. </w:t>
      </w:r>
    </w:p>
    <w:p w14:paraId="70924C2B" w14:textId="59343354" w:rsidR="00E77F78" w:rsidRPr="00197DF6" w:rsidRDefault="00E77F78" w:rsidP="001B36AA">
      <w:pPr>
        <w:pStyle w:val="SingleTxt"/>
        <w:numPr>
          <w:ilvl w:val="0"/>
          <w:numId w:val="14"/>
        </w:numPr>
        <w:ind w:left="1267"/>
        <w:rPr>
          <w:lang w:val="es-ES_tradnl"/>
        </w:rPr>
      </w:pPr>
      <w:r w:rsidRPr="00197DF6">
        <w:rPr>
          <w:lang w:val="es-ES_tradnl"/>
        </w:rPr>
        <w:t xml:space="preserve">Para evitar la discriminación de género en la contratación, selección y traslado del personal de policía y promover un entorno favorable a la igualdad de género, la Policía Real de </w:t>
      </w:r>
      <w:proofErr w:type="spellStart"/>
      <w:r w:rsidRPr="00197DF6">
        <w:rPr>
          <w:lang w:val="es-ES_tradnl"/>
        </w:rPr>
        <w:t>Bhután</w:t>
      </w:r>
      <w:proofErr w:type="spellEnd"/>
      <w:r w:rsidRPr="00197DF6">
        <w:rPr>
          <w:lang w:val="es-ES_tradnl"/>
        </w:rPr>
        <w:t xml:space="preserve"> ha nombrado a una mujer policía de alto rango permanente en el Comité de Recursos Humanos. Además, también se garantiza la representación de las mujeres policías en la Junta del Servicio de Policía. También se tienen especialmente en cuenta las oportunidades de desarrollo de capacidades, dando preferencia al personal policial femenino. El número de mujeres policías (oficiales, cadetes y suboficiales) pasó de 435 en 2016 a 656 en 2021. </w:t>
      </w:r>
    </w:p>
    <w:p w14:paraId="3780EFDA" w14:textId="42A20EA8" w:rsidR="00E77F78" w:rsidRPr="00197DF6" w:rsidRDefault="00E77F78" w:rsidP="001B36AA">
      <w:pPr>
        <w:pStyle w:val="SingleTxt"/>
        <w:numPr>
          <w:ilvl w:val="0"/>
          <w:numId w:val="16"/>
        </w:numPr>
        <w:tabs>
          <w:tab w:val="clear" w:pos="475"/>
          <w:tab w:val="right" w:pos="1022"/>
        </w:tabs>
        <w:ind w:left="1267" w:right="1260"/>
        <w:rPr>
          <w:lang w:val="es-ES_tradnl"/>
        </w:rPr>
      </w:pPr>
      <w:r w:rsidRPr="00197DF6">
        <w:rPr>
          <w:lang w:val="es-ES_tradnl"/>
        </w:rPr>
        <w:t xml:space="preserve">La participación de las mujeres en las decisiones relacionadas con la gestión de los recursos hídricos recibe la debida consideración en la Política Nacional de Aguas, con mención específica a la representación de las mujeres en la planificación, desarrollo y gestión de los programas de recursos hídricos. Además, el Plan Nacional de Gestión de los Recursos Hídricos reconoce el papel de la mujer en la protección y gestión de los recursos hídricos, y subraya la necesidad de implicar a las mujeres en pie de igualdad en todas las decisiones relativas a la gestión de los recursos hídricos. </w:t>
      </w:r>
    </w:p>
    <w:p w14:paraId="687E5D21" w14:textId="77777777" w:rsidR="00E77F78" w:rsidRPr="00197DF6" w:rsidRDefault="00E77F78" w:rsidP="00E77F78">
      <w:pPr>
        <w:pStyle w:val="SingleTxt"/>
        <w:spacing w:after="0" w:line="120" w:lineRule="exact"/>
        <w:rPr>
          <w:sz w:val="10"/>
          <w:lang w:val="es-ES_tradnl"/>
        </w:rPr>
      </w:pPr>
    </w:p>
    <w:p w14:paraId="52C79A25"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Sensibilización sobre las medidas especiales de carácter temporal</w:t>
      </w:r>
      <w:r w:rsidRPr="00197DF6">
        <w:rPr>
          <w:lang w:val="es-ES_tradnl"/>
        </w:rPr>
        <w:t xml:space="preserve"> </w:t>
      </w:r>
    </w:p>
    <w:p w14:paraId="4E717181" w14:textId="77777777" w:rsidR="00E77F78" w:rsidRPr="00197DF6" w:rsidRDefault="00E77F78" w:rsidP="00E77F78">
      <w:pPr>
        <w:pStyle w:val="SingleTxt"/>
        <w:spacing w:after="0" w:line="120" w:lineRule="exact"/>
        <w:rPr>
          <w:sz w:val="10"/>
          <w:lang w:val="es-ES_tradnl"/>
        </w:rPr>
      </w:pPr>
    </w:p>
    <w:p w14:paraId="711C4990" w14:textId="1940CD9A" w:rsidR="00E77F78" w:rsidRPr="00197DF6" w:rsidRDefault="00E77F78" w:rsidP="001B36AA">
      <w:pPr>
        <w:pStyle w:val="SingleTxt"/>
        <w:numPr>
          <w:ilvl w:val="0"/>
          <w:numId w:val="15"/>
        </w:numPr>
        <w:tabs>
          <w:tab w:val="clear" w:pos="475"/>
          <w:tab w:val="right" w:pos="1022"/>
        </w:tabs>
        <w:ind w:left="1267" w:right="1260"/>
        <w:rPr>
          <w:lang w:val="es-ES_tradnl"/>
        </w:rPr>
      </w:pPr>
      <w:r w:rsidRPr="00197DF6">
        <w:rPr>
          <w:lang w:val="es-ES_tradnl"/>
        </w:rPr>
        <w:t xml:space="preserve">La Comisión Nacional de la Mujer y el Niño, en colaboración con su organización de la sociedad civil asociada BNEW, organizó la segunda y tercera conferencias nacionales sobre Mujeres en Política, Liderazgo y Gobernanza en 2017 y 2018, respectivamente. La Declaración de </w:t>
      </w:r>
      <w:proofErr w:type="spellStart"/>
      <w:r w:rsidRPr="00197DF6">
        <w:rPr>
          <w:lang w:val="es-ES_tradnl"/>
        </w:rPr>
        <w:t>Thimphu</w:t>
      </w:r>
      <w:proofErr w:type="spellEnd"/>
      <w:r w:rsidRPr="00197DF6">
        <w:rPr>
          <w:lang w:val="es-ES_tradnl"/>
        </w:rPr>
        <w:t>, aprobada en la 2ª Conferencia de la WIP, pedía que se establecieran medidas rápidas para alcanzar los objetivos relativos a las mujeres en el Parlamento y los gobiernos locales. Además de proporcionar plataformas de trabajo en red para que las mujeres líderes compartan sus experiencias, las conferencias pretendían fomentar una comprensión más amplia y profunda sobre el género, el patriarcado y la necesidad de una acción afirmativa.</w:t>
      </w:r>
    </w:p>
    <w:p w14:paraId="653F0223" w14:textId="661C540D" w:rsidR="00E77F78" w:rsidRPr="00197DF6" w:rsidRDefault="00E77F78" w:rsidP="001B36AA">
      <w:pPr>
        <w:pStyle w:val="SingleTxt"/>
        <w:numPr>
          <w:ilvl w:val="0"/>
          <w:numId w:val="15"/>
        </w:numPr>
        <w:ind w:left="1267"/>
        <w:rPr>
          <w:lang w:val="es-ES_tradnl"/>
        </w:rPr>
      </w:pPr>
      <w:r w:rsidRPr="00197DF6">
        <w:rPr>
          <w:lang w:val="es-ES_tradnl"/>
        </w:rPr>
        <w:t xml:space="preserve">El Grupo de Mujeres Parlamentarias de </w:t>
      </w:r>
      <w:proofErr w:type="spellStart"/>
      <w:r w:rsidRPr="00197DF6">
        <w:rPr>
          <w:lang w:val="es-ES_tradnl"/>
        </w:rPr>
        <w:t>Bhután</w:t>
      </w:r>
      <w:proofErr w:type="spellEnd"/>
      <w:r w:rsidRPr="00197DF6">
        <w:rPr>
          <w:lang w:val="es-ES_tradnl"/>
        </w:rPr>
        <w:t xml:space="preserve"> —una iniciativa conjunta de la Comisión Nacional de la Mujer y el Niño y BNEW— se puso en marcha en 2019 para abogar por la representación de las mujeres en la toma de decisiones. Se trata de una plataforma visible e inclusiva para que las mujeres políticas, aspirantes y simpatizantes establezcan contactos, dialoguen, defiendan su acción y se inspiren mutuamente para impulsar el objetivo de la igualdad de género en el liderazgo en todos los sectores. </w:t>
      </w:r>
    </w:p>
    <w:p w14:paraId="3D41D70D" w14:textId="67D15F05" w:rsidR="00E77F78" w:rsidRPr="00197DF6" w:rsidRDefault="00E77F78" w:rsidP="001B36AA">
      <w:pPr>
        <w:pStyle w:val="SingleTxt"/>
        <w:numPr>
          <w:ilvl w:val="0"/>
          <w:numId w:val="15"/>
        </w:numPr>
        <w:ind w:left="1267"/>
        <w:rPr>
          <w:lang w:val="es-ES_tradnl"/>
        </w:rPr>
      </w:pPr>
      <w:r w:rsidRPr="00197DF6">
        <w:rPr>
          <w:lang w:val="es-ES_tradnl"/>
        </w:rPr>
        <w:t xml:space="preserve">Además de los programas regulares de sensibilización y compromiso de la Comisión Nacional de la Mujer y el Niño sobre la importancia de crear las condiciones adecuadas para lograr la igualdad </w:t>
      </w:r>
      <w:r w:rsidRPr="00197DF6">
        <w:rPr>
          <w:i/>
          <w:iCs/>
          <w:lang w:val="es-ES_tradnl"/>
        </w:rPr>
        <w:t>de facto</w:t>
      </w:r>
      <w:r w:rsidRPr="00197DF6">
        <w:rPr>
          <w:lang w:val="es-ES_tradnl"/>
        </w:rPr>
        <w:t xml:space="preserve"> en todos los sectores, en los medios de comunicación se cubrieron los diálogos y debates sobre medidas especiales de carácter temporal, la cuota en particular. La intención era desmitificar los malentendidos en torno a estas medidas y crear aceptación entre los responsables de las decisiones sobre tales medidas especiales. </w:t>
      </w:r>
    </w:p>
    <w:p w14:paraId="21E3DB80" w14:textId="77777777" w:rsidR="00E77F78" w:rsidRPr="00197DF6" w:rsidRDefault="00E77F78" w:rsidP="00E77F78">
      <w:pPr>
        <w:pStyle w:val="SingleTxt"/>
        <w:spacing w:after="0" w:line="120" w:lineRule="exact"/>
        <w:rPr>
          <w:sz w:val="10"/>
          <w:lang w:val="es-ES_tradnl"/>
        </w:rPr>
      </w:pPr>
      <w:bookmarkStart w:id="7" w:name="_Toc107670423"/>
    </w:p>
    <w:p w14:paraId="3D6885CE" w14:textId="77777777" w:rsidR="00E77F78" w:rsidRPr="00197DF6" w:rsidRDefault="00E77F78" w:rsidP="00E77F78">
      <w:pPr>
        <w:pStyle w:val="SingleTxt"/>
        <w:spacing w:after="0" w:line="120" w:lineRule="exact"/>
        <w:rPr>
          <w:sz w:val="10"/>
          <w:lang w:val="es-ES_tradnl"/>
        </w:rPr>
      </w:pPr>
    </w:p>
    <w:p w14:paraId="31BE860A" w14:textId="7528EBE5" w:rsidR="008B3A41" w:rsidRPr="00197DF6" w:rsidRDefault="008B3A41">
      <w:pPr>
        <w:suppressAutoHyphens w:val="0"/>
        <w:spacing w:after="200" w:line="276" w:lineRule="auto"/>
        <w:rPr>
          <w:b/>
          <w:kern w:val="14"/>
          <w:sz w:val="24"/>
          <w:lang w:val="es-ES_tradnl"/>
        </w:rPr>
      </w:pPr>
      <w:r w:rsidRPr="00197DF6">
        <w:rPr>
          <w:lang w:val="es-ES_tradnl"/>
        </w:rPr>
        <w:br w:type="page"/>
      </w:r>
    </w:p>
    <w:p w14:paraId="6DE21489" w14:textId="68161207" w:rsidR="00E77F78" w:rsidRPr="00197DF6" w:rsidRDefault="00E77F78" w:rsidP="009E6E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t>Estereotipos y prácticas nocivas (respuesta al párrafo 7)</w:t>
      </w:r>
      <w:bookmarkEnd w:id="7"/>
    </w:p>
    <w:p w14:paraId="153AD0C5" w14:textId="77777777" w:rsidR="00E77F78" w:rsidRPr="00197DF6" w:rsidRDefault="00E77F78" w:rsidP="00E77F78">
      <w:pPr>
        <w:pStyle w:val="SingleTxt"/>
        <w:spacing w:after="0" w:line="120" w:lineRule="exact"/>
        <w:rPr>
          <w:sz w:val="10"/>
          <w:lang w:val="es-ES_tradnl"/>
        </w:rPr>
      </w:pPr>
    </w:p>
    <w:p w14:paraId="0C67D8EE" w14:textId="77777777" w:rsidR="00E77F78" w:rsidRPr="00197DF6" w:rsidRDefault="00E77F78" w:rsidP="00E77F78">
      <w:pPr>
        <w:pStyle w:val="SingleTxt"/>
        <w:spacing w:after="0" w:line="120" w:lineRule="exact"/>
        <w:rPr>
          <w:sz w:val="10"/>
          <w:lang w:val="es-ES_tradnl"/>
        </w:rPr>
      </w:pPr>
    </w:p>
    <w:p w14:paraId="06F9E141" w14:textId="2825493F"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Mecanismos para abordar los estereotipos de género y las prácticas discriminatorias</w:t>
      </w:r>
    </w:p>
    <w:p w14:paraId="3B433655" w14:textId="77777777" w:rsidR="00E77F78" w:rsidRPr="00197DF6" w:rsidRDefault="00E77F78" w:rsidP="00E77F78">
      <w:pPr>
        <w:pStyle w:val="SingleTxt"/>
        <w:spacing w:after="0" w:line="120" w:lineRule="exact"/>
        <w:rPr>
          <w:sz w:val="10"/>
          <w:lang w:val="es-ES_tradnl"/>
        </w:rPr>
      </w:pPr>
    </w:p>
    <w:p w14:paraId="1C882BCE" w14:textId="4B5C174E" w:rsidR="00E77F78" w:rsidRPr="00197DF6" w:rsidRDefault="00E77F78" w:rsidP="001B36AA">
      <w:pPr>
        <w:pStyle w:val="SingleTxt"/>
        <w:numPr>
          <w:ilvl w:val="0"/>
          <w:numId w:val="17"/>
        </w:numPr>
        <w:tabs>
          <w:tab w:val="clear" w:pos="475"/>
          <w:tab w:val="right" w:pos="1022"/>
        </w:tabs>
        <w:ind w:left="1267" w:right="1260"/>
        <w:rPr>
          <w:b/>
          <w:lang w:val="es-ES_tradnl"/>
        </w:rPr>
      </w:pPr>
      <w:r w:rsidRPr="00197DF6">
        <w:rPr>
          <w:lang w:val="es-ES_tradnl"/>
        </w:rPr>
        <w:t>La Norma para la Educación Inclusiva</w:t>
      </w:r>
      <w:r w:rsidRPr="00197DF6">
        <w:rPr>
          <w:vertAlign w:val="superscript"/>
          <w:lang w:val="es-ES_tradnl"/>
        </w:rPr>
        <w:footnoteReference w:id="24"/>
      </w:r>
      <w:r w:rsidRPr="00197DF6">
        <w:rPr>
          <w:lang w:val="es-ES_tradnl"/>
        </w:rPr>
        <w:t xml:space="preserve"> se aprobó en 2017. Describe la igualdad de género como uno de los estándares y recomienda que todas las escuelas desarrollen una cultura en la que se trate con igualdad a los niños y las niñas, se les valore y se les apoye. Hace hincapié en la necesidad de examinar las prácticas y los planes de las escuelas para superar la desigualdad de género, al tiempo que se trabaja con la comunidad para sensibilizar sobre la igualdad de género. </w:t>
      </w:r>
    </w:p>
    <w:p w14:paraId="2F0537E8" w14:textId="26F6F0CB" w:rsidR="00E77F78" w:rsidRPr="00197DF6" w:rsidRDefault="00E77F78" w:rsidP="001B36AA">
      <w:pPr>
        <w:pStyle w:val="SingleTxt"/>
        <w:numPr>
          <w:ilvl w:val="0"/>
          <w:numId w:val="17"/>
        </w:numPr>
        <w:ind w:left="1267"/>
        <w:rPr>
          <w:lang w:val="es-ES_tradnl"/>
        </w:rPr>
      </w:pPr>
      <w:r w:rsidRPr="00197DF6">
        <w:rPr>
          <w:lang w:val="es-ES_tradnl"/>
        </w:rPr>
        <w:t xml:space="preserve">En 2020 se puso en marcha un módulo sobre género y gobernanza para estudiantes de posgrado del Royal </w:t>
      </w:r>
      <w:proofErr w:type="spellStart"/>
      <w:r w:rsidRPr="00197DF6">
        <w:rPr>
          <w:lang w:val="es-ES_tradnl"/>
        </w:rPr>
        <w:t>Institute</w:t>
      </w:r>
      <w:proofErr w:type="spellEnd"/>
      <w:r w:rsidRPr="00197DF6">
        <w:rPr>
          <w:lang w:val="es-ES_tradnl"/>
        </w:rPr>
        <w:t xml:space="preserve"> </w:t>
      </w:r>
      <w:proofErr w:type="spellStart"/>
      <w:r w:rsidRPr="00197DF6">
        <w:rPr>
          <w:lang w:val="es-ES_tradnl"/>
        </w:rPr>
        <w:t>of</w:t>
      </w:r>
      <w:proofErr w:type="spellEnd"/>
      <w:r w:rsidRPr="00197DF6">
        <w:rPr>
          <w:lang w:val="es-ES_tradnl"/>
        </w:rPr>
        <w:t xml:space="preserve"> Management. El módulo, que consta de sesiones sobre diferentes áreas temáticas, pretende que los estudiantes exploren la importancia de incorporar una perspectiva de género en la gobernanza, con aspectos como el diseño, la implementación y la evaluación de políticas y programas públicos. También se implantaron módulos adicionales integrados de género sobre economía, principios y aplicación, así como de felicidad nacional bruta, que mejorarán la comprensión y el conocimiento de los estudiantes sobre cuestiones relacionadas con el género en macroeconomía y los objetivos de desarrollo en un sentido más amplio. </w:t>
      </w:r>
    </w:p>
    <w:p w14:paraId="763E905A" w14:textId="6A8063FA" w:rsidR="00E77F78" w:rsidRPr="00197DF6" w:rsidRDefault="00E77F78" w:rsidP="001B36AA">
      <w:pPr>
        <w:pStyle w:val="SingleTxt"/>
        <w:numPr>
          <w:ilvl w:val="0"/>
          <w:numId w:val="17"/>
        </w:numPr>
        <w:ind w:left="1267"/>
        <w:rPr>
          <w:b/>
          <w:lang w:val="es-ES_tradnl"/>
        </w:rPr>
      </w:pPr>
      <w:r w:rsidRPr="00197DF6">
        <w:rPr>
          <w:lang w:val="es-ES_tradnl"/>
        </w:rPr>
        <w:t xml:space="preserve">Basándose en las recomendaciones de los organismos pertinentes y de revisores independientes sobre la necesidad de hacer que el plan de estudios sea más inclusivo y tenga más en cuenta las cuestiones de género, se revisó y modificó el plan de estudios de todas las clases y materias. El nuevo plan de estudios tiene más en cuenta las cuestiones de género y pretende eliminar los estereotipos de género y las actitudes sexistas mediante la supresión de las ilustraciones que refuerzan tales estereotipos. Además, se ha integrado un módulo específico sobre género en el programa de estudios sociales de quinto curso con el objetivo de transformar las mentalidades estereotipadas de género desde una edad muy temprana. </w:t>
      </w:r>
    </w:p>
    <w:p w14:paraId="5934BB10" w14:textId="5A884B8E" w:rsidR="00E77F78" w:rsidRPr="00197DF6" w:rsidRDefault="00E77F78" w:rsidP="001B36AA">
      <w:pPr>
        <w:pStyle w:val="SingleTxt"/>
        <w:numPr>
          <w:ilvl w:val="0"/>
          <w:numId w:val="17"/>
        </w:numPr>
        <w:ind w:left="1267"/>
        <w:rPr>
          <w:i/>
          <w:lang w:val="es-ES_tradnl"/>
        </w:rPr>
      </w:pPr>
      <w:r w:rsidRPr="00197DF6">
        <w:rPr>
          <w:lang w:val="es-ES_tradnl"/>
        </w:rPr>
        <w:t xml:space="preserve">Como parte de los esfuerzos para inculcar valores y mentalidades de igualdad de género en los niños, la violencia de género y la salud sexual y reproductiva se integran en los manuales de todas las secciones del programa de exploración escolar. Entre los nueve conceptos clave sobre género, violencia de género y salud sexual y reproductiva, el tercero se centra específicamente en la construcción sociocultural de las normas de género y la superación de la desigualdad y los prejuicios. </w:t>
      </w:r>
    </w:p>
    <w:p w14:paraId="56F94414" w14:textId="39C76958" w:rsidR="00E77F78" w:rsidRPr="00197DF6" w:rsidRDefault="00E77F78" w:rsidP="001B36AA">
      <w:pPr>
        <w:pStyle w:val="SingleTxt"/>
        <w:numPr>
          <w:ilvl w:val="0"/>
          <w:numId w:val="17"/>
        </w:numPr>
        <w:ind w:left="1267"/>
        <w:rPr>
          <w:lang w:val="es-ES_tradnl"/>
        </w:rPr>
      </w:pPr>
      <w:r w:rsidRPr="00197DF6">
        <w:rPr>
          <w:lang w:val="es-ES_tradnl"/>
        </w:rPr>
        <w:t xml:space="preserve">El proyecto piloto de prevención de la violencia de género de </w:t>
      </w:r>
      <w:proofErr w:type="spellStart"/>
      <w:r w:rsidRPr="00197DF6">
        <w:rPr>
          <w:lang w:val="es-ES_tradnl"/>
        </w:rPr>
        <w:t>Bhután</w:t>
      </w:r>
      <w:proofErr w:type="spellEnd"/>
      <w:r w:rsidRPr="00197DF6">
        <w:rPr>
          <w:lang w:val="es-ES_tradnl"/>
        </w:rPr>
        <w:t xml:space="preserve">, del que se informa en respuesta a las cuestiones planteadas en el párrafo 5, tiene como objetivo eliminar las prácticas y creencias discriminatorias socioculturales que causan la violencia de género. El proyecto ayuda a las comunidades a cambiar las normas sociales desde dentro, identificando y aprovechando los puntos fuertes de la comunidad, examinando críticamente los comportamientos nocivos y apoyando el cambio positivo. </w:t>
      </w:r>
    </w:p>
    <w:p w14:paraId="33B5A95B" w14:textId="322117E2" w:rsidR="00E77F78" w:rsidRPr="00197DF6" w:rsidRDefault="00E77F78" w:rsidP="001B36AA">
      <w:pPr>
        <w:pStyle w:val="SingleTxt"/>
        <w:numPr>
          <w:ilvl w:val="0"/>
          <w:numId w:val="17"/>
        </w:numPr>
        <w:ind w:left="1267"/>
        <w:rPr>
          <w:b/>
          <w:lang w:val="es-ES_tradnl"/>
        </w:rPr>
      </w:pPr>
      <w:r w:rsidRPr="00197DF6">
        <w:rPr>
          <w:lang w:val="es-ES_tradnl"/>
        </w:rPr>
        <w:t xml:space="preserve">Durante el período que abarca el informe no se realizó un estudio nacional específico para analizar los estereotipos y las prácticas discriminatorias de género. Sin embargo, se llevaron a cabo una serie de estudios sobre el género que permitieron comprender mejor los roles de género, los estereotipos, las prácticas discriminatorias y las percepciones. Por ejemplo, el estudio a nivel nacional sobre la prevalencia de la violencia contra las mujeres y las niñas de 2017 reveló que alrededor del 53,4 % de las mujeres y las niñas estaban de acuerdo en que está justificado que un hombre agreda a su pareja en determinadas circunstancias. El 28,9 % de las mujeres y niñas que sufrieron violencia sexual o física seguían creyendo que los hombres son superiores a las mujeres. </w:t>
      </w:r>
    </w:p>
    <w:p w14:paraId="5B2EC5B9" w14:textId="4EBE5342" w:rsidR="00E77F78" w:rsidRPr="00197DF6" w:rsidRDefault="00E77F78" w:rsidP="001B36AA">
      <w:pPr>
        <w:pStyle w:val="SingleTxt"/>
        <w:numPr>
          <w:ilvl w:val="0"/>
          <w:numId w:val="18"/>
        </w:numPr>
        <w:tabs>
          <w:tab w:val="clear" w:pos="475"/>
          <w:tab w:val="right" w:pos="1022"/>
        </w:tabs>
        <w:ind w:left="1267" w:right="1260"/>
        <w:rPr>
          <w:b/>
          <w:lang w:val="es-ES_tradnl"/>
        </w:rPr>
      </w:pPr>
      <w:r w:rsidRPr="00197DF6">
        <w:rPr>
          <w:lang w:val="es-ES_tradnl"/>
        </w:rPr>
        <w:t xml:space="preserve">Las evaluaciones sobre género y cambio climático (2020) y contabilización del trabajo de cuidados no remunerado en </w:t>
      </w:r>
      <w:proofErr w:type="spellStart"/>
      <w:r w:rsidRPr="00197DF6">
        <w:rPr>
          <w:lang w:val="es-ES_tradnl"/>
        </w:rPr>
        <w:t>Bhután</w:t>
      </w:r>
      <w:proofErr w:type="spellEnd"/>
      <w:r w:rsidRPr="00197DF6">
        <w:rPr>
          <w:lang w:val="es-ES_tradnl"/>
        </w:rPr>
        <w:t xml:space="preserve"> (2019) constataron la existencia de normas y prácticas socioculturales muy arraigadas, en particular en lo que respecta a la división de roles por género, que a menudo limitan la oportunidad de las mujeres de participar en el empleo formal. El impacto de la COVID-19 sobre las mujeres y las niñas (2021) también reveló resultados similares. </w:t>
      </w:r>
    </w:p>
    <w:p w14:paraId="2C6436DB" w14:textId="15E64739" w:rsidR="00E77F78" w:rsidRPr="00197DF6" w:rsidRDefault="00E77F78" w:rsidP="001B36AA">
      <w:pPr>
        <w:pStyle w:val="SingleTxt"/>
        <w:numPr>
          <w:ilvl w:val="0"/>
          <w:numId w:val="18"/>
        </w:numPr>
        <w:ind w:left="1267"/>
        <w:rPr>
          <w:lang w:val="es-ES_tradnl"/>
        </w:rPr>
      </w:pPr>
      <w:r w:rsidRPr="00197DF6">
        <w:rPr>
          <w:lang w:val="es-ES_tradnl"/>
        </w:rPr>
        <w:t xml:space="preserve">En 2021, RENEW llevó a cabo una evaluación cualitativa de la percepción de los hombres y los niños sobre la violencia contra las mujeres y las niñas. El estudio reveló una mayor concienciación entre los hombres y los niños, y un cambio gradual en su mentalidad con respecto a la división de los roles en función del género y las prácticas discriminatorias que conducen a la violencia contra las mujeres. </w:t>
      </w:r>
    </w:p>
    <w:p w14:paraId="1B993193" w14:textId="768CF359" w:rsidR="00E77F78" w:rsidRPr="00197DF6" w:rsidRDefault="00E77F78" w:rsidP="001B36AA">
      <w:pPr>
        <w:pStyle w:val="SingleTxt"/>
        <w:numPr>
          <w:ilvl w:val="0"/>
          <w:numId w:val="18"/>
        </w:numPr>
        <w:ind w:left="1267"/>
        <w:rPr>
          <w:b/>
          <w:i/>
          <w:lang w:val="es-ES_tradnl"/>
        </w:rPr>
      </w:pPr>
      <w:r w:rsidRPr="00197DF6">
        <w:rPr>
          <w:lang w:val="es-ES_tradnl"/>
        </w:rPr>
        <w:t>En 2017 se publicó un libro sobre mensajes sociales integrados, “</w:t>
      </w:r>
      <w:proofErr w:type="spellStart"/>
      <w:r w:rsidRPr="00197DF6">
        <w:rPr>
          <w:lang w:val="es-ES_tradnl"/>
        </w:rPr>
        <w:t>Tsechui</w:t>
      </w:r>
      <w:proofErr w:type="spellEnd"/>
      <w:r w:rsidRPr="00197DF6">
        <w:rPr>
          <w:lang w:val="es-ES_tradnl"/>
        </w:rPr>
        <w:t xml:space="preserve"> </w:t>
      </w:r>
      <w:proofErr w:type="spellStart"/>
      <w:r w:rsidRPr="00197DF6">
        <w:rPr>
          <w:lang w:val="es-ES_tradnl"/>
        </w:rPr>
        <w:t>Garcham</w:t>
      </w:r>
      <w:proofErr w:type="spellEnd"/>
      <w:r w:rsidRPr="00197DF6">
        <w:rPr>
          <w:lang w:val="es-ES_tradnl"/>
        </w:rPr>
        <w:t xml:space="preserve"> </w:t>
      </w:r>
      <w:proofErr w:type="spellStart"/>
      <w:r w:rsidRPr="00197DF6">
        <w:rPr>
          <w:lang w:val="es-ES_tradnl"/>
        </w:rPr>
        <w:t>Gyi</w:t>
      </w:r>
      <w:proofErr w:type="spellEnd"/>
      <w:r w:rsidRPr="00197DF6">
        <w:rPr>
          <w:lang w:val="es-ES_tradnl"/>
        </w:rPr>
        <w:t xml:space="preserve"> </w:t>
      </w:r>
      <w:proofErr w:type="spellStart"/>
      <w:r w:rsidRPr="00197DF6">
        <w:rPr>
          <w:lang w:val="es-ES_tradnl"/>
        </w:rPr>
        <w:t>Shegpa</w:t>
      </w:r>
      <w:proofErr w:type="spellEnd"/>
      <w:r w:rsidRPr="00197DF6">
        <w:rPr>
          <w:lang w:val="es-ES_tradnl"/>
        </w:rPr>
        <w:t>”</w:t>
      </w:r>
      <w:r w:rsidRPr="00197DF6">
        <w:rPr>
          <w:vertAlign w:val="superscript"/>
          <w:lang w:val="es-ES_tradnl"/>
        </w:rPr>
        <w:footnoteReference w:id="25"/>
      </w:r>
      <w:r w:rsidRPr="00197DF6">
        <w:rPr>
          <w:lang w:val="es-ES_tradnl"/>
        </w:rPr>
        <w:t xml:space="preserve">, autoría de Su Santidad el Je </w:t>
      </w:r>
      <w:proofErr w:type="spellStart"/>
      <w:r w:rsidRPr="00197DF6">
        <w:rPr>
          <w:lang w:val="es-ES_tradnl"/>
        </w:rPr>
        <w:t>Khenpo</w:t>
      </w:r>
      <w:proofErr w:type="spellEnd"/>
      <w:r w:rsidRPr="00197DF6">
        <w:rPr>
          <w:vertAlign w:val="superscript"/>
          <w:lang w:val="es-ES_tradnl"/>
        </w:rPr>
        <w:footnoteReference w:id="26"/>
      </w:r>
      <w:r w:rsidRPr="00197DF6">
        <w:rPr>
          <w:lang w:val="es-ES_tradnl"/>
        </w:rPr>
        <w:t xml:space="preserve">, como una forma de abogar por la eliminación de las normas y prácticas discriminatorias de género de los festivales nacionales y locales mediante la participación de los organismos religiosos. Se brindó capacitación a más de 150 religiosos, entre ellos directores de institutos monásticos. Los libros también se distribuyeron a los responsables culturales de todos los distritos para su aplicación. </w:t>
      </w:r>
    </w:p>
    <w:p w14:paraId="5F0F88DA" w14:textId="18609E83" w:rsidR="00E77F78" w:rsidRPr="00197DF6" w:rsidRDefault="00E77F78" w:rsidP="001B36AA">
      <w:pPr>
        <w:pStyle w:val="SingleTxt"/>
        <w:numPr>
          <w:ilvl w:val="0"/>
          <w:numId w:val="18"/>
        </w:numPr>
        <w:ind w:left="1267"/>
        <w:rPr>
          <w:b/>
          <w:lang w:val="es-ES_tradnl"/>
        </w:rPr>
      </w:pPr>
      <w:r w:rsidRPr="00197DF6">
        <w:rPr>
          <w:lang w:val="es-ES_tradnl"/>
        </w:rPr>
        <w:t>Diferentes organismos y personas de distintos niveles se esforzaron por eliminar las actitudes patriarcales y los estereotipos discriminatorios en torno a las normas de género a través de la promoción y la sensibilización. Por ejemplo, las actividades de promoción de alto nivel que realiza la Embajadora de Buena Voluntad del UNFPA tiene como objetivo cuestionar las normas sociales y culturales perjudiciales que perpetúan la discriminación y la violencia contra las mujeres y las niñas. Los coordinadores de género e infancia y los miembros del Sistema de Apoyo Basado en la Comunidad y el Equipo de Tareas de Trabajo Multisectorial (MSTF)</w:t>
      </w:r>
      <w:r w:rsidRPr="00197DF6">
        <w:rPr>
          <w:vertAlign w:val="superscript"/>
          <w:lang w:val="es-ES_tradnl"/>
        </w:rPr>
        <w:footnoteReference w:id="27"/>
      </w:r>
      <w:r w:rsidRPr="00197DF6">
        <w:rPr>
          <w:lang w:val="es-ES_tradnl"/>
        </w:rPr>
        <w:t xml:space="preserve"> también llevaron a cabo actividades de concienciación sobre cuestiones de género y prácticas nocivas, como el matrimonio infantil. </w:t>
      </w:r>
    </w:p>
    <w:p w14:paraId="7201F2BA" w14:textId="4DADC0C2" w:rsidR="00E77F78" w:rsidRPr="00197DF6" w:rsidRDefault="00E77F78" w:rsidP="001B36AA">
      <w:pPr>
        <w:pStyle w:val="SingleTxt"/>
        <w:numPr>
          <w:ilvl w:val="0"/>
          <w:numId w:val="18"/>
        </w:numPr>
        <w:ind w:left="1267"/>
        <w:rPr>
          <w:lang w:val="es-ES_tradnl"/>
        </w:rPr>
      </w:pPr>
      <w:r w:rsidRPr="00197DF6">
        <w:rPr>
          <w:lang w:val="es-ES_tradnl"/>
        </w:rPr>
        <w:t xml:space="preserve">RENEW, en colaboración con el </w:t>
      </w:r>
      <w:proofErr w:type="spellStart"/>
      <w:r w:rsidRPr="00197DF6">
        <w:rPr>
          <w:lang w:val="es-ES_tradnl"/>
        </w:rPr>
        <w:t>Bhutan</w:t>
      </w:r>
      <w:proofErr w:type="spellEnd"/>
      <w:r w:rsidRPr="00197DF6">
        <w:rPr>
          <w:lang w:val="es-ES_tradnl"/>
        </w:rPr>
        <w:t xml:space="preserve"> </w:t>
      </w:r>
      <w:proofErr w:type="spellStart"/>
      <w:r w:rsidRPr="00197DF6">
        <w:rPr>
          <w:lang w:val="es-ES_tradnl"/>
        </w:rPr>
        <w:t>Broadcasting</w:t>
      </w:r>
      <w:proofErr w:type="spellEnd"/>
      <w:r w:rsidRPr="00197DF6">
        <w:rPr>
          <w:lang w:val="es-ES_tradnl"/>
        </w:rPr>
        <w:t xml:space="preserve"> </w:t>
      </w:r>
      <w:proofErr w:type="spellStart"/>
      <w:r w:rsidRPr="00197DF6">
        <w:rPr>
          <w:lang w:val="es-ES_tradnl"/>
        </w:rPr>
        <w:t>Service</w:t>
      </w:r>
      <w:proofErr w:type="spellEnd"/>
      <w:r w:rsidRPr="00197DF6">
        <w:rPr>
          <w:lang w:val="es-ES_tradnl"/>
        </w:rPr>
        <w:t xml:space="preserve"> y la </w:t>
      </w:r>
      <w:proofErr w:type="spellStart"/>
      <w:r w:rsidRPr="00197DF6">
        <w:rPr>
          <w:lang w:val="es-ES_tradnl"/>
        </w:rPr>
        <w:t>Bhutan</w:t>
      </w:r>
      <w:proofErr w:type="spellEnd"/>
      <w:r w:rsidRPr="00197DF6">
        <w:rPr>
          <w:lang w:val="es-ES_tradnl"/>
        </w:rPr>
        <w:t xml:space="preserve"> Media </w:t>
      </w:r>
      <w:proofErr w:type="spellStart"/>
      <w:r w:rsidRPr="00197DF6">
        <w:rPr>
          <w:lang w:val="es-ES_tradnl"/>
        </w:rPr>
        <w:t>Foundation</w:t>
      </w:r>
      <w:proofErr w:type="spellEnd"/>
      <w:r w:rsidRPr="00197DF6">
        <w:rPr>
          <w:lang w:val="es-ES_tradnl"/>
        </w:rPr>
        <w:t xml:space="preserve">, organizó un programa de entrevistas en televisión, </w:t>
      </w:r>
      <w:proofErr w:type="spellStart"/>
      <w:r w:rsidRPr="00197DF6">
        <w:rPr>
          <w:i/>
          <w:iCs/>
          <w:lang w:val="es-ES_tradnl"/>
        </w:rPr>
        <w:t>Moghi</w:t>
      </w:r>
      <w:proofErr w:type="spellEnd"/>
      <w:r w:rsidRPr="00197DF6">
        <w:rPr>
          <w:i/>
          <w:iCs/>
          <w:lang w:val="es-ES_tradnl"/>
        </w:rPr>
        <w:t xml:space="preserve"> </w:t>
      </w:r>
      <w:proofErr w:type="spellStart"/>
      <w:r w:rsidRPr="00197DF6">
        <w:rPr>
          <w:i/>
          <w:iCs/>
          <w:lang w:val="es-ES_tradnl"/>
        </w:rPr>
        <w:t>Mikhar</w:t>
      </w:r>
      <w:proofErr w:type="spellEnd"/>
      <w:r w:rsidRPr="00197DF6">
        <w:rPr>
          <w:iCs/>
          <w:vertAlign w:val="superscript"/>
          <w:lang w:val="es-ES_tradnl"/>
        </w:rPr>
        <w:footnoteReference w:id="28"/>
      </w:r>
      <w:r w:rsidRPr="00197DF6">
        <w:rPr>
          <w:lang w:val="es-ES_tradnl"/>
        </w:rPr>
        <w:t xml:space="preserve">, en el que participaron oradores invitados de todas las profesiones y condiciones sociales para debatir sobre género, relaciones, feminismo, paternidad y prácticas nocivas como la violencia de género y el abuso sexual infantil. Asimismo, en 2018 se llevaron a cabo una serie de tertulias radiofónicas sobre temas relacionados con las adolescentes como la autoestima y la imagen corporal, la higiene menstrual, la salud mental, el acoso y abuso sexual y la educación sexual a través de la campaña #GirlTALK en Facebook e Instagram. </w:t>
      </w:r>
    </w:p>
    <w:p w14:paraId="4FC9BA1D" w14:textId="1DC8C305" w:rsidR="00E77F78" w:rsidRPr="00197DF6" w:rsidRDefault="00E77F78" w:rsidP="001B36AA">
      <w:pPr>
        <w:pStyle w:val="SingleTxt"/>
        <w:numPr>
          <w:ilvl w:val="0"/>
          <w:numId w:val="18"/>
        </w:numPr>
        <w:ind w:left="1267"/>
        <w:rPr>
          <w:lang w:val="es-ES_tradnl"/>
        </w:rPr>
      </w:pPr>
      <w:r w:rsidRPr="00197DF6">
        <w:rPr>
          <w:lang w:val="es-ES_tradnl"/>
        </w:rPr>
        <w:t xml:space="preserve">RENEW elaboró y difundió a través de los medios de comunicación un documental sobre trabajo doméstico y de cuidados no remunerado con el objetivo de concienciar sobre la triple carga de las mujeres y sus consecuencias en el acceso a oportunidades fuera del hogar. Además, los días internacionales de la mujer y la niña, que se celebran todos los años, sirven de importantes plataformas para concienciar sobre cuestiones de género y afines. </w:t>
      </w:r>
    </w:p>
    <w:p w14:paraId="08F5BDC9" w14:textId="77777777" w:rsidR="00E77F78" w:rsidRPr="00197DF6" w:rsidRDefault="00E77F78" w:rsidP="00E77F78">
      <w:pPr>
        <w:pStyle w:val="SingleTxt"/>
        <w:spacing w:after="0" w:line="120" w:lineRule="exact"/>
        <w:rPr>
          <w:sz w:val="10"/>
          <w:lang w:val="es-ES_tradnl"/>
        </w:rPr>
      </w:pPr>
    </w:p>
    <w:p w14:paraId="567E73ED"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Mecanismos de revisión de las intervenciones para hacer frente a las prácticas discriminatorias</w:t>
      </w:r>
    </w:p>
    <w:p w14:paraId="4C3235DF" w14:textId="77777777" w:rsidR="00E77F78" w:rsidRPr="00197DF6" w:rsidRDefault="00E77F78" w:rsidP="00E77F78">
      <w:pPr>
        <w:pStyle w:val="SingleTxt"/>
        <w:spacing w:after="0" w:line="120" w:lineRule="exact"/>
        <w:rPr>
          <w:sz w:val="10"/>
          <w:lang w:val="es-ES_tradnl"/>
        </w:rPr>
      </w:pPr>
    </w:p>
    <w:p w14:paraId="3D497FA2" w14:textId="5E73F284" w:rsidR="00E77F78" w:rsidRPr="00197DF6" w:rsidRDefault="00E77F78" w:rsidP="001B36AA">
      <w:pPr>
        <w:pStyle w:val="SingleTxt"/>
        <w:numPr>
          <w:ilvl w:val="0"/>
          <w:numId w:val="19"/>
        </w:numPr>
        <w:tabs>
          <w:tab w:val="clear" w:pos="475"/>
          <w:tab w:val="right" w:pos="1022"/>
        </w:tabs>
        <w:ind w:left="1267" w:right="1260"/>
        <w:rPr>
          <w:b/>
          <w:lang w:val="es-ES_tradnl"/>
        </w:rPr>
      </w:pPr>
      <w:r w:rsidRPr="00197DF6">
        <w:rPr>
          <w:lang w:val="es-ES_tradnl"/>
        </w:rPr>
        <w:t xml:space="preserve">Además de los mecanismos de supervisión mencionados en la lista de cuestiones del párrafo 5, el Comité de Mujeres y Niños de </w:t>
      </w:r>
      <w:proofErr w:type="spellStart"/>
      <w:r w:rsidRPr="00197DF6">
        <w:rPr>
          <w:i/>
          <w:iCs/>
          <w:lang w:val="es-ES_tradnl"/>
        </w:rPr>
        <w:t>Dzongkhag</w:t>
      </w:r>
      <w:proofErr w:type="spellEnd"/>
      <w:r w:rsidRPr="00197DF6">
        <w:rPr>
          <w:i/>
          <w:iCs/>
          <w:lang w:val="es-ES_tradnl"/>
        </w:rPr>
        <w:t>/</w:t>
      </w:r>
      <w:proofErr w:type="spellStart"/>
      <w:r w:rsidRPr="00197DF6">
        <w:rPr>
          <w:i/>
          <w:iCs/>
          <w:lang w:val="es-ES_tradnl"/>
        </w:rPr>
        <w:t>Thromde</w:t>
      </w:r>
      <w:proofErr w:type="spellEnd"/>
      <w:r w:rsidRPr="00197DF6">
        <w:rPr>
          <w:vertAlign w:val="superscript"/>
          <w:lang w:val="es-ES_tradnl"/>
        </w:rPr>
        <w:footnoteReference w:id="29"/>
      </w:r>
      <w:r w:rsidRPr="00197DF6">
        <w:rPr>
          <w:lang w:val="es-ES_tradnl"/>
        </w:rPr>
        <w:t xml:space="preserve"> actúa como un importante mecanismo de coordinación y supervisión de las intervenciones a nivel local. </w:t>
      </w:r>
    </w:p>
    <w:p w14:paraId="47B2389A" w14:textId="77777777" w:rsidR="00E77F78" w:rsidRPr="00197DF6" w:rsidRDefault="00E77F78" w:rsidP="00E77F78">
      <w:pPr>
        <w:pStyle w:val="SingleTxt"/>
        <w:spacing w:after="0" w:line="120" w:lineRule="exact"/>
        <w:rPr>
          <w:sz w:val="10"/>
          <w:lang w:val="es-ES_tradnl"/>
        </w:rPr>
      </w:pPr>
      <w:bookmarkStart w:id="8" w:name="_Toc107670424"/>
    </w:p>
    <w:p w14:paraId="1B32421E" w14:textId="77777777" w:rsidR="00E77F78" w:rsidRPr="00197DF6" w:rsidRDefault="00E77F78" w:rsidP="00E77F78">
      <w:pPr>
        <w:pStyle w:val="SingleTxt"/>
        <w:spacing w:after="0" w:line="120" w:lineRule="exact"/>
        <w:rPr>
          <w:sz w:val="10"/>
          <w:lang w:val="es-ES_tradnl"/>
        </w:rPr>
      </w:pPr>
    </w:p>
    <w:p w14:paraId="721F2807" w14:textId="77777777" w:rsidR="00E77F78" w:rsidRPr="00197DF6" w:rsidRDefault="00E77F78" w:rsidP="008B3A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spacing w:val="2"/>
          <w:w w:val="100"/>
          <w:lang w:val="es-ES_tradnl"/>
        </w:rPr>
      </w:pPr>
      <w:r w:rsidRPr="00197DF6">
        <w:rPr>
          <w:lang w:val="es-ES_tradnl"/>
        </w:rPr>
        <w:tab/>
      </w:r>
      <w:r w:rsidRPr="00197DF6">
        <w:rPr>
          <w:lang w:val="es-ES_tradnl"/>
        </w:rPr>
        <w:tab/>
        <w:t>Violencia de género contra la mujer (respuestas a los párrafos 8, 9 y 10)</w:t>
      </w:r>
      <w:bookmarkEnd w:id="8"/>
    </w:p>
    <w:p w14:paraId="304F780D" w14:textId="77777777" w:rsidR="00E77F78" w:rsidRPr="00197DF6" w:rsidRDefault="00E77F78" w:rsidP="00E77F78">
      <w:pPr>
        <w:pStyle w:val="SingleTxt"/>
        <w:keepNext/>
        <w:spacing w:after="0" w:line="120" w:lineRule="exact"/>
        <w:ind w:left="1264" w:right="1264"/>
        <w:rPr>
          <w:sz w:val="10"/>
          <w:lang w:val="es-ES_tradnl"/>
        </w:rPr>
      </w:pPr>
    </w:p>
    <w:p w14:paraId="73BD4696" w14:textId="77777777" w:rsidR="00E77F78" w:rsidRPr="00197DF6" w:rsidRDefault="00E77F78" w:rsidP="00E77F78">
      <w:pPr>
        <w:pStyle w:val="SingleTxt"/>
        <w:keepNext/>
        <w:spacing w:after="0" w:line="120" w:lineRule="exact"/>
        <w:ind w:left="1264" w:right="1264"/>
        <w:rPr>
          <w:sz w:val="10"/>
          <w:lang w:val="es-ES_tradnl"/>
        </w:rPr>
      </w:pPr>
    </w:p>
    <w:p w14:paraId="3F49EDB7"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Artículo 22 de la Ley de Prevención de la Violencia Doméstica</w:t>
      </w:r>
    </w:p>
    <w:p w14:paraId="0AE9210D" w14:textId="77777777" w:rsidR="00E77F78" w:rsidRPr="00197DF6" w:rsidRDefault="00E77F78" w:rsidP="00E77F78">
      <w:pPr>
        <w:pStyle w:val="SingleTxt"/>
        <w:spacing w:after="0" w:line="120" w:lineRule="exact"/>
        <w:rPr>
          <w:sz w:val="10"/>
          <w:lang w:val="es-ES_tradnl"/>
        </w:rPr>
      </w:pPr>
    </w:p>
    <w:p w14:paraId="2CA5A872" w14:textId="1D57D4AF" w:rsidR="00E77F78" w:rsidRPr="00197DF6" w:rsidRDefault="00E77F78" w:rsidP="001B36AA">
      <w:pPr>
        <w:pStyle w:val="SingleTxt"/>
        <w:numPr>
          <w:ilvl w:val="0"/>
          <w:numId w:val="20"/>
        </w:numPr>
        <w:tabs>
          <w:tab w:val="clear" w:pos="475"/>
          <w:tab w:val="right" w:pos="1022"/>
        </w:tabs>
        <w:ind w:left="1267" w:right="1260"/>
        <w:rPr>
          <w:b/>
          <w:lang w:val="es-ES_tradnl"/>
        </w:rPr>
      </w:pPr>
      <w:r w:rsidRPr="00197DF6">
        <w:rPr>
          <w:lang w:val="es-ES_tradnl"/>
        </w:rPr>
        <w:t xml:space="preserve">En 2020 se llevó a cabo una evaluación de los avances en la aplicación de la Ley de Prevención de la Violencia Doméstica y sus normas y reglamentos para comprender el estado de aplicación y la pertinencia de determinadas disposiciones de la Ley. La evaluación recomendó revisar algunas disposiciones (incluido el artículo 22) para tomar en consideración las novedades. Por ello, la revisión se iniciará junto con la aplicación de las demás recomendaciones. </w:t>
      </w:r>
    </w:p>
    <w:p w14:paraId="6A3BE425" w14:textId="77777777" w:rsidR="00E77F78" w:rsidRPr="00197DF6" w:rsidRDefault="00E77F78" w:rsidP="00E77F78">
      <w:pPr>
        <w:pStyle w:val="SingleTxt"/>
        <w:spacing w:after="0" w:line="120" w:lineRule="exact"/>
        <w:rPr>
          <w:sz w:val="10"/>
          <w:lang w:val="es-ES_tradnl"/>
        </w:rPr>
      </w:pPr>
    </w:p>
    <w:p w14:paraId="16AC4B44"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Capacidad de los organismos encargados de hacer cumplir la ley</w:t>
      </w:r>
    </w:p>
    <w:p w14:paraId="6AD031CA" w14:textId="77777777" w:rsidR="00E77F78" w:rsidRPr="00197DF6" w:rsidRDefault="00E77F78" w:rsidP="00E77F78">
      <w:pPr>
        <w:pStyle w:val="SingleTxt"/>
        <w:keepNext/>
        <w:keepLines/>
        <w:spacing w:after="0" w:line="120" w:lineRule="exact"/>
        <w:rPr>
          <w:sz w:val="10"/>
          <w:lang w:val="es-ES_tradnl"/>
        </w:rPr>
      </w:pPr>
    </w:p>
    <w:p w14:paraId="5012F42A" w14:textId="6D08A894" w:rsidR="00E77F78" w:rsidRPr="00197DF6" w:rsidRDefault="00E77F78" w:rsidP="001B36AA">
      <w:pPr>
        <w:pStyle w:val="SingleTxt"/>
        <w:numPr>
          <w:ilvl w:val="0"/>
          <w:numId w:val="21"/>
        </w:numPr>
        <w:tabs>
          <w:tab w:val="clear" w:pos="475"/>
          <w:tab w:val="right" w:pos="1022"/>
        </w:tabs>
        <w:ind w:left="1267" w:right="1260"/>
        <w:rPr>
          <w:spacing w:val="2"/>
          <w:lang w:val="es-ES_tradnl"/>
        </w:rPr>
      </w:pPr>
      <w:r w:rsidRPr="00197DF6">
        <w:rPr>
          <w:spacing w:val="2"/>
          <w:lang w:val="es-ES_tradnl"/>
        </w:rPr>
        <w:t xml:space="preserve">El Gobierno adopta un doble enfoque para mejorar la capacidad de la Policía Real de </w:t>
      </w:r>
      <w:proofErr w:type="spellStart"/>
      <w:r w:rsidRPr="00197DF6">
        <w:rPr>
          <w:spacing w:val="2"/>
          <w:lang w:val="es-ES_tradnl"/>
        </w:rPr>
        <w:t>Bhután</w:t>
      </w:r>
      <w:proofErr w:type="spellEnd"/>
      <w:r w:rsidRPr="00197DF6">
        <w:rPr>
          <w:spacing w:val="2"/>
          <w:lang w:val="es-ES_tradnl"/>
        </w:rPr>
        <w:t xml:space="preserve"> mediante la integración de procedimientos policiales adaptados a las mujeres y los niños en el plan de estudios de formación policial y la capacitación específica en cuestiones concretas. Más de 100 miembros de la policía recibieron formación en 2020 y 2021 sobre violencia de género, procedimientos operativos estándar en esta materia, identificación precoz y derivación segura. La Policía Real de </w:t>
      </w:r>
      <w:proofErr w:type="spellStart"/>
      <w:r w:rsidRPr="00197DF6">
        <w:rPr>
          <w:spacing w:val="2"/>
          <w:lang w:val="es-ES_tradnl"/>
        </w:rPr>
        <w:t>Bhután</w:t>
      </w:r>
      <w:proofErr w:type="spellEnd"/>
      <w:r w:rsidRPr="00197DF6">
        <w:rPr>
          <w:spacing w:val="2"/>
          <w:lang w:val="es-ES_tradnl"/>
        </w:rPr>
        <w:t xml:space="preserve"> también capacitó a otros 58 funcionarios en procedimientos adaptados a las mujeres y los niños. Se está preparando material de capacitación sobre la prestación de servicios policiales especializados para supervivientes de violencia de género, y está previsto formar a personal policial en todo el país antes de junio de 2023.</w:t>
      </w:r>
    </w:p>
    <w:p w14:paraId="022DCAC0" w14:textId="00383A65" w:rsidR="00E77F78" w:rsidRPr="00197DF6" w:rsidRDefault="00E77F78" w:rsidP="001B36AA">
      <w:pPr>
        <w:pStyle w:val="SingleTxt"/>
        <w:numPr>
          <w:ilvl w:val="0"/>
          <w:numId w:val="21"/>
        </w:numPr>
        <w:ind w:left="1267"/>
        <w:rPr>
          <w:lang w:val="es-ES_tradnl"/>
        </w:rPr>
      </w:pPr>
      <w:r w:rsidRPr="00197DF6">
        <w:rPr>
          <w:lang w:val="es-ES_tradnl"/>
        </w:rPr>
        <w:t xml:space="preserve">En 2019 se crearon dos unidades/dependencias de protección de mujeres y la </w:t>
      </w:r>
      <w:proofErr w:type="gramStart"/>
      <w:r w:rsidRPr="00197DF6">
        <w:rPr>
          <w:lang w:val="es-ES_tradnl"/>
        </w:rPr>
        <w:t>infancia adicionales</w:t>
      </w:r>
      <w:proofErr w:type="gramEnd"/>
      <w:r w:rsidRPr="00197DF6">
        <w:rPr>
          <w:lang w:val="es-ES_tradnl"/>
        </w:rPr>
        <w:t xml:space="preserve"> y dos más están actualmente en construcción. El número total de unidades de este tipo asciende a 17. La Policía Real de </w:t>
      </w:r>
      <w:proofErr w:type="spellStart"/>
      <w:r w:rsidRPr="00197DF6">
        <w:rPr>
          <w:lang w:val="es-ES_tradnl"/>
        </w:rPr>
        <w:t>Bhután</w:t>
      </w:r>
      <w:proofErr w:type="spellEnd"/>
      <w:r w:rsidRPr="00197DF6">
        <w:rPr>
          <w:lang w:val="es-ES_tradnl"/>
        </w:rPr>
        <w:t xml:space="preserve"> tiene previsto crear en el país 18 unidades de protección de estos grupos para 2023. Como se indicaba en los informes anteriores, estas dependencias están dirigidas por personal policial capacitado, entre los que hay al menos una mujer. Entre 2019 y febrero de 2022 se investigaron 1559 casos de violencia doméstica y 339 de explotación y abusos sexuales. </w:t>
      </w:r>
    </w:p>
    <w:p w14:paraId="31C7D2E9" w14:textId="77777777" w:rsidR="00E77F78" w:rsidRPr="00197DF6" w:rsidRDefault="00E77F78" w:rsidP="00E77F78">
      <w:pPr>
        <w:pStyle w:val="SingleTxt"/>
        <w:spacing w:after="0" w:line="120" w:lineRule="exact"/>
        <w:rPr>
          <w:sz w:val="10"/>
          <w:lang w:val="es-ES_tradnl"/>
        </w:rPr>
      </w:pPr>
    </w:p>
    <w:p w14:paraId="59F30019"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Sistema de apoyo multisectorial</w:t>
      </w:r>
      <w:r w:rsidRPr="00197DF6">
        <w:rPr>
          <w:lang w:val="es-ES_tradnl"/>
        </w:rPr>
        <w:t xml:space="preserve"> </w:t>
      </w:r>
    </w:p>
    <w:p w14:paraId="5A57AC8D" w14:textId="77777777" w:rsidR="00E77F78" w:rsidRPr="00197DF6" w:rsidRDefault="00E77F78" w:rsidP="00E77F78">
      <w:pPr>
        <w:pStyle w:val="SingleTxt"/>
        <w:spacing w:after="0" w:line="120" w:lineRule="exact"/>
        <w:rPr>
          <w:sz w:val="10"/>
          <w:lang w:val="es-ES_tradnl"/>
        </w:rPr>
      </w:pPr>
    </w:p>
    <w:p w14:paraId="70838585" w14:textId="57E5E6EF" w:rsidR="00E77F78" w:rsidRPr="00197DF6" w:rsidRDefault="00E77F78" w:rsidP="001B36AA">
      <w:pPr>
        <w:pStyle w:val="SingleTxt"/>
        <w:numPr>
          <w:ilvl w:val="0"/>
          <w:numId w:val="21"/>
        </w:numPr>
        <w:ind w:left="1267"/>
        <w:rPr>
          <w:lang w:val="es-ES_tradnl"/>
        </w:rPr>
      </w:pPr>
      <w:r w:rsidRPr="00197DF6">
        <w:rPr>
          <w:lang w:val="es-ES_tradnl"/>
        </w:rPr>
        <w:t xml:space="preserve">Se puso en marcha un POE sobre prevención y respuesta a la violencia de género para reforzar el mecanismo institucional y racionalizar los procedimientos de prevención y respuesta a este tipo de violencia. El POE también describe el mecanismo de respuesta multisectorial y las funciones de los actores clave. En 2019 y 2020 se llevó a cabo una formación de formadores junto con el desarrollo de materiales de capacitación sobre el POE de la violencia de género. También se llevó a cabo el análisis de los servicios para establecer una vía de derivación completa y bien coordinada para ofrecer respuesta a las supervivientes de la violencia de género. </w:t>
      </w:r>
    </w:p>
    <w:p w14:paraId="00A63987" w14:textId="29D95609" w:rsidR="00E77F78" w:rsidRPr="00197DF6" w:rsidRDefault="00E77F78" w:rsidP="001B36AA">
      <w:pPr>
        <w:pStyle w:val="SingleTxt"/>
        <w:numPr>
          <w:ilvl w:val="0"/>
          <w:numId w:val="21"/>
        </w:numPr>
        <w:ind w:left="1267"/>
        <w:rPr>
          <w:lang w:val="es-ES_tradnl"/>
        </w:rPr>
      </w:pPr>
      <w:r w:rsidRPr="00197DF6">
        <w:rPr>
          <w:lang w:val="es-ES_tradnl"/>
        </w:rPr>
        <w:t xml:space="preserve">Se elaboró también una directriz para la gestión de casos de violencia de género con el fin de aplicar el POE e institucionalizar la gestión de casos como un servicio esencial contra la violencia de género. Recibieron formación sobre el POE y la gestión de los casos de violencia de género 101 mujeres y 61 hombres, entre los que había oficiales de protección, coordinadores de género e infancia, asesores de RENEW y </w:t>
      </w:r>
      <w:proofErr w:type="spellStart"/>
      <w:r w:rsidRPr="00197DF6">
        <w:rPr>
          <w:lang w:val="es-ES_tradnl"/>
        </w:rPr>
        <w:t>Nazhoen</w:t>
      </w:r>
      <w:proofErr w:type="spellEnd"/>
      <w:r w:rsidRPr="00197DF6">
        <w:rPr>
          <w:lang w:val="es-ES_tradnl"/>
        </w:rPr>
        <w:t xml:space="preserve"> </w:t>
      </w:r>
      <w:proofErr w:type="spellStart"/>
      <w:r w:rsidRPr="00197DF6">
        <w:rPr>
          <w:lang w:val="es-ES_tradnl"/>
        </w:rPr>
        <w:t>Lamtoen</w:t>
      </w:r>
      <w:proofErr w:type="spellEnd"/>
      <w:r w:rsidRPr="00197DF6">
        <w:rPr>
          <w:vertAlign w:val="superscript"/>
          <w:lang w:val="es-ES_tradnl"/>
        </w:rPr>
        <w:footnoteReference w:id="30"/>
      </w:r>
      <w:r w:rsidRPr="00197DF6">
        <w:rPr>
          <w:lang w:val="es-ES_tradnl"/>
        </w:rPr>
        <w:t xml:space="preserve"> y voluntarios seleccionados del Sistema de Apoyo Basado en la Comunidad. Estos oficiales actúan como gestores de casos en varios distritos y garantizan la adecuada prestación de servicios a las supervivientes de la violencia de género. Además, actualmente se imparte capacitación para los proveedores especializados en violencia de género. También se elaboraron y difundieron guías de bolsillo para trabajadores de primera línea y proveedores de servicios especializados, incluidos los gestores de casos.</w:t>
      </w:r>
    </w:p>
    <w:p w14:paraId="03F9AD6A" w14:textId="11C670BD" w:rsidR="00E77F78" w:rsidRPr="00197DF6" w:rsidRDefault="00E77F78" w:rsidP="001B36AA">
      <w:pPr>
        <w:pStyle w:val="SingleTxt"/>
        <w:numPr>
          <w:ilvl w:val="0"/>
          <w:numId w:val="21"/>
        </w:numPr>
        <w:ind w:left="1267"/>
        <w:rPr>
          <w:lang w:val="es-ES_tradnl"/>
        </w:rPr>
      </w:pPr>
      <w:r w:rsidRPr="00197DF6">
        <w:rPr>
          <w:lang w:val="es-ES_tradnl"/>
        </w:rPr>
        <w:t xml:space="preserve">En 2020 se elaboró una directriz para el tratamiento de las supervivientes de violencia sexual y de pareja en los centros de atención primaria de salud con el fin de reforzar la respuesta del sector sanitario a la violencia de género. Se formó a 35 coordinadores forenses de los centros de salud primaria de 8 distritos. Asimismo, para garantizar el acceso a servicios multisectoriales inmediatos, se instituyó un equipo de respuesta telefónica en todos los distritos. También se adoptó un POE para orientar al equipo de respuesta en el cumplimiento de sus responsabilidades de acuerdo con las normas mínimas. </w:t>
      </w:r>
    </w:p>
    <w:p w14:paraId="1C7E65EC" w14:textId="04DFB17F" w:rsidR="00E77F78" w:rsidRPr="00197DF6" w:rsidRDefault="00E77F78" w:rsidP="001B36AA">
      <w:pPr>
        <w:pStyle w:val="SingleTxt"/>
        <w:numPr>
          <w:ilvl w:val="0"/>
          <w:numId w:val="21"/>
        </w:numPr>
        <w:ind w:left="1267"/>
        <w:rPr>
          <w:lang w:val="es-ES_tradnl"/>
        </w:rPr>
      </w:pPr>
      <w:r w:rsidRPr="00197DF6">
        <w:rPr>
          <w:lang w:val="es-ES_tradnl"/>
        </w:rPr>
        <w:t xml:space="preserve">Los POE y las directrices, que se suman a las vías de remisión y la capacitación ofrecida a los gestores de casos, los trabajadores de primera línea y los proveedores de servicios especializados, permiten dar una respuesta multisectorial bien coordinada a las supervivientes de la violencia de género. </w:t>
      </w:r>
    </w:p>
    <w:p w14:paraId="3818C65D" w14:textId="14A8F668" w:rsidR="00E77F78" w:rsidRPr="00197DF6" w:rsidRDefault="00E77F78" w:rsidP="001B36AA">
      <w:pPr>
        <w:pStyle w:val="SingleTxt"/>
        <w:numPr>
          <w:ilvl w:val="0"/>
          <w:numId w:val="21"/>
        </w:numPr>
        <w:ind w:left="1267"/>
        <w:rPr>
          <w:lang w:val="es-ES_tradnl"/>
        </w:rPr>
      </w:pPr>
      <w:r w:rsidRPr="00197DF6">
        <w:rPr>
          <w:lang w:val="es-ES_tradnl"/>
        </w:rPr>
        <w:t xml:space="preserve">RENEW, en colaboración con la Comisión Nacional de la Mujer y el Niño y los asociados para el desarrollo, está poniendo a prueba en tres distritos un “espacio seguro para mujeres y niñas”, con el fin de facilitar el acceso a asesoramiento y otros servicios. Los espacios seguros están gestionados por personal capacitado, compuesto por gestores de espacios seguros y gestores de casos. El proyecto piloto se ampliará tras la evaluación de su impacto. </w:t>
      </w:r>
    </w:p>
    <w:p w14:paraId="297EBE1B" w14:textId="77777777" w:rsidR="00E77F78" w:rsidRPr="00197DF6" w:rsidRDefault="00E77F78" w:rsidP="00E77F78">
      <w:pPr>
        <w:pStyle w:val="SingleTxt"/>
        <w:spacing w:after="0" w:line="120" w:lineRule="exact"/>
        <w:rPr>
          <w:sz w:val="10"/>
          <w:lang w:val="es-ES_tradnl"/>
        </w:rPr>
      </w:pPr>
    </w:p>
    <w:p w14:paraId="7E4FEB92"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Acceso a refugio seguro y servicios de transporte</w:t>
      </w:r>
      <w:r w:rsidRPr="00197DF6">
        <w:rPr>
          <w:lang w:val="es-ES_tradnl"/>
        </w:rPr>
        <w:t xml:space="preserve"> </w:t>
      </w:r>
    </w:p>
    <w:p w14:paraId="5B0D311B" w14:textId="77777777" w:rsidR="00E77F78" w:rsidRPr="00197DF6" w:rsidRDefault="00E77F78" w:rsidP="00E77F78">
      <w:pPr>
        <w:pStyle w:val="SingleTxt"/>
        <w:spacing w:after="0" w:line="120" w:lineRule="exact"/>
        <w:rPr>
          <w:sz w:val="10"/>
          <w:lang w:val="es-ES_tradnl"/>
        </w:rPr>
      </w:pPr>
    </w:p>
    <w:p w14:paraId="2421B665" w14:textId="2D855E69" w:rsidR="00E77F78" w:rsidRPr="00197DF6" w:rsidRDefault="00E77F78" w:rsidP="001B36AA">
      <w:pPr>
        <w:pStyle w:val="SingleTxt"/>
        <w:numPr>
          <w:ilvl w:val="0"/>
          <w:numId w:val="21"/>
        </w:numPr>
        <w:ind w:left="1267"/>
        <w:rPr>
          <w:lang w:val="es-ES_tradnl"/>
        </w:rPr>
      </w:pPr>
      <w:r w:rsidRPr="00197DF6">
        <w:rPr>
          <w:lang w:val="es-ES_tradnl"/>
        </w:rPr>
        <w:t xml:space="preserve">Aunque todavía no se ha llevado a cabo una evaluación específica para establecer la demanda de refugios a nivel nacional, la evaluación de los progresos en la aplicación de la Ley de Prevención de la Violencia Doméstica reveló la existencia de un vacío en los servicios de refugio, especialmente a nivel local. Además, la demanda de servicios de refugio también se estableció a través de la encuesta nacional de violencia contra la mujer y la niña (2017) y la evaluación del impacto de la COVID-19 en las mujeres y los niños (2021). </w:t>
      </w:r>
    </w:p>
    <w:p w14:paraId="3C5F1583" w14:textId="7083B324" w:rsidR="00E77F78" w:rsidRPr="00197DF6" w:rsidRDefault="00E77F78" w:rsidP="001B36AA">
      <w:pPr>
        <w:pStyle w:val="SingleTxt"/>
        <w:numPr>
          <w:ilvl w:val="0"/>
          <w:numId w:val="21"/>
        </w:numPr>
        <w:ind w:left="1267"/>
        <w:rPr>
          <w:lang w:val="es-ES_tradnl"/>
        </w:rPr>
      </w:pPr>
      <w:r w:rsidRPr="00197DF6">
        <w:rPr>
          <w:lang w:val="es-ES_tradnl"/>
        </w:rPr>
        <w:t xml:space="preserve">El refugio </w:t>
      </w:r>
      <w:proofErr w:type="spellStart"/>
      <w:r w:rsidRPr="00197DF6">
        <w:rPr>
          <w:i/>
          <w:iCs/>
          <w:lang w:val="es-ES_tradnl"/>
        </w:rPr>
        <w:t>Gawailing</w:t>
      </w:r>
      <w:proofErr w:type="spellEnd"/>
      <w:r w:rsidRPr="00197DF6">
        <w:rPr>
          <w:i/>
          <w:iCs/>
          <w:lang w:val="es-ES_tradnl"/>
        </w:rPr>
        <w:t xml:space="preserve"> </w:t>
      </w:r>
      <w:proofErr w:type="spellStart"/>
      <w:r w:rsidRPr="00197DF6">
        <w:rPr>
          <w:i/>
          <w:iCs/>
          <w:lang w:val="es-ES_tradnl"/>
        </w:rPr>
        <w:t>Happy</w:t>
      </w:r>
      <w:proofErr w:type="spellEnd"/>
      <w:r w:rsidRPr="00197DF6">
        <w:rPr>
          <w:i/>
          <w:iCs/>
          <w:lang w:val="es-ES_tradnl"/>
        </w:rPr>
        <w:t xml:space="preserve"> Home</w:t>
      </w:r>
      <w:r w:rsidRPr="00197DF6">
        <w:rPr>
          <w:lang w:val="es-ES_tradnl"/>
        </w:rPr>
        <w:t xml:space="preserve"> de Timbu sigue prestando servicios de refugio a supervivientes de la violencia de género. Se beneficiaron de este servicio 921 supervivientes de la violencia de género, incluidas mujeres y niños en circunstancias difíciles, de los cuales 689 son niñas y 107 son mujeres adultas. También se creó un albergue para mujeres para atender las necesidades de las jóvenes. </w:t>
      </w:r>
    </w:p>
    <w:p w14:paraId="26C90DBF" w14:textId="077C537C" w:rsidR="00E77F78" w:rsidRPr="00197DF6" w:rsidRDefault="00E77F78" w:rsidP="001B36AA">
      <w:pPr>
        <w:pStyle w:val="SingleTxt"/>
        <w:numPr>
          <w:ilvl w:val="0"/>
          <w:numId w:val="21"/>
        </w:numPr>
        <w:ind w:left="1267"/>
        <w:rPr>
          <w:lang w:val="es-ES_tradnl"/>
        </w:rPr>
      </w:pPr>
      <w:r w:rsidRPr="00197DF6">
        <w:rPr>
          <w:lang w:val="es-ES_tradnl"/>
        </w:rPr>
        <w:t xml:space="preserve">En 2020 se crearon siete centros de servicios del Equipo de Tareas de Trabajo Multisectorial y el Sistema de Apoyo Basado en la Comunidad. que acogen albergues de tránsito y ofrecen asesoramiento y servicios relacionados. Los centros de servicios los gestionan voluntarios formados del mencionado sistema de apoyo bajo la supervisión general de la secretaría de RENEW y la secretaría de miembros del equipo de tareas. También se ha establecido un POE para la gestión de estos centros, con el fin de garantizar el buen funcionamiento, la gestión y el seguimiento de estos servicios. </w:t>
      </w:r>
    </w:p>
    <w:p w14:paraId="0A2112FC" w14:textId="479B62A3" w:rsidR="00E77F78" w:rsidRPr="00197DF6" w:rsidRDefault="00E77F78" w:rsidP="001B36AA">
      <w:pPr>
        <w:pStyle w:val="SingleTxt"/>
        <w:numPr>
          <w:ilvl w:val="0"/>
          <w:numId w:val="21"/>
        </w:numPr>
        <w:ind w:left="1267"/>
        <w:rPr>
          <w:lang w:val="es-ES_tradnl"/>
        </w:rPr>
      </w:pPr>
      <w:r w:rsidRPr="00197DF6">
        <w:rPr>
          <w:lang w:val="es-ES_tradnl"/>
        </w:rPr>
        <w:t xml:space="preserve">Los refugios temporales establecidos en todo el país durante la COVID-19 bajo el mando de Su Majestad </w:t>
      </w:r>
      <w:proofErr w:type="spellStart"/>
      <w:r w:rsidRPr="00197DF6">
        <w:rPr>
          <w:lang w:val="es-ES_tradnl"/>
        </w:rPr>
        <w:t>Gyaltsuen</w:t>
      </w:r>
      <w:proofErr w:type="spellEnd"/>
      <w:r w:rsidRPr="00197DF6">
        <w:rPr>
          <w:lang w:val="es-ES_tradnl"/>
        </w:rPr>
        <w:t xml:space="preserve"> contribuyeron en gran medida a dar solución los problemas relacionados con el acceso al refugio, el apoyo psicológico y el transporte seguro a los que se enfrentan las supervivientes de la violencia de género. </w:t>
      </w:r>
    </w:p>
    <w:p w14:paraId="31E202AC" w14:textId="77777777" w:rsidR="00E77F78" w:rsidRPr="00197DF6" w:rsidRDefault="00E77F78" w:rsidP="00E77F78">
      <w:pPr>
        <w:pStyle w:val="SingleTxt"/>
        <w:spacing w:after="0" w:line="120" w:lineRule="exact"/>
        <w:rPr>
          <w:sz w:val="10"/>
          <w:lang w:val="es-ES_tradnl"/>
        </w:rPr>
      </w:pPr>
    </w:p>
    <w:p w14:paraId="468D5202"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rPr>
          <w:lang w:val="es-ES_tradnl"/>
        </w:rPr>
      </w:pPr>
      <w:r w:rsidRPr="00197DF6">
        <w:rPr>
          <w:lang w:val="es-ES_tradnl"/>
        </w:rPr>
        <w:tab/>
      </w:r>
      <w:r w:rsidRPr="00197DF6">
        <w:rPr>
          <w:lang w:val="es-ES_tradnl"/>
        </w:rPr>
        <w:tab/>
      </w:r>
      <w:r w:rsidRPr="00197DF6">
        <w:rPr>
          <w:bCs/>
          <w:lang w:val="es-ES_tradnl"/>
        </w:rPr>
        <w:t>Castigo corporal</w:t>
      </w:r>
    </w:p>
    <w:p w14:paraId="368FE22E" w14:textId="77777777" w:rsidR="00E77F78" w:rsidRPr="00197DF6" w:rsidRDefault="00E77F78" w:rsidP="00E77F78">
      <w:pPr>
        <w:pStyle w:val="SingleTxt"/>
        <w:keepNext/>
        <w:spacing w:after="0" w:line="120" w:lineRule="exact"/>
        <w:ind w:left="1264" w:right="1264"/>
        <w:rPr>
          <w:sz w:val="10"/>
          <w:lang w:val="es-ES_tradnl"/>
        </w:rPr>
      </w:pPr>
    </w:p>
    <w:p w14:paraId="48E4D52E" w14:textId="19686092" w:rsidR="00E77F78" w:rsidRPr="00197DF6" w:rsidRDefault="00E77F78" w:rsidP="001B36AA">
      <w:pPr>
        <w:pStyle w:val="SingleTxt"/>
        <w:numPr>
          <w:ilvl w:val="0"/>
          <w:numId w:val="21"/>
        </w:numPr>
        <w:ind w:left="1267"/>
        <w:rPr>
          <w:lang w:val="es-ES_tradnl"/>
        </w:rPr>
      </w:pPr>
      <w:r w:rsidRPr="00197DF6">
        <w:rPr>
          <w:lang w:val="es-ES_tradnl"/>
        </w:rPr>
        <w:t xml:space="preserve">Actualmente se está aplicando un modelo de crianza para la primera infancia con un enfoque temático para abordar las necesidades de salud, aprendizaje y protección de los niños pequeños. Reconoce el papel de los progenitores en la mejora del bienestar y el desarrollo de los niños. Mediante la aplicación de este modelo, los progenitores entablan diálogos que les permiten compartir sus experiencias y apoyarse mutuamente. Además, todos los años se celebra el mes de abril como el “mes de la crianza”, durante el cual los orientadores escolares y la División de Educación y Asesoramiento Profesional organizan una serie de programas para abogar por una parentalidad positiva. </w:t>
      </w:r>
    </w:p>
    <w:p w14:paraId="0DD310B8" w14:textId="544D939C" w:rsidR="00E77F78" w:rsidRPr="00197DF6" w:rsidRDefault="00E77F78" w:rsidP="001B36AA">
      <w:pPr>
        <w:pStyle w:val="SingleTxt"/>
        <w:numPr>
          <w:ilvl w:val="0"/>
          <w:numId w:val="21"/>
        </w:numPr>
        <w:ind w:left="1267"/>
        <w:rPr>
          <w:lang w:val="es-ES_tradnl"/>
        </w:rPr>
      </w:pPr>
      <w:r w:rsidRPr="00197DF6">
        <w:rPr>
          <w:lang w:val="es-ES_tradnl"/>
        </w:rPr>
        <w:t xml:space="preserve">El proyecto de Política Nacional de la Infancia establece un marco político específico para prohibir todas las formas de abuso y violencia contra los niños. Incluye la eliminación del castigo corporal en todos los ámbitos y promueve la disciplina positiva. Aunque se sigue debatiendo la modificación del artículo 109 del Código Penal de </w:t>
      </w:r>
      <w:proofErr w:type="spellStart"/>
      <w:r w:rsidRPr="00197DF6">
        <w:rPr>
          <w:lang w:val="es-ES_tradnl"/>
        </w:rPr>
        <w:t>Bhután</w:t>
      </w:r>
      <w:proofErr w:type="spellEnd"/>
      <w:r w:rsidRPr="00197DF6">
        <w:rPr>
          <w:lang w:val="es-ES_tradnl"/>
        </w:rPr>
        <w:t xml:space="preserve"> de 2004, se espera que la aprobación de la política, junto con las intervenciones en materia de parentalidad positiva y disciplina, reduzca la prevalencia del castigo corporal. </w:t>
      </w:r>
    </w:p>
    <w:p w14:paraId="75350F80" w14:textId="77777777" w:rsidR="00E77F78" w:rsidRPr="00197DF6" w:rsidRDefault="00E77F78" w:rsidP="00E77F78">
      <w:pPr>
        <w:pStyle w:val="SingleTxt"/>
        <w:spacing w:after="0" w:line="120" w:lineRule="exact"/>
        <w:rPr>
          <w:sz w:val="10"/>
          <w:lang w:val="es-ES_tradnl"/>
        </w:rPr>
      </w:pPr>
    </w:p>
    <w:p w14:paraId="0FA0853C"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Ley integral sobre la violencia de género</w:t>
      </w:r>
    </w:p>
    <w:p w14:paraId="1C23F949" w14:textId="77777777" w:rsidR="00E77F78" w:rsidRPr="00197DF6" w:rsidRDefault="00E77F78" w:rsidP="00E77F78">
      <w:pPr>
        <w:pStyle w:val="SingleTxt"/>
        <w:spacing w:after="0" w:line="120" w:lineRule="exact"/>
        <w:rPr>
          <w:sz w:val="10"/>
          <w:lang w:val="es-ES_tradnl"/>
        </w:rPr>
      </w:pPr>
    </w:p>
    <w:p w14:paraId="2B1F189F" w14:textId="42880028" w:rsidR="00E77F78" w:rsidRPr="00197DF6" w:rsidRDefault="00E77F78" w:rsidP="001B36AA">
      <w:pPr>
        <w:pStyle w:val="SingleTxt"/>
        <w:numPr>
          <w:ilvl w:val="0"/>
          <w:numId w:val="21"/>
        </w:numPr>
        <w:ind w:left="1267"/>
        <w:rPr>
          <w:i/>
          <w:lang w:val="es-ES_tradnl"/>
        </w:rPr>
      </w:pPr>
      <w:r w:rsidRPr="00197DF6">
        <w:rPr>
          <w:lang w:val="es-ES_tradnl"/>
        </w:rPr>
        <w:t xml:space="preserve">Como se informó en respuesta a la lista de cuestiones del párrafo 2, en función del estado de aplicación y los desafíos de la Política Nacional de Igualdad de Género y la Ley de Prevención de la Violencia Doméstica, se llevará a cabo una evaluación exhaustiva de las necesidades de una ley sobre la violencia de género. </w:t>
      </w:r>
    </w:p>
    <w:p w14:paraId="630060F4" w14:textId="77777777" w:rsidR="00E77F78" w:rsidRPr="00197DF6" w:rsidRDefault="00E77F78" w:rsidP="00E77F78">
      <w:pPr>
        <w:pStyle w:val="SingleTxt"/>
        <w:spacing w:after="0" w:line="120" w:lineRule="exact"/>
        <w:rPr>
          <w:sz w:val="10"/>
          <w:lang w:val="es-ES_tradnl"/>
        </w:rPr>
      </w:pPr>
    </w:p>
    <w:p w14:paraId="20945EA3"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Prevalencia de la violencia de género durante la pandemia de COVID-19</w:t>
      </w:r>
    </w:p>
    <w:p w14:paraId="76FF5F90" w14:textId="77777777" w:rsidR="00E77F78" w:rsidRPr="00197DF6" w:rsidRDefault="00E77F78" w:rsidP="00E77F78">
      <w:pPr>
        <w:pStyle w:val="SingleTxt"/>
        <w:spacing w:after="0" w:line="120" w:lineRule="exact"/>
        <w:rPr>
          <w:sz w:val="10"/>
          <w:lang w:val="es-ES_tradnl"/>
        </w:rPr>
      </w:pPr>
    </w:p>
    <w:p w14:paraId="3E021B09" w14:textId="1F6B03F4" w:rsidR="00E77F78" w:rsidRPr="00197DF6" w:rsidRDefault="00E77F78" w:rsidP="001B36AA">
      <w:pPr>
        <w:pStyle w:val="SingleTxt"/>
        <w:numPr>
          <w:ilvl w:val="0"/>
          <w:numId w:val="22"/>
        </w:numPr>
        <w:tabs>
          <w:tab w:val="clear" w:pos="475"/>
          <w:tab w:val="right" w:pos="1022"/>
        </w:tabs>
        <w:ind w:left="1267" w:right="1260"/>
        <w:rPr>
          <w:lang w:val="es-ES_tradnl"/>
        </w:rPr>
      </w:pPr>
      <w:r w:rsidRPr="00197DF6">
        <w:rPr>
          <w:lang w:val="es-ES_tradnl"/>
        </w:rPr>
        <w:t xml:space="preserve">Según la evaluación del impacto de la COVID-19 sobre las mujeres y los niños, el 6 % de los adultos encuestados declararon haber sufrido violencia de género, la mayoría de ellos violencia emocional. Se constató que la proporción de mujeres víctimas de violencia era ligeramente superior a la de los hombres. Los casos notificados a diversos proveedores de servicios también experimentaron un aumento durante la pandemia. </w:t>
      </w:r>
    </w:p>
    <w:p w14:paraId="71D40EB2" w14:textId="6783606F" w:rsidR="00E77F78" w:rsidRPr="00197DF6" w:rsidRDefault="00E77F78" w:rsidP="001B36AA">
      <w:pPr>
        <w:pStyle w:val="SingleTxt"/>
        <w:numPr>
          <w:ilvl w:val="0"/>
          <w:numId w:val="22"/>
        </w:numPr>
        <w:ind w:left="1267"/>
        <w:rPr>
          <w:lang w:val="es-ES_tradnl"/>
        </w:rPr>
      </w:pPr>
      <w:r w:rsidRPr="00197DF6">
        <w:rPr>
          <w:lang w:val="es-ES_tradnl"/>
        </w:rPr>
        <w:t xml:space="preserve">Los casos a pequeña escala son enjuiciados por la Policía Real de </w:t>
      </w:r>
      <w:proofErr w:type="spellStart"/>
      <w:r w:rsidRPr="00197DF6">
        <w:rPr>
          <w:lang w:val="es-ES_tradnl"/>
        </w:rPr>
        <w:t>Bhután</w:t>
      </w:r>
      <w:proofErr w:type="spellEnd"/>
      <w:r w:rsidRPr="00197DF6">
        <w:rPr>
          <w:lang w:val="es-ES_tradnl"/>
        </w:rPr>
        <w:t xml:space="preserve">, y solo los que se consideran delito menor o superiores son procesados por la Oficina del </w:t>
      </w:r>
      <w:proofErr w:type="gramStart"/>
      <w:r w:rsidRPr="00197DF6">
        <w:rPr>
          <w:lang w:val="es-ES_tradnl"/>
        </w:rPr>
        <w:t>Fiscal General</w:t>
      </w:r>
      <w:proofErr w:type="gramEnd"/>
      <w:r w:rsidRPr="00197DF6">
        <w:rPr>
          <w:lang w:val="es-ES_tradnl"/>
        </w:rPr>
        <w:t xml:space="preserve">. La Oficina ha enjuiciado un total de 21 casos de violencia doméstica entre 2019 y 2021, y 22 casos de violencia de género contra la mujer fuera de la pareja entre 2019 y 2022. Asimismo, la Policía Real ha procesado 313 casos de violencia de pareja entre marzo de 2019 y febrero de 2022. </w:t>
      </w:r>
    </w:p>
    <w:p w14:paraId="6F44A81D" w14:textId="77777777" w:rsidR="00E77F78" w:rsidRPr="00197DF6" w:rsidRDefault="00E77F78" w:rsidP="00E77F78">
      <w:pPr>
        <w:pStyle w:val="SingleTxt"/>
        <w:spacing w:after="0" w:line="120" w:lineRule="exact"/>
        <w:rPr>
          <w:sz w:val="10"/>
          <w:lang w:val="es-ES_tradnl"/>
        </w:rPr>
      </w:pPr>
    </w:p>
    <w:p w14:paraId="37F25EA4"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Asistencia jurídica a las supervivientes que solicitan protección provisional/órdenes de protección</w:t>
      </w:r>
      <w:r w:rsidRPr="00197DF6">
        <w:rPr>
          <w:lang w:val="es-ES_tradnl"/>
        </w:rPr>
        <w:t xml:space="preserve"> </w:t>
      </w:r>
    </w:p>
    <w:p w14:paraId="68258807" w14:textId="77777777" w:rsidR="00E77F78" w:rsidRPr="00197DF6" w:rsidRDefault="00E77F78" w:rsidP="00E77F78">
      <w:pPr>
        <w:pStyle w:val="SingleTxt"/>
        <w:spacing w:after="0" w:line="120" w:lineRule="exact"/>
        <w:rPr>
          <w:sz w:val="10"/>
          <w:lang w:val="es-ES_tradnl"/>
        </w:rPr>
      </w:pPr>
    </w:p>
    <w:p w14:paraId="02E05534" w14:textId="26C2B46C" w:rsidR="00E77F78" w:rsidRPr="00197DF6" w:rsidRDefault="00E77F78" w:rsidP="001B36AA">
      <w:pPr>
        <w:pStyle w:val="SingleTxt"/>
        <w:numPr>
          <w:ilvl w:val="0"/>
          <w:numId w:val="22"/>
        </w:numPr>
        <w:ind w:left="1267"/>
        <w:rPr>
          <w:lang w:val="es-ES_tradnl"/>
        </w:rPr>
      </w:pPr>
      <w:r w:rsidRPr="00197DF6">
        <w:rPr>
          <w:lang w:val="es-ES_tradnl"/>
        </w:rPr>
        <w:t xml:space="preserve">Además de la asistencia jurídica para las supervivientes de las intervenciones de violencia de género de las que se informa en respuesta a la lista de cuestiones del párrafo 4, aquellas supervivientes que requieren órdenes de protección reciben el apoyo de los gestores de casos para buscar asistencia jurídica de los proveedores de servicios pertinentes. La asistencia y los servicios jurídicos también están disponibles a nivel local a través de los coordinadores de género e infancia, que son principalmente oficiales jurídicos. Además, se están realizando esfuerzos para integrar la aplicación de protección provisional/órdenes de protección en la plataforma </w:t>
      </w:r>
      <w:proofErr w:type="spellStart"/>
      <w:r w:rsidRPr="00197DF6">
        <w:rPr>
          <w:lang w:val="es-ES_tradnl"/>
        </w:rPr>
        <w:t>eLitigation</w:t>
      </w:r>
      <w:proofErr w:type="spellEnd"/>
      <w:r w:rsidRPr="00197DF6">
        <w:rPr>
          <w:lang w:val="es-ES_tradnl"/>
        </w:rPr>
        <w:t xml:space="preserve"> en colaboración con el Tribunal Real de Justicia. </w:t>
      </w:r>
    </w:p>
    <w:p w14:paraId="73316B80" w14:textId="16904C68" w:rsidR="00E77F78" w:rsidRPr="00197DF6" w:rsidRDefault="00E77F78" w:rsidP="001B36AA">
      <w:pPr>
        <w:pStyle w:val="SingleTxt"/>
        <w:numPr>
          <w:ilvl w:val="0"/>
          <w:numId w:val="22"/>
        </w:numPr>
        <w:ind w:left="1267"/>
        <w:rPr>
          <w:lang w:val="es-ES_tradnl"/>
        </w:rPr>
      </w:pPr>
      <w:r w:rsidRPr="00197DF6">
        <w:rPr>
          <w:lang w:val="es-ES_tradnl"/>
        </w:rPr>
        <w:t xml:space="preserve">Para supervisar y garantizar la aplicación de la protección provisional/órdenes de protección, el Tribunal Real de Justicia comparte la copia de estas órdenes con los responsables de protección de la Comisión Nacional de la Mujer y el Niño en los casos en que se considera necesario. </w:t>
      </w:r>
    </w:p>
    <w:p w14:paraId="49F615DF" w14:textId="77777777" w:rsidR="00E77F78" w:rsidRPr="00197DF6" w:rsidRDefault="00E77F78" w:rsidP="00E77F78">
      <w:pPr>
        <w:pStyle w:val="SingleTxt"/>
        <w:spacing w:after="0" w:line="120" w:lineRule="exact"/>
        <w:rPr>
          <w:sz w:val="10"/>
          <w:lang w:val="es-ES_tradnl"/>
        </w:rPr>
      </w:pPr>
    </w:p>
    <w:p w14:paraId="00B1ED0C"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Medidas para eliminar la aceptación social de la violencia de género</w:t>
      </w:r>
      <w:r w:rsidRPr="00197DF6">
        <w:rPr>
          <w:lang w:val="es-ES_tradnl"/>
        </w:rPr>
        <w:t xml:space="preserve"> </w:t>
      </w:r>
    </w:p>
    <w:p w14:paraId="44DFA174" w14:textId="77777777" w:rsidR="00E77F78" w:rsidRPr="00197DF6" w:rsidRDefault="00E77F78" w:rsidP="00E77F78">
      <w:pPr>
        <w:pStyle w:val="SingleTxt"/>
        <w:spacing w:after="0" w:line="120" w:lineRule="exact"/>
        <w:rPr>
          <w:sz w:val="10"/>
          <w:lang w:val="es-ES_tradnl"/>
        </w:rPr>
      </w:pPr>
    </w:p>
    <w:p w14:paraId="5241AC8B" w14:textId="30A6FE5A" w:rsidR="00E77F78" w:rsidRPr="00197DF6" w:rsidRDefault="00E77F78" w:rsidP="001B36AA">
      <w:pPr>
        <w:pStyle w:val="SingleTxt"/>
        <w:numPr>
          <w:ilvl w:val="0"/>
          <w:numId w:val="22"/>
        </w:numPr>
        <w:ind w:left="1267"/>
        <w:rPr>
          <w:i/>
          <w:lang w:val="es-ES_tradnl"/>
        </w:rPr>
      </w:pPr>
      <w:r w:rsidRPr="00197DF6">
        <w:rPr>
          <w:lang w:val="es-ES_tradnl"/>
        </w:rPr>
        <w:t xml:space="preserve">Además de las iniciativas comunicadas en respuesta a la lista de cuestiones de los párrafos 5 y 7, la campaña #HeforShe fue otra iniciativa para implicar a hombres y niños en la prevención de la violencia de género. </w:t>
      </w:r>
    </w:p>
    <w:p w14:paraId="3C8527CA" w14:textId="11788D67" w:rsidR="00E77F78" w:rsidRPr="00197DF6" w:rsidRDefault="00E77F78" w:rsidP="001B36AA">
      <w:pPr>
        <w:pStyle w:val="SingleTxt"/>
        <w:numPr>
          <w:ilvl w:val="0"/>
          <w:numId w:val="22"/>
        </w:numPr>
        <w:ind w:left="1267"/>
        <w:rPr>
          <w:i/>
          <w:lang w:val="es-ES_tradnl"/>
        </w:rPr>
      </w:pPr>
      <w:r w:rsidRPr="00197DF6">
        <w:rPr>
          <w:lang w:val="es-ES_tradnl"/>
        </w:rPr>
        <w:t>La Comisión Nacional de la Mujer y el Niño y RENEW llevan a cabo periódicamente programas de sensibilización sobre género, violencia de género y salud sexual y reproductiva dirigidos al público en general y a las escuelas, con el fin de eliminar la aceptación social de la violencia dentro de las estructuras familiares y comunitarias. Por ejemplo, más de 20 escuelas participaron en un programa de concienciación en 2017. En 2018 también se llevaron a cabo talleres de promoción sobre la violencia de género y otros temas relacionados para los presidentes de 20</w:t>
      </w:r>
      <w:r w:rsidRPr="00197DF6">
        <w:rPr>
          <w:i/>
          <w:iCs/>
          <w:lang w:val="es-ES_tradnl"/>
        </w:rPr>
        <w:t xml:space="preserve"> </w:t>
      </w:r>
      <w:proofErr w:type="spellStart"/>
      <w:r w:rsidRPr="00197DF6">
        <w:rPr>
          <w:i/>
          <w:iCs/>
          <w:lang w:val="es-ES_tradnl"/>
        </w:rPr>
        <w:t>dzongkhag</w:t>
      </w:r>
      <w:proofErr w:type="spellEnd"/>
      <w:r w:rsidRPr="00197DF6">
        <w:rPr>
          <w:i/>
          <w:iCs/>
          <w:lang w:val="es-ES_tradnl"/>
        </w:rPr>
        <w:t xml:space="preserve"> </w:t>
      </w:r>
      <w:proofErr w:type="spellStart"/>
      <w:r w:rsidRPr="00197DF6">
        <w:rPr>
          <w:i/>
          <w:iCs/>
          <w:lang w:val="es-ES_tradnl"/>
        </w:rPr>
        <w:t>tshogdues</w:t>
      </w:r>
      <w:proofErr w:type="spellEnd"/>
      <w:r w:rsidRPr="00197DF6">
        <w:rPr>
          <w:vertAlign w:val="superscript"/>
          <w:lang w:val="es-ES_tradnl"/>
        </w:rPr>
        <w:footnoteReference w:id="31"/>
      </w:r>
      <w:r w:rsidRPr="00197DF6">
        <w:rPr>
          <w:lang w:val="es-ES_tradnl"/>
        </w:rPr>
        <w:t xml:space="preserve"> y 30 líderes religiosos. Se debatieron una serie de cuestiones y retos para hacer frente a la violencia de género en sus respectivas comunidades, y también se elaboró un plan de acción para su aplicación. </w:t>
      </w:r>
    </w:p>
    <w:p w14:paraId="5B543B4F" w14:textId="77777777" w:rsidR="00E77F78" w:rsidRPr="00197DF6" w:rsidRDefault="00E77F78" w:rsidP="00E77F78">
      <w:pPr>
        <w:pStyle w:val="SingleTxt"/>
        <w:spacing w:after="0" w:line="120" w:lineRule="exact"/>
        <w:rPr>
          <w:sz w:val="10"/>
          <w:lang w:val="es-ES_tradnl"/>
        </w:rPr>
      </w:pPr>
    </w:p>
    <w:p w14:paraId="4974381D" w14:textId="77777777" w:rsidR="00E77F78" w:rsidRPr="00197DF6" w:rsidRDefault="00E77F78" w:rsidP="00B942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s-ES_tradnl"/>
        </w:rPr>
      </w:pPr>
      <w:r w:rsidRPr="00197DF6">
        <w:rPr>
          <w:lang w:val="es-ES_tradnl"/>
        </w:rPr>
        <w:tab/>
      </w:r>
      <w:r w:rsidRPr="00197DF6">
        <w:rPr>
          <w:lang w:val="es-ES_tradnl"/>
        </w:rPr>
        <w:tab/>
      </w:r>
      <w:r w:rsidRPr="00197DF6">
        <w:rPr>
          <w:bCs/>
          <w:lang w:val="es-ES_tradnl"/>
        </w:rPr>
        <w:t>Programas de sensibilización para la judicatura y los organismos encargados de hacer cumplir la ley</w:t>
      </w:r>
      <w:r w:rsidRPr="00197DF6">
        <w:rPr>
          <w:lang w:val="es-ES_tradnl"/>
        </w:rPr>
        <w:t xml:space="preserve"> </w:t>
      </w:r>
    </w:p>
    <w:p w14:paraId="0A999864" w14:textId="77777777" w:rsidR="00E77F78" w:rsidRPr="00197DF6" w:rsidRDefault="00E77F78" w:rsidP="00E77F78">
      <w:pPr>
        <w:pStyle w:val="SingleTxt"/>
        <w:spacing w:after="0" w:line="120" w:lineRule="exact"/>
        <w:rPr>
          <w:sz w:val="10"/>
          <w:lang w:val="es-ES_tradnl"/>
        </w:rPr>
      </w:pPr>
    </w:p>
    <w:p w14:paraId="4177DE5D" w14:textId="5FC56922" w:rsidR="00E77F78" w:rsidRPr="00197DF6" w:rsidRDefault="00E77F78" w:rsidP="001B36AA">
      <w:pPr>
        <w:pStyle w:val="SingleTxt"/>
        <w:numPr>
          <w:ilvl w:val="0"/>
          <w:numId w:val="23"/>
        </w:numPr>
        <w:tabs>
          <w:tab w:val="clear" w:pos="475"/>
          <w:tab w:val="right" w:pos="1022"/>
        </w:tabs>
        <w:ind w:left="1267" w:right="1260"/>
        <w:rPr>
          <w:i/>
          <w:lang w:val="es-ES_tradnl"/>
        </w:rPr>
      </w:pPr>
      <w:r w:rsidRPr="00197DF6">
        <w:rPr>
          <w:lang w:val="es-ES_tradnl"/>
        </w:rPr>
        <w:t xml:space="preserve">La Comisión Nacional de la Mujer y el Niño y RENEW impartieron formación sobre POE en materia de violencia de género, identificación precoz y derivación segura a los representantes de la Policía Real de </w:t>
      </w:r>
      <w:proofErr w:type="spellStart"/>
      <w:r w:rsidRPr="00197DF6">
        <w:rPr>
          <w:lang w:val="es-ES_tradnl"/>
        </w:rPr>
        <w:t>Bhután</w:t>
      </w:r>
      <w:proofErr w:type="spellEnd"/>
      <w:r w:rsidRPr="00197DF6">
        <w:rPr>
          <w:lang w:val="es-ES_tradnl"/>
        </w:rPr>
        <w:t xml:space="preserve"> y el Tribunal Real de Justicia de todos los distritos. Además del POE, la formación también se centró en los estereotipos y prejuicios de género, y en conceptos clave de la violencia de género. Además, se ha incluido a representantes del Tribunal Real de Justicia y de la Policía Real de </w:t>
      </w:r>
      <w:proofErr w:type="spellStart"/>
      <w:r w:rsidRPr="00197DF6">
        <w:rPr>
          <w:lang w:val="es-ES_tradnl"/>
        </w:rPr>
        <w:t>Bhután</w:t>
      </w:r>
      <w:proofErr w:type="spellEnd"/>
      <w:r w:rsidRPr="00197DF6">
        <w:rPr>
          <w:lang w:val="es-ES_tradnl"/>
        </w:rPr>
        <w:t xml:space="preserve"> como formadores principales de los POE en materia de violencia de género para institucionalizar el fomento de la capacidad en estas esferas. </w:t>
      </w:r>
    </w:p>
    <w:p w14:paraId="2E9A6BCE" w14:textId="335F2D4C" w:rsidR="00E77F78" w:rsidRPr="00197DF6" w:rsidRDefault="00E77F78" w:rsidP="001B36AA">
      <w:pPr>
        <w:pStyle w:val="SingleTxt"/>
        <w:numPr>
          <w:ilvl w:val="0"/>
          <w:numId w:val="23"/>
        </w:numPr>
        <w:ind w:left="1267"/>
        <w:rPr>
          <w:lang w:val="es-ES_tradnl"/>
        </w:rPr>
      </w:pPr>
      <w:r w:rsidRPr="00197DF6">
        <w:rPr>
          <w:lang w:val="es-ES_tradnl"/>
        </w:rPr>
        <w:t xml:space="preserve">El Instituto Jurídico Nacional de </w:t>
      </w:r>
      <w:proofErr w:type="spellStart"/>
      <w:r w:rsidRPr="00197DF6">
        <w:rPr>
          <w:lang w:val="es-ES_tradnl"/>
        </w:rPr>
        <w:t>Bhután</w:t>
      </w:r>
      <w:proofErr w:type="spellEnd"/>
      <w:r w:rsidRPr="00197DF6">
        <w:rPr>
          <w:lang w:val="es-ES_tradnl"/>
        </w:rPr>
        <w:t xml:space="preserve"> lleva a cabo programas anuales de orientación y capacitación para jueces y secretarios sobre legislación y procedimientos judiciales relacionados con las mujeres y los niños. </w:t>
      </w:r>
    </w:p>
    <w:p w14:paraId="75268564" w14:textId="77777777" w:rsidR="00E77F78" w:rsidRPr="00197DF6" w:rsidRDefault="00E77F78" w:rsidP="00E77F78">
      <w:pPr>
        <w:pStyle w:val="SingleTxt"/>
        <w:spacing w:after="0" w:line="120" w:lineRule="exact"/>
        <w:rPr>
          <w:sz w:val="10"/>
          <w:lang w:val="es-ES_tradnl"/>
        </w:rPr>
      </w:pPr>
      <w:bookmarkStart w:id="9" w:name="_Toc107670425"/>
    </w:p>
    <w:p w14:paraId="61D83913" w14:textId="77777777" w:rsidR="00E77F78" w:rsidRPr="00197DF6" w:rsidRDefault="00E77F78" w:rsidP="00E77F78">
      <w:pPr>
        <w:pStyle w:val="SingleTxt"/>
        <w:spacing w:after="0" w:line="120" w:lineRule="exact"/>
        <w:rPr>
          <w:sz w:val="10"/>
          <w:lang w:val="es-ES_tradnl"/>
        </w:rPr>
      </w:pPr>
    </w:p>
    <w:p w14:paraId="3F126F89" w14:textId="77777777" w:rsidR="00E77F78" w:rsidRPr="00197DF6" w:rsidRDefault="00E77F78" w:rsidP="00B942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t>Trata y explotación de la prostitución (respuesta a los párrafos 11 y 12)</w:t>
      </w:r>
      <w:bookmarkEnd w:id="9"/>
    </w:p>
    <w:p w14:paraId="414DA83F" w14:textId="77777777" w:rsidR="00E77F78" w:rsidRPr="00197DF6" w:rsidRDefault="00E77F78" w:rsidP="00E77F78">
      <w:pPr>
        <w:pStyle w:val="SingleTxt"/>
        <w:spacing w:after="0" w:line="120" w:lineRule="exact"/>
        <w:rPr>
          <w:sz w:val="10"/>
          <w:lang w:val="es-ES_tradnl"/>
        </w:rPr>
      </w:pPr>
    </w:p>
    <w:p w14:paraId="5B3C4BAE" w14:textId="77777777" w:rsidR="00E77F78" w:rsidRPr="00197DF6" w:rsidRDefault="00E77F78" w:rsidP="00E77F78">
      <w:pPr>
        <w:pStyle w:val="SingleTxt"/>
        <w:spacing w:after="0" w:line="120" w:lineRule="exact"/>
        <w:rPr>
          <w:sz w:val="10"/>
          <w:lang w:val="es-ES_tradnl"/>
        </w:rPr>
      </w:pPr>
    </w:p>
    <w:p w14:paraId="33304766"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Estrategia nacional de prevención y POE para la respuesta multisectorial</w:t>
      </w:r>
    </w:p>
    <w:p w14:paraId="7044B62C" w14:textId="77777777" w:rsidR="00E77F78" w:rsidRPr="00197DF6" w:rsidRDefault="00E77F78" w:rsidP="00E77F78">
      <w:pPr>
        <w:pStyle w:val="SingleTxt"/>
        <w:spacing w:after="0" w:line="120" w:lineRule="exact"/>
        <w:rPr>
          <w:sz w:val="10"/>
          <w:lang w:val="es-ES_tradnl"/>
        </w:rPr>
      </w:pPr>
    </w:p>
    <w:p w14:paraId="170D99DE" w14:textId="09366A96" w:rsidR="00E77F78" w:rsidRPr="00197DF6" w:rsidRDefault="00E77F78" w:rsidP="001B36AA">
      <w:pPr>
        <w:pStyle w:val="SingleTxt"/>
        <w:numPr>
          <w:ilvl w:val="0"/>
          <w:numId w:val="24"/>
        </w:numPr>
        <w:tabs>
          <w:tab w:val="clear" w:pos="475"/>
          <w:tab w:val="right" w:pos="1022"/>
        </w:tabs>
        <w:ind w:left="1267" w:right="1260"/>
        <w:rPr>
          <w:lang w:val="es-ES_tradnl"/>
        </w:rPr>
      </w:pPr>
      <w:r w:rsidRPr="00197DF6">
        <w:rPr>
          <w:lang w:val="es-ES_tradnl"/>
        </w:rPr>
        <w:t>El POE sobre la respuesta multisectorial a la trata de personas se finalizó y aprobó en 2019 para su aplicación. El POE es un paso importante hacia la instauración de un mecanismo sistemático para abordar la trata de personas. Esboza procedimientos específicos para la identificación y derivación de supervivientes. Se formó un equipo de tareas especial con representantes de los organismos pertinentes, entre ellos la Comisión Nacional de la Mujer y el Niño y RENEW, para brindar apoyo a la aplicación del POE y mejorar la coordinación entre los organismos. El equipo de tareas también es responsable de la elaboración y revisión de planes e intervenciones en materia de trata de personas.</w:t>
      </w:r>
    </w:p>
    <w:p w14:paraId="7FD49211" w14:textId="07A3C51A" w:rsidR="00E77F78" w:rsidRPr="00197DF6" w:rsidRDefault="00E77F78" w:rsidP="001B36AA">
      <w:pPr>
        <w:pStyle w:val="SingleTxt"/>
        <w:numPr>
          <w:ilvl w:val="0"/>
          <w:numId w:val="24"/>
        </w:numPr>
        <w:tabs>
          <w:tab w:val="num" w:pos="2804"/>
        </w:tabs>
        <w:ind w:left="1267"/>
        <w:rPr>
          <w:lang w:val="es-ES_tradnl"/>
        </w:rPr>
      </w:pPr>
      <w:r w:rsidRPr="00197DF6">
        <w:rPr>
          <w:lang w:val="es-ES_tradnl"/>
        </w:rPr>
        <w:t xml:space="preserve">La Estrategia Nacional de Prevención y Respuesta se puso en marcha en 2022 con el fin de mejorar la coordinación bilateral, regional y multilateral para una prevención, protección y repatriación eficaces de los supervivientes de la trata de personas. La estrategia también va acompañada de un plan de acción con las intervenciones que deben llevar a cabo los organismos pertinentes en los próximos tres años. </w:t>
      </w:r>
    </w:p>
    <w:p w14:paraId="18F48DC4" w14:textId="77777777" w:rsidR="00E77F78" w:rsidRPr="00197DF6" w:rsidRDefault="00E77F78" w:rsidP="00E77F78">
      <w:pPr>
        <w:pStyle w:val="SingleTxt"/>
        <w:spacing w:after="0" w:line="120" w:lineRule="exact"/>
        <w:rPr>
          <w:sz w:val="10"/>
          <w:lang w:val="es-ES_tradnl"/>
        </w:rPr>
      </w:pPr>
    </w:p>
    <w:p w14:paraId="78EF47C8" w14:textId="28EE2DE5" w:rsidR="00E77F78" w:rsidRPr="00197DF6" w:rsidRDefault="00E77F78" w:rsidP="00D51B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es-ES_tradnl"/>
        </w:rPr>
      </w:pPr>
      <w:r w:rsidRPr="00197DF6">
        <w:rPr>
          <w:lang w:val="es-ES_tradnl"/>
        </w:rPr>
        <w:tab/>
      </w:r>
      <w:r w:rsidRPr="00197DF6">
        <w:rPr>
          <w:lang w:val="es-ES_tradnl"/>
        </w:rPr>
        <w:tab/>
      </w:r>
      <w:r w:rsidRPr="00197DF6">
        <w:rPr>
          <w:bCs/>
          <w:lang w:val="es-ES_tradnl"/>
        </w:rPr>
        <w:t>Procesamientos, condenas/sanciones para los autores y servicios para los supervivientes</w:t>
      </w:r>
    </w:p>
    <w:p w14:paraId="0EA1AA9C" w14:textId="77777777" w:rsidR="00E77F78" w:rsidRPr="00197DF6" w:rsidRDefault="00E77F78" w:rsidP="00E77F78">
      <w:pPr>
        <w:pStyle w:val="SingleTxt"/>
        <w:spacing w:after="0" w:line="120" w:lineRule="exact"/>
        <w:rPr>
          <w:sz w:val="10"/>
          <w:lang w:val="es-ES_tradnl"/>
        </w:rPr>
      </w:pPr>
    </w:p>
    <w:p w14:paraId="6B1AEC53" w14:textId="2446B3F2" w:rsidR="00E77F78" w:rsidRPr="00197DF6" w:rsidRDefault="00E77F78" w:rsidP="001B36AA">
      <w:pPr>
        <w:pStyle w:val="SingleTxt"/>
        <w:numPr>
          <w:ilvl w:val="0"/>
          <w:numId w:val="24"/>
        </w:numPr>
        <w:ind w:left="1267"/>
        <w:rPr>
          <w:i/>
          <w:lang w:val="es-ES_tradnl"/>
        </w:rPr>
      </w:pPr>
      <w:r w:rsidRPr="00197DF6">
        <w:rPr>
          <w:lang w:val="es-ES_tradnl"/>
        </w:rPr>
        <w:t xml:space="preserve">Como se ha señalado en respuesta a la lista de cuestiones del párrafo 2, la definición de la trata de personas de la Ley del Código Penal (Enmienda) de </w:t>
      </w:r>
      <w:proofErr w:type="spellStart"/>
      <w:r w:rsidRPr="00197DF6">
        <w:rPr>
          <w:lang w:val="es-ES_tradnl"/>
        </w:rPr>
        <w:t>Bhután</w:t>
      </w:r>
      <w:proofErr w:type="spellEnd"/>
      <w:r w:rsidRPr="00197DF6">
        <w:rPr>
          <w:lang w:val="es-ES_tradnl"/>
        </w:rPr>
        <w:t xml:space="preserve"> de 2011 se modificó en 2021 para armonizarla con las definiciones del Protocolo de Palermo. </w:t>
      </w:r>
    </w:p>
    <w:p w14:paraId="02E91B33" w14:textId="47720FB3" w:rsidR="00E77F78" w:rsidRPr="00197DF6" w:rsidRDefault="00E77F78" w:rsidP="001B36AA">
      <w:pPr>
        <w:pStyle w:val="SingleTxt"/>
        <w:numPr>
          <w:ilvl w:val="0"/>
          <w:numId w:val="24"/>
        </w:numPr>
        <w:ind w:left="1267"/>
        <w:rPr>
          <w:i/>
          <w:lang w:val="es-ES_tradnl"/>
        </w:rPr>
      </w:pPr>
      <w:r w:rsidRPr="00197DF6">
        <w:rPr>
          <w:lang w:val="es-ES_tradnl"/>
        </w:rPr>
        <w:t xml:space="preserve">La Oficina del </w:t>
      </w:r>
      <w:proofErr w:type="gramStart"/>
      <w:r w:rsidRPr="00197DF6">
        <w:rPr>
          <w:lang w:val="es-ES_tradnl"/>
        </w:rPr>
        <w:t>Fiscal General</w:t>
      </w:r>
      <w:proofErr w:type="gramEnd"/>
      <w:r w:rsidRPr="00197DF6">
        <w:rPr>
          <w:lang w:val="es-ES_tradnl"/>
        </w:rPr>
        <w:t xml:space="preserve"> procesó cinco casos de trata de mujeres y niñas para empleo en el extranjero en 2020, incluidos dos casos que continuaban de 2019. Las condenas impuestas a los autores oscilaron entre un año y medio por complicidad y tentativa de trata a cuatro años y seis meses por trata. Además, se está investigando a 30 individuos sospechosos de traficar con 160 mujeres para emplearlas en el extranjero, con el apoyo de un equipo especial de investigación formado por funcionarios de la Policía Real de </w:t>
      </w:r>
      <w:proofErr w:type="spellStart"/>
      <w:r w:rsidRPr="00197DF6">
        <w:rPr>
          <w:lang w:val="es-ES_tradnl"/>
        </w:rPr>
        <w:t>Bhután</w:t>
      </w:r>
      <w:proofErr w:type="spellEnd"/>
      <w:r w:rsidRPr="00197DF6">
        <w:rPr>
          <w:lang w:val="es-ES_tradnl"/>
        </w:rPr>
        <w:t xml:space="preserve"> y del Departamento de Orden Público. Se han recibido e investigado 187 casos de trata laboral desde 2019 por parte de la Policía Real, el Departamento de Orden Público y los organismos pertinentes. </w:t>
      </w:r>
    </w:p>
    <w:p w14:paraId="43C52E7F" w14:textId="7DD1161F" w:rsidR="00E77F78" w:rsidRPr="00197DF6" w:rsidRDefault="00E77F78" w:rsidP="001B36AA">
      <w:pPr>
        <w:pStyle w:val="SingleTxt"/>
        <w:numPr>
          <w:ilvl w:val="0"/>
          <w:numId w:val="24"/>
        </w:numPr>
        <w:ind w:left="1267"/>
        <w:rPr>
          <w:lang w:val="es-ES_tradnl"/>
        </w:rPr>
      </w:pPr>
      <w:r w:rsidRPr="00197DF6">
        <w:rPr>
          <w:lang w:val="es-ES_tradnl"/>
        </w:rPr>
        <w:t xml:space="preserve">El Departamento de Orden Público se coordina con la Comisión Nacional de la Mujer y el Niño y las organizaciones de la sociedad civil pertinentes para proporcionar servicios de rehabilitación, psicosociales, de subsistencia y de reintegración a los supervivientes. Además de proporcionar servicios de asesoramiento, se llevó a cabo una evaluación de las necesidades de 160 supervivientes rescatados de Oriente Medio en 2020. Recibieron servicios de alojamiento 21 mujeres, y 63 se inscribieron en programas de formación profesional con RENEW. </w:t>
      </w:r>
    </w:p>
    <w:p w14:paraId="7E95961A" w14:textId="77777777" w:rsidR="00E77F78" w:rsidRPr="00197DF6" w:rsidRDefault="00E77F78" w:rsidP="00E77F78">
      <w:pPr>
        <w:pStyle w:val="SingleTxt"/>
        <w:spacing w:after="0" w:line="120" w:lineRule="exact"/>
        <w:rPr>
          <w:sz w:val="10"/>
          <w:lang w:val="es-ES_tradnl"/>
        </w:rPr>
      </w:pPr>
    </w:p>
    <w:p w14:paraId="4BAC5DBA"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Asistencia jurídica recíproca</w:t>
      </w:r>
      <w:r w:rsidRPr="00197DF6">
        <w:rPr>
          <w:lang w:val="es-ES_tradnl"/>
        </w:rPr>
        <w:t xml:space="preserve"> </w:t>
      </w:r>
    </w:p>
    <w:p w14:paraId="2E949332" w14:textId="77777777" w:rsidR="00E77F78" w:rsidRPr="00197DF6" w:rsidRDefault="00E77F78" w:rsidP="00E77F78">
      <w:pPr>
        <w:pStyle w:val="SingleTxt"/>
        <w:spacing w:after="0" w:line="120" w:lineRule="exact"/>
        <w:rPr>
          <w:sz w:val="10"/>
          <w:lang w:val="es-ES_tradnl"/>
        </w:rPr>
      </w:pPr>
    </w:p>
    <w:p w14:paraId="14DFAADA" w14:textId="24E800CF" w:rsidR="00E77F78" w:rsidRPr="00197DF6" w:rsidRDefault="00E77F78" w:rsidP="001B36AA">
      <w:pPr>
        <w:pStyle w:val="SingleTxt"/>
        <w:numPr>
          <w:ilvl w:val="0"/>
          <w:numId w:val="25"/>
        </w:numPr>
        <w:tabs>
          <w:tab w:val="clear" w:pos="475"/>
          <w:tab w:val="right" w:pos="1022"/>
        </w:tabs>
        <w:ind w:left="1267" w:right="1260"/>
        <w:rPr>
          <w:lang w:val="es-ES_tradnl"/>
        </w:rPr>
      </w:pPr>
      <w:r w:rsidRPr="00197DF6">
        <w:rPr>
          <w:lang w:val="es-ES_tradnl"/>
        </w:rPr>
        <w:t xml:space="preserve">El Departamento de Orden Público está redactando el Proyecto de Ley de Asistencia Jurídica Recíproca en colaboración con los organismos pertinentes. Se espera que el proyecto de ley se presente al Consejo de </w:t>
      </w:r>
      <w:proofErr w:type="gramStart"/>
      <w:r w:rsidRPr="00197DF6">
        <w:rPr>
          <w:lang w:val="es-ES_tradnl"/>
        </w:rPr>
        <w:t>Ministros</w:t>
      </w:r>
      <w:proofErr w:type="gramEnd"/>
      <w:r w:rsidRPr="00197DF6">
        <w:rPr>
          <w:lang w:val="es-ES_tradnl"/>
        </w:rPr>
        <w:t xml:space="preserve"> para recibir nuevas directrices. Mientras tanto, los mecanismos y foros existentes entre el Gobierno Real de </w:t>
      </w:r>
      <w:proofErr w:type="spellStart"/>
      <w:r w:rsidRPr="00197DF6">
        <w:rPr>
          <w:lang w:val="es-ES_tradnl"/>
        </w:rPr>
        <w:t>Bhután</w:t>
      </w:r>
      <w:proofErr w:type="spellEnd"/>
      <w:r w:rsidRPr="00197DF6">
        <w:rPr>
          <w:lang w:val="es-ES_tradnl"/>
        </w:rPr>
        <w:t xml:space="preserve"> y los estados fronterizos de la India, como las reuniones de coordinación de distritos fronterizos entre el Gobierno Real y los gobiernos estatales de Assam y Bengala Occidental (India), debaten y resuelven las preocupaciones relacionadas con la gestión y la seguridad fronterizas, incluidos los delitos transfronterizos (como la trata de personas). </w:t>
      </w:r>
    </w:p>
    <w:p w14:paraId="63AA1DD2" w14:textId="77777777" w:rsidR="00E77F78" w:rsidRPr="00197DF6" w:rsidRDefault="00E77F78" w:rsidP="00E77F78">
      <w:pPr>
        <w:pStyle w:val="SingleTxt"/>
        <w:spacing w:after="0" w:line="120" w:lineRule="exact"/>
        <w:rPr>
          <w:sz w:val="10"/>
          <w:lang w:val="es-ES_tradnl"/>
        </w:rPr>
      </w:pPr>
    </w:p>
    <w:p w14:paraId="1046FD13"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Concienciación y fomento de la capacidad</w:t>
      </w:r>
      <w:r w:rsidRPr="00197DF6">
        <w:rPr>
          <w:lang w:val="es-ES_tradnl"/>
        </w:rPr>
        <w:t xml:space="preserve"> </w:t>
      </w:r>
    </w:p>
    <w:p w14:paraId="0E677814" w14:textId="77777777" w:rsidR="00E77F78" w:rsidRPr="00197DF6" w:rsidRDefault="00E77F78" w:rsidP="00E77F78">
      <w:pPr>
        <w:pStyle w:val="SingleTxt"/>
        <w:spacing w:after="0" w:line="120" w:lineRule="exact"/>
        <w:rPr>
          <w:sz w:val="10"/>
          <w:lang w:val="es-ES_tradnl"/>
        </w:rPr>
      </w:pPr>
    </w:p>
    <w:p w14:paraId="32765741" w14:textId="34728CF7" w:rsidR="00E77F78" w:rsidRPr="00197DF6" w:rsidRDefault="00E77F78" w:rsidP="001B36AA">
      <w:pPr>
        <w:pStyle w:val="SingleTxt"/>
        <w:numPr>
          <w:ilvl w:val="0"/>
          <w:numId w:val="25"/>
        </w:numPr>
        <w:ind w:left="1267"/>
        <w:rPr>
          <w:lang w:val="es-ES_tradnl"/>
        </w:rPr>
      </w:pPr>
      <w:r w:rsidRPr="00197DF6">
        <w:rPr>
          <w:lang w:val="es-ES_tradnl"/>
        </w:rPr>
        <w:t>Para mejorar la comprensión de la trata de personas y abordar sus causas profundas, el Departamento de Orden Público, en colaboración con la Comisión Nacional de la Mujer y el Niño y los asociados para el desarrollo, llevó a cabo 32 campañas de sensibilización, que llegaron a más de 4.361 poblaciones vulnerables y a 653 funcionarios de los organismos pertinentes. Además, se elaboró material de promoción en línea, que se difundió a través de los medios de comunicación. También se llevó a cabo la Campaña Corazón Azul a través de un programa de televisión (</w:t>
      </w:r>
      <w:proofErr w:type="spellStart"/>
      <w:r w:rsidRPr="00197DF6">
        <w:rPr>
          <w:i/>
          <w:iCs/>
          <w:lang w:val="es-ES_tradnl"/>
        </w:rPr>
        <w:t>Druk</w:t>
      </w:r>
      <w:proofErr w:type="spellEnd"/>
      <w:r w:rsidRPr="00197DF6">
        <w:rPr>
          <w:i/>
          <w:iCs/>
          <w:lang w:val="es-ES_tradnl"/>
        </w:rPr>
        <w:t xml:space="preserve"> Super </w:t>
      </w:r>
      <w:proofErr w:type="spellStart"/>
      <w:r w:rsidRPr="00197DF6">
        <w:rPr>
          <w:i/>
          <w:iCs/>
          <w:lang w:val="es-ES_tradnl"/>
        </w:rPr>
        <w:t>Star</w:t>
      </w:r>
      <w:proofErr w:type="spellEnd"/>
      <w:r w:rsidRPr="00197DF6">
        <w:rPr>
          <w:lang w:val="es-ES_tradnl"/>
        </w:rPr>
        <w:t>) para promover la concienciación sobre la lucha contra la trata.</w:t>
      </w:r>
    </w:p>
    <w:p w14:paraId="00FE371A" w14:textId="2996A7F7" w:rsidR="00E77F78" w:rsidRPr="00197DF6" w:rsidRDefault="00E77F78" w:rsidP="001B36AA">
      <w:pPr>
        <w:pStyle w:val="SingleTxt"/>
        <w:numPr>
          <w:ilvl w:val="0"/>
          <w:numId w:val="25"/>
        </w:numPr>
        <w:ind w:left="1267"/>
        <w:rPr>
          <w:lang w:val="es-ES_tradnl"/>
        </w:rPr>
      </w:pPr>
      <w:r w:rsidRPr="00197DF6">
        <w:rPr>
          <w:lang w:val="es-ES_tradnl"/>
        </w:rPr>
        <w:t xml:space="preserve">En 2020, 120 trabajadores de primera línea recibieron formación para aumentar su capacidad de identificación y derivación de supervivientes de la trata de personas. También se elaboró un manual de formación para jueces y, posteriormente, 21 jueces recibieron formación en 2021 por parte del Departamento de Orden Público, en colaboración con el Instituto Jurídico Nacional de </w:t>
      </w:r>
      <w:proofErr w:type="spellStart"/>
      <w:r w:rsidRPr="00197DF6">
        <w:rPr>
          <w:lang w:val="es-ES_tradnl"/>
        </w:rPr>
        <w:t>Bhután</w:t>
      </w:r>
      <w:proofErr w:type="spellEnd"/>
      <w:r w:rsidRPr="00197DF6">
        <w:rPr>
          <w:lang w:val="es-ES_tradnl"/>
        </w:rPr>
        <w:t xml:space="preserve">. </w:t>
      </w:r>
    </w:p>
    <w:p w14:paraId="339495CC" w14:textId="13B6661B" w:rsidR="00E77F78" w:rsidRPr="00197DF6" w:rsidRDefault="00E77F78" w:rsidP="001B36AA">
      <w:pPr>
        <w:pStyle w:val="SingleTxt"/>
        <w:numPr>
          <w:ilvl w:val="0"/>
          <w:numId w:val="25"/>
        </w:numPr>
        <w:ind w:left="1267"/>
        <w:rPr>
          <w:lang w:val="es-ES_tradnl"/>
        </w:rPr>
      </w:pPr>
      <w:r w:rsidRPr="00197DF6">
        <w:rPr>
          <w:lang w:val="es-ES_tradnl"/>
        </w:rPr>
        <w:t xml:space="preserve">Aunque en el país no existen servicios de refugio específicos para los supervivientes de la trata de personas, se los aloja en los refugios para mujeres y niños que gestionan las organizaciones de la sociedad civil. El refugio gestionado por RENEW prestó servicios a 21 supervivientes de trata en 2020. Además de los procedimientos para la protección de los supervivientes que figuran en los POE sobre la respuesta multisectorial a la lucha contra la trata, los POE sobre la violencia de género, las directrices sobre el establecimiento y la gestión de los servicios de refugio y el manual de funcionamiento interno de estos centros también proporcionan procedimientos claros y normas mínimas para la protección de los supervivientes de la trata. </w:t>
      </w:r>
    </w:p>
    <w:p w14:paraId="6643732C" w14:textId="77777777" w:rsidR="00E77F78" w:rsidRPr="00197DF6" w:rsidRDefault="00E77F78" w:rsidP="00E77F78">
      <w:pPr>
        <w:pStyle w:val="SingleTxt"/>
        <w:spacing w:after="0" w:line="120" w:lineRule="exact"/>
        <w:rPr>
          <w:sz w:val="10"/>
          <w:lang w:val="es-ES_tradnl"/>
        </w:rPr>
      </w:pPr>
    </w:p>
    <w:p w14:paraId="44A64FF0"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 xml:space="preserve">Mujeres en </w:t>
      </w:r>
      <w:proofErr w:type="spellStart"/>
      <w:r w:rsidRPr="00197DF6">
        <w:rPr>
          <w:bCs/>
          <w:i/>
          <w:iCs/>
          <w:lang w:val="es-ES_tradnl"/>
        </w:rPr>
        <w:t>drayangs</w:t>
      </w:r>
      <w:proofErr w:type="spellEnd"/>
      <w:r w:rsidRPr="00197DF6">
        <w:rPr>
          <w:bCs/>
          <w:lang w:val="es-ES_tradnl"/>
        </w:rPr>
        <w:t xml:space="preserve"> y prostitución</w:t>
      </w:r>
      <w:r w:rsidRPr="00197DF6">
        <w:rPr>
          <w:lang w:val="es-ES_tradnl"/>
        </w:rPr>
        <w:t xml:space="preserve"> </w:t>
      </w:r>
    </w:p>
    <w:p w14:paraId="3B559064" w14:textId="77777777" w:rsidR="00E77F78" w:rsidRPr="00197DF6" w:rsidRDefault="00E77F78" w:rsidP="00E77F78">
      <w:pPr>
        <w:pStyle w:val="SingleTxt"/>
        <w:spacing w:after="0" w:line="120" w:lineRule="exact"/>
        <w:rPr>
          <w:sz w:val="10"/>
          <w:lang w:val="es-ES_tradnl"/>
        </w:rPr>
      </w:pPr>
    </w:p>
    <w:p w14:paraId="5C911CE0" w14:textId="27469FD7" w:rsidR="00E77F78" w:rsidRPr="00197DF6" w:rsidRDefault="00E77F78" w:rsidP="001B36AA">
      <w:pPr>
        <w:pStyle w:val="SingleTxt"/>
        <w:numPr>
          <w:ilvl w:val="0"/>
          <w:numId w:val="25"/>
        </w:numPr>
        <w:ind w:left="1267"/>
        <w:rPr>
          <w:lang w:val="es-ES_tradnl"/>
        </w:rPr>
      </w:pPr>
      <w:r w:rsidRPr="00197DF6">
        <w:rPr>
          <w:lang w:val="es-ES_tradnl"/>
        </w:rPr>
        <w:t xml:space="preserve">Para comprender la situación de las mujeres y las niñas que trabajan en </w:t>
      </w:r>
      <w:proofErr w:type="spellStart"/>
      <w:r w:rsidRPr="00197DF6">
        <w:rPr>
          <w:i/>
          <w:iCs/>
          <w:lang w:val="es-ES_tradnl"/>
        </w:rPr>
        <w:t>drayangs</w:t>
      </w:r>
      <w:proofErr w:type="spellEnd"/>
      <w:r w:rsidRPr="00197DF6">
        <w:rPr>
          <w:i/>
          <w:iCs/>
          <w:lang w:val="es-ES_tradnl"/>
        </w:rPr>
        <w:t xml:space="preserve"> </w:t>
      </w:r>
      <w:r w:rsidRPr="00197DF6">
        <w:rPr>
          <w:lang w:val="es-ES_tradnl"/>
        </w:rPr>
        <w:t>y establecer</w:t>
      </w:r>
      <w:r w:rsidRPr="00197DF6">
        <w:rPr>
          <w:i/>
          <w:iCs/>
          <w:lang w:val="es-ES_tradnl"/>
        </w:rPr>
        <w:t xml:space="preserve"> </w:t>
      </w:r>
      <w:r w:rsidRPr="00197DF6">
        <w:rPr>
          <w:lang w:val="es-ES_tradnl"/>
        </w:rPr>
        <w:t xml:space="preserve">áreas críticas de preocupación y explotación, la Comisión Nacional de la Mujer y el Niño llevó a cabo en 2017 un análisis de la situación de los empleados de </w:t>
      </w:r>
      <w:proofErr w:type="spellStart"/>
      <w:r w:rsidRPr="00197DF6">
        <w:rPr>
          <w:i/>
          <w:iCs/>
          <w:lang w:val="es-ES_tradnl"/>
        </w:rPr>
        <w:t>drayangs</w:t>
      </w:r>
      <w:proofErr w:type="spellEnd"/>
      <w:r w:rsidRPr="00197DF6">
        <w:rPr>
          <w:lang w:val="es-ES_tradnl"/>
        </w:rPr>
        <w:t xml:space="preserve">. El análisis incluyó un listado completo de las empleadas de </w:t>
      </w:r>
      <w:proofErr w:type="spellStart"/>
      <w:r w:rsidRPr="00197DF6">
        <w:rPr>
          <w:i/>
          <w:iCs/>
          <w:lang w:val="es-ES_tradnl"/>
        </w:rPr>
        <w:t>drayang</w:t>
      </w:r>
      <w:proofErr w:type="spellEnd"/>
      <w:r w:rsidRPr="00197DF6">
        <w:rPr>
          <w:i/>
          <w:iCs/>
          <w:lang w:val="es-ES_tradnl"/>
        </w:rPr>
        <w:t xml:space="preserve"> </w:t>
      </w:r>
      <w:r w:rsidRPr="00197DF6">
        <w:rPr>
          <w:lang w:val="es-ES_tradnl"/>
        </w:rPr>
        <w:t xml:space="preserve">en las principales zonas urbanas. Basándose en las conclusiones, el estudio recomendó reformas sistémicas y estructurales de los </w:t>
      </w:r>
      <w:proofErr w:type="spellStart"/>
      <w:r w:rsidRPr="00197DF6">
        <w:rPr>
          <w:i/>
          <w:iCs/>
          <w:lang w:val="es-ES_tradnl"/>
        </w:rPr>
        <w:t>drayangs</w:t>
      </w:r>
      <w:proofErr w:type="spellEnd"/>
      <w:r w:rsidRPr="00197DF6">
        <w:rPr>
          <w:i/>
          <w:iCs/>
          <w:lang w:val="es-ES_tradnl"/>
        </w:rPr>
        <w:t xml:space="preserve"> </w:t>
      </w:r>
      <w:r w:rsidRPr="00197DF6">
        <w:rPr>
          <w:lang w:val="es-ES_tradnl"/>
        </w:rPr>
        <w:t xml:space="preserve">para evitar que las empleadas sean explotadas sexualmente y se dediquen al comercio sexual. </w:t>
      </w:r>
    </w:p>
    <w:p w14:paraId="460DA154" w14:textId="5B6EB300" w:rsidR="00E77F78" w:rsidRPr="00197DF6" w:rsidRDefault="00E77F78" w:rsidP="001B36AA">
      <w:pPr>
        <w:pStyle w:val="SingleTxt"/>
        <w:numPr>
          <w:ilvl w:val="0"/>
          <w:numId w:val="25"/>
        </w:numPr>
        <w:ind w:left="1267"/>
        <w:rPr>
          <w:lang w:val="es-ES_tradnl"/>
        </w:rPr>
      </w:pPr>
      <w:r w:rsidRPr="00197DF6">
        <w:rPr>
          <w:lang w:val="es-ES_tradnl"/>
        </w:rPr>
        <w:t xml:space="preserve">Debido a la vulnerabilidad de los empleados de los </w:t>
      </w:r>
      <w:proofErr w:type="spellStart"/>
      <w:r w:rsidRPr="00197DF6">
        <w:rPr>
          <w:i/>
          <w:iCs/>
          <w:lang w:val="es-ES_tradnl"/>
        </w:rPr>
        <w:t>drayangs</w:t>
      </w:r>
      <w:proofErr w:type="spellEnd"/>
      <w:r w:rsidRPr="00197DF6">
        <w:rPr>
          <w:lang w:val="es-ES_tradnl"/>
        </w:rPr>
        <w:t xml:space="preserve">, especialmente ante la explotación sexual, la estigmatización social y la discriminación, el Gobierno ordenó el cierre de los </w:t>
      </w:r>
      <w:proofErr w:type="spellStart"/>
      <w:r w:rsidRPr="00197DF6">
        <w:rPr>
          <w:i/>
          <w:iCs/>
          <w:lang w:val="es-ES_tradnl"/>
        </w:rPr>
        <w:t>drayangs</w:t>
      </w:r>
      <w:proofErr w:type="spellEnd"/>
      <w:r w:rsidRPr="00197DF6">
        <w:rPr>
          <w:i/>
          <w:iCs/>
          <w:lang w:val="es-ES_tradnl"/>
        </w:rPr>
        <w:t xml:space="preserve"> </w:t>
      </w:r>
      <w:r w:rsidRPr="00197DF6">
        <w:rPr>
          <w:lang w:val="es-ES_tradnl"/>
        </w:rPr>
        <w:t xml:space="preserve">en enero de 2022 tras consultar con los organismos pertinentes. La decisión pretendía proteger a las empleadas de la explotación y ofrecerles medios de vida y oportunidades de empleo alternativos. Posteriormente, el Ministerio del Derecho y los Derechos Humanos inició programas de reintegración, en los que se inscribieron 526 empleadas. </w:t>
      </w:r>
    </w:p>
    <w:p w14:paraId="13F2F932" w14:textId="40D5F42C" w:rsidR="00E77F78" w:rsidRPr="00197DF6" w:rsidRDefault="00E77F78" w:rsidP="001B36AA">
      <w:pPr>
        <w:pStyle w:val="SingleTxt"/>
        <w:numPr>
          <w:ilvl w:val="0"/>
          <w:numId w:val="25"/>
        </w:numPr>
        <w:ind w:left="1267"/>
        <w:rPr>
          <w:lang w:val="es-ES_tradnl"/>
        </w:rPr>
      </w:pPr>
      <w:r w:rsidRPr="00197DF6">
        <w:rPr>
          <w:lang w:val="es-ES_tradnl"/>
        </w:rPr>
        <w:t xml:space="preserve">El análisis de los grupos vulnerables y el programa de desarrollo de las aptitudes durante la pandemia de COVID-19 notificado en respuesta a la lista de cuestiones del párrafo 3 es otra iniciativa para brindar oportunidades económicas alternativas a los empleados de los </w:t>
      </w:r>
      <w:proofErr w:type="spellStart"/>
      <w:r w:rsidRPr="00197DF6">
        <w:rPr>
          <w:i/>
          <w:iCs/>
          <w:lang w:val="es-ES_tradnl"/>
        </w:rPr>
        <w:t>drayangs</w:t>
      </w:r>
      <w:proofErr w:type="spellEnd"/>
      <w:r w:rsidRPr="00197DF6">
        <w:rPr>
          <w:lang w:val="es-ES_tradnl"/>
        </w:rPr>
        <w:t xml:space="preserve">. </w:t>
      </w:r>
    </w:p>
    <w:p w14:paraId="6B4EB94B" w14:textId="77777777" w:rsidR="00E77F78" w:rsidRPr="00197DF6" w:rsidRDefault="00E77F78" w:rsidP="00E77F78">
      <w:pPr>
        <w:pStyle w:val="SingleTxt"/>
        <w:spacing w:after="0" w:line="120" w:lineRule="exact"/>
        <w:rPr>
          <w:sz w:val="10"/>
          <w:lang w:val="es-ES_tradnl"/>
        </w:rPr>
      </w:pPr>
      <w:bookmarkStart w:id="10" w:name="_Toc107670426"/>
    </w:p>
    <w:p w14:paraId="4627730C" w14:textId="77777777" w:rsidR="00E77F78" w:rsidRPr="00197DF6" w:rsidRDefault="00E77F78" w:rsidP="00E77F78">
      <w:pPr>
        <w:pStyle w:val="SingleTxt"/>
        <w:spacing w:after="0" w:line="120" w:lineRule="exact"/>
        <w:rPr>
          <w:sz w:val="10"/>
          <w:lang w:val="es-ES_tradnl"/>
        </w:rPr>
      </w:pPr>
    </w:p>
    <w:p w14:paraId="7275767D" w14:textId="77777777" w:rsidR="00E77F78" w:rsidRPr="00197DF6" w:rsidRDefault="00E77F78" w:rsidP="005976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30" w:hanging="1267"/>
        <w:rPr>
          <w:lang w:val="es-ES_tradnl"/>
        </w:rPr>
      </w:pPr>
      <w:r w:rsidRPr="00197DF6">
        <w:rPr>
          <w:lang w:val="es-ES_tradnl"/>
        </w:rPr>
        <w:tab/>
      </w:r>
      <w:r w:rsidRPr="00197DF6">
        <w:rPr>
          <w:lang w:val="es-ES_tradnl"/>
        </w:rPr>
        <w:tab/>
        <w:t>Participación en la vida política y pública (respuestas al párrafo 13)</w:t>
      </w:r>
      <w:bookmarkEnd w:id="10"/>
    </w:p>
    <w:p w14:paraId="1F4F7F2A" w14:textId="77777777" w:rsidR="00E77F78" w:rsidRPr="00197DF6" w:rsidRDefault="00E77F78" w:rsidP="00E77F78">
      <w:pPr>
        <w:pStyle w:val="SingleTxt"/>
        <w:spacing w:after="0" w:line="120" w:lineRule="exact"/>
        <w:rPr>
          <w:sz w:val="10"/>
          <w:lang w:val="es-ES_tradnl"/>
        </w:rPr>
      </w:pPr>
    </w:p>
    <w:p w14:paraId="47CE3B82" w14:textId="77777777" w:rsidR="00E77F78" w:rsidRPr="00197DF6" w:rsidRDefault="00E77F78" w:rsidP="00E77F78">
      <w:pPr>
        <w:pStyle w:val="SingleTxt"/>
        <w:spacing w:after="0" w:line="120" w:lineRule="exact"/>
        <w:rPr>
          <w:sz w:val="10"/>
          <w:lang w:val="es-ES_tradnl"/>
        </w:rPr>
      </w:pPr>
    </w:p>
    <w:p w14:paraId="4DCDCE7B" w14:textId="77777777" w:rsidR="00E77F78" w:rsidRPr="00197DF6" w:rsidRDefault="00E77F78" w:rsidP="005976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lang w:val="es-ES_tradnl"/>
        </w:rPr>
      </w:pPr>
      <w:r w:rsidRPr="00197DF6">
        <w:rPr>
          <w:lang w:val="es-ES_tradnl"/>
        </w:rPr>
        <w:tab/>
      </w:r>
      <w:r w:rsidRPr="00197DF6">
        <w:rPr>
          <w:lang w:val="es-ES_tradnl"/>
        </w:rPr>
        <w:tab/>
      </w:r>
      <w:r w:rsidRPr="00197DF6">
        <w:rPr>
          <w:bCs/>
          <w:lang w:val="es-ES_tradnl"/>
        </w:rPr>
        <w:t>Medidas para aumentar la participación de las mujeres en la toma de decisiones</w:t>
      </w:r>
    </w:p>
    <w:p w14:paraId="6B771FDE" w14:textId="77777777" w:rsidR="00E77F78" w:rsidRPr="00197DF6" w:rsidRDefault="00E77F78" w:rsidP="00E77F78">
      <w:pPr>
        <w:pStyle w:val="SingleTxt"/>
        <w:spacing w:after="0" w:line="120" w:lineRule="exact"/>
        <w:rPr>
          <w:sz w:val="10"/>
          <w:lang w:val="es-ES_tradnl"/>
        </w:rPr>
      </w:pPr>
    </w:p>
    <w:p w14:paraId="540E8A06" w14:textId="4F85DED6" w:rsidR="00E77F78" w:rsidRPr="00197DF6" w:rsidRDefault="00E77F78" w:rsidP="001B36AA">
      <w:pPr>
        <w:pStyle w:val="SingleTxt"/>
        <w:numPr>
          <w:ilvl w:val="0"/>
          <w:numId w:val="25"/>
        </w:numPr>
        <w:ind w:left="1267"/>
        <w:rPr>
          <w:b/>
          <w:lang w:val="es-ES_tradnl"/>
        </w:rPr>
      </w:pPr>
      <w:r w:rsidRPr="00197DF6">
        <w:rPr>
          <w:lang w:val="es-ES_tradnl"/>
        </w:rPr>
        <w:t xml:space="preserve">Además de las intervenciones específicas de las que se informa en respuesta a la lista de cuestiones del apartado 6, la concienciación sobre la importancia de la participación de las mujeres se ha integrado en el programa de educación cívica y electoral de la Comisión Electoral de </w:t>
      </w:r>
      <w:proofErr w:type="spellStart"/>
      <w:r w:rsidRPr="00197DF6">
        <w:rPr>
          <w:lang w:val="es-ES_tradnl"/>
        </w:rPr>
        <w:t>Bhután</w:t>
      </w:r>
      <w:proofErr w:type="spellEnd"/>
      <w:r w:rsidRPr="00197DF6">
        <w:rPr>
          <w:lang w:val="es-ES_tradnl"/>
        </w:rPr>
        <w:t xml:space="preserve">. Los materiales de promoción se elaboraron y difundieron ampliamente tanto en los medios de comunicación convencionales como en las redes sociales. </w:t>
      </w:r>
    </w:p>
    <w:p w14:paraId="4CD1E41E" w14:textId="5DC293C1" w:rsidR="00E77F78" w:rsidRPr="00197DF6" w:rsidRDefault="00E77F78" w:rsidP="001B36AA">
      <w:pPr>
        <w:pStyle w:val="SingleTxt"/>
        <w:numPr>
          <w:ilvl w:val="0"/>
          <w:numId w:val="25"/>
        </w:numPr>
        <w:ind w:left="1267"/>
        <w:rPr>
          <w:b/>
          <w:lang w:val="es-ES_tradnl"/>
        </w:rPr>
      </w:pPr>
      <w:r w:rsidRPr="00197DF6">
        <w:rPr>
          <w:lang w:val="es-ES_tradnl"/>
        </w:rPr>
        <w:t xml:space="preserve">Con vistas a las terceras elecciones municipales de 2021, la organización BNEW movilizó y sensibilizó a más de 2.387 candidatas potenciales y aspirantes, y formó a más de 380 mujeres en liderazgo y habilidades interpersonales. Además, se organizaron varias rondas de consultas regionales para ofrecer plataformas de trabajo en red en las que debatir problemas, retos y oportunidades. Al mismo tiempo, también se orientó a los posibles candidatos sobre la situación de las mujeres y los hombres en el país, las nuevas cuestiones de género, el desarrollo de nuevas políticas y programas, y las aptitudes clave necesarias para participar en las elecciones. </w:t>
      </w:r>
    </w:p>
    <w:p w14:paraId="2B2927DE" w14:textId="0CAB2F0E" w:rsidR="00E77F78" w:rsidRPr="00197DF6" w:rsidRDefault="00E77F78" w:rsidP="001B36AA">
      <w:pPr>
        <w:pStyle w:val="SingleTxt"/>
        <w:numPr>
          <w:ilvl w:val="0"/>
          <w:numId w:val="25"/>
        </w:numPr>
        <w:ind w:left="1267"/>
        <w:rPr>
          <w:b/>
          <w:lang w:val="es-ES_tradnl"/>
        </w:rPr>
      </w:pPr>
      <w:r w:rsidRPr="00197DF6">
        <w:rPr>
          <w:lang w:val="es-ES_tradnl"/>
        </w:rPr>
        <w:t xml:space="preserve">Como se informó en respuesta a la lista de cuestiones en el párrafo 6, los medios de comunicación siguen desempeñando un papel fundamental en el apoyo a la labor de la Comisión Nacional de la Mujer y el Niño, la Comisión Electoral de </w:t>
      </w:r>
      <w:proofErr w:type="spellStart"/>
      <w:r w:rsidRPr="00197DF6">
        <w:rPr>
          <w:lang w:val="es-ES_tradnl"/>
        </w:rPr>
        <w:t>Bhután</w:t>
      </w:r>
      <w:proofErr w:type="spellEnd"/>
      <w:r w:rsidRPr="00197DF6">
        <w:rPr>
          <w:lang w:val="es-ES_tradnl"/>
        </w:rPr>
        <w:t xml:space="preserve">, el Departamento de Gobernanza Local y BNEW para abogar por las funciones de liderazgo de las mujeres a través de la cobertura de las historias sobre sus experiencias personales y políticas, el análisis de la situación de las mujeres en el ámbito político y otras cuestiones de género pertinentes. El Gobierno también brinda periódicamente a los profesionales de los medios de comunicación oportunidades de desarrollo de capacidades en materia de género e información con perspectiva de género. </w:t>
      </w:r>
    </w:p>
    <w:p w14:paraId="64EB48BC" w14:textId="1E38DAB2" w:rsidR="00E77F78" w:rsidRPr="00197DF6" w:rsidRDefault="00E77F78" w:rsidP="001B36AA">
      <w:pPr>
        <w:pStyle w:val="SingleTxt"/>
        <w:numPr>
          <w:ilvl w:val="0"/>
          <w:numId w:val="25"/>
        </w:numPr>
        <w:ind w:left="1267"/>
        <w:rPr>
          <w:b/>
          <w:lang w:val="es-ES_tradnl"/>
        </w:rPr>
      </w:pPr>
      <w:r w:rsidRPr="00197DF6">
        <w:rPr>
          <w:lang w:val="es-ES_tradnl"/>
        </w:rPr>
        <w:t xml:space="preserve">Actualmente se está aplicando un marco interno para abordar las cuestiones de género en el lugar de trabajo con el fin de mejorar los conocimientos de los empleados sobre la igualdad de género y cuestiones clave como el acoso sexual y los remedios previstos para las supervivientes. El marco también subraya la necesidad de reforzar las condiciones de trabajo de las empleadas mediante la generación de espacios que tengan en cuenta las cuestiones de género, como guarderías en el lugar de trabajo, salas de lactancia y aseos separados con los servicios necesarios; y el aumento de la representación de las mujeres en la toma de decisiones. En la actualidad, 29 ministerios y organismos, incluidos los gobiernos locales y las empresas, aplican este marco interno. </w:t>
      </w:r>
    </w:p>
    <w:p w14:paraId="31525360" w14:textId="062A9165" w:rsidR="00E77F78" w:rsidRPr="00197DF6" w:rsidRDefault="00E77F78" w:rsidP="001B36AA">
      <w:pPr>
        <w:pStyle w:val="SingleTxt"/>
        <w:numPr>
          <w:ilvl w:val="0"/>
          <w:numId w:val="25"/>
        </w:numPr>
        <w:ind w:left="1267"/>
        <w:rPr>
          <w:b/>
          <w:lang w:val="es-ES_tradnl"/>
        </w:rPr>
      </w:pPr>
      <w:r w:rsidRPr="00197DF6">
        <w:rPr>
          <w:lang w:val="es-ES_tradnl"/>
        </w:rPr>
        <w:t xml:space="preserve">El Gobierno da prioridad a la creación de guarderías en el lugar de trabajo para reducir la carga de los padres que trabajan, sobre todo las madres, y fomentar su participación en todas las esferas. En 2018 también se elaboró una directriz para el establecimiento de guarderías en </w:t>
      </w:r>
      <w:proofErr w:type="spellStart"/>
      <w:r w:rsidRPr="00197DF6">
        <w:rPr>
          <w:lang w:val="es-ES_tradnl"/>
        </w:rPr>
        <w:t>Bhután</w:t>
      </w:r>
      <w:proofErr w:type="spellEnd"/>
      <w:r w:rsidRPr="00197DF6">
        <w:rPr>
          <w:lang w:val="es-ES_tradnl"/>
        </w:rPr>
        <w:t xml:space="preserve"> con el fin de garantizar un nivel mínimo de los servicios. Actualmente hay guarderías en funcionamiento en 21 organismos, entre ellos administraciones locales y empresas. La Comisión Nacional de la Mujer y el Niño, en colaboración con el Ministerio de Educación y el Ministerio de Sanidad, lleva a cabo regularmente actividades de capacitación de los cuidadores de las guarderías. </w:t>
      </w:r>
    </w:p>
    <w:p w14:paraId="3E55661D" w14:textId="2A18820B" w:rsidR="00E77F78" w:rsidRPr="00197DF6" w:rsidRDefault="00E77F78" w:rsidP="001B36AA">
      <w:pPr>
        <w:pStyle w:val="SingleTxt"/>
        <w:numPr>
          <w:ilvl w:val="0"/>
          <w:numId w:val="25"/>
        </w:numPr>
        <w:ind w:left="1267"/>
        <w:rPr>
          <w:b/>
          <w:lang w:val="es-ES_tradnl"/>
        </w:rPr>
      </w:pPr>
      <w:r w:rsidRPr="00197DF6">
        <w:rPr>
          <w:lang w:val="es-ES_tradnl"/>
        </w:rPr>
        <w:t xml:space="preserve">Para hacer frente a los retos que plantea el mantenimiento de los servicios de guardería, como la falta de cuidadores cualificados, se diseñó una modalidad de funcionamiento y gestión sostenibles de los servicios de guardería, que se aprobó para su aplicación en 2021. </w:t>
      </w:r>
    </w:p>
    <w:p w14:paraId="6D3B3103" w14:textId="0941BC3D" w:rsidR="00E77F78" w:rsidRPr="00197DF6" w:rsidRDefault="00E77F78" w:rsidP="001B36AA">
      <w:pPr>
        <w:pStyle w:val="SingleTxt"/>
        <w:numPr>
          <w:ilvl w:val="0"/>
          <w:numId w:val="25"/>
        </w:numPr>
        <w:ind w:left="1267"/>
        <w:rPr>
          <w:b/>
          <w:lang w:val="es-ES_tradnl"/>
        </w:rPr>
      </w:pPr>
      <w:r w:rsidRPr="00197DF6">
        <w:rPr>
          <w:lang w:val="es-ES_tradnl"/>
        </w:rPr>
        <w:t xml:space="preserve">La Estrategia de Igualdad de Género (2018-2023), desarrollada por la Comisión Real de Administración Pública en colaboración con la Comisión Nacional de la Mujer y el Niño, está en fase de implementación. El objetivo de la estrategia es aumentar la representación de las mujeres en los puestos ejecutivos hasta el 15 % en 2023. Como parte de la aplicación, la Comisión Real de Administración Pública impartió una serie de cursos de formación en liderazgo para empleadas de alto nivel. Además, en el 12º plan quinquenal se ha incluido una esfera de resultados clave específica, “promoción de la igualdad de género en la función pública”, para garantizar la institucionalización de los esfuerzos en materia de igualdad de género dentro de la labor de la Comisión Real. </w:t>
      </w:r>
    </w:p>
    <w:p w14:paraId="12D42F10" w14:textId="39DF1447" w:rsidR="00E77F78" w:rsidRPr="00197DF6" w:rsidRDefault="00E77F78" w:rsidP="001B36AA">
      <w:pPr>
        <w:pStyle w:val="SingleTxt"/>
        <w:numPr>
          <w:ilvl w:val="0"/>
          <w:numId w:val="25"/>
        </w:numPr>
        <w:ind w:left="1267"/>
        <w:rPr>
          <w:b/>
          <w:lang w:val="es-ES_tradnl"/>
        </w:rPr>
      </w:pPr>
      <w:r w:rsidRPr="00197DF6">
        <w:rPr>
          <w:lang w:val="es-ES_tradnl"/>
        </w:rPr>
        <w:t xml:space="preserve">La Comisión Real de Administración Pública organizó en 2021, en colaboración con la Universidad Tecnológica de Queensland (Australia), un taller de desarrollo del liderazgo ejecutivo de las mujeres para lograr un futuro igualitario en el contexto de la pandemia de COVID-19. En el taller participaron 11 mujeres y 2 hombres. Además, la Comisión detectó y bridó capacitación a 36 mujeres líderes potenciales a través de su programa “Creación de una base de apoyo para mujeres líderes” en 2021 y 2022. </w:t>
      </w:r>
    </w:p>
    <w:p w14:paraId="711E2CBC" w14:textId="3E19B066" w:rsidR="00E77F78" w:rsidRPr="00197DF6" w:rsidRDefault="00E77F78" w:rsidP="001B36AA">
      <w:pPr>
        <w:pStyle w:val="SingleTxt"/>
        <w:numPr>
          <w:ilvl w:val="0"/>
          <w:numId w:val="25"/>
        </w:numPr>
        <w:ind w:left="1267"/>
        <w:rPr>
          <w:b/>
          <w:lang w:val="es-ES_tradnl"/>
        </w:rPr>
      </w:pPr>
      <w:r w:rsidRPr="00197DF6">
        <w:rPr>
          <w:lang w:val="es-ES_tradnl"/>
        </w:rPr>
        <w:t>Para mejorar el bienestar de los funcionarios, la Comisión Real de Administración Pública creó el Servicio de Apoyo a la Función Pública</w:t>
      </w:r>
      <w:r w:rsidRPr="00197DF6">
        <w:rPr>
          <w:vertAlign w:val="superscript"/>
          <w:lang w:val="es-ES_tradnl"/>
        </w:rPr>
        <w:footnoteReference w:id="32"/>
      </w:r>
      <w:r w:rsidRPr="00197DF6">
        <w:rPr>
          <w:lang w:val="es-ES_tradnl"/>
        </w:rPr>
        <w:t xml:space="preserve">. A través de esta iniciativa, la Comisión ofrece a los funcionarios una plataforma para buscar apoyo psicológico y denunciar cuestiones relacionadas con el acoso sexual. También incluye la “persona de contacto” para apoyar a las supervivientes de acoso sexual y discriminación por razón de sexo. La Comisión Nacional de la Mujer y el Niño también se incluye como punto de referencia para intervenciones especializadas. Además, la Comisión Real de Administración Pública sensibilizó a todos los responsables de recursos humanos sobre la prevención del acoso sexual en el lugar de trabajo. También se llevó a cabo una sesión de orientación al respecto para 650 nuevos contratados en 2018. </w:t>
      </w:r>
    </w:p>
    <w:p w14:paraId="2DA723C8" w14:textId="7A911344" w:rsidR="00E77F78" w:rsidRPr="00197DF6" w:rsidRDefault="00E77F78" w:rsidP="001B36AA">
      <w:pPr>
        <w:pStyle w:val="SingleTxt"/>
        <w:numPr>
          <w:ilvl w:val="0"/>
          <w:numId w:val="25"/>
        </w:numPr>
        <w:ind w:left="1267"/>
        <w:rPr>
          <w:b/>
          <w:lang w:val="es-ES_tradnl"/>
        </w:rPr>
      </w:pPr>
      <w:r w:rsidRPr="00197DF6">
        <w:rPr>
          <w:lang w:val="es-ES_tradnl"/>
        </w:rPr>
        <w:t xml:space="preserve">La Comisión Nacional de la Mujer y el Niño, en colaboración con la Cámara de Comercio e Industria de </w:t>
      </w:r>
      <w:proofErr w:type="spellStart"/>
      <w:r w:rsidRPr="00197DF6">
        <w:rPr>
          <w:lang w:val="es-ES_tradnl"/>
        </w:rPr>
        <w:t>Bhután</w:t>
      </w:r>
      <w:proofErr w:type="spellEnd"/>
      <w:r w:rsidRPr="00197DF6">
        <w:rPr>
          <w:lang w:val="es-ES_tradnl"/>
        </w:rPr>
        <w:t xml:space="preserve"> y el PNUD, inició el programa Servicios de Desarrollo Sostenible en el sector privado para tratar las cuestiones de género en el sector privado y aumentar la participación de las mujeres. Como parte del programa, se llevó a cabo una evaluación de género en cuatro empresas piloto. En 2021 también se organizó un programa de formación sobre integración de la perspectiva de género, acoso sexual y cuestiones afines para más de 100 empleados de empresas privadas y 25 empleados de la Cámara de Comercio e Industria y asociaciones del sector. </w:t>
      </w:r>
    </w:p>
    <w:p w14:paraId="00147053" w14:textId="77777777" w:rsidR="00E77F78" w:rsidRPr="00197DF6" w:rsidRDefault="00E77F78" w:rsidP="00E77F78">
      <w:pPr>
        <w:pStyle w:val="SingleTxt"/>
        <w:spacing w:after="0" w:line="120" w:lineRule="exact"/>
        <w:rPr>
          <w:sz w:val="10"/>
          <w:lang w:val="es-ES_tradnl"/>
        </w:rPr>
      </w:pPr>
    </w:p>
    <w:p w14:paraId="2B25CA43"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 xml:space="preserve">Medidas para revisar la Ley del Fondo Electoral Público de </w:t>
      </w:r>
      <w:proofErr w:type="spellStart"/>
      <w:r w:rsidRPr="00197DF6">
        <w:rPr>
          <w:bCs/>
          <w:lang w:val="es-ES_tradnl"/>
        </w:rPr>
        <w:t>Bhután</w:t>
      </w:r>
      <w:proofErr w:type="spellEnd"/>
      <w:r w:rsidRPr="00197DF6">
        <w:rPr>
          <w:bCs/>
          <w:lang w:val="es-ES_tradnl"/>
        </w:rPr>
        <w:t xml:space="preserve"> de 2008</w:t>
      </w:r>
    </w:p>
    <w:p w14:paraId="63CD4953" w14:textId="77777777" w:rsidR="00E77F78" w:rsidRPr="00197DF6" w:rsidRDefault="00E77F78" w:rsidP="00E77F78">
      <w:pPr>
        <w:pStyle w:val="SingleTxt"/>
        <w:spacing w:after="0" w:line="120" w:lineRule="exact"/>
        <w:rPr>
          <w:sz w:val="10"/>
          <w:lang w:val="es-ES_tradnl"/>
        </w:rPr>
      </w:pPr>
    </w:p>
    <w:p w14:paraId="5582EC96" w14:textId="5081832A" w:rsidR="00E77F78" w:rsidRPr="00197DF6" w:rsidRDefault="00E77F78" w:rsidP="001B36AA">
      <w:pPr>
        <w:pStyle w:val="SingleTxt"/>
        <w:numPr>
          <w:ilvl w:val="0"/>
          <w:numId w:val="26"/>
        </w:numPr>
        <w:tabs>
          <w:tab w:val="clear" w:pos="475"/>
          <w:tab w:val="right" w:pos="1022"/>
        </w:tabs>
        <w:ind w:left="1267" w:right="1260"/>
        <w:rPr>
          <w:b/>
          <w:lang w:val="es-ES_tradnl"/>
        </w:rPr>
      </w:pPr>
      <w:r w:rsidRPr="00197DF6">
        <w:rPr>
          <w:lang w:val="es-ES_tradnl"/>
        </w:rPr>
        <w:t xml:space="preserve">Se está deliberando para valorar la viabilidad de proporcionar fondos electorales estatales para las elecciones de los gobiernos locales. En el debate se examinarán los beneficios de los fondos electorales para los candidatos en relación con la situación socioeconómica del país. En función de los resultados de los debates, se adoptarán las medidas oportunas. </w:t>
      </w:r>
    </w:p>
    <w:p w14:paraId="1ABB24DD" w14:textId="77777777" w:rsidR="00E77F78" w:rsidRPr="00197DF6" w:rsidRDefault="00E77F78" w:rsidP="00E77F78">
      <w:pPr>
        <w:pStyle w:val="SingleTxt"/>
        <w:spacing w:after="0" w:line="120" w:lineRule="exact"/>
        <w:rPr>
          <w:sz w:val="10"/>
          <w:lang w:val="es-ES_tradnl"/>
        </w:rPr>
      </w:pPr>
      <w:bookmarkStart w:id="11" w:name="_Toc107670427"/>
    </w:p>
    <w:p w14:paraId="1881FB1E" w14:textId="77777777" w:rsidR="00E77F78" w:rsidRPr="00197DF6" w:rsidRDefault="00E77F78" w:rsidP="00E77F78">
      <w:pPr>
        <w:pStyle w:val="SingleTxt"/>
        <w:spacing w:after="0" w:line="120" w:lineRule="exact"/>
        <w:rPr>
          <w:sz w:val="10"/>
          <w:lang w:val="es-ES_tradnl"/>
        </w:rPr>
      </w:pPr>
    </w:p>
    <w:p w14:paraId="4D8B76A7" w14:textId="77777777" w:rsidR="00E77F78" w:rsidRPr="00197DF6" w:rsidRDefault="00E77F78" w:rsidP="005976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t>Educación (respuesta a los párrafos 14 y 15)</w:t>
      </w:r>
      <w:bookmarkEnd w:id="11"/>
    </w:p>
    <w:p w14:paraId="7A53CCD1" w14:textId="77777777" w:rsidR="00E77F78" w:rsidRPr="00197DF6" w:rsidRDefault="00E77F78" w:rsidP="00E77F78">
      <w:pPr>
        <w:pStyle w:val="SingleTxt"/>
        <w:spacing w:after="0" w:line="120" w:lineRule="exact"/>
        <w:rPr>
          <w:sz w:val="10"/>
          <w:lang w:val="es-ES_tradnl"/>
        </w:rPr>
      </w:pPr>
    </w:p>
    <w:p w14:paraId="7BE55A32" w14:textId="77777777" w:rsidR="00E77F78" w:rsidRPr="00197DF6" w:rsidRDefault="00E77F78" w:rsidP="00E77F78">
      <w:pPr>
        <w:pStyle w:val="SingleTxt"/>
        <w:spacing w:after="0" w:line="120" w:lineRule="exact"/>
        <w:rPr>
          <w:sz w:val="10"/>
          <w:lang w:val="es-ES_tradnl"/>
        </w:rPr>
      </w:pPr>
    </w:p>
    <w:p w14:paraId="28C21C23"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Medidas contra la brecha de género en la educación</w:t>
      </w:r>
    </w:p>
    <w:p w14:paraId="39BE3AD0" w14:textId="77777777" w:rsidR="00E77F78" w:rsidRPr="00197DF6" w:rsidRDefault="00E77F78" w:rsidP="00E77F78">
      <w:pPr>
        <w:pStyle w:val="SingleTxt"/>
        <w:spacing w:after="0" w:line="120" w:lineRule="exact"/>
        <w:rPr>
          <w:sz w:val="10"/>
          <w:lang w:val="es-ES_tradnl"/>
        </w:rPr>
      </w:pPr>
    </w:p>
    <w:p w14:paraId="51E31E12" w14:textId="00A3C44C" w:rsidR="00E77F78" w:rsidRPr="00197DF6" w:rsidRDefault="00E77F78" w:rsidP="001B36AA">
      <w:pPr>
        <w:pStyle w:val="SingleTxt"/>
        <w:numPr>
          <w:ilvl w:val="0"/>
          <w:numId w:val="27"/>
        </w:numPr>
        <w:tabs>
          <w:tab w:val="clear" w:pos="475"/>
          <w:tab w:val="right" w:pos="1022"/>
        </w:tabs>
        <w:ind w:left="1267" w:right="1260"/>
        <w:rPr>
          <w:lang w:val="es-ES_tradnl"/>
        </w:rPr>
      </w:pPr>
      <w:r w:rsidRPr="00197DF6">
        <w:rPr>
          <w:lang w:val="es-ES_tradnl"/>
        </w:rPr>
        <w:t xml:space="preserve">El índice de paridad de género para la educación terciaria mejoró de 0,81 en 2017 a 1,06 en 2021. </w:t>
      </w:r>
    </w:p>
    <w:p w14:paraId="11057095" w14:textId="25AE531B" w:rsidR="00E77F78" w:rsidRPr="00197DF6" w:rsidRDefault="00E77F78" w:rsidP="001B36AA">
      <w:pPr>
        <w:pStyle w:val="SingleTxt"/>
        <w:numPr>
          <w:ilvl w:val="0"/>
          <w:numId w:val="27"/>
        </w:numPr>
        <w:ind w:left="1267"/>
        <w:rPr>
          <w:lang w:val="es-ES_tradnl"/>
        </w:rPr>
      </w:pPr>
      <w:r w:rsidRPr="00197DF6">
        <w:rPr>
          <w:lang w:val="es-ES_tradnl"/>
        </w:rPr>
        <w:t xml:space="preserve">La Política Nacional de Igualdad de Género establece un marco estratégico para abordar las brechas de género, especialmente en la educación terciaria. Se espera que la aplicación de la política refuerce la coordinación y la armonización de los esfuerzos sectoriales para mejorar la participación de las niñas en la educación terciaria, incluida la educación técnica y profesional. Además, el proyecto de Política Nacional de Educación tiene en cuenta el género, la condición socioeconómica y otras vulnerabilidades como criterios de acceso a los centros de enseñanza superior. La política también hace hincapié en las infraestructuras, las instalaciones, los planes de estudio y la pedagogía con perspectiva de género como una intervención importante para tratar las brechas de género en la educación. </w:t>
      </w:r>
    </w:p>
    <w:p w14:paraId="18BCC804" w14:textId="2BB6EED4" w:rsidR="00E77F78" w:rsidRPr="00197DF6" w:rsidRDefault="00E77F78" w:rsidP="001B36AA">
      <w:pPr>
        <w:pStyle w:val="SingleTxt"/>
        <w:numPr>
          <w:ilvl w:val="0"/>
          <w:numId w:val="27"/>
        </w:numPr>
        <w:ind w:left="1267"/>
        <w:rPr>
          <w:lang w:val="es-ES_tradnl"/>
        </w:rPr>
      </w:pPr>
      <w:r w:rsidRPr="00197DF6">
        <w:rPr>
          <w:lang w:val="es-ES_tradnl"/>
        </w:rPr>
        <w:t xml:space="preserve">El Ministerio de Educación sigue desarrollando las capacidades de los directores y los profesores de los colegios al considerarlo una de las intervenciones cuya acción tiene más incidencia en la creación de un entorno de enseñanza y aprendizaje que tenga en cuenta las cuestiones de género y refuerce la participación de las niñas en la educación. La enseñanza y el aprendizaje con perspectiva de género y la seguridad de los alumnos se integran en los programas regulares de desarrollo profesional de los profesores. Durante las conferencias anuales sobre educación también se sensibiliza sobre cuestiones de género y derechos de las mujeres y las niñas. </w:t>
      </w:r>
    </w:p>
    <w:p w14:paraId="1D520AA9" w14:textId="23F50CF4" w:rsidR="00E77F78" w:rsidRPr="00197DF6" w:rsidRDefault="00E77F78" w:rsidP="001B36AA">
      <w:pPr>
        <w:pStyle w:val="SingleTxt"/>
        <w:numPr>
          <w:ilvl w:val="0"/>
          <w:numId w:val="27"/>
        </w:numPr>
        <w:ind w:left="1267"/>
        <w:rPr>
          <w:lang w:val="es-ES_tradnl"/>
        </w:rPr>
      </w:pPr>
      <w:r w:rsidRPr="00197DF6">
        <w:rPr>
          <w:lang w:val="es-ES_tradnl"/>
        </w:rPr>
        <w:t xml:space="preserve">El Ministerio de Educación ayuda a las madres adolescentes a proseguir sus estudios, les ofrece la posibilidad de cambiar de escuela y les presta apoyo psicosocial a través de asesores certificados. Desde 2020, 147 centros de secundaria de todo el país cuentan con orientadores escolares certificados. </w:t>
      </w:r>
    </w:p>
    <w:p w14:paraId="6F6FBAA0" w14:textId="77777777" w:rsidR="00E77F78" w:rsidRPr="00197DF6" w:rsidRDefault="00E77F78" w:rsidP="00E77F78">
      <w:pPr>
        <w:pStyle w:val="SingleTxt"/>
        <w:spacing w:after="0" w:line="120" w:lineRule="exact"/>
        <w:rPr>
          <w:sz w:val="10"/>
          <w:lang w:val="es-ES_tradnl"/>
        </w:rPr>
      </w:pPr>
    </w:p>
    <w:p w14:paraId="2C578609"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Información desglosada sobre tasas de deserción y educación permanente</w:t>
      </w:r>
    </w:p>
    <w:p w14:paraId="34BDCF20" w14:textId="77777777" w:rsidR="00E77F78" w:rsidRPr="00197DF6" w:rsidRDefault="00E77F78" w:rsidP="00E77F78">
      <w:pPr>
        <w:pStyle w:val="SingleTxt"/>
        <w:spacing w:after="0" w:line="120" w:lineRule="exact"/>
        <w:rPr>
          <w:sz w:val="10"/>
          <w:lang w:val="es-ES_tradnl"/>
        </w:rPr>
      </w:pPr>
    </w:p>
    <w:p w14:paraId="70BFDFE1" w14:textId="69BB7C64" w:rsidR="00E77F78" w:rsidRPr="00197DF6" w:rsidRDefault="00E77F78" w:rsidP="001B36AA">
      <w:pPr>
        <w:pStyle w:val="SingleTxt"/>
        <w:numPr>
          <w:ilvl w:val="0"/>
          <w:numId w:val="27"/>
        </w:numPr>
        <w:ind w:left="1267"/>
        <w:rPr>
          <w:lang w:val="es-ES_tradnl"/>
        </w:rPr>
      </w:pPr>
      <w:r w:rsidRPr="00197DF6">
        <w:rPr>
          <w:lang w:val="es-ES_tradnl"/>
        </w:rPr>
        <w:t xml:space="preserve">Los datos desglosados globales del Ministerio de Educación sobre la educación se recopilan y gestionan a través del Sistema de Información sobre la Gestión de la Educación (EMIS) basado en la Web. El sistema dispone de indicadores clave sobre la tasa neta de escolarización, la tasa de deserción, la tasa de supervivencia, el índice de paridad de género y la formación continua, entre otros, desglosados por edad y sexo. </w:t>
      </w:r>
    </w:p>
    <w:p w14:paraId="0BFCB21A" w14:textId="589FED68" w:rsidR="00E77F78" w:rsidRPr="00197DF6" w:rsidRDefault="00E77F78" w:rsidP="001B36AA">
      <w:pPr>
        <w:pStyle w:val="SingleTxt"/>
        <w:numPr>
          <w:ilvl w:val="0"/>
          <w:numId w:val="27"/>
        </w:numPr>
        <w:ind w:left="1267"/>
        <w:rPr>
          <w:lang w:val="es-ES_tradnl"/>
        </w:rPr>
      </w:pPr>
      <w:r w:rsidRPr="00197DF6">
        <w:rPr>
          <w:lang w:val="es-ES_tradnl"/>
        </w:rPr>
        <w:t xml:space="preserve">Se llevó a cabo un estudio cualitativo sobre la deserción, la repetición y los niños que nunca asistieron a la escuela utilizando datos del Censo de Población y Vivienda de </w:t>
      </w:r>
      <w:proofErr w:type="spellStart"/>
      <w:r w:rsidRPr="00197DF6">
        <w:rPr>
          <w:lang w:val="es-ES_tradnl"/>
        </w:rPr>
        <w:t>Bhután</w:t>
      </w:r>
      <w:proofErr w:type="spellEnd"/>
      <w:r w:rsidRPr="00197DF6">
        <w:rPr>
          <w:lang w:val="es-ES_tradnl"/>
        </w:rPr>
        <w:t xml:space="preserve"> de 2017. El estudio reveló que la pobreza es una de las causas subyacentes de la deserción escolar entre los niños. Además, la evaluación del impacto de la COVID-19 en las mujeres y los niños también examinó la prevalencia de la deserción escolar entre niños y niñas debido a la pandemia. El 3 % de los padres/cuidadores (3,1 % hombres y 2,9 % mujeres) declararon que sus hijos habían abandonado los estudios. </w:t>
      </w:r>
    </w:p>
    <w:p w14:paraId="7849508E" w14:textId="0A6389E6" w:rsidR="00E77F78" w:rsidRPr="00197DF6" w:rsidRDefault="00E77F78" w:rsidP="001B36AA">
      <w:pPr>
        <w:pStyle w:val="SingleTxt"/>
        <w:numPr>
          <w:ilvl w:val="0"/>
          <w:numId w:val="27"/>
        </w:numPr>
        <w:ind w:left="1267"/>
        <w:rPr>
          <w:lang w:val="es-ES_tradnl"/>
        </w:rPr>
      </w:pPr>
      <w:r w:rsidRPr="00197DF6">
        <w:rPr>
          <w:lang w:val="es-ES_tradnl"/>
        </w:rPr>
        <w:t xml:space="preserve">Se beneficiaron del programa de educación permanente 93 mujeres y 74 hombres, y 3.629 mujeres y 1.439 hombres completaron el programa de educación no formal (ENF) en 2021. En los centros de aprendizaje comunitario se ofrecen oportunidades de aprendizaje permanente a quienes han seguido cursos básicos y de </w:t>
      </w:r>
      <w:proofErr w:type="spellStart"/>
      <w:r w:rsidRPr="00197DF6">
        <w:rPr>
          <w:lang w:val="es-ES_tradnl"/>
        </w:rPr>
        <w:t>postalfabetización</w:t>
      </w:r>
      <w:proofErr w:type="spellEnd"/>
      <w:r w:rsidRPr="00197DF6">
        <w:rPr>
          <w:lang w:val="es-ES_tradnl"/>
        </w:rPr>
        <w:t xml:space="preserve"> y a los jóvenes sin escolarizar. En 2021, 310 mujeres y 34 hombres aprovecharon los recursos de estos centros</w:t>
      </w:r>
      <w:r w:rsidRPr="00197DF6">
        <w:rPr>
          <w:vertAlign w:val="superscript"/>
          <w:lang w:val="es-ES_tradnl"/>
        </w:rPr>
        <w:footnoteReference w:id="33"/>
      </w:r>
      <w:r w:rsidRPr="00197DF6">
        <w:rPr>
          <w:lang w:val="es-ES_tradnl"/>
        </w:rPr>
        <w:t xml:space="preserve">. </w:t>
      </w:r>
    </w:p>
    <w:p w14:paraId="2FA451DF" w14:textId="77777777" w:rsidR="00E77F78" w:rsidRPr="00197DF6" w:rsidRDefault="00E77F78" w:rsidP="00E77F78">
      <w:pPr>
        <w:pStyle w:val="SingleTxt"/>
        <w:spacing w:after="0" w:line="120" w:lineRule="exact"/>
        <w:rPr>
          <w:sz w:val="10"/>
          <w:lang w:val="es-ES_tradnl"/>
        </w:rPr>
      </w:pPr>
    </w:p>
    <w:p w14:paraId="4DE59C45"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Educación sexual integral</w:t>
      </w:r>
      <w:r w:rsidRPr="00197DF6">
        <w:rPr>
          <w:lang w:val="es-ES_tradnl"/>
        </w:rPr>
        <w:t xml:space="preserve"> </w:t>
      </w:r>
    </w:p>
    <w:p w14:paraId="7CA8EF1C" w14:textId="77777777" w:rsidR="00E77F78" w:rsidRPr="00197DF6" w:rsidRDefault="00E77F78" w:rsidP="00E77F78">
      <w:pPr>
        <w:pStyle w:val="SingleTxt"/>
        <w:keepNext/>
        <w:keepLines/>
        <w:spacing w:after="0" w:line="120" w:lineRule="exact"/>
        <w:rPr>
          <w:sz w:val="10"/>
          <w:lang w:val="es-ES_tradnl"/>
        </w:rPr>
      </w:pPr>
    </w:p>
    <w:p w14:paraId="77EA0286" w14:textId="294D4BC5" w:rsidR="00E77F78" w:rsidRPr="00197DF6" w:rsidRDefault="00E77F78" w:rsidP="001B36AA">
      <w:pPr>
        <w:pStyle w:val="SingleTxt"/>
        <w:numPr>
          <w:ilvl w:val="0"/>
          <w:numId w:val="27"/>
        </w:numPr>
        <w:ind w:left="1267"/>
        <w:rPr>
          <w:lang w:val="es-ES_tradnl"/>
        </w:rPr>
      </w:pPr>
      <w:r w:rsidRPr="00197DF6">
        <w:rPr>
          <w:lang w:val="es-ES_tradnl"/>
        </w:rPr>
        <w:t xml:space="preserve">El primer Marco Estratégico Nacional sobre Educación Sexual Integral se puso en marcha en 2021 para garantizar la aplicación uniforme y sistemática de la Educación Sexual Integral (ESI) en las escuelas. Se integra en siete asignaturas desde la clase PP-XII. Posteriormente, se formó a la dirección y al personal de la escuela. En todas las escuelas se imparte también una asignatura independiente sobre ESI. La ESI y la educación en competencias para la vida también se imparten en </w:t>
      </w:r>
      <w:proofErr w:type="spellStart"/>
      <w:r w:rsidRPr="00197DF6">
        <w:rPr>
          <w:i/>
          <w:iCs/>
          <w:lang w:val="es-ES_tradnl"/>
        </w:rPr>
        <w:t>dzongkha</w:t>
      </w:r>
      <w:proofErr w:type="spellEnd"/>
      <w:r w:rsidRPr="00197DF6">
        <w:rPr>
          <w:iCs/>
          <w:vertAlign w:val="superscript"/>
          <w:lang w:val="es-ES_tradnl"/>
        </w:rPr>
        <w:footnoteReference w:id="34"/>
      </w:r>
      <w:r w:rsidRPr="00197DF6">
        <w:rPr>
          <w:lang w:val="es-ES_tradnl"/>
        </w:rPr>
        <w:t>, y se enseñan en monasterios y conventos.</w:t>
      </w:r>
    </w:p>
    <w:p w14:paraId="676FCA89" w14:textId="15609052" w:rsidR="00E77F78" w:rsidRPr="00197DF6" w:rsidRDefault="00E77F78" w:rsidP="001B36AA">
      <w:pPr>
        <w:pStyle w:val="SingleTxt"/>
        <w:numPr>
          <w:ilvl w:val="0"/>
          <w:numId w:val="27"/>
        </w:numPr>
        <w:ind w:left="1267"/>
        <w:rPr>
          <w:lang w:val="es-ES_tradnl"/>
        </w:rPr>
      </w:pPr>
      <w:r w:rsidRPr="00197DF6">
        <w:rPr>
          <w:lang w:val="es-ES_tradnl"/>
        </w:rPr>
        <w:t>Todos los profesores en prácticas cursan un módulo completo no acreditado de 60 horas sobre ESI. Las facultades de educación también elaboraron un manual del facilitador de ESI para estos profesores. Además, organizan conferencias y seminarios periódicos sobre la salud sexual y reproductiva de los adolescentes que cuentan con la participación de parlamentarios, académicos, funcionarios públicos, organizaciones de la sociedad civil y asociados para el desarrollo.</w:t>
      </w:r>
    </w:p>
    <w:p w14:paraId="46B9CD59" w14:textId="348D65C4" w:rsidR="00E77F78" w:rsidRPr="00197DF6" w:rsidRDefault="00E77F78" w:rsidP="001B36AA">
      <w:pPr>
        <w:pStyle w:val="SingleTxt"/>
        <w:numPr>
          <w:ilvl w:val="0"/>
          <w:numId w:val="27"/>
        </w:numPr>
        <w:ind w:left="1267"/>
        <w:rPr>
          <w:lang w:val="es-ES_tradnl"/>
        </w:rPr>
      </w:pPr>
      <w:r w:rsidRPr="00197DF6">
        <w:rPr>
          <w:lang w:val="es-ES_tradnl"/>
        </w:rPr>
        <w:t xml:space="preserve">Los módulos sobre violencia de género y salud sexual y reproductiva se integran en el manual de los scouts, y los líderes scouts reciben formación sobre el manual revisado. Esta iniciativa permitirá a los alumnos aprender sobre educación sexual a través de diversos aprendizajes en el exterior y en un contexto de trabajo en equipo. </w:t>
      </w:r>
    </w:p>
    <w:p w14:paraId="6107B888" w14:textId="2F85F116" w:rsidR="00E77F78" w:rsidRPr="00197DF6" w:rsidRDefault="00E77F78" w:rsidP="001B36AA">
      <w:pPr>
        <w:pStyle w:val="SingleTxt"/>
        <w:numPr>
          <w:ilvl w:val="0"/>
          <w:numId w:val="27"/>
        </w:numPr>
        <w:ind w:left="1267"/>
        <w:rPr>
          <w:lang w:val="es-ES_tradnl"/>
        </w:rPr>
      </w:pPr>
      <w:r w:rsidRPr="00197DF6">
        <w:rPr>
          <w:lang w:val="es-ES_tradnl"/>
        </w:rPr>
        <w:t xml:space="preserve">Se elaboraron materiales de aprendizaje y capacitación en competencias de ESI para profesores en servicio y estudiantes con discapacidad visual en 23 escuelas prioritarias en 16 distritos, incluido el </w:t>
      </w:r>
      <w:proofErr w:type="spellStart"/>
      <w:r w:rsidRPr="00197DF6">
        <w:rPr>
          <w:lang w:val="es-ES_tradnl"/>
        </w:rPr>
        <w:t>Muenseling</w:t>
      </w:r>
      <w:proofErr w:type="spellEnd"/>
      <w:r w:rsidRPr="00197DF6">
        <w:rPr>
          <w:vertAlign w:val="superscript"/>
          <w:lang w:val="es-ES_tradnl"/>
        </w:rPr>
        <w:footnoteReference w:id="35"/>
      </w:r>
      <w:r w:rsidRPr="00197DF6">
        <w:rPr>
          <w:lang w:val="es-ES_tradnl"/>
        </w:rPr>
        <w:t xml:space="preserve"> </w:t>
      </w:r>
      <w:proofErr w:type="spellStart"/>
      <w:r w:rsidRPr="00197DF6">
        <w:rPr>
          <w:lang w:val="es-ES_tradnl"/>
        </w:rPr>
        <w:t>Institute</w:t>
      </w:r>
      <w:proofErr w:type="spellEnd"/>
      <w:r w:rsidRPr="00197DF6">
        <w:rPr>
          <w:lang w:val="es-ES_tradnl"/>
        </w:rPr>
        <w:t xml:space="preserve"> y sus dos escuelas hermanas en </w:t>
      </w:r>
      <w:proofErr w:type="spellStart"/>
      <w:r w:rsidRPr="00197DF6">
        <w:rPr>
          <w:lang w:val="es-ES_tradnl"/>
        </w:rPr>
        <w:t>Khaling</w:t>
      </w:r>
      <w:proofErr w:type="spellEnd"/>
      <w:r w:rsidRPr="00197DF6">
        <w:rPr>
          <w:lang w:val="es-ES_tradnl"/>
        </w:rPr>
        <w:t xml:space="preserve">. </w:t>
      </w:r>
    </w:p>
    <w:p w14:paraId="003F1426" w14:textId="77777777" w:rsidR="00E77F78" w:rsidRPr="00197DF6" w:rsidRDefault="00E77F78" w:rsidP="00E77F78">
      <w:pPr>
        <w:pStyle w:val="SingleTxt"/>
        <w:spacing w:after="0" w:line="120" w:lineRule="exact"/>
        <w:rPr>
          <w:sz w:val="10"/>
          <w:lang w:val="es-ES_tradnl"/>
        </w:rPr>
      </w:pPr>
    </w:p>
    <w:p w14:paraId="0EF4A803"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Medidas para animar a las niñas a cursar estudios tradicionalmente masculinos</w:t>
      </w:r>
    </w:p>
    <w:p w14:paraId="5ADE2307" w14:textId="77777777" w:rsidR="00E77F78" w:rsidRPr="00197DF6" w:rsidRDefault="00E77F78" w:rsidP="00E77F78">
      <w:pPr>
        <w:pStyle w:val="SingleTxt"/>
        <w:spacing w:after="0" w:line="120" w:lineRule="exact"/>
        <w:rPr>
          <w:sz w:val="10"/>
          <w:lang w:val="es-ES_tradnl"/>
        </w:rPr>
      </w:pPr>
    </w:p>
    <w:p w14:paraId="16F2A4A2" w14:textId="4A1BD35F" w:rsidR="00E77F78" w:rsidRPr="00197DF6" w:rsidRDefault="00E77F78" w:rsidP="001B36AA">
      <w:pPr>
        <w:pStyle w:val="SingleTxt"/>
        <w:numPr>
          <w:ilvl w:val="0"/>
          <w:numId w:val="27"/>
        </w:numPr>
        <w:ind w:left="1267"/>
        <w:rPr>
          <w:lang w:val="es-ES_tradnl"/>
        </w:rPr>
      </w:pPr>
      <w:r w:rsidRPr="00197DF6">
        <w:rPr>
          <w:lang w:val="es-ES_tradnl"/>
        </w:rPr>
        <w:t xml:space="preserve">En el 12º plan quinquenal el Ministerio de Educación está llevando a cabo varias intervenciones para promover la educación técnica y profesional, que se consideran campos de estudio dominados por los hombres. Por ejemplo, un marco sobre la enseñanza y formación técnica y profesional (EFTP) desde la clase PP-XII y vías alternativas mediante la inclusión en los planes de estudio de las clases PP-III; clubes profesionales en las clases IV-VIII; programa de orientación preprofesional en las clases VII-VIII; y cursos escolares de EFTP como optativas en las clases IX-XII. </w:t>
      </w:r>
    </w:p>
    <w:p w14:paraId="75A2A5C7" w14:textId="2888BE07" w:rsidR="00E77F78" w:rsidRPr="00197DF6" w:rsidRDefault="00E77F78" w:rsidP="001B36AA">
      <w:pPr>
        <w:pStyle w:val="SingleTxt"/>
        <w:numPr>
          <w:ilvl w:val="0"/>
          <w:numId w:val="27"/>
        </w:numPr>
        <w:ind w:left="1267"/>
        <w:rPr>
          <w:lang w:val="es-ES_tradnl"/>
        </w:rPr>
      </w:pPr>
      <w:r w:rsidRPr="00197DF6">
        <w:rPr>
          <w:lang w:val="es-ES_tradnl"/>
        </w:rPr>
        <w:t xml:space="preserve">La EFTP se introdujo como asignatura optativa en la clase IX en siete escuelas piloto durante el curso 2020, y se ampliará a las clases X-XII en los años siguientes. Asimismo, se contratan instructores de formación adicionales, se les brinda capacitación en pedagogía y luego se les destina a escuelas piloto. Se espera que la integración de la EFTP en las escuelas elimine las barreras estereotipadas que disuaden a las chicas de dedicarse a estos campos. </w:t>
      </w:r>
    </w:p>
    <w:p w14:paraId="7BBEB5B5" w14:textId="20EED635" w:rsidR="00E77F78" w:rsidRPr="00197DF6" w:rsidRDefault="00E77F78" w:rsidP="001B36AA">
      <w:pPr>
        <w:pStyle w:val="SingleTxt"/>
        <w:numPr>
          <w:ilvl w:val="0"/>
          <w:numId w:val="27"/>
        </w:numPr>
        <w:ind w:left="1267"/>
        <w:rPr>
          <w:lang w:val="es-ES_tradnl"/>
        </w:rPr>
      </w:pPr>
      <w:r w:rsidRPr="00197DF6">
        <w:rPr>
          <w:lang w:val="es-ES_tradnl"/>
        </w:rPr>
        <w:t xml:space="preserve">Para eliminar los estereotipos tradicionales en torno a la segregación ocupacional de género y promover los cursos de ciencia, tecnología, ingeniería y matemáticas (CTIM) y las ocupaciones relacionadas entre las niñas, la Comisión Nacional para la UNESCO de </w:t>
      </w:r>
      <w:proofErr w:type="spellStart"/>
      <w:r w:rsidRPr="00197DF6">
        <w:rPr>
          <w:lang w:val="es-ES_tradnl"/>
        </w:rPr>
        <w:t>Bhután</w:t>
      </w:r>
      <w:proofErr w:type="spellEnd"/>
      <w:r w:rsidRPr="00197DF6">
        <w:rPr>
          <w:lang w:val="es-ES_tradnl"/>
        </w:rPr>
        <w:t xml:space="preserve">, en colaboración con los organismos gubernamentales pertinentes, organizó unas jornadas de invierno en 2021 en el que se impartieron conocimientos de robótica, codificación y ciencias, entre otros. Estas jornadas contaron con la participación de 48 niñas. </w:t>
      </w:r>
    </w:p>
    <w:p w14:paraId="5E4DC8AE" w14:textId="059C638F" w:rsidR="00E77F78" w:rsidRPr="00197DF6" w:rsidRDefault="00E77F78" w:rsidP="001B36AA">
      <w:pPr>
        <w:pStyle w:val="SingleTxt"/>
        <w:numPr>
          <w:ilvl w:val="0"/>
          <w:numId w:val="27"/>
        </w:numPr>
        <w:ind w:left="1267"/>
        <w:rPr>
          <w:lang w:val="es-ES_tradnl"/>
        </w:rPr>
      </w:pPr>
      <w:r w:rsidRPr="00197DF6">
        <w:rPr>
          <w:lang w:val="es-ES_tradnl"/>
        </w:rPr>
        <w:t xml:space="preserve">Nueve becarios de </w:t>
      </w:r>
      <w:proofErr w:type="spellStart"/>
      <w:r w:rsidRPr="00197DF6">
        <w:rPr>
          <w:lang w:val="es-ES_tradnl"/>
        </w:rPr>
        <w:t>Bhután</w:t>
      </w:r>
      <w:proofErr w:type="spellEnd"/>
      <w:r w:rsidRPr="00197DF6">
        <w:rPr>
          <w:lang w:val="es-ES_tradnl"/>
        </w:rPr>
        <w:t xml:space="preserve">, entre ellos cinco mujeres, participaron en 2020 en un programa de creación de capacidades con la Administración Nacional de Aeronáutica y el Espacio (NASA), en el marco de un acuerdo interinstitucional plurianual para reforzar las bases de la ciencia, la tecnología, la ingeniería y las matemáticas en </w:t>
      </w:r>
      <w:proofErr w:type="spellStart"/>
      <w:r w:rsidRPr="00197DF6">
        <w:rPr>
          <w:lang w:val="es-ES_tradnl"/>
        </w:rPr>
        <w:t>Bhután</w:t>
      </w:r>
      <w:proofErr w:type="spellEnd"/>
      <w:r w:rsidRPr="00197DF6">
        <w:rPr>
          <w:lang w:val="es-ES_tradnl"/>
        </w:rPr>
        <w:t xml:space="preserve">. El programa y sus experiencias se difundieron a través de los medios de comunicación para animar a más niñas y mujeres jóvenes a dedicarse a estos campos de estudio. </w:t>
      </w:r>
    </w:p>
    <w:p w14:paraId="691892A6" w14:textId="5BA4102E" w:rsidR="00E77F78" w:rsidRPr="00197DF6" w:rsidRDefault="00E77F78" w:rsidP="001B36AA">
      <w:pPr>
        <w:pStyle w:val="SingleTxt"/>
        <w:numPr>
          <w:ilvl w:val="0"/>
          <w:numId w:val="27"/>
        </w:numPr>
        <w:ind w:left="1267"/>
        <w:rPr>
          <w:lang w:val="es-ES_tradnl"/>
        </w:rPr>
      </w:pPr>
      <w:r w:rsidRPr="00197DF6">
        <w:rPr>
          <w:lang w:val="es-ES_tradnl"/>
        </w:rPr>
        <w:t xml:space="preserve">Las principales empresas eléctricas del país están llevando a cabo intervenciones en cuatro pilares: promover la educación en CTIM entre las niñas; contratar mujeres; ofrecer oportunidades de desarrollo profesional a las empleadas; y adoptar cambios políticos e institucionales para aumentar la participación de las mujeres en el sector eléctrico. Su puesta en marcha responde al compromiso contraído como miembro institucional de la South Asia </w:t>
      </w:r>
      <w:proofErr w:type="spellStart"/>
      <w:r w:rsidRPr="00197DF6">
        <w:rPr>
          <w:lang w:val="es-ES_tradnl"/>
        </w:rPr>
        <w:t>Women</w:t>
      </w:r>
      <w:proofErr w:type="spellEnd"/>
      <w:r w:rsidRPr="00197DF6">
        <w:rPr>
          <w:lang w:val="es-ES_tradnl"/>
        </w:rPr>
        <w:t xml:space="preserve"> in </w:t>
      </w:r>
      <w:proofErr w:type="spellStart"/>
      <w:r w:rsidRPr="00197DF6">
        <w:rPr>
          <w:lang w:val="es-ES_tradnl"/>
        </w:rPr>
        <w:t>Power</w:t>
      </w:r>
      <w:proofErr w:type="spellEnd"/>
      <w:r w:rsidRPr="00197DF6">
        <w:rPr>
          <w:lang w:val="es-ES_tradnl"/>
        </w:rPr>
        <w:t xml:space="preserve"> Sector Professional Network (</w:t>
      </w:r>
      <w:proofErr w:type="spellStart"/>
      <w:r w:rsidRPr="00197DF6">
        <w:rPr>
          <w:lang w:val="es-ES_tradnl"/>
        </w:rPr>
        <w:t>WePOWER</w:t>
      </w:r>
      <w:proofErr w:type="spellEnd"/>
      <w:r w:rsidRPr="00197DF6">
        <w:rPr>
          <w:lang w:val="es-ES_tradnl"/>
        </w:rPr>
        <w:t>).</w:t>
      </w:r>
    </w:p>
    <w:p w14:paraId="6EBEE988" w14:textId="400DAD7F" w:rsidR="00E77F78" w:rsidRPr="00197DF6" w:rsidRDefault="00E77F78" w:rsidP="001B36AA">
      <w:pPr>
        <w:pStyle w:val="SingleTxt"/>
        <w:numPr>
          <w:ilvl w:val="0"/>
          <w:numId w:val="27"/>
        </w:numPr>
        <w:ind w:left="1267"/>
        <w:rPr>
          <w:lang w:val="es-ES_tradnl"/>
        </w:rPr>
      </w:pPr>
      <w:r w:rsidRPr="00197DF6">
        <w:rPr>
          <w:lang w:val="es-ES_tradnl"/>
        </w:rPr>
        <w:t>El proyecto de EFTP (2016-2026), que articula una visión estratégica a largo plazo para orientar las reformas y el nuevo desarrollo del sector, está siendo aplicado por el Ministerio de Trabajo y Recursos Humanos. La estrategia reconoce la necesidad de aumentar la participación de mujeres y niñas en el sector recurriendo a medidas como la creación de entornos favorables a la igualdad de género. En 2021, 283 mujeres y niñas se matricularon en ocho Institutos de Formación Técnica dependientes del Ministerio de Derechos Humanos.</w:t>
      </w:r>
    </w:p>
    <w:p w14:paraId="2D11F095" w14:textId="67C5B37B" w:rsidR="00E77F78" w:rsidRPr="00197DF6" w:rsidRDefault="00E77F78" w:rsidP="001B36AA">
      <w:pPr>
        <w:pStyle w:val="SingleTxt"/>
        <w:numPr>
          <w:ilvl w:val="0"/>
          <w:numId w:val="27"/>
        </w:numPr>
        <w:ind w:left="1267"/>
        <w:rPr>
          <w:lang w:val="es-ES_tradnl"/>
        </w:rPr>
      </w:pPr>
      <w:r w:rsidRPr="00197DF6">
        <w:rPr>
          <w:lang w:val="es-ES_tradnl"/>
        </w:rPr>
        <w:t xml:space="preserve">Cada vez son más las mujeres y niñas que buscan formación y empleo en ámbitos dominados por los hombres. Entre 2020 y 2021, 293 mujeres participaron en proyectos de capacitación relacionados con la construcción, como carpintería, albañilería, soldadura, fontanería, pintura y cableado. Además, de los 3.219 participantes en programas de formación profesional de corta duración organizados por el Ministerio de Trabajo y Recursos Humanos entre 2020 y 2021, el 40,35 % eran mujeres y niñas. </w:t>
      </w:r>
    </w:p>
    <w:p w14:paraId="24474671" w14:textId="77777777" w:rsidR="00E77F78" w:rsidRPr="00197DF6" w:rsidRDefault="00E77F78" w:rsidP="00E77F78">
      <w:pPr>
        <w:pStyle w:val="SingleTxt"/>
        <w:spacing w:after="0" w:line="120" w:lineRule="exact"/>
        <w:rPr>
          <w:sz w:val="10"/>
          <w:lang w:val="es-ES_tradnl"/>
        </w:rPr>
      </w:pPr>
    </w:p>
    <w:p w14:paraId="5D662D5F" w14:textId="77777777" w:rsidR="00E77F78" w:rsidRPr="00197DF6" w:rsidRDefault="00E77F78" w:rsidP="00E77F78">
      <w:pPr>
        <w:pStyle w:val="SingleTxt"/>
        <w:spacing w:after="0" w:line="120" w:lineRule="exact"/>
        <w:rPr>
          <w:sz w:val="10"/>
          <w:lang w:val="es-ES_tradnl"/>
        </w:rPr>
      </w:pPr>
    </w:p>
    <w:p w14:paraId="33E78AED" w14:textId="77777777" w:rsidR="00E77F78" w:rsidRPr="00197DF6" w:rsidRDefault="00E77F78" w:rsidP="004D34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97DF6">
        <w:rPr>
          <w:lang w:val="es-ES_tradnl"/>
        </w:rPr>
        <w:tab/>
      </w:r>
      <w:r w:rsidRPr="00197DF6">
        <w:rPr>
          <w:lang w:val="es-ES_tradnl"/>
        </w:rPr>
        <w:tab/>
        <w:t>Empleo (respuestas al párrafo 16)</w:t>
      </w:r>
      <w:bookmarkStart w:id="12" w:name="_Hlk108523626"/>
      <w:bookmarkEnd w:id="12"/>
    </w:p>
    <w:p w14:paraId="4F1EA44D" w14:textId="710AE7EE" w:rsidR="00E77F78" w:rsidRPr="00197DF6" w:rsidRDefault="00E77F78" w:rsidP="00E77F78">
      <w:pPr>
        <w:pStyle w:val="SingleTxt"/>
        <w:spacing w:after="0" w:line="120" w:lineRule="exact"/>
        <w:rPr>
          <w:sz w:val="10"/>
          <w:lang w:val="es-ES_tradnl"/>
        </w:rPr>
      </w:pPr>
    </w:p>
    <w:p w14:paraId="4A708900" w14:textId="77777777" w:rsidR="0059760E" w:rsidRPr="00197DF6" w:rsidRDefault="0059760E" w:rsidP="00E77F78">
      <w:pPr>
        <w:pStyle w:val="SingleTxt"/>
        <w:spacing w:after="0" w:line="120" w:lineRule="exact"/>
        <w:rPr>
          <w:sz w:val="10"/>
          <w:lang w:val="es-ES_tradnl"/>
        </w:rPr>
      </w:pPr>
    </w:p>
    <w:p w14:paraId="659202F9"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Participación de las mujeres en la fuerza de trabajo</w:t>
      </w:r>
    </w:p>
    <w:p w14:paraId="2D8904F7" w14:textId="77777777" w:rsidR="00E77F78" w:rsidRPr="00197DF6" w:rsidRDefault="00E77F78" w:rsidP="00E77F78">
      <w:pPr>
        <w:pStyle w:val="SingleTxt"/>
        <w:spacing w:after="0" w:line="120" w:lineRule="exact"/>
        <w:rPr>
          <w:sz w:val="10"/>
          <w:lang w:val="es-ES_tradnl"/>
        </w:rPr>
      </w:pPr>
    </w:p>
    <w:p w14:paraId="7C9050E4" w14:textId="097B0680" w:rsidR="00E77F78" w:rsidRPr="00197DF6" w:rsidRDefault="00E77F78" w:rsidP="001B36AA">
      <w:pPr>
        <w:pStyle w:val="SingleTxt"/>
        <w:numPr>
          <w:ilvl w:val="0"/>
          <w:numId w:val="27"/>
        </w:numPr>
        <w:ind w:left="1267"/>
        <w:rPr>
          <w:lang w:val="es-ES_tradnl"/>
        </w:rPr>
      </w:pPr>
      <w:r w:rsidRPr="00197DF6">
        <w:rPr>
          <w:lang w:val="es-ES_tradnl"/>
        </w:rPr>
        <w:t xml:space="preserve">La participación de las mujeres en la fuerza de trabajo aumentó del 63,5 % en 2020 al 65,3 % en 2021. Se observó que la tasa de participación en la fuerza de trabajo de los hombres era más elevada en las zonas urbanas, mientras que la de las mujeres era más elevada en las zonas rurales. Esto se debe principalmente a que la mayoría de las mujeres trabaja en el sector agrícola. Si bien la tasa de desempleo global ha disminuido del 5 % en 2020 al 4,8 % en 2021, la tasa de desempleo entre las mujeres aumentó del 6 % al 6,1 % en el mismo período. </w:t>
      </w:r>
    </w:p>
    <w:p w14:paraId="477C40E0" w14:textId="4FB509E8" w:rsidR="00E77F78" w:rsidRPr="00197DF6" w:rsidRDefault="00E77F78" w:rsidP="001B36AA">
      <w:pPr>
        <w:pStyle w:val="SingleTxt"/>
        <w:numPr>
          <w:ilvl w:val="0"/>
          <w:numId w:val="27"/>
        </w:numPr>
        <w:ind w:left="1267"/>
        <w:rPr>
          <w:lang w:val="es-ES_tradnl"/>
        </w:rPr>
      </w:pPr>
      <w:r w:rsidRPr="00197DF6">
        <w:rPr>
          <w:lang w:val="es-ES_tradnl"/>
        </w:rPr>
        <w:t xml:space="preserve">La Política de Empresas Familiares y Pequeña Industria de 2019 proporciona un marco político general para promover la participación de las mujeres en este sector a través del desarrollo de un grupo diverso de empresas de este tipo para satisfacer la demanda del mercado laboral. Se centra especialmente en la igualdad de género y en los servicios preferentes de desarrollo empresarial. Las intervenciones previstas incluyen la capacitación de las mujeres empresarias y la institucionalización de premios como el de “mujer empresaria del año” para fomentar la participación de más mujeres empresarias. </w:t>
      </w:r>
    </w:p>
    <w:p w14:paraId="04D1A992" w14:textId="6F49E5F7" w:rsidR="00E77F78" w:rsidRPr="00197DF6" w:rsidRDefault="00E77F78" w:rsidP="001B36AA">
      <w:pPr>
        <w:pStyle w:val="SingleTxt"/>
        <w:numPr>
          <w:ilvl w:val="0"/>
          <w:numId w:val="27"/>
        </w:numPr>
        <w:ind w:left="1267"/>
        <w:rPr>
          <w:lang w:val="es-ES_tradnl"/>
        </w:rPr>
      </w:pPr>
      <w:r w:rsidRPr="00197DF6">
        <w:rPr>
          <w:lang w:val="es-ES_tradnl"/>
        </w:rPr>
        <w:t xml:space="preserve">La creación de oportunidades de empleo productivo y remunerado es una de las áreas clave del 12º plan quinquenal. Para ello se han puesto en marcha estrategias que incluyen la diversificación de la economía; el impulso al crecimiento del turismo, la industria manufacturera y la pequeña industria; la prestación de servicios especializados de inserción laboral; la cualificación de la mano de obra; la promoción del espíritu empresarial y la dotación de incentivos a los gobiernos locales para que generen oportunidades de empleo. </w:t>
      </w:r>
    </w:p>
    <w:p w14:paraId="7A62F17F" w14:textId="01082906" w:rsidR="00E77F78" w:rsidRPr="00197DF6" w:rsidRDefault="00E77F78" w:rsidP="001B36AA">
      <w:pPr>
        <w:pStyle w:val="SingleTxt"/>
        <w:numPr>
          <w:ilvl w:val="0"/>
          <w:numId w:val="27"/>
        </w:numPr>
        <w:ind w:left="1267"/>
        <w:rPr>
          <w:lang w:val="es-ES_tradnl"/>
        </w:rPr>
      </w:pPr>
      <w:r w:rsidRPr="00197DF6">
        <w:rPr>
          <w:lang w:val="es-ES_tradnl"/>
        </w:rPr>
        <w:t xml:space="preserve">El Gobierno puso en marcha en 2019 el Programa de Participación Juvenil y Medios de Vida, en el que se ofrecen ayudas en forma de subsidios salariales a los demandantes de empleo y oportunidades para adquirir experiencia en el puesto de trabajo. Participaron en este programa 620 jóvenes de sexo femenino y 394 de sexo masculino. Hasta la pandemia, el Gobierno siguió aplicando el Plan de Empleo Directo para aumentar la empleabilidad de los jóvenes. Entre julio de 2017 y junio de 2018, 752 hombres y 885 mujeres demandantes de empleo fueron contratados. </w:t>
      </w:r>
    </w:p>
    <w:p w14:paraId="40D77C77" w14:textId="311A7B0F" w:rsidR="00E77F78" w:rsidRPr="00197DF6" w:rsidRDefault="00E77F78" w:rsidP="001B36AA">
      <w:pPr>
        <w:pStyle w:val="SingleTxt"/>
        <w:numPr>
          <w:ilvl w:val="0"/>
          <w:numId w:val="27"/>
        </w:numPr>
        <w:ind w:left="1267"/>
        <w:rPr>
          <w:lang w:val="es-ES_tradnl"/>
        </w:rPr>
      </w:pPr>
      <w:r w:rsidRPr="00197DF6">
        <w:rPr>
          <w:lang w:val="es-ES_tradnl"/>
        </w:rPr>
        <w:t xml:space="preserve">El proyecto </w:t>
      </w:r>
      <w:proofErr w:type="spellStart"/>
      <w:r w:rsidRPr="00197DF6">
        <w:rPr>
          <w:lang w:val="es-ES_tradnl"/>
        </w:rPr>
        <w:t>Build</w:t>
      </w:r>
      <w:proofErr w:type="spellEnd"/>
      <w:r w:rsidRPr="00197DF6">
        <w:rPr>
          <w:lang w:val="es-ES_tradnl"/>
        </w:rPr>
        <w:t xml:space="preserve"> </w:t>
      </w:r>
      <w:proofErr w:type="spellStart"/>
      <w:r w:rsidRPr="00197DF6">
        <w:rPr>
          <w:lang w:val="es-ES_tradnl"/>
        </w:rPr>
        <w:t>Bhutan</w:t>
      </w:r>
      <w:proofErr w:type="spellEnd"/>
      <w:r w:rsidRPr="00197DF6">
        <w:rPr>
          <w:lang w:val="es-ES_tradnl"/>
        </w:rPr>
        <w:t xml:space="preserve"> se inauguró en julio de 2020 en el marco del plan de contingencia económica durante la pandemia. Se centraba en la recualificación de los jóvenes para trabajar en el sector de la construcción. Ha formado a 535 mujeres jóvenes y 1.587 hombres, y ha conseguido contratos para 309 mujeres y 741 hombres en el sector de la construcción y para 93 mujeres y 587 hombres en el sector hidroeléctrico. Como resultado de la iniciativa, también se han creado 54 empresas especializadas. </w:t>
      </w:r>
    </w:p>
    <w:p w14:paraId="25CEA74A" w14:textId="5FEFCAE9" w:rsidR="00E77F78" w:rsidRPr="00197DF6" w:rsidRDefault="00E77F78" w:rsidP="001B36AA">
      <w:pPr>
        <w:pStyle w:val="SingleTxt"/>
        <w:numPr>
          <w:ilvl w:val="0"/>
          <w:numId w:val="27"/>
        </w:numPr>
        <w:ind w:left="1267"/>
        <w:rPr>
          <w:lang w:val="es-ES_tradnl"/>
        </w:rPr>
      </w:pPr>
      <w:r w:rsidRPr="00197DF6">
        <w:rPr>
          <w:lang w:val="es-ES_tradnl"/>
        </w:rPr>
        <w:t xml:space="preserve">El Programa de Desarrollo de Competencias se puso en marcha en octubre de 2021 como una colaboración entre el Ministerio de Trabajo y Recursos Humanos, las organizaciones de la sociedad civil y los proveedores de formación públicos y privados. Está concebido como apoyo a la cualificación de la mano de obra, en particular de los jóvenes. También se llevó a cabo una evaluación medioambiental y social para garantizar que el programa responde a las necesidades de todos los géneros y que el entorno es propicio para las mujeres solicitantes de empleo. Hasta abril de 2021, 185 hombres y 103 mujeres han completado el programa. Actualmente hay 226 hombres y 173 mujeres en formación. </w:t>
      </w:r>
    </w:p>
    <w:p w14:paraId="03F4955B" w14:textId="0D483788" w:rsidR="00E77F78" w:rsidRPr="00197DF6" w:rsidRDefault="00E77F78" w:rsidP="001B36AA">
      <w:pPr>
        <w:pStyle w:val="SingleTxt"/>
        <w:numPr>
          <w:ilvl w:val="0"/>
          <w:numId w:val="27"/>
        </w:numPr>
        <w:ind w:left="1267"/>
        <w:rPr>
          <w:lang w:val="es-ES_tradnl"/>
        </w:rPr>
      </w:pPr>
      <w:r w:rsidRPr="00197DF6">
        <w:rPr>
          <w:lang w:val="es-ES_tradnl"/>
        </w:rPr>
        <w:t xml:space="preserve">El Programa de Formación en Competencias Críticas también se imparte en colaboración con proveedores de formación públicos y privados. La mayoría de los cursos que ofrece el programa son aptos para hombres y mujeres. También se dirige a las personas con discapacidad. Además, se facilitó el acceso a habilidades en línea y oportunidades de trabajo independiente en asociación con varias plataformas virtuales. </w:t>
      </w:r>
    </w:p>
    <w:p w14:paraId="591284DF" w14:textId="26872756" w:rsidR="00E77F78" w:rsidRPr="00197DF6" w:rsidRDefault="00E77F78" w:rsidP="001B36AA">
      <w:pPr>
        <w:pStyle w:val="SingleTxt"/>
        <w:numPr>
          <w:ilvl w:val="0"/>
          <w:numId w:val="27"/>
        </w:numPr>
        <w:ind w:left="1267"/>
        <w:rPr>
          <w:lang w:val="es-ES_tradnl"/>
        </w:rPr>
      </w:pPr>
      <w:r w:rsidRPr="00197DF6">
        <w:rPr>
          <w:lang w:val="es-ES_tradnl"/>
        </w:rPr>
        <w:t xml:space="preserve">El Gobierno puso en marcha un programa para destacar proyectos pioneros en el 12º plan quinquenal para crear una cultura de la innovación, la creatividad y el espíritu empresarial mediante su integración en el plan de estudios escolar. Además, se ofrecen programas de formación en emprendimiento a empresarios potenciales y aspirantes a empresarios para estimular y apoyar la creación de sus propios negocios. En los últimos dos años, 413 mujeres y 376 hombres se acogieron al programa y disfrutaron de sus servicios. </w:t>
      </w:r>
    </w:p>
    <w:p w14:paraId="36803D6C" w14:textId="29FCDA4C" w:rsidR="00E77F78" w:rsidRPr="00197DF6" w:rsidRDefault="00E77F78" w:rsidP="001B36AA">
      <w:pPr>
        <w:pStyle w:val="SingleTxt"/>
        <w:numPr>
          <w:ilvl w:val="0"/>
          <w:numId w:val="27"/>
        </w:numPr>
        <w:ind w:left="1267"/>
        <w:rPr>
          <w:lang w:val="es-ES_tradnl"/>
        </w:rPr>
      </w:pPr>
      <w:r w:rsidRPr="00197DF6">
        <w:rPr>
          <w:lang w:val="es-ES_tradnl"/>
        </w:rPr>
        <w:t>Para comprender las causas subyacentes, las estructuras clave y los patrones que impulsan el desempleo juvenil, el Ministerio de Trabajo y Recursos Humanos llevó a cabo un análisis de los sistemas de desempleo juvenil en colaboración con los correspondientes socios gubernamentales y no gubernamentales. Posteriormente, en marzo de 2021, se publicó un informe de enfoque sistémico basado en carteras, un plan estratégico para abordar el desempleo juvenil utilizando una lógica basada en carteras. El informe reconocía las normas de género, la división de roles y la falta de guarderías adecuadas, entre otros, como algunos de los factores que limitan la participación de mujeres y niñas en el mercado laboral. Recomendó la aplicación de intervenciones específicas, como el crecimiento del empleo centrado en la mujer para lograr la igualdad de género en el sector del empleo.</w:t>
      </w:r>
    </w:p>
    <w:p w14:paraId="70C12CFA" w14:textId="5652EDD4" w:rsidR="00E77F78" w:rsidRPr="00197DF6" w:rsidRDefault="00E77F78" w:rsidP="001B36AA">
      <w:pPr>
        <w:pStyle w:val="SingleTxt"/>
        <w:numPr>
          <w:ilvl w:val="0"/>
          <w:numId w:val="27"/>
        </w:numPr>
        <w:ind w:left="1267"/>
        <w:rPr>
          <w:b/>
          <w:bCs/>
          <w:lang w:val="es-ES_tradnl"/>
        </w:rPr>
      </w:pPr>
      <w:r w:rsidRPr="00197DF6">
        <w:rPr>
          <w:lang w:val="es-ES_tradnl"/>
        </w:rPr>
        <w:t>El Programa Acelerado de Formación Integrada De-</w:t>
      </w:r>
      <w:proofErr w:type="spellStart"/>
      <w:r w:rsidRPr="00197DF6">
        <w:rPr>
          <w:lang w:val="es-ES_tradnl"/>
        </w:rPr>
        <w:t>Suung</w:t>
      </w:r>
      <w:proofErr w:type="spellEnd"/>
      <w:r w:rsidRPr="00197DF6">
        <w:rPr>
          <w:lang w:val="es-ES_tradnl"/>
        </w:rPr>
        <w:t>, una iniciativa dirigida por Su Majestad el Rey, absorbió a jóvenes desempleados o desplazados a causa de la pandemia. El programa ofrece una serie de formaciones aceleradas que imparten expertos locales y extranjeros. En este contexto, 7.922 personas recibieron formación en la categoría general, 3.947 en gestión del agua, 1.141 en el programa nacional acelerado de gestión de la población canina y control de la rabia y 1.388 en el proyecto de plantación de un millón de árboles frutales.</w:t>
      </w:r>
    </w:p>
    <w:p w14:paraId="3DE75D5E" w14:textId="77777777" w:rsidR="00E77F78" w:rsidRPr="00197DF6" w:rsidRDefault="00E77F78" w:rsidP="00E77F78">
      <w:pPr>
        <w:pStyle w:val="SingleTxt"/>
        <w:spacing w:after="0" w:line="120" w:lineRule="exact"/>
        <w:rPr>
          <w:sz w:val="10"/>
          <w:lang w:val="es-ES_tradnl"/>
        </w:rPr>
      </w:pPr>
    </w:p>
    <w:p w14:paraId="6FF5C460"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Medidas para fomentar el reparto equitativo de las responsabilidades familiares</w:t>
      </w:r>
      <w:r w:rsidRPr="00197DF6">
        <w:rPr>
          <w:lang w:val="es-ES_tradnl"/>
        </w:rPr>
        <w:t xml:space="preserve"> </w:t>
      </w:r>
    </w:p>
    <w:p w14:paraId="427B7FED" w14:textId="77777777" w:rsidR="00E77F78" w:rsidRPr="00197DF6" w:rsidRDefault="00E77F78" w:rsidP="00E77F78">
      <w:pPr>
        <w:pStyle w:val="SingleTxt"/>
        <w:spacing w:after="0" w:line="120" w:lineRule="exact"/>
        <w:rPr>
          <w:sz w:val="10"/>
          <w:lang w:val="es-ES_tradnl"/>
        </w:rPr>
      </w:pPr>
    </w:p>
    <w:p w14:paraId="16E7740D" w14:textId="7A5C90D5" w:rsidR="00E77F78" w:rsidRPr="00197DF6" w:rsidRDefault="00E77F78" w:rsidP="001B36AA">
      <w:pPr>
        <w:pStyle w:val="SingleTxt"/>
        <w:numPr>
          <w:ilvl w:val="0"/>
          <w:numId w:val="28"/>
        </w:numPr>
        <w:tabs>
          <w:tab w:val="clear" w:pos="475"/>
          <w:tab w:val="right" w:pos="1022"/>
        </w:tabs>
        <w:ind w:left="1267" w:right="1260"/>
        <w:rPr>
          <w:i/>
          <w:lang w:val="es-ES_tradnl"/>
        </w:rPr>
      </w:pPr>
      <w:r w:rsidRPr="00197DF6">
        <w:rPr>
          <w:lang w:val="es-ES_tradnl"/>
        </w:rPr>
        <w:t xml:space="preserve">La Política Nacional de Igualdad de Género pretende fomentar la participación de las mujeres en el empleo formal mediante la aplicación de intervenciones estratégicas que reduzcan la carga de los cuidados no remunerados y las responsabilidades domésticas de las mujeres y fomenten el reparto equitativo de responsabilidades en el hogar. El Plan de Acción Nacional para la Igualdad de Género también cuenta con acciones específicas para reducir la carga desproporcionada del trabajo de cuidados no remunerado de las mujeres, como reforzar la medición del trabajo de este tipo que realizan ellas y animar a hombres y niños a compartir las mismas responsabilidades. Se informó de otras iniciativas en respuesta a la lista de cuestiones del apartado 6. </w:t>
      </w:r>
    </w:p>
    <w:p w14:paraId="485BDF1A" w14:textId="4C2D374F" w:rsidR="00E77F78" w:rsidRPr="00197DF6" w:rsidRDefault="00E77F78" w:rsidP="001B36AA">
      <w:pPr>
        <w:pStyle w:val="SingleTxt"/>
        <w:numPr>
          <w:ilvl w:val="0"/>
          <w:numId w:val="28"/>
        </w:numPr>
        <w:ind w:left="1267"/>
        <w:rPr>
          <w:i/>
          <w:lang w:val="es-ES_tradnl"/>
        </w:rPr>
      </w:pPr>
      <w:r w:rsidRPr="00197DF6">
        <w:rPr>
          <w:lang w:val="es-ES_tradnl"/>
        </w:rPr>
        <w:t xml:space="preserve">Como se informa en respuesta a la lista de cuestiones del párrafo 13, el Gobierno concede alta prioridad al establecimiento de guarderías en el lugar de trabajo para niños de 0 a 3 años. La Comisión Nacional de la Mujer y el Niño, en colaboración con el Ministerio de Sanidad y el Ministerio de Educación, desarrolló la modalidad de funcionamiento y gestión sostenibles de las guarderías para garantizar su perdurabilidad. </w:t>
      </w:r>
    </w:p>
    <w:p w14:paraId="078AD41F" w14:textId="7DAFBC52" w:rsidR="00E77F78" w:rsidRPr="00197DF6" w:rsidRDefault="00E77F78" w:rsidP="001B36AA">
      <w:pPr>
        <w:pStyle w:val="SingleTxt"/>
        <w:numPr>
          <w:ilvl w:val="0"/>
          <w:numId w:val="28"/>
        </w:numPr>
        <w:ind w:left="1267"/>
        <w:rPr>
          <w:i/>
          <w:lang w:val="es-ES_tradnl"/>
        </w:rPr>
      </w:pPr>
      <w:r w:rsidRPr="00197DF6">
        <w:rPr>
          <w:lang w:val="es-ES_tradnl"/>
        </w:rPr>
        <w:t xml:space="preserve">El Gobierno sigue aplicando medidas que mejoren la accesibilidad de los niños a los espacios de cuidado y desarrollo de la primera infancia. Estos espacios también sirven como guarderías para los padres que trabajan, incluidos los empleados en el sector agrícola de las zonas rurales. En 2021, había 8.026 niños (3.936 niñas y 4.090 niños) matriculados en 495 centros de cuidado y desarrollo en la primera infancia en todo el país, de los cuales 432 estaban gestionados por el Gobierno y 63 por instituciones privadas. </w:t>
      </w:r>
    </w:p>
    <w:p w14:paraId="73F85D69" w14:textId="59D881D6" w:rsidR="00E77F78" w:rsidRPr="00197DF6" w:rsidRDefault="00E77F78" w:rsidP="001B36AA">
      <w:pPr>
        <w:pStyle w:val="SingleTxt"/>
        <w:numPr>
          <w:ilvl w:val="0"/>
          <w:numId w:val="28"/>
        </w:numPr>
        <w:ind w:left="1267"/>
        <w:rPr>
          <w:i/>
          <w:lang w:val="es-ES_tradnl"/>
        </w:rPr>
      </w:pPr>
      <w:r w:rsidRPr="00197DF6">
        <w:rPr>
          <w:lang w:val="es-ES_tradnl"/>
        </w:rPr>
        <w:t xml:space="preserve">El Ministerio de Educación, en colaboración con los asociados gubernamentales y no gubernamentales pertinentes, está ultimando el Plan de Acción Estratégica Nacional Multisectorial 2030 para el cuidado y desarrollo del niño en la primera infancia. Se espera que el Plan de Acción Estratégica proporcione las mejores condiciones integrales para que cada niño prospere y se desarrolle mediante un enfoque bien coordinado. </w:t>
      </w:r>
    </w:p>
    <w:p w14:paraId="1A246F2C" w14:textId="77777777" w:rsidR="00E77F78" w:rsidRPr="00197DF6" w:rsidRDefault="00E77F78" w:rsidP="00E77F78">
      <w:pPr>
        <w:pStyle w:val="SingleTxt"/>
        <w:spacing w:after="0" w:line="120" w:lineRule="exact"/>
        <w:rPr>
          <w:sz w:val="10"/>
          <w:lang w:val="es-ES_tradnl"/>
        </w:rPr>
      </w:pPr>
    </w:p>
    <w:p w14:paraId="02C99F5D"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Medidas contra la segregación profesional de género</w:t>
      </w:r>
      <w:r w:rsidRPr="00197DF6">
        <w:rPr>
          <w:lang w:val="es-ES_tradnl"/>
        </w:rPr>
        <w:t xml:space="preserve"> </w:t>
      </w:r>
    </w:p>
    <w:p w14:paraId="0BF364FE" w14:textId="77777777" w:rsidR="00E77F78" w:rsidRPr="00197DF6" w:rsidRDefault="00E77F78" w:rsidP="00E77F78">
      <w:pPr>
        <w:pStyle w:val="SingleTxt"/>
        <w:spacing w:after="0" w:line="120" w:lineRule="exact"/>
        <w:rPr>
          <w:sz w:val="10"/>
          <w:lang w:val="es-ES_tradnl"/>
        </w:rPr>
      </w:pPr>
    </w:p>
    <w:p w14:paraId="13760C37" w14:textId="07F39411" w:rsidR="00E77F78" w:rsidRPr="00197DF6" w:rsidRDefault="00E77F78" w:rsidP="001B36AA">
      <w:pPr>
        <w:pStyle w:val="SingleTxt"/>
        <w:numPr>
          <w:ilvl w:val="0"/>
          <w:numId w:val="29"/>
        </w:numPr>
        <w:tabs>
          <w:tab w:val="clear" w:pos="475"/>
          <w:tab w:val="right" w:pos="1022"/>
        </w:tabs>
        <w:ind w:left="1267" w:right="1260"/>
        <w:rPr>
          <w:lang w:val="es-ES_tradnl"/>
        </w:rPr>
      </w:pPr>
      <w:r w:rsidRPr="00197DF6">
        <w:rPr>
          <w:lang w:val="es-ES_tradnl"/>
        </w:rPr>
        <w:t xml:space="preserve">La Política de la Construcción 2020 pretende responder a las necesidades de empleo, en particular de las mujeres y los jóvenes. La Política establece que “el Ministerio y los organismos de contratación incluirán la generación de empleo en el núcleo de la planificación y los programas de construcción para abordar las necesidades de empleo del país, en particular de las mujeres y los jóvenes”. </w:t>
      </w:r>
    </w:p>
    <w:p w14:paraId="32BF5D55" w14:textId="2683F2F2" w:rsidR="00E77F78" w:rsidRPr="00197DF6" w:rsidRDefault="00E77F78" w:rsidP="001B36AA">
      <w:pPr>
        <w:pStyle w:val="SingleTxt"/>
        <w:numPr>
          <w:ilvl w:val="0"/>
          <w:numId w:val="29"/>
        </w:numPr>
        <w:ind w:left="1267"/>
        <w:rPr>
          <w:lang w:val="es-ES_tradnl"/>
        </w:rPr>
      </w:pPr>
      <w:r w:rsidRPr="00197DF6">
        <w:rPr>
          <w:lang w:val="es-ES_tradnl"/>
        </w:rPr>
        <w:t xml:space="preserve">El plan de EFTP pretende dar solución a la brecha de género en la EFTP, un ámbito tradicionalmente dominado por los hombres. Se están realizando esfuerzos en cuanto a avance tecnológico, infraestructuras propicias en los Institutos de Formación Técnica (como residencias para mujeres, guarderías), diversificación de cursos y planes de estudio que responden a las necesidades de género, y digitalización y mecanización de sectores tradicionalmente dominados por hombres. Otras medidas comunicadas en respuesta a la lista de cuestiones del párrafo 16 i) contribuyen a abordar la segregación ocupacional de género. </w:t>
      </w:r>
    </w:p>
    <w:p w14:paraId="726C5BC8" w14:textId="2F0BEC2E" w:rsidR="00E77F78" w:rsidRPr="00197DF6" w:rsidRDefault="00E77F78" w:rsidP="001B36AA">
      <w:pPr>
        <w:pStyle w:val="SingleTxt"/>
        <w:numPr>
          <w:ilvl w:val="0"/>
          <w:numId w:val="29"/>
        </w:numPr>
        <w:ind w:left="1267"/>
        <w:rPr>
          <w:lang w:val="es-ES_tradnl"/>
        </w:rPr>
      </w:pPr>
      <w:r w:rsidRPr="00197DF6">
        <w:rPr>
          <w:lang w:val="es-ES_tradnl"/>
        </w:rPr>
        <w:t xml:space="preserve">En los últimos años ha aumentado el número de mujeres que se incorporan a la Oficina del </w:t>
      </w:r>
      <w:proofErr w:type="gramStart"/>
      <w:r w:rsidRPr="00197DF6">
        <w:rPr>
          <w:lang w:val="es-ES_tradnl"/>
        </w:rPr>
        <w:t>Fiscal General</w:t>
      </w:r>
      <w:proofErr w:type="gramEnd"/>
      <w:r w:rsidRPr="00197DF6">
        <w:rPr>
          <w:lang w:val="es-ES_tradnl"/>
        </w:rPr>
        <w:t xml:space="preserve"> como fiscales, lo que puede atribuirse al mayor número de mujeres que terminan sus estudios en derecho, un entorno de trabajo favorable a la igualdad entre hombres y mujeres y el desarrollo socioeconómico, que hace más propicio el desplazamiento para ejercer la acusación. El número de mujeres fiscales en la Oficina del </w:t>
      </w:r>
      <w:proofErr w:type="gramStart"/>
      <w:r w:rsidRPr="00197DF6">
        <w:rPr>
          <w:lang w:val="es-ES_tradnl"/>
        </w:rPr>
        <w:t>Fiscal General</w:t>
      </w:r>
      <w:proofErr w:type="gramEnd"/>
      <w:r w:rsidRPr="00197DF6">
        <w:rPr>
          <w:lang w:val="es-ES_tradnl"/>
        </w:rPr>
        <w:t xml:space="preserve"> aumentó de 22 en 2017 a 28 en 2021. </w:t>
      </w:r>
    </w:p>
    <w:p w14:paraId="4209FE4E" w14:textId="77777777" w:rsidR="00E77F78" w:rsidRPr="00197DF6" w:rsidRDefault="00E77F78" w:rsidP="00E77F78">
      <w:pPr>
        <w:pStyle w:val="SingleTxt"/>
        <w:spacing w:after="0" w:line="120" w:lineRule="exact"/>
        <w:rPr>
          <w:sz w:val="10"/>
          <w:lang w:val="es-ES_tradnl"/>
        </w:rPr>
      </w:pPr>
    </w:p>
    <w:p w14:paraId="146DD520" w14:textId="77777777" w:rsidR="00E77F78" w:rsidRPr="00197DF6" w:rsidRDefault="00E77F78" w:rsidP="004548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sidRPr="00197DF6">
        <w:rPr>
          <w:lang w:val="es-ES_tradnl"/>
        </w:rPr>
        <w:tab/>
      </w:r>
      <w:r w:rsidRPr="00197DF6">
        <w:rPr>
          <w:lang w:val="es-ES_tradnl"/>
        </w:rPr>
        <w:tab/>
      </w:r>
      <w:r w:rsidRPr="00197DF6">
        <w:rPr>
          <w:bCs/>
          <w:lang w:val="es-ES_tradnl"/>
        </w:rPr>
        <w:t>Medidas para hacer frente a la disparidad de empleo entre las zonas rurales y urbanas</w:t>
      </w:r>
    </w:p>
    <w:p w14:paraId="5495D77C" w14:textId="77777777" w:rsidR="00E77F78" w:rsidRPr="00197DF6" w:rsidRDefault="00E77F78" w:rsidP="00E77F78">
      <w:pPr>
        <w:pStyle w:val="SingleTxt"/>
        <w:spacing w:after="0" w:line="120" w:lineRule="exact"/>
        <w:rPr>
          <w:sz w:val="10"/>
          <w:lang w:val="es-ES_tradnl"/>
        </w:rPr>
      </w:pPr>
    </w:p>
    <w:p w14:paraId="137885FE" w14:textId="2B95A6FF" w:rsidR="00E77F78" w:rsidRPr="00197DF6" w:rsidRDefault="00E77F78" w:rsidP="001B36AA">
      <w:pPr>
        <w:pStyle w:val="SingleTxt"/>
        <w:numPr>
          <w:ilvl w:val="0"/>
          <w:numId w:val="29"/>
        </w:numPr>
        <w:ind w:left="1267"/>
        <w:rPr>
          <w:lang w:val="es-ES_tradnl"/>
        </w:rPr>
      </w:pPr>
      <w:r w:rsidRPr="00197DF6">
        <w:rPr>
          <w:lang w:val="es-ES_tradnl"/>
        </w:rPr>
        <w:t xml:space="preserve">El Gobierno sigue capacitando a la población rural en diversos oficios, como electrificación, mecánica, fontanería y cocina básica, entre otros, a través del programa de desarrollo de aptitudes en las poblaciones rurales. Entre julio de 2020 y junio de 2021, 57 mujeres y 21 hombres se beneficiaron del programa. También se ofrece apoyo para crear pequeñas empresas una vez finalizada la formación. Además, se está ejecutando un proyecto trienal de empleo juvenil y emprendimiento rural. Se espera que el proyecto cree 400 puestos de trabajo adicionales con la creación de 100 empresas en los 6 distritos del suroeste. </w:t>
      </w:r>
    </w:p>
    <w:p w14:paraId="11B921DD" w14:textId="2734468A" w:rsidR="00E77F78" w:rsidRPr="00197DF6" w:rsidRDefault="00E77F78" w:rsidP="001B36AA">
      <w:pPr>
        <w:pStyle w:val="SingleTxt"/>
        <w:numPr>
          <w:ilvl w:val="0"/>
          <w:numId w:val="29"/>
        </w:numPr>
        <w:ind w:left="1267"/>
        <w:rPr>
          <w:lang w:val="es-ES_tradnl"/>
        </w:rPr>
      </w:pPr>
      <w:r w:rsidRPr="00197DF6">
        <w:rPr>
          <w:lang w:val="es-ES_tradnl"/>
        </w:rPr>
        <w:t>“</w:t>
      </w:r>
      <w:proofErr w:type="spellStart"/>
      <w:r w:rsidRPr="00197DF6">
        <w:rPr>
          <w:i/>
          <w:iCs/>
          <w:lang w:val="es-ES_tradnl"/>
        </w:rPr>
        <w:t>My</w:t>
      </w:r>
      <w:proofErr w:type="spellEnd"/>
      <w:r w:rsidRPr="00197DF6">
        <w:rPr>
          <w:i/>
          <w:iCs/>
          <w:lang w:val="es-ES_tradnl"/>
        </w:rPr>
        <w:t xml:space="preserve"> </w:t>
      </w:r>
      <w:proofErr w:type="spellStart"/>
      <w:r w:rsidRPr="00197DF6">
        <w:rPr>
          <w:i/>
          <w:iCs/>
          <w:lang w:val="es-ES_tradnl"/>
        </w:rPr>
        <w:t>gakhid</w:t>
      </w:r>
      <w:proofErr w:type="spellEnd"/>
      <w:r w:rsidRPr="00197DF6">
        <w:rPr>
          <w:i/>
          <w:iCs/>
          <w:lang w:val="es-ES_tradnl"/>
        </w:rPr>
        <w:t xml:space="preserve"> </w:t>
      </w:r>
      <w:proofErr w:type="spellStart"/>
      <w:r w:rsidRPr="00197DF6">
        <w:rPr>
          <w:i/>
          <w:iCs/>
          <w:lang w:val="es-ES_tradnl"/>
        </w:rPr>
        <w:t>village</w:t>
      </w:r>
      <w:proofErr w:type="spellEnd"/>
      <w:r w:rsidRPr="00197DF6">
        <w:rPr>
          <w:lang w:val="es-ES_tradnl"/>
        </w:rPr>
        <w:t>”, ejecutado por el Fondo de Desarrollo de la Juventud</w:t>
      </w:r>
      <w:r w:rsidRPr="00197DF6">
        <w:rPr>
          <w:vertAlign w:val="superscript"/>
          <w:lang w:val="es-ES_tradnl"/>
        </w:rPr>
        <w:footnoteReference w:id="36"/>
      </w:r>
      <w:r w:rsidRPr="00197DF6">
        <w:rPr>
          <w:lang w:val="es-ES_tradnl"/>
        </w:rPr>
        <w:t xml:space="preserve">, es un proyecto holístico de desarrollo comunitario que ofrece oportunidades de subsistencia sostenibles en las zonas rurales como estrategia para mitigar la migración del campo a la ciudad. El proyecto se centra en la creación de proyectos comunitarios de ecoturismo y conservación del medio ambiente, la recuperación de la artesanía tradicional mediante iniciativas de subsistencia y la alfabetización en TI y aptitudes para la subsistencia para los jóvenes de zonas rurales. </w:t>
      </w:r>
    </w:p>
    <w:p w14:paraId="0654E4CB" w14:textId="1B82D950" w:rsidR="00E77F78" w:rsidRPr="00197DF6" w:rsidRDefault="00E77F78" w:rsidP="001B36AA">
      <w:pPr>
        <w:pStyle w:val="SingleTxt"/>
        <w:numPr>
          <w:ilvl w:val="0"/>
          <w:numId w:val="29"/>
        </w:numPr>
        <w:ind w:left="1267"/>
        <w:rPr>
          <w:lang w:val="es-ES_tradnl"/>
        </w:rPr>
      </w:pPr>
      <w:r w:rsidRPr="00197DF6">
        <w:rPr>
          <w:lang w:val="es-ES_tradnl"/>
        </w:rPr>
        <w:t xml:space="preserve">La Política de Comercialización de Recursos Naturales Renovables de 2017 brinda oportunidades significativas para instituir programas especiales para alentar al sector privado en el procesamiento de los recursos naturales renovable y empoderar a las mujeres y los jóvenes para que participen en su comercialización. </w:t>
      </w:r>
    </w:p>
    <w:p w14:paraId="01D9FA7E" w14:textId="05D7A49A" w:rsidR="00E77F78" w:rsidRPr="00197DF6" w:rsidRDefault="00E77F78" w:rsidP="001B36AA">
      <w:pPr>
        <w:pStyle w:val="SingleTxt"/>
        <w:numPr>
          <w:ilvl w:val="0"/>
          <w:numId w:val="29"/>
        </w:numPr>
        <w:ind w:left="1267"/>
        <w:rPr>
          <w:lang w:val="es-ES_tradnl"/>
        </w:rPr>
      </w:pPr>
      <w:r w:rsidRPr="00197DF6">
        <w:rPr>
          <w:lang w:val="es-ES_tradnl"/>
        </w:rPr>
        <w:t>Dado que las mujeres se dedican en gran medida al sector agrícola, la mecanización de las explotaciones y la introducción de maquinaria agrícola adaptada a las mujeres siguen siendo prioritarias en el 12º plan quinquenal. El Gobierno pretende desarrollar 100.000 acres de cultivo y 6.746 acres adicionales de mecanización mediante el suministro de maquinaria agrícola adaptada al género y a la zona geográfica al final del período del plan</w:t>
      </w:r>
      <w:r w:rsidRPr="00197DF6">
        <w:rPr>
          <w:vertAlign w:val="superscript"/>
          <w:lang w:val="es-ES_tradnl"/>
        </w:rPr>
        <w:footnoteReference w:id="37"/>
      </w:r>
      <w:r w:rsidRPr="00197DF6">
        <w:rPr>
          <w:lang w:val="es-ES_tradnl"/>
        </w:rPr>
        <w:t xml:space="preserve">. </w:t>
      </w:r>
    </w:p>
    <w:p w14:paraId="226B76D6" w14:textId="3CD24B33" w:rsidR="00E77F78" w:rsidRPr="00197DF6" w:rsidRDefault="00E77F78" w:rsidP="001B36AA">
      <w:pPr>
        <w:pStyle w:val="SingleTxt"/>
        <w:numPr>
          <w:ilvl w:val="0"/>
          <w:numId w:val="29"/>
        </w:numPr>
        <w:ind w:left="1267"/>
        <w:rPr>
          <w:lang w:val="es-ES_tradnl"/>
        </w:rPr>
      </w:pPr>
      <w:r w:rsidRPr="00197DF6">
        <w:rPr>
          <w:lang w:val="es-ES_tradnl"/>
        </w:rPr>
        <w:t xml:space="preserve">El proyecto de seguridad alimentaria rural y productividad agrícola y el programa de resiliencia de la agricultura comercial y mejora de los medios de subsistencia, ejecutados por el Ministerio de Agricultura y Bosques, persiguen el objetivo de que al menos el 30 % de los beneficiarios sean mujeres para incrementar los medios de subsistencia y las oportunidades económicas de las mujeres en las zonas rurales. Asimismo, se espera que el proyecto </w:t>
      </w:r>
      <w:proofErr w:type="spellStart"/>
      <w:r w:rsidRPr="00197DF6">
        <w:rPr>
          <w:lang w:val="es-ES_tradnl"/>
        </w:rPr>
        <w:t>Resilient</w:t>
      </w:r>
      <w:proofErr w:type="spellEnd"/>
      <w:r w:rsidRPr="00197DF6">
        <w:rPr>
          <w:lang w:val="es-ES_tradnl"/>
        </w:rPr>
        <w:t xml:space="preserve"> Mountain </w:t>
      </w:r>
      <w:proofErr w:type="spellStart"/>
      <w:r w:rsidRPr="00197DF6">
        <w:rPr>
          <w:lang w:val="es-ES_tradnl"/>
        </w:rPr>
        <w:t>Solution</w:t>
      </w:r>
      <w:proofErr w:type="spellEnd"/>
      <w:r w:rsidRPr="00197DF6">
        <w:rPr>
          <w:lang w:val="es-ES_tradnl"/>
        </w:rPr>
        <w:t xml:space="preserve"> aumente la resiliencia de las mujeres ante los cambios socioeconómicos y medioambientales gracias a la capacitación en actividades generadoras de ingresos y el suministro de maquinaria agrícola adaptada a las mujeres. </w:t>
      </w:r>
    </w:p>
    <w:p w14:paraId="0FBAB907" w14:textId="77777777" w:rsidR="00E77F78" w:rsidRPr="00197DF6" w:rsidRDefault="00E77F78" w:rsidP="00E77F78">
      <w:pPr>
        <w:pStyle w:val="SingleTxt"/>
        <w:spacing w:after="0" w:line="120" w:lineRule="exact"/>
        <w:rPr>
          <w:sz w:val="10"/>
          <w:lang w:val="es-ES_tradnl"/>
        </w:rPr>
      </w:pPr>
      <w:bookmarkStart w:id="13" w:name="_Toc107670428"/>
    </w:p>
    <w:p w14:paraId="0958FE63" w14:textId="77777777" w:rsidR="00E77F78" w:rsidRPr="00197DF6" w:rsidRDefault="00E77F78" w:rsidP="00E77F78">
      <w:pPr>
        <w:pStyle w:val="SingleTxt"/>
        <w:spacing w:after="0" w:line="120" w:lineRule="exact"/>
        <w:rPr>
          <w:sz w:val="10"/>
          <w:lang w:val="es-ES_tradnl"/>
        </w:rPr>
      </w:pPr>
    </w:p>
    <w:p w14:paraId="3623E253" w14:textId="77777777" w:rsidR="00E77F78" w:rsidRPr="00197DF6" w:rsidRDefault="00E77F78" w:rsidP="004548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t>Salud (respuestas a los párrafos 17, 18 y 19)</w:t>
      </w:r>
      <w:bookmarkEnd w:id="13"/>
    </w:p>
    <w:p w14:paraId="19AE5323" w14:textId="77777777" w:rsidR="00E77F78" w:rsidRPr="00197DF6" w:rsidRDefault="00E77F78" w:rsidP="00E77F78">
      <w:pPr>
        <w:pStyle w:val="SingleTxt"/>
        <w:spacing w:after="0" w:line="120" w:lineRule="exact"/>
        <w:rPr>
          <w:sz w:val="10"/>
          <w:lang w:val="es-ES_tradnl"/>
        </w:rPr>
      </w:pPr>
    </w:p>
    <w:p w14:paraId="4FB8160B" w14:textId="77777777" w:rsidR="00E77F78" w:rsidRPr="00197DF6" w:rsidRDefault="00E77F78" w:rsidP="00E77F78">
      <w:pPr>
        <w:pStyle w:val="SingleTxt"/>
        <w:spacing w:after="0" w:line="120" w:lineRule="exact"/>
        <w:rPr>
          <w:sz w:val="10"/>
          <w:lang w:val="es-ES_tradnl"/>
        </w:rPr>
      </w:pPr>
    </w:p>
    <w:p w14:paraId="643283E7"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Acceso a servicios de salud materna y planificación familiar</w:t>
      </w:r>
      <w:r w:rsidRPr="00197DF6">
        <w:rPr>
          <w:lang w:val="es-ES_tradnl"/>
        </w:rPr>
        <w:t xml:space="preserve"> </w:t>
      </w:r>
    </w:p>
    <w:p w14:paraId="3D51D90B" w14:textId="77777777" w:rsidR="00E77F78" w:rsidRPr="00197DF6" w:rsidRDefault="00E77F78" w:rsidP="00E77F78">
      <w:pPr>
        <w:pStyle w:val="SingleTxt"/>
        <w:spacing w:after="0" w:line="120" w:lineRule="exact"/>
        <w:rPr>
          <w:sz w:val="10"/>
          <w:lang w:val="es-ES_tradnl"/>
        </w:rPr>
      </w:pPr>
    </w:p>
    <w:p w14:paraId="08004135" w14:textId="2D14B2D6" w:rsidR="00E77F78" w:rsidRPr="00197DF6" w:rsidRDefault="00E77F78" w:rsidP="001B36AA">
      <w:pPr>
        <w:pStyle w:val="SingleTxt"/>
        <w:numPr>
          <w:ilvl w:val="0"/>
          <w:numId w:val="29"/>
        </w:numPr>
        <w:ind w:left="1267"/>
        <w:rPr>
          <w:lang w:val="es-ES_tradnl"/>
        </w:rPr>
      </w:pPr>
      <w:r w:rsidRPr="00197DF6">
        <w:rPr>
          <w:lang w:val="es-ES_tradnl"/>
        </w:rPr>
        <w:t xml:space="preserve">La política para acelerar los resultados de salud materno-infantil de 2020 proporciona un marco político estratégico para reforzar la disponibilidad y accesibilidad de servicios de salud materno-infantil de calidad. La política refuerza la tendencia a la búsqueda de ayuda y el conocimiento de los servicios de salud materno-infantil y promueve las responsabilidades compartidas entre los padres. </w:t>
      </w:r>
    </w:p>
    <w:p w14:paraId="0CD254C4" w14:textId="0E1D79B6" w:rsidR="00E77F78" w:rsidRPr="00197DF6" w:rsidRDefault="00E77F78" w:rsidP="001B36AA">
      <w:pPr>
        <w:pStyle w:val="SingleTxt"/>
        <w:numPr>
          <w:ilvl w:val="0"/>
          <w:numId w:val="29"/>
        </w:numPr>
        <w:ind w:left="1267"/>
        <w:rPr>
          <w:lang w:val="es-ES_tradnl"/>
        </w:rPr>
      </w:pPr>
      <w:r w:rsidRPr="00197DF6">
        <w:rPr>
          <w:lang w:val="es-ES_tradnl"/>
        </w:rPr>
        <w:t xml:space="preserve">Se está construyendo el Hospital Materno-Infantil </w:t>
      </w:r>
      <w:proofErr w:type="spellStart"/>
      <w:r w:rsidRPr="00197DF6">
        <w:rPr>
          <w:lang w:val="es-ES_tradnl"/>
        </w:rPr>
        <w:t>Gyaltsuen</w:t>
      </w:r>
      <w:proofErr w:type="spellEnd"/>
      <w:r w:rsidRPr="00197DF6">
        <w:rPr>
          <w:lang w:val="es-ES_tradnl"/>
        </w:rPr>
        <w:t xml:space="preserve"> </w:t>
      </w:r>
      <w:proofErr w:type="spellStart"/>
      <w:r w:rsidRPr="00197DF6">
        <w:rPr>
          <w:lang w:val="es-ES_tradnl"/>
        </w:rPr>
        <w:t>Jetsun</w:t>
      </w:r>
      <w:proofErr w:type="spellEnd"/>
      <w:r w:rsidRPr="00197DF6">
        <w:rPr>
          <w:lang w:val="es-ES_tradnl"/>
        </w:rPr>
        <w:t xml:space="preserve"> </w:t>
      </w:r>
      <w:proofErr w:type="spellStart"/>
      <w:r w:rsidRPr="00197DF6">
        <w:rPr>
          <w:lang w:val="es-ES_tradnl"/>
        </w:rPr>
        <w:t>Pema</w:t>
      </w:r>
      <w:proofErr w:type="spellEnd"/>
      <w:r w:rsidRPr="00197DF6">
        <w:rPr>
          <w:lang w:val="es-ES_tradnl"/>
        </w:rPr>
        <w:t xml:space="preserve">, con 150 camas. La primera fase del bloque de salud de la comunidad está operativa y presta servicios postnatales y prenatales. Se espera que la segunda fase se concluya antes del final de 2022. En la región oriental se construirá un hospital similar, con 65 camas, para atender a las comunidades más rurales. </w:t>
      </w:r>
    </w:p>
    <w:p w14:paraId="7C0A93C1" w14:textId="1BD2F6EA" w:rsidR="00E77F78" w:rsidRPr="00197DF6" w:rsidRDefault="00E77F78" w:rsidP="001B36AA">
      <w:pPr>
        <w:pStyle w:val="SingleTxt"/>
        <w:numPr>
          <w:ilvl w:val="0"/>
          <w:numId w:val="29"/>
        </w:numPr>
        <w:ind w:left="1267"/>
        <w:rPr>
          <w:lang w:val="es-ES_tradnl"/>
        </w:rPr>
      </w:pPr>
      <w:r w:rsidRPr="00197DF6">
        <w:rPr>
          <w:lang w:val="es-ES_tradnl"/>
        </w:rPr>
        <w:t>Los Estándares Nacionales de Planificación Familiar actualizados (2018) describen los estándares y procedimientos mínimos para la prestación de servicios de planificación familiar de calidad y una supervisión mejorada en línea con los requisitos médicos y las recomendaciones de práctica estándar de la Organización Mundial de la Salud. En consecuencia, los servicios de planificación familiar están disponibles en todos los centros sanitarios, incluidas las dependencias básicas de salud. También están disponibles en comunidades remotas gracias al apoyo de trabajadores sanitarios voluntarios de las aldeas.</w:t>
      </w:r>
    </w:p>
    <w:p w14:paraId="3CD347ED" w14:textId="0757208A" w:rsidR="00E77F78" w:rsidRPr="00197DF6" w:rsidRDefault="00E77F78" w:rsidP="001B36AA">
      <w:pPr>
        <w:pStyle w:val="SingleTxt"/>
        <w:numPr>
          <w:ilvl w:val="0"/>
          <w:numId w:val="29"/>
        </w:numPr>
        <w:ind w:left="1267"/>
        <w:rPr>
          <w:lang w:val="es-ES_tradnl"/>
        </w:rPr>
      </w:pPr>
      <w:r w:rsidRPr="00197DF6">
        <w:rPr>
          <w:lang w:val="es-ES_tradnl"/>
        </w:rPr>
        <w:t xml:space="preserve">Se están llevando a cabo diversas intervenciones, incluidas las de concienciación y promoción, para aumentar la tasa de prevalencia del uso de anticonceptivos hasta el 70 % al final del 12º plan quinquenal. El Gobierno suprimió el requisito de que las mujeres presentaran los datos de su pareja al solicitar anticonceptivos en los centros sanitarios. </w:t>
      </w:r>
    </w:p>
    <w:p w14:paraId="107B2FD5" w14:textId="34880415" w:rsidR="00E77F78" w:rsidRPr="00197DF6" w:rsidRDefault="00E77F78" w:rsidP="001B36AA">
      <w:pPr>
        <w:pStyle w:val="SingleTxt"/>
        <w:numPr>
          <w:ilvl w:val="0"/>
          <w:numId w:val="29"/>
        </w:numPr>
        <w:ind w:left="1267"/>
        <w:rPr>
          <w:lang w:val="es-ES_tradnl"/>
        </w:rPr>
      </w:pPr>
      <w:r w:rsidRPr="00197DF6">
        <w:rPr>
          <w:lang w:val="es-ES_tradnl"/>
        </w:rPr>
        <w:t xml:space="preserve">Los servicios públicos colocaron 1506 nuevos servicios de dispositivo intrauterino, inyectaron 79.309 acetatos de medroxiprogesterona de liberación retardada, realizaron 4.376 vasectomías y 4.586 </w:t>
      </w:r>
      <w:proofErr w:type="spellStart"/>
      <w:r w:rsidRPr="00197DF6">
        <w:rPr>
          <w:lang w:val="es-ES_tradnl"/>
        </w:rPr>
        <w:t>salpingectomías</w:t>
      </w:r>
      <w:proofErr w:type="spellEnd"/>
      <w:r w:rsidRPr="00197DF6">
        <w:rPr>
          <w:lang w:val="es-ES_tradnl"/>
        </w:rPr>
        <w:t xml:space="preserve">, y proporcionaron 60.608 ciclos de píldoras orales y 1,1 millones de preservativos entre 2020 y 2021. Además, los puntos de venta de productos farmacéuticos están autorizados a vender anticonceptivos, incluidas píldoras de regulación de la natalidad y píldoras anticonceptivas de emergencia. </w:t>
      </w:r>
    </w:p>
    <w:p w14:paraId="60E6C4F6" w14:textId="77777777" w:rsidR="00E77F78" w:rsidRPr="00197DF6" w:rsidRDefault="00E77F78" w:rsidP="00E77F78">
      <w:pPr>
        <w:pStyle w:val="SingleTxt"/>
        <w:spacing w:after="0" w:line="120" w:lineRule="exact"/>
        <w:rPr>
          <w:sz w:val="10"/>
          <w:lang w:val="es-ES_tradnl"/>
        </w:rPr>
      </w:pPr>
    </w:p>
    <w:p w14:paraId="101EEF41" w14:textId="61116B13"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Acceso a los servicios de salud sexual y reproductiva adaptados a los adolescentes</w:t>
      </w:r>
    </w:p>
    <w:p w14:paraId="0DCD5AF2" w14:textId="77777777" w:rsidR="00E77F78" w:rsidRPr="00197DF6" w:rsidRDefault="00E77F78" w:rsidP="00E77F78">
      <w:pPr>
        <w:pStyle w:val="SingleTxt"/>
        <w:spacing w:after="0" w:line="120" w:lineRule="exact"/>
        <w:rPr>
          <w:sz w:val="10"/>
          <w:lang w:val="es-ES_tradnl"/>
        </w:rPr>
      </w:pPr>
    </w:p>
    <w:p w14:paraId="1A26B096" w14:textId="08EBEDC9" w:rsidR="00E77F78" w:rsidRPr="00197DF6" w:rsidRDefault="00E77F78" w:rsidP="001B36AA">
      <w:pPr>
        <w:pStyle w:val="SingleTxt"/>
        <w:numPr>
          <w:ilvl w:val="0"/>
          <w:numId w:val="29"/>
        </w:numPr>
        <w:ind w:left="1267"/>
        <w:rPr>
          <w:lang w:val="es-ES_tradnl"/>
        </w:rPr>
      </w:pPr>
      <w:r w:rsidRPr="00197DF6">
        <w:rPr>
          <w:lang w:val="es-ES_tradnl"/>
        </w:rPr>
        <w:t xml:space="preserve">El Plan Estratégico Nacional de Salud del Adolescente proporciona un marco global para la prestación de servicios de salud del adolescente multidisciplinares y bien coordinados en el país. Los paquetes de atención sanitaria para adolescentes, incluida la salud sexual y reproductiva, están a disposición de todos los chicos y chicas a través de las clínicas de servicios sanitarios adaptados a los adolescentes y de las personas de contacto designadas en los distintos hospitales. Actualmente, estas clínicas, ubicadas en 11 distritos, ofrecen información y servicios de salud sexual y reproductiva integrales y adaptados a los adolescentes. </w:t>
      </w:r>
    </w:p>
    <w:p w14:paraId="59512695" w14:textId="5E0DDA8F" w:rsidR="00E77F78" w:rsidRPr="00197DF6" w:rsidRDefault="00E77F78" w:rsidP="001B36AA">
      <w:pPr>
        <w:pStyle w:val="SingleTxt"/>
        <w:numPr>
          <w:ilvl w:val="0"/>
          <w:numId w:val="29"/>
        </w:numPr>
        <w:ind w:left="1267"/>
        <w:rPr>
          <w:lang w:val="es-ES_tradnl"/>
        </w:rPr>
      </w:pPr>
      <w:r w:rsidRPr="00197DF6">
        <w:rPr>
          <w:lang w:val="es-ES_tradnl"/>
        </w:rPr>
        <w:t xml:space="preserve">Los puntos de contacto y las clínicas de atención sanitaria para adolescentes facilitan el acceso directo a los servicios de salud sexual y reproductiva, incluido el seguimiento y la derivación, dentro de los establecimientos de salud para servicios especializados. Las clínicas y las personas de contacto también colaboran estrechamente con las comunidades para generar demanda de estos servicios. Se han designado 45 personas de contacto en 25 hospitales de todo el país. </w:t>
      </w:r>
    </w:p>
    <w:p w14:paraId="194215E5" w14:textId="54869609" w:rsidR="00E77F78" w:rsidRPr="00197DF6" w:rsidRDefault="00E77F78" w:rsidP="001B36AA">
      <w:pPr>
        <w:pStyle w:val="SingleTxt"/>
        <w:numPr>
          <w:ilvl w:val="0"/>
          <w:numId w:val="29"/>
        </w:numPr>
        <w:ind w:left="1267"/>
        <w:rPr>
          <w:lang w:val="es-ES_tradnl"/>
        </w:rPr>
      </w:pPr>
      <w:r w:rsidRPr="00197DF6">
        <w:rPr>
          <w:lang w:val="es-ES_tradnl"/>
        </w:rPr>
        <w:t xml:space="preserve">Se elaboró un manual de formación sobre servicios sanitarios adaptados a los adolescentes para institucionalizar la capacitación de los trabajadores sanitarios. En él se ofrece formación estandarizada tanto a los profesionales sanitarios en activo como a los que están en formación. Además, el manual nacional revisado de planificación familiar para trabajadores sanitarios incluye componentes específicos sobre planificación familiar para adolescentes. Se espera que el manual mejore en todo el país los conocimientos, capacidades y aptitudes para prestar servicios de planificación familiar de calidad, basados en los derechos y centrados en el cliente. </w:t>
      </w:r>
    </w:p>
    <w:p w14:paraId="174EBE06" w14:textId="4A36BB4C" w:rsidR="00E77F78" w:rsidRPr="00197DF6" w:rsidRDefault="00E77F78" w:rsidP="001B36AA">
      <w:pPr>
        <w:pStyle w:val="SingleTxt"/>
        <w:numPr>
          <w:ilvl w:val="0"/>
          <w:numId w:val="29"/>
        </w:numPr>
        <w:ind w:left="1267"/>
        <w:rPr>
          <w:lang w:val="es-ES_tradnl"/>
        </w:rPr>
      </w:pPr>
      <w:r w:rsidRPr="00197DF6">
        <w:rPr>
          <w:lang w:val="es-ES_tradnl"/>
        </w:rPr>
        <w:t xml:space="preserve">Además de responder a la lista de cuestiones del párrafo 5, se revisó la directriz nacional de obstetricia para incluir la gestión de los embarazos en la adolescencia. Se prevé que la directriz revisada mejore la atención a las madres adolescentes y sus hijos, incluidos los mecanismos de derivación. </w:t>
      </w:r>
    </w:p>
    <w:p w14:paraId="42DC98C3" w14:textId="30BC3F42" w:rsidR="00E77F78" w:rsidRPr="00197DF6" w:rsidRDefault="00E77F78" w:rsidP="001B36AA">
      <w:pPr>
        <w:pStyle w:val="SingleTxt"/>
        <w:numPr>
          <w:ilvl w:val="0"/>
          <w:numId w:val="29"/>
        </w:numPr>
        <w:ind w:left="1267"/>
        <w:rPr>
          <w:lang w:val="es-ES_tradnl"/>
        </w:rPr>
      </w:pPr>
      <w:r w:rsidRPr="00197DF6">
        <w:rPr>
          <w:lang w:val="es-ES_tradnl"/>
        </w:rPr>
        <w:t xml:space="preserve">Actualmente se está aplicando el Plan de Acción para los Recién Nacidos de </w:t>
      </w:r>
      <w:proofErr w:type="spellStart"/>
      <w:r w:rsidRPr="00197DF6">
        <w:rPr>
          <w:lang w:val="es-ES_tradnl"/>
        </w:rPr>
        <w:t>Bhután</w:t>
      </w:r>
      <w:proofErr w:type="spellEnd"/>
      <w:r w:rsidRPr="00197DF6">
        <w:rPr>
          <w:lang w:val="es-ES_tradnl"/>
        </w:rPr>
        <w:t xml:space="preserve">, una hoja de ruta para acelerar la reducción de la mortalidad neonatal. Establece acciones específicas para prevenir los embarazos en la adolescencia mediante la mejora de los servicios de asesoramiento a las adolescentes, la identificación precoz y los servicios médicos adecuados. </w:t>
      </w:r>
    </w:p>
    <w:p w14:paraId="23DD4D9A" w14:textId="40D388FD" w:rsidR="00E77F78" w:rsidRPr="00197DF6" w:rsidRDefault="00E77F78" w:rsidP="001B36AA">
      <w:pPr>
        <w:pStyle w:val="SingleTxt"/>
        <w:numPr>
          <w:ilvl w:val="0"/>
          <w:numId w:val="29"/>
        </w:numPr>
        <w:ind w:left="1267"/>
        <w:rPr>
          <w:lang w:val="es-ES_tradnl"/>
        </w:rPr>
      </w:pPr>
      <w:r w:rsidRPr="00197DF6">
        <w:rPr>
          <w:lang w:val="es-ES_tradnl"/>
        </w:rPr>
        <w:t>Las intervenciones para aumentar la concienciación entre los adolescentes con el fin de abordar las actitudes patriarcales y las normas de género se comunican en respuesta a la lista de cuestiones de los párrafos 5, 10 y 15.</w:t>
      </w:r>
    </w:p>
    <w:p w14:paraId="7BF6E1D6" w14:textId="77777777" w:rsidR="00E77F78" w:rsidRPr="00197DF6" w:rsidRDefault="00E77F78" w:rsidP="00E77F78">
      <w:pPr>
        <w:pStyle w:val="SingleTxt"/>
        <w:spacing w:after="0" w:line="120" w:lineRule="exact"/>
        <w:rPr>
          <w:sz w:val="10"/>
          <w:lang w:val="es-ES_tradnl"/>
        </w:rPr>
      </w:pPr>
    </w:p>
    <w:p w14:paraId="4942C73A"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Servicios de interrupción del embarazo y atención posaborto</w:t>
      </w:r>
    </w:p>
    <w:p w14:paraId="21E1D8E9" w14:textId="77777777" w:rsidR="00E77F78" w:rsidRPr="00197DF6" w:rsidRDefault="00E77F78" w:rsidP="00E77F78">
      <w:pPr>
        <w:pStyle w:val="SingleTxt"/>
        <w:spacing w:after="0" w:line="120" w:lineRule="exact"/>
        <w:rPr>
          <w:sz w:val="10"/>
          <w:lang w:val="es-ES_tradnl"/>
        </w:rPr>
      </w:pPr>
    </w:p>
    <w:p w14:paraId="704B1824" w14:textId="31AC9FE4" w:rsidR="00E77F78" w:rsidRPr="00197DF6" w:rsidRDefault="00E77F78" w:rsidP="001B36AA">
      <w:pPr>
        <w:pStyle w:val="SingleTxt"/>
        <w:numPr>
          <w:ilvl w:val="0"/>
          <w:numId w:val="29"/>
        </w:numPr>
        <w:ind w:left="1267"/>
        <w:rPr>
          <w:lang w:val="es-ES_tradnl"/>
        </w:rPr>
      </w:pPr>
      <w:r w:rsidRPr="00197DF6">
        <w:rPr>
          <w:lang w:val="es-ES_tradnl"/>
        </w:rPr>
        <w:t xml:space="preserve">El artículo 146 del Código Penal de </w:t>
      </w:r>
      <w:proofErr w:type="spellStart"/>
      <w:r w:rsidRPr="00197DF6">
        <w:rPr>
          <w:lang w:val="es-ES_tradnl"/>
        </w:rPr>
        <w:t>Bhután</w:t>
      </w:r>
      <w:proofErr w:type="spellEnd"/>
      <w:r w:rsidRPr="00197DF6">
        <w:rPr>
          <w:lang w:val="es-ES_tradnl"/>
        </w:rPr>
        <w:t xml:space="preserve"> permite la interrupción médica del embarazo en los casos en que exista riesgo para la vida de la madre, cuando el embarazo sea consecuencia de incesto y violación, o cuando la madre se encuentre en una situación mental no idónea. </w:t>
      </w:r>
    </w:p>
    <w:p w14:paraId="0BEA1172" w14:textId="467ECEB6" w:rsidR="00E77F78" w:rsidRPr="00197DF6" w:rsidRDefault="00E77F78" w:rsidP="001B36AA">
      <w:pPr>
        <w:pStyle w:val="SingleTxt"/>
        <w:numPr>
          <w:ilvl w:val="0"/>
          <w:numId w:val="29"/>
        </w:numPr>
        <w:ind w:left="1267"/>
        <w:rPr>
          <w:lang w:val="es-ES_tradnl"/>
        </w:rPr>
      </w:pPr>
      <w:r w:rsidRPr="00197DF6">
        <w:rPr>
          <w:lang w:val="es-ES_tradnl"/>
        </w:rPr>
        <w:t xml:space="preserve">Las directrices normalizadas para el tratamiento de las complicaciones del aborto destinadas al personal sanitario destacan la necesidad de prestar </w:t>
      </w:r>
      <w:proofErr w:type="gramStart"/>
      <w:r w:rsidRPr="00197DF6">
        <w:rPr>
          <w:lang w:val="es-ES_tradnl"/>
        </w:rPr>
        <w:t>servicios postaborto</w:t>
      </w:r>
      <w:proofErr w:type="gramEnd"/>
      <w:r w:rsidRPr="00197DF6">
        <w:rPr>
          <w:lang w:val="es-ES_tradnl"/>
        </w:rPr>
        <w:t xml:space="preserve"> con respeto y de forma imparcial para aumentar el acceso a todos los servicios, entre ellos el asesoramiento sobre planificación familiar y anticoncepción postaborto. </w:t>
      </w:r>
    </w:p>
    <w:p w14:paraId="2DABF957" w14:textId="09CCF0A4" w:rsidR="00E77F78" w:rsidRPr="00197DF6" w:rsidRDefault="00E77F78" w:rsidP="001B36AA">
      <w:pPr>
        <w:pStyle w:val="SingleTxt"/>
        <w:numPr>
          <w:ilvl w:val="0"/>
          <w:numId w:val="29"/>
        </w:numPr>
        <w:ind w:left="1267"/>
        <w:rPr>
          <w:lang w:val="es-ES_tradnl"/>
        </w:rPr>
      </w:pPr>
      <w:r w:rsidRPr="00197DF6">
        <w:rPr>
          <w:lang w:val="es-ES_tradnl"/>
        </w:rPr>
        <w:t xml:space="preserve">Actualmente se está elaborando un POE para la interrupción médica del embarazo en el Hospital Nacional de Referencia Jigme Dorji Wangchuck con el fin de garantizar la prestación oportuna de servicios de acuerdo con las normas mínimas. También proporcionará procedimientos claros para el personal del hospital y los organismos pertinentes, en particular los mecanismos de derivación. Se espera que el POE se haya finalizado a finales de 2022. </w:t>
      </w:r>
    </w:p>
    <w:p w14:paraId="3989378D" w14:textId="77777777" w:rsidR="00E77F78" w:rsidRPr="00197DF6" w:rsidRDefault="00E77F78" w:rsidP="00E77F78">
      <w:pPr>
        <w:pStyle w:val="SingleTxt"/>
        <w:spacing w:after="0" w:line="120" w:lineRule="exact"/>
        <w:rPr>
          <w:sz w:val="10"/>
          <w:lang w:val="es-ES_tradnl"/>
        </w:rPr>
      </w:pPr>
    </w:p>
    <w:p w14:paraId="6024F7DC"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Intervenciones para reducir el número de suicidios de mujeres y niñas</w:t>
      </w:r>
      <w:r w:rsidRPr="00197DF6">
        <w:rPr>
          <w:lang w:val="es-ES_tradnl"/>
        </w:rPr>
        <w:t xml:space="preserve"> </w:t>
      </w:r>
    </w:p>
    <w:p w14:paraId="05459262" w14:textId="77777777" w:rsidR="00E77F78" w:rsidRPr="00197DF6" w:rsidRDefault="00E77F78" w:rsidP="00E77F78">
      <w:pPr>
        <w:pStyle w:val="SingleTxt"/>
        <w:spacing w:after="0" w:line="120" w:lineRule="exact"/>
        <w:rPr>
          <w:sz w:val="10"/>
          <w:lang w:val="es-ES_tradnl"/>
        </w:rPr>
      </w:pPr>
    </w:p>
    <w:p w14:paraId="590D7CD0" w14:textId="3F1D203F" w:rsidR="00E77F78" w:rsidRPr="00197DF6" w:rsidRDefault="00E77F78" w:rsidP="001B36AA">
      <w:pPr>
        <w:pStyle w:val="SingleTxt"/>
        <w:numPr>
          <w:ilvl w:val="0"/>
          <w:numId w:val="29"/>
        </w:numPr>
        <w:ind w:left="1267"/>
        <w:rPr>
          <w:b/>
          <w:lang w:val="es-ES_tradnl"/>
        </w:rPr>
      </w:pPr>
      <w:r w:rsidRPr="00197DF6">
        <w:rPr>
          <w:lang w:val="es-ES_tradnl"/>
        </w:rPr>
        <w:t xml:space="preserve">La prevención y reducción del suicidio es una esfera prioritaria para el Gobierno y se han puesto en marcha intervenciones específicas para reducir la tasa global de suicidios a menos de 12 por 100.000 habitantes en julio de 2023. La sensibilización y la defensa de la prevención del suicidio, la creación de capacidad entre los proveedores de servicios y el refuerzo de los mecanismos institucionales para abordar las cuestiones relacionadas con el suicidio son algunas de las medidas. </w:t>
      </w:r>
    </w:p>
    <w:p w14:paraId="757A0EC7" w14:textId="5B6AF24B" w:rsidR="00E77F78" w:rsidRPr="00197DF6" w:rsidRDefault="00E77F78" w:rsidP="001B36AA">
      <w:pPr>
        <w:pStyle w:val="SingleTxt"/>
        <w:numPr>
          <w:ilvl w:val="0"/>
          <w:numId w:val="29"/>
        </w:numPr>
        <w:ind w:left="1267"/>
        <w:rPr>
          <w:b/>
          <w:lang w:val="es-ES_tradnl"/>
        </w:rPr>
      </w:pPr>
      <w:r w:rsidRPr="00197DF6">
        <w:rPr>
          <w:lang w:val="es-ES_tradnl"/>
        </w:rPr>
        <w:t xml:space="preserve">Actualmente se están aplicando la estrategia y el plan de acción de salud mental de </w:t>
      </w:r>
      <w:proofErr w:type="spellStart"/>
      <w:r w:rsidRPr="00197DF6">
        <w:rPr>
          <w:lang w:val="es-ES_tradnl"/>
        </w:rPr>
        <w:t>Bhután</w:t>
      </w:r>
      <w:proofErr w:type="spellEnd"/>
      <w:r w:rsidRPr="00197DF6">
        <w:rPr>
          <w:lang w:val="es-ES_tradnl"/>
        </w:rPr>
        <w:t xml:space="preserve"> (2018-2023) y un plan de acción quinquenal para la prevención del suicidio en </w:t>
      </w:r>
      <w:proofErr w:type="spellStart"/>
      <w:r w:rsidRPr="00197DF6">
        <w:rPr>
          <w:lang w:val="es-ES_tradnl"/>
        </w:rPr>
        <w:t>Bhután</w:t>
      </w:r>
      <w:proofErr w:type="spellEnd"/>
      <w:r w:rsidRPr="00197DF6">
        <w:rPr>
          <w:lang w:val="es-ES_tradnl"/>
        </w:rPr>
        <w:t xml:space="preserve"> (2018-2023). Los planes adoptan un enfoque multisectorial y esbozan las funciones de todas las personas y organismos en el apoyo a la prevención del suicidio, al tiempo que identifican los servicios institucionales clave y las deficiencias en la prestación de servicios psicosociales y de salud mental oportunos, adecuados y de calidad. </w:t>
      </w:r>
    </w:p>
    <w:p w14:paraId="6695D29D" w14:textId="30DE1D2F" w:rsidR="00E77F78" w:rsidRPr="00197DF6" w:rsidRDefault="00E77F78" w:rsidP="001B36AA">
      <w:pPr>
        <w:pStyle w:val="SingleTxt"/>
        <w:numPr>
          <w:ilvl w:val="0"/>
          <w:numId w:val="29"/>
        </w:numPr>
        <w:ind w:left="1267"/>
        <w:rPr>
          <w:b/>
          <w:lang w:val="es-ES_tradnl"/>
        </w:rPr>
      </w:pPr>
      <w:r w:rsidRPr="00197DF6">
        <w:rPr>
          <w:lang w:val="es-ES_tradnl"/>
        </w:rPr>
        <w:t>Ante la creciente evidencia de los efectos de la COVID-19 en la salud mental de niños y jóvenes, la Comisión Parlamentaria de Asuntos Sociales y Culturales llevó a cabo un examen de la situación. Se deliberó sobre el informe elaborado por la Comisión durante la 27ª sesión del Consejo Nacional, en junio de 2021. Posteriormente, las recomendaciones de la sesión se sometieron a la consideración del Gobierno. Además, el UNICEF, en colaboración con organismos nacionales, llevó a cabo amplias consultas con proveedores de servicios de salud mental y apoyo psicosocial.</w:t>
      </w:r>
    </w:p>
    <w:p w14:paraId="1CBDC7A6" w14:textId="54126A2A" w:rsidR="00E77F78" w:rsidRPr="00197DF6" w:rsidRDefault="00E77F78" w:rsidP="001B36AA">
      <w:pPr>
        <w:pStyle w:val="SingleTxt"/>
        <w:numPr>
          <w:ilvl w:val="0"/>
          <w:numId w:val="29"/>
        </w:numPr>
        <w:ind w:left="1267"/>
        <w:rPr>
          <w:b/>
          <w:lang w:val="es-ES_tradnl"/>
        </w:rPr>
      </w:pPr>
      <w:r w:rsidRPr="00197DF6">
        <w:rPr>
          <w:lang w:val="es-ES_tradnl"/>
        </w:rPr>
        <w:t xml:space="preserve">Entre 2020 y 2021, el Ministerio de Educación y la Comisión Nacional de la Mujer y el Niño, en colaboración con los asociados gubernamentales y no gubernamentales pertinentes, lanzaron dos campañas en línea para normalizar y promover acciones sobre salud mental para niños y jóvenes: “Proyecto </w:t>
      </w:r>
      <w:proofErr w:type="spellStart"/>
      <w:r w:rsidRPr="00197DF6">
        <w:rPr>
          <w:lang w:val="es-ES_tradnl"/>
        </w:rPr>
        <w:t>Gawa</w:t>
      </w:r>
      <w:proofErr w:type="spellEnd"/>
      <w:r w:rsidRPr="00197DF6">
        <w:rPr>
          <w:iCs/>
          <w:vertAlign w:val="superscript"/>
          <w:lang w:val="es-ES_tradnl"/>
        </w:rPr>
        <w:footnoteReference w:id="38"/>
      </w:r>
      <w:r w:rsidRPr="00197DF6">
        <w:rPr>
          <w:lang w:val="es-ES_tradnl"/>
        </w:rPr>
        <w:t xml:space="preserve">” en 2020 y #OnMyMind en 2021. A raíz de ello, los teléfonos de asistencia del Ministerio y la Comisión registraron un aumento del número de casos recibidos una vez finalizada la campaña (de 204 casos atendidos entre marzo y agosto a 528 en un mes de campaña). Además, 552 niños y 278 jóvenes solicitaron servicios de asesoramiento tras la campaña. </w:t>
      </w:r>
    </w:p>
    <w:p w14:paraId="37A0F363" w14:textId="617FC225" w:rsidR="00E77F78" w:rsidRPr="00197DF6" w:rsidRDefault="00E77F78" w:rsidP="001B36AA">
      <w:pPr>
        <w:pStyle w:val="SingleTxt"/>
        <w:numPr>
          <w:ilvl w:val="0"/>
          <w:numId w:val="29"/>
        </w:numPr>
        <w:ind w:left="1267"/>
        <w:rPr>
          <w:b/>
          <w:lang w:val="es-ES_tradnl"/>
        </w:rPr>
      </w:pPr>
      <w:r w:rsidRPr="00197DF6">
        <w:rPr>
          <w:lang w:val="es-ES_tradnl"/>
        </w:rPr>
        <w:t xml:space="preserve">Reconociendo el papel fundamental de los orientadores a la hora de proporcionar salud mental y apoyo psicosocial a estudiantes y jóvenes, se mejoran las capacidades de los orientadores escolares mediante formación periódica sobre intervención familiar y apoyo psicosocial. Entre 2020 y 2021, 177 asesores (84 mujeres) recibieron formación para proporcionar apoyo psicosocial y para la salud mental. </w:t>
      </w:r>
    </w:p>
    <w:p w14:paraId="34A5ECC4" w14:textId="7D47ED10" w:rsidR="00E77F78" w:rsidRPr="00197DF6" w:rsidRDefault="00E77F78" w:rsidP="001B36AA">
      <w:pPr>
        <w:pStyle w:val="SingleTxt"/>
        <w:numPr>
          <w:ilvl w:val="0"/>
          <w:numId w:val="29"/>
        </w:numPr>
        <w:ind w:left="1267"/>
        <w:rPr>
          <w:b/>
          <w:lang w:val="es-ES_tradnl"/>
        </w:rPr>
      </w:pPr>
      <w:r w:rsidRPr="00197DF6">
        <w:rPr>
          <w:lang w:val="es-ES_tradnl"/>
        </w:rPr>
        <w:t xml:space="preserve">Para ayudar a los niños en una situación de necesidad, un profesor de cada escuela de </w:t>
      </w:r>
      <w:proofErr w:type="spellStart"/>
      <w:r w:rsidRPr="00197DF6">
        <w:rPr>
          <w:lang w:val="es-ES_tradnl"/>
        </w:rPr>
        <w:t>Bhután</w:t>
      </w:r>
      <w:proofErr w:type="spellEnd"/>
      <w:r w:rsidRPr="00197DF6">
        <w:rPr>
          <w:lang w:val="es-ES_tradnl"/>
        </w:rPr>
        <w:t xml:space="preserve"> recibió formación en apoyo psicosocial. Esa persona sería posteriormente designada coordinadora para esta materia en su centro correspondiente. También se ha instituido un mecanismo de derivación para garantizar un proceso adecuado y oportuno entre los asesores, el Ministerio de Educación y organismos como la Comisión Nacional de la Mujer y el Niño y las organizaciones de la sociedad civil pertinentes. Además, la puesta en marcha del POE sobre gestión de casos de protección infantil reforzará aún más el mecanismo de derivación. También se elaboró una nota orientativa para proporcionar apoyo psicosocial y para la salud mental a distancia, y 147 asesores han recibido capacitación al respecto. </w:t>
      </w:r>
    </w:p>
    <w:p w14:paraId="5C78DFD6" w14:textId="4B5E8708" w:rsidR="00E77F78" w:rsidRPr="00197DF6" w:rsidRDefault="00E77F78" w:rsidP="001B36AA">
      <w:pPr>
        <w:pStyle w:val="SingleTxt"/>
        <w:numPr>
          <w:ilvl w:val="0"/>
          <w:numId w:val="29"/>
        </w:numPr>
        <w:ind w:left="1267"/>
        <w:rPr>
          <w:b/>
          <w:lang w:val="es-ES_tradnl"/>
        </w:rPr>
      </w:pPr>
      <w:r w:rsidRPr="00197DF6">
        <w:rPr>
          <w:lang w:val="es-ES_tradnl"/>
        </w:rPr>
        <w:t xml:space="preserve">Durante la pandemia se creó un equipo de salud mental y respuesta psicosocial especializado. En marzo de 2020 también se establecieron teléfonos de asistencia gratuitos a nivel nacional y comunitario para el asesoramiento, la detección y la derivación de las personas en situación de riesgo a los servicios adecuados. Más de 1.500 personas con problemas relacionados con la salud mental y el abuso de sustancias utilizaron estos servicios entre 2020 y 2021. La concienciación y la información sobre los servicios se facilitan continuamente a través de distintos medios de comunicación. Además, para garantizar la detección precoz y prestar servicios a las personas en situación de riesgo, también se capacitó a más de 20.000 trabajadores sanitarios, asesores y voluntarios en primeros auxilios psicológicos y prevención del suicidio. </w:t>
      </w:r>
    </w:p>
    <w:p w14:paraId="242FFD45" w14:textId="046F2071" w:rsidR="00E77F78" w:rsidRPr="00197DF6" w:rsidRDefault="00E77F78" w:rsidP="001B36AA">
      <w:pPr>
        <w:pStyle w:val="SingleTxt"/>
        <w:numPr>
          <w:ilvl w:val="0"/>
          <w:numId w:val="29"/>
        </w:numPr>
        <w:ind w:left="1267"/>
        <w:rPr>
          <w:b/>
          <w:lang w:val="es-ES_tradnl"/>
        </w:rPr>
      </w:pPr>
      <w:r w:rsidRPr="00197DF6">
        <w:rPr>
          <w:lang w:val="es-ES_tradnl"/>
        </w:rPr>
        <w:t xml:space="preserve">Las intervenciones comunicadas en respuesta a la lista de cuestiones del párrafo 16 son pasos significativos para evitar que las mujeres y las niñas se suiciden debido a dificultades económicas. El programa </w:t>
      </w:r>
      <w:proofErr w:type="spellStart"/>
      <w:r w:rsidRPr="00197DF6">
        <w:rPr>
          <w:i/>
          <w:iCs/>
          <w:lang w:val="es-ES_tradnl"/>
        </w:rPr>
        <w:t>Kidu</w:t>
      </w:r>
      <w:proofErr w:type="spellEnd"/>
      <w:r w:rsidRPr="00197DF6">
        <w:rPr>
          <w:lang w:val="es-ES_tradnl"/>
        </w:rPr>
        <w:t xml:space="preserve">, dependiente de la Secretaría de Su Majestad y que incluye </w:t>
      </w:r>
      <w:proofErr w:type="spellStart"/>
      <w:r w:rsidRPr="00197DF6">
        <w:rPr>
          <w:i/>
          <w:iCs/>
          <w:lang w:val="es-ES_tradnl"/>
        </w:rPr>
        <w:t>Relief</w:t>
      </w:r>
      <w:proofErr w:type="spellEnd"/>
      <w:r w:rsidRPr="00197DF6">
        <w:rPr>
          <w:i/>
          <w:iCs/>
          <w:lang w:val="es-ES_tradnl"/>
        </w:rPr>
        <w:t xml:space="preserve"> </w:t>
      </w:r>
      <w:proofErr w:type="spellStart"/>
      <w:r w:rsidRPr="00197DF6">
        <w:rPr>
          <w:i/>
          <w:iCs/>
          <w:lang w:val="es-ES_tradnl"/>
        </w:rPr>
        <w:t>Kidu</w:t>
      </w:r>
      <w:proofErr w:type="spellEnd"/>
      <w:r w:rsidRPr="00197DF6">
        <w:rPr>
          <w:lang w:val="es-ES_tradnl"/>
        </w:rPr>
        <w:t xml:space="preserve">, es otra importante medida de protección social que se espera que contribuya a prevenir el suicidio y la angustia durante la pandemia. </w:t>
      </w:r>
    </w:p>
    <w:p w14:paraId="60140274" w14:textId="363C3D0F" w:rsidR="00E77F78" w:rsidRPr="00197DF6" w:rsidRDefault="00E77F78" w:rsidP="001B36AA">
      <w:pPr>
        <w:pStyle w:val="SingleTxt"/>
        <w:numPr>
          <w:ilvl w:val="0"/>
          <w:numId w:val="29"/>
        </w:numPr>
        <w:ind w:left="1267"/>
        <w:rPr>
          <w:b/>
          <w:lang w:val="es-ES_tradnl"/>
        </w:rPr>
      </w:pPr>
      <w:r w:rsidRPr="00197DF6">
        <w:rPr>
          <w:lang w:val="es-ES_tradnl"/>
        </w:rPr>
        <w:t xml:space="preserve">Los servicios de rehabilitación para consumidores de alcohol y drogas se prestan en colaboración con las organizaciones de la sociedad civil asociadas, excepto los servicios de desintoxicación y rehabilitación para los niños que están en conflicto con la ley, que los prestan los hospitales y la Policía Real de </w:t>
      </w:r>
      <w:proofErr w:type="spellStart"/>
      <w:r w:rsidRPr="00197DF6">
        <w:rPr>
          <w:lang w:val="es-ES_tradnl"/>
        </w:rPr>
        <w:t>Bhután</w:t>
      </w:r>
      <w:proofErr w:type="spellEnd"/>
      <w:r w:rsidRPr="00197DF6">
        <w:rPr>
          <w:lang w:val="es-ES_tradnl"/>
        </w:rPr>
        <w:t xml:space="preserve">. La Comisión Nacional de la Mujer y el Niño y sus asociados ayudan a garantizar la gratuidad de los servicios para mujeres y niñas en circunstancias difíciles, incluidas las supervivientes de la violencia de género, que necesitan servicios de rehabilitación. También se prestan servicios regulares de supervisión, seguimiento y postratamiento. </w:t>
      </w:r>
    </w:p>
    <w:p w14:paraId="7AAEF36E" w14:textId="3FFF3028" w:rsidR="00E77F78" w:rsidRPr="00197DF6" w:rsidRDefault="00E77F78" w:rsidP="001B36AA">
      <w:pPr>
        <w:pStyle w:val="SingleTxt"/>
        <w:numPr>
          <w:ilvl w:val="0"/>
          <w:numId w:val="29"/>
        </w:numPr>
        <w:ind w:left="1267"/>
        <w:rPr>
          <w:b/>
          <w:lang w:val="es-ES_tradnl"/>
        </w:rPr>
      </w:pPr>
      <w:r w:rsidRPr="00197DF6">
        <w:rPr>
          <w:lang w:val="es-ES_tradnl"/>
        </w:rPr>
        <w:t xml:space="preserve">El “Centro </w:t>
      </w:r>
      <w:proofErr w:type="spellStart"/>
      <w:r w:rsidRPr="00197DF6">
        <w:rPr>
          <w:lang w:val="es-ES_tradnl"/>
        </w:rPr>
        <w:t>Pema</w:t>
      </w:r>
      <w:proofErr w:type="spellEnd"/>
      <w:r w:rsidRPr="00197DF6">
        <w:rPr>
          <w:lang w:val="es-ES_tradnl"/>
        </w:rPr>
        <w:t xml:space="preserve">”, una iniciativa especial de Su Majestad </w:t>
      </w:r>
      <w:proofErr w:type="spellStart"/>
      <w:r w:rsidRPr="00197DF6">
        <w:rPr>
          <w:lang w:val="es-ES_tradnl"/>
        </w:rPr>
        <w:t>Gyaltsuen</w:t>
      </w:r>
      <w:proofErr w:type="spellEnd"/>
      <w:r w:rsidRPr="00197DF6">
        <w:rPr>
          <w:lang w:val="es-ES_tradnl"/>
        </w:rPr>
        <w:t xml:space="preserve">, se puso en marcha en noviembre de 2021. Además del hospital de 60 camas, el Centro también brindará servicios de consulta y asesoramiento ambulatorios, de emergencia y de tratamiento. Una vez en pleno funcionamiento, también se espera que preste servicios de salud mental a familiares y amigos y los involucre en el proceso de recuperación. En 2022 también se creó la Secretaría del Centro </w:t>
      </w:r>
      <w:proofErr w:type="spellStart"/>
      <w:r w:rsidRPr="00197DF6">
        <w:rPr>
          <w:lang w:val="es-ES_tradnl"/>
        </w:rPr>
        <w:t>Pema</w:t>
      </w:r>
      <w:proofErr w:type="spellEnd"/>
      <w:r w:rsidRPr="00197DF6">
        <w:rPr>
          <w:lang w:val="es-ES_tradnl"/>
        </w:rPr>
        <w:t xml:space="preserve"> para encabezar la respuesta nacional a la salud mental y supervisar el funcionamiento del centro. </w:t>
      </w:r>
    </w:p>
    <w:p w14:paraId="7D827A9B" w14:textId="77777777" w:rsidR="00E77F78" w:rsidRPr="00197DF6" w:rsidRDefault="00E77F78" w:rsidP="00BF3F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t>Mujeres rurales (respuestas al párrafo 20)</w:t>
      </w:r>
      <w:bookmarkStart w:id="14" w:name="_Hlk108523820"/>
      <w:bookmarkEnd w:id="14"/>
    </w:p>
    <w:p w14:paraId="11A68313" w14:textId="77777777" w:rsidR="00E77F78" w:rsidRPr="00197DF6" w:rsidRDefault="00E77F78" w:rsidP="00E77F78">
      <w:pPr>
        <w:pStyle w:val="SingleTxt"/>
        <w:spacing w:after="0" w:line="120" w:lineRule="exact"/>
        <w:rPr>
          <w:sz w:val="10"/>
          <w:lang w:val="es-ES_tradnl"/>
        </w:rPr>
      </w:pPr>
    </w:p>
    <w:p w14:paraId="3BFF1FA2" w14:textId="77777777" w:rsidR="00E77F78" w:rsidRPr="00197DF6" w:rsidRDefault="00E77F78" w:rsidP="00E77F78">
      <w:pPr>
        <w:pStyle w:val="SingleTxt"/>
        <w:spacing w:after="0" w:line="120" w:lineRule="exact"/>
        <w:rPr>
          <w:sz w:val="10"/>
          <w:lang w:val="es-ES_tradnl"/>
        </w:rPr>
      </w:pPr>
    </w:p>
    <w:p w14:paraId="456D5860"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Reducción de la pobreza, empleo y empoderamiento económico</w:t>
      </w:r>
    </w:p>
    <w:p w14:paraId="0EE44281" w14:textId="77777777" w:rsidR="00E77F78" w:rsidRPr="00197DF6" w:rsidRDefault="00E77F78" w:rsidP="00E77F78">
      <w:pPr>
        <w:pStyle w:val="SingleTxt"/>
        <w:spacing w:after="0" w:line="120" w:lineRule="exact"/>
        <w:rPr>
          <w:sz w:val="10"/>
          <w:lang w:val="es-ES_tradnl"/>
        </w:rPr>
      </w:pPr>
    </w:p>
    <w:p w14:paraId="65D80A5B" w14:textId="1B81AC51" w:rsidR="00E77F78" w:rsidRPr="00197DF6" w:rsidRDefault="00E77F78" w:rsidP="001B36AA">
      <w:pPr>
        <w:pStyle w:val="SingleTxt"/>
        <w:numPr>
          <w:ilvl w:val="0"/>
          <w:numId w:val="30"/>
        </w:numPr>
        <w:tabs>
          <w:tab w:val="clear" w:pos="475"/>
          <w:tab w:val="right" w:pos="1022"/>
        </w:tabs>
        <w:ind w:left="1267" w:right="1260"/>
        <w:rPr>
          <w:lang w:val="es-ES_tradnl"/>
        </w:rPr>
      </w:pPr>
      <w:r w:rsidRPr="00197DF6">
        <w:rPr>
          <w:lang w:val="es-ES_tradnl"/>
        </w:rPr>
        <w:t xml:space="preserve">El objetivo general del 12º plan quinquenal es crear una “sociedad justa y armoniosa” mediante la reducción de la pobreza, la creación de empleo remunerado, la diversificación económica, unos servicios sanitarios y educativos de calidad y el acceso a la justicia. Como tal, el plan actual adopta un enfoque multisectorial para reducir la pobreza y la desigualdad que contribuirá a la consecución de la esfera nacional de resultados clave 3: “reducir la pobreza y la desigualdad”. </w:t>
      </w:r>
    </w:p>
    <w:p w14:paraId="2C122771" w14:textId="58BC6CAD" w:rsidR="00E77F78" w:rsidRPr="00197DF6" w:rsidRDefault="00E77F78" w:rsidP="001B36AA">
      <w:pPr>
        <w:pStyle w:val="SingleTxt"/>
        <w:numPr>
          <w:ilvl w:val="0"/>
          <w:numId w:val="30"/>
        </w:numPr>
        <w:ind w:left="1267"/>
        <w:rPr>
          <w:lang w:val="es-ES_tradnl"/>
        </w:rPr>
      </w:pPr>
      <w:r w:rsidRPr="00197DF6">
        <w:rPr>
          <w:lang w:val="es-ES_tradnl"/>
        </w:rPr>
        <w:t xml:space="preserve">La tasa de pobreza ha bajado del 12 % en 2012 al 8,2 % en 2017. Del mismo modo, también hubo reducciones significativas en la pobreza multidimensional; así, el índice de pobreza multidimensional (IPM) cayó del 12,7 % en 2012 al 5,5 % en 2017. Sin embargo, el IPM es mayor en las mujeres (6,6 %) que en los hombres (5,4 %). </w:t>
      </w:r>
    </w:p>
    <w:p w14:paraId="4F7FE07C" w14:textId="4FA20D1A" w:rsidR="00E77F78" w:rsidRPr="00197DF6" w:rsidRDefault="00E77F78" w:rsidP="001B36AA">
      <w:pPr>
        <w:pStyle w:val="SingleTxt"/>
        <w:numPr>
          <w:ilvl w:val="0"/>
          <w:numId w:val="30"/>
        </w:numPr>
        <w:ind w:left="1267"/>
        <w:rPr>
          <w:lang w:val="es-ES_tradnl"/>
        </w:rPr>
      </w:pPr>
      <w:r w:rsidRPr="00197DF6">
        <w:rPr>
          <w:lang w:val="es-ES_tradnl"/>
        </w:rPr>
        <w:t xml:space="preserve">El programa insignia de puesta en marcha y desarrollo de las empresas familiares y la pequeña industria, entre otros, es una de las estrategias significativas con las que el Gobierno pretende diversificar la economía, crear empleo, reducir la pobreza y promover la igualdad de género. Dado el enorme potencial del sector para el desarrollo económico y de medios de vida inclusivos y sostenibles, el programa insignia pretende promover las pequeñas industrias con alto potencial de crecimiento que puedan brindar oportunidades de empoderamiento económico y de medios de vida a la población rural, en la que predominan las mujeres. </w:t>
      </w:r>
    </w:p>
    <w:p w14:paraId="77D3C4FE" w14:textId="16DD79A3" w:rsidR="00E77F78" w:rsidRPr="00197DF6" w:rsidRDefault="00E77F78" w:rsidP="001B36AA">
      <w:pPr>
        <w:pStyle w:val="SingleTxt"/>
        <w:numPr>
          <w:ilvl w:val="0"/>
          <w:numId w:val="30"/>
        </w:numPr>
        <w:ind w:left="1267"/>
        <w:rPr>
          <w:lang w:val="es-ES_tradnl"/>
        </w:rPr>
      </w:pPr>
      <w:r w:rsidRPr="00197DF6">
        <w:rPr>
          <w:lang w:val="es-ES_tradnl"/>
        </w:rPr>
        <w:t xml:space="preserve">El Gobierno lleva a cabo regularmente programas de mejora de las competencias y fomento de la capacidad, El programa de resiliencia de la agricultura comercial y mejora de los medios de subsistencia, ejecutado en seis distritos orientales, permitió capacitar a 10.037 trabajadoras agrícolas. Además, los centros de investigación de los recursos naturales renovables y las oficinas de extensión agraria de los respectivos distritos y regiones prestan apoyo periódicamente al desarrollo de capacidades y a la comercialización. Entre julio de 2019 y junio de 2021 recibieron capacitación 952 agricultoras y 603 agricultores sobre agricultura ecológica, cultivo de hortalizas y árboles frutales y gestión de tierras. </w:t>
      </w:r>
    </w:p>
    <w:p w14:paraId="12393D36" w14:textId="499017DD" w:rsidR="00E77F78" w:rsidRPr="00197DF6" w:rsidRDefault="00E77F78" w:rsidP="001B36AA">
      <w:pPr>
        <w:pStyle w:val="SingleTxt"/>
        <w:numPr>
          <w:ilvl w:val="0"/>
          <w:numId w:val="30"/>
        </w:numPr>
        <w:ind w:left="1267"/>
        <w:rPr>
          <w:lang w:val="es-ES_tradnl"/>
        </w:rPr>
      </w:pPr>
      <w:r w:rsidRPr="00197DF6">
        <w:rPr>
          <w:lang w:val="es-ES_tradnl"/>
        </w:rPr>
        <w:t xml:space="preserve">Para complementar las iniciativas del Gobierno, la </w:t>
      </w:r>
      <w:proofErr w:type="spellStart"/>
      <w:r w:rsidRPr="00197DF6">
        <w:rPr>
          <w:lang w:val="es-ES_tradnl"/>
        </w:rPr>
        <w:t>Tarayana</w:t>
      </w:r>
      <w:proofErr w:type="spellEnd"/>
      <w:r w:rsidRPr="00197DF6">
        <w:rPr>
          <w:lang w:val="es-ES_tradnl"/>
        </w:rPr>
        <w:t xml:space="preserve"> </w:t>
      </w:r>
      <w:proofErr w:type="spellStart"/>
      <w:r w:rsidRPr="00197DF6">
        <w:rPr>
          <w:lang w:val="es-ES_tradnl"/>
        </w:rPr>
        <w:t>Foundation</w:t>
      </w:r>
      <w:proofErr w:type="spellEnd"/>
      <w:r w:rsidRPr="00197DF6">
        <w:rPr>
          <w:lang w:val="es-ES_tradnl"/>
        </w:rPr>
        <w:t xml:space="preserve"> cursos de capacitación sobre agricultura ecológica, alimentación y nutrición, en los que participaron 567 mujeres</w:t>
      </w:r>
      <w:r w:rsidRPr="00197DF6">
        <w:rPr>
          <w:vertAlign w:val="superscript"/>
          <w:lang w:val="es-ES_tradnl"/>
        </w:rPr>
        <w:footnoteReference w:id="39"/>
      </w:r>
      <w:r w:rsidRPr="00197DF6">
        <w:rPr>
          <w:lang w:val="es-ES_tradnl"/>
        </w:rPr>
        <w:t xml:space="preserve"> entre 2020 y 2021. La fundación también impartió formación sobre gestión de manantiales a nivel comunitario a 220 mujeres en los dos últimos años. </w:t>
      </w:r>
    </w:p>
    <w:p w14:paraId="38EDFAB0" w14:textId="37F05539" w:rsidR="00E77F78" w:rsidRPr="00197DF6" w:rsidRDefault="00E77F78" w:rsidP="001B36AA">
      <w:pPr>
        <w:pStyle w:val="SingleTxt"/>
        <w:numPr>
          <w:ilvl w:val="0"/>
          <w:numId w:val="30"/>
        </w:numPr>
        <w:ind w:left="1267"/>
        <w:rPr>
          <w:lang w:val="es-ES_tradnl"/>
        </w:rPr>
      </w:pPr>
      <w:r w:rsidRPr="00197DF6">
        <w:rPr>
          <w:lang w:val="es-ES_tradnl"/>
        </w:rPr>
        <w:t xml:space="preserve">Los pequeños proyectos de desarrollo destinados a potenciar el desarrollo socioeconómico de las comunidades rurales son otra importante intervención para la reducción de la pobreza a nivel local. Se espera que los proyectos mejoren los medios de subsistencia de las comunidades rurales mediante la mejora de la accesibilidad, el aumento del empleo y las oportunidades económicas, y la seguridad alimentaria. </w:t>
      </w:r>
    </w:p>
    <w:p w14:paraId="1CB70303" w14:textId="1A0240AE" w:rsidR="00E77F78" w:rsidRPr="00197DF6" w:rsidRDefault="00E77F78" w:rsidP="001B36AA">
      <w:pPr>
        <w:pStyle w:val="SingleTxt"/>
        <w:numPr>
          <w:ilvl w:val="0"/>
          <w:numId w:val="30"/>
        </w:numPr>
        <w:ind w:left="1267"/>
        <w:rPr>
          <w:lang w:val="es-ES_tradnl"/>
        </w:rPr>
      </w:pPr>
      <w:r w:rsidRPr="00197DF6">
        <w:rPr>
          <w:lang w:val="es-ES_tradnl"/>
        </w:rPr>
        <w:t xml:space="preserve">Además de las iniciativas de mejora de los medios de subsistencia y de desarrollo de capacidades de las que se informa en respuesta a la lista de cuestiones del párrafo 16, se persigue aumentar la participación de las mujeres en grupos comunitarios, cooperativas y colectivos de autoayuda como iniciativas importantes para el empoderamiento social y económico de las mujeres rurales. En mayo de 2022, había 100 cooperativas y 666 agrupaciones de agricultores dependientes del Ministerio de Agricultura y Bosques. Las mujeres constituyen alrededor del 50 % del total de miembros tanto de las cooperativas como de los grupos de agricultores. </w:t>
      </w:r>
    </w:p>
    <w:p w14:paraId="33FB5219" w14:textId="77777777" w:rsidR="00E77F78" w:rsidRPr="00197DF6" w:rsidRDefault="00E77F78" w:rsidP="00E77F78">
      <w:pPr>
        <w:pStyle w:val="SingleTxt"/>
        <w:spacing w:after="0" w:line="120" w:lineRule="exact"/>
        <w:rPr>
          <w:sz w:val="10"/>
          <w:lang w:val="es-ES_tradnl"/>
        </w:rPr>
      </w:pPr>
    </w:p>
    <w:p w14:paraId="4B8951E9"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Acceso a la financiación</w:t>
      </w:r>
    </w:p>
    <w:p w14:paraId="6E1846C3" w14:textId="77777777" w:rsidR="00E77F78" w:rsidRPr="00197DF6" w:rsidRDefault="00E77F78" w:rsidP="00E77F78">
      <w:pPr>
        <w:pStyle w:val="SingleTxt"/>
        <w:spacing w:after="0" w:line="120" w:lineRule="exact"/>
        <w:rPr>
          <w:sz w:val="10"/>
          <w:lang w:val="es-ES_tradnl"/>
        </w:rPr>
      </w:pPr>
    </w:p>
    <w:p w14:paraId="345F8EFE" w14:textId="2265D57A" w:rsidR="00E77F78" w:rsidRPr="00197DF6" w:rsidRDefault="00E77F78" w:rsidP="001B36AA">
      <w:pPr>
        <w:pStyle w:val="SingleTxt"/>
        <w:numPr>
          <w:ilvl w:val="0"/>
          <w:numId w:val="30"/>
        </w:numPr>
        <w:ind w:left="1267"/>
        <w:rPr>
          <w:lang w:val="es-ES_tradnl"/>
        </w:rPr>
      </w:pPr>
      <w:r w:rsidRPr="00197DF6">
        <w:rPr>
          <w:lang w:val="es-ES_tradnl"/>
        </w:rPr>
        <w:t xml:space="preserve">La estrategia de desarrollo (2012-2020) y el plan de acción (2015-2018) de la pequeña y mediana industria trazan estrategias claras para promover a las mujeres empresarias y facilitar su acceso a la financiación. En consecuencia, se registraron formalmente cinco instituciones de </w:t>
      </w:r>
      <w:proofErr w:type="spellStart"/>
      <w:r w:rsidRPr="00197DF6">
        <w:rPr>
          <w:lang w:val="es-ES_tradnl"/>
        </w:rPr>
        <w:t>microfinanciación</w:t>
      </w:r>
      <w:proofErr w:type="spellEnd"/>
      <w:r w:rsidRPr="00197DF6">
        <w:rPr>
          <w:lang w:val="es-ES_tradnl"/>
        </w:rPr>
        <w:t xml:space="preserve">, a saber, </w:t>
      </w:r>
      <w:proofErr w:type="spellStart"/>
      <w:r w:rsidRPr="00197DF6">
        <w:rPr>
          <w:lang w:val="es-ES_tradnl"/>
        </w:rPr>
        <w:t>National</w:t>
      </w:r>
      <w:proofErr w:type="spellEnd"/>
      <w:r w:rsidRPr="00197DF6">
        <w:rPr>
          <w:lang w:val="es-ES_tradnl"/>
        </w:rPr>
        <w:t xml:space="preserve"> CSI </w:t>
      </w:r>
      <w:proofErr w:type="spellStart"/>
      <w:r w:rsidRPr="00197DF6">
        <w:rPr>
          <w:lang w:val="es-ES_tradnl"/>
        </w:rPr>
        <w:t>Development</w:t>
      </w:r>
      <w:proofErr w:type="spellEnd"/>
      <w:r w:rsidRPr="00197DF6">
        <w:rPr>
          <w:lang w:val="es-ES_tradnl"/>
        </w:rPr>
        <w:t xml:space="preserve"> Bank (NCSIDBL), </w:t>
      </w:r>
      <w:proofErr w:type="spellStart"/>
      <w:r w:rsidRPr="00197DF6">
        <w:rPr>
          <w:lang w:val="es-ES_tradnl"/>
        </w:rPr>
        <w:t>Tarayana</w:t>
      </w:r>
      <w:proofErr w:type="spellEnd"/>
      <w:r w:rsidRPr="00197DF6">
        <w:rPr>
          <w:lang w:val="es-ES_tradnl"/>
        </w:rPr>
        <w:t xml:space="preserve"> </w:t>
      </w:r>
      <w:proofErr w:type="spellStart"/>
      <w:r w:rsidRPr="00197DF6">
        <w:rPr>
          <w:lang w:val="es-ES_tradnl"/>
        </w:rPr>
        <w:t>Foundation</w:t>
      </w:r>
      <w:proofErr w:type="spellEnd"/>
      <w:r w:rsidRPr="00197DF6">
        <w:rPr>
          <w:lang w:val="es-ES_tradnl"/>
        </w:rPr>
        <w:t xml:space="preserve">, </w:t>
      </w:r>
      <w:proofErr w:type="spellStart"/>
      <w:r w:rsidRPr="00197DF6">
        <w:rPr>
          <w:lang w:val="es-ES_tradnl"/>
        </w:rPr>
        <w:t>Bhutan</w:t>
      </w:r>
      <w:proofErr w:type="spellEnd"/>
      <w:r w:rsidRPr="00197DF6">
        <w:rPr>
          <w:lang w:val="es-ES_tradnl"/>
        </w:rPr>
        <w:t xml:space="preserve"> Care </w:t>
      </w:r>
      <w:proofErr w:type="spellStart"/>
      <w:r w:rsidRPr="00197DF6">
        <w:rPr>
          <w:lang w:val="es-ES_tradnl"/>
        </w:rPr>
        <w:t>Credit</w:t>
      </w:r>
      <w:proofErr w:type="spellEnd"/>
      <w:r w:rsidRPr="00197DF6">
        <w:rPr>
          <w:lang w:val="es-ES_tradnl"/>
        </w:rPr>
        <w:t xml:space="preserve"> </w:t>
      </w:r>
      <w:proofErr w:type="spellStart"/>
      <w:r w:rsidRPr="00197DF6">
        <w:rPr>
          <w:lang w:val="es-ES_tradnl"/>
        </w:rPr>
        <w:t>Limited</w:t>
      </w:r>
      <w:proofErr w:type="spellEnd"/>
      <w:r w:rsidRPr="00197DF6">
        <w:rPr>
          <w:lang w:val="es-ES_tradnl"/>
        </w:rPr>
        <w:t>, RENEW y BAOWE</w:t>
      </w:r>
      <w:r w:rsidRPr="00197DF6">
        <w:rPr>
          <w:vertAlign w:val="superscript"/>
          <w:lang w:val="es-ES_tradnl"/>
        </w:rPr>
        <w:footnoteReference w:id="40"/>
      </w:r>
      <w:r w:rsidRPr="00197DF6">
        <w:rPr>
          <w:lang w:val="es-ES_tradnl"/>
        </w:rPr>
        <w:t xml:space="preserve">, para mejorar el acceso a la financiación entre los grupos desfavorecidos, en particular las mujeres rurales. El programa de </w:t>
      </w:r>
      <w:proofErr w:type="spellStart"/>
      <w:r w:rsidRPr="00197DF6">
        <w:rPr>
          <w:lang w:val="es-ES_tradnl"/>
        </w:rPr>
        <w:t>microfinanciación</w:t>
      </w:r>
      <w:proofErr w:type="spellEnd"/>
      <w:r w:rsidRPr="00197DF6">
        <w:rPr>
          <w:lang w:val="es-ES_tradnl"/>
        </w:rPr>
        <w:t xml:space="preserve"> de RENEW benefició a 26.014 personas, de las cuales el 90 % son mujeres. Del mismo modo, </w:t>
      </w:r>
      <w:proofErr w:type="spellStart"/>
      <w:r w:rsidRPr="00197DF6">
        <w:rPr>
          <w:lang w:val="es-ES_tradnl"/>
        </w:rPr>
        <w:t>Tarayana</w:t>
      </w:r>
      <w:proofErr w:type="spellEnd"/>
      <w:r w:rsidRPr="00197DF6">
        <w:rPr>
          <w:lang w:val="es-ES_tradnl"/>
        </w:rPr>
        <w:t xml:space="preserve"> </w:t>
      </w:r>
      <w:proofErr w:type="spellStart"/>
      <w:r w:rsidRPr="00197DF6">
        <w:rPr>
          <w:lang w:val="es-ES_tradnl"/>
        </w:rPr>
        <w:t>Foundation</w:t>
      </w:r>
      <w:proofErr w:type="spellEnd"/>
      <w:r w:rsidRPr="00197DF6">
        <w:rPr>
          <w:lang w:val="es-ES_tradnl"/>
        </w:rPr>
        <w:t xml:space="preserve"> y el plan de ahorro y préstamo en grupo de BAOWE ayudaron a unos 3.000 miembros, de los cuales el 70 % son mujeres.</w:t>
      </w:r>
    </w:p>
    <w:p w14:paraId="50FD6C55" w14:textId="37BB7646" w:rsidR="00E77F78" w:rsidRPr="00197DF6" w:rsidRDefault="00E77F78" w:rsidP="001B36AA">
      <w:pPr>
        <w:pStyle w:val="SingleTxt"/>
        <w:numPr>
          <w:ilvl w:val="0"/>
          <w:numId w:val="30"/>
        </w:numPr>
        <w:ind w:left="1267"/>
        <w:rPr>
          <w:lang w:val="es-ES_tradnl"/>
        </w:rPr>
      </w:pPr>
      <w:r w:rsidRPr="00197DF6">
        <w:rPr>
          <w:lang w:val="es-ES_tradnl"/>
        </w:rPr>
        <w:t xml:space="preserve">La Estrategia Nacional de Inclusión Financiera 2018-2023 articula la hoja de ruta del país para la inclusión financiera. Reconociendo las brechas de género en términos de acceso al crédito, la estrategia define el sector agrícola y de la pequeña industria —copados mayoritariamente por mujeres— como los sectores prioritarios para la inclusión financiera en los próximos cinco años. Del mismo modo, el Plan de Acción Nacional de Inclusión Financiera 2019-2023 tiene como objetivo fortalecer el acceso a los servicios financieros formales a través del uso de la tecnología digital y el establecimiento de puntos de acceso; aumentar las carteras de crédito de las pequeñas y medianas empresas propiedad de mujeres; y reforzar los programas de educación y alfabetización financiera para las comunidades rurales. El Plan de Acción también exige que todas las intervenciones de formación y sensibilización en materia de educación financiera cuenten con al menos un 40 % de mujeres participantes. </w:t>
      </w:r>
    </w:p>
    <w:p w14:paraId="2531CC5A" w14:textId="2DB523D0" w:rsidR="00E77F78" w:rsidRPr="00197DF6" w:rsidRDefault="00E77F78" w:rsidP="001B36AA">
      <w:pPr>
        <w:pStyle w:val="SingleTxt"/>
        <w:numPr>
          <w:ilvl w:val="0"/>
          <w:numId w:val="30"/>
        </w:numPr>
        <w:ind w:left="1267"/>
        <w:rPr>
          <w:lang w:val="es-ES_tradnl"/>
        </w:rPr>
      </w:pPr>
      <w:r w:rsidRPr="00197DF6">
        <w:rPr>
          <w:lang w:val="es-ES_tradnl"/>
        </w:rPr>
        <w:t xml:space="preserve">El Gobierno hace hincapié en la creación de cooperativas de crédito y ahorro en las zonas rurales para mejorar el acceso de los miembros del grupo a la </w:t>
      </w:r>
      <w:proofErr w:type="spellStart"/>
      <w:r w:rsidRPr="00197DF6">
        <w:rPr>
          <w:lang w:val="es-ES_tradnl"/>
        </w:rPr>
        <w:t>microfinanciación</w:t>
      </w:r>
      <w:proofErr w:type="spellEnd"/>
      <w:r w:rsidRPr="00197DF6">
        <w:rPr>
          <w:lang w:val="es-ES_tradnl"/>
        </w:rPr>
        <w:t xml:space="preserve">. Así, el Ministerio de Agricultura y Bosques ha facilitado la formación de 6 cooperativas de este tipo con 321 miembros, de los cuales 288 son mujeres. </w:t>
      </w:r>
    </w:p>
    <w:p w14:paraId="02795983" w14:textId="77777777" w:rsidR="00E77F78" w:rsidRPr="00197DF6" w:rsidRDefault="00E77F78" w:rsidP="00E77F78">
      <w:pPr>
        <w:pStyle w:val="SingleTxt"/>
        <w:spacing w:after="0" w:line="120" w:lineRule="exact"/>
        <w:rPr>
          <w:sz w:val="10"/>
          <w:lang w:val="es-ES_tradnl"/>
        </w:rPr>
      </w:pPr>
    </w:p>
    <w:p w14:paraId="046BAEA4"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Acceso a la educación, la salud y la justicia</w:t>
      </w:r>
    </w:p>
    <w:p w14:paraId="321777F6" w14:textId="77777777" w:rsidR="00E77F78" w:rsidRPr="00197DF6" w:rsidRDefault="00E77F78" w:rsidP="00E77F78">
      <w:pPr>
        <w:pStyle w:val="SingleTxt"/>
        <w:spacing w:after="0" w:line="120" w:lineRule="exact"/>
        <w:rPr>
          <w:sz w:val="10"/>
          <w:lang w:val="es-ES_tradnl"/>
        </w:rPr>
      </w:pPr>
    </w:p>
    <w:p w14:paraId="4961F38C" w14:textId="3D7D9B15" w:rsidR="00E77F78" w:rsidRPr="00197DF6" w:rsidRDefault="00E77F78" w:rsidP="001B36AA">
      <w:pPr>
        <w:pStyle w:val="SingleTxt"/>
        <w:numPr>
          <w:ilvl w:val="0"/>
          <w:numId w:val="30"/>
        </w:numPr>
        <w:ind w:left="1267"/>
        <w:rPr>
          <w:lang w:val="es-ES_tradnl"/>
        </w:rPr>
      </w:pPr>
      <w:r w:rsidRPr="00197DF6">
        <w:rPr>
          <w:lang w:val="es-ES_tradnl"/>
        </w:rPr>
        <w:t xml:space="preserve">La creación de escuelas centrales es una intervención importante para mejorar la calidad de la educación y proporcionar un entorno propicio para el estudio a los niños de las zonas rurales, especialmente a las niñas. También se espera que reduzca la monotonía de los desplazamientos de ida y vuelta de los niños a las escuelas y garantice su seguridad. En 2020, había 41134 alumnos matriculados en las escuelas centrales de todo el país, de los cuales 21.595 eran niñas. </w:t>
      </w:r>
    </w:p>
    <w:p w14:paraId="4DC90E9F" w14:textId="16B344A8" w:rsidR="00E77F78" w:rsidRPr="00197DF6" w:rsidRDefault="00E77F78" w:rsidP="001B36AA">
      <w:pPr>
        <w:pStyle w:val="SingleTxt"/>
        <w:numPr>
          <w:ilvl w:val="0"/>
          <w:numId w:val="30"/>
        </w:numPr>
        <w:ind w:left="1267"/>
        <w:rPr>
          <w:lang w:val="es-ES_tradnl"/>
        </w:rPr>
      </w:pPr>
      <w:r w:rsidRPr="00197DF6">
        <w:rPr>
          <w:lang w:val="es-ES_tradnl"/>
        </w:rPr>
        <w:t xml:space="preserve">El programa de ENF mejora el acceso a la educación de aquellos que no han tenido la oportunidad de acceder a la educación formal, sobre todo en las zonas rurales. Además de alfabetización básica, el programa también inculca conocimientos sobre competencias para la vida, salud y saneamiento, y aritmética elemental a los alumnos de la ENF. En julio de 2021, había 3.629 alumnas y 1.439 alumnos de ENF en 482 centros de todo el país. Además, el programa de formación permanente para quienes no pueden completar la educación formal también ofrece la oportunidad de seguir formándose. En 2020 se beneficiaron del programa 93 niñas y mujeres jóvenes. </w:t>
      </w:r>
    </w:p>
    <w:p w14:paraId="3542DA4E" w14:textId="765D9434" w:rsidR="00E77F78" w:rsidRPr="00197DF6" w:rsidRDefault="00E77F78" w:rsidP="001B36AA">
      <w:pPr>
        <w:pStyle w:val="SingleTxt"/>
        <w:numPr>
          <w:ilvl w:val="0"/>
          <w:numId w:val="30"/>
        </w:numPr>
        <w:ind w:left="1267"/>
        <w:rPr>
          <w:lang w:val="es-ES_tradnl"/>
        </w:rPr>
      </w:pPr>
      <w:r w:rsidRPr="00197DF6">
        <w:rPr>
          <w:lang w:val="es-ES_tradnl"/>
        </w:rPr>
        <w:t xml:space="preserve">Los centros de aprendizaje comunitario, creados por el Ministerio de Educación, ofrecen oportunidades de aprendizaje permanente a las personas con cursos de </w:t>
      </w:r>
      <w:proofErr w:type="spellStart"/>
      <w:r w:rsidRPr="00197DF6">
        <w:rPr>
          <w:lang w:val="es-ES_tradnl"/>
        </w:rPr>
        <w:t>postalfabetización</w:t>
      </w:r>
      <w:proofErr w:type="spellEnd"/>
      <w:r w:rsidRPr="00197DF6">
        <w:rPr>
          <w:lang w:val="es-ES_tradnl"/>
        </w:rPr>
        <w:t xml:space="preserve">, a los jóvenes no escolarizados y a los adultos alfabetizados, incluidas monjas y monjes. Los centros de aprendizaje comunitario también organizan una amplia gama de programas comunitarios de desarrollo en sanidad, agricultura, educación práctica para la vida y habilidades empresariales, en función de las necesidades de las respectivas comunidades. Actualmente hay 26 centros de este tipo con 344 alumnos, de los cuales el 90 % son mujeres y niñas. </w:t>
      </w:r>
    </w:p>
    <w:p w14:paraId="60BDB56E" w14:textId="7F0B916A" w:rsidR="00E77F78" w:rsidRPr="00197DF6" w:rsidRDefault="00E77F78" w:rsidP="001B36AA">
      <w:pPr>
        <w:pStyle w:val="SingleTxt"/>
        <w:numPr>
          <w:ilvl w:val="0"/>
          <w:numId w:val="30"/>
        </w:numPr>
        <w:ind w:left="1267"/>
        <w:rPr>
          <w:lang w:val="es-ES_tradnl"/>
        </w:rPr>
      </w:pPr>
      <w:r w:rsidRPr="00197DF6">
        <w:rPr>
          <w:lang w:val="es-ES_tradnl"/>
        </w:rPr>
        <w:t xml:space="preserve">Los servicios médicos móviles y las instalaciones de telecomunicaciones puestas en marcha bajo el mando real complementan el esfuerzo del Gobierno por prestar servicios sanitarios a las comunidades remotas y desatendidas. Además de los servicios ambulatorios, el servicio médico móvil también realiza pruebas y detección de enfermedades. </w:t>
      </w:r>
    </w:p>
    <w:p w14:paraId="68E627A8" w14:textId="79D67987" w:rsidR="00E77F78" w:rsidRPr="00197DF6" w:rsidRDefault="00E77F78" w:rsidP="001B36AA">
      <w:pPr>
        <w:pStyle w:val="SingleTxt"/>
        <w:numPr>
          <w:ilvl w:val="0"/>
          <w:numId w:val="30"/>
        </w:numPr>
        <w:ind w:left="1267"/>
        <w:rPr>
          <w:lang w:val="es-ES_tradnl"/>
        </w:rPr>
      </w:pPr>
      <w:r w:rsidRPr="00197DF6">
        <w:rPr>
          <w:lang w:val="es-ES_tradnl"/>
        </w:rPr>
        <w:t xml:space="preserve">El paquete del plan de prestación de servicios sanitarios esenciales aplicado durante la pandemia de COVID-19 dio prioridad a los servicios de salud materno-infantil, especialmente en las zonas rurales. El paquete del plan incluía programas ampliados sobre inmunización, atención prenatal, parto en instituciones sanitarias y servicios posnatales y de planificación familiar. Los servicios se prestaban a domicilio a través de clínicas móviles e instalaciones de telemedicina. También se prestaron servicios móviles de cardiotocografía en 46 centros de salud de todo el país. Durante la pandemia, 2.177 mujeres embarazadas se beneficiaron de estos servicios. </w:t>
      </w:r>
    </w:p>
    <w:p w14:paraId="608C4B0B" w14:textId="34013125" w:rsidR="00E77F78" w:rsidRPr="00197DF6" w:rsidRDefault="00E77F78" w:rsidP="001B36AA">
      <w:pPr>
        <w:pStyle w:val="SingleTxt"/>
        <w:numPr>
          <w:ilvl w:val="0"/>
          <w:numId w:val="30"/>
        </w:numPr>
        <w:ind w:left="1267"/>
        <w:rPr>
          <w:lang w:val="es-ES_tradnl"/>
        </w:rPr>
      </w:pPr>
      <w:r w:rsidRPr="00197DF6">
        <w:rPr>
          <w:lang w:val="es-ES_tradnl"/>
        </w:rPr>
        <w:t xml:space="preserve">Se organizaron varios campamentos sanitarios en el marco del programa emblemático nacional de salud para aumentar el acceso a las pruebas sanitarias y los servicios de detección. En los campamentos se realizaron pruebas de detección del cáncer de cuello uterino y de mama a 8.068 mujeres, con una cobertura del 90 %. Aquellas personas que requerían más servicios se remitían a hospitales regionales y de referencia. En los dos últimos años también se adquirieron equipos adicionales para la salud materna, con el fin de mejorar la calidad de los servicios. </w:t>
      </w:r>
    </w:p>
    <w:p w14:paraId="0127DE3C" w14:textId="77777777" w:rsidR="00E77F78" w:rsidRPr="00197DF6" w:rsidRDefault="00E77F78" w:rsidP="00E77F78">
      <w:pPr>
        <w:pStyle w:val="SingleTxt"/>
        <w:spacing w:after="0" w:line="120" w:lineRule="exact"/>
        <w:rPr>
          <w:sz w:val="10"/>
          <w:lang w:val="es-ES_tradnl"/>
        </w:rPr>
      </w:pPr>
    </w:p>
    <w:p w14:paraId="71855339"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Acceso a la tierra y su control</w:t>
      </w:r>
      <w:r w:rsidRPr="00197DF6">
        <w:rPr>
          <w:lang w:val="es-ES_tradnl"/>
        </w:rPr>
        <w:t xml:space="preserve"> </w:t>
      </w:r>
    </w:p>
    <w:p w14:paraId="22D6B117" w14:textId="77777777" w:rsidR="00E77F78" w:rsidRPr="00197DF6" w:rsidRDefault="00E77F78" w:rsidP="00E77F78">
      <w:pPr>
        <w:pStyle w:val="SingleTxt"/>
        <w:spacing w:after="0" w:line="120" w:lineRule="exact"/>
        <w:rPr>
          <w:sz w:val="10"/>
          <w:lang w:val="es-ES_tradnl"/>
        </w:rPr>
      </w:pPr>
    </w:p>
    <w:p w14:paraId="21547648" w14:textId="34049A86" w:rsidR="00E77F78" w:rsidRPr="00197DF6" w:rsidRDefault="00E77F78" w:rsidP="001B36AA">
      <w:pPr>
        <w:pStyle w:val="SingleTxt"/>
        <w:numPr>
          <w:ilvl w:val="0"/>
          <w:numId w:val="30"/>
        </w:numPr>
        <w:ind w:left="1267"/>
        <w:rPr>
          <w:i/>
          <w:lang w:val="es-ES_tradnl"/>
        </w:rPr>
      </w:pPr>
      <w:r w:rsidRPr="00197DF6">
        <w:rPr>
          <w:lang w:val="es-ES_tradnl"/>
        </w:rPr>
        <w:t xml:space="preserve">La Ley de Tierras de </w:t>
      </w:r>
      <w:proofErr w:type="spellStart"/>
      <w:r w:rsidRPr="00197DF6">
        <w:rPr>
          <w:lang w:val="es-ES_tradnl"/>
        </w:rPr>
        <w:t>Bhután</w:t>
      </w:r>
      <w:proofErr w:type="spellEnd"/>
      <w:r w:rsidRPr="00197DF6">
        <w:rPr>
          <w:lang w:val="es-ES_tradnl"/>
        </w:rPr>
        <w:t xml:space="preserve"> de 2007 establece la igualdad de derechos y de acceso a la propiedad de la tierra para todas las personas, independientemente de su sexo. Asimismo, la Ley de Herencias de </w:t>
      </w:r>
      <w:proofErr w:type="spellStart"/>
      <w:r w:rsidRPr="00197DF6">
        <w:rPr>
          <w:lang w:val="es-ES_tradnl"/>
        </w:rPr>
        <w:t>Bhután</w:t>
      </w:r>
      <w:proofErr w:type="spellEnd"/>
      <w:r w:rsidRPr="00197DF6">
        <w:rPr>
          <w:lang w:val="es-ES_tradnl"/>
        </w:rPr>
        <w:t xml:space="preserve"> de 1980 garantiza la igualdad de derechos de todos los verdaderos miembros de una familia conjunta a recibir una herencia, independientemente de su género. En 2016, las mujeres constituían el 47,3 % de la propiedad de la tierra, mientras que los hombres poseían el 48 % (el 4,7 % era de propiedad conjunta)</w:t>
      </w:r>
      <w:r w:rsidRPr="00197DF6">
        <w:rPr>
          <w:vertAlign w:val="superscript"/>
          <w:lang w:val="es-ES_tradnl"/>
        </w:rPr>
        <w:footnoteReference w:id="41"/>
      </w:r>
      <w:r w:rsidRPr="00197DF6">
        <w:rPr>
          <w:lang w:val="es-ES_tradnl"/>
        </w:rPr>
        <w:t>.</w:t>
      </w:r>
      <w:r w:rsidR="00987EB2" w:rsidRPr="00197DF6">
        <w:rPr>
          <w:lang w:val="es-ES_tradnl"/>
        </w:rPr>
        <w:t xml:space="preserve"> </w:t>
      </w:r>
    </w:p>
    <w:p w14:paraId="404A611A" w14:textId="2FA8CB64" w:rsidR="00E77F78" w:rsidRPr="00197DF6" w:rsidRDefault="00E77F78" w:rsidP="001B36AA">
      <w:pPr>
        <w:pStyle w:val="SingleTxt"/>
        <w:numPr>
          <w:ilvl w:val="0"/>
          <w:numId w:val="30"/>
        </w:numPr>
        <w:ind w:left="1267"/>
        <w:rPr>
          <w:i/>
          <w:lang w:val="es-ES_tradnl"/>
        </w:rPr>
      </w:pPr>
      <w:r w:rsidRPr="00197DF6">
        <w:rPr>
          <w:lang w:val="es-ES_tradnl"/>
        </w:rPr>
        <w:t>El programa de certificados de uso de la tierra para jóvenes se introdujo en 2016 para mejorar el uso productivo de la tierra y promover el empleo remunerado emprendiendo actividades económicas a gran escala. Alrededor de 2.500 graduados universitarios recibieron orientación sobre el programa y sus ventajas. En 2018, 6 grupos de jóvenes formados por 58 miembros se acogieron al programa y trabajan actualmente en diversos proyectos.</w:t>
      </w:r>
    </w:p>
    <w:p w14:paraId="007BFE16" w14:textId="798F8474" w:rsidR="00E77F78" w:rsidRPr="00197DF6" w:rsidRDefault="00E77F78" w:rsidP="001B36AA">
      <w:pPr>
        <w:pStyle w:val="SingleTxt"/>
        <w:numPr>
          <w:ilvl w:val="0"/>
          <w:numId w:val="30"/>
        </w:numPr>
        <w:ind w:left="1267"/>
        <w:rPr>
          <w:i/>
          <w:lang w:val="es-ES_tradnl"/>
        </w:rPr>
      </w:pPr>
      <w:r w:rsidRPr="00197DF6">
        <w:rPr>
          <w:lang w:val="es-ES_tradnl"/>
        </w:rPr>
        <w:t xml:space="preserve">Las intervenciones de empoderamiento social y económico esbozadas en respuesta a la lista de cuestiones de los párrafos 13, 16 y 20 también están destinadas a aumentar el control de las mujeres sobre los recursos económicos y financieros, también sobre la tierra. </w:t>
      </w:r>
    </w:p>
    <w:p w14:paraId="2FCF4B17" w14:textId="77777777" w:rsidR="00E77F78" w:rsidRPr="00197DF6" w:rsidRDefault="00E77F78" w:rsidP="00E77F78">
      <w:pPr>
        <w:pStyle w:val="SingleTxt"/>
        <w:spacing w:after="0" w:line="120" w:lineRule="exact"/>
        <w:rPr>
          <w:sz w:val="10"/>
          <w:lang w:val="es-ES_tradnl"/>
        </w:rPr>
      </w:pPr>
    </w:p>
    <w:p w14:paraId="1D0BED54" w14:textId="77777777" w:rsidR="00BF3F53" w:rsidRPr="00197DF6" w:rsidRDefault="00BF3F53">
      <w:pPr>
        <w:suppressAutoHyphens w:val="0"/>
        <w:spacing w:after="200" w:line="276" w:lineRule="auto"/>
        <w:rPr>
          <w:b/>
          <w:spacing w:val="2"/>
          <w:kern w:val="14"/>
          <w:lang w:val="es-ES_tradnl"/>
        </w:rPr>
      </w:pPr>
      <w:r w:rsidRPr="00197DF6">
        <w:rPr>
          <w:lang w:val="es-ES_tradnl"/>
        </w:rPr>
        <w:br w:type="page"/>
      </w:r>
    </w:p>
    <w:p w14:paraId="3E807491" w14:textId="1C37A043"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Participación de las mujeres en los planes de desarrollo agrícola y rural</w:t>
      </w:r>
    </w:p>
    <w:p w14:paraId="6104C164" w14:textId="77777777" w:rsidR="00E77F78" w:rsidRPr="00197DF6" w:rsidRDefault="00E77F78" w:rsidP="00E77F78">
      <w:pPr>
        <w:pStyle w:val="SingleTxt"/>
        <w:spacing w:after="0" w:line="120" w:lineRule="exact"/>
        <w:rPr>
          <w:sz w:val="10"/>
          <w:lang w:val="es-ES_tradnl"/>
        </w:rPr>
      </w:pPr>
    </w:p>
    <w:p w14:paraId="0E7C1244" w14:textId="2623A947" w:rsidR="00E77F78" w:rsidRPr="00197DF6" w:rsidRDefault="00E77F78" w:rsidP="001B36AA">
      <w:pPr>
        <w:pStyle w:val="SingleTxt"/>
        <w:numPr>
          <w:ilvl w:val="0"/>
          <w:numId w:val="31"/>
        </w:numPr>
        <w:tabs>
          <w:tab w:val="clear" w:pos="475"/>
          <w:tab w:val="right" w:pos="1022"/>
        </w:tabs>
        <w:ind w:left="1267" w:right="1260"/>
        <w:rPr>
          <w:lang w:val="es-ES_tradnl"/>
        </w:rPr>
      </w:pPr>
      <w:r w:rsidRPr="00197DF6">
        <w:rPr>
          <w:lang w:val="es-ES_tradnl"/>
        </w:rPr>
        <w:t xml:space="preserve">El Manual de Planificación del Desarrollo Local revisado, del que se informó en respuesta a la lista de cuestiones del párrafo 5, prevé la participación igualitaria de las mujeres en todas las decisiones a nivel local. Además, el Gobierno ha revitalizado el concepto de </w:t>
      </w:r>
      <w:proofErr w:type="spellStart"/>
      <w:r w:rsidRPr="00197DF6">
        <w:rPr>
          <w:i/>
          <w:iCs/>
          <w:lang w:val="es-ES_tradnl"/>
        </w:rPr>
        <w:t>Chiwog</w:t>
      </w:r>
      <w:proofErr w:type="spellEnd"/>
      <w:r w:rsidRPr="00197DF6">
        <w:rPr>
          <w:i/>
          <w:iCs/>
          <w:lang w:val="es-ES_tradnl"/>
        </w:rPr>
        <w:t xml:space="preserve"> </w:t>
      </w:r>
      <w:proofErr w:type="spellStart"/>
      <w:r w:rsidRPr="00197DF6">
        <w:rPr>
          <w:i/>
          <w:iCs/>
          <w:lang w:val="es-ES_tradnl"/>
        </w:rPr>
        <w:t>Zomdues</w:t>
      </w:r>
      <w:proofErr w:type="spellEnd"/>
      <w:r w:rsidRPr="00197DF6">
        <w:rPr>
          <w:iCs/>
          <w:vertAlign w:val="superscript"/>
          <w:lang w:val="es-ES_tradnl"/>
        </w:rPr>
        <w:footnoteReference w:id="42"/>
      </w:r>
      <w:r w:rsidRPr="00197DF6">
        <w:rPr>
          <w:lang w:val="es-ES_tradnl"/>
        </w:rPr>
        <w:t xml:space="preserve"> para garantizar una participación significativa de las comunidades en el proceso de planificación del desarrollo local. Una evaluación del funcionamiento de los </w:t>
      </w:r>
      <w:proofErr w:type="spellStart"/>
      <w:r w:rsidRPr="00197DF6">
        <w:rPr>
          <w:i/>
          <w:iCs/>
          <w:lang w:val="es-ES_tradnl"/>
        </w:rPr>
        <w:t>Chiwog</w:t>
      </w:r>
      <w:proofErr w:type="spellEnd"/>
      <w:r w:rsidRPr="00197DF6">
        <w:rPr>
          <w:i/>
          <w:iCs/>
          <w:lang w:val="es-ES_tradnl"/>
        </w:rPr>
        <w:t xml:space="preserve"> </w:t>
      </w:r>
      <w:proofErr w:type="spellStart"/>
      <w:r w:rsidRPr="00197DF6">
        <w:rPr>
          <w:i/>
          <w:iCs/>
          <w:lang w:val="es-ES_tradnl"/>
        </w:rPr>
        <w:t>Zomdues</w:t>
      </w:r>
      <w:proofErr w:type="spellEnd"/>
      <w:r w:rsidRPr="00197DF6">
        <w:rPr>
          <w:lang w:val="es-ES_tradnl"/>
        </w:rPr>
        <w:t xml:space="preserve"> en comunidades seleccionadas informó de una participación igualitaria de hombres y mujeres, al tiempo que subrayó la necesidad de reforzar la participación activa y significativa de las mujeres. </w:t>
      </w:r>
    </w:p>
    <w:p w14:paraId="48D5749F" w14:textId="4121D7FE" w:rsidR="00E77F78" w:rsidRPr="00197DF6" w:rsidRDefault="00E77F78" w:rsidP="001B36AA">
      <w:pPr>
        <w:pStyle w:val="SingleTxt"/>
        <w:numPr>
          <w:ilvl w:val="0"/>
          <w:numId w:val="31"/>
        </w:numPr>
        <w:ind w:left="1267"/>
        <w:rPr>
          <w:lang w:val="es-ES_tradnl"/>
        </w:rPr>
      </w:pPr>
      <w:r w:rsidRPr="00197DF6">
        <w:rPr>
          <w:lang w:val="es-ES_tradnl"/>
        </w:rPr>
        <w:t xml:space="preserve">La mayoría de las intervenciones, incluidos los proyectos plurianuales llevados a cabo en el sector agrícola, prevén la participación obligatoria de las mujeres en el proceso de toma de decisiones, garantizando especialmente la adopción de una perspectiva de género. La Política Nacional del Agua y el Plan Nacional de Gestión de los Recursos Hídricos también pretenden garantizar la participación igualitaria de las mujeres en las decisiones relativas a la gestión de los recursos hídricos. </w:t>
      </w:r>
    </w:p>
    <w:p w14:paraId="3FE7E143" w14:textId="77777777" w:rsidR="00E77F78" w:rsidRPr="00197DF6" w:rsidRDefault="00E77F78" w:rsidP="00E77F78">
      <w:pPr>
        <w:pStyle w:val="SingleTxt"/>
        <w:spacing w:after="0" w:line="120" w:lineRule="exact"/>
        <w:rPr>
          <w:sz w:val="10"/>
          <w:lang w:val="es-ES_tradnl"/>
        </w:rPr>
      </w:pPr>
      <w:bookmarkStart w:id="15" w:name="_Toc107670429"/>
    </w:p>
    <w:p w14:paraId="3DB99797" w14:textId="77777777" w:rsidR="00E77F78" w:rsidRPr="00197DF6" w:rsidRDefault="00E77F78" w:rsidP="00E77F78">
      <w:pPr>
        <w:pStyle w:val="SingleTxt"/>
        <w:spacing w:after="0" w:line="120" w:lineRule="exact"/>
        <w:rPr>
          <w:sz w:val="10"/>
          <w:lang w:val="es-ES_tradnl"/>
        </w:rPr>
      </w:pPr>
    </w:p>
    <w:p w14:paraId="13F943F1" w14:textId="77777777" w:rsidR="00E77F78" w:rsidRPr="00197DF6" w:rsidRDefault="00E77F78" w:rsidP="00BF3F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es-ES_tradnl"/>
        </w:rPr>
      </w:pPr>
      <w:r w:rsidRPr="00197DF6">
        <w:rPr>
          <w:lang w:val="es-ES_tradnl"/>
        </w:rPr>
        <w:tab/>
      </w:r>
      <w:r w:rsidRPr="00197DF6">
        <w:rPr>
          <w:lang w:val="es-ES_tradnl"/>
        </w:rPr>
        <w:tab/>
        <w:t>Reducción del riesgo de desastres y cambio climático (respuestas al párrafo 21)</w:t>
      </w:r>
      <w:bookmarkEnd w:id="15"/>
    </w:p>
    <w:p w14:paraId="5CB01DFC" w14:textId="77777777" w:rsidR="00E77F78" w:rsidRPr="00197DF6" w:rsidRDefault="00E77F78" w:rsidP="00E77F78">
      <w:pPr>
        <w:pStyle w:val="SingleTxt"/>
        <w:spacing w:after="0" w:line="120" w:lineRule="exact"/>
        <w:rPr>
          <w:sz w:val="10"/>
          <w:lang w:val="es-ES_tradnl"/>
        </w:rPr>
      </w:pPr>
    </w:p>
    <w:p w14:paraId="6B7B378B" w14:textId="77777777" w:rsidR="00E77F78" w:rsidRPr="00197DF6" w:rsidRDefault="00E77F78" w:rsidP="00E77F78">
      <w:pPr>
        <w:pStyle w:val="SingleTxt"/>
        <w:spacing w:after="0" w:line="120" w:lineRule="exact"/>
        <w:rPr>
          <w:sz w:val="10"/>
          <w:lang w:val="es-ES_tradnl"/>
        </w:rPr>
      </w:pPr>
    </w:p>
    <w:p w14:paraId="710EB805"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Reducción del riesgo de desastres</w:t>
      </w:r>
    </w:p>
    <w:p w14:paraId="5CB680A4" w14:textId="77777777" w:rsidR="00E77F78" w:rsidRPr="00197DF6" w:rsidRDefault="00E77F78" w:rsidP="00E77F78">
      <w:pPr>
        <w:pStyle w:val="SingleTxt"/>
        <w:spacing w:after="0" w:line="120" w:lineRule="exact"/>
        <w:rPr>
          <w:sz w:val="10"/>
          <w:lang w:val="es-ES_tradnl"/>
        </w:rPr>
      </w:pPr>
    </w:p>
    <w:p w14:paraId="6071F1E9" w14:textId="77777777" w:rsidR="00E77F78" w:rsidRPr="00197DF6" w:rsidRDefault="00E77F78" w:rsidP="00E77F78">
      <w:pPr>
        <w:pStyle w:val="SingleTxt"/>
        <w:spacing w:after="0" w:line="120" w:lineRule="exact"/>
        <w:rPr>
          <w:sz w:val="10"/>
          <w:lang w:val="es-ES_tradnl"/>
        </w:rPr>
      </w:pPr>
    </w:p>
    <w:p w14:paraId="0E5A6BC9" w14:textId="45080E28" w:rsidR="00E77F78" w:rsidRPr="00197DF6" w:rsidRDefault="00E77F78" w:rsidP="001B36AA">
      <w:pPr>
        <w:pStyle w:val="SingleTxt"/>
        <w:numPr>
          <w:ilvl w:val="0"/>
          <w:numId w:val="31"/>
        </w:numPr>
        <w:ind w:left="1267"/>
        <w:rPr>
          <w:b/>
          <w:lang w:val="es-ES_tradnl"/>
        </w:rPr>
      </w:pPr>
      <w:r w:rsidRPr="00197DF6">
        <w:rPr>
          <w:lang w:val="es-ES_tradnl"/>
        </w:rPr>
        <w:t xml:space="preserve">La Ley de Gestión de Desastres de </w:t>
      </w:r>
      <w:proofErr w:type="spellStart"/>
      <w:r w:rsidRPr="00197DF6">
        <w:rPr>
          <w:lang w:val="es-ES_tradnl"/>
        </w:rPr>
        <w:t>Bhután</w:t>
      </w:r>
      <w:proofErr w:type="spellEnd"/>
      <w:r w:rsidRPr="00197DF6">
        <w:rPr>
          <w:lang w:val="es-ES_tradnl"/>
        </w:rPr>
        <w:t xml:space="preserve"> de 2013 proporciona la base jurídica para garantizar que las mujeres estén adecuadamente representadas en los Comités de Gestión de Desastres, tanto a nivel nacional como local. El artículo 134 de la Ley también exige al Estado que preste especial atención a los niños, las mujeres, los ancianos y las personas con discapacidad durante las intervenciones de rescate, respuesta y socorro. En consecuencia, se llevaron a cabo actividades de creación de capacidad y concienciación sobre la importancia de la representación de las mujeres en la adopción de decisiones y en materia de género, clima y reducción del riesgo de desastres para las administraciones locales y los directores de los sectores pertinentes. </w:t>
      </w:r>
    </w:p>
    <w:p w14:paraId="3DE5C653" w14:textId="6113EA8C" w:rsidR="00E77F78" w:rsidRPr="00197DF6" w:rsidRDefault="00E77F78" w:rsidP="001B36AA">
      <w:pPr>
        <w:pStyle w:val="SingleTxt"/>
        <w:numPr>
          <w:ilvl w:val="0"/>
          <w:numId w:val="31"/>
        </w:numPr>
        <w:ind w:left="1267"/>
        <w:rPr>
          <w:b/>
          <w:lang w:val="es-ES_tradnl"/>
        </w:rPr>
      </w:pPr>
      <w:r w:rsidRPr="00197DF6">
        <w:rPr>
          <w:lang w:val="es-ES_tradnl"/>
        </w:rPr>
        <w:t xml:space="preserve">Las herramientas de evaluación de desastres de </w:t>
      </w:r>
      <w:proofErr w:type="spellStart"/>
      <w:r w:rsidRPr="00197DF6">
        <w:rPr>
          <w:lang w:val="es-ES_tradnl"/>
        </w:rPr>
        <w:t>Bhután</w:t>
      </w:r>
      <w:proofErr w:type="spellEnd"/>
      <w:r w:rsidRPr="00197DF6">
        <w:rPr>
          <w:lang w:val="es-ES_tradnl"/>
        </w:rPr>
        <w:t xml:space="preserve"> (entre ellas, la evaluación a nivel doméstico) se desarrollaron mediante un enfoque participativo en el que intervinieron mujeres y niñas y organismos que trabajan en favor de las mujeres y los niños. Las herramientas incluyen las necesidades de las mujeres y las niñas, como la salud sexual y reproductiva y los servicios de protección durante y después de los desastres. </w:t>
      </w:r>
    </w:p>
    <w:p w14:paraId="32F642DB" w14:textId="5419EAC7" w:rsidR="00E77F78" w:rsidRPr="00197DF6" w:rsidRDefault="00E77F78" w:rsidP="001B36AA">
      <w:pPr>
        <w:pStyle w:val="SingleTxt"/>
        <w:numPr>
          <w:ilvl w:val="0"/>
          <w:numId w:val="31"/>
        </w:numPr>
        <w:ind w:left="1267"/>
        <w:rPr>
          <w:b/>
          <w:lang w:val="es-ES_tradnl"/>
        </w:rPr>
      </w:pPr>
      <w:r w:rsidRPr="00197DF6">
        <w:rPr>
          <w:lang w:val="es-ES_tradnl"/>
        </w:rPr>
        <w:t xml:space="preserve">En el contexto de la aplicación de la esfera de resultados clave específica 6 del 12º plan quinquenal sobre “neutralidad en carbono, clima y resiliencia ante desastres”, se desarrolló el POE sobre gestión de desastres haciendo hincapié en el género y los niños. </w:t>
      </w:r>
    </w:p>
    <w:p w14:paraId="2C6FAA32" w14:textId="0150C00B" w:rsidR="00E77F78" w:rsidRPr="00197DF6" w:rsidRDefault="00E77F78" w:rsidP="001B36AA">
      <w:pPr>
        <w:pStyle w:val="SingleTxt"/>
        <w:numPr>
          <w:ilvl w:val="0"/>
          <w:numId w:val="31"/>
        </w:numPr>
        <w:ind w:left="1267"/>
        <w:rPr>
          <w:b/>
          <w:lang w:val="es-ES_tradnl"/>
        </w:rPr>
      </w:pPr>
      <w:r w:rsidRPr="00197DF6">
        <w:rPr>
          <w:lang w:val="es-ES_tradnl"/>
        </w:rPr>
        <w:t xml:space="preserve">La Política Nacional de Igualdad de Género pretende hacer frente a las formas múltiples e interseccionales de discriminación a las que se enfrentan las mujeres y las niñas, incluidas las que viven con el VIH/sida y las afectadas por el cambio climático y los desastres. Además, “género, cambio climático y reducción del riesgo de desastres” también se incluye como una de las esferas críticas clave en el Plan de Acción Nacional para la Igualdad de Género. </w:t>
      </w:r>
    </w:p>
    <w:p w14:paraId="52E10373" w14:textId="77777777" w:rsidR="00E77F78" w:rsidRPr="00197DF6" w:rsidRDefault="00E77F78" w:rsidP="00E77F78">
      <w:pPr>
        <w:pStyle w:val="SingleTxt"/>
        <w:spacing w:after="0" w:line="120" w:lineRule="exact"/>
        <w:rPr>
          <w:sz w:val="10"/>
          <w:lang w:val="es-ES_tradnl"/>
        </w:rPr>
      </w:pPr>
    </w:p>
    <w:p w14:paraId="65673DD9" w14:textId="77777777" w:rsidR="00BF3F53" w:rsidRPr="00197DF6" w:rsidRDefault="00BF3F53">
      <w:pPr>
        <w:suppressAutoHyphens w:val="0"/>
        <w:spacing w:after="200" w:line="276" w:lineRule="auto"/>
        <w:rPr>
          <w:b/>
          <w:spacing w:val="2"/>
          <w:kern w:val="14"/>
          <w:lang w:val="es-ES_tradnl"/>
        </w:rPr>
      </w:pPr>
      <w:r w:rsidRPr="00197DF6">
        <w:rPr>
          <w:lang w:val="es-ES_tradnl"/>
        </w:rPr>
        <w:br w:type="page"/>
      </w:r>
    </w:p>
    <w:p w14:paraId="1D4E30F7" w14:textId="17885D12"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Medio ambiente y cambio climático</w:t>
      </w:r>
      <w:r w:rsidRPr="00197DF6">
        <w:rPr>
          <w:lang w:val="es-ES_tradnl"/>
        </w:rPr>
        <w:t xml:space="preserve"> </w:t>
      </w:r>
    </w:p>
    <w:p w14:paraId="5BB93391" w14:textId="77777777" w:rsidR="00E77F78" w:rsidRPr="00197DF6" w:rsidRDefault="00E77F78" w:rsidP="00E77F78">
      <w:pPr>
        <w:pStyle w:val="SingleTxt"/>
        <w:spacing w:after="0" w:line="120" w:lineRule="exact"/>
        <w:rPr>
          <w:sz w:val="10"/>
          <w:lang w:val="es-ES_tradnl"/>
        </w:rPr>
      </w:pPr>
    </w:p>
    <w:p w14:paraId="6AFC3896" w14:textId="68274526" w:rsidR="00E77F78" w:rsidRPr="00197DF6" w:rsidRDefault="00E77F78" w:rsidP="001B36AA">
      <w:pPr>
        <w:pStyle w:val="SingleTxt"/>
        <w:numPr>
          <w:ilvl w:val="0"/>
          <w:numId w:val="32"/>
        </w:numPr>
        <w:tabs>
          <w:tab w:val="clear" w:pos="475"/>
          <w:tab w:val="right" w:pos="1022"/>
        </w:tabs>
        <w:ind w:left="1267" w:right="1260"/>
        <w:rPr>
          <w:lang w:val="es-ES_tradnl"/>
        </w:rPr>
      </w:pPr>
      <w:r w:rsidRPr="00197DF6">
        <w:rPr>
          <w:lang w:val="es-ES_tradnl"/>
        </w:rPr>
        <w:t xml:space="preserve">Para garantizar la igualdad de género y el empoderamiento de la mujer en el sector medioambiental, la Estrategia Nacional de Medio Ambiente 2020 destaca el desarrollo con perspectiva de género como un enfoque clave. La estrategia también reconoce el impacto diferencial de la degradación ambiental en hombres y mujeres, y subraya el papel clave de la mujer en la gestión de los recursos naturales. </w:t>
      </w:r>
    </w:p>
    <w:p w14:paraId="6913B672" w14:textId="4594B49F" w:rsidR="00E77F78" w:rsidRPr="00197DF6" w:rsidRDefault="00E77F78" w:rsidP="001B36AA">
      <w:pPr>
        <w:pStyle w:val="SingleTxt"/>
        <w:numPr>
          <w:ilvl w:val="0"/>
          <w:numId w:val="32"/>
        </w:numPr>
        <w:ind w:left="1267"/>
        <w:rPr>
          <w:lang w:val="es-ES_tradnl"/>
        </w:rPr>
      </w:pPr>
      <w:r w:rsidRPr="00197DF6">
        <w:rPr>
          <w:lang w:val="es-ES_tradnl"/>
        </w:rPr>
        <w:t xml:space="preserve">La Política de Cambio Climático del Reino de </w:t>
      </w:r>
      <w:proofErr w:type="spellStart"/>
      <w:r w:rsidRPr="00197DF6">
        <w:rPr>
          <w:lang w:val="es-ES_tradnl"/>
        </w:rPr>
        <w:t>Bhután</w:t>
      </w:r>
      <w:proofErr w:type="spellEnd"/>
      <w:r w:rsidRPr="00197DF6">
        <w:rPr>
          <w:lang w:val="es-ES_tradnl"/>
        </w:rPr>
        <w:t xml:space="preserve"> de 2020 pretende abordar las cuestiones de género mediante su integración en todas las acciones climáticas a través de un análisis exhaustivo de la situación y de la brecha de género. La política requiere la identificación de las oportunidades y los retos del cambio climático diferenciados por género a través de la participación significativa de hombres y mujeres y, en consecuencia, abordarlos a través de la provisión de medios adecuados de aplicación, incluida la tecnología, la financiación y el desarrollo de capacidades con perspectiva de género. </w:t>
      </w:r>
    </w:p>
    <w:p w14:paraId="344B193E" w14:textId="74E20E3A" w:rsidR="00E77F78" w:rsidRPr="00197DF6" w:rsidRDefault="00E77F78" w:rsidP="001B36AA">
      <w:pPr>
        <w:pStyle w:val="SingleTxt"/>
        <w:numPr>
          <w:ilvl w:val="0"/>
          <w:numId w:val="32"/>
        </w:numPr>
        <w:ind w:left="1267"/>
        <w:rPr>
          <w:lang w:val="es-ES_tradnl"/>
        </w:rPr>
      </w:pPr>
      <w:r w:rsidRPr="00197DF6">
        <w:rPr>
          <w:lang w:val="es-ES_tradnl"/>
        </w:rPr>
        <w:t xml:space="preserve">Dado el importante papel que desempeñan las mujeres en la gestión de los recursos hídricos, así como la desproporcionada repercusión de la escasez de agua sobre las mujeres y las niñas, el Plan de Acción de Adaptación Sectorial para el sector de los recursos naturales renovables pretende proteger las cuencas hidrográficas y las fuentes de agua mediante prácticas de gestión integrada. </w:t>
      </w:r>
    </w:p>
    <w:p w14:paraId="40143398" w14:textId="1F48B870" w:rsidR="00E77F78" w:rsidRPr="00197DF6" w:rsidRDefault="00E77F78" w:rsidP="001B36AA">
      <w:pPr>
        <w:pStyle w:val="SingleTxt"/>
        <w:numPr>
          <w:ilvl w:val="0"/>
          <w:numId w:val="32"/>
        </w:numPr>
        <w:ind w:left="1267"/>
        <w:rPr>
          <w:lang w:val="es-ES_tradnl"/>
        </w:rPr>
      </w:pPr>
      <w:r w:rsidRPr="00197DF6">
        <w:rPr>
          <w:lang w:val="es-ES_tradnl"/>
        </w:rPr>
        <w:t>La Comisión Nacional de la Mujer y el Niño, en colaboración con la Comisión Nacional de Medio Ambiente, está ejecutando actualmente un proyecto sobre la contribución determinada a nivel nacional con perspectiva de género para reforzar las capacidades institucionales de los sectores seleccionados en esta materia. A través del proyecto, también se elaboró un conjunto de herramientas y directrices para la integración de la perspectiva de género, con el fin de ayudar a los sectores a preparar el 13º plan quinquenal y la 2ª contribución determinada a nivel nacional.</w:t>
      </w:r>
    </w:p>
    <w:p w14:paraId="620C206A" w14:textId="43D873C8" w:rsidR="00E77F78" w:rsidRPr="00197DF6" w:rsidRDefault="00E77F78" w:rsidP="001B36AA">
      <w:pPr>
        <w:pStyle w:val="SingleTxt"/>
        <w:numPr>
          <w:ilvl w:val="0"/>
          <w:numId w:val="32"/>
        </w:numPr>
        <w:ind w:left="1267"/>
        <w:rPr>
          <w:lang w:val="es-ES_tradnl"/>
        </w:rPr>
      </w:pPr>
      <w:r w:rsidRPr="00197DF6">
        <w:rPr>
          <w:lang w:val="es-ES_tradnl"/>
        </w:rPr>
        <w:t xml:space="preserve">La Comisión Nacional de la Mujer y el Niño llevó a cabo una evaluación de género en determinados sectores de la contribución determinada a nivel nacional (agricultura, residuos y energía) para recopilar datos sobre cuestiones de género, retos y oportunidades, y para fundamentar las intervenciones políticas y programáticas. Basándose en las recomendaciones de la evaluación, se está debatiendo la inclusión de la Comisión Nacional de la Mujer y el Niño en el Comité de Coordinación del Cambio Climático, un órgano técnico para la coordinación de los asuntos relacionados con el cambio climático en el país. Además, la formulación de la segunda contribución determinada a nivel nacional de </w:t>
      </w:r>
      <w:proofErr w:type="spellStart"/>
      <w:r w:rsidRPr="00197DF6">
        <w:rPr>
          <w:lang w:val="es-ES_tradnl"/>
        </w:rPr>
        <w:t>Bhután</w:t>
      </w:r>
      <w:proofErr w:type="spellEnd"/>
      <w:r w:rsidRPr="00197DF6">
        <w:rPr>
          <w:lang w:val="es-ES_tradnl"/>
        </w:rPr>
        <w:t xml:space="preserve"> y las estrategias de desarrollo con bajas emisiones de las industrias, la seguridad alimentaria, el transporte y los asentamientos humanos se guían por los resultados de la evaluación. </w:t>
      </w:r>
    </w:p>
    <w:p w14:paraId="06446651" w14:textId="61DEAA5A" w:rsidR="00E77F78" w:rsidRPr="00197DF6" w:rsidRDefault="00E77F78" w:rsidP="001B36AA">
      <w:pPr>
        <w:pStyle w:val="SingleTxt"/>
        <w:numPr>
          <w:ilvl w:val="0"/>
          <w:numId w:val="32"/>
        </w:numPr>
        <w:ind w:left="1267"/>
        <w:rPr>
          <w:lang w:val="es-ES_tradnl"/>
        </w:rPr>
      </w:pPr>
      <w:r w:rsidRPr="00197DF6">
        <w:rPr>
          <w:lang w:val="es-ES_tradnl"/>
        </w:rPr>
        <w:t>El Plan Nacional de Adaptación está actualmente en fase de formulación. El Plan se basa en la evaluación de la vulnerabilidad con perspectiva de género realizada en los sectores prioritarios de la agricultura, los bosques y la biodiversidad, la salud y el agua. Además de establecer las prioridades de adaptación, el Plan será un importante instrumento nacional para integrar la adaptación al cambio climático en la planificación general del desarrollo y en las estrategias de movilización de recursos del país.</w:t>
      </w:r>
    </w:p>
    <w:p w14:paraId="0915E2CF" w14:textId="363A31B6" w:rsidR="00E77F78" w:rsidRPr="00197DF6" w:rsidRDefault="00E77F78" w:rsidP="001B36AA">
      <w:pPr>
        <w:pStyle w:val="SingleTxt"/>
        <w:numPr>
          <w:ilvl w:val="0"/>
          <w:numId w:val="32"/>
        </w:numPr>
        <w:ind w:left="1267"/>
        <w:rPr>
          <w:lang w:val="es-ES_tradnl"/>
        </w:rPr>
      </w:pPr>
      <w:r w:rsidRPr="00197DF6">
        <w:rPr>
          <w:lang w:val="es-ES_tradnl"/>
        </w:rPr>
        <w:t xml:space="preserve">El proyecto de cambio transformador y resiliente al clima en la agricultura, que cuenta con el apoyo del Fondo Global para el Clima, pretende mejorar el acceso de las mujeres a los recursos y los conocimientos sobre los diseños y la tecnología de gestión de los recursos hídricos resilientes al clima. El proyecto tiene objetivos específicos de género sobre la participación de las mujeres en las decisiones de gestión de los recursos hídricos y agrícolas. Además, las dos Entidades Nacionales Acreditadas del Fondo Global para el Clima, </w:t>
      </w:r>
      <w:proofErr w:type="spellStart"/>
      <w:r w:rsidRPr="00197DF6">
        <w:rPr>
          <w:lang w:val="es-ES_tradnl"/>
        </w:rPr>
        <w:t>Bhutan</w:t>
      </w:r>
      <w:proofErr w:type="spellEnd"/>
      <w:r w:rsidRPr="00197DF6">
        <w:rPr>
          <w:lang w:val="es-ES_tradnl"/>
        </w:rPr>
        <w:t xml:space="preserve"> </w:t>
      </w:r>
      <w:proofErr w:type="spellStart"/>
      <w:r w:rsidRPr="00197DF6">
        <w:rPr>
          <w:lang w:val="es-ES_tradnl"/>
        </w:rPr>
        <w:t>For</w:t>
      </w:r>
      <w:proofErr w:type="spellEnd"/>
      <w:r w:rsidRPr="00197DF6">
        <w:rPr>
          <w:lang w:val="es-ES_tradnl"/>
        </w:rPr>
        <w:t xml:space="preserve"> </w:t>
      </w:r>
      <w:proofErr w:type="spellStart"/>
      <w:r w:rsidRPr="00197DF6">
        <w:rPr>
          <w:lang w:val="es-ES_tradnl"/>
        </w:rPr>
        <w:t>Life</w:t>
      </w:r>
      <w:proofErr w:type="spellEnd"/>
      <w:r w:rsidRPr="00197DF6">
        <w:rPr>
          <w:lang w:val="es-ES_tradnl"/>
        </w:rPr>
        <w:t xml:space="preserve"> y </w:t>
      </w:r>
      <w:proofErr w:type="spellStart"/>
      <w:r w:rsidRPr="00197DF6">
        <w:rPr>
          <w:lang w:val="es-ES_tradnl"/>
        </w:rPr>
        <w:t>Bhutan</w:t>
      </w:r>
      <w:proofErr w:type="spellEnd"/>
      <w:r w:rsidRPr="00197DF6">
        <w:rPr>
          <w:lang w:val="es-ES_tradnl"/>
        </w:rPr>
        <w:t xml:space="preserve"> Trust </w:t>
      </w:r>
      <w:proofErr w:type="spellStart"/>
      <w:r w:rsidRPr="00197DF6">
        <w:rPr>
          <w:lang w:val="es-ES_tradnl"/>
        </w:rPr>
        <w:t>Fund</w:t>
      </w:r>
      <w:proofErr w:type="spellEnd"/>
      <w:r w:rsidRPr="00197DF6">
        <w:rPr>
          <w:lang w:val="es-ES_tradnl"/>
        </w:rPr>
        <w:t xml:space="preserve">, han desarrollado un plan de acción sobre el medio ambiente y el cambio climático, que se está aplicando actualmente. </w:t>
      </w:r>
    </w:p>
    <w:p w14:paraId="27AAC736" w14:textId="7191E5FC" w:rsidR="00E77F78" w:rsidRPr="00197DF6" w:rsidRDefault="00E77F78" w:rsidP="001B36AA">
      <w:pPr>
        <w:pStyle w:val="SingleTxt"/>
        <w:numPr>
          <w:ilvl w:val="0"/>
          <w:numId w:val="32"/>
        </w:numPr>
        <w:ind w:left="1267"/>
        <w:rPr>
          <w:lang w:val="es-ES_tradnl"/>
        </w:rPr>
      </w:pPr>
      <w:r w:rsidRPr="00197DF6">
        <w:rPr>
          <w:lang w:val="es-ES_tradnl"/>
        </w:rPr>
        <w:t xml:space="preserve">Además de los esfuerzos de la Comisión Nacional de la Mujer y el Niño, la Comisión Nacional de Medio Ambiente y las contribuciones determinadas a nivel nacional seleccionadas para la integración de la perspectiva de género en el cambio climático y la reducción del riesgo de desastres, el Grupo de Referencia para la Integración, del que se informa en respuesta a la lista de cuestiones del párrafo 5, sirve como un importante mecanismo institucional para formular e implementar acciones de cambio climático y reducción del riesgo de desastres que tengan en cuenta la perspectiva de género. </w:t>
      </w:r>
    </w:p>
    <w:p w14:paraId="5DA93C4E" w14:textId="77777777" w:rsidR="00E77F78" w:rsidRPr="00197DF6" w:rsidRDefault="00E77F78" w:rsidP="00E77F78">
      <w:pPr>
        <w:pStyle w:val="SingleTxt"/>
        <w:spacing w:after="0" w:line="120" w:lineRule="exact"/>
        <w:rPr>
          <w:sz w:val="10"/>
          <w:lang w:val="es-ES_tradnl"/>
        </w:rPr>
      </w:pPr>
    </w:p>
    <w:p w14:paraId="407B666F" w14:textId="77777777" w:rsidR="00E77F78" w:rsidRPr="00197DF6" w:rsidRDefault="00E77F78" w:rsidP="00E77F78">
      <w:pPr>
        <w:pStyle w:val="SingleTxt"/>
        <w:spacing w:after="0" w:line="120" w:lineRule="exact"/>
        <w:rPr>
          <w:sz w:val="10"/>
          <w:lang w:val="es-ES_tradnl"/>
        </w:rPr>
      </w:pPr>
    </w:p>
    <w:p w14:paraId="591591F4" w14:textId="77777777" w:rsidR="00E77F78" w:rsidRPr="00197DF6" w:rsidRDefault="00E77F78" w:rsidP="00BF3F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t>Grupos desfavorecidos de mujeres (respuestas al párrafo 22)</w:t>
      </w:r>
    </w:p>
    <w:p w14:paraId="2B8D317B" w14:textId="77777777" w:rsidR="00E77F78" w:rsidRPr="00197DF6" w:rsidRDefault="00E77F78" w:rsidP="00E77F78">
      <w:pPr>
        <w:pStyle w:val="SingleTxt"/>
        <w:spacing w:after="0" w:line="120" w:lineRule="exact"/>
        <w:rPr>
          <w:sz w:val="10"/>
          <w:lang w:val="es-ES_tradnl"/>
        </w:rPr>
      </w:pPr>
    </w:p>
    <w:p w14:paraId="62B00E7A" w14:textId="77777777" w:rsidR="00E77F78" w:rsidRPr="00197DF6" w:rsidRDefault="00E77F78" w:rsidP="00E77F78">
      <w:pPr>
        <w:pStyle w:val="SingleTxt"/>
        <w:spacing w:after="0" w:line="120" w:lineRule="exact"/>
        <w:rPr>
          <w:sz w:val="10"/>
          <w:lang w:val="es-ES_tradnl"/>
        </w:rPr>
      </w:pPr>
    </w:p>
    <w:p w14:paraId="17285383"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Iniciativas para grupos desfavorecidos de mujeres</w:t>
      </w:r>
    </w:p>
    <w:p w14:paraId="01187F5E" w14:textId="77777777" w:rsidR="00E77F78" w:rsidRPr="00197DF6" w:rsidRDefault="00E77F78" w:rsidP="00E77F78">
      <w:pPr>
        <w:pStyle w:val="SingleTxt"/>
        <w:spacing w:after="0" w:line="120" w:lineRule="exact"/>
        <w:rPr>
          <w:sz w:val="10"/>
          <w:lang w:val="es-ES_tradnl"/>
        </w:rPr>
      </w:pPr>
    </w:p>
    <w:p w14:paraId="23DAE429" w14:textId="08E4A113" w:rsidR="00E77F78" w:rsidRPr="00197DF6" w:rsidRDefault="00E77F78" w:rsidP="001B36AA">
      <w:pPr>
        <w:pStyle w:val="SingleTxt"/>
        <w:numPr>
          <w:ilvl w:val="0"/>
          <w:numId w:val="32"/>
        </w:numPr>
        <w:ind w:left="1267"/>
        <w:rPr>
          <w:b/>
          <w:lang w:val="es-ES_tradnl"/>
        </w:rPr>
      </w:pPr>
      <w:r w:rsidRPr="00197DF6">
        <w:rPr>
          <w:lang w:val="es-ES_tradnl"/>
        </w:rPr>
        <w:t xml:space="preserve">La Política Nacional para las Personas con Discapacidad de 2020 proporciona un marco político estratégico y coherente para mejorar la vida de las personas con discapacidad mediante su participación plena y significativa en el desarrollo socioeconómico como miembros iguales de la sociedad. También pretende dar respuesta a los retos a los que se enfrentan para acceder a los servicios. La política también hace hincapié en la necesidad de atender las necesidades de las mujeres y niñas con discapacidad y garantizar su participación en los puestos de liderazgo. </w:t>
      </w:r>
    </w:p>
    <w:p w14:paraId="1F6FB66A" w14:textId="46041657" w:rsidR="00E77F78" w:rsidRPr="00197DF6" w:rsidRDefault="00E77F78" w:rsidP="001B36AA">
      <w:pPr>
        <w:pStyle w:val="SingleTxt"/>
        <w:numPr>
          <w:ilvl w:val="0"/>
          <w:numId w:val="32"/>
        </w:numPr>
        <w:ind w:left="1267"/>
        <w:rPr>
          <w:b/>
          <w:lang w:val="es-ES_tradnl"/>
        </w:rPr>
      </w:pPr>
      <w:r w:rsidRPr="00197DF6">
        <w:rPr>
          <w:lang w:val="es-ES_tradnl"/>
        </w:rPr>
        <w:t xml:space="preserve">La disposición del Código Penal de </w:t>
      </w:r>
      <w:proofErr w:type="spellStart"/>
      <w:r w:rsidRPr="00197DF6">
        <w:rPr>
          <w:lang w:val="es-ES_tradnl"/>
        </w:rPr>
        <w:t>Bhután</w:t>
      </w:r>
      <w:proofErr w:type="spellEnd"/>
      <w:r w:rsidRPr="00197DF6">
        <w:rPr>
          <w:lang w:val="es-ES_tradnl"/>
        </w:rPr>
        <w:t xml:space="preserve"> que penalizaba las relaciones sexuales contra natura fue derogada por el Parlamento en 2021. Esta enmienda promueve los derechos de las personas LGBT+ y les permite ejercer sus derechos humanos sin miedo a la discriminación. Además, la Política Nacional de Igualdad de Género también pretende encarar los problemas a los que se enfrenta la comunidad LGBT+ reuniendo de manera más efectiva las pruebas y aplicando intervenciones específicas. </w:t>
      </w:r>
    </w:p>
    <w:p w14:paraId="1BB5C45C" w14:textId="25D9E98A" w:rsidR="00E77F78" w:rsidRPr="00197DF6" w:rsidRDefault="00E77F78" w:rsidP="001B36AA">
      <w:pPr>
        <w:pStyle w:val="SingleTxt"/>
        <w:numPr>
          <w:ilvl w:val="0"/>
          <w:numId w:val="32"/>
        </w:numPr>
        <w:ind w:left="1267"/>
        <w:rPr>
          <w:b/>
          <w:lang w:val="es-ES_tradnl"/>
        </w:rPr>
      </w:pPr>
      <w:r w:rsidRPr="00197DF6">
        <w:rPr>
          <w:lang w:val="es-ES_tradnl"/>
        </w:rPr>
        <w:t xml:space="preserve">Actualmente se está revisando la Política Nacional de Igualdad de Género para integrar las necesidades del colectivo LGBT+ en colaboración con </w:t>
      </w:r>
      <w:proofErr w:type="spellStart"/>
      <w:r w:rsidRPr="00197DF6">
        <w:rPr>
          <w:lang w:val="es-ES_tradnl"/>
        </w:rPr>
        <w:t>Pride</w:t>
      </w:r>
      <w:proofErr w:type="spellEnd"/>
      <w:r w:rsidRPr="00197DF6">
        <w:rPr>
          <w:lang w:val="es-ES_tradnl"/>
        </w:rPr>
        <w:t xml:space="preserve"> </w:t>
      </w:r>
      <w:proofErr w:type="spellStart"/>
      <w:r w:rsidRPr="00197DF6">
        <w:rPr>
          <w:lang w:val="es-ES_tradnl"/>
        </w:rPr>
        <w:t>Bhutan</w:t>
      </w:r>
      <w:proofErr w:type="spellEnd"/>
      <w:r w:rsidRPr="00197DF6">
        <w:rPr>
          <w:vertAlign w:val="superscript"/>
          <w:lang w:val="es-ES_tradnl"/>
        </w:rPr>
        <w:footnoteReference w:id="43"/>
      </w:r>
      <w:r w:rsidRPr="00197DF6">
        <w:rPr>
          <w:lang w:val="es-ES_tradnl"/>
        </w:rPr>
        <w:t xml:space="preserve"> y Queer </w:t>
      </w:r>
      <w:proofErr w:type="spellStart"/>
      <w:r w:rsidRPr="00197DF6">
        <w:rPr>
          <w:lang w:val="es-ES_tradnl"/>
        </w:rPr>
        <w:t>Voice</w:t>
      </w:r>
      <w:proofErr w:type="spellEnd"/>
      <w:r w:rsidRPr="00197DF6">
        <w:rPr>
          <w:lang w:val="es-ES_tradnl"/>
        </w:rPr>
        <w:t xml:space="preserve"> </w:t>
      </w:r>
      <w:proofErr w:type="spellStart"/>
      <w:r w:rsidRPr="00197DF6">
        <w:rPr>
          <w:lang w:val="es-ES_tradnl"/>
        </w:rPr>
        <w:t>of</w:t>
      </w:r>
      <w:proofErr w:type="spellEnd"/>
      <w:r w:rsidRPr="00197DF6">
        <w:rPr>
          <w:lang w:val="es-ES_tradnl"/>
        </w:rPr>
        <w:t xml:space="preserve"> </w:t>
      </w:r>
      <w:proofErr w:type="spellStart"/>
      <w:r w:rsidRPr="00197DF6">
        <w:rPr>
          <w:lang w:val="es-ES_tradnl"/>
        </w:rPr>
        <w:t>Bhutan</w:t>
      </w:r>
      <w:proofErr w:type="spellEnd"/>
      <w:r w:rsidRPr="00197DF6">
        <w:rPr>
          <w:vertAlign w:val="superscript"/>
          <w:lang w:val="es-ES_tradnl"/>
        </w:rPr>
        <w:footnoteReference w:id="44"/>
      </w:r>
      <w:r w:rsidRPr="00197DF6">
        <w:rPr>
          <w:lang w:val="es-ES_tradnl"/>
        </w:rPr>
        <w:t xml:space="preserve">. Se espera que el examen concluya a finales de 2022. </w:t>
      </w:r>
    </w:p>
    <w:p w14:paraId="273AAFF6" w14:textId="33E1161F" w:rsidR="00E77F78" w:rsidRPr="00197DF6" w:rsidRDefault="00E77F78" w:rsidP="001B36AA">
      <w:pPr>
        <w:pStyle w:val="SingleTxt"/>
        <w:numPr>
          <w:ilvl w:val="0"/>
          <w:numId w:val="32"/>
        </w:numPr>
        <w:ind w:left="1267"/>
        <w:rPr>
          <w:b/>
          <w:lang w:val="es-ES_tradnl"/>
        </w:rPr>
      </w:pPr>
      <w:r w:rsidRPr="00197DF6">
        <w:rPr>
          <w:lang w:val="es-ES_tradnl"/>
        </w:rPr>
        <w:t xml:space="preserve">A fin de crear un entorno propicio en el que las personas con diversidad de género y sexualidad tengan acceso a servicios sanitarios, educación y empleo, y otras oportunidades, está en marcha la elaboración del manual operativo para el teléfono de asistencia gratuito de </w:t>
      </w:r>
      <w:proofErr w:type="spellStart"/>
      <w:r w:rsidRPr="00197DF6">
        <w:rPr>
          <w:lang w:val="es-ES_tradnl"/>
        </w:rPr>
        <w:t>Pride</w:t>
      </w:r>
      <w:proofErr w:type="spellEnd"/>
      <w:r w:rsidRPr="00197DF6">
        <w:rPr>
          <w:lang w:val="es-ES_tradnl"/>
        </w:rPr>
        <w:t xml:space="preserve"> </w:t>
      </w:r>
      <w:proofErr w:type="spellStart"/>
      <w:r w:rsidRPr="00197DF6">
        <w:rPr>
          <w:lang w:val="es-ES_tradnl"/>
        </w:rPr>
        <w:t>Bhutan</w:t>
      </w:r>
      <w:proofErr w:type="spellEnd"/>
      <w:r w:rsidRPr="00197DF6">
        <w:rPr>
          <w:lang w:val="es-ES_tradnl"/>
        </w:rPr>
        <w:t xml:space="preserve">. </w:t>
      </w:r>
    </w:p>
    <w:p w14:paraId="117D4AD9" w14:textId="5D1A6592" w:rsidR="00E77F78" w:rsidRPr="00197DF6" w:rsidRDefault="00E77F78" w:rsidP="001B36AA">
      <w:pPr>
        <w:pStyle w:val="SingleTxt"/>
        <w:numPr>
          <w:ilvl w:val="0"/>
          <w:numId w:val="32"/>
        </w:numPr>
        <w:ind w:left="1267"/>
        <w:rPr>
          <w:b/>
          <w:lang w:val="es-ES_tradnl"/>
        </w:rPr>
      </w:pPr>
      <w:r w:rsidRPr="00197DF6">
        <w:rPr>
          <w:lang w:val="es-ES_tradnl"/>
        </w:rPr>
        <w:t xml:space="preserve">El proyecto de acceso a la justicia para las personas con discapacidad se está ejecutando actualmente a través del Programa Sectorial de Justicia. Este proyecto se centra en solucionar la accesibilidad física, mejorar la comprensión de los problemas a los que se enfrentan las personas con discapacidad e institucionalizar el fomento de la capacidad mediante la integración en el plan de estudios del centro JSW </w:t>
      </w:r>
      <w:proofErr w:type="spellStart"/>
      <w:r w:rsidRPr="00197DF6">
        <w:rPr>
          <w:lang w:val="es-ES_tradnl"/>
        </w:rPr>
        <w:t>Law</w:t>
      </w:r>
      <w:proofErr w:type="spellEnd"/>
      <w:r w:rsidRPr="00197DF6">
        <w:rPr>
          <w:lang w:val="es-ES_tradnl"/>
        </w:rPr>
        <w:t xml:space="preserve">. Además, la iniciativa </w:t>
      </w:r>
      <w:proofErr w:type="spellStart"/>
      <w:r w:rsidRPr="00197DF6">
        <w:rPr>
          <w:lang w:val="es-ES_tradnl"/>
        </w:rPr>
        <w:t>eLitigation</w:t>
      </w:r>
      <w:proofErr w:type="spellEnd"/>
      <w:r w:rsidRPr="00197DF6">
        <w:rPr>
          <w:lang w:val="es-ES_tradnl"/>
        </w:rPr>
        <w:t>, de la que se informa en respuesta a la lista de cuestiones del apartado 4, es otra medida reseñable para mejorar el acceso a la justicia de las personas con discapacidad.</w:t>
      </w:r>
    </w:p>
    <w:p w14:paraId="0EAD13D4" w14:textId="58B788B9" w:rsidR="00E77F78" w:rsidRPr="00197DF6" w:rsidRDefault="00E77F78" w:rsidP="001B36AA">
      <w:pPr>
        <w:pStyle w:val="SingleTxt"/>
        <w:numPr>
          <w:ilvl w:val="0"/>
          <w:numId w:val="32"/>
        </w:numPr>
        <w:ind w:left="1267"/>
        <w:rPr>
          <w:b/>
          <w:lang w:val="es-ES_tradnl"/>
        </w:rPr>
      </w:pPr>
      <w:r w:rsidRPr="00197DF6">
        <w:rPr>
          <w:lang w:val="es-ES_tradnl"/>
        </w:rPr>
        <w:t xml:space="preserve">Entre abril de 2020 y marzo de 2022, 1.710 personas con discapacidad (854 hombres y 856 mujeres) recibieron apoyo de DGRK al menos una vez. Asimismo, 473 mayores de 65 años (324 hombres y 149 mujeres) también disfrutaron de </w:t>
      </w:r>
      <w:proofErr w:type="spellStart"/>
      <w:r w:rsidRPr="00197DF6">
        <w:rPr>
          <w:i/>
          <w:iCs/>
          <w:lang w:val="es-ES_tradnl"/>
        </w:rPr>
        <w:t>kidu</w:t>
      </w:r>
      <w:proofErr w:type="spellEnd"/>
      <w:r w:rsidRPr="00197DF6">
        <w:rPr>
          <w:i/>
          <w:iCs/>
          <w:lang w:val="es-ES_tradnl"/>
        </w:rPr>
        <w:t xml:space="preserve"> </w:t>
      </w:r>
      <w:r w:rsidRPr="00197DF6">
        <w:rPr>
          <w:lang w:val="es-ES_tradnl"/>
        </w:rPr>
        <w:t>al menos una vez en el mismo período de tiempo</w:t>
      </w:r>
      <w:r w:rsidRPr="00197DF6">
        <w:rPr>
          <w:vertAlign w:val="superscript"/>
          <w:lang w:val="es-ES_tradnl"/>
        </w:rPr>
        <w:footnoteReference w:id="45"/>
      </w:r>
      <w:r w:rsidRPr="00197DF6">
        <w:rPr>
          <w:lang w:val="es-ES_tradnl"/>
        </w:rPr>
        <w:t xml:space="preserve">. </w:t>
      </w:r>
    </w:p>
    <w:p w14:paraId="20DE758F" w14:textId="1405169F" w:rsidR="00E77F78" w:rsidRPr="00197DF6" w:rsidRDefault="00E77F78" w:rsidP="001B36AA">
      <w:pPr>
        <w:pStyle w:val="SingleTxt"/>
        <w:numPr>
          <w:ilvl w:val="0"/>
          <w:numId w:val="32"/>
        </w:numPr>
        <w:ind w:left="1267"/>
        <w:rPr>
          <w:b/>
          <w:lang w:val="es-ES_tradnl"/>
        </w:rPr>
      </w:pPr>
      <w:r w:rsidRPr="00197DF6">
        <w:rPr>
          <w:lang w:val="es-ES_tradnl"/>
        </w:rPr>
        <w:t xml:space="preserve">Se llevó a cabo una consulta a nivel nacional para identificar las necesidades de salud sexual y reproductiva y las experiencias de violencia de género de las personas con discapacidad y la comunidad LGBT+. En consecuencia, se ha iniciado el examen de las normas de planificación familiar para incorporar las necesidades en esta materia del colectivo LGBT+. </w:t>
      </w:r>
    </w:p>
    <w:p w14:paraId="1150C05D" w14:textId="22419D71" w:rsidR="00E77F78" w:rsidRPr="00197DF6" w:rsidRDefault="00E77F78" w:rsidP="001B36AA">
      <w:pPr>
        <w:pStyle w:val="SingleTxt"/>
        <w:numPr>
          <w:ilvl w:val="0"/>
          <w:numId w:val="32"/>
        </w:numPr>
        <w:ind w:left="1267"/>
        <w:rPr>
          <w:b/>
          <w:lang w:val="es-ES_tradnl"/>
        </w:rPr>
      </w:pPr>
      <w:r w:rsidRPr="00197DF6">
        <w:rPr>
          <w:lang w:val="es-ES_tradnl"/>
        </w:rPr>
        <w:t>Los procedimientos especiales para dar respuesta a los supervivientes de la violencia de género entre las personas con discapacidad, la comunidad LGBT+ y los mayores se incluyen en los POE sobre prevención y respuesta a la violencia de género y en las directrices de gestión de casos de violencia de género. Los gestores de casos, incluidos los que trabajan a nivel local, los voluntarios identificados del Sistema de Apoyo Basado en la Comunidad y los oficiales de las organizaciones de la sociedad civil asociadas recibieron formación sobre estos procedimientos para su correcta aplicación. También se están realizando esfuerzos para reforzar el mecanismo de coordinación entre los gestores de casos y las organizaciones de la sociedad civil que trabajan en favor de las personas con discapacidad y el colectivo LGBT+ en relación con la respuesta a la violencia de género para estos grupos.</w:t>
      </w:r>
    </w:p>
    <w:p w14:paraId="61F05D9A" w14:textId="4A41BD0F" w:rsidR="00E77F78" w:rsidRPr="00197DF6" w:rsidRDefault="00E77F78" w:rsidP="001B36AA">
      <w:pPr>
        <w:pStyle w:val="SingleTxt"/>
        <w:numPr>
          <w:ilvl w:val="0"/>
          <w:numId w:val="32"/>
        </w:numPr>
        <w:ind w:left="1267"/>
        <w:rPr>
          <w:bCs/>
          <w:lang w:val="es-ES_tradnl"/>
        </w:rPr>
      </w:pPr>
      <w:r w:rsidRPr="00197DF6">
        <w:rPr>
          <w:lang w:val="es-ES_tradnl"/>
        </w:rPr>
        <w:t>La Comisión de la Felicidad Nacional Bruta, en colaboración con la Sociedad Real para las Personas de Edad, está ultimando una nota conceptual sobre la política nacional para la tercera edad, con el fin de mejorar la atención y la protección de las personas mayores</w:t>
      </w:r>
      <w:r w:rsidRPr="00197DF6">
        <w:rPr>
          <w:bCs/>
          <w:vertAlign w:val="superscript"/>
          <w:lang w:val="es-ES_tradnl"/>
        </w:rPr>
        <w:footnoteReference w:id="46"/>
      </w:r>
      <w:r w:rsidRPr="00197DF6">
        <w:rPr>
          <w:lang w:val="es-ES_tradnl"/>
        </w:rPr>
        <w:t xml:space="preserve">. </w:t>
      </w:r>
    </w:p>
    <w:p w14:paraId="5D43CCC6" w14:textId="56FECD74" w:rsidR="00E77F78" w:rsidRPr="00197DF6" w:rsidRDefault="00E77F78" w:rsidP="001B36AA">
      <w:pPr>
        <w:pStyle w:val="SingleTxt"/>
        <w:numPr>
          <w:ilvl w:val="0"/>
          <w:numId w:val="32"/>
        </w:numPr>
        <w:ind w:left="1267"/>
        <w:rPr>
          <w:b/>
          <w:lang w:val="es-ES_tradnl"/>
        </w:rPr>
      </w:pPr>
      <w:r w:rsidRPr="00197DF6">
        <w:rPr>
          <w:lang w:val="es-ES_tradnl"/>
        </w:rPr>
        <w:t>De acuerdo con el compromiso del Gobierno de reducir la brecha de accesibilidad y promover servicios sanitarios centrados en las personas con atención y compasión, se deja un determinado tiempo para la atención de las personas de edad que solicitan servicios sanitarios. También se realizan cribados periódicos de enfermedades todos los años en octubre, que se ha declarado el mes de las personas mayores. Asimismo, se elabora y distribuye gratuitamente un manual dedicado a las personas mayores para proporcionarles información crítica relacionada con la salud y hacer un seguimiento de su condición.</w:t>
      </w:r>
    </w:p>
    <w:p w14:paraId="0D13B8C6" w14:textId="081CAF4A" w:rsidR="00E77F78" w:rsidRPr="00197DF6" w:rsidRDefault="00E77F78" w:rsidP="001B36AA">
      <w:pPr>
        <w:pStyle w:val="SingleTxt"/>
        <w:numPr>
          <w:ilvl w:val="0"/>
          <w:numId w:val="32"/>
        </w:numPr>
        <w:ind w:left="1267"/>
        <w:rPr>
          <w:b/>
          <w:lang w:val="es-ES_tradnl"/>
        </w:rPr>
      </w:pPr>
      <w:r w:rsidRPr="00197DF6">
        <w:rPr>
          <w:lang w:val="es-ES_tradnl"/>
        </w:rPr>
        <w:t xml:space="preserve">La Comisión Electoral de </w:t>
      </w:r>
      <w:proofErr w:type="spellStart"/>
      <w:r w:rsidRPr="00197DF6">
        <w:rPr>
          <w:lang w:val="es-ES_tradnl"/>
        </w:rPr>
        <w:t>Bhután</w:t>
      </w:r>
      <w:proofErr w:type="spellEnd"/>
      <w:r w:rsidRPr="00197DF6">
        <w:rPr>
          <w:lang w:val="es-ES_tradnl"/>
        </w:rPr>
        <w:t xml:space="preserve"> ha dispuestos espacios de votación separados para las personas con discapacidad para superar las dificultades relacionadas con la accesibilidad física y así animarlas a participar en igualdad de condiciones en las elecciones. Además, también se facilitan opciones para votar desde su lugar de residencia a quienes no puedan desplazarse a las mesas de votación. </w:t>
      </w:r>
    </w:p>
    <w:p w14:paraId="48A44C89" w14:textId="4F7D5CAF" w:rsidR="00E77F78" w:rsidRPr="00197DF6" w:rsidRDefault="00E77F78" w:rsidP="001B36AA">
      <w:pPr>
        <w:pStyle w:val="SingleTxt"/>
        <w:numPr>
          <w:ilvl w:val="0"/>
          <w:numId w:val="32"/>
        </w:numPr>
        <w:ind w:left="1267"/>
        <w:rPr>
          <w:b/>
          <w:lang w:val="es-ES_tradnl"/>
        </w:rPr>
      </w:pPr>
      <w:r w:rsidRPr="00197DF6">
        <w:rPr>
          <w:lang w:val="es-ES_tradnl"/>
        </w:rPr>
        <w:t>Se crearon cuatro empresas de elaboración de dulces, tutoría musical, panadería y sastrería de las que se beneficiaron 30 personas con discapacidad (15 hombres y 15 mujeres) en 2021. En 2020, la Organización de Personas con Discapacidad</w:t>
      </w:r>
      <w:r w:rsidRPr="00197DF6">
        <w:rPr>
          <w:vertAlign w:val="superscript"/>
          <w:lang w:val="es-ES_tradnl"/>
        </w:rPr>
        <w:footnoteReference w:id="47"/>
      </w:r>
      <w:r w:rsidRPr="00197DF6">
        <w:rPr>
          <w:lang w:val="es-ES_tradnl"/>
        </w:rPr>
        <w:t xml:space="preserve"> y el Gobierno impartieron formación sobre igualdad en materia de discapacidad a 69 participantes (45 hombres y 24 mujeres), entre los que había proveedores de servicios e instituciones monásticas.</w:t>
      </w:r>
    </w:p>
    <w:p w14:paraId="6218FDFB" w14:textId="17598543" w:rsidR="00E77F78" w:rsidRPr="00197DF6" w:rsidRDefault="00E77F78" w:rsidP="001B36AA">
      <w:pPr>
        <w:pStyle w:val="SingleTxt"/>
        <w:numPr>
          <w:ilvl w:val="0"/>
          <w:numId w:val="32"/>
        </w:numPr>
        <w:ind w:left="1267"/>
        <w:rPr>
          <w:b/>
          <w:lang w:val="es-ES_tradnl"/>
        </w:rPr>
      </w:pPr>
      <w:r w:rsidRPr="00197DF6">
        <w:rPr>
          <w:lang w:val="es-ES_tradnl"/>
        </w:rPr>
        <w:t xml:space="preserve">La auditoría de los resultados emprendida por la Autoridad Real de Auditoría sobre la aplicación de los ODS evaluará específicamente los esfuerzos del Gobierno para reforzar las capacidades de alerta temprana, reducción de los riesgos y gestión de los riesgos para la salud nacional y mundial. Uno de los resultados esperados es un sistema sanitario público más equitativo que garantice el acceso a servicios de calidad a los sectores vulnerables de la población, entre ellos las mujeres, las personas con discapacidad y los grupos socioeconómicos más desfavorecidos. </w:t>
      </w:r>
    </w:p>
    <w:p w14:paraId="73D47AB2" w14:textId="77777777" w:rsidR="00E77F78" w:rsidRPr="00197DF6" w:rsidRDefault="00E77F78" w:rsidP="00E77F78">
      <w:pPr>
        <w:pStyle w:val="SingleTxt"/>
        <w:spacing w:after="0" w:line="120" w:lineRule="exact"/>
        <w:rPr>
          <w:sz w:val="10"/>
          <w:lang w:val="es-ES_tradnl"/>
        </w:rPr>
      </w:pPr>
    </w:p>
    <w:p w14:paraId="3973E9D0"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Situación de las mujeres en las cárceles y centros de detención</w:t>
      </w:r>
    </w:p>
    <w:p w14:paraId="2EDDA0D0" w14:textId="77777777" w:rsidR="00E77F78" w:rsidRPr="00197DF6" w:rsidRDefault="00E77F78" w:rsidP="00E77F78">
      <w:pPr>
        <w:pStyle w:val="SingleTxt"/>
        <w:spacing w:after="0" w:line="120" w:lineRule="exact"/>
        <w:rPr>
          <w:sz w:val="10"/>
          <w:lang w:val="es-ES_tradnl"/>
        </w:rPr>
      </w:pPr>
    </w:p>
    <w:p w14:paraId="076F13A6" w14:textId="58E0DD93" w:rsidR="00E77F78" w:rsidRPr="00197DF6" w:rsidRDefault="00E77F78" w:rsidP="001B36AA">
      <w:pPr>
        <w:pStyle w:val="SingleTxt"/>
        <w:numPr>
          <w:ilvl w:val="0"/>
          <w:numId w:val="33"/>
        </w:numPr>
        <w:tabs>
          <w:tab w:val="clear" w:pos="475"/>
          <w:tab w:val="right" w:pos="1022"/>
        </w:tabs>
        <w:ind w:left="1267" w:right="1260"/>
        <w:rPr>
          <w:lang w:val="es-ES_tradnl"/>
        </w:rPr>
      </w:pPr>
      <w:r w:rsidRPr="00197DF6">
        <w:rPr>
          <w:lang w:val="es-ES_tradnl"/>
        </w:rPr>
        <w:t xml:space="preserve">De acuerdo con el capítulo cuarto de la Ley de Prisiones de </w:t>
      </w:r>
      <w:proofErr w:type="spellStart"/>
      <w:r w:rsidRPr="00197DF6">
        <w:rPr>
          <w:lang w:val="es-ES_tradnl"/>
        </w:rPr>
        <w:t>Bhután</w:t>
      </w:r>
      <w:proofErr w:type="spellEnd"/>
      <w:r w:rsidRPr="00197DF6">
        <w:rPr>
          <w:lang w:val="es-ES_tradnl"/>
        </w:rPr>
        <w:t xml:space="preserve"> (1982), que establece que “los reclusos y las reclusas deben estar separados en la cárcel. En caso de que no exista ninguna disposición, se deben hacer divisiones en las habitaciones para los reclusos y las reclusas”, se proporcionan espacios de detención separados para los reclusos y las reclusas. Cuando no se dispone de espacios separados, permanecen detenidos en habitaciones separadas. En el Centro de Desarrollo y Rehabilitación de la Juventud también hay espacios separados para las chicas. </w:t>
      </w:r>
    </w:p>
    <w:p w14:paraId="4B5170BD" w14:textId="45A13CF9" w:rsidR="00E77F78" w:rsidRPr="00197DF6" w:rsidRDefault="00E77F78" w:rsidP="001B36AA">
      <w:pPr>
        <w:pStyle w:val="SingleTxt"/>
        <w:numPr>
          <w:ilvl w:val="0"/>
          <w:numId w:val="33"/>
        </w:numPr>
        <w:ind w:left="1267"/>
        <w:rPr>
          <w:lang w:val="es-ES_tradnl"/>
        </w:rPr>
      </w:pPr>
      <w:r w:rsidRPr="00197DF6">
        <w:rPr>
          <w:lang w:val="es-ES_tradnl"/>
        </w:rPr>
        <w:t xml:space="preserve">Para ofrecer a las reclusas la oportunidad de prepararse para la reinserción tras la condena, se creó una prisión al aire libre para mujeres. En la prisión al aire libre, las reclusas realizan actividades generadoras de ingresos, como tejido, agricultura ecológica, punto y fabricación de máscaras. Los niños que residen con sus madres también disponen de instalaciones de cuidado y desarrollo específicas y escuelas en las proximidades. Actualmente hay 44 reclusas con 15 hijos. </w:t>
      </w:r>
    </w:p>
    <w:p w14:paraId="0E5EEDA9" w14:textId="77777777" w:rsidR="00E77F78" w:rsidRPr="00197DF6" w:rsidRDefault="00E77F78" w:rsidP="00E77F78">
      <w:pPr>
        <w:pStyle w:val="SingleTxt"/>
        <w:spacing w:after="0" w:line="120" w:lineRule="exact"/>
        <w:rPr>
          <w:sz w:val="10"/>
          <w:lang w:val="es-ES_tradnl"/>
        </w:rPr>
      </w:pPr>
    </w:p>
    <w:p w14:paraId="6AD02E8E"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Medidas adoptadas para facilitar el regreso de las mujeres y niñas refugiadas</w:t>
      </w:r>
      <w:r w:rsidRPr="00197DF6">
        <w:rPr>
          <w:lang w:val="es-ES_tradnl"/>
        </w:rPr>
        <w:t xml:space="preserve"> </w:t>
      </w:r>
    </w:p>
    <w:p w14:paraId="4F96E656" w14:textId="77777777" w:rsidR="00E77F78" w:rsidRPr="00197DF6" w:rsidRDefault="00E77F78" w:rsidP="00E77F78">
      <w:pPr>
        <w:pStyle w:val="SingleTxt"/>
        <w:spacing w:after="0" w:line="120" w:lineRule="exact"/>
        <w:rPr>
          <w:sz w:val="10"/>
          <w:lang w:val="es-ES_tradnl"/>
        </w:rPr>
      </w:pPr>
    </w:p>
    <w:p w14:paraId="6B0F48AE" w14:textId="25FC27B3" w:rsidR="00E77F78" w:rsidRPr="00197DF6" w:rsidRDefault="00E77F78" w:rsidP="001B36AA">
      <w:pPr>
        <w:pStyle w:val="SingleTxt"/>
        <w:numPr>
          <w:ilvl w:val="0"/>
          <w:numId w:val="33"/>
        </w:numPr>
        <w:ind w:left="1267"/>
        <w:rPr>
          <w:lang w:val="es-ES_tradnl"/>
        </w:rPr>
      </w:pPr>
      <w:r w:rsidRPr="00197DF6">
        <w:rPr>
          <w:lang w:val="es-ES_tradnl"/>
        </w:rPr>
        <w:t xml:space="preserve">El problema de las personas que viven en los campamentos del este de Nepal no es el de una situación típica de refugiados, sino uno complejo profundamente arraigado en la inmigración ilegal. Los Gobiernos de </w:t>
      </w:r>
      <w:proofErr w:type="spellStart"/>
      <w:r w:rsidRPr="00197DF6">
        <w:rPr>
          <w:lang w:val="es-ES_tradnl"/>
        </w:rPr>
        <w:t>Bhután</w:t>
      </w:r>
      <w:proofErr w:type="spellEnd"/>
      <w:r w:rsidRPr="00197DF6">
        <w:rPr>
          <w:lang w:val="es-ES_tradnl"/>
        </w:rPr>
        <w:t xml:space="preserve"> y Nepal llevan años manteniendo conversaciones bilaterales al respecto. Los dos Gobiernos también participan regularmente en reuniones regionales e internacionales para buscar una solución a este problema. El Gobierno Real de </w:t>
      </w:r>
      <w:proofErr w:type="spellStart"/>
      <w:r w:rsidRPr="00197DF6">
        <w:rPr>
          <w:lang w:val="es-ES_tradnl"/>
        </w:rPr>
        <w:t>Bhután</w:t>
      </w:r>
      <w:proofErr w:type="spellEnd"/>
      <w:r w:rsidRPr="00197DF6">
        <w:rPr>
          <w:lang w:val="es-ES_tradnl"/>
        </w:rPr>
        <w:t xml:space="preserve"> valora el programa de reasentamiento iniciado por el grupo central de países y considera que el programa de reasentamiento en terceros países es la solución más viable para este complejo asunto. </w:t>
      </w:r>
    </w:p>
    <w:p w14:paraId="44643A70" w14:textId="77777777" w:rsidR="00E77F78" w:rsidRPr="00197DF6" w:rsidRDefault="00E77F78" w:rsidP="00E77F78">
      <w:pPr>
        <w:pStyle w:val="SingleTxt"/>
        <w:spacing w:after="0" w:line="120" w:lineRule="exact"/>
        <w:rPr>
          <w:sz w:val="10"/>
          <w:lang w:val="es-ES_tradnl"/>
        </w:rPr>
      </w:pPr>
      <w:bookmarkStart w:id="16" w:name="_Toc107670430"/>
    </w:p>
    <w:p w14:paraId="5422C503" w14:textId="77777777" w:rsidR="00E77F78" w:rsidRPr="00197DF6" w:rsidRDefault="00E77F78" w:rsidP="00E77F78">
      <w:pPr>
        <w:pStyle w:val="SingleTxt"/>
        <w:spacing w:after="0" w:line="120" w:lineRule="exact"/>
        <w:rPr>
          <w:sz w:val="10"/>
          <w:lang w:val="es-ES_tradnl"/>
        </w:rPr>
      </w:pPr>
    </w:p>
    <w:p w14:paraId="54ECD443" w14:textId="77777777" w:rsidR="00E77F78" w:rsidRPr="00197DF6" w:rsidRDefault="00E77F78" w:rsidP="00BF3F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es-ES_tradnl"/>
        </w:rPr>
      </w:pPr>
      <w:r w:rsidRPr="00197DF6">
        <w:rPr>
          <w:lang w:val="es-ES_tradnl"/>
        </w:rPr>
        <w:tab/>
      </w:r>
      <w:r w:rsidRPr="00197DF6">
        <w:rPr>
          <w:lang w:val="es-ES_tradnl"/>
        </w:rPr>
        <w:tab/>
        <w:t>Matrimonio y relaciones familiares (respuestas a los párrafos 23 y 24)</w:t>
      </w:r>
      <w:bookmarkEnd w:id="16"/>
    </w:p>
    <w:p w14:paraId="1C97F5D1" w14:textId="77777777" w:rsidR="00E77F78" w:rsidRPr="00197DF6" w:rsidRDefault="00E77F78" w:rsidP="00E77F78">
      <w:pPr>
        <w:pStyle w:val="SingleTxt"/>
        <w:spacing w:after="0" w:line="120" w:lineRule="exact"/>
        <w:rPr>
          <w:sz w:val="10"/>
          <w:lang w:val="es-ES_tradnl"/>
        </w:rPr>
      </w:pPr>
    </w:p>
    <w:p w14:paraId="0CBE26D9" w14:textId="77777777" w:rsidR="00E77F78" w:rsidRPr="00197DF6" w:rsidRDefault="00E77F78" w:rsidP="00E77F78">
      <w:pPr>
        <w:pStyle w:val="SingleTxt"/>
        <w:spacing w:after="0" w:line="120" w:lineRule="exact"/>
        <w:rPr>
          <w:sz w:val="10"/>
          <w:lang w:val="es-ES_tradnl"/>
        </w:rPr>
      </w:pPr>
    </w:p>
    <w:p w14:paraId="75E51717"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Medidas legislativas para la custodia de los hijos</w:t>
      </w:r>
      <w:r w:rsidRPr="00197DF6">
        <w:rPr>
          <w:lang w:val="es-ES_tradnl"/>
        </w:rPr>
        <w:t xml:space="preserve"> </w:t>
      </w:r>
    </w:p>
    <w:p w14:paraId="70B3B966" w14:textId="77777777" w:rsidR="00E77F78" w:rsidRPr="00197DF6" w:rsidRDefault="00E77F78" w:rsidP="00E77F78">
      <w:pPr>
        <w:pStyle w:val="SingleTxt"/>
        <w:spacing w:after="0" w:line="120" w:lineRule="exact"/>
        <w:rPr>
          <w:sz w:val="10"/>
          <w:lang w:val="es-ES_tradnl"/>
        </w:rPr>
      </w:pPr>
    </w:p>
    <w:p w14:paraId="39DC7B8F" w14:textId="15D3819A" w:rsidR="00E77F78" w:rsidRPr="00197DF6" w:rsidRDefault="00E77F78" w:rsidP="001B36AA">
      <w:pPr>
        <w:pStyle w:val="SingleTxt"/>
        <w:numPr>
          <w:ilvl w:val="0"/>
          <w:numId w:val="33"/>
        </w:numPr>
        <w:ind w:left="1267"/>
        <w:rPr>
          <w:b/>
          <w:lang w:val="es-ES_tradnl"/>
        </w:rPr>
      </w:pPr>
      <w:r w:rsidRPr="00197DF6">
        <w:rPr>
          <w:lang w:val="es-ES_tradnl"/>
        </w:rPr>
        <w:t xml:space="preserve">La Ley de Matrimonio (Enmienda) de </w:t>
      </w:r>
      <w:proofErr w:type="spellStart"/>
      <w:r w:rsidRPr="00197DF6">
        <w:rPr>
          <w:lang w:val="es-ES_tradnl"/>
        </w:rPr>
        <w:t>Bhután</w:t>
      </w:r>
      <w:proofErr w:type="spellEnd"/>
      <w:r w:rsidRPr="00197DF6">
        <w:rPr>
          <w:lang w:val="es-ES_tradnl"/>
        </w:rPr>
        <w:t xml:space="preserve"> de 2009 obliga al Tribunal Real de Justicia a tener en cuenta determinadas circunstancias que pueden ser contrarias al interés superior del niño en las decisiones relativas a la custodia de los hijos. Esas circunstancias incluyen negligencia, abandono y maltrato del niño, entre otras. </w:t>
      </w:r>
    </w:p>
    <w:p w14:paraId="5A7D0061" w14:textId="6E1FB919" w:rsidR="00E77F78" w:rsidRPr="00197DF6" w:rsidRDefault="00E77F78" w:rsidP="001B36AA">
      <w:pPr>
        <w:pStyle w:val="SingleTxt"/>
        <w:numPr>
          <w:ilvl w:val="0"/>
          <w:numId w:val="33"/>
        </w:numPr>
        <w:ind w:left="1267"/>
        <w:rPr>
          <w:b/>
          <w:lang w:val="es-ES_tradnl"/>
        </w:rPr>
      </w:pPr>
      <w:r w:rsidRPr="00197DF6">
        <w:rPr>
          <w:lang w:val="es-ES_tradnl"/>
        </w:rPr>
        <w:t xml:space="preserve">La Ley de Atención y Protección Infantil de 2011 establece que todas las acciones relativas a los niños emprendidas por el Gobierno, las instituciones no gubernamentales o privadas de bienestar social, los tribunales de justicia, las autoridades administrativas, los miembros de la familia o los particulares deberán velar por el interés superior del niño. Para determinar el interés superior del niño se tienen en cuenta, entre otras cosas, el entorno familiar, la relación de los padres con él y su bienestar mental y físico. </w:t>
      </w:r>
    </w:p>
    <w:p w14:paraId="08846481" w14:textId="520CF136" w:rsidR="00E77F78" w:rsidRPr="00197DF6" w:rsidRDefault="00E77F78" w:rsidP="001B36AA">
      <w:pPr>
        <w:pStyle w:val="SingleTxt"/>
        <w:numPr>
          <w:ilvl w:val="0"/>
          <w:numId w:val="33"/>
        </w:numPr>
        <w:ind w:left="1267"/>
        <w:rPr>
          <w:b/>
          <w:lang w:val="es-ES_tradnl"/>
        </w:rPr>
      </w:pPr>
      <w:r w:rsidRPr="00197DF6">
        <w:rPr>
          <w:lang w:val="es-ES_tradnl"/>
        </w:rPr>
        <w:t xml:space="preserve">Para determinar el interés superior del niño en los casos de custodia de los hijos, el Tribunal Real de Justicia (la sala de familia e infancia, en particular) recurre al apoyo de los oficiales de protección de la Comisión Nacional de la Mujer y el Niño (incluidos los dedicados a establecer protección provisional en los </w:t>
      </w:r>
      <w:proofErr w:type="spellStart"/>
      <w:r w:rsidRPr="00197DF6">
        <w:rPr>
          <w:i/>
          <w:iCs/>
          <w:lang w:val="es-ES_tradnl"/>
        </w:rPr>
        <w:t>dzongkhags</w:t>
      </w:r>
      <w:proofErr w:type="spellEnd"/>
      <w:r w:rsidRPr="00197DF6">
        <w:rPr>
          <w:lang w:val="es-ES_tradnl"/>
        </w:rPr>
        <w:t xml:space="preserve">) para llevar a cabo una evaluación exhaustiva sobre el entorno familiar, los riesgos y los beneficios de conceder la custodia a cualquiera de los progenitores. La evaluación también tiene en cuenta la decisión del niño. </w:t>
      </w:r>
    </w:p>
    <w:p w14:paraId="5A10657B" w14:textId="558E8BA5" w:rsidR="00E77F78" w:rsidRPr="00197DF6" w:rsidRDefault="00E77F78" w:rsidP="001B36AA">
      <w:pPr>
        <w:pStyle w:val="SingleTxt"/>
        <w:numPr>
          <w:ilvl w:val="0"/>
          <w:numId w:val="33"/>
        </w:numPr>
        <w:ind w:left="1267"/>
        <w:rPr>
          <w:b/>
          <w:lang w:val="es-ES_tradnl"/>
        </w:rPr>
      </w:pPr>
      <w:r w:rsidRPr="00197DF6">
        <w:rPr>
          <w:lang w:val="es-ES_tradnl"/>
        </w:rPr>
        <w:t>Se está trabajando en la revisión de la Ley de Matrimonio para abordar las disposiciones discriminatorias contra la mujer. El examen también tendrá en cuenta las normas y buenas prácticas internacionales, regionales y nacionales en materia de igualdad de género, así como la evolución de las dinámicas y los roles de género. Por ello, se revisará la disposición de la legislación actual que considera las enfermedades transmisibles, como el estado serológico respecto al VIH/sida, como motivo para privar a una madre de la custodia de su hijo.</w:t>
      </w:r>
    </w:p>
    <w:p w14:paraId="4211F780" w14:textId="77777777" w:rsidR="00E77F78" w:rsidRPr="00197DF6" w:rsidRDefault="00E77F78" w:rsidP="00E77F78">
      <w:pPr>
        <w:pStyle w:val="SingleTxt"/>
        <w:spacing w:after="0" w:line="120" w:lineRule="exact"/>
        <w:rPr>
          <w:sz w:val="10"/>
          <w:lang w:val="es-ES_tradnl"/>
        </w:rPr>
      </w:pPr>
    </w:p>
    <w:p w14:paraId="4650BED8" w14:textId="77777777"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Reforma legislativa para frenar el matrimonio infantil</w:t>
      </w:r>
      <w:r w:rsidRPr="00197DF6">
        <w:rPr>
          <w:lang w:val="es-ES_tradnl"/>
        </w:rPr>
        <w:t xml:space="preserve"> </w:t>
      </w:r>
    </w:p>
    <w:p w14:paraId="22B63A0A" w14:textId="77777777" w:rsidR="00E77F78" w:rsidRPr="00197DF6" w:rsidRDefault="00E77F78" w:rsidP="00E77F78">
      <w:pPr>
        <w:pStyle w:val="SingleTxt"/>
        <w:spacing w:after="0" w:line="120" w:lineRule="exact"/>
        <w:rPr>
          <w:sz w:val="10"/>
          <w:lang w:val="es-ES_tradnl"/>
        </w:rPr>
      </w:pPr>
    </w:p>
    <w:p w14:paraId="43DD55BE" w14:textId="7A404937" w:rsidR="00E77F78" w:rsidRPr="00197DF6" w:rsidRDefault="00E77F78" w:rsidP="001B36AA">
      <w:pPr>
        <w:pStyle w:val="SingleTxt"/>
        <w:numPr>
          <w:ilvl w:val="0"/>
          <w:numId w:val="34"/>
        </w:numPr>
        <w:tabs>
          <w:tab w:val="clear" w:pos="475"/>
          <w:tab w:val="right" w:pos="1022"/>
        </w:tabs>
        <w:ind w:left="1267" w:right="1260"/>
        <w:rPr>
          <w:lang w:val="es-ES_tradnl"/>
        </w:rPr>
      </w:pPr>
      <w:r w:rsidRPr="00197DF6">
        <w:rPr>
          <w:lang w:val="es-ES_tradnl"/>
        </w:rPr>
        <w:t xml:space="preserve">El marco jurídico vigente en </w:t>
      </w:r>
      <w:proofErr w:type="spellStart"/>
      <w:r w:rsidRPr="00197DF6">
        <w:rPr>
          <w:lang w:val="es-ES_tradnl"/>
        </w:rPr>
        <w:t>Bhután</w:t>
      </w:r>
      <w:proofErr w:type="spellEnd"/>
      <w:r w:rsidRPr="00197DF6">
        <w:rPr>
          <w:lang w:val="es-ES_tradnl"/>
        </w:rPr>
        <w:t>, como la Ley de Matrimonio y el Código Penal del país, hace referencia a la cuestión de los matrimonios infantiles. Mientras que la Ley del Matrimonio prohíbe explícitamente el matrimonio infantil, el Código Penal tipifica como delito cualquier acto sexual consentido con un menor de 12 años, así como con un menor de entre 12 y 18 años, con o sin conocimiento de que la otra persona es menor.</w:t>
      </w:r>
    </w:p>
    <w:p w14:paraId="1D2F3823" w14:textId="0F45CF1A" w:rsidR="00E77F78" w:rsidRPr="00197DF6" w:rsidRDefault="00E77F78" w:rsidP="001B36AA">
      <w:pPr>
        <w:pStyle w:val="SingleTxt"/>
        <w:numPr>
          <w:ilvl w:val="0"/>
          <w:numId w:val="34"/>
        </w:numPr>
        <w:ind w:left="1267"/>
        <w:rPr>
          <w:lang w:val="es-ES_tradnl"/>
        </w:rPr>
      </w:pPr>
      <w:proofErr w:type="spellStart"/>
      <w:r w:rsidRPr="00197DF6">
        <w:rPr>
          <w:lang w:val="es-ES_tradnl"/>
        </w:rPr>
        <w:t>Bhután</w:t>
      </w:r>
      <w:proofErr w:type="spellEnd"/>
      <w:r w:rsidRPr="00197DF6">
        <w:rPr>
          <w:lang w:val="es-ES_tradnl"/>
        </w:rPr>
        <w:t xml:space="preserve"> forma parte del Plan de Acción Regional para Poner Fin al Matrimonio Infantil elaborado por la Iniciativa de Asia Meridional para Poner Fin a la Violencia Contra los Niños en consulta con las organizaciones de la sociedad civil de ocho países y los capítulos jurídicos de la Asociación de Asia Meridional para la Cooperación Regional (SAARC). La Comisión Nacional de la Mujer y el Niño, como organismo nodal, encabeza su coordinación y aplicación.</w:t>
      </w:r>
    </w:p>
    <w:p w14:paraId="37894F96" w14:textId="0426BF56" w:rsidR="00E77F78" w:rsidRPr="00197DF6" w:rsidRDefault="00E77F78" w:rsidP="001B36AA">
      <w:pPr>
        <w:pStyle w:val="SingleTxt"/>
        <w:numPr>
          <w:ilvl w:val="0"/>
          <w:numId w:val="34"/>
        </w:numPr>
        <w:ind w:left="1267"/>
        <w:rPr>
          <w:lang w:val="es-ES_tradnl"/>
        </w:rPr>
      </w:pPr>
      <w:r w:rsidRPr="00197DF6">
        <w:rPr>
          <w:lang w:val="es-ES_tradnl"/>
        </w:rPr>
        <w:t xml:space="preserve">El examen de la Ley de Matrimonio también se ocupará de la edad de matrimonio de las niñas, entre otras medidas para dar respuesta al problema del matrimonio infantil. La Oficina del </w:t>
      </w:r>
      <w:proofErr w:type="gramStart"/>
      <w:r w:rsidRPr="00197DF6">
        <w:rPr>
          <w:lang w:val="es-ES_tradnl"/>
        </w:rPr>
        <w:t>Fiscal General</w:t>
      </w:r>
      <w:proofErr w:type="gramEnd"/>
      <w:r w:rsidRPr="00197DF6">
        <w:rPr>
          <w:lang w:val="es-ES_tradnl"/>
        </w:rPr>
        <w:t xml:space="preserve">, en colaboración con la Comisión Nacional de la Mujer y el Niño, está recopilando y traduciendo las diferentes enmiendas de la Ley del Matrimonio para garantizar su accesibilidad y permitir una comprensión uniforme de la Ley. </w:t>
      </w:r>
    </w:p>
    <w:p w14:paraId="29BF022A" w14:textId="5D870422" w:rsidR="00E77F78" w:rsidRPr="00197DF6" w:rsidRDefault="00E77F78" w:rsidP="001B36AA">
      <w:pPr>
        <w:pStyle w:val="SingleTxt"/>
        <w:numPr>
          <w:ilvl w:val="0"/>
          <w:numId w:val="34"/>
        </w:numPr>
        <w:ind w:left="1267"/>
        <w:rPr>
          <w:lang w:val="es-ES_tradnl"/>
        </w:rPr>
      </w:pPr>
      <w:r w:rsidRPr="00197DF6">
        <w:rPr>
          <w:lang w:val="es-ES_tradnl"/>
        </w:rPr>
        <w:t xml:space="preserve">Se está ultimando la Política Nacional de la Infancia, que proporcionará directrices normativas generales para mejorar el mecanismo de protección de los niños frente a prácticas nocivas, como la violencia, el abandono y el matrimonio infantil, precoz y forzado. Además, se espera que mejore la colaboración multisectorial para lograr unos servicios de protección y bienestar infantil más eficaces. </w:t>
      </w:r>
    </w:p>
    <w:p w14:paraId="1FC2C27A" w14:textId="1FB6678B" w:rsidR="00E77F78" w:rsidRPr="00197DF6" w:rsidRDefault="00E77F78" w:rsidP="001B36AA">
      <w:pPr>
        <w:pStyle w:val="SingleTxt"/>
        <w:numPr>
          <w:ilvl w:val="0"/>
          <w:numId w:val="34"/>
        </w:numPr>
        <w:ind w:left="1267"/>
        <w:rPr>
          <w:lang w:val="es-ES_tradnl"/>
        </w:rPr>
      </w:pPr>
      <w:r w:rsidRPr="00197DF6">
        <w:rPr>
          <w:lang w:val="es-ES_tradnl"/>
        </w:rPr>
        <w:t>El proyecto de Política Nacional de Educación, una vez aprobado, constituirá una importante decisión normativa para proporcionar una educación equitativa, integradora y de calidad, así como oportunidades de aprendizaje permanente a todos los niños. De este modo, se evitarán prácticas nocivas como el matrimonio infantil. También se presta apoyo a los niños de familias desfavorecidas para fomentar su escolarización en el sistema de educación formal.</w:t>
      </w:r>
    </w:p>
    <w:p w14:paraId="0DAB8529" w14:textId="33AEF525" w:rsidR="00E77F78" w:rsidRPr="00197DF6" w:rsidRDefault="00E77F78" w:rsidP="001B36AA">
      <w:pPr>
        <w:pStyle w:val="SingleTxt"/>
        <w:numPr>
          <w:ilvl w:val="0"/>
          <w:numId w:val="34"/>
        </w:numPr>
        <w:ind w:left="1267"/>
        <w:rPr>
          <w:lang w:val="es-ES_tradnl"/>
        </w:rPr>
      </w:pPr>
      <w:r w:rsidRPr="00197DF6">
        <w:rPr>
          <w:lang w:val="es-ES_tradnl"/>
        </w:rPr>
        <w:t xml:space="preserve">El Gobierno y sus organizaciones de la sociedad civil asociadas siguen esforzándose por prevenir el matrimonio precoz, forzado e infantil mediante programas de sensibilización y promoción. Una de estas iniciativas es una campaña nacional sobre temas relacionados con la adolescencia, como la autoestima y la imagen corporal, la higiene menstrual, el acoso sexual y las repercusiones del matrimonio precoz e infantil. </w:t>
      </w:r>
    </w:p>
    <w:p w14:paraId="08202A46" w14:textId="77777777" w:rsidR="00E77F78" w:rsidRPr="00197DF6" w:rsidRDefault="00E77F78" w:rsidP="00E77F78">
      <w:pPr>
        <w:pStyle w:val="SingleTxt"/>
        <w:spacing w:after="0" w:line="120" w:lineRule="exact"/>
        <w:rPr>
          <w:sz w:val="10"/>
          <w:lang w:val="es-ES_tradnl"/>
        </w:rPr>
      </w:pPr>
    </w:p>
    <w:p w14:paraId="59E13A53" w14:textId="77777777" w:rsidR="00BF3F53" w:rsidRPr="00197DF6" w:rsidRDefault="00BF3F53">
      <w:pPr>
        <w:suppressAutoHyphens w:val="0"/>
        <w:spacing w:after="200" w:line="276" w:lineRule="auto"/>
        <w:rPr>
          <w:b/>
          <w:spacing w:val="2"/>
          <w:kern w:val="14"/>
          <w:lang w:val="es-ES_tradnl"/>
        </w:rPr>
      </w:pPr>
      <w:r w:rsidRPr="00197DF6">
        <w:rPr>
          <w:lang w:val="es-ES_tradnl"/>
        </w:rPr>
        <w:br w:type="page"/>
      </w:r>
    </w:p>
    <w:p w14:paraId="550271A1" w14:textId="19CC9E4A" w:rsidR="00E77F78" w:rsidRPr="00197DF6" w:rsidRDefault="00E77F78" w:rsidP="00E7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7DF6">
        <w:rPr>
          <w:lang w:val="es-ES_tradnl"/>
        </w:rPr>
        <w:tab/>
      </w:r>
      <w:r w:rsidRPr="00197DF6">
        <w:rPr>
          <w:lang w:val="es-ES_tradnl"/>
        </w:rPr>
        <w:tab/>
      </w:r>
      <w:r w:rsidRPr="00197DF6">
        <w:rPr>
          <w:bCs/>
          <w:lang w:val="es-ES_tradnl"/>
        </w:rPr>
        <w:t>Apoyo a las madres solteras y a sus hijos</w:t>
      </w:r>
      <w:r w:rsidRPr="00197DF6">
        <w:rPr>
          <w:lang w:val="es-ES_tradnl"/>
        </w:rPr>
        <w:t xml:space="preserve"> </w:t>
      </w:r>
    </w:p>
    <w:p w14:paraId="59CE2226" w14:textId="77777777" w:rsidR="00E77F78" w:rsidRPr="00197DF6" w:rsidRDefault="00E77F78" w:rsidP="00E77F78">
      <w:pPr>
        <w:pStyle w:val="SingleTxt"/>
        <w:spacing w:after="0" w:line="120" w:lineRule="exact"/>
        <w:rPr>
          <w:sz w:val="10"/>
          <w:lang w:val="es-ES_tradnl"/>
        </w:rPr>
      </w:pPr>
    </w:p>
    <w:p w14:paraId="540104E3" w14:textId="393D6FF7" w:rsidR="00E77F78" w:rsidRPr="00197DF6" w:rsidRDefault="00E77F78" w:rsidP="001B36AA">
      <w:pPr>
        <w:pStyle w:val="SingleTxt"/>
        <w:numPr>
          <w:ilvl w:val="0"/>
          <w:numId w:val="34"/>
        </w:numPr>
        <w:ind w:left="1267"/>
        <w:rPr>
          <w:b/>
          <w:lang w:val="es-ES_tradnl"/>
        </w:rPr>
      </w:pPr>
      <w:r w:rsidRPr="00197DF6">
        <w:rPr>
          <w:lang w:val="es-ES_tradnl"/>
        </w:rPr>
        <w:t xml:space="preserve">La ejecución de los acuerdos de divorcio y pensión por alimentos celebrados tanto por medios formales (mediante orden judicial) como informales corre a cargo de las unidades de los respectivos tribunales designadas para tal fin. Las partes (en particular la madre) pueden presentar una petición al tribunal en caso de rechazo a la prestación de pensión por alimentos conforme a la orden judicial o al acuerdo de divorcio. </w:t>
      </w:r>
    </w:p>
    <w:p w14:paraId="462566AF" w14:textId="04FD25EF" w:rsidR="00E77F78" w:rsidRPr="00197DF6" w:rsidRDefault="00E77F78" w:rsidP="001B36AA">
      <w:pPr>
        <w:pStyle w:val="SingleTxt"/>
        <w:numPr>
          <w:ilvl w:val="0"/>
          <w:numId w:val="34"/>
        </w:numPr>
        <w:ind w:left="1267"/>
        <w:rPr>
          <w:b/>
          <w:lang w:val="es-ES_tradnl"/>
        </w:rPr>
      </w:pPr>
      <w:r w:rsidRPr="00197DF6">
        <w:rPr>
          <w:lang w:val="es-ES_tradnl"/>
        </w:rPr>
        <w:t>El Gobierno, en colaboración con sus asociados, proporciona ayudas económicas y de otra índole a los grupos desfavorecidos y vulnerables, entre ellos los progenitores solos y las madres separadas. Las supervivientes de la violencia de género y las madres solteras realizan actividades (por ejemplo, programas de capacitación) para conseguir medios de subsistencia, con el fin de recibir un apoyo que les permita ser económicamente independientes.</w:t>
      </w:r>
    </w:p>
    <w:p w14:paraId="23E128D5" w14:textId="65AFC62E" w:rsidR="00E77F78" w:rsidRPr="00197DF6" w:rsidRDefault="00E77F78" w:rsidP="001B36AA">
      <w:pPr>
        <w:pStyle w:val="SingleTxt"/>
        <w:numPr>
          <w:ilvl w:val="0"/>
          <w:numId w:val="34"/>
        </w:numPr>
        <w:ind w:left="1267"/>
        <w:rPr>
          <w:b/>
          <w:lang w:val="es-ES_tradnl"/>
        </w:rPr>
      </w:pPr>
      <w:r w:rsidRPr="00197DF6">
        <w:rPr>
          <w:lang w:val="es-ES_tradnl"/>
        </w:rPr>
        <w:t xml:space="preserve">Durante la pandemia de COVID-19, las madres solteras recibieron una ayuda de emergencia que les permitiera mantenerse económicamente y hacer frente a los gastos de sus hijos. Desde abril de 2020, 1.733 madres solteras recibieron </w:t>
      </w:r>
      <w:proofErr w:type="spellStart"/>
      <w:r w:rsidRPr="00197DF6">
        <w:rPr>
          <w:i/>
          <w:iCs/>
          <w:lang w:val="es-ES_tradnl"/>
        </w:rPr>
        <w:t>kidu</w:t>
      </w:r>
      <w:proofErr w:type="spellEnd"/>
      <w:r w:rsidRPr="00197DF6">
        <w:rPr>
          <w:i/>
          <w:iCs/>
          <w:lang w:val="es-ES_tradnl"/>
        </w:rPr>
        <w:t xml:space="preserve"> </w:t>
      </w:r>
      <w:r w:rsidRPr="00197DF6">
        <w:rPr>
          <w:lang w:val="es-ES_tradnl"/>
        </w:rPr>
        <w:t>de la DGRK.</w:t>
      </w:r>
    </w:p>
    <w:p w14:paraId="0FE84461" w14:textId="195ABD09" w:rsidR="00E77F78" w:rsidRPr="00197DF6" w:rsidRDefault="00E77F78" w:rsidP="001B36AA">
      <w:pPr>
        <w:pStyle w:val="SingleTxt"/>
        <w:numPr>
          <w:ilvl w:val="0"/>
          <w:numId w:val="34"/>
        </w:numPr>
        <w:ind w:left="1267"/>
        <w:rPr>
          <w:b/>
          <w:lang w:val="es-ES_tradnl"/>
        </w:rPr>
      </w:pPr>
      <w:r w:rsidRPr="00197DF6">
        <w:rPr>
          <w:lang w:val="es-ES_tradnl"/>
        </w:rPr>
        <w:t>Las iniciativas “</w:t>
      </w:r>
      <w:proofErr w:type="spellStart"/>
      <w:r w:rsidRPr="00197DF6">
        <w:rPr>
          <w:lang w:val="es-ES_tradnl"/>
        </w:rPr>
        <w:t>Women-Owned</w:t>
      </w:r>
      <w:proofErr w:type="spellEnd"/>
      <w:r w:rsidRPr="00197DF6">
        <w:rPr>
          <w:lang w:val="es-ES_tradnl"/>
        </w:rPr>
        <w:t xml:space="preserve"> Open </w:t>
      </w:r>
      <w:proofErr w:type="spellStart"/>
      <w:r w:rsidRPr="00197DF6">
        <w:rPr>
          <w:lang w:val="es-ES_tradnl"/>
        </w:rPr>
        <w:t>Market</w:t>
      </w:r>
      <w:proofErr w:type="spellEnd"/>
      <w:r w:rsidRPr="00197DF6">
        <w:rPr>
          <w:lang w:val="es-ES_tradnl"/>
        </w:rPr>
        <w:t xml:space="preserve"> (WOOM)” y “BAOWE </w:t>
      </w:r>
      <w:proofErr w:type="spellStart"/>
      <w:r w:rsidRPr="00197DF6">
        <w:rPr>
          <w:lang w:val="es-ES_tradnl"/>
        </w:rPr>
        <w:t>bazaar</w:t>
      </w:r>
      <w:proofErr w:type="spellEnd"/>
      <w:r w:rsidRPr="00197DF6">
        <w:rPr>
          <w:lang w:val="es-ES_tradnl"/>
        </w:rPr>
        <w:t xml:space="preserve">”, creadas para empoderar económicamente a las mujeres desfavorecidas de los principales centros urbanos, brindan apoyo a madres solteras y mujeres jóvenes sin estudios y desempleadas para que comercialicen sus verduras, alimentos caseros y productos lácteos. Se proporcionan la infraestructura y el equipamiento necesarios, como un punto de venta y equipos para la elaboración de yogures. </w:t>
      </w:r>
    </w:p>
    <w:p w14:paraId="5C93FE46" w14:textId="4912C1BC" w:rsidR="00E77F78" w:rsidRPr="00197DF6" w:rsidRDefault="00E77F78" w:rsidP="001B36AA">
      <w:pPr>
        <w:pStyle w:val="SingleTxt"/>
        <w:numPr>
          <w:ilvl w:val="0"/>
          <w:numId w:val="34"/>
        </w:numPr>
        <w:ind w:left="1267"/>
        <w:rPr>
          <w:b/>
          <w:lang w:val="es-ES_tradnl"/>
        </w:rPr>
      </w:pPr>
      <w:r w:rsidRPr="00197DF6">
        <w:rPr>
          <w:lang w:val="es-ES_tradnl"/>
        </w:rPr>
        <w:t xml:space="preserve">El </w:t>
      </w:r>
      <w:proofErr w:type="spellStart"/>
      <w:r w:rsidRPr="00197DF6">
        <w:rPr>
          <w:i/>
          <w:iCs/>
          <w:lang w:val="es-ES_tradnl"/>
        </w:rPr>
        <w:t>Gyalpoi</w:t>
      </w:r>
      <w:proofErr w:type="spellEnd"/>
      <w:r w:rsidRPr="00197DF6">
        <w:rPr>
          <w:i/>
          <w:iCs/>
          <w:lang w:val="es-ES_tradnl"/>
        </w:rPr>
        <w:t xml:space="preserve"> </w:t>
      </w:r>
      <w:proofErr w:type="spellStart"/>
      <w:r w:rsidRPr="00197DF6">
        <w:rPr>
          <w:i/>
          <w:iCs/>
          <w:lang w:val="es-ES_tradnl"/>
        </w:rPr>
        <w:t>Tozey</w:t>
      </w:r>
      <w:proofErr w:type="spellEnd"/>
      <w:r w:rsidRPr="00197DF6">
        <w:rPr>
          <w:iCs/>
          <w:vertAlign w:val="superscript"/>
          <w:lang w:val="es-ES_tradnl"/>
        </w:rPr>
        <w:footnoteReference w:id="48"/>
      </w:r>
      <w:r w:rsidRPr="00197DF6">
        <w:rPr>
          <w:lang w:val="es-ES_tradnl"/>
        </w:rPr>
        <w:t xml:space="preserve"> apoya a los niños necesitados proporcionándoles ayuda para su educación. En virtud de este programa, los estudiantes reciben una determinada cantidad de subsidio, mensual o anual, en función de su nivel de estudios. Los beneficiarios son en su mayoría huérfanos, hijos de progenitores solos y estudiantes discapacitados procedentes de entornos socioeconómicos pobres. Desde 2019, el plan ha brindado apoyo a 1.478 niñas, de las cuales 1.410 se encontraban entre la clase PP y la clase XII, y 68 cursaban estudios de educación terciaria.</w:t>
      </w:r>
    </w:p>
    <w:p w14:paraId="348EB6BF" w14:textId="6F9F1D5D" w:rsidR="00E77F78" w:rsidRPr="00197DF6" w:rsidRDefault="00E77F78" w:rsidP="001B36AA">
      <w:pPr>
        <w:pStyle w:val="SingleTxt"/>
        <w:numPr>
          <w:ilvl w:val="0"/>
          <w:numId w:val="34"/>
        </w:numPr>
        <w:ind w:left="1267"/>
        <w:rPr>
          <w:b/>
          <w:lang w:val="es-ES_tradnl"/>
        </w:rPr>
      </w:pPr>
      <w:r w:rsidRPr="00197DF6">
        <w:rPr>
          <w:lang w:val="es-ES_tradnl"/>
        </w:rPr>
        <w:t xml:space="preserve">El Gobierno proporciona ayudas a las madres de niños nacidos dentro y fuera del matrimonio sin discriminación. Organismos como la Comisión Nacional de la Mujer y el Niño, la Policía Real de </w:t>
      </w:r>
      <w:proofErr w:type="spellStart"/>
      <w:r w:rsidRPr="00197DF6">
        <w:rPr>
          <w:lang w:val="es-ES_tradnl"/>
        </w:rPr>
        <w:t>Bhután</w:t>
      </w:r>
      <w:proofErr w:type="spellEnd"/>
      <w:r w:rsidRPr="00197DF6">
        <w:rPr>
          <w:lang w:val="es-ES_tradnl"/>
        </w:rPr>
        <w:t xml:space="preserve"> y el Tribunal Real de Justicia ayudan a localizar a los padres en situaciones en las que se desconoce su paradero. Además, las madres económicamente desfavorecidas reciben apoyo económico para la realización de pruebas de ADN. </w:t>
      </w:r>
    </w:p>
    <w:p w14:paraId="620585C4" w14:textId="46367158" w:rsidR="00E77F78" w:rsidRPr="00197DF6" w:rsidRDefault="00E77F78" w:rsidP="001B36AA">
      <w:pPr>
        <w:pStyle w:val="SingleTxt"/>
        <w:numPr>
          <w:ilvl w:val="0"/>
          <w:numId w:val="34"/>
        </w:numPr>
        <w:ind w:left="1267"/>
        <w:rPr>
          <w:b/>
          <w:lang w:val="es-ES_tradnl"/>
        </w:rPr>
      </w:pPr>
      <w:r w:rsidRPr="00197DF6">
        <w:rPr>
          <w:lang w:val="es-ES_tradnl"/>
        </w:rPr>
        <w:t>Como se informó en respuesta a la lista de cuestiones en el párrafo 23, el interés superior del niño se toma como consideración principal en todas las decisiones relativas a la custodia de los hijos, así como para los derechos de visita. Un entorno familiar propicio es uno de los indicadores clave de la evaluación realizada por el Tribunal Real de Justicia y los agentes de protección para la custodia de los menores. Además, la creación de capacidad entre jueces y secretarios judiciales en materia de justicia infantil y psicología está orientada a garantizar la seguridad y el bienestar de todos los niños.</w:t>
      </w:r>
    </w:p>
    <w:p w14:paraId="2D2225EE" w14:textId="63F73EE6" w:rsidR="00E77F78" w:rsidRPr="00197DF6" w:rsidRDefault="001B36AA" w:rsidP="001B36AA">
      <w:pPr>
        <w:pStyle w:val="SingleTxt"/>
        <w:numPr>
          <w:ilvl w:val="0"/>
          <w:numId w:val="34"/>
        </w:numPr>
        <w:ind w:left="1267"/>
        <w:rPr>
          <w:b/>
          <w:lang w:val="es-ES_tradnl"/>
        </w:rPr>
      </w:pPr>
      <w:r w:rsidRPr="00197DF6">
        <w:rPr>
          <w:b/>
          <w:noProof/>
          <w:w w:val="100"/>
          <w:lang w:val="es-ES_tradnl"/>
        </w:rPr>
        <mc:AlternateContent>
          <mc:Choice Requires="wps">
            <w:drawing>
              <wp:anchor distT="0" distB="0" distL="114300" distR="114300" simplePos="0" relativeHeight="251660288" behindDoc="0" locked="0" layoutInCell="1" allowOverlap="1" wp14:anchorId="23110E0D" wp14:editId="699AB007">
                <wp:simplePos x="0" y="0"/>
                <wp:positionH relativeFrom="column">
                  <wp:posOffset>2669540</wp:posOffset>
                </wp:positionH>
                <wp:positionV relativeFrom="paragraph">
                  <wp:posOffset>736397</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D0A6FA"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58pt" to="282.2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" strokecolor="#010000" strokeweight=".25pt"/>
            </w:pict>
          </mc:Fallback>
        </mc:AlternateContent>
      </w:r>
      <w:r w:rsidR="00E77F78" w:rsidRPr="00197DF6">
        <w:rPr>
          <w:lang w:val="es-ES_tradnl"/>
        </w:rPr>
        <w:t>La iniciativa de revisar la ley sobre el matrimonio, tal y como se esboza en respuesta a la lista de cuestiones del párrafo 23, tendrá en cuenta la cuestión de la violencia doméstica, lo que proporcionará una mayor protección al niño y a la madre.</w:t>
      </w:r>
    </w:p>
    <w:sectPr w:rsidR="00E77F78" w:rsidRPr="00197DF6" w:rsidSect="0015476D">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2-01T13:13:00Z" w:initials="Start">
    <w:p w14:paraId="50EA1E55" w14:textId="77777777" w:rsidR="00034227" w:rsidRPr="0015476D" w:rsidRDefault="00034227">
      <w:pPr>
        <w:pStyle w:val="CommentText"/>
        <w:rPr>
          <w:lang w:val="en-US"/>
        </w:rPr>
      </w:pPr>
      <w:r>
        <w:rPr>
          <w:rStyle w:val="CommentReference"/>
        </w:rPr>
        <w:annotationRef/>
      </w:r>
      <w:r w:rsidRPr="0015476D">
        <w:rPr>
          <w:lang w:val="en-US"/>
        </w:rPr>
        <w:t>&lt;&lt;ODS JOB NO&gt;&gt;N2274319S&lt;&lt;ODS JOB NO&gt;&gt;</w:t>
      </w:r>
    </w:p>
    <w:p w14:paraId="0022C25E" w14:textId="77777777" w:rsidR="00034227" w:rsidRPr="009867A7" w:rsidRDefault="00034227">
      <w:pPr>
        <w:pStyle w:val="CommentText"/>
        <w:rPr>
          <w:lang w:val="en-US"/>
        </w:rPr>
      </w:pPr>
      <w:r w:rsidRPr="009867A7">
        <w:rPr>
          <w:lang w:val="en-US"/>
        </w:rPr>
        <w:t>&lt;&lt;ODS DOC SYMBOL1&gt;&gt;CEDAW/C/BTN/10&lt;&lt;ODS DOC SYMBOL1&gt;&gt;</w:t>
      </w:r>
    </w:p>
    <w:p w14:paraId="46E80714" w14:textId="50873C6E" w:rsidR="00034227" w:rsidRPr="009867A7" w:rsidRDefault="00034227">
      <w:pPr>
        <w:pStyle w:val="CommentText"/>
        <w:rPr>
          <w:lang w:val="en-US"/>
        </w:rPr>
      </w:pPr>
      <w:r w:rsidRPr="009867A7">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6E8071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84E3FF" w16cex:dateUtc="2023-02-01T18: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6E80714" w16cid:durableId="2784E3F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270FF" w14:textId="77777777" w:rsidR="00DA35FC" w:rsidRDefault="00DA35FC" w:rsidP="00101B18">
      <w:r>
        <w:separator/>
      </w:r>
    </w:p>
  </w:endnote>
  <w:endnote w:type="continuationSeparator" w:id="0">
    <w:p w14:paraId="47168C49" w14:textId="77777777" w:rsidR="00DA35FC" w:rsidRDefault="00DA35FC"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034227" w14:paraId="3CD41908" w14:textId="77777777" w:rsidTr="00034227">
      <w:tc>
        <w:tcPr>
          <w:tcW w:w="4920" w:type="dxa"/>
          <w:shd w:val="clear" w:color="auto" w:fill="auto"/>
          <w:vAlign w:val="bottom"/>
        </w:tcPr>
        <w:p w14:paraId="1A0D5F4C" w14:textId="77777777" w:rsidR="00034227" w:rsidRPr="00034227" w:rsidRDefault="00034227" w:rsidP="00034227">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E0DA733" w14:textId="138547A0" w:rsidR="00034227" w:rsidRPr="00034227" w:rsidRDefault="00034227" w:rsidP="0003422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D4ADC">
            <w:rPr>
              <w:b w:val="0"/>
              <w:color w:val="000000"/>
              <w:sz w:val="14"/>
            </w:rPr>
            <w:t>22-28047</w:t>
          </w:r>
          <w:r>
            <w:rPr>
              <w:b w:val="0"/>
              <w:color w:val="000000"/>
              <w:sz w:val="14"/>
            </w:rPr>
            <w:fldChar w:fldCharType="end"/>
          </w:r>
        </w:p>
      </w:tc>
    </w:tr>
  </w:tbl>
  <w:p w14:paraId="2FD12904" w14:textId="77777777" w:rsidR="00034227" w:rsidRPr="00034227" w:rsidRDefault="00034227" w:rsidP="000342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034227" w14:paraId="50F64F80" w14:textId="77777777" w:rsidTr="00034227">
      <w:tc>
        <w:tcPr>
          <w:tcW w:w="4920" w:type="dxa"/>
          <w:shd w:val="clear" w:color="auto" w:fill="auto"/>
          <w:vAlign w:val="bottom"/>
        </w:tcPr>
        <w:p w14:paraId="78212E3B" w14:textId="1B42DCF9" w:rsidR="00034227" w:rsidRPr="00034227" w:rsidRDefault="00034227" w:rsidP="0003422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D4ADC">
            <w:rPr>
              <w:b w:val="0"/>
              <w:color w:val="000000"/>
              <w:sz w:val="14"/>
            </w:rPr>
            <w:t>22-28047</w:t>
          </w:r>
          <w:r>
            <w:rPr>
              <w:b w:val="0"/>
              <w:color w:val="000000"/>
              <w:sz w:val="14"/>
            </w:rPr>
            <w:fldChar w:fldCharType="end"/>
          </w:r>
        </w:p>
      </w:tc>
      <w:tc>
        <w:tcPr>
          <w:tcW w:w="4920" w:type="dxa"/>
          <w:shd w:val="clear" w:color="auto" w:fill="auto"/>
          <w:vAlign w:val="bottom"/>
        </w:tcPr>
        <w:p w14:paraId="2BF78000" w14:textId="77777777" w:rsidR="00034227" w:rsidRPr="00034227" w:rsidRDefault="00034227" w:rsidP="00034227">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454B0A1" w14:textId="77777777" w:rsidR="00034227" w:rsidRPr="00034227" w:rsidRDefault="00034227" w:rsidP="000342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157B9" w14:textId="77777777" w:rsidR="00034227" w:rsidRPr="00034227" w:rsidRDefault="00034227" w:rsidP="00034227">
    <w:pPr>
      <w:pStyle w:val="Footer"/>
      <w:spacing w:line="120" w:lineRule="exact"/>
      <w:rPr>
        <w:b w:val="0"/>
        <w:sz w:val="10"/>
      </w:rPr>
    </w:pPr>
    <w:r>
      <w:rPr>
        <w:b w:val="0"/>
        <w:sz w:val="10"/>
      </w:rPr>
      <w:drawing>
        <wp:anchor distT="0" distB="0" distL="114300" distR="114300" simplePos="0" relativeHeight="251658240" behindDoc="0" locked="0" layoutInCell="1" allowOverlap="1" wp14:anchorId="7D753322" wp14:editId="14378E40">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034227" w14:paraId="5123F836" w14:textId="77777777" w:rsidTr="00034227">
      <w:tc>
        <w:tcPr>
          <w:tcW w:w="3830" w:type="dxa"/>
          <w:shd w:val="clear" w:color="auto" w:fill="auto"/>
        </w:tcPr>
        <w:p w14:paraId="1F9F4DF8" w14:textId="5C71121D" w:rsidR="00034227" w:rsidRDefault="00034227" w:rsidP="00034227">
          <w:pPr>
            <w:pStyle w:val="ReleaseDate0"/>
          </w:pPr>
          <w:r>
            <w:t>22-28047</w:t>
          </w:r>
          <w:r w:rsidR="00E77F78">
            <w:t>X</w:t>
          </w:r>
          <w:r>
            <w:t xml:space="preserve"> (S)    </w:t>
          </w:r>
        </w:p>
        <w:p w14:paraId="3D7EDCF0" w14:textId="77777777" w:rsidR="00034227" w:rsidRPr="00034227" w:rsidRDefault="00034227" w:rsidP="0003422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*2228047*</w:t>
          </w:r>
        </w:p>
      </w:tc>
      <w:tc>
        <w:tcPr>
          <w:tcW w:w="4920" w:type="dxa"/>
          <w:shd w:val="clear" w:color="auto" w:fill="auto"/>
        </w:tcPr>
        <w:p w14:paraId="46EEC5B8" w14:textId="77777777" w:rsidR="00034227" w:rsidRDefault="00034227" w:rsidP="00034227">
          <w:pPr>
            <w:pStyle w:val="Footer"/>
            <w:jc w:val="right"/>
            <w:rPr>
              <w:b w:val="0"/>
              <w:sz w:val="20"/>
            </w:rPr>
          </w:pPr>
          <w:r>
            <w:rPr>
              <w:b w:val="0"/>
              <w:sz w:val="20"/>
            </w:rPr>
            <w:drawing>
              <wp:inline distT="0" distB="0" distL="0" distR="0" wp14:anchorId="3258DA22" wp14:editId="15B51CA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BF61DAF" w14:textId="77777777" w:rsidR="00034227" w:rsidRPr="00034227" w:rsidRDefault="00034227" w:rsidP="0003422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5FF31" w14:textId="77777777" w:rsidR="00DA35FC" w:rsidRPr="00987EB2" w:rsidRDefault="00DA35FC" w:rsidP="00987EB2">
      <w:pPr>
        <w:pStyle w:val="Footer"/>
        <w:spacing w:after="80"/>
        <w:ind w:left="792"/>
        <w:rPr>
          <w:sz w:val="16"/>
        </w:rPr>
      </w:pPr>
      <w:r w:rsidRPr="00987EB2">
        <w:rPr>
          <w:sz w:val="16"/>
        </w:rPr>
        <w:t>__________________</w:t>
      </w:r>
    </w:p>
  </w:footnote>
  <w:footnote w:type="continuationSeparator" w:id="0">
    <w:p w14:paraId="21E2A033" w14:textId="77777777" w:rsidR="00DA35FC" w:rsidRPr="00987EB2" w:rsidRDefault="00DA35FC" w:rsidP="00987EB2">
      <w:pPr>
        <w:pStyle w:val="Footer"/>
        <w:spacing w:after="80"/>
        <w:ind w:left="792"/>
        <w:rPr>
          <w:sz w:val="16"/>
        </w:rPr>
      </w:pPr>
      <w:r w:rsidRPr="00987EB2">
        <w:rPr>
          <w:sz w:val="16"/>
        </w:rPr>
        <w:t>__________________</w:t>
      </w:r>
    </w:p>
  </w:footnote>
  <w:footnote w:id="1">
    <w:p w14:paraId="52991613"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El Gobierno actual. </w:t>
      </w:r>
    </w:p>
  </w:footnote>
  <w:footnote w:id="2">
    <w:p w14:paraId="55F0A8A6"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En 2015 se constituyó un grupo de tareas para examinar y formular recomendaciones con el fin de armonizar las incoherencias legislativas del país.</w:t>
      </w:r>
    </w:p>
  </w:footnote>
  <w:footnote w:id="3">
    <w:p w14:paraId="0C82C8AA" w14:textId="5353577E" w:rsidR="00E77F78" w:rsidRPr="005745BE" w:rsidRDefault="00E77F78" w:rsidP="00987EB2">
      <w:pPr>
        <w:pStyle w:val="FootnoteText"/>
        <w:tabs>
          <w:tab w:val="clear" w:pos="418"/>
          <w:tab w:val="right" w:pos="1195"/>
          <w:tab w:val="left" w:pos="1267"/>
          <w:tab w:val="left" w:pos="1742"/>
          <w:tab w:val="left" w:pos="2218"/>
          <w:tab w:val="left" w:pos="2693"/>
        </w:tabs>
        <w:ind w:left="1267" w:right="1267" w:hanging="432"/>
        <w:rPr>
          <w:lang w:val="fr-FR"/>
        </w:rPr>
      </w:pPr>
      <w:r>
        <w:tab/>
      </w:r>
      <w:r w:rsidRPr="00A6163D">
        <w:rPr>
          <w:vertAlign w:val="superscript"/>
        </w:rPr>
        <w:footnoteRef/>
      </w:r>
      <w:r w:rsidRPr="005745BE">
        <w:rPr>
          <w:lang w:val="fr-FR"/>
        </w:rPr>
        <w:tab/>
      </w:r>
      <w:hyperlink r:id="rId1" w:history="1">
        <w:r w:rsidR="00297068" w:rsidRPr="00052AA7">
          <w:rPr>
            <w:rStyle w:val="Hyperlink"/>
            <w:lang w:val="fr-FR"/>
          </w:rPr>
          <w:t>https://www.nab.gov.bt/assets/uploads/docs/acts/2021/Penal_Code_Amendment_Act_of_ Bhutan_2021.pdf</w:t>
        </w:r>
      </w:hyperlink>
      <w:r w:rsidRPr="005745BE">
        <w:rPr>
          <w:lang w:val="fr-FR"/>
        </w:rPr>
        <w:t>.</w:t>
      </w:r>
      <w:r w:rsidR="00297068">
        <w:rPr>
          <w:lang w:val="fr-FR"/>
        </w:rPr>
        <w:t xml:space="preserve"> </w:t>
      </w:r>
    </w:p>
  </w:footnote>
  <w:footnote w:id="4">
    <w:p w14:paraId="1058EBDD" w14:textId="087F120E" w:rsidR="00E77F78" w:rsidRPr="005745BE" w:rsidRDefault="00E77F78" w:rsidP="00987EB2">
      <w:pPr>
        <w:pStyle w:val="FootnoteText"/>
        <w:tabs>
          <w:tab w:val="clear" w:pos="418"/>
          <w:tab w:val="right" w:pos="1195"/>
          <w:tab w:val="left" w:pos="1267"/>
          <w:tab w:val="left" w:pos="1742"/>
          <w:tab w:val="left" w:pos="2218"/>
          <w:tab w:val="left" w:pos="2693"/>
        </w:tabs>
        <w:ind w:left="1267" w:right="1267" w:hanging="432"/>
        <w:rPr>
          <w:lang w:val="fr-FR"/>
        </w:rPr>
      </w:pPr>
      <w:r w:rsidRPr="005745BE">
        <w:rPr>
          <w:lang w:val="fr-FR"/>
        </w:rPr>
        <w:tab/>
      </w:r>
      <w:r>
        <w:rPr>
          <w:rStyle w:val="FootnoteReference"/>
        </w:rPr>
        <w:footnoteRef/>
      </w:r>
      <w:r w:rsidRPr="005745BE">
        <w:rPr>
          <w:lang w:val="fr-FR"/>
        </w:rPr>
        <w:tab/>
      </w:r>
      <w:hyperlink r:id="rId2" w:history="1">
        <w:r w:rsidR="00297068" w:rsidRPr="00052AA7">
          <w:rPr>
            <w:rStyle w:val="Hyperlink"/>
            <w:lang w:val="fr-FR"/>
          </w:rPr>
          <w:t>https://www.ncwc.gov.bt/allpublications?key=policies</w:t>
        </w:r>
      </w:hyperlink>
      <w:r w:rsidR="00297068">
        <w:rPr>
          <w:lang w:val="fr-FR"/>
        </w:rPr>
        <w:t xml:space="preserve"> </w:t>
      </w:r>
    </w:p>
  </w:footnote>
  <w:footnote w:id="5">
    <w:p w14:paraId="3E5D496A"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rsidRPr="005745BE">
        <w:rPr>
          <w:lang w:val="fr-FR"/>
        </w:rPr>
        <w:tab/>
      </w:r>
      <w:r>
        <w:rPr>
          <w:rStyle w:val="FootnoteReference"/>
        </w:rPr>
        <w:footnoteRef/>
      </w:r>
      <w:r>
        <w:tab/>
        <w:t xml:space="preserve">Guardianes de la Paz. </w:t>
      </w:r>
    </w:p>
  </w:footnote>
  <w:footnote w:id="6">
    <w:p w14:paraId="1BD62FF7"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Su Majestad la Reina de </w:t>
      </w:r>
      <w:proofErr w:type="spellStart"/>
      <w:r>
        <w:t>Bhután</w:t>
      </w:r>
      <w:proofErr w:type="spellEnd"/>
      <w:r>
        <w:t>.</w:t>
      </w:r>
    </w:p>
  </w:footnote>
  <w:footnote w:id="7">
    <w:p w14:paraId="02FAE303"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Organización de la sociedad civil que trabaja por la emancipación de las mujeres y los niños, con especial atención a los supervivientes de la violencia de género y la violencia sexual.</w:t>
      </w:r>
    </w:p>
  </w:footnote>
  <w:footnote w:id="8">
    <w:p w14:paraId="6DE39A1E"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Programa de Bienestar de Su Majestad el Rey. </w:t>
      </w:r>
    </w:p>
  </w:footnote>
  <w:footnote w:id="9">
    <w:p w14:paraId="4F9C5B4C"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Datos de la oficina de DGRK.</w:t>
      </w:r>
    </w:p>
  </w:footnote>
  <w:footnote w:id="10">
    <w:p w14:paraId="3C6760D4"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Centros de ocio.</w:t>
      </w:r>
    </w:p>
  </w:footnote>
  <w:footnote w:id="11">
    <w:p w14:paraId="64FA8645"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Los distritos de </w:t>
      </w:r>
      <w:proofErr w:type="spellStart"/>
      <w:r>
        <w:t>Bhután</w:t>
      </w:r>
      <w:proofErr w:type="spellEnd"/>
      <w:r>
        <w:t xml:space="preserve"> se denominan </w:t>
      </w:r>
      <w:proofErr w:type="spellStart"/>
      <w:r>
        <w:t>Dzongkhag</w:t>
      </w:r>
      <w:proofErr w:type="spellEnd"/>
      <w:r>
        <w:t xml:space="preserve">. </w:t>
      </w:r>
    </w:p>
  </w:footnote>
  <w:footnote w:id="12">
    <w:p w14:paraId="79FDFC6D"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Organización de la sociedad civil encargada de promover el bienestar de los trabajadores a domicilio en </w:t>
      </w:r>
      <w:proofErr w:type="spellStart"/>
      <w:r>
        <w:t>Bhután</w:t>
      </w:r>
      <w:proofErr w:type="spellEnd"/>
      <w:r>
        <w:t>.</w:t>
      </w:r>
    </w:p>
  </w:footnote>
  <w:footnote w:id="13">
    <w:p w14:paraId="1FC9C900"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BNF es una organización de la sociedad civil que trabaja por el empoderamiento de las monjas. </w:t>
      </w:r>
    </w:p>
  </w:footnote>
  <w:footnote w:id="14">
    <w:p w14:paraId="1B30D1F4"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proofErr w:type="spellStart"/>
      <w:r>
        <w:t>Gup</w:t>
      </w:r>
      <w:proofErr w:type="spellEnd"/>
      <w:r>
        <w:t xml:space="preserve">- </w:t>
      </w:r>
      <w:proofErr w:type="gramStart"/>
      <w:r>
        <w:t>Jefe</w:t>
      </w:r>
      <w:proofErr w:type="gramEnd"/>
      <w:r>
        <w:t xml:space="preserve"> electo de la administración de las regiones.</w:t>
      </w:r>
    </w:p>
  </w:footnote>
  <w:footnote w:id="15">
    <w:p w14:paraId="3AF34606"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Abogado.</w:t>
      </w:r>
    </w:p>
  </w:footnote>
  <w:footnote w:id="16">
    <w:p w14:paraId="21D2197E"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Consejo o comité.</w:t>
      </w:r>
    </w:p>
  </w:footnote>
  <w:footnote w:id="17">
    <w:p w14:paraId="1428AAED"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Cadena nacional de radio y televisión.</w:t>
      </w:r>
    </w:p>
  </w:footnote>
  <w:footnote w:id="18">
    <w:p w14:paraId="773209C1"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Felicidad y bienestar.</w:t>
      </w:r>
    </w:p>
  </w:footnote>
  <w:footnote w:id="19">
    <w:p w14:paraId="55AD3224" w14:textId="0C8BDBF8"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tab/>
      </w:r>
      <w:r>
        <w:rPr>
          <w:rStyle w:val="FootnoteReference"/>
        </w:rPr>
        <w:footnoteRef/>
      </w:r>
      <w:r>
        <w:tab/>
      </w:r>
      <w:hyperlink r:id="rId3" w:history="1">
        <w:r w:rsidR="0064594A" w:rsidRPr="00052AA7">
          <w:rPr>
            <w:rStyle w:val="Hyperlink"/>
          </w:rPr>
          <w:t>https://www.mof.gov.bt/wp-content/uploads/2021/05/BUDGET-REPORT-FY-2021-22_ENGLISH.pdf</w:t>
        </w:r>
      </w:hyperlink>
      <w:r>
        <w:t>.</w:t>
      </w:r>
      <w:r w:rsidR="0064594A">
        <w:t xml:space="preserve"> </w:t>
      </w:r>
    </w:p>
  </w:footnote>
  <w:footnote w:id="20">
    <w:p w14:paraId="706960D2" w14:textId="646ED8FB"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rPr>
          <w:rFonts w:eastAsia="Times New Roman"/>
          <w:color w:val="000000"/>
        </w:rPr>
        <w:tab/>
      </w:r>
      <w:r>
        <w:rPr>
          <w:rStyle w:val="FootnoteReference"/>
        </w:rPr>
        <w:footnoteRef/>
      </w:r>
      <w:r>
        <w:tab/>
      </w:r>
      <w:hyperlink r:id="rId4" w:history="1">
        <w:r w:rsidR="0064594A" w:rsidRPr="00052AA7">
          <w:rPr>
            <w:rStyle w:val="Hyperlink"/>
          </w:rPr>
          <w:t>https://www.mof.gov.bt/wp-content/uploads/2020/06/BUDGET2020-21.pdf</w:t>
        </w:r>
      </w:hyperlink>
      <w:r>
        <w:t>.</w:t>
      </w:r>
      <w:r w:rsidR="0064594A">
        <w:t xml:space="preserve"> </w:t>
      </w:r>
    </w:p>
  </w:footnote>
  <w:footnote w:id="21">
    <w:p w14:paraId="15B45F03"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rPr>
          <w:rFonts w:eastAsia="Times New Roman"/>
          <w:color w:val="000000"/>
        </w:rPr>
        <w:tab/>
      </w:r>
      <w:r>
        <w:rPr>
          <w:rStyle w:val="FootnoteReference"/>
        </w:rPr>
        <w:footnoteRef/>
      </w:r>
      <w:r>
        <w:tab/>
        <w:t xml:space="preserve">El actual </w:t>
      </w:r>
      <w:proofErr w:type="gramStart"/>
      <w:r>
        <w:t>Presidente</w:t>
      </w:r>
      <w:proofErr w:type="gramEnd"/>
      <w:r>
        <w:t xml:space="preserve"> de la Comisión es el Honorable Ministro de Asuntos Exteriores de </w:t>
      </w:r>
      <w:proofErr w:type="spellStart"/>
      <w:r>
        <w:t>Bhután</w:t>
      </w:r>
      <w:proofErr w:type="spellEnd"/>
      <w:r>
        <w:t>.</w:t>
      </w:r>
    </w:p>
  </w:footnote>
  <w:footnote w:id="22">
    <w:p w14:paraId="43ADC058"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rPr>
          <w:rFonts w:eastAsia="Times New Roman"/>
          <w:color w:val="000000"/>
        </w:rPr>
        <w:tab/>
      </w:r>
      <w:r>
        <w:rPr>
          <w:rStyle w:val="FootnoteReference"/>
        </w:rPr>
        <w:footnoteRef/>
      </w:r>
      <w:r>
        <w:tab/>
        <w:t xml:space="preserve">BNEW es una organización de la sociedad civil que trabaja para aumentar la participación y representación de las mujeres en el liderazgo, la gobernanza y el desarrollo de </w:t>
      </w:r>
      <w:proofErr w:type="spellStart"/>
      <w:r>
        <w:t>Bhután</w:t>
      </w:r>
      <w:proofErr w:type="spellEnd"/>
      <w:r>
        <w:t>.</w:t>
      </w:r>
    </w:p>
  </w:footnote>
  <w:footnote w:id="23">
    <w:p w14:paraId="7BB8CA07" w14:textId="57FBCC42"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hyperlink r:id="rId5" w:history="1">
        <w:r w:rsidRPr="00C1611A">
          <w:rPr>
            <w:rStyle w:val="Hyperlink"/>
          </w:rPr>
          <w:t>https://www.dhi.bt/board</w:t>
        </w:r>
      </w:hyperlink>
      <w:r>
        <w:t xml:space="preserve">. </w:t>
      </w:r>
    </w:p>
  </w:footnote>
  <w:footnote w:id="24">
    <w:p w14:paraId="7B2B7B7B" w14:textId="00C638DC"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hyperlink r:id="rId6" w:history="1">
        <w:r w:rsidRPr="00C1611A">
          <w:rPr>
            <w:rStyle w:val="Hyperlink"/>
          </w:rPr>
          <w:t>http://www.education.gov.bt/wp-content/downloads/publications/publication/Standards-for-Inclusive-Education-in-Bhutan.pdf</w:t>
        </w:r>
      </w:hyperlink>
      <w:r>
        <w:t xml:space="preserve">. </w:t>
      </w:r>
    </w:p>
  </w:footnote>
  <w:footnote w:id="25">
    <w:p w14:paraId="4E2D1126"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Explicación sobre los bailes de máscaras.</w:t>
      </w:r>
    </w:p>
  </w:footnote>
  <w:footnote w:id="26">
    <w:p w14:paraId="31F7B533"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Líder de un organismo religioso en </w:t>
      </w:r>
      <w:proofErr w:type="spellStart"/>
      <w:r>
        <w:t>Bhután</w:t>
      </w:r>
      <w:proofErr w:type="spellEnd"/>
      <w:r>
        <w:t>.</w:t>
      </w:r>
    </w:p>
  </w:footnote>
  <w:footnote w:id="27">
    <w:p w14:paraId="06EF2991"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Equipo de tareas creado a nivel de los gobiernos locales para abordar el VIH.</w:t>
      </w:r>
    </w:p>
  </w:footnote>
  <w:footnote w:id="28">
    <w:p w14:paraId="201A5075"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A través de los ojos de ella. </w:t>
      </w:r>
    </w:p>
  </w:footnote>
  <w:footnote w:id="29">
    <w:p w14:paraId="2C8D557F"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Municipio.</w:t>
      </w:r>
    </w:p>
  </w:footnote>
  <w:footnote w:id="30">
    <w:p w14:paraId="4515BD6E"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Una organización de la sociedad civil que apoya a niños y jóvenes en conflicto con la ley y a niños en circunstancias difíciles.</w:t>
      </w:r>
    </w:p>
  </w:footnote>
  <w:footnote w:id="31">
    <w:p w14:paraId="6E110C0F"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Máximo órgano decisorio a nivel de distrito.</w:t>
      </w:r>
    </w:p>
  </w:footnote>
  <w:footnote w:id="32">
    <w:p w14:paraId="1F089942" w14:textId="7E3A2446"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hyperlink r:id="rId7" w:history="1">
        <w:r w:rsidRPr="00C1611A">
          <w:rPr>
            <w:rStyle w:val="Hyperlink"/>
          </w:rPr>
          <w:t>https://www.rcsc.gov.bt/wp-content/uploads/2020/08/Annual-Report-2019-2020.pdf</w:t>
        </w:r>
      </w:hyperlink>
      <w:r>
        <w:t xml:space="preserve">. </w:t>
      </w:r>
    </w:p>
  </w:footnote>
  <w:footnote w:id="33">
    <w:p w14:paraId="27EC2B8E" w14:textId="541F5E0B"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hyperlink r:id="rId8" w:history="1">
        <w:r w:rsidRPr="00C1611A">
          <w:rPr>
            <w:rStyle w:val="Hyperlink"/>
          </w:rPr>
          <w:t>http://www.education.gov.bt/wp-content/uploads/2022/03/AES-2021-Final-Version.pdf</w:t>
        </w:r>
      </w:hyperlink>
      <w:r>
        <w:t xml:space="preserve">. </w:t>
      </w:r>
    </w:p>
  </w:footnote>
  <w:footnote w:id="34">
    <w:p w14:paraId="2A4FB15E"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Idioma nacional.</w:t>
      </w:r>
    </w:p>
  </w:footnote>
  <w:footnote w:id="35">
    <w:p w14:paraId="4E542143"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La primera escuela para niños con necesidades especiales de </w:t>
      </w:r>
      <w:proofErr w:type="spellStart"/>
      <w:r>
        <w:t>Bhután</w:t>
      </w:r>
      <w:proofErr w:type="spellEnd"/>
      <w:r>
        <w:t>.</w:t>
      </w:r>
    </w:p>
  </w:footnote>
  <w:footnote w:id="36">
    <w:p w14:paraId="0C8CF770" w14:textId="77777777" w:rsidR="00E77F78" w:rsidRPr="00BB0859" w:rsidRDefault="00E77F78" w:rsidP="00987EB2">
      <w:pPr>
        <w:pStyle w:val="FootnoteText"/>
        <w:tabs>
          <w:tab w:val="clear" w:pos="418"/>
          <w:tab w:val="right" w:pos="1195"/>
          <w:tab w:val="left" w:pos="1267"/>
          <w:tab w:val="left" w:pos="1742"/>
          <w:tab w:val="left" w:pos="2218"/>
          <w:tab w:val="left" w:pos="2693"/>
        </w:tabs>
        <w:ind w:left="1267" w:right="1267" w:hanging="432"/>
        <w:rPr>
          <w:spacing w:val="2"/>
          <w:szCs w:val="18"/>
        </w:rPr>
      </w:pPr>
      <w:r w:rsidRPr="00BB0859">
        <w:rPr>
          <w:spacing w:val="2"/>
          <w:szCs w:val="18"/>
        </w:rPr>
        <w:tab/>
      </w:r>
      <w:r w:rsidRPr="00BB0859">
        <w:rPr>
          <w:rStyle w:val="FootnoteReference"/>
          <w:spacing w:val="2"/>
          <w:szCs w:val="18"/>
        </w:rPr>
        <w:footnoteRef/>
      </w:r>
      <w:r w:rsidRPr="00BB0859">
        <w:rPr>
          <w:spacing w:val="2"/>
        </w:rPr>
        <w:tab/>
        <w:t xml:space="preserve">Una organización de la sociedad civil que trabaja para el empoderamiento de los jóvenes del país. </w:t>
      </w:r>
    </w:p>
  </w:footnote>
  <w:footnote w:id="37">
    <w:p w14:paraId="16FD2CFA" w14:textId="6D65F382"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F773AA">
        <w:rPr>
          <w:rStyle w:val="FootnoteReference"/>
          <w:szCs w:val="18"/>
        </w:rPr>
        <w:footnoteRef/>
      </w:r>
      <w:r>
        <w:tab/>
      </w:r>
      <w:hyperlink r:id="rId9" w:history="1">
        <w:r w:rsidRPr="00C1611A">
          <w:rPr>
            <w:rStyle w:val="Hyperlink"/>
          </w:rPr>
          <w:t>https://www.doa.gov.bt/wp-content/uploads/2020/02/12FYP.pdf</w:t>
        </w:r>
      </w:hyperlink>
      <w:r>
        <w:t xml:space="preserve">. </w:t>
      </w:r>
    </w:p>
  </w:footnote>
  <w:footnote w:id="38">
    <w:p w14:paraId="09B32986"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rPr>
          <w:szCs w:val="18"/>
        </w:rPr>
      </w:pPr>
      <w:r>
        <w:rPr>
          <w:rFonts w:eastAsia="Times"/>
          <w:szCs w:val="18"/>
        </w:rPr>
        <w:tab/>
      </w:r>
      <w:r w:rsidRPr="00F773AA">
        <w:rPr>
          <w:rStyle w:val="FootnoteReference"/>
          <w:szCs w:val="18"/>
        </w:rPr>
        <w:footnoteRef/>
      </w:r>
      <w:r>
        <w:tab/>
        <w:t>Felicidad.</w:t>
      </w:r>
    </w:p>
  </w:footnote>
  <w:footnote w:id="39">
    <w:p w14:paraId="394C9DB9"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F773AA">
        <w:rPr>
          <w:rStyle w:val="FootnoteReference"/>
          <w:szCs w:val="18"/>
        </w:rPr>
        <w:footnoteRef/>
      </w:r>
      <w:r>
        <w:tab/>
        <w:t xml:space="preserve">Organización de la sociedad civil que trabaja para elevar y mejorar las comunidades desfavorecidas de </w:t>
      </w:r>
      <w:proofErr w:type="spellStart"/>
      <w:r>
        <w:t>Bhután</w:t>
      </w:r>
      <w:proofErr w:type="spellEnd"/>
      <w:r>
        <w:t xml:space="preserve">. </w:t>
      </w:r>
    </w:p>
  </w:footnote>
  <w:footnote w:id="40">
    <w:p w14:paraId="4B4B83D8"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F773AA">
        <w:rPr>
          <w:rStyle w:val="FootnoteReference"/>
          <w:szCs w:val="18"/>
        </w:rPr>
        <w:footnoteRef/>
      </w:r>
      <w:r>
        <w:tab/>
        <w:t>Organización de la sociedad civil que trabaja para crear un entorno empresarial propicio para las mujeres.</w:t>
      </w:r>
    </w:p>
  </w:footnote>
  <w:footnote w:id="41">
    <w:p w14:paraId="2B0DD3CE" w14:textId="3A3ADA33"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F773AA">
        <w:rPr>
          <w:rStyle w:val="FootnoteReference"/>
          <w:szCs w:val="18"/>
        </w:rPr>
        <w:footnoteRef/>
      </w:r>
      <w:r>
        <w:tab/>
      </w:r>
      <w:hyperlink r:id="rId10" w:history="1">
        <w:r w:rsidR="00BF3F53" w:rsidRPr="00052AA7">
          <w:rPr>
            <w:rStyle w:val="Hyperlink"/>
          </w:rPr>
          <w:t>https://drive.google.com/file/d/0B7qProQS0jENUW4xU3VKUFNfVjQ/view?resourcekey=0-ekz_R3yWVgi-Z7G86ogZJw</w:t>
        </w:r>
      </w:hyperlink>
      <w:r>
        <w:t>.</w:t>
      </w:r>
      <w:r w:rsidR="00BF3F53">
        <w:t xml:space="preserve"> </w:t>
      </w:r>
    </w:p>
  </w:footnote>
  <w:footnote w:id="42">
    <w:p w14:paraId="4C83539C"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Encuentro a nivel de subregión. </w:t>
      </w:r>
    </w:p>
  </w:footnote>
  <w:footnote w:id="43">
    <w:p w14:paraId="652B7657"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Organización comunitaria para crear una sociedad inclusiva e ilustrada en la que las personas LGBT+ puedan desarrollar todo su potencial.</w:t>
      </w:r>
    </w:p>
  </w:footnote>
  <w:footnote w:id="44">
    <w:p w14:paraId="4F67CC4F"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Plataforma de defensa para crear visibilidad y reducir el estigma y la discriminación contra las personas LGBT+.</w:t>
      </w:r>
    </w:p>
  </w:footnote>
  <w:footnote w:id="45">
    <w:p w14:paraId="5C15D155"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rPr>
          <w:szCs w:val="18"/>
        </w:rPr>
      </w:pPr>
      <w:r>
        <w:tab/>
      </w:r>
      <w:r w:rsidRPr="00F773AA">
        <w:rPr>
          <w:rStyle w:val="FootnoteReference"/>
          <w:szCs w:val="18"/>
        </w:rPr>
        <w:footnoteRef/>
      </w:r>
      <w:r>
        <w:tab/>
        <w:t>Datos de DGRK.</w:t>
      </w:r>
    </w:p>
  </w:footnote>
  <w:footnote w:id="46">
    <w:p w14:paraId="4C0C9387"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rPr>
          <w:szCs w:val="18"/>
        </w:rPr>
      </w:pPr>
      <w:r w:rsidRPr="00F773AA">
        <w:rPr>
          <w:szCs w:val="18"/>
        </w:rPr>
        <w:tab/>
      </w:r>
      <w:r w:rsidRPr="00F773AA">
        <w:rPr>
          <w:rStyle w:val="FootnoteReference"/>
          <w:szCs w:val="18"/>
        </w:rPr>
        <w:footnoteRef/>
      </w:r>
      <w:r>
        <w:t xml:space="preserve"> </w:t>
      </w:r>
      <w:r>
        <w:tab/>
        <w:t xml:space="preserve">Organización de la sociedad civil dirigida por personas de edad para promover el bienestar de este colectivo. </w:t>
      </w:r>
    </w:p>
  </w:footnote>
  <w:footnote w:id="47">
    <w:p w14:paraId="1984803B"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rPr>
          <w:szCs w:val="18"/>
        </w:rPr>
      </w:pPr>
      <w:r w:rsidRPr="00F773AA">
        <w:rPr>
          <w:szCs w:val="18"/>
        </w:rPr>
        <w:tab/>
      </w:r>
      <w:r w:rsidRPr="00F773AA">
        <w:rPr>
          <w:rStyle w:val="FootnoteReference"/>
          <w:szCs w:val="18"/>
        </w:rPr>
        <w:footnoteRef/>
      </w:r>
      <w:r>
        <w:tab/>
        <w:t>Organización de la sociedad civil dirigida por personas por discapacidad dedicada a atender las necesidades de todas las personas con discapacidad.</w:t>
      </w:r>
    </w:p>
  </w:footnote>
  <w:footnote w:id="48">
    <w:p w14:paraId="0B381747" w14:textId="77777777" w:rsidR="00E77F78" w:rsidRPr="006C5D9B" w:rsidRDefault="00E77F78" w:rsidP="00987EB2">
      <w:pPr>
        <w:pStyle w:val="FootnoteText"/>
        <w:tabs>
          <w:tab w:val="clear" w:pos="418"/>
          <w:tab w:val="right" w:pos="1195"/>
          <w:tab w:val="left" w:pos="1267"/>
          <w:tab w:val="left" w:pos="1742"/>
          <w:tab w:val="left" w:pos="2218"/>
          <w:tab w:val="left" w:pos="2693"/>
        </w:tabs>
        <w:ind w:left="1267" w:right="1267" w:hanging="432"/>
        <w:rPr>
          <w:szCs w:val="18"/>
        </w:rPr>
      </w:pPr>
      <w:r w:rsidRPr="00F773AA">
        <w:rPr>
          <w:rFonts w:eastAsia="Times"/>
          <w:szCs w:val="18"/>
        </w:rPr>
        <w:tab/>
      </w:r>
      <w:r w:rsidRPr="00F773AA">
        <w:rPr>
          <w:rStyle w:val="FootnoteReference"/>
          <w:szCs w:val="18"/>
        </w:rPr>
        <w:footnoteRef/>
      </w:r>
      <w:r>
        <w:tab/>
        <w:t>Un plan para niños necesitados dependiente de la Oficina de Su Majestad.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34227" w14:paraId="31EFDE58" w14:textId="77777777" w:rsidTr="00034227">
      <w:trPr>
        <w:trHeight w:hRule="exact" w:val="864"/>
      </w:trPr>
      <w:tc>
        <w:tcPr>
          <w:tcW w:w="4920" w:type="dxa"/>
          <w:shd w:val="clear" w:color="auto" w:fill="auto"/>
          <w:vAlign w:val="bottom"/>
        </w:tcPr>
        <w:p w14:paraId="5E4279C8" w14:textId="69468C4C" w:rsidR="00034227" w:rsidRPr="00034227" w:rsidRDefault="00034227" w:rsidP="00034227">
          <w:pPr>
            <w:pStyle w:val="Header"/>
            <w:spacing w:after="80"/>
            <w:rPr>
              <w:b/>
            </w:rPr>
          </w:pPr>
          <w:r>
            <w:rPr>
              <w:b/>
            </w:rPr>
            <w:fldChar w:fldCharType="begin"/>
          </w:r>
          <w:r>
            <w:rPr>
              <w:b/>
            </w:rPr>
            <w:instrText xml:space="preserve"> DOCVARIABLE "sss1" \* MERGEFORMAT </w:instrText>
          </w:r>
          <w:r>
            <w:rPr>
              <w:b/>
            </w:rPr>
            <w:fldChar w:fldCharType="separate"/>
          </w:r>
          <w:r w:rsidR="006D4ADC">
            <w:rPr>
              <w:b/>
            </w:rPr>
            <w:t>CEDAW/C/BTN/10</w:t>
          </w:r>
          <w:r>
            <w:rPr>
              <w:b/>
            </w:rPr>
            <w:fldChar w:fldCharType="end"/>
          </w:r>
        </w:p>
      </w:tc>
      <w:tc>
        <w:tcPr>
          <w:tcW w:w="4920" w:type="dxa"/>
          <w:shd w:val="clear" w:color="auto" w:fill="auto"/>
          <w:vAlign w:val="bottom"/>
        </w:tcPr>
        <w:p w14:paraId="3746CB3E" w14:textId="77777777" w:rsidR="00034227" w:rsidRDefault="00034227" w:rsidP="00034227">
          <w:pPr>
            <w:pStyle w:val="Header"/>
          </w:pPr>
        </w:p>
      </w:tc>
    </w:tr>
  </w:tbl>
  <w:p w14:paraId="5A31A11F" w14:textId="77777777" w:rsidR="00034227" w:rsidRPr="00034227" w:rsidRDefault="00034227" w:rsidP="000342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34227" w14:paraId="76DC3B5E" w14:textId="77777777" w:rsidTr="00034227">
      <w:trPr>
        <w:trHeight w:hRule="exact" w:val="864"/>
      </w:trPr>
      <w:tc>
        <w:tcPr>
          <w:tcW w:w="4920" w:type="dxa"/>
          <w:shd w:val="clear" w:color="auto" w:fill="auto"/>
          <w:vAlign w:val="bottom"/>
        </w:tcPr>
        <w:p w14:paraId="1E2B56D5" w14:textId="77777777" w:rsidR="00034227" w:rsidRDefault="00034227" w:rsidP="00034227">
          <w:pPr>
            <w:pStyle w:val="Header"/>
          </w:pPr>
        </w:p>
      </w:tc>
      <w:tc>
        <w:tcPr>
          <w:tcW w:w="4920" w:type="dxa"/>
          <w:shd w:val="clear" w:color="auto" w:fill="auto"/>
          <w:vAlign w:val="bottom"/>
        </w:tcPr>
        <w:p w14:paraId="7FAEFAE6" w14:textId="434EC22D" w:rsidR="00034227" w:rsidRPr="00034227" w:rsidRDefault="00034227" w:rsidP="00034227">
          <w:pPr>
            <w:pStyle w:val="Header"/>
            <w:spacing w:after="80"/>
            <w:jc w:val="right"/>
            <w:rPr>
              <w:b/>
            </w:rPr>
          </w:pPr>
          <w:r>
            <w:rPr>
              <w:b/>
            </w:rPr>
            <w:fldChar w:fldCharType="begin"/>
          </w:r>
          <w:r>
            <w:rPr>
              <w:b/>
            </w:rPr>
            <w:instrText xml:space="preserve"> DOCVARIABLE "sss1" \* MERGEFORMAT </w:instrText>
          </w:r>
          <w:r>
            <w:rPr>
              <w:b/>
            </w:rPr>
            <w:fldChar w:fldCharType="separate"/>
          </w:r>
          <w:r w:rsidR="006D4ADC">
            <w:rPr>
              <w:b/>
            </w:rPr>
            <w:t>CEDAW/C/BTN/10</w:t>
          </w:r>
          <w:r>
            <w:rPr>
              <w:b/>
            </w:rPr>
            <w:fldChar w:fldCharType="end"/>
          </w:r>
        </w:p>
      </w:tc>
    </w:tr>
  </w:tbl>
  <w:p w14:paraId="79DE820D" w14:textId="77777777" w:rsidR="00034227" w:rsidRPr="00034227" w:rsidRDefault="00034227" w:rsidP="000342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34227" w14:paraId="67EBADA7" w14:textId="77777777" w:rsidTr="00034227">
      <w:trPr>
        <w:gridAfter w:val="1"/>
        <w:wAfter w:w="15" w:type="dxa"/>
        <w:trHeight w:hRule="exact" w:val="864"/>
      </w:trPr>
      <w:tc>
        <w:tcPr>
          <w:tcW w:w="1267" w:type="dxa"/>
          <w:tcBorders>
            <w:bottom w:val="single" w:sz="4" w:space="0" w:color="auto"/>
          </w:tcBorders>
          <w:shd w:val="clear" w:color="auto" w:fill="auto"/>
          <w:vAlign w:val="bottom"/>
        </w:tcPr>
        <w:p w14:paraId="3A3EB8D1" w14:textId="77777777" w:rsidR="00034227" w:rsidRDefault="00034227" w:rsidP="00034227">
          <w:pPr>
            <w:pStyle w:val="Header"/>
            <w:spacing w:after="120"/>
          </w:pPr>
        </w:p>
      </w:tc>
      <w:tc>
        <w:tcPr>
          <w:tcW w:w="2059" w:type="dxa"/>
          <w:tcBorders>
            <w:bottom w:val="single" w:sz="4" w:space="0" w:color="auto"/>
          </w:tcBorders>
          <w:shd w:val="clear" w:color="auto" w:fill="auto"/>
          <w:vAlign w:val="bottom"/>
        </w:tcPr>
        <w:p w14:paraId="13450F4F" w14:textId="77777777" w:rsidR="00034227" w:rsidRPr="00034227" w:rsidRDefault="00034227" w:rsidP="00034227">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B68F3F5" w14:textId="77777777" w:rsidR="00034227" w:rsidRDefault="00034227" w:rsidP="00034227">
          <w:pPr>
            <w:pStyle w:val="Header"/>
            <w:spacing w:after="120"/>
          </w:pPr>
        </w:p>
      </w:tc>
      <w:tc>
        <w:tcPr>
          <w:tcW w:w="6480" w:type="dxa"/>
          <w:gridSpan w:val="3"/>
          <w:tcBorders>
            <w:bottom w:val="single" w:sz="4" w:space="0" w:color="auto"/>
          </w:tcBorders>
          <w:shd w:val="clear" w:color="auto" w:fill="auto"/>
          <w:vAlign w:val="bottom"/>
        </w:tcPr>
        <w:p w14:paraId="6463E8ED" w14:textId="77777777" w:rsidR="00034227" w:rsidRPr="00034227" w:rsidRDefault="00034227" w:rsidP="00034227">
          <w:pPr>
            <w:spacing w:after="80" w:line="240" w:lineRule="auto"/>
            <w:jc w:val="right"/>
            <w:rPr>
              <w:position w:val="-4"/>
            </w:rPr>
          </w:pPr>
          <w:r>
            <w:rPr>
              <w:position w:val="-4"/>
              <w:sz w:val="40"/>
            </w:rPr>
            <w:t>CEDAW</w:t>
          </w:r>
          <w:r>
            <w:rPr>
              <w:position w:val="-4"/>
            </w:rPr>
            <w:t>/C/BTN/10</w:t>
          </w:r>
        </w:p>
      </w:tc>
    </w:tr>
    <w:tr w:rsidR="00034227" w:rsidRPr="00034227" w14:paraId="49741FD5" w14:textId="77777777" w:rsidTr="00034227">
      <w:trPr>
        <w:trHeight w:hRule="exact" w:val="2880"/>
      </w:trPr>
      <w:tc>
        <w:tcPr>
          <w:tcW w:w="1267" w:type="dxa"/>
          <w:tcBorders>
            <w:top w:val="single" w:sz="4" w:space="0" w:color="auto"/>
            <w:bottom w:val="single" w:sz="12" w:space="0" w:color="auto"/>
          </w:tcBorders>
          <w:shd w:val="clear" w:color="auto" w:fill="auto"/>
        </w:tcPr>
        <w:p w14:paraId="5771CC8A" w14:textId="77777777" w:rsidR="00034227" w:rsidRPr="00034227" w:rsidRDefault="00034227" w:rsidP="00034227">
          <w:pPr>
            <w:pStyle w:val="Header"/>
            <w:spacing w:before="120"/>
            <w:jc w:val="center"/>
          </w:pPr>
          <w:r>
            <w:t xml:space="preserve"> </w:t>
          </w:r>
          <w:r>
            <w:drawing>
              <wp:inline distT="0" distB="0" distL="0" distR="0" wp14:anchorId="6B4A69A1" wp14:editId="20C33FD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3C0A10D" w14:textId="77777777" w:rsidR="00034227" w:rsidRPr="00034227" w:rsidRDefault="00034227" w:rsidP="0003422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FEF3E2C" w14:textId="77777777" w:rsidR="00034227" w:rsidRPr="0015476D" w:rsidRDefault="00034227" w:rsidP="00034227">
          <w:pPr>
            <w:pStyle w:val="Header"/>
            <w:spacing w:before="109"/>
            <w:rPr>
              <w:lang w:val="es-PE"/>
            </w:rPr>
          </w:pPr>
        </w:p>
      </w:tc>
      <w:tc>
        <w:tcPr>
          <w:tcW w:w="3140" w:type="dxa"/>
          <w:gridSpan w:val="2"/>
          <w:tcBorders>
            <w:top w:val="single" w:sz="4" w:space="0" w:color="auto"/>
            <w:bottom w:val="single" w:sz="12" w:space="0" w:color="auto"/>
          </w:tcBorders>
          <w:shd w:val="clear" w:color="auto" w:fill="auto"/>
        </w:tcPr>
        <w:p w14:paraId="2830FEA5" w14:textId="77777777" w:rsidR="00034227" w:rsidRDefault="00034227" w:rsidP="00034227">
          <w:pPr>
            <w:pStyle w:val="Distribution"/>
            <w:spacing w:before="240"/>
          </w:pPr>
          <w:proofErr w:type="spellStart"/>
          <w:r>
            <w:t>Distr</w:t>
          </w:r>
          <w:proofErr w:type="spellEnd"/>
          <w:r>
            <w:t>. general</w:t>
          </w:r>
        </w:p>
        <w:p w14:paraId="7AA5BF8D" w14:textId="77777777" w:rsidR="00034227" w:rsidRDefault="00034227" w:rsidP="00034227">
          <w:pPr>
            <w:pStyle w:val="Publication"/>
          </w:pPr>
          <w:r>
            <w:t>12 de diciembre de 2022</w:t>
          </w:r>
        </w:p>
        <w:p w14:paraId="43B28C98" w14:textId="77777777" w:rsidR="00034227" w:rsidRDefault="00034227" w:rsidP="00034227">
          <w:r>
            <w:t>Español</w:t>
          </w:r>
        </w:p>
        <w:p w14:paraId="33C86D2D" w14:textId="77777777" w:rsidR="00034227" w:rsidRDefault="00034227" w:rsidP="00034227">
          <w:pPr>
            <w:pStyle w:val="Original"/>
          </w:pPr>
          <w:r>
            <w:t>Original: inglés</w:t>
          </w:r>
        </w:p>
        <w:p w14:paraId="2B11158A" w14:textId="3CFD7EC7" w:rsidR="00034227" w:rsidRPr="00034227" w:rsidRDefault="00C21F31" w:rsidP="00034227">
          <w:r>
            <w:t>Español, francés e inglés únicamente</w:t>
          </w:r>
        </w:p>
      </w:tc>
    </w:tr>
  </w:tbl>
  <w:p w14:paraId="06F5F9E9" w14:textId="77777777" w:rsidR="00034227" w:rsidRPr="00C21F31" w:rsidRDefault="00034227" w:rsidP="00034227">
    <w:pPr>
      <w:pStyle w:val="Header"/>
      <w:rPr>
        <w:sz w:val="2"/>
        <w:lang w:val="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96FFC"/>
    <w:multiLevelType w:val="singleLevel"/>
    <w:tmpl w:val="33F486FE"/>
    <w:lvl w:ilvl="0">
      <w:start w:val="76"/>
      <w:numFmt w:val="decimal"/>
      <w:lvlRestart w:val="0"/>
      <w:lvlText w:val="%1."/>
      <w:lvlJc w:val="left"/>
      <w:pPr>
        <w:tabs>
          <w:tab w:val="num" w:pos="475"/>
        </w:tabs>
        <w:ind w:left="0" w:firstLine="0"/>
      </w:pPr>
      <w:rPr>
        <w:b w:val="0"/>
        <w:bCs/>
        <w:i w:val="0"/>
        <w:iCs/>
        <w:spacing w:val="0"/>
        <w:w w:val="100"/>
      </w:rPr>
    </w:lvl>
  </w:abstractNum>
  <w:abstractNum w:abstractNumId="1" w15:restartNumberingAfterBreak="0">
    <w:nsid w:val="1D1858C6"/>
    <w:multiLevelType w:val="singleLevel"/>
    <w:tmpl w:val="633A22A0"/>
    <w:lvl w:ilvl="0">
      <w:start w:val="110"/>
      <w:numFmt w:val="decimal"/>
      <w:lvlRestart w:val="0"/>
      <w:lvlText w:val="%1."/>
      <w:lvlJc w:val="left"/>
      <w:pPr>
        <w:tabs>
          <w:tab w:val="num" w:pos="475"/>
        </w:tabs>
        <w:ind w:left="0" w:firstLine="0"/>
      </w:pPr>
      <w:rPr>
        <w:i w:val="0"/>
        <w:iCs/>
        <w:spacing w:val="0"/>
        <w:w w:val="100"/>
      </w:rPr>
    </w:lvl>
  </w:abstractNum>
  <w:abstractNum w:abstractNumId="2" w15:restartNumberingAfterBreak="0">
    <w:nsid w:val="1D81156A"/>
    <w:multiLevelType w:val="singleLevel"/>
    <w:tmpl w:val="B882DE46"/>
    <w:lvl w:ilvl="0">
      <w:start w:val="218"/>
      <w:numFmt w:val="decimal"/>
      <w:lvlRestart w:val="0"/>
      <w:lvlText w:val="%1."/>
      <w:lvlJc w:val="left"/>
      <w:pPr>
        <w:tabs>
          <w:tab w:val="num" w:pos="475"/>
        </w:tabs>
        <w:ind w:left="0" w:firstLine="0"/>
      </w:pPr>
      <w:rPr>
        <w:b w:val="0"/>
        <w:bCs/>
        <w:spacing w:val="0"/>
        <w:w w:val="100"/>
      </w:rPr>
    </w:lvl>
  </w:abstractNum>
  <w:abstractNum w:abstractNumId="3" w15:restartNumberingAfterBreak="0">
    <w:nsid w:val="1D980836"/>
    <w:multiLevelType w:val="singleLevel"/>
    <w:tmpl w:val="0554D0FA"/>
    <w:lvl w:ilvl="0">
      <w:start w:val="252"/>
      <w:numFmt w:val="decimal"/>
      <w:lvlRestart w:val="0"/>
      <w:lvlText w:val="%1."/>
      <w:lvlJc w:val="left"/>
      <w:pPr>
        <w:tabs>
          <w:tab w:val="num" w:pos="475"/>
        </w:tabs>
        <w:ind w:left="0" w:firstLine="0"/>
      </w:pPr>
      <w:rPr>
        <w:b w:val="0"/>
        <w:bCs/>
        <w:spacing w:val="0"/>
        <w:w w:val="100"/>
      </w:rPr>
    </w:lvl>
  </w:abstractNum>
  <w:abstractNum w:abstractNumId="4" w15:restartNumberingAfterBreak="0">
    <w:nsid w:val="1F012E01"/>
    <w:multiLevelType w:val="singleLevel"/>
    <w:tmpl w:val="41720786"/>
    <w:lvl w:ilvl="0">
      <w:start w:val="104"/>
      <w:numFmt w:val="decimal"/>
      <w:lvlRestart w:val="0"/>
      <w:lvlText w:val="%1."/>
      <w:lvlJc w:val="left"/>
      <w:pPr>
        <w:tabs>
          <w:tab w:val="num" w:pos="475"/>
        </w:tabs>
        <w:ind w:left="0" w:firstLine="0"/>
      </w:pPr>
      <w:rPr>
        <w:i w:val="0"/>
        <w:iCs/>
        <w:spacing w:val="0"/>
        <w:w w:val="100"/>
      </w:r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40F106E"/>
    <w:multiLevelType w:val="singleLevel"/>
    <w:tmpl w:val="BBA4FF44"/>
    <w:lvl w:ilvl="0">
      <w:start w:val="64"/>
      <w:numFmt w:val="decimal"/>
      <w:lvlRestart w:val="0"/>
      <w:lvlText w:val="%1."/>
      <w:lvlJc w:val="left"/>
      <w:pPr>
        <w:tabs>
          <w:tab w:val="num" w:pos="475"/>
        </w:tabs>
        <w:ind w:left="0" w:firstLine="0"/>
      </w:pPr>
      <w:rPr>
        <w:b w:val="0"/>
        <w:bCs/>
        <w:spacing w:val="0"/>
        <w:w w:val="100"/>
      </w:rPr>
    </w:lvl>
  </w:abstractNum>
  <w:abstractNum w:abstractNumId="7" w15:restartNumberingAfterBreak="0">
    <w:nsid w:val="24D07455"/>
    <w:multiLevelType w:val="singleLevel"/>
    <w:tmpl w:val="FEA6B6E4"/>
    <w:lvl w:ilvl="0">
      <w:start w:val="82"/>
      <w:numFmt w:val="decimal"/>
      <w:lvlRestart w:val="0"/>
      <w:lvlText w:val="%1."/>
      <w:lvlJc w:val="left"/>
      <w:pPr>
        <w:tabs>
          <w:tab w:val="num" w:pos="475"/>
        </w:tabs>
        <w:ind w:left="0" w:firstLine="0"/>
      </w:pPr>
      <w:rPr>
        <w:b w:val="0"/>
        <w:bCs/>
        <w:i w:val="0"/>
        <w:iCs/>
        <w:spacing w:val="0"/>
        <w:w w:val="100"/>
      </w:rPr>
    </w:lvl>
  </w:abstractNum>
  <w:abstractNum w:abstractNumId="8" w15:restartNumberingAfterBreak="0">
    <w:nsid w:val="26ED0E0E"/>
    <w:multiLevelType w:val="multilevel"/>
    <w:tmpl w:val="61DE05CE"/>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9" w15:restartNumberingAfterBreak="0">
    <w:nsid w:val="2AB9396A"/>
    <w:multiLevelType w:val="singleLevel"/>
    <w:tmpl w:val="3A24D872"/>
    <w:lvl w:ilvl="0">
      <w:start w:val="6"/>
      <w:numFmt w:val="decimal"/>
      <w:lvlRestart w:val="0"/>
      <w:lvlText w:val="%1."/>
      <w:lvlJc w:val="left"/>
      <w:pPr>
        <w:tabs>
          <w:tab w:val="num" w:pos="475"/>
        </w:tabs>
        <w:ind w:left="0" w:firstLine="0"/>
      </w:pPr>
      <w:rPr>
        <w:b w:val="0"/>
        <w:bCs/>
        <w:spacing w:val="0"/>
        <w:w w:val="100"/>
      </w:rPr>
    </w:lvl>
  </w:abstractNum>
  <w:abstractNum w:abstractNumId="10" w15:restartNumberingAfterBreak="0">
    <w:nsid w:val="2B6E4D9D"/>
    <w:multiLevelType w:val="singleLevel"/>
    <w:tmpl w:val="FBA69FDE"/>
    <w:lvl w:ilvl="0">
      <w:start w:val="11"/>
      <w:numFmt w:val="decimal"/>
      <w:lvlRestart w:val="0"/>
      <w:lvlText w:val="%1."/>
      <w:lvlJc w:val="left"/>
      <w:pPr>
        <w:tabs>
          <w:tab w:val="num" w:pos="475"/>
        </w:tabs>
        <w:ind w:left="0" w:firstLine="0"/>
      </w:pPr>
      <w:rPr>
        <w:b w:val="0"/>
        <w:bCs/>
        <w:spacing w:val="0"/>
        <w:w w:val="100"/>
      </w:rPr>
    </w:lvl>
  </w:abstractNum>
  <w:abstractNum w:abstractNumId="11" w15:restartNumberingAfterBreak="0">
    <w:nsid w:val="2C9D3ED9"/>
    <w:multiLevelType w:val="singleLevel"/>
    <w:tmpl w:val="E9BA0712"/>
    <w:lvl w:ilvl="0">
      <w:start w:val="199"/>
      <w:numFmt w:val="decimal"/>
      <w:lvlRestart w:val="0"/>
      <w:lvlText w:val="%1."/>
      <w:lvlJc w:val="left"/>
      <w:pPr>
        <w:tabs>
          <w:tab w:val="num" w:pos="475"/>
        </w:tabs>
        <w:ind w:left="0" w:firstLine="0"/>
      </w:pPr>
      <w:rPr>
        <w:i w:val="0"/>
        <w:iCs/>
        <w:spacing w:val="0"/>
        <w:w w:val="100"/>
      </w:rPr>
    </w:lvl>
  </w:abstractNum>
  <w:abstractNum w:abstractNumId="12" w15:restartNumberingAfterBreak="0">
    <w:nsid w:val="306728D1"/>
    <w:multiLevelType w:val="singleLevel"/>
    <w:tmpl w:val="0C8E12C8"/>
    <w:lvl w:ilvl="0">
      <w:start w:val="167"/>
      <w:numFmt w:val="decimal"/>
      <w:lvlRestart w:val="0"/>
      <w:lvlText w:val="%1."/>
      <w:lvlJc w:val="left"/>
      <w:pPr>
        <w:tabs>
          <w:tab w:val="num" w:pos="475"/>
        </w:tabs>
        <w:ind w:left="0" w:firstLine="0"/>
      </w:pPr>
      <w:rPr>
        <w:b w:val="0"/>
        <w:bCs/>
        <w:spacing w:val="0"/>
        <w:w w:val="100"/>
      </w:rPr>
    </w:lvl>
  </w:abstractNum>
  <w:abstractNum w:abstractNumId="13" w15:restartNumberingAfterBreak="0">
    <w:nsid w:val="36CB48E2"/>
    <w:multiLevelType w:val="singleLevel"/>
    <w:tmpl w:val="C4464786"/>
    <w:lvl w:ilvl="0">
      <w:start w:val="135"/>
      <w:numFmt w:val="decimal"/>
      <w:lvlRestart w:val="0"/>
      <w:lvlText w:val="%1."/>
      <w:lvlJc w:val="left"/>
      <w:pPr>
        <w:tabs>
          <w:tab w:val="num" w:pos="475"/>
        </w:tabs>
        <w:ind w:left="0" w:firstLine="0"/>
      </w:pPr>
      <w:rPr>
        <w:b w:val="0"/>
        <w:bCs w:val="0"/>
        <w:spacing w:val="0"/>
        <w:w w:val="100"/>
      </w:rPr>
    </w:lvl>
  </w:abstractNum>
  <w:abstractNum w:abstractNumId="14" w15:restartNumberingAfterBreak="0">
    <w:nsid w:val="3EAF7AFD"/>
    <w:multiLevelType w:val="singleLevel"/>
    <w:tmpl w:val="5822A80A"/>
    <w:lvl w:ilvl="0">
      <w:start w:val="117"/>
      <w:numFmt w:val="decimal"/>
      <w:lvlRestart w:val="0"/>
      <w:lvlText w:val="%1."/>
      <w:lvlJc w:val="left"/>
      <w:pPr>
        <w:tabs>
          <w:tab w:val="num" w:pos="475"/>
        </w:tabs>
        <w:ind w:left="0" w:firstLine="0"/>
      </w:pPr>
      <w:rPr>
        <w:b w:val="0"/>
        <w:bCs/>
        <w:spacing w:val="0"/>
        <w:w w:val="100"/>
      </w:rPr>
    </w:lvl>
  </w:abstractNum>
  <w:abstractNum w:abstractNumId="15" w15:restartNumberingAfterBreak="0">
    <w:nsid w:val="414817F2"/>
    <w:multiLevelType w:val="singleLevel"/>
    <w:tmpl w:val="B78030E0"/>
    <w:lvl w:ilvl="0">
      <w:start w:val="89"/>
      <w:numFmt w:val="decimal"/>
      <w:lvlRestart w:val="0"/>
      <w:lvlText w:val="%1."/>
      <w:lvlJc w:val="left"/>
      <w:pPr>
        <w:tabs>
          <w:tab w:val="num" w:pos="475"/>
        </w:tabs>
        <w:ind w:left="0" w:firstLine="0"/>
      </w:pPr>
      <w:rPr>
        <w:b w:val="0"/>
        <w:bCs/>
        <w:spacing w:val="0"/>
        <w:w w:val="100"/>
      </w:rPr>
    </w:lvl>
  </w:abstractNum>
  <w:abstractNum w:abstractNumId="16" w15:restartNumberingAfterBreak="0">
    <w:nsid w:val="41CB3CD2"/>
    <w:multiLevelType w:val="singleLevel"/>
    <w:tmpl w:val="5E4AC454"/>
    <w:lvl w:ilvl="0">
      <w:start w:val="90"/>
      <w:numFmt w:val="decimal"/>
      <w:lvlRestart w:val="0"/>
      <w:lvlText w:val="%1."/>
      <w:lvlJc w:val="left"/>
      <w:pPr>
        <w:tabs>
          <w:tab w:val="num" w:pos="475"/>
        </w:tabs>
        <w:ind w:left="0" w:firstLine="0"/>
      </w:pPr>
      <w:rPr>
        <w:i w:val="0"/>
        <w:iCs/>
        <w:spacing w:val="0"/>
        <w:w w:val="100"/>
      </w:rPr>
    </w:lvl>
  </w:abstractNum>
  <w:abstractNum w:abstractNumId="17" w15:restartNumberingAfterBreak="0">
    <w:nsid w:val="43AA06DF"/>
    <w:multiLevelType w:val="singleLevel"/>
    <w:tmpl w:val="9CAE5BE6"/>
    <w:lvl w:ilvl="0">
      <w:start w:val="1"/>
      <w:numFmt w:val="decimal"/>
      <w:lvlRestart w:val="0"/>
      <w:lvlText w:val="%1."/>
      <w:lvlJc w:val="left"/>
      <w:pPr>
        <w:tabs>
          <w:tab w:val="num" w:pos="475"/>
        </w:tabs>
        <w:ind w:left="0" w:firstLine="0"/>
      </w:pPr>
      <w:rPr>
        <w:i w:val="0"/>
        <w:iCs/>
        <w:spacing w:val="0"/>
        <w:w w:val="100"/>
      </w:rPr>
    </w:lvl>
  </w:abstractNum>
  <w:abstractNum w:abstractNumId="1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1" w15:restartNumberingAfterBreak="0">
    <w:nsid w:val="542E4345"/>
    <w:multiLevelType w:val="singleLevel"/>
    <w:tmpl w:val="9C0E359A"/>
    <w:lvl w:ilvl="0">
      <w:start w:val="224"/>
      <w:numFmt w:val="decimal"/>
      <w:lvlRestart w:val="0"/>
      <w:lvlText w:val="%1."/>
      <w:lvlJc w:val="left"/>
      <w:pPr>
        <w:tabs>
          <w:tab w:val="num" w:pos="475"/>
        </w:tabs>
        <w:ind w:left="0" w:firstLine="0"/>
      </w:pPr>
      <w:rPr>
        <w:b w:val="0"/>
        <w:bCs/>
        <w:spacing w:val="0"/>
        <w:w w:val="100"/>
      </w:rPr>
    </w:lvl>
  </w:abstractNum>
  <w:abstractNum w:abstractNumId="22" w15:restartNumberingAfterBreak="0">
    <w:nsid w:val="557402C9"/>
    <w:multiLevelType w:val="singleLevel"/>
    <w:tmpl w:val="C3F41870"/>
    <w:lvl w:ilvl="0">
      <w:start w:val="112"/>
      <w:numFmt w:val="decimal"/>
      <w:lvlRestart w:val="0"/>
      <w:lvlText w:val="%1."/>
      <w:lvlJc w:val="left"/>
      <w:pPr>
        <w:tabs>
          <w:tab w:val="num" w:pos="475"/>
        </w:tabs>
        <w:ind w:left="0" w:firstLine="0"/>
      </w:pPr>
      <w:rPr>
        <w:i w:val="0"/>
        <w:iCs/>
        <w:spacing w:val="0"/>
        <w:w w:val="100"/>
      </w:rPr>
    </w:lvl>
  </w:abstractNum>
  <w:abstractNum w:abstractNumId="23" w15:restartNumberingAfterBreak="0">
    <w:nsid w:val="55E02B29"/>
    <w:multiLevelType w:val="singleLevel"/>
    <w:tmpl w:val="68B07D98"/>
    <w:lvl w:ilvl="0">
      <w:start w:val="35"/>
      <w:numFmt w:val="decimal"/>
      <w:lvlRestart w:val="0"/>
      <w:lvlText w:val="%1."/>
      <w:lvlJc w:val="left"/>
      <w:pPr>
        <w:tabs>
          <w:tab w:val="num" w:pos="475"/>
        </w:tabs>
        <w:ind w:left="0" w:firstLine="0"/>
      </w:pPr>
      <w:rPr>
        <w:b w:val="0"/>
        <w:bCs/>
        <w:spacing w:val="0"/>
        <w:w w:val="100"/>
      </w:rPr>
    </w:lvl>
  </w:abstractNum>
  <w:abstractNum w:abstractNumId="24" w15:restartNumberingAfterBreak="0">
    <w:nsid w:val="577158F3"/>
    <w:multiLevelType w:val="singleLevel"/>
    <w:tmpl w:val="830CE442"/>
    <w:lvl w:ilvl="0">
      <w:start w:val="88"/>
      <w:numFmt w:val="decimal"/>
      <w:lvlRestart w:val="0"/>
      <w:lvlText w:val="%1."/>
      <w:lvlJc w:val="left"/>
      <w:pPr>
        <w:tabs>
          <w:tab w:val="num" w:pos="475"/>
        </w:tabs>
        <w:ind w:left="0" w:firstLine="0"/>
      </w:pPr>
      <w:rPr>
        <w:b w:val="0"/>
        <w:bCs/>
        <w:spacing w:val="0"/>
        <w:w w:val="100"/>
      </w:rPr>
    </w:lvl>
  </w:abstractNum>
  <w:abstractNum w:abstractNumId="25" w15:restartNumberingAfterBreak="0">
    <w:nsid w:val="59A97A6B"/>
    <w:multiLevelType w:val="singleLevel"/>
    <w:tmpl w:val="2CD8A8A6"/>
    <w:lvl w:ilvl="0">
      <w:start w:val="73"/>
      <w:numFmt w:val="decimal"/>
      <w:lvlRestart w:val="0"/>
      <w:lvlText w:val="%1."/>
      <w:lvlJc w:val="left"/>
      <w:pPr>
        <w:tabs>
          <w:tab w:val="num" w:pos="475"/>
        </w:tabs>
        <w:ind w:left="0" w:firstLine="0"/>
      </w:pPr>
      <w:rPr>
        <w:spacing w:val="0"/>
        <w:w w:val="100"/>
      </w:rPr>
    </w:lvl>
  </w:abstractNum>
  <w:abstractNum w:abstractNumId="26" w15:restartNumberingAfterBreak="0">
    <w:nsid w:val="5DC47B94"/>
    <w:multiLevelType w:val="singleLevel"/>
    <w:tmpl w:val="4D563354"/>
    <w:lvl w:ilvl="0">
      <w:start w:val="163"/>
      <w:numFmt w:val="decimal"/>
      <w:lvlRestart w:val="0"/>
      <w:lvlText w:val="%1."/>
      <w:lvlJc w:val="left"/>
      <w:pPr>
        <w:tabs>
          <w:tab w:val="num" w:pos="475"/>
        </w:tabs>
        <w:ind w:left="0" w:firstLine="0"/>
      </w:pPr>
      <w:rPr>
        <w:i w:val="0"/>
        <w:iCs/>
        <w:spacing w:val="0"/>
        <w:w w:val="100"/>
      </w:rPr>
    </w:lvl>
  </w:abstractNum>
  <w:abstractNum w:abstractNumId="2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8" w15:restartNumberingAfterBreak="0">
    <w:nsid w:val="63840717"/>
    <w:multiLevelType w:val="singleLevel"/>
    <w:tmpl w:val="56128B8A"/>
    <w:lvl w:ilvl="0">
      <w:start w:val="245"/>
      <w:numFmt w:val="decimal"/>
      <w:lvlRestart w:val="0"/>
      <w:lvlText w:val="%1."/>
      <w:lvlJc w:val="left"/>
      <w:pPr>
        <w:tabs>
          <w:tab w:val="num" w:pos="475"/>
        </w:tabs>
        <w:ind w:left="0" w:firstLine="0"/>
      </w:pPr>
      <w:rPr>
        <w:b w:val="0"/>
        <w:bCs/>
        <w:spacing w:val="0"/>
        <w:w w:val="100"/>
      </w:rPr>
    </w:lvl>
  </w:abstractNum>
  <w:abstractNum w:abstractNumId="29" w15:restartNumberingAfterBreak="0">
    <w:nsid w:val="67057585"/>
    <w:multiLevelType w:val="singleLevel"/>
    <w:tmpl w:val="D1DA1642"/>
    <w:lvl w:ilvl="0">
      <w:start w:val="66"/>
      <w:numFmt w:val="decimal"/>
      <w:lvlRestart w:val="0"/>
      <w:lvlText w:val="%1."/>
      <w:lvlJc w:val="left"/>
      <w:pPr>
        <w:tabs>
          <w:tab w:val="num" w:pos="475"/>
        </w:tabs>
        <w:ind w:left="0" w:firstLine="0"/>
      </w:pPr>
      <w:rPr>
        <w:b w:val="0"/>
        <w:bCs/>
        <w:spacing w:val="0"/>
        <w:w w:val="100"/>
      </w:rPr>
    </w:lvl>
  </w:abstractNum>
  <w:abstractNum w:abstractNumId="30" w15:restartNumberingAfterBreak="0">
    <w:nsid w:val="671F5D19"/>
    <w:multiLevelType w:val="singleLevel"/>
    <w:tmpl w:val="2CF0568A"/>
    <w:lvl w:ilvl="0">
      <w:start w:val="134"/>
      <w:numFmt w:val="decimal"/>
      <w:lvlRestart w:val="0"/>
      <w:lvlText w:val="%1."/>
      <w:lvlJc w:val="left"/>
      <w:pPr>
        <w:tabs>
          <w:tab w:val="num" w:pos="475"/>
        </w:tabs>
        <w:ind w:left="0" w:firstLine="0"/>
      </w:pPr>
      <w:rPr>
        <w:b w:val="0"/>
        <w:bCs/>
        <w:spacing w:val="0"/>
        <w:w w:val="100"/>
      </w:rPr>
    </w:lvl>
  </w:abstractNum>
  <w:abstractNum w:abstractNumId="31" w15:restartNumberingAfterBreak="0">
    <w:nsid w:val="68AD07B2"/>
    <w:multiLevelType w:val="hybridMultilevel"/>
    <w:tmpl w:val="7FEE3222"/>
    <w:lvl w:ilvl="0" w:tplc="532AC7DC">
      <w:start w:val="1"/>
      <w:numFmt w:val="bullet"/>
      <w:pStyle w:val="Bullet1G"/>
      <w:lvlText w:val="•"/>
      <w:lvlJc w:val="left"/>
      <w:pPr>
        <w:tabs>
          <w:tab w:val="num" w:pos="1701"/>
        </w:tabs>
        <w:ind w:left="1701" w:hanging="170"/>
      </w:pPr>
      <w:rPr>
        <w:rFonts w:ascii="Times New Roman" w:hAnsi="Times New Roman" w:cs="Times New Roman" w:hint="default"/>
      </w:rPr>
    </w:lvl>
    <w:lvl w:ilvl="1" w:tplc="CE10B404" w:tentative="1">
      <w:start w:val="1"/>
      <w:numFmt w:val="bullet"/>
      <w:lvlText w:val="o"/>
      <w:lvlJc w:val="left"/>
      <w:pPr>
        <w:tabs>
          <w:tab w:val="num" w:pos="3141"/>
        </w:tabs>
        <w:ind w:left="3141" w:hanging="360"/>
      </w:pPr>
      <w:rPr>
        <w:rFonts w:ascii="Courier New" w:hAnsi="Courier New" w:hint="default"/>
      </w:rPr>
    </w:lvl>
    <w:lvl w:ilvl="2" w:tplc="8D10279C" w:tentative="1">
      <w:start w:val="1"/>
      <w:numFmt w:val="bullet"/>
      <w:lvlText w:val=""/>
      <w:lvlJc w:val="left"/>
      <w:pPr>
        <w:tabs>
          <w:tab w:val="num" w:pos="3861"/>
        </w:tabs>
        <w:ind w:left="3861" w:hanging="360"/>
      </w:pPr>
      <w:rPr>
        <w:rFonts w:ascii="Wingdings" w:hAnsi="Wingdings" w:hint="default"/>
      </w:rPr>
    </w:lvl>
    <w:lvl w:ilvl="3" w:tplc="D6CE3AD4" w:tentative="1">
      <w:start w:val="1"/>
      <w:numFmt w:val="bullet"/>
      <w:lvlText w:val=""/>
      <w:lvlJc w:val="left"/>
      <w:pPr>
        <w:tabs>
          <w:tab w:val="num" w:pos="4581"/>
        </w:tabs>
        <w:ind w:left="4581" w:hanging="360"/>
      </w:pPr>
      <w:rPr>
        <w:rFonts w:ascii="Symbol" w:hAnsi="Symbol" w:hint="default"/>
      </w:rPr>
    </w:lvl>
    <w:lvl w:ilvl="4" w:tplc="51E2A054" w:tentative="1">
      <w:start w:val="1"/>
      <w:numFmt w:val="bullet"/>
      <w:lvlText w:val="o"/>
      <w:lvlJc w:val="left"/>
      <w:pPr>
        <w:tabs>
          <w:tab w:val="num" w:pos="5301"/>
        </w:tabs>
        <w:ind w:left="5301" w:hanging="360"/>
      </w:pPr>
      <w:rPr>
        <w:rFonts w:ascii="Courier New" w:hAnsi="Courier New" w:hint="default"/>
      </w:rPr>
    </w:lvl>
    <w:lvl w:ilvl="5" w:tplc="48D2ED46" w:tentative="1">
      <w:start w:val="1"/>
      <w:numFmt w:val="bullet"/>
      <w:lvlText w:val=""/>
      <w:lvlJc w:val="left"/>
      <w:pPr>
        <w:tabs>
          <w:tab w:val="num" w:pos="6021"/>
        </w:tabs>
        <w:ind w:left="6021" w:hanging="360"/>
      </w:pPr>
      <w:rPr>
        <w:rFonts w:ascii="Wingdings" w:hAnsi="Wingdings" w:hint="default"/>
      </w:rPr>
    </w:lvl>
    <w:lvl w:ilvl="6" w:tplc="24DA46AC" w:tentative="1">
      <w:start w:val="1"/>
      <w:numFmt w:val="bullet"/>
      <w:lvlText w:val=""/>
      <w:lvlJc w:val="left"/>
      <w:pPr>
        <w:tabs>
          <w:tab w:val="num" w:pos="6741"/>
        </w:tabs>
        <w:ind w:left="6741" w:hanging="360"/>
      </w:pPr>
      <w:rPr>
        <w:rFonts w:ascii="Symbol" w:hAnsi="Symbol" w:hint="default"/>
      </w:rPr>
    </w:lvl>
    <w:lvl w:ilvl="7" w:tplc="89B0C9F6" w:tentative="1">
      <w:start w:val="1"/>
      <w:numFmt w:val="bullet"/>
      <w:lvlText w:val="o"/>
      <w:lvlJc w:val="left"/>
      <w:pPr>
        <w:tabs>
          <w:tab w:val="num" w:pos="7461"/>
        </w:tabs>
        <w:ind w:left="7461" w:hanging="360"/>
      </w:pPr>
      <w:rPr>
        <w:rFonts w:ascii="Courier New" w:hAnsi="Courier New" w:hint="default"/>
      </w:rPr>
    </w:lvl>
    <w:lvl w:ilvl="8" w:tplc="696AA5F8"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9134F09"/>
    <w:multiLevelType w:val="multilevel"/>
    <w:tmpl w:val="47D8BE4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3" w15:restartNumberingAfterBreak="0">
    <w:nsid w:val="6BA55DFE"/>
    <w:multiLevelType w:val="singleLevel"/>
    <w:tmpl w:val="744609D4"/>
    <w:lvl w:ilvl="0">
      <w:start w:val="72"/>
      <w:numFmt w:val="decimal"/>
      <w:lvlRestart w:val="0"/>
      <w:lvlText w:val="%1."/>
      <w:lvlJc w:val="left"/>
      <w:pPr>
        <w:tabs>
          <w:tab w:val="num" w:pos="475"/>
        </w:tabs>
        <w:ind w:left="0" w:firstLine="0"/>
      </w:pPr>
      <w:rPr>
        <w:spacing w:val="0"/>
        <w:w w:val="100"/>
      </w:rPr>
    </w:lvl>
  </w:abstractNum>
  <w:abstractNum w:abstractNumId="34" w15:restartNumberingAfterBreak="0">
    <w:nsid w:val="6D3D1D1A"/>
    <w:multiLevelType w:val="singleLevel"/>
    <w:tmpl w:val="52C00E78"/>
    <w:lvl w:ilvl="0">
      <w:start w:val="63"/>
      <w:numFmt w:val="decimal"/>
      <w:lvlRestart w:val="0"/>
      <w:lvlText w:val="%1."/>
      <w:lvlJc w:val="left"/>
      <w:pPr>
        <w:tabs>
          <w:tab w:val="num" w:pos="475"/>
        </w:tabs>
        <w:ind w:left="0" w:firstLine="0"/>
      </w:pPr>
      <w:rPr>
        <w:b w:val="0"/>
        <w:bCs/>
        <w:spacing w:val="0"/>
        <w:w w:val="100"/>
      </w:rPr>
    </w:lvl>
  </w:abstractNum>
  <w:abstractNum w:abstractNumId="35" w15:restartNumberingAfterBreak="0">
    <w:nsid w:val="7F135E94"/>
    <w:multiLevelType w:val="singleLevel"/>
    <w:tmpl w:val="5A025CE6"/>
    <w:lvl w:ilvl="0">
      <w:start w:val="13"/>
      <w:numFmt w:val="decimal"/>
      <w:lvlRestart w:val="0"/>
      <w:lvlText w:val="%1."/>
      <w:lvlJc w:val="left"/>
      <w:pPr>
        <w:tabs>
          <w:tab w:val="num" w:pos="475"/>
        </w:tabs>
        <w:ind w:left="0" w:firstLine="0"/>
      </w:pPr>
      <w:rPr>
        <w:b w:val="0"/>
        <w:bCs/>
        <w:spacing w:val="0"/>
        <w:w w:val="100"/>
      </w:rPr>
    </w:lvl>
  </w:abstractNum>
  <w:num w:numId="1" w16cid:durableId="2010522587">
    <w:abstractNumId w:val="27"/>
  </w:num>
  <w:num w:numId="2" w16cid:durableId="813327404">
    <w:abstractNumId w:val="5"/>
  </w:num>
  <w:num w:numId="3" w16cid:durableId="1219127384">
    <w:abstractNumId w:val="20"/>
  </w:num>
  <w:num w:numId="4" w16cid:durableId="1753889946">
    <w:abstractNumId w:val="19"/>
  </w:num>
  <w:num w:numId="5" w16cid:durableId="850919958">
    <w:abstractNumId w:val="18"/>
  </w:num>
  <w:num w:numId="6" w16cid:durableId="684331338">
    <w:abstractNumId w:val="31"/>
  </w:num>
  <w:num w:numId="7" w16cid:durableId="30501786">
    <w:abstractNumId w:val="17"/>
  </w:num>
  <w:num w:numId="8" w16cid:durableId="1839997224">
    <w:abstractNumId w:val="9"/>
  </w:num>
  <w:num w:numId="9" w16cid:durableId="429816374">
    <w:abstractNumId w:val="10"/>
  </w:num>
  <w:num w:numId="10" w16cid:durableId="1860314313">
    <w:abstractNumId w:val="35"/>
  </w:num>
  <w:num w:numId="11" w16cid:durableId="1697610311">
    <w:abstractNumId w:val="23"/>
  </w:num>
  <w:num w:numId="12" w16cid:durableId="907695045">
    <w:abstractNumId w:val="34"/>
  </w:num>
  <w:num w:numId="13" w16cid:durableId="1261257292">
    <w:abstractNumId w:val="6"/>
  </w:num>
  <w:num w:numId="14" w16cid:durableId="1397823705">
    <w:abstractNumId w:val="29"/>
  </w:num>
  <w:num w:numId="15" w16cid:durableId="1235507441">
    <w:abstractNumId w:val="25"/>
  </w:num>
  <w:num w:numId="16" w16cid:durableId="358239316">
    <w:abstractNumId w:val="33"/>
  </w:num>
  <w:num w:numId="17" w16cid:durableId="1904172952">
    <w:abstractNumId w:val="0"/>
  </w:num>
  <w:num w:numId="18" w16cid:durableId="1133519597">
    <w:abstractNumId w:val="7"/>
  </w:num>
  <w:num w:numId="19" w16cid:durableId="1030180711">
    <w:abstractNumId w:val="24"/>
  </w:num>
  <w:num w:numId="20" w16cid:durableId="1928151522">
    <w:abstractNumId w:val="15"/>
  </w:num>
  <w:num w:numId="21" w16cid:durableId="1031999249">
    <w:abstractNumId w:val="16"/>
  </w:num>
  <w:num w:numId="22" w16cid:durableId="742292018">
    <w:abstractNumId w:val="4"/>
  </w:num>
  <w:num w:numId="23" w16cid:durableId="277031111">
    <w:abstractNumId w:val="1"/>
  </w:num>
  <w:num w:numId="24" w16cid:durableId="1289437106">
    <w:abstractNumId w:val="22"/>
  </w:num>
  <w:num w:numId="25" w16cid:durableId="887689101">
    <w:abstractNumId w:val="14"/>
  </w:num>
  <w:num w:numId="26" w16cid:durableId="359090610">
    <w:abstractNumId w:val="30"/>
  </w:num>
  <w:num w:numId="27" w16cid:durableId="1374772201">
    <w:abstractNumId w:val="13"/>
  </w:num>
  <w:num w:numId="28" w16cid:durableId="405687776">
    <w:abstractNumId w:val="26"/>
  </w:num>
  <w:num w:numId="29" w16cid:durableId="727802967">
    <w:abstractNumId w:val="12"/>
  </w:num>
  <w:num w:numId="30" w16cid:durableId="1350525792">
    <w:abstractNumId w:val="11"/>
  </w:num>
  <w:num w:numId="31" w16cid:durableId="822696416">
    <w:abstractNumId w:val="2"/>
  </w:num>
  <w:num w:numId="32" w16cid:durableId="825241698">
    <w:abstractNumId w:val="21"/>
  </w:num>
  <w:num w:numId="33" w16cid:durableId="1852842084">
    <w:abstractNumId w:val="28"/>
  </w:num>
  <w:num w:numId="34" w16cid:durableId="938484411">
    <w:abstractNumId w:val="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revisionView w:markup="0"/>
  <w:defaultTabStop w:val="475"/>
  <w:autoHyphenation/>
  <w:hyphenationZone w:val="42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8047*"/>
    <w:docVar w:name="CreationDt" w:val="01/02/2023 1:13: PM"/>
    <w:docVar w:name="DocCategory" w:val="Doc"/>
    <w:docVar w:name="DocType" w:val="Final"/>
    <w:docVar w:name="DutyStation" w:val="New York"/>
    <w:docVar w:name="FooterJN" w:val="22-28047"/>
    <w:docVar w:name="jobn" w:val="22-28047 (S)"/>
    <w:docVar w:name="jobnDT" w:val="22-28047 (S)   010223"/>
    <w:docVar w:name="jobnDTDT" w:val="22-28047 (S)   010223   010223"/>
    <w:docVar w:name="JobNo" w:val="2228047S"/>
    <w:docVar w:name="JobNo2" w:val="22743191:13: PM"/>
    <w:docVar w:name="LocalDrive" w:val="0"/>
    <w:docVar w:name="OandT" w:val="mtdk/Mónica B."/>
    <w:docVar w:name="sss1" w:val="CEDAW/C/BTN/10"/>
    <w:docVar w:name="sss2" w:val="-"/>
    <w:docVar w:name="Symbol1" w:val="CEDAW/C/BTN/10"/>
    <w:docVar w:name="Symbol2" w:val="-"/>
    <w:docVar w:name="Title1" w:val="_x0009__x0009_Décimo informe periódico que Bhután debía presentar en 2020 en virtud del artículo 18 de la Convención*,**_x000d_"/>
  </w:docVars>
  <w:rsids>
    <w:rsidRoot w:val="00CE69BB"/>
    <w:rsid w:val="00002584"/>
    <w:rsid w:val="00014C92"/>
    <w:rsid w:val="000275C4"/>
    <w:rsid w:val="0003003C"/>
    <w:rsid w:val="00034227"/>
    <w:rsid w:val="000507C2"/>
    <w:rsid w:val="0006491F"/>
    <w:rsid w:val="00067B89"/>
    <w:rsid w:val="00071D43"/>
    <w:rsid w:val="000734CC"/>
    <w:rsid w:val="00082144"/>
    <w:rsid w:val="000841EC"/>
    <w:rsid w:val="000C5F29"/>
    <w:rsid w:val="000E0A1C"/>
    <w:rsid w:val="000F1F99"/>
    <w:rsid w:val="00101B18"/>
    <w:rsid w:val="00113A03"/>
    <w:rsid w:val="00117EA0"/>
    <w:rsid w:val="00122A56"/>
    <w:rsid w:val="0012379E"/>
    <w:rsid w:val="00134FEE"/>
    <w:rsid w:val="00146C6A"/>
    <w:rsid w:val="00147570"/>
    <w:rsid w:val="00150ED3"/>
    <w:rsid w:val="00151388"/>
    <w:rsid w:val="001532E4"/>
    <w:rsid w:val="0015476D"/>
    <w:rsid w:val="00155173"/>
    <w:rsid w:val="00166A0D"/>
    <w:rsid w:val="001709CD"/>
    <w:rsid w:val="00197DF6"/>
    <w:rsid w:val="001A416F"/>
    <w:rsid w:val="001B36AA"/>
    <w:rsid w:val="001C032A"/>
    <w:rsid w:val="001D5969"/>
    <w:rsid w:val="001E4B50"/>
    <w:rsid w:val="00210CBE"/>
    <w:rsid w:val="00241B93"/>
    <w:rsid w:val="002478A0"/>
    <w:rsid w:val="00274406"/>
    <w:rsid w:val="002766D2"/>
    <w:rsid w:val="0027678A"/>
    <w:rsid w:val="00297068"/>
    <w:rsid w:val="002A0713"/>
    <w:rsid w:val="002A5E20"/>
    <w:rsid w:val="002B7BFD"/>
    <w:rsid w:val="002C514C"/>
    <w:rsid w:val="002D1584"/>
    <w:rsid w:val="002D657E"/>
    <w:rsid w:val="00304428"/>
    <w:rsid w:val="00356DCA"/>
    <w:rsid w:val="00366D21"/>
    <w:rsid w:val="00376723"/>
    <w:rsid w:val="0039127C"/>
    <w:rsid w:val="003917D2"/>
    <w:rsid w:val="003A675A"/>
    <w:rsid w:val="003B0329"/>
    <w:rsid w:val="003B24AA"/>
    <w:rsid w:val="003D096D"/>
    <w:rsid w:val="003D4D35"/>
    <w:rsid w:val="003F61E1"/>
    <w:rsid w:val="00406E40"/>
    <w:rsid w:val="00407BFE"/>
    <w:rsid w:val="00415E1D"/>
    <w:rsid w:val="00416C8C"/>
    <w:rsid w:val="0042084F"/>
    <w:rsid w:val="00422B21"/>
    <w:rsid w:val="00431E47"/>
    <w:rsid w:val="00440C93"/>
    <w:rsid w:val="00441966"/>
    <w:rsid w:val="0045483E"/>
    <w:rsid w:val="00480B84"/>
    <w:rsid w:val="00482119"/>
    <w:rsid w:val="004A68D2"/>
    <w:rsid w:val="004B64F9"/>
    <w:rsid w:val="004C1A25"/>
    <w:rsid w:val="004D34B9"/>
    <w:rsid w:val="004E18C2"/>
    <w:rsid w:val="00511415"/>
    <w:rsid w:val="005118E7"/>
    <w:rsid w:val="00515991"/>
    <w:rsid w:val="005225EC"/>
    <w:rsid w:val="00525097"/>
    <w:rsid w:val="005509B6"/>
    <w:rsid w:val="005775D9"/>
    <w:rsid w:val="00587976"/>
    <w:rsid w:val="0059760E"/>
    <w:rsid w:val="00597E58"/>
    <w:rsid w:val="005A45E8"/>
    <w:rsid w:val="005A6563"/>
    <w:rsid w:val="005F1F5F"/>
    <w:rsid w:val="0062157E"/>
    <w:rsid w:val="00622288"/>
    <w:rsid w:val="0062657C"/>
    <w:rsid w:val="00632C10"/>
    <w:rsid w:val="0064594A"/>
    <w:rsid w:val="00657C5A"/>
    <w:rsid w:val="00690297"/>
    <w:rsid w:val="00690698"/>
    <w:rsid w:val="0069302C"/>
    <w:rsid w:val="006B06EA"/>
    <w:rsid w:val="006B1375"/>
    <w:rsid w:val="006D4ADC"/>
    <w:rsid w:val="006E4A4B"/>
    <w:rsid w:val="0070157C"/>
    <w:rsid w:val="00703106"/>
    <w:rsid w:val="0073090F"/>
    <w:rsid w:val="00733A73"/>
    <w:rsid w:val="007459AE"/>
    <w:rsid w:val="007526FF"/>
    <w:rsid w:val="007531A5"/>
    <w:rsid w:val="00753D8A"/>
    <w:rsid w:val="00771C9E"/>
    <w:rsid w:val="0077325D"/>
    <w:rsid w:val="00775146"/>
    <w:rsid w:val="00782D02"/>
    <w:rsid w:val="00783685"/>
    <w:rsid w:val="00786ED6"/>
    <w:rsid w:val="00791374"/>
    <w:rsid w:val="007B49DA"/>
    <w:rsid w:val="007C7EFA"/>
    <w:rsid w:val="007F39D5"/>
    <w:rsid w:val="007F535D"/>
    <w:rsid w:val="00807B29"/>
    <w:rsid w:val="0081057B"/>
    <w:rsid w:val="0082045E"/>
    <w:rsid w:val="00820F19"/>
    <w:rsid w:val="008222A3"/>
    <w:rsid w:val="00840664"/>
    <w:rsid w:val="008B3A41"/>
    <w:rsid w:val="008B3FC7"/>
    <w:rsid w:val="008B6ADF"/>
    <w:rsid w:val="008E3857"/>
    <w:rsid w:val="008E75B7"/>
    <w:rsid w:val="008F3462"/>
    <w:rsid w:val="008F60EA"/>
    <w:rsid w:val="00935932"/>
    <w:rsid w:val="00943EBF"/>
    <w:rsid w:val="009559A6"/>
    <w:rsid w:val="009867A7"/>
    <w:rsid w:val="00987EB2"/>
    <w:rsid w:val="00993CB7"/>
    <w:rsid w:val="009A0349"/>
    <w:rsid w:val="009C5604"/>
    <w:rsid w:val="009D0EE3"/>
    <w:rsid w:val="009D53BC"/>
    <w:rsid w:val="009E6E53"/>
    <w:rsid w:val="00A03160"/>
    <w:rsid w:val="00A1038C"/>
    <w:rsid w:val="00A20BBD"/>
    <w:rsid w:val="00A2494D"/>
    <w:rsid w:val="00A31C1D"/>
    <w:rsid w:val="00A45A00"/>
    <w:rsid w:val="00A536A1"/>
    <w:rsid w:val="00AB0B7D"/>
    <w:rsid w:val="00AC534B"/>
    <w:rsid w:val="00AD5F2F"/>
    <w:rsid w:val="00AF4336"/>
    <w:rsid w:val="00B034B8"/>
    <w:rsid w:val="00B114E4"/>
    <w:rsid w:val="00B118FF"/>
    <w:rsid w:val="00B21F8E"/>
    <w:rsid w:val="00B373AE"/>
    <w:rsid w:val="00B858D5"/>
    <w:rsid w:val="00B93F14"/>
    <w:rsid w:val="00B9423B"/>
    <w:rsid w:val="00BA2B1A"/>
    <w:rsid w:val="00BB462D"/>
    <w:rsid w:val="00BD113B"/>
    <w:rsid w:val="00BE0538"/>
    <w:rsid w:val="00BF3F53"/>
    <w:rsid w:val="00C026EE"/>
    <w:rsid w:val="00C0431C"/>
    <w:rsid w:val="00C07FF6"/>
    <w:rsid w:val="00C21F31"/>
    <w:rsid w:val="00C32BC2"/>
    <w:rsid w:val="00C36A39"/>
    <w:rsid w:val="00C41E16"/>
    <w:rsid w:val="00C43505"/>
    <w:rsid w:val="00C5036A"/>
    <w:rsid w:val="00C77961"/>
    <w:rsid w:val="00C829B9"/>
    <w:rsid w:val="00CA0AD0"/>
    <w:rsid w:val="00CA5A38"/>
    <w:rsid w:val="00CB06FB"/>
    <w:rsid w:val="00CB2973"/>
    <w:rsid w:val="00CB63C5"/>
    <w:rsid w:val="00CD73E4"/>
    <w:rsid w:val="00CE063F"/>
    <w:rsid w:val="00CE69BB"/>
    <w:rsid w:val="00CF3BE3"/>
    <w:rsid w:val="00CF70BE"/>
    <w:rsid w:val="00D0035F"/>
    <w:rsid w:val="00D3073B"/>
    <w:rsid w:val="00D30EED"/>
    <w:rsid w:val="00D51B27"/>
    <w:rsid w:val="00D56771"/>
    <w:rsid w:val="00D60C1E"/>
    <w:rsid w:val="00D60F91"/>
    <w:rsid w:val="00D841E3"/>
    <w:rsid w:val="00D9207C"/>
    <w:rsid w:val="00DA35FC"/>
    <w:rsid w:val="00DB1527"/>
    <w:rsid w:val="00DB32F0"/>
    <w:rsid w:val="00DB66DE"/>
    <w:rsid w:val="00DC244B"/>
    <w:rsid w:val="00DC7881"/>
    <w:rsid w:val="00DD01E2"/>
    <w:rsid w:val="00DD5701"/>
    <w:rsid w:val="00DE2814"/>
    <w:rsid w:val="00E02158"/>
    <w:rsid w:val="00E10BA8"/>
    <w:rsid w:val="00E117BC"/>
    <w:rsid w:val="00E16B33"/>
    <w:rsid w:val="00E242D0"/>
    <w:rsid w:val="00E3199C"/>
    <w:rsid w:val="00E343A6"/>
    <w:rsid w:val="00E4164C"/>
    <w:rsid w:val="00E443AC"/>
    <w:rsid w:val="00E47A1E"/>
    <w:rsid w:val="00E50405"/>
    <w:rsid w:val="00E517AD"/>
    <w:rsid w:val="00E7105F"/>
    <w:rsid w:val="00E71834"/>
    <w:rsid w:val="00E77F78"/>
    <w:rsid w:val="00E818DE"/>
    <w:rsid w:val="00E87A04"/>
    <w:rsid w:val="00E97895"/>
    <w:rsid w:val="00ED471D"/>
    <w:rsid w:val="00EE37EC"/>
    <w:rsid w:val="00EF05A3"/>
    <w:rsid w:val="00EF2DFA"/>
    <w:rsid w:val="00EF5972"/>
    <w:rsid w:val="00F0704E"/>
    <w:rsid w:val="00F23EFC"/>
    <w:rsid w:val="00F272D7"/>
    <w:rsid w:val="00F313F6"/>
    <w:rsid w:val="00F5012D"/>
    <w:rsid w:val="00F7179D"/>
    <w:rsid w:val="00F73093"/>
    <w:rsid w:val="00F873D4"/>
    <w:rsid w:val="00FA3D05"/>
    <w:rsid w:val="00FA5CC9"/>
    <w:rsid w:val="00FB0A2C"/>
    <w:rsid w:val="00FC4479"/>
    <w:rsid w:val="00FC5259"/>
    <w:rsid w:val="00FC59F1"/>
    <w:rsid w:val="00FD4FE8"/>
    <w:rsid w:val="00FD69B1"/>
    <w:rsid w:val="00FD6B81"/>
    <w:rsid w:val="00FF00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0872E50"/>
  <w15:chartTrackingRefBased/>
  <w15:docId w15:val="{22B7890B-4652-49AB-9262-CA80BBEDA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B1A"/>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BA2B1A"/>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A2B1A"/>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A2B1A"/>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BA2B1A"/>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BA2B1A"/>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BA2B1A"/>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A2B1A"/>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A2B1A"/>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A2B1A"/>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A2B1A"/>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BA2B1A"/>
    <w:pPr>
      <w:spacing w:line="360" w:lineRule="exact"/>
    </w:pPr>
    <w:rPr>
      <w:spacing w:val="-3"/>
      <w:w w:val="99"/>
      <w:sz w:val="34"/>
    </w:rPr>
  </w:style>
  <w:style w:type="paragraph" w:customStyle="1" w:styleId="H23">
    <w:name w:val="_ H_2/3"/>
    <w:basedOn w:val="H1"/>
    <w:next w:val="SingleTxt"/>
    <w:qFormat/>
    <w:rsid w:val="00BA2B1A"/>
    <w:pPr>
      <w:spacing w:line="240" w:lineRule="exact"/>
      <w:outlineLvl w:val="1"/>
    </w:pPr>
    <w:rPr>
      <w:spacing w:val="2"/>
      <w:sz w:val="20"/>
    </w:rPr>
  </w:style>
  <w:style w:type="paragraph" w:customStyle="1" w:styleId="H4">
    <w:name w:val="_ H_4"/>
    <w:basedOn w:val="Normal"/>
    <w:next w:val="Normal"/>
    <w:qFormat/>
    <w:rsid w:val="00BA2B1A"/>
    <w:pPr>
      <w:keepNext/>
      <w:keepLines/>
      <w:tabs>
        <w:tab w:val="right" w:pos="360"/>
      </w:tabs>
      <w:outlineLvl w:val="3"/>
    </w:pPr>
    <w:rPr>
      <w:i/>
      <w:spacing w:val="3"/>
      <w:kern w:val="14"/>
    </w:rPr>
  </w:style>
  <w:style w:type="paragraph" w:customStyle="1" w:styleId="H56">
    <w:name w:val="_ H_5/6"/>
    <w:basedOn w:val="Normal"/>
    <w:next w:val="Normal"/>
    <w:qFormat/>
    <w:rsid w:val="00BA2B1A"/>
    <w:pPr>
      <w:keepNext/>
      <w:keepLines/>
      <w:tabs>
        <w:tab w:val="right" w:pos="360"/>
      </w:tabs>
      <w:outlineLvl w:val="4"/>
    </w:pPr>
    <w:rPr>
      <w:kern w:val="14"/>
    </w:rPr>
  </w:style>
  <w:style w:type="paragraph" w:customStyle="1" w:styleId="DualTxt">
    <w:name w:val="__Dual Txt"/>
    <w:basedOn w:val="Normal"/>
    <w:qFormat/>
    <w:rsid w:val="00BA2B1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A2B1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A2B1A"/>
    <w:pPr>
      <w:spacing w:line="540" w:lineRule="exact"/>
    </w:pPr>
    <w:rPr>
      <w:spacing w:val="-8"/>
      <w:w w:val="96"/>
      <w:sz w:val="57"/>
    </w:rPr>
  </w:style>
  <w:style w:type="paragraph" w:customStyle="1" w:styleId="SS">
    <w:name w:val="__S_S"/>
    <w:basedOn w:val="HCh0"/>
    <w:next w:val="Normal"/>
    <w:qFormat/>
    <w:rsid w:val="00BA2B1A"/>
    <w:pPr>
      <w:ind w:left="1267" w:right="1267"/>
    </w:pPr>
  </w:style>
  <w:style w:type="paragraph" w:customStyle="1" w:styleId="SingleTxt">
    <w:name w:val="__Single Txt"/>
    <w:basedOn w:val="Normal"/>
    <w:link w:val="SingleTxtChar"/>
    <w:qFormat/>
    <w:rsid w:val="00BA2B1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A2B1A"/>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A2B1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A2B1A"/>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BA2B1A"/>
    <w:rPr>
      <w:rFonts w:ascii="Tahoma" w:hAnsi="Tahoma" w:cs="Tahoma"/>
      <w:sz w:val="16"/>
      <w:szCs w:val="16"/>
    </w:rPr>
  </w:style>
  <w:style w:type="character" w:customStyle="1" w:styleId="BalloonTextChar">
    <w:name w:val="Balloon Text Char"/>
    <w:basedOn w:val="DefaultParagraphFont"/>
    <w:link w:val="BalloonText"/>
    <w:semiHidden/>
    <w:rsid w:val="00BA2B1A"/>
    <w:rPr>
      <w:rFonts w:ascii="Tahoma" w:eastAsiaTheme="minorHAnsi" w:hAnsi="Tahoma" w:cs="Tahoma"/>
      <w:spacing w:val="4"/>
      <w:w w:val="103"/>
      <w:sz w:val="16"/>
      <w:szCs w:val="16"/>
      <w:lang w:val="es-ES" w:eastAsia="en-US"/>
    </w:rPr>
  </w:style>
  <w:style w:type="paragraph" w:customStyle="1" w:styleId="Bullet1">
    <w:name w:val="Bullet 1"/>
    <w:basedOn w:val="Normal"/>
    <w:qFormat/>
    <w:rsid w:val="00BA2B1A"/>
    <w:pPr>
      <w:numPr>
        <w:numId w:val="1"/>
      </w:numPr>
      <w:spacing w:after="120"/>
      <w:ind w:right="1264"/>
      <w:jc w:val="both"/>
    </w:pPr>
  </w:style>
  <w:style w:type="paragraph" w:customStyle="1" w:styleId="Bullet2">
    <w:name w:val="Bullet 2"/>
    <w:basedOn w:val="Normal"/>
    <w:qFormat/>
    <w:rsid w:val="00BA2B1A"/>
    <w:pPr>
      <w:numPr>
        <w:numId w:val="2"/>
      </w:numPr>
      <w:spacing w:after="120"/>
      <w:ind w:right="1264"/>
      <w:jc w:val="both"/>
    </w:pPr>
  </w:style>
  <w:style w:type="paragraph" w:customStyle="1" w:styleId="Bullet3">
    <w:name w:val="Bullet 3"/>
    <w:basedOn w:val="SingleTxt"/>
    <w:qFormat/>
    <w:rsid w:val="00BA2B1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A2B1A"/>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BA2B1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BA2B1A"/>
    <w:pPr>
      <w:spacing w:after="80"/>
    </w:pPr>
  </w:style>
  <w:style w:type="character" w:customStyle="1" w:styleId="EndnoteTextChar">
    <w:name w:val="Endnote Text Char"/>
    <w:basedOn w:val="DefaultParagraphFont"/>
    <w:link w:val="EndnoteText"/>
    <w:semiHidden/>
    <w:rsid w:val="00BA2B1A"/>
    <w:rPr>
      <w:rFonts w:ascii="Times New Roman" w:eastAsiaTheme="minorHAnsi" w:hAnsi="Times New Roman" w:cs="Times New Roman"/>
      <w:spacing w:val="5"/>
      <w:w w:val="104"/>
      <w:sz w:val="17"/>
      <w:lang w:val="es-ES" w:eastAsia="en-US"/>
    </w:rPr>
  </w:style>
  <w:style w:type="paragraph" w:styleId="Footer">
    <w:name w:val="footer"/>
    <w:link w:val="FooterChar"/>
    <w:qFormat/>
    <w:rsid w:val="00BA2B1A"/>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BA2B1A"/>
    <w:rPr>
      <w:rFonts w:ascii="Times New Roman" w:eastAsiaTheme="minorHAnsi" w:hAnsi="Times New Roman" w:cs="Times New Roman"/>
      <w:b/>
      <w:noProof/>
      <w:sz w:val="17"/>
      <w:lang w:val="en-US" w:eastAsia="en-US"/>
    </w:rPr>
  </w:style>
  <w:style w:type="character" w:styleId="FootnoteReference">
    <w:name w:val="footnote reference"/>
    <w:aliases w:val="4_G"/>
    <w:uiPriority w:val="99"/>
    <w:qFormat/>
    <w:rsid w:val="00BA2B1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BA2B1A"/>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BA2B1A"/>
    <w:rPr>
      <w:rFonts w:ascii="Times New Roman" w:eastAsiaTheme="minorHAnsi" w:hAnsi="Times New Roman" w:cs="Times New Roman"/>
      <w:spacing w:val="5"/>
      <w:w w:val="104"/>
      <w:sz w:val="17"/>
      <w:lang w:val="es-ES" w:eastAsia="en-US"/>
    </w:rPr>
  </w:style>
  <w:style w:type="paragraph" w:styleId="Header">
    <w:name w:val="header"/>
    <w:link w:val="HeaderChar"/>
    <w:qFormat/>
    <w:rsid w:val="00BA2B1A"/>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BA2B1A"/>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A2B1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A2B1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A2B1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BA2B1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BA2B1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BA2B1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A2B1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A2B1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A2B1A"/>
    <w:rPr>
      <w:rFonts w:ascii="Cambria" w:eastAsia="Times New Roman" w:hAnsi="Cambria" w:cs="Times New Roman"/>
      <w:i/>
      <w:iCs/>
      <w:spacing w:val="5"/>
      <w:w w:val="103"/>
      <w:sz w:val="20"/>
      <w:szCs w:val="20"/>
      <w:lang w:val="es-ES" w:eastAsia="en-US"/>
    </w:rPr>
  </w:style>
  <w:style w:type="character" w:styleId="LineNumber">
    <w:name w:val="line number"/>
    <w:qFormat/>
    <w:rsid w:val="00BA2B1A"/>
    <w:rPr>
      <w:sz w:val="14"/>
    </w:rPr>
  </w:style>
  <w:style w:type="paragraph" w:styleId="ListParagraph">
    <w:name w:val="List Paragraph"/>
    <w:basedOn w:val="Normal"/>
    <w:uiPriority w:val="34"/>
    <w:qFormat/>
    <w:rsid w:val="00BD113B"/>
    <w:pPr>
      <w:ind w:left="720"/>
      <w:contextualSpacing/>
    </w:pPr>
  </w:style>
  <w:style w:type="paragraph" w:styleId="NoSpacing">
    <w:name w:val="No Spacing"/>
    <w:basedOn w:val="Normal"/>
    <w:uiPriority w:val="1"/>
    <w:rsid w:val="00BA2B1A"/>
    <w:pPr>
      <w:spacing w:line="240" w:lineRule="auto"/>
    </w:pPr>
  </w:style>
  <w:style w:type="paragraph" w:customStyle="1" w:styleId="Original">
    <w:name w:val="Original"/>
    <w:next w:val="Normal"/>
    <w:autoRedefine/>
    <w:qFormat/>
    <w:rsid w:val="00BA2B1A"/>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BA2B1A"/>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A2B1A"/>
    <w:pPr>
      <w:tabs>
        <w:tab w:val="right" w:pos="9965"/>
      </w:tabs>
      <w:spacing w:line="210" w:lineRule="exact"/>
    </w:pPr>
    <w:rPr>
      <w:spacing w:val="5"/>
      <w:w w:val="104"/>
      <w:kern w:val="14"/>
      <w:sz w:val="17"/>
    </w:rPr>
  </w:style>
  <w:style w:type="paragraph" w:customStyle="1" w:styleId="SmallX">
    <w:name w:val="SmallX"/>
    <w:basedOn w:val="Small"/>
    <w:next w:val="Normal"/>
    <w:qFormat/>
    <w:rsid w:val="00BA2B1A"/>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BA2B1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A2B1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A2B1A"/>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BA2B1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BA2B1A"/>
    <w:pPr>
      <w:spacing w:line="300" w:lineRule="exact"/>
    </w:pPr>
    <w:rPr>
      <w:spacing w:val="-2"/>
      <w:sz w:val="28"/>
    </w:rPr>
  </w:style>
  <w:style w:type="paragraph" w:styleId="Caption">
    <w:name w:val="caption"/>
    <w:basedOn w:val="Normal"/>
    <w:next w:val="Normal"/>
    <w:uiPriority w:val="35"/>
    <w:semiHidden/>
    <w:unhideWhenUsed/>
    <w:rsid w:val="00BA2B1A"/>
    <w:pPr>
      <w:spacing w:line="240" w:lineRule="auto"/>
    </w:pPr>
    <w:rPr>
      <w:b/>
      <w:bCs/>
      <w:color w:val="4F81BD"/>
      <w:sz w:val="18"/>
      <w:szCs w:val="18"/>
    </w:rPr>
  </w:style>
  <w:style w:type="character" w:styleId="CommentReference">
    <w:name w:val="annotation reference"/>
    <w:uiPriority w:val="99"/>
    <w:semiHidden/>
    <w:rsid w:val="00BA2B1A"/>
    <w:rPr>
      <w:sz w:val="6"/>
    </w:rPr>
  </w:style>
  <w:style w:type="paragraph" w:customStyle="1" w:styleId="HdBanner">
    <w:name w:val="Hd Banner"/>
    <w:basedOn w:val="Normal"/>
    <w:next w:val="Normal"/>
    <w:qFormat/>
    <w:rsid w:val="00BA2B1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A2B1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A2B1A"/>
    <w:pPr>
      <w:spacing w:before="240"/>
    </w:pPr>
    <w:rPr>
      <w:b/>
      <w:spacing w:val="-2"/>
      <w:w w:val="100"/>
    </w:rPr>
  </w:style>
  <w:style w:type="paragraph" w:customStyle="1" w:styleId="HdChapterBdLg">
    <w:name w:val="Hd Chapter Bd Lg"/>
    <w:basedOn w:val="HdChapterBD"/>
    <w:next w:val="Normal"/>
    <w:qFormat/>
    <w:rsid w:val="00BA2B1A"/>
    <w:rPr>
      <w:spacing w:val="-3"/>
      <w:w w:val="99"/>
      <w:kern w:val="14"/>
      <w:sz w:val="34"/>
      <w:szCs w:val="34"/>
    </w:rPr>
  </w:style>
  <w:style w:type="paragraph" w:customStyle="1" w:styleId="JournalHeading1">
    <w:name w:val="Journal_Heading1"/>
    <w:basedOn w:val="Normal"/>
    <w:next w:val="Normal"/>
    <w:qFormat/>
    <w:rsid w:val="00BA2B1A"/>
    <w:pPr>
      <w:keepNext/>
      <w:spacing w:before="190" w:line="270" w:lineRule="exact"/>
    </w:pPr>
    <w:rPr>
      <w:b/>
      <w:kern w:val="14"/>
      <w:sz w:val="24"/>
    </w:rPr>
  </w:style>
  <w:style w:type="paragraph" w:customStyle="1" w:styleId="JournalHeading2">
    <w:name w:val="Journal_Heading2"/>
    <w:basedOn w:val="Normal"/>
    <w:next w:val="Normal"/>
    <w:qFormat/>
    <w:rsid w:val="00BA2B1A"/>
    <w:pPr>
      <w:keepNext/>
      <w:keepLines/>
      <w:spacing w:before="240"/>
      <w:outlineLvl w:val="1"/>
    </w:pPr>
    <w:rPr>
      <w:b/>
      <w:spacing w:val="2"/>
      <w:kern w:val="14"/>
    </w:rPr>
  </w:style>
  <w:style w:type="paragraph" w:customStyle="1" w:styleId="JournalHeading4">
    <w:name w:val="Journal_Heading4"/>
    <w:basedOn w:val="Normal"/>
    <w:next w:val="Normal"/>
    <w:qFormat/>
    <w:rsid w:val="00BA2B1A"/>
    <w:pPr>
      <w:keepNext/>
      <w:keepLines/>
      <w:spacing w:before="240"/>
      <w:outlineLvl w:val="3"/>
    </w:pPr>
    <w:rPr>
      <w:i/>
      <w:kern w:val="14"/>
    </w:rPr>
  </w:style>
  <w:style w:type="paragraph" w:customStyle="1" w:styleId="NormalBullet">
    <w:name w:val="Normal Bullet"/>
    <w:basedOn w:val="Normal"/>
    <w:next w:val="Normal"/>
    <w:qFormat/>
    <w:rsid w:val="00BA2B1A"/>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BA2B1A"/>
    <w:pPr>
      <w:tabs>
        <w:tab w:val="left" w:leader="dot" w:pos="2218"/>
        <w:tab w:val="left" w:pos="2707"/>
        <w:tab w:val="right" w:leader="dot" w:pos="9835"/>
      </w:tabs>
    </w:pPr>
    <w:rPr>
      <w:kern w:val="14"/>
    </w:rPr>
  </w:style>
  <w:style w:type="paragraph" w:customStyle="1" w:styleId="ReleaseDate0">
    <w:name w:val="ReleaseDate"/>
    <w:next w:val="Footer"/>
    <w:autoRedefine/>
    <w:qFormat/>
    <w:rsid w:val="00BA2B1A"/>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BA2B1A"/>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BA2B1A"/>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unhideWhenUsed/>
    <w:rsid w:val="00034227"/>
    <w:pPr>
      <w:spacing w:line="240" w:lineRule="auto"/>
    </w:pPr>
    <w:rPr>
      <w:szCs w:val="20"/>
    </w:rPr>
  </w:style>
  <w:style w:type="character" w:customStyle="1" w:styleId="CommentTextChar">
    <w:name w:val="Comment Text Char"/>
    <w:basedOn w:val="DefaultParagraphFont"/>
    <w:link w:val="CommentText"/>
    <w:uiPriority w:val="99"/>
    <w:rsid w:val="00034227"/>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34227"/>
    <w:rPr>
      <w:b/>
      <w:bCs/>
    </w:rPr>
  </w:style>
  <w:style w:type="character" w:customStyle="1" w:styleId="CommentSubjectChar">
    <w:name w:val="Comment Subject Char"/>
    <w:basedOn w:val="CommentTextChar"/>
    <w:link w:val="CommentSubject"/>
    <w:uiPriority w:val="99"/>
    <w:semiHidden/>
    <w:rsid w:val="00034227"/>
    <w:rPr>
      <w:rFonts w:ascii="Times New Roman" w:eastAsiaTheme="minorHAnsi" w:hAnsi="Times New Roman" w:cs="Times New Roman"/>
      <w:b/>
      <w:bCs/>
      <w:spacing w:val="4"/>
      <w:w w:val="103"/>
      <w:sz w:val="20"/>
      <w:szCs w:val="20"/>
      <w:lang w:val="es-ES" w:eastAsia="en-US"/>
    </w:rPr>
  </w:style>
  <w:style w:type="paragraph" w:styleId="PlainText">
    <w:name w:val="Plain Text"/>
    <w:basedOn w:val="Normal"/>
    <w:link w:val="PlainTextChar"/>
    <w:rsid w:val="00E77F78"/>
    <w:pPr>
      <w:suppressAutoHyphens w:val="0"/>
      <w:spacing w:line="240" w:lineRule="auto"/>
    </w:pPr>
    <w:rPr>
      <w:rFonts w:ascii="Courier New" w:eastAsia="Times New Roman" w:hAnsi="Courier New"/>
      <w:spacing w:val="0"/>
      <w:w w:val="100"/>
      <w:szCs w:val="20"/>
      <w:lang w:val="en-US" w:eastAsia="en-GB"/>
    </w:rPr>
  </w:style>
  <w:style w:type="character" w:customStyle="1" w:styleId="PlainTextChar">
    <w:name w:val="Plain Text Char"/>
    <w:basedOn w:val="DefaultParagraphFont"/>
    <w:link w:val="PlainText"/>
    <w:rsid w:val="00E77F78"/>
    <w:rPr>
      <w:rFonts w:ascii="Courier New" w:eastAsia="Times New Roman" w:hAnsi="Courier New" w:cs="Times New Roman"/>
      <w:sz w:val="20"/>
      <w:szCs w:val="20"/>
      <w:lang w:val="en-US" w:eastAsia="en-GB"/>
    </w:rPr>
  </w:style>
  <w:style w:type="table" w:styleId="TableGrid">
    <w:name w:val="Table Grid"/>
    <w:basedOn w:val="TableNormal"/>
    <w:rsid w:val="00E77F7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77F78"/>
    <w:rPr>
      <w:kern w:val="14"/>
      <w:sz w:val="24"/>
      <w:szCs w:val="24"/>
    </w:rPr>
  </w:style>
  <w:style w:type="paragraph" w:customStyle="1" w:styleId="HChG">
    <w:name w:val="_ H _Ch_G"/>
    <w:basedOn w:val="Normal"/>
    <w:next w:val="Normal"/>
    <w:qFormat/>
    <w:rsid w:val="00E77F78"/>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rPr>
  </w:style>
  <w:style w:type="paragraph" w:customStyle="1" w:styleId="H1G">
    <w:name w:val="_ H_1_G"/>
    <w:basedOn w:val="Normal"/>
    <w:next w:val="Normal"/>
    <w:qFormat/>
    <w:rsid w:val="00E77F78"/>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rPr>
  </w:style>
  <w:style w:type="paragraph" w:customStyle="1" w:styleId="H23G">
    <w:name w:val="_ H_2/3_G"/>
    <w:basedOn w:val="Normal"/>
    <w:next w:val="Normal"/>
    <w:qFormat/>
    <w:rsid w:val="00E77F78"/>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rPr>
  </w:style>
  <w:style w:type="paragraph" w:customStyle="1" w:styleId="SingleTxtG">
    <w:name w:val="_ Single Txt_G"/>
    <w:basedOn w:val="Normal"/>
    <w:link w:val="SingleTxtGChar"/>
    <w:qFormat/>
    <w:rsid w:val="00E77F78"/>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rPr>
  </w:style>
  <w:style w:type="paragraph" w:customStyle="1" w:styleId="Bullet1G">
    <w:name w:val="_Bullet 1_G"/>
    <w:basedOn w:val="Normal"/>
    <w:qFormat/>
    <w:rsid w:val="00E77F78"/>
    <w:pPr>
      <w:numPr>
        <w:numId w:val="6"/>
      </w:numPr>
      <w:kinsoku w:val="0"/>
      <w:overflowPunct w:val="0"/>
      <w:autoSpaceDE w:val="0"/>
      <w:autoSpaceDN w:val="0"/>
      <w:adjustRightInd w:val="0"/>
      <w:snapToGrid w:val="0"/>
      <w:spacing w:after="120" w:line="240" w:lineRule="atLeast"/>
      <w:ind w:right="1134"/>
      <w:jc w:val="both"/>
    </w:pPr>
    <w:rPr>
      <w:spacing w:val="0"/>
      <w:w w:val="100"/>
      <w:szCs w:val="20"/>
    </w:rPr>
  </w:style>
  <w:style w:type="character" w:customStyle="1" w:styleId="SingleTxtGChar">
    <w:name w:val="_ Single Txt_G Char"/>
    <w:link w:val="SingleTxtG"/>
    <w:locked/>
    <w:rsid w:val="00E77F78"/>
    <w:rPr>
      <w:rFonts w:ascii="Times New Roman" w:eastAsiaTheme="minorHAnsi" w:hAnsi="Times New Roman" w:cs="Times New Roman"/>
      <w:sz w:val="20"/>
      <w:szCs w:val="20"/>
      <w:lang w:val="es-ES" w:eastAsia="en-US"/>
    </w:rPr>
  </w:style>
  <w:style w:type="character" w:styleId="UnresolvedMention">
    <w:name w:val="Unresolved Mention"/>
    <w:basedOn w:val="DefaultParagraphFont"/>
    <w:uiPriority w:val="99"/>
    <w:semiHidden/>
    <w:unhideWhenUsed/>
    <w:rsid w:val="00E77F78"/>
    <w:rPr>
      <w:color w:val="605E5C"/>
      <w:shd w:val="clear" w:color="auto" w:fill="E1DFDD"/>
    </w:rPr>
  </w:style>
  <w:style w:type="paragraph" w:styleId="Revision">
    <w:name w:val="Revision"/>
    <w:hidden/>
    <w:uiPriority w:val="99"/>
    <w:semiHidden/>
    <w:rsid w:val="00E77F78"/>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education.gov.bt/wp-content/uploads/2022/03/AES-2021-Final-Version.pdf" TargetMode="External"/><Relationship Id="rId3" Type="http://schemas.openxmlformats.org/officeDocument/2006/relationships/hyperlink" Target="https://www.mof.gov.bt/wp-content/uploads/2021/05/BUDGET-REPORT-FY-2021-22_ENGLISH.pdf" TargetMode="External"/><Relationship Id="rId7" Type="http://schemas.openxmlformats.org/officeDocument/2006/relationships/hyperlink" Target="https://www.rcsc.gov.bt/wp-content/uploads/2020/08/Annual-Report-2019-2020.pdf" TargetMode="External"/><Relationship Id="rId2" Type="http://schemas.openxmlformats.org/officeDocument/2006/relationships/hyperlink" Target="https://www.ncwc.gov.bt/allpublications?key=policies" TargetMode="External"/><Relationship Id="rId1" Type="http://schemas.openxmlformats.org/officeDocument/2006/relationships/hyperlink" Target="https://www.nab.gov.bt/assets/uploads/docs/acts/2021/Penal_Code_Amendment_Act_of_%20Bhutan_2021.pdf" TargetMode="External"/><Relationship Id="rId6" Type="http://schemas.openxmlformats.org/officeDocument/2006/relationships/hyperlink" Target="http://www.education.gov.bt/wp-content/downloads/publications/publication/Standards-for-Inclusive-Education-in-Bhutan.pdf" TargetMode="External"/><Relationship Id="rId5" Type="http://schemas.openxmlformats.org/officeDocument/2006/relationships/hyperlink" Target="https://www.dhi.bt/board" TargetMode="External"/><Relationship Id="rId10" Type="http://schemas.openxmlformats.org/officeDocument/2006/relationships/hyperlink" Target="https://drive.google.com/file/d/0B7qProQS0jENUW4xU3VKUFNfVjQ/view?resourcekey=0-ekz_R3yWVgi-Z7G86ogZJw" TargetMode="External"/><Relationship Id="rId4" Type="http://schemas.openxmlformats.org/officeDocument/2006/relationships/hyperlink" Target="https://www.mof.gov.bt/wp-content/uploads/2020/06/BUDGET2020-21.pdf" TargetMode="External"/><Relationship Id="rId9" Type="http://schemas.openxmlformats.org/officeDocument/2006/relationships/hyperlink" Target="https://www.doa.gov.bt/wp-content/uploads/2020/02/12FYP.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47</Pages>
  <Words>24773</Words>
  <Characters>131549</Characters>
  <Application>Microsoft Office Word</Application>
  <DocSecurity>0</DocSecurity>
  <Lines>2349</Lines>
  <Paragraphs>499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Teresa Diaz Bobadilla De Kostich</dc:creator>
  <cp:keywords/>
  <dc:description/>
  <cp:lastModifiedBy>Eduardo Alfaro</cp:lastModifiedBy>
  <cp:revision>4</cp:revision>
  <cp:lastPrinted>2023-02-02T21:19:00Z</cp:lastPrinted>
  <dcterms:created xsi:type="dcterms:W3CDTF">2023-02-02T21:18:00Z</dcterms:created>
  <dcterms:modified xsi:type="dcterms:W3CDTF">2023-02-02T21:19:00Z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2228047</vt:lpwstr>
  </property>
  <property fmtid="{D5CDD505-2E9C-101B-9397-08002B2CF9AE}" pid="3" name="ODSRefJobNo">
    <vt:lpwstr>2274319</vt:lpwstr>
  </property>
  <property fmtid="{D5CDD505-2E9C-101B-9397-08002B2CF9AE}" pid="4" name="Symbol1">
    <vt:lpwstr>CEDAW/C/BTN/10</vt:lpwstr>
  </property>
  <property fmtid="{D5CDD505-2E9C-101B-9397-08002B2CF9AE}" pid="5" name="Symbol2">
    <vt:lpwstr/>
  </property>
  <property fmtid="{D5CDD505-2E9C-101B-9397-08002B2CF9AE}" pid="6" name="Translator">
    <vt:lpwstr>Mónica B.</vt:lpwstr>
  </property>
  <property fmtid="{D5CDD505-2E9C-101B-9397-08002B2CF9AE}" pid="7" name="Operator">
    <vt:lpwstr>mtdk</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Décimo informe periódico que Bhután debía presentar en 2020 en virtud del artículo 18 de la Convención*, **_x000d_</vt:lpwstr>
  </property>
</Properties>
</file>