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7781D" w14:textId="77777777" w:rsidR="002428FC" w:rsidRPr="00D44969" w:rsidRDefault="002428FC" w:rsidP="002428FC">
      <w:pPr>
        <w:spacing w:line="240" w:lineRule="auto"/>
        <w:jc w:val="both"/>
        <w:rPr>
          <w:sz w:val="2"/>
        </w:rPr>
        <w:sectPr w:rsidR="002428FC" w:rsidRPr="00D44969" w:rsidSect="00D4496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44969">
        <w:rPr>
          <w:rStyle w:val="CommentReference"/>
          <w:szCs w:val="20"/>
        </w:rPr>
        <w:commentReference w:id="0"/>
      </w:r>
    </w:p>
    <w:p w14:paraId="12043B84" w14:textId="77777777" w:rsidR="00D44969" w:rsidRPr="00D44969" w:rsidRDefault="00D44969" w:rsidP="00D449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D44969">
        <w:rPr>
          <w:lang w:val="es-ES_tradnl"/>
        </w:rPr>
        <w:t>Comité para la Eliminación de la Discriminación contra la Mujer</w:t>
      </w:r>
    </w:p>
    <w:p w14:paraId="476BE9C1" w14:textId="77777777" w:rsidR="00D44969" w:rsidRPr="00D44969" w:rsidRDefault="00D44969" w:rsidP="00D44969">
      <w:pPr>
        <w:pStyle w:val="Session"/>
        <w:rPr>
          <w:lang w:val="es-ES_tradnl"/>
        </w:rPr>
      </w:pPr>
      <w:r w:rsidRPr="00D44969">
        <w:rPr>
          <w:lang w:val="es-ES_tradnl"/>
        </w:rPr>
        <w:t>91</w:t>
      </w:r>
      <w:r w:rsidRPr="00D44969">
        <w:rPr>
          <w:vertAlign w:val="superscript"/>
          <w:lang w:val="es-ES_tradnl"/>
        </w:rPr>
        <w:t>er</w:t>
      </w:r>
      <w:r w:rsidRPr="00D44969">
        <w:rPr>
          <w:lang w:val="es-ES_tradnl"/>
        </w:rPr>
        <w:t xml:space="preserve"> período de sesiones</w:t>
      </w:r>
    </w:p>
    <w:p w14:paraId="11F370CD" w14:textId="77777777" w:rsidR="00D44969" w:rsidRPr="00D44969" w:rsidRDefault="00D44969" w:rsidP="00D44969">
      <w:pPr>
        <w:rPr>
          <w:lang w:val="es-ES_tradnl"/>
        </w:rPr>
      </w:pPr>
      <w:r w:rsidRPr="00D44969">
        <w:rPr>
          <w:lang w:val="es-ES_tradnl"/>
        </w:rPr>
        <w:t>Ginebra, 16 de junio a 4 de julio de 2025</w:t>
      </w:r>
    </w:p>
    <w:p w14:paraId="433B1A3A" w14:textId="77777777" w:rsidR="00D44969" w:rsidRPr="00D44969" w:rsidRDefault="00D44969" w:rsidP="00D44969">
      <w:pPr>
        <w:pStyle w:val="AgendaItemNormal"/>
        <w:rPr>
          <w:lang w:val="es-ES_tradnl"/>
        </w:rPr>
      </w:pPr>
      <w:r w:rsidRPr="00D44969">
        <w:rPr>
          <w:lang w:val="es-ES_tradnl"/>
        </w:rPr>
        <w:t>Tema 2 del programa provisional</w:t>
      </w:r>
    </w:p>
    <w:p w14:paraId="4D69EDEC" w14:textId="77777777" w:rsidR="00D44969" w:rsidRPr="00D44969" w:rsidRDefault="00D44969" w:rsidP="00D44969">
      <w:pPr>
        <w:pStyle w:val="AgendaTitleH2"/>
        <w:ind w:left="1267" w:right="0" w:hanging="1267"/>
        <w:rPr>
          <w:lang w:val="es-ES_tradnl"/>
        </w:rPr>
      </w:pPr>
      <w:r w:rsidRPr="00D44969">
        <w:rPr>
          <w:lang w:val="es-ES_tradnl"/>
        </w:rPr>
        <w:t>Aprobación del programa y organización de los trabajos</w:t>
      </w:r>
    </w:p>
    <w:p w14:paraId="73D9622E" w14:textId="77777777" w:rsidR="00D44969" w:rsidRPr="00D44969" w:rsidRDefault="00D44969" w:rsidP="00D44969">
      <w:pPr>
        <w:pStyle w:val="SingleTxt"/>
        <w:spacing w:after="0" w:line="120" w:lineRule="exact"/>
        <w:rPr>
          <w:sz w:val="10"/>
          <w:lang w:val="es-ES_tradnl"/>
        </w:rPr>
      </w:pPr>
    </w:p>
    <w:p w14:paraId="053EEF61" w14:textId="77777777" w:rsidR="00D44969" w:rsidRPr="00D44969" w:rsidRDefault="00D44969" w:rsidP="00D44969">
      <w:pPr>
        <w:pStyle w:val="SingleTxt"/>
        <w:spacing w:after="0" w:line="120" w:lineRule="exact"/>
        <w:rPr>
          <w:sz w:val="10"/>
          <w:lang w:val="es-ES_tradnl"/>
        </w:rPr>
      </w:pPr>
    </w:p>
    <w:p w14:paraId="649273FF" w14:textId="77777777" w:rsidR="00D44969" w:rsidRPr="00D44969" w:rsidRDefault="00D44969" w:rsidP="00D44969">
      <w:pPr>
        <w:pStyle w:val="SingleTxt"/>
        <w:spacing w:after="0" w:line="120" w:lineRule="exact"/>
        <w:rPr>
          <w:sz w:val="10"/>
          <w:lang w:val="es-ES_tradnl"/>
        </w:rPr>
      </w:pPr>
    </w:p>
    <w:p w14:paraId="34982611" w14:textId="77777777" w:rsidR="00D44969" w:rsidRPr="00D44969" w:rsidRDefault="00D44969" w:rsidP="00D44969">
      <w:pPr>
        <w:pStyle w:val="TitleHCH"/>
        <w:ind w:right="1260"/>
        <w:rPr>
          <w:lang w:val="es-ES_tradnl"/>
        </w:rPr>
      </w:pPr>
      <w:r w:rsidRPr="00D44969">
        <w:rPr>
          <w:lang w:val="es-ES_tradnl"/>
        </w:rPr>
        <w:tab/>
      </w:r>
      <w:r w:rsidRPr="00D44969">
        <w:rPr>
          <w:lang w:val="es-ES_tradnl"/>
        </w:rPr>
        <w:tab/>
        <w:t xml:space="preserve">Programa provisional anotado </w:t>
      </w:r>
    </w:p>
    <w:p w14:paraId="4BF93942" w14:textId="77777777" w:rsidR="00D44969" w:rsidRPr="00D44969" w:rsidRDefault="00D44969" w:rsidP="00D44969">
      <w:pPr>
        <w:pStyle w:val="SingleTxt"/>
        <w:spacing w:after="0" w:line="120" w:lineRule="exact"/>
        <w:rPr>
          <w:sz w:val="10"/>
          <w:lang w:val="es-ES_tradnl"/>
        </w:rPr>
      </w:pPr>
    </w:p>
    <w:p w14:paraId="22F9F641" w14:textId="77777777" w:rsidR="00D44969" w:rsidRPr="00D44969" w:rsidRDefault="00D44969" w:rsidP="00D44969">
      <w:pPr>
        <w:pStyle w:val="SingleTxt"/>
        <w:spacing w:after="0" w:line="120" w:lineRule="exact"/>
        <w:rPr>
          <w:sz w:val="10"/>
          <w:lang w:val="es-ES_tradnl"/>
        </w:rPr>
      </w:pPr>
    </w:p>
    <w:p w14:paraId="02224C5D" w14:textId="77777777" w:rsidR="00D44969" w:rsidRPr="00D44969" w:rsidRDefault="00D44969" w:rsidP="00D44969">
      <w:pPr>
        <w:pStyle w:val="TitleH1"/>
        <w:ind w:right="1260"/>
        <w:rPr>
          <w:lang w:val="es-ES_tradnl"/>
        </w:rPr>
      </w:pPr>
      <w:r w:rsidRPr="00D44969">
        <w:rPr>
          <w:lang w:val="es-ES_tradnl"/>
        </w:rPr>
        <w:tab/>
      </w:r>
      <w:r w:rsidRPr="00D44969">
        <w:rPr>
          <w:lang w:val="es-ES_tradnl"/>
        </w:rPr>
        <w:tab/>
        <w:t>Programa provisional</w:t>
      </w:r>
    </w:p>
    <w:p w14:paraId="78D84DDE" w14:textId="77777777" w:rsidR="00D44969" w:rsidRPr="00D44969" w:rsidRDefault="00D44969" w:rsidP="00D44969">
      <w:pPr>
        <w:pStyle w:val="SingleTxt"/>
        <w:spacing w:after="0" w:line="120" w:lineRule="exact"/>
        <w:rPr>
          <w:sz w:val="10"/>
          <w:lang w:val="es-ES_tradnl"/>
        </w:rPr>
      </w:pPr>
    </w:p>
    <w:p w14:paraId="642CF778" w14:textId="77777777" w:rsidR="00D44969" w:rsidRPr="00D44969" w:rsidRDefault="00D44969" w:rsidP="00D44969">
      <w:pPr>
        <w:pStyle w:val="SingleTxt"/>
        <w:spacing w:after="0" w:line="120" w:lineRule="exact"/>
        <w:rPr>
          <w:sz w:val="10"/>
          <w:lang w:val="es-ES_tradnl"/>
        </w:rPr>
      </w:pPr>
    </w:p>
    <w:p w14:paraId="5FF26F29" w14:textId="77777777" w:rsidR="00D44969" w:rsidRPr="00D44969" w:rsidRDefault="00D44969" w:rsidP="007C205B">
      <w:pPr>
        <w:pStyle w:val="SingleTxt"/>
        <w:jc w:val="left"/>
        <w:rPr>
          <w:lang w:val="es-ES_tradnl"/>
        </w:rPr>
      </w:pPr>
      <w:r w:rsidRPr="00D44969">
        <w:rPr>
          <w:lang w:val="es-ES_tradnl"/>
        </w:rPr>
        <w:t>1.</w:t>
      </w:r>
      <w:r w:rsidRPr="00D44969">
        <w:rPr>
          <w:lang w:val="es-ES_tradnl"/>
        </w:rPr>
        <w:tab/>
        <w:t xml:space="preserve">Apertura del período de sesiones. </w:t>
      </w:r>
    </w:p>
    <w:p w14:paraId="729F5FBE" w14:textId="77777777" w:rsidR="00D44969" w:rsidRPr="00D44969" w:rsidRDefault="00D44969" w:rsidP="007C205B">
      <w:pPr>
        <w:pStyle w:val="SingleTxt"/>
        <w:jc w:val="left"/>
        <w:rPr>
          <w:lang w:val="es-ES_tradnl"/>
        </w:rPr>
      </w:pPr>
      <w:r w:rsidRPr="00D44969">
        <w:rPr>
          <w:lang w:val="es-ES_tradnl"/>
        </w:rPr>
        <w:t>2.</w:t>
      </w:r>
      <w:r w:rsidRPr="00D44969">
        <w:rPr>
          <w:lang w:val="es-ES_tradnl"/>
        </w:rPr>
        <w:tab/>
        <w:t>Aprobación del programa y organización de los trabajos.</w:t>
      </w:r>
    </w:p>
    <w:p w14:paraId="6728F2C8" w14:textId="77777777" w:rsidR="00D44969" w:rsidRPr="00D44969" w:rsidRDefault="00D44969" w:rsidP="007C205B">
      <w:pPr>
        <w:pStyle w:val="SingleTxt"/>
        <w:ind w:left="1742" w:right="1380" w:hanging="475"/>
        <w:jc w:val="left"/>
        <w:rPr>
          <w:lang w:val="es-ES_tradnl"/>
        </w:rPr>
      </w:pPr>
      <w:r w:rsidRPr="00D44969">
        <w:rPr>
          <w:lang w:val="es-ES_tradnl"/>
        </w:rPr>
        <w:t>3.</w:t>
      </w:r>
      <w:r w:rsidRPr="00D44969">
        <w:rPr>
          <w:lang w:val="es-ES_tradnl"/>
        </w:rPr>
        <w:tab/>
        <w:t>Informe de la Presidencia sobre las actividades realizadas entre los períodos de sesiones 90º y 91º del Comité.</w:t>
      </w:r>
    </w:p>
    <w:p w14:paraId="28F6DF1D" w14:textId="77777777" w:rsidR="00D44969" w:rsidRPr="00D44969" w:rsidRDefault="00D44969" w:rsidP="007C205B">
      <w:pPr>
        <w:pStyle w:val="SingleTxt"/>
        <w:ind w:left="1742" w:hanging="475"/>
        <w:jc w:val="left"/>
        <w:rPr>
          <w:lang w:val="es-ES_tradnl"/>
        </w:rPr>
      </w:pPr>
      <w:r w:rsidRPr="00D44969">
        <w:rPr>
          <w:lang w:val="es-ES_tradnl"/>
        </w:rPr>
        <w:t>4.</w:t>
      </w:r>
      <w:r w:rsidRPr="00D44969">
        <w:rPr>
          <w:lang w:val="es-ES_tradnl"/>
        </w:rPr>
        <w:tab/>
        <w:t>Examen de los informes presentados por los Estados partes en virtud del artículo 18 de la Convención sobre la Eliminación de Todas las Formas de Discriminación contra la Mujer.</w:t>
      </w:r>
    </w:p>
    <w:p w14:paraId="21DA2A10" w14:textId="77777777" w:rsidR="00D44969" w:rsidRPr="00D44969" w:rsidRDefault="00D44969" w:rsidP="007C205B">
      <w:pPr>
        <w:pStyle w:val="SingleTxt"/>
        <w:ind w:left="1742" w:hanging="475"/>
        <w:jc w:val="left"/>
        <w:rPr>
          <w:lang w:val="es-ES_tradnl"/>
        </w:rPr>
      </w:pPr>
      <w:r w:rsidRPr="00D44969">
        <w:rPr>
          <w:lang w:val="es-ES_tradnl"/>
        </w:rPr>
        <w:t>5.</w:t>
      </w:r>
      <w:r w:rsidRPr="00D44969">
        <w:rPr>
          <w:lang w:val="es-ES_tradnl"/>
        </w:rPr>
        <w:tab/>
        <w:t>Seguimiento del examen de los informes presentados por los Estados partes en virtud del artículo 18 de la Convención.</w:t>
      </w:r>
    </w:p>
    <w:p w14:paraId="498C6913" w14:textId="77777777" w:rsidR="00D44969" w:rsidRPr="00D44969" w:rsidRDefault="00D44969" w:rsidP="007C205B">
      <w:pPr>
        <w:pStyle w:val="SingleTxt"/>
        <w:jc w:val="left"/>
        <w:rPr>
          <w:lang w:val="es-ES_tradnl"/>
        </w:rPr>
      </w:pPr>
      <w:r w:rsidRPr="00D44969">
        <w:rPr>
          <w:lang w:val="es-ES_tradnl"/>
        </w:rPr>
        <w:t>6.</w:t>
      </w:r>
      <w:r w:rsidRPr="00D44969">
        <w:rPr>
          <w:lang w:val="es-ES_tradnl"/>
        </w:rPr>
        <w:tab/>
        <w:t>Aplicación de los artículos 21 y 22 de la Convención.</w:t>
      </w:r>
    </w:p>
    <w:p w14:paraId="2AA7DFC3" w14:textId="77777777" w:rsidR="00D44969" w:rsidRPr="00D44969" w:rsidRDefault="00D44969" w:rsidP="007C205B">
      <w:pPr>
        <w:pStyle w:val="SingleTxt"/>
        <w:jc w:val="left"/>
        <w:rPr>
          <w:lang w:val="es-ES_tradnl"/>
        </w:rPr>
      </w:pPr>
      <w:r w:rsidRPr="00D44969">
        <w:rPr>
          <w:lang w:val="es-ES_tradnl"/>
        </w:rPr>
        <w:t>7.</w:t>
      </w:r>
      <w:r w:rsidRPr="00D44969">
        <w:rPr>
          <w:lang w:val="es-ES_tradnl"/>
        </w:rPr>
        <w:tab/>
        <w:t>Medios de agilizar los trabajos del Comité.</w:t>
      </w:r>
    </w:p>
    <w:p w14:paraId="053FF7DC" w14:textId="77777777" w:rsidR="00D44969" w:rsidRPr="00D44969" w:rsidRDefault="00D44969" w:rsidP="007C205B">
      <w:pPr>
        <w:pStyle w:val="SingleTxt"/>
        <w:ind w:left="1742" w:hanging="475"/>
        <w:jc w:val="left"/>
        <w:rPr>
          <w:lang w:val="es-ES_tradnl"/>
        </w:rPr>
      </w:pPr>
      <w:r w:rsidRPr="00D44969">
        <w:rPr>
          <w:lang w:val="es-ES_tradnl"/>
        </w:rPr>
        <w:t>8.</w:t>
      </w:r>
      <w:r w:rsidRPr="00D44969">
        <w:rPr>
          <w:lang w:val="es-ES_tradnl"/>
        </w:rPr>
        <w:tab/>
        <w:t>Actividades del Comité en relación con el Protocolo Facultativo de la Convención.</w:t>
      </w:r>
    </w:p>
    <w:p w14:paraId="0214795C" w14:textId="77777777" w:rsidR="00D44969" w:rsidRPr="00D44969" w:rsidRDefault="00D44969" w:rsidP="007C205B">
      <w:pPr>
        <w:pStyle w:val="SingleTxt"/>
        <w:jc w:val="left"/>
        <w:rPr>
          <w:lang w:val="es-ES_tradnl"/>
        </w:rPr>
      </w:pPr>
      <w:r w:rsidRPr="00D44969">
        <w:rPr>
          <w:lang w:val="es-ES_tradnl"/>
        </w:rPr>
        <w:t>9.</w:t>
      </w:r>
      <w:r w:rsidRPr="00D44969">
        <w:rPr>
          <w:lang w:val="es-ES_tradnl"/>
        </w:rPr>
        <w:tab/>
        <w:t>Programa provisional del 92º período de sesiones del Comité.</w:t>
      </w:r>
    </w:p>
    <w:p w14:paraId="66806801" w14:textId="77777777" w:rsidR="00D44969" w:rsidRPr="00D44969" w:rsidRDefault="00D44969" w:rsidP="007C205B">
      <w:pPr>
        <w:pStyle w:val="SingleTxt"/>
        <w:jc w:val="left"/>
        <w:rPr>
          <w:lang w:val="es-ES_tradnl"/>
        </w:rPr>
      </w:pPr>
      <w:r w:rsidRPr="00D44969">
        <w:rPr>
          <w:lang w:val="es-ES_tradnl"/>
        </w:rPr>
        <w:t>10.</w:t>
      </w:r>
      <w:r w:rsidRPr="00D44969">
        <w:rPr>
          <w:lang w:val="es-ES_tradnl"/>
        </w:rPr>
        <w:tab/>
        <w:t>Aprobación del informe del Comité sobre su 91</w:t>
      </w:r>
      <w:r w:rsidRPr="00D44969">
        <w:rPr>
          <w:vertAlign w:val="superscript"/>
          <w:lang w:val="es-ES_tradnl"/>
        </w:rPr>
        <w:t>er</w:t>
      </w:r>
      <w:r w:rsidRPr="00D44969">
        <w:rPr>
          <w:lang w:val="es-ES_tradnl"/>
        </w:rPr>
        <w:t xml:space="preserve"> período de sesiones.</w:t>
      </w:r>
    </w:p>
    <w:p w14:paraId="6722E74C" w14:textId="77777777" w:rsidR="00D44969" w:rsidRPr="00D44969" w:rsidRDefault="00D44969" w:rsidP="00D44969">
      <w:pPr>
        <w:pStyle w:val="SingleTxt"/>
        <w:spacing w:after="0" w:line="120" w:lineRule="exact"/>
        <w:rPr>
          <w:sz w:val="10"/>
          <w:lang w:val="es-ES_tradnl"/>
        </w:rPr>
      </w:pPr>
    </w:p>
    <w:p w14:paraId="2CB5841A" w14:textId="77777777" w:rsidR="00D44969" w:rsidRPr="00D44969" w:rsidRDefault="00D44969" w:rsidP="00D44969">
      <w:pPr>
        <w:pStyle w:val="SingleTxt"/>
        <w:spacing w:after="0" w:line="120" w:lineRule="exact"/>
        <w:rPr>
          <w:sz w:val="10"/>
          <w:lang w:val="es-ES_tradnl"/>
        </w:rPr>
      </w:pPr>
    </w:p>
    <w:p w14:paraId="285642A0" w14:textId="77777777" w:rsidR="00D44969" w:rsidRPr="00D44969" w:rsidRDefault="00D44969" w:rsidP="00D449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r>
      <w:r w:rsidRPr="00D44969">
        <w:rPr>
          <w:lang w:val="es-ES_tradnl"/>
        </w:rPr>
        <w:tab/>
        <w:t>Anotaciones</w:t>
      </w:r>
    </w:p>
    <w:p w14:paraId="1046C533" w14:textId="77777777" w:rsidR="00D44969" w:rsidRPr="00D44969" w:rsidRDefault="00D44969" w:rsidP="00D44969">
      <w:pPr>
        <w:pStyle w:val="SingleTxt"/>
        <w:spacing w:after="0" w:line="120" w:lineRule="exact"/>
        <w:rPr>
          <w:sz w:val="10"/>
          <w:lang w:val="es-ES_tradnl"/>
        </w:rPr>
      </w:pPr>
    </w:p>
    <w:p w14:paraId="3D9B38C4" w14:textId="77777777" w:rsidR="00D44969" w:rsidRPr="00D44969" w:rsidRDefault="00D44969" w:rsidP="00D44969">
      <w:pPr>
        <w:pStyle w:val="SingleTxt"/>
        <w:spacing w:after="0" w:line="120" w:lineRule="exact"/>
        <w:rPr>
          <w:sz w:val="10"/>
          <w:lang w:val="es-ES_tradnl"/>
        </w:rPr>
      </w:pPr>
    </w:p>
    <w:p w14:paraId="7B963999" w14:textId="77777777" w:rsidR="00D44969" w:rsidRPr="00D44969" w:rsidRDefault="00D44969" w:rsidP="00D449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t>1.</w:t>
      </w:r>
      <w:r w:rsidRPr="00D44969">
        <w:rPr>
          <w:lang w:val="es-ES_tradnl"/>
        </w:rPr>
        <w:tab/>
        <w:t>Apertura del período de sesiones</w:t>
      </w:r>
    </w:p>
    <w:p w14:paraId="4D2C91B3" w14:textId="77777777" w:rsidR="00D44969" w:rsidRPr="00D44969" w:rsidRDefault="00D44969" w:rsidP="00D44969">
      <w:pPr>
        <w:pStyle w:val="SingleTxt"/>
        <w:spacing w:after="0" w:line="120" w:lineRule="exact"/>
        <w:rPr>
          <w:sz w:val="10"/>
          <w:lang w:val="es-ES_tradnl"/>
        </w:rPr>
      </w:pPr>
    </w:p>
    <w:p w14:paraId="41DE6841" w14:textId="77777777" w:rsidR="00D44969" w:rsidRPr="00D44969" w:rsidRDefault="00D44969" w:rsidP="00D44969">
      <w:pPr>
        <w:pStyle w:val="SingleTxt"/>
        <w:rPr>
          <w:lang w:val="es-ES_tradnl"/>
        </w:rPr>
      </w:pPr>
      <w:r w:rsidRPr="00D44969">
        <w:rPr>
          <w:lang w:val="es-ES_tradnl"/>
        </w:rPr>
        <w:t>El 91</w:t>
      </w:r>
      <w:r w:rsidRPr="00D44969">
        <w:rPr>
          <w:vertAlign w:val="superscript"/>
          <w:lang w:val="es-ES_tradnl"/>
        </w:rPr>
        <w:t>er</w:t>
      </w:r>
      <w:r w:rsidRPr="00D44969" w:rsidDel="003F1AAC">
        <w:rPr>
          <w:lang w:val="es-ES_tradnl"/>
        </w:rPr>
        <w:t xml:space="preserve"> </w:t>
      </w:r>
      <w:r w:rsidRPr="00D44969">
        <w:rPr>
          <w:lang w:val="es-ES_tradnl"/>
        </w:rPr>
        <w:t>período de sesiones del Comité para la Eliminación de la Discriminación contra la Mujer será inaugurado por la Presidencia del Comité el 16 de junio de 2025.</w:t>
      </w:r>
    </w:p>
    <w:p w14:paraId="0C52527E" w14:textId="77777777" w:rsidR="00D44969" w:rsidRPr="00D44969" w:rsidRDefault="00D44969" w:rsidP="00D44969">
      <w:pPr>
        <w:pStyle w:val="SingleTxt"/>
        <w:rPr>
          <w:lang w:val="es-ES_tradnl"/>
        </w:rPr>
      </w:pPr>
      <w:r w:rsidRPr="00D44969">
        <w:rPr>
          <w:lang w:val="es-ES_tradnl"/>
        </w:rPr>
        <w:br w:type="page"/>
      </w:r>
    </w:p>
    <w:p w14:paraId="4D336D2F" w14:textId="77777777" w:rsidR="00D44969" w:rsidRPr="00D44969" w:rsidRDefault="00D44969" w:rsidP="00D449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lastRenderedPageBreak/>
        <w:tab/>
        <w:t>2.</w:t>
      </w:r>
      <w:r w:rsidRPr="00D44969">
        <w:rPr>
          <w:lang w:val="es-ES_tradnl"/>
        </w:rPr>
        <w:tab/>
        <w:t>Aprobación del programa y organización de los trabajos</w:t>
      </w:r>
    </w:p>
    <w:p w14:paraId="48F093DE" w14:textId="77777777" w:rsidR="00D44969" w:rsidRPr="00D44969" w:rsidRDefault="00D44969" w:rsidP="00D44969">
      <w:pPr>
        <w:pStyle w:val="SingleTxt"/>
        <w:spacing w:after="0" w:line="120" w:lineRule="exact"/>
        <w:rPr>
          <w:sz w:val="10"/>
          <w:lang w:val="es-ES_tradnl"/>
        </w:rPr>
      </w:pPr>
    </w:p>
    <w:p w14:paraId="506585C9" w14:textId="77777777" w:rsidR="00D44969" w:rsidRPr="00D44969" w:rsidRDefault="00D44969" w:rsidP="00D44969">
      <w:pPr>
        <w:pStyle w:val="SingleTxt"/>
        <w:rPr>
          <w:lang w:val="es-ES_tradnl"/>
        </w:rPr>
      </w:pPr>
      <w:r w:rsidRPr="00D44969">
        <w:rPr>
          <w:lang w:val="es-ES_tradnl"/>
        </w:rPr>
        <w:t>El artículo 9 del Reglamento dispone que el primer tema sustantivo del programa provisional de cada período de sesiones será la aprobación del programa. En el artículo 7 se establece que el Secretario General, en consulta con la Presidencia, preparará el programa provisional de cada período de sesiones, de conformidad con las disposiciones pertinentes de los artículos 17 a 22 de la Convención.</w:t>
      </w:r>
    </w:p>
    <w:p w14:paraId="61CA5D90" w14:textId="07634059" w:rsidR="00D44969" w:rsidRPr="00D44969" w:rsidRDefault="00D44969" w:rsidP="00D44969">
      <w:pPr>
        <w:pStyle w:val="SingleTxt"/>
        <w:rPr>
          <w:lang w:val="es-ES_tradnl"/>
        </w:rPr>
      </w:pPr>
      <w:r w:rsidRPr="00D44969">
        <w:rPr>
          <w:lang w:val="es-ES_tradnl"/>
        </w:rPr>
        <w:t>En su 90º período de sesiones, el Comité aprobó el programa provisional de su 91</w:t>
      </w:r>
      <w:r w:rsidRPr="00D44969">
        <w:rPr>
          <w:vertAlign w:val="superscript"/>
          <w:lang w:val="es-ES_tradnl"/>
        </w:rPr>
        <w:t>er</w:t>
      </w:r>
      <w:r w:rsidR="004E770C">
        <w:rPr>
          <w:vertAlign w:val="superscript"/>
          <w:lang w:val="es-ES_tradnl"/>
        </w:rPr>
        <w:t> </w:t>
      </w:r>
      <w:r w:rsidRPr="00D44969">
        <w:rPr>
          <w:lang w:val="es-ES_tradnl"/>
        </w:rPr>
        <w:t>período de sesiones.</w:t>
      </w:r>
    </w:p>
    <w:p w14:paraId="2B744C95" w14:textId="77777777" w:rsidR="00D44969" w:rsidRPr="00D44969" w:rsidRDefault="00D44969" w:rsidP="00D44969">
      <w:pPr>
        <w:pStyle w:val="SingleTxt"/>
        <w:spacing w:after="0" w:line="120" w:lineRule="exact"/>
        <w:rPr>
          <w:sz w:val="10"/>
          <w:lang w:val="es-ES_tradnl"/>
        </w:rPr>
      </w:pPr>
    </w:p>
    <w:p w14:paraId="27AABFDB" w14:textId="77777777" w:rsidR="00D44969" w:rsidRPr="00D44969" w:rsidRDefault="00D44969" w:rsidP="00D471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D44969">
        <w:rPr>
          <w:lang w:val="es-ES_tradnl"/>
        </w:rPr>
        <w:tab/>
        <w:t>3.</w:t>
      </w:r>
      <w:r w:rsidRPr="00D44969">
        <w:rPr>
          <w:lang w:val="es-ES_tradnl"/>
        </w:rPr>
        <w:tab/>
        <w:t>Informe de la Presidencia sobre las actividades realizadas entre los períodos de sesiones 90º y 91º del Comité</w:t>
      </w:r>
    </w:p>
    <w:p w14:paraId="1C39CBF5" w14:textId="77777777" w:rsidR="00D44969" w:rsidRPr="00D44969" w:rsidRDefault="00D44969" w:rsidP="00D44969">
      <w:pPr>
        <w:pStyle w:val="SingleTxt"/>
        <w:spacing w:after="0" w:line="120" w:lineRule="exact"/>
        <w:rPr>
          <w:sz w:val="10"/>
          <w:lang w:val="es-ES_tradnl"/>
        </w:rPr>
      </w:pPr>
    </w:p>
    <w:p w14:paraId="72EF615A" w14:textId="46A75377" w:rsidR="00D44969" w:rsidRPr="00D44969" w:rsidRDefault="00D44969" w:rsidP="00D44969">
      <w:pPr>
        <w:pStyle w:val="SingleTxt"/>
        <w:rPr>
          <w:lang w:val="es-ES_tradnl"/>
        </w:rPr>
      </w:pPr>
      <w:r w:rsidRPr="00D44969">
        <w:rPr>
          <w:lang w:val="es-ES_tradnl"/>
        </w:rPr>
        <w:t>La Presidencia informará al Comité sobre su participación en las actividades y los acontecimientos relacionados con la labor del Comité que hayan ocurrido desde el período de sesiones anterior.</w:t>
      </w:r>
    </w:p>
    <w:p w14:paraId="6476A212" w14:textId="77777777" w:rsidR="00D44969" w:rsidRPr="00D44969" w:rsidRDefault="00D44969" w:rsidP="00D44969">
      <w:pPr>
        <w:pStyle w:val="SingleTxt"/>
        <w:spacing w:after="0" w:line="120" w:lineRule="exact"/>
        <w:rPr>
          <w:sz w:val="10"/>
          <w:lang w:val="es-ES_tradnl"/>
        </w:rPr>
      </w:pPr>
    </w:p>
    <w:p w14:paraId="3634676E" w14:textId="77777777" w:rsidR="00D44969" w:rsidRPr="00D44969" w:rsidRDefault="00D44969" w:rsidP="00D449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r>
      <w:r w:rsidRPr="00D44969">
        <w:rPr>
          <w:lang w:val="es-ES_tradnl"/>
        </w:rPr>
        <w:tab/>
        <w:t>Documentación</w:t>
      </w:r>
    </w:p>
    <w:p w14:paraId="1370A71A" w14:textId="77777777" w:rsidR="00D44969" w:rsidRPr="00D44969" w:rsidRDefault="00D44969" w:rsidP="00D44969">
      <w:pPr>
        <w:pStyle w:val="SingleTxt"/>
        <w:spacing w:after="0" w:line="120" w:lineRule="exact"/>
        <w:rPr>
          <w:sz w:val="10"/>
          <w:lang w:val="es-ES_tradnl"/>
        </w:rPr>
      </w:pPr>
    </w:p>
    <w:p w14:paraId="63C75680" w14:textId="20D869AA" w:rsidR="00D44969" w:rsidRPr="00D44969" w:rsidRDefault="00D44969" w:rsidP="00D44969">
      <w:pPr>
        <w:pStyle w:val="SingleTxt"/>
        <w:rPr>
          <w:lang w:val="es-ES_tradnl"/>
        </w:rPr>
      </w:pPr>
      <w:r w:rsidRPr="00D44969">
        <w:rPr>
          <w:lang w:val="es-ES_tradnl"/>
        </w:rPr>
        <w:t>Programa provisional anotado (</w:t>
      </w:r>
      <w:hyperlink r:id="rId20" w:history="1">
        <w:r w:rsidRPr="00841C9D">
          <w:rPr>
            <w:rStyle w:val="Hyperlink"/>
            <w:lang w:val="es-ES_tradnl"/>
          </w:rPr>
          <w:t>CEDAW/C/91/1</w:t>
        </w:r>
      </w:hyperlink>
      <w:r w:rsidRPr="00D44969">
        <w:rPr>
          <w:lang w:val="es-ES_tradnl"/>
        </w:rPr>
        <w:t>)</w:t>
      </w:r>
    </w:p>
    <w:p w14:paraId="714E6655" w14:textId="77777777" w:rsidR="00D44969" w:rsidRPr="00D44969" w:rsidRDefault="00D44969" w:rsidP="00D44969">
      <w:pPr>
        <w:pStyle w:val="SingleTxt"/>
        <w:spacing w:after="0" w:line="120" w:lineRule="exact"/>
        <w:rPr>
          <w:sz w:val="10"/>
          <w:lang w:val="es-ES_tradnl"/>
        </w:rPr>
      </w:pPr>
    </w:p>
    <w:p w14:paraId="67B8B20E" w14:textId="77777777" w:rsidR="00D44969" w:rsidRPr="00D44969" w:rsidRDefault="00D44969" w:rsidP="00D449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t>4.</w:t>
      </w:r>
      <w:r w:rsidRPr="00D44969">
        <w:rPr>
          <w:lang w:val="es-ES_tradnl"/>
        </w:rPr>
        <w:tab/>
        <w:t>Examen de los informes presentados por los Estados partes en virtud del artículo 18 de la Convención sobre la Eliminación de Todas las Formas de Discriminación contra la Mujer</w:t>
      </w:r>
    </w:p>
    <w:p w14:paraId="3393A192" w14:textId="77777777" w:rsidR="00D44969" w:rsidRPr="00D44969" w:rsidRDefault="00D44969" w:rsidP="00D44969">
      <w:pPr>
        <w:pStyle w:val="SingleTxt"/>
        <w:spacing w:after="0" w:line="120" w:lineRule="exact"/>
        <w:rPr>
          <w:sz w:val="10"/>
          <w:lang w:val="es-ES_tradnl"/>
        </w:rPr>
      </w:pPr>
    </w:p>
    <w:p w14:paraId="41AA39C0" w14:textId="77777777" w:rsidR="00D44969" w:rsidRPr="00D44969" w:rsidRDefault="00D44969" w:rsidP="00D44969">
      <w:pPr>
        <w:pStyle w:val="SingleTxt"/>
        <w:rPr>
          <w:lang w:val="es-ES_tradnl"/>
        </w:rPr>
      </w:pPr>
      <w:r w:rsidRPr="00D44969">
        <w:rPr>
          <w:lang w:val="es-ES_tradnl"/>
        </w:rPr>
        <w:t>El artículo 18 de la Convención dispone que los Estados partes en la Convención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3A76612D" w14:textId="2A4291D3" w:rsidR="00D44969" w:rsidRPr="00D44969" w:rsidRDefault="00D44969" w:rsidP="00D44969">
      <w:pPr>
        <w:pStyle w:val="SingleTxt"/>
        <w:rPr>
          <w:lang w:val="es-ES_tradnl"/>
        </w:rPr>
      </w:pPr>
      <w:r w:rsidRPr="00D44969">
        <w:rPr>
          <w:lang w:val="es-ES_tradnl"/>
        </w:rPr>
        <w:t>Está previsto que el Comité examine los informes de los siguientes Estados partes en su 91</w:t>
      </w:r>
      <w:r w:rsidRPr="00D44969">
        <w:rPr>
          <w:vertAlign w:val="superscript"/>
          <w:lang w:val="es-ES_tradnl"/>
        </w:rPr>
        <w:t>er</w:t>
      </w:r>
      <w:r w:rsidRPr="00D44969" w:rsidDel="003B381F">
        <w:rPr>
          <w:b/>
          <w:bCs/>
          <w:lang w:val="es-ES_tradnl"/>
        </w:rPr>
        <w:t xml:space="preserve"> </w:t>
      </w:r>
      <w:r w:rsidRPr="00D44969">
        <w:rPr>
          <w:lang w:val="es-ES_tradnl"/>
        </w:rPr>
        <w:t xml:space="preserve">período de sesiones: Afganistán, Botswana, Chad, Irlanda, México, San Marino y Tailandia. Además, el Comité </w:t>
      </w:r>
      <w:commentRangeStart w:id="1"/>
      <w:r w:rsidRPr="00D44969">
        <w:rPr>
          <w:lang w:val="es-ES_tradnl"/>
        </w:rPr>
        <w:t>aprobará las observaciones finales sobre los informes</w:t>
      </w:r>
      <w:commentRangeEnd w:id="1"/>
      <w:r w:rsidRPr="00D44969">
        <w:rPr>
          <w:lang w:val="es-ES_tradnl"/>
        </w:rPr>
        <w:commentReference w:id="1"/>
      </w:r>
      <w:r w:rsidRPr="00D44969">
        <w:rPr>
          <w:lang w:val="es-ES_tradnl"/>
        </w:rPr>
        <w:t xml:space="preserve"> de las Islas Salomón, Fiji, y Tuvalu tras los intercambios con esos Estados partes en su </w:t>
      </w:r>
      <w:commentRangeStart w:id="2"/>
      <w:r w:rsidRPr="00D44969">
        <w:rPr>
          <w:lang w:val="es-ES_tradnl"/>
        </w:rPr>
        <w:t>sesión de cooperación técnica en el Pacífico</w:t>
      </w:r>
      <w:commentRangeEnd w:id="2"/>
      <w:r w:rsidRPr="00D44969">
        <w:rPr>
          <w:lang w:val="es-ES_tradnl"/>
        </w:rPr>
        <w:commentReference w:id="2"/>
      </w:r>
      <w:r w:rsidRPr="00D44969">
        <w:rPr>
          <w:lang w:val="es-ES_tradnl"/>
        </w:rPr>
        <w:t>, celebrada en Suva del 7 al 11 de abril de 2025.</w:t>
      </w:r>
      <w:r w:rsidRPr="00D44969" w:rsidDel="001D5D4D">
        <w:rPr>
          <w:lang w:val="es-ES_tradnl"/>
        </w:rPr>
        <w:t xml:space="preserve"> </w:t>
      </w:r>
    </w:p>
    <w:p w14:paraId="6A7AE0CC" w14:textId="77777777" w:rsidR="00D44969" w:rsidRPr="00D44969" w:rsidRDefault="00D44969" w:rsidP="00D44969">
      <w:pPr>
        <w:pStyle w:val="SingleTxt"/>
        <w:rPr>
          <w:lang w:val="es-ES_tradnl"/>
        </w:rPr>
      </w:pPr>
      <w:r w:rsidRPr="00D44969">
        <w:rPr>
          <w:lang w:val="es-ES_tradnl"/>
        </w:rPr>
        <w:t>El artículo 51 del Reglamento dispone que las delegaciones de los Estados partes podrán asistir a las sesiones del Comité en las que se vayan a examinar sus respectivos informes para participar en las deliberaciones y responder a las preguntas relativas a dichos informes.</w:t>
      </w:r>
    </w:p>
    <w:p w14:paraId="070EF011" w14:textId="77777777" w:rsidR="00D44969" w:rsidRPr="00D44969" w:rsidRDefault="00D44969" w:rsidP="00D44969">
      <w:pPr>
        <w:pStyle w:val="SingleTxt"/>
        <w:rPr>
          <w:lang w:val="es-ES_tradnl"/>
        </w:rPr>
      </w:pPr>
      <w:r w:rsidRPr="00D44969">
        <w:rPr>
          <w:lang w:val="es-ES_tradnl"/>
        </w:rPr>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631C7C9D" w14:textId="5679B0C6" w:rsidR="00D44969" w:rsidRPr="00D44969" w:rsidRDefault="00D44969" w:rsidP="00D44969">
      <w:pPr>
        <w:pStyle w:val="SingleTxt"/>
        <w:rPr>
          <w:lang w:val="es-ES_tradnl"/>
        </w:rPr>
      </w:pPr>
      <w:r w:rsidRPr="00D44969">
        <w:rPr>
          <w:lang w:val="es-ES_tradnl"/>
        </w:rPr>
        <w:t>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91</w:t>
      </w:r>
      <w:r w:rsidRPr="00D44969">
        <w:rPr>
          <w:vertAlign w:val="superscript"/>
          <w:lang w:val="es-ES_tradnl"/>
        </w:rPr>
        <w:t>er</w:t>
      </w:r>
      <w:r w:rsidRPr="00D44969">
        <w:rPr>
          <w:lang w:val="es-ES_tradnl"/>
        </w:rPr>
        <w:t xml:space="preserve"> período de sesiones se reunió del </w:t>
      </w:r>
      <w:r w:rsidRPr="00D44969">
        <w:rPr>
          <w:lang w:val="es-ES_tradnl"/>
        </w:rPr>
        <w:lastRenderedPageBreak/>
        <w:t>28</w:t>
      </w:r>
      <w:r w:rsidR="00D47191">
        <w:rPr>
          <w:lang w:val="es-ES_tradnl"/>
        </w:rPr>
        <w:t> </w:t>
      </w:r>
      <w:r w:rsidRPr="00D44969">
        <w:rPr>
          <w:lang w:val="es-ES_tradnl"/>
        </w:rPr>
        <w:t>de octubre al 1 de noviembre de 2025. El Comité tendrá ante sí el informe del grupo de trabajo (</w:t>
      </w:r>
      <w:hyperlink r:id="rId21" w:history="1">
        <w:r w:rsidRPr="00841C9D">
          <w:rPr>
            <w:rStyle w:val="Hyperlink"/>
            <w:lang w:val="es-ES_tradnl"/>
          </w:rPr>
          <w:t>CEDAW/C/PSWG/91/1</w:t>
        </w:r>
      </w:hyperlink>
      <w:r w:rsidRPr="00D44969">
        <w:rPr>
          <w:lang w:val="es-ES_tradnl"/>
        </w:rPr>
        <w:t>).</w:t>
      </w:r>
    </w:p>
    <w:p w14:paraId="56E574F7" w14:textId="6D6E24EB" w:rsidR="00D44969" w:rsidRPr="00D44969" w:rsidRDefault="00D44969" w:rsidP="00D44969">
      <w:pPr>
        <w:pStyle w:val="SingleTxt"/>
        <w:spacing w:after="0" w:line="120" w:lineRule="exact"/>
        <w:rPr>
          <w:sz w:val="10"/>
          <w:lang w:val="es-ES_tradnl"/>
        </w:rPr>
      </w:pPr>
    </w:p>
    <w:p w14:paraId="3BC51115" w14:textId="77777777" w:rsidR="00D44969" w:rsidRPr="00D44969" w:rsidRDefault="00D44969" w:rsidP="00D449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r>
      <w:r w:rsidRPr="00D44969">
        <w:rPr>
          <w:lang w:val="es-ES_tradnl"/>
        </w:rPr>
        <w:tab/>
        <w:t>Documentación</w:t>
      </w:r>
    </w:p>
    <w:p w14:paraId="122D14F2" w14:textId="77777777" w:rsidR="00D44969" w:rsidRPr="00D44969" w:rsidRDefault="00D44969" w:rsidP="00D44969">
      <w:pPr>
        <w:pStyle w:val="SingleTxt"/>
        <w:spacing w:after="0" w:line="120" w:lineRule="exact"/>
        <w:rPr>
          <w:sz w:val="10"/>
          <w:lang w:val="es-ES_tradnl"/>
        </w:rPr>
      </w:pPr>
    </w:p>
    <w:p w14:paraId="668931DF" w14:textId="77777777" w:rsidR="00D44969" w:rsidRPr="00D44969" w:rsidRDefault="00D44969" w:rsidP="00D449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r>
      <w:r w:rsidRPr="00D44969">
        <w:rPr>
          <w:lang w:val="es-ES_tradnl"/>
        </w:rPr>
        <w:tab/>
        <w:t>Informes</w:t>
      </w:r>
    </w:p>
    <w:p w14:paraId="384B2D6D" w14:textId="77777777" w:rsidR="00D44969" w:rsidRPr="00D44969" w:rsidRDefault="00D44969" w:rsidP="00D44969">
      <w:pPr>
        <w:pStyle w:val="SingleTxt"/>
        <w:spacing w:after="0" w:line="120" w:lineRule="exact"/>
        <w:rPr>
          <w:sz w:val="10"/>
          <w:lang w:val="es-ES_tradnl"/>
        </w:rPr>
      </w:pPr>
    </w:p>
    <w:p w14:paraId="371A7A47" w14:textId="71C614AB" w:rsidR="00D44969" w:rsidRPr="00D44969" w:rsidRDefault="00D44969" w:rsidP="00D44969">
      <w:pPr>
        <w:pStyle w:val="SingleTxt"/>
        <w:rPr>
          <w:lang w:val="es-ES_tradnl"/>
        </w:rPr>
      </w:pPr>
      <w:r w:rsidRPr="00D44969">
        <w:rPr>
          <w:lang w:val="es-ES_tradnl"/>
        </w:rPr>
        <w:t>Cuarto informe periódico del Afganishtán (</w:t>
      </w:r>
      <w:hyperlink r:id="rId22" w:history="1">
        <w:r w:rsidRPr="00841C9D">
          <w:rPr>
            <w:rStyle w:val="Hyperlink"/>
            <w:lang w:val="es-ES_tradnl"/>
          </w:rPr>
          <w:t>CEDAW/C/AFG/4</w:t>
        </w:r>
      </w:hyperlink>
      <w:r w:rsidRPr="00D44969">
        <w:rPr>
          <w:lang w:val="es-ES_tradnl"/>
        </w:rPr>
        <w:t>)</w:t>
      </w:r>
      <w:r w:rsidRPr="00D44969">
        <w:rPr>
          <w:vertAlign w:val="superscript"/>
          <w:lang w:val="es-ES_tradnl"/>
        </w:rPr>
        <w:footnoteReference w:id="1"/>
      </w:r>
    </w:p>
    <w:p w14:paraId="0DD1BACE" w14:textId="6C5717E0" w:rsidR="00D44969" w:rsidRPr="00D44969" w:rsidRDefault="00D44969" w:rsidP="00D44969">
      <w:pPr>
        <w:pStyle w:val="SingleTxt"/>
        <w:rPr>
          <w:lang w:val="es-ES_tradnl"/>
        </w:rPr>
      </w:pPr>
      <w:r w:rsidRPr="00D44969">
        <w:rPr>
          <w:lang w:val="es-ES_tradnl"/>
        </w:rPr>
        <w:t>Quinto informe periódico de Botswana (</w:t>
      </w:r>
      <w:hyperlink r:id="rId23" w:history="1">
        <w:r w:rsidRPr="00841C9D">
          <w:rPr>
            <w:rStyle w:val="Hyperlink"/>
            <w:lang w:val="es-ES_tradnl"/>
          </w:rPr>
          <w:t>CEDAW/C/BWA/5</w:t>
        </w:r>
      </w:hyperlink>
      <w:r w:rsidRPr="00D44969">
        <w:rPr>
          <w:lang w:val="es-ES_tradnl"/>
        </w:rPr>
        <w:t>)</w:t>
      </w:r>
    </w:p>
    <w:p w14:paraId="41F82F7A" w14:textId="705ED3B3" w:rsidR="00D44969" w:rsidRPr="00D44969" w:rsidRDefault="00D44969" w:rsidP="00D44969">
      <w:pPr>
        <w:pStyle w:val="SingleTxt"/>
        <w:rPr>
          <w:lang w:val="es-ES_tradnl"/>
        </w:rPr>
      </w:pPr>
      <w:r w:rsidRPr="00D44969">
        <w:rPr>
          <w:lang w:val="es-ES_tradnl"/>
        </w:rPr>
        <w:t>Quinto informe periódico del Chad (</w:t>
      </w:r>
      <w:hyperlink r:id="rId24" w:history="1">
        <w:r w:rsidRPr="00841C9D">
          <w:rPr>
            <w:rStyle w:val="Hyperlink"/>
            <w:lang w:val="es-ES_tradnl"/>
          </w:rPr>
          <w:t>CEDAW/C/TCD/5</w:t>
        </w:r>
      </w:hyperlink>
      <w:r w:rsidRPr="00D44969">
        <w:rPr>
          <w:lang w:val="es-ES_tradnl"/>
        </w:rPr>
        <w:t>)</w:t>
      </w:r>
    </w:p>
    <w:p w14:paraId="69422F76" w14:textId="623E40B4" w:rsidR="00D44969" w:rsidRPr="00D44969" w:rsidRDefault="00D44969" w:rsidP="00D44969">
      <w:pPr>
        <w:pStyle w:val="SingleTxt"/>
        <w:rPr>
          <w:lang w:val="es-ES_tradnl"/>
        </w:rPr>
      </w:pPr>
      <w:r w:rsidRPr="00D44969">
        <w:rPr>
          <w:lang w:val="es-ES_tradnl"/>
        </w:rPr>
        <w:t>Sexto informe periódico de Fiji, presentado conforme al procedimiento simplificado (</w:t>
      </w:r>
      <w:hyperlink r:id="rId25" w:history="1">
        <w:r w:rsidRPr="00841C9D">
          <w:rPr>
            <w:rStyle w:val="Hyperlink"/>
            <w:lang w:val="es-ES_tradnl"/>
          </w:rPr>
          <w:t>CEDAW/C/FJI/6</w:t>
        </w:r>
      </w:hyperlink>
      <w:r w:rsidRPr="00D44969">
        <w:rPr>
          <w:lang w:val="es-ES_tradnl"/>
        </w:rPr>
        <w:t>)</w:t>
      </w:r>
    </w:p>
    <w:p w14:paraId="2B23C166" w14:textId="51BC6FDA" w:rsidR="00D44969" w:rsidRPr="00D44969" w:rsidRDefault="00D44969" w:rsidP="00D44969">
      <w:pPr>
        <w:pStyle w:val="SingleTxt"/>
        <w:rPr>
          <w:lang w:val="es-ES_tradnl"/>
        </w:rPr>
      </w:pPr>
      <w:r w:rsidRPr="00D44969">
        <w:rPr>
          <w:lang w:val="es-ES_tradnl"/>
        </w:rPr>
        <w:t>Octavo informe periódico de Irlanda, presentado conforme al procedimiento simplificado (</w:t>
      </w:r>
      <w:hyperlink r:id="rId26" w:history="1">
        <w:r w:rsidRPr="00841C9D">
          <w:rPr>
            <w:rStyle w:val="Hyperlink"/>
            <w:lang w:val="es-ES_tradnl"/>
          </w:rPr>
          <w:t>CEDAW/C/IRL/8</w:t>
        </w:r>
      </w:hyperlink>
      <w:r w:rsidRPr="00D44969">
        <w:rPr>
          <w:lang w:val="es-ES_tradnl"/>
        </w:rPr>
        <w:t>)</w:t>
      </w:r>
    </w:p>
    <w:p w14:paraId="15BF1F61" w14:textId="7412EC10" w:rsidR="00D44969" w:rsidRPr="00D44969" w:rsidRDefault="00D44969" w:rsidP="00D44969">
      <w:pPr>
        <w:pStyle w:val="SingleTxt"/>
        <w:rPr>
          <w:lang w:val="es-ES_tradnl"/>
        </w:rPr>
      </w:pPr>
      <w:r w:rsidRPr="00D44969">
        <w:rPr>
          <w:lang w:val="es-ES_tradnl"/>
        </w:rPr>
        <w:t>Décimo informe periódico de México, presentado conforme al procedimiento simplificado (</w:t>
      </w:r>
      <w:hyperlink r:id="rId27" w:history="1">
        <w:r w:rsidRPr="00841C9D">
          <w:rPr>
            <w:rStyle w:val="Hyperlink"/>
            <w:lang w:val="es-ES_tradnl"/>
          </w:rPr>
          <w:t>CEDAW/C/MEX/10</w:t>
        </w:r>
      </w:hyperlink>
      <w:r w:rsidRPr="00D44969" w:rsidDel="00E44F76">
        <w:rPr>
          <w:lang w:val="es-ES_tradnl"/>
        </w:rPr>
        <w:t xml:space="preserve"> </w:t>
      </w:r>
      <w:r w:rsidRPr="00D44969">
        <w:rPr>
          <w:lang w:val="es-ES_tradnl"/>
        </w:rPr>
        <w:t>)</w:t>
      </w:r>
    </w:p>
    <w:p w14:paraId="60237DFD" w14:textId="354C0106" w:rsidR="00D44969" w:rsidRPr="00D44969" w:rsidRDefault="00D44969" w:rsidP="00D44969">
      <w:pPr>
        <w:pStyle w:val="SingleTxt"/>
        <w:rPr>
          <w:lang w:val="es-ES_tradnl"/>
        </w:rPr>
      </w:pPr>
      <w:r w:rsidRPr="00D44969">
        <w:rPr>
          <w:lang w:val="es-ES_tradnl"/>
        </w:rPr>
        <w:t>Informes periódicos combinados inicial a quinto de San Marino, presentados conforme al procedimiento simplificado (</w:t>
      </w:r>
      <w:hyperlink r:id="rId28" w:history="1">
        <w:r w:rsidRPr="00841C9D">
          <w:rPr>
            <w:rStyle w:val="Hyperlink"/>
            <w:lang w:val="es-ES_tradnl"/>
          </w:rPr>
          <w:t>CEDAW/C/SMR/1-5</w:t>
        </w:r>
      </w:hyperlink>
      <w:r w:rsidRPr="00D44969">
        <w:rPr>
          <w:lang w:val="es-ES_tradnl"/>
        </w:rPr>
        <w:t>)</w:t>
      </w:r>
    </w:p>
    <w:p w14:paraId="4CA54420" w14:textId="62C581DD" w:rsidR="00D44969" w:rsidRPr="00D44969" w:rsidRDefault="00D44969" w:rsidP="00D44969">
      <w:pPr>
        <w:pStyle w:val="SingleTxt"/>
        <w:rPr>
          <w:lang w:val="es-ES_tradnl"/>
        </w:rPr>
      </w:pPr>
      <w:r w:rsidRPr="00D44969">
        <w:rPr>
          <w:lang w:val="es-ES_tradnl"/>
        </w:rPr>
        <w:t>Informes periódicos combinados cuarto y quinto de las Islas Salomón, presentados conforme al procedimiento simplificado (</w:t>
      </w:r>
      <w:hyperlink r:id="rId29" w:history="1">
        <w:r w:rsidRPr="00841C9D">
          <w:rPr>
            <w:rStyle w:val="Hyperlink"/>
            <w:lang w:val="es-ES_tradnl"/>
          </w:rPr>
          <w:t>CEDAW/C/SLB/4-5</w:t>
        </w:r>
      </w:hyperlink>
      <w:r w:rsidRPr="00D44969">
        <w:rPr>
          <w:lang w:val="es-ES_tradnl"/>
        </w:rPr>
        <w:t>)</w:t>
      </w:r>
    </w:p>
    <w:p w14:paraId="7B336B12" w14:textId="33D8C769" w:rsidR="00D44969" w:rsidRPr="00D44969" w:rsidRDefault="00D44969" w:rsidP="00D44969">
      <w:pPr>
        <w:pStyle w:val="SingleTxt"/>
        <w:rPr>
          <w:lang w:val="es-ES_tradnl"/>
        </w:rPr>
      </w:pPr>
      <w:r w:rsidRPr="00D44969">
        <w:rPr>
          <w:lang w:val="es-ES_tradnl"/>
        </w:rPr>
        <w:t>Octavo informe periódico de Tailandia, presentado conforme al procedimiento simplificado (</w:t>
      </w:r>
      <w:hyperlink r:id="rId30" w:history="1">
        <w:r w:rsidRPr="00841C9D">
          <w:rPr>
            <w:rStyle w:val="Hyperlink"/>
            <w:lang w:val="es-ES_tradnl"/>
          </w:rPr>
          <w:t>CEDAW/C/THA/8</w:t>
        </w:r>
      </w:hyperlink>
      <w:r w:rsidRPr="00D44969">
        <w:rPr>
          <w:lang w:val="es-ES_tradnl"/>
        </w:rPr>
        <w:t>)</w:t>
      </w:r>
    </w:p>
    <w:p w14:paraId="7E9F7D82" w14:textId="3647AEE9" w:rsidR="00D44969" w:rsidRPr="00D44969" w:rsidRDefault="00D44969" w:rsidP="00D44969">
      <w:pPr>
        <w:pStyle w:val="SingleTxt"/>
        <w:rPr>
          <w:lang w:val="es-ES_tradnl"/>
        </w:rPr>
      </w:pPr>
      <w:r w:rsidRPr="00D44969">
        <w:rPr>
          <w:lang w:val="es-ES_tradnl"/>
        </w:rPr>
        <w:t>Informes periódicos combinados quinto y sexto de Tuvalu, presentados conforme al procedimiento simplificado (</w:t>
      </w:r>
      <w:hyperlink r:id="rId31" w:history="1">
        <w:r w:rsidRPr="00841C9D">
          <w:rPr>
            <w:rStyle w:val="Hyperlink"/>
            <w:lang w:val="es-ES_tradnl"/>
          </w:rPr>
          <w:t>CEDAW/C/TUV/5-6</w:t>
        </w:r>
      </w:hyperlink>
      <w:r w:rsidRPr="00D44969">
        <w:rPr>
          <w:lang w:val="es-ES_tradnl"/>
        </w:rPr>
        <w:t>)</w:t>
      </w:r>
    </w:p>
    <w:p w14:paraId="479EDAB0" w14:textId="77777777" w:rsidR="00D44969" w:rsidRPr="00D44969" w:rsidRDefault="00D44969" w:rsidP="00D44969">
      <w:pPr>
        <w:pStyle w:val="SingleTxt"/>
        <w:spacing w:after="0" w:line="120" w:lineRule="exact"/>
        <w:rPr>
          <w:sz w:val="10"/>
          <w:lang w:val="es-ES_tradnl"/>
        </w:rPr>
      </w:pPr>
    </w:p>
    <w:p w14:paraId="34387285" w14:textId="77777777" w:rsidR="00D44969" w:rsidRPr="00D44969" w:rsidRDefault="00D44969" w:rsidP="00D449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r>
      <w:r w:rsidRPr="00D44969">
        <w:rPr>
          <w:lang w:val="es-ES_tradnl"/>
        </w:rPr>
        <w:tab/>
        <w:t>Listas de cuestiones y preguntas</w:t>
      </w:r>
    </w:p>
    <w:p w14:paraId="748E3753" w14:textId="77777777" w:rsidR="00D44969" w:rsidRPr="00D44969" w:rsidRDefault="00D44969" w:rsidP="00D44969">
      <w:pPr>
        <w:pStyle w:val="SingleTxt"/>
        <w:spacing w:after="0" w:line="120" w:lineRule="exact"/>
        <w:rPr>
          <w:sz w:val="10"/>
          <w:lang w:val="es-ES_tradnl"/>
        </w:rPr>
      </w:pPr>
    </w:p>
    <w:p w14:paraId="0EED5148" w14:textId="70D63A15" w:rsidR="00D44969" w:rsidRPr="00D44969" w:rsidRDefault="00D44969" w:rsidP="00D44969">
      <w:pPr>
        <w:pStyle w:val="SingleTxt"/>
        <w:rPr>
          <w:lang w:val="en-US"/>
        </w:rPr>
      </w:pPr>
      <w:r w:rsidRPr="00D44969">
        <w:rPr>
          <w:lang w:val="en-US"/>
        </w:rPr>
        <w:t>Botswana (</w:t>
      </w:r>
      <w:hyperlink r:id="rId32" w:history="1">
        <w:r w:rsidRPr="00841C9D">
          <w:rPr>
            <w:rStyle w:val="Hyperlink"/>
            <w:lang w:val="en-US"/>
          </w:rPr>
          <w:t>CEDAW/C/BWA/Q/5</w:t>
        </w:r>
      </w:hyperlink>
      <w:r w:rsidRPr="00D44969">
        <w:rPr>
          <w:lang w:val="en-US"/>
        </w:rPr>
        <w:t>)</w:t>
      </w:r>
    </w:p>
    <w:p w14:paraId="415400D0" w14:textId="7B9CE893" w:rsidR="00D44969" w:rsidRPr="00D44969" w:rsidRDefault="00D44969" w:rsidP="00D44969">
      <w:pPr>
        <w:pStyle w:val="SingleTxt"/>
        <w:rPr>
          <w:lang w:val="en-US"/>
        </w:rPr>
      </w:pPr>
      <w:r w:rsidRPr="00D44969">
        <w:rPr>
          <w:lang w:val="en-US"/>
        </w:rPr>
        <w:t>Chad (</w:t>
      </w:r>
      <w:hyperlink r:id="rId33" w:history="1">
        <w:r w:rsidRPr="00841C9D">
          <w:rPr>
            <w:rStyle w:val="Hyperlink"/>
            <w:lang w:val="en-US"/>
          </w:rPr>
          <w:t>CEDAW/C/TCD/Q/5</w:t>
        </w:r>
      </w:hyperlink>
      <w:r w:rsidRPr="00D44969">
        <w:rPr>
          <w:lang w:val="en-US"/>
        </w:rPr>
        <w:t>)</w:t>
      </w:r>
    </w:p>
    <w:p w14:paraId="4EAFF43E" w14:textId="46A7DF5D" w:rsidR="00D44969" w:rsidRPr="00D44969" w:rsidRDefault="00D44969" w:rsidP="00D44969">
      <w:pPr>
        <w:pStyle w:val="SingleTxt"/>
        <w:rPr>
          <w:lang w:val="es-ES_tradnl"/>
        </w:rPr>
      </w:pPr>
      <w:r w:rsidRPr="00D44969">
        <w:rPr>
          <w:lang w:val="es-ES_tradnl"/>
        </w:rPr>
        <w:t>Fiji (</w:t>
      </w:r>
      <w:hyperlink r:id="rId34" w:history="1">
        <w:r w:rsidRPr="00841C9D">
          <w:rPr>
            <w:rStyle w:val="Hyperlink"/>
            <w:lang w:val="es-ES_tradnl"/>
          </w:rPr>
          <w:t>CEDAW/C/FJI/QPR/6</w:t>
        </w:r>
      </w:hyperlink>
      <w:r w:rsidRPr="00D44969">
        <w:rPr>
          <w:lang w:val="es-ES_tradnl"/>
        </w:rPr>
        <w:t>)</w:t>
      </w:r>
    </w:p>
    <w:p w14:paraId="4F39CFB4" w14:textId="7EE321DF" w:rsidR="00D44969" w:rsidRPr="00D44969" w:rsidRDefault="00D44969" w:rsidP="00D44969">
      <w:pPr>
        <w:pStyle w:val="SingleTxt"/>
        <w:rPr>
          <w:lang w:val="es-ES_tradnl"/>
        </w:rPr>
      </w:pPr>
      <w:r w:rsidRPr="00D44969">
        <w:rPr>
          <w:lang w:val="es-ES_tradnl"/>
        </w:rPr>
        <w:t>Irlanda (</w:t>
      </w:r>
      <w:hyperlink r:id="rId35" w:history="1">
        <w:r w:rsidRPr="00841C9D">
          <w:rPr>
            <w:rStyle w:val="Hyperlink"/>
            <w:lang w:val="es-ES_tradnl"/>
          </w:rPr>
          <w:t>CEDAW/C/IRL/QPR/8</w:t>
        </w:r>
      </w:hyperlink>
      <w:r w:rsidRPr="00D44969">
        <w:rPr>
          <w:lang w:val="es-ES_tradnl"/>
        </w:rPr>
        <w:t>)</w:t>
      </w:r>
    </w:p>
    <w:p w14:paraId="77E21CC8" w14:textId="04A76639" w:rsidR="00D44969" w:rsidRPr="00D44969" w:rsidRDefault="00D44969" w:rsidP="00D44969">
      <w:pPr>
        <w:pStyle w:val="SingleTxt"/>
        <w:rPr>
          <w:lang w:val="es-ES_tradnl"/>
        </w:rPr>
      </w:pPr>
      <w:r w:rsidRPr="00D44969">
        <w:rPr>
          <w:lang w:val="es-ES_tradnl"/>
        </w:rPr>
        <w:t>México (</w:t>
      </w:r>
      <w:hyperlink r:id="rId36" w:history="1">
        <w:r w:rsidRPr="00841C9D">
          <w:rPr>
            <w:rStyle w:val="Hyperlink"/>
            <w:lang w:val="es-ES_tradnl"/>
          </w:rPr>
          <w:t>CEDAW/C/MEX/QPR/10</w:t>
        </w:r>
      </w:hyperlink>
      <w:r w:rsidRPr="00D44969">
        <w:rPr>
          <w:lang w:val="es-ES_tradnl"/>
        </w:rPr>
        <w:t>)</w:t>
      </w:r>
    </w:p>
    <w:p w14:paraId="3877102E" w14:textId="32075DAA" w:rsidR="00D44969" w:rsidRPr="00D44969" w:rsidRDefault="00D44969" w:rsidP="00D44969">
      <w:pPr>
        <w:pStyle w:val="SingleTxt"/>
        <w:rPr>
          <w:lang w:val="es-ES_tradnl"/>
        </w:rPr>
      </w:pPr>
      <w:r w:rsidRPr="00D44969">
        <w:rPr>
          <w:lang w:val="es-ES_tradnl"/>
        </w:rPr>
        <w:t>San Marino (</w:t>
      </w:r>
      <w:hyperlink r:id="rId37" w:history="1">
        <w:r w:rsidRPr="00841C9D">
          <w:rPr>
            <w:rStyle w:val="Hyperlink"/>
            <w:lang w:val="es-ES_tradnl"/>
          </w:rPr>
          <w:t>CEDAW/C/SMR/QPR/1-5</w:t>
        </w:r>
      </w:hyperlink>
      <w:r w:rsidRPr="00D44969">
        <w:rPr>
          <w:lang w:val="es-ES_tradnl"/>
        </w:rPr>
        <w:t>)</w:t>
      </w:r>
    </w:p>
    <w:p w14:paraId="4AB4815D" w14:textId="3EDC1709" w:rsidR="00D44969" w:rsidRPr="00D44969" w:rsidRDefault="00D44969" w:rsidP="00D44969">
      <w:pPr>
        <w:pStyle w:val="SingleTxt"/>
        <w:rPr>
          <w:lang w:val="es-ES_tradnl"/>
        </w:rPr>
      </w:pPr>
      <w:r w:rsidRPr="00D44969">
        <w:rPr>
          <w:lang w:val="es-ES_tradnl"/>
        </w:rPr>
        <w:t>Islas Salomón (</w:t>
      </w:r>
      <w:hyperlink r:id="rId38" w:history="1">
        <w:r w:rsidRPr="00841C9D">
          <w:rPr>
            <w:rStyle w:val="Hyperlink"/>
            <w:lang w:val="es-ES_tradnl"/>
          </w:rPr>
          <w:t>CEDAW/C/SLB/QPR/4-5</w:t>
        </w:r>
      </w:hyperlink>
      <w:r w:rsidRPr="00D44969">
        <w:rPr>
          <w:lang w:val="es-ES_tradnl"/>
        </w:rPr>
        <w:t>)</w:t>
      </w:r>
    </w:p>
    <w:p w14:paraId="09D39FA9" w14:textId="3A8FA30A" w:rsidR="00D44969" w:rsidRPr="00D44969" w:rsidRDefault="00D44969" w:rsidP="00D44969">
      <w:pPr>
        <w:pStyle w:val="SingleTxt"/>
        <w:rPr>
          <w:lang w:val="en-US"/>
        </w:rPr>
      </w:pPr>
      <w:r w:rsidRPr="00D44969">
        <w:rPr>
          <w:lang w:val="en-US"/>
        </w:rPr>
        <w:t>Tailandia (</w:t>
      </w:r>
      <w:hyperlink r:id="rId39" w:history="1">
        <w:r w:rsidRPr="00841C9D">
          <w:rPr>
            <w:rStyle w:val="Hyperlink"/>
            <w:lang w:val="en-US"/>
          </w:rPr>
          <w:t>CEDAW/C/THA/QPR/8</w:t>
        </w:r>
      </w:hyperlink>
      <w:r w:rsidRPr="00D44969">
        <w:rPr>
          <w:lang w:val="en-US"/>
        </w:rPr>
        <w:t>)</w:t>
      </w:r>
    </w:p>
    <w:p w14:paraId="16A0C5D4" w14:textId="4169ACFF" w:rsidR="00D44969" w:rsidRPr="00D44969" w:rsidRDefault="00D44969" w:rsidP="00D44969">
      <w:pPr>
        <w:pStyle w:val="SingleTxt"/>
        <w:rPr>
          <w:lang w:val="es-ES_tradnl"/>
        </w:rPr>
      </w:pPr>
      <w:r w:rsidRPr="00D44969">
        <w:rPr>
          <w:lang w:val="es-ES_tradnl"/>
        </w:rPr>
        <w:t>Tuvalu (</w:t>
      </w:r>
      <w:hyperlink r:id="rId40" w:history="1">
        <w:r w:rsidRPr="00841C9D">
          <w:rPr>
            <w:rStyle w:val="Hyperlink"/>
            <w:lang w:val="es-ES_tradnl"/>
          </w:rPr>
          <w:t>CEDAW/C/TUV/QPR/5-6</w:t>
        </w:r>
      </w:hyperlink>
      <w:r w:rsidRPr="00D44969">
        <w:rPr>
          <w:lang w:val="es-ES_tradnl"/>
        </w:rPr>
        <w:t>)</w:t>
      </w:r>
    </w:p>
    <w:p w14:paraId="30D208AB" w14:textId="77777777" w:rsidR="00D44969" w:rsidRPr="00D44969" w:rsidRDefault="00D44969" w:rsidP="00D44969">
      <w:pPr>
        <w:pStyle w:val="SingleTxt"/>
        <w:spacing w:after="0" w:line="120" w:lineRule="exact"/>
        <w:rPr>
          <w:sz w:val="10"/>
          <w:lang w:val="es-ES_tradnl"/>
        </w:rPr>
      </w:pPr>
    </w:p>
    <w:p w14:paraId="04A359DF" w14:textId="77777777" w:rsidR="00D44969" w:rsidRPr="00D44969" w:rsidRDefault="00D44969" w:rsidP="00D449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r>
      <w:r w:rsidRPr="00D44969">
        <w:rPr>
          <w:lang w:val="es-ES_tradnl"/>
        </w:rPr>
        <w:tab/>
        <w:t>Respuestas a las listas de cuestiones y preguntas</w:t>
      </w:r>
    </w:p>
    <w:p w14:paraId="09BB7A03" w14:textId="77777777" w:rsidR="00D44969" w:rsidRPr="00D44969" w:rsidRDefault="00D44969" w:rsidP="00D44969">
      <w:pPr>
        <w:pStyle w:val="SingleTxt"/>
        <w:spacing w:after="0" w:line="120" w:lineRule="exact"/>
        <w:rPr>
          <w:sz w:val="10"/>
          <w:lang w:val="es-ES_tradnl"/>
        </w:rPr>
      </w:pPr>
    </w:p>
    <w:p w14:paraId="784468D4" w14:textId="55E49ECC" w:rsidR="00D44969" w:rsidRPr="00D44969" w:rsidRDefault="00D44969" w:rsidP="00D44969">
      <w:pPr>
        <w:pStyle w:val="SingleTxt"/>
        <w:rPr>
          <w:lang w:val="es-ES_tradnl"/>
        </w:rPr>
      </w:pPr>
      <w:r w:rsidRPr="00D44969">
        <w:rPr>
          <w:lang w:val="es-ES_tradnl"/>
        </w:rPr>
        <w:t>Botswana (</w:t>
      </w:r>
      <w:hyperlink r:id="rId41" w:history="1">
        <w:commentRangeStart w:id="3"/>
        <w:r w:rsidRPr="004864FF">
          <w:rPr>
            <w:rStyle w:val="Hyperlink"/>
            <w:lang w:val="es-ES_tradnl"/>
          </w:rPr>
          <w:t>CEDAW/C/BWA/RQ/5</w:t>
        </w:r>
      </w:hyperlink>
      <w:r w:rsidRPr="00D44969">
        <w:rPr>
          <w:lang w:val="es-ES_tradnl"/>
        </w:rPr>
        <w:t>)</w:t>
      </w:r>
      <w:commentRangeEnd w:id="3"/>
      <w:r w:rsidRPr="00D44969">
        <w:rPr>
          <w:lang w:val="es-ES_tradnl"/>
        </w:rPr>
        <w:commentReference w:id="3"/>
      </w:r>
    </w:p>
    <w:p w14:paraId="73767F81" w14:textId="459B4F39" w:rsidR="00D44969" w:rsidRPr="00D44969" w:rsidRDefault="00D44969" w:rsidP="00D44969">
      <w:pPr>
        <w:pStyle w:val="SingleTxt"/>
        <w:rPr>
          <w:lang w:val="es-ES_tradnl"/>
        </w:rPr>
      </w:pPr>
      <w:r w:rsidRPr="00D44969">
        <w:rPr>
          <w:lang w:val="es-ES_tradnl"/>
        </w:rPr>
        <w:t>Chad (</w:t>
      </w:r>
      <w:hyperlink r:id="rId42" w:history="1">
        <w:r w:rsidRPr="00841C9D">
          <w:rPr>
            <w:rStyle w:val="Hyperlink"/>
            <w:lang w:val="es-ES_tradnl"/>
          </w:rPr>
          <w:t>CEDAW/C/TCD/RQ/5</w:t>
        </w:r>
      </w:hyperlink>
      <w:r w:rsidRPr="00D44969">
        <w:rPr>
          <w:lang w:val="es-ES_tradnl"/>
        </w:rPr>
        <w:t>)</w:t>
      </w:r>
    </w:p>
    <w:p w14:paraId="192A389D" w14:textId="77777777" w:rsidR="00D44969" w:rsidRDefault="00D44969">
      <w:pPr>
        <w:suppressAutoHyphens w:val="0"/>
        <w:spacing w:after="160" w:line="259" w:lineRule="auto"/>
        <w:rPr>
          <w:b/>
          <w:kern w:val="14"/>
          <w:lang w:val="es-ES_tradnl"/>
        </w:rPr>
      </w:pPr>
      <w:r>
        <w:rPr>
          <w:b/>
          <w:lang w:val="es-ES_tradnl"/>
        </w:rPr>
        <w:br w:type="page"/>
      </w:r>
    </w:p>
    <w:p w14:paraId="240666AF" w14:textId="5A0BFE5E" w:rsidR="00D44969" w:rsidRPr="00D44969" w:rsidRDefault="00D44969" w:rsidP="00D449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D44969">
        <w:rPr>
          <w:lang w:val="es-ES_tradnl"/>
        </w:rPr>
        <w:lastRenderedPageBreak/>
        <w:tab/>
        <w:t>5.</w:t>
      </w:r>
      <w:r w:rsidRPr="00D44969">
        <w:rPr>
          <w:lang w:val="es-ES_tradnl"/>
        </w:rPr>
        <w:tab/>
        <w:t>Seguimiento del examen de los informes presentados por los Estados partes en virtud del artículo 18 de la Convención</w:t>
      </w:r>
    </w:p>
    <w:p w14:paraId="249E13EE" w14:textId="77777777" w:rsidR="00D44969" w:rsidRPr="00D44969" w:rsidRDefault="00D44969" w:rsidP="00D44969">
      <w:pPr>
        <w:pStyle w:val="SingleTxt"/>
        <w:spacing w:after="0" w:line="120" w:lineRule="exact"/>
        <w:rPr>
          <w:sz w:val="10"/>
          <w:lang w:val="es-ES_tradnl"/>
        </w:rPr>
      </w:pPr>
    </w:p>
    <w:p w14:paraId="5F6F4875" w14:textId="77777777" w:rsidR="00D44969" w:rsidRPr="00D44969" w:rsidRDefault="00D44969" w:rsidP="00D44969">
      <w:pPr>
        <w:pStyle w:val="SingleTxt"/>
        <w:rPr>
          <w:lang w:val="es-ES_tradnl"/>
        </w:rPr>
      </w:pPr>
      <w:r w:rsidRPr="00D44969">
        <w:rPr>
          <w:lang w:val="es-ES_tradnl"/>
        </w:rPr>
        <w:t>El Comité examinará cuestiones relacionadas con el seguimiento de las observaciones finales.</w:t>
      </w:r>
    </w:p>
    <w:p w14:paraId="4B3B96C8" w14:textId="77777777" w:rsidR="00D44969" w:rsidRPr="00D44969" w:rsidRDefault="00D44969" w:rsidP="00D44969">
      <w:pPr>
        <w:pStyle w:val="SingleTxt"/>
        <w:spacing w:after="0" w:line="120" w:lineRule="exact"/>
        <w:rPr>
          <w:sz w:val="10"/>
          <w:lang w:val="es-ES_tradnl"/>
        </w:rPr>
      </w:pPr>
    </w:p>
    <w:p w14:paraId="48144E2C" w14:textId="77777777" w:rsidR="00D44969" w:rsidRPr="00D44969" w:rsidRDefault="00D44969" w:rsidP="00D449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t>6.</w:t>
      </w:r>
      <w:r w:rsidRPr="00D44969">
        <w:rPr>
          <w:lang w:val="es-ES_tradnl"/>
        </w:rPr>
        <w:tab/>
        <w:t>Aplicación de los artículos 21 y 22 de la Convención</w:t>
      </w:r>
    </w:p>
    <w:p w14:paraId="4E07CDD1" w14:textId="77777777" w:rsidR="00D44969" w:rsidRPr="00D44969" w:rsidRDefault="00D44969" w:rsidP="00D44969">
      <w:pPr>
        <w:pStyle w:val="SingleTxt"/>
        <w:spacing w:after="0" w:line="120" w:lineRule="exact"/>
        <w:rPr>
          <w:sz w:val="10"/>
          <w:lang w:val="es-ES_tradnl"/>
        </w:rPr>
      </w:pPr>
    </w:p>
    <w:p w14:paraId="1C6FB0FB" w14:textId="77777777" w:rsidR="00D44969" w:rsidRPr="00D44969" w:rsidRDefault="00D44969" w:rsidP="00D44969">
      <w:pPr>
        <w:pStyle w:val="SingleTxt"/>
        <w:rPr>
          <w:lang w:val="es-ES_tradnl"/>
        </w:rPr>
      </w:pPr>
      <w:r w:rsidRPr="00D44969">
        <w:rPr>
          <w:lang w:val="es-ES_tradnl"/>
        </w:rPr>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03E54FCD" w14:textId="77777777" w:rsidR="00D44969" w:rsidRPr="00D44969" w:rsidRDefault="00D44969" w:rsidP="00D44969">
      <w:pPr>
        <w:pStyle w:val="SingleTxt"/>
        <w:rPr>
          <w:lang w:val="es-ES_tradnl"/>
        </w:rPr>
      </w:pPr>
      <w:r w:rsidRPr="00D44969">
        <w:rPr>
          <w:lang w:val="es-ES_tradnl"/>
        </w:rPr>
        <w:t>El artículo 22 de la Convención dispone que los organismos especializados tendrán derecho a estar representados en el examen de la aplicación de las disposiciones de la Convención que correspondan a la esfera de sus actividades, y que el Comité podrá invitarlos a que presenten informes sobre la aplicación de la Convención en esas esferas.</w:t>
      </w:r>
    </w:p>
    <w:p w14:paraId="0F330AF2" w14:textId="77777777" w:rsidR="00D44969" w:rsidRPr="00D44969" w:rsidRDefault="00D44969" w:rsidP="00D44969">
      <w:pPr>
        <w:pStyle w:val="SingleTxt"/>
        <w:spacing w:after="0" w:line="120" w:lineRule="exact"/>
        <w:rPr>
          <w:sz w:val="10"/>
          <w:lang w:val="es-ES_tradnl"/>
        </w:rPr>
      </w:pPr>
    </w:p>
    <w:p w14:paraId="3437A47B" w14:textId="77777777" w:rsidR="00D44969" w:rsidRPr="00D44969" w:rsidRDefault="00D44969" w:rsidP="00D449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r>
      <w:r w:rsidRPr="00D44969">
        <w:rPr>
          <w:lang w:val="es-ES_tradnl"/>
        </w:rPr>
        <w:tab/>
        <w:t>Documentación</w:t>
      </w:r>
    </w:p>
    <w:p w14:paraId="55ADCFDC" w14:textId="77777777" w:rsidR="00D44969" w:rsidRPr="00D44969" w:rsidRDefault="00D44969" w:rsidP="00D44969">
      <w:pPr>
        <w:pStyle w:val="SingleTxt"/>
        <w:spacing w:after="0" w:line="120" w:lineRule="exact"/>
        <w:rPr>
          <w:sz w:val="10"/>
          <w:lang w:val="es-ES_tradnl"/>
        </w:rPr>
      </w:pPr>
    </w:p>
    <w:p w14:paraId="080C0836" w14:textId="77777777" w:rsidR="00D44969" w:rsidRPr="00D44969" w:rsidRDefault="00D44969" w:rsidP="00D44969">
      <w:pPr>
        <w:pStyle w:val="SingleTxt"/>
        <w:rPr>
          <w:lang w:val="es-ES_tradnl"/>
        </w:rPr>
      </w:pPr>
      <w:r w:rsidRPr="00D44969">
        <w:rPr>
          <w:lang w:val="es-ES_tradnl"/>
        </w:rPr>
        <w:t>Informes presentados por los organismos especializados del sistema de las Naciones Unidas sobre la aplicación de la Convención en la esfera de sus actividades.</w:t>
      </w:r>
    </w:p>
    <w:p w14:paraId="50A3B890" w14:textId="77777777" w:rsidR="00D44969" w:rsidRPr="00D44969" w:rsidRDefault="00D44969" w:rsidP="00D44969">
      <w:pPr>
        <w:pStyle w:val="SingleTxt"/>
        <w:spacing w:after="0" w:line="120" w:lineRule="exact"/>
        <w:rPr>
          <w:sz w:val="10"/>
          <w:lang w:val="es-ES_tradnl"/>
        </w:rPr>
      </w:pPr>
    </w:p>
    <w:p w14:paraId="33EC47F3" w14:textId="77777777" w:rsidR="00D44969" w:rsidRPr="00D44969" w:rsidRDefault="00D44969" w:rsidP="00D449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t>7.</w:t>
      </w:r>
      <w:r w:rsidRPr="00D44969">
        <w:rPr>
          <w:lang w:val="es-ES_tradnl"/>
        </w:rPr>
        <w:tab/>
        <w:t>Medios de agilizar los trabajos del Comité</w:t>
      </w:r>
    </w:p>
    <w:p w14:paraId="0A9114BD" w14:textId="77777777" w:rsidR="00D44969" w:rsidRPr="00D44969" w:rsidRDefault="00D44969" w:rsidP="00D44969">
      <w:pPr>
        <w:pStyle w:val="SingleTxt"/>
        <w:spacing w:after="0" w:line="120" w:lineRule="exact"/>
        <w:rPr>
          <w:sz w:val="10"/>
          <w:lang w:val="es-ES_tradnl"/>
        </w:rPr>
      </w:pPr>
    </w:p>
    <w:p w14:paraId="7AD559DE" w14:textId="77777777" w:rsidR="00D44969" w:rsidRPr="00D44969" w:rsidRDefault="00D44969" w:rsidP="00D44969">
      <w:pPr>
        <w:pStyle w:val="SingleTxt"/>
        <w:rPr>
          <w:lang w:val="es-ES_tradnl"/>
        </w:rPr>
      </w:pPr>
      <w:r w:rsidRPr="00D44969">
        <w:rPr>
          <w:lang w:val="es-ES_tradnl"/>
        </w:rPr>
        <w:t>El Comité examinará cuestiones relacionadas con sus métodos de trabajo.</w:t>
      </w:r>
    </w:p>
    <w:p w14:paraId="65E5973A" w14:textId="77777777" w:rsidR="00D44969" w:rsidRPr="00D44969" w:rsidRDefault="00D44969" w:rsidP="00D44969">
      <w:pPr>
        <w:pStyle w:val="SingleTxt"/>
        <w:spacing w:after="0" w:line="120" w:lineRule="exact"/>
        <w:rPr>
          <w:sz w:val="10"/>
          <w:lang w:val="es-ES_tradnl"/>
        </w:rPr>
      </w:pPr>
    </w:p>
    <w:p w14:paraId="33E77665" w14:textId="77777777" w:rsidR="00D44969" w:rsidRPr="00D44969" w:rsidRDefault="00D44969" w:rsidP="00D449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t>8.</w:t>
      </w:r>
      <w:r w:rsidRPr="00D44969">
        <w:rPr>
          <w:lang w:val="es-ES_tradnl"/>
        </w:rPr>
        <w:tab/>
        <w:t>Actividades del Comité en relación con el Protocolo Facultativo de la Convención</w:t>
      </w:r>
    </w:p>
    <w:p w14:paraId="51B5D0DD" w14:textId="77777777" w:rsidR="00D44969" w:rsidRPr="00D44969" w:rsidRDefault="00D44969" w:rsidP="00D44969">
      <w:pPr>
        <w:pStyle w:val="SingleTxt"/>
        <w:spacing w:after="0" w:line="120" w:lineRule="exact"/>
        <w:rPr>
          <w:sz w:val="10"/>
          <w:lang w:val="es-ES_tradnl"/>
        </w:rPr>
      </w:pPr>
    </w:p>
    <w:p w14:paraId="471A95C3" w14:textId="77777777" w:rsidR="00D44969" w:rsidRPr="00D44969" w:rsidRDefault="00D44969" w:rsidP="00D44969">
      <w:pPr>
        <w:pStyle w:val="SingleTxt"/>
        <w:rPr>
          <w:lang w:val="es-ES_tradnl"/>
        </w:rPr>
      </w:pPr>
      <w:r w:rsidRPr="00D44969">
        <w:rPr>
          <w:lang w:val="es-ES_tradnl"/>
        </w:rPr>
        <w:t>El 62º período de sesiones del Grupo de Trabajo sobre las Comunicaciones presentadas en virtud del Protocolo Facultativo y el 31</w:t>
      </w:r>
      <w:r w:rsidRPr="00D44969">
        <w:rPr>
          <w:vertAlign w:val="superscript"/>
          <w:lang w:val="es-ES_tradnl"/>
        </w:rPr>
        <w:t>er</w:t>
      </w:r>
      <w:r w:rsidRPr="00D44969">
        <w:rPr>
          <w:lang w:val="es-ES_tradnl"/>
        </w:rPr>
        <w:t xml:space="preserve"> período de sesiones del Grupo de Trabajo sobre Investigaciones con arreglo al Protocolo Facultativo, ambos previstos incialmente para los días 12 y 13 de junio de 2025 en Ginebra, se han cancelado debido a la crisis de liquidez que afecta al presupuesto ordinario de las Naciones Unidas.</w:t>
      </w:r>
    </w:p>
    <w:p w14:paraId="61F02DC2" w14:textId="77777777" w:rsidR="00D44969" w:rsidRPr="00D44969" w:rsidRDefault="00D44969" w:rsidP="00D44969">
      <w:pPr>
        <w:pStyle w:val="SingleTxt"/>
        <w:rPr>
          <w:lang w:val="es-ES_tradnl"/>
        </w:rPr>
      </w:pPr>
      <w:r w:rsidRPr="00D44969">
        <w:rPr>
          <w:lang w:val="es-ES_tradnl"/>
        </w:rPr>
        <w:t>En su 91</w:t>
      </w:r>
      <w:r w:rsidRPr="00D44969">
        <w:rPr>
          <w:vertAlign w:val="superscript"/>
          <w:lang w:val="es-ES_tradnl"/>
        </w:rPr>
        <w:t>er</w:t>
      </w:r>
      <w:r w:rsidRPr="00D44969">
        <w:rPr>
          <w:lang w:val="es-ES_tradnl"/>
        </w:rPr>
        <w:t xml:space="preserve"> período de sesiones, el Comité continuará cumpliendo su mandato en virtud de los artículos 2 y 8 del Protocolo Facultativo de la Convención.</w:t>
      </w:r>
    </w:p>
    <w:p w14:paraId="56185619" w14:textId="77777777" w:rsidR="00D44969" w:rsidRPr="00D44969" w:rsidRDefault="00D44969" w:rsidP="00D44969">
      <w:pPr>
        <w:pStyle w:val="SingleTxt"/>
        <w:spacing w:after="0" w:line="120" w:lineRule="exact"/>
        <w:rPr>
          <w:sz w:val="10"/>
          <w:lang w:val="es-ES_tradnl"/>
        </w:rPr>
      </w:pPr>
    </w:p>
    <w:p w14:paraId="7EABE920" w14:textId="77777777" w:rsidR="00D44969" w:rsidRPr="00D44969" w:rsidRDefault="00D44969" w:rsidP="00D449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t>9.</w:t>
      </w:r>
      <w:r w:rsidRPr="00D44969">
        <w:rPr>
          <w:lang w:val="es-ES_tradnl"/>
        </w:rPr>
        <w:tab/>
        <w:t>Programa provisional del 92º período de sesiones del Comité</w:t>
      </w:r>
    </w:p>
    <w:p w14:paraId="241B6DFB" w14:textId="77777777" w:rsidR="00D44969" w:rsidRPr="00D44969" w:rsidRDefault="00D44969" w:rsidP="00D44969">
      <w:pPr>
        <w:pStyle w:val="SingleTxt"/>
        <w:spacing w:after="0" w:line="120" w:lineRule="exact"/>
        <w:rPr>
          <w:sz w:val="10"/>
          <w:lang w:val="es-ES_tradnl"/>
        </w:rPr>
      </w:pPr>
    </w:p>
    <w:p w14:paraId="4B570BAD" w14:textId="77777777" w:rsidR="00D44969" w:rsidRPr="00D44969" w:rsidRDefault="00D44969" w:rsidP="00D449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r>
      <w:r w:rsidRPr="00D44969">
        <w:rPr>
          <w:lang w:val="es-ES_tradnl"/>
        </w:rPr>
        <w:tab/>
        <w:t>Documentación</w:t>
      </w:r>
    </w:p>
    <w:p w14:paraId="6567CF5A" w14:textId="77777777" w:rsidR="00D44969" w:rsidRPr="00D44969" w:rsidRDefault="00D44969" w:rsidP="00D44969">
      <w:pPr>
        <w:pStyle w:val="SingleTxt"/>
        <w:spacing w:after="0" w:line="120" w:lineRule="exact"/>
        <w:rPr>
          <w:sz w:val="10"/>
          <w:lang w:val="es-ES_tradnl"/>
        </w:rPr>
      </w:pPr>
    </w:p>
    <w:p w14:paraId="5A8A91ED" w14:textId="19F5AF05" w:rsidR="00D44969" w:rsidRPr="00D44969" w:rsidRDefault="00D44969" w:rsidP="00D44969">
      <w:pPr>
        <w:pStyle w:val="SingleTxt"/>
        <w:rPr>
          <w:lang w:val="es-ES_tradnl"/>
        </w:rPr>
      </w:pPr>
      <w:r w:rsidRPr="00D44969">
        <w:rPr>
          <w:lang w:val="es-ES_tradnl"/>
        </w:rPr>
        <w:t>Programa provisional anotado del 92º período de sesiones (</w:t>
      </w:r>
      <w:hyperlink r:id="rId43" w:history="1">
        <w:r w:rsidRPr="004864FF">
          <w:rPr>
            <w:rStyle w:val="Hyperlink"/>
            <w:lang w:val="es-ES_tradnl"/>
          </w:rPr>
          <w:t>CEDA</w:t>
        </w:r>
        <w:r w:rsidRPr="004864FF">
          <w:rPr>
            <w:rStyle w:val="Hyperlink"/>
            <w:lang w:val="es-ES_tradnl"/>
          </w:rPr>
          <w:t>W</w:t>
        </w:r>
        <w:r w:rsidRPr="004864FF">
          <w:rPr>
            <w:rStyle w:val="Hyperlink"/>
            <w:lang w:val="es-ES_tradnl"/>
          </w:rPr>
          <w:t>/C/92/1</w:t>
        </w:r>
      </w:hyperlink>
      <w:r w:rsidRPr="00D44969">
        <w:rPr>
          <w:lang w:val="es-ES_tradnl"/>
        </w:rPr>
        <w:t>)</w:t>
      </w:r>
    </w:p>
    <w:p w14:paraId="37E1C123" w14:textId="77777777" w:rsidR="00D44969" w:rsidRPr="00D44969" w:rsidRDefault="00D44969" w:rsidP="00D44969">
      <w:pPr>
        <w:pStyle w:val="SingleTxt"/>
        <w:spacing w:after="0" w:line="120" w:lineRule="exact"/>
        <w:rPr>
          <w:sz w:val="10"/>
          <w:lang w:val="es-ES_tradnl"/>
        </w:rPr>
      </w:pPr>
    </w:p>
    <w:p w14:paraId="3B08B553" w14:textId="5E107191" w:rsidR="002428FC" w:rsidRDefault="00D44969" w:rsidP="00D449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4969">
        <w:rPr>
          <w:lang w:val="es-ES_tradnl"/>
        </w:rPr>
        <w:tab/>
        <w:t>10.</w:t>
      </w:r>
      <w:r w:rsidRPr="00D44969">
        <w:rPr>
          <w:lang w:val="es-ES_tradnl"/>
        </w:rPr>
        <w:tab/>
        <w:t>Aprobación del informe del Comité sobre su 91</w:t>
      </w:r>
      <w:r w:rsidRPr="00D44969">
        <w:rPr>
          <w:vertAlign w:val="superscript"/>
          <w:lang w:val="es-ES_tradnl"/>
        </w:rPr>
        <w:t>er</w:t>
      </w:r>
      <w:r w:rsidRPr="00D44969">
        <w:rPr>
          <w:lang w:val="es-ES_tradnl"/>
        </w:rPr>
        <w:t xml:space="preserve"> período de sesiones</w:t>
      </w:r>
    </w:p>
    <w:p w14:paraId="301D1A9C" w14:textId="7F758054" w:rsidR="00D44969" w:rsidRPr="00D44969" w:rsidRDefault="00D44969" w:rsidP="00D44969">
      <w:pPr>
        <w:pStyle w:val="SingleTxt"/>
        <w:rPr>
          <w:lang w:val="es-ES_tradnl"/>
        </w:rPr>
      </w:pPr>
      <w:r>
        <w:rPr>
          <w:noProof/>
          <w:w w:val="100"/>
          <w:lang w:val="es-ES_tradnl"/>
        </w:rPr>
        <mc:AlternateContent>
          <mc:Choice Requires="wps">
            <w:drawing>
              <wp:anchor distT="0" distB="0" distL="114300" distR="114300" simplePos="0" relativeHeight="251659264" behindDoc="0" locked="0" layoutInCell="1" allowOverlap="1" wp14:anchorId="59C91D29" wp14:editId="4BCAAA0A">
                <wp:simplePos x="0" y="0"/>
                <wp:positionH relativeFrom="column">
                  <wp:posOffset>2669540</wp:posOffset>
                </wp:positionH>
                <wp:positionV relativeFrom="paragraph">
                  <wp:posOffset>304800</wp:posOffset>
                </wp:positionV>
                <wp:extent cx="914400" cy="0"/>
                <wp:effectExtent l="0" t="0" r="0" b="0"/>
                <wp:wrapNone/>
                <wp:docPr id="45276621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C06A8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44969" w:rsidRPr="00D44969" w:rsidSect="00D4496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5-02T12:03:00Z" w:initials="Start">
    <w:p w14:paraId="50A31FDD" w14:textId="77777777" w:rsidR="002428FC" w:rsidRDefault="002428FC">
      <w:pPr>
        <w:pStyle w:val="CommentText"/>
      </w:pPr>
      <w:r>
        <w:rPr>
          <w:rStyle w:val="CommentReference"/>
        </w:rPr>
        <w:annotationRef/>
      </w:r>
      <w:r>
        <w:t>&lt;&lt;ODS JOB NO&gt;&gt;N2510184S&lt;&lt;ODS JOB NO&gt;&gt;</w:t>
      </w:r>
    </w:p>
    <w:p w14:paraId="3014838F" w14:textId="77777777" w:rsidR="002428FC" w:rsidRDefault="002428FC">
      <w:pPr>
        <w:pStyle w:val="CommentText"/>
      </w:pPr>
      <w:r>
        <w:t>&lt;&lt;ODS DOC SYMBOL1&gt;&gt;CEDAW/C/91/1&lt;&lt;ODS DOC SYMBOL1&gt;&gt;</w:t>
      </w:r>
    </w:p>
    <w:p w14:paraId="006699D2" w14:textId="1E07E48F" w:rsidR="002428FC" w:rsidRDefault="002428FC">
      <w:pPr>
        <w:pStyle w:val="CommentText"/>
      </w:pPr>
      <w:r>
        <w:t>&lt;&lt;ODS DOC SYMBOL2&gt;&gt;&lt;&lt;ODS DOC SYMBOL2&gt;&gt;</w:t>
      </w:r>
    </w:p>
  </w:comment>
  <w:comment w:id="1" w:author="Mercedes Calabozo" w:date="2025-04-21T09:50:00Z" w:initials="MC">
    <w:p w14:paraId="3D2A0232" w14:textId="77777777" w:rsidR="00D44969" w:rsidRDefault="00D44969" w:rsidP="00D44969">
      <w:pPr>
        <w:pStyle w:val="CommentText"/>
      </w:pPr>
      <w:r>
        <w:rPr>
          <w:rStyle w:val="CommentReference"/>
        </w:rPr>
        <w:annotationRef/>
      </w:r>
      <w:r>
        <w:t>E/CN.6/2025/7</w:t>
      </w:r>
    </w:p>
  </w:comment>
  <w:comment w:id="2" w:author="Mercedes Calabozo" w:date="2025-04-21T09:50:00Z" w:initials="MC">
    <w:p w14:paraId="0FA309FD" w14:textId="77777777" w:rsidR="00D44969" w:rsidRDefault="00D44969" w:rsidP="00D44969">
      <w:pPr>
        <w:pStyle w:val="CommentText"/>
      </w:pPr>
      <w:r>
        <w:rPr>
          <w:rStyle w:val="CommentReference"/>
        </w:rPr>
        <w:annotationRef/>
      </w:r>
      <w:r>
        <w:t>E/CN.6/2025/7</w:t>
      </w:r>
    </w:p>
  </w:comment>
  <w:comment w:id="3" w:author="Luke Croll" w:date="2025-04-17T19:52:00Z" w:initials="LC">
    <w:p w14:paraId="7CC2EFDF" w14:textId="77777777" w:rsidR="00D44969" w:rsidRDefault="00D44969" w:rsidP="00D44969">
      <w:r>
        <w:rPr>
          <w:rStyle w:val="CommentReference"/>
        </w:rPr>
        <w:annotationRef/>
      </w:r>
      <w:r>
        <w:rPr>
          <w:color w:val="000000"/>
        </w:rPr>
        <w:t>Not on gDoc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6699D2" w15:done="0"/>
  <w15:commentEx w15:paraId="3D2A0232" w15:done="0"/>
  <w15:commentEx w15:paraId="0FA309FD" w15:done="0"/>
  <w15:commentEx w15:paraId="7CC2EFD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1E3CF4" w16cex:dateUtc="2025-05-02T16:03:00Z"/>
  <w16cex:commentExtensible w16cex:durableId="79BF4EA4" w16cex:dateUtc="2025-04-21T13:50:00Z"/>
  <w16cex:commentExtensible w16cex:durableId="6ABEBB4C" w16cex:dateUtc="2025-04-21T13:50:00Z"/>
  <w16cex:commentExtensible w16cex:durableId="33D7CD65" w16cex:dateUtc="2025-04-17T23: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6699D2" w16cid:durableId="5B1E3CF4"/>
  <w16cid:commentId w16cid:paraId="3D2A0232" w16cid:durableId="79BF4EA4"/>
  <w16cid:commentId w16cid:paraId="0FA309FD" w16cid:durableId="6ABEBB4C"/>
  <w16cid:commentId w16cid:paraId="7CC2EFDF" w16cid:durableId="33D7CD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3595C" w14:textId="77777777" w:rsidR="009D3336" w:rsidRDefault="009D3336" w:rsidP="00331D20">
      <w:r>
        <w:separator/>
      </w:r>
    </w:p>
  </w:endnote>
  <w:endnote w:type="continuationSeparator" w:id="0">
    <w:p w14:paraId="78F3A557" w14:textId="77777777" w:rsidR="009D3336" w:rsidRDefault="009D333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428FC" w14:paraId="6AF60604" w14:textId="77777777" w:rsidTr="002428FC">
      <w:tblPrEx>
        <w:tblCellMar>
          <w:top w:w="0" w:type="dxa"/>
          <w:bottom w:w="0" w:type="dxa"/>
        </w:tblCellMar>
      </w:tblPrEx>
      <w:tc>
        <w:tcPr>
          <w:tcW w:w="4920" w:type="dxa"/>
          <w:shd w:val="clear" w:color="auto" w:fill="auto"/>
          <w:vAlign w:val="bottom"/>
        </w:tcPr>
        <w:p w14:paraId="33C1DC77" w14:textId="1288A98F" w:rsidR="002428FC" w:rsidRPr="002428FC" w:rsidRDefault="002428FC" w:rsidP="002428F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F33A2B7" w14:textId="1347C936" w:rsidR="002428FC" w:rsidRPr="002428FC" w:rsidRDefault="002428FC" w:rsidP="002428F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9536B">
            <w:rPr>
              <w:b w:val="0"/>
              <w:color w:val="000000"/>
              <w:sz w:val="14"/>
            </w:rPr>
            <w:t>25-06229</w:t>
          </w:r>
          <w:r>
            <w:rPr>
              <w:b w:val="0"/>
              <w:color w:val="000000"/>
              <w:sz w:val="14"/>
            </w:rPr>
            <w:fldChar w:fldCharType="end"/>
          </w:r>
        </w:p>
      </w:tc>
    </w:tr>
  </w:tbl>
  <w:p w14:paraId="513C9559" w14:textId="77777777" w:rsidR="002428FC" w:rsidRPr="002428FC" w:rsidRDefault="002428FC" w:rsidP="002428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428FC" w14:paraId="50FF617B" w14:textId="77777777" w:rsidTr="002428FC">
      <w:tblPrEx>
        <w:tblCellMar>
          <w:top w:w="0" w:type="dxa"/>
          <w:bottom w:w="0" w:type="dxa"/>
        </w:tblCellMar>
      </w:tblPrEx>
      <w:tc>
        <w:tcPr>
          <w:tcW w:w="4920" w:type="dxa"/>
          <w:shd w:val="clear" w:color="auto" w:fill="auto"/>
          <w:vAlign w:val="bottom"/>
        </w:tcPr>
        <w:p w14:paraId="456BD540" w14:textId="24C954A1" w:rsidR="002428FC" w:rsidRPr="002428FC" w:rsidRDefault="002428FC" w:rsidP="002428F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9536B">
            <w:rPr>
              <w:b w:val="0"/>
              <w:color w:val="000000"/>
              <w:sz w:val="14"/>
            </w:rPr>
            <w:t>25-06229</w:t>
          </w:r>
          <w:r>
            <w:rPr>
              <w:b w:val="0"/>
              <w:color w:val="000000"/>
              <w:sz w:val="14"/>
            </w:rPr>
            <w:fldChar w:fldCharType="end"/>
          </w:r>
        </w:p>
      </w:tc>
      <w:tc>
        <w:tcPr>
          <w:tcW w:w="4920" w:type="dxa"/>
          <w:shd w:val="clear" w:color="auto" w:fill="auto"/>
          <w:vAlign w:val="bottom"/>
        </w:tcPr>
        <w:p w14:paraId="54E0D95B" w14:textId="5527E6B4" w:rsidR="002428FC" w:rsidRPr="002428FC" w:rsidRDefault="002428FC" w:rsidP="002428F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E921CDD" w14:textId="77777777" w:rsidR="002428FC" w:rsidRPr="002428FC" w:rsidRDefault="002428FC" w:rsidP="002428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6D1D7" w14:textId="06C23088" w:rsidR="002428FC" w:rsidRPr="002428FC" w:rsidRDefault="002428FC" w:rsidP="002428FC">
    <w:pPr>
      <w:pStyle w:val="Footer"/>
      <w:spacing w:line="120" w:lineRule="exact"/>
      <w:rPr>
        <w:b w:val="0"/>
        <w:sz w:val="10"/>
      </w:rPr>
    </w:pPr>
    <w:r>
      <w:rPr>
        <w:b w:val="0"/>
        <w:sz w:val="10"/>
      </w:rPr>
      <w:drawing>
        <wp:anchor distT="0" distB="0" distL="114300" distR="114300" simplePos="0" relativeHeight="251658240" behindDoc="0" locked="0" layoutInCell="1" allowOverlap="1" wp14:anchorId="2723A0C8" wp14:editId="4526E687">
          <wp:simplePos x="0" y="0"/>
          <wp:positionH relativeFrom="column">
            <wp:posOffset>5568315</wp:posOffset>
          </wp:positionH>
          <wp:positionV relativeFrom="paragraph">
            <wp:posOffset>-283210</wp:posOffset>
          </wp:positionV>
          <wp:extent cx="694690" cy="694690"/>
          <wp:effectExtent l="0" t="0" r="0" b="0"/>
          <wp:wrapNone/>
          <wp:docPr id="15906721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428FC" w14:paraId="205BB9BF" w14:textId="77777777" w:rsidTr="002428FC">
      <w:tblPrEx>
        <w:tblCellMar>
          <w:top w:w="0" w:type="dxa"/>
          <w:bottom w:w="0" w:type="dxa"/>
        </w:tblCellMar>
      </w:tblPrEx>
      <w:tc>
        <w:tcPr>
          <w:tcW w:w="3830" w:type="dxa"/>
          <w:shd w:val="clear" w:color="auto" w:fill="auto"/>
        </w:tcPr>
        <w:p w14:paraId="1E012FB6" w14:textId="77777777" w:rsidR="002428FC" w:rsidRDefault="002428FC" w:rsidP="002428FC">
          <w:pPr>
            <w:pStyle w:val="ReleaseDate"/>
          </w:pPr>
          <w:r>
            <w:t>25-06229 (S)    020525    020525</w:t>
          </w:r>
        </w:p>
        <w:p w14:paraId="1992BD11" w14:textId="2E902253" w:rsidR="002428FC" w:rsidRPr="002428FC" w:rsidRDefault="002428FC" w:rsidP="002428F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*2506229*</w:t>
          </w:r>
        </w:p>
      </w:tc>
      <w:tc>
        <w:tcPr>
          <w:tcW w:w="4920" w:type="dxa"/>
          <w:shd w:val="clear" w:color="auto" w:fill="auto"/>
          <w:vAlign w:val="bottom"/>
        </w:tcPr>
        <w:p w14:paraId="2D6BEC79" w14:textId="0AD914CF" w:rsidR="002428FC" w:rsidRDefault="002428FC" w:rsidP="002428FC">
          <w:pPr>
            <w:pStyle w:val="Footer"/>
            <w:ind w:right="115"/>
            <w:jc w:val="right"/>
            <w:rPr>
              <w:b w:val="0"/>
              <w:sz w:val="20"/>
            </w:rPr>
          </w:pPr>
          <w:r>
            <w:rPr>
              <w:b w:val="0"/>
              <w:sz w:val="20"/>
            </w:rPr>
            <w:drawing>
              <wp:inline distT="0" distB="0" distL="0" distR="0" wp14:anchorId="450011CE" wp14:editId="2D3BAC29">
                <wp:extent cx="1082042" cy="231648"/>
                <wp:effectExtent l="0" t="0" r="3810" b="0"/>
                <wp:docPr id="1894880348" name="Picture 2"/>
                <wp:cNvGraphicFramePr/>
                <a:graphic xmlns:a="http://schemas.openxmlformats.org/drawingml/2006/main">
                  <a:graphicData uri="http://schemas.openxmlformats.org/drawingml/2006/picture">
                    <pic:pic xmlns:pic="http://schemas.openxmlformats.org/drawingml/2006/picture">
                      <pic:nvPicPr>
                        <pic:cNvPr id="189488034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7ADB6DC" w14:textId="77777777" w:rsidR="002428FC" w:rsidRPr="002428FC" w:rsidRDefault="002428FC" w:rsidP="002428F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2719B" w14:textId="41819496" w:rsidR="009D3336" w:rsidRPr="00D44969" w:rsidRDefault="00D44969" w:rsidP="00D44969">
      <w:pPr>
        <w:pStyle w:val="Footer"/>
        <w:spacing w:after="80"/>
        <w:ind w:left="792"/>
        <w:rPr>
          <w:sz w:val="16"/>
        </w:rPr>
      </w:pPr>
      <w:r w:rsidRPr="00D44969">
        <w:rPr>
          <w:sz w:val="16"/>
        </w:rPr>
        <w:t>__________________</w:t>
      </w:r>
    </w:p>
  </w:footnote>
  <w:footnote w:type="continuationSeparator" w:id="0">
    <w:p w14:paraId="54D10E63" w14:textId="3CB2AC2B" w:rsidR="009D3336" w:rsidRPr="00D44969" w:rsidRDefault="00D44969" w:rsidP="00D44969">
      <w:pPr>
        <w:pStyle w:val="Footer"/>
        <w:spacing w:after="80"/>
        <w:ind w:left="792"/>
        <w:rPr>
          <w:sz w:val="16"/>
        </w:rPr>
      </w:pPr>
      <w:r w:rsidRPr="00D44969">
        <w:rPr>
          <w:sz w:val="16"/>
        </w:rPr>
        <w:t>__________________</w:t>
      </w:r>
    </w:p>
  </w:footnote>
  <w:footnote w:id="1">
    <w:p w14:paraId="5D792A5B" w14:textId="33F506A0" w:rsidR="00D44969" w:rsidRPr="00D413C5" w:rsidRDefault="00D44969" w:rsidP="00D4496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A63AF">
        <w:t>En su 90º período de sesiones, el Comité decidió abstenerse de aprobar una lista de cuestiones y preguntas relati</w:t>
      </w:r>
      <w:r>
        <w:t>v</w:t>
      </w:r>
      <w:r w:rsidRPr="003A63AF">
        <w:t xml:space="preserve">a al cuarto informe periódico del Afganistán, teniendo en cuenta las circunstancias excepcionales del examen </w:t>
      </w:r>
      <w:r>
        <w:t>(decisión 90/XIV).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428FC" w14:paraId="1D85C7D9" w14:textId="77777777" w:rsidTr="002428FC">
      <w:tblPrEx>
        <w:tblCellMar>
          <w:top w:w="0" w:type="dxa"/>
          <w:bottom w:w="0" w:type="dxa"/>
        </w:tblCellMar>
      </w:tblPrEx>
      <w:trPr>
        <w:trHeight w:hRule="exact" w:val="864"/>
      </w:trPr>
      <w:tc>
        <w:tcPr>
          <w:tcW w:w="4920" w:type="dxa"/>
          <w:shd w:val="clear" w:color="auto" w:fill="auto"/>
          <w:vAlign w:val="bottom"/>
        </w:tcPr>
        <w:p w14:paraId="4834B3B8" w14:textId="27552C06" w:rsidR="002428FC" w:rsidRPr="002428FC" w:rsidRDefault="002428FC" w:rsidP="002428FC">
          <w:pPr>
            <w:pStyle w:val="Header"/>
            <w:spacing w:after="80"/>
            <w:rPr>
              <w:b/>
            </w:rPr>
          </w:pPr>
          <w:r>
            <w:rPr>
              <w:b/>
            </w:rPr>
            <w:fldChar w:fldCharType="begin"/>
          </w:r>
          <w:r>
            <w:rPr>
              <w:b/>
            </w:rPr>
            <w:instrText xml:space="preserve"> DOCVARIABLE "Symbol1" \* MERGEFORMAT </w:instrText>
          </w:r>
          <w:r>
            <w:rPr>
              <w:b/>
            </w:rPr>
            <w:fldChar w:fldCharType="separate"/>
          </w:r>
          <w:r w:rsidR="00B9536B">
            <w:rPr>
              <w:b/>
            </w:rPr>
            <w:t>CEDAW/C/91/1</w:t>
          </w:r>
          <w:r>
            <w:rPr>
              <w:b/>
            </w:rPr>
            <w:fldChar w:fldCharType="end"/>
          </w:r>
        </w:p>
      </w:tc>
      <w:tc>
        <w:tcPr>
          <w:tcW w:w="4920" w:type="dxa"/>
          <w:shd w:val="clear" w:color="auto" w:fill="auto"/>
          <w:vAlign w:val="bottom"/>
        </w:tcPr>
        <w:p w14:paraId="28DF672C" w14:textId="77777777" w:rsidR="002428FC" w:rsidRDefault="002428FC" w:rsidP="002428FC">
          <w:pPr>
            <w:pStyle w:val="Header"/>
          </w:pPr>
        </w:p>
      </w:tc>
    </w:tr>
  </w:tbl>
  <w:p w14:paraId="69DAFE9E" w14:textId="77777777" w:rsidR="002428FC" w:rsidRPr="002428FC" w:rsidRDefault="002428FC" w:rsidP="002428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428FC" w14:paraId="46DFAED8" w14:textId="77777777" w:rsidTr="002428FC">
      <w:tblPrEx>
        <w:tblCellMar>
          <w:top w:w="0" w:type="dxa"/>
          <w:bottom w:w="0" w:type="dxa"/>
        </w:tblCellMar>
      </w:tblPrEx>
      <w:trPr>
        <w:trHeight w:hRule="exact" w:val="864"/>
      </w:trPr>
      <w:tc>
        <w:tcPr>
          <w:tcW w:w="4920" w:type="dxa"/>
          <w:shd w:val="clear" w:color="auto" w:fill="auto"/>
          <w:vAlign w:val="bottom"/>
        </w:tcPr>
        <w:p w14:paraId="05273BAF" w14:textId="77777777" w:rsidR="002428FC" w:rsidRDefault="002428FC" w:rsidP="002428FC">
          <w:pPr>
            <w:pStyle w:val="Header"/>
          </w:pPr>
        </w:p>
      </w:tc>
      <w:tc>
        <w:tcPr>
          <w:tcW w:w="4920" w:type="dxa"/>
          <w:shd w:val="clear" w:color="auto" w:fill="auto"/>
          <w:vAlign w:val="bottom"/>
        </w:tcPr>
        <w:p w14:paraId="4D295CF3" w14:textId="108BE1A1" w:rsidR="002428FC" w:rsidRPr="002428FC" w:rsidRDefault="002428FC" w:rsidP="002428FC">
          <w:pPr>
            <w:pStyle w:val="Header"/>
            <w:spacing w:after="80"/>
            <w:jc w:val="right"/>
            <w:rPr>
              <w:b/>
            </w:rPr>
          </w:pPr>
          <w:r>
            <w:rPr>
              <w:b/>
            </w:rPr>
            <w:fldChar w:fldCharType="begin"/>
          </w:r>
          <w:r>
            <w:rPr>
              <w:b/>
            </w:rPr>
            <w:instrText xml:space="preserve"> DOCVARIABLE "Symbol1" \* MERGEFORMAT </w:instrText>
          </w:r>
          <w:r>
            <w:rPr>
              <w:b/>
            </w:rPr>
            <w:fldChar w:fldCharType="separate"/>
          </w:r>
          <w:r w:rsidR="00B9536B">
            <w:rPr>
              <w:b/>
            </w:rPr>
            <w:t>CEDAW/C/91/1</w:t>
          </w:r>
          <w:r>
            <w:rPr>
              <w:b/>
            </w:rPr>
            <w:fldChar w:fldCharType="end"/>
          </w:r>
        </w:p>
      </w:tc>
    </w:tr>
  </w:tbl>
  <w:p w14:paraId="73F77C39" w14:textId="77777777" w:rsidR="002428FC" w:rsidRPr="002428FC" w:rsidRDefault="002428FC" w:rsidP="002428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428FC" w14:paraId="7334CC1E" w14:textId="77777777" w:rsidTr="002428FC">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193C370C" w14:textId="77777777" w:rsidR="002428FC" w:rsidRDefault="002428FC" w:rsidP="002428FC">
          <w:pPr>
            <w:pStyle w:val="Header"/>
            <w:spacing w:after="120"/>
          </w:pPr>
        </w:p>
      </w:tc>
      <w:tc>
        <w:tcPr>
          <w:tcW w:w="2059" w:type="dxa"/>
          <w:tcBorders>
            <w:bottom w:val="single" w:sz="4" w:space="0" w:color="auto"/>
          </w:tcBorders>
          <w:shd w:val="clear" w:color="auto" w:fill="auto"/>
          <w:vAlign w:val="bottom"/>
        </w:tcPr>
        <w:p w14:paraId="36187EA8" w14:textId="60BECA26" w:rsidR="002428FC" w:rsidRPr="002428FC" w:rsidRDefault="002428FC" w:rsidP="002428F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4BFCED1" w14:textId="77777777" w:rsidR="002428FC" w:rsidRDefault="002428FC" w:rsidP="002428FC">
          <w:pPr>
            <w:pStyle w:val="Header"/>
            <w:spacing w:after="120"/>
          </w:pPr>
        </w:p>
      </w:tc>
      <w:tc>
        <w:tcPr>
          <w:tcW w:w="6480" w:type="dxa"/>
          <w:gridSpan w:val="3"/>
          <w:tcBorders>
            <w:bottom w:val="single" w:sz="4" w:space="0" w:color="auto"/>
          </w:tcBorders>
          <w:shd w:val="clear" w:color="auto" w:fill="auto"/>
          <w:vAlign w:val="bottom"/>
        </w:tcPr>
        <w:p w14:paraId="2D6E1553" w14:textId="3D8E89C5" w:rsidR="002428FC" w:rsidRPr="002428FC" w:rsidRDefault="002428FC" w:rsidP="002428FC">
          <w:pPr>
            <w:spacing w:after="80" w:line="240" w:lineRule="auto"/>
            <w:jc w:val="right"/>
            <w:rPr>
              <w:position w:val="-4"/>
            </w:rPr>
          </w:pPr>
          <w:r>
            <w:rPr>
              <w:position w:val="-4"/>
              <w:sz w:val="40"/>
            </w:rPr>
            <w:t>CEDAW</w:t>
          </w:r>
          <w:r>
            <w:rPr>
              <w:position w:val="-4"/>
            </w:rPr>
            <w:t>/C/91/1</w:t>
          </w:r>
        </w:p>
      </w:tc>
    </w:tr>
    <w:tr w:rsidR="002428FC" w:rsidRPr="002428FC" w14:paraId="1A94FD1C" w14:textId="77777777" w:rsidTr="002428F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B87993A" w14:textId="309F7E4D" w:rsidR="002428FC" w:rsidRPr="002428FC" w:rsidRDefault="002428FC" w:rsidP="002428FC">
          <w:pPr>
            <w:pStyle w:val="Header"/>
            <w:spacing w:before="120"/>
            <w:jc w:val="center"/>
          </w:pPr>
          <w:r>
            <w:t xml:space="preserve"> </w:t>
          </w:r>
          <w:r>
            <w:drawing>
              <wp:inline distT="0" distB="0" distL="0" distR="0" wp14:anchorId="71BD0D30" wp14:editId="71FA68A2">
                <wp:extent cx="713232" cy="597103"/>
                <wp:effectExtent l="0" t="0" r="0" b="0"/>
                <wp:docPr id="778910091" name="Picture 1"/>
                <wp:cNvGraphicFramePr/>
                <a:graphic xmlns:a="http://schemas.openxmlformats.org/drawingml/2006/main">
                  <a:graphicData uri="http://schemas.openxmlformats.org/drawingml/2006/picture">
                    <pic:pic xmlns:pic="http://schemas.openxmlformats.org/drawingml/2006/picture">
                      <pic:nvPicPr>
                        <pic:cNvPr id="77891009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0E2980" w14:textId="2E8CFA26" w:rsidR="002428FC" w:rsidRPr="002428FC" w:rsidRDefault="002428FC" w:rsidP="002428F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65AEEC3" w14:textId="77777777" w:rsidR="002428FC" w:rsidRPr="00D44969" w:rsidRDefault="002428FC" w:rsidP="002428FC">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620742EB" w14:textId="77777777" w:rsidR="002428FC" w:rsidRDefault="002428FC" w:rsidP="002428FC">
          <w:pPr>
            <w:pStyle w:val="Distribution"/>
            <w:spacing w:before="240"/>
          </w:pPr>
          <w:r>
            <w:t>Distr. general</w:t>
          </w:r>
        </w:p>
        <w:p w14:paraId="13E0C888" w14:textId="77777777" w:rsidR="002428FC" w:rsidRDefault="002428FC" w:rsidP="002428FC">
          <w:pPr>
            <w:pStyle w:val="Publication"/>
          </w:pPr>
          <w:r>
            <w:t>10 de abril de 2025</w:t>
          </w:r>
        </w:p>
        <w:p w14:paraId="3A0EA086" w14:textId="77777777" w:rsidR="002428FC" w:rsidRDefault="002428FC" w:rsidP="002428FC">
          <w:r>
            <w:t>Español</w:t>
          </w:r>
        </w:p>
        <w:p w14:paraId="1EE3E281" w14:textId="77777777" w:rsidR="002428FC" w:rsidRDefault="002428FC" w:rsidP="002428FC">
          <w:pPr>
            <w:pStyle w:val="Original"/>
          </w:pPr>
          <w:r>
            <w:t>Original: inglés</w:t>
          </w:r>
        </w:p>
        <w:p w14:paraId="598691D2" w14:textId="1C4307C4" w:rsidR="002428FC" w:rsidRPr="002428FC" w:rsidRDefault="002428FC" w:rsidP="002428FC"/>
      </w:tc>
    </w:tr>
  </w:tbl>
  <w:p w14:paraId="73F4E7C8" w14:textId="77777777" w:rsidR="002428FC" w:rsidRPr="002428FC" w:rsidRDefault="002428FC" w:rsidP="002428F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rson w15:author="Mercedes Calabozo">
    <w15:presenceInfo w15:providerId="None" w15:userId="Mercedes Calabozo"/>
  </w15:person>
  <w15:person w15:author="Luke Croll">
    <w15:presenceInfo w15:providerId="AD" w15:userId="S::crolll@un.org::82f6372e-e66a-4e75-b16e-b3bd643056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Tema 2 del programa provisional_x000d_"/>
    <w:docVar w:name="Barcode" w:val="*2506229*"/>
    <w:docVar w:name="CreationDt" w:val="02/05/2025 12:03 PM"/>
    <w:docVar w:name="DocCategory" w:val="Doc"/>
    <w:docVar w:name="DocType" w:val="Final"/>
    <w:docVar w:name="DutyStation" w:val="New York"/>
    <w:docVar w:name="FooterJN" w:val="25-06229"/>
    <w:docVar w:name="jobn" w:val="25-06229 (S)"/>
    <w:docVar w:name="jobnDT" w:val="25-06229 (S)   020525"/>
    <w:docVar w:name="jobnDTDT" w:val="25-06229 (S)   020525   020525"/>
    <w:docVar w:name="JobNo" w:val="2506229S"/>
    <w:docVar w:name="JobNo2" w:val="251018412:03 PM"/>
    <w:docVar w:name="LocalDrive" w:val="-1"/>
    <w:docVar w:name="OandT" w:val="pl"/>
    <w:docVar w:name="Session1" w:val="91er período de sesiones_x000d_"/>
    <w:docVar w:name="sss1" w:val="CEDAW/C/91/1"/>
    <w:docVar w:name="sss2" w:val="-"/>
    <w:docVar w:name="Symbol1" w:val="CEDAW/C/91/1"/>
    <w:docVar w:name="Symbol2" w:val="-"/>
    <w:docVar w:name="Title1" w:val="_x0009__x0009_Programa provisional anotado _x000d_"/>
    <w:docVar w:name="Title2" w:val="_x0009__x0009_Programa provisional_x000d_"/>
  </w:docVars>
  <w:rsids>
    <w:rsidRoot w:val="009D3336"/>
    <w:rsid w:val="00001169"/>
    <w:rsid w:val="00001967"/>
    <w:rsid w:val="00011BCD"/>
    <w:rsid w:val="00053AE4"/>
    <w:rsid w:val="00077BEA"/>
    <w:rsid w:val="00094C80"/>
    <w:rsid w:val="000C47E8"/>
    <w:rsid w:val="000C5D19"/>
    <w:rsid w:val="000D4008"/>
    <w:rsid w:val="00105618"/>
    <w:rsid w:val="00113CAD"/>
    <w:rsid w:val="00116C5B"/>
    <w:rsid w:val="00127F07"/>
    <w:rsid w:val="001325B0"/>
    <w:rsid w:val="00151F81"/>
    <w:rsid w:val="00171310"/>
    <w:rsid w:val="00171CDD"/>
    <w:rsid w:val="001978D5"/>
    <w:rsid w:val="001B1B40"/>
    <w:rsid w:val="001D1BC5"/>
    <w:rsid w:val="001D6DB4"/>
    <w:rsid w:val="001E6191"/>
    <w:rsid w:val="00212083"/>
    <w:rsid w:val="002428FC"/>
    <w:rsid w:val="00247400"/>
    <w:rsid w:val="0027492E"/>
    <w:rsid w:val="002A2EA6"/>
    <w:rsid w:val="002B723B"/>
    <w:rsid w:val="002C4DC7"/>
    <w:rsid w:val="002D16F2"/>
    <w:rsid w:val="002D6147"/>
    <w:rsid w:val="002F4FAE"/>
    <w:rsid w:val="0030220F"/>
    <w:rsid w:val="00331D20"/>
    <w:rsid w:val="00365FD7"/>
    <w:rsid w:val="003801E5"/>
    <w:rsid w:val="003A3C5F"/>
    <w:rsid w:val="003C6BA0"/>
    <w:rsid w:val="003D4A88"/>
    <w:rsid w:val="003E5E54"/>
    <w:rsid w:val="003F75F8"/>
    <w:rsid w:val="0040288B"/>
    <w:rsid w:val="00437288"/>
    <w:rsid w:val="00444A78"/>
    <w:rsid w:val="00461049"/>
    <w:rsid w:val="0047638E"/>
    <w:rsid w:val="00485A85"/>
    <w:rsid w:val="004864FF"/>
    <w:rsid w:val="00495E7B"/>
    <w:rsid w:val="0049669D"/>
    <w:rsid w:val="004D520D"/>
    <w:rsid w:val="004E04FE"/>
    <w:rsid w:val="004E770C"/>
    <w:rsid w:val="004F2413"/>
    <w:rsid w:val="004F5722"/>
    <w:rsid w:val="0050005B"/>
    <w:rsid w:val="00506ECC"/>
    <w:rsid w:val="00522B1A"/>
    <w:rsid w:val="0052785E"/>
    <w:rsid w:val="0054211F"/>
    <w:rsid w:val="005610B1"/>
    <w:rsid w:val="005D4F00"/>
    <w:rsid w:val="006459AD"/>
    <w:rsid w:val="00670606"/>
    <w:rsid w:val="00677FD7"/>
    <w:rsid w:val="0069077F"/>
    <w:rsid w:val="006B4E24"/>
    <w:rsid w:val="006C7738"/>
    <w:rsid w:val="006F2093"/>
    <w:rsid w:val="006F6220"/>
    <w:rsid w:val="006F654D"/>
    <w:rsid w:val="00716F19"/>
    <w:rsid w:val="00727155"/>
    <w:rsid w:val="007633C9"/>
    <w:rsid w:val="00764459"/>
    <w:rsid w:val="0077084E"/>
    <w:rsid w:val="00773D65"/>
    <w:rsid w:val="00777D58"/>
    <w:rsid w:val="007B4CD6"/>
    <w:rsid w:val="007C205B"/>
    <w:rsid w:val="007D07C6"/>
    <w:rsid w:val="008138CB"/>
    <w:rsid w:val="0082117D"/>
    <w:rsid w:val="00841C9D"/>
    <w:rsid w:val="00852750"/>
    <w:rsid w:val="00863195"/>
    <w:rsid w:val="00871053"/>
    <w:rsid w:val="00871428"/>
    <w:rsid w:val="00877270"/>
    <w:rsid w:val="0088056D"/>
    <w:rsid w:val="0088083F"/>
    <w:rsid w:val="00885719"/>
    <w:rsid w:val="008A2590"/>
    <w:rsid w:val="008A26EF"/>
    <w:rsid w:val="008A6797"/>
    <w:rsid w:val="008D347F"/>
    <w:rsid w:val="008D7087"/>
    <w:rsid w:val="008E4BA0"/>
    <w:rsid w:val="008F11CA"/>
    <w:rsid w:val="00904270"/>
    <w:rsid w:val="00926BD8"/>
    <w:rsid w:val="00980ABE"/>
    <w:rsid w:val="0098626E"/>
    <w:rsid w:val="009A66D1"/>
    <w:rsid w:val="009B00E9"/>
    <w:rsid w:val="009D052D"/>
    <w:rsid w:val="009D3336"/>
    <w:rsid w:val="009D4A67"/>
    <w:rsid w:val="009D56BA"/>
    <w:rsid w:val="009F1127"/>
    <w:rsid w:val="00A03607"/>
    <w:rsid w:val="00A67043"/>
    <w:rsid w:val="00A7273E"/>
    <w:rsid w:val="00A72797"/>
    <w:rsid w:val="00AA29EE"/>
    <w:rsid w:val="00AC1CF1"/>
    <w:rsid w:val="00AC2CA0"/>
    <w:rsid w:val="00AD3D8B"/>
    <w:rsid w:val="00AD670E"/>
    <w:rsid w:val="00B02B32"/>
    <w:rsid w:val="00B125A0"/>
    <w:rsid w:val="00B272FA"/>
    <w:rsid w:val="00B27698"/>
    <w:rsid w:val="00B327CC"/>
    <w:rsid w:val="00B43769"/>
    <w:rsid w:val="00B43F70"/>
    <w:rsid w:val="00B46CA4"/>
    <w:rsid w:val="00B6364A"/>
    <w:rsid w:val="00B7299C"/>
    <w:rsid w:val="00B83D7D"/>
    <w:rsid w:val="00B901FD"/>
    <w:rsid w:val="00B9536B"/>
    <w:rsid w:val="00BB10E2"/>
    <w:rsid w:val="00BC22A9"/>
    <w:rsid w:val="00BC2C8A"/>
    <w:rsid w:val="00BF06F6"/>
    <w:rsid w:val="00C0383B"/>
    <w:rsid w:val="00C14086"/>
    <w:rsid w:val="00C16A02"/>
    <w:rsid w:val="00C16D72"/>
    <w:rsid w:val="00C174A0"/>
    <w:rsid w:val="00C358FE"/>
    <w:rsid w:val="00C417CC"/>
    <w:rsid w:val="00C60123"/>
    <w:rsid w:val="00C6119A"/>
    <w:rsid w:val="00C6625D"/>
    <w:rsid w:val="00C7239F"/>
    <w:rsid w:val="00C80726"/>
    <w:rsid w:val="00C8694A"/>
    <w:rsid w:val="00CC2D86"/>
    <w:rsid w:val="00CD1154"/>
    <w:rsid w:val="00CD2A16"/>
    <w:rsid w:val="00CD333C"/>
    <w:rsid w:val="00CE35F9"/>
    <w:rsid w:val="00CE61EF"/>
    <w:rsid w:val="00CE6D93"/>
    <w:rsid w:val="00D23FFB"/>
    <w:rsid w:val="00D27B9B"/>
    <w:rsid w:val="00D409D0"/>
    <w:rsid w:val="00D44969"/>
    <w:rsid w:val="00D47191"/>
    <w:rsid w:val="00D92451"/>
    <w:rsid w:val="00DA27E8"/>
    <w:rsid w:val="00DB0712"/>
    <w:rsid w:val="00DB652C"/>
    <w:rsid w:val="00DE1868"/>
    <w:rsid w:val="00DE254A"/>
    <w:rsid w:val="00E03F08"/>
    <w:rsid w:val="00E548DF"/>
    <w:rsid w:val="00E612FC"/>
    <w:rsid w:val="00E740FF"/>
    <w:rsid w:val="00E8036E"/>
    <w:rsid w:val="00E8456E"/>
    <w:rsid w:val="00EA1709"/>
    <w:rsid w:val="00EA2697"/>
    <w:rsid w:val="00ED09A9"/>
    <w:rsid w:val="00EE314B"/>
    <w:rsid w:val="00EF41E7"/>
    <w:rsid w:val="00F05AC4"/>
    <w:rsid w:val="00F171A3"/>
    <w:rsid w:val="00F61E85"/>
    <w:rsid w:val="00F65F4F"/>
    <w:rsid w:val="00F66784"/>
    <w:rsid w:val="00F81DB3"/>
    <w:rsid w:val="00F854EE"/>
    <w:rsid w:val="00F95E56"/>
    <w:rsid w:val="00FA6D85"/>
    <w:rsid w:val="00FB66C6"/>
    <w:rsid w:val="00FC7B5F"/>
    <w:rsid w:val="00FD1B9D"/>
    <w:rsid w:val="00FD3D39"/>
    <w:rsid w:val="00FE1AC0"/>
    <w:rsid w:val="00FF55EC"/>
    <w:rsid w:val="00FF589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3F94A"/>
  <w15:chartTrackingRefBased/>
  <w15:docId w15:val="{34312633-A286-4F40-B9BE-40E1B4F67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2B723B"/>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RepSingleText">
    <w:name w:val="Rep_Single_Text"/>
    <w:basedOn w:val="Normal"/>
    <w:qFormat/>
    <w:rsid w:val="00C8694A"/>
    <w:pPr>
      <w:tabs>
        <w:tab w:val="left" w:pos="1008"/>
      </w:tabs>
      <w:spacing w:after="120" w:line="240" w:lineRule="auto"/>
      <w:ind w:left="432" w:right="432"/>
      <w:jc w:val="both"/>
    </w:pPr>
  </w:style>
  <w:style w:type="paragraph" w:styleId="Title">
    <w:name w:val="Title"/>
    <w:basedOn w:val="Normal"/>
    <w:next w:val="Normal"/>
    <w:link w:val="TitleChar"/>
    <w:uiPriority w:val="10"/>
    <w:qFormat/>
    <w:rsid w:val="009D33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3336"/>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D333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3336"/>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D33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3336"/>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D3336"/>
    <w:pPr>
      <w:ind w:left="720"/>
      <w:contextualSpacing/>
    </w:pPr>
  </w:style>
  <w:style w:type="character" w:styleId="IntenseEmphasis">
    <w:name w:val="Intense Emphasis"/>
    <w:basedOn w:val="DefaultParagraphFont"/>
    <w:uiPriority w:val="21"/>
    <w:qFormat/>
    <w:rsid w:val="009D3336"/>
    <w:rPr>
      <w:i/>
      <w:iCs/>
      <w:color w:val="2F5496" w:themeColor="accent1" w:themeShade="BF"/>
    </w:rPr>
  </w:style>
  <w:style w:type="paragraph" w:styleId="IntenseQuote">
    <w:name w:val="Intense Quote"/>
    <w:basedOn w:val="Normal"/>
    <w:next w:val="Normal"/>
    <w:link w:val="IntenseQuoteChar"/>
    <w:uiPriority w:val="30"/>
    <w:qFormat/>
    <w:rsid w:val="009D33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3336"/>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D3336"/>
    <w:rPr>
      <w:b/>
      <w:bCs/>
      <w:smallCaps/>
      <w:color w:val="2F5496" w:themeColor="accent1" w:themeShade="BF"/>
      <w:spacing w:val="5"/>
    </w:rPr>
  </w:style>
  <w:style w:type="paragraph" w:styleId="CommentText">
    <w:name w:val="annotation text"/>
    <w:basedOn w:val="Normal"/>
    <w:link w:val="CommentTextChar"/>
    <w:uiPriority w:val="99"/>
    <w:unhideWhenUsed/>
    <w:rsid w:val="002428FC"/>
    <w:pPr>
      <w:spacing w:line="240" w:lineRule="auto"/>
    </w:pPr>
    <w:rPr>
      <w:szCs w:val="20"/>
    </w:rPr>
  </w:style>
  <w:style w:type="character" w:customStyle="1" w:styleId="CommentTextChar">
    <w:name w:val="Comment Text Char"/>
    <w:basedOn w:val="DefaultParagraphFont"/>
    <w:link w:val="CommentText"/>
    <w:uiPriority w:val="99"/>
    <w:semiHidden/>
    <w:rsid w:val="002428F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428FC"/>
    <w:rPr>
      <w:b/>
      <w:bCs/>
    </w:rPr>
  </w:style>
  <w:style w:type="character" w:customStyle="1" w:styleId="CommentSubjectChar">
    <w:name w:val="Comment Subject Char"/>
    <w:basedOn w:val="CommentTextChar"/>
    <w:link w:val="CommentSubject"/>
    <w:uiPriority w:val="99"/>
    <w:semiHidden/>
    <w:rsid w:val="002428FC"/>
    <w:rPr>
      <w:rFonts w:ascii="Times New Roman"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CEDAW/C/IRL/8" TargetMode="External"/><Relationship Id="rId39" Type="http://schemas.openxmlformats.org/officeDocument/2006/relationships/hyperlink" Target="https://docs.un.org/es/CEDAW/C/THA/QPR/8" TargetMode="External"/><Relationship Id="rId21" Type="http://schemas.openxmlformats.org/officeDocument/2006/relationships/hyperlink" Target="https://docs.un.org/es/CEDAW/C/PSWG/91/1" TargetMode="External"/><Relationship Id="rId34" Type="http://schemas.openxmlformats.org/officeDocument/2006/relationships/hyperlink" Target="https://docs.un.org/es/CEDAW/C/FJI/QPR/6" TargetMode="External"/><Relationship Id="rId42" Type="http://schemas.openxmlformats.org/officeDocument/2006/relationships/hyperlink" Target="https://docs.un.org/es/CEDAW/C/TCD/RQ/5"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docs.un.org/es/CEDAW/C/SLB/4-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TCD/5" TargetMode="External"/><Relationship Id="rId32" Type="http://schemas.openxmlformats.org/officeDocument/2006/relationships/hyperlink" Target="https://docs.un.org/es/CEDAW/C/BWA/Q/5" TargetMode="External"/><Relationship Id="rId37" Type="http://schemas.openxmlformats.org/officeDocument/2006/relationships/hyperlink" Target="https://docs.un.org/es/CEDAW/C/SMR/QPR/1-5" TargetMode="External"/><Relationship Id="rId40" Type="http://schemas.openxmlformats.org/officeDocument/2006/relationships/hyperlink" Target="https://docs.un.org/es/CEDAW/C/TUV/QPR/5-6" TargetMode="External"/><Relationship Id="rId45"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BWA/5" TargetMode="External"/><Relationship Id="rId28" Type="http://schemas.openxmlformats.org/officeDocument/2006/relationships/hyperlink" Target="https://docs.un.org/es/CEDAW/C/SMR/1-5" TargetMode="External"/><Relationship Id="rId36" Type="http://schemas.openxmlformats.org/officeDocument/2006/relationships/hyperlink" Target="https://docs.un.org/es/CEDAW/C/MEX/QPR/1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s/CEDAW/C/TUV/5-6"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AFG/4" TargetMode="External"/><Relationship Id="rId27" Type="http://schemas.openxmlformats.org/officeDocument/2006/relationships/hyperlink" Target="https://docs.un.org/es/CEDAW/C/MEX/10" TargetMode="External"/><Relationship Id="rId30" Type="http://schemas.openxmlformats.org/officeDocument/2006/relationships/hyperlink" Target="https://docs.un.org/es/CEDAW/C/THA/8" TargetMode="External"/><Relationship Id="rId35" Type="http://schemas.openxmlformats.org/officeDocument/2006/relationships/hyperlink" Target="https://docs.un.org/es/CEDAW/C/IRL/QPR/8" TargetMode="External"/><Relationship Id="rId43" Type="http://schemas.openxmlformats.org/officeDocument/2006/relationships/hyperlink" Target="https://docs.un.org/es/CEDAW/C/92/1"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CEDAW/C/FJI/6" TargetMode="External"/><Relationship Id="rId33" Type="http://schemas.openxmlformats.org/officeDocument/2006/relationships/hyperlink" Target="https://docs.un.org/es/CEDAW/C/TCD/Q/5" TargetMode="External"/><Relationship Id="rId38" Type="http://schemas.openxmlformats.org/officeDocument/2006/relationships/hyperlink" Target="https://docs.un.org/es/CEDAW/C/SLB/QPR/4-5" TargetMode="External"/><Relationship Id="rId46" Type="http://schemas.openxmlformats.org/officeDocument/2006/relationships/theme" Target="theme/theme1.xml"/><Relationship Id="rId20" Type="http://schemas.openxmlformats.org/officeDocument/2006/relationships/hyperlink" Target="https://docs.un.org/es/CEDAW/C/91/1" TargetMode="External"/><Relationship Id="rId41" Type="http://schemas.openxmlformats.org/officeDocument/2006/relationships/hyperlink" Target="https://docs.un.org/es/CEDAW/C/BWA/RQ/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www.w3.org/XML/1998/namespace"/>
    <ds:schemaRef ds:uri="http://schemas.microsoft.com/office/infopath/2007/PartnerControls"/>
    <ds:schemaRef ds:uri="985ec44e-1bab-4c0b-9df0-6ba128686fc9"/>
    <ds:schemaRef ds:uri="http://purl.org/dc/terms/"/>
    <ds:schemaRef ds:uri="http://purl.org/dc/elements/1.1/"/>
    <ds:schemaRef ds:uri="32aca14f-6975-493a-b86a-2ec1bd8de72a"/>
    <ds:schemaRef ds:uri="http://purl.org/dc/dcmitype/"/>
    <ds:schemaRef ds:uri="http://schemas.microsoft.com/office/2006/documentManagement/types"/>
    <ds:schemaRef ds:uri="http://schemas.openxmlformats.org/package/2006/metadata/core-properties"/>
    <ds:schemaRef ds:uri="41c8501f-7554-4cfe-b76f-88ff51cf7baf"/>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1433</Words>
  <Characters>8173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Patricia Lopez Horta</cp:lastModifiedBy>
  <cp:revision>3</cp:revision>
  <cp:lastPrinted>2025-05-02T16:42:00Z</cp:lastPrinted>
  <dcterms:created xsi:type="dcterms:W3CDTF">2025-05-02T16:42:00Z</dcterms:created>
  <dcterms:modified xsi:type="dcterms:W3CDTF">2025-05-02T16:42:00Z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2506229</vt:lpwstr>
  </property>
  <property fmtid="{D5CDD505-2E9C-101B-9397-08002B2CF9AE}" pid="3" name="ODSRefJobNo">
    <vt:lpwstr>2510184S</vt:lpwstr>
  </property>
  <property fmtid="{D5CDD505-2E9C-101B-9397-08002B2CF9AE}" pid="4" name="Symbol1">
    <vt:lpwstr>CEDAW/C/91/1</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10 de abril de 2025</vt:lpwstr>
  </property>
  <property fmtid="{D5CDD505-2E9C-101B-9397-08002B2CF9AE}" pid="15" name="Original">
    <vt:lpwstr>inglés</vt:lpwstr>
  </property>
  <property fmtid="{D5CDD505-2E9C-101B-9397-08002B2CF9AE}" pid="16" name="Release Date">
    <vt:lpwstr>020525</vt:lpwstr>
  </property>
  <property fmtid="{D5CDD505-2E9C-101B-9397-08002B2CF9AE}" pid="17" name="Session1">
    <vt:lpwstr>91er período de sesiones_x000d_</vt:lpwstr>
  </property>
  <property fmtid="{D5CDD505-2E9C-101B-9397-08002B2CF9AE}" pid="18" name="Agenda1">
    <vt:lpwstr>Tema 2 del programa provisional_x000d_</vt:lpwstr>
  </property>
  <property fmtid="{D5CDD505-2E9C-101B-9397-08002B2CF9AE}" pid="19" name="Agenda Title1">
    <vt:lpwstr>Aprobación del programa y organización de los trabajos_x000d_</vt:lpwstr>
  </property>
  <property fmtid="{D5CDD505-2E9C-101B-9397-08002B2CF9AE}" pid="20" name="Title1">
    <vt:lpwstr>		Programa provisional anotado _x000d_</vt:lpwstr>
  </property>
  <property fmtid="{D5CDD505-2E9C-101B-9397-08002B2CF9AE}" pid="21" name="Title2">
    <vt:lpwstr>		Programa provisional_x000d_</vt:lpwstr>
  </property>
</Properties>
</file>