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3793B" w14:textId="77777777" w:rsidR="00EB089F" w:rsidRDefault="00EB089F" w:rsidP="00EB089F">
      <w:pPr>
        <w:spacing w:line="240" w:lineRule="auto"/>
        <w:rPr>
          <w:sz w:val="2"/>
        </w:rPr>
        <w:sectPr w:rsidR="00EB089F" w:rsidSect="0013769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5D7372EF" w14:textId="30A422F1" w:rsidR="0013769F" w:rsidRPr="0013769F" w:rsidRDefault="0013769F" w:rsidP="00137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3769F">
        <w:rPr>
          <w:lang w:val="fr-FR"/>
        </w:rPr>
        <w:t>Comité pour l</w:t>
      </w:r>
      <w:r>
        <w:rPr>
          <w:lang w:val="fr-FR"/>
        </w:rPr>
        <w:t>’</w:t>
      </w:r>
      <w:r w:rsidRPr="0013769F">
        <w:rPr>
          <w:lang w:val="fr-FR"/>
        </w:rPr>
        <w:t>élimination de la discrimination à l</w:t>
      </w:r>
      <w:r>
        <w:rPr>
          <w:lang w:val="fr-FR"/>
        </w:rPr>
        <w:t>’</w:t>
      </w:r>
      <w:r w:rsidRPr="0013769F">
        <w:rPr>
          <w:lang w:val="fr-FR"/>
        </w:rPr>
        <w:t>égard des femmes</w:t>
      </w:r>
    </w:p>
    <w:p w14:paraId="6E1BDA89" w14:textId="77777777" w:rsidR="0013769F" w:rsidRPr="0013769F" w:rsidRDefault="0013769F" w:rsidP="0013769F">
      <w:pPr>
        <w:pStyle w:val="SingleTxt"/>
        <w:spacing w:after="0" w:line="120" w:lineRule="exact"/>
        <w:rPr>
          <w:b/>
          <w:sz w:val="10"/>
          <w:lang w:val="fr-FR"/>
        </w:rPr>
      </w:pPr>
    </w:p>
    <w:p w14:paraId="06403F45" w14:textId="77777777" w:rsidR="0013769F" w:rsidRPr="0013769F" w:rsidRDefault="0013769F" w:rsidP="0013769F">
      <w:pPr>
        <w:pStyle w:val="SingleTxt"/>
        <w:spacing w:after="0" w:line="120" w:lineRule="exact"/>
        <w:rPr>
          <w:b/>
          <w:sz w:val="10"/>
          <w:lang w:val="fr-FR"/>
        </w:rPr>
      </w:pPr>
    </w:p>
    <w:p w14:paraId="388021AF" w14:textId="77777777" w:rsidR="0013769F" w:rsidRPr="0013769F" w:rsidRDefault="0013769F" w:rsidP="0013769F">
      <w:pPr>
        <w:pStyle w:val="SingleTxt"/>
        <w:spacing w:after="0" w:line="120" w:lineRule="exact"/>
        <w:rPr>
          <w:b/>
          <w:sz w:val="10"/>
          <w:lang w:val="fr-FR"/>
        </w:rPr>
      </w:pPr>
    </w:p>
    <w:p w14:paraId="640C9B30" w14:textId="70C5879D" w:rsidR="0013769F" w:rsidRPr="0013769F" w:rsidRDefault="0013769F" w:rsidP="0013769F">
      <w:pPr>
        <w:framePr w:w="9792" w:h="432" w:hSpace="180" w:wrap="around" w:vAnchor="page" w:hAnchor="page" w:x="1177" w:y="1372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E9C2538" wp14:editId="6CEAA05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016D1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13769F">
        <w:rPr>
          <w:spacing w:val="5"/>
          <w:w w:val="104"/>
          <w:sz w:val="17"/>
          <w:szCs w:val="20"/>
          <w:lang w:val="fr-FR"/>
        </w:rPr>
        <w:t>Le présent document n’a pas été revu par les services d’édition.</w:t>
      </w:r>
    </w:p>
    <w:p w14:paraId="310D2CCB" w14:textId="1FEBDEF7" w:rsidR="0013769F" w:rsidRPr="0013769F" w:rsidRDefault="0013769F" w:rsidP="0013769F">
      <w:pPr>
        <w:pStyle w:val="TitleHCH"/>
        <w:ind w:right="1260"/>
        <w:rPr>
          <w:lang w:val="fr-FR"/>
        </w:rPr>
      </w:pPr>
      <w:r w:rsidRPr="0013769F">
        <w:rPr>
          <w:lang w:val="fr-FR"/>
        </w:rPr>
        <w:tab/>
      </w:r>
      <w:r w:rsidRPr="0013769F">
        <w:rPr>
          <w:lang w:val="fr-FR"/>
        </w:rPr>
        <w:tab/>
        <w:t>Renseignements reçus des Maldives au sujet de la suite donnée aux observations finales concernant leur sixième rapport périodique</w:t>
      </w:r>
      <w:r w:rsidRPr="0013769F">
        <w:rPr>
          <w:b w:val="0"/>
          <w:bCs/>
          <w:sz w:val="20"/>
          <w:szCs w:val="20"/>
          <w:lang w:val="fr-FR"/>
        </w:rPr>
        <w:t>*</w:t>
      </w:r>
    </w:p>
    <w:p w14:paraId="0E92D1D1" w14:textId="77777777" w:rsidR="0013769F" w:rsidRPr="0013769F" w:rsidRDefault="0013769F" w:rsidP="0013769F">
      <w:pPr>
        <w:pStyle w:val="SingleTxt"/>
        <w:spacing w:after="0" w:line="120" w:lineRule="exact"/>
        <w:rPr>
          <w:sz w:val="10"/>
          <w:lang w:val="fr-FR"/>
        </w:rPr>
      </w:pPr>
    </w:p>
    <w:p w14:paraId="4B0301B5" w14:textId="77777777" w:rsidR="0013769F" w:rsidRPr="0013769F" w:rsidRDefault="0013769F" w:rsidP="0013769F">
      <w:pPr>
        <w:pStyle w:val="SingleTxt"/>
        <w:spacing w:after="0" w:line="120" w:lineRule="exact"/>
        <w:rPr>
          <w:sz w:val="10"/>
          <w:lang w:val="fr-FR"/>
        </w:rPr>
      </w:pPr>
    </w:p>
    <w:p w14:paraId="617C25C9" w14:textId="31880A61" w:rsidR="0013769F" w:rsidRPr="0013769F" w:rsidRDefault="0013769F" w:rsidP="0013769F">
      <w:pPr>
        <w:pStyle w:val="SingleTxt"/>
        <w:jc w:val="right"/>
        <w:rPr>
          <w:lang w:val="fr-FR"/>
        </w:rPr>
      </w:pPr>
      <w:r w:rsidRPr="0013769F">
        <w:rPr>
          <w:lang w:val="fr-FR"/>
        </w:rPr>
        <w:t>[Date de réception : 23 novembre 2023]</w:t>
      </w:r>
    </w:p>
    <w:p w14:paraId="4468EA07" w14:textId="405802A2" w:rsidR="0013769F" w:rsidRDefault="0013769F">
      <w:pPr>
        <w:spacing w:after="160" w:line="259" w:lineRule="auto"/>
      </w:pPr>
      <w:r>
        <w:br w:type="page"/>
      </w:r>
    </w:p>
    <w:p w14:paraId="3D3D02B1" w14:textId="03EB27BA" w:rsidR="0013769F" w:rsidRDefault="0013769F" w:rsidP="00137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0640669"/>
      <w:r w:rsidRPr="0013769F">
        <w:rPr>
          <w:sz w:val="20"/>
          <w:lang w:val="fr-FR"/>
        </w:rPr>
        <w:lastRenderedPageBreak/>
        <w:tab/>
      </w:r>
      <w:r w:rsidRPr="0013769F">
        <w:rPr>
          <w:lang w:val="fr-FR"/>
        </w:rPr>
        <w:t>A.</w:t>
      </w:r>
      <w:r w:rsidRPr="0013769F">
        <w:rPr>
          <w:lang w:val="fr-FR"/>
        </w:rPr>
        <w:tab/>
        <w:t>Réponses intermédiaires aux recommandations figurant à</w:t>
      </w:r>
      <w:r>
        <w:rPr>
          <w:lang w:val="fr-FR"/>
        </w:rPr>
        <w:t> </w:t>
      </w:r>
      <w:r w:rsidRPr="0013769F">
        <w:rPr>
          <w:lang w:val="fr-FR"/>
        </w:rPr>
        <w:t>l</w:t>
      </w:r>
      <w:r>
        <w:rPr>
          <w:lang w:val="fr-FR"/>
        </w:rPr>
        <w:t>’</w:t>
      </w:r>
      <w:r w:rsidRPr="0013769F">
        <w:rPr>
          <w:lang w:val="fr-FR"/>
        </w:rPr>
        <w:t>alinéa</w:t>
      </w:r>
      <w:r>
        <w:rPr>
          <w:lang w:val="fr-FR"/>
        </w:rPr>
        <w:t> </w:t>
      </w:r>
      <w:r w:rsidRPr="0013769F">
        <w:rPr>
          <w:lang w:val="fr-FR"/>
        </w:rPr>
        <w:t>a) du paragraphe</w:t>
      </w:r>
      <w:r w:rsidR="00EC74EA">
        <w:rPr>
          <w:lang w:val="fr-FR"/>
        </w:rPr>
        <w:t xml:space="preserve"> </w:t>
      </w:r>
      <w:r w:rsidRPr="0013769F">
        <w:rPr>
          <w:lang w:val="fr-FR"/>
        </w:rPr>
        <w:t>28 des observations finales (</w:t>
      </w:r>
      <w:hyperlink r:id="rId20" w:history="1">
        <w:r w:rsidRPr="0013769F">
          <w:rPr>
            <w:rStyle w:val="Hyperlink"/>
            <w:lang w:val="fr-FR"/>
          </w:rPr>
          <w:t>CEDAW/C/</w:t>
        </w:r>
        <w:r w:rsidRPr="0013769F">
          <w:rPr>
            <w:rStyle w:val="Hyperlink"/>
            <w:lang w:val="fr-FR"/>
          </w:rPr>
          <w:t>M</w:t>
        </w:r>
        <w:r w:rsidRPr="0013769F">
          <w:rPr>
            <w:rStyle w:val="Hyperlink"/>
            <w:lang w:val="fr-FR"/>
          </w:rPr>
          <w:t>DV/CO/6</w:t>
        </w:r>
      </w:hyperlink>
      <w:r w:rsidRPr="0013769F">
        <w:rPr>
          <w:lang w:val="fr-FR"/>
        </w:rPr>
        <w:t>)</w:t>
      </w:r>
      <w:bookmarkEnd w:id="1"/>
    </w:p>
    <w:p w14:paraId="68873EF0" w14:textId="278658FA" w:rsidR="0013769F" w:rsidRPr="0013769F" w:rsidRDefault="0013769F" w:rsidP="0013769F">
      <w:pPr>
        <w:pStyle w:val="SingleTxt"/>
        <w:spacing w:after="0" w:line="120" w:lineRule="exact"/>
        <w:rPr>
          <w:sz w:val="10"/>
          <w:lang w:val="fr-FR"/>
        </w:rPr>
      </w:pPr>
    </w:p>
    <w:p w14:paraId="681035DA" w14:textId="50EECD87" w:rsidR="0013769F" w:rsidRPr="0013769F" w:rsidRDefault="0013769F" w:rsidP="0013769F">
      <w:pPr>
        <w:pStyle w:val="SingleTxt"/>
        <w:spacing w:after="0" w:line="120" w:lineRule="exact"/>
        <w:rPr>
          <w:sz w:val="10"/>
          <w:lang w:val="fr-FR"/>
        </w:rPr>
      </w:pPr>
    </w:p>
    <w:p w14:paraId="689D1D94" w14:textId="423AF3DC" w:rsidR="0013769F" w:rsidRPr="0013769F" w:rsidRDefault="0013769F" w:rsidP="00EC74EA">
      <w:pPr>
        <w:pStyle w:val="SingleTxt"/>
        <w:numPr>
          <w:ilvl w:val="0"/>
          <w:numId w:val="28"/>
        </w:numPr>
        <w:tabs>
          <w:tab w:val="num" w:pos="2804"/>
        </w:tabs>
        <w:spacing w:line="220" w:lineRule="atLeast"/>
        <w:ind w:left="1267"/>
        <w:rPr>
          <w:lang w:val="fr-FR"/>
        </w:rPr>
      </w:pPr>
      <w:r w:rsidRPr="0013769F">
        <w:rPr>
          <w:lang w:val="fr-FR"/>
        </w:rPr>
        <w:t>En ce qui concerne les exigences de preuve prévues au paragraphe</w:t>
      </w:r>
      <w:r w:rsidR="00EC74EA">
        <w:rPr>
          <w:lang w:val="fr-FR"/>
        </w:rPr>
        <w:t xml:space="preserve"> </w:t>
      </w:r>
      <w:r w:rsidRPr="0013769F">
        <w:rPr>
          <w:lang w:val="fr-FR"/>
        </w:rPr>
        <w:t>a) de l</w:t>
      </w:r>
      <w:r>
        <w:rPr>
          <w:lang w:val="fr-FR"/>
        </w:rPr>
        <w:t>’</w:t>
      </w:r>
      <w:r w:rsidRPr="0013769F">
        <w:rPr>
          <w:lang w:val="fr-FR"/>
        </w:rPr>
        <w:t>article 52 de la loi n</w:t>
      </w:r>
      <w:r w:rsidR="00EC74EA" w:rsidRPr="00EC74EA">
        <w:rPr>
          <w:vertAlign w:val="superscript"/>
          <w:lang w:val="fr-FR"/>
        </w:rPr>
        <w:t>o</w:t>
      </w:r>
      <w:r w:rsidRPr="0013769F">
        <w:rPr>
          <w:lang w:val="fr-FR"/>
        </w:rPr>
        <w:t> 17/2014 (loi sur les infractions sexuelles) et à l</w:t>
      </w:r>
      <w:r>
        <w:rPr>
          <w:lang w:val="fr-FR"/>
        </w:rPr>
        <w:t>’</w:t>
      </w:r>
      <w:r w:rsidRPr="0013769F">
        <w:rPr>
          <w:lang w:val="fr-FR"/>
        </w:rPr>
        <w:t>article</w:t>
      </w:r>
      <w:r w:rsidR="00EC74EA">
        <w:rPr>
          <w:lang w:val="fr-FR"/>
        </w:rPr>
        <w:t xml:space="preserve"> </w:t>
      </w:r>
      <w:r w:rsidRPr="0013769F">
        <w:rPr>
          <w:lang w:val="fr-FR"/>
        </w:rPr>
        <w:t>47 de la loi n</w:t>
      </w:r>
      <w:r w:rsidR="00EC74EA" w:rsidRPr="00EC74EA">
        <w:rPr>
          <w:vertAlign w:val="superscript"/>
          <w:lang w:val="fr-FR"/>
        </w:rPr>
        <w:t>o</w:t>
      </w:r>
      <w:r w:rsidRPr="0013769F">
        <w:rPr>
          <w:lang w:val="fr-FR"/>
        </w:rPr>
        <w:t> 12/2009 (loi sur les dispositions spéciales relatives aux violences sexuelles à l</w:t>
      </w:r>
      <w:r>
        <w:rPr>
          <w:lang w:val="fr-FR"/>
        </w:rPr>
        <w:t>’</w:t>
      </w:r>
      <w:r w:rsidRPr="0013769F">
        <w:rPr>
          <w:lang w:val="fr-FR"/>
        </w:rPr>
        <w:t xml:space="preserve">égard des enfants), les Maldives notent que le droit reconnaît au moins cinq (5) types de preuves </w:t>
      </w:r>
      <w:r w:rsidR="00EC74EA">
        <w:rPr>
          <w:lang w:val="fr-FR"/>
        </w:rPr>
        <w:t>–</w:t>
      </w:r>
      <w:r w:rsidRPr="0013769F">
        <w:rPr>
          <w:lang w:val="fr-FR"/>
        </w:rPr>
        <w:t xml:space="preserve"> lesquelles sont précisées dans lesdits articles </w:t>
      </w:r>
      <w:r w:rsidR="00EC74EA">
        <w:rPr>
          <w:lang w:val="fr-FR"/>
        </w:rPr>
        <w:t>–</w:t>
      </w:r>
      <w:r w:rsidRPr="0013769F">
        <w:rPr>
          <w:lang w:val="fr-FR"/>
        </w:rPr>
        <w:t xml:space="preserve"> comme suffisantes pour établir définitivement la culpabilité des auteurs des infractions visées dans ces mêmes lois. En d</w:t>
      </w:r>
      <w:r>
        <w:rPr>
          <w:lang w:val="fr-FR"/>
        </w:rPr>
        <w:t>’</w:t>
      </w:r>
      <w:r w:rsidRPr="0013769F">
        <w:rPr>
          <w:lang w:val="fr-FR"/>
        </w:rPr>
        <w:t>autres termes, l</w:t>
      </w:r>
      <w:r>
        <w:rPr>
          <w:lang w:val="fr-FR"/>
        </w:rPr>
        <w:t>’</w:t>
      </w:r>
      <w:r w:rsidRPr="0013769F">
        <w:rPr>
          <w:lang w:val="fr-FR"/>
        </w:rPr>
        <w:t>accusation n</w:t>
      </w:r>
      <w:r>
        <w:rPr>
          <w:lang w:val="fr-FR"/>
        </w:rPr>
        <w:t>’</w:t>
      </w:r>
      <w:r w:rsidRPr="0013769F">
        <w:rPr>
          <w:lang w:val="fr-FR"/>
        </w:rPr>
        <w:t>est pas tenue de présenter tous les différents types de preuves prévues par la loi pour établir la culpabilité de quelqu</w:t>
      </w:r>
      <w:r>
        <w:rPr>
          <w:lang w:val="fr-FR"/>
        </w:rPr>
        <w:t>’</w:t>
      </w:r>
      <w:r w:rsidRPr="0013769F">
        <w:rPr>
          <w:lang w:val="fr-FR"/>
        </w:rPr>
        <w:t>un.</w:t>
      </w:r>
      <w:r>
        <w:rPr>
          <w:lang w:val="fr-FR"/>
        </w:rPr>
        <w:t xml:space="preserve"> </w:t>
      </w:r>
    </w:p>
    <w:p w14:paraId="6E84AB80" w14:textId="1D44A268" w:rsidR="0013769F" w:rsidRPr="0013769F" w:rsidRDefault="0013769F" w:rsidP="00EC74EA">
      <w:pPr>
        <w:pStyle w:val="SingleTxt"/>
        <w:numPr>
          <w:ilvl w:val="0"/>
          <w:numId w:val="28"/>
        </w:numPr>
        <w:tabs>
          <w:tab w:val="num" w:pos="2804"/>
        </w:tabs>
        <w:spacing w:line="220" w:lineRule="atLeast"/>
        <w:ind w:left="1267"/>
        <w:rPr>
          <w:lang w:val="fr-FR"/>
        </w:rPr>
      </w:pPr>
      <w:r w:rsidRPr="0013769F">
        <w:rPr>
          <w:lang w:val="fr-FR"/>
        </w:rPr>
        <w:t>La charge de la preuve prévue à l</w:t>
      </w:r>
      <w:r>
        <w:rPr>
          <w:lang w:val="fr-FR"/>
        </w:rPr>
        <w:t>’</w:t>
      </w:r>
      <w:r w:rsidRPr="0013769F">
        <w:rPr>
          <w:lang w:val="fr-FR"/>
        </w:rPr>
        <w:t>article</w:t>
      </w:r>
      <w:r w:rsidR="00EC74EA">
        <w:rPr>
          <w:lang w:val="fr-FR"/>
        </w:rPr>
        <w:t xml:space="preserve"> </w:t>
      </w:r>
      <w:r w:rsidRPr="0013769F">
        <w:rPr>
          <w:lang w:val="fr-FR"/>
        </w:rPr>
        <w:t>47 de la loi sur les dispositions spéciales relatives aux violences sexuelles à l</w:t>
      </w:r>
      <w:r>
        <w:rPr>
          <w:lang w:val="fr-FR"/>
        </w:rPr>
        <w:t>’</w:t>
      </w:r>
      <w:r w:rsidRPr="0013769F">
        <w:rPr>
          <w:lang w:val="fr-FR"/>
        </w:rPr>
        <w:t>égard des enfants a fait l</w:t>
      </w:r>
      <w:r>
        <w:rPr>
          <w:lang w:val="fr-FR"/>
        </w:rPr>
        <w:t>’</w:t>
      </w:r>
      <w:r w:rsidRPr="0013769F">
        <w:rPr>
          <w:lang w:val="fr-FR"/>
        </w:rPr>
        <w:t>objet de débats lors d</w:t>
      </w:r>
      <w:r>
        <w:rPr>
          <w:lang w:val="fr-FR"/>
        </w:rPr>
        <w:t>’</w:t>
      </w:r>
      <w:r w:rsidRPr="0013769F">
        <w:rPr>
          <w:lang w:val="fr-FR"/>
        </w:rPr>
        <w:t>affaires qui ont été jugées récemment devant la Cour suprême des Maldives. Dans la première affaire, jugée en 2020</w:t>
      </w:r>
      <w:r w:rsidRPr="00EC74EA">
        <w:rPr>
          <w:vertAlign w:val="superscript"/>
          <w:lang w:val="fr-FR"/>
        </w:rPr>
        <w:footnoteReference w:id="1"/>
      </w:r>
      <w:r w:rsidRPr="0013769F">
        <w:rPr>
          <w:lang w:val="fr-FR"/>
        </w:rPr>
        <w:t>, la Cour suprême a estimé que l</w:t>
      </w:r>
      <w:r>
        <w:rPr>
          <w:lang w:val="fr-FR"/>
        </w:rPr>
        <w:t>’</w:t>
      </w:r>
      <w:r w:rsidRPr="0013769F">
        <w:rPr>
          <w:lang w:val="fr-FR"/>
        </w:rPr>
        <w:t>article</w:t>
      </w:r>
      <w:r w:rsidR="00EC74EA">
        <w:rPr>
          <w:lang w:val="fr-FR"/>
        </w:rPr>
        <w:t xml:space="preserve"> </w:t>
      </w:r>
      <w:r w:rsidRPr="0013769F">
        <w:rPr>
          <w:lang w:val="fr-FR"/>
        </w:rPr>
        <w:t xml:space="preserve">47 de la loi, qui prévoit un éventail de preuves </w:t>
      </w:r>
      <w:r w:rsidRPr="0013769F">
        <w:rPr>
          <w:szCs w:val="20"/>
          <w:lang w:val="fr-FR"/>
        </w:rPr>
        <w:t>admissibles</w:t>
      </w:r>
      <w:r w:rsidRPr="0013769F">
        <w:rPr>
          <w:lang w:val="fr-FR"/>
        </w:rPr>
        <w:t>, visait à offrir une certaine souplesse pour franchir le seuil permettant d</w:t>
      </w:r>
      <w:r>
        <w:rPr>
          <w:lang w:val="fr-FR"/>
        </w:rPr>
        <w:t>’</w:t>
      </w:r>
      <w:r w:rsidRPr="0013769F">
        <w:rPr>
          <w:lang w:val="fr-FR"/>
        </w:rPr>
        <w:t>établir la culpabilité. Elle a ainsi estimé que les exigences de preuve énoncées aux paragraphes f), g) et l) étaient destinées à permettre au (à la) juge de corroborer la déclaration de la victime. Elle a précisé cet argument dans une affaire plus récente, jugée en 2021</w:t>
      </w:r>
      <w:r w:rsidRPr="00EC74EA">
        <w:rPr>
          <w:vertAlign w:val="superscript"/>
          <w:lang w:val="fr-FR"/>
        </w:rPr>
        <w:footnoteReference w:id="2"/>
      </w:r>
      <w:r w:rsidRPr="0013769F">
        <w:rPr>
          <w:lang w:val="fr-FR"/>
        </w:rPr>
        <w:t>. Elle a rappelé que la déclaration de la victime était la preuve principale dans de telles affaires et que l</w:t>
      </w:r>
      <w:r>
        <w:rPr>
          <w:lang w:val="fr-FR"/>
        </w:rPr>
        <w:t>’</w:t>
      </w:r>
      <w:r w:rsidRPr="0013769F">
        <w:rPr>
          <w:lang w:val="fr-FR"/>
        </w:rPr>
        <w:t>admission d</w:t>
      </w:r>
      <w:r>
        <w:rPr>
          <w:lang w:val="fr-FR"/>
        </w:rPr>
        <w:t>’</w:t>
      </w:r>
      <w:r w:rsidRPr="0013769F">
        <w:rPr>
          <w:lang w:val="fr-FR"/>
        </w:rPr>
        <w:t>éléments de preuve corroborant ladite déclaration était suffisante pour satisfaire à la charge de la preuve en vue d</w:t>
      </w:r>
      <w:r>
        <w:rPr>
          <w:lang w:val="fr-FR"/>
        </w:rPr>
        <w:t>’</w:t>
      </w:r>
      <w:r w:rsidRPr="0013769F">
        <w:rPr>
          <w:lang w:val="fr-FR"/>
        </w:rPr>
        <w:t>une condamnation. En outre, dans la même affaire, elle a également conclu que la simple absence des cinq types de preuves n</w:t>
      </w:r>
      <w:r>
        <w:rPr>
          <w:lang w:val="fr-FR"/>
        </w:rPr>
        <w:t>’</w:t>
      </w:r>
      <w:r w:rsidRPr="0013769F">
        <w:rPr>
          <w:lang w:val="fr-FR"/>
        </w:rPr>
        <w:t>empêcherait pas une condamnation au titre du paragraphe</w:t>
      </w:r>
      <w:r w:rsidR="00EC74EA">
        <w:rPr>
          <w:lang w:val="fr-FR"/>
        </w:rPr>
        <w:t xml:space="preserve"> </w:t>
      </w:r>
      <w:r w:rsidRPr="0013769F">
        <w:rPr>
          <w:lang w:val="fr-FR"/>
        </w:rPr>
        <w:t>h) de l</w:t>
      </w:r>
      <w:r>
        <w:rPr>
          <w:lang w:val="fr-FR"/>
        </w:rPr>
        <w:t>’</w:t>
      </w:r>
      <w:r w:rsidRPr="0013769F">
        <w:rPr>
          <w:lang w:val="fr-FR"/>
        </w:rPr>
        <w:t>article</w:t>
      </w:r>
      <w:r w:rsidR="00EC74EA">
        <w:rPr>
          <w:lang w:val="fr-FR"/>
        </w:rPr>
        <w:t xml:space="preserve"> </w:t>
      </w:r>
      <w:r w:rsidRPr="0013769F">
        <w:rPr>
          <w:lang w:val="fr-FR"/>
        </w:rPr>
        <w:t>51 de la Constitution, tant qu</w:t>
      </w:r>
      <w:r>
        <w:rPr>
          <w:lang w:val="fr-FR"/>
        </w:rPr>
        <w:t>’</w:t>
      </w:r>
      <w:r w:rsidRPr="0013769F">
        <w:rPr>
          <w:lang w:val="fr-FR"/>
        </w:rPr>
        <w:t>il existe des preuves substantielles à l</w:t>
      </w:r>
      <w:r>
        <w:rPr>
          <w:lang w:val="fr-FR"/>
        </w:rPr>
        <w:t>’</w:t>
      </w:r>
      <w:r w:rsidRPr="0013769F">
        <w:rPr>
          <w:lang w:val="fr-FR"/>
        </w:rPr>
        <w:t>appui de la condamnation</w:t>
      </w:r>
      <w:r w:rsidRPr="00EC74EA">
        <w:rPr>
          <w:vertAlign w:val="superscript"/>
          <w:lang w:val="fr-FR"/>
        </w:rPr>
        <w:footnoteReference w:id="3"/>
      </w:r>
      <w:r w:rsidRPr="0013769F">
        <w:rPr>
          <w:lang w:val="fr-FR"/>
        </w:rPr>
        <w:t>.</w:t>
      </w:r>
    </w:p>
    <w:p w14:paraId="72B44D8D" w14:textId="67C78CB0" w:rsidR="0013769F" w:rsidRPr="0013769F" w:rsidRDefault="0013769F" w:rsidP="00EC74EA">
      <w:pPr>
        <w:pStyle w:val="SingleTxt"/>
        <w:numPr>
          <w:ilvl w:val="0"/>
          <w:numId w:val="28"/>
        </w:numPr>
        <w:tabs>
          <w:tab w:val="num" w:pos="2804"/>
        </w:tabs>
        <w:spacing w:line="220" w:lineRule="atLeast"/>
        <w:ind w:left="1267"/>
        <w:rPr>
          <w:lang w:val="fr-FR"/>
        </w:rPr>
      </w:pPr>
      <w:r w:rsidRPr="0013769F">
        <w:rPr>
          <w:lang w:val="fr-FR"/>
        </w:rPr>
        <w:t>Les dispositions de la loi sur les infractions sexuelles et de la loi sur les dispositions spéciales relatives aux violences sexuelles à l</w:t>
      </w:r>
      <w:r>
        <w:rPr>
          <w:lang w:val="fr-FR"/>
        </w:rPr>
        <w:t>’</w:t>
      </w:r>
      <w:r w:rsidRPr="0013769F">
        <w:rPr>
          <w:lang w:val="fr-FR"/>
        </w:rPr>
        <w:t>égard des enfants susmentionnées sont parfois mal interprétées lors de l</w:t>
      </w:r>
      <w:r>
        <w:rPr>
          <w:lang w:val="fr-FR"/>
        </w:rPr>
        <w:t>’</w:t>
      </w:r>
      <w:r w:rsidRPr="0013769F">
        <w:rPr>
          <w:lang w:val="fr-FR"/>
        </w:rPr>
        <w:t>examen des preuves dans les affaires de violence sexuelle, car certains juges ne savent pas qu</w:t>
      </w:r>
      <w:r>
        <w:rPr>
          <w:lang w:val="fr-FR"/>
        </w:rPr>
        <w:t>’</w:t>
      </w:r>
      <w:r w:rsidRPr="0013769F">
        <w:rPr>
          <w:lang w:val="fr-FR"/>
        </w:rPr>
        <w:t>une condamnation peut être obtenue sur la base de preuves étayées, même lorsque les cinq types de preuves ne sont pas disponibles.</w:t>
      </w:r>
      <w:r>
        <w:rPr>
          <w:lang w:val="fr-FR"/>
        </w:rPr>
        <w:t xml:space="preserve"> </w:t>
      </w:r>
    </w:p>
    <w:p w14:paraId="0A100466" w14:textId="4F2933AD" w:rsidR="0013769F" w:rsidRPr="0013769F" w:rsidRDefault="0013769F" w:rsidP="00EC74EA">
      <w:pPr>
        <w:pStyle w:val="SingleTxt"/>
        <w:numPr>
          <w:ilvl w:val="0"/>
          <w:numId w:val="28"/>
        </w:numPr>
        <w:tabs>
          <w:tab w:val="num" w:pos="2804"/>
        </w:tabs>
        <w:spacing w:line="220" w:lineRule="atLeast"/>
        <w:ind w:left="1267"/>
        <w:rPr>
          <w:lang w:val="fr-FR"/>
        </w:rPr>
      </w:pPr>
      <w:r w:rsidRPr="0013769F">
        <w:rPr>
          <w:lang w:val="fr-FR"/>
        </w:rPr>
        <w:t>Le Gouvernement est donc pleinement résolu à organiser des sessions de formation à l</w:t>
      </w:r>
      <w:r>
        <w:rPr>
          <w:lang w:val="fr-FR"/>
        </w:rPr>
        <w:t>’</w:t>
      </w:r>
      <w:r w:rsidRPr="0013769F">
        <w:rPr>
          <w:lang w:val="fr-FR"/>
        </w:rPr>
        <w:t>intention des juges afin d</w:t>
      </w:r>
      <w:r>
        <w:rPr>
          <w:lang w:val="fr-FR"/>
        </w:rPr>
        <w:t>’</w:t>
      </w:r>
      <w:r w:rsidRPr="0013769F">
        <w:rPr>
          <w:lang w:val="fr-FR"/>
        </w:rPr>
        <w:t xml:space="preserve">éviter toute interprétation erronée de ces dispositions. </w:t>
      </w:r>
    </w:p>
    <w:p w14:paraId="3B872A39" w14:textId="77777777" w:rsidR="0013769F" w:rsidRPr="0013769F" w:rsidRDefault="0013769F" w:rsidP="0013769F">
      <w:pPr>
        <w:pStyle w:val="SingleTxt"/>
        <w:spacing w:after="0" w:line="120" w:lineRule="exact"/>
        <w:rPr>
          <w:b/>
          <w:bCs/>
          <w:sz w:val="10"/>
          <w:lang w:val="fr-FR"/>
        </w:rPr>
      </w:pPr>
    </w:p>
    <w:p w14:paraId="784F03A7" w14:textId="77777777" w:rsidR="0013769F" w:rsidRPr="0013769F" w:rsidRDefault="0013769F" w:rsidP="0013769F">
      <w:pPr>
        <w:pStyle w:val="SingleTxt"/>
        <w:spacing w:after="0" w:line="120" w:lineRule="exact"/>
        <w:rPr>
          <w:b/>
          <w:bCs/>
          <w:sz w:val="10"/>
          <w:lang w:val="fr-FR"/>
        </w:rPr>
      </w:pPr>
    </w:p>
    <w:p w14:paraId="23857F5E" w14:textId="25879D40" w:rsidR="0013769F" w:rsidRDefault="0013769F" w:rsidP="00137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769F">
        <w:rPr>
          <w:lang w:val="fr-FR"/>
        </w:rPr>
        <w:tab/>
        <w:t>B.</w:t>
      </w:r>
      <w:r w:rsidRPr="0013769F">
        <w:rPr>
          <w:lang w:val="fr-FR"/>
        </w:rPr>
        <w:tab/>
        <w:t>Réponses intermédiaires aux recommandations figurant à</w:t>
      </w:r>
      <w:r>
        <w:rPr>
          <w:lang w:val="fr-FR"/>
        </w:rPr>
        <w:t> </w:t>
      </w:r>
      <w:r w:rsidRPr="0013769F">
        <w:rPr>
          <w:lang w:val="fr-FR"/>
        </w:rPr>
        <w:t>l</w:t>
      </w:r>
      <w:r>
        <w:rPr>
          <w:lang w:val="fr-FR"/>
        </w:rPr>
        <w:t>’</w:t>
      </w:r>
      <w:r w:rsidRPr="0013769F">
        <w:rPr>
          <w:lang w:val="fr-FR"/>
        </w:rPr>
        <w:t>alinéa</w:t>
      </w:r>
      <w:r>
        <w:rPr>
          <w:lang w:val="fr-FR"/>
        </w:rPr>
        <w:t> </w:t>
      </w:r>
      <w:r w:rsidRPr="0013769F">
        <w:rPr>
          <w:lang w:val="fr-FR"/>
        </w:rPr>
        <w:t>b) du paragraphe</w:t>
      </w:r>
      <w:r>
        <w:rPr>
          <w:lang w:val="fr-FR"/>
        </w:rPr>
        <w:t xml:space="preserve"> </w:t>
      </w:r>
      <w:r w:rsidRPr="0013769F">
        <w:rPr>
          <w:lang w:val="fr-FR"/>
        </w:rPr>
        <w:t xml:space="preserve">28 des observations finales </w:t>
      </w:r>
    </w:p>
    <w:p w14:paraId="5EA85CA4" w14:textId="7BF6E8D9" w:rsidR="0013769F" w:rsidRPr="0013769F" w:rsidRDefault="0013769F" w:rsidP="0013769F">
      <w:pPr>
        <w:pStyle w:val="SingleTxt"/>
        <w:spacing w:after="0" w:line="120" w:lineRule="exact"/>
        <w:rPr>
          <w:sz w:val="10"/>
          <w:lang w:val="fr-FR"/>
        </w:rPr>
      </w:pPr>
    </w:p>
    <w:p w14:paraId="4A4FD4E7" w14:textId="73A7765C" w:rsidR="0013769F" w:rsidRPr="0013769F" w:rsidRDefault="0013769F" w:rsidP="0013769F">
      <w:pPr>
        <w:pStyle w:val="SingleTxt"/>
        <w:spacing w:after="0" w:line="120" w:lineRule="exact"/>
        <w:rPr>
          <w:sz w:val="10"/>
          <w:lang w:val="fr-FR"/>
        </w:rPr>
      </w:pPr>
    </w:p>
    <w:p w14:paraId="53740979" w14:textId="5FE023D3" w:rsidR="0013769F" w:rsidRPr="0013769F" w:rsidRDefault="0013769F" w:rsidP="00EC74EA">
      <w:pPr>
        <w:pStyle w:val="SingleTxt"/>
        <w:numPr>
          <w:ilvl w:val="0"/>
          <w:numId w:val="32"/>
        </w:numPr>
        <w:tabs>
          <w:tab w:val="num" w:pos="2804"/>
        </w:tabs>
        <w:spacing w:line="220" w:lineRule="atLeast"/>
        <w:ind w:left="1267"/>
        <w:rPr>
          <w:lang w:val="fr-FR"/>
        </w:rPr>
      </w:pPr>
      <w:r w:rsidRPr="0013769F">
        <w:rPr>
          <w:lang w:val="fr-FR"/>
        </w:rPr>
        <w:t>Le Gouvernement souhaite informer le Comité que l</w:t>
      </w:r>
      <w:r>
        <w:rPr>
          <w:lang w:val="fr-FR"/>
        </w:rPr>
        <w:t>’</w:t>
      </w:r>
      <w:r w:rsidRPr="0013769F">
        <w:rPr>
          <w:lang w:val="fr-FR"/>
        </w:rPr>
        <w:t>article</w:t>
      </w:r>
      <w:r w:rsidR="00EC74EA">
        <w:rPr>
          <w:lang w:val="fr-FR"/>
        </w:rPr>
        <w:t xml:space="preserve"> </w:t>
      </w:r>
      <w:r w:rsidRPr="0013769F">
        <w:rPr>
          <w:lang w:val="fr-FR"/>
        </w:rPr>
        <w:t>en question a été modifié par la loi n</w:t>
      </w:r>
      <w:r w:rsidR="00EC74EA" w:rsidRPr="00EC74EA">
        <w:rPr>
          <w:vertAlign w:val="superscript"/>
          <w:lang w:val="fr-FR"/>
        </w:rPr>
        <w:t>o</w:t>
      </w:r>
      <w:r w:rsidRPr="0013769F">
        <w:rPr>
          <w:lang w:val="fr-FR"/>
        </w:rPr>
        <w:t> </w:t>
      </w:r>
      <w:r w:rsidRPr="00EC74EA">
        <w:rPr>
          <w:lang w:val="fr-FR"/>
        </w:rPr>
        <w:t>25/21</w:t>
      </w:r>
      <w:r w:rsidRPr="0013769F">
        <w:rPr>
          <w:lang w:val="fr-FR"/>
        </w:rPr>
        <w:t xml:space="preserve"> (première modification à la loi n</w:t>
      </w:r>
      <w:r w:rsidR="00EC74EA" w:rsidRPr="00EC74EA">
        <w:rPr>
          <w:vertAlign w:val="superscript"/>
          <w:lang w:val="fr-FR"/>
        </w:rPr>
        <w:t>o</w:t>
      </w:r>
      <w:r w:rsidRPr="0013769F">
        <w:rPr>
          <w:lang w:val="fr-FR"/>
        </w:rPr>
        <w:t> 17/2014 sur les infractions sexuelles), promulguée le 6 décembre 2021. La modification abroge en fait les paragraphes</w:t>
      </w:r>
      <w:r w:rsidR="00EC74EA">
        <w:rPr>
          <w:lang w:val="fr-FR"/>
        </w:rPr>
        <w:t xml:space="preserve"> </w:t>
      </w:r>
      <w:r w:rsidRPr="0013769F">
        <w:rPr>
          <w:lang w:val="fr-FR"/>
        </w:rPr>
        <w:t>a), b), c), d) et e) de l</w:t>
      </w:r>
      <w:r>
        <w:rPr>
          <w:lang w:val="fr-FR"/>
        </w:rPr>
        <w:t>’</w:t>
      </w:r>
      <w:r w:rsidRPr="0013769F">
        <w:rPr>
          <w:lang w:val="fr-FR"/>
        </w:rPr>
        <w:t>article</w:t>
      </w:r>
      <w:r w:rsidR="00EC74EA">
        <w:rPr>
          <w:lang w:val="fr-FR"/>
        </w:rPr>
        <w:t xml:space="preserve"> </w:t>
      </w:r>
      <w:r w:rsidRPr="0013769F">
        <w:rPr>
          <w:lang w:val="fr-FR"/>
        </w:rPr>
        <w:t xml:space="preserve">53 qui couvrent certaines circonstances qui peuvent être invoquées contre la victime pour réfuter les accusations de violence sexuelle. </w:t>
      </w:r>
    </w:p>
    <w:p w14:paraId="259C3602" w14:textId="1810E341" w:rsidR="0013769F" w:rsidRPr="0013769F" w:rsidRDefault="0013769F" w:rsidP="00EC74EA">
      <w:pPr>
        <w:pStyle w:val="SingleTxt"/>
        <w:numPr>
          <w:ilvl w:val="0"/>
          <w:numId w:val="32"/>
        </w:numPr>
        <w:tabs>
          <w:tab w:val="num" w:pos="2804"/>
        </w:tabs>
        <w:spacing w:line="220" w:lineRule="atLeast"/>
        <w:ind w:left="1267"/>
        <w:rPr>
          <w:lang w:val="fr-FR"/>
        </w:rPr>
      </w:pPr>
      <w:r w:rsidRPr="0013769F">
        <w:rPr>
          <w:lang w:val="fr-FR"/>
        </w:rPr>
        <w:t>Du fait de la modification susmentionnée, la personne accusée devra désormais, pour prouver qu</w:t>
      </w:r>
      <w:r>
        <w:rPr>
          <w:lang w:val="fr-FR"/>
        </w:rPr>
        <w:t>’</w:t>
      </w:r>
      <w:r w:rsidRPr="0013769F">
        <w:rPr>
          <w:lang w:val="fr-FR"/>
        </w:rPr>
        <w:t>elle n</w:t>
      </w:r>
      <w:r>
        <w:rPr>
          <w:lang w:val="fr-FR"/>
        </w:rPr>
        <w:t>’</w:t>
      </w:r>
      <w:r w:rsidRPr="0013769F">
        <w:rPr>
          <w:lang w:val="fr-FR"/>
        </w:rPr>
        <w:t xml:space="preserve">est pas coupable, prouver que les faits énoncés dans la déclaration de la victime sont incohérents en soi ou que les faits ne sont pas étayés par les récits de témoins. </w:t>
      </w:r>
    </w:p>
    <w:p w14:paraId="0A0831E3" w14:textId="77777777" w:rsidR="0013769F" w:rsidRPr="0013769F" w:rsidRDefault="0013769F" w:rsidP="0013769F">
      <w:pPr>
        <w:pStyle w:val="SingleTxt"/>
        <w:spacing w:after="0" w:line="120" w:lineRule="exact"/>
        <w:rPr>
          <w:b/>
          <w:bCs/>
          <w:sz w:val="10"/>
          <w:lang w:val="fr-FR"/>
        </w:rPr>
      </w:pPr>
    </w:p>
    <w:p w14:paraId="69083F87" w14:textId="77777777" w:rsidR="0013769F" w:rsidRPr="0013769F" w:rsidRDefault="0013769F" w:rsidP="0013769F">
      <w:pPr>
        <w:pStyle w:val="SingleTxt"/>
        <w:spacing w:after="0" w:line="120" w:lineRule="exact"/>
        <w:rPr>
          <w:b/>
          <w:bCs/>
          <w:sz w:val="10"/>
          <w:lang w:val="fr-FR"/>
        </w:rPr>
      </w:pPr>
    </w:p>
    <w:p w14:paraId="74D0B667" w14:textId="31FEE42F" w:rsidR="0013769F" w:rsidRDefault="0013769F" w:rsidP="00137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769F">
        <w:rPr>
          <w:lang w:val="fr-FR"/>
        </w:rPr>
        <w:tab/>
        <w:t>C.</w:t>
      </w:r>
      <w:r w:rsidRPr="0013769F">
        <w:rPr>
          <w:lang w:val="fr-FR"/>
        </w:rPr>
        <w:tab/>
        <w:t>Réponses intermédiaires aux recommandations figurant à</w:t>
      </w:r>
      <w:r>
        <w:rPr>
          <w:lang w:val="fr-FR"/>
        </w:rPr>
        <w:t> </w:t>
      </w:r>
      <w:r w:rsidRPr="0013769F">
        <w:rPr>
          <w:lang w:val="fr-FR"/>
        </w:rPr>
        <w:t>l</w:t>
      </w:r>
      <w:r>
        <w:rPr>
          <w:lang w:val="fr-FR"/>
        </w:rPr>
        <w:t>’</w:t>
      </w:r>
      <w:r w:rsidRPr="0013769F">
        <w:rPr>
          <w:lang w:val="fr-FR"/>
        </w:rPr>
        <w:t>alinéa</w:t>
      </w:r>
      <w:r>
        <w:rPr>
          <w:lang w:val="fr-FR"/>
        </w:rPr>
        <w:t> </w:t>
      </w:r>
      <w:r w:rsidRPr="0013769F">
        <w:rPr>
          <w:lang w:val="fr-FR"/>
        </w:rPr>
        <w:t>i) du paragraphe</w:t>
      </w:r>
      <w:r>
        <w:rPr>
          <w:lang w:val="fr-FR"/>
        </w:rPr>
        <w:t xml:space="preserve"> </w:t>
      </w:r>
      <w:r w:rsidRPr="0013769F">
        <w:rPr>
          <w:lang w:val="fr-FR"/>
        </w:rPr>
        <w:t>28 des observations finales</w:t>
      </w:r>
    </w:p>
    <w:p w14:paraId="1A84B1DF" w14:textId="6FA886D5" w:rsidR="0013769F" w:rsidRPr="0013769F" w:rsidRDefault="0013769F" w:rsidP="0013769F">
      <w:pPr>
        <w:pStyle w:val="SingleTxt"/>
        <w:spacing w:after="0" w:line="120" w:lineRule="exact"/>
        <w:rPr>
          <w:sz w:val="10"/>
          <w:lang w:val="fr-FR"/>
        </w:rPr>
      </w:pPr>
    </w:p>
    <w:p w14:paraId="2F499CE1" w14:textId="36143530" w:rsidR="0013769F" w:rsidRPr="0013769F" w:rsidRDefault="0013769F" w:rsidP="0013769F">
      <w:pPr>
        <w:pStyle w:val="SingleTxt"/>
        <w:spacing w:after="0" w:line="120" w:lineRule="exact"/>
        <w:rPr>
          <w:sz w:val="10"/>
          <w:lang w:val="fr-FR"/>
        </w:rPr>
      </w:pPr>
    </w:p>
    <w:p w14:paraId="05F278CB" w14:textId="757BDD51" w:rsidR="0013769F" w:rsidRPr="0013769F" w:rsidRDefault="0013769F" w:rsidP="006E59E2">
      <w:pPr>
        <w:pStyle w:val="SingleTxt"/>
        <w:numPr>
          <w:ilvl w:val="0"/>
          <w:numId w:val="34"/>
        </w:numPr>
        <w:tabs>
          <w:tab w:val="num" w:pos="2804"/>
        </w:tabs>
        <w:spacing w:line="220" w:lineRule="exact"/>
        <w:ind w:left="1267"/>
        <w:rPr>
          <w:lang w:val="fr-FR"/>
        </w:rPr>
      </w:pPr>
      <w:r w:rsidRPr="0013769F">
        <w:rPr>
          <w:lang w:val="fr-FR"/>
        </w:rPr>
        <w:t>La loi n</w:t>
      </w:r>
      <w:r w:rsidR="00EC74EA" w:rsidRPr="00EC74EA">
        <w:rPr>
          <w:vertAlign w:val="superscript"/>
          <w:lang w:val="fr-FR"/>
        </w:rPr>
        <w:t>o</w:t>
      </w:r>
      <w:r w:rsidRPr="0013769F">
        <w:rPr>
          <w:lang w:val="fr-FR"/>
        </w:rPr>
        <w:t> 3/2012 (loi sur la prévention de la violence domestique) constitue le cadre législatif qui prescrit des mesures d</w:t>
      </w:r>
      <w:r>
        <w:rPr>
          <w:lang w:val="fr-FR"/>
        </w:rPr>
        <w:t>’</w:t>
      </w:r>
      <w:r w:rsidRPr="0013769F">
        <w:rPr>
          <w:lang w:val="fr-FR"/>
        </w:rPr>
        <w:t xml:space="preserve">aide et de protection des personnes contre les actes de violence </w:t>
      </w:r>
      <w:r w:rsidRPr="0013769F">
        <w:rPr>
          <w:lang w:val="fr-FR"/>
        </w:rPr>
        <w:lastRenderedPageBreak/>
        <w:t>survenant dans un cadre domestique, y compris les atteintes physiques, émotionnelles, psychologiques ou économiques.</w:t>
      </w:r>
    </w:p>
    <w:p w14:paraId="4210C276" w14:textId="568E1488" w:rsidR="0013769F" w:rsidRPr="0013769F" w:rsidRDefault="0013769F" w:rsidP="006E59E2">
      <w:pPr>
        <w:pStyle w:val="SingleTxt"/>
        <w:numPr>
          <w:ilvl w:val="0"/>
          <w:numId w:val="34"/>
        </w:numPr>
        <w:tabs>
          <w:tab w:val="num" w:pos="2804"/>
        </w:tabs>
        <w:spacing w:line="220" w:lineRule="exact"/>
        <w:ind w:left="1267"/>
        <w:rPr>
          <w:lang w:val="fr-FR"/>
        </w:rPr>
      </w:pPr>
      <w:r w:rsidRPr="0013769F">
        <w:rPr>
          <w:lang w:val="fr-FR"/>
        </w:rPr>
        <w:t>L</w:t>
      </w:r>
      <w:r>
        <w:rPr>
          <w:lang w:val="fr-FR"/>
        </w:rPr>
        <w:t>’</w:t>
      </w:r>
      <w:r w:rsidRPr="0013769F">
        <w:rPr>
          <w:lang w:val="fr-FR"/>
        </w:rPr>
        <w:t>article</w:t>
      </w:r>
      <w:r w:rsidR="00EC74EA">
        <w:rPr>
          <w:lang w:val="fr-FR"/>
        </w:rPr>
        <w:t xml:space="preserve"> </w:t>
      </w:r>
      <w:r w:rsidRPr="0013769F">
        <w:rPr>
          <w:lang w:val="fr-FR"/>
        </w:rPr>
        <w:t>6 de la loi traite de manière adéquate de la nature du délit de violence domestique d</w:t>
      </w:r>
      <w:r>
        <w:rPr>
          <w:lang w:val="fr-FR"/>
        </w:rPr>
        <w:t>’</w:t>
      </w:r>
      <w:r w:rsidRPr="0013769F">
        <w:rPr>
          <w:lang w:val="fr-FR"/>
        </w:rPr>
        <w:t>un point de vue de la responsabilité civile et pénale. À cet égard, il stipule que tout acte qualifié d</w:t>
      </w:r>
      <w:r>
        <w:rPr>
          <w:lang w:val="fr-FR"/>
        </w:rPr>
        <w:t>’</w:t>
      </w:r>
      <w:r w:rsidRPr="0013769F">
        <w:rPr>
          <w:lang w:val="fr-FR"/>
        </w:rPr>
        <w:t xml:space="preserve">acte de violence domestique en vertu de la loi entraîne une responsabilité civile et constitue une infraction pénale passible de </w:t>
      </w:r>
      <w:r w:rsidRPr="0013769F">
        <w:rPr>
          <w:szCs w:val="20"/>
          <w:lang w:val="fr-FR"/>
        </w:rPr>
        <w:t>poursuites</w:t>
      </w:r>
      <w:r w:rsidRPr="0013769F">
        <w:rPr>
          <w:lang w:val="fr-FR"/>
        </w:rPr>
        <w:t xml:space="preserve"> pénales. En outre, l</w:t>
      </w:r>
      <w:r>
        <w:rPr>
          <w:lang w:val="fr-FR"/>
        </w:rPr>
        <w:t>’</w:t>
      </w:r>
      <w:r w:rsidRPr="0013769F">
        <w:rPr>
          <w:lang w:val="fr-FR"/>
        </w:rPr>
        <w:t>article</w:t>
      </w:r>
      <w:r w:rsidR="00EC74EA">
        <w:rPr>
          <w:lang w:val="fr-FR"/>
        </w:rPr>
        <w:t xml:space="preserve"> </w:t>
      </w:r>
      <w:r w:rsidRPr="0013769F">
        <w:rPr>
          <w:lang w:val="fr-FR"/>
        </w:rPr>
        <w:t>7 de la loi renforce cette double culpabilité en stipulant que la responsabilité pénale et la condamnation en vertu d</w:t>
      </w:r>
      <w:r>
        <w:rPr>
          <w:lang w:val="fr-FR"/>
        </w:rPr>
        <w:t>’</w:t>
      </w:r>
      <w:r w:rsidRPr="0013769F">
        <w:rPr>
          <w:lang w:val="fr-FR"/>
        </w:rPr>
        <w:t>une autre loi pour des actes de violence domestique aux termes de la loi n</w:t>
      </w:r>
      <w:r>
        <w:rPr>
          <w:lang w:val="fr-FR"/>
        </w:rPr>
        <w:t>’</w:t>
      </w:r>
      <w:r w:rsidRPr="0013769F">
        <w:rPr>
          <w:lang w:val="fr-FR"/>
        </w:rPr>
        <w:t>empêchent pas la mise en œuvre d</w:t>
      </w:r>
      <w:r>
        <w:rPr>
          <w:lang w:val="fr-FR"/>
        </w:rPr>
        <w:t>’</w:t>
      </w:r>
      <w:r w:rsidRPr="0013769F">
        <w:rPr>
          <w:lang w:val="fr-FR"/>
        </w:rPr>
        <w:t>autres mesures (civiles) prescrites par la loi. Le paragraphe</w:t>
      </w:r>
      <w:r w:rsidR="00EC74EA">
        <w:rPr>
          <w:lang w:val="fr-FR"/>
        </w:rPr>
        <w:t xml:space="preserve"> </w:t>
      </w:r>
      <w:r w:rsidRPr="0013769F">
        <w:rPr>
          <w:lang w:val="fr-FR"/>
        </w:rPr>
        <w:t>b) de l</w:t>
      </w:r>
      <w:r>
        <w:rPr>
          <w:lang w:val="fr-FR"/>
        </w:rPr>
        <w:t>’</w:t>
      </w:r>
      <w:r w:rsidRPr="0013769F">
        <w:rPr>
          <w:lang w:val="fr-FR"/>
        </w:rPr>
        <w:t>article</w:t>
      </w:r>
      <w:r w:rsidR="00EC74EA">
        <w:rPr>
          <w:lang w:val="fr-FR"/>
        </w:rPr>
        <w:t xml:space="preserve"> </w:t>
      </w:r>
      <w:r w:rsidRPr="0013769F">
        <w:rPr>
          <w:lang w:val="fr-FR"/>
        </w:rPr>
        <w:t>7 souligne également que les dispositions de la loi s</w:t>
      </w:r>
      <w:r>
        <w:rPr>
          <w:lang w:val="fr-FR"/>
        </w:rPr>
        <w:t>’</w:t>
      </w:r>
      <w:r w:rsidRPr="0013769F">
        <w:rPr>
          <w:lang w:val="fr-FR"/>
        </w:rPr>
        <w:t>appliquent même si l</w:t>
      </w:r>
      <w:r>
        <w:rPr>
          <w:lang w:val="fr-FR"/>
        </w:rPr>
        <w:t>’</w:t>
      </w:r>
      <w:r w:rsidRPr="0013769F">
        <w:rPr>
          <w:lang w:val="fr-FR"/>
        </w:rPr>
        <w:t>auteur de l</w:t>
      </w:r>
      <w:r>
        <w:rPr>
          <w:lang w:val="fr-FR"/>
        </w:rPr>
        <w:t>’</w:t>
      </w:r>
      <w:r w:rsidRPr="0013769F">
        <w:rPr>
          <w:lang w:val="fr-FR"/>
        </w:rPr>
        <w:t>infraction fait l</w:t>
      </w:r>
      <w:r>
        <w:rPr>
          <w:lang w:val="fr-FR"/>
        </w:rPr>
        <w:t>’</w:t>
      </w:r>
      <w:r w:rsidRPr="0013769F">
        <w:rPr>
          <w:lang w:val="fr-FR"/>
        </w:rPr>
        <w:t>objet d</w:t>
      </w:r>
      <w:r>
        <w:rPr>
          <w:lang w:val="fr-FR"/>
        </w:rPr>
        <w:t>’</w:t>
      </w:r>
      <w:r w:rsidRPr="0013769F">
        <w:rPr>
          <w:lang w:val="fr-FR"/>
        </w:rPr>
        <w:t>une condamnation pénale en vertu d</w:t>
      </w:r>
      <w:r>
        <w:rPr>
          <w:lang w:val="fr-FR"/>
        </w:rPr>
        <w:t>’</w:t>
      </w:r>
      <w:r w:rsidRPr="0013769F">
        <w:rPr>
          <w:lang w:val="fr-FR"/>
        </w:rPr>
        <w:t>une autre loi, tant que la victime et l</w:t>
      </w:r>
      <w:r>
        <w:rPr>
          <w:lang w:val="fr-FR"/>
        </w:rPr>
        <w:t>’</w:t>
      </w:r>
      <w:r w:rsidRPr="0013769F">
        <w:rPr>
          <w:lang w:val="fr-FR"/>
        </w:rPr>
        <w:t>auteur de l</w:t>
      </w:r>
      <w:r>
        <w:rPr>
          <w:lang w:val="fr-FR"/>
        </w:rPr>
        <w:t>’</w:t>
      </w:r>
      <w:r w:rsidRPr="0013769F">
        <w:rPr>
          <w:lang w:val="fr-FR"/>
        </w:rPr>
        <w:t>infraction sont liés par une relation domestique telle que stipulée dans la loi. En d</w:t>
      </w:r>
      <w:r>
        <w:rPr>
          <w:lang w:val="fr-FR"/>
        </w:rPr>
        <w:t>’</w:t>
      </w:r>
      <w:r w:rsidRPr="0013769F">
        <w:rPr>
          <w:lang w:val="fr-FR"/>
        </w:rPr>
        <w:t>autres termes, les ordonnances de protection et la responsabilité civile de l</w:t>
      </w:r>
      <w:r>
        <w:rPr>
          <w:lang w:val="fr-FR"/>
        </w:rPr>
        <w:t>’</w:t>
      </w:r>
      <w:r w:rsidRPr="0013769F">
        <w:rPr>
          <w:lang w:val="fr-FR"/>
        </w:rPr>
        <w:t>auteur de l</w:t>
      </w:r>
      <w:r>
        <w:rPr>
          <w:lang w:val="fr-FR"/>
        </w:rPr>
        <w:t>’</w:t>
      </w:r>
      <w:r w:rsidRPr="0013769F">
        <w:rPr>
          <w:lang w:val="fr-FR"/>
        </w:rPr>
        <w:t>infraction prévues par la loi peuvent être demandées même si des poursuites pénales ont été engagées en vertu d</w:t>
      </w:r>
      <w:r>
        <w:rPr>
          <w:lang w:val="fr-FR"/>
        </w:rPr>
        <w:t>’</w:t>
      </w:r>
      <w:r w:rsidRPr="0013769F">
        <w:rPr>
          <w:lang w:val="fr-FR"/>
        </w:rPr>
        <w:t xml:space="preserve">autres lois. </w:t>
      </w:r>
    </w:p>
    <w:p w14:paraId="180103FC" w14:textId="7409CEB4" w:rsidR="0013769F" w:rsidRPr="0013769F" w:rsidRDefault="0013769F" w:rsidP="006E59E2">
      <w:pPr>
        <w:pStyle w:val="SingleTxt"/>
        <w:numPr>
          <w:ilvl w:val="0"/>
          <w:numId w:val="34"/>
        </w:numPr>
        <w:tabs>
          <w:tab w:val="num" w:pos="2804"/>
        </w:tabs>
        <w:spacing w:line="220" w:lineRule="exact"/>
        <w:ind w:left="1267"/>
        <w:rPr>
          <w:lang w:val="fr-FR"/>
        </w:rPr>
      </w:pPr>
      <w:r w:rsidRPr="0013769F">
        <w:rPr>
          <w:lang w:val="fr-FR"/>
        </w:rPr>
        <w:t>En ce qui concerne les condamnations pénales, toutes les formes de violence et d</w:t>
      </w:r>
      <w:r>
        <w:rPr>
          <w:lang w:val="fr-FR"/>
        </w:rPr>
        <w:t>’</w:t>
      </w:r>
      <w:r w:rsidRPr="0013769F">
        <w:rPr>
          <w:lang w:val="fr-FR"/>
        </w:rPr>
        <w:t>intimidation restent punissables en vertu de lois telles que la loi n</w:t>
      </w:r>
      <w:r w:rsidR="00EC74EA" w:rsidRPr="00EC74EA">
        <w:rPr>
          <w:vertAlign w:val="superscript"/>
          <w:lang w:val="fr-FR"/>
        </w:rPr>
        <w:t>o</w:t>
      </w:r>
      <w:r w:rsidRPr="0013769F">
        <w:rPr>
          <w:lang w:val="fr-FR"/>
        </w:rPr>
        <w:t> 9/2014 (Code pénal des Maldives), la loi sur les infractions sexuelles et la loi n</w:t>
      </w:r>
      <w:r w:rsidR="00EC74EA" w:rsidRPr="00EC74EA">
        <w:rPr>
          <w:vertAlign w:val="superscript"/>
          <w:lang w:val="fr-FR"/>
        </w:rPr>
        <w:t>o</w:t>
      </w:r>
      <w:r w:rsidRPr="0013769F">
        <w:rPr>
          <w:lang w:val="fr-FR"/>
        </w:rPr>
        <w:t> 17/2010 (loi sur l</w:t>
      </w:r>
      <w:r>
        <w:rPr>
          <w:lang w:val="fr-FR"/>
        </w:rPr>
        <w:t>’</w:t>
      </w:r>
      <w:r w:rsidRPr="0013769F">
        <w:rPr>
          <w:lang w:val="fr-FR"/>
        </w:rPr>
        <w:t>interdiction des menaces et de l</w:t>
      </w:r>
      <w:r>
        <w:rPr>
          <w:lang w:val="fr-FR"/>
        </w:rPr>
        <w:t>’</w:t>
      </w:r>
      <w:r w:rsidRPr="0013769F">
        <w:rPr>
          <w:lang w:val="fr-FR"/>
        </w:rPr>
        <w:t>utilisation d</w:t>
      </w:r>
      <w:r>
        <w:rPr>
          <w:lang w:val="fr-FR"/>
        </w:rPr>
        <w:t>’</w:t>
      </w:r>
      <w:r w:rsidRPr="0013769F">
        <w:rPr>
          <w:lang w:val="fr-FR"/>
        </w:rPr>
        <w:t>armes dangereuses).</w:t>
      </w:r>
    </w:p>
    <w:p w14:paraId="7A028939" w14:textId="74ED2E62" w:rsidR="0013769F" w:rsidRPr="0013769F" w:rsidRDefault="0013769F" w:rsidP="006E59E2">
      <w:pPr>
        <w:pStyle w:val="SingleTxt"/>
        <w:numPr>
          <w:ilvl w:val="0"/>
          <w:numId w:val="34"/>
        </w:numPr>
        <w:tabs>
          <w:tab w:val="num" w:pos="2804"/>
        </w:tabs>
        <w:spacing w:line="220" w:lineRule="exact"/>
        <w:ind w:left="1267"/>
        <w:rPr>
          <w:lang w:val="fr-FR"/>
        </w:rPr>
      </w:pPr>
      <w:r w:rsidRPr="0013769F">
        <w:rPr>
          <w:lang w:val="fr-FR"/>
        </w:rPr>
        <w:t>Le Gouvernement maldivien est donc d</w:t>
      </w:r>
      <w:r>
        <w:rPr>
          <w:lang w:val="fr-FR"/>
        </w:rPr>
        <w:t>’</w:t>
      </w:r>
      <w:r w:rsidRPr="0013769F">
        <w:rPr>
          <w:lang w:val="fr-FR"/>
        </w:rPr>
        <w:t>avis que les infractions entraînant une responsabilité pénale en cas d</w:t>
      </w:r>
      <w:r>
        <w:rPr>
          <w:lang w:val="fr-FR"/>
        </w:rPr>
        <w:t>’</w:t>
      </w:r>
      <w:r w:rsidRPr="0013769F">
        <w:rPr>
          <w:lang w:val="fr-FR"/>
        </w:rPr>
        <w:t>actes de violence domestique sont couvertes de manière adéquate par la législation relative aux infractions pénales aux Maldives.</w:t>
      </w:r>
    </w:p>
    <w:p w14:paraId="594401FE" w14:textId="77777777" w:rsidR="0013769F" w:rsidRPr="0013769F" w:rsidRDefault="0013769F" w:rsidP="0013769F">
      <w:pPr>
        <w:pStyle w:val="SingleTxt"/>
        <w:spacing w:after="0" w:line="120" w:lineRule="exact"/>
        <w:rPr>
          <w:b/>
          <w:bCs/>
          <w:sz w:val="10"/>
          <w:lang w:val="fr-FR"/>
        </w:rPr>
      </w:pPr>
    </w:p>
    <w:p w14:paraId="1473E076" w14:textId="77777777" w:rsidR="0013769F" w:rsidRPr="0013769F" w:rsidRDefault="0013769F" w:rsidP="0013769F">
      <w:pPr>
        <w:pStyle w:val="SingleTxt"/>
        <w:spacing w:after="0" w:line="120" w:lineRule="exact"/>
        <w:rPr>
          <w:b/>
          <w:bCs/>
          <w:sz w:val="10"/>
          <w:lang w:val="fr-FR"/>
        </w:rPr>
      </w:pPr>
    </w:p>
    <w:p w14:paraId="4E575621" w14:textId="37E22F1B" w:rsidR="0013769F" w:rsidRDefault="0013769F" w:rsidP="00137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769F">
        <w:rPr>
          <w:lang w:val="fr-FR"/>
        </w:rPr>
        <w:tab/>
        <w:t>D.</w:t>
      </w:r>
      <w:r w:rsidRPr="0013769F">
        <w:rPr>
          <w:lang w:val="fr-FR"/>
        </w:rPr>
        <w:tab/>
        <w:t>Réponses intermédiaires aux recommandations figurant à</w:t>
      </w:r>
      <w:r>
        <w:rPr>
          <w:lang w:val="fr-FR"/>
        </w:rPr>
        <w:t> </w:t>
      </w:r>
      <w:r w:rsidRPr="0013769F">
        <w:rPr>
          <w:lang w:val="fr-FR"/>
        </w:rPr>
        <w:t>l</w:t>
      </w:r>
      <w:r>
        <w:rPr>
          <w:lang w:val="fr-FR"/>
        </w:rPr>
        <w:t>’</w:t>
      </w:r>
      <w:r w:rsidRPr="0013769F">
        <w:rPr>
          <w:lang w:val="fr-FR"/>
        </w:rPr>
        <w:t>alinéa</w:t>
      </w:r>
      <w:r>
        <w:rPr>
          <w:lang w:val="fr-FR"/>
        </w:rPr>
        <w:t> </w:t>
      </w:r>
      <w:r w:rsidRPr="0013769F">
        <w:rPr>
          <w:lang w:val="fr-FR"/>
        </w:rPr>
        <w:t>e) du paragraphe</w:t>
      </w:r>
      <w:r>
        <w:rPr>
          <w:lang w:val="fr-FR"/>
        </w:rPr>
        <w:t xml:space="preserve"> </w:t>
      </w:r>
      <w:r w:rsidRPr="0013769F">
        <w:rPr>
          <w:lang w:val="fr-FR"/>
        </w:rPr>
        <w:t xml:space="preserve">54 des observations finales </w:t>
      </w:r>
    </w:p>
    <w:p w14:paraId="7B35E95C" w14:textId="5E46645C" w:rsidR="0013769F" w:rsidRPr="0013769F" w:rsidRDefault="0013769F" w:rsidP="0013769F">
      <w:pPr>
        <w:pStyle w:val="SingleTxt"/>
        <w:spacing w:after="0" w:line="120" w:lineRule="exact"/>
        <w:rPr>
          <w:sz w:val="10"/>
          <w:lang w:val="fr-FR"/>
        </w:rPr>
      </w:pPr>
    </w:p>
    <w:p w14:paraId="4D84F3AA" w14:textId="00849D39" w:rsidR="0013769F" w:rsidRPr="0013769F" w:rsidRDefault="0013769F" w:rsidP="00EC74EA">
      <w:pPr>
        <w:pStyle w:val="SingleTxt"/>
        <w:spacing w:after="0" w:line="120" w:lineRule="exact"/>
        <w:rPr>
          <w:sz w:val="10"/>
          <w:lang w:val="fr-FR"/>
        </w:rPr>
      </w:pPr>
    </w:p>
    <w:p w14:paraId="079004BC" w14:textId="1CEFEB8C" w:rsidR="0013769F" w:rsidRPr="0013769F" w:rsidRDefault="0013769F" w:rsidP="006E59E2">
      <w:pPr>
        <w:pStyle w:val="SingleTxt"/>
        <w:numPr>
          <w:ilvl w:val="0"/>
          <w:numId w:val="38"/>
        </w:numPr>
        <w:tabs>
          <w:tab w:val="num" w:pos="2804"/>
        </w:tabs>
        <w:spacing w:line="220" w:lineRule="exact"/>
        <w:ind w:left="1267"/>
        <w:rPr>
          <w:lang w:val="fr-FR"/>
        </w:rPr>
      </w:pPr>
      <w:r w:rsidRPr="0013769F">
        <w:rPr>
          <w:lang w:val="fr-FR"/>
        </w:rPr>
        <w:t>Le Gouvernement maldivien est déterminé à supprimer les obstacles auxquels sont confrontées les femmes en matière de droit de la famille. À cet égard, le Bureau du Procureur général a lancé en 2020 l</w:t>
      </w:r>
      <w:r>
        <w:rPr>
          <w:lang w:val="fr-FR"/>
        </w:rPr>
        <w:t>’</w:t>
      </w:r>
      <w:r w:rsidRPr="0013769F">
        <w:rPr>
          <w:lang w:val="fr-FR"/>
        </w:rPr>
        <w:t xml:space="preserve">initiative de réforme du droit de la famille afin de recenser et de régler les problèmes liés au cadre législatif relatif aux relations familiales et aux questions connexes aux Maldives. </w:t>
      </w:r>
    </w:p>
    <w:p w14:paraId="3B12647B" w14:textId="5E7ED1CF" w:rsidR="0013769F" w:rsidRPr="0013769F" w:rsidRDefault="0013769F" w:rsidP="006E59E2">
      <w:pPr>
        <w:pStyle w:val="SingleTxt"/>
        <w:numPr>
          <w:ilvl w:val="0"/>
          <w:numId w:val="38"/>
        </w:numPr>
        <w:tabs>
          <w:tab w:val="num" w:pos="2804"/>
        </w:tabs>
        <w:spacing w:line="220" w:lineRule="exact"/>
        <w:ind w:left="1267"/>
        <w:rPr>
          <w:lang w:val="fr-FR"/>
        </w:rPr>
      </w:pPr>
      <w:r w:rsidRPr="0013769F">
        <w:rPr>
          <w:lang w:val="fr-FR"/>
        </w:rPr>
        <w:t>L</w:t>
      </w:r>
      <w:r>
        <w:rPr>
          <w:lang w:val="fr-FR"/>
        </w:rPr>
        <w:t>’</w:t>
      </w:r>
      <w:r w:rsidRPr="0013769F">
        <w:rPr>
          <w:lang w:val="fr-FR"/>
        </w:rPr>
        <w:t>initiative consiste à examiner la loi n</w:t>
      </w:r>
      <w:r w:rsidR="00EC74EA" w:rsidRPr="00EC74EA">
        <w:rPr>
          <w:vertAlign w:val="superscript"/>
          <w:lang w:val="fr-FR"/>
        </w:rPr>
        <w:t>o</w:t>
      </w:r>
      <w:r w:rsidRPr="0013769F">
        <w:rPr>
          <w:lang w:val="fr-FR"/>
        </w:rPr>
        <w:t> 4/2000 (loi sur la famille), la loi n</w:t>
      </w:r>
      <w:r w:rsidR="00EC74EA" w:rsidRPr="00EC74EA">
        <w:rPr>
          <w:vertAlign w:val="superscript"/>
          <w:lang w:val="fr-FR"/>
        </w:rPr>
        <w:t>o</w:t>
      </w:r>
      <w:r w:rsidRPr="0013769F">
        <w:rPr>
          <w:lang w:val="fr-FR"/>
        </w:rPr>
        <w:t> 20/2019 (loi sur la protection des droits de l</w:t>
      </w:r>
      <w:r>
        <w:rPr>
          <w:lang w:val="fr-FR"/>
        </w:rPr>
        <w:t>’</w:t>
      </w:r>
      <w:r w:rsidRPr="0013769F">
        <w:rPr>
          <w:lang w:val="fr-FR"/>
        </w:rPr>
        <w:t xml:space="preserve">enfant), la loi susmentionnée sur la prévention de la violence domestique et leurs </w:t>
      </w:r>
      <w:r w:rsidRPr="0013769F">
        <w:rPr>
          <w:szCs w:val="20"/>
          <w:lang w:val="fr-FR"/>
        </w:rPr>
        <w:t>règlements</w:t>
      </w:r>
      <w:r w:rsidRPr="0013769F">
        <w:rPr>
          <w:lang w:val="fr-FR"/>
        </w:rPr>
        <w:t xml:space="preserve"> respectifs, afin d</w:t>
      </w:r>
      <w:r>
        <w:rPr>
          <w:lang w:val="fr-FR"/>
        </w:rPr>
        <w:t>’</w:t>
      </w:r>
      <w:r w:rsidRPr="0013769F">
        <w:rPr>
          <w:lang w:val="fr-FR"/>
        </w:rPr>
        <w:t>en recenser les divergences et d</w:t>
      </w:r>
      <w:r>
        <w:rPr>
          <w:lang w:val="fr-FR"/>
        </w:rPr>
        <w:t>’</w:t>
      </w:r>
      <w:r w:rsidRPr="0013769F">
        <w:rPr>
          <w:lang w:val="fr-FR"/>
        </w:rPr>
        <w:t>en déterminer la viabilité et la conformité aux obligations qui incombent aux Maldives en vertu du droit international.</w:t>
      </w:r>
      <w:r>
        <w:rPr>
          <w:lang w:val="fr-FR"/>
        </w:rPr>
        <w:t xml:space="preserve"> </w:t>
      </w:r>
    </w:p>
    <w:p w14:paraId="4BA5A7C3" w14:textId="6BBE33EE" w:rsidR="0013769F" w:rsidRPr="0013769F" w:rsidRDefault="0013769F" w:rsidP="006E59E2">
      <w:pPr>
        <w:pStyle w:val="SingleTxt"/>
        <w:numPr>
          <w:ilvl w:val="0"/>
          <w:numId w:val="38"/>
        </w:numPr>
        <w:tabs>
          <w:tab w:val="num" w:pos="2804"/>
        </w:tabs>
        <w:spacing w:line="220" w:lineRule="exact"/>
        <w:ind w:left="1267"/>
        <w:rPr>
          <w:lang w:val="fr-FR"/>
        </w:rPr>
      </w:pPr>
      <w:r w:rsidRPr="0013769F">
        <w:rPr>
          <w:lang w:val="fr-FR"/>
        </w:rPr>
        <w:t>Ainsi, l</w:t>
      </w:r>
      <w:r>
        <w:rPr>
          <w:lang w:val="fr-FR"/>
        </w:rPr>
        <w:t>’</w:t>
      </w:r>
      <w:r w:rsidRPr="0013769F">
        <w:rPr>
          <w:lang w:val="fr-FR"/>
        </w:rPr>
        <w:t>initiative de réforme devrait permettre de mieux protéger les femmes et les enfants, de moderniser et de simplifier les procédures judiciaires et de mettre en place des mécanismes modernes de règlement des différends.</w:t>
      </w:r>
    </w:p>
    <w:p w14:paraId="2D21BEF4" w14:textId="57A5DE92" w:rsidR="0013769F" w:rsidRPr="0013769F" w:rsidRDefault="0013769F" w:rsidP="006E59E2">
      <w:pPr>
        <w:pStyle w:val="SingleTxt"/>
        <w:numPr>
          <w:ilvl w:val="0"/>
          <w:numId w:val="38"/>
        </w:numPr>
        <w:tabs>
          <w:tab w:val="num" w:pos="2804"/>
        </w:tabs>
        <w:spacing w:line="220" w:lineRule="exact"/>
        <w:ind w:left="1267"/>
        <w:rPr>
          <w:lang w:val="fr-FR"/>
        </w:rPr>
      </w:pPr>
      <w:r w:rsidRPr="0013769F">
        <w:rPr>
          <w:lang w:val="fr-FR"/>
        </w:rPr>
        <w:t>Le Gouvernement maldivien assure le Comité que tout est mis en œuvre pour que l</w:t>
      </w:r>
      <w:r>
        <w:rPr>
          <w:lang w:val="fr-FR"/>
        </w:rPr>
        <w:t>’</w:t>
      </w:r>
      <w:r w:rsidRPr="0013769F">
        <w:rPr>
          <w:lang w:val="fr-FR"/>
        </w:rPr>
        <w:t xml:space="preserve">initiative de </w:t>
      </w:r>
      <w:r w:rsidRPr="0013769F">
        <w:rPr>
          <w:szCs w:val="20"/>
          <w:lang w:val="fr-FR"/>
        </w:rPr>
        <w:t>réforme</w:t>
      </w:r>
      <w:r w:rsidRPr="0013769F">
        <w:rPr>
          <w:lang w:val="fr-FR"/>
        </w:rPr>
        <w:t xml:space="preserve"> législative aboutisse en temps voulu. Une fois l</w:t>
      </w:r>
      <w:r>
        <w:rPr>
          <w:lang w:val="fr-FR"/>
        </w:rPr>
        <w:t>’</w:t>
      </w:r>
      <w:r w:rsidRPr="0013769F">
        <w:rPr>
          <w:lang w:val="fr-FR"/>
        </w:rPr>
        <w:t>examen achevé, il sera mieux à même de fournir au Comité des informations spécifiques sur l</w:t>
      </w:r>
      <w:r>
        <w:rPr>
          <w:lang w:val="fr-FR"/>
        </w:rPr>
        <w:t>’</w:t>
      </w:r>
      <w:r w:rsidRPr="0013769F">
        <w:rPr>
          <w:lang w:val="fr-FR"/>
        </w:rPr>
        <w:t xml:space="preserve">examen et sur les changements législatifs qui en résulteront. </w:t>
      </w:r>
    </w:p>
    <w:p w14:paraId="0B69C783" w14:textId="2B1EBE15" w:rsidR="00EB089F" w:rsidRPr="0013769F" w:rsidRDefault="0013769F" w:rsidP="0013769F">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56F03F8" wp14:editId="3E19472A">
                <wp:simplePos x="0" y="0"/>
                <wp:positionH relativeFrom="page">
                  <wp:posOffset>3429000</wp:posOffset>
                </wp:positionH>
                <wp:positionV relativeFrom="paragraph">
                  <wp:posOffset>203612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C4D26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6.05pt" to="34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" strokecolor="#010000" strokeweight=".25pt">
                <v:stroke joinstyle="miter"/>
                <w10:wrap anchorx="page"/>
              </v:line>
            </w:pict>
          </mc:Fallback>
        </mc:AlternateContent>
      </w:r>
    </w:p>
    <w:sectPr w:rsidR="00EB089F" w:rsidRPr="0013769F" w:rsidSect="0013769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7:31:00Z" w:initials="Start">
    <w:p w14:paraId="12ECF35A" w14:textId="77777777" w:rsidR="00EB089F" w:rsidRPr="00F933BA" w:rsidRDefault="00EB089F">
      <w:pPr>
        <w:pStyle w:val="CommentText"/>
        <w:rPr>
          <w:lang w:val="en-US"/>
        </w:rPr>
      </w:pPr>
      <w:r>
        <w:rPr>
          <w:rStyle w:val="CommentReference"/>
        </w:rPr>
        <w:annotationRef/>
      </w:r>
      <w:r w:rsidRPr="00F933BA">
        <w:rPr>
          <w:lang w:val="en-US"/>
        </w:rPr>
        <w:t>&lt;&lt;ODS JOB NO&gt;&gt;N2337229F&lt;&lt;ODS JOB NO&gt;&gt;</w:t>
      </w:r>
    </w:p>
    <w:p w14:paraId="6DEC72E1" w14:textId="77777777" w:rsidR="00EB089F" w:rsidRDefault="00EB089F">
      <w:pPr>
        <w:pStyle w:val="CommentText"/>
      </w:pPr>
      <w:r>
        <w:t>&lt;&lt;ODS DOC SYMBOL1&gt;&gt;CEDAW/C/MDV/FCO/6&lt;&lt;ODS DOC SYMBOL1&gt;&gt;</w:t>
      </w:r>
    </w:p>
    <w:p w14:paraId="1A53440C" w14:textId="23001A73" w:rsidR="00EB089F" w:rsidRDefault="00EB08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5344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B2E8F" w16cex:dateUtc="2023-12-06T2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53440C" w16cid:durableId="291B2E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40B8B" w14:textId="77777777" w:rsidR="00E92418" w:rsidRDefault="00E92418" w:rsidP="00CE36B6">
      <w:pPr>
        <w:spacing w:line="240" w:lineRule="auto"/>
      </w:pPr>
      <w:r>
        <w:separator/>
      </w:r>
    </w:p>
  </w:endnote>
  <w:endnote w:type="continuationSeparator" w:id="0">
    <w:p w14:paraId="430E2D87" w14:textId="77777777" w:rsidR="00E92418" w:rsidRDefault="00E9241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089F" w14:paraId="44A05319" w14:textId="77777777" w:rsidTr="00EB089F">
      <w:tblPrEx>
        <w:tblCellMar>
          <w:top w:w="0" w:type="dxa"/>
          <w:bottom w:w="0" w:type="dxa"/>
        </w:tblCellMar>
      </w:tblPrEx>
      <w:tc>
        <w:tcPr>
          <w:tcW w:w="4920" w:type="dxa"/>
          <w:shd w:val="clear" w:color="auto" w:fill="auto"/>
        </w:tcPr>
        <w:p w14:paraId="182C56F8" w14:textId="6AA3AD17" w:rsidR="00EB089F" w:rsidRPr="00EB089F" w:rsidRDefault="00EB089F" w:rsidP="00EB08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7953">
            <w:rPr>
              <w:b w:val="0"/>
              <w:w w:val="103"/>
              <w:sz w:val="14"/>
            </w:rPr>
            <w:t>23-23567</w:t>
          </w:r>
          <w:r>
            <w:rPr>
              <w:b w:val="0"/>
              <w:w w:val="103"/>
              <w:sz w:val="14"/>
            </w:rPr>
            <w:fldChar w:fldCharType="end"/>
          </w:r>
        </w:p>
      </w:tc>
      <w:tc>
        <w:tcPr>
          <w:tcW w:w="4920" w:type="dxa"/>
          <w:shd w:val="clear" w:color="auto" w:fill="auto"/>
        </w:tcPr>
        <w:p w14:paraId="78112409" w14:textId="212DBD80" w:rsidR="00EB089F" w:rsidRPr="00EB089F" w:rsidRDefault="00EB089F" w:rsidP="00EB089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BFC796" w14:textId="77777777" w:rsidR="00EB089F" w:rsidRPr="00EB089F" w:rsidRDefault="00EB089F" w:rsidP="00EB08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089F" w14:paraId="426E0BAE" w14:textId="77777777" w:rsidTr="00EB089F">
      <w:tblPrEx>
        <w:tblCellMar>
          <w:top w:w="0" w:type="dxa"/>
          <w:bottom w:w="0" w:type="dxa"/>
        </w:tblCellMar>
      </w:tblPrEx>
      <w:tc>
        <w:tcPr>
          <w:tcW w:w="4920" w:type="dxa"/>
          <w:shd w:val="clear" w:color="auto" w:fill="auto"/>
        </w:tcPr>
        <w:p w14:paraId="24886056" w14:textId="429D16F5" w:rsidR="00EB089F" w:rsidRPr="00EB089F" w:rsidRDefault="00EB089F" w:rsidP="00EB089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E4967D" w14:textId="018649B1" w:rsidR="00EB089F" w:rsidRPr="00EB089F" w:rsidRDefault="00EB089F" w:rsidP="00EB08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7953">
            <w:rPr>
              <w:b w:val="0"/>
              <w:w w:val="103"/>
              <w:sz w:val="14"/>
            </w:rPr>
            <w:t>23-23567</w:t>
          </w:r>
          <w:r>
            <w:rPr>
              <w:b w:val="0"/>
              <w:w w:val="103"/>
              <w:sz w:val="14"/>
            </w:rPr>
            <w:fldChar w:fldCharType="end"/>
          </w:r>
        </w:p>
      </w:tc>
    </w:tr>
  </w:tbl>
  <w:p w14:paraId="1B7A6A33" w14:textId="77777777" w:rsidR="00EB089F" w:rsidRPr="00EB089F" w:rsidRDefault="00EB089F" w:rsidP="00EB08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E9C5" w14:textId="3ADF9C0E" w:rsidR="00EB089F" w:rsidRDefault="00EB089F">
    <w:pPr>
      <w:pStyle w:val="Footer"/>
    </w:pPr>
    <w:r>
      <w:rPr>
        <w:noProof/>
      </w:rPr>
      <w:drawing>
        <wp:anchor distT="0" distB="0" distL="114300" distR="114300" simplePos="0" relativeHeight="251658240" behindDoc="0" locked="0" layoutInCell="1" allowOverlap="1" wp14:anchorId="043E18A4" wp14:editId="17477BD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B089F" w14:paraId="5CEBAAC9" w14:textId="77777777" w:rsidTr="00EB089F">
      <w:tblPrEx>
        <w:tblCellMar>
          <w:top w:w="0" w:type="dxa"/>
          <w:bottom w:w="0" w:type="dxa"/>
        </w:tblCellMar>
      </w:tblPrEx>
      <w:tc>
        <w:tcPr>
          <w:tcW w:w="3758" w:type="dxa"/>
        </w:tcPr>
        <w:p w14:paraId="6B42032E" w14:textId="16D319E0" w:rsidR="00EB089F" w:rsidRDefault="00EB089F" w:rsidP="00EB08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07953">
            <w:rPr>
              <w:b w:val="0"/>
              <w:sz w:val="20"/>
            </w:rPr>
            <w:t>23-23567 (F)</w:t>
          </w:r>
          <w:r>
            <w:rPr>
              <w:b w:val="0"/>
              <w:sz w:val="20"/>
            </w:rPr>
            <w:fldChar w:fldCharType="end"/>
          </w:r>
          <w:r>
            <w:rPr>
              <w:b w:val="0"/>
              <w:sz w:val="20"/>
            </w:rPr>
            <w:t xml:space="preserve">    0</w:t>
          </w:r>
          <w:r w:rsidR="0013769F">
            <w:rPr>
              <w:b w:val="0"/>
              <w:sz w:val="20"/>
            </w:rPr>
            <w:t>5</w:t>
          </w:r>
          <w:r>
            <w:rPr>
              <w:b w:val="0"/>
              <w:sz w:val="20"/>
            </w:rPr>
            <w:t>1223    12</w:t>
          </w:r>
          <w:r w:rsidR="0013769F">
            <w:rPr>
              <w:b w:val="0"/>
              <w:sz w:val="20"/>
            </w:rPr>
            <w:t>01</w:t>
          </w:r>
          <w:r>
            <w:rPr>
              <w:b w:val="0"/>
              <w:sz w:val="20"/>
            </w:rPr>
            <w:t>2</w:t>
          </w:r>
          <w:r w:rsidR="0013769F">
            <w:rPr>
              <w:b w:val="0"/>
              <w:sz w:val="20"/>
            </w:rPr>
            <w:t>4</w:t>
          </w:r>
        </w:p>
        <w:p w14:paraId="28BDA8BA" w14:textId="482920B2" w:rsidR="00EB089F" w:rsidRPr="00EB089F" w:rsidRDefault="00EB089F" w:rsidP="00EB089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07953">
            <w:rPr>
              <w:rFonts w:ascii="Barcode 3 of 9 by request" w:hAnsi="Barcode 3 of 9 by request"/>
              <w:spacing w:val="0"/>
              <w:w w:val="100"/>
              <w:sz w:val="24"/>
            </w:rPr>
            <w:t>*2323567*</w:t>
          </w:r>
          <w:r>
            <w:rPr>
              <w:rFonts w:ascii="Barcode 3 of 9 by request" w:hAnsi="Barcode 3 of 9 by request"/>
              <w:spacing w:val="0"/>
              <w:w w:val="100"/>
              <w:sz w:val="24"/>
            </w:rPr>
            <w:fldChar w:fldCharType="end"/>
          </w:r>
        </w:p>
      </w:tc>
      <w:tc>
        <w:tcPr>
          <w:tcW w:w="4920" w:type="dxa"/>
        </w:tcPr>
        <w:p w14:paraId="0EFEB829" w14:textId="08B9BC37" w:rsidR="00EB089F" w:rsidRDefault="00EB089F" w:rsidP="00EB089F">
          <w:pPr>
            <w:pStyle w:val="Footer"/>
            <w:spacing w:line="240" w:lineRule="atLeast"/>
            <w:jc w:val="right"/>
            <w:rPr>
              <w:b w:val="0"/>
              <w:sz w:val="20"/>
            </w:rPr>
          </w:pPr>
          <w:r>
            <w:rPr>
              <w:b w:val="0"/>
              <w:noProof/>
              <w:sz w:val="20"/>
            </w:rPr>
            <w:drawing>
              <wp:inline distT="0" distB="0" distL="0" distR="0" wp14:anchorId="587640FA" wp14:editId="78429F9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21D946" w14:textId="77777777" w:rsidR="00EB089F" w:rsidRPr="00EB089F" w:rsidRDefault="00EB089F" w:rsidP="00EB089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AB528" w14:textId="24708D9D" w:rsidR="00E92418" w:rsidRPr="00EC74EA" w:rsidRDefault="00EC74EA" w:rsidP="00EC74EA">
      <w:pPr>
        <w:pStyle w:val="Footer"/>
        <w:spacing w:after="80"/>
        <w:ind w:left="792"/>
        <w:rPr>
          <w:sz w:val="16"/>
        </w:rPr>
      </w:pPr>
      <w:r w:rsidRPr="00EC74EA">
        <w:rPr>
          <w:sz w:val="16"/>
        </w:rPr>
        <w:t>__________________</w:t>
      </w:r>
    </w:p>
  </w:footnote>
  <w:footnote w:type="continuationSeparator" w:id="0">
    <w:p w14:paraId="5497D1CC" w14:textId="42B013FB" w:rsidR="00E92418" w:rsidRPr="00EC74EA" w:rsidRDefault="00EC74EA" w:rsidP="00EC74EA">
      <w:pPr>
        <w:pStyle w:val="Footer"/>
        <w:spacing w:after="80"/>
        <w:ind w:left="792"/>
        <w:rPr>
          <w:sz w:val="16"/>
        </w:rPr>
      </w:pPr>
      <w:r w:rsidRPr="00EC74EA">
        <w:rPr>
          <w:sz w:val="16"/>
        </w:rPr>
        <w:t>__________________</w:t>
      </w:r>
    </w:p>
  </w:footnote>
  <w:footnote w:id="1">
    <w:p w14:paraId="02A76BB0" w14:textId="1A0A56DF" w:rsidR="0013769F" w:rsidRPr="00EC74EA" w:rsidRDefault="0013769F" w:rsidP="00EC74EA">
      <w:pPr>
        <w:pStyle w:val="FootnoteText"/>
        <w:tabs>
          <w:tab w:val="right" w:pos="1195"/>
          <w:tab w:val="left" w:pos="1267"/>
          <w:tab w:val="left" w:pos="1742"/>
          <w:tab w:val="left" w:pos="2218"/>
          <w:tab w:val="left" w:pos="2693"/>
        </w:tabs>
        <w:ind w:left="1267" w:right="1260" w:hanging="576"/>
        <w:rPr>
          <w:lang w:val="fr-FR"/>
        </w:rPr>
      </w:pPr>
      <w:r>
        <w:rPr>
          <w:rFonts w:asciiTheme="majorBidi" w:hAnsiTheme="majorBidi" w:cstheme="majorBidi"/>
          <w:lang w:val="fr-FR"/>
        </w:rPr>
        <w:tab/>
      </w:r>
      <w:r w:rsidRPr="00EC74EA">
        <w:rPr>
          <w:rStyle w:val="FootnoteReference"/>
          <w:spacing w:val="4"/>
          <w:lang w:val="fr-FR"/>
        </w:rPr>
        <w:footnoteRef/>
      </w:r>
      <w:r w:rsidRPr="00EC74EA">
        <w:rPr>
          <w:lang w:val="fr-FR"/>
        </w:rPr>
        <w:tab/>
      </w:r>
      <w:r w:rsidRPr="00EC74EA">
        <w:rPr>
          <w:i/>
          <w:iCs/>
          <w:lang w:val="fr-FR"/>
        </w:rPr>
        <w:t xml:space="preserve">État </w:t>
      </w:r>
      <w:r w:rsidRPr="00EC74EA">
        <w:rPr>
          <w:lang w:val="fr-FR"/>
        </w:rPr>
        <w:t>c.</w:t>
      </w:r>
      <w:r w:rsidRPr="00EC74EA">
        <w:rPr>
          <w:i/>
          <w:iCs/>
          <w:lang w:val="fr-FR"/>
        </w:rPr>
        <w:t xml:space="preserve"> Ali Shah</w:t>
      </w:r>
      <w:r w:rsidRPr="00EC74EA">
        <w:rPr>
          <w:lang w:val="fr-FR"/>
        </w:rPr>
        <w:t xml:space="preserve"> 2017/SC-A/16, par. 14 et 15.</w:t>
      </w:r>
    </w:p>
  </w:footnote>
  <w:footnote w:id="2">
    <w:p w14:paraId="6BDAF8A1" w14:textId="77777777" w:rsidR="0013769F" w:rsidRPr="00EC74EA" w:rsidRDefault="0013769F" w:rsidP="00EC74EA">
      <w:pPr>
        <w:pStyle w:val="FootnoteText"/>
        <w:tabs>
          <w:tab w:val="right" w:pos="1195"/>
          <w:tab w:val="left" w:pos="1267"/>
          <w:tab w:val="left" w:pos="1742"/>
          <w:tab w:val="left" w:pos="2218"/>
          <w:tab w:val="left" w:pos="2693"/>
        </w:tabs>
        <w:ind w:left="1267" w:right="1260" w:hanging="576"/>
        <w:rPr>
          <w:lang w:val="fr-FR"/>
        </w:rPr>
      </w:pPr>
      <w:r>
        <w:rPr>
          <w:rFonts w:asciiTheme="majorBidi" w:hAnsiTheme="majorBidi" w:cstheme="majorBidi"/>
          <w:lang w:val="fr-FR"/>
        </w:rPr>
        <w:tab/>
      </w:r>
      <w:r w:rsidRPr="00EC74EA">
        <w:rPr>
          <w:rStyle w:val="FootnoteReference"/>
          <w:spacing w:val="4"/>
          <w:lang w:val="fr-FR"/>
        </w:rPr>
        <w:footnoteRef/>
      </w:r>
      <w:r w:rsidRPr="00EC74EA">
        <w:rPr>
          <w:lang w:val="fr-FR"/>
        </w:rPr>
        <w:tab/>
      </w:r>
      <w:r w:rsidRPr="00EC74EA">
        <w:rPr>
          <w:i/>
          <w:iCs/>
          <w:lang w:val="fr-FR"/>
        </w:rPr>
        <w:t xml:space="preserve">Mohamed Muneer </w:t>
      </w:r>
      <w:r w:rsidRPr="00EC74EA">
        <w:rPr>
          <w:lang w:val="fr-FR"/>
        </w:rPr>
        <w:t>c.</w:t>
      </w:r>
      <w:r w:rsidRPr="00EC74EA">
        <w:rPr>
          <w:i/>
          <w:iCs/>
          <w:lang w:val="fr-FR"/>
        </w:rPr>
        <w:t xml:space="preserve"> Bureau du procureur général</w:t>
      </w:r>
      <w:r w:rsidRPr="00EC74EA">
        <w:rPr>
          <w:lang w:val="fr-FR"/>
        </w:rPr>
        <w:t xml:space="preserve"> [2021] SC 02, par. 15 et 16.</w:t>
      </w:r>
    </w:p>
  </w:footnote>
  <w:footnote w:id="3">
    <w:p w14:paraId="599F9007" w14:textId="77FB655D" w:rsidR="0013769F" w:rsidRPr="005D66A5" w:rsidRDefault="0013769F" w:rsidP="00EC74EA">
      <w:pPr>
        <w:pStyle w:val="FootnoteText"/>
        <w:tabs>
          <w:tab w:val="right" w:pos="1195"/>
          <w:tab w:val="left" w:pos="1267"/>
          <w:tab w:val="left" w:pos="1742"/>
          <w:tab w:val="left" w:pos="2218"/>
          <w:tab w:val="left" w:pos="2693"/>
        </w:tabs>
        <w:ind w:left="1267" w:right="1260" w:hanging="576"/>
        <w:rPr>
          <w:lang w:val="fr-FR"/>
        </w:rPr>
      </w:pPr>
      <w:r>
        <w:rPr>
          <w:rFonts w:asciiTheme="majorBidi" w:hAnsiTheme="majorBidi" w:cstheme="majorBidi"/>
          <w:lang w:val="fr-FR"/>
        </w:rPr>
        <w:tab/>
      </w:r>
      <w:r w:rsidRPr="00EC74EA">
        <w:rPr>
          <w:rStyle w:val="FootnoteReference"/>
          <w:spacing w:val="4"/>
          <w:lang w:val="fr-FR"/>
        </w:rPr>
        <w:footnoteRef/>
      </w:r>
      <w:r w:rsidRPr="00EC74EA">
        <w:rPr>
          <w:lang w:val="fr-FR"/>
        </w:rPr>
        <w:tab/>
      </w:r>
      <w:r w:rsidRPr="00EC74EA">
        <w:rPr>
          <w:i/>
          <w:iCs/>
          <w:lang w:val="fr-FR"/>
        </w:rPr>
        <w:t>Mohamed Muneer c. Bureau du procureur général</w:t>
      </w:r>
      <w:r w:rsidRPr="00EC74EA">
        <w:rPr>
          <w:lang w:val="fr-FR"/>
        </w:rPr>
        <w:t xml:space="preserve"> [2021] SC 02, par. 56.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089F" w14:paraId="2192F8AA" w14:textId="77777777" w:rsidTr="00EB089F">
      <w:tblPrEx>
        <w:tblCellMar>
          <w:top w:w="0" w:type="dxa"/>
          <w:bottom w:w="0" w:type="dxa"/>
        </w:tblCellMar>
      </w:tblPrEx>
      <w:trPr>
        <w:trHeight w:hRule="exact" w:val="864"/>
      </w:trPr>
      <w:tc>
        <w:tcPr>
          <w:tcW w:w="4920" w:type="dxa"/>
          <w:shd w:val="clear" w:color="auto" w:fill="auto"/>
          <w:vAlign w:val="bottom"/>
        </w:tcPr>
        <w:p w14:paraId="42C770B5" w14:textId="14A7AFE9" w:rsidR="00EB089F" w:rsidRPr="00EB089F" w:rsidRDefault="00EB089F" w:rsidP="00EB089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7953">
            <w:rPr>
              <w:b/>
              <w:color w:val="000000"/>
            </w:rPr>
            <w:t>CEDAW/C/MDV/FCO/6</w:t>
          </w:r>
          <w:r>
            <w:rPr>
              <w:b/>
              <w:color w:val="000000"/>
            </w:rPr>
            <w:fldChar w:fldCharType="end"/>
          </w:r>
        </w:p>
      </w:tc>
      <w:tc>
        <w:tcPr>
          <w:tcW w:w="4920" w:type="dxa"/>
          <w:shd w:val="clear" w:color="auto" w:fill="auto"/>
          <w:vAlign w:val="bottom"/>
        </w:tcPr>
        <w:p w14:paraId="783B9A14" w14:textId="77777777" w:rsidR="00EB089F" w:rsidRDefault="00EB089F" w:rsidP="00EB089F">
          <w:pPr>
            <w:pStyle w:val="Header"/>
          </w:pPr>
        </w:p>
      </w:tc>
    </w:tr>
  </w:tbl>
  <w:p w14:paraId="4BB6CA9C" w14:textId="77777777" w:rsidR="00EB089F" w:rsidRPr="00EB089F" w:rsidRDefault="00EB089F" w:rsidP="00EB089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089F" w14:paraId="706CA5DB" w14:textId="77777777" w:rsidTr="00EB089F">
      <w:tblPrEx>
        <w:tblCellMar>
          <w:top w:w="0" w:type="dxa"/>
          <w:bottom w:w="0" w:type="dxa"/>
        </w:tblCellMar>
      </w:tblPrEx>
      <w:trPr>
        <w:trHeight w:hRule="exact" w:val="864"/>
      </w:trPr>
      <w:tc>
        <w:tcPr>
          <w:tcW w:w="4920" w:type="dxa"/>
          <w:shd w:val="clear" w:color="auto" w:fill="auto"/>
          <w:vAlign w:val="bottom"/>
        </w:tcPr>
        <w:p w14:paraId="7ED9C1FF" w14:textId="77777777" w:rsidR="00EB089F" w:rsidRDefault="00EB089F" w:rsidP="00EB089F">
          <w:pPr>
            <w:pStyle w:val="Header"/>
          </w:pPr>
        </w:p>
      </w:tc>
      <w:tc>
        <w:tcPr>
          <w:tcW w:w="4920" w:type="dxa"/>
          <w:shd w:val="clear" w:color="auto" w:fill="auto"/>
          <w:vAlign w:val="bottom"/>
        </w:tcPr>
        <w:p w14:paraId="02F447A1" w14:textId="2040345C" w:rsidR="00EB089F" w:rsidRPr="00EB089F" w:rsidRDefault="00EB089F" w:rsidP="00EB089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7953">
            <w:rPr>
              <w:b/>
              <w:color w:val="000000"/>
            </w:rPr>
            <w:t>CEDAW/C/MDV/FCO/6</w:t>
          </w:r>
          <w:r>
            <w:rPr>
              <w:b/>
              <w:color w:val="000000"/>
            </w:rPr>
            <w:fldChar w:fldCharType="end"/>
          </w:r>
        </w:p>
      </w:tc>
    </w:tr>
  </w:tbl>
  <w:p w14:paraId="37A9F71F" w14:textId="77777777" w:rsidR="00EB089F" w:rsidRPr="00EB089F" w:rsidRDefault="00EB089F" w:rsidP="00EB089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B089F" w14:paraId="542FB81A" w14:textId="77777777" w:rsidTr="00EB089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F5AF918" w14:textId="77777777" w:rsidR="00EB089F" w:rsidRDefault="00EB089F" w:rsidP="00EB089F">
          <w:pPr>
            <w:pStyle w:val="Header"/>
            <w:spacing w:after="120"/>
          </w:pPr>
        </w:p>
      </w:tc>
      <w:tc>
        <w:tcPr>
          <w:tcW w:w="2059" w:type="dxa"/>
          <w:tcBorders>
            <w:bottom w:val="single" w:sz="4" w:space="0" w:color="auto"/>
          </w:tcBorders>
          <w:shd w:val="clear" w:color="auto" w:fill="auto"/>
          <w:vAlign w:val="bottom"/>
        </w:tcPr>
        <w:p w14:paraId="7012F8DD" w14:textId="3CA07C3E" w:rsidR="00EB089F" w:rsidRPr="00EB089F" w:rsidRDefault="00EB089F" w:rsidP="00EB089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E22CC0" w14:textId="77777777" w:rsidR="00EB089F" w:rsidRDefault="00EB089F" w:rsidP="00EB089F">
          <w:pPr>
            <w:pStyle w:val="Header"/>
            <w:spacing w:after="120"/>
          </w:pPr>
        </w:p>
      </w:tc>
      <w:tc>
        <w:tcPr>
          <w:tcW w:w="6466" w:type="dxa"/>
          <w:gridSpan w:val="3"/>
          <w:tcBorders>
            <w:bottom w:val="single" w:sz="4" w:space="0" w:color="auto"/>
          </w:tcBorders>
          <w:shd w:val="clear" w:color="auto" w:fill="auto"/>
          <w:vAlign w:val="bottom"/>
        </w:tcPr>
        <w:p w14:paraId="59DB7BF8" w14:textId="5624E4C8" w:rsidR="00EB089F" w:rsidRPr="00EB089F" w:rsidRDefault="00EB089F" w:rsidP="00EB089F">
          <w:pPr>
            <w:spacing w:after="80" w:line="240" w:lineRule="auto"/>
            <w:jc w:val="right"/>
            <w:rPr>
              <w:position w:val="-4"/>
            </w:rPr>
          </w:pPr>
          <w:r>
            <w:rPr>
              <w:position w:val="-4"/>
              <w:sz w:val="40"/>
            </w:rPr>
            <w:t>CEDAW</w:t>
          </w:r>
          <w:r>
            <w:rPr>
              <w:position w:val="-4"/>
            </w:rPr>
            <w:t>/C/MDV/FCO/6</w:t>
          </w:r>
        </w:p>
      </w:tc>
    </w:tr>
    <w:tr w:rsidR="00EB089F" w:rsidRPr="00EB089F" w14:paraId="25EE28D0" w14:textId="77777777" w:rsidTr="00EB08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5B6A393" w14:textId="7B57A3EE" w:rsidR="00EB089F" w:rsidRPr="00EB089F" w:rsidRDefault="00EB089F" w:rsidP="00EB089F">
          <w:pPr>
            <w:pStyle w:val="Header"/>
            <w:spacing w:before="120" w:line="240" w:lineRule="auto"/>
            <w:ind w:left="-72"/>
            <w:jc w:val="center"/>
          </w:pPr>
          <w:r>
            <w:t xml:space="preserve">  </w:t>
          </w:r>
          <w:r>
            <w:rPr>
              <w:noProof/>
            </w:rPr>
            <w:drawing>
              <wp:inline distT="0" distB="0" distL="0" distR="0" wp14:anchorId="6C38E076" wp14:editId="3D5F3FC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AE07FC" w14:textId="4743FCBE" w:rsidR="00EB089F" w:rsidRPr="00EB089F" w:rsidRDefault="00EB089F" w:rsidP="00EB089F">
          <w:pPr>
            <w:pStyle w:val="XLarge"/>
            <w:spacing w:before="120" w:line="360" w:lineRule="exact"/>
            <w:rPr>
              <w:sz w:val="36"/>
            </w:rPr>
          </w:pPr>
          <w:r>
            <w:rPr>
              <w:sz w:val="36"/>
            </w:rPr>
            <w:t>Convention sur l</w:t>
          </w:r>
          <w:r w:rsidR="0013769F">
            <w:rPr>
              <w:sz w:val="36"/>
            </w:rPr>
            <w:t>’</w:t>
          </w:r>
          <w:r>
            <w:rPr>
              <w:sz w:val="36"/>
            </w:rPr>
            <w:t>élimination</w:t>
          </w:r>
          <w:r>
            <w:rPr>
              <w:sz w:val="36"/>
            </w:rPr>
            <w:br/>
            <w:t>de toutes les formes</w:t>
          </w:r>
          <w:r>
            <w:rPr>
              <w:sz w:val="36"/>
            </w:rPr>
            <w:br/>
            <w:t>de discrimination à l</w:t>
          </w:r>
          <w:r w:rsidR="0013769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1751042" w14:textId="77777777" w:rsidR="00EB089F" w:rsidRPr="0013769F" w:rsidRDefault="00EB089F" w:rsidP="00EB089F">
          <w:pPr>
            <w:pStyle w:val="Header"/>
            <w:spacing w:before="109"/>
            <w:rPr>
              <w:lang w:val="fr-FR"/>
            </w:rPr>
          </w:pPr>
        </w:p>
      </w:tc>
      <w:tc>
        <w:tcPr>
          <w:tcW w:w="3110" w:type="dxa"/>
          <w:tcBorders>
            <w:top w:val="single" w:sz="4" w:space="0" w:color="auto"/>
            <w:bottom w:val="single" w:sz="12" w:space="0" w:color="auto"/>
          </w:tcBorders>
          <w:shd w:val="clear" w:color="auto" w:fill="auto"/>
        </w:tcPr>
        <w:p w14:paraId="57038D17" w14:textId="77777777" w:rsidR="00EB089F" w:rsidRPr="0013769F" w:rsidRDefault="00EB089F" w:rsidP="00EB089F">
          <w:pPr>
            <w:pStyle w:val="Distribution"/>
            <w:rPr>
              <w:color w:val="000000"/>
              <w:lang w:val="fr-FR"/>
            </w:rPr>
          </w:pPr>
          <w:r w:rsidRPr="0013769F">
            <w:rPr>
              <w:color w:val="000000"/>
              <w:lang w:val="fr-FR"/>
            </w:rPr>
            <w:t>Distr. générale</w:t>
          </w:r>
        </w:p>
        <w:p w14:paraId="7BD0C0A2" w14:textId="77777777" w:rsidR="00EB089F" w:rsidRPr="0013769F" w:rsidRDefault="00EB089F" w:rsidP="00EB089F">
          <w:pPr>
            <w:pStyle w:val="Publication"/>
            <w:rPr>
              <w:color w:val="000000"/>
              <w:lang w:val="fr-FR"/>
            </w:rPr>
          </w:pPr>
          <w:r w:rsidRPr="0013769F">
            <w:rPr>
              <w:color w:val="000000"/>
              <w:lang w:val="fr-FR"/>
            </w:rPr>
            <w:t>28 novembre 2023</w:t>
          </w:r>
        </w:p>
        <w:p w14:paraId="2ACCFA7C" w14:textId="77777777" w:rsidR="00EB089F" w:rsidRPr="0013769F" w:rsidRDefault="00EB089F" w:rsidP="00EB089F">
          <w:pPr>
            <w:rPr>
              <w:lang w:val="fr-FR"/>
            </w:rPr>
          </w:pPr>
          <w:r w:rsidRPr="0013769F">
            <w:rPr>
              <w:lang w:val="fr-FR"/>
            </w:rPr>
            <w:t>Français</w:t>
          </w:r>
        </w:p>
        <w:p w14:paraId="3A670978" w14:textId="26F662FC" w:rsidR="00EB089F" w:rsidRDefault="00EB089F" w:rsidP="00EB089F">
          <w:pPr>
            <w:pStyle w:val="Original"/>
            <w:rPr>
              <w:color w:val="000000"/>
              <w:lang w:val="fr-FR"/>
            </w:rPr>
          </w:pPr>
          <w:r w:rsidRPr="0013769F">
            <w:rPr>
              <w:color w:val="000000"/>
              <w:lang w:val="fr-FR"/>
            </w:rPr>
            <w:t>Original</w:t>
          </w:r>
          <w:r w:rsidR="0013769F">
            <w:rPr>
              <w:color w:val="000000"/>
              <w:lang w:val="fr-FR"/>
            </w:rPr>
            <w:t> </w:t>
          </w:r>
          <w:r w:rsidRPr="0013769F">
            <w:rPr>
              <w:color w:val="000000"/>
              <w:lang w:val="fr-FR"/>
            </w:rPr>
            <w:t>: anglais</w:t>
          </w:r>
        </w:p>
        <w:p w14:paraId="12FD9948" w14:textId="1DE320F4" w:rsidR="0013769F" w:rsidRPr="0013769F" w:rsidRDefault="0013769F" w:rsidP="0013769F">
          <w:pPr>
            <w:rPr>
              <w:lang w:val="fr-FR"/>
            </w:rPr>
          </w:pPr>
          <w:r w:rsidRPr="0013769F">
            <w:rPr>
              <w:lang w:val="fr-FR"/>
            </w:rPr>
            <w:t>Anglais, espagnol et français seulement</w:t>
          </w:r>
        </w:p>
      </w:tc>
    </w:tr>
  </w:tbl>
  <w:p w14:paraId="0A53D44F" w14:textId="77777777" w:rsidR="00EB089F" w:rsidRPr="0013769F" w:rsidRDefault="00EB089F" w:rsidP="00EB089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9E34C6"/>
    <w:multiLevelType w:val="hybridMultilevel"/>
    <w:tmpl w:val="EE22195E"/>
    <w:lvl w:ilvl="0" w:tplc="7638BD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CF4EB2"/>
    <w:multiLevelType w:val="hybridMultilevel"/>
    <w:tmpl w:val="CB6C816A"/>
    <w:lvl w:ilvl="0" w:tplc="C480F552">
      <w:start w:val="1"/>
      <w:numFmt w:val="bullet"/>
      <w:pStyle w:val="Bullet2G"/>
      <w:lvlText w:val="•"/>
      <w:lvlJc w:val="left"/>
      <w:pPr>
        <w:tabs>
          <w:tab w:val="num" w:pos="2268"/>
        </w:tabs>
        <w:ind w:left="2268" w:hanging="170"/>
      </w:pPr>
      <w:rPr>
        <w:rFonts w:ascii="Times New Roman" w:hAnsi="Times New Roman" w:cs="Times New Roman" w:hint="default"/>
      </w:rPr>
    </w:lvl>
    <w:lvl w:ilvl="1" w:tplc="E92823DC" w:tentative="1">
      <w:start w:val="1"/>
      <w:numFmt w:val="bullet"/>
      <w:lvlText w:val="o"/>
      <w:lvlJc w:val="left"/>
      <w:pPr>
        <w:tabs>
          <w:tab w:val="num" w:pos="3708"/>
        </w:tabs>
        <w:ind w:left="3708" w:hanging="360"/>
      </w:pPr>
      <w:rPr>
        <w:rFonts w:ascii="Courier New" w:hAnsi="Courier New" w:hint="default"/>
      </w:rPr>
    </w:lvl>
    <w:lvl w:ilvl="2" w:tplc="06682E1A" w:tentative="1">
      <w:start w:val="1"/>
      <w:numFmt w:val="bullet"/>
      <w:lvlText w:val=""/>
      <w:lvlJc w:val="left"/>
      <w:pPr>
        <w:tabs>
          <w:tab w:val="num" w:pos="4428"/>
        </w:tabs>
        <w:ind w:left="4428" w:hanging="360"/>
      </w:pPr>
      <w:rPr>
        <w:rFonts w:ascii="Wingdings" w:hAnsi="Wingdings" w:hint="default"/>
      </w:rPr>
    </w:lvl>
    <w:lvl w:ilvl="3" w:tplc="E580F470" w:tentative="1">
      <w:start w:val="1"/>
      <w:numFmt w:val="bullet"/>
      <w:lvlText w:val=""/>
      <w:lvlJc w:val="left"/>
      <w:pPr>
        <w:tabs>
          <w:tab w:val="num" w:pos="5148"/>
        </w:tabs>
        <w:ind w:left="5148" w:hanging="360"/>
      </w:pPr>
      <w:rPr>
        <w:rFonts w:ascii="Symbol" w:hAnsi="Symbol" w:hint="default"/>
      </w:rPr>
    </w:lvl>
    <w:lvl w:ilvl="4" w:tplc="F94219FE" w:tentative="1">
      <w:start w:val="1"/>
      <w:numFmt w:val="bullet"/>
      <w:lvlText w:val="o"/>
      <w:lvlJc w:val="left"/>
      <w:pPr>
        <w:tabs>
          <w:tab w:val="num" w:pos="5868"/>
        </w:tabs>
        <w:ind w:left="5868" w:hanging="360"/>
      </w:pPr>
      <w:rPr>
        <w:rFonts w:ascii="Courier New" w:hAnsi="Courier New" w:hint="default"/>
      </w:rPr>
    </w:lvl>
    <w:lvl w:ilvl="5" w:tplc="8EEC9F44" w:tentative="1">
      <w:start w:val="1"/>
      <w:numFmt w:val="bullet"/>
      <w:lvlText w:val=""/>
      <w:lvlJc w:val="left"/>
      <w:pPr>
        <w:tabs>
          <w:tab w:val="num" w:pos="6588"/>
        </w:tabs>
        <w:ind w:left="6588" w:hanging="360"/>
      </w:pPr>
      <w:rPr>
        <w:rFonts w:ascii="Wingdings" w:hAnsi="Wingdings" w:hint="default"/>
      </w:rPr>
    </w:lvl>
    <w:lvl w:ilvl="6" w:tplc="91AE4062" w:tentative="1">
      <w:start w:val="1"/>
      <w:numFmt w:val="bullet"/>
      <w:lvlText w:val=""/>
      <w:lvlJc w:val="left"/>
      <w:pPr>
        <w:tabs>
          <w:tab w:val="num" w:pos="7308"/>
        </w:tabs>
        <w:ind w:left="7308" w:hanging="360"/>
      </w:pPr>
      <w:rPr>
        <w:rFonts w:ascii="Symbol" w:hAnsi="Symbol" w:hint="default"/>
      </w:rPr>
    </w:lvl>
    <w:lvl w:ilvl="7" w:tplc="418AB6EE" w:tentative="1">
      <w:start w:val="1"/>
      <w:numFmt w:val="bullet"/>
      <w:lvlText w:val="o"/>
      <w:lvlJc w:val="left"/>
      <w:pPr>
        <w:tabs>
          <w:tab w:val="num" w:pos="8028"/>
        </w:tabs>
        <w:ind w:left="8028" w:hanging="360"/>
      </w:pPr>
      <w:rPr>
        <w:rFonts w:ascii="Courier New" w:hAnsi="Courier New" w:hint="default"/>
      </w:rPr>
    </w:lvl>
    <w:lvl w:ilvl="8" w:tplc="7FB8176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E33C53"/>
    <w:multiLevelType w:val="singleLevel"/>
    <w:tmpl w:val="886E6AA6"/>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507525071">
    <w:abstractNumId w:val="4"/>
  </w:num>
  <w:num w:numId="26" w16cid:durableId="875196091">
    <w:abstractNumId w:val="3"/>
  </w:num>
  <w:num w:numId="27" w16cid:durableId="683365417">
    <w:abstractNumId w:val="6"/>
  </w:num>
  <w:num w:numId="28" w16cid:durableId="1130828261">
    <w:abstractNumId w:val="6"/>
    <w:lvlOverride w:ilvl="0">
      <w:lvl w:ilvl="0">
        <w:start w:val="1"/>
        <w:numFmt w:val="decimal"/>
        <w:lvlRestart w:val="0"/>
        <w:lvlText w:val="%1."/>
        <w:lvlJc w:val="left"/>
        <w:pPr>
          <w:tabs>
            <w:tab w:val="num" w:pos="475"/>
          </w:tabs>
          <w:ind w:left="0" w:firstLine="0"/>
        </w:pPr>
        <w:rPr>
          <w:w w:val="100"/>
        </w:rPr>
      </w:lvl>
    </w:lvlOverride>
  </w:num>
  <w:num w:numId="29" w16cid:durableId="763645663">
    <w:abstractNumId w:val="6"/>
    <w:lvlOverride w:ilvl="0">
      <w:lvl w:ilvl="0">
        <w:start w:val="1"/>
        <w:numFmt w:val="decimal"/>
        <w:lvlRestart w:val="0"/>
        <w:lvlText w:val="%1."/>
        <w:lvlJc w:val="left"/>
        <w:pPr>
          <w:tabs>
            <w:tab w:val="num" w:pos="475"/>
          </w:tabs>
          <w:ind w:left="0" w:firstLine="0"/>
        </w:pPr>
        <w:rPr>
          <w:w w:val="100"/>
        </w:rPr>
      </w:lvl>
    </w:lvlOverride>
  </w:num>
  <w:num w:numId="30" w16cid:durableId="1819877523">
    <w:abstractNumId w:val="6"/>
    <w:lvlOverride w:ilvl="0">
      <w:lvl w:ilvl="0">
        <w:start w:val="1"/>
        <w:numFmt w:val="decimal"/>
        <w:lvlRestart w:val="0"/>
        <w:lvlText w:val="%1."/>
        <w:lvlJc w:val="left"/>
        <w:pPr>
          <w:tabs>
            <w:tab w:val="num" w:pos="475"/>
          </w:tabs>
          <w:ind w:left="0" w:firstLine="0"/>
        </w:pPr>
        <w:rPr>
          <w:w w:val="100"/>
        </w:rPr>
      </w:lvl>
    </w:lvlOverride>
  </w:num>
  <w:num w:numId="31" w16cid:durableId="1239483904">
    <w:abstractNumId w:val="6"/>
    <w:lvlOverride w:ilvl="0">
      <w:lvl w:ilvl="0">
        <w:start w:val="1"/>
        <w:numFmt w:val="decimal"/>
        <w:lvlRestart w:val="0"/>
        <w:lvlText w:val="%1."/>
        <w:lvlJc w:val="left"/>
        <w:pPr>
          <w:tabs>
            <w:tab w:val="num" w:pos="475"/>
          </w:tabs>
          <w:ind w:left="0" w:firstLine="0"/>
        </w:pPr>
        <w:rPr>
          <w:w w:val="100"/>
        </w:rPr>
      </w:lvl>
    </w:lvlOverride>
  </w:num>
  <w:num w:numId="32" w16cid:durableId="944267524">
    <w:abstractNumId w:val="6"/>
    <w:lvlOverride w:ilvl="0">
      <w:lvl w:ilvl="0">
        <w:start w:val="1"/>
        <w:numFmt w:val="decimal"/>
        <w:lvlRestart w:val="0"/>
        <w:lvlText w:val="%1."/>
        <w:lvlJc w:val="left"/>
        <w:pPr>
          <w:tabs>
            <w:tab w:val="num" w:pos="475"/>
          </w:tabs>
          <w:ind w:left="0" w:firstLine="0"/>
        </w:pPr>
        <w:rPr>
          <w:w w:val="100"/>
        </w:rPr>
      </w:lvl>
    </w:lvlOverride>
  </w:num>
  <w:num w:numId="33" w16cid:durableId="1727529356">
    <w:abstractNumId w:val="6"/>
    <w:lvlOverride w:ilvl="0">
      <w:lvl w:ilvl="0">
        <w:start w:val="1"/>
        <w:numFmt w:val="decimal"/>
        <w:lvlRestart w:val="0"/>
        <w:lvlText w:val="%1."/>
        <w:lvlJc w:val="left"/>
        <w:pPr>
          <w:tabs>
            <w:tab w:val="num" w:pos="475"/>
          </w:tabs>
          <w:ind w:left="0" w:firstLine="0"/>
        </w:pPr>
        <w:rPr>
          <w:w w:val="100"/>
        </w:rPr>
      </w:lvl>
    </w:lvlOverride>
  </w:num>
  <w:num w:numId="34" w16cid:durableId="1542088223">
    <w:abstractNumId w:val="6"/>
    <w:lvlOverride w:ilvl="0">
      <w:lvl w:ilvl="0">
        <w:start w:val="1"/>
        <w:numFmt w:val="decimal"/>
        <w:lvlRestart w:val="0"/>
        <w:lvlText w:val="%1."/>
        <w:lvlJc w:val="left"/>
        <w:pPr>
          <w:tabs>
            <w:tab w:val="num" w:pos="475"/>
          </w:tabs>
          <w:ind w:left="0" w:firstLine="0"/>
        </w:pPr>
        <w:rPr>
          <w:w w:val="100"/>
        </w:rPr>
      </w:lvl>
    </w:lvlOverride>
  </w:num>
  <w:num w:numId="35" w16cid:durableId="1968585179">
    <w:abstractNumId w:val="6"/>
    <w:lvlOverride w:ilvl="0">
      <w:lvl w:ilvl="0">
        <w:start w:val="1"/>
        <w:numFmt w:val="decimal"/>
        <w:lvlRestart w:val="0"/>
        <w:lvlText w:val="%1."/>
        <w:lvlJc w:val="left"/>
        <w:pPr>
          <w:tabs>
            <w:tab w:val="num" w:pos="475"/>
          </w:tabs>
          <w:ind w:left="0" w:firstLine="0"/>
        </w:pPr>
        <w:rPr>
          <w:w w:val="100"/>
        </w:rPr>
      </w:lvl>
    </w:lvlOverride>
  </w:num>
  <w:num w:numId="36" w16cid:durableId="2090416700">
    <w:abstractNumId w:val="6"/>
    <w:lvlOverride w:ilvl="0">
      <w:lvl w:ilvl="0">
        <w:start w:val="1"/>
        <w:numFmt w:val="decimal"/>
        <w:lvlRestart w:val="0"/>
        <w:lvlText w:val="%1."/>
        <w:lvlJc w:val="left"/>
        <w:pPr>
          <w:tabs>
            <w:tab w:val="num" w:pos="475"/>
          </w:tabs>
          <w:ind w:left="0" w:firstLine="0"/>
        </w:pPr>
        <w:rPr>
          <w:w w:val="100"/>
        </w:rPr>
      </w:lvl>
    </w:lvlOverride>
  </w:num>
  <w:num w:numId="37" w16cid:durableId="733938357">
    <w:abstractNumId w:val="6"/>
    <w:lvlOverride w:ilvl="0">
      <w:lvl w:ilvl="0">
        <w:start w:val="1"/>
        <w:numFmt w:val="decimal"/>
        <w:lvlRestart w:val="0"/>
        <w:lvlText w:val="%1."/>
        <w:lvlJc w:val="left"/>
        <w:pPr>
          <w:tabs>
            <w:tab w:val="num" w:pos="475"/>
          </w:tabs>
          <w:ind w:left="0" w:firstLine="0"/>
        </w:pPr>
        <w:rPr>
          <w:w w:val="100"/>
        </w:rPr>
      </w:lvl>
    </w:lvlOverride>
  </w:num>
  <w:num w:numId="38" w16cid:durableId="268391237">
    <w:abstractNumId w:val="6"/>
    <w:lvlOverride w:ilvl="0">
      <w:lvl w:ilvl="0">
        <w:start w:val="1"/>
        <w:numFmt w:val="decimal"/>
        <w:lvlRestart w:val="0"/>
        <w:lvlText w:val="%1."/>
        <w:lvlJc w:val="left"/>
        <w:pPr>
          <w:tabs>
            <w:tab w:val="num" w:pos="475"/>
          </w:tabs>
          <w:ind w:left="0" w:firstLine="0"/>
        </w:pPr>
        <w:rPr>
          <w:w w:val="100"/>
        </w:rPr>
      </w:lvl>
    </w:lvlOverride>
  </w:num>
  <w:num w:numId="39" w16cid:durableId="1828939210">
    <w:abstractNumId w:val="6"/>
    <w:lvlOverride w:ilvl="0">
      <w:lvl w:ilvl="0">
        <w:start w:val="1"/>
        <w:numFmt w:val="decimal"/>
        <w:lvlRestart w:val="0"/>
        <w:lvlText w:val="%1."/>
        <w:lvlJc w:val="left"/>
        <w:pPr>
          <w:tabs>
            <w:tab w:val="num" w:pos="475"/>
          </w:tabs>
          <w:ind w:left="0" w:firstLine="0"/>
        </w:pPr>
        <w:rPr>
          <w:w w:val="100"/>
        </w:rPr>
      </w:lvl>
    </w:lvlOverride>
  </w:num>
  <w:num w:numId="40" w16cid:durableId="232392489">
    <w:abstractNumId w:val="6"/>
    <w:lvlOverride w:ilvl="0">
      <w:lvl w:ilvl="0">
        <w:start w:val="1"/>
        <w:numFmt w:val="decimal"/>
        <w:lvlRestart w:val="0"/>
        <w:lvlText w:val="%1."/>
        <w:lvlJc w:val="left"/>
        <w:pPr>
          <w:tabs>
            <w:tab w:val="num" w:pos="475"/>
          </w:tabs>
          <w:ind w:left="0" w:firstLine="0"/>
        </w:pPr>
        <w:rPr>
          <w:w w:val="100"/>
        </w:rPr>
      </w:lvl>
    </w:lvlOverride>
  </w:num>
  <w:num w:numId="41" w16cid:durableId="1423721190">
    <w:abstractNumId w:val="6"/>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67*"/>
    <w:docVar w:name="CreationDt" w:val="06/12/2023 17:31:56"/>
    <w:docVar w:name="DocCategory" w:val="Doc"/>
    <w:docVar w:name="DocType" w:val="Final"/>
    <w:docVar w:name="DutyStation" w:val="New York"/>
    <w:docVar w:name="FooterJN" w:val="23-23567"/>
    <w:docVar w:name="jobn" w:val="23-23567 (F)"/>
    <w:docVar w:name="jobnDT" w:val="23-23567 (F)   061223"/>
    <w:docVar w:name="jobnDTDT" w:val="23-23567 (F)   061223   061223"/>
    <w:docVar w:name="JobNo" w:val="2323567F"/>
    <w:docVar w:name="JobNo2" w:val="2337229F"/>
    <w:docVar w:name="LocalDrive" w:val="-1"/>
    <w:docVar w:name="OandT" w:val="nfa"/>
    <w:docVar w:name="sss1" w:val="CEDAW/C/MDV/FCO/6"/>
    <w:docVar w:name="sss2" w:val="-"/>
    <w:docVar w:name="Symbol1" w:val="CEDAW/C/MDV/FCO/6"/>
    <w:docVar w:name="Symbol2" w:val="-"/>
    <w:docVar w:name="Title1" w:val="_x0009__x0009_Renseignements reçus des Maldives au sujet de la suite donnée aux observations finales concernant leur sixième rapport périodique*_x000d_"/>
  </w:docVars>
  <w:rsids>
    <w:rsidRoot w:val="00E92418"/>
    <w:rsid w:val="00022525"/>
    <w:rsid w:val="000463C2"/>
    <w:rsid w:val="0013769F"/>
    <w:rsid w:val="001B45EF"/>
    <w:rsid w:val="001C531D"/>
    <w:rsid w:val="001D438E"/>
    <w:rsid w:val="002219C2"/>
    <w:rsid w:val="00226A00"/>
    <w:rsid w:val="00380485"/>
    <w:rsid w:val="003831BF"/>
    <w:rsid w:val="00561B20"/>
    <w:rsid w:val="0063400C"/>
    <w:rsid w:val="006E59E2"/>
    <w:rsid w:val="00774F9F"/>
    <w:rsid w:val="0079224F"/>
    <w:rsid w:val="007E6A0A"/>
    <w:rsid w:val="00A3283E"/>
    <w:rsid w:val="00A7508B"/>
    <w:rsid w:val="00B612BD"/>
    <w:rsid w:val="00B726A1"/>
    <w:rsid w:val="00B73BA9"/>
    <w:rsid w:val="00BF07E5"/>
    <w:rsid w:val="00CC7ABD"/>
    <w:rsid w:val="00CD3B74"/>
    <w:rsid w:val="00CE36B6"/>
    <w:rsid w:val="00E07953"/>
    <w:rsid w:val="00E92418"/>
    <w:rsid w:val="00EA2132"/>
    <w:rsid w:val="00EB089F"/>
    <w:rsid w:val="00EC74EA"/>
    <w:rsid w:val="00F933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D5E57"/>
  <w15:chartTrackingRefBased/>
  <w15:docId w15:val="{BEA83EC7-49F7-4724-AABE-C22C0549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EB089F"/>
    <w:rPr>
      <w:sz w:val="16"/>
      <w:szCs w:val="16"/>
    </w:rPr>
  </w:style>
  <w:style w:type="paragraph" w:styleId="CommentText">
    <w:name w:val="annotation text"/>
    <w:basedOn w:val="Normal"/>
    <w:link w:val="CommentTextChar"/>
    <w:uiPriority w:val="99"/>
    <w:semiHidden/>
    <w:unhideWhenUsed/>
    <w:rsid w:val="00EB089F"/>
    <w:pPr>
      <w:spacing w:line="240" w:lineRule="auto"/>
    </w:pPr>
    <w:rPr>
      <w:szCs w:val="20"/>
    </w:rPr>
  </w:style>
  <w:style w:type="character" w:customStyle="1" w:styleId="CommentTextChar">
    <w:name w:val="Comment Text Char"/>
    <w:basedOn w:val="DefaultParagraphFont"/>
    <w:link w:val="CommentText"/>
    <w:uiPriority w:val="99"/>
    <w:semiHidden/>
    <w:rsid w:val="00EB089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B089F"/>
    <w:rPr>
      <w:b/>
      <w:bCs/>
    </w:rPr>
  </w:style>
  <w:style w:type="character" w:customStyle="1" w:styleId="CommentSubjectChar">
    <w:name w:val="Comment Subject Char"/>
    <w:basedOn w:val="CommentTextChar"/>
    <w:link w:val="CommentSubject"/>
    <w:uiPriority w:val="99"/>
    <w:semiHidden/>
    <w:rsid w:val="00EB089F"/>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13769F"/>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13769F"/>
    <w:rPr>
      <w:color w:val="0000FF"/>
      <w:u w:val="none"/>
    </w:rPr>
  </w:style>
  <w:style w:type="character" w:styleId="FollowedHyperlink">
    <w:name w:val="FollowedHyperlink"/>
    <w:basedOn w:val="DefaultParagraphFont"/>
    <w:uiPriority w:val="99"/>
    <w:semiHidden/>
    <w:unhideWhenUsed/>
    <w:rsid w:val="0013769F"/>
    <w:rPr>
      <w:color w:val="0000FF"/>
      <w:u w:val="none"/>
    </w:rPr>
  </w:style>
  <w:style w:type="character" w:styleId="UnresolvedMention">
    <w:name w:val="Unresolved Mention"/>
    <w:basedOn w:val="DefaultParagraphFont"/>
    <w:uiPriority w:val="99"/>
    <w:semiHidden/>
    <w:unhideWhenUsed/>
    <w:rsid w:val="00137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MDV/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2023-12-06T22:53:00Z</cp:lastPrinted>
  <dcterms:created xsi:type="dcterms:W3CDTF">2023-12-06T22:53:00Z</dcterms:created>
  <dcterms:modified xsi:type="dcterms:W3CDTF">2023-12-06T22:53:00Z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2323567F</vt:lpwstr>
  </property>
  <property fmtid="{D5CDD505-2E9C-101B-9397-08002B2CF9AE}" pid="3" name="ODSRefJobNo">
    <vt:lpwstr>2337229F</vt:lpwstr>
  </property>
  <property fmtid="{D5CDD505-2E9C-101B-9397-08002B2CF9AE}" pid="4" name="Symbol1">
    <vt:lpwstr>CEDAW/C/MDV/FCO/6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des Maldives au sujet de la suite donnée aux observations finales concernant leur sixième rapport périodique*_x000d_</vt:lpwstr>
  </property>
</Properties>
</file>