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A34A5" w:rsidRPr="001D41EA" w14:paraId="6D8E3F1C" w14:textId="77777777" w:rsidTr="00E56EE3">
        <w:trPr>
          <w:trHeight w:hRule="exact" w:val="851"/>
        </w:trPr>
        <w:tc>
          <w:tcPr>
            <w:tcW w:w="1280" w:type="dxa"/>
            <w:tcBorders>
              <w:bottom w:val="single" w:sz="4" w:space="0" w:color="auto"/>
            </w:tcBorders>
            <w:shd w:val="clear" w:color="auto" w:fill="auto"/>
          </w:tcPr>
          <w:p w14:paraId="728878D1" w14:textId="77777777" w:rsidR="002D5AAC" w:rsidRPr="001D41EA" w:rsidRDefault="002D5AAC" w:rsidP="00E56EE3">
            <w:bookmarkStart w:id="0" w:name="_GoBack"/>
            <w:bookmarkEnd w:id="0"/>
          </w:p>
        </w:tc>
        <w:tc>
          <w:tcPr>
            <w:tcW w:w="2273" w:type="dxa"/>
            <w:tcBorders>
              <w:bottom w:val="single" w:sz="4" w:space="0" w:color="auto"/>
            </w:tcBorders>
            <w:shd w:val="clear" w:color="auto" w:fill="auto"/>
            <w:vAlign w:val="bottom"/>
          </w:tcPr>
          <w:p w14:paraId="788FCF3A" w14:textId="77777777" w:rsidR="002D5AAC" w:rsidRPr="001D41EA" w:rsidRDefault="00696B12" w:rsidP="00E56EE3">
            <w:pPr>
              <w:spacing w:after="80" w:line="300" w:lineRule="exact"/>
              <w:rPr>
                <w:sz w:val="28"/>
              </w:rPr>
            </w:pPr>
            <w:r w:rsidRPr="001D41EA">
              <w:rPr>
                <w:sz w:val="28"/>
              </w:rPr>
              <w:t>Naciones Unidas</w:t>
            </w:r>
          </w:p>
        </w:tc>
        <w:tc>
          <w:tcPr>
            <w:tcW w:w="6086" w:type="dxa"/>
            <w:gridSpan w:val="2"/>
            <w:tcBorders>
              <w:bottom w:val="single" w:sz="4" w:space="0" w:color="auto"/>
            </w:tcBorders>
            <w:shd w:val="clear" w:color="auto" w:fill="auto"/>
            <w:vAlign w:val="bottom"/>
          </w:tcPr>
          <w:p w14:paraId="400DD417" w14:textId="39B73474" w:rsidR="002D5AAC" w:rsidRPr="001D41EA" w:rsidRDefault="00696B12" w:rsidP="00655E5C">
            <w:pPr>
              <w:jc w:val="right"/>
            </w:pPr>
            <w:proofErr w:type="spellStart"/>
            <w:r w:rsidRPr="001D41EA">
              <w:rPr>
                <w:sz w:val="40"/>
              </w:rPr>
              <w:t>C</w:t>
            </w:r>
            <w:r w:rsidR="00007BCB" w:rsidRPr="001D41EA">
              <w:rPr>
                <w:sz w:val="40"/>
              </w:rPr>
              <w:t>CPR</w:t>
            </w:r>
            <w:proofErr w:type="spellEnd"/>
            <w:r w:rsidR="00655E5C" w:rsidRPr="001D41EA">
              <w:t>/C/</w:t>
            </w:r>
            <w:proofErr w:type="spellStart"/>
            <w:r w:rsidR="00655E5C" w:rsidRPr="001D41EA">
              <w:t>SLV</w:t>
            </w:r>
            <w:proofErr w:type="spellEnd"/>
            <w:r w:rsidRPr="001D41EA">
              <w:t>/</w:t>
            </w:r>
            <w:proofErr w:type="spellStart"/>
            <w:r w:rsidR="00D85239" w:rsidRPr="001D41EA">
              <w:t>F</w:t>
            </w:r>
            <w:r w:rsidRPr="001D41EA">
              <w:t>CO</w:t>
            </w:r>
            <w:proofErr w:type="spellEnd"/>
            <w:r w:rsidRPr="001D41EA">
              <w:t>/</w:t>
            </w:r>
            <w:r w:rsidR="00655E5C" w:rsidRPr="001D41EA">
              <w:t>7</w:t>
            </w:r>
          </w:p>
        </w:tc>
      </w:tr>
      <w:tr w:rsidR="009A34A5" w:rsidRPr="001D41EA" w14:paraId="1B043A6D" w14:textId="77777777" w:rsidTr="00E56EE3">
        <w:trPr>
          <w:trHeight w:hRule="exact" w:val="2835"/>
        </w:trPr>
        <w:tc>
          <w:tcPr>
            <w:tcW w:w="1280" w:type="dxa"/>
            <w:tcBorders>
              <w:top w:val="single" w:sz="4" w:space="0" w:color="auto"/>
              <w:bottom w:val="single" w:sz="12" w:space="0" w:color="auto"/>
            </w:tcBorders>
            <w:shd w:val="clear" w:color="auto" w:fill="auto"/>
          </w:tcPr>
          <w:p w14:paraId="0517FD53" w14:textId="77777777" w:rsidR="002D5AAC" w:rsidRPr="001D41EA" w:rsidRDefault="00172B77" w:rsidP="00E56EE3">
            <w:pPr>
              <w:spacing w:before="120"/>
              <w:jc w:val="center"/>
            </w:pPr>
            <w:r w:rsidRPr="001D41EA">
              <w:rPr>
                <w:noProof/>
                <w:lang w:val="en-GB" w:eastAsia="en-GB"/>
              </w:rPr>
              <w:drawing>
                <wp:inline distT="0" distB="0" distL="0" distR="0" wp14:anchorId="0B21AC4A" wp14:editId="25DB3F18">
                  <wp:extent cx="715010" cy="58991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5E1F37" w14:textId="77777777" w:rsidR="002D5AAC" w:rsidRPr="001D41EA" w:rsidRDefault="00696B12" w:rsidP="00E56EE3">
            <w:pPr>
              <w:spacing w:before="120" w:line="360" w:lineRule="exact"/>
              <w:rPr>
                <w:b/>
                <w:sz w:val="34"/>
                <w:szCs w:val="34"/>
              </w:rPr>
            </w:pPr>
            <w:r w:rsidRPr="001D41EA">
              <w:rPr>
                <w:b/>
                <w:sz w:val="34"/>
                <w:szCs w:val="34"/>
              </w:rPr>
              <w:t>Pacto Internacional de Derechos</w:t>
            </w:r>
            <w:r w:rsidRPr="001D41EA">
              <w:rPr>
                <w:b/>
                <w:sz w:val="34"/>
                <w:szCs w:val="34"/>
              </w:rPr>
              <w:br/>
              <w:t>Civiles y Políticos</w:t>
            </w:r>
          </w:p>
        </w:tc>
        <w:tc>
          <w:tcPr>
            <w:tcW w:w="2819" w:type="dxa"/>
            <w:tcBorders>
              <w:top w:val="single" w:sz="4" w:space="0" w:color="auto"/>
              <w:bottom w:val="single" w:sz="12" w:space="0" w:color="auto"/>
            </w:tcBorders>
            <w:shd w:val="clear" w:color="auto" w:fill="auto"/>
          </w:tcPr>
          <w:p w14:paraId="29E02E17" w14:textId="77777777" w:rsidR="00935A0B" w:rsidRPr="001D41EA" w:rsidRDefault="00696B12" w:rsidP="00935A0B">
            <w:pPr>
              <w:spacing w:before="240" w:line="240" w:lineRule="exact"/>
            </w:pPr>
            <w:proofErr w:type="spellStart"/>
            <w:r w:rsidRPr="001D41EA">
              <w:t>Distr</w:t>
            </w:r>
            <w:proofErr w:type="spellEnd"/>
            <w:r w:rsidRPr="001D41EA">
              <w:t>. general</w:t>
            </w:r>
          </w:p>
          <w:p w14:paraId="1854E92C" w14:textId="010862BE" w:rsidR="00935A0B" w:rsidRPr="001D41EA" w:rsidRDefault="001D41EA" w:rsidP="00935A0B">
            <w:r w:rsidRPr="001D41EA">
              <w:t>2</w:t>
            </w:r>
            <w:r w:rsidR="00785ACC">
              <w:t>7</w:t>
            </w:r>
            <w:r w:rsidR="00655E5C" w:rsidRPr="001D41EA">
              <w:t xml:space="preserve"> de octubre</w:t>
            </w:r>
            <w:r w:rsidR="00696B12" w:rsidRPr="001D41EA">
              <w:t xml:space="preserve"> de 2020</w:t>
            </w:r>
          </w:p>
          <w:p w14:paraId="0C81F509" w14:textId="77777777" w:rsidR="00935A0B" w:rsidRPr="001D41EA" w:rsidRDefault="00935A0B" w:rsidP="00935A0B"/>
          <w:p w14:paraId="70A208A6" w14:textId="77777777" w:rsidR="00935A0B" w:rsidRPr="001D41EA" w:rsidRDefault="00696B12" w:rsidP="00935A0B">
            <w:r w:rsidRPr="001D41EA">
              <w:t>Original: español</w:t>
            </w:r>
          </w:p>
          <w:p w14:paraId="1332B2DB" w14:textId="77777777" w:rsidR="002D5AAC" w:rsidRPr="001D41EA" w:rsidRDefault="00935A0B" w:rsidP="00935A0B">
            <w:pPr>
              <w:spacing w:line="240" w:lineRule="exact"/>
            </w:pPr>
            <w:r w:rsidRPr="001D41EA">
              <w:t>Español e inglés únicamente</w:t>
            </w:r>
          </w:p>
        </w:tc>
      </w:tr>
    </w:tbl>
    <w:p w14:paraId="0C422A4A" w14:textId="77777777" w:rsidR="00D5651E" w:rsidRPr="001D41EA" w:rsidRDefault="00696B12" w:rsidP="00D85239">
      <w:pPr>
        <w:spacing w:before="120"/>
        <w:rPr>
          <w:b/>
          <w:color w:val="000000"/>
          <w:sz w:val="24"/>
        </w:rPr>
      </w:pPr>
      <w:r w:rsidRPr="001D41EA">
        <w:rPr>
          <w:b/>
          <w:color w:val="000000"/>
          <w:sz w:val="24"/>
        </w:rPr>
        <w:t>Comité de Derechos Humanos</w:t>
      </w:r>
    </w:p>
    <w:p w14:paraId="615CFF52" w14:textId="04D0D8CC" w:rsidR="00D85239" w:rsidRPr="001D41EA" w:rsidRDefault="00696B12" w:rsidP="006B3221">
      <w:pPr>
        <w:pStyle w:val="HMG"/>
        <w:rPr>
          <w:lang w:val="es-ES_tradnl"/>
        </w:rPr>
      </w:pPr>
      <w:r w:rsidRPr="001D41EA">
        <w:tab/>
      </w:r>
      <w:r w:rsidRPr="001D41EA">
        <w:tab/>
      </w:r>
      <w:r w:rsidRPr="001D41EA">
        <w:rPr>
          <w:lang w:val="es-ES_tradnl"/>
        </w:rPr>
        <w:t xml:space="preserve">Información recibida de </w:t>
      </w:r>
      <w:r w:rsidR="00655E5C" w:rsidRPr="001D41EA">
        <w:rPr>
          <w:lang w:val="es-ES_tradnl"/>
        </w:rPr>
        <w:t>El Salvador</w:t>
      </w:r>
      <w:r w:rsidR="004F3D76" w:rsidRPr="001D41EA">
        <w:rPr>
          <w:lang w:val="es-ES_tradnl"/>
        </w:rPr>
        <w:t xml:space="preserve"> </w:t>
      </w:r>
      <w:r w:rsidR="006C4285" w:rsidRPr="001D41EA">
        <w:rPr>
          <w:lang w:val="es-ES_tradnl"/>
        </w:rPr>
        <w:t>relativa</w:t>
      </w:r>
      <w:r w:rsidR="006B5493">
        <w:rPr>
          <w:lang w:val="es-ES_tradnl"/>
        </w:rPr>
        <w:br/>
      </w:r>
      <w:r w:rsidR="006C4285" w:rsidRPr="001D41EA">
        <w:rPr>
          <w:lang w:val="es-ES_tradnl"/>
        </w:rPr>
        <w:t>a</w:t>
      </w:r>
      <w:r w:rsidRPr="001D41EA">
        <w:rPr>
          <w:lang w:val="es-ES_tradnl"/>
        </w:rPr>
        <w:t>l seguimiento de las observaciones finales</w:t>
      </w:r>
      <w:r w:rsidR="006B5493">
        <w:br/>
      </w:r>
      <w:r w:rsidR="00741B14" w:rsidRPr="001D41EA">
        <w:rPr>
          <w:lang w:val="es-ES_tradnl"/>
        </w:rPr>
        <w:t xml:space="preserve">sobre </w:t>
      </w:r>
      <w:r w:rsidR="00F257CA" w:rsidRPr="001D41EA">
        <w:rPr>
          <w:lang w:val="es-ES_tradnl"/>
        </w:rPr>
        <w:t>su</w:t>
      </w:r>
      <w:r w:rsidR="00924634" w:rsidRPr="001D41EA">
        <w:rPr>
          <w:lang w:val="es-ES_tradnl"/>
        </w:rPr>
        <w:t xml:space="preserve"> </w:t>
      </w:r>
      <w:r w:rsidR="00655E5C" w:rsidRPr="001D41EA">
        <w:rPr>
          <w:lang w:val="es-ES_tradnl"/>
        </w:rPr>
        <w:t>séptimo</w:t>
      </w:r>
      <w:r w:rsidR="004F3D76" w:rsidRPr="001D41EA">
        <w:rPr>
          <w:lang w:val="es-ES_tradnl"/>
        </w:rPr>
        <w:t xml:space="preserve"> </w:t>
      </w:r>
      <w:r w:rsidR="00741B14" w:rsidRPr="001D41EA">
        <w:rPr>
          <w:lang w:val="es-ES_tradnl"/>
        </w:rPr>
        <w:t>informe periódico</w:t>
      </w:r>
      <w:r w:rsidR="006B5493" w:rsidRPr="006B3221">
        <w:rPr>
          <w:rStyle w:val="Refdenotaalpie"/>
          <w:b w:val="0"/>
          <w:bCs/>
          <w:sz w:val="20"/>
          <w:vertAlign w:val="baseline"/>
          <w:lang w:val="es-ES_tradnl"/>
        </w:rPr>
        <w:footnoteReference w:customMarkFollows="1" w:id="1"/>
        <w:t>*</w:t>
      </w:r>
    </w:p>
    <w:p w14:paraId="47BBCD99" w14:textId="79FFCE13" w:rsidR="00D5651E" w:rsidRPr="001D41EA" w:rsidRDefault="00696B12">
      <w:pPr>
        <w:pStyle w:val="SingleTxtG"/>
        <w:jc w:val="right"/>
      </w:pPr>
      <w:r w:rsidRPr="001D41EA">
        <w:t>[</w:t>
      </w:r>
      <w:r w:rsidRPr="001D41EA">
        <w:rPr>
          <w:lang w:val="es-ES_tradnl"/>
        </w:rPr>
        <w:t>Fecha de recepción:</w:t>
      </w:r>
      <w:r w:rsidRPr="001D41EA">
        <w:t xml:space="preserve"> </w:t>
      </w:r>
      <w:r w:rsidR="00655E5C" w:rsidRPr="001D41EA">
        <w:t>5 de octubre de 2020</w:t>
      </w:r>
      <w:r w:rsidRPr="001D41EA">
        <w:t>]</w:t>
      </w:r>
    </w:p>
    <w:p w14:paraId="1D5539AB" w14:textId="2A333FAB" w:rsidR="00655E5C" w:rsidRPr="001D41EA" w:rsidRDefault="00655E5C">
      <w:pPr>
        <w:spacing w:line="240" w:lineRule="auto"/>
      </w:pPr>
      <w:r w:rsidRPr="001D41EA">
        <w:br w:type="page"/>
      </w:r>
    </w:p>
    <w:p w14:paraId="4E6666FF" w14:textId="052379D3" w:rsidR="00655E5C" w:rsidRPr="001D41EA" w:rsidRDefault="005816B3" w:rsidP="006B3221">
      <w:pPr>
        <w:pStyle w:val="HChG"/>
      </w:pPr>
      <w:r w:rsidRPr="001D41EA">
        <w:lastRenderedPageBreak/>
        <w:tab/>
      </w:r>
      <w:r w:rsidRPr="001D41EA">
        <w:tab/>
      </w:r>
      <w:r w:rsidR="00655E5C" w:rsidRPr="001D41EA">
        <w:t>Informe Complementario sobre la aplicación de las recomendaciones formuladas por el Comité de Derechos Humanos de Naciones Unidas al VII Informe Periódico</w:t>
      </w:r>
      <w:r w:rsidR="006B5493">
        <w:br/>
      </w:r>
      <w:r w:rsidR="00655E5C" w:rsidRPr="001D41EA">
        <w:t>de El Salvador sobre el cumplimiento del Pacto</w:t>
      </w:r>
      <w:r w:rsidR="006B5493">
        <w:br/>
      </w:r>
      <w:r w:rsidR="00655E5C" w:rsidRPr="001D41EA">
        <w:t>Internacional de Derechos Civiles y Políticos</w:t>
      </w:r>
    </w:p>
    <w:p w14:paraId="565D9659" w14:textId="56C21968" w:rsidR="00655E5C" w:rsidRPr="001D41EA" w:rsidRDefault="005816B3">
      <w:pPr>
        <w:pStyle w:val="SingleTxtG"/>
      </w:pPr>
      <w:r w:rsidRPr="001D41EA">
        <w:t>1.</w:t>
      </w:r>
      <w:r w:rsidRPr="001D41EA">
        <w:tab/>
      </w:r>
      <w:r w:rsidR="00655E5C" w:rsidRPr="001D41EA">
        <w:t>El Comité de Derechos Humanos examinó el séptimo informe periódico de El Salvador (</w:t>
      </w:r>
      <w:proofErr w:type="spellStart"/>
      <w:r w:rsidR="00655E5C" w:rsidRPr="001D41EA">
        <w:t>CCPR</w:t>
      </w:r>
      <w:proofErr w:type="spellEnd"/>
      <w:r w:rsidR="00655E5C" w:rsidRPr="001D41EA">
        <w:t>/C/</w:t>
      </w:r>
      <w:proofErr w:type="spellStart"/>
      <w:r w:rsidR="00655E5C" w:rsidRPr="001D41EA">
        <w:t>SLV</w:t>
      </w:r>
      <w:proofErr w:type="spellEnd"/>
      <w:r w:rsidR="00655E5C" w:rsidRPr="001D41EA">
        <w:t>/7) en sus sesiones 3456 ª y 3457 ª (</w:t>
      </w:r>
      <w:proofErr w:type="spellStart"/>
      <w:r w:rsidR="00655E5C" w:rsidRPr="001D41EA">
        <w:t>CCPR</w:t>
      </w:r>
      <w:proofErr w:type="spellEnd"/>
      <w:r w:rsidR="00655E5C" w:rsidRPr="001D41EA">
        <w:t>/C/</w:t>
      </w:r>
      <w:proofErr w:type="spellStart"/>
      <w:r w:rsidR="00655E5C" w:rsidRPr="001D41EA">
        <w:t>SR.3456</w:t>
      </w:r>
      <w:proofErr w:type="spellEnd"/>
      <w:r w:rsidR="00655E5C" w:rsidRPr="001D41EA">
        <w:t xml:space="preserve"> y 3457), celebradas los días 13 y 14 de marzo de 2018. En sus sesiones 3478ª y 3479ª (</w:t>
      </w:r>
      <w:proofErr w:type="spellStart"/>
      <w:r w:rsidR="00655E5C" w:rsidRPr="001D41EA">
        <w:t>CCPR</w:t>
      </w:r>
      <w:proofErr w:type="spellEnd"/>
      <w:r w:rsidR="00655E5C" w:rsidRPr="001D41EA">
        <w:t>/C/</w:t>
      </w:r>
      <w:proofErr w:type="spellStart"/>
      <w:r w:rsidR="00655E5C" w:rsidRPr="001D41EA">
        <w:t>SR.3478</w:t>
      </w:r>
      <w:proofErr w:type="spellEnd"/>
      <w:r w:rsidR="00655E5C" w:rsidRPr="001D41EA">
        <w:t xml:space="preserve"> y 3479), celebradas los días 28 y 29 de marzo de 2018, el Comité aprobó las observaciones finales a dicho informe. </w:t>
      </w:r>
    </w:p>
    <w:p w14:paraId="2A3A0547" w14:textId="78471392" w:rsidR="00655E5C" w:rsidRPr="001D41EA" w:rsidRDefault="005816B3">
      <w:pPr>
        <w:pStyle w:val="SingleTxtG"/>
      </w:pPr>
      <w:r w:rsidRPr="001D41EA">
        <w:t>2.</w:t>
      </w:r>
      <w:r w:rsidRPr="001D41EA">
        <w:tab/>
      </w:r>
      <w:r w:rsidR="00655E5C" w:rsidRPr="001D41EA">
        <w:t xml:space="preserve">En el párrafo 44 de dichas observaciones estableció lo siguiente: De conformidad con el artículo 71, párrafo 5, del reglamento del Comité, se solicita al Estado parte que facilite información sobre la aplicación de las recomendaciones formuladas por el Comité en los párrafos 16 (interrupción voluntaria del embarazo), 18 (graves violaciones de derechos humanos durante el conflicto armado) y 22 (ejecuciones extrajudiciales y desapariciones forzadas). </w:t>
      </w:r>
    </w:p>
    <w:p w14:paraId="2227EBD3" w14:textId="65513153" w:rsidR="00655E5C" w:rsidRPr="001D41EA" w:rsidRDefault="005816B3">
      <w:pPr>
        <w:pStyle w:val="SingleTxtG"/>
      </w:pPr>
      <w:r w:rsidRPr="001D41EA">
        <w:t>3.</w:t>
      </w:r>
      <w:r w:rsidRPr="001D41EA">
        <w:tab/>
      </w:r>
      <w:r w:rsidR="00655E5C" w:rsidRPr="001D41EA">
        <w:t>Dicha información se desarrolla a continuación</w:t>
      </w:r>
      <w:r w:rsidR="003E56F7">
        <w:t>:</w:t>
      </w:r>
    </w:p>
    <w:p w14:paraId="3263D4A7" w14:textId="38FE8A08" w:rsidR="00655E5C" w:rsidRPr="001D41EA" w:rsidRDefault="005816B3">
      <w:pPr>
        <w:pStyle w:val="H1G"/>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 xml:space="preserve">Párrafo 16 </w:t>
      </w:r>
    </w:p>
    <w:p w14:paraId="07E29713" w14:textId="3D054195" w:rsidR="00655E5C" w:rsidRPr="001D41EA" w:rsidRDefault="005816B3">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El Comité insta al Estado parte a que revise de manera urgente su legislación con respecto al aborto para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w:t>
      </w:r>
    </w:p>
    <w:p w14:paraId="60EA118C" w14:textId="2A833971" w:rsidR="00655E5C" w:rsidRPr="001D41EA" w:rsidRDefault="005816B3" w:rsidP="005816B3">
      <w:pPr>
        <w:pStyle w:val="SingleTxtG"/>
        <w:rPr>
          <w:bdr w:val="nil"/>
          <w:lang w:val="es-ES_tradnl"/>
        </w:rPr>
      </w:pPr>
      <w:r w:rsidRPr="001D41EA">
        <w:rPr>
          <w:szCs w:val="24"/>
          <w:bdr w:val="nil"/>
          <w:lang w:val="es-ES_tradnl" w:eastAsia="en-US"/>
        </w:rPr>
        <w:t>4.</w:t>
      </w:r>
      <w:r w:rsidRPr="001D41EA">
        <w:rPr>
          <w:szCs w:val="24"/>
          <w:bdr w:val="nil"/>
          <w:lang w:val="es-ES_tradnl" w:eastAsia="en-US"/>
        </w:rPr>
        <w:tab/>
      </w:r>
      <w:r w:rsidR="00655E5C" w:rsidRPr="001D41EA">
        <w:rPr>
          <w:bdr w:val="nil"/>
          <w:lang w:val="es-ES_tradnl"/>
        </w:rPr>
        <w:t>En 2016, fue presentada a la Asamblea Legislativa de la República de El Salvador una propuesta de reforma al Código Penal, para adicionar el artículo 133-A y establecer 4 causales en las cuales el aborto no sea punible, con el propósito de salvar la vida de la mujer gestante y preservar su salud. Estas causales son: a</w:t>
      </w:r>
      <w:r w:rsidR="00655E5C" w:rsidRPr="001D41EA">
        <w:rPr>
          <w:color w:val="000000"/>
          <w:bdr w:val="nil"/>
          <w:lang w:val="es-ES_tradnl"/>
        </w:rPr>
        <w:t>) Cuando el aborto sea realizado con el propósito de salvar la vida de la mujer y preservar su salud; b) En casos que el embarazo haya sido ocasionado producto de una violación sexual o trata de personas; c) Cuando exista una malformación del feto que haga inviable la vida fuera del útero y d) En los casos de violación o estupro, y para ello deberá existir consentimiento de la menor de edad y autorización de sus padres o tutores legales.</w:t>
      </w:r>
    </w:p>
    <w:p w14:paraId="1503D640" w14:textId="0DB5CBDF" w:rsidR="00655E5C" w:rsidRPr="001D41EA" w:rsidRDefault="005816B3" w:rsidP="005816B3">
      <w:pPr>
        <w:pStyle w:val="SingleTxtG"/>
        <w:rPr>
          <w:rFonts w:eastAsia="Arial"/>
          <w:color w:val="000000"/>
          <w:szCs w:val="22"/>
          <w:u w:color="000000"/>
          <w:bdr w:val="nil"/>
          <w:lang w:val="es-ES_tradnl"/>
        </w:rPr>
      </w:pPr>
      <w:r w:rsidRPr="001D41EA">
        <w:rPr>
          <w:rFonts w:eastAsia="Arial"/>
          <w:color w:val="000000"/>
          <w:szCs w:val="22"/>
          <w:u w:color="000000"/>
          <w:bdr w:val="nil"/>
          <w:lang w:val="es-ES_tradnl" w:eastAsia="en-US"/>
        </w:rPr>
        <w:t>5.</w:t>
      </w:r>
      <w:r w:rsidRPr="001D41EA">
        <w:rPr>
          <w:rFonts w:eastAsia="Arial"/>
          <w:color w:val="000000"/>
          <w:szCs w:val="22"/>
          <w:u w:color="000000"/>
          <w:bdr w:val="nil"/>
          <w:lang w:val="es-ES_tradnl" w:eastAsia="en-US"/>
        </w:rPr>
        <w:tab/>
      </w:r>
      <w:r w:rsidR="00655E5C" w:rsidRPr="001D41EA">
        <w:rPr>
          <w:rFonts w:eastAsia="Times New Roman"/>
          <w:color w:val="000000"/>
          <w:szCs w:val="22"/>
          <w:u w:color="000000"/>
          <w:bdr w:val="nil"/>
          <w:lang w:val="es-ES_tradnl"/>
        </w:rPr>
        <w:t xml:space="preserve">En 2017 la Comisión de la Mujer y la Igualdad de Género de la Asamblea Legislativa analizaron ambas propuestas y realizó consultas con diversos actores nacionales. Es importante mencionar que desde 1997, cuando la Asamblea Legislativa aprobó la prohibición absoluta del aborto, es la primera vez que se genera un diálogo abierto e interdisciplinario sobre el tema, incluyendo los sectores políticos, académicos, científicos, etc. </w:t>
      </w:r>
    </w:p>
    <w:p w14:paraId="3FA3603A" w14:textId="0CBB87F7" w:rsidR="00655E5C" w:rsidRPr="001D41EA" w:rsidRDefault="005816B3" w:rsidP="005816B3">
      <w:pPr>
        <w:pStyle w:val="SingleTxtG"/>
        <w:rPr>
          <w:rFonts w:eastAsia="Arial"/>
          <w:color w:val="000000"/>
          <w:szCs w:val="22"/>
          <w:u w:color="000000"/>
          <w:bdr w:val="nil"/>
          <w:lang w:val="es-ES_tradnl"/>
        </w:rPr>
      </w:pPr>
      <w:r w:rsidRPr="001D41EA">
        <w:rPr>
          <w:rFonts w:eastAsia="Arial"/>
          <w:color w:val="000000"/>
          <w:szCs w:val="22"/>
          <w:u w:color="000000"/>
          <w:bdr w:val="nil"/>
          <w:lang w:val="es-ES_tradnl" w:eastAsia="en-US"/>
        </w:rPr>
        <w:t>6.</w:t>
      </w:r>
      <w:r w:rsidRPr="001D41EA">
        <w:rPr>
          <w:rFonts w:eastAsia="Arial"/>
          <w:color w:val="000000"/>
          <w:szCs w:val="22"/>
          <w:u w:color="000000"/>
          <w:bdr w:val="nil"/>
          <w:lang w:val="es-ES_tradnl" w:eastAsia="en-US"/>
        </w:rPr>
        <w:tab/>
      </w:r>
      <w:r w:rsidR="00655E5C" w:rsidRPr="001D41EA">
        <w:rPr>
          <w:rFonts w:eastAsia="Times New Roman"/>
          <w:color w:val="000000"/>
          <w:szCs w:val="22"/>
          <w:u w:color="000000"/>
          <w:bdr w:val="nil"/>
          <w:lang w:val="es-ES_tradnl"/>
        </w:rPr>
        <w:t xml:space="preserve">Finalmente, la propuesta no fue aprobada por el pleno legislativo y se envió al archivo para ser estudiada posteriormente. </w:t>
      </w:r>
    </w:p>
    <w:p w14:paraId="586ECC48" w14:textId="3363667C"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El Comité reitera su recomendación anterior e insta al Estado parte a suspender de</w:t>
      </w:r>
      <w:r w:rsidR="006B5493">
        <w:rPr>
          <w:u w:color="000000"/>
          <w:bdr w:val="nil"/>
          <w:lang w:val="es-ES_tradnl" w:eastAsia="en-US"/>
        </w:rPr>
        <w:t> </w:t>
      </w:r>
      <w:r w:rsidR="00655E5C" w:rsidRPr="001D41EA">
        <w:rPr>
          <w:u w:color="000000"/>
          <w:bdr w:val="nil"/>
          <w:lang w:val="es-ES_tradnl" w:eastAsia="en-US"/>
        </w:rPr>
        <w:t>forma inmediata la criminalización de las mujeres por el delito de aborto. El Estado parte debe también revisar todos los casos de mujeres que han sido encarceladas por delitos relacionados con el aborto, con el objetivo de asegurar su</w:t>
      </w:r>
      <w:r w:rsidR="006B5493">
        <w:rPr>
          <w:u w:color="000000"/>
          <w:bdr w:val="nil"/>
          <w:lang w:val="es-ES_tradnl" w:eastAsia="en-US"/>
        </w:rPr>
        <w:t> </w:t>
      </w:r>
      <w:r w:rsidR="00655E5C" w:rsidRPr="001D41EA">
        <w:rPr>
          <w:u w:color="000000"/>
          <w:bdr w:val="nil"/>
          <w:lang w:val="es-ES_tradnl" w:eastAsia="en-US"/>
        </w:rPr>
        <w:t>puesta en libertad, y garantizar a estas mujeres el acceso a asistencia jurídica</w:t>
      </w:r>
      <w:r w:rsidR="006B5493">
        <w:rPr>
          <w:u w:color="000000"/>
          <w:bdr w:val="nil"/>
          <w:lang w:val="es-ES_tradnl" w:eastAsia="en-US"/>
        </w:rPr>
        <w:br/>
      </w:r>
      <w:r w:rsidR="00655E5C" w:rsidRPr="001D41EA">
        <w:rPr>
          <w:u w:color="000000"/>
          <w:bdr w:val="nil"/>
          <w:lang w:val="es-ES_tradnl" w:eastAsia="en-US"/>
        </w:rPr>
        <w:t xml:space="preserve">y el </w:t>
      </w:r>
      <w:r w:rsidR="001D41EA">
        <w:rPr>
          <w:u w:color="000000"/>
          <w:bdr w:val="nil"/>
          <w:lang w:val="es-ES_tradnl" w:eastAsia="en-US"/>
        </w:rPr>
        <w:t>cumplimiento del debido proceso</w:t>
      </w:r>
    </w:p>
    <w:p w14:paraId="67FF43FE" w14:textId="3D996E52" w:rsidR="00655E5C" w:rsidRPr="001D41EA" w:rsidRDefault="005816B3" w:rsidP="005816B3">
      <w:pPr>
        <w:pStyle w:val="SingleTxtG"/>
      </w:pPr>
      <w:r w:rsidRPr="001D41EA">
        <w:t>7.</w:t>
      </w:r>
      <w:r w:rsidRPr="001D41EA">
        <w:tab/>
      </w:r>
      <w:r w:rsidR="00655E5C" w:rsidRPr="001D41EA">
        <w:t>Entre 2014 y junio de 2019, 147 mujeres fueron procesadas por la comisión de hechos relacionados a emergencias obstétricas. De éstas, 61 fueron condenadas, 34 por homicidio agravado y 27 por aborto.</w:t>
      </w:r>
    </w:p>
    <w:p w14:paraId="26177139" w14:textId="075F7339" w:rsidR="00655E5C" w:rsidRDefault="005816B3" w:rsidP="005816B3">
      <w:pPr>
        <w:pStyle w:val="SingleTxtG"/>
      </w:pPr>
      <w:r w:rsidRPr="001D41EA">
        <w:lastRenderedPageBreak/>
        <w:t>8.</w:t>
      </w:r>
      <w:r w:rsidRPr="001D41EA">
        <w:tab/>
      </w:r>
      <w:r w:rsidR="00655E5C" w:rsidRPr="001D41EA">
        <w:t>El siguiente cuadro establece en detalle la situación de mujeres procesadas para el período entre 2014 y julio de 2019</w:t>
      </w:r>
      <w:r w:rsidR="00AE10C5">
        <w:t>.</w:t>
      </w:r>
    </w:p>
    <w:tbl>
      <w:tblPr>
        <w:tblStyle w:val="Tablaconcuadrcula"/>
        <w:tblW w:w="7370" w:type="dxa"/>
        <w:tblInd w:w="1134" w:type="dxa"/>
        <w:tblLayout w:type="fixed"/>
        <w:tblCellMar>
          <w:left w:w="0" w:type="dxa"/>
          <w:right w:w="0" w:type="dxa"/>
        </w:tblCellMar>
        <w:tblLook w:val="04A0" w:firstRow="1" w:lastRow="0" w:firstColumn="1" w:lastColumn="0" w:noHBand="0" w:noVBand="1"/>
      </w:tblPr>
      <w:tblGrid>
        <w:gridCol w:w="2694"/>
        <w:gridCol w:w="3543"/>
        <w:gridCol w:w="1133"/>
      </w:tblGrid>
      <w:tr w:rsidR="00785ACC" w:rsidRPr="00067FA2" w14:paraId="268FC76C" w14:textId="77777777" w:rsidTr="00C16BCC">
        <w:tc>
          <w:tcPr>
            <w:tcW w:w="2694" w:type="dxa"/>
            <w:tcBorders>
              <w:top w:val="single" w:sz="4" w:space="0" w:color="auto"/>
              <w:bottom w:val="single" w:sz="12" w:space="0" w:color="auto"/>
            </w:tcBorders>
            <w:shd w:val="clear" w:color="auto" w:fill="auto"/>
            <w:vAlign w:val="bottom"/>
          </w:tcPr>
          <w:p w14:paraId="0FAC4597" w14:textId="77777777" w:rsidR="00785ACC" w:rsidRPr="00067FA2" w:rsidRDefault="00785ACC" w:rsidP="00C16BCC">
            <w:pPr>
              <w:spacing w:before="80" w:after="80" w:line="200" w:lineRule="exact"/>
              <w:rPr>
                <w:i/>
                <w:sz w:val="16"/>
              </w:rPr>
            </w:pPr>
            <w:r>
              <w:rPr>
                <w:i/>
                <w:sz w:val="16"/>
              </w:rPr>
              <w:t>Sentencias</w:t>
            </w:r>
          </w:p>
        </w:tc>
        <w:tc>
          <w:tcPr>
            <w:tcW w:w="3543" w:type="dxa"/>
            <w:tcBorders>
              <w:top w:val="single" w:sz="4" w:space="0" w:color="auto"/>
              <w:bottom w:val="single" w:sz="12" w:space="0" w:color="auto"/>
            </w:tcBorders>
            <w:shd w:val="clear" w:color="auto" w:fill="auto"/>
            <w:vAlign w:val="bottom"/>
          </w:tcPr>
          <w:p w14:paraId="5EF67E22" w14:textId="77777777" w:rsidR="00785ACC" w:rsidRPr="00067FA2" w:rsidRDefault="00785ACC" w:rsidP="00C16BCC">
            <w:pPr>
              <w:spacing w:before="80" w:after="80" w:line="200" w:lineRule="exact"/>
              <w:rPr>
                <w:i/>
                <w:sz w:val="16"/>
              </w:rPr>
            </w:pPr>
          </w:p>
        </w:tc>
        <w:tc>
          <w:tcPr>
            <w:tcW w:w="1133" w:type="dxa"/>
            <w:tcBorders>
              <w:top w:val="single" w:sz="4" w:space="0" w:color="auto"/>
              <w:bottom w:val="single" w:sz="12" w:space="0" w:color="auto"/>
            </w:tcBorders>
            <w:shd w:val="clear" w:color="auto" w:fill="auto"/>
            <w:vAlign w:val="bottom"/>
          </w:tcPr>
          <w:p w14:paraId="3151B4BF" w14:textId="77777777" w:rsidR="00785ACC" w:rsidRPr="00067FA2" w:rsidRDefault="00785ACC" w:rsidP="00C16BCC">
            <w:pPr>
              <w:spacing w:before="80" w:after="80" w:line="200" w:lineRule="exact"/>
              <w:jc w:val="right"/>
              <w:rPr>
                <w:i/>
                <w:sz w:val="16"/>
              </w:rPr>
            </w:pPr>
            <w:proofErr w:type="spellStart"/>
            <w:r>
              <w:rPr>
                <w:i/>
                <w:sz w:val="16"/>
              </w:rPr>
              <w:t>Nº</w:t>
            </w:r>
            <w:proofErr w:type="spellEnd"/>
            <w:r>
              <w:rPr>
                <w:i/>
                <w:sz w:val="16"/>
              </w:rPr>
              <w:t xml:space="preserve"> de casos</w:t>
            </w:r>
          </w:p>
        </w:tc>
      </w:tr>
      <w:tr w:rsidR="00785ACC" w:rsidRPr="00067FA2" w14:paraId="293B306A" w14:textId="77777777" w:rsidTr="00C16BCC">
        <w:tc>
          <w:tcPr>
            <w:tcW w:w="2694" w:type="dxa"/>
            <w:tcBorders>
              <w:top w:val="single" w:sz="12" w:space="0" w:color="auto"/>
            </w:tcBorders>
            <w:shd w:val="clear" w:color="auto" w:fill="auto"/>
            <w:vAlign w:val="bottom"/>
          </w:tcPr>
          <w:p w14:paraId="74E25160" w14:textId="77777777" w:rsidR="00785ACC" w:rsidRPr="00067FA2" w:rsidRDefault="00785ACC" w:rsidP="00C16BCC">
            <w:pPr>
              <w:spacing w:before="40" w:after="40" w:line="220" w:lineRule="exact"/>
              <w:rPr>
                <w:sz w:val="18"/>
              </w:rPr>
            </w:pPr>
            <w:r>
              <w:rPr>
                <w:sz w:val="18"/>
              </w:rPr>
              <w:t>Absolutorias</w:t>
            </w:r>
          </w:p>
        </w:tc>
        <w:tc>
          <w:tcPr>
            <w:tcW w:w="3543" w:type="dxa"/>
            <w:tcBorders>
              <w:top w:val="single" w:sz="12" w:space="0" w:color="auto"/>
            </w:tcBorders>
            <w:shd w:val="clear" w:color="auto" w:fill="auto"/>
            <w:vAlign w:val="bottom"/>
          </w:tcPr>
          <w:p w14:paraId="2958B33B" w14:textId="77777777" w:rsidR="00785ACC" w:rsidRPr="00067FA2" w:rsidRDefault="00785ACC" w:rsidP="00C16BCC">
            <w:pPr>
              <w:spacing w:before="40" w:after="40" w:line="220" w:lineRule="exact"/>
              <w:rPr>
                <w:sz w:val="18"/>
              </w:rPr>
            </w:pPr>
          </w:p>
        </w:tc>
        <w:tc>
          <w:tcPr>
            <w:tcW w:w="1133" w:type="dxa"/>
            <w:tcBorders>
              <w:top w:val="single" w:sz="12" w:space="0" w:color="auto"/>
            </w:tcBorders>
            <w:shd w:val="clear" w:color="auto" w:fill="auto"/>
            <w:vAlign w:val="bottom"/>
          </w:tcPr>
          <w:p w14:paraId="4AE0B2E1" w14:textId="77777777" w:rsidR="00785ACC" w:rsidRPr="00067FA2" w:rsidRDefault="00785ACC" w:rsidP="00C16BCC">
            <w:pPr>
              <w:spacing w:before="40" w:after="40" w:line="220" w:lineRule="exact"/>
              <w:jc w:val="right"/>
              <w:rPr>
                <w:sz w:val="18"/>
              </w:rPr>
            </w:pPr>
            <w:r>
              <w:rPr>
                <w:sz w:val="18"/>
              </w:rPr>
              <w:t>6</w:t>
            </w:r>
          </w:p>
        </w:tc>
      </w:tr>
      <w:tr w:rsidR="00785ACC" w:rsidRPr="00067FA2" w14:paraId="5F8B248B" w14:textId="77777777" w:rsidTr="00C16BCC">
        <w:tc>
          <w:tcPr>
            <w:tcW w:w="2694" w:type="dxa"/>
            <w:shd w:val="clear" w:color="auto" w:fill="auto"/>
            <w:vAlign w:val="bottom"/>
          </w:tcPr>
          <w:p w14:paraId="5EBD21B5" w14:textId="77777777" w:rsidR="00785ACC" w:rsidRPr="00067FA2" w:rsidRDefault="00785ACC" w:rsidP="00C16BCC">
            <w:pPr>
              <w:spacing w:before="40" w:after="40" w:line="220" w:lineRule="exact"/>
              <w:rPr>
                <w:sz w:val="18"/>
              </w:rPr>
            </w:pPr>
            <w:r>
              <w:rPr>
                <w:sz w:val="18"/>
              </w:rPr>
              <w:t>Sobreseimiento</w:t>
            </w:r>
          </w:p>
        </w:tc>
        <w:tc>
          <w:tcPr>
            <w:tcW w:w="3543" w:type="dxa"/>
            <w:shd w:val="clear" w:color="auto" w:fill="auto"/>
            <w:vAlign w:val="bottom"/>
          </w:tcPr>
          <w:p w14:paraId="18C2F65F" w14:textId="77777777" w:rsidR="00785ACC" w:rsidRPr="00067FA2" w:rsidRDefault="00785ACC" w:rsidP="00C16BCC">
            <w:pPr>
              <w:spacing w:before="40" w:after="40" w:line="220" w:lineRule="exact"/>
              <w:rPr>
                <w:sz w:val="18"/>
              </w:rPr>
            </w:pPr>
          </w:p>
        </w:tc>
        <w:tc>
          <w:tcPr>
            <w:tcW w:w="1133" w:type="dxa"/>
            <w:shd w:val="clear" w:color="auto" w:fill="auto"/>
            <w:vAlign w:val="bottom"/>
          </w:tcPr>
          <w:p w14:paraId="0A725748" w14:textId="77777777" w:rsidR="00785ACC" w:rsidRPr="00067FA2" w:rsidRDefault="00785ACC" w:rsidP="00C16BCC">
            <w:pPr>
              <w:spacing w:before="40" w:after="40" w:line="220" w:lineRule="exact"/>
              <w:jc w:val="right"/>
              <w:rPr>
                <w:sz w:val="18"/>
              </w:rPr>
            </w:pPr>
            <w:r>
              <w:rPr>
                <w:sz w:val="18"/>
              </w:rPr>
              <w:t>3</w:t>
            </w:r>
          </w:p>
        </w:tc>
      </w:tr>
      <w:tr w:rsidR="00785ACC" w:rsidRPr="00067FA2" w14:paraId="4AF25CA0"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vMerge w:val="restart"/>
            <w:shd w:val="clear" w:color="auto" w:fill="auto"/>
          </w:tcPr>
          <w:p w14:paraId="7805DBF5" w14:textId="77777777" w:rsidR="00785ACC" w:rsidRPr="00067FA2" w:rsidRDefault="00785ACC" w:rsidP="00C16BCC">
            <w:pPr>
              <w:spacing w:before="40" w:after="40" w:line="220" w:lineRule="exact"/>
              <w:rPr>
                <w:sz w:val="18"/>
              </w:rPr>
            </w:pPr>
            <w:r>
              <w:rPr>
                <w:sz w:val="18"/>
              </w:rPr>
              <w:t>Condena</w:t>
            </w:r>
          </w:p>
        </w:tc>
        <w:tc>
          <w:tcPr>
            <w:tcW w:w="3543" w:type="dxa"/>
            <w:shd w:val="clear" w:color="auto" w:fill="auto"/>
            <w:vAlign w:val="bottom"/>
          </w:tcPr>
          <w:p w14:paraId="13D442B0" w14:textId="77777777" w:rsidR="00785ACC" w:rsidRPr="00067FA2" w:rsidRDefault="00785ACC" w:rsidP="00C16BCC">
            <w:pPr>
              <w:spacing w:before="40" w:after="40" w:line="220" w:lineRule="exact"/>
              <w:rPr>
                <w:sz w:val="18"/>
              </w:rPr>
            </w:pPr>
            <w:r>
              <w:rPr>
                <w:sz w:val="18"/>
              </w:rPr>
              <w:t>Conmutación</w:t>
            </w:r>
          </w:p>
        </w:tc>
        <w:tc>
          <w:tcPr>
            <w:tcW w:w="1133" w:type="dxa"/>
            <w:shd w:val="clear" w:color="auto" w:fill="auto"/>
            <w:vAlign w:val="bottom"/>
          </w:tcPr>
          <w:p w14:paraId="510F1701" w14:textId="77777777" w:rsidR="00785ACC" w:rsidRPr="00067FA2" w:rsidRDefault="00785ACC" w:rsidP="00C16BCC">
            <w:pPr>
              <w:spacing w:before="40" w:after="40" w:line="220" w:lineRule="exact"/>
              <w:jc w:val="right"/>
              <w:rPr>
                <w:sz w:val="18"/>
              </w:rPr>
            </w:pPr>
            <w:r>
              <w:rPr>
                <w:sz w:val="18"/>
              </w:rPr>
              <w:t>9</w:t>
            </w:r>
          </w:p>
        </w:tc>
      </w:tr>
      <w:tr w:rsidR="00785ACC" w:rsidRPr="00067FA2" w14:paraId="3152AC2A"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vMerge/>
            <w:shd w:val="clear" w:color="auto" w:fill="auto"/>
            <w:vAlign w:val="bottom"/>
          </w:tcPr>
          <w:p w14:paraId="4ED8491B" w14:textId="77777777" w:rsidR="00785ACC" w:rsidRPr="00067FA2" w:rsidRDefault="00785ACC" w:rsidP="00C16BCC">
            <w:pPr>
              <w:spacing w:before="40" w:after="40" w:line="220" w:lineRule="exact"/>
              <w:rPr>
                <w:sz w:val="18"/>
              </w:rPr>
            </w:pPr>
          </w:p>
        </w:tc>
        <w:tc>
          <w:tcPr>
            <w:tcW w:w="3543" w:type="dxa"/>
            <w:shd w:val="clear" w:color="auto" w:fill="auto"/>
            <w:vAlign w:val="bottom"/>
          </w:tcPr>
          <w:p w14:paraId="5A7968A0" w14:textId="77777777" w:rsidR="00785ACC" w:rsidRPr="00067FA2" w:rsidRDefault="00785ACC" w:rsidP="00C16BCC">
            <w:pPr>
              <w:spacing w:before="40" w:after="40" w:line="220" w:lineRule="exact"/>
              <w:rPr>
                <w:sz w:val="18"/>
              </w:rPr>
            </w:pPr>
            <w:r>
              <w:rPr>
                <w:sz w:val="18"/>
              </w:rPr>
              <w:t>Indulto</w:t>
            </w:r>
          </w:p>
        </w:tc>
        <w:tc>
          <w:tcPr>
            <w:tcW w:w="1133" w:type="dxa"/>
            <w:shd w:val="clear" w:color="auto" w:fill="auto"/>
            <w:vAlign w:val="bottom"/>
          </w:tcPr>
          <w:p w14:paraId="7EAF9777" w14:textId="77777777" w:rsidR="00785ACC" w:rsidRPr="00067FA2" w:rsidRDefault="00785ACC" w:rsidP="00C16BCC">
            <w:pPr>
              <w:spacing w:before="40" w:after="40" w:line="220" w:lineRule="exact"/>
              <w:jc w:val="right"/>
              <w:rPr>
                <w:sz w:val="18"/>
              </w:rPr>
            </w:pPr>
            <w:r>
              <w:rPr>
                <w:sz w:val="18"/>
              </w:rPr>
              <w:t>1</w:t>
            </w:r>
          </w:p>
        </w:tc>
      </w:tr>
      <w:tr w:rsidR="00785ACC" w:rsidRPr="00067FA2" w14:paraId="63FBAEB1"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vMerge/>
            <w:shd w:val="clear" w:color="auto" w:fill="auto"/>
            <w:vAlign w:val="bottom"/>
          </w:tcPr>
          <w:p w14:paraId="4BA38B84" w14:textId="77777777" w:rsidR="00785ACC" w:rsidRPr="00067FA2" w:rsidRDefault="00785ACC" w:rsidP="00C16BCC">
            <w:pPr>
              <w:spacing w:before="40" w:after="40" w:line="220" w:lineRule="exact"/>
              <w:rPr>
                <w:sz w:val="18"/>
              </w:rPr>
            </w:pPr>
          </w:p>
        </w:tc>
        <w:tc>
          <w:tcPr>
            <w:tcW w:w="3543" w:type="dxa"/>
            <w:shd w:val="clear" w:color="auto" w:fill="auto"/>
            <w:vAlign w:val="bottom"/>
          </w:tcPr>
          <w:p w14:paraId="5C2C3300" w14:textId="77777777" w:rsidR="00785ACC" w:rsidRPr="00067FA2" w:rsidRDefault="00785ACC" w:rsidP="00C16BCC">
            <w:pPr>
              <w:spacing w:before="40" w:after="40" w:line="220" w:lineRule="exact"/>
              <w:rPr>
                <w:sz w:val="18"/>
              </w:rPr>
            </w:pPr>
            <w:r w:rsidRPr="00067FA2">
              <w:rPr>
                <w:sz w:val="18"/>
              </w:rPr>
              <w:t>Libertad anticipada</w:t>
            </w:r>
          </w:p>
        </w:tc>
        <w:tc>
          <w:tcPr>
            <w:tcW w:w="1133" w:type="dxa"/>
            <w:shd w:val="clear" w:color="auto" w:fill="auto"/>
            <w:vAlign w:val="bottom"/>
          </w:tcPr>
          <w:p w14:paraId="26AD5DFE" w14:textId="77777777" w:rsidR="00785ACC" w:rsidRPr="00067FA2" w:rsidRDefault="00785ACC" w:rsidP="00C16BCC">
            <w:pPr>
              <w:spacing w:before="40" w:after="40" w:line="220" w:lineRule="exact"/>
              <w:jc w:val="right"/>
              <w:rPr>
                <w:sz w:val="18"/>
              </w:rPr>
            </w:pPr>
            <w:r>
              <w:rPr>
                <w:sz w:val="18"/>
              </w:rPr>
              <w:t>3</w:t>
            </w:r>
          </w:p>
        </w:tc>
      </w:tr>
      <w:tr w:rsidR="00785ACC" w:rsidRPr="00067FA2" w14:paraId="28F091AE"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vMerge/>
            <w:shd w:val="clear" w:color="auto" w:fill="auto"/>
            <w:vAlign w:val="bottom"/>
          </w:tcPr>
          <w:p w14:paraId="496998D6" w14:textId="77777777" w:rsidR="00785ACC" w:rsidRPr="00067FA2" w:rsidRDefault="00785ACC" w:rsidP="00C16BCC">
            <w:pPr>
              <w:spacing w:before="40" w:after="40" w:line="220" w:lineRule="exact"/>
              <w:rPr>
                <w:sz w:val="18"/>
              </w:rPr>
            </w:pPr>
          </w:p>
        </w:tc>
        <w:tc>
          <w:tcPr>
            <w:tcW w:w="3543" w:type="dxa"/>
            <w:shd w:val="clear" w:color="auto" w:fill="auto"/>
            <w:vAlign w:val="bottom"/>
          </w:tcPr>
          <w:p w14:paraId="73193017" w14:textId="77777777" w:rsidR="00785ACC" w:rsidRPr="00067FA2" w:rsidRDefault="00785ACC" w:rsidP="00C16BCC">
            <w:pPr>
              <w:spacing w:before="40" w:after="40" w:line="220" w:lineRule="exact"/>
              <w:rPr>
                <w:sz w:val="18"/>
              </w:rPr>
            </w:pPr>
            <w:r w:rsidRPr="00067FA2">
              <w:rPr>
                <w:sz w:val="18"/>
              </w:rPr>
              <w:t>Revisión de sentencia</w:t>
            </w:r>
          </w:p>
        </w:tc>
        <w:tc>
          <w:tcPr>
            <w:tcW w:w="1133" w:type="dxa"/>
            <w:shd w:val="clear" w:color="auto" w:fill="auto"/>
            <w:vAlign w:val="bottom"/>
          </w:tcPr>
          <w:p w14:paraId="2856E735" w14:textId="77777777" w:rsidR="00785ACC" w:rsidRPr="00067FA2" w:rsidRDefault="00785ACC" w:rsidP="00C16BCC">
            <w:pPr>
              <w:spacing w:before="40" w:after="40" w:line="220" w:lineRule="exact"/>
              <w:jc w:val="right"/>
              <w:rPr>
                <w:sz w:val="18"/>
              </w:rPr>
            </w:pPr>
            <w:r>
              <w:rPr>
                <w:sz w:val="18"/>
              </w:rPr>
              <w:t>1</w:t>
            </w:r>
          </w:p>
        </w:tc>
      </w:tr>
      <w:tr w:rsidR="00785ACC" w:rsidRPr="00067FA2" w14:paraId="5FC3C2F5"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vMerge/>
            <w:shd w:val="clear" w:color="auto" w:fill="auto"/>
            <w:vAlign w:val="bottom"/>
          </w:tcPr>
          <w:p w14:paraId="3011873F" w14:textId="77777777" w:rsidR="00785ACC" w:rsidRPr="00067FA2" w:rsidRDefault="00785ACC" w:rsidP="00C16BCC">
            <w:pPr>
              <w:spacing w:before="40" w:after="40" w:line="220" w:lineRule="exact"/>
              <w:rPr>
                <w:sz w:val="18"/>
              </w:rPr>
            </w:pPr>
          </w:p>
        </w:tc>
        <w:tc>
          <w:tcPr>
            <w:tcW w:w="3543" w:type="dxa"/>
            <w:shd w:val="clear" w:color="auto" w:fill="auto"/>
            <w:vAlign w:val="bottom"/>
          </w:tcPr>
          <w:p w14:paraId="2B7E36DB" w14:textId="77777777" w:rsidR="00785ACC" w:rsidRPr="00067FA2" w:rsidRDefault="00785ACC" w:rsidP="00C16BCC">
            <w:pPr>
              <w:spacing w:before="40" w:after="40" w:line="220" w:lineRule="exact"/>
              <w:rPr>
                <w:sz w:val="18"/>
              </w:rPr>
            </w:pPr>
            <w:r w:rsidRPr="00067FA2">
              <w:rPr>
                <w:sz w:val="18"/>
              </w:rPr>
              <w:t>Cumplimiento de sentencia</w:t>
            </w:r>
          </w:p>
        </w:tc>
        <w:tc>
          <w:tcPr>
            <w:tcW w:w="1133" w:type="dxa"/>
            <w:shd w:val="clear" w:color="auto" w:fill="auto"/>
            <w:vAlign w:val="bottom"/>
          </w:tcPr>
          <w:p w14:paraId="240B4787" w14:textId="77777777" w:rsidR="00785ACC" w:rsidRPr="00067FA2" w:rsidRDefault="00785ACC" w:rsidP="00C16BCC">
            <w:pPr>
              <w:spacing w:before="40" w:after="40" w:line="220" w:lineRule="exact"/>
              <w:jc w:val="right"/>
              <w:rPr>
                <w:sz w:val="18"/>
              </w:rPr>
            </w:pPr>
            <w:r>
              <w:rPr>
                <w:sz w:val="18"/>
              </w:rPr>
              <w:t>1</w:t>
            </w:r>
          </w:p>
        </w:tc>
      </w:tr>
      <w:tr w:rsidR="00785ACC" w:rsidRPr="00067FA2" w14:paraId="3D1027A5"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vMerge/>
            <w:shd w:val="clear" w:color="auto" w:fill="auto"/>
            <w:vAlign w:val="bottom"/>
          </w:tcPr>
          <w:p w14:paraId="741B24B1" w14:textId="77777777" w:rsidR="00785ACC" w:rsidRPr="00067FA2" w:rsidRDefault="00785ACC" w:rsidP="00C16BCC">
            <w:pPr>
              <w:spacing w:before="40" w:after="40" w:line="220" w:lineRule="exact"/>
              <w:rPr>
                <w:sz w:val="18"/>
              </w:rPr>
            </w:pPr>
          </w:p>
        </w:tc>
        <w:tc>
          <w:tcPr>
            <w:tcW w:w="3543" w:type="dxa"/>
            <w:shd w:val="clear" w:color="auto" w:fill="auto"/>
            <w:vAlign w:val="bottom"/>
          </w:tcPr>
          <w:p w14:paraId="505B8586" w14:textId="77777777" w:rsidR="00785ACC" w:rsidRPr="00067FA2" w:rsidRDefault="00785ACC" w:rsidP="00C16BCC">
            <w:pPr>
              <w:spacing w:before="40" w:after="40" w:line="220" w:lineRule="exact"/>
              <w:rPr>
                <w:sz w:val="18"/>
              </w:rPr>
            </w:pPr>
            <w:r w:rsidRPr="00067FA2">
              <w:rPr>
                <w:sz w:val="18"/>
              </w:rPr>
              <w:t>Medidas sustitutivas a la detención provisional</w:t>
            </w:r>
          </w:p>
        </w:tc>
        <w:tc>
          <w:tcPr>
            <w:tcW w:w="1133" w:type="dxa"/>
            <w:shd w:val="clear" w:color="auto" w:fill="auto"/>
            <w:vAlign w:val="bottom"/>
          </w:tcPr>
          <w:p w14:paraId="621E3CD2" w14:textId="77777777" w:rsidR="00785ACC" w:rsidRPr="00067FA2" w:rsidRDefault="00785ACC" w:rsidP="00C16BCC">
            <w:pPr>
              <w:spacing w:before="40" w:after="40" w:line="220" w:lineRule="exact"/>
              <w:jc w:val="right"/>
              <w:rPr>
                <w:sz w:val="18"/>
              </w:rPr>
            </w:pPr>
            <w:r>
              <w:rPr>
                <w:sz w:val="18"/>
              </w:rPr>
              <w:t>3</w:t>
            </w:r>
          </w:p>
        </w:tc>
      </w:tr>
      <w:tr w:rsidR="00785ACC" w:rsidRPr="00067FA2" w14:paraId="2D070681"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shd w:val="clear" w:color="auto" w:fill="auto"/>
            <w:vAlign w:val="bottom"/>
          </w:tcPr>
          <w:p w14:paraId="2FCDB93D" w14:textId="77777777" w:rsidR="00785ACC" w:rsidRPr="00067FA2" w:rsidRDefault="00785ACC" w:rsidP="00C16BCC">
            <w:pPr>
              <w:spacing w:before="40" w:after="40" w:line="220" w:lineRule="exact"/>
              <w:rPr>
                <w:sz w:val="18"/>
              </w:rPr>
            </w:pPr>
            <w:r w:rsidRPr="00067FA2">
              <w:rPr>
                <w:rFonts w:eastAsia="Calibri"/>
                <w:sz w:val="18"/>
                <w:szCs w:val="22"/>
                <w:lang w:val="es-ES_tradnl" w:eastAsia="en-US"/>
              </w:rPr>
              <w:t xml:space="preserve">Investigación por parte de la </w:t>
            </w:r>
            <w:proofErr w:type="spellStart"/>
            <w:r w:rsidRPr="00067FA2">
              <w:rPr>
                <w:rFonts w:eastAsia="Calibri"/>
                <w:sz w:val="18"/>
                <w:szCs w:val="22"/>
                <w:lang w:val="es-ES_tradnl" w:eastAsia="en-US"/>
              </w:rPr>
              <w:t>FGR</w:t>
            </w:r>
            <w:proofErr w:type="spellEnd"/>
          </w:p>
        </w:tc>
        <w:tc>
          <w:tcPr>
            <w:tcW w:w="3543" w:type="dxa"/>
            <w:shd w:val="clear" w:color="auto" w:fill="auto"/>
            <w:vAlign w:val="bottom"/>
          </w:tcPr>
          <w:p w14:paraId="024819E7" w14:textId="77777777" w:rsidR="00785ACC" w:rsidRPr="00067FA2" w:rsidRDefault="00785ACC" w:rsidP="00C16BCC">
            <w:pPr>
              <w:spacing w:before="40" w:after="40" w:line="220" w:lineRule="exact"/>
              <w:rPr>
                <w:sz w:val="18"/>
              </w:rPr>
            </w:pPr>
          </w:p>
        </w:tc>
        <w:tc>
          <w:tcPr>
            <w:tcW w:w="1133" w:type="dxa"/>
            <w:shd w:val="clear" w:color="auto" w:fill="auto"/>
            <w:vAlign w:val="bottom"/>
          </w:tcPr>
          <w:p w14:paraId="23166400" w14:textId="77777777" w:rsidR="00785ACC" w:rsidRPr="00067FA2" w:rsidRDefault="00785ACC" w:rsidP="00C16BCC">
            <w:pPr>
              <w:spacing w:before="40" w:after="40" w:line="220" w:lineRule="exact"/>
              <w:jc w:val="right"/>
              <w:rPr>
                <w:sz w:val="18"/>
              </w:rPr>
            </w:pPr>
            <w:r>
              <w:rPr>
                <w:sz w:val="18"/>
              </w:rPr>
              <w:t>2</w:t>
            </w:r>
          </w:p>
        </w:tc>
      </w:tr>
      <w:tr w:rsidR="00785ACC" w:rsidRPr="00067FA2" w14:paraId="71ACC937"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tcBorders>
              <w:bottom w:val="single" w:sz="4" w:space="0" w:color="auto"/>
            </w:tcBorders>
            <w:shd w:val="clear" w:color="auto" w:fill="auto"/>
            <w:vAlign w:val="bottom"/>
          </w:tcPr>
          <w:p w14:paraId="01915DAE" w14:textId="77777777" w:rsidR="00785ACC" w:rsidRPr="00067FA2" w:rsidRDefault="00785ACC" w:rsidP="00C16BCC">
            <w:pPr>
              <w:spacing w:before="40" w:after="40" w:line="220" w:lineRule="exact"/>
              <w:rPr>
                <w:sz w:val="18"/>
              </w:rPr>
            </w:pPr>
            <w:r w:rsidRPr="00067FA2">
              <w:rPr>
                <w:rFonts w:eastAsia="Calibri"/>
                <w:sz w:val="18"/>
                <w:szCs w:val="22"/>
                <w:lang w:val="es-ES_tradnl" w:eastAsia="en-US"/>
              </w:rPr>
              <w:t>No se tiene conocimiento</w:t>
            </w:r>
          </w:p>
        </w:tc>
        <w:tc>
          <w:tcPr>
            <w:tcW w:w="3543" w:type="dxa"/>
            <w:tcBorders>
              <w:bottom w:val="single" w:sz="4" w:space="0" w:color="auto"/>
            </w:tcBorders>
            <w:shd w:val="clear" w:color="auto" w:fill="auto"/>
            <w:vAlign w:val="bottom"/>
          </w:tcPr>
          <w:p w14:paraId="40C39562" w14:textId="77777777" w:rsidR="00785ACC" w:rsidRPr="00067FA2" w:rsidRDefault="00785ACC" w:rsidP="00C16BCC">
            <w:pPr>
              <w:spacing w:before="40" w:after="40" w:line="220" w:lineRule="exact"/>
              <w:rPr>
                <w:sz w:val="18"/>
              </w:rPr>
            </w:pPr>
          </w:p>
        </w:tc>
        <w:tc>
          <w:tcPr>
            <w:tcW w:w="1133" w:type="dxa"/>
            <w:tcBorders>
              <w:bottom w:val="single" w:sz="4" w:space="0" w:color="auto"/>
            </w:tcBorders>
            <w:shd w:val="clear" w:color="auto" w:fill="auto"/>
            <w:vAlign w:val="bottom"/>
          </w:tcPr>
          <w:p w14:paraId="2A469AC9" w14:textId="77777777" w:rsidR="00785ACC" w:rsidRPr="00067FA2" w:rsidRDefault="00785ACC" w:rsidP="00C16BCC">
            <w:pPr>
              <w:spacing w:before="40" w:after="40" w:line="220" w:lineRule="exact"/>
              <w:jc w:val="right"/>
              <w:rPr>
                <w:sz w:val="18"/>
              </w:rPr>
            </w:pPr>
            <w:r>
              <w:rPr>
                <w:sz w:val="18"/>
              </w:rPr>
              <w:t>2</w:t>
            </w:r>
          </w:p>
        </w:tc>
      </w:tr>
      <w:tr w:rsidR="00785ACC" w:rsidRPr="00067FA2" w14:paraId="38AB3D85" w14:textId="77777777" w:rsidTr="00C16B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94" w:type="dxa"/>
            <w:tcBorders>
              <w:top w:val="single" w:sz="4" w:space="0" w:color="auto"/>
              <w:bottom w:val="single" w:sz="12" w:space="0" w:color="auto"/>
            </w:tcBorders>
            <w:shd w:val="clear" w:color="auto" w:fill="auto"/>
            <w:vAlign w:val="bottom"/>
          </w:tcPr>
          <w:p w14:paraId="0CB025AA" w14:textId="77777777" w:rsidR="00785ACC" w:rsidRPr="00067FA2" w:rsidRDefault="00785ACC" w:rsidP="00C16BCC">
            <w:pPr>
              <w:spacing w:before="80" w:after="80" w:line="220" w:lineRule="exact"/>
              <w:ind w:left="283"/>
              <w:rPr>
                <w:b/>
                <w:sz w:val="18"/>
              </w:rPr>
            </w:pPr>
            <w:r w:rsidRPr="00067FA2">
              <w:rPr>
                <w:b/>
                <w:sz w:val="18"/>
              </w:rPr>
              <w:t>Total</w:t>
            </w:r>
          </w:p>
        </w:tc>
        <w:tc>
          <w:tcPr>
            <w:tcW w:w="3543" w:type="dxa"/>
            <w:tcBorders>
              <w:top w:val="single" w:sz="4" w:space="0" w:color="auto"/>
              <w:bottom w:val="single" w:sz="12" w:space="0" w:color="auto"/>
            </w:tcBorders>
            <w:shd w:val="clear" w:color="auto" w:fill="auto"/>
            <w:vAlign w:val="bottom"/>
          </w:tcPr>
          <w:p w14:paraId="5CA1A6C6" w14:textId="77777777" w:rsidR="00785ACC" w:rsidRPr="00067FA2" w:rsidRDefault="00785ACC" w:rsidP="00C16BCC">
            <w:pPr>
              <w:spacing w:before="80" w:after="80" w:line="220" w:lineRule="exact"/>
              <w:rPr>
                <w:b/>
                <w:sz w:val="18"/>
              </w:rPr>
            </w:pPr>
          </w:p>
        </w:tc>
        <w:tc>
          <w:tcPr>
            <w:tcW w:w="1133" w:type="dxa"/>
            <w:tcBorders>
              <w:top w:val="single" w:sz="4" w:space="0" w:color="auto"/>
              <w:bottom w:val="single" w:sz="12" w:space="0" w:color="auto"/>
            </w:tcBorders>
            <w:shd w:val="clear" w:color="auto" w:fill="auto"/>
            <w:vAlign w:val="bottom"/>
          </w:tcPr>
          <w:p w14:paraId="4087E6BA" w14:textId="77777777" w:rsidR="00785ACC" w:rsidRPr="00067FA2" w:rsidRDefault="00785ACC" w:rsidP="00C16BCC">
            <w:pPr>
              <w:spacing w:before="80" w:after="80" w:line="220" w:lineRule="exact"/>
              <w:jc w:val="right"/>
              <w:rPr>
                <w:b/>
                <w:sz w:val="18"/>
              </w:rPr>
            </w:pPr>
            <w:r w:rsidRPr="00067FA2">
              <w:rPr>
                <w:b/>
                <w:sz w:val="18"/>
              </w:rPr>
              <w:t>31</w:t>
            </w:r>
          </w:p>
        </w:tc>
      </w:tr>
    </w:tbl>
    <w:p w14:paraId="1934AF49" w14:textId="6585248D"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No debe aplicar sanciones penales a mujeres y niñas que se sometan a un aborto ni a</w:t>
      </w:r>
      <w:r w:rsidR="006B5493">
        <w:rPr>
          <w:u w:color="000000"/>
          <w:bdr w:val="nil"/>
          <w:lang w:val="es-ES_tradnl" w:eastAsia="en-US"/>
        </w:rPr>
        <w:t> </w:t>
      </w:r>
      <w:r w:rsidR="00655E5C" w:rsidRPr="001D41EA">
        <w:rPr>
          <w:u w:color="000000"/>
          <w:bdr w:val="nil"/>
          <w:lang w:val="es-ES_tradnl" w:eastAsia="en-US"/>
        </w:rPr>
        <w:t>proveedores de servicios médicos que las asistan en ello, ya que tales medidas obligan a las mujeres y niñas a recurrir a abortos inseguros, y debe garantizar</w:t>
      </w:r>
      <w:r w:rsidR="006B5493">
        <w:rPr>
          <w:u w:color="000000"/>
          <w:bdr w:val="nil"/>
          <w:lang w:val="es-ES_tradnl" w:eastAsia="en-US"/>
        </w:rPr>
        <w:br/>
      </w:r>
      <w:r w:rsidR="00655E5C" w:rsidRPr="001D41EA">
        <w:rPr>
          <w:u w:color="000000"/>
          <w:bdr w:val="nil"/>
          <w:lang w:val="es-ES_tradnl" w:eastAsia="en-US"/>
        </w:rPr>
        <w:t>que se respeten el secreto profesional del personal médico y la confidencialidad</w:t>
      </w:r>
      <w:r w:rsidR="006B5493">
        <w:rPr>
          <w:u w:color="000000"/>
          <w:bdr w:val="nil"/>
          <w:lang w:val="es-ES_tradnl" w:eastAsia="en-US"/>
        </w:rPr>
        <w:br/>
      </w:r>
      <w:r w:rsidR="00655E5C" w:rsidRPr="001D41EA">
        <w:rPr>
          <w:u w:color="000000"/>
          <w:bdr w:val="nil"/>
          <w:lang w:val="es-ES_tradnl" w:eastAsia="en-US"/>
        </w:rPr>
        <w:t>de las pacientes</w:t>
      </w:r>
    </w:p>
    <w:p w14:paraId="3518AB7C" w14:textId="62D709BB" w:rsidR="00655E5C" w:rsidRPr="001D41EA" w:rsidRDefault="005816B3" w:rsidP="005816B3">
      <w:pPr>
        <w:pStyle w:val="SingleTxtG"/>
      </w:pPr>
      <w:r w:rsidRPr="001D41EA">
        <w:t>9.</w:t>
      </w:r>
      <w:r w:rsidRPr="001D41EA">
        <w:tab/>
      </w:r>
      <w:r w:rsidR="00655E5C" w:rsidRPr="001D41EA">
        <w:t>La Constitución de la República de El Salvador en su Artículo 2 garantiza el derecho al honor, a la intimidad personal, familiar, a la integridad física y moral.</w:t>
      </w:r>
    </w:p>
    <w:p w14:paraId="0E777277" w14:textId="4AA05F28" w:rsidR="00655E5C" w:rsidRPr="001D41EA" w:rsidRDefault="005816B3" w:rsidP="005816B3">
      <w:pPr>
        <w:pStyle w:val="SingleTxtG"/>
      </w:pPr>
      <w:r w:rsidRPr="001D41EA">
        <w:t>10.</w:t>
      </w:r>
      <w:r w:rsidRPr="001D41EA">
        <w:tab/>
      </w:r>
      <w:r w:rsidR="00655E5C" w:rsidRPr="001D41EA">
        <w:t xml:space="preserve">Actualmente, en la legislación salvadoreña, la excepción a la obligación de denuncia, bajo el amparo del secreto profesional, se recoge en el artículo 265.2 CPP. Es importante señalar </w:t>
      </w:r>
      <w:proofErr w:type="gramStart"/>
      <w:r w:rsidR="00655E5C" w:rsidRPr="001D41EA">
        <w:t>que</w:t>
      </w:r>
      <w:proofErr w:type="gramEnd"/>
      <w:r w:rsidR="00655E5C" w:rsidRPr="001D41EA">
        <w:t xml:space="preserve"> en El Salvador, el abordaje a las mujeres que enfrentan problemas obstétricos se realiza basándose principalmente en las orientaciones dictadas por Lineamientos técnicos y guías del Ministerio de Salud de El Salvador, que no contemplan la denuncia de mujeres con complicaciones obstétricas, por parte del personal médico, ya que las complicaciones obstétricas no constituyen un delito en El Salvador. Por el contrario, el Ministerio de Salud ha desarrollado procesos de capacitación para el manejo seguro del aborto y ha brindado capacitación y sensibilización a diferentes recursos para la atención post aborto con enfoque de derechos.</w:t>
      </w:r>
    </w:p>
    <w:p w14:paraId="18252720" w14:textId="449AD58D"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Debe también garantizar el acceso pleno a servicios de salud sexual y reproductiva</w:t>
      </w:r>
      <w:r w:rsidR="006B5493">
        <w:rPr>
          <w:u w:color="000000"/>
          <w:bdr w:val="nil"/>
          <w:lang w:val="es-ES_tradnl" w:eastAsia="en-US"/>
        </w:rPr>
        <w:t xml:space="preserve"> </w:t>
      </w:r>
      <w:r w:rsidR="00655E5C" w:rsidRPr="001D41EA">
        <w:rPr>
          <w:u w:color="000000"/>
          <w:bdr w:val="nil"/>
          <w:lang w:val="es-ES_tradnl" w:eastAsia="en-US"/>
        </w:rPr>
        <w:t>de</w:t>
      </w:r>
      <w:r w:rsidR="00925FAC">
        <w:rPr>
          <w:u w:color="000000"/>
          <w:bdr w:val="nil"/>
          <w:lang w:val="es-ES_tradnl" w:eastAsia="en-US"/>
        </w:rPr>
        <w:t> </w:t>
      </w:r>
      <w:r w:rsidR="00655E5C" w:rsidRPr="001D41EA">
        <w:rPr>
          <w:u w:color="000000"/>
          <w:bdr w:val="nil"/>
          <w:lang w:val="es-ES_tradnl" w:eastAsia="en-US"/>
        </w:rPr>
        <w:t>calidad en todo el país, así como educar y sensibilizar a hombres, mujeres y adolescentes y a proveedores de servicios de salud</w:t>
      </w:r>
    </w:p>
    <w:p w14:paraId="05F190F9" w14:textId="02FF4CB5" w:rsidR="00655E5C" w:rsidRPr="001D41EA" w:rsidRDefault="005816B3" w:rsidP="005816B3">
      <w:pPr>
        <w:pStyle w:val="SingleTxtG"/>
      </w:pPr>
      <w:r w:rsidRPr="001D41EA">
        <w:t>11.</w:t>
      </w:r>
      <w:r w:rsidRPr="001D41EA">
        <w:tab/>
      </w:r>
      <w:r w:rsidR="00655E5C" w:rsidRPr="001D41EA">
        <w:t>En 2017 se lanzó la Estrategia Nacional Intersectorial de Prevención del Embarazo en Niñas y en Adolescentes 2017</w:t>
      </w:r>
      <w:r w:rsidR="00925FAC">
        <w:t>-</w:t>
      </w:r>
      <w:r w:rsidR="00655E5C" w:rsidRPr="001D41EA">
        <w:t>2027, como instrumento de gestión que pretende dar respuesta a este fenómeno. Sólo en 2016, el número de inscripciones de niñas y adolescentes embarazadas alcanzó los 21,407 casos y en los últimos cinco años 121,456 han visto truncado su proyecto de vida por causa de la maternidad.</w:t>
      </w:r>
    </w:p>
    <w:p w14:paraId="5C0C9AE1" w14:textId="3FF85765" w:rsidR="00655E5C" w:rsidRPr="001D41EA" w:rsidRDefault="005816B3" w:rsidP="005816B3">
      <w:pPr>
        <w:pStyle w:val="SingleTxtG"/>
      </w:pPr>
      <w:r w:rsidRPr="001D41EA">
        <w:t>12.</w:t>
      </w:r>
      <w:r w:rsidRPr="001D41EA">
        <w:tab/>
      </w:r>
      <w:r w:rsidR="00655E5C" w:rsidRPr="001D41EA">
        <w:t>El objetivo general de la estrategia es eliminar el embarazo en niñas y en adolescentes con intervenciones intersectoriales articuladas, que incorporan el enfoque de derechos humanos, género e inclusión, facilitando el empoderamiento de niñas y adolescentes para su pleno desarrollo, buscando superar los obstáculos y desafíos planteados.</w:t>
      </w:r>
    </w:p>
    <w:p w14:paraId="630CFE2E" w14:textId="063A3F51" w:rsidR="00655E5C" w:rsidRPr="001D41EA" w:rsidRDefault="005816B3" w:rsidP="005816B3">
      <w:pPr>
        <w:pStyle w:val="SingleTxtG"/>
      </w:pPr>
      <w:r w:rsidRPr="001D41EA">
        <w:t>13.</w:t>
      </w:r>
      <w:r w:rsidRPr="001D41EA">
        <w:tab/>
      </w:r>
      <w:r w:rsidR="00655E5C" w:rsidRPr="001D41EA">
        <w:t>La implementación de esta estrategia contribuirá directamente al cumplimiento de los compromisos adquiridos a través de diferentes instrumentos normativos internacionales y nacionales de derechos humanos; así mismo, contribuirá a los objetivos plasmados en el marco programático de diversas políticas públicas orientados a la garantía de los derechos de las niñas y de las adolescentes de El Salvador.</w:t>
      </w:r>
    </w:p>
    <w:p w14:paraId="3FB9B5B2" w14:textId="68D8D9DA" w:rsidR="00655E5C" w:rsidRPr="001D41EA" w:rsidRDefault="005816B3" w:rsidP="005816B3">
      <w:pPr>
        <w:pStyle w:val="SingleTxtG"/>
      </w:pPr>
      <w:r w:rsidRPr="001D41EA">
        <w:lastRenderedPageBreak/>
        <w:t>14.</w:t>
      </w:r>
      <w:r w:rsidRPr="001D41EA">
        <w:tab/>
      </w:r>
      <w:r w:rsidR="00655E5C" w:rsidRPr="001D41EA">
        <w:t>En cuanto al tema de promoción de la Salud Sexual Reproductiva (</w:t>
      </w:r>
      <w:proofErr w:type="spellStart"/>
      <w:r w:rsidR="00655E5C" w:rsidRPr="001D41EA">
        <w:t>SSR</w:t>
      </w:r>
      <w:proofErr w:type="spellEnd"/>
      <w:r w:rsidR="00655E5C" w:rsidRPr="001D41EA">
        <w:t>) y los esfuerzos para reducir la mortalidad materna, es importante mencionar que el país cuenta con un Plan Estratégico Nacional para el Abordaje Integral de la Salud Materna y de la Niñez 2015-2019, con el objetivo de continuar avanzando hacia la cobertura y acceso universal de los servicios de salud y ampliar progresivamente la atención a través de las Redes Integrales e Integradas de Salud (RIIS). A fin de hacerlas RIIS accesibles, asequibles y eficaces, se realiza este plan que contiene los siguientes cinco grandes componentes:</w:t>
      </w:r>
    </w:p>
    <w:p w14:paraId="03182553" w14:textId="7AF5F9CF" w:rsidR="00655E5C" w:rsidRPr="001D41EA" w:rsidRDefault="001D41EA" w:rsidP="005816B3">
      <w:pPr>
        <w:pStyle w:val="SingleTxtG"/>
        <w:ind w:firstLine="567"/>
      </w:pPr>
      <w:r>
        <w:t>a)</w:t>
      </w:r>
      <w:r w:rsidR="005816B3" w:rsidRPr="001D41EA">
        <w:tab/>
      </w:r>
      <w:r w:rsidR="00655E5C" w:rsidRPr="001D41EA">
        <w:t xml:space="preserve">Entornos favorables para la salud de la mujer y de la niñez, </w:t>
      </w:r>
    </w:p>
    <w:p w14:paraId="505CA4E3" w14:textId="3613B911" w:rsidR="00655E5C" w:rsidRPr="001D41EA" w:rsidRDefault="00655E5C" w:rsidP="005816B3">
      <w:pPr>
        <w:pStyle w:val="SingleTxtG"/>
        <w:ind w:firstLine="567"/>
      </w:pPr>
      <w:r w:rsidRPr="001D41EA">
        <w:t>b)</w:t>
      </w:r>
      <w:r w:rsidR="005816B3" w:rsidRPr="001D41EA">
        <w:tab/>
      </w:r>
      <w:r w:rsidRPr="001D41EA">
        <w:t xml:space="preserve">Calidad en la prestación de servicios de salud; </w:t>
      </w:r>
    </w:p>
    <w:p w14:paraId="0D2E7A1A" w14:textId="371D9E1E" w:rsidR="00655E5C" w:rsidRPr="001D41EA" w:rsidRDefault="001D41EA" w:rsidP="005816B3">
      <w:pPr>
        <w:pStyle w:val="SingleTxtG"/>
        <w:ind w:firstLine="567"/>
      </w:pPr>
      <w:r>
        <w:t>c)</w:t>
      </w:r>
      <w:r w:rsidR="005816B3" w:rsidRPr="001D41EA">
        <w:tab/>
      </w:r>
      <w:r w:rsidR="00655E5C" w:rsidRPr="001D41EA">
        <w:t xml:space="preserve">Vacunación; </w:t>
      </w:r>
    </w:p>
    <w:p w14:paraId="4B0EF58F" w14:textId="6AAC054B" w:rsidR="00655E5C" w:rsidRPr="001D41EA" w:rsidRDefault="001D41EA" w:rsidP="005816B3">
      <w:pPr>
        <w:pStyle w:val="SingleTxtG"/>
        <w:ind w:firstLine="567"/>
      </w:pPr>
      <w:r>
        <w:t>d)</w:t>
      </w:r>
      <w:r w:rsidR="005816B3" w:rsidRPr="001D41EA">
        <w:tab/>
      </w:r>
      <w:r w:rsidR="00655E5C" w:rsidRPr="001D41EA">
        <w:t xml:space="preserve">Alianzas comunitarias e intersectoriales; </w:t>
      </w:r>
    </w:p>
    <w:p w14:paraId="17EF5F0B" w14:textId="324D9070" w:rsidR="00655E5C" w:rsidRPr="001D41EA" w:rsidRDefault="001D41EA" w:rsidP="005816B3">
      <w:pPr>
        <w:pStyle w:val="SingleTxtG"/>
        <w:ind w:firstLine="567"/>
      </w:pPr>
      <w:r>
        <w:t>e)</w:t>
      </w:r>
      <w:r w:rsidR="005816B3" w:rsidRPr="001D41EA">
        <w:tab/>
      </w:r>
      <w:r w:rsidR="00655E5C" w:rsidRPr="001D41EA">
        <w:t xml:space="preserve">Monitoreo, supervisión y evaluación. </w:t>
      </w:r>
    </w:p>
    <w:p w14:paraId="79D8AF00" w14:textId="16CFE0E3" w:rsidR="00655E5C" w:rsidRPr="001D41EA" w:rsidRDefault="005816B3" w:rsidP="005816B3">
      <w:pPr>
        <w:pStyle w:val="SingleTxtG"/>
      </w:pPr>
      <w:r w:rsidRPr="001D41EA">
        <w:t>15.</w:t>
      </w:r>
      <w:r w:rsidRPr="001D41EA">
        <w:tab/>
      </w:r>
      <w:r w:rsidR="00655E5C" w:rsidRPr="001D41EA">
        <w:t>Todo esto con un enfoque centrado en la persona, la familia y la comunidad, teniendo en consideración los derechos humanos, la equidad de género, el riesgo como determinante social y la atención en salud sostenible y sustentable.</w:t>
      </w:r>
    </w:p>
    <w:p w14:paraId="0FD1DE48" w14:textId="7D5D62A4" w:rsidR="00655E5C" w:rsidRPr="001D41EA" w:rsidRDefault="005816B3" w:rsidP="005816B3">
      <w:pPr>
        <w:pStyle w:val="SingleTxtG"/>
      </w:pPr>
      <w:r w:rsidRPr="001D41EA">
        <w:t>16.</w:t>
      </w:r>
      <w:r w:rsidRPr="001D41EA">
        <w:tab/>
      </w:r>
      <w:r w:rsidR="00655E5C" w:rsidRPr="001D41EA">
        <w:t xml:space="preserve">Además para la atención de la mujer en edad fértil, en el curso de vida desde el período </w:t>
      </w:r>
      <w:proofErr w:type="spellStart"/>
      <w:r w:rsidR="00655E5C" w:rsidRPr="001D41EA">
        <w:t>pre-concepcional</w:t>
      </w:r>
      <w:proofErr w:type="spellEnd"/>
      <w:r w:rsidR="00655E5C" w:rsidRPr="001D41EA">
        <w:t xml:space="preserve">, prenatal, parto, puerperio, climaterio y menopausia se han implementado: </w:t>
      </w:r>
    </w:p>
    <w:p w14:paraId="6FA09BBC" w14:textId="622A6559" w:rsidR="00655E5C" w:rsidRPr="001D41EA" w:rsidRDefault="005816B3" w:rsidP="005816B3">
      <w:pPr>
        <w:pStyle w:val="SingleTxtG"/>
        <w:ind w:firstLine="567"/>
      </w:pPr>
      <w:r w:rsidRPr="001D41EA">
        <w:t>a)</w:t>
      </w:r>
      <w:r w:rsidRPr="001D41EA">
        <w:tab/>
      </w:r>
      <w:r w:rsidR="00655E5C" w:rsidRPr="001D41EA">
        <w:t>Guías clínicas de Ginecología y Obstetricia</w:t>
      </w:r>
      <w:r w:rsidR="00785ACC">
        <w:t>;</w:t>
      </w:r>
    </w:p>
    <w:p w14:paraId="7F836A57" w14:textId="0F7EE96B" w:rsidR="00655E5C" w:rsidRPr="001D41EA" w:rsidRDefault="005816B3" w:rsidP="005816B3">
      <w:pPr>
        <w:pStyle w:val="SingleTxtG"/>
        <w:ind w:firstLine="567"/>
      </w:pPr>
      <w:r w:rsidRPr="001D41EA">
        <w:t>b)</w:t>
      </w:r>
      <w:r w:rsidRPr="001D41EA">
        <w:tab/>
      </w:r>
      <w:r w:rsidR="00655E5C" w:rsidRPr="001D41EA">
        <w:t>Guías de atención clínica del climaterio y la menopausia</w:t>
      </w:r>
      <w:r w:rsidR="00785ACC">
        <w:t>;</w:t>
      </w:r>
    </w:p>
    <w:p w14:paraId="6F937853" w14:textId="12CD586F" w:rsidR="00655E5C" w:rsidRPr="001D41EA" w:rsidRDefault="005816B3" w:rsidP="005816B3">
      <w:pPr>
        <w:pStyle w:val="SingleTxtG"/>
        <w:ind w:firstLine="567"/>
      </w:pPr>
      <w:r w:rsidRPr="001D41EA">
        <w:t>c)</w:t>
      </w:r>
      <w:r w:rsidRPr="001D41EA">
        <w:tab/>
      </w:r>
      <w:r w:rsidR="00655E5C" w:rsidRPr="001D41EA">
        <w:t>Guía de operativización de los Hogares de Espera Materna</w:t>
      </w:r>
      <w:r w:rsidR="00785ACC">
        <w:t>;</w:t>
      </w:r>
    </w:p>
    <w:p w14:paraId="077BF793" w14:textId="6AC65464" w:rsidR="00655E5C" w:rsidRPr="001D41EA" w:rsidRDefault="005816B3" w:rsidP="005816B3">
      <w:pPr>
        <w:pStyle w:val="SingleTxtG"/>
        <w:ind w:firstLine="567"/>
      </w:pPr>
      <w:r w:rsidRPr="001D41EA">
        <w:t>d)</w:t>
      </w:r>
      <w:r w:rsidRPr="001D41EA">
        <w:tab/>
      </w:r>
      <w:r w:rsidR="00655E5C" w:rsidRPr="001D41EA">
        <w:t xml:space="preserve">Lineamientos Técnicos: La atención integral de las mujeres con alto riesgo reproductivo; atención de la mujer en el período </w:t>
      </w:r>
      <w:proofErr w:type="spellStart"/>
      <w:r w:rsidR="00655E5C" w:rsidRPr="001D41EA">
        <w:t>pre-concepcional</w:t>
      </w:r>
      <w:proofErr w:type="spellEnd"/>
      <w:r w:rsidR="00655E5C" w:rsidRPr="001D41EA">
        <w:t>, parto, puerperio y al recién nacido; aplicación del código amarillo, código naranja y código rojo; provisión de servicios de anticoncepción y; desarrollo de círculos educativos con adolescentes embarazadas</w:t>
      </w:r>
      <w:r w:rsidR="00785ACC">
        <w:t>;</w:t>
      </w:r>
    </w:p>
    <w:p w14:paraId="39D579C6" w14:textId="55A077C3" w:rsidR="00655E5C" w:rsidRPr="001D41EA" w:rsidRDefault="005816B3" w:rsidP="005816B3">
      <w:pPr>
        <w:pStyle w:val="SingleTxtG"/>
        <w:ind w:firstLine="567"/>
      </w:pPr>
      <w:r w:rsidRPr="001D41EA">
        <w:t>e)</w:t>
      </w:r>
      <w:r w:rsidRPr="001D41EA">
        <w:tab/>
      </w:r>
      <w:r w:rsidR="00655E5C" w:rsidRPr="001D41EA">
        <w:t>Plan estratégico nacional intersectorial de promoción, protección y apoyo a la lactancia materna 2016-2019</w:t>
      </w:r>
      <w:r w:rsidR="00785ACC">
        <w:t>;</w:t>
      </w:r>
    </w:p>
    <w:p w14:paraId="4DAD83AF" w14:textId="081F625D" w:rsidR="00655E5C" w:rsidRPr="001D41EA" w:rsidRDefault="005816B3" w:rsidP="005816B3">
      <w:pPr>
        <w:pStyle w:val="SingleTxtG"/>
        <w:ind w:firstLine="567"/>
      </w:pPr>
      <w:r w:rsidRPr="001D41EA">
        <w:t>f)</w:t>
      </w:r>
      <w:r w:rsidRPr="001D41EA">
        <w:tab/>
      </w:r>
      <w:r w:rsidR="00655E5C" w:rsidRPr="001D41EA">
        <w:t>Norma de atención integral de las personas afectadas por violencia y lesiones</w:t>
      </w:r>
      <w:r w:rsidR="00785ACC">
        <w:t>;</w:t>
      </w:r>
    </w:p>
    <w:p w14:paraId="14A1B9DA" w14:textId="370D3A31" w:rsidR="00655E5C" w:rsidRPr="001D41EA" w:rsidRDefault="005816B3" w:rsidP="005816B3">
      <w:pPr>
        <w:pStyle w:val="SingleTxtG"/>
        <w:ind w:firstLine="567"/>
      </w:pPr>
      <w:r w:rsidRPr="001D41EA">
        <w:t>g)</w:t>
      </w:r>
      <w:r w:rsidRPr="001D41EA">
        <w:tab/>
      </w:r>
      <w:r w:rsidR="00655E5C" w:rsidRPr="001D41EA">
        <w:t>Reglamento general de la Ley de Medicamentos</w:t>
      </w:r>
      <w:r w:rsidR="00785ACC">
        <w:t>;</w:t>
      </w:r>
    </w:p>
    <w:p w14:paraId="1B639B8B" w14:textId="117E2A51" w:rsidR="00655E5C" w:rsidRPr="001D41EA" w:rsidRDefault="005816B3" w:rsidP="005816B3">
      <w:pPr>
        <w:pStyle w:val="SingleTxtG"/>
        <w:ind w:firstLine="567"/>
      </w:pPr>
      <w:r w:rsidRPr="001D41EA">
        <w:t>h)</w:t>
      </w:r>
      <w:r w:rsidRPr="001D41EA">
        <w:tab/>
      </w:r>
      <w:r w:rsidR="00655E5C" w:rsidRPr="001D41EA">
        <w:t>Ley de Protección Integral de la Niñez y la Adolescencia (</w:t>
      </w:r>
      <w:proofErr w:type="spellStart"/>
      <w:r w:rsidR="00655E5C" w:rsidRPr="001D41EA">
        <w:t>LEPINA</w:t>
      </w:r>
      <w:proofErr w:type="spellEnd"/>
      <w:r w:rsidR="00655E5C" w:rsidRPr="001D41EA">
        <w:t>)</w:t>
      </w:r>
      <w:r w:rsidR="00785ACC">
        <w:t>;</w:t>
      </w:r>
    </w:p>
    <w:p w14:paraId="5752D193" w14:textId="2D73EEDD" w:rsidR="00655E5C" w:rsidRPr="001D41EA" w:rsidRDefault="005816B3" w:rsidP="005816B3">
      <w:pPr>
        <w:pStyle w:val="SingleTxtG"/>
        <w:ind w:firstLine="567"/>
      </w:pPr>
      <w:r w:rsidRPr="001D41EA">
        <w:t>i)</w:t>
      </w:r>
      <w:r w:rsidRPr="001D41EA">
        <w:tab/>
      </w:r>
      <w:r w:rsidR="00655E5C" w:rsidRPr="001D41EA">
        <w:t>Estrategia Nacional Intersectorial de Prevención del Embarazo en Niñas y en Adolescentes 2017-2027 (</w:t>
      </w:r>
      <w:proofErr w:type="spellStart"/>
      <w:r w:rsidR="00655E5C" w:rsidRPr="001D41EA">
        <w:t>ENIPENA</w:t>
      </w:r>
      <w:proofErr w:type="spellEnd"/>
      <w:r w:rsidR="00655E5C" w:rsidRPr="001D41EA">
        <w:t>).</w:t>
      </w:r>
    </w:p>
    <w:p w14:paraId="1F3EE971" w14:textId="68841058" w:rsidR="00655E5C" w:rsidRPr="001D41EA" w:rsidRDefault="005816B3" w:rsidP="005816B3">
      <w:pPr>
        <w:pStyle w:val="SingleTxtG"/>
        <w:ind w:firstLine="567"/>
      </w:pPr>
      <w:r w:rsidRPr="001D41EA">
        <w:t>j)</w:t>
      </w:r>
      <w:r w:rsidRPr="001D41EA">
        <w:tab/>
      </w:r>
      <w:r w:rsidR="00655E5C" w:rsidRPr="001D41EA">
        <w:t>Estrategia nacional de condones.</w:t>
      </w:r>
    </w:p>
    <w:p w14:paraId="308267DE" w14:textId="596A9286" w:rsidR="00655E5C" w:rsidRPr="001D41EA" w:rsidRDefault="005816B3" w:rsidP="005816B3">
      <w:pPr>
        <w:pStyle w:val="SingleTxtG"/>
      </w:pPr>
      <w:r w:rsidRPr="001D41EA">
        <w:t>17.</w:t>
      </w:r>
      <w:r w:rsidRPr="001D41EA">
        <w:tab/>
      </w:r>
      <w:r w:rsidR="00655E5C" w:rsidRPr="001D41EA">
        <w:t xml:space="preserve">Es importante mencionar que a la atención de la salud materna se vinculan otras estrategias que fortalecen la atención, </w:t>
      </w:r>
      <w:proofErr w:type="gramStart"/>
      <w:r w:rsidR="00655E5C" w:rsidRPr="001D41EA">
        <w:t>como</w:t>
      </w:r>
      <w:proofErr w:type="gramEnd"/>
      <w:r w:rsidR="00655E5C" w:rsidRPr="001D41EA">
        <w:t xml:space="preserve"> por ejemplo: atención a víctimas de violencia en todas sus formas; atención a enfermedades crónicas priorizadas como diabetes, hipertensión arterial crónica entre otras; salud bucal, nutrición, además de todas las áreas de apoyo que se suman a la atención (laboratorio clínico, bancos de sangre, radiología, fisioterapia, psicología, entre otros).</w:t>
      </w:r>
    </w:p>
    <w:p w14:paraId="04670444" w14:textId="4AD9DDDC" w:rsidR="00655E5C" w:rsidRPr="001D41EA" w:rsidRDefault="005816B3" w:rsidP="005816B3">
      <w:pPr>
        <w:pStyle w:val="SingleTxtG"/>
      </w:pPr>
      <w:r w:rsidRPr="001D41EA">
        <w:t>18.</w:t>
      </w:r>
      <w:r w:rsidRPr="001D41EA">
        <w:tab/>
      </w:r>
      <w:r w:rsidR="00655E5C" w:rsidRPr="001D41EA">
        <w:t xml:space="preserve">En cuanto a temáticas como salud sexual y reproductiva, se está brindando atención </w:t>
      </w:r>
      <w:proofErr w:type="spellStart"/>
      <w:r w:rsidR="00655E5C" w:rsidRPr="001D41EA">
        <w:t>pre-concepcional</w:t>
      </w:r>
      <w:proofErr w:type="spellEnd"/>
      <w:r w:rsidR="00655E5C" w:rsidRPr="001D41EA">
        <w:t xml:space="preserve">, consejería, programas y políticas encaminadas a eliminar la morbilidad y mortalidad materna. </w:t>
      </w:r>
    </w:p>
    <w:p w14:paraId="7F1B4B70" w14:textId="371142C9" w:rsidR="00655E5C" w:rsidRPr="001D41EA" w:rsidRDefault="005816B3" w:rsidP="005816B3">
      <w:pPr>
        <w:pStyle w:val="SingleTxtG"/>
      </w:pPr>
      <w:r w:rsidRPr="001D41EA">
        <w:t>19.</w:t>
      </w:r>
      <w:r w:rsidRPr="001D41EA">
        <w:tab/>
      </w:r>
      <w:r w:rsidR="00655E5C" w:rsidRPr="001D41EA">
        <w:t>En este marco, se ha trabajado ampliamente en dar a conocer a la población en general, así como al personal de salud, información sobre los derechos sexuales y reproductivos y en general sobre derechos humanos. Existen programas educativos con énfasis en salud sexual reproductiva y las nuevas masculinidades.</w:t>
      </w:r>
    </w:p>
    <w:p w14:paraId="47F66D94" w14:textId="3B7905DA"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lastRenderedPageBreak/>
        <w:t>20.</w:t>
      </w:r>
      <w:r w:rsidRPr="001D41EA">
        <w:rPr>
          <w:rFonts w:eastAsia="Arial"/>
          <w:u w:color="000000"/>
          <w:bdr w:val="nil"/>
          <w:lang w:val="es-ES_tradnl" w:eastAsia="en-US"/>
        </w:rPr>
        <w:tab/>
      </w:r>
      <w:r w:rsidR="00655E5C" w:rsidRPr="001D41EA">
        <w:rPr>
          <w:u w:color="000000"/>
          <w:bdr w:val="nil"/>
          <w:lang w:val="es-ES_tradnl"/>
        </w:rPr>
        <w:t xml:space="preserve">En cuanto al acceso a los servicios de </w:t>
      </w:r>
      <w:proofErr w:type="spellStart"/>
      <w:r w:rsidR="00655E5C" w:rsidRPr="001D41EA">
        <w:rPr>
          <w:u w:color="000000"/>
          <w:bdr w:val="nil"/>
          <w:lang w:val="es-ES_tradnl"/>
        </w:rPr>
        <w:t>SSR</w:t>
      </w:r>
      <w:proofErr w:type="spellEnd"/>
      <w:r w:rsidR="00655E5C" w:rsidRPr="001D41EA">
        <w:rPr>
          <w:u w:color="000000"/>
          <w:bdr w:val="nil"/>
          <w:lang w:val="es-ES_tradnl"/>
        </w:rPr>
        <w:t xml:space="preserve">, uno de los logros más importantes se </w:t>
      </w:r>
      <w:r w:rsidR="00655E5C" w:rsidRPr="008C44C0">
        <w:rPr>
          <w:u w:color="000000"/>
          <w:bdr w:val="nil"/>
          <w:lang w:val="es-ES_tradnl"/>
        </w:rPr>
        <w:t xml:space="preserve">evidencia en la reducción sobre la causa de muerte materna, la cual ha sido significativa, </w:t>
      </w:r>
      <w:r w:rsidR="00655E5C" w:rsidRPr="008C44C0">
        <w:rPr>
          <w:bCs/>
          <w:bdr w:val="nil"/>
          <w:lang w:val="es-ES_tradnl"/>
        </w:rPr>
        <w:t>pasando desde un 49.7 X 100,000 nacidos vivos en 2009 a un 24.3 X 100,000 nacidos vivos en el 2019</w:t>
      </w:r>
      <w:r w:rsidR="00655E5C" w:rsidRPr="008C44C0">
        <w:rPr>
          <w:bdr w:val="nil"/>
          <w:lang w:val="es-ES_tradnl"/>
        </w:rPr>
        <w:t>,</w:t>
      </w:r>
      <w:r w:rsidR="00655E5C" w:rsidRPr="008C44C0">
        <w:rPr>
          <w:u w:color="000000"/>
          <w:bdr w:val="nil"/>
          <w:lang w:val="es-ES_tradnl"/>
        </w:rPr>
        <w:t xml:space="preserve"> esto se ha logrado gracias a las diferentes estrategias implementadas a través del nivel central del</w:t>
      </w:r>
      <w:r w:rsidR="00655E5C" w:rsidRPr="001D41EA">
        <w:rPr>
          <w:u w:color="000000"/>
          <w:bdr w:val="nil"/>
          <w:lang w:val="es-ES_tradnl"/>
        </w:rPr>
        <w:t xml:space="preserve"> Ministerio de Salud, en los niveles locales (Unidades Comunitarias de Salud Familiar </w:t>
      </w:r>
      <w:r w:rsidR="00785ACC">
        <w:rPr>
          <w:u w:color="000000"/>
          <w:bdr w:val="nil"/>
          <w:lang w:val="es-ES_tradnl"/>
        </w:rPr>
        <w:t>—</w:t>
      </w:r>
      <w:proofErr w:type="spellStart"/>
      <w:r w:rsidR="00655E5C" w:rsidRPr="001D41EA">
        <w:rPr>
          <w:u w:color="000000"/>
          <w:bdr w:val="nil"/>
          <w:lang w:val="es-ES_tradnl"/>
        </w:rPr>
        <w:t>UCSF</w:t>
      </w:r>
      <w:proofErr w:type="spellEnd"/>
      <w:r w:rsidR="00785ACC">
        <w:rPr>
          <w:u w:color="000000"/>
          <w:bdr w:val="nil"/>
          <w:lang w:val="es-ES_tradnl"/>
        </w:rPr>
        <w:t>—</w:t>
      </w:r>
      <w:r w:rsidR="00655E5C" w:rsidRPr="001D41EA">
        <w:rPr>
          <w:u w:color="000000"/>
          <w:bdr w:val="nil"/>
          <w:lang w:val="es-ES_tradnl"/>
        </w:rPr>
        <w:t xml:space="preserve"> y Hospitales), y al trabajo coordinado que se realiza en Redes Integrales e Integradas de Salud </w:t>
      </w:r>
      <w:r w:rsidR="00785ACC">
        <w:rPr>
          <w:u w:color="000000"/>
          <w:bdr w:val="nil"/>
          <w:lang w:val="es-ES_tradnl"/>
        </w:rPr>
        <w:t>—</w:t>
      </w:r>
      <w:r w:rsidR="00655E5C" w:rsidRPr="001D41EA">
        <w:rPr>
          <w:u w:color="000000"/>
          <w:bdr w:val="nil"/>
          <w:lang w:val="es-ES_tradnl"/>
        </w:rPr>
        <w:t>RIIS</w:t>
      </w:r>
      <w:r w:rsidR="00785ACC">
        <w:rPr>
          <w:u w:color="000000"/>
          <w:bdr w:val="nil"/>
          <w:lang w:val="es-ES_tradnl"/>
        </w:rPr>
        <w:t>—</w:t>
      </w:r>
      <w:r w:rsidR="00655E5C" w:rsidRPr="001D41EA">
        <w:rPr>
          <w:u w:color="000000"/>
          <w:bdr w:val="nil"/>
          <w:lang w:val="es-ES_tradnl"/>
        </w:rPr>
        <w:t xml:space="preserve">, incluyendo el monitoreo, supervisión, evaluación y seguimiento de los programas establecidos. </w:t>
      </w:r>
    </w:p>
    <w:p w14:paraId="6C12C985" w14:textId="02676CA2"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21.</w:t>
      </w:r>
      <w:r w:rsidRPr="001D41EA">
        <w:rPr>
          <w:rFonts w:eastAsia="Arial"/>
          <w:u w:color="000000"/>
          <w:bdr w:val="nil"/>
          <w:lang w:val="es-ES_tradnl" w:eastAsia="en-US"/>
        </w:rPr>
        <w:tab/>
      </w:r>
      <w:r w:rsidR="00655E5C" w:rsidRPr="001D41EA">
        <w:rPr>
          <w:u w:color="000000"/>
          <w:bdr w:val="nil"/>
          <w:lang w:val="es-ES_tradnl"/>
        </w:rPr>
        <w:t xml:space="preserve">Actualmente se cuenta con un </w:t>
      </w:r>
      <w:r w:rsidR="00655E5C" w:rsidRPr="008C44C0">
        <w:rPr>
          <w:bCs/>
          <w:bdr w:val="nil"/>
          <w:lang w:val="es-ES_tradnl"/>
        </w:rPr>
        <w:t>Sistema de Información de Morbimortalidad en Línea (</w:t>
      </w:r>
      <w:proofErr w:type="spellStart"/>
      <w:r w:rsidR="00655E5C" w:rsidRPr="008C44C0">
        <w:rPr>
          <w:bCs/>
          <w:bdr w:val="nil"/>
          <w:lang w:val="es-ES_tradnl"/>
        </w:rPr>
        <w:t>SIMMOW</w:t>
      </w:r>
      <w:proofErr w:type="spellEnd"/>
      <w:r w:rsidR="00655E5C" w:rsidRPr="008C44C0">
        <w:rPr>
          <w:bCs/>
          <w:bdr w:val="nil"/>
          <w:lang w:val="es-ES_tradnl"/>
        </w:rPr>
        <w:t>)</w:t>
      </w:r>
      <w:r w:rsidR="00655E5C" w:rsidRPr="008C44C0">
        <w:rPr>
          <w:bdr w:val="nil"/>
          <w:lang w:val="es-ES_tradnl"/>
        </w:rPr>
        <w:t xml:space="preserve"> donde se encuentra</w:t>
      </w:r>
      <w:r w:rsidR="00655E5C" w:rsidRPr="001D41EA">
        <w:rPr>
          <w:u w:color="000000"/>
          <w:bdr w:val="nil"/>
          <w:lang w:val="es-ES_tradnl"/>
        </w:rPr>
        <w:t xml:space="preserve"> toda la información sobre la mortalidad materna, además de contar con datos sobre las principales morbilidades de las pacientes embarazadas.</w:t>
      </w:r>
    </w:p>
    <w:p w14:paraId="27C9F17F" w14:textId="11BF5C28" w:rsidR="00655E5C" w:rsidRPr="001D41EA" w:rsidRDefault="005816B3" w:rsidP="005816B3">
      <w:pPr>
        <w:pStyle w:val="SingleTxtG"/>
        <w:rPr>
          <w:rFonts w:eastAsia="Arial"/>
          <w:b/>
          <w:bCs/>
          <w:i/>
          <w:iCs/>
          <w:u w:color="000000"/>
          <w:bdr w:val="nil"/>
          <w:lang w:val="es-ES_tradnl"/>
        </w:rPr>
      </w:pPr>
      <w:r w:rsidRPr="001D41EA">
        <w:t>22</w:t>
      </w:r>
      <w:r w:rsidRPr="001D41EA">
        <w:rPr>
          <w:rFonts w:eastAsia="Arial"/>
          <w:b/>
          <w:bCs/>
          <w:i/>
          <w:iCs/>
          <w:u w:color="000000"/>
          <w:bdr w:val="nil"/>
          <w:lang w:val="es-ES_tradnl" w:eastAsia="en-US"/>
        </w:rPr>
        <w:t>.</w:t>
      </w:r>
      <w:r w:rsidRPr="001D41EA">
        <w:rPr>
          <w:rFonts w:eastAsia="Arial"/>
          <w:b/>
          <w:bCs/>
          <w:i/>
          <w:iCs/>
          <w:u w:color="000000"/>
          <w:bdr w:val="nil"/>
          <w:lang w:val="es-ES_tradnl" w:eastAsia="en-US"/>
        </w:rPr>
        <w:tab/>
      </w:r>
      <w:r w:rsidR="00655E5C" w:rsidRPr="001D41EA">
        <w:rPr>
          <w:u w:color="000000"/>
          <w:bdr w:val="nil"/>
          <w:lang w:val="es-ES_tradnl"/>
        </w:rPr>
        <w:t>Anualmente se realizan análisis de los datos de mortalidad con el fin de evaluar el impacto de las estrategias establecidas, además del análisis individual de los casos de mortalidad a través de auditoría médica.</w:t>
      </w:r>
    </w:p>
    <w:p w14:paraId="53FBC640" w14:textId="7FC6C310"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Asimismo, debe asegurar que se sigan todos los procedimientos para obtener el consentimiento pleno e informado de las personas con discapacidad en la</w:t>
      </w:r>
      <w:r w:rsidR="00785ACC">
        <w:rPr>
          <w:u w:color="000000"/>
          <w:bdr w:val="nil"/>
          <w:lang w:val="es-ES_tradnl" w:eastAsia="en-US"/>
        </w:rPr>
        <w:br/>
      </w:r>
      <w:r w:rsidR="00655E5C" w:rsidRPr="001D41EA">
        <w:rPr>
          <w:u w:color="000000"/>
          <w:bdr w:val="nil"/>
          <w:lang w:val="es-ES_tradnl" w:eastAsia="en-US"/>
        </w:rPr>
        <w:t>práctica de esterilización</w:t>
      </w:r>
    </w:p>
    <w:p w14:paraId="5557EA51" w14:textId="4ABE2246"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23.</w:t>
      </w:r>
      <w:r w:rsidRPr="001D41EA">
        <w:rPr>
          <w:rFonts w:eastAsia="Arial"/>
          <w:u w:color="000000"/>
          <w:bdr w:val="nil"/>
          <w:lang w:val="es-ES_tradnl" w:eastAsia="en-US"/>
        </w:rPr>
        <w:tab/>
      </w:r>
      <w:r w:rsidR="00655E5C" w:rsidRPr="001D41EA">
        <w:rPr>
          <w:u w:color="000000"/>
          <w:bdr w:val="nil"/>
          <w:lang w:val="es-ES_tradnl"/>
        </w:rPr>
        <w:t xml:space="preserve">En el Salvador no se realiza ningún procedimiento quirúrgico de esterilización o provisión de métodos anticonceptivos a pacientes con discapacidad, sin antes brindar una adecuada consejería y solicitar la firma de un consentimiento informado. </w:t>
      </w:r>
    </w:p>
    <w:p w14:paraId="29509C11" w14:textId="6C87CFF1"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24.</w:t>
      </w:r>
      <w:r w:rsidRPr="001D41EA">
        <w:rPr>
          <w:rFonts w:eastAsia="Arial"/>
          <w:u w:color="000000"/>
          <w:bdr w:val="nil"/>
          <w:lang w:val="es-ES_tradnl" w:eastAsia="en-US"/>
        </w:rPr>
        <w:tab/>
      </w:r>
      <w:r w:rsidR="00655E5C" w:rsidRPr="001D41EA">
        <w:rPr>
          <w:u w:color="000000"/>
          <w:bdr w:val="nil"/>
          <w:lang w:val="es-ES_tradnl"/>
        </w:rPr>
        <w:t xml:space="preserve">En las pacientes con deficiencias cognitivas se realiza una valoración de la severidad del caso por un médico/ personal sanitario, que le brinda la oportunidad de acceder a métodos de manera voluntaria y ampliamente informada. </w:t>
      </w:r>
    </w:p>
    <w:p w14:paraId="0BF5E688" w14:textId="670C286D"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25.</w:t>
      </w:r>
      <w:r w:rsidRPr="001D41EA">
        <w:rPr>
          <w:rFonts w:eastAsia="Arial"/>
          <w:u w:color="000000"/>
          <w:bdr w:val="nil"/>
          <w:lang w:val="es-ES_tradnl" w:eastAsia="en-US"/>
        </w:rPr>
        <w:tab/>
      </w:r>
      <w:r w:rsidR="00655E5C" w:rsidRPr="001D41EA">
        <w:rPr>
          <w:u w:color="000000"/>
          <w:bdr w:val="nil"/>
          <w:lang w:val="es-ES_tradnl"/>
        </w:rPr>
        <w:t>A este respecto, el Código Penal de El Salvador establece en su artículo 147 lo relativo a consentimiento atenuante y consentimiento eximente.</w:t>
      </w:r>
    </w:p>
    <w:p w14:paraId="682D0838" w14:textId="77777777" w:rsidR="00655E5C" w:rsidRPr="001D41EA" w:rsidRDefault="00655E5C" w:rsidP="005816B3">
      <w:pPr>
        <w:pStyle w:val="SingleTxtG"/>
        <w:ind w:firstLine="567"/>
        <w:rPr>
          <w:rFonts w:eastAsia="Arial"/>
          <w:i/>
          <w:u w:color="000000"/>
          <w:bdr w:val="nil"/>
          <w:lang w:val="es-ES_tradnl" w:eastAsia="en-US"/>
        </w:rPr>
      </w:pPr>
      <w:r w:rsidRPr="001D41EA">
        <w:rPr>
          <w:i/>
          <w:u w:color="000000"/>
          <w:bdr w:val="nil"/>
          <w:lang w:val="es-ES_tradnl" w:eastAsia="en-US"/>
        </w:rPr>
        <w:t>“Art. 147.- En los delitos de lesiones, si mediare consentimiento libre, espontáneo y expreso del ofendido, el hechor será sancionado con prisión de seis meses a dos años o multa de treinta a sesenta días multa.</w:t>
      </w:r>
    </w:p>
    <w:p w14:paraId="1F4D7C31" w14:textId="77777777" w:rsidR="00655E5C" w:rsidRPr="001D41EA" w:rsidRDefault="00655E5C" w:rsidP="005816B3">
      <w:pPr>
        <w:pStyle w:val="SingleTxtG"/>
        <w:rPr>
          <w:rFonts w:eastAsia="Arial"/>
          <w:i/>
          <w:u w:color="000000"/>
          <w:bdr w:val="nil"/>
          <w:lang w:val="es-ES_tradnl" w:eastAsia="en-US"/>
        </w:rPr>
      </w:pPr>
      <w:r w:rsidRPr="001D41EA">
        <w:rPr>
          <w:i/>
          <w:u w:color="000000"/>
          <w:bdr w:val="nil"/>
          <w:lang w:val="es-ES_tradnl" w:eastAsia="en-US"/>
        </w:rPr>
        <w:t>El consentimiento, exime de responsabilidad penal en los supuestos de donación o trasplante de órganos o tejidos humanos, esterilizaciones y cirugía transexual, ejecutadas con arreglo al Código de Salud y por facultativo.</w:t>
      </w:r>
    </w:p>
    <w:p w14:paraId="39357B84" w14:textId="77777777" w:rsidR="00655E5C" w:rsidRPr="001D41EA" w:rsidRDefault="00655E5C" w:rsidP="005816B3">
      <w:pPr>
        <w:pStyle w:val="SingleTxtG"/>
        <w:rPr>
          <w:rFonts w:eastAsia="Arial"/>
          <w:i/>
          <w:u w:color="000000"/>
          <w:bdr w:val="nil"/>
          <w:lang w:val="es-ES_tradnl" w:eastAsia="en-US"/>
        </w:rPr>
      </w:pPr>
      <w:r w:rsidRPr="001D41EA">
        <w:rPr>
          <w:i/>
          <w:u w:color="000000"/>
          <w:bdr w:val="nil"/>
          <w:lang w:val="es-ES_tradnl" w:eastAsia="en-US"/>
        </w:rPr>
        <w:t>El consentimiento prestado por un menor de edad o un incapaz para estos efectos no será válido, como tampoco el que por él presten sus representantes legales.</w:t>
      </w:r>
    </w:p>
    <w:p w14:paraId="7756E8D5" w14:textId="77777777" w:rsidR="00655E5C" w:rsidRPr="001D41EA" w:rsidRDefault="00655E5C" w:rsidP="005816B3">
      <w:pPr>
        <w:pStyle w:val="SingleTxtG"/>
        <w:rPr>
          <w:rFonts w:eastAsia="Arial"/>
          <w:i/>
          <w:u w:color="000000"/>
          <w:bdr w:val="nil"/>
          <w:lang w:val="es-ES_tradnl" w:eastAsia="en-US"/>
        </w:rPr>
      </w:pPr>
      <w:r w:rsidRPr="001D41EA">
        <w:rPr>
          <w:i/>
          <w:u w:color="000000"/>
          <w:bdr w:val="nil"/>
          <w:lang w:val="es-ES_tradnl" w:eastAsia="en-US"/>
        </w:rPr>
        <w:t>Sin embargo, no será punible la esterilización de persona incapaz que adolezca de grave deficiencia psíquica, cuando sea autorizada por el juez o tribunal, a petición del representante legal del incapaz, previo dictamen de facultativo.”</w:t>
      </w:r>
    </w:p>
    <w:p w14:paraId="187BFCA8" w14:textId="4503A8E4"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Al respecto, el Estado parte debe impartir formación especial al personal de salud con</w:t>
      </w:r>
      <w:r w:rsidR="00785ACC">
        <w:rPr>
          <w:u w:color="000000"/>
          <w:bdr w:val="nil"/>
          <w:lang w:val="es-ES_tradnl" w:eastAsia="en-US"/>
        </w:rPr>
        <w:t> </w:t>
      </w:r>
      <w:r w:rsidR="00655E5C" w:rsidRPr="001D41EA">
        <w:rPr>
          <w:u w:color="000000"/>
          <w:bdr w:val="nil"/>
          <w:lang w:val="es-ES_tradnl" w:eastAsia="en-US"/>
        </w:rPr>
        <w:t>el fin de dar a conocer mejor los efectos perjudiciales y los alcances de la esterilización forzada</w:t>
      </w:r>
    </w:p>
    <w:p w14:paraId="5F1CD6A9" w14:textId="5CC0BBA4"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26.</w:t>
      </w:r>
      <w:r w:rsidRPr="001D41EA">
        <w:rPr>
          <w:rFonts w:eastAsia="Arial"/>
          <w:u w:color="000000"/>
          <w:bdr w:val="nil"/>
          <w:lang w:val="es-ES_tradnl" w:eastAsia="en-US"/>
        </w:rPr>
        <w:tab/>
      </w:r>
      <w:r w:rsidR="00655E5C" w:rsidRPr="001D41EA">
        <w:rPr>
          <w:u w:color="000000"/>
          <w:bdr w:val="nil"/>
          <w:lang w:val="es-ES_tradnl"/>
        </w:rPr>
        <w:t>Todo el personal de salud con énfasis en médicos, enfermeras y promotores de salud han sido capacitados en materia de salud sexual y reproductiva, derechos humanos y criterios médicos de uso de anticonceptivos de la Organización Mundial de la Salud (OMS), con el objetivo de conocer los beneficios y los daños potenciales que puede causar la anticoncepción y la esterilización forzada.</w:t>
      </w:r>
    </w:p>
    <w:p w14:paraId="2F43D1EF" w14:textId="5E5C6851" w:rsidR="00655E5C" w:rsidRPr="001D41EA" w:rsidRDefault="005816B3" w:rsidP="00AE10C5">
      <w:pPr>
        <w:pStyle w:val="H1G"/>
        <w:rPr>
          <w:rFonts w:eastAsia="Arial"/>
          <w:sz w:val="22"/>
          <w:szCs w:val="22"/>
          <w:u w:color="000000"/>
          <w:bdr w:val="nil"/>
          <w:lang w:val="es-ES_tradnl" w:eastAsia="en-US"/>
        </w:rPr>
      </w:pPr>
      <w:r w:rsidRPr="001D41EA">
        <w:rPr>
          <w:u w:color="000000"/>
          <w:bdr w:val="nil"/>
          <w:lang w:val="es-ES_tradnl" w:eastAsia="en-US"/>
        </w:rPr>
        <w:lastRenderedPageBreak/>
        <w:tab/>
      </w:r>
      <w:r w:rsidRPr="001D41EA">
        <w:rPr>
          <w:u w:color="000000"/>
          <w:bdr w:val="nil"/>
          <w:lang w:val="es-ES_tradnl" w:eastAsia="en-US"/>
        </w:rPr>
        <w:tab/>
      </w:r>
      <w:proofErr w:type="spellStart"/>
      <w:r w:rsidR="00655E5C" w:rsidRPr="001D41EA">
        <w:t>Pá</w:t>
      </w:r>
      <w:r w:rsidR="00655E5C" w:rsidRPr="001D41EA">
        <w:rPr>
          <w:u w:color="000000"/>
          <w:bdr w:val="nil"/>
          <w:lang w:val="es-ES_tradnl" w:eastAsia="en-US"/>
        </w:rPr>
        <w:t>rrafo</w:t>
      </w:r>
      <w:proofErr w:type="spellEnd"/>
      <w:r w:rsidR="00655E5C" w:rsidRPr="001D41EA">
        <w:rPr>
          <w:u w:color="000000"/>
          <w:bdr w:val="nil"/>
          <w:lang w:val="es-ES_tradnl" w:eastAsia="en-US"/>
        </w:rPr>
        <w:t xml:space="preserve"> 18</w:t>
      </w:r>
    </w:p>
    <w:p w14:paraId="50DBC06E" w14:textId="303467D5" w:rsidR="00655E5C" w:rsidRPr="001D41EA" w:rsidRDefault="005816B3">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 xml:space="preserve">El Estado parte debe: </w:t>
      </w:r>
      <w:r w:rsidR="008C44C0">
        <w:rPr>
          <w:u w:color="000000"/>
          <w:bdr w:val="nil"/>
          <w:lang w:val="es-ES_tradnl" w:eastAsia="en-US"/>
        </w:rPr>
        <w:t>a)</w:t>
      </w:r>
      <w:r w:rsidR="00785ACC">
        <w:rPr>
          <w:u w:color="000000"/>
          <w:bdr w:val="nil"/>
          <w:lang w:val="es-ES_tradnl" w:eastAsia="en-US"/>
        </w:rPr>
        <w:tab/>
      </w:r>
      <w:r w:rsidR="00655E5C" w:rsidRPr="001D41EA">
        <w:rPr>
          <w:u w:color="000000"/>
          <w:bdr w:val="nil"/>
          <w:lang w:val="es-ES_tradnl" w:eastAsia="en-US"/>
        </w:rPr>
        <w:t>Asegurar que la unidad especial disponga de los recursos humanos, financieros y técnicos necesarios para llevar a cabo las investigaciones</w:t>
      </w:r>
      <w:r w:rsidR="00785ACC">
        <w:rPr>
          <w:u w:color="000000"/>
          <w:bdr w:val="nil"/>
          <w:lang w:val="es-ES_tradnl" w:eastAsia="en-US"/>
        </w:rPr>
        <w:br/>
      </w:r>
      <w:r w:rsidR="00655E5C" w:rsidRPr="001D41EA">
        <w:rPr>
          <w:u w:color="000000"/>
          <w:bdr w:val="nil"/>
          <w:lang w:val="es-ES_tradnl" w:eastAsia="en-US"/>
        </w:rPr>
        <w:t>de las graves violaciones de derechos humanos que ocurrieron durante el conflicto</w:t>
      </w:r>
      <w:r w:rsidR="00785ACC">
        <w:rPr>
          <w:u w:color="000000"/>
          <w:bdr w:val="nil"/>
          <w:lang w:val="es-ES_tradnl" w:eastAsia="en-US"/>
        </w:rPr>
        <w:t> </w:t>
      </w:r>
      <w:r w:rsidR="00655E5C" w:rsidRPr="001D41EA">
        <w:rPr>
          <w:u w:color="000000"/>
          <w:bdr w:val="nil"/>
          <w:lang w:val="es-ES_tradnl" w:eastAsia="en-US"/>
        </w:rPr>
        <w:t>armado y garantizar el acceso a toda la información relacionada</w:t>
      </w:r>
      <w:r w:rsidR="00785ACC">
        <w:rPr>
          <w:u w:color="000000"/>
          <w:bdr w:val="nil"/>
          <w:lang w:val="es-ES_tradnl" w:eastAsia="en-US"/>
        </w:rPr>
        <w:br/>
      </w:r>
      <w:r w:rsidR="00655E5C" w:rsidRPr="001D41EA">
        <w:rPr>
          <w:u w:color="000000"/>
          <w:bdr w:val="nil"/>
          <w:lang w:val="es-ES_tradnl" w:eastAsia="en-US"/>
        </w:rPr>
        <w:t xml:space="preserve">con estas violaciones, incluidos los archivos históricos de las Fuerzas Armadas </w:t>
      </w:r>
    </w:p>
    <w:p w14:paraId="49846217" w14:textId="65801731"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27.</w:t>
      </w:r>
      <w:r w:rsidRPr="001D41EA">
        <w:rPr>
          <w:rFonts w:eastAsia="Arial"/>
          <w:u w:color="000000"/>
          <w:bdr w:val="nil"/>
          <w:lang w:val="es-ES_tradnl" w:eastAsia="en-US"/>
        </w:rPr>
        <w:tab/>
      </w:r>
      <w:r w:rsidR="00655E5C" w:rsidRPr="001D41EA">
        <w:rPr>
          <w:u w:color="000000"/>
          <w:bdr w:val="nil"/>
          <w:lang w:val="es-ES_tradnl"/>
        </w:rPr>
        <w:t xml:space="preserve">La Unidad de Investigación de Graves Violaciones de Derechos Humanos ocurridas en el contexto del conflicto armado en El Salvador, fue creada a través del Acuerdo de la Fiscalía General de la República </w:t>
      </w:r>
      <w:proofErr w:type="spellStart"/>
      <w:r w:rsidR="00655E5C" w:rsidRPr="001D41EA">
        <w:rPr>
          <w:u w:color="000000"/>
          <w:bdr w:val="nil"/>
          <w:lang w:val="es-ES_tradnl"/>
        </w:rPr>
        <w:t>n</w:t>
      </w:r>
      <w:r w:rsidR="00785ACC">
        <w:rPr>
          <w:u w:color="000000"/>
          <w:bdr w:val="nil"/>
          <w:lang w:val="es-ES_tradnl"/>
        </w:rPr>
        <w:t>º</w:t>
      </w:r>
      <w:proofErr w:type="spellEnd"/>
      <w:r w:rsidR="00655E5C" w:rsidRPr="001D41EA">
        <w:rPr>
          <w:u w:color="000000"/>
          <w:bdr w:val="nil"/>
          <w:lang w:val="es-ES_tradnl"/>
        </w:rPr>
        <w:t xml:space="preserve"> 129, del 7 de diciembre de 2016. Tiene como función principal cumplir con lo dispuesto en la sentencia definitiva </w:t>
      </w:r>
      <w:r w:rsidR="00655E5C" w:rsidRPr="001D41EA">
        <w:rPr>
          <w:sz w:val="24"/>
          <w:szCs w:val="24"/>
          <w:u w:color="000000"/>
          <w:bdr w:val="nil"/>
          <w:lang w:val="es-ES_tradnl"/>
        </w:rPr>
        <w:t>dictada</w:t>
      </w:r>
      <w:r w:rsidR="00655E5C" w:rsidRPr="001D41EA">
        <w:rPr>
          <w:u w:color="000000"/>
          <w:bdr w:val="nil"/>
          <w:lang w:val="es-ES_tradnl"/>
        </w:rPr>
        <w:t xml:space="preserve"> por la Sala de lo Constitucional de la Corte Suprema de Justicia en el proceso de inconstitucionalidad 44-2013/145-2013, del 13 de julio de 2016, que declaró, de manera general y obligatoria, la inconstitucionalidad de la Ley de Amnistía General para la Consolidación de la Paz y ordenó la investigación de graves violaciones a los derechos humanos ocurridas en el pasado conflicto armado interno.</w:t>
      </w:r>
    </w:p>
    <w:p w14:paraId="7144BECC" w14:textId="06E90303"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28.</w:t>
      </w:r>
      <w:r w:rsidRPr="001D41EA">
        <w:rPr>
          <w:rFonts w:eastAsia="Arial"/>
          <w:u w:color="000000"/>
          <w:bdr w:val="nil"/>
          <w:lang w:val="es-ES_tradnl" w:eastAsia="en-US"/>
        </w:rPr>
        <w:tab/>
      </w:r>
      <w:r w:rsidR="00655E5C" w:rsidRPr="001D41EA">
        <w:rPr>
          <w:u w:color="000000"/>
          <w:bdr w:val="nil"/>
          <w:lang w:val="es-ES_tradnl"/>
        </w:rPr>
        <w:t>Para el cumplimiento de dichas funciones, la citada Unidad cuenta con fondos y recursos propios, que derivan del presupuesto ordinario de la Fiscalía General de la República. En lo que respecta al desarrollo de sus funciones, estas se encuentran enmarcadas en un plan de trabajo. Para su ejecución cuenta con el acompañamiento de la Unidad de Derechos Humanos y de las diferentes oficinas fiscales que conocen sobre casos de violaciones a derechos humanos ocurridas en el contexto del conflicto armado interno.</w:t>
      </w:r>
    </w:p>
    <w:p w14:paraId="5E4EBB0E" w14:textId="6483C6E6"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29.</w:t>
      </w:r>
      <w:r w:rsidRPr="001D41EA">
        <w:rPr>
          <w:rFonts w:eastAsia="Arial"/>
          <w:u w:color="000000"/>
          <w:bdr w:val="nil"/>
          <w:lang w:val="es-ES_tradnl" w:eastAsia="en-US"/>
        </w:rPr>
        <w:tab/>
      </w:r>
      <w:r w:rsidR="00655E5C" w:rsidRPr="001D41EA">
        <w:rPr>
          <w:u w:color="000000"/>
          <w:bdr w:val="nil"/>
          <w:lang w:val="es-ES_tradnl"/>
        </w:rPr>
        <w:t xml:space="preserve">El Grupo Fiscal para la investigación de delitos del conflicto armado interno, creado por la Fiscalía General de la República, ha sido favorecido con la asistencia técnica y capacitación especializada por parte de la Oficina de la Alta Comisionada de Naciones Unidas para los Derechos Humanos. Igualmente le ha apoyado en la construcción de la “Política de persecución penal de crímenes de guerra y de lesa humanidad ocurridos en el contexto del conflicto armado en El Salvador”, oficializada en diciembre de 2018 y la cual valora los patrones sistemáticos que permitieron la comisión de graves violaciones a derechos humanos y la complejidad de </w:t>
      </w:r>
      <w:proofErr w:type="gramStart"/>
      <w:r w:rsidR="00655E5C" w:rsidRPr="001D41EA">
        <w:rPr>
          <w:u w:color="000000"/>
          <w:bdr w:val="nil"/>
          <w:lang w:val="es-ES_tradnl"/>
        </w:rPr>
        <w:t>los mismos</w:t>
      </w:r>
      <w:proofErr w:type="gramEnd"/>
      <w:r w:rsidR="00655E5C" w:rsidRPr="001D41EA">
        <w:rPr>
          <w:u w:color="000000"/>
          <w:bdr w:val="nil"/>
          <w:lang w:val="es-ES_tradnl"/>
        </w:rPr>
        <w:t>.</w:t>
      </w:r>
    </w:p>
    <w:p w14:paraId="5BB16D01" w14:textId="7E069135"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30.</w:t>
      </w:r>
      <w:r w:rsidRPr="001D41EA">
        <w:rPr>
          <w:rFonts w:eastAsia="Arial"/>
          <w:u w:color="000000"/>
          <w:bdr w:val="nil"/>
          <w:lang w:val="es-ES_tradnl" w:eastAsia="en-US"/>
        </w:rPr>
        <w:tab/>
      </w:r>
      <w:r w:rsidR="00655E5C" w:rsidRPr="001D41EA">
        <w:rPr>
          <w:u w:color="000000"/>
          <w:bdr w:val="nil"/>
          <w:lang w:val="es-ES_tradnl"/>
        </w:rPr>
        <w:t xml:space="preserve">Dicha unidad, en el marco de sus facultades legales, se encuentra habilitada para requerir información, para la investigación de los graves crímenes y violaciones a derechos humanos ocurridas en el contexto del conflicto armado, incluyendo los archivos históricos de la Fuerza Armada. </w:t>
      </w:r>
    </w:p>
    <w:p w14:paraId="2F274870" w14:textId="274E24AD"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31.</w:t>
      </w:r>
      <w:r w:rsidRPr="001D41EA">
        <w:rPr>
          <w:rFonts w:eastAsia="Arial"/>
          <w:u w:color="000000"/>
          <w:bdr w:val="nil"/>
          <w:lang w:val="es-ES_tradnl" w:eastAsia="en-US"/>
        </w:rPr>
        <w:tab/>
      </w:r>
      <w:r w:rsidR="00655E5C" w:rsidRPr="001D41EA">
        <w:rPr>
          <w:u w:color="000000"/>
          <w:bdr w:val="nil"/>
          <w:lang w:val="es-ES_tradnl"/>
        </w:rPr>
        <w:t>En este mismo sentido, la Ley de Acceso a la Información Pública, en el inciso final del Artículo 19, dispone que no puede invocarse el carácter de reservado de la información en poder de instituciones públicas cuando se trate de la investigación de violaciones graves de derechos fundamentales o delitos de trascendencia internacional.</w:t>
      </w:r>
    </w:p>
    <w:p w14:paraId="17F37A19" w14:textId="4E8C170B"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8C44C0">
        <w:rPr>
          <w:u w:color="000000"/>
          <w:bdr w:val="nil"/>
          <w:lang w:val="es-ES_tradnl" w:eastAsia="en-US"/>
        </w:rPr>
        <w:t>b)</w:t>
      </w:r>
      <w:r w:rsidR="00AE10C5">
        <w:rPr>
          <w:u w:color="000000"/>
          <w:bdr w:val="nil"/>
          <w:lang w:val="es-ES_tradnl" w:eastAsia="en-US"/>
        </w:rPr>
        <w:tab/>
      </w:r>
      <w:r w:rsidR="00655E5C" w:rsidRPr="001D41EA">
        <w:rPr>
          <w:u w:color="000000"/>
          <w:bdr w:val="nil"/>
          <w:lang w:val="es-ES_tradnl" w:eastAsia="en-US"/>
        </w:rPr>
        <w:t>Garantizar la total protección, seguridad personal e independencia del Fiscal General y su Oficina, incluyendo la total implementación de las medidas cautelares concedidas por la Comisión Interamericana de Derechos Humanos, y tomar las medidas necesarias para prevenir actos de intimidación contra funcionarios</w:t>
      </w:r>
      <w:r w:rsidR="00785ACC">
        <w:rPr>
          <w:u w:color="000000"/>
          <w:bdr w:val="nil"/>
          <w:lang w:val="es-ES_tradnl" w:eastAsia="en-US"/>
        </w:rPr>
        <w:br/>
      </w:r>
      <w:r w:rsidR="00655E5C" w:rsidRPr="001D41EA">
        <w:rPr>
          <w:u w:color="000000"/>
          <w:bdr w:val="nil"/>
          <w:lang w:val="es-ES_tradnl" w:eastAsia="en-US"/>
        </w:rPr>
        <w:t>públicos y miembros de la sociedad civil que están investigando estos casos</w:t>
      </w:r>
    </w:p>
    <w:p w14:paraId="78CE1664" w14:textId="5BF46E7D" w:rsidR="00655E5C" w:rsidRPr="001D41EA" w:rsidRDefault="005816B3" w:rsidP="005816B3">
      <w:pPr>
        <w:pStyle w:val="SingleTxtG"/>
        <w:rPr>
          <w:u w:color="000000"/>
          <w:bdr w:val="nil"/>
          <w:lang w:val="es-ES_tradnl"/>
        </w:rPr>
      </w:pPr>
      <w:r w:rsidRPr="001D41EA">
        <w:rPr>
          <w:rFonts w:eastAsia="Calibri"/>
          <w:u w:color="000000"/>
          <w:bdr w:val="nil"/>
          <w:lang w:val="es-ES_tradnl" w:eastAsia="en-US"/>
        </w:rPr>
        <w:t>32.</w:t>
      </w:r>
      <w:r w:rsidRPr="001D41EA">
        <w:rPr>
          <w:rFonts w:eastAsia="Calibri"/>
          <w:u w:color="000000"/>
          <w:bdr w:val="nil"/>
          <w:lang w:val="es-ES_tradnl" w:eastAsia="en-US"/>
        </w:rPr>
        <w:tab/>
      </w:r>
      <w:r w:rsidR="00655E5C" w:rsidRPr="001D41EA">
        <w:rPr>
          <w:u w:color="000000"/>
          <w:bdr w:val="nil"/>
          <w:lang w:val="es-ES_tradnl"/>
        </w:rPr>
        <w:t xml:space="preserve">El Estado de El Salvador comunica que ha implementado las medidas cautelares ordenadas por la Comisión Interamericana de Derechos Humanos </w:t>
      </w:r>
      <w:proofErr w:type="gramStart"/>
      <w:r w:rsidR="00655E5C" w:rsidRPr="001D41EA">
        <w:rPr>
          <w:u w:color="000000"/>
          <w:bdr w:val="nil"/>
          <w:lang w:val="es-ES_tradnl"/>
        </w:rPr>
        <w:t>en relación al</w:t>
      </w:r>
      <w:proofErr w:type="gramEnd"/>
      <w:r w:rsidR="00655E5C" w:rsidRPr="001D41EA">
        <w:rPr>
          <w:u w:color="000000"/>
          <w:bdr w:val="nil"/>
          <w:lang w:val="es-ES_tradnl"/>
        </w:rPr>
        <w:t xml:space="preserve"> ex Fiscal General de la República, quien concluyó en su cargo el 5 de enero de 2019, bajo una modalidad que ha sido acordada con el beneficiario, lo que se encuentra bajo una supervisión ejercida por la citada Comisión.</w:t>
      </w:r>
    </w:p>
    <w:p w14:paraId="0417984C" w14:textId="6F5CD7FC" w:rsidR="00655E5C" w:rsidRPr="001D41EA" w:rsidRDefault="005816B3" w:rsidP="005816B3">
      <w:pPr>
        <w:pStyle w:val="SingleTxtG"/>
        <w:rPr>
          <w:rFonts w:eastAsia="Arial"/>
          <w:u w:color="000000"/>
          <w:bdr w:val="nil"/>
          <w:lang w:val="es-ES_tradnl"/>
        </w:rPr>
      </w:pPr>
      <w:r w:rsidRPr="001D41EA">
        <w:rPr>
          <w:rFonts w:eastAsia="Arial"/>
          <w:u w:color="000000"/>
          <w:bdr w:val="nil"/>
          <w:lang w:val="es-ES_tradnl" w:eastAsia="en-US"/>
        </w:rPr>
        <w:t>33.</w:t>
      </w:r>
      <w:r w:rsidRPr="001D41EA">
        <w:rPr>
          <w:rFonts w:eastAsia="Arial"/>
          <w:u w:color="000000"/>
          <w:bdr w:val="nil"/>
          <w:lang w:val="es-ES_tradnl" w:eastAsia="en-US"/>
        </w:rPr>
        <w:tab/>
      </w:r>
      <w:r w:rsidR="00655E5C" w:rsidRPr="001D41EA">
        <w:rPr>
          <w:u w:color="000000"/>
          <w:bdr w:val="nil"/>
          <w:lang w:val="es-ES_tradnl"/>
        </w:rPr>
        <w:t xml:space="preserve">En relación a los presuntos actos de intimidación a funcionarios públicos y miembros de sociedad civil que investigan este tipo de casos, el Estado informa que la misma Fiscalía General de la República es la instancia responsable de la investigación de hechos que constituyan delitos y que en el marco de la investigación de estos hechos, la mismas organizaciones de la sociedad civil actúan como un aliado estratégico, </w:t>
      </w:r>
      <w:r w:rsidR="00655E5C" w:rsidRPr="001D41EA">
        <w:rPr>
          <w:u w:color="000000"/>
          <w:bdr w:val="nil"/>
          <w:lang w:val="es-ES_tradnl"/>
        </w:rPr>
        <w:lastRenderedPageBreak/>
        <w:t>constituyéndose como querella en algunos de estos casos y estableciendo una relación de colaboración.</w:t>
      </w:r>
    </w:p>
    <w:p w14:paraId="105D6C24" w14:textId="71CEA125" w:rsidR="00655E5C" w:rsidRPr="001D41EA" w:rsidRDefault="005816B3" w:rsidP="00AE10C5">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c)</w:t>
      </w:r>
      <w:r w:rsidRPr="001D41EA">
        <w:rPr>
          <w:u w:color="000000"/>
          <w:bdr w:val="nil"/>
          <w:lang w:val="es-ES_tradnl" w:eastAsia="en-US"/>
        </w:rPr>
        <w:tab/>
      </w:r>
      <w:r w:rsidR="00655E5C" w:rsidRPr="001D41EA">
        <w:rPr>
          <w:u w:color="000000"/>
          <w:bdr w:val="nil"/>
          <w:lang w:val="es-ES_tradnl" w:eastAsia="en-US"/>
        </w:rPr>
        <w:t>Acelerar la búsqueda de las personas desaparecidas y asegurar que se proporcionen los recursos adecuados para este fin, incluyendo la Comisión</w:t>
      </w:r>
      <w:r w:rsidR="00785ACC">
        <w:rPr>
          <w:u w:color="000000"/>
          <w:bdr w:val="nil"/>
          <w:lang w:val="es-ES_tradnl" w:eastAsia="en-US"/>
        </w:rPr>
        <w:br/>
      </w:r>
      <w:r w:rsidR="00655E5C" w:rsidRPr="001D41EA">
        <w:rPr>
          <w:u w:color="000000"/>
          <w:bdr w:val="nil"/>
          <w:lang w:val="es-ES_tradnl" w:eastAsia="en-US"/>
        </w:rPr>
        <w:t>Nacional de Búsqueda de Personas Adultas Desaparecidas en el contexto del</w:t>
      </w:r>
      <w:r w:rsidR="00785ACC">
        <w:rPr>
          <w:u w:color="000000"/>
          <w:bdr w:val="nil"/>
          <w:lang w:val="es-ES_tradnl" w:eastAsia="en-US"/>
        </w:rPr>
        <w:br/>
      </w:r>
      <w:r w:rsidR="00655E5C" w:rsidRPr="001D41EA">
        <w:rPr>
          <w:u w:color="000000"/>
          <w:bdr w:val="nil"/>
          <w:lang w:val="es-ES_tradnl" w:eastAsia="en-US"/>
        </w:rPr>
        <w:t>Conflicto Armado (</w:t>
      </w:r>
      <w:proofErr w:type="spellStart"/>
      <w:r w:rsidR="00655E5C" w:rsidRPr="001D41EA">
        <w:rPr>
          <w:u w:color="000000"/>
          <w:bdr w:val="nil"/>
          <w:lang w:val="es-ES_tradnl" w:eastAsia="en-US"/>
        </w:rPr>
        <w:t>CONABUSQUEDA</w:t>
      </w:r>
      <w:proofErr w:type="spellEnd"/>
      <w:r w:rsidR="00655E5C" w:rsidRPr="001D41EA">
        <w:rPr>
          <w:u w:color="000000"/>
          <w:bdr w:val="nil"/>
          <w:lang w:val="es-ES_tradnl" w:eastAsia="en-US"/>
        </w:rPr>
        <w:t>) y la Comisión Nacional de Búsqueda de Niñas y Niños Desaparecidos durante el Conflicto Armado Interno. El Comité</w:t>
      </w:r>
      <w:r w:rsidR="00785ACC">
        <w:rPr>
          <w:u w:color="000000"/>
          <w:bdr w:val="nil"/>
          <w:lang w:val="es-ES_tradnl" w:eastAsia="en-US"/>
        </w:rPr>
        <w:br/>
      </w:r>
      <w:r w:rsidR="00655E5C" w:rsidRPr="001D41EA">
        <w:rPr>
          <w:u w:color="000000"/>
          <w:bdr w:val="nil"/>
          <w:lang w:val="es-ES_tradnl" w:eastAsia="en-US"/>
        </w:rPr>
        <w:t>anima al Estado parte a que considere ratificar la Convención Internacional</w:t>
      </w:r>
      <w:r w:rsidR="00785ACC">
        <w:rPr>
          <w:u w:color="000000"/>
          <w:bdr w:val="nil"/>
          <w:lang w:val="es-ES_tradnl" w:eastAsia="en-US"/>
        </w:rPr>
        <w:br/>
      </w:r>
      <w:r w:rsidR="00655E5C" w:rsidRPr="001D41EA">
        <w:rPr>
          <w:u w:color="000000"/>
          <w:bdr w:val="nil"/>
          <w:lang w:val="es-ES_tradnl" w:eastAsia="en-US"/>
        </w:rPr>
        <w:t>para la protección de todas las personas contra las desapariciones forzadas</w:t>
      </w:r>
    </w:p>
    <w:p w14:paraId="07AAEE21" w14:textId="6B7F82F4" w:rsidR="00655E5C" w:rsidRPr="001D41EA" w:rsidRDefault="005816B3" w:rsidP="005816B3">
      <w:pPr>
        <w:pStyle w:val="SingleTxtG"/>
      </w:pPr>
      <w:r w:rsidRPr="001D41EA">
        <w:t>34.</w:t>
      </w:r>
      <w:r w:rsidRPr="001D41EA">
        <w:tab/>
      </w:r>
      <w:r w:rsidR="00655E5C" w:rsidRPr="001D41EA">
        <w:t>Desde 2010, El Salvador cuenta con una Comisión Nacional de Búsqueda de Niñas y Niños Desaparecidos durante el Contexto del Conflicto Armado Interno (</w:t>
      </w:r>
      <w:proofErr w:type="spellStart"/>
      <w:r w:rsidR="00655E5C" w:rsidRPr="001D41EA">
        <w:t>CNB</w:t>
      </w:r>
      <w:proofErr w:type="spellEnd"/>
      <w:r w:rsidR="00655E5C" w:rsidRPr="001D41EA">
        <w:t xml:space="preserve">). Esta realiza labores de investigación, localización y reencuentro de niños y niñas desaparecidos (hoy personas adultas) con sus familias biológicas, y brinda apoyo psicosocial a familias víctimas de la desaparición forzada. </w:t>
      </w:r>
    </w:p>
    <w:p w14:paraId="5A5D59F7" w14:textId="2D487AEB" w:rsidR="00655E5C" w:rsidRDefault="005816B3" w:rsidP="005816B3">
      <w:pPr>
        <w:pStyle w:val="SingleTxtG"/>
      </w:pPr>
      <w:r w:rsidRPr="001D41EA">
        <w:t>35.</w:t>
      </w:r>
      <w:r w:rsidRPr="001D41EA">
        <w:tab/>
      </w:r>
      <w:r w:rsidR="00655E5C" w:rsidRPr="001D41EA">
        <w:t xml:space="preserve">Al cierre de 2019, la </w:t>
      </w:r>
      <w:proofErr w:type="spellStart"/>
      <w:r w:rsidR="00655E5C" w:rsidRPr="001D41EA">
        <w:t>CNB</w:t>
      </w:r>
      <w:proofErr w:type="spellEnd"/>
      <w:r w:rsidR="00655E5C" w:rsidRPr="001D41EA">
        <w:t xml:space="preserve"> en poco más de 8 años labores operativas registró 346 expedientes de niñez desaparecida, de los que logró resolver 103. Asimismo, la </w:t>
      </w:r>
      <w:proofErr w:type="spellStart"/>
      <w:r w:rsidR="00655E5C" w:rsidRPr="001D41EA">
        <w:t>CNB</w:t>
      </w:r>
      <w:proofErr w:type="spellEnd"/>
      <w:r w:rsidR="00655E5C" w:rsidRPr="001D41EA">
        <w:t xml:space="preserve"> ha promovido 16 diligencias de exhumación ante las autoridades fiscales y judiciales, brindando acompañamiento psicosocial durante esa experiencia dolorosa pero necesaria para la reivindicación de la memoria y la verdad.</w:t>
      </w:r>
    </w:p>
    <w:tbl>
      <w:tblPr>
        <w:tblStyle w:val="Tablaconcuadrcula"/>
        <w:tblW w:w="7370" w:type="dxa"/>
        <w:tblInd w:w="1134" w:type="dxa"/>
        <w:tblLayout w:type="fixed"/>
        <w:tblCellMar>
          <w:left w:w="0" w:type="dxa"/>
          <w:right w:w="0" w:type="dxa"/>
        </w:tblCellMar>
        <w:tblLook w:val="04A0" w:firstRow="1" w:lastRow="0" w:firstColumn="1" w:lastColumn="0" w:noHBand="0" w:noVBand="1"/>
      </w:tblPr>
      <w:tblGrid>
        <w:gridCol w:w="5670"/>
        <w:gridCol w:w="1700"/>
      </w:tblGrid>
      <w:tr w:rsidR="00AE10C5" w:rsidRPr="0016164D" w14:paraId="069A3AF7" w14:textId="77777777" w:rsidTr="00C16BCC">
        <w:tc>
          <w:tcPr>
            <w:tcW w:w="5670" w:type="dxa"/>
            <w:tcBorders>
              <w:top w:val="single" w:sz="4" w:space="0" w:color="auto"/>
              <w:bottom w:val="single" w:sz="2" w:space="0" w:color="auto"/>
            </w:tcBorders>
            <w:shd w:val="clear" w:color="auto" w:fill="auto"/>
            <w:vAlign w:val="bottom"/>
          </w:tcPr>
          <w:p w14:paraId="0C9923CF" w14:textId="77777777" w:rsidR="00AE10C5" w:rsidRPr="0016164D" w:rsidRDefault="00AE10C5" w:rsidP="00C16BCC">
            <w:pPr>
              <w:spacing w:before="80" w:after="80" w:line="200" w:lineRule="exact"/>
              <w:rPr>
                <w:i/>
                <w:sz w:val="16"/>
              </w:rPr>
            </w:pPr>
            <w:r>
              <w:rPr>
                <w:i/>
                <w:sz w:val="16"/>
              </w:rPr>
              <w:t>Dato Globales</w:t>
            </w:r>
            <w:r>
              <w:rPr>
                <w:i/>
                <w:sz w:val="16"/>
              </w:rPr>
              <w:br/>
              <w:t>Comisión Nacional de Búsqueda de Niñas y Niños Desaparecidos durante</w:t>
            </w:r>
            <w:r>
              <w:rPr>
                <w:i/>
                <w:sz w:val="16"/>
              </w:rPr>
              <w:br/>
              <w:t>el Contexto del Conflicto Armado Interno (</w:t>
            </w:r>
            <w:proofErr w:type="spellStart"/>
            <w:r>
              <w:rPr>
                <w:i/>
                <w:sz w:val="16"/>
              </w:rPr>
              <w:t>CNB</w:t>
            </w:r>
            <w:proofErr w:type="spellEnd"/>
            <w:r>
              <w:rPr>
                <w:i/>
                <w:sz w:val="16"/>
              </w:rPr>
              <w:t>) 2011-2019</w:t>
            </w:r>
          </w:p>
        </w:tc>
        <w:tc>
          <w:tcPr>
            <w:tcW w:w="1700" w:type="dxa"/>
            <w:tcBorders>
              <w:top w:val="single" w:sz="4" w:space="0" w:color="auto"/>
              <w:bottom w:val="single" w:sz="2" w:space="0" w:color="auto"/>
            </w:tcBorders>
            <w:shd w:val="clear" w:color="auto" w:fill="auto"/>
            <w:vAlign w:val="bottom"/>
          </w:tcPr>
          <w:p w14:paraId="69FF6A34" w14:textId="77777777" w:rsidR="00AE10C5" w:rsidRPr="0016164D" w:rsidRDefault="00AE10C5" w:rsidP="00C16BCC">
            <w:pPr>
              <w:spacing w:before="80" w:after="80" w:line="200" w:lineRule="exact"/>
              <w:jc w:val="right"/>
              <w:rPr>
                <w:i/>
                <w:sz w:val="16"/>
              </w:rPr>
            </w:pPr>
          </w:p>
        </w:tc>
      </w:tr>
      <w:tr w:rsidR="00AE10C5" w:rsidRPr="0016164D" w14:paraId="100FAC01" w14:textId="77777777" w:rsidTr="00C16BCC">
        <w:tc>
          <w:tcPr>
            <w:tcW w:w="5670" w:type="dxa"/>
            <w:tcBorders>
              <w:top w:val="single" w:sz="2" w:space="0" w:color="auto"/>
              <w:bottom w:val="single" w:sz="12" w:space="0" w:color="auto"/>
            </w:tcBorders>
            <w:shd w:val="clear" w:color="auto" w:fill="auto"/>
            <w:vAlign w:val="bottom"/>
          </w:tcPr>
          <w:p w14:paraId="65D4C2AF" w14:textId="77777777" w:rsidR="00AE10C5" w:rsidRPr="0016164D" w:rsidRDefault="00AE10C5" w:rsidP="00C16BCC">
            <w:pPr>
              <w:spacing w:before="80" w:after="80" w:line="200" w:lineRule="exact"/>
              <w:rPr>
                <w:i/>
                <w:sz w:val="16"/>
              </w:rPr>
            </w:pPr>
            <w:r w:rsidRPr="0016164D">
              <w:rPr>
                <w:i/>
                <w:sz w:val="16"/>
              </w:rPr>
              <w:t>Categoría</w:t>
            </w:r>
          </w:p>
        </w:tc>
        <w:tc>
          <w:tcPr>
            <w:tcW w:w="1700" w:type="dxa"/>
            <w:tcBorders>
              <w:top w:val="single" w:sz="2" w:space="0" w:color="auto"/>
              <w:bottom w:val="single" w:sz="12" w:space="0" w:color="auto"/>
            </w:tcBorders>
            <w:shd w:val="clear" w:color="auto" w:fill="auto"/>
            <w:vAlign w:val="bottom"/>
          </w:tcPr>
          <w:p w14:paraId="2E3DB32E" w14:textId="77777777" w:rsidR="00AE10C5" w:rsidRPr="0016164D" w:rsidRDefault="00AE10C5" w:rsidP="00C16BCC">
            <w:pPr>
              <w:spacing w:before="80" w:after="80" w:line="200" w:lineRule="exact"/>
              <w:jc w:val="right"/>
              <w:rPr>
                <w:sz w:val="18"/>
              </w:rPr>
            </w:pPr>
            <w:proofErr w:type="spellStart"/>
            <w:r w:rsidRPr="0016164D">
              <w:rPr>
                <w:i/>
                <w:sz w:val="16"/>
              </w:rPr>
              <w:t>Nº</w:t>
            </w:r>
            <w:proofErr w:type="spellEnd"/>
            <w:r w:rsidRPr="0016164D">
              <w:rPr>
                <w:i/>
                <w:sz w:val="16"/>
              </w:rPr>
              <w:t xml:space="preserve"> Expediente</w:t>
            </w:r>
            <w:r>
              <w:rPr>
                <w:i/>
                <w:sz w:val="16"/>
              </w:rPr>
              <w:t>s</w:t>
            </w:r>
          </w:p>
        </w:tc>
      </w:tr>
      <w:tr w:rsidR="00AE10C5" w:rsidRPr="0016164D" w14:paraId="03626A37" w14:textId="77777777" w:rsidTr="00C16BCC">
        <w:tc>
          <w:tcPr>
            <w:tcW w:w="5670" w:type="dxa"/>
            <w:tcBorders>
              <w:top w:val="single" w:sz="12" w:space="0" w:color="auto"/>
            </w:tcBorders>
            <w:shd w:val="clear" w:color="auto" w:fill="auto"/>
            <w:vAlign w:val="bottom"/>
          </w:tcPr>
          <w:p w14:paraId="44464FFF" w14:textId="77777777" w:rsidR="00AE10C5" w:rsidRPr="0016164D" w:rsidRDefault="00AE10C5" w:rsidP="00C16BCC">
            <w:pPr>
              <w:spacing w:before="40" w:after="40" w:line="220" w:lineRule="exact"/>
              <w:rPr>
                <w:sz w:val="18"/>
              </w:rPr>
            </w:pPr>
            <w:r>
              <w:rPr>
                <w:sz w:val="18"/>
              </w:rPr>
              <w:t>Gestiones de investigación en trámite</w:t>
            </w:r>
          </w:p>
        </w:tc>
        <w:tc>
          <w:tcPr>
            <w:tcW w:w="1700" w:type="dxa"/>
            <w:tcBorders>
              <w:top w:val="single" w:sz="12" w:space="0" w:color="auto"/>
            </w:tcBorders>
            <w:shd w:val="clear" w:color="auto" w:fill="auto"/>
            <w:vAlign w:val="bottom"/>
          </w:tcPr>
          <w:p w14:paraId="5877B4DD" w14:textId="77777777" w:rsidR="00AE10C5" w:rsidRPr="0016164D" w:rsidRDefault="00AE10C5" w:rsidP="00C16BCC">
            <w:pPr>
              <w:spacing w:before="40" w:after="40" w:line="220" w:lineRule="exact"/>
              <w:jc w:val="right"/>
              <w:rPr>
                <w:sz w:val="18"/>
              </w:rPr>
            </w:pPr>
            <w:r>
              <w:rPr>
                <w:sz w:val="18"/>
              </w:rPr>
              <w:t>243</w:t>
            </w:r>
          </w:p>
        </w:tc>
      </w:tr>
      <w:tr w:rsidR="00AE10C5" w:rsidRPr="0016164D" w14:paraId="197CEE6C" w14:textId="77777777" w:rsidTr="00C16BCC">
        <w:tc>
          <w:tcPr>
            <w:tcW w:w="5670" w:type="dxa"/>
            <w:tcBorders>
              <w:bottom w:val="single" w:sz="4" w:space="0" w:color="auto"/>
            </w:tcBorders>
            <w:shd w:val="clear" w:color="auto" w:fill="auto"/>
            <w:vAlign w:val="bottom"/>
          </w:tcPr>
          <w:p w14:paraId="719170FB" w14:textId="77777777" w:rsidR="00AE10C5" w:rsidRPr="0016164D" w:rsidRDefault="00AE10C5" w:rsidP="00C16BCC">
            <w:pPr>
              <w:spacing w:before="40" w:after="40" w:line="220" w:lineRule="exact"/>
              <w:rPr>
                <w:sz w:val="18"/>
              </w:rPr>
            </w:pPr>
            <w:r>
              <w:rPr>
                <w:sz w:val="18"/>
              </w:rPr>
              <w:t>Casos resueltos</w:t>
            </w:r>
          </w:p>
        </w:tc>
        <w:tc>
          <w:tcPr>
            <w:tcW w:w="1700" w:type="dxa"/>
            <w:tcBorders>
              <w:bottom w:val="single" w:sz="4" w:space="0" w:color="auto"/>
            </w:tcBorders>
            <w:shd w:val="clear" w:color="auto" w:fill="auto"/>
            <w:vAlign w:val="bottom"/>
          </w:tcPr>
          <w:p w14:paraId="73A84571" w14:textId="77777777" w:rsidR="00AE10C5" w:rsidRPr="0016164D" w:rsidRDefault="00AE10C5" w:rsidP="00C16BCC">
            <w:pPr>
              <w:spacing w:before="40" w:after="40" w:line="220" w:lineRule="exact"/>
              <w:jc w:val="right"/>
              <w:rPr>
                <w:sz w:val="18"/>
              </w:rPr>
            </w:pPr>
            <w:r>
              <w:rPr>
                <w:sz w:val="18"/>
              </w:rPr>
              <w:t>103</w:t>
            </w:r>
          </w:p>
        </w:tc>
      </w:tr>
      <w:tr w:rsidR="00AE10C5" w:rsidRPr="0016164D" w14:paraId="1CB7DE81" w14:textId="77777777" w:rsidTr="00C16BCC">
        <w:tc>
          <w:tcPr>
            <w:tcW w:w="5670" w:type="dxa"/>
            <w:tcBorders>
              <w:top w:val="single" w:sz="4" w:space="0" w:color="auto"/>
              <w:bottom w:val="single" w:sz="12" w:space="0" w:color="auto"/>
            </w:tcBorders>
            <w:shd w:val="clear" w:color="auto" w:fill="auto"/>
            <w:vAlign w:val="bottom"/>
          </w:tcPr>
          <w:p w14:paraId="68D36E23" w14:textId="77777777" w:rsidR="00AE10C5" w:rsidRPr="0016164D" w:rsidRDefault="00AE10C5" w:rsidP="00C16BCC">
            <w:pPr>
              <w:spacing w:before="80" w:after="80" w:line="220" w:lineRule="exact"/>
              <w:ind w:left="283"/>
              <w:rPr>
                <w:b/>
                <w:sz w:val="18"/>
              </w:rPr>
            </w:pPr>
            <w:r w:rsidRPr="0016164D">
              <w:rPr>
                <w:b/>
                <w:sz w:val="18"/>
              </w:rPr>
              <w:t>Total</w:t>
            </w:r>
          </w:p>
        </w:tc>
        <w:tc>
          <w:tcPr>
            <w:tcW w:w="1700" w:type="dxa"/>
            <w:tcBorders>
              <w:top w:val="single" w:sz="4" w:space="0" w:color="auto"/>
              <w:bottom w:val="single" w:sz="12" w:space="0" w:color="auto"/>
            </w:tcBorders>
            <w:shd w:val="clear" w:color="auto" w:fill="auto"/>
            <w:vAlign w:val="bottom"/>
          </w:tcPr>
          <w:p w14:paraId="12352ACE" w14:textId="77777777" w:rsidR="00AE10C5" w:rsidRPr="0016164D" w:rsidRDefault="00AE10C5" w:rsidP="00C16BCC">
            <w:pPr>
              <w:spacing w:before="80" w:after="80" w:line="220" w:lineRule="exact"/>
              <w:jc w:val="right"/>
              <w:rPr>
                <w:b/>
                <w:sz w:val="18"/>
              </w:rPr>
            </w:pPr>
            <w:r w:rsidRPr="0016164D">
              <w:rPr>
                <w:b/>
                <w:sz w:val="18"/>
              </w:rPr>
              <w:t>346</w:t>
            </w:r>
          </w:p>
        </w:tc>
      </w:tr>
    </w:tbl>
    <w:p w14:paraId="50A04BAF" w14:textId="308448E6" w:rsidR="00AE10C5" w:rsidRDefault="00AE10C5" w:rsidP="005816B3">
      <w:pPr>
        <w:pStyle w:val="SingleTxtG"/>
      </w:pPr>
    </w:p>
    <w:tbl>
      <w:tblPr>
        <w:tblStyle w:val="Tablaconcuadrcula"/>
        <w:tblW w:w="7370" w:type="dxa"/>
        <w:tblInd w:w="1134" w:type="dxa"/>
        <w:tblLayout w:type="fixed"/>
        <w:tblCellMar>
          <w:left w:w="0" w:type="dxa"/>
          <w:right w:w="0" w:type="dxa"/>
        </w:tblCellMar>
        <w:tblLook w:val="04A0" w:firstRow="1" w:lastRow="0" w:firstColumn="1" w:lastColumn="0" w:noHBand="0" w:noVBand="1"/>
      </w:tblPr>
      <w:tblGrid>
        <w:gridCol w:w="5678"/>
        <w:gridCol w:w="1692"/>
      </w:tblGrid>
      <w:tr w:rsidR="00AE10C5" w:rsidRPr="0016164D" w14:paraId="02970E28" w14:textId="77777777" w:rsidTr="006B3221">
        <w:tc>
          <w:tcPr>
            <w:tcW w:w="5678" w:type="dxa"/>
            <w:tcBorders>
              <w:top w:val="single" w:sz="4" w:space="0" w:color="auto"/>
              <w:bottom w:val="single" w:sz="12" w:space="0" w:color="auto"/>
            </w:tcBorders>
            <w:shd w:val="clear" w:color="auto" w:fill="auto"/>
            <w:vAlign w:val="bottom"/>
          </w:tcPr>
          <w:p w14:paraId="030CA796" w14:textId="77777777" w:rsidR="00AE10C5" w:rsidRPr="0016164D" w:rsidRDefault="00AE10C5" w:rsidP="00C16BCC">
            <w:pPr>
              <w:pStyle w:val="SingleTxtG"/>
              <w:spacing w:before="80" w:after="80" w:line="200" w:lineRule="exact"/>
              <w:ind w:left="0" w:right="0"/>
              <w:jc w:val="left"/>
              <w:rPr>
                <w:i/>
                <w:sz w:val="16"/>
              </w:rPr>
            </w:pPr>
            <w:r>
              <w:rPr>
                <w:i/>
                <w:sz w:val="16"/>
              </w:rPr>
              <w:t>Detalle y categorías de casos resueltos</w:t>
            </w:r>
          </w:p>
        </w:tc>
        <w:tc>
          <w:tcPr>
            <w:tcW w:w="1692" w:type="dxa"/>
            <w:tcBorders>
              <w:top w:val="single" w:sz="4" w:space="0" w:color="auto"/>
              <w:bottom w:val="single" w:sz="12" w:space="0" w:color="auto"/>
            </w:tcBorders>
            <w:shd w:val="clear" w:color="auto" w:fill="auto"/>
            <w:vAlign w:val="bottom"/>
          </w:tcPr>
          <w:p w14:paraId="1785C9AF" w14:textId="77777777" w:rsidR="00AE10C5" w:rsidRPr="0016164D" w:rsidRDefault="00AE10C5" w:rsidP="00C16BCC">
            <w:pPr>
              <w:pStyle w:val="SingleTxtG"/>
              <w:spacing w:before="80" w:after="80" w:line="200" w:lineRule="exact"/>
              <w:ind w:left="0" w:right="0"/>
              <w:jc w:val="right"/>
              <w:rPr>
                <w:i/>
                <w:sz w:val="16"/>
              </w:rPr>
            </w:pPr>
            <w:proofErr w:type="spellStart"/>
            <w:r>
              <w:rPr>
                <w:i/>
                <w:sz w:val="16"/>
              </w:rPr>
              <w:t>Nº</w:t>
            </w:r>
            <w:proofErr w:type="spellEnd"/>
            <w:r>
              <w:rPr>
                <w:i/>
                <w:sz w:val="16"/>
              </w:rPr>
              <w:t xml:space="preserve"> Expedientes</w:t>
            </w:r>
          </w:p>
        </w:tc>
      </w:tr>
      <w:tr w:rsidR="00AE10C5" w:rsidRPr="0016164D" w14:paraId="002BAD55" w14:textId="77777777" w:rsidTr="00AE10C5">
        <w:tc>
          <w:tcPr>
            <w:tcW w:w="5678" w:type="dxa"/>
            <w:tcBorders>
              <w:top w:val="single" w:sz="12" w:space="0" w:color="auto"/>
            </w:tcBorders>
            <w:shd w:val="clear" w:color="auto" w:fill="auto"/>
            <w:vAlign w:val="bottom"/>
          </w:tcPr>
          <w:p w14:paraId="7806B4E6" w14:textId="77777777" w:rsidR="00AE10C5" w:rsidRPr="0016164D" w:rsidRDefault="00AE10C5" w:rsidP="00C16BCC">
            <w:pPr>
              <w:pStyle w:val="SingleTxtG"/>
              <w:spacing w:before="40" w:after="40" w:line="220" w:lineRule="exact"/>
              <w:ind w:left="0" w:right="0"/>
              <w:jc w:val="left"/>
              <w:rPr>
                <w:sz w:val="18"/>
                <w:lang w:val="es-ES_tradnl"/>
              </w:rPr>
            </w:pPr>
            <w:r w:rsidRPr="0016164D">
              <w:rPr>
                <w:rFonts w:eastAsia="Times New Roman"/>
                <w:sz w:val="18"/>
                <w:szCs w:val="24"/>
                <w:u w:color="000000"/>
                <w:lang w:val="es-ES_tradnl" w:eastAsia="en-US"/>
              </w:rPr>
              <w:t>Expedientes con reencuentros realizados</w:t>
            </w:r>
          </w:p>
        </w:tc>
        <w:tc>
          <w:tcPr>
            <w:tcW w:w="1692" w:type="dxa"/>
            <w:tcBorders>
              <w:top w:val="single" w:sz="12" w:space="0" w:color="auto"/>
            </w:tcBorders>
            <w:shd w:val="clear" w:color="auto" w:fill="auto"/>
            <w:vAlign w:val="bottom"/>
          </w:tcPr>
          <w:p w14:paraId="3456C761" w14:textId="77777777" w:rsidR="00AE10C5" w:rsidRPr="0016164D" w:rsidRDefault="00AE10C5" w:rsidP="00C16BCC">
            <w:pPr>
              <w:pStyle w:val="SingleTxtG"/>
              <w:spacing w:before="40" w:after="40" w:line="220" w:lineRule="exact"/>
              <w:ind w:left="0" w:right="0"/>
              <w:jc w:val="right"/>
              <w:rPr>
                <w:sz w:val="18"/>
              </w:rPr>
            </w:pPr>
            <w:r>
              <w:rPr>
                <w:sz w:val="18"/>
              </w:rPr>
              <w:t>38</w:t>
            </w:r>
          </w:p>
        </w:tc>
      </w:tr>
      <w:tr w:rsidR="00AE10C5" w:rsidRPr="0016164D" w14:paraId="40882E5A" w14:textId="77777777" w:rsidTr="00AE10C5">
        <w:tc>
          <w:tcPr>
            <w:tcW w:w="5678" w:type="dxa"/>
            <w:shd w:val="clear" w:color="auto" w:fill="auto"/>
            <w:vAlign w:val="bottom"/>
          </w:tcPr>
          <w:p w14:paraId="26A5483C" w14:textId="41F4E0D6" w:rsidR="00AE10C5" w:rsidRPr="0016164D" w:rsidRDefault="00AE10C5" w:rsidP="00C16BCC">
            <w:pPr>
              <w:pStyle w:val="SingleTxtG"/>
              <w:spacing w:before="40" w:after="40" w:line="220" w:lineRule="exact"/>
              <w:ind w:left="0" w:right="0"/>
              <w:jc w:val="left"/>
              <w:rPr>
                <w:sz w:val="18"/>
                <w:lang w:val="es-ES_tradnl"/>
              </w:rPr>
            </w:pPr>
            <w:r w:rsidRPr="0016164D">
              <w:rPr>
                <w:sz w:val="18"/>
                <w:lang w:val="es-ES_tradnl"/>
              </w:rPr>
              <w:t>Expedientes de niños desaparecidos, ahora jóvenes localizados, pendientes</w:t>
            </w:r>
            <w:r>
              <w:rPr>
                <w:sz w:val="18"/>
                <w:lang w:val="es-ES_tradnl"/>
              </w:rPr>
              <w:br/>
            </w:r>
            <w:r w:rsidRPr="0016164D">
              <w:rPr>
                <w:sz w:val="18"/>
                <w:lang w:val="es-ES_tradnl"/>
              </w:rPr>
              <w:t>de realizar reencuentro</w:t>
            </w:r>
          </w:p>
        </w:tc>
        <w:tc>
          <w:tcPr>
            <w:tcW w:w="1692" w:type="dxa"/>
            <w:shd w:val="clear" w:color="auto" w:fill="auto"/>
            <w:vAlign w:val="bottom"/>
          </w:tcPr>
          <w:p w14:paraId="2DD0DBAC" w14:textId="77777777" w:rsidR="00AE10C5" w:rsidRPr="0016164D" w:rsidRDefault="00AE10C5" w:rsidP="00C16BCC">
            <w:pPr>
              <w:pStyle w:val="SingleTxtG"/>
              <w:spacing w:before="40" w:after="40" w:line="220" w:lineRule="exact"/>
              <w:ind w:left="0" w:right="0"/>
              <w:jc w:val="right"/>
              <w:rPr>
                <w:sz w:val="18"/>
              </w:rPr>
            </w:pPr>
            <w:r>
              <w:rPr>
                <w:sz w:val="18"/>
              </w:rPr>
              <w:t>14</w:t>
            </w:r>
          </w:p>
        </w:tc>
      </w:tr>
      <w:tr w:rsidR="00AE10C5" w:rsidRPr="0016164D" w14:paraId="3857ED96" w14:textId="77777777" w:rsidTr="00AE10C5">
        <w:tc>
          <w:tcPr>
            <w:tcW w:w="5678" w:type="dxa"/>
            <w:shd w:val="clear" w:color="auto" w:fill="auto"/>
            <w:vAlign w:val="bottom"/>
          </w:tcPr>
          <w:p w14:paraId="4366F681" w14:textId="77777777" w:rsidR="00AE10C5" w:rsidRPr="0016164D" w:rsidRDefault="00AE10C5" w:rsidP="00C16BCC">
            <w:pPr>
              <w:pStyle w:val="SingleTxtG"/>
              <w:spacing w:before="40" w:after="40" w:line="220" w:lineRule="exact"/>
              <w:ind w:left="0" w:right="0"/>
              <w:jc w:val="left"/>
              <w:rPr>
                <w:sz w:val="18"/>
                <w:lang w:val="es-ES_tradnl"/>
              </w:rPr>
            </w:pPr>
            <w:r w:rsidRPr="0016164D">
              <w:rPr>
                <w:rFonts w:eastAsia="Times New Roman"/>
                <w:sz w:val="18"/>
                <w:szCs w:val="24"/>
                <w:u w:color="000000"/>
                <w:lang w:val="es-ES_tradnl" w:eastAsia="en-US"/>
              </w:rPr>
              <w:t>Expedientes casos localizados que están fallecidos</w:t>
            </w:r>
          </w:p>
        </w:tc>
        <w:tc>
          <w:tcPr>
            <w:tcW w:w="1692" w:type="dxa"/>
            <w:shd w:val="clear" w:color="auto" w:fill="auto"/>
            <w:vAlign w:val="bottom"/>
          </w:tcPr>
          <w:p w14:paraId="600B9B76" w14:textId="77777777" w:rsidR="00AE10C5" w:rsidRPr="0016164D" w:rsidRDefault="00AE10C5" w:rsidP="00C16BCC">
            <w:pPr>
              <w:pStyle w:val="SingleTxtG"/>
              <w:spacing w:before="40" w:after="40" w:line="220" w:lineRule="exact"/>
              <w:ind w:left="0" w:right="0"/>
              <w:jc w:val="right"/>
              <w:rPr>
                <w:sz w:val="18"/>
              </w:rPr>
            </w:pPr>
            <w:r>
              <w:rPr>
                <w:sz w:val="18"/>
              </w:rPr>
              <w:t>36</w:t>
            </w:r>
          </w:p>
        </w:tc>
      </w:tr>
      <w:tr w:rsidR="00AE10C5" w:rsidRPr="0016164D" w14:paraId="19A45559" w14:textId="77777777" w:rsidTr="006B3221">
        <w:tc>
          <w:tcPr>
            <w:tcW w:w="5678" w:type="dxa"/>
            <w:tcBorders>
              <w:bottom w:val="single" w:sz="4" w:space="0" w:color="auto"/>
            </w:tcBorders>
            <w:shd w:val="clear" w:color="auto" w:fill="auto"/>
            <w:vAlign w:val="bottom"/>
          </w:tcPr>
          <w:p w14:paraId="204266AA" w14:textId="77777777" w:rsidR="00AE10C5" w:rsidRPr="0016164D" w:rsidRDefault="00AE10C5" w:rsidP="00C16BCC">
            <w:pPr>
              <w:pStyle w:val="SingleTxtG"/>
              <w:spacing w:before="40" w:after="40" w:line="220" w:lineRule="exact"/>
              <w:ind w:left="0" w:right="0"/>
              <w:jc w:val="left"/>
              <w:rPr>
                <w:sz w:val="18"/>
                <w:lang w:val="es-ES_tradnl"/>
              </w:rPr>
            </w:pPr>
            <w:r w:rsidRPr="0016164D">
              <w:rPr>
                <w:rFonts w:eastAsia="Times New Roman"/>
                <w:sz w:val="18"/>
                <w:szCs w:val="24"/>
                <w:u w:color="000000"/>
                <w:lang w:val="es-ES_tradnl" w:eastAsia="en-US"/>
              </w:rPr>
              <w:t>Expedientes de casos cerrados</w:t>
            </w:r>
          </w:p>
        </w:tc>
        <w:tc>
          <w:tcPr>
            <w:tcW w:w="1692" w:type="dxa"/>
            <w:tcBorders>
              <w:bottom w:val="single" w:sz="4" w:space="0" w:color="auto"/>
            </w:tcBorders>
            <w:shd w:val="clear" w:color="auto" w:fill="auto"/>
            <w:vAlign w:val="bottom"/>
          </w:tcPr>
          <w:p w14:paraId="2E695310" w14:textId="77777777" w:rsidR="00AE10C5" w:rsidRPr="0016164D" w:rsidRDefault="00AE10C5" w:rsidP="00C16BCC">
            <w:pPr>
              <w:pStyle w:val="SingleTxtG"/>
              <w:spacing w:before="40" w:after="40" w:line="220" w:lineRule="exact"/>
              <w:ind w:left="0" w:right="0"/>
              <w:jc w:val="right"/>
              <w:rPr>
                <w:sz w:val="18"/>
              </w:rPr>
            </w:pPr>
            <w:r>
              <w:rPr>
                <w:sz w:val="18"/>
              </w:rPr>
              <w:t>15</w:t>
            </w:r>
          </w:p>
        </w:tc>
      </w:tr>
      <w:tr w:rsidR="00AE10C5" w:rsidRPr="0016164D" w14:paraId="3C5E5606" w14:textId="77777777" w:rsidTr="006B3221">
        <w:tc>
          <w:tcPr>
            <w:tcW w:w="5678" w:type="dxa"/>
            <w:tcBorders>
              <w:top w:val="single" w:sz="4" w:space="0" w:color="auto"/>
              <w:bottom w:val="single" w:sz="12" w:space="0" w:color="auto"/>
            </w:tcBorders>
            <w:shd w:val="clear" w:color="auto" w:fill="auto"/>
            <w:vAlign w:val="bottom"/>
          </w:tcPr>
          <w:p w14:paraId="506AE437" w14:textId="77777777" w:rsidR="00AE10C5" w:rsidRPr="0016164D" w:rsidRDefault="00AE10C5" w:rsidP="00C16BCC">
            <w:pPr>
              <w:pStyle w:val="SingleTxtG"/>
              <w:spacing w:before="80" w:after="80" w:line="220" w:lineRule="exact"/>
              <w:ind w:left="283" w:right="0"/>
              <w:jc w:val="left"/>
              <w:rPr>
                <w:b/>
                <w:sz w:val="18"/>
              </w:rPr>
            </w:pPr>
            <w:r w:rsidRPr="0016164D">
              <w:rPr>
                <w:b/>
                <w:sz w:val="18"/>
              </w:rPr>
              <w:t>Total</w:t>
            </w:r>
          </w:p>
        </w:tc>
        <w:tc>
          <w:tcPr>
            <w:tcW w:w="1692" w:type="dxa"/>
            <w:tcBorders>
              <w:top w:val="single" w:sz="4" w:space="0" w:color="auto"/>
              <w:bottom w:val="single" w:sz="12" w:space="0" w:color="auto"/>
            </w:tcBorders>
            <w:shd w:val="clear" w:color="auto" w:fill="auto"/>
            <w:vAlign w:val="bottom"/>
          </w:tcPr>
          <w:p w14:paraId="2FC1E441" w14:textId="77777777" w:rsidR="00AE10C5" w:rsidRPr="0016164D" w:rsidRDefault="00AE10C5" w:rsidP="00C16BCC">
            <w:pPr>
              <w:pStyle w:val="SingleTxtG"/>
              <w:spacing w:before="80" w:after="80" w:line="220" w:lineRule="exact"/>
              <w:ind w:left="0" w:right="0"/>
              <w:jc w:val="right"/>
              <w:rPr>
                <w:b/>
                <w:sz w:val="18"/>
              </w:rPr>
            </w:pPr>
            <w:r>
              <w:rPr>
                <w:b/>
                <w:sz w:val="18"/>
              </w:rPr>
              <w:t>103</w:t>
            </w:r>
          </w:p>
        </w:tc>
      </w:tr>
    </w:tbl>
    <w:p w14:paraId="21FF3AE8" w14:textId="14CF6AE8" w:rsidR="00655E5C" w:rsidRPr="001D41EA" w:rsidRDefault="005816B3" w:rsidP="00FE1F50">
      <w:pPr>
        <w:pStyle w:val="SingleTxtG"/>
        <w:spacing w:before="240"/>
        <w:rPr>
          <w:rFonts w:eastAsia="Arial"/>
          <w:u w:color="000000"/>
          <w:bdr w:val="nil"/>
          <w:lang w:val="es-ES_tradnl"/>
        </w:rPr>
      </w:pPr>
      <w:r w:rsidRPr="001D41EA">
        <w:t>36</w:t>
      </w:r>
      <w:r w:rsidRPr="001D41EA">
        <w:rPr>
          <w:rFonts w:eastAsia="Arial"/>
          <w:u w:color="000000"/>
          <w:bdr w:val="nil"/>
          <w:lang w:val="es-ES_tradnl" w:eastAsia="en-US"/>
        </w:rPr>
        <w:t>.</w:t>
      </w:r>
      <w:r w:rsidRPr="001D41EA">
        <w:rPr>
          <w:rFonts w:eastAsia="Arial"/>
          <w:u w:color="000000"/>
          <w:bdr w:val="nil"/>
          <w:lang w:val="es-ES_tradnl" w:eastAsia="en-US"/>
        </w:rPr>
        <w:tab/>
      </w:r>
      <w:r w:rsidR="00655E5C" w:rsidRPr="001D41EA">
        <w:rPr>
          <w:u w:color="000000"/>
          <w:bdr w:val="nil"/>
          <w:lang w:val="es-ES_tradnl"/>
        </w:rPr>
        <w:t>Mediante el Decreto Ejecutivo No. 33, de fecha 21 de agosto de 2017, se creó la Comisión Nacional de Búsqueda de Personas Adultas Desaparecidas en el Contexto del Conflicto Armado Interno (</w:t>
      </w:r>
      <w:proofErr w:type="spellStart"/>
      <w:r w:rsidR="00655E5C" w:rsidRPr="001D41EA">
        <w:rPr>
          <w:u w:color="000000"/>
          <w:bdr w:val="nil"/>
          <w:lang w:val="es-ES_tradnl"/>
        </w:rPr>
        <w:t>CONABUSQUEDA</w:t>
      </w:r>
      <w:proofErr w:type="spellEnd"/>
      <w:r w:rsidR="00655E5C" w:rsidRPr="001D41EA">
        <w:rPr>
          <w:u w:color="000000"/>
          <w:bdr w:val="nil"/>
          <w:lang w:val="es-ES_tradnl"/>
        </w:rPr>
        <w:t xml:space="preserve">). La principal finalidad de </w:t>
      </w:r>
      <w:proofErr w:type="spellStart"/>
      <w:r w:rsidR="00655E5C" w:rsidRPr="001D41EA">
        <w:rPr>
          <w:u w:color="000000"/>
          <w:bdr w:val="nil"/>
          <w:lang w:val="es-ES_tradnl"/>
        </w:rPr>
        <w:t>CONABÚSQUEDA</w:t>
      </w:r>
      <w:proofErr w:type="spellEnd"/>
      <w:r w:rsidR="00655E5C" w:rsidRPr="001D41EA">
        <w:rPr>
          <w:u w:color="000000"/>
          <w:bdr w:val="nil"/>
          <w:lang w:val="es-ES_tradnl"/>
        </w:rPr>
        <w:t xml:space="preserve"> es: “</w:t>
      </w:r>
      <w:r w:rsidR="00655E5C" w:rsidRPr="001D41EA">
        <w:rPr>
          <w:i/>
          <w:iCs/>
          <w:u w:color="000000"/>
          <w:bdr w:val="nil"/>
          <w:lang w:val="es-ES_tradnl"/>
        </w:rPr>
        <w:t xml:space="preserve">investigar y determinar el paradero y situación de las víctimas adultas de la desaparición forzada durante el conflicto armado interno en El Salvador y propiciar el reencuentro con su familia o la restitución de restos a sus familiares, en un contexto de respeto a la dignidad de las víctimas”. </w:t>
      </w:r>
    </w:p>
    <w:p w14:paraId="6C992586" w14:textId="5570C207" w:rsidR="00655E5C" w:rsidRDefault="005816B3" w:rsidP="00FE1F50">
      <w:pPr>
        <w:pStyle w:val="SingleTxtG"/>
        <w:rPr>
          <w:u w:color="000000"/>
          <w:bdr w:val="nil"/>
          <w:lang w:val="es-ES_tradnl"/>
        </w:rPr>
      </w:pPr>
      <w:r w:rsidRPr="001D41EA">
        <w:rPr>
          <w:rFonts w:eastAsia="Calibri"/>
          <w:u w:color="000000"/>
          <w:bdr w:val="nil"/>
          <w:lang w:val="es-ES_tradnl" w:eastAsia="en-US"/>
        </w:rPr>
        <w:t>37.</w:t>
      </w:r>
      <w:r w:rsidRPr="001D41EA">
        <w:rPr>
          <w:rFonts w:eastAsia="Calibri"/>
          <w:u w:color="000000"/>
          <w:bdr w:val="nil"/>
          <w:lang w:val="es-ES_tradnl" w:eastAsia="en-US"/>
        </w:rPr>
        <w:tab/>
      </w:r>
      <w:r w:rsidR="00655E5C" w:rsidRPr="001D41EA">
        <w:rPr>
          <w:u w:color="000000"/>
          <w:bdr w:val="nil"/>
          <w:lang w:val="es-ES_tradnl"/>
        </w:rPr>
        <w:t xml:space="preserve">La </w:t>
      </w:r>
      <w:proofErr w:type="spellStart"/>
      <w:r w:rsidR="00655E5C" w:rsidRPr="001D41EA">
        <w:rPr>
          <w:u w:color="000000"/>
          <w:bdr w:val="nil"/>
          <w:lang w:val="es-ES_tradnl"/>
        </w:rPr>
        <w:t>CONABUSQUEDA</w:t>
      </w:r>
      <w:proofErr w:type="spellEnd"/>
      <w:r w:rsidR="00655E5C" w:rsidRPr="001D41EA">
        <w:rPr>
          <w:u w:color="000000"/>
          <w:bdr w:val="nil"/>
          <w:lang w:val="es-ES_tradnl"/>
        </w:rPr>
        <w:t xml:space="preserve"> ha recibido y registrado a diciembre de 2019 un total de 193 casos; pero además ha identificado 1229 registros a partir de la revisión de los listado</w:t>
      </w:r>
      <w:r w:rsidR="00785ACC">
        <w:rPr>
          <w:u w:color="000000"/>
          <w:bdr w:val="nil"/>
          <w:lang w:val="es-ES_tradnl"/>
        </w:rPr>
        <w:t>s</w:t>
      </w:r>
      <w:r w:rsidR="00655E5C" w:rsidRPr="001D41EA">
        <w:rPr>
          <w:u w:color="000000"/>
          <w:bdr w:val="nil"/>
          <w:lang w:val="es-ES_tradnl"/>
        </w:rPr>
        <w:t xml:space="preserve"> del Informe de la Comisión de la Verdad y del Grupo de Trabajo Sobre la Desaparición Forzada de Naciones Unidas y tiene en proceso la construcción del Registro Nacional de Personas Desaparecidas Forzadamente, para lo cual son importantes los apoyos que recibe de la misma sociedad civil organizada. El 30 de agosto de 2019, la </w:t>
      </w:r>
      <w:proofErr w:type="spellStart"/>
      <w:r w:rsidR="00655E5C" w:rsidRPr="001D41EA">
        <w:rPr>
          <w:u w:color="000000"/>
          <w:bdr w:val="nil"/>
          <w:lang w:val="es-ES_tradnl"/>
        </w:rPr>
        <w:t>CONABUSQUEDA</w:t>
      </w:r>
      <w:proofErr w:type="spellEnd"/>
      <w:r w:rsidR="00655E5C" w:rsidRPr="001D41EA">
        <w:rPr>
          <w:u w:color="000000"/>
          <w:bdr w:val="nil"/>
          <w:lang w:val="es-ES_tradnl"/>
        </w:rPr>
        <w:t xml:space="preserve"> recibió un índice documental de las denuncias recibidas por la Oficina de Socorro Jurídico Cristiano de la </w:t>
      </w:r>
      <w:proofErr w:type="spellStart"/>
      <w:r w:rsidR="00655E5C" w:rsidRPr="001D41EA">
        <w:rPr>
          <w:u w:color="000000"/>
          <w:bdr w:val="nil"/>
          <w:lang w:val="es-ES_tradnl"/>
        </w:rPr>
        <w:t>UCA</w:t>
      </w:r>
      <w:proofErr w:type="spellEnd"/>
      <w:r w:rsidR="00655E5C" w:rsidRPr="001D41EA">
        <w:rPr>
          <w:u w:color="000000"/>
          <w:bdr w:val="nil"/>
          <w:lang w:val="es-ES_tradnl"/>
        </w:rPr>
        <w:t>, que documentó las denuncias recibidas desde 1966 hasta 1981.</w:t>
      </w:r>
    </w:p>
    <w:tbl>
      <w:tblPr>
        <w:tblStyle w:val="Tablaconcuadrcula"/>
        <w:tblW w:w="7370" w:type="dxa"/>
        <w:tblInd w:w="1134" w:type="dxa"/>
        <w:tblLayout w:type="fixed"/>
        <w:tblCellMar>
          <w:left w:w="0" w:type="dxa"/>
          <w:right w:w="0" w:type="dxa"/>
        </w:tblCellMar>
        <w:tblLook w:val="04A0" w:firstRow="1" w:lastRow="0" w:firstColumn="1" w:lastColumn="0" w:noHBand="0" w:noVBand="1"/>
      </w:tblPr>
      <w:tblGrid>
        <w:gridCol w:w="5417"/>
        <w:gridCol w:w="1953"/>
      </w:tblGrid>
      <w:tr w:rsidR="00AE10C5" w:rsidRPr="0016164D" w14:paraId="55D66164" w14:textId="77777777" w:rsidTr="00C16BCC">
        <w:tc>
          <w:tcPr>
            <w:tcW w:w="5417" w:type="dxa"/>
            <w:tcBorders>
              <w:top w:val="single" w:sz="4" w:space="0" w:color="auto"/>
            </w:tcBorders>
            <w:shd w:val="clear" w:color="auto" w:fill="auto"/>
            <w:vAlign w:val="bottom"/>
          </w:tcPr>
          <w:p w14:paraId="16CA2365" w14:textId="77777777" w:rsidR="00AE10C5" w:rsidRPr="0016164D" w:rsidRDefault="00AE10C5" w:rsidP="00C16BCC">
            <w:pPr>
              <w:pStyle w:val="SingleTxtG"/>
              <w:spacing w:before="80" w:after="80" w:line="200" w:lineRule="exact"/>
              <w:ind w:left="0" w:right="0"/>
              <w:jc w:val="left"/>
              <w:rPr>
                <w:i/>
                <w:sz w:val="16"/>
              </w:rPr>
            </w:pPr>
            <w:r>
              <w:rPr>
                <w:i/>
                <w:sz w:val="16"/>
              </w:rPr>
              <w:lastRenderedPageBreak/>
              <w:t>Datos Globales</w:t>
            </w:r>
            <w:r>
              <w:rPr>
                <w:i/>
                <w:sz w:val="16"/>
              </w:rPr>
              <w:br/>
              <w:t>Comisión Nacional de Búsqueda de Personas Adultas Desaparecidas en el contexto del Conflicto Armado Interno (</w:t>
            </w:r>
            <w:proofErr w:type="spellStart"/>
            <w:r>
              <w:rPr>
                <w:i/>
                <w:sz w:val="16"/>
              </w:rPr>
              <w:t>CONABUSQUEDA</w:t>
            </w:r>
            <w:proofErr w:type="spellEnd"/>
            <w:r>
              <w:rPr>
                <w:i/>
                <w:sz w:val="16"/>
              </w:rPr>
              <w:t>) 2018-2019</w:t>
            </w:r>
          </w:p>
        </w:tc>
        <w:tc>
          <w:tcPr>
            <w:tcW w:w="1953" w:type="dxa"/>
            <w:tcBorders>
              <w:top w:val="single" w:sz="4" w:space="0" w:color="auto"/>
            </w:tcBorders>
            <w:shd w:val="clear" w:color="auto" w:fill="auto"/>
            <w:vAlign w:val="bottom"/>
          </w:tcPr>
          <w:p w14:paraId="63BC9CC0" w14:textId="77777777" w:rsidR="00AE10C5" w:rsidRPr="0016164D" w:rsidRDefault="00AE10C5" w:rsidP="00C16BCC">
            <w:pPr>
              <w:pStyle w:val="SingleTxtG"/>
              <w:spacing w:before="80" w:after="80" w:line="200" w:lineRule="exact"/>
              <w:ind w:left="0" w:right="0"/>
              <w:jc w:val="right"/>
              <w:rPr>
                <w:i/>
                <w:sz w:val="16"/>
              </w:rPr>
            </w:pPr>
          </w:p>
        </w:tc>
      </w:tr>
      <w:tr w:rsidR="00AE10C5" w:rsidRPr="0016164D" w14:paraId="0F9ED88F" w14:textId="77777777" w:rsidTr="00C16BCC">
        <w:tc>
          <w:tcPr>
            <w:tcW w:w="5417" w:type="dxa"/>
            <w:tcBorders>
              <w:bottom w:val="single" w:sz="12" w:space="0" w:color="auto"/>
            </w:tcBorders>
            <w:shd w:val="clear" w:color="auto" w:fill="auto"/>
            <w:vAlign w:val="bottom"/>
          </w:tcPr>
          <w:p w14:paraId="1C632BE5" w14:textId="77777777" w:rsidR="00AE10C5" w:rsidRPr="0016164D" w:rsidRDefault="00AE10C5" w:rsidP="00C16BCC">
            <w:pPr>
              <w:pStyle w:val="SingleTxtG"/>
              <w:spacing w:before="80" w:after="80" w:line="200" w:lineRule="exact"/>
              <w:ind w:left="0" w:right="0"/>
              <w:jc w:val="left"/>
              <w:rPr>
                <w:i/>
                <w:sz w:val="16"/>
              </w:rPr>
            </w:pPr>
            <w:r>
              <w:rPr>
                <w:i/>
                <w:sz w:val="16"/>
              </w:rPr>
              <w:t>Categoría</w:t>
            </w:r>
          </w:p>
        </w:tc>
        <w:tc>
          <w:tcPr>
            <w:tcW w:w="1953" w:type="dxa"/>
            <w:tcBorders>
              <w:bottom w:val="single" w:sz="12" w:space="0" w:color="auto"/>
            </w:tcBorders>
            <w:shd w:val="clear" w:color="auto" w:fill="auto"/>
            <w:vAlign w:val="bottom"/>
          </w:tcPr>
          <w:p w14:paraId="2397BF9E" w14:textId="77777777" w:rsidR="00AE10C5" w:rsidRPr="0016164D" w:rsidRDefault="00AE10C5" w:rsidP="00C16BCC">
            <w:pPr>
              <w:pStyle w:val="SingleTxtG"/>
              <w:spacing w:before="80" w:after="80" w:line="200" w:lineRule="exact"/>
              <w:ind w:left="0" w:right="0"/>
              <w:jc w:val="right"/>
              <w:rPr>
                <w:i/>
                <w:sz w:val="16"/>
              </w:rPr>
            </w:pPr>
            <w:proofErr w:type="spellStart"/>
            <w:r>
              <w:rPr>
                <w:i/>
                <w:sz w:val="16"/>
              </w:rPr>
              <w:t>Nº</w:t>
            </w:r>
            <w:proofErr w:type="spellEnd"/>
            <w:r>
              <w:rPr>
                <w:i/>
                <w:sz w:val="16"/>
              </w:rPr>
              <w:t xml:space="preserve"> Expedientes</w:t>
            </w:r>
          </w:p>
        </w:tc>
      </w:tr>
      <w:tr w:rsidR="00AE10C5" w:rsidRPr="0016164D" w14:paraId="2D3486F1" w14:textId="77777777" w:rsidTr="00C16BCC">
        <w:tc>
          <w:tcPr>
            <w:tcW w:w="5417" w:type="dxa"/>
            <w:tcBorders>
              <w:top w:val="single" w:sz="12" w:space="0" w:color="auto"/>
            </w:tcBorders>
            <w:shd w:val="clear" w:color="auto" w:fill="auto"/>
            <w:vAlign w:val="bottom"/>
          </w:tcPr>
          <w:p w14:paraId="5BE6965A" w14:textId="77777777" w:rsidR="00AE10C5" w:rsidRPr="0016164D" w:rsidRDefault="00AE10C5" w:rsidP="00C16BCC">
            <w:pPr>
              <w:pStyle w:val="SingleTxtG"/>
              <w:spacing w:before="40" w:after="40" w:line="220" w:lineRule="exact"/>
              <w:ind w:left="0" w:right="0"/>
              <w:jc w:val="left"/>
              <w:rPr>
                <w:sz w:val="18"/>
              </w:rPr>
            </w:pPr>
            <w:r w:rsidRPr="0016164D">
              <w:rPr>
                <w:sz w:val="18"/>
              </w:rPr>
              <w:t>Expedientes individuales</w:t>
            </w:r>
          </w:p>
        </w:tc>
        <w:tc>
          <w:tcPr>
            <w:tcW w:w="1953" w:type="dxa"/>
            <w:tcBorders>
              <w:top w:val="single" w:sz="12" w:space="0" w:color="auto"/>
            </w:tcBorders>
            <w:shd w:val="clear" w:color="auto" w:fill="auto"/>
            <w:vAlign w:val="bottom"/>
          </w:tcPr>
          <w:p w14:paraId="3822E193" w14:textId="77777777" w:rsidR="00AE10C5" w:rsidRPr="0016164D" w:rsidRDefault="00AE10C5" w:rsidP="00C16BCC">
            <w:pPr>
              <w:pStyle w:val="SingleTxtG"/>
              <w:spacing w:before="40" w:after="40" w:line="220" w:lineRule="exact"/>
              <w:ind w:left="0" w:right="0"/>
              <w:jc w:val="right"/>
              <w:rPr>
                <w:sz w:val="18"/>
              </w:rPr>
            </w:pPr>
            <w:r>
              <w:rPr>
                <w:sz w:val="18"/>
              </w:rPr>
              <w:t>193</w:t>
            </w:r>
          </w:p>
        </w:tc>
      </w:tr>
      <w:tr w:rsidR="00AE10C5" w:rsidRPr="0016164D" w14:paraId="273953C1" w14:textId="77777777" w:rsidTr="00C16BCC">
        <w:tc>
          <w:tcPr>
            <w:tcW w:w="5417" w:type="dxa"/>
            <w:tcBorders>
              <w:bottom w:val="single" w:sz="12" w:space="0" w:color="auto"/>
            </w:tcBorders>
            <w:shd w:val="clear" w:color="auto" w:fill="auto"/>
            <w:vAlign w:val="bottom"/>
          </w:tcPr>
          <w:p w14:paraId="53298A6A" w14:textId="77777777" w:rsidR="00AE10C5" w:rsidRPr="0016164D" w:rsidRDefault="00AE10C5" w:rsidP="00C16BCC">
            <w:pPr>
              <w:pStyle w:val="SingleTxtG"/>
              <w:spacing w:before="40" w:after="40" w:line="220" w:lineRule="exact"/>
              <w:ind w:left="0" w:right="0"/>
              <w:jc w:val="left"/>
              <w:rPr>
                <w:sz w:val="18"/>
              </w:rPr>
            </w:pPr>
            <w:r w:rsidRPr="001D41EA">
              <w:rPr>
                <w:rFonts w:eastAsia="Times New Roman"/>
                <w:sz w:val="18"/>
                <w:szCs w:val="24"/>
                <w:u w:color="000000"/>
                <w:lang w:val="es-SV" w:eastAsia="en-US"/>
              </w:rPr>
              <w:t>Expedientes</w:t>
            </w:r>
            <w:r>
              <w:rPr>
                <w:rFonts w:eastAsia="Times New Roman"/>
                <w:sz w:val="18"/>
                <w:szCs w:val="24"/>
                <w:u w:color="000000"/>
                <w:lang w:val="es-SV" w:eastAsia="en-US"/>
              </w:rPr>
              <w:t xml:space="preserve"> </w:t>
            </w:r>
            <w:r w:rsidRPr="001D41EA">
              <w:rPr>
                <w:rFonts w:eastAsia="Times New Roman"/>
                <w:sz w:val="18"/>
                <w:szCs w:val="24"/>
                <w:u w:color="000000"/>
                <w:lang w:val="es-SV" w:eastAsia="en-US"/>
              </w:rPr>
              <w:t>colectivos (sin individualizar totalidad de víctimas)</w:t>
            </w:r>
          </w:p>
        </w:tc>
        <w:tc>
          <w:tcPr>
            <w:tcW w:w="1953" w:type="dxa"/>
            <w:tcBorders>
              <w:bottom w:val="single" w:sz="12" w:space="0" w:color="auto"/>
            </w:tcBorders>
            <w:shd w:val="clear" w:color="auto" w:fill="auto"/>
            <w:vAlign w:val="bottom"/>
          </w:tcPr>
          <w:p w14:paraId="7BAFED8E" w14:textId="77777777" w:rsidR="00AE10C5" w:rsidRPr="0016164D" w:rsidRDefault="00AE10C5" w:rsidP="00C16BCC">
            <w:pPr>
              <w:pStyle w:val="SingleTxtG"/>
              <w:spacing w:before="40" w:after="40" w:line="220" w:lineRule="exact"/>
              <w:ind w:left="0" w:right="0"/>
              <w:jc w:val="right"/>
              <w:rPr>
                <w:sz w:val="18"/>
              </w:rPr>
            </w:pPr>
            <w:r>
              <w:rPr>
                <w:sz w:val="18"/>
              </w:rPr>
              <w:t>1</w:t>
            </w:r>
          </w:p>
        </w:tc>
      </w:tr>
    </w:tbl>
    <w:p w14:paraId="61D06A92" w14:textId="53DC4917" w:rsidR="00AE10C5" w:rsidRDefault="00AE10C5" w:rsidP="00FE1F50">
      <w:pPr>
        <w:pStyle w:val="SingleTxtG"/>
        <w:rPr>
          <w:u w:color="000000"/>
          <w:bdr w:val="nil"/>
          <w:lang w:val="es-ES_tradnl"/>
        </w:rPr>
      </w:pPr>
    </w:p>
    <w:tbl>
      <w:tblPr>
        <w:tblStyle w:val="Tablaconcuadrcula"/>
        <w:tblW w:w="7370" w:type="dxa"/>
        <w:tblInd w:w="1134" w:type="dxa"/>
        <w:tblLayout w:type="fixed"/>
        <w:tblCellMar>
          <w:left w:w="0" w:type="dxa"/>
          <w:right w:w="0" w:type="dxa"/>
        </w:tblCellMar>
        <w:tblLook w:val="04A0" w:firstRow="1" w:lastRow="0" w:firstColumn="1" w:lastColumn="0" w:noHBand="0" w:noVBand="1"/>
      </w:tblPr>
      <w:tblGrid>
        <w:gridCol w:w="5440"/>
        <w:gridCol w:w="1930"/>
      </w:tblGrid>
      <w:tr w:rsidR="00AE10C5" w:rsidRPr="0016164D" w14:paraId="7BBF27E9" w14:textId="77777777" w:rsidTr="006B3221">
        <w:trPr>
          <w:tblHeader/>
        </w:trPr>
        <w:tc>
          <w:tcPr>
            <w:tcW w:w="5440" w:type="dxa"/>
            <w:tcBorders>
              <w:top w:val="single" w:sz="4" w:space="0" w:color="auto"/>
              <w:bottom w:val="single" w:sz="12" w:space="0" w:color="auto"/>
            </w:tcBorders>
            <w:shd w:val="clear" w:color="auto" w:fill="auto"/>
            <w:vAlign w:val="bottom"/>
          </w:tcPr>
          <w:p w14:paraId="266B8EE5" w14:textId="77777777" w:rsidR="00AE10C5" w:rsidRPr="0016164D" w:rsidRDefault="00AE10C5" w:rsidP="00C16BCC">
            <w:pPr>
              <w:pStyle w:val="SingleTxtG"/>
              <w:spacing w:before="80" w:after="80" w:line="200" w:lineRule="exact"/>
              <w:ind w:left="0" w:right="0"/>
              <w:jc w:val="left"/>
              <w:rPr>
                <w:i/>
                <w:sz w:val="16"/>
              </w:rPr>
            </w:pPr>
            <w:r>
              <w:rPr>
                <w:i/>
                <w:sz w:val="16"/>
              </w:rPr>
              <w:t>Estado del expediente</w:t>
            </w:r>
          </w:p>
        </w:tc>
        <w:tc>
          <w:tcPr>
            <w:tcW w:w="1930" w:type="dxa"/>
            <w:tcBorders>
              <w:top w:val="single" w:sz="4" w:space="0" w:color="auto"/>
              <w:bottom w:val="single" w:sz="12" w:space="0" w:color="auto"/>
            </w:tcBorders>
            <w:shd w:val="clear" w:color="auto" w:fill="auto"/>
            <w:vAlign w:val="bottom"/>
          </w:tcPr>
          <w:p w14:paraId="0755A59D" w14:textId="77777777" w:rsidR="00AE10C5" w:rsidRPr="0016164D" w:rsidRDefault="00AE10C5" w:rsidP="00C16BCC">
            <w:pPr>
              <w:pStyle w:val="SingleTxtG"/>
              <w:spacing w:before="80" w:after="80" w:line="200" w:lineRule="exact"/>
              <w:ind w:left="0" w:right="0"/>
              <w:jc w:val="right"/>
              <w:rPr>
                <w:i/>
                <w:sz w:val="16"/>
              </w:rPr>
            </w:pPr>
            <w:proofErr w:type="spellStart"/>
            <w:r>
              <w:rPr>
                <w:i/>
                <w:sz w:val="16"/>
              </w:rPr>
              <w:t>Nº</w:t>
            </w:r>
            <w:proofErr w:type="spellEnd"/>
            <w:r>
              <w:rPr>
                <w:i/>
                <w:sz w:val="16"/>
              </w:rPr>
              <w:t xml:space="preserve"> Expedientes</w:t>
            </w:r>
          </w:p>
        </w:tc>
      </w:tr>
      <w:tr w:rsidR="00AE10C5" w:rsidRPr="0016164D" w14:paraId="7D97233D" w14:textId="77777777" w:rsidTr="00AE10C5">
        <w:tc>
          <w:tcPr>
            <w:tcW w:w="5440" w:type="dxa"/>
            <w:tcBorders>
              <w:top w:val="single" w:sz="12" w:space="0" w:color="auto"/>
            </w:tcBorders>
            <w:shd w:val="clear" w:color="auto" w:fill="auto"/>
            <w:vAlign w:val="bottom"/>
          </w:tcPr>
          <w:p w14:paraId="6F6B1877" w14:textId="77777777" w:rsidR="00AE10C5" w:rsidRPr="0016164D" w:rsidRDefault="00AE10C5" w:rsidP="00C16BCC">
            <w:pPr>
              <w:pStyle w:val="SingleTxtG"/>
              <w:spacing w:before="40" w:after="40" w:line="220" w:lineRule="exact"/>
              <w:ind w:left="0" w:right="0"/>
              <w:jc w:val="left"/>
              <w:rPr>
                <w:sz w:val="18"/>
              </w:rPr>
            </w:pPr>
            <w:r w:rsidRPr="0016164D">
              <w:rPr>
                <w:sz w:val="18"/>
              </w:rPr>
              <w:t>Expedientes con gestiones de investigación en trámite</w:t>
            </w:r>
          </w:p>
        </w:tc>
        <w:tc>
          <w:tcPr>
            <w:tcW w:w="1930" w:type="dxa"/>
            <w:tcBorders>
              <w:top w:val="single" w:sz="12" w:space="0" w:color="auto"/>
            </w:tcBorders>
            <w:shd w:val="clear" w:color="auto" w:fill="auto"/>
            <w:vAlign w:val="bottom"/>
          </w:tcPr>
          <w:p w14:paraId="7A969320" w14:textId="77777777" w:rsidR="00AE10C5" w:rsidRPr="0016164D" w:rsidRDefault="00AE10C5" w:rsidP="00C16BCC">
            <w:pPr>
              <w:pStyle w:val="SingleTxtG"/>
              <w:spacing w:before="40" w:after="40" w:line="220" w:lineRule="exact"/>
              <w:ind w:left="0" w:right="0"/>
              <w:jc w:val="right"/>
              <w:rPr>
                <w:sz w:val="18"/>
              </w:rPr>
            </w:pPr>
            <w:r>
              <w:rPr>
                <w:sz w:val="18"/>
              </w:rPr>
              <w:t>193</w:t>
            </w:r>
          </w:p>
        </w:tc>
      </w:tr>
      <w:tr w:rsidR="00AE10C5" w:rsidRPr="0016164D" w14:paraId="7EDAF953" w14:textId="77777777" w:rsidTr="00AE10C5">
        <w:tc>
          <w:tcPr>
            <w:tcW w:w="5440" w:type="dxa"/>
            <w:shd w:val="clear" w:color="auto" w:fill="auto"/>
            <w:vAlign w:val="bottom"/>
          </w:tcPr>
          <w:p w14:paraId="2A2FDBAA" w14:textId="77777777" w:rsidR="00AE10C5" w:rsidRPr="0016164D" w:rsidRDefault="00AE10C5" w:rsidP="00C16BCC">
            <w:pPr>
              <w:pStyle w:val="SingleTxtG"/>
              <w:spacing w:before="40" w:after="40" w:line="220" w:lineRule="exact"/>
              <w:ind w:left="0" w:right="0"/>
              <w:jc w:val="left"/>
              <w:rPr>
                <w:sz w:val="18"/>
              </w:rPr>
            </w:pPr>
            <w:r w:rsidRPr="0016164D">
              <w:rPr>
                <w:sz w:val="18"/>
              </w:rPr>
              <w:t>Expedientes con reencuentros realizados</w:t>
            </w:r>
          </w:p>
        </w:tc>
        <w:tc>
          <w:tcPr>
            <w:tcW w:w="1930" w:type="dxa"/>
            <w:shd w:val="clear" w:color="auto" w:fill="auto"/>
            <w:vAlign w:val="bottom"/>
          </w:tcPr>
          <w:p w14:paraId="090AD005" w14:textId="77777777" w:rsidR="00AE10C5" w:rsidRPr="0016164D" w:rsidRDefault="00AE10C5" w:rsidP="00C16BCC">
            <w:pPr>
              <w:pStyle w:val="SingleTxtG"/>
              <w:spacing w:before="40" w:after="40" w:line="220" w:lineRule="exact"/>
              <w:ind w:left="0" w:right="0"/>
              <w:jc w:val="right"/>
              <w:rPr>
                <w:sz w:val="18"/>
              </w:rPr>
            </w:pPr>
            <w:r>
              <w:rPr>
                <w:sz w:val="18"/>
              </w:rPr>
              <w:t>0</w:t>
            </w:r>
          </w:p>
        </w:tc>
      </w:tr>
      <w:tr w:rsidR="00AE10C5" w:rsidRPr="0016164D" w14:paraId="6F3518F7" w14:textId="77777777" w:rsidTr="00AE10C5">
        <w:tc>
          <w:tcPr>
            <w:tcW w:w="5440" w:type="dxa"/>
            <w:shd w:val="clear" w:color="auto" w:fill="auto"/>
            <w:vAlign w:val="bottom"/>
          </w:tcPr>
          <w:p w14:paraId="319BD71F" w14:textId="77777777" w:rsidR="00AE10C5" w:rsidRPr="0016164D" w:rsidRDefault="00AE10C5" w:rsidP="00C16BCC">
            <w:pPr>
              <w:pStyle w:val="SingleTxtG"/>
              <w:spacing w:before="40" w:after="40" w:line="220" w:lineRule="exact"/>
              <w:ind w:left="0" w:right="0"/>
              <w:jc w:val="left"/>
              <w:rPr>
                <w:sz w:val="18"/>
              </w:rPr>
            </w:pPr>
            <w:r w:rsidRPr="0016164D">
              <w:rPr>
                <w:sz w:val="18"/>
              </w:rPr>
              <w:t>Expedientes de personas localizadas pendientes de realizar reencuentro</w:t>
            </w:r>
          </w:p>
        </w:tc>
        <w:tc>
          <w:tcPr>
            <w:tcW w:w="1930" w:type="dxa"/>
            <w:shd w:val="clear" w:color="auto" w:fill="auto"/>
            <w:vAlign w:val="bottom"/>
          </w:tcPr>
          <w:p w14:paraId="42987E61" w14:textId="77777777" w:rsidR="00AE10C5" w:rsidRPr="0016164D" w:rsidRDefault="00AE10C5" w:rsidP="00C16BCC">
            <w:pPr>
              <w:pStyle w:val="SingleTxtG"/>
              <w:spacing w:before="40" w:after="40" w:line="220" w:lineRule="exact"/>
              <w:ind w:left="0" w:right="0"/>
              <w:jc w:val="right"/>
              <w:rPr>
                <w:sz w:val="18"/>
              </w:rPr>
            </w:pPr>
            <w:r>
              <w:rPr>
                <w:sz w:val="18"/>
              </w:rPr>
              <w:t>0</w:t>
            </w:r>
          </w:p>
        </w:tc>
      </w:tr>
      <w:tr w:rsidR="00AE10C5" w:rsidRPr="0016164D" w14:paraId="10B62D45" w14:textId="77777777" w:rsidTr="00AE10C5">
        <w:tc>
          <w:tcPr>
            <w:tcW w:w="5440" w:type="dxa"/>
            <w:shd w:val="clear" w:color="auto" w:fill="auto"/>
            <w:vAlign w:val="bottom"/>
          </w:tcPr>
          <w:p w14:paraId="630BB1BE" w14:textId="77777777" w:rsidR="00AE10C5" w:rsidRPr="0016164D" w:rsidRDefault="00AE10C5" w:rsidP="00C16BCC">
            <w:pPr>
              <w:pStyle w:val="SingleTxtG"/>
              <w:spacing w:before="40" w:after="40" w:line="220" w:lineRule="exact"/>
              <w:ind w:left="0" w:right="0"/>
              <w:jc w:val="left"/>
              <w:rPr>
                <w:sz w:val="18"/>
              </w:rPr>
            </w:pPr>
            <w:r w:rsidRPr="0016164D">
              <w:rPr>
                <w:sz w:val="18"/>
              </w:rPr>
              <w:t>Expedientes con exhumación realizada</w:t>
            </w:r>
          </w:p>
        </w:tc>
        <w:tc>
          <w:tcPr>
            <w:tcW w:w="1930" w:type="dxa"/>
            <w:shd w:val="clear" w:color="auto" w:fill="auto"/>
            <w:vAlign w:val="bottom"/>
          </w:tcPr>
          <w:p w14:paraId="52AEA329" w14:textId="77777777" w:rsidR="00AE10C5" w:rsidRPr="0016164D" w:rsidRDefault="00AE10C5" w:rsidP="00C16BCC">
            <w:pPr>
              <w:pStyle w:val="SingleTxtG"/>
              <w:spacing w:before="40" w:after="40" w:line="220" w:lineRule="exact"/>
              <w:ind w:left="0" w:right="0"/>
              <w:jc w:val="right"/>
              <w:rPr>
                <w:sz w:val="18"/>
              </w:rPr>
            </w:pPr>
            <w:r>
              <w:rPr>
                <w:sz w:val="18"/>
              </w:rPr>
              <w:t>1</w:t>
            </w:r>
          </w:p>
        </w:tc>
      </w:tr>
      <w:tr w:rsidR="00AE10C5" w:rsidRPr="0016164D" w14:paraId="28FBC15C" w14:textId="77777777" w:rsidTr="00AE10C5">
        <w:tc>
          <w:tcPr>
            <w:tcW w:w="5440" w:type="dxa"/>
            <w:tcBorders>
              <w:bottom w:val="single" w:sz="12" w:space="0" w:color="auto"/>
            </w:tcBorders>
            <w:shd w:val="clear" w:color="auto" w:fill="auto"/>
            <w:vAlign w:val="bottom"/>
          </w:tcPr>
          <w:p w14:paraId="37F36D95" w14:textId="77777777" w:rsidR="00AE10C5" w:rsidRPr="0016164D" w:rsidRDefault="00AE10C5" w:rsidP="00C16BCC">
            <w:pPr>
              <w:pStyle w:val="SingleTxtG"/>
              <w:spacing w:before="40" w:after="40" w:line="220" w:lineRule="exact"/>
              <w:ind w:left="0" w:right="0"/>
              <w:jc w:val="left"/>
              <w:rPr>
                <w:sz w:val="18"/>
              </w:rPr>
            </w:pPr>
            <w:r w:rsidRPr="0016164D">
              <w:rPr>
                <w:sz w:val="18"/>
              </w:rPr>
              <w:t>Expedientes cerrados</w:t>
            </w:r>
          </w:p>
        </w:tc>
        <w:tc>
          <w:tcPr>
            <w:tcW w:w="1930" w:type="dxa"/>
            <w:tcBorders>
              <w:bottom w:val="single" w:sz="12" w:space="0" w:color="auto"/>
            </w:tcBorders>
            <w:shd w:val="clear" w:color="auto" w:fill="auto"/>
            <w:vAlign w:val="bottom"/>
          </w:tcPr>
          <w:p w14:paraId="10BFCBD7" w14:textId="77777777" w:rsidR="00AE10C5" w:rsidRPr="0016164D" w:rsidRDefault="00AE10C5" w:rsidP="00C16BCC">
            <w:pPr>
              <w:pStyle w:val="SingleTxtG"/>
              <w:spacing w:before="40" w:after="40" w:line="220" w:lineRule="exact"/>
              <w:ind w:left="0" w:right="0"/>
              <w:jc w:val="right"/>
              <w:rPr>
                <w:sz w:val="18"/>
              </w:rPr>
            </w:pPr>
            <w:r>
              <w:rPr>
                <w:sz w:val="18"/>
              </w:rPr>
              <w:t>0</w:t>
            </w:r>
          </w:p>
        </w:tc>
      </w:tr>
    </w:tbl>
    <w:p w14:paraId="5BF3AF47" w14:textId="52C1CC7B" w:rsidR="00655E5C" w:rsidRPr="001D41EA" w:rsidRDefault="005816B3" w:rsidP="00FE1F50">
      <w:pPr>
        <w:pStyle w:val="SingleTxtG"/>
        <w:spacing w:before="240"/>
        <w:rPr>
          <w:rFonts w:eastAsia="Arial"/>
          <w:u w:color="000000"/>
          <w:bdr w:val="nil"/>
          <w:lang w:val="es-ES_tradnl"/>
        </w:rPr>
      </w:pPr>
      <w:r w:rsidRPr="001D41EA">
        <w:rPr>
          <w:rFonts w:eastAsia="Arial"/>
          <w:u w:color="000000"/>
          <w:bdr w:val="nil"/>
          <w:lang w:val="es-ES_tradnl" w:eastAsia="en-US"/>
        </w:rPr>
        <w:t>38.</w:t>
      </w:r>
      <w:r w:rsidRPr="001D41EA">
        <w:rPr>
          <w:rFonts w:eastAsia="Arial"/>
          <w:u w:color="000000"/>
          <w:bdr w:val="nil"/>
          <w:lang w:val="es-ES_tradnl" w:eastAsia="en-US"/>
        </w:rPr>
        <w:tab/>
      </w:r>
      <w:r w:rsidR="00655E5C" w:rsidRPr="001D41EA">
        <w:rPr>
          <w:u w:color="000000"/>
          <w:bdr w:val="nil"/>
          <w:lang w:val="es-ES_tradnl"/>
        </w:rPr>
        <w:t xml:space="preserve">Con relación a la búsqueda de personas desaparecidas, además de la creación en 2016 del “Grupo Fiscal para la Investigación de Delitos Cometidos Durante el Conflicto Armado Interno”, el cual tiene como función principal investigar las graves violaciones a los derechos humanos ocurridas en el pasado conflicto armado interno, la Fiscalía ha incorporado dentro de la </w:t>
      </w:r>
      <w:proofErr w:type="spellStart"/>
      <w:r w:rsidR="00655E5C" w:rsidRPr="001D41EA">
        <w:rPr>
          <w:u w:color="000000"/>
          <w:bdr w:val="nil"/>
          <w:lang w:val="es-ES_tradnl"/>
        </w:rPr>
        <w:t>currícula</w:t>
      </w:r>
      <w:proofErr w:type="spellEnd"/>
      <w:r w:rsidR="00655E5C" w:rsidRPr="001D41EA">
        <w:rPr>
          <w:u w:color="000000"/>
          <w:bdr w:val="nil"/>
          <w:lang w:val="es-ES_tradnl"/>
        </w:rPr>
        <w:t xml:space="preserve"> institucional de la Escuela de Capacitación Fiscal, componentes formativos en el campo del Derecho Internacional Humanitario y de Técnicas de Investigación en materia de Desaparición Forzada de Personas. De igual manera, ha gestionado cooperación ante el Alto Comisionado de las Naciones Unidas para los Derechos Humanos y el Instituto Interamericano de Derechos Humanos para recibir apoyo técnico en el tema. </w:t>
      </w:r>
    </w:p>
    <w:p w14:paraId="1BBCFD46" w14:textId="2BE407BE" w:rsidR="00655E5C" w:rsidRPr="001D41EA" w:rsidRDefault="005816B3" w:rsidP="00FE1F50">
      <w:pPr>
        <w:pStyle w:val="SingleTxtG"/>
        <w:rPr>
          <w:rFonts w:eastAsia="Arial"/>
          <w:u w:color="000000"/>
          <w:bdr w:val="nil"/>
          <w:lang w:val="es-ES_tradnl"/>
        </w:rPr>
      </w:pPr>
      <w:r w:rsidRPr="001D41EA">
        <w:rPr>
          <w:rFonts w:eastAsia="Arial"/>
          <w:u w:color="000000"/>
          <w:bdr w:val="nil"/>
          <w:lang w:val="es-ES_tradnl" w:eastAsia="en-US"/>
        </w:rPr>
        <w:t>39.</w:t>
      </w:r>
      <w:r w:rsidRPr="001D41EA">
        <w:rPr>
          <w:rFonts w:eastAsia="Arial"/>
          <w:u w:color="000000"/>
          <w:bdr w:val="nil"/>
          <w:lang w:val="es-ES_tradnl" w:eastAsia="en-US"/>
        </w:rPr>
        <w:tab/>
      </w:r>
      <w:r w:rsidR="00655E5C" w:rsidRPr="001D41EA">
        <w:rPr>
          <w:u w:color="000000"/>
          <w:bdr w:val="nil"/>
          <w:lang w:val="es-ES_tradnl"/>
        </w:rPr>
        <w:t>En cuanto a investigaciones específicas sobre casos de desaparición forzada de personas ocurridas en el contexto del conflicto armado interno, la Fiscalía ha informado que realiza una investigación de diversos casos</w:t>
      </w:r>
      <w:r w:rsidR="00655E5C" w:rsidRPr="001D41EA">
        <w:rPr>
          <w:rFonts w:eastAsia="Arial"/>
          <w:u w:color="000000"/>
          <w:bdr w:val="nil"/>
          <w:vertAlign w:val="superscript"/>
        </w:rPr>
        <w:footnoteReference w:id="2"/>
      </w:r>
      <w:r w:rsidR="00655E5C" w:rsidRPr="001D41EA">
        <w:rPr>
          <w:u w:color="000000"/>
          <w:bdr w:val="nil"/>
          <w:lang w:val="es-ES_tradnl"/>
        </w:rPr>
        <w:t xml:space="preserve"> de desaparición forzada, atribuidos a ambas partes del conflicto interno. Asimismo, se investigan casos relacionados a homicidios, masacres, atentados con artefactos explosivos a instalaciones sindicales, reclutamientos forzosos, entre otros, también ocurridos en el contexto del pasado conflicto armado.</w:t>
      </w:r>
    </w:p>
    <w:p w14:paraId="78996067" w14:textId="58265D06" w:rsidR="00655E5C" w:rsidRPr="001D41EA" w:rsidRDefault="00FE1F50" w:rsidP="00AE10C5">
      <w:pPr>
        <w:pStyle w:val="H1G"/>
        <w:rPr>
          <w:rFonts w:eastAsia="Arial"/>
          <w:sz w:val="22"/>
          <w:szCs w:val="22"/>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Pár</w:t>
      </w:r>
      <w:r w:rsidRPr="001D41EA">
        <w:rPr>
          <w:u w:color="000000"/>
          <w:bdr w:val="nil"/>
          <w:lang w:val="es-ES_tradnl" w:eastAsia="en-US"/>
        </w:rPr>
        <w:t>rafo 22</w:t>
      </w:r>
    </w:p>
    <w:p w14:paraId="37370FFE" w14:textId="187022C9" w:rsidR="00655E5C" w:rsidRPr="001D41EA" w:rsidRDefault="00FE1F50">
      <w:pPr>
        <w:pStyle w:val="H23G"/>
        <w:rPr>
          <w:rFonts w:eastAsia="Arial"/>
          <w:u w:color="000000"/>
          <w:bdr w:val="nil"/>
          <w:lang w:val="es-ES_tradnl" w:eastAsia="en-US"/>
        </w:rPr>
      </w:pPr>
      <w:r w:rsidRPr="001D41EA">
        <w:rPr>
          <w:u w:color="000000"/>
          <w:bdr w:val="nil"/>
          <w:lang w:val="es-ES_tradnl" w:eastAsia="en-US"/>
        </w:rPr>
        <w:tab/>
      </w:r>
      <w:r w:rsidRPr="001D41EA">
        <w:rPr>
          <w:u w:color="000000"/>
          <w:bdr w:val="nil"/>
          <w:lang w:val="es-ES_tradnl" w:eastAsia="en-US"/>
        </w:rPr>
        <w:tab/>
      </w:r>
      <w:r w:rsidR="00655E5C" w:rsidRPr="001D41EA">
        <w:rPr>
          <w:u w:color="000000"/>
          <w:bdr w:val="nil"/>
          <w:lang w:val="es-ES_tradnl" w:eastAsia="en-US"/>
        </w:rPr>
        <w:t>El Estado parte debe fortalecer el rol de la Policía Nacional Civil en sus funciones de</w:t>
      </w:r>
      <w:r w:rsidR="00785ACC">
        <w:rPr>
          <w:u w:color="000000"/>
          <w:bdr w:val="nil"/>
          <w:lang w:val="es-ES_tradnl" w:eastAsia="en-US"/>
        </w:rPr>
        <w:t> </w:t>
      </w:r>
      <w:r w:rsidR="00655E5C" w:rsidRPr="001D41EA">
        <w:rPr>
          <w:u w:color="000000"/>
          <w:bdr w:val="nil"/>
          <w:lang w:val="es-ES_tradnl" w:eastAsia="en-US"/>
        </w:rPr>
        <w:t>mantenimiento del orden público y facilitar la asunción por parte ésta de las funciones de mantenimiento del orden público que ejercen las Fuerzas Armadas. Debe</w:t>
      </w:r>
      <w:r w:rsidR="00785ACC">
        <w:rPr>
          <w:u w:color="000000"/>
          <w:bdr w:val="nil"/>
          <w:lang w:val="es-ES_tradnl" w:eastAsia="en-US"/>
        </w:rPr>
        <w:t> </w:t>
      </w:r>
      <w:r w:rsidR="00655E5C" w:rsidRPr="001D41EA">
        <w:rPr>
          <w:u w:color="000000"/>
          <w:bdr w:val="nil"/>
          <w:lang w:val="es-ES_tradnl" w:eastAsia="en-US"/>
        </w:rPr>
        <w:t>asegurar que se investiguen todos los casos de presuntas ejecuciones extrajudiciales, detenciones arbitrarias y desapariciones forzadas de manera pronta,</w:t>
      </w:r>
      <w:r w:rsidR="00785ACC">
        <w:rPr>
          <w:u w:color="000000"/>
          <w:bdr w:val="nil"/>
          <w:lang w:val="es-ES_tradnl" w:eastAsia="en-US"/>
        </w:rPr>
        <w:t> </w:t>
      </w:r>
      <w:r w:rsidR="00655E5C" w:rsidRPr="001D41EA">
        <w:rPr>
          <w:u w:color="000000"/>
          <w:bdr w:val="nil"/>
          <w:lang w:val="es-ES_tradnl" w:eastAsia="en-US"/>
        </w:rPr>
        <w:t>exhaustiva e imparcial, que se busquen a las personas desaparecidas, que</w:t>
      </w:r>
      <w:r w:rsidR="00785ACC">
        <w:rPr>
          <w:u w:color="000000"/>
          <w:bdr w:val="nil"/>
          <w:lang w:val="es-ES_tradnl" w:eastAsia="en-US"/>
        </w:rPr>
        <w:t> </w:t>
      </w:r>
      <w:r w:rsidR="00655E5C" w:rsidRPr="001D41EA">
        <w:rPr>
          <w:u w:color="000000"/>
          <w:bdr w:val="nil"/>
          <w:lang w:val="es-ES_tradnl" w:eastAsia="en-US"/>
        </w:rPr>
        <w:t>los</w:t>
      </w:r>
      <w:r w:rsidR="00785ACC">
        <w:rPr>
          <w:u w:color="000000"/>
          <w:bdr w:val="nil"/>
          <w:lang w:val="es-ES_tradnl" w:eastAsia="en-US"/>
        </w:rPr>
        <w:t> </w:t>
      </w:r>
      <w:r w:rsidR="00655E5C" w:rsidRPr="001D41EA">
        <w:rPr>
          <w:u w:color="000000"/>
          <w:bdr w:val="nil"/>
          <w:lang w:val="es-ES_tradnl" w:eastAsia="en-US"/>
        </w:rPr>
        <w:t>responsables sean enjuiciados y sancionados, y que las víctimas reciban una</w:t>
      </w:r>
      <w:r w:rsidR="00785ACC">
        <w:rPr>
          <w:u w:color="000000"/>
          <w:bdr w:val="nil"/>
          <w:lang w:val="es-ES_tradnl" w:eastAsia="en-US"/>
        </w:rPr>
        <w:t> </w:t>
      </w:r>
      <w:r w:rsidR="00655E5C" w:rsidRPr="001D41EA">
        <w:rPr>
          <w:u w:color="000000"/>
          <w:bdr w:val="nil"/>
          <w:lang w:val="es-ES_tradnl" w:eastAsia="en-US"/>
        </w:rPr>
        <w:t>reparación integral</w:t>
      </w:r>
    </w:p>
    <w:p w14:paraId="3B6C20C9" w14:textId="7BFC57AF" w:rsidR="00655E5C" w:rsidRPr="001D41EA" w:rsidRDefault="005816B3" w:rsidP="00FE1F50">
      <w:pPr>
        <w:pStyle w:val="SingleTxtG"/>
        <w:rPr>
          <w:rFonts w:eastAsia="Arial"/>
          <w:u w:color="000000"/>
          <w:bdr w:val="nil"/>
          <w:lang w:val="es-ES_tradnl"/>
        </w:rPr>
      </w:pPr>
      <w:r w:rsidRPr="001D41EA">
        <w:rPr>
          <w:rFonts w:eastAsia="Arial"/>
          <w:u w:color="000000"/>
          <w:bdr w:val="nil"/>
          <w:lang w:val="es-ES_tradnl" w:eastAsia="en-US"/>
        </w:rPr>
        <w:t>40.</w:t>
      </w:r>
      <w:r w:rsidRPr="001D41EA">
        <w:rPr>
          <w:rFonts w:eastAsia="Arial"/>
          <w:u w:color="000000"/>
          <w:bdr w:val="nil"/>
          <w:lang w:val="es-ES_tradnl" w:eastAsia="en-US"/>
        </w:rPr>
        <w:tab/>
      </w:r>
      <w:r w:rsidR="00655E5C" w:rsidRPr="001D41EA">
        <w:rPr>
          <w:u w:color="000000"/>
          <w:bdr w:val="nil"/>
          <w:lang w:val="es-ES_tradnl"/>
        </w:rPr>
        <w:t>La seguridad pública es un tema de prioridad nacional, por lo que se han desarrollado diferentes esfuerzos para brindar una respuesta articulada. A partir de junio de 2019, el Gobierno d</w:t>
      </w:r>
      <w:r w:rsidR="00FE1F50" w:rsidRPr="001D41EA">
        <w:rPr>
          <w:u w:color="000000"/>
          <w:bdr w:val="nil"/>
          <w:lang w:val="es-ES_tradnl"/>
        </w:rPr>
        <w:t xml:space="preserve">el </w:t>
      </w:r>
      <w:proofErr w:type="gramStart"/>
      <w:r w:rsidR="00FE1F50" w:rsidRPr="001D41EA">
        <w:rPr>
          <w:u w:color="000000"/>
          <w:bdr w:val="nil"/>
          <w:lang w:val="es-ES_tradnl"/>
        </w:rPr>
        <w:t>Presidente</w:t>
      </w:r>
      <w:proofErr w:type="gramEnd"/>
      <w:r w:rsidR="00FE1F50" w:rsidRPr="001D41EA">
        <w:rPr>
          <w:u w:color="000000"/>
          <w:bdr w:val="nil"/>
          <w:lang w:val="es-ES_tradnl"/>
        </w:rPr>
        <w:t xml:space="preserve"> </w:t>
      </w:r>
      <w:proofErr w:type="spellStart"/>
      <w:r w:rsidR="00FE1F50" w:rsidRPr="001D41EA">
        <w:rPr>
          <w:u w:color="000000"/>
          <w:bdr w:val="nil"/>
          <w:lang w:val="es-ES_tradnl"/>
        </w:rPr>
        <w:t>Bukele</w:t>
      </w:r>
      <w:proofErr w:type="spellEnd"/>
      <w:r w:rsidR="00FE1F50" w:rsidRPr="001D41EA">
        <w:rPr>
          <w:u w:color="000000"/>
          <w:bdr w:val="nil"/>
          <w:lang w:val="es-ES_tradnl"/>
        </w:rPr>
        <w:t xml:space="preserve"> ejecuta el</w:t>
      </w:r>
      <w:r w:rsidR="00655E5C" w:rsidRPr="001D41EA">
        <w:rPr>
          <w:u w:color="000000"/>
          <w:bdr w:val="nil"/>
          <w:lang w:val="es-ES_tradnl"/>
        </w:rPr>
        <w:t xml:space="preserve"> Plan Co</w:t>
      </w:r>
      <w:r w:rsidR="00FE1F50" w:rsidRPr="001D41EA">
        <w:rPr>
          <w:u w:color="000000"/>
          <w:bdr w:val="nil"/>
          <w:lang w:val="es-ES_tradnl"/>
        </w:rPr>
        <w:t xml:space="preserve">ntrol Territorial de Seguridad </w:t>
      </w:r>
      <w:r w:rsidR="00655E5C" w:rsidRPr="001D41EA">
        <w:rPr>
          <w:u w:color="000000"/>
          <w:bdr w:val="nil"/>
          <w:lang w:val="es-ES_tradnl"/>
        </w:rPr>
        <w:t xml:space="preserve">que comprende la recuperación de territorios dominados por grupos delincuenciales, el combate a las fuentes de financiamiento de las pandillas y la adopción de medidas de intervención específicas en los centros penitenciarios. </w:t>
      </w:r>
    </w:p>
    <w:p w14:paraId="37A8CFE0" w14:textId="35E52FD2" w:rsidR="00655E5C" w:rsidRPr="001D41EA" w:rsidRDefault="005816B3" w:rsidP="00FE1F50">
      <w:pPr>
        <w:pStyle w:val="SingleTxtG"/>
        <w:rPr>
          <w:rFonts w:eastAsia="Arial"/>
          <w:u w:color="000000"/>
          <w:bdr w:val="nil"/>
          <w:lang w:val="es-ES_tradnl"/>
        </w:rPr>
      </w:pPr>
      <w:r w:rsidRPr="001D41EA">
        <w:rPr>
          <w:rFonts w:eastAsia="Arial"/>
          <w:u w:color="000000"/>
          <w:bdr w:val="nil"/>
          <w:lang w:val="es-ES_tradnl" w:eastAsia="en-US"/>
        </w:rPr>
        <w:t>41.</w:t>
      </w:r>
      <w:r w:rsidRPr="001D41EA">
        <w:rPr>
          <w:rFonts w:eastAsia="Arial"/>
          <w:u w:color="000000"/>
          <w:bdr w:val="nil"/>
          <w:lang w:val="es-ES_tradnl" w:eastAsia="en-US"/>
        </w:rPr>
        <w:tab/>
      </w:r>
      <w:r w:rsidR="00655E5C" w:rsidRPr="001D41EA">
        <w:rPr>
          <w:u w:color="000000"/>
          <w:bdr w:val="nil"/>
          <w:lang w:val="es-ES_tradnl"/>
        </w:rPr>
        <w:t xml:space="preserve">Este Plan también se enfoca en la reconstrucción del tejido social y comunitario, por lo que incluye acciones para evitar el ingreso de adolescentes y jóvenes a estructuras criminales, tales como programas de capacitación técnica en diversas áreas, becas </w:t>
      </w:r>
      <w:r w:rsidR="00655E5C" w:rsidRPr="001D41EA">
        <w:rPr>
          <w:u w:color="000000"/>
          <w:bdr w:val="nil"/>
          <w:lang w:val="es-ES_tradnl"/>
        </w:rPr>
        <w:lastRenderedPageBreak/>
        <w:t xml:space="preserve">universitarias y proyectos de generación de empleo para jóvenes; además, comprende la ejecución de obra pública e introducción de servicios básicos en comunidades, por lo que existe una participación de todas las Carteras del Órgano Ejecutivo, bajo la articulación de la Dirección Nacional de Reconstrucción del Tejido Social del Ministerio de Gobernación y Desarrollo Territorial. </w:t>
      </w:r>
    </w:p>
    <w:p w14:paraId="25C103AE" w14:textId="230E38A2" w:rsidR="00655E5C" w:rsidRPr="001D41EA" w:rsidRDefault="005816B3" w:rsidP="00FE1F50">
      <w:pPr>
        <w:pStyle w:val="SingleTxtG"/>
        <w:rPr>
          <w:rFonts w:eastAsia="Arial"/>
          <w:u w:color="000000"/>
          <w:bdr w:val="nil"/>
          <w:lang w:val="de-DE"/>
        </w:rPr>
      </w:pPr>
      <w:r w:rsidRPr="001D41EA">
        <w:rPr>
          <w:rFonts w:eastAsia="Arial"/>
          <w:u w:color="000000"/>
          <w:bdr w:val="nil"/>
          <w:lang w:val="de-DE" w:eastAsia="en-US"/>
        </w:rPr>
        <w:t>42.</w:t>
      </w:r>
      <w:r w:rsidRPr="001D41EA">
        <w:rPr>
          <w:rFonts w:eastAsia="Arial"/>
          <w:u w:color="000000"/>
          <w:bdr w:val="nil"/>
          <w:lang w:val="de-DE" w:eastAsia="en-US"/>
        </w:rPr>
        <w:tab/>
      </w:r>
      <w:r w:rsidR="00655E5C" w:rsidRPr="001D41EA">
        <w:rPr>
          <w:rFonts w:eastAsia="Arial Unicode MS"/>
          <w:u w:color="000000"/>
          <w:bdr w:val="nil"/>
          <w:lang w:val="de-DE"/>
        </w:rPr>
        <w:t xml:space="preserve">En </w:t>
      </w:r>
      <w:proofErr w:type="spellStart"/>
      <w:r w:rsidR="00655E5C" w:rsidRPr="001D41EA">
        <w:rPr>
          <w:rFonts w:eastAsia="Arial Unicode MS"/>
          <w:u w:color="000000"/>
          <w:bdr w:val="nil"/>
          <w:lang w:val="de-DE"/>
        </w:rPr>
        <w:t>relación</w:t>
      </w:r>
      <w:proofErr w:type="spellEnd"/>
      <w:r w:rsidR="00655E5C" w:rsidRPr="001D41EA">
        <w:rPr>
          <w:rFonts w:eastAsia="Arial Unicode MS"/>
          <w:u w:color="000000"/>
          <w:bdr w:val="nil"/>
          <w:lang w:val="de-DE"/>
        </w:rPr>
        <w:t xml:space="preserve"> a la</w:t>
      </w:r>
      <w:r w:rsidR="00655E5C" w:rsidRPr="001D41EA">
        <w:rPr>
          <w:rFonts w:eastAsia="Arial Unicode MS"/>
          <w:u w:color="000000"/>
          <w:bdr w:val="nil"/>
          <w:lang w:val="es-ES_tradnl"/>
        </w:rPr>
        <w:t xml:space="preserve"> investigación de presuntas ejecuciones extrajudiciales, detenciones arbitrarias y desapariciones forzadas, el Gobierno, en cumplimiento de sus obligaciones y con apego a sus principios, tiene un compromiso claro de enfrentar con todos los recursos legales a su alcance las acciones de grupos que atentan contra los derechos de la población, ya sean estructuras criminales o sujetos que prevaleciéndose de las funciones delegadas en tarea de seguridad, realizan acciones en quebrantamiento de la legalidad.</w:t>
      </w:r>
    </w:p>
    <w:p w14:paraId="1AB6D6DD" w14:textId="38B1A2ED" w:rsidR="00655E5C" w:rsidRPr="001D41EA" w:rsidRDefault="005816B3" w:rsidP="00FE1F50">
      <w:pPr>
        <w:pStyle w:val="SingleTxtG"/>
        <w:rPr>
          <w:rFonts w:eastAsia="Arial"/>
          <w:u w:color="000000"/>
          <w:bdr w:val="nil"/>
          <w:lang w:val="es-ES_tradnl"/>
        </w:rPr>
      </w:pPr>
      <w:r w:rsidRPr="001D41EA">
        <w:rPr>
          <w:rFonts w:eastAsia="Arial"/>
          <w:u w:color="000000"/>
          <w:bdr w:val="nil"/>
          <w:lang w:val="es-ES_tradnl" w:eastAsia="en-US"/>
        </w:rPr>
        <w:t>43.</w:t>
      </w:r>
      <w:r w:rsidRPr="001D41EA">
        <w:rPr>
          <w:rFonts w:eastAsia="Arial"/>
          <w:u w:color="000000"/>
          <w:bdr w:val="nil"/>
          <w:lang w:val="es-ES_tradnl" w:eastAsia="en-US"/>
        </w:rPr>
        <w:tab/>
      </w:r>
      <w:r w:rsidR="00655E5C" w:rsidRPr="001D41EA">
        <w:rPr>
          <w:rFonts w:eastAsia="Arial Unicode MS"/>
          <w:u w:color="000000"/>
          <w:bdr w:val="nil"/>
          <w:lang w:val="es-ES_tradnl"/>
        </w:rPr>
        <w:t xml:space="preserve">Desde 2017 la Policía Nacional Civil cuenta con un marco conceptual para el uso de la fuerza y el empleo de armas letales. A este respecto, se realizó una campaña de difusión en 2018 y en el marco de la Mesa de Actuaciones Policiales -instancia de diálogo entre gobierno y sociedad civil para abordar temáticas sobre comportamiento policial- se creó un sistema de indicadores para el monitoreo conjunto del uso de la fuerza por parte de los cuerpos de seguridad. </w:t>
      </w:r>
    </w:p>
    <w:p w14:paraId="66A905C9" w14:textId="1D703912" w:rsidR="00655E5C" w:rsidRPr="001D41EA" w:rsidRDefault="005816B3" w:rsidP="00FE1F50">
      <w:pPr>
        <w:pStyle w:val="SingleTxtG"/>
        <w:rPr>
          <w:rFonts w:eastAsia="Arial"/>
          <w:u w:color="000000"/>
          <w:bdr w:val="nil"/>
          <w:lang w:val="es-ES_tradnl"/>
        </w:rPr>
      </w:pPr>
      <w:r w:rsidRPr="001D41EA">
        <w:rPr>
          <w:rFonts w:eastAsia="Arial"/>
          <w:u w:color="000000"/>
          <w:bdr w:val="nil"/>
          <w:lang w:val="es-ES_tradnl" w:eastAsia="en-US"/>
        </w:rPr>
        <w:t>44.</w:t>
      </w:r>
      <w:r w:rsidRPr="001D41EA">
        <w:rPr>
          <w:rFonts w:eastAsia="Arial"/>
          <w:u w:color="000000"/>
          <w:bdr w:val="nil"/>
          <w:lang w:val="es-ES_tradnl" w:eastAsia="en-US"/>
        </w:rPr>
        <w:tab/>
      </w:r>
      <w:r w:rsidR="00655E5C" w:rsidRPr="001D41EA">
        <w:rPr>
          <w:u w:color="000000"/>
          <w:bdr w:val="nil"/>
          <w:lang w:val="es-ES_tradnl"/>
        </w:rPr>
        <w:t>Los casos en los que existen indicios de ejecuciones extrajudiciales han sido investigados bajo la dirección de Unidades Fiscales Especializadas, que han rendido resultados positivos; además, se han fortalecido los mecanismos de control interno de actuación de los funcionarios encargados de hacer cumplir la ley.</w:t>
      </w:r>
    </w:p>
    <w:p w14:paraId="0B1E55D8" w14:textId="01626231" w:rsidR="00177302" w:rsidRPr="008C44C0" w:rsidRDefault="005816B3" w:rsidP="008C44C0">
      <w:pPr>
        <w:pBdr>
          <w:top w:val="nil"/>
          <w:left w:val="nil"/>
          <w:bottom w:val="nil"/>
          <w:right w:val="nil"/>
          <w:between w:val="nil"/>
          <w:bar w:val="nil"/>
        </w:pBdr>
        <w:suppressAutoHyphens/>
        <w:spacing w:before="240"/>
        <w:ind w:left="1134" w:right="1134"/>
        <w:jc w:val="center"/>
        <w:rPr>
          <w:rFonts w:eastAsia="Arial"/>
          <w:color w:val="000000"/>
          <w:sz w:val="22"/>
          <w:szCs w:val="22"/>
          <w:u w:val="single" w:color="000000"/>
          <w:bdr w:val="nil"/>
          <w:lang w:val="es-ES_tradnl" w:eastAsia="en-US"/>
        </w:rPr>
      </w:pPr>
      <w:r w:rsidRPr="001D41EA">
        <w:rPr>
          <w:rFonts w:eastAsia="Arial"/>
          <w:color w:val="000000"/>
          <w:sz w:val="22"/>
          <w:szCs w:val="22"/>
          <w:u w:val="single" w:color="000000"/>
          <w:bdr w:val="nil"/>
          <w:lang w:val="es-ES_tradnl" w:eastAsia="en-US"/>
        </w:rPr>
        <w:tab/>
      </w:r>
      <w:r w:rsidRPr="001D41EA">
        <w:rPr>
          <w:rFonts w:eastAsia="Arial"/>
          <w:color w:val="000000"/>
          <w:sz w:val="22"/>
          <w:szCs w:val="22"/>
          <w:u w:val="single" w:color="000000"/>
          <w:bdr w:val="nil"/>
          <w:lang w:val="es-ES_tradnl" w:eastAsia="en-US"/>
        </w:rPr>
        <w:tab/>
      </w:r>
      <w:r w:rsidR="008C44C0">
        <w:rPr>
          <w:rFonts w:eastAsia="Arial"/>
          <w:color w:val="000000"/>
          <w:sz w:val="22"/>
          <w:szCs w:val="22"/>
          <w:u w:val="single" w:color="000000"/>
          <w:bdr w:val="nil"/>
          <w:lang w:val="es-ES_tradnl" w:eastAsia="en-US"/>
        </w:rPr>
        <w:tab/>
      </w:r>
    </w:p>
    <w:sectPr w:rsidR="00177302" w:rsidRPr="008C44C0"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D1646" w14:textId="77777777" w:rsidR="00C25087" w:rsidRDefault="00C25087">
      <w:pPr>
        <w:spacing w:line="240" w:lineRule="auto"/>
      </w:pPr>
      <w:r>
        <w:separator/>
      </w:r>
    </w:p>
  </w:endnote>
  <w:endnote w:type="continuationSeparator" w:id="0">
    <w:p w14:paraId="15958745" w14:textId="77777777" w:rsidR="00C25087" w:rsidRDefault="00C250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7FFAE" w14:textId="0F7C83FE" w:rsidR="00655E5C" w:rsidRPr="001A4396" w:rsidRDefault="00655E5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74FBF">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DE6D" w14:textId="5A39B013" w:rsidR="00655E5C" w:rsidRPr="001A4396" w:rsidRDefault="00655E5C"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74FBF">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A6F3A" w14:textId="472BA03A" w:rsidR="009A35A5" w:rsidRPr="009A35A5" w:rsidRDefault="009A35A5" w:rsidP="009A35A5">
    <w:pPr>
      <w:pStyle w:val="Piedepgina"/>
      <w:spacing w:before="120" w:line="240" w:lineRule="auto"/>
      <w:rPr>
        <w:sz w:val="20"/>
      </w:rPr>
    </w:pPr>
    <w:proofErr w:type="spellStart"/>
    <w:r>
      <w:rPr>
        <w:sz w:val="20"/>
      </w:rPr>
      <w:t>GE.20</w:t>
    </w:r>
    <w:proofErr w:type="spellEnd"/>
    <w:r>
      <w:rPr>
        <w:sz w:val="20"/>
      </w:rPr>
      <w:t>-</w:t>
    </w:r>
    <w:proofErr w:type="gramStart"/>
    <w:r>
      <w:rPr>
        <w:sz w:val="20"/>
      </w:rPr>
      <w:t>14126  (</w:t>
    </w:r>
    <w:proofErr w:type="gramEnd"/>
    <w:r>
      <w:rPr>
        <w:sz w:val="20"/>
      </w:rPr>
      <w:t>S)</w:t>
    </w:r>
    <w:r>
      <w:rPr>
        <w:sz w:val="20"/>
      </w:rPr>
      <w:br/>
    </w:r>
    <w:r w:rsidRPr="009A35A5">
      <w:rPr>
        <w:rFonts w:ascii="C39T30Lfz" w:hAnsi="C39T30Lfz"/>
        <w:sz w:val="56"/>
      </w:rPr>
      <w:t>*2014126*</w:t>
    </w:r>
    <w:r w:rsidRPr="009A35A5">
      <w:rPr>
        <w:rFonts w:ascii="C39T30Lfz" w:hAnsi="C39T30Lfz"/>
        <w:noProof/>
        <w:sz w:val="56"/>
        <w:lang w:val="fr-CH" w:eastAsia="zh-CN"/>
      </w:rPr>
      <w:drawing>
        <wp:anchor distT="0" distB="0" distL="114300" distR="114300" simplePos="0" relativeHeight="251660288" behindDoc="0" locked="1" layoutInCell="1" allowOverlap="1" wp14:anchorId="6FAEBCD1" wp14:editId="1D8E7F6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F2DC88F" wp14:editId="0DBDD89C">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EBD7C" w14:textId="77777777" w:rsidR="00C25087" w:rsidRPr="001075E9" w:rsidRDefault="00C25087" w:rsidP="001075E9">
      <w:pPr>
        <w:tabs>
          <w:tab w:val="right" w:pos="2155"/>
        </w:tabs>
        <w:spacing w:after="80" w:line="240" w:lineRule="auto"/>
        <w:ind w:left="680"/>
        <w:rPr>
          <w:u w:val="single"/>
        </w:rPr>
      </w:pPr>
      <w:r>
        <w:rPr>
          <w:u w:val="single"/>
        </w:rPr>
        <w:tab/>
      </w:r>
    </w:p>
  </w:footnote>
  <w:footnote w:type="continuationSeparator" w:id="0">
    <w:p w14:paraId="0DB7A733" w14:textId="77777777" w:rsidR="00C25087" w:rsidRDefault="00C25087" w:rsidP="00407B78">
      <w:pPr>
        <w:tabs>
          <w:tab w:val="right" w:pos="2155"/>
        </w:tabs>
        <w:spacing w:after="80"/>
        <w:ind w:left="680"/>
        <w:rPr>
          <w:u w:val="single"/>
        </w:rPr>
      </w:pPr>
      <w:r>
        <w:rPr>
          <w:u w:val="single"/>
        </w:rPr>
        <w:tab/>
      </w:r>
    </w:p>
  </w:footnote>
  <w:footnote w:id="1">
    <w:p w14:paraId="75E1075F" w14:textId="7CFBE79C" w:rsidR="006B5493" w:rsidRPr="006B3221" w:rsidRDefault="006B5493">
      <w:pPr>
        <w:pStyle w:val="Textonotapie"/>
        <w:rPr>
          <w:sz w:val="20"/>
        </w:rPr>
      </w:pPr>
      <w:r>
        <w:tab/>
      </w:r>
      <w:r w:rsidRPr="006B3221">
        <w:rPr>
          <w:rStyle w:val="Refdenotaalpie"/>
          <w:sz w:val="20"/>
          <w:vertAlign w:val="baseline"/>
        </w:rPr>
        <w:t>*</w:t>
      </w:r>
      <w:r w:rsidRPr="006B3221">
        <w:rPr>
          <w:rStyle w:val="Refdenotaalpie"/>
          <w:vertAlign w:val="baseline"/>
        </w:rPr>
        <w:tab/>
      </w:r>
      <w:r w:rsidRPr="00C46162">
        <w:rPr>
          <w:rStyle w:val="Refdenotaalpie"/>
          <w:vertAlign w:val="baseline"/>
        </w:rPr>
        <w:t>El presente documento se publica sin haber sido objeto de revisión editorial oficial.</w:t>
      </w:r>
    </w:p>
  </w:footnote>
  <w:footnote w:id="2">
    <w:p w14:paraId="7DFC152B" w14:textId="39B35E28" w:rsidR="00655E5C" w:rsidRPr="004E02E9" w:rsidRDefault="00FE1F50" w:rsidP="00655E5C">
      <w:pPr>
        <w:pStyle w:val="Textonotapie"/>
        <w:jc w:val="both"/>
        <w:rPr>
          <w:lang w:val="es-SV"/>
        </w:rPr>
      </w:pPr>
      <w:r>
        <w:rPr>
          <w:lang w:val="es-ES_tradnl"/>
        </w:rPr>
        <w:tab/>
      </w:r>
      <w:r w:rsidR="00655E5C">
        <w:rPr>
          <w:rFonts w:ascii="Arial" w:eastAsia="Arial" w:hAnsi="Arial" w:cs="Arial"/>
          <w:vertAlign w:val="superscript"/>
        </w:rPr>
        <w:footnoteRef/>
      </w:r>
      <w:r>
        <w:rPr>
          <w:lang w:val="es-ES_tradnl"/>
        </w:rPr>
        <w:tab/>
      </w:r>
      <w:r w:rsidR="00655E5C">
        <w:rPr>
          <w:lang w:val="es-ES_tradnl"/>
        </w:rPr>
        <w:t xml:space="preserve">Entre los casos se encuentran los siguientes: Caso Guzmán, Caso Flores, caso Escobar, Caso Reyes, Caso Morán, Caso La Gruta y Caso Sánchez.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E62D7" w14:textId="4DD55D11" w:rsidR="00655E5C" w:rsidRPr="001A4396" w:rsidRDefault="00655E5C">
    <w:pPr>
      <w:pStyle w:val="Encabezado"/>
    </w:pPr>
    <w:proofErr w:type="spellStart"/>
    <w:r>
      <w:t>CCPR</w:t>
    </w:r>
    <w:proofErr w:type="spellEnd"/>
    <w:r>
      <w:t>/C/</w:t>
    </w:r>
    <w:proofErr w:type="spellStart"/>
    <w:r>
      <w:t>SLV</w:t>
    </w:r>
    <w:proofErr w:type="spellEnd"/>
    <w:r>
      <w:t>/</w:t>
    </w:r>
    <w:proofErr w:type="spellStart"/>
    <w:r>
      <w:t>FCO</w:t>
    </w:r>
    <w:proofErr w:type="spellEnd"/>
    <w: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73AD9" w14:textId="275C5306" w:rsidR="00655E5C" w:rsidRPr="00935A0B" w:rsidRDefault="00655E5C" w:rsidP="00935A0B">
    <w:pPr>
      <w:pStyle w:val="Encabezado"/>
      <w:jc w:val="right"/>
      <w:rPr>
        <w:u w:val="double"/>
      </w:rPr>
    </w:pPr>
    <w:proofErr w:type="spellStart"/>
    <w:r>
      <w:t>CCPR</w:t>
    </w:r>
    <w:proofErr w:type="spellEnd"/>
    <w:r>
      <w:t>/C/</w:t>
    </w:r>
    <w:proofErr w:type="spellStart"/>
    <w:r>
      <w:t>SLV</w:t>
    </w:r>
    <w:proofErr w:type="spellEnd"/>
    <w:r>
      <w:t>/</w:t>
    </w:r>
    <w:proofErr w:type="spellStart"/>
    <w:r>
      <w:t>FCO</w:t>
    </w:r>
    <w:proofErr w:type="spellEnd"/>
    <w: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D7FC1" w14:textId="77777777" w:rsidR="009A35A5" w:rsidRDefault="009A35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84410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42B530" w:tentative="1">
      <w:start w:val="1"/>
      <w:numFmt w:val="lowerLetter"/>
      <w:lvlText w:val="%2."/>
      <w:lvlJc w:val="left"/>
      <w:pPr>
        <w:tabs>
          <w:tab w:val="num" w:pos="1440"/>
        </w:tabs>
        <w:ind w:left="1440" w:hanging="360"/>
      </w:pPr>
    </w:lvl>
    <w:lvl w:ilvl="2" w:tplc="901AE07A" w:tentative="1">
      <w:start w:val="1"/>
      <w:numFmt w:val="lowerRoman"/>
      <w:lvlText w:val="%3."/>
      <w:lvlJc w:val="right"/>
      <w:pPr>
        <w:tabs>
          <w:tab w:val="num" w:pos="2160"/>
        </w:tabs>
        <w:ind w:left="2160" w:hanging="180"/>
      </w:pPr>
    </w:lvl>
    <w:lvl w:ilvl="3" w:tplc="698A6A00" w:tentative="1">
      <w:start w:val="1"/>
      <w:numFmt w:val="decimal"/>
      <w:lvlText w:val="%4."/>
      <w:lvlJc w:val="left"/>
      <w:pPr>
        <w:tabs>
          <w:tab w:val="num" w:pos="2880"/>
        </w:tabs>
        <w:ind w:left="2880" w:hanging="360"/>
      </w:pPr>
    </w:lvl>
    <w:lvl w:ilvl="4" w:tplc="05C6C16A" w:tentative="1">
      <w:start w:val="1"/>
      <w:numFmt w:val="lowerLetter"/>
      <w:lvlText w:val="%5."/>
      <w:lvlJc w:val="left"/>
      <w:pPr>
        <w:tabs>
          <w:tab w:val="num" w:pos="3600"/>
        </w:tabs>
        <w:ind w:left="3600" w:hanging="360"/>
      </w:pPr>
    </w:lvl>
    <w:lvl w:ilvl="5" w:tplc="ADF41A5A" w:tentative="1">
      <w:start w:val="1"/>
      <w:numFmt w:val="lowerRoman"/>
      <w:lvlText w:val="%6."/>
      <w:lvlJc w:val="right"/>
      <w:pPr>
        <w:tabs>
          <w:tab w:val="num" w:pos="4320"/>
        </w:tabs>
        <w:ind w:left="4320" w:hanging="180"/>
      </w:pPr>
    </w:lvl>
    <w:lvl w:ilvl="6" w:tplc="51E2A3F6" w:tentative="1">
      <w:start w:val="1"/>
      <w:numFmt w:val="decimal"/>
      <w:lvlText w:val="%7."/>
      <w:lvlJc w:val="left"/>
      <w:pPr>
        <w:tabs>
          <w:tab w:val="num" w:pos="5040"/>
        </w:tabs>
        <w:ind w:left="5040" w:hanging="360"/>
      </w:pPr>
    </w:lvl>
    <w:lvl w:ilvl="7" w:tplc="8C96034C" w:tentative="1">
      <w:start w:val="1"/>
      <w:numFmt w:val="lowerLetter"/>
      <w:lvlText w:val="%8."/>
      <w:lvlJc w:val="left"/>
      <w:pPr>
        <w:tabs>
          <w:tab w:val="num" w:pos="5760"/>
        </w:tabs>
        <w:ind w:left="5760" w:hanging="360"/>
      </w:pPr>
    </w:lvl>
    <w:lvl w:ilvl="8" w:tplc="CB1C9074" w:tentative="1">
      <w:start w:val="1"/>
      <w:numFmt w:val="lowerRoman"/>
      <w:lvlText w:val="%9."/>
      <w:lvlJc w:val="right"/>
      <w:pPr>
        <w:tabs>
          <w:tab w:val="num" w:pos="6480"/>
        </w:tabs>
        <w:ind w:left="6480" w:hanging="180"/>
      </w:pPr>
    </w:lvl>
  </w:abstractNum>
  <w:abstractNum w:abstractNumId="11" w15:restartNumberingAfterBreak="0">
    <w:nsid w:val="0E3E106E"/>
    <w:multiLevelType w:val="multilevel"/>
    <w:tmpl w:val="E5884E60"/>
    <w:styleLink w:val="List0"/>
    <w:lvl w:ilvl="0">
      <w:start w:val="1"/>
      <w:numFmt w:val="lowerLetter"/>
      <w:lvlText w:val="%1)"/>
      <w:lvlJc w:val="left"/>
      <w:pPr>
        <w:tabs>
          <w:tab w:val="num" w:pos="720"/>
        </w:tabs>
        <w:ind w:left="720" w:hanging="360"/>
      </w:pPr>
      <w:rPr>
        <w:rFonts w:ascii="Arial" w:eastAsia="Arial" w:hAnsi="Arial" w:cs="Arial"/>
        <w:position w:val="0"/>
        <w:sz w:val="22"/>
        <w:szCs w:val="22"/>
        <w:u w:color="000000"/>
        <w:lang w:val="es-ES_tradnl"/>
      </w:rPr>
    </w:lvl>
    <w:lvl w:ilvl="1">
      <w:start w:val="1"/>
      <w:numFmt w:val="lowerLetter"/>
      <w:lvlText w:val="%2."/>
      <w:lvlJc w:val="left"/>
      <w:pPr>
        <w:tabs>
          <w:tab w:val="num" w:pos="1410"/>
        </w:tabs>
        <w:ind w:left="1410" w:hanging="330"/>
      </w:pPr>
      <w:rPr>
        <w:rFonts w:ascii="Arial" w:eastAsia="Arial" w:hAnsi="Arial" w:cs="Arial"/>
        <w:position w:val="0"/>
        <w:sz w:val="22"/>
        <w:szCs w:val="22"/>
        <w:u w:color="000000"/>
        <w:lang w:val="es-ES_tradnl"/>
      </w:rPr>
    </w:lvl>
    <w:lvl w:ilvl="2">
      <w:start w:val="1"/>
      <w:numFmt w:val="lowerRoman"/>
      <w:lvlText w:val="%3."/>
      <w:lvlJc w:val="left"/>
      <w:pPr>
        <w:tabs>
          <w:tab w:val="num" w:pos="2135"/>
        </w:tabs>
        <w:ind w:left="2135" w:hanging="271"/>
      </w:pPr>
      <w:rPr>
        <w:rFonts w:ascii="Arial" w:eastAsia="Arial" w:hAnsi="Arial" w:cs="Arial"/>
        <w:position w:val="0"/>
        <w:sz w:val="22"/>
        <w:szCs w:val="22"/>
        <w:u w:color="000000"/>
        <w:lang w:val="es-ES_tradnl"/>
      </w:rPr>
    </w:lvl>
    <w:lvl w:ilvl="3">
      <w:start w:val="1"/>
      <w:numFmt w:val="decimal"/>
      <w:lvlText w:val="%4."/>
      <w:lvlJc w:val="left"/>
      <w:pPr>
        <w:tabs>
          <w:tab w:val="num" w:pos="2850"/>
        </w:tabs>
        <w:ind w:left="2850" w:hanging="330"/>
      </w:pPr>
      <w:rPr>
        <w:rFonts w:ascii="Arial" w:eastAsia="Arial" w:hAnsi="Arial" w:cs="Arial"/>
        <w:position w:val="0"/>
        <w:sz w:val="22"/>
        <w:szCs w:val="22"/>
        <w:u w:color="000000"/>
        <w:lang w:val="es-ES_tradnl"/>
      </w:rPr>
    </w:lvl>
    <w:lvl w:ilvl="4">
      <w:start w:val="1"/>
      <w:numFmt w:val="lowerLetter"/>
      <w:lvlText w:val="%5."/>
      <w:lvlJc w:val="left"/>
      <w:pPr>
        <w:tabs>
          <w:tab w:val="num" w:pos="3570"/>
        </w:tabs>
        <w:ind w:left="3570" w:hanging="330"/>
      </w:pPr>
      <w:rPr>
        <w:rFonts w:ascii="Arial" w:eastAsia="Arial" w:hAnsi="Arial" w:cs="Arial"/>
        <w:position w:val="0"/>
        <w:sz w:val="22"/>
        <w:szCs w:val="22"/>
        <w:u w:color="000000"/>
        <w:lang w:val="es-ES_tradnl"/>
      </w:rPr>
    </w:lvl>
    <w:lvl w:ilvl="5">
      <w:start w:val="1"/>
      <w:numFmt w:val="lowerRoman"/>
      <w:lvlText w:val="%6."/>
      <w:lvlJc w:val="left"/>
      <w:pPr>
        <w:tabs>
          <w:tab w:val="num" w:pos="4295"/>
        </w:tabs>
        <w:ind w:left="4295" w:hanging="271"/>
      </w:pPr>
      <w:rPr>
        <w:rFonts w:ascii="Arial" w:eastAsia="Arial" w:hAnsi="Arial" w:cs="Arial"/>
        <w:position w:val="0"/>
        <w:sz w:val="22"/>
        <w:szCs w:val="22"/>
        <w:u w:color="000000"/>
        <w:lang w:val="es-ES_tradnl"/>
      </w:rPr>
    </w:lvl>
    <w:lvl w:ilvl="6">
      <w:start w:val="1"/>
      <w:numFmt w:val="decimal"/>
      <w:lvlText w:val="%7."/>
      <w:lvlJc w:val="left"/>
      <w:pPr>
        <w:tabs>
          <w:tab w:val="num" w:pos="5010"/>
        </w:tabs>
        <w:ind w:left="5010" w:hanging="330"/>
      </w:pPr>
      <w:rPr>
        <w:rFonts w:ascii="Arial" w:eastAsia="Arial" w:hAnsi="Arial" w:cs="Arial"/>
        <w:position w:val="0"/>
        <w:sz w:val="22"/>
        <w:szCs w:val="22"/>
        <w:u w:color="000000"/>
        <w:lang w:val="es-ES_tradnl"/>
      </w:rPr>
    </w:lvl>
    <w:lvl w:ilvl="7">
      <w:start w:val="1"/>
      <w:numFmt w:val="lowerLetter"/>
      <w:lvlText w:val="%8."/>
      <w:lvlJc w:val="left"/>
      <w:pPr>
        <w:tabs>
          <w:tab w:val="num" w:pos="5730"/>
        </w:tabs>
        <w:ind w:left="5730" w:hanging="330"/>
      </w:pPr>
      <w:rPr>
        <w:rFonts w:ascii="Arial" w:eastAsia="Arial" w:hAnsi="Arial" w:cs="Arial"/>
        <w:position w:val="0"/>
        <w:sz w:val="22"/>
        <w:szCs w:val="22"/>
        <w:u w:color="000000"/>
        <w:lang w:val="es-ES_tradnl"/>
      </w:rPr>
    </w:lvl>
    <w:lvl w:ilvl="8">
      <w:start w:val="1"/>
      <w:numFmt w:val="lowerRoman"/>
      <w:lvlText w:val="%9."/>
      <w:lvlJc w:val="left"/>
      <w:pPr>
        <w:tabs>
          <w:tab w:val="num" w:pos="6455"/>
        </w:tabs>
        <w:ind w:left="6455" w:hanging="271"/>
      </w:pPr>
      <w:rPr>
        <w:rFonts w:ascii="Arial" w:eastAsia="Arial" w:hAnsi="Arial" w:cs="Arial"/>
        <w:position w:val="0"/>
        <w:sz w:val="22"/>
        <w:szCs w:val="22"/>
        <w:u w:color="000000"/>
        <w:lang w:val="es-ES_tradnl"/>
      </w:rPr>
    </w:lvl>
  </w:abstractNum>
  <w:abstractNum w:abstractNumId="12" w15:restartNumberingAfterBreak="0">
    <w:nsid w:val="36A7743B"/>
    <w:multiLevelType w:val="hybridMultilevel"/>
    <w:tmpl w:val="165289D8"/>
    <w:lvl w:ilvl="0" w:tplc="6ACA6896">
      <w:start w:val="1"/>
      <w:numFmt w:val="bullet"/>
      <w:pStyle w:val="Bullet2G"/>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09F0B598">
      <w:start w:val="1"/>
      <w:numFmt w:val="bullet"/>
      <w:pStyle w:val="Bullet1G"/>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0"/>
  </w:num>
  <w:num w:numId="5">
    <w:abstractNumId w:val="14"/>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SV" w:vendorID="64" w:dllVersion="6" w:nlCheck="1" w:checkStyle="0"/>
  <w:activeWritingStyle w:appName="MSWord" w:lang="en-US" w:vendorID="64" w:dllVersion="6" w:nlCheck="1" w:checkStyle="1"/>
  <w:activeWritingStyle w:appName="MSWord" w:lang="es-SV" w:vendorID="64" w:dllVersion="0" w:nlCheck="1" w:checkStyle="0"/>
  <w:activeWritingStyle w:appName="MSWord" w:lang="en-US" w:vendorID="64" w:dllVersion="0" w:nlCheck="1" w:checkStyle="0"/>
  <w:activeWritingStyle w:appName="MSWord" w:lang="de-DE"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5659F"/>
    <w:rsid w:val="00057E2D"/>
    <w:rsid w:val="000729CA"/>
    <w:rsid w:val="000B57E7"/>
    <w:rsid w:val="000B6373"/>
    <w:rsid w:val="000D1A55"/>
    <w:rsid w:val="000D3664"/>
    <w:rsid w:val="000F09DF"/>
    <w:rsid w:val="000F61B2"/>
    <w:rsid w:val="001075E9"/>
    <w:rsid w:val="00172B77"/>
    <w:rsid w:val="00177302"/>
    <w:rsid w:val="00180183"/>
    <w:rsid w:val="0018024D"/>
    <w:rsid w:val="0018649F"/>
    <w:rsid w:val="00196389"/>
    <w:rsid w:val="001A4396"/>
    <w:rsid w:val="001A715F"/>
    <w:rsid w:val="001B3EF6"/>
    <w:rsid w:val="001C7A89"/>
    <w:rsid w:val="001D41EA"/>
    <w:rsid w:val="00205CA3"/>
    <w:rsid w:val="00250EF6"/>
    <w:rsid w:val="002A02C6"/>
    <w:rsid w:val="002A2EFC"/>
    <w:rsid w:val="002A4FE5"/>
    <w:rsid w:val="002C0E18"/>
    <w:rsid w:val="002C3864"/>
    <w:rsid w:val="002D4172"/>
    <w:rsid w:val="002D4B30"/>
    <w:rsid w:val="002D5AAC"/>
    <w:rsid w:val="002F405F"/>
    <w:rsid w:val="00301299"/>
    <w:rsid w:val="00307FB6"/>
    <w:rsid w:val="00317339"/>
    <w:rsid w:val="00322004"/>
    <w:rsid w:val="003402C2"/>
    <w:rsid w:val="00376E4E"/>
    <w:rsid w:val="00381C24"/>
    <w:rsid w:val="003958D0"/>
    <w:rsid w:val="003A3CE4"/>
    <w:rsid w:val="003B00E5"/>
    <w:rsid w:val="003B17F1"/>
    <w:rsid w:val="003D3526"/>
    <w:rsid w:val="003E0332"/>
    <w:rsid w:val="003E56F7"/>
    <w:rsid w:val="003F2099"/>
    <w:rsid w:val="003F43D1"/>
    <w:rsid w:val="003F6FF0"/>
    <w:rsid w:val="00407B78"/>
    <w:rsid w:val="00424203"/>
    <w:rsid w:val="0042459A"/>
    <w:rsid w:val="004260B3"/>
    <w:rsid w:val="0043378C"/>
    <w:rsid w:val="00443C10"/>
    <w:rsid w:val="004452DE"/>
    <w:rsid w:val="00454E07"/>
    <w:rsid w:val="00455CDA"/>
    <w:rsid w:val="00457A5F"/>
    <w:rsid w:val="00490C21"/>
    <w:rsid w:val="00492FDF"/>
    <w:rsid w:val="004D1828"/>
    <w:rsid w:val="004F3D76"/>
    <w:rsid w:val="0050108D"/>
    <w:rsid w:val="0050730E"/>
    <w:rsid w:val="00513081"/>
    <w:rsid w:val="00517901"/>
    <w:rsid w:val="00521DC1"/>
    <w:rsid w:val="00526683"/>
    <w:rsid w:val="005709E0"/>
    <w:rsid w:val="00572E19"/>
    <w:rsid w:val="005816B3"/>
    <w:rsid w:val="005961C8"/>
    <w:rsid w:val="005C1E2D"/>
    <w:rsid w:val="005C4F80"/>
    <w:rsid w:val="005D7914"/>
    <w:rsid w:val="005F0B42"/>
    <w:rsid w:val="00615628"/>
    <w:rsid w:val="00621949"/>
    <w:rsid w:val="00655E5C"/>
    <w:rsid w:val="00681A10"/>
    <w:rsid w:val="00696B12"/>
    <w:rsid w:val="006A68E4"/>
    <w:rsid w:val="006B3221"/>
    <w:rsid w:val="006B5493"/>
    <w:rsid w:val="006C2031"/>
    <w:rsid w:val="006C4285"/>
    <w:rsid w:val="006D461A"/>
    <w:rsid w:val="006D77FE"/>
    <w:rsid w:val="006F35EE"/>
    <w:rsid w:val="007021FF"/>
    <w:rsid w:val="00712895"/>
    <w:rsid w:val="00735D07"/>
    <w:rsid w:val="00741B14"/>
    <w:rsid w:val="00752BFA"/>
    <w:rsid w:val="00754B77"/>
    <w:rsid w:val="00757357"/>
    <w:rsid w:val="00760595"/>
    <w:rsid w:val="00785ACC"/>
    <w:rsid w:val="007C333F"/>
    <w:rsid w:val="007E072F"/>
    <w:rsid w:val="007E2C6D"/>
    <w:rsid w:val="007E7C52"/>
    <w:rsid w:val="00805D1C"/>
    <w:rsid w:val="00825F8D"/>
    <w:rsid w:val="00834B71"/>
    <w:rsid w:val="00841CBA"/>
    <w:rsid w:val="0086445C"/>
    <w:rsid w:val="00890E9D"/>
    <w:rsid w:val="00894693"/>
    <w:rsid w:val="008A08D7"/>
    <w:rsid w:val="008A3C0A"/>
    <w:rsid w:val="008B6909"/>
    <w:rsid w:val="008C44C0"/>
    <w:rsid w:val="009060AE"/>
    <w:rsid w:val="00906890"/>
    <w:rsid w:val="00911AC5"/>
    <w:rsid w:val="00911BE4"/>
    <w:rsid w:val="00913283"/>
    <w:rsid w:val="00924634"/>
    <w:rsid w:val="00925FAC"/>
    <w:rsid w:val="00935A0B"/>
    <w:rsid w:val="00951972"/>
    <w:rsid w:val="00953B31"/>
    <w:rsid w:val="009608F3"/>
    <w:rsid w:val="00970AE5"/>
    <w:rsid w:val="00972CC2"/>
    <w:rsid w:val="009A34A5"/>
    <w:rsid w:val="009A35A5"/>
    <w:rsid w:val="009D28EB"/>
    <w:rsid w:val="009D3308"/>
    <w:rsid w:val="009E62C4"/>
    <w:rsid w:val="00A15ECC"/>
    <w:rsid w:val="00A32382"/>
    <w:rsid w:val="00A34BFC"/>
    <w:rsid w:val="00A4279A"/>
    <w:rsid w:val="00A44B2D"/>
    <w:rsid w:val="00A471E0"/>
    <w:rsid w:val="00A84021"/>
    <w:rsid w:val="00A86F80"/>
    <w:rsid w:val="00A90C2B"/>
    <w:rsid w:val="00A917B3"/>
    <w:rsid w:val="00A97E74"/>
    <w:rsid w:val="00AB4B51"/>
    <w:rsid w:val="00AE0476"/>
    <w:rsid w:val="00AE10C5"/>
    <w:rsid w:val="00AE5F3B"/>
    <w:rsid w:val="00B058D8"/>
    <w:rsid w:val="00B10CC7"/>
    <w:rsid w:val="00B35EFD"/>
    <w:rsid w:val="00B52706"/>
    <w:rsid w:val="00B539E7"/>
    <w:rsid w:val="00B563EB"/>
    <w:rsid w:val="00B62458"/>
    <w:rsid w:val="00B80A93"/>
    <w:rsid w:val="00BD33EE"/>
    <w:rsid w:val="00BF2E5C"/>
    <w:rsid w:val="00BF5E1E"/>
    <w:rsid w:val="00BF6BCF"/>
    <w:rsid w:val="00C106D6"/>
    <w:rsid w:val="00C25087"/>
    <w:rsid w:val="00C60F0C"/>
    <w:rsid w:val="00C74FBF"/>
    <w:rsid w:val="00C75E55"/>
    <w:rsid w:val="00C805C9"/>
    <w:rsid w:val="00C92939"/>
    <w:rsid w:val="00CA1679"/>
    <w:rsid w:val="00CB151C"/>
    <w:rsid w:val="00CB242B"/>
    <w:rsid w:val="00CE5A1A"/>
    <w:rsid w:val="00CF55F6"/>
    <w:rsid w:val="00D04407"/>
    <w:rsid w:val="00D108E9"/>
    <w:rsid w:val="00D33D63"/>
    <w:rsid w:val="00D46035"/>
    <w:rsid w:val="00D4778E"/>
    <w:rsid w:val="00D5651E"/>
    <w:rsid w:val="00D82740"/>
    <w:rsid w:val="00D83038"/>
    <w:rsid w:val="00D85239"/>
    <w:rsid w:val="00D90138"/>
    <w:rsid w:val="00DB34FA"/>
    <w:rsid w:val="00DC13FF"/>
    <w:rsid w:val="00E14B0C"/>
    <w:rsid w:val="00E204E4"/>
    <w:rsid w:val="00E31CF9"/>
    <w:rsid w:val="00E56EE3"/>
    <w:rsid w:val="00E73F76"/>
    <w:rsid w:val="00E86371"/>
    <w:rsid w:val="00EA2C9F"/>
    <w:rsid w:val="00EB2B7E"/>
    <w:rsid w:val="00ED0BDA"/>
    <w:rsid w:val="00EE7654"/>
    <w:rsid w:val="00EF1360"/>
    <w:rsid w:val="00EF3220"/>
    <w:rsid w:val="00F2345A"/>
    <w:rsid w:val="00F257CA"/>
    <w:rsid w:val="00F43810"/>
    <w:rsid w:val="00F63772"/>
    <w:rsid w:val="00F75F7F"/>
    <w:rsid w:val="00F76A49"/>
    <w:rsid w:val="00F9377E"/>
    <w:rsid w:val="00F94155"/>
    <w:rsid w:val="00FA028D"/>
    <w:rsid w:val="00FA7E8E"/>
    <w:rsid w:val="00FD234F"/>
    <w:rsid w:val="00FD2EF7"/>
    <w:rsid w:val="00FE1F50"/>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217D9A"/>
  <w15:docId w15:val="{8B3A74F9-4B1B-4F3E-B178-24FB7763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57CA"/>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F257C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F257CA"/>
    <w:pPr>
      <w:keepNext/>
      <w:outlineLvl w:val="1"/>
    </w:pPr>
    <w:rPr>
      <w:rFonts w:cs="Arial"/>
      <w:bCs/>
      <w:iCs/>
      <w:szCs w:val="28"/>
    </w:rPr>
  </w:style>
  <w:style w:type="paragraph" w:styleId="Ttulo3">
    <w:name w:val="heading 3"/>
    <w:basedOn w:val="Normal"/>
    <w:next w:val="Normal"/>
    <w:semiHidden/>
    <w:rsid w:val="00F257CA"/>
    <w:pPr>
      <w:keepNext/>
      <w:spacing w:before="240" w:after="60"/>
      <w:outlineLvl w:val="2"/>
    </w:pPr>
    <w:rPr>
      <w:rFonts w:ascii="Arial" w:hAnsi="Arial" w:cs="Arial"/>
      <w:b/>
      <w:bCs/>
      <w:sz w:val="26"/>
      <w:szCs w:val="26"/>
    </w:rPr>
  </w:style>
  <w:style w:type="paragraph" w:styleId="Ttulo4">
    <w:name w:val="heading 4"/>
    <w:basedOn w:val="Normal"/>
    <w:next w:val="Normal"/>
    <w:semiHidden/>
    <w:rsid w:val="00F257CA"/>
    <w:pPr>
      <w:keepNext/>
      <w:spacing w:before="240" w:after="60"/>
      <w:outlineLvl w:val="3"/>
    </w:pPr>
    <w:rPr>
      <w:b/>
      <w:bCs/>
      <w:sz w:val="28"/>
      <w:szCs w:val="28"/>
    </w:rPr>
  </w:style>
  <w:style w:type="paragraph" w:styleId="Ttulo5">
    <w:name w:val="heading 5"/>
    <w:basedOn w:val="Normal"/>
    <w:next w:val="Normal"/>
    <w:semiHidden/>
    <w:rsid w:val="00F257CA"/>
    <w:pPr>
      <w:spacing w:before="240" w:after="60"/>
      <w:outlineLvl w:val="4"/>
    </w:pPr>
    <w:rPr>
      <w:b/>
      <w:bCs/>
      <w:i/>
      <w:iCs/>
      <w:sz w:val="26"/>
      <w:szCs w:val="26"/>
    </w:rPr>
  </w:style>
  <w:style w:type="paragraph" w:styleId="Ttulo6">
    <w:name w:val="heading 6"/>
    <w:basedOn w:val="Normal"/>
    <w:next w:val="Normal"/>
    <w:semiHidden/>
    <w:rsid w:val="00F257CA"/>
    <w:pPr>
      <w:spacing w:before="240" w:after="60"/>
      <w:outlineLvl w:val="5"/>
    </w:pPr>
    <w:rPr>
      <w:b/>
      <w:bCs/>
      <w:sz w:val="22"/>
      <w:szCs w:val="22"/>
    </w:rPr>
  </w:style>
  <w:style w:type="paragraph" w:styleId="Ttulo7">
    <w:name w:val="heading 7"/>
    <w:basedOn w:val="Normal"/>
    <w:next w:val="Normal"/>
    <w:semiHidden/>
    <w:rsid w:val="00F257CA"/>
    <w:pPr>
      <w:spacing w:before="240" w:after="60"/>
      <w:outlineLvl w:val="6"/>
    </w:pPr>
    <w:rPr>
      <w:sz w:val="24"/>
      <w:szCs w:val="24"/>
    </w:rPr>
  </w:style>
  <w:style w:type="paragraph" w:styleId="Ttulo8">
    <w:name w:val="heading 8"/>
    <w:basedOn w:val="Normal"/>
    <w:next w:val="Normal"/>
    <w:semiHidden/>
    <w:rsid w:val="00F257CA"/>
    <w:pPr>
      <w:spacing w:before="240" w:after="60"/>
      <w:outlineLvl w:val="7"/>
    </w:pPr>
    <w:rPr>
      <w:i/>
      <w:iCs/>
      <w:sz w:val="24"/>
      <w:szCs w:val="24"/>
    </w:rPr>
  </w:style>
  <w:style w:type="paragraph" w:styleId="Ttulo9">
    <w:name w:val="heading 9"/>
    <w:basedOn w:val="Normal"/>
    <w:next w:val="Normal"/>
    <w:semiHidden/>
    <w:rsid w:val="00F257C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257CA"/>
    <w:rPr>
      <w:rFonts w:ascii="Times New Roman" w:hAnsi="Times New Roman"/>
      <w:sz w:val="18"/>
      <w:vertAlign w:val="superscript"/>
    </w:rPr>
  </w:style>
  <w:style w:type="paragraph" w:customStyle="1" w:styleId="HMG">
    <w:name w:val="_ H __M_G"/>
    <w:basedOn w:val="Normal"/>
    <w:next w:val="Normal"/>
    <w:link w:val="HMGChar"/>
    <w:qFormat/>
    <w:rsid w:val="00F257C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F257C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F257C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7C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7C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7C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F257CA"/>
    <w:pPr>
      <w:pBdr>
        <w:bottom w:val="single" w:sz="4" w:space="4" w:color="auto"/>
      </w:pBdr>
      <w:spacing w:line="240" w:lineRule="auto"/>
    </w:pPr>
    <w:rPr>
      <w:b/>
      <w:sz w:val="18"/>
    </w:rPr>
  </w:style>
  <w:style w:type="paragraph" w:customStyle="1" w:styleId="SingleTxtG">
    <w:name w:val="_ Single Txt_G"/>
    <w:basedOn w:val="Normal"/>
    <w:link w:val="SingleTxtGChar"/>
    <w:qFormat/>
    <w:rsid w:val="00F257CA"/>
    <w:pPr>
      <w:spacing w:after="120"/>
      <w:ind w:left="1134" w:right="1134"/>
      <w:jc w:val="both"/>
    </w:pPr>
  </w:style>
  <w:style w:type="paragraph" w:customStyle="1" w:styleId="SMG">
    <w:name w:val="__S_M_G"/>
    <w:basedOn w:val="Normal"/>
    <w:next w:val="Normal"/>
    <w:rsid w:val="00F257C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7CA"/>
    <w:pPr>
      <w:keepNext/>
      <w:keepLines/>
      <w:spacing w:before="240" w:after="240" w:line="580" w:lineRule="exact"/>
      <w:ind w:left="1134" w:right="1134"/>
    </w:pPr>
    <w:rPr>
      <w:b/>
      <w:sz w:val="56"/>
    </w:rPr>
  </w:style>
  <w:style w:type="paragraph" w:customStyle="1" w:styleId="SSG">
    <w:name w:val="__S_S_G"/>
    <w:basedOn w:val="Normal"/>
    <w:next w:val="Normal"/>
    <w:rsid w:val="00F257CA"/>
    <w:pPr>
      <w:keepNext/>
      <w:keepLines/>
      <w:spacing w:before="240" w:after="240" w:line="300" w:lineRule="exact"/>
      <w:ind w:left="1134" w:right="1134"/>
    </w:pPr>
    <w:rPr>
      <w:b/>
      <w:sz w:val="28"/>
    </w:rPr>
  </w:style>
  <w:style w:type="paragraph" w:styleId="Piedepgina">
    <w:name w:val="footer"/>
    <w:aliases w:val="3_G"/>
    <w:basedOn w:val="Normal"/>
    <w:next w:val="Normal"/>
    <w:qFormat/>
    <w:rsid w:val="00F257CA"/>
    <w:rPr>
      <w:sz w:val="16"/>
    </w:rPr>
  </w:style>
  <w:style w:type="paragraph" w:customStyle="1" w:styleId="XLargeG">
    <w:name w:val="__XLarge_G"/>
    <w:basedOn w:val="Normal"/>
    <w:next w:val="Normal"/>
    <w:rsid w:val="00F257C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57CA"/>
    <w:pPr>
      <w:tabs>
        <w:tab w:val="right" w:pos="1021"/>
      </w:tabs>
      <w:spacing w:line="220" w:lineRule="exact"/>
      <w:ind w:left="1134" w:right="1134" w:hanging="1134"/>
    </w:pPr>
    <w:rPr>
      <w:sz w:val="18"/>
    </w:rPr>
  </w:style>
  <w:style w:type="table" w:styleId="Tablaconcuadrcula">
    <w:name w:val="Table Grid"/>
    <w:basedOn w:val="Tablanormal"/>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7CA"/>
    <w:pPr>
      <w:numPr>
        <w:numId w:val="1"/>
      </w:numPr>
    </w:pPr>
  </w:style>
  <w:style w:type="numbering" w:styleId="1ai">
    <w:name w:val="Outline List 1"/>
    <w:basedOn w:val="Sinlista"/>
    <w:semiHidden/>
    <w:rsid w:val="00F257CA"/>
    <w:pPr>
      <w:numPr>
        <w:numId w:val="2"/>
      </w:numPr>
    </w:pPr>
  </w:style>
  <w:style w:type="character" w:styleId="AcrnimoHTML">
    <w:name w:val="HTML Acronym"/>
    <w:semiHidden/>
    <w:rsid w:val="00F257CA"/>
  </w:style>
  <w:style w:type="numbering" w:styleId="ArtculoSeccin">
    <w:name w:val="Outline List 3"/>
    <w:basedOn w:val="Sinlista"/>
    <w:semiHidden/>
    <w:rsid w:val="00F257CA"/>
    <w:pPr>
      <w:numPr>
        <w:numId w:val="3"/>
      </w:numPr>
    </w:pPr>
  </w:style>
  <w:style w:type="paragraph" w:styleId="Cierre">
    <w:name w:val="Closing"/>
    <w:basedOn w:val="Normal"/>
    <w:semiHidden/>
    <w:rsid w:val="00F257CA"/>
    <w:pPr>
      <w:ind w:left="4252"/>
    </w:pPr>
  </w:style>
  <w:style w:type="character" w:styleId="CitaHTML">
    <w:name w:val="HTML Cite"/>
    <w:semiHidden/>
    <w:rsid w:val="00F257CA"/>
    <w:rPr>
      <w:i/>
      <w:iCs/>
    </w:rPr>
  </w:style>
  <w:style w:type="character" w:styleId="CdigoHTML">
    <w:name w:val="HTML Code"/>
    <w:semiHidden/>
    <w:rsid w:val="00F257CA"/>
    <w:rPr>
      <w:rFonts w:ascii="Courier New" w:hAnsi="Courier New" w:cs="Courier New"/>
      <w:sz w:val="20"/>
      <w:szCs w:val="20"/>
    </w:rPr>
  </w:style>
  <w:style w:type="paragraph" w:styleId="Continuarlista">
    <w:name w:val="List Continue"/>
    <w:basedOn w:val="Normal"/>
    <w:semiHidden/>
    <w:rsid w:val="00F257CA"/>
    <w:pPr>
      <w:spacing w:after="120"/>
      <w:ind w:left="283"/>
    </w:pPr>
  </w:style>
  <w:style w:type="paragraph" w:styleId="Continuarlista2">
    <w:name w:val="List Continue 2"/>
    <w:basedOn w:val="Normal"/>
    <w:semiHidden/>
    <w:rsid w:val="00F257CA"/>
    <w:pPr>
      <w:spacing w:after="120"/>
      <w:ind w:left="566"/>
    </w:pPr>
  </w:style>
  <w:style w:type="paragraph" w:styleId="Continuarlista3">
    <w:name w:val="List Continue 3"/>
    <w:basedOn w:val="Normal"/>
    <w:semiHidden/>
    <w:rsid w:val="00F257CA"/>
    <w:pPr>
      <w:spacing w:after="120"/>
      <w:ind w:left="849"/>
    </w:pPr>
  </w:style>
  <w:style w:type="paragraph" w:styleId="Continuarlista4">
    <w:name w:val="List Continue 4"/>
    <w:basedOn w:val="Normal"/>
    <w:semiHidden/>
    <w:rsid w:val="00F257CA"/>
    <w:pPr>
      <w:spacing w:after="120"/>
      <w:ind w:left="1132"/>
    </w:pPr>
  </w:style>
  <w:style w:type="paragraph" w:styleId="Continuarlista5">
    <w:name w:val="List Continue 5"/>
    <w:basedOn w:val="Normal"/>
    <w:semiHidden/>
    <w:rsid w:val="00F257CA"/>
    <w:pPr>
      <w:spacing w:after="120"/>
      <w:ind w:left="1415"/>
    </w:pPr>
  </w:style>
  <w:style w:type="character" w:styleId="DefinicinHTML">
    <w:name w:val="HTML Definition"/>
    <w:semiHidden/>
    <w:rsid w:val="00F257CA"/>
    <w:rPr>
      <w:i/>
      <w:iCs/>
    </w:rPr>
  </w:style>
  <w:style w:type="paragraph" w:styleId="DireccinHTML">
    <w:name w:val="HTML Address"/>
    <w:basedOn w:val="Normal"/>
    <w:semiHidden/>
    <w:rsid w:val="00F257CA"/>
    <w:rPr>
      <w:i/>
      <w:iCs/>
    </w:rPr>
  </w:style>
  <w:style w:type="paragraph" w:styleId="Direccinsobre">
    <w:name w:val="envelope address"/>
    <w:basedOn w:val="Normal"/>
    <w:semiHidden/>
    <w:rsid w:val="00F257C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257CA"/>
    <w:rPr>
      <w:rFonts w:ascii="Courier New" w:hAnsi="Courier New" w:cs="Courier New"/>
    </w:rPr>
  </w:style>
  <w:style w:type="paragraph" w:styleId="Encabezadodemensaje">
    <w:name w:val="Message Header"/>
    <w:basedOn w:val="Normal"/>
    <w:semiHidden/>
    <w:rsid w:val="00F257C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7CA"/>
  </w:style>
  <w:style w:type="character" w:styleId="nfasis">
    <w:name w:val="Emphasis"/>
    <w:semiHidden/>
    <w:rsid w:val="00F257CA"/>
    <w:rPr>
      <w:i/>
      <w:iCs/>
    </w:rPr>
  </w:style>
  <w:style w:type="paragraph" w:styleId="Fecha">
    <w:name w:val="Date"/>
    <w:basedOn w:val="Normal"/>
    <w:next w:val="Normal"/>
    <w:semiHidden/>
    <w:rsid w:val="00F257CA"/>
  </w:style>
  <w:style w:type="paragraph" w:styleId="Firma">
    <w:name w:val="Signature"/>
    <w:basedOn w:val="Normal"/>
    <w:semiHidden/>
    <w:rsid w:val="00F257CA"/>
    <w:pPr>
      <w:ind w:left="4252"/>
    </w:pPr>
  </w:style>
  <w:style w:type="paragraph" w:styleId="Firmadecorreoelectrnico">
    <w:name w:val="E-mail Signature"/>
    <w:basedOn w:val="Normal"/>
    <w:semiHidden/>
    <w:rsid w:val="00F257CA"/>
  </w:style>
  <w:style w:type="character" w:styleId="Hipervnculo">
    <w:name w:val="Hyperlink"/>
    <w:rsid w:val="00F257CA"/>
    <w:rPr>
      <w:color w:val="0000FF"/>
      <w:u w:val="none"/>
    </w:rPr>
  </w:style>
  <w:style w:type="character" w:styleId="Hipervnculovisitado">
    <w:name w:val="FollowedHyperlink"/>
    <w:rsid w:val="00F257CA"/>
    <w:rPr>
      <w:color w:val="0000FF"/>
      <w:u w:val="none"/>
    </w:rPr>
  </w:style>
  <w:style w:type="paragraph" w:styleId="HTMLconformatoprevio">
    <w:name w:val="HTML Preformatted"/>
    <w:basedOn w:val="Normal"/>
    <w:semiHidden/>
    <w:rsid w:val="00F257CA"/>
    <w:rPr>
      <w:rFonts w:ascii="Courier New" w:hAnsi="Courier New" w:cs="Courier New"/>
    </w:rPr>
  </w:style>
  <w:style w:type="paragraph" w:styleId="Lista">
    <w:name w:val="List"/>
    <w:basedOn w:val="Normal"/>
    <w:semiHidden/>
    <w:rsid w:val="00F257CA"/>
    <w:pPr>
      <w:ind w:left="283" w:hanging="283"/>
    </w:pPr>
  </w:style>
  <w:style w:type="paragraph" w:styleId="Lista2">
    <w:name w:val="List 2"/>
    <w:basedOn w:val="Normal"/>
    <w:semiHidden/>
    <w:rsid w:val="00F257CA"/>
    <w:pPr>
      <w:ind w:left="566" w:hanging="283"/>
    </w:pPr>
  </w:style>
  <w:style w:type="paragraph" w:styleId="Lista3">
    <w:name w:val="List 3"/>
    <w:basedOn w:val="Normal"/>
    <w:semiHidden/>
    <w:rsid w:val="00F257CA"/>
    <w:pPr>
      <w:ind w:left="849" w:hanging="283"/>
    </w:pPr>
  </w:style>
  <w:style w:type="paragraph" w:styleId="Lista4">
    <w:name w:val="List 4"/>
    <w:basedOn w:val="Normal"/>
    <w:semiHidden/>
    <w:rsid w:val="00F257CA"/>
    <w:pPr>
      <w:ind w:left="1132" w:hanging="283"/>
    </w:pPr>
  </w:style>
  <w:style w:type="paragraph" w:styleId="Lista5">
    <w:name w:val="List 5"/>
    <w:basedOn w:val="Normal"/>
    <w:semiHidden/>
    <w:rsid w:val="00F257CA"/>
    <w:pPr>
      <w:ind w:left="1415" w:hanging="283"/>
    </w:pPr>
  </w:style>
  <w:style w:type="paragraph" w:styleId="Listaconnmeros">
    <w:name w:val="List Number"/>
    <w:basedOn w:val="Normal"/>
    <w:semiHidden/>
    <w:rsid w:val="00F257CA"/>
    <w:pPr>
      <w:numPr>
        <w:numId w:val="7"/>
      </w:numPr>
    </w:pPr>
  </w:style>
  <w:style w:type="paragraph" w:styleId="Listaconnmeros2">
    <w:name w:val="List Number 2"/>
    <w:basedOn w:val="Normal"/>
    <w:semiHidden/>
    <w:rsid w:val="00F257CA"/>
    <w:pPr>
      <w:numPr>
        <w:numId w:val="8"/>
      </w:numPr>
    </w:pPr>
  </w:style>
  <w:style w:type="paragraph" w:styleId="Listaconnmeros3">
    <w:name w:val="List Number 3"/>
    <w:basedOn w:val="Normal"/>
    <w:semiHidden/>
    <w:rsid w:val="00F257CA"/>
    <w:pPr>
      <w:numPr>
        <w:numId w:val="9"/>
      </w:numPr>
    </w:pPr>
  </w:style>
  <w:style w:type="paragraph" w:styleId="Listaconnmeros4">
    <w:name w:val="List Number 4"/>
    <w:basedOn w:val="Normal"/>
    <w:semiHidden/>
    <w:rsid w:val="00F257CA"/>
    <w:pPr>
      <w:numPr>
        <w:numId w:val="10"/>
      </w:numPr>
    </w:pPr>
  </w:style>
  <w:style w:type="paragraph" w:styleId="Listaconnmeros5">
    <w:name w:val="List Number 5"/>
    <w:basedOn w:val="Normal"/>
    <w:semiHidden/>
    <w:rsid w:val="00F257CA"/>
    <w:pPr>
      <w:numPr>
        <w:numId w:val="11"/>
      </w:numPr>
    </w:pPr>
  </w:style>
  <w:style w:type="paragraph" w:styleId="Listaconvietas">
    <w:name w:val="List Bullet"/>
    <w:basedOn w:val="Normal"/>
    <w:semiHidden/>
    <w:rsid w:val="00F257CA"/>
    <w:pPr>
      <w:numPr>
        <w:numId w:val="12"/>
      </w:numPr>
    </w:pPr>
  </w:style>
  <w:style w:type="paragraph" w:styleId="Listaconvietas2">
    <w:name w:val="List Bullet 2"/>
    <w:basedOn w:val="Normal"/>
    <w:semiHidden/>
    <w:rsid w:val="00F257CA"/>
    <w:pPr>
      <w:numPr>
        <w:numId w:val="13"/>
      </w:numPr>
    </w:pPr>
  </w:style>
  <w:style w:type="paragraph" w:styleId="Listaconvietas3">
    <w:name w:val="List Bullet 3"/>
    <w:basedOn w:val="Normal"/>
    <w:semiHidden/>
    <w:rsid w:val="00F257CA"/>
    <w:pPr>
      <w:numPr>
        <w:numId w:val="14"/>
      </w:numPr>
    </w:pPr>
  </w:style>
  <w:style w:type="paragraph" w:styleId="Listaconvietas4">
    <w:name w:val="List Bullet 4"/>
    <w:basedOn w:val="Normal"/>
    <w:semiHidden/>
    <w:rsid w:val="00F257CA"/>
    <w:pPr>
      <w:numPr>
        <w:numId w:val="15"/>
      </w:numPr>
    </w:pPr>
  </w:style>
  <w:style w:type="paragraph" w:styleId="Listaconvietas5">
    <w:name w:val="List Bullet 5"/>
    <w:basedOn w:val="Normal"/>
    <w:semiHidden/>
    <w:rsid w:val="00F257CA"/>
    <w:pPr>
      <w:numPr>
        <w:numId w:val="16"/>
      </w:numPr>
    </w:pPr>
  </w:style>
  <w:style w:type="character" w:styleId="MquinadeescribirHTML">
    <w:name w:val="HTML Typewriter"/>
    <w:semiHidden/>
    <w:rsid w:val="00F257CA"/>
    <w:rPr>
      <w:rFonts w:ascii="Courier New" w:hAnsi="Courier New" w:cs="Courier New"/>
      <w:sz w:val="20"/>
      <w:szCs w:val="20"/>
    </w:rPr>
  </w:style>
  <w:style w:type="paragraph" w:styleId="NormalWeb">
    <w:name w:val="Normal (Web)"/>
    <w:basedOn w:val="Normal"/>
    <w:semiHidden/>
    <w:rsid w:val="00F257CA"/>
    <w:rPr>
      <w:sz w:val="24"/>
      <w:szCs w:val="24"/>
    </w:rPr>
  </w:style>
  <w:style w:type="character" w:styleId="Nmerodelnea">
    <w:name w:val="line number"/>
    <w:semiHidden/>
    <w:rsid w:val="00F257CA"/>
  </w:style>
  <w:style w:type="character" w:styleId="Nmerodepgina">
    <w:name w:val="page number"/>
    <w:aliases w:val="7_G"/>
    <w:qFormat/>
    <w:rsid w:val="00F257CA"/>
    <w:rPr>
      <w:b/>
      <w:sz w:val="18"/>
    </w:rPr>
  </w:style>
  <w:style w:type="character" w:styleId="Refdenotaalfinal">
    <w:name w:val="endnote reference"/>
    <w:aliases w:val="1_G"/>
    <w:qFormat/>
    <w:rsid w:val="00F257CA"/>
    <w:rPr>
      <w:rFonts w:ascii="Times New Roman" w:hAnsi="Times New Roman"/>
      <w:sz w:val="18"/>
      <w:vertAlign w:val="superscript"/>
    </w:rPr>
  </w:style>
  <w:style w:type="paragraph" w:styleId="Remitedesobre">
    <w:name w:val="envelope return"/>
    <w:basedOn w:val="Normal"/>
    <w:semiHidden/>
    <w:rsid w:val="00F257CA"/>
    <w:rPr>
      <w:rFonts w:ascii="Arial" w:hAnsi="Arial" w:cs="Arial"/>
    </w:rPr>
  </w:style>
  <w:style w:type="paragraph" w:styleId="Saludo">
    <w:name w:val="Salutation"/>
    <w:basedOn w:val="Normal"/>
    <w:next w:val="Normal"/>
    <w:semiHidden/>
    <w:rsid w:val="00F257CA"/>
  </w:style>
  <w:style w:type="paragraph" w:styleId="Sangra2detindependiente">
    <w:name w:val="Body Text Indent 2"/>
    <w:basedOn w:val="Normal"/>
    <w:semiHidden/>
    <w:rsid w:val="00F257CA"/>
    <w:pPr>
      <w:spacing w:after="120" w:line="480" w:lineRule="auto"/>
      <w:ind w:left="283"/>
    </w:pPr>
  </w:style>
  <w:style w:type="paragraph" w:styleId="Sangra3detindependiente">
    <w:name w:val="Body Text Indent 3"/>
    <w:basedOn w:val="Normal"/>
    <w:semiHidden/>
    <w:rsid w:val="00F257CA"/>
    <w:pPr>
      <w:spacing w:after="120"/>
      <w:ind w:left="283"/>
    </w:pPr>
    <w:rPr>
      <w:sz w:val="16"/>
      <w:szCs w:val="16"/>
    </w:rPr>
  </w:style>
  <w:style w:type="paragraph" w:styleId="Sangradetextonormal">
    <w:name w:val="Body Text Indent"/>
    <w:basedOn w:val="Normal"/>
    <w:semiHidden/>
    <w:rsid w:val="00F257CA"/>
    <w:pPr>
      <w:spacing w:after="120"/>
      <w:ind w:left="283"/>
    </w:pPr>
  </w:style>
  <w:style w:type="paragraph" w:styleId="Sangranormal">
    <w:name w:val="Normal Indent"/>
    <w:basedOn w:val="Normal"/>
    <w:semiHidden/>
    <w:rsid w:val="00F257CA"/>
    <w:pPr>
      <w:ind w:left="567"/>
    </w:pPr>
  </w:style>
  <w:style w:type="paragraph" w:styleId="Subttulo">
    <w:name w:val="Subtitle"/>
    <w:basedOn w:val="Normal"/>
    <w:semiHidden/>
    <w:rsid w:val="00F257CA"/>
    <w:pPr>
      <w:spacing w:after="60"/>
      <w:jc w:val="center"/>
      <w:outlineLvl w:val="1"/>
    </w:pPr>
    <w:rPr>
      <w:rFonts w:ascii="Arial" w:hAnsi="Arial" w:cs="Arial"/>
      <w:sz w:val="24"/>
      <w:szCs w:val="24"/>
    </w:rPr>
  </w:style>
  <w:style w:type="table" w:styleId="Tablabsica1">
    <w:name w:val="Table Simple 1"/>
    <w:basedOn w:val="Tablanormal"/>
    <w:semiHidden/>
    <w:rsid w:val="00F257CA"/>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7CA"/>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7CA"/>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7CA"/>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7CA"/>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7CA"/>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7CA"/>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7CA"/>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7CA"/>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7CA"/>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7CA"/>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7CA"/>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7CA"/>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7CA"/>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7CA"/>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7CA"/>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7CA"/>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7CA"/>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7CA"/>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7CA"/>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7CA"/>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7CA"/>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7CA"/>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7CA"/>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7CA"/>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7CA"/>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7CA"/>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7CA"/>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7CA"/>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7CA"/>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7CA"/>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257CA"/>
    <w:rPr>
      <w:rFonts w:ascii="Courier New" w:hAnsi="Courier New" w:cs="Courier New"/>
      <w:sz w:val="20"/>
      <w:szCs w:val="20"/>
    </w:rPr>
  </w:style>
  <w:style w:type="paragraph" w:styleId="Textodebloque">
    <w:name w:val="Block Text"/>
    <w:basedOn w:val="Normal"/>
    <w:semiHidden/>
    <w:rsid w:val="00F257CA"/>
    <w:pPr>
      <w:spacing w:after="120"/>
      <w:ind w:left="1440" w:right="1440"/>
    </w:pPr>
  </w:style>
  <w:style w:type="character" w:styleId="Textoennegrita">
    <w:name w:val="Strong"/>
    <w:semiHidden/>
    <w:rsid w:val="00F257CA"/>
    <w:rPr>
      <w:b/>
      <w:bCs/>
    </w:rPr>
  </w:style>
  <w:style w:type="paragraph" w:styleId="Textoindependiente">
    <w:name w:val="Body Text"/>
    <w:basedOn w:val="Normal"/>
    <w:semiHidden/>
    <w:rsid w:val="00F257CA"/>
    <w:pPr>
      <w:spacing w:after="120"/>
    </w:pPr>
  </w:style>
  <w:style w:type="paragraph" w:styleId="Textoindependiente2">
    <w:name w:val="Body Text 2"/>
    <w:basedOn w:val="Normal"/>
    <w:semiHidden/>
    <w:rsid w:val="00F257CA"/>
    <w:pPr>
      <w:spacing w:after="120" w:line="480" w:lineRule="auto"/>
    </w:pPr>
  </w:style>
  <w:style w:type="paragraph" w:styleId="Textoindependiente3">
    <w:name w:val="Body Text 3"/>
    <w:basedOn w:val="Normal"/>
    <w:semiHidden/>
    <w:rsid w:val="00F257CA"/>
    <w:pPr>
      <w:spacing w:after="120"/>
    </w:pPr>
    <w:rPr>
      <w:sz w:val="16"/>
      <w:szCs w:val="16"/>
    </w:rPr>
  </w:style>
  <w:style w:type="paragraph" w:styleId="Textoindependienteprimerasangra">
    <w:name w:val="Body Text First Indent"/>
    <w:basedOn w:val="Textoindependiente"/>
    <w:semiHidden/>
    <w:rsid w:val="00F257CA"/>
    <w:pPr>
      <w:ind w:firstLine="210"/>
    </w:pPr>
  </w:style>
  <w:style w:type="paragraph" w:styleId="Textoindependienteprimerasangra2">
    <w:name w:val="Body Text First Indent 2"/>
    <w:basedOn w:val="Sangradetextonormal"/>
    <w:semiHidden/>
    <w:rsid w:val="00F257CA"/>
    <w:pPr>
      <w:ind w:firstLine="210"/>
    </w:pPr>
  </w:style>
  <w:style w:type="paragraph" w:styleId="Textonotaalfinal">
    <w:name w:val="endnote text"/>
    <w:aliases w:val="2_G"/>
    <w:basedOn w:val="Textonotapie"/>
    <w:qFormat/>
    <w:rsid w:val="00F257CA"/>
  </w:style>
  <w:style w:type="paragraph" w:styleId="Textosinformato">
    <w:name w:val="Plain Text"/>
    <w:basedOn w:val="Normal"/>
    <w:semiHidden/>
    <w:rsid w:val="00F257CA"/>
    <w:rPr>
      <w:rFonts w:ascii="Courier New" w:hAnsi="Courier New" w:cs="Courier New"/>
    </w:rPr>
  </w:style>
  <w:style w:type="paragraph" w:styleId="Ttulo">
    <w:name w:val="Title"/>
    <w:basedOn w:val="Normal"/>
    <w:semiHidden/>
    <w:rsid w:val="00F257CA"/>
    <w:pPr>
      <w:spacing w:before="240" w:after="60"/>
      <w:jc w:val="center"/>
      <w:outlineLvl w:val="0"/>
    </w:pPr>
    <w:rPr>
      <w:rFonts w:ascii="Arial" w:hAnsi="Arial" w:cs="Arial"/>
      <w:b/>
      <w:bCs/>
      <w:kern w:val="28"/>
      <w:sz w:val="32"/>
      <w:szCs w:val="32"/>
    </w:rPr>
  </w:style>
  <w:style w:type="character" w:styleId="VariableHTML">
    <w:name w:val="HTML Variable"/>
    <w:semiHidden/>
    <w:rsid w:val="00F257CA"/>
    <w:rPr>
      <w:i/>
      <w:iCs/>
    </w:rPr>
  </w:style>
  <w:style w:type="paragraph" w:customStyle="1" w:styleId="Bullet1G">
    <w:name w:val="_Bullet 1_G"/>
    <w:basedOn w:val="Normal"/>
    <w:qFormat/>
    <w:rsid w:val="00F257CA"/>
    <w:pPr>
      <w:numPr>
        <w:numId w:val="5"/>
      </w:numPr>
      <w:spacing w:after="120"/>
      <w:ind w:right="1134"/>
      <w:jc w:val="both"/>
    </w:pPr>
    <w:rPr>
      <w:lang w:eastAsia="en-US"/>
    </w:rPr>
  </w:style>
  <w:style w:type="paragraph" w:customStyle="1" w:styleId="Bullet2G">
    <w:name w:val="_Bullet 2_G"/>
    <w:basedOn w:val="Normal"/>
    <w:qFormat/>
    <w:rsid w:val="00F257CA"/>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F257CA"/>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257CA"/>
    <w:rPr>
      <w:rFonts w:eastAsia="SimSun"/>
      <w:b/>
      <w:bCs/>
      <w:i/>
      <w:iCs/>
      <w:color w:val="4F81BD"/>
      <w:lang w:val="es-ES" w:eastAsia="es-ES"/>
    </w:rPr>
  </w:style>
  <w:style w:type="character" w:styleId="nfasisintenso">
    <w:name w:val="Intense Emphasis"/>
    <w:uiPriority w:val="21"/>
    <w:semiHidden/>
    <w:rsid w:val="00F257CA"/>
    <w:rPr>
      <w:b/>
      <w:bCs/>
      <w:i/>
      <w:iCs/>
      <w:color w:val="4F81BD"/>
    </w:rPr>
  </w:style>
  <w:style w:type="character" w:customStyle="1" w:styleId="Ttulo1Car">
    <w:name w:val="Título 1 Car"/>
    <w:aliases w:val="Cuadro_G Car"/>
    <w:link w:val="Ttulo1"/>
    <w:rsid w:val="00F257CA"/>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rFonts w:eastAsia="SimSun"/>
      <w:lang w:val="es-ES" w:eastAsia="es-ES"/>
    </w:rPr>
  </w:style>
  <w:style w:type="character" w:customStyle="1" w:styleId="TextonotapieCar">
    <w:name w:val="Texto nota pie Car"/>
    <w:aliases w:val="5_G Car"/>
    <w:link w:val="Textonotapie"/>
    <w:rsid w:val="00B35EFD"/>
    <w:rPr>
      <w:rFonts w:eastAsia="SimSun"/>
      <w:sz w:val="18"/>
      <w:lang w:val="es-ES" w:eastAsia="es-ES"/>
    </w:rPr>
  </w:style>
  <w:style w:type="paragraph" w:styleId="Sinespaciado">
    <w:name w:val="No Spacing"/>
    <w:link w:val="SinespaciadoCar"/>
    <w:uiPriority w:val="1"/>
    <w:qFormat/>
    <w:rsid w:val="00D85239"/>
    <w:rPr>
      <w:rFonts w:ascii="Calibri" w:eastAsia="Calibri" w:hAnsi="Calibri"/>
      <w:sz w:val="22"/>
      <w:szCs w:val="22"/>
      <w:lang w:val="es-GT" w:eastAsia="en-US"/>
    </w:rPr>
  </w:style>
  <w:style w:type="paragraph" w:styleId="Prrafodelista">
    <w:name w:val="List Paragraph"/>
    <w:basedOn w:val="Normal"/>
    <w:uiPriority w:val="34"/>
    <w:qFormat/>
    <w:rsid w:val="00D85239"/>
    <w:pPr>
      <w:spacing w:line="240" w:lineRule="auto"/>
      <w:ind w:left="720"/>
      <w:contextualSpacing/>
    </w:pPr>
    <w:rPr>
      <w:rFonts w:ascii="Calibri" w:eastAsia="Calibri" w:hAnsi="Calibri" w:cs="Arial"/>
      <w:sz w:val="24"/>
      <w:szCs w:val="24"/>
      <w:lang w:val="es-GT" w:eastAsia="en-US"/>
    </w:rPr>
  </w:style>
  <w:style w:type="character" w:customStyle="1" w:styleId="SinespaciadoCar">
    <w:name w:val="Sin espaciado Car"/>
    <w:link w:val="Sinespaciado"/>
    <w:uiPriority w:val="1"/>
    <w:rsid w:val="00D85239"/>
    <w:rPr>
      <w:rFonts w:ascii="Calibri" w:eastAsia="Calibri" w:hAnsi="Calibri"/>
      <w:sz w:val="22"/>
      <w:szCs w:val="22"/>
      <w:lang w:val="es-GT" w:eastAsia="en-US"/>
    </w:rPr>
  </w:style>
  <w:style w:type="table" w:customStyle="1" w:styleId="TableNormal1">
    <w:name w:val="Table Normal1"/>
    <w:rsid w:val="00655E5C"/>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List0">
    <w:name w:val="List 0"/>
    <w:basedOn w:val="Sinlista"/>
    <w:rsid w:val="00655E5C"/>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52D8B-582E-4415-A13C-FA3E9ED2E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3984</Words>
  <Characters>21916</Characters>
  <Application>Microsoft Office Word</Application>
  <DocSecurity>0</DocSecurity>
  <Lines>182</Lines>
  <Paragraphs>51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CCPR/C/SLV/FCO/7</vt:lpstr>
      <vt:lpstr>CCPR/C/GTM/FCO/4</vt:lpstr>
      <vt:lpstr>CAT/C/XXX/Y</vt:lpstr>
    </vt:vector>
  </TitlesOfParts>
  <Company>DCM</Company>
  <LinksUpToDate>false</LinksUpToDate>
  <CharactersWithSpaces>25849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CCPR/C/SLV/FCO/7</dc:title>
  <dc:subject/>
  <dc:creator>Gloria de la Rosa</dc:creator>
  <cp:keywords/>
  <dc:description/>
  <cp:lastModifiedBy>Maria DE-LA-PLAZA</cp:lastModifiedBy>
  <cp:revision>3</cp:revision>
  <cp:lastPrinted>2020-10-27T12:22:00Z</cp:lastPrinted>
  <dcterms:created xsi:type="dcterms:W3CDTF">2020-10-27T12:22:00Z</dcterms:created>
  <dcterms:modified xsi:type="dcterms:W3CDTF">2020-10-27T12:23:00Z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17 de abril de 2020</vt:lpwstr>
  </property>
  <property fmtid="{D5CDD505-2E9C-101B-9397-08002B2CF9AE}" pid="11" name="Date-Generated">
    <vt:filetime>2020-04-17T12:00:20Z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C/GTM/CO/4/Add.1</vt:lpwstr>
  </property>
  <property fmtid="{D5CDD505-2E9C-101B-9397-08002B2CF9AE}" pid="29" name="symh">
    <vt:lpwstr>CCPR/C/GTM/CO/4/Add.1</vt:lpwstr>
  </property>
  <property fmtid="{D5CDD505-2E9C-101B-9397-08002B2CF9AE}" pid="30" name="tlang">
    <vt:lpwstr/>
  </property>
  <property fmtid="{D5CDD505-2E9C-101B-9397-08002B2CF9AE}" pid="31" name="virs">
    <vt:lpwstr>Español e inglés únicamente</vt:lpwstr>
  </property>
</Properties>
</file>